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26330" w:rsidRPr="004F4FFE" w:rsidP="00726330">
      <w:pPr>
        <w:pStyle w:val="HTMLPreformatted"/>
        <w:jc w:val="center"/>
        <w:rPr>
          <w:rFonts w:ascii="Times New Roman" w:hAnsi="Times New Roman" w:cs="Times New Roman"/>
          <w:b/>
          <w:bCs/>
          <w:sz w:val="24"/>
          <w:szCs w:val="24"/>
        </w:rPr>
      </w:pPr>
      <w:bookmarkStart w:id="0" w:name="_GoBack"/>
      <w:bookmarkEnd w:id="0"/>
      <w:r w:rsidRPr="004F4FFE">
        <w:rPr>
          <w:rFonts w:ascii="Times New Roman" w:hAnsi="Times New Roman" w:cs="Times New Roman"/>
          <w:b/>
          <w:bCs/>
          <w:sz w:val="24"/>
          <w:szCs w:val="24"/>
        </w:rPr>
        <w:t>BEFORE</w:t>
      </w:r>
    </w:p>
    <w:p w:rsidR="00726330" w:rsidRPr="004F4FFE" w:rsidP="00726330">
      <w:pPr>
        <w:pStyle w:val="HTMLPreformatted"/>
        <w:jc w:val="center"/>
        <w:rPr>
          <w:rFonts w:ascii="Times New Roman" w:eastAsia="Courier New" w:hAnsi="Times New Roman" w:cs="Times New Roman"/>
          <w:sz w:val="24"/>
          <w:szCs w:val="24"/>
        </w:rPr>
      </w:pPr>
      <w:r w:rsidRPr="004F4FFE">
        <w:rPr>
          <w:rFonts w:ascii="Times New Roman" w:hAnsi="Times New Roman" w:cs="Times New Roman"/>
          <w:b/>
          <w:bCs/>
          <w:sz w:val="24"/>
          <w:szCs w:val="24"/>
        </w:rPr>
        <w:t>THE PUBLIC UTILITIES COMMISSION OF OHIO</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26330">
        <w:tblPrEx>
          <w:tblW w:w="9092" w:type="dxa"/>
          <w:tblInd w:w="0" w:type="dxa"/>
          <w:tblCellMar>
            <w:top w:w="0" w:type="dxa"/>
            <w:left w:w="108" w:type="dxa"/>
            <w:bottom w:w="0" w:type="dxa"/>
            <w:right w:w="108" w:type="dxa"/>
          </w:tblCellMar>
          <w:tblLook w:val="01E0"/>
        </w:tblPrEx>
        <w:trPr>
          <w:trHeight w:val="2322"/>
        </w:trPr>
        <w:tc>
          <w:tcPr>
            <w:tcW w:w="4332" w:type="dxa"/>
            <w:shd w:val="clear" w:color="auto" w:fill="auto"/>
          </w:tcPr>
          <w:p w:rsidR="00726330"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4F4FFE">
              <w:rPr>
                <w:rFonts w:ascii="Times New Roman" w:hAnsi="Times New Roman" w:eastAsiaTheme="minorHAnsi" w:cs="Times New Roman"/>
                <w:sz w:val="24"/>
                <w:szCs w:val="24"/>
                <w:lang w:val="en-US" w:eastAsia="en-US" w:bidi="ar-SA"/>
              </w:rPr>
              <w:t xml:space="preserve">In the Matter of the Application of </w:t>
            </w:r>
          </w:p>
          <w:p w:rsidR="00726330"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4F4FFE">
              <w:rPr>
                <w:rFonts w:ascii="Times New Roman" w:hAnsi="Times New Roman" w:eastAsiaTheme="minorHAnsi" w:cs="Times New Roman"/>
                <w:sz w:val="24"/>
                <w:szCs w:val="24"/>
                <w:lang w:val="en-US" w:eastAsia="en-US" w:bidi="ar-SA"/>
              </w:rPr>
              <w:t>Ohio Power Company for Authority to Establish a Standard Service Offer Pursuant to R.C. 4928.143, in the Form of an Electric Security Plan.</w:t>
            </w:r>
          </w:p>
          <w:p w:rsidR="00726330"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726330"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4F4FFE">
              <w:rPr>
                <w:rFonts w:ascii="Times New Roman" w:hAnsi="Times New Roman" w:eastAsiaTheme="minorHAnsi"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26330" w:rsidRPr="004F4FFE" w:rsidP="0078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tc>
        <w:tc>
          <w:tcPr>
            <w:tcW w:w="4400" w:type="dxa"/>
            <w:shd w:val="clear" w:color="auto" w:fill="auto"/>
          </w:tcPr>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Case No. 16-1852-EL-SSO</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Case No. 16-1853-EL-AAM</w:t>
            </w: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26330"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726330" w:rsidRPr="004F4FFE" w:rsidP="00726330">
      <w:pPr>
        <w:pStyle w:val="HTMLPreformatted"/>
        <w:rPr>
          <w:rFonts w:ascii="Times New Roman" w:hAnsi="Times New Roman" w:cs="Times New Roman"/>
          <w:sz w:val="24"/>
          <w:szCs w:val="24"/>
        </w:rPr>
      </w:pPr>
    </w:p>
    <w:p w:rsidR="00726330" w:rsidRPr="004F4FFE" w:rsidP="00726330">
      <w:pPr>
        <w:pBdr>
          <w:top w:val="single" w:sz="12" w:space="1" w:color="auto"/>
        </w:pBdr>
        <w:tabs>
          <w:tab w:val="left" w:pos="-720"/>
        </w:tabs>
        <w:suppressAutoHyphens/>
        <w:jc w:val="center"/>
        <w:rPr>
          <w:rFonts w:ascii="Times New Roman" w:hAnsi="Times New Roman" w:cs="Times New Roman"/>
          <w:b/>
          <w:spacing w:val="-3"/>
          <w:sz w:val="24"/>
          <w:szCs w:val="24"/>
        </w:rPr>
      </w:pPr>
    </w:p>
    <w:p w:rsidR="00785A4C" w:rsidRPr="00785A4C" w:rsidP="00785A4C">
      <w:pPr>
        <w:spacing w:after="0" w:line="240" w:lineRule="auto"/>
        <w:jc w:val="center"/>
        <w:rPr>
          <w:rFonts w:ascii="Times New Roman" w:hAnsi="Times New Roman" w:cs="Times New Roman"/>
          <w:b/>
          <w:sz w:val="24"/>
          <w:szCs w:val="24"/>
        </w:rPr>
      </w:pPr>
      <w:r w:rsidRPr="00785A4C">
        <w:rPr>
          <w:rFonts w:ascii="Times New Roman" w:hAnsi="Times New Roman" w:cs="Times New Roman"/>
          <w:b/>
          <w:sz w:val="24"/>
          <w:szCs w:val="24"/>
        </w:rPr>
        <w:t>POST HEARING BRIEF</w:t>
      </w:r>
    </w:p>
    <w:p w:rsidR="00726330" w:rsidRPr="00785A4C" w:rsidP="00785A4C">
      <w:pPr>
        <w:spacing w:after="0" w:line="240" w:lineRule="auto"/>
        <w:jc w:val="center"/>
        <w:rPr>
          <w:rFonts w:ascii="Times New Roman" w:hAnsi="Times New Roman" w:cs="Times New Roman"/>
          <w:b/>
          <w:spacing w:val="-3"/>
          <w:sz w:val="24"/>
          <w:szCs w:val="24"/>
        </w:rPr>
      </w:pPr>
      <w:r w:rsidRPr="00785A4C">
        <w:rPr>
          <w:rFonts w:ascii="Times New Roman" w:hAnsi="Times New Roman" w:cs="Times New Roman"/>
          <w:b/>
          <w:spacing w:val="-3"/>
          <w:sz w:val="24"/>
          <w:szCs w:val="24"/>
        </w:rPr>
        <w:t>BY</w:t>
      </w:r>
    </w:p>
    <w:p w:rsidR="00726330" w:rsidRPr="00785A4C" w:rsidP="00785A4C">
      <w:pPr>
        <w:spacing w:after="0" w:line="240" w:lineRule="auto"/>
        <w:jc w:val="center"/>
        <w:rPr>
          <w:rFonts w:ascii="Times New Roman" w:hAnsi="Times New Roman" w:cs="Times New Roman"/>
          <w:b/>
          <w:spacing w:val="-3"/>
          <w:sz w:val="24"/>
          <w:szCs w:val="24"/>
        </w:rPr>
      </w:pPr>
      <w:r w:rsidRPr="00785A4C">
        <w:rPr>
          <w:rFonts w:ascii="Times New Roman" w:hAnsi="Times New Roman" w:cs="Times New Roman"/>
          <w:b/>
          <w:spacing w:val="-3"/>
          <w:sz w:val="24"/>
          <w:szCs w:val="24"/>
        </w:rPr>
        <w:t>THE OFFICE OF THE OHIO CONSUMERS’ COUNSEL</w:t>
      </w:r>
      <w:r w:rsidRPr="00785A4C">
        <w:rPr>
          <w:rFonts w:ascii="Times New Roman" w:hAnsi="Times New Roman" w:cs="Times New Roman"/>
          <w:b/>
          <w:spacing w:val="-3"/>
          <w:sz w:val="24"/>
          <w:szCs w:val="24"/>
        </w:rPr>
        <w:softHyphen/>
      </w:r>
      <w:r w:rsidRPr="00785A4C">
        <w:rPr>
          <w:rFonts w:ascii="Times New Roman" w:hAnsi="Times New Roman" w:cs="Times New Roman"/>
          <w:b/>
          <w:spacing w:val="-3"/>
          <w:sz w:val="24"/>
          <w:szCs w:val="24"/>
        </w:rPr>
        <w:softHyphen/>
      </w:r>
      <w:r w:rsidRPr="00785A4C">
        <w:rPr>
          <w:rFonts w:ascii="Times New Roman" w:hAnsi="Times New Roman" w:cs="Times New Roman"/>
          <w:b/>
          <w:spacing w:val="-3"/>
          <w:sz w:val="24"/>
          <w:szCs w:val="24"/>
        </w:rPr>
        <w:softHyphen/>
      </w:r>
      <w:r w:rsidRPr="00785A4C">
        <w:rPr>
          <w:rFonts w:ascii="Times New Roman" w:hAnsi="Times New Roman" w:cs="Times New Roman"/>
          <w:b/>
          <w:spacing w:val="-3"/>
          <w:sz w:val="24"/>
          <w:szCs w:val="24"/>
        </w:rPr>
        <w:softHyphen/>
      </w:r>
    </w:p>
    <w:p w:rsidR="00726330" w:rsidRPr="004F4FFE" w:rsidP="00726330">
      <w:pPr>
        <w:pBdr>
          <w:bottom w:val="single" w:sz="12" w:space="1" w:color="auto"/>
        </w:pBdr>
        <w:tabs>
          <w:tab w:val="left" w:pos="-720"/>
        </w:tabs>
        <w:suppressAutoHyphens/>
        <w:jc w:val="center"/>
        <w:rPr>
          <w:rFonts w:ascii="Times New Roman" w:hAnsi="Times New Roman" w:cs="Times New Roman"/>
          <w:b/>
          <w:spacing w:val="-3"/>
          <w:sz w:val="24"/>
          <w:szCs w:val="24"/>
        </w:rPr>
      </w:pPr>
    </w:p>
    <w:p w:rsidR="00785A4C" w:rsidP="00726330">
      <w:pPr>
        <w:tabs>
          <w:tab w:val="left" w:pos="4320"/>
        </w:tabs>
        <w:spacing w:after="0" w:line="240" w:lineRule="auto"/>
        <w:rPr>
          <w:rFonts w:ascii="Times New Roman" w:hAnsi="Times New Roman" w:cs="Times New Roman"/>
          <w:sz w:val="24"/>
          <w:szCs w:val="24"/>
        </w:rPr>
      </w:pPr>
    </w:p>
    <w:p w:rsidR="00785A4C" w:rsidP="00726330">
      <w:pPr>
        <w:tabs>
          <w:tab w:val="left" w:pos="4320"/>
        </w:tabs>
        <w:spacing w:after="0" w:line="240" w:lineRule="auto"/>
        <w:rPr>
          <w:rFonts w:ascii="Times New Roman" w:hAnsi="Times New Roman" w:cs="Times New Roman"/>
          <w:sz w:val="24"/>
          <w:szCs w:val="24"/>
        </w:rPr>
      </w:pPr>
      <w:r w:rsidRPr="004F4FFE">
        <w:rPr>
          <w:rFonts w:ascii="Times New Roman" w:hAnsi="Times New Roman" w:cs="Times New Roman"/>
          <w:sz w:val="24"/>
          <w:szCs w:val="24"/>
        </w:rPr>
        <w:tab/>
      </w:r>
    </w:p>
    <w:p w:rsidR="00785A4C" w:rsidP="00726330">
      <w:pPr>
        <w:tabs>
          <w:tab w:val="left" w:pos="4320"/>
        </w:tabs>
        <w:spacing w:after="0" w:line="240" w:lineRule="auto"/>
        <w:rPr>
          <w:rFonts w:ascii="Times New Roman" w:hAnsi="Times New Roman" w:cs="Times New Roman"/>
          <w:sz w:val="24"/>
          <w:szCs w:val="24"/>
        </w:rPr>
      </w:pPr>
    </w:p>
    <w:p w:rsidR="00785A4C" w:rsidP="00726330">
      <w:pPr>
        <w:tabs>
          <w:tab w:val="left" w:pos="4320"/>
        </w:tabs>
        <w:spacing w:after="0" w:line="240" w:lineRule="auto"/>
        <w:rPr>
          <w:rFonts w:ascii="Times New Roman" w:hAnsi="Times New Roman" w:cs="Times New Roman"/>
          <w:sz w:val="24"/>
          <w:szCs w:val="24"/>
        </w:rPr>
      </w:pPr>
    </w:p>
    <w:p w:rsidR="00785A4C" w:rsidP="00726330">
      <w:pPr>
        <w:tabs>
          <w:tab w:val="left" w:pos="4320"/>
        </w:tabs>
        <w:spacing w:after="0" w:line="240" w:lineRule="auto"/>
        <w:rPr>
          <w:rFonts w:ascii="Times New Roman" w:hAnsi="Times New Roman" w:cs="Times New Roman"/>
          <w:sz w:val="24"/>
          <w:szCs w:val="24"/>
        </w:rPr>
      </w:pPr>
    </w:p>
    <w:p w:rsidR="00785A4C" w:rsidP="00726330">
      <w:pPr>
        <w:tabs>
          <w:tab w:val="left" w:pos="4320"/>
        </w:tabs>
        <w:spacing w:after="0" w:line="240" w:lineRule="auto"/>
        <w:rPr>
          <w:rFonts w:ascii="Times New Roman" w:hAnsi="Times New Roman" w:cs="Times New Roman"/>
          <w:sz w:val="24"/>
          <w:szCs w:val="24"/>
        </w:rPr>
      </w:pPr>
    </w:p>
    <w:p w:rsidR="00785A4C" w:rsidP="00726330">
      <w:pPr>
        <w:tabs>
          <w:tab w:val="left" w:pos="4320"/>
        </w:tabs>
        <w:spacing w:after="0" w:line="240" w:lineRule="auto"/>
        <w:rPr>
          <w:rFonts w:ascii="Times New Roman" w:hAnsi="Times New Roman" w:cs="Times New Roman"/>
          <w:sz w:val="24"/>
          <w:szCs w:val="24"/>
        </w:rPr>
      </w:pPr>
    </w:p>
    <w:p w:rsidR="00D97AEF" w:rsidP="0013336E">
      <w:pPr>
        <w:spacing w:after="0" w:line="240" w:lineRule="auto"/>
        <w:ind w:left="4320"/>
        <w:rPr>
          <w:rFonts w:ascii="Times New Roman" w:hAnsi="Times New Roman" w:cs="Times New Roman"/>
          <w:sz w:val="24"/>
          <w:szCs w:val="24"/>
        </w:rPr>
      </w:pPr>
    </w:p>
    <w:p w:rsidR="00D97AEF" w:rsidP="0013336E">
      <w:pPr>
        <w:spacing w:after="0" w:line="240" w:lineRule="auto"/>
        <w:ind w:left="4320"/>
        <w:rPr>
          <w:rFonts w:ascii="Times New Roman" w:hAnsi="Times New Roman" w:cs="Times New Roman"/>
          <w:sz w:val="24"/>
          <w:szCs w:val="24"/>
        </w:rPr>
      </w:pPr>
    </w:p>
    <w:p w:rsidR="00785A4C"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BRUCE WESTON (0016973)</w:t>
      </w:r>
    </w:p>
    <w:p w:rsidR="00785A4C"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OHIO CONSUMERS’ COUNSEL</w:t>
      </w:r>
    </w:p>
    <w:p w:rsidR="00785A4C"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ab/>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William J. Michael (0070921)</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Counsel of Record</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Kevin F. Moore (0089228)</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Assistant Consumers’ Counsel</w:t>
      </w:r>
    </w:p>
    <w:p w:rsidR="00726330" w:rsidRPr="0013336E" w:rsidP="0013336E">
      <w:pPr>
        <w:spacing w:after="0" w:line="240" w:lineRule="auto"/>
        <w:ind w:left="4320"/>
        <w:rPr>
          <w:rFonts w:ascii="Times New Roman" w:hAnsi="Times New Roman" w:cs="Times New Roman"/>
          <w:sz w:val="24"/>
          <w:szCs w:val="24"/>
        </w:rPr>
      </w:pPr>
    </w:p>
    <w:p w:rsidR="00726330" w:rsidRPr="0013336E" w:rsidP="0013336E">
      <w:pPr>
        <w:spacing w:after="0" w:line="240" w:lineRule="auto"/>
        <w:ind w:left="4320"/>
        <w:rPr>
          <w:rFonts w:ascii="Times New Roman" w:hAnsi="Times New Roman" w:cs="Times New Roman"/>
          <w:b/>
          <w:sz w:val="24"/>
          <w:szCs w:val="24"/>
        </w:rPr>
      </w:pPr>
      <w:r w:rsidRPr="0013336E">
        <w:rPr>
          <w:rFonts w:ascii="Times New Roman" w:hAnsi="Times New Roman" w:cs="Times New Roman"/>
          <w:b/>
          <w:sz w:val="24"/>
          <w:szCs w:val="24"/>
        </w:rPr>
        <w:t>Office of the Ohio Consumers’ Counsel</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10 West Broad Street, Suite 1800</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Columbus, Ohio 43215-3485</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Telephone: 614-466-1291 (Michael Direct)</w:t>
      </w:r>
    </w:p>
    <w:p w:rsidR="00726330" w:rsidRPr="0013336E" w:rsidP="0013336E">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Telephone: 614-387-2965 (Moore Direct)</w:t>
      </w:r>
    </w:p>
    <w:p w:rsidR="00726330" w:rsidRPr="0013336E" w:rsidP="0013336E">
      <w:pPr>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13336E" w:rsidR="00785A4C">
        <w:rPr>
          <w:rStyle w:val="Hyperlink"/>
          <w:rFonts w:ascii="Times New Roman" w:hAnsi="Times New Roman"/>
          <w:sz w:val="24"/>
          <w:szCs w:val="24"/>
        </w:rPr>
        <w:t>William.michael@occ.ohio.gov</w:t>
      </w:r>
      <w:r>
        <w:fldChar w:fldCharType="end"/>
      </w:r>
    </w:p>
    <w:p w:rsidR="00726330" w:rsidRPr="0013336E" w:rsidP="0013336E">
      <w:pPr>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13336E" w:rsidR="00785A4C">
        <w:rPr>
          <w:rStyle w:val="Hyperlink"/>
          <w:rFonts w:ascii="Times New Roman" w:hAnsi="Times New Roman"/>
          <w:sz w:val="24"/>
          <w:szCs w:val="24"/>
        </w:rPr>
        <w:t>Kevin.moore@occ.ohio.gov</w:t>
      </w:r>
      <w:r>
        <w:fldChar w:fldCharType="end"/>
      </w:r>
    </w:p>
    <w:p w:rsidR="00D97AEF">
      <w:pPr>
        <w:rPr>
          <w:rFonts w:ascii="Times New Roman" w:hAnsi="Times New Roman" w:cs="Times New Roman"/>
          <w:sz w:val="24"/>
          <w:szCs w:val="24"/>
        </w:rPr>
        <w:sectPr w:rsidSect="007D425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Pr>
          <w:rFonts w:ascii="Times New Roman" w:hAnsi="Times New Roman" w:cs="Times New Roman"/>
          <w:sz w:val="24"/>
          <w:szCs w:val="24"/>
        </w:rPr>
        <w:br w:type="page"/>
      </w:r>
    </w:p>
    <w:p w:rsidR="00785A4C" w:rsidRPr="00785A4C" w:rsidP="00785A4C">
      <w:pPr>
        <w:spacing w:after="0" w:line="240" w:lineRule="auto"/>
        <w:jc w:val="center"/>
        <w:rPr>
          <w:rFonts w:ascii="Times New Roman" w:hAnsi="Times New Roman" w:cs="Times New Roman"/>
          <w:b/>
          <w:sz w:val="24"/>
          <w:szCs w:val="24"/>
          <w:u w:val="single"/>
        </w:rPr>
      </w:pPr>
      <w:r w:rsidRPr="00785A4C">
        <w:rPr>
          <w:rFonts w:ascii="Times New Roman" w:hAnsi="Times New Roman" w:cs="Times New Roman"/>
          <w:b/>
          <w:sz w:val="24"/>
          <w:szCs w:val="24"/>
          <w:u w:val="single"/>
        </w:rPr>
        <w:t>TABLE OF CONTENTS</w:t>
      </w:r>
    </w:p>
    <w:p w:rsidR="00785A4C" w:rsidP="00726330">
      <w:pPr>
        <w:spacing w:after="0" w:line="240" w:lineRule="auto"/>
        <w:ind w:left="4320"/>
        <w:rPr>
          <w:rFonts w:ascii="Times New Roman" w:hAnsi="Times New Roman" w:cs="Times New Roman"/>
          <w:sz w:val="24"/>
          <w:szCs w:val="24"/>
        </w:rPr>
      </w:pPr>
    </w:p>
    <w:p w:rsidR="00785A4C" w:rsidP="00726330">
      <w:pPr>
        <w:spacing w:line="480" w:lineRule="auto"/>
        <w:ind w:left="2160" w:hanging="2160"/>
        <w:rPr>
          <w:rFonts w:ascii="Times New Roman" w:hAnsi="Times New Roman" w:cs="Times New Roman"/>
          <w:sz w:val="24"/>
          <w:szCs w:val="24"/>
        </w:rPr>
      </w:pPr>
      <w:r w:rsidRPr="00F2287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p>
    <w:p w:rsidR="00D97AEF">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TOC \o "1-4" \h \z \u </w:instrText>
      </w:r>
      <w:r>
        <w:fldChar w:fldCharType="separate"/>
      </w:r>
      <w:r>
        <w:fldChar w:fldCharType="begin"/>
      </w:r>
      <w:r>
        <w:instrText xml:space="preserve"> HYPERLINK \l "_Toc499709901" </w:instrText>
      </w:r>
      <w:r>
        <w:fldChar w:fldCharType="separate"/>
      </w:r>
      <w:r w:rsidRPr="008207E1">
        <w:rPr>
          <w:rStyle w:val="Hyperlink"/>
          <w:noProof/>
        </w:rPr>
        <w:t>I.</w:t>
      </w:r>
      <w:r>
        <w:rPr>
          <w:rFonts w:asciiTheme="minorHAnsi" w:eastAsiaTheme="minorEastAsia" w:hAnsiTheme="minorHAnsi" w:cstheme="minorBidi"/>
          <w:caps w:val="0"/>
          <w:noProof/>
          <w:sz w:val="22"/>
          <w:szCs w:val="22"/>
          <w:bdr w:val="none" w:sz="0" w:space="0" w:color="auto"/>
        </w:rPr>
        <w:tab/>
      </w:r>
      <w:r w:rsidRPr="008207E1">
        <w:rPr>
          <w:rStyle w:val="Hyperlink"/>
          <w:noProof/>
        </w:rPr>
        <w:t>INTRODUCTION</w:t>
      </w:r>
      <w:r>
        <w:rPr>
          <w:noProof/>
          <w:webHidden/>
        </w:rPr>
        <w:tab/>
      </w:r>
      <w:r>
        <w:rPr>
          <w:noProof/>
          <w:webHidden/>
        </w:rPr>
        <w:fldChar w:fldCharType="begin"/>
      </w:r>
      <w:r>
        <w:rPr>
          <w:noProof/>
          <w:webHidden/>
        </w:rPr>
        <w:instrText xml:space="preserve"> PAGEREF _Toc499709901 \h </w:instrText>
      </w:r>
      <w:r>
        <w:rPr>
          <w:noProof/>
          <w:webHidden/>
        </w:rPr>
        <w:fldChar w:fldCharType="separate"/>
      </w:r>
      <w:r>
        <w:rPr>
          <w:noProof/>
          <w:webHidden/>
        </w:rPr>
        <w:t>1</w:t>
      </w:r>
      <w:r>
        <w:rPr>
          <w:noProof/>
          <w:webHidden/>
        </w:rPr>
        <w:fldChar w:fldCharType="end"/>
      </w:r>
      <w:r>
        <w:fldChar w:fldCharType="end"/>
      </w:r>
    </w:p>
    <w:p w:rsidR="00D97AEF">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"_Toc499709902" </w:instrText>
      </w:r>
      <w:r>
        <w:fldChar w:fldCharType="separate"/>
      </w:r>
      <w:r w:rsidRPr="008207E1">
        <w:rPr>
          <w:rStyle w:val="Hyperlink"/>
          <w:noProof/>
        </w:rPr>
        <w:t>II.</w:t>
      </w:r>
      <w:r>
        <w:rPr>
          <w:rFonts w:asciiTheme="minorHAnsi" w:eastAsiaTheme="minorEastAsia" w:hAnsiTheme="minorHAnsi" w:cstheme="minorBidi"/>
          <w:caps w:val="0"/>
          <w:noProof/>
          <w:sz w:val="22"/>
          <w:szCs w:val="22"/>
          <w:bdr w:val="none" w:sz="0" w:space="0" w:color="auto"/>
        </w:rPr>
        <w:tab/>
      </w:r>
      <w:r w:rsidRPr="008207E1">
        <w:rPr>
          <w:rStyle w:val="Hyperlink"/>
          <w:noProof/>
        </w:rPr>
        <w:t>STANDARD OF REVIEW</w:t>
      </w:r>
      <w:r>
        <w:rPr>
          <w:noProof/>
          <w:webHidden/>
        </w:rPr>
        <w:tab/>
      </w:r>
      <w:r>
        <w:rPr>
          <w:noProof/>
          <w:webHidden/>
        </w:rPr>
        <w:fldChar w:fldCharType="begin"/>
      </w:r>
      <w:r>
        <w:rPr>
          <w:noProof/>
          <w:webHidden/>
        </w:rPr>
        <w:instrText xml:space="preserve"> PAGEREF _Toc499709902 \h </w:instrText>
      </w:r>
      <w:r>
        <w:rPr>
          <w:noProof/>
          <w:webHidden/>
        </w:rPr>
        <w:fldChar w:fldCharType="separate"/>
      </w:r>
      <w:r>
        <w:rPr>
          <w:noProof/>
          <w:webHidden/>
        </w:rPr>
        <w:t>3</w:t>
      </w:r>
      <w:r>
        <w:rPr>
          <w:noProof/>
          <w:webHidden/>
        </w:rPr>
        <w:fldChar w:fldCharType="end"/>
      </w:r>
      <w:r>
        <w:fldChar w:fldCharType="end"/>
      </w:r>
    </w:p>
    <w:p w:rsidR="00D97AEF">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"_Toc499709903" </w:instrText>
      </w:r>
      <w:r>
        <w:fldChar w:fldCharType="separate"/>
      </w:r>
      <w:r w:rsidRPr="008207E1">
        <w:rPr>
          <w:rStyle w:val="Hyperlink"/>
          <w:noProof/>
        </w:rPr>
        <w:t>III.</w:t>
      </w:r>
      <w:r>
        <w:rPr>
          <w:rFonts w:asciiTheme="minorHAnsi" w:eastAsiaTheme="minorEastAsia" w:hAnsiTheme="minorHAnsi" w:cstheme="minorBidi"/>
          <w:caps w:val="0"/>
          <w:noProof/>
          <w:sz w:val="22"/>
          <w:szCs w:val="22"/>
          <w:bdr w:val="none" w:sz="0" w:space="0" w:color="auto"/>
        </w:rPr>
        <w:tab/>
      </w:r>
      <w:r w:rsidRPr="008207E1">
        <w:rPr>
          <w:rStyle w:val="Hyperlink"/>
          <w:noProof/>
        </w:rPr>
        <w:t>RECOMMENDATIONS</w:t>
      </w:r>
      <w:r>
        <w:rPr>
          <w:noProof/>
          <w:webHidden/>
        </w:rPr>
        <w:tab/>
      </w:r>
      <w:r>
        <w:rPr>
          <w:noProof/>
          <w:webHidden/>
        </w:rPr>
        <w:fldChar w:fldCharType="begin"/>
      </w:r>
      <w:r>
        <w:rPr>
          <w:noProof/>
          <w:webHidden/>
        </w:rPr>
        <w:instrText xml:space="preserve"> PAGEREF _Toc499709903 \h </w:instrText>
      </w:r>
      <w:r>
        <w:rPr>
          <w:noProof/>
          <w:webHidden/>
        </w:rPr>
        <w:fldChar w:fldCharType="separate"/>
      </w:r>
      <w:r>
        <w:rPr>
          <w:noProof/>
          <w:webHidden/>
        </w:rPr>
        <w:t>4</w:t>
      </w:r>
      <w:r>
        <w:rPr>
          <w:noProof/>
          <w:webHidden/>
        </w:rPr>
        <w:fldChar w:fldCharType="end"/>
      </w:r>
      <w:r>
        <w:fldChar w:fldCharType="end"/>
      </w:r>
    </w:p>
    <w:p w:rsidR="00D97AEF">
      <w:pPr>
        <w:pStyle w:val="TOC2"/>
        <w:tabs>
          <w:tab w:val="left" w:pos="1440"/>
        </w:tabs>
        <w:rPr>
          <w:rFonts w:asciiTheme="minorHAnsi" w:eastAsiaTheme="minorEastAsia" w:hAnsiTheme="minorHAnsi"/>
          <w:noProof/>
          <w:sz w:val="22"/>
        </w:rPr>
      </w:pPr>
      <w:r>
        <w:fldChar w:fldCharType="begin"/>
      </w:r>
      <w:r>
        <w:instrText xml:space="preserve"> HYPERLINK \l "_Toc499709904" </w:instrText>
      </w:r>
      <w:r>
        <w:fldChar w:fldCharType="separate"/>
      </w:r>
      <w:r w:rsidRPr="008207E1">
        <w:rPr>
          <w:rStyle w:val="Hyperlink"/>
          <w:noProof/>
        </w:rPr>
        <w:t>A.</w:t>
      </w:r>
      <w:r>
        <w:rPr>
          <w:rFonts w:asciiTheme="minorHAnsi" w:eastAsiaTheme="minorEastAsia" w:hAnsiTheme="minorHAnsi"/>
          <w:noProof/>
          <w:sz w:val="22"/>
        </w:rPr>
        <w:tab/>
      </w:r>
      <w:r w:rsidRPr="008207E1">
        <w:rPr>
          <w:rStyle w:val="Hyperlink"/>
          <w:noProof/>
        </w:rPr>
        <w:t>The Settlement should be rejected because, as a package, it does not benefit customers and the public interest.</w:t>
      </w:r>
      <w:r>
        <w:rPr>
          <w:noProof/>
          <w:webHidden/>
        </w:rPr>
        <w:tab/>
      </w:r>
      <w:r>
        <w:rPr>
          <w:noProof/>
          <w:webHidden/>
        </w:rPr>
        <w:fldChar w:fldCharType="begin"/>
      </w:r>
      <w:r>
        <w:rPr>
          <w:noProof/>
          <w:webHidden/>
        </w:rPr>
        <w:instrText xml:space="preserve"> PAGEREF _Toc499709904 \h </w:instrText>
      </w:r>
      <w:r>
        <w:rPr>
          <w:noProof/>
          <w:webHidden/>
        </w:rPr>
        <w:fldChar w:fldCharType="separate"/>
      </w:r>
      <w:r>
        <w:rPr>
          <w:noProof/>
          <w:webHidden/>
        </w:rPr>
        <w:t>4</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"_Toc499709905" </w:instrText>
      </w:r>
      <w:r>
        <w:fldChar w:fldCharType="separate"/>
      </w:r>
      <w:r w:rsidRPr="008207E1">
        <w:rPr>
          <w:rStyle w:val="Hyperlink"/>
          <w:noProof/>
        </w:rPr>
        <w:t>1.</w:t>
      </w:r>
      <w:r>
        <w:rPr>
          <w:rFonts w:asciiTheme="minorHAnsi" w:eastAsiaTheme="minorEastAsia" w:hAnsiTheme="minorHAnsi"/>
          <w:noProof/>
          <w:sz w:val="22"/>
        </w:rPr>
        <w:tab/>
      </w:r>
      <w:r w:rsidRPr="008207E1">
        <w:rPr>
          <w:rStyle w:val="Hyperlink"/>
          <w:noProof/>
        </w:rPr>
        <w:t>The IRP-D program does not benefit customers and the public interest.</w:t>
      </w:r>
      <w:r>
        <w:rPr>
          <w:noProof/>
          <w:webHidden/>
        </w:rPr>
        <w:tab/>
      </w:r>
      <w:r>
        <w:rPr>
          <w:noProof/>
          <w:webHidden/>
        </w:rPr>
        <w:fldChar w:fldCharType="begin"/>
      </w:r>
      <w:r>
        <w:rPr>
          <w:noProof/>
          <w:webHidden/>
        </w:rPr>
        <w:instrText xml:space="preserve"> PAGEREF _Toc499709905 \h </w:instrText>
      </w:r>
      <w:r>
        <w:rPr>
          <w:noProof/>
          <w:webHidden/>
        </w:rPr>
        <w:fldChar w:fldCharType="separate"/>
      </w:r>
      <w:r>
        <w:rPr>
          <w:noProof/>
          <w:webHidden/>
        </w:rPr>
        <w:t>4</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"_Toc499709906" </w:instrText>
      </w:r>
      <w:r>
        <w:fldChar w:fldCharType="separate"/>
      </w:r>
      <w:r w:rsidRPr="008207E1">
        <w:rPr>
          <w:rStyle w:val="Hyperlink"/>
          <w:noProof/>
        </w:rPr>
        <w:t>2.</w:t>
      </w:r>
      <w:r>
        <w:rPr>
          <w:rFonts w:asciiTheme="minorHAnsi" w:eastAsiaTheme="minorEastAsia" w:hAnsiTheme="minorHAnsi"/>
          <w:noProof/>
          <w:sz w:val="22"/>
        </w:rPr>
        <w:tab/>
      </w:r>
      <w:r w:rsidRPr="008207E1">
        <w:rPr>
          <w:rStyle w:val="Hyperlink"/>
          <w:noProof/>
        </w:rPr>
        <w:t>The BTCR Pilot Program does not benefit customers and the public interest.</w:t>
      </w:r>
      <w:r>
        <w:rPr>
          <w:noProof/>
          <w:webHidden/>
        </w:rPr>
        <w:tab/>
      </w:r>
      <w:r>
        <w:rPr>
          <w:noProof/>
          <w:webHidden/>
        </w:rPr>
        <w:fldChar w:fldCharType="begin"/>
      </w:r>
      <w:r>
        <w:rPr>
          <w:noProof/>
          <w:webHidden/>
        </w:rPr>
        <w:instrText xml:space="preserve"> PAGEREF _Toc499709906 \h </w:instrText>
      </w:r>
      <w:r>
        <w:rPr>
          <w:noProof/>
          <w:webHidden/>
        </w:rPr>
        <w:fldChar w:fldCharType="separate"/>
      </w:r>
      <w:r>
        <w:rPr>
          <w:noProof/>
          <w:webHidden/>
        </w:rPr>
        <w:t>6</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"_Toc499709907" </w:instrText>
      </w:r>
      <w:r>
        <w:fldChar w:fldCharType="separate"/>
      </w:r>
      <w:r w:rsidRPr="008207E1">
        <w:rPr>
          <w:rStyle w:val="Hyperlink"/>
          <w:rFonts w:hAnsi="Arial Unicode MS" w:cs="Arial Unicode MS"/>
          <w:noProof/>
        </w:rPr>
        <w:t>3.</w:t>
      </w:r>
      <w:r>
        <w:rPr>
          <w:rFonts w:asciiTheme="minorHAnsi" w:eastAsiaTheme="minorEastAsia" w:hAnsiTheme="minorHAnsi"/>
          <w:noProof/>
          <w:sz w:val="22"/>
        </w:rPr>
        <w:tab/>
      </w:r>
      <w:r w:rsidRPr="008207E1">
        <w:rPr>
          <w:rStyle w:val="Hyperlink"/>
          <w:rFonts w:hAnsi="Arial Unicode MS" w:cs="Arial Unicode MS"/>
          <w:noProof/>
        </w:rPr>
        <w:t xml:space="preserve">The automaker credit </w:t>
      </w:r>
      <w:r w:rsidRPr="008207E1">
        <w:rPr>
          <w:rStyle w:val="Hyperlink"/>
          <w:noProof/>
        </w:rPr>
        <w:t>does not benefit customers and the public interest.</w:t>
      </w:r>
      <w:r>
        <w:rPr>
          <w:noProof/>
          <w:webHidden/>
        </w:rPr>
        <w:tab/>
      </w:r>
      <w:r>
        <w:rPr>
          <w:noProof/>
          <w:webHidden/>
        </w:rPr>
        <w:fldChar w:fldCharType="begin"/>
      </w:r>
      <w:r>
        <w:rPr>
          <w:noProof/>
          <w:webHidden/>
        </w:rPr>
        <w:instrText xml:space="preserve"> PAGEREF _Toc499709907 \h </w:instrText>
      </w:r>
      <w:r>
        <w:rPr>
          <w:noProof/>
          <w:webHidden/>
        </w:rPr>
        <w:fldChar w:fldCharType="separate"/>
      </w:r>
      <w:r>
        <w:rPr>
          <w:noProof/>
          <w:webHidden/>
        </w:rPr>
        <w:t>7</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"_Toc499709908" </w:instrText>
      </w:r>
      <w:r>
        <w:fldChar w:fldCharType="separate"/>
      </w:r>
      <w:r w:rsidRPr="008207E1">
        <w:rPr>
          <w:rStyle w:val="Hyperlink"/>
          <w:noProof/>
        </w:rPr>
        <w:t>4.</w:t>
      </w:r>
      <w:r>
        <w:rPr>
          <w:rFonts w:asciiTheme="minorHAnsi" w:eastAsiaTheme="minorEastAsia" w:hAnsiTheme="minorHAnsi"/>
          <w:noProof/>
          <w:sz w:val="22"/>
        </w:rPr>
        <w:tab/>
      </w:r>
      <w:r w:rsidRPr="008207E1">
        <w:rPr>
          <w:rStyle w:val="Hyperlink"/>
          <w:noProof/>
        </w:rPr>
        <w:t>The enroll in your wallet program does not benefit customers and the public interest.</w:t>
      </w:r>
      <w:r>
        <w:rPr>
          <w:noProof/>
          <w:webHidden/>
        </w:rPr>
        <w:tab/>
      </w:r>
      <w:r>
        <w:rPr>
          <w:noProof/>
          <w:webHidden/>
        </w:rPr>
        <w:fldChar w:fldCharType="begin"/>
      </w:r>
      <w:r>
        <w:rPr>
          <w:noProof/>
          <w:webHidden/>
        </w:rPr>
        <w:instrText xml:space="preserve"> PAGEREF _Toc499709908 \h </w:instrText>
      </w:r>
      <w:r>
        <w:rPr>
          <w:noProof/>
          <w:webHidden/>
        </w:rPr>
        <w:fldChar w:fldCharType="separate"/>
      </w:r>
      <w:r>
        <w:rPr>
          <w:noProof/>
          <w:webHidden/>
        </w:rPr>
        <w:t>9</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"_Toc499709909" </w:instrText>
      </w:r>
      <w:r>
        <w:fldChar w:fldCharType="separate"/>
      </w:r>
      <w:r w:rsidRPr="008207E1">
        <w:rPr>
          <w:rStyle w:val="Hyperlink"/>
          <w:rFonts w:hAnsi="Arial Unicode MS" w:cs="Arial Unicode MS"/>
          <w:noProof/>
        </w:rPr>
        <w:t>5.</w:t>
      </w:r>
      <w:r>
        <w:rPr>
          <w:rFonts w:asciiTheme="minorHAnsi" w:eastAsiaTheme="minorEastAsia" w:hAnsiTheme="minorHAnsi"/>
          <w:noProof/>
          <w:sz w:val="22"/>
        </w:rPr>
        <w:tab/>
      </w:r>
      <w:r w:rsidRPr="008207E1">
        <w:rPr>
          <w:rStyle w:val="Hyperlink"/>
          <w:noProof/>
        </w:rPr>
        <w:t>The Smart City Rider’s microgrid proposal does not benefit customers and the public interest.</w:t>
      </w:r>
      <w:r>
        <w:rPr>
          <w:noProof/>
          <w:webHidden/>
        </w:rPr>
        <w:tab/>
      </w:r>
      <w:r>
        <w:rPr>
          <w:noProof/>
          <w:webHidden/>
        </w:rPr>
        <w:fldChar w:fldCharType="begin"/>
      </w:r>
      <w:r>
        <w:rPr>
          <w:noProof/>
          <w:webHidden/>
        </w:rPr>
        <w:instrText xml:space="preserve"> PAGEREF _Toc499709909 \h </w:instrText>
      </w:r>
      <w:r>
        <w:rPr>
          <w:noProof/>
          <w:webHidden/>
        </w:rPr>
        <w:fldChar w:fldCharType="separate"/>
      </w:r>
      <w:r>
        <w:rPr>
          <w:noProof/>
          <w:webHidden/>
        </w:rPr>
        <w:t>10</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"_Toc499709910" </w:instrText>
      </w:r>
      <w:r>
        <w:fldChar w:fldCharType="separate"/>
      </w:r>
      <w:r w:rsidRPr="008207E1">
        <w:rPr>
          <w:rStyle w:val="Hyperlink"/>
          <w:noProof/>
        </w:rPr>
        <w:t>6.</w:t>
      </w:r>
      <w:r>
        <w:rPr>
          <w:rFonts w:asciiTheme="minorHAnsi" w:eastAsiaTheme="minorEastAsia" w:hAnsiTheme="minorHAnsi"/>
          <w:noProof/>
          <w:sz w:val="22"/>
        </w:rPr>
        <w:tab/>
      </w:r>
      <w:r w:rsidRPr="008207E1">
        <w:rPr>
          <w:rStyle w:val="Hyperlink"/>
          <w:noProof/>
        </w:rPr>
        <w:t>The Smart City Rider’s electric vehicle charging station proposal does not benefit customers and the public interest.</w:t>
      </w:r>
      <w:r>
        <w:rPr>
          <w:noProof/>
          <w:webHidden/>
        </w:rPr>
        <w:tab/>
      </w:r>
      <w:r>
        <w:rPr>
          <w:noProof/>
          <w:webHidden/>
        </w:rPr>
        <w:fldChar w:fldCharType="begin"/>
      </w:r>
      <w:r>
        <w:rPr>
          <w:noProof/>
          <w:webHidden/>
        </w:rPr>
        <w:instrText xml:space="preserve"> PAGEREF _Toc499709910 \h </w:instrText>
      </w:r>
      <w:r>
        <w:rPr>
          <w:noProof/>
          <w:webHidden/>
        </w:rPr>
        <w:fldChar w:fldCharType="separate"/>
      </w:r>
      <w:r>
        <w:rPr>
          <w:noProof/>
          <w:webHidden/>
        </w:rPr>
        <w:t>13</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"_Toc499709911" </w:instrText>
      </w:r>
      <w:r>
        <w:fldChar w:fldCharType="separate"/>
      </w:r>
      <w:r w:rsidRPr="008207E1">
        <w:rPr>
          <w:rStyle w:val="Hyperlink"/>
          <w:noProof/>
        </w:rPr>
        <w:t>7.</w:t>
      </w:r>
      <w:r>
        <w:rPr>
          <w:rFonts w:asciiTheme="minorHAnsi" w:eastAsiaTheme="minorEastAsia" w:hAnsiTheme="minorHAnsi"/>
          <w:noProof/>
          <w:sz w:val="22"/>
        </w:rPr>
        <w:tab/>
      </w:r>
      <w:r w:rsidRPr="008207E1">
        <w:rPr>
          <w:rStyle w:val="Hyperlink"/>
          <w:noProof/>
        </w:rPr>
        <w:t>The distribution investment rider does not benefit customers and the public interest.</w:t>
      </w:r>
      <w:r>
        <w:rPr>
          <w:noProof/>
          <w:webHidden/>
        </w:rPr>
        <w:tab/>
      </w:r>
      <w:r>
        <w:rPr>
          <w:noProof/>
          <w:webHidden/>
        </w:rPr>
        <w:fldChar w:fldCharType="begin"/>
      </w:r>
      <w:r>
        <w:rPr>
          <w:noProof/>
          <w:webHidden/>
        </w:rPr>
        <w:instrText xml:space="preserve"> PAGEREF _Toc499709911 \h </w:instrText>
      </w:r>
      <w:r>
        <w:rPr>
          <w:noProof/>
          <w:webHidden/>
        </w:rPr>
        <w:fldChar w:fldCharType="separate"/>
      </w:r>
      <w:r>
        <w:rPr>
          <w:noProof/>
          <w:webHidden/>
        </w:rPr>
        <w:t>19</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"_Toc499709912" </w:instrText>
      </w:r>
      <w:r>
        <w:fldChar w:fldCharType="separate"/>
      </w:r>
      <w:r w:rsidRPr="008207E1">
        <w:rPr>
          <w:rStyle w:val="Hyperlink"/>
          <w:noProof/>
        </w:rPr>
        <w:t>8.</w:t>
      </w:r>
      <w:r>
        <w:rPr>
          <w:rFonts w:asciiTheme="minorHAnsi" w:eastAsiaTheme="minorEastAsia" w:hAnsiTheme="minorHAnsi"/>
          <w:noProof/>
          <w:sz w:val="22"/>
        </w:rPr>
        <w:tab/>
      </w:r>
      <w:r w:rsidRPr="008207E1">
        <w:rPr>
          <w:rStyle w:val="Hyperlink"/>
          <w:noProof/>
        </w:rPr>
        <w:t>The electric service reliability rider does not benefit customers and the public interest.</w:t>
      </w:r>
      <w:r>
        <w:rPr>
          <w:noProof/>
          <w:webHidden/>
        </w:rPr>
        <w:tab/>
      </w:r>
      <w:r>
        <w:rPr>
          <w:noProof/>
          <w:webHidden/>
        </w:rPr>
        <w:fldChar w:fldCharType="begin"/>
      </w:r>
      <w:r>
        <w:rPr>
          <w:noProof/>
          <w:webHidden/>
        </w:rPr>
        <w:instrText xml:space="preserve"> PAGEREF _Toc499709912 \h </w:instrText>
      </w:r>
      <w:r>
        <w:rPr>
          <w:noProof/>
          <w:webHidden/>
        </w:rPr>
        <w:fldChar w:fldCharType="separate"/>
      </w:r>
      <w:r>
        <w:rPr>
          <w:noProof/>
          <w:webHidden/>
        </w:rPr>
        <w:t>24</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"_Toc499709913" </w:instrText>
      </w:r>
      <w:r>
        <w:fldChar w:fldCharType="separate"/>
      </w:r>
      <w:r w:rsidRPr="008207E1">
        <w:rPr>
          <w:rStyle w:val="Hyperlink"/>
          <w:noProof/>
        </w:rPr>
        <w:t>9.</w:t>
      </w:r>
      <w:r>
        <w:rPr>
          <w:rFonts w:asciiTheme="minorHAnsi" w:eastAsiaTheme="minorEastAsia" w:hAnsiTheme="minorHAnsi"/>
          <w:noProof/>
          <w:sz w:val="22"/>
        </w:rPr>
        <w:tab/>
      </w:r>
      <w:r w:rsidRPr="008207E1">
        <w:rPr>
          <w:rStyle w:val="Hyperlink"/>
          <w:noProof/>
        </w:rPr>
        <w:t>AEP’s failure to take advantage of certain tax deductions does not benefit customers and the public interest.</w:t>
      </w:r>
      <w:r>
        <w:rPr>
          <w:noProof/>
          <w:webHidden/>
        </w:rPr>
        <w:tab/>
      </w:r>
      <w:r>
        <w:rPr>
          <w:noProof/>
          <w:webHidden/>
        </w:rPr>
        <w:fldChar w:fldCharType="begin"/>
      </w:r>
      <w:r>
        <w:rPr>
          <w:noProof/>
          <w:webHidden/>
        </w:rPr>
        <w:instrText xml:space="preserve"> PAGEREF _Toc499709913 \h </w:instrText>
      </w:r>
      <w:r>
        <w:rPr>
          <w:noProof/>
          <w:webHidden/>
        </w:rPr>
        <w:fldChar w:fldCharType="separate"/>
      </w:r>
      <w:r>
        <w:rPr>
          <w:noProof/>
          <w:webHidden/>
        </w:rPr>
        <w:t>26</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"_Toc499709914" </w:instrText>
      </w:r>
      <w:r>
        <w:fldChar w:fldCharType="separate"/>
      </w:r>
      <w:r w:rsidRPr="008207E1">
        <w:rPr>
          <w:rStyle w:val="Hyperlink"/>
          <w:noProof/>
        </w:rPr>
        <w:t>10.</w:t>
      </w:r>
      <w:r>
        <w:rPr>
          <w:rFonts w:asciiTheme="minorHAnsi" w:eastAsiaTheme="minorEastAsia" w:hAnsiTheme="minorHAnsi"/>
          <w:noProof/>
          <w:sz w:val="22"/>
        </w:rPr>
        <w:tab/>
      </w:r>
      <w:r w:rsidRPr="008207E1">
        <w:rPr>
          <w:rStyle w:val="Hyperlink"/>
          <w:noProof/>
        </w:rPr>
        <w:t>The SEET proposal does not benefit customers or the public interest.</w:t>
      </w:r>
      <w:r>
        <w:rPr>
          <w:noProof/>
          <w:webHidden/>
        </w:rPr>
        <w:tab/>
      </w:r>
      <w:r>
        <w:rPr>
          <w:noProof/>
          <w:webHidden/>
        </w:rPr>
        <w:fldChar w:fldCharType="begin"/>
      </w:r>
      <w:r>
        <w:rPr>
          <w:noProof/>
          <w:webHidden/>
        </w:rPr>
        <w:instrText xml:space="preserve"> PAGEREF _Toc499709914 \h </w:instrText>
      </w:r>
      <w:r>
        <w:rPr>
          <w:noProof/>
          <w:webHidden/>
        </w:rPr>
        <w:fldChar w:fldCharType="separate"/>
      </w:r>
      <w:r>
        <w:rPr>
          <w:noProof/>
          <w:webHidden/>
        </w:rPr>
        <w:t>28</w:t>
      </w:r>
      <w:r>
        <w:rPr>
          <w:noProof/>
          <w:webHidden/>
        </w:rPr>
        <w:fldChar w:fldCharType="end"/>
      </w:r>
      <w:r>
        <w:fldChar w:fldCharType="end"/>
      </w:r>
    </w:p>
    <w:p w:rsidR="00D97AEF">
      <w:pPr>
        <w:pStyle w:val="TOC2"/>
        <w:tabs>
          <w:tab w:val="left" w:pos="1440"/>
        </w:tabs>
        <w:rPr>
          <w:rFonts w:asciiTheme="minorHAnsi" w:eastAsiaTheme="minorEastAsia" w:hAnsiTheme="minorHAnsi"/>
          <w:noProof/>
          <w:sz w:val="22"/>
        </w:rPr>
      </w:pPr>
      <w:r>
        <w:fldChar w:fldCharType="begin"/>
      </w:r>
      <w:r>
        <w:instrText xml:space="preserve"> HYPERLINK \l "_Toc499709915" </w:instrText>
      </w:r>
      <w:r>
        <w:fldChar w:fldCharType="separate"/>
      </w:r>
      <w:r w:rsidRPr="008207E1">
        <w:rPr>
          <w:rStyle w:val="Hyperlink"/>
          <w:noProof/>
        </w:rPr>
        <w:t>B.</w:t>
      </w:r>
      <w:r>
        <w:rPr>
          <w:rFonts w:asciiTheme="minorHAnsi" w:eastAsiaTheme="minorEastAsia" w:hAnsiTheme="minorHAnsi"/>
          <w:noProof/>
          <w:sz w:val="22"/>
        </w:rPr>
        <w:tab/>
      </w:r>
      <w:r w:rsidRPr="008207E1">
        <w:rPr>
          <w:rStyle w:val="Hyperlink"/>
          <w:noProof/>
        </w:rPr>
        <w:t>The proposed Settlement violates important regulatory principles and practice.</w:t>
      </w:r>
      <w:r>
        <w:rPr>
          <w:noProof/>
          <w:webHidden/>
        </w:rPr>
        <w:tab/>
      </w:r>
      <w:r>
        <w:rPr>
          <w:noProof/>
          <w:webHidden/>
        </w:rPr>
        <w:fldChar w:fldCharType="begin"/>
      </w:r>
      <w:r>
        <w:rPr>
          <w:noProof/>
          <w:webHidden/>
        </w:rPr>
        <w:instrText xml:space="preserve"> PAGEREF _Toc499709915 \h </w:instrText>
      </w:r>
      <w:r>
        <w:rPr>
          <w:noProof/>
          <w:webHidden/>
        </w:rPr>
        <w:fldChar w:fldCharType="separate"/>
      </w:r>
      <w:r>
        <w:rPr>
          <w:noProof/>
          <w:webHidden/>
        </w:rPr>
        <w:t>28</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"_Toc499709916" </w:instrText>
      </w:r>
      <w:r>
        <w:fldChar w:fldCharType="separate"/>
      </w:r>
      <w:r w:rsidRPr="008207E1">
        <w:rPr>
          <w:rStyle w:val="Hyperlink"/>
          <w:noProof/>
        </w:rPr>
        <w:t>1.</w:t>
      </w:r>
      <w:r>
        <w:rPr>
          <w:rFonts w:asciiTheme="minorHAnsi" w:eastAsiaTheme="minorEastAsia" w:hAnsiTheme="minorHAnsi"/>
          <w:noProof/>
          <w:sz w:val="22"/>
        </w:rPr>
        <w:tab/>
      </w:r>
      <w:r w:rsidRPr="008207E1">
        <w:rPr>
          <w:rStyle w:val="Hyperlink"/>
          <w:noProof/>
        </w:rPr>
        <w:t>The CIR should not be approved because it harms standard service offer customers .</w:t>
      </w:r>
      <w:r>
        <w:rPr>
          <w:noProof/>
          <w:webHidden/>
        </w:rPr>
        <w:tab/>
      </w:r>
      <w:r>
        <w:rPr>
          <w:noProof/>
          <w:webHidden/>
        </w:rPr>
        <w:fldChar w:fldCharType="begin"/>
      </w:r>
      <w:r>
        <w:rPr>
          <w:noProof/>
          <w:webHidden/>
        </w:rPr>
        <w:instrText xml:space="preserve"> PAGEREF _Toc499709916 \h </w:instrText>
      </w:r>
      <w:r>
        <w:rPr>
          <w:noProof/>
          <w:webHidden/>
        </w:rPr>
        <w:fldChar w:fldCharType="separate"/>
      </w:r>
      <w:r>
        <w:rPr>
          <w:noProof/>
          <w:webHidden/>
        </w:rPr>
        <w:t>28</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"_Toc499709917" </w:instrText>
      </w:r>
      <w:r>
        <w:fldChar w:fldCharType="separate"/>
      </w:r>
      <w:r w:rsidRPr="008207E1">
        <w:rPr>
          <w:rStyle w:val="Hyperlink"/>
          <w:noProof/>
        </w:rPr>
        <w:t>2.</w:t>
      </w:r>
      <w:r>
        <w:rPr>
          <w:rFonts w:asciiTheme="minorHAnsi" w:eastAsiaTheme="minorEastAsia" w:hAnsiTheme="minorHAnsi"/>
          <w:noProof/>
          <w:sz w:val="22"/>
        </w:rPr>
        <w:tab/>
      </w:r>
      <w:r w:rsidRPr="008207E1">
        <w:rPr>
          <w:rStyle w:val="Hyperlink"/>
          <w:noProof/>
        </w:rPr>
        <w:t>The supplier consolidated billing program violates the principle of cost causation and should not be approved.</w:t>
      </w:r>
      <w:r>
        <w:rPr>
          <w:noProof/>
          <w:webHidden/>
        </w:rPr>
        <w:tab/>
      </w:r>
      <w:r>
        <w:rPr>
          <w:noProof/>
          <w:webHidden/>
        </w:rPr>
        <w:fldChar w:fldCharType="begin"/>
      </w:r>
      <w:r>
        <w:rPr>
          <w:noProof/>
          <w:webHidden/>
        </w:rPr>
        <w:instrText xml:space="preserve"> PAGEREF _Toc499709917 \h </w:instrText>
      </w:r>
      <w:r>
        <w:rPr>
          <w:noProof/>
          <w:webHidden/>
        </w:rPr>
        <w:fldChar w:fldCharType="separate"/>
      </w:r>
      <w:r>
        <w:rPr>
          <w:noProof/>
          <w:webHidden/>
        </w:rPr>
        <w:t>30</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"_Toc499709918" </w:instrText>
      </w:r>
      <w:r>
        <w:fldChar w:fldCharType="separate"/>
      </w:r>
      <w:r w:rsidRPr="008207E1">
        <w:rPr>
          <w:rStyle w:val="Hyperlink"/>
          <w:noProof/>
        </w:rPr>
        <w:t>3.</w:t>
      </w:r>
      <w:r>
        <w:rPr>
          <w:rFonts w:asciiTheme="minorHAnsi" w:eastAsiaTheme="minorEastAsia" w:hAnsiTheme="minorHAnsi"/>
          <w:noProof/>
          <w:sz w:val="22"/>
        </w:rPr>
        <w:tab/>
      </w:r>
      <w:r w:rsidRPr="008207E1">
        <w:rPr>
          <w:rStyle w:val="Hyperlink"/>
          <w:noProof/>
        </w:rPr>
        <w:t>The Renewable Generation Rider is an unlawful above-market generation subsidy collected from captive customers, and should not be approved.</w:t>
      </w:r>
      <w:r>
        <w:rPr>
          <w:noProof/>
          <w:webHidden/>
        </w:rPr>
        <w:tab/>
      </w:r>
      <w:r>
        <w:rPr>
          <w:noProof/>
          <w:webHidden/>
        </w:rPr>
        <w:fldChar w:fldCharType="begin"/>
      </w:r>
      <w:r>
        <w:rPr>
          <w:noProof/>
          <w:webHidden/>
        </w:rPr>
        <w:instrText xml:space="preserve"> PAGEREF _Toc499709918 \h </w:instrText>
      </w:r>
      <w:r>
        <w:rPr>
          <w:noProof/>
          <w:webHidden/>
        </w:rPr>
        <w:fldChar w:fldCharType="separate"/>
      </w:r>
      <w:r>
        <w:rPr>
          <w:noProof/>
          <w:webHidden/>
        </w:rPr>
        <w:t>31</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"_Toc499709919" </w:instrText>
      </w:r>
      <w:r>
        <w:fldChar w:fldCharType="separate"/>
      </w:r>
      <w:r w:rsidRPr="008207E1">
        <w:rPr>
          <w:rStyle w:val="Hyperlink"/>
          <w:noProof/>
        </w:rPr>
        <w:t>4.</w:t>
      </w:r>
      <w:r>
        <w:rPr>
          <w:rFonts w:asciiTheme="minorHAnsi" w:eastAsiaTheme="minorEastAsia" w:hAnsiTheme="minorHAnsi"/>
          <w:noProof/>
          <w:sz w:val="22"/>
        </w:rPr>
        <w:tab/>
      </w:r>
      <w:r w:rsidRPr="008207E1">
        <w:rPr>
          <w:rStyle w:val="Hyperlink"/>
          <w:noProof/>
        </w:rPr>
        <w:t>The Smart City Rider and PowerForward Rider should not be approved.</w:t>
      </w:r>
      <w:r>
        <w:rPr>
          <w:noProof/>
          <w:webHidden/>
        </w:rPr>
        <w:tab/>
      </w:r>
      <w:r>
        <w:rPr>
          <w:noProof/>
          <w:webHidden/>
        </w:rPr>
        <w:fldChar w:fldCharType="begin"/>
      </w:r>
      <w:r>
        <w:rPr>
          <w:noProof/>
          <w:webHidden/>
        </w:rPr>
        <w:instrText xml:space="preserve"> PAGEREF _Toc499709919 \h </w:instrText>
      </w:r>
      <w:r>
        <w:rPr>
          <w:noProof/>
          <w:webHidden/>
        </w:rPr>
        <w:fldChar w:fldCharType="separate"/>
      </w:r>
      <w:r>
        <w:rPr>
          <w:noProof/>
          <w:webHidden/>
        </w:rPr>
        <w:t>33</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"_Toc499709920" </w:instrText>
      </w:r>
      <w:r>
        <w:fldChar w:fldCharType="separate"/>
      </w:r>
      <w:r w:rsidRPr="008207E1">
        <w:rPr>
          <w:rStyle w:val="Hyperlink"/>
          <w:noProof/>
        </w:rPr>
        <w:t>5.</w:t>
      </w:r>
      <w:r>
        <w:rPr>
          <w:rFonts w:asciiTheme="minorHAnsi" w:eastAsiaTheme="minorEastAsia" w:hAnsiTheme="minorHAnsi"/>
          <w:noProof/>
          <w:sz w:val="22"/>
        </w:rPr>
        <w:tab/>
      </w:r>
      <w:r w:rsidRPr="008207E1">
        <w:rPr>
          <w:rStyle w:val="Hyperlink"/>
          <w:noProof/>
        </w:rPr>
        <w:t>The proposed PowerForward Rider violates important regulatory principles and practice.</w:t>
      </w:r>
      <w:r>
        <w:rPr>
          <w:noProof/>
          <w:webHidden/>
        </w:rPr>
        <w:tab/>
      </w:r>
      <w:r>
        <w:rPr>
          <w:noProof/>
          <w:webHidden/>
        </w:rPr>
        <w:fldChar w:fldCharType="begin"/>
      </w:r>
      <w:r>
        <w:rPr>
          <w:noProof/>
          <w:webHidden/>
        </w:rPr>
        <w:instrText xml:space="preserve"> PAGEREF _Toc499709920 \h </w:instrText>
      </w:r>
      <w:r>
        <w:rPr>
          <w:noProof/>
          <w:webHidden/>
        </w:rPr>
        <w:fldChar w:fldCharType="separate"/>
      </w:r>
      <w:r>
        <w:rPr>
          <w:noProof/>
          <w:webHidden/>
        </w:rPr>
        <w:t>36</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"_Toc499709921" </w:instrText>
      </w:r>
      <w:r>
        <w:fldChar w:fldCharType="separate"/>
      </w:r>
      <w:r w:rsidRPr="008207E1">
        <w:rPr>
          <w:rStyle w:val="Hyperlink"/>
          <w:noProof/>
        </w:rPr>
        <w:t>6.</w:t>
      </w:r>
      <w:r>
        <w:rPr>
          <w:rFonts w:asciiTheme="minorHAnsi" w:eastAsiaTheme="minorEastAsia" w:hAnsiTheme="minorHAnsi"/>
          <w:noProof/>
          <w:sz w:val="22"/>
        </w:rPr>
        <w:tab/>
      </w:r>
      <w:r w:rsidRPr="008207E1">
        <w:rPr>
          <w:rStyle w:val="Hyperlink"/>
          <w:noProof/>
        </w:rPr>
        <w:t>The Settlement should not be approved because it will not provide reasonably priced retail electric service for consumers or protect at-risk consumer populations.</w:t>
      </w:r>
      <w:r>
        <w:rPr>
          <w:noProof/>
          <w:webHidden/>
        </w:rPr>
        <w:tab/>
      </w:r>
      <w:r>
        <w:rPr>
          <w:noProof/>
          <w:webHidden/>
        </w:rPr>
        <w:fldChar w:fldCharType="begin"/>
      </w:r>
      <w:r>
        <w:rPr>
          <w:noProof/>
          <w:webHidden/>
        </w:rPr>
        <w:instrText xml:space="preserve"> PAGEREF _Toc499709921 \h </w:instrText>
      </w:r>
      <w:r>
        <w:rPr>
          <w:noProof/>
          <w:webHidden/>
        </w:rPr>
        <w:fldChar w:fldCharType="separate"/>
      </w:r>
      <w:r>
        <w:rPr>
          <w:noProof/>
          <w:webHidden/>
        </w:rPr>
        <w:t>36</w:t>
      </w:r>
      <w:r>
        <w:rPr>
          <w:noProof/>
          <w:webHidden/>
        </w:rPr>
        <w:fldChar w:fldCharType="end"/>
      </w:r>
      <w:r>
        <w:fldChar w:fldCharType="end"/>
      </w:r>
    </w:p>
    <w:p w:rsidR="00D97AEF">
      <w:pPr>
        <w:pStyle w:val="TOC3"/>
        <w:tabs>
          <w:tab w:val="left" w:pos="2160"/>
        </w:tabs>
        <w:rPr>
          <w:rFonts w:asciiTheme="minorHAnsi" w:eastAsiaTheme="minorEastAsia" w:hAnsiTheme="minorHAnsi"/>
          <w:noProof/>
          <w:sz w:val="22"/>
        </w:rPr>
      </w:pPr>
      <w:r>
        <w:fldChar w:fldCharType="begin"/>
      </w:r>
      <w:r>
        <w:instrText xml:space="preserve"> HYPERLINK \l "_Toc499709922" </w:instrText>
      </w:r>
      <w:r>
        <w:fldChar w:fldCharType="separate"/>
      </w:r>
      <w:r w:rsidRPr="008207E1">
        <w:rPr>
          <w:rStyle w:val="Hyperlink"/>
          <w:noProof/>
        </w:rPr>
        <w:t>7.</w:t>
      </w:r>
      <w:r>
        <w:rPr>
          <w:rFonts w:asciiTheme="minorHAnsi" w:eastAsiaTheme="minorEastAsia" w:hAnsiTheme="minorHAnsi"/>
          <w:noProof/>
          <w:sz w:val="22"/>
        </w:rPr>
        <w:tab/>
      </w:r>
      <w:r w:rsidRPr="008207E1">
        <w:rPr>
          <w:rStyle w:val="Hyperlink"/>
          <w:noProof/>
        </w:rPr>
        <w:t>The Settlement should not be approved because the return on equity and the rate of return are overstated, which results in unjust and unreasonable charges to consumers.</w:t>
      </w:r>
      <w:r>
        <w:rPr>
          <w:noProof/>
          <w:webHidden/>
        </w:rPr>
        <w:tab/>
      </w:r>
      <w:r>
        <w:rPr>
          <w:noProof/>
          <w:webHidden/>
        </w:rPr>
        <w:fldChar w:fldCharType="begin"/>
      </w:r>
      <w:r>
        <w:rPr>
          <w:noProof/>
          <w:webHidden/>
        </w:rPr>
        <w:instrText xml:space="preserve"> PAGEREF _Toc499709922 \h </w:instrText>
      </w:r>
      <w:r>
        <w:rPr>
          <w:noProof/>
          <w:webHidden/>
        </w:rPr>
        <w:fldChar w:fldCharType="separate"/>
      </w:r>
      <w:r>
        <w:rPr>
          <w:noProof/>
          <w:webHidden/>
        </w:rPr>
        <w:t>38</w:t>
      </w:r>
      <w:r>
        <w:rPr>
          <w:noProof/>
          <w:webHidden/>
        </w:rPr>
        <w:fldChar w:fldCharType="end"/>
      </w:r>
      <w:r>
        <w:fldChar w:fldCharType="end"/>
      </w:r>
    </w:p>
    <w:p w:rsidR="00D97AEF">
      <w:pPr>
        <w:pStyle w:val="TOC4"/>
        <w:tabs>
          <w:tab w:val="left" w:pos="2880"/>
        </w:tabs>
        <w:rPr>
          <w:rFonts w:asciiTheme="minorHAnsi" w:eastAsiaTheme="minorEastAsia" w:hAnsiTheme="minorHAnsi"/>
          <w:noProof/>
          <w:sz w:val="22"/>
        </w:rPr>
      </w:pPr>
      <w:r>
        <w:fldChar w:fldCharType="begin"/>
      </w:r>
      <w:r>
        <w:instrText xml:space="preserve"> HYPERLINK \l "_Toc499709923" </w:instrText>
      </w:r>
      <w:r>
        <w:fldChar w:fldCharType="separate"/>
      </w:r>
      <w:r w:rsidRPr="008207E1">
        <w:rPr>
          <w:rStyle w:val="Hyperlink"/>
          <w:rFonts w:eastAsia="Arial Unicode MS"/>
          <w:noProof/>
          <w:u w:color="000000"/>
          <w:bdr w:val="nil"/>
        </w:rPr>
        <w:t>a.</w:t>
      </w:r>
      <w:r>
        <w:rPr>
          <w:rFonts w:asciiTheme="minorHAnsi" w:eastAsiaTheme="minorEastAsia" w:hAnsiTheme="minorHAnsi"/>
          <w:noProof/>
          <w:sz w:val="22"/>
        </w:rPr>
        <w:tab/>
      </w:r>
      <w:r w:rsidRPr="008207E1">
        <w:rPr>
          <w:rStyle w:val="Hyperlink"/>
          <w:rFonts w:eastAsia="Arial Unicode MS"/>
          <w:noProof/>
          <w:u w:color="000000"/>
          <w:bdr w:val="nil"/>
        </w:rPr>
        <w:t>The proposed ROE is too large for customers to fund.</w:t>
      </w:r>
      <w:r>
        <w:rPr>
          <w:noProof/>
          <w:webHidden/>
        </w:rPr>
        <w:tab/>
      </w:r>
      <w:r>
        <w:rPr>
          <w:noProof/>
          <w:webHidden/>
        </w:rPr>
        <w:fldChar w:fldCharType="begin"/>
      </w:r>
      <w:r>
        <w:rPr>
          <w:noProof/>
          <w:webHidden/>
        </w:rPr>
        <w:instrText xml:space="preserve"> PAGEREF _Toc499709923 \h </w:instrText>
      </w:r>
      <w:r>
        <w:rPr>
          <w:noProof/>
          <w:webHidden/>
        </w:rPr>
        <w:fldChar w:fldCharType="separate"/>
      </w:r>
      <w:r>
        <w:rPr>
          <w:noProof/>
          <w:webHidden/>
        </w:rPr>
        <w:t>38</w:t>
      </w:r>
      <w:r>
        <w:rPr>
          <w:noProof/>
          <w:webHidden/>
        </w:rPr>
        <w:fldChar w:fldCharType="end"/>
      </w:r>
      <w:r>
        <w:fldChar w:fldCharType="end"/>
      </w:r>
    </w:p>
    <w:p w:rsidR="00D97AEF">
      <w:pPr>
        <w:pStyle w:val="TOC4"/>
        <w:tabs>
          <w:tab w:val="left" w:pos="2880"/>
        </w:tabs>
        <w:rPr>
          <w:rFonts w:asciiTheme="minorHAnsi" w:eastAsiaTheme="minorEastAsia" w:hAnsiTheme="minorHAnsi"/>
          <w:noProof/>
          <w:sz w:val="22"/>
        </w:rPr>
      </w:pPr>
      <w:r>
        <w:fldChar w:fldCharType="begin"/>
      </w:r>
      <w:r>
        <w:instrText xml:space="preserve"> HYPERLINK \l "_Toc499709924" </w:instrText>
      </w:r>
      <w:r>
        <w:fldChar w:fldCharType="separate"/>
      </w:r>
      <w:r w:rsidRPr="008207E1">
        <w:rPr>
          <w:rStyle w:val="Hyperlink"/>
          <w:noProof/>
          <w:u w:color="000000"/>
          <w:bdr w:val="nil"/>
        </w:rPr>
        <w:t>b.</w:t>
      </w:r>
      <w:r>
        <w:rPr>
          <w:rFonts w:asciiTheme="minorHAnsi" w:eastAsiaTheme="minorEastAsia" w:hAnsiTheme="minorHAnsi"/>
          <w:noProof/>
          <w:sz w:val="22"/>
        </w:rPr>
        <w:tab/>
      </w:r>
      <w:r w:rsidRPr="008207E1">
        <w:rPr>
          <w:rStyle w:val="Hyperlink"/>
          <w:noProof/>
          <w:u w:color="000000"/>
          <w:bdr w:val="nil"/>
        </w:rPr>
        <w:t>The proposed WACC is overstated and should not be funded by customers</w:t>
      </w:r>
      <w:r>
        <w:rPr>
          <w:noProof/>
          <w:webHidden/>
        </w:rPr>
        <w:tab/>
      </w:r>
      <w:r>
        <w:rPr>
          <w:noProof/>
          <w:webHidden/>
        </w:rPr>
        <w:fldChar w:fldCharType="begin"/>
      </w:r>
      <w:r>
        <w:rPr>
          <w:noProof/>
          <w:webHidden/>
        </w:rPr>
        <w:instrText xml:space="preserve"> PAGEREF _Toc499709924 \h </w:instrText>
      </w:r>
      <w:r>
        <w:rPr>
          <w:noProof/>
          <w:webHidden/>
        </w:rPr>
        <w:fldChar w:fldCharType="separate"/>
      </w:r>
      <w:r>
        <w:rPr>
          <w:noProof/>
          <w:webHidden/>
        </w:rPr>
        <w:t>43</w:t>
      </w:r>
      <w:r>
        <w:rPr>
          <w:noProof/>
          <w:webHidden/>
        </w:rPr>
        <w:fldChar w:fldCharType="end"/>
      </w:r>
      <w:r>
        <w:fldChar w:fldCharType="end"/>
      </w:r>
    </w:p>
    <w:p w:rsidR="00D97AEF">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"_Toc499709925" </w:instrText>
      </w:r>
      <w:r>
        <w:fldChar w:fldCharType="separate"/>
      </w:r>
      <w:r w:rsidRPr="008207E1">
        <w:rPr>
          <w:rStyle w:val="Hyperlink"/>
          <w:noProof/>
        </w:rPr>
        <w:t>IV.</w:t>
      </w:r>
      <w:r>
        <w:rPr>
          <w:rFonts w:asciiTheme="minorHAnsi" w:eastAsiaTheme="minorEastAsia" w:hAnsiTheme="minorHAnsi" w:cstheme="minorBidi"/>
          <w:caps w:val="0"/>
          <w:noProof/>
          <w:sz w:val="22"/>
          <w:szCs w:val="22"/>
          <w:bdr w:val="none" w:sz="0" w:space="0" w:color="auto"/>
        </w:rPr>
        <w:tab/>
      </w:r>
      <w:r w:rsidRPr="008207E1">
        <w:rPr>
          <w:rStyle w:val="Hyperlink"/>
          <w:noProof/>
        </w:rPr>
        <w:t>MRO vs ESP test</w:t>
      </w:r>
      <w:r>
        <w:rPr>
          <w:noProof/>
          <w:webHidden/>
        </w:rPr>
        <w:tab/>
      </w:r>
      <w:r>
        <w:rPr>
          <w:noProof/>
          <w:webHidden/>
        </w:rPr>
        <w:fldChar w:fldCharType="begin"/>
      </w:r>
      <w:r>
        <w:rPr>
          <w:noProof/>
          <w:webHidden/>
        </w:rPr>
        <w:instrText xml:space="preserve"> PAGEREF _Toc499709925 \h </w:instrText>
      </w:r>
      <w:r>
        <w:rPr>
          <w:noProof/>
          <w:webHidden/>
        </w:rPr>
        <w:fldChar w:fldCharType="separate"/>
      </w:r>
      <w:r>
        <w:rPr>
          <w:noProof/>
          <w:webHidden/>
        </w:rPr>
        <w:t>44</w:t>
      </w:r>
      <w:r>
        <w:rPr>
          <w:noProof/>
          <w:webHidden/>
        </w:rPr>
        <w:fldChar w:fldCharType="end"/>
      </w:r>
      <w:r>
        <w:fldChar w:fldCharType="end"/>
      </w:r>
    </w:p>
    <w:p w:rsidR="00D97AEF">
      <w:pPr>
        <w:pStyle w:val="TOC2"/>
        <w:tabs>
          <w:tab w:val="left" w:pos="1440"/>
        </w:tabs>
        <w:rPr>
          <w:rFonts w:asciiTheme="minorHAnsi" w:eastAsiaTheme="minorEastAsia" w:hAnsiTheme="minorHAnsi"/>
          <w:noProof/>
          <w:sz w:val="22"/>
        </w:rPr>
      </w:pPr>
      <w:r>
        <w:fldChar w:fldCharType="begin"/>
      </w:r>
      <w:r>
        <w:instrText xml:space="preserve"> HYPERLINK \l "_Toc499709926" </w:instrText>
      </w:r>
      <w:r>
        <w:fldChar w:fldCharType="separate"/>
      </w:r>
      <w:r w:rsidRPr="008207E1">
        <w:rPr>
          <w:rStyle w:val="Hyperlink"/>
          <w:noProof/>
        </w:rPr>
        <w:t>A.</w:t>
      </w:r>
      <w:r>
        <w:rPr>
          <w:rFonts w:asciiTheme="minorHAnsi" w:eastAsiaTheme="minorEastAsia" w:hAnsiTheme="minorHAnsi"/>
          <w:noProof/>
          <w:sz w:val="22"/>
        </w:rPr>
        <w:tab/>
      </w:r>
      <w:r w:rsidRPr="008207E1">
        <w:rPr>
          <w:rStyle w:val="Hyperlink"/>
          <w:noProof/>
        </w:rPr>
        <w:t>AEP’s proposed ESP fails the statutory test based on analysis of purported quantitative benefits.</w:t>
      </w:r>
      <w:r>
        <w:rPr>
          <w:noProof/>
          <w:webHidden/>
        </w:rPr>
        <w:tab/>
      </w:r>
      <w:r>
        <w:rPr>
          <w:noProof/>
          <w:webHidden/>
        </w:rPr>
        <w:fldChar w:fldCharType="begin"/>
      </w:r>
      <w:r>
        <w:rPr>
          <w:noProof/>
          <w:webHidden/>
        </w:rPr>
        <w:instrText xml:space="preserve"> PAGEREF _Toc499709926 \h </w:instrText>
      </w:r>
      <w:r>
        <w:rPr>
          <w:noProof/>
          <w:webHidden/>
        </w:rPr>
        <w:fldChar w:fldCharType="separate"/>
      </w:r>
      <w:r>
        <w:rPr>
          <w:noProof/>
          <w:webHidden/>
        </w:rPr>
        <w:t>46</w:t>
      </w:r>
      <w:r>
        <w:rPr>
          <w:noProof/>
          <w:webHidden/>
        </w:rPr>
        <w:fldChar w:fldCharType="end"/>
      </w:r>
      <w:r>
        <w:fldChar w:fldCharType="end"/>
      </w:r>
    </w:p>
    <w:p w:rsidR="00D97AEF">
      <w:pPr>
        <w:pStyle w:val="TOC2"/>
        <w:tabs>
          <w:tab w:val="left" w:pos="1440"/>
        </w:tabs>
        <w:rPr>
          <w:rFonts w:asciiTheme="minorHAnsi" w:eastAsiaTheme="minorEastAsia" w:hAnsiTheme="minorHAnsi"/>
          <w:noProof/>
          <w:sz w:val="22"/>
        </w:rPr>
      </w:pPr>
      <w:r>
        <w:fldChar w:fldCharType="begin"/>
      </w:r>
      <w:r>
        <w:instrText xml:space="preserve"> HYPERLINK \l "_Toc499709927" </w:instrText>
      </w:r>
      <w:r>
        <w:fldChar w:fldCharType="separate"/>
      </w:r>
      <w:r w:rsidRPr="008207E1">
        <w:rPr>
          <w:rStyle w:val="Hyperlink"/>
          <w:noProof/>
        </w:rPr>
        <w:t>B.</w:t>
      </w:r>
      <w:r>
        <w:rPr>
          <w:rFonts w:asciiTheme="minorHAnsi" w:eastAsiaTheme="minorEastAsia" w:hAnsiTheme="minorHAnsi"/>
          <w:noProof/>
          <w:sz w:val="22"/>
        </w:rPr>
        <w:tab/>
      </w:r>
      <w:r w:rsidRPr="008207E1">
        <w:rPr>
          <w:rStyle w:val="Hyperlink"/>
          <w:noProof/>
        </w:rPr>
        <w:t>AEP’s proposed ESP fails the statutory test based on analysis of purported qualitative benefits.</w:t>
      </w:r>
      <w:r>
        <w:rPr>
          <w:noProof/>
          <w:webHidden/>
        </w:rPr>
        <w:tab/>
      </w:r>
      <w:r>
        <w:rPr>
          <w:noProof/>
          <w:webHidden/>
        </w:rPr>
        <w:fldChar w:fldCharType="begin"/>
      </w:r>
      <w:r>
        <w:rPr>
          <w:noProof/>
          <w:webHidden/>
        </w:rPr>
        <w:instrText xml:space="preserve"> PAGEREF _Toc499709927 \h </w:instrText>
      </w:r>
      <w:r>
        <w:rPr>
          <w:noProof/>
          <w:webHidden/>
        </w:rPr>
        <w:fldChar w:fldCharType="separate"/>
      </w:r>
      <w:r>
        <w:rPr>
          <w:noProof/>
          <w:webHidden/>
        </w:rPr>
        <w:t>47</w:t>
      </w:r>
      <w:r>
        <w:rPr>
          <w:noProof/>
          <w:webHidden/>
        </w:rPr>
        <w:fldChar w:fldCharType="end"/>
      </w:r>
      <w:r>
        <w:fldChar w:fldCharType="end"/>
      </w:r>
    </w:p>
    <w:p w:rsidR="00D97AEF">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"_Toc499709928" </w:instrText>
      </w:r>
      <w:r>
        <w:fldChar w:fldCharType="separate"/>
      </w:r>
      <w:r w:rsidRPr="008207E1">
        <w:rPr>
          <w:rStyle w:val="Hyperlink"/>
          <w:noProof/>
        </w:rPr>
        <w:t>V.</w:t>
      </w:r>
      <w:r>
        <w:rPr>
          <w:rFonts w:asciiTheme="minorHAnsi" w:eastAsiaTheme="minorEastAsia" w:hAnsiTheme="minorHAnsi" w:cstheme="minorBidi"/>
          <w:caps w:val="0"/>
          <w:noProof/>
          <w:sz w:val="22"/>
          <w:szCs w:val="22"/>
          <w:bdr w:val="none" w:sz="0" w:space="0" w:color="auto"/>
        </w:rPr>
        <w:tab/>
      </w:r>
      <w:r w:rsidRPr="008207E1">
        <w:rPr>
          <w:rStyle w:val="Hyperlink"/>
          <w:noProof/>
        </w:rPr>
        <w:t>CONCLUSION</w:t>
      </w:r>
      <w:r>
        <w:rPr>
          <w:noProof/>
          <w:webHidden/>
        </w:rPr>
        <w:tab/>
      </w:r>
      <w:r>
        <w:rPr>
          <w:noProof/>
          <w:webHidden/>
        </w:rPr>
        <w:fldChar w:fldCharType="begin"/>
      </w:r>
      <w:r>
        <w:rPr>
          <w:noProof/>
          <w:webHidden/>
        </w:rPr>
        <w:instrText xml:space="preserve"> PAGEREF _Toc499709928 \h </w:instrText>
      </w:r>
      <w:r>
        <w:rPr>
          <w:noProof/>
          <w:webHidden/>
        </w:rPr>
        <w:fldChar w:fldCharType="separate"/>
      </w:r>
      <w:r>
        <w:rPr>
          <w:noProof/>
          <w:webHidden/>
        </w:rPr>
        <w:t>48</w:t>
      </w:r>
      <w:r>
        <w:rPr>
          <w:noProof/>
          <w:webHidden/>
        </w:rPr>
        <w:fldChar w:fldCharType="end"/>
      </w:r>
      <w:r>
        <w:fldChar w:fldCharType="end"/>
      </w:r>
    </w:p>
    <w:p w:rsidR="007D425A" w:rsidP="00726330">
      <w:pPr>
        <w:spacing w:line="480" w:lineRule="auto"/>
        <w:ind w:left="2160" w:hanging="2160"/>
        <w:rPr>
          <w:rFonts w:ascii="Times New Roman" w:hAnsi="Times New Roman" w:cs="Times New Roman"/>
          <w:sz w:val="24"/>
          <w:szCs w:val="24"/>
        </w:rPr>
        <w:sectPr w:rsidSect="007D425A">
          <w:headerReference w:type="default" r:id="rId11"/>
          <w:footerReference w:type="default" r:id="rId12"/>
          <w:pgSz w:w="12240" w:h="15840"/>
          <w:pgMar w:top="1440" w:right="1800" w:bottom="1440" w:left="1800" w:header="720" w:footer="720" w:gutter="0"/>
          <w:pgNumType w:fmt="lowerRoman" w:start="1"/>
          <w:cols w:space="720"/>
          <w:docGrid w:linePitch="360"/>
        </w:sectPr>
      </w:pPr>
      <w:r>
        <w:rPr>
          <w:rFonts w:ascii="Times New Roman" w:hAnsi="Times New Roman" w:cs="Times New Roman"/>
          <w:sz w:val="24"/>
          <w:szCs w:val="24"/>
        </w:rPr>
        <w:fldChar w:fldCharType="end"/>
      </w:r>
    </w:p>
    <w:p w:rsidR="00785A4C" w:rsidRPr="004F4FFE" w:rsidP="0078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4F4FFE">
        <w:rPr>
          <w:rFonts w:ascii="Times New Roman" w:hAnsi="Times New Roman" w:cs="Times New Roman"/>
          <w:b/>
          <w:bCs/>
          <w:sz w:val="24"/>
          <w:szCs w:val="24"/>
        </w:rPr>
        <w:t>BEFORE</w:t>
      </w:r>
    </w:p>
    <w:p w:rsidR="00785A4C" w:rsidRPr="004F4FFE" w:rsidP="00785A4C">
      <w:pPr>
        <w:pStyle w:val="HTMLPreformatted"/>
        <w:jc w:val="center"/>
        <w:rPr>
          <w:rFonts w:ascii="Times New Roman" w:eastAsia="Courier New" w:hAnsi="Times New Roman" w:cs="Times New Roman"/>
          <w:sz w:val="24"/>
          <w:szCs w:val="24"/>
        </w:rPr>
      </w:pPr>
      <w:r w:rsidRPr="004F4FFE">
        <w:rPr>
          <w:rFonts w:ascii="Times New Roman" w:hAnsi="Times New Roman" w:cs="Times New Roman"/>
          <w:b/>
          <w:bCs/>
          <w:sz w:val="24"/>
          <w:szCs w:val="24"/>
        </w:rPr>
        <w:t>THE PUBLIC UTILITIES COMMISSION OF OHIO</w:t>
      </w:r>
    </w:p>
    <w:p w:rsidR="00785A4C" w:rsidRPr="004F4FFE" w:rsidP="0078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26330">
        <w:tblPrEx>
          <w:tblW w:w="9092" w:type="dxa"/>
          <w:tblInd w:w="0" w:type="dxa"/>
          <w:tblCellMar>
            <w:top w:w="0" w:type="dxa"/>
            <w:left w:w="108" w:type="dxa"/>
            <w:bottom w:w="0" w:type="dxa"/>
            <w:right w:w="108" w:type="dxa"/>
          </w:tblCellMar>
          <w:tblLook w:val="01E0"/>
        </w:tblPrEx>
        <w:trPr>
          <w:trHeight w:val="2322"/>
        </w:trPr>
        <w:tc>
          <w:tcPr>
            <w:tcW w:w="4332" w:type="dxa"/>
            <w:shd w:val="clear" w:color="auto" w:fill="auto"/>
          </w:tcPr>
          <w:p w:rsidR="00785A4C"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4F4FFE">
              <w:rPr>
                <w:rFonts w:ascii="Times New Roman" w:hAnsi="Times New Roman" w:eastAsiaTheme="minorHAnsi" w:cs="Times New Roman"/>
                <w:sz w:val="24"/>
                <w:szCs w:val="24"/>
                <w:lang w:val="en-US" w:eastAsia="en-US" w:bidi="ar-SA"/>
              </w:rPr>
              <w:t xml:space="preserve">In the Matter of the Application of </w:t>
            </w:r>
          </w:p>
          <w:p w:rsidR="00785A4C"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4F4FFE">
              <w:rPr>
                <w:rFonts w:ascii="Times New Roman" w:hAnsi="Times New Roman" w:eastAsiaTheme="minorHAnsi" w:cs="Times New Roman"/>
                <w:sz w:val="24"/>
                <w:szCs w:val="24"/>
                <w:lang w:val="en-US" w:eastAsia="en-US" w:bidi="ar-SA"/>
              </w:rPr>
              <w:t>Ohio Power Company for Authority to Establish a Standard Service Offer Pursuant to R.C. 4928.143, in the Form of an Electric Security Plan.</w:t>
            </w:r>
          </w:p>
          <w:p w:rsidR="00785A4C"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785A4C" w:rsidRPr="004F4FFE"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4F4FFE">
              <w:rPr>
                <w:rFonts w:ascii="Times New Roman" w:hAnsi="Times New Roman" w:eastAsiaTheme="minorHAnsi"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w:t>
            </w:r>
          </w:p>
        </w:tc>
        <w:tc>
          <w:tcPr>
            <w:tcW w:w="4400" w:type="dxa"/>
            <w:shd w:val="clear" w:color="auto" w:fill="auto"/>
          </w:tcPr>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Case No. 16-1852-EL-SSO</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F4FFE">
              <w:rPr>
                <w:rFonts w:ascii="Times New Roman" w:eastAsia="Courier New" w:hAnsi="Times New Roman" w:cs="Times New Roman"/>
                <w:sz w:val="24"/>
                <w:szCs w:val="24"/>
                <w:lang w:val="en-US" w:eastAsia="en-US" w:bidi="ar-SA"/>
              </w:rPr>
              <w:t>Case No. 16-1853-EL-AAM</w:t>
            </w: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85A4C" w:rsidRPr="004F4FFE" w:rsidP="0072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785A4C" w:rsidRPr="004F4FFE" w:rsidP="00785A4C">
      <w:pPr>
        <w:pStyle w:val="HTMLPreformatted"/>
        <w:rPr>
          <w:rFonts w:ascii="Times New Roman" w:hAnsi="Times New Roman" w:cs="Times New Roman"/>
          <w:sz w:val="24"/>
          <w:szCs w:val="24"/>
        </w:rPr>
      </w:pPr>
    </w:p>
    <w:p w:rsidR="00785A4C" w:rsidRPr="004F4FFE" w:rsidP="00D97AEF">
      <w:pPr>
        <w:pBdr>
          <w:top w:val="single" w:sz="12" w:space="1" w:color="auto"/>
        </w:pBdr>
        <w:tabs>
          <w:tab w:val="left" w:pos="-720"/>
        </w:tabs>
        <w:suppressAutoHyphens/>
        <w:spacing w:after="0" w:line="240" w:lineRule="auto"/>
        <w:jc w:val="center"/>
        <w:rPr>
          <w:rFonts w:ascii="Times New Roman" w:hAnsi="Times New Roman" w:cs="Times New Roman"/>
          <w:b/>
          <w:spacing w:val="-3"/>
          <w:sz w:val="24"/>
          <w:szCs w:val="24"/>
        </w:rPr>
      </w:pPr>
    </w:p>
    <w:p w:rsidR="00785A4C" w:rsidRPr="00726330" w:rsidP="00D97AEF">
      <w:pPr>
        <w:spacing w:after="0" w:line="240" w:lineRule="auto"/>
        <w:jc w:val="center"/>
        <w:rPr>
          <w:rFonts w:ascii="Times New Roman" w:hAnsi="Times New Roman" w:cs="Times New Roman"/>
          <w:b/>
          <w:sz w:val="24"/>
          <w:szCs w:val="24"/>
        </w:rPr>
      </w:pPr>
      <w:r w:rsidRPr="00726330">
        <w:rPr>
          <w:rFonts w:ascii="Times New Roman" w:hAnsi="Times New Roman" w:cs="Times New Roman"/>
          <w:b/>
          <w:sz w:val="24"/>
          <w:szCs w:val="24"/>
        </w:rPr>
        <w:t>POST HEARING BRIEF</w:t>
      </w:r>
    </w:p>
    <w:p w:rsidR="00785A4C" w:rsidRPr="004F4FFE" w:rsidP="00D97AEF">
      <w:pPr>
        <w:tabs>
          <w:tab w:val="center" w:pos="4680"/>
        </w:tabs>
        <w:suppressAutoHyphens/>
        <w:spacing w:after="0" w:line="240" w:lineRule="auto"/>
        <w:jc w:val="center"/>
        <w:rPr>
          <w:rFonts w:ascii="Times New Roman" w:hAnsi="Times New Roman" w:cs="Times New Roman"/>
          <w:b/>
          <w:spacing w:val="-3"/>
          <w:sz w:val="24"/>
          <w:szCs w:val="24"/>
        </w:rPr>
      </w:pPr>
      <w:r w:rsidRPr="004F4FFE">
        <w:rPr>
          <w:rFonts w:ascii="Times New Roman" w:hAnsi="Times New Roman" w:cs="Times New Roman"/>
          <w:b/>
          <w:spacing w:val="-3"/>
          <w:sz w:val="24"/>
          <w:szCs w:val="24"/>
        </w:rPr>
        <w:t>BY</w:t>
      </w:r>
    </w:p>
    <w:p w:rsidR="00785A4C" w:rsidRPr="004F4FFE" w:rsidP="00D97AEF">
      <w:pPr>
        <w:tabs>
          <w:tab w:val="center" w:pos="4680"/>
        </w:tabs>
        <w:suppressAutoHyphens/>
        <w:spacing w:after="0" w:line="240" w:lineRule="auto"/>
        <w:jc w:val="center"/>
        <w:rPr>
          <w:rFonts w:ascii="Times New Roman" w:hAnsi="Times New Roman" w:cs="Times New Roman"/>
          <w:b/>
          <w:spacing w:val="-3"/>
          <w:sz w:val="24"/>
          <w:szCs w:val="24"/>
        </w:rPr>
      </w:pPr>
      <w:r w:rsidRPr="004F4FFE">
        <w:rPr>
          <w:rFonts w:ascii="Times New Roman" w:hAnsi="Times New Roman" w:cs="Times New Roman"/>
          <w:b/>
          <w:spacing w:val="-3"/>
          <w:sz w:val="24"/>
          <w:szCs w:val="24"/>
        </w:rPr>
        <w:t>THE OFFICE OF THE OHIO CONSUMERS’ COUNSEL</w:t>
      </w:r>
      <w:r w:rsidRPr="004F4FFE">
        <w:rPr>
          <w:rFonts w:ascii="Times New Roman" w:hAnsi="Times New Roman" w:cs="Times New Roman"/>
          <w:b/>
          <w:spacing w:val="-3"/>
          <w:sz w:val="24"/>
          <w:szCs w:val="24"/>
        </w:rPr>
        <w:softHyphen/>
      </w:r>
      <w:r w:rsidRPr="004F4FFE">
        <w:rPr>
          <w:rFonts w:ascii="Times New Roman" w:hAnsi="Times New Roman" w:cs="Times New Roman"/>
          <w:b/>
          <w:spacing w:val="-3"/>
          <w:sz w:val="24"/>
          <w:szCs w:val="24"/>
        </w:rPr>
        <w:softHyphen/>
      </w:r>
      <w:r w:rsidRPr="004F4FFE">
        <w:rPr>
          <w:rFonts w:ascii="Times New Roman" w:hAnsi="Times New Roman" w:cs="Times New Roman"/>
          <w:b/>
          <w:spacing w:val="-3"/>
          <w:sz w:val="24"/>
          <w:szCs w:val="24"/>
        </w:rPr>
        <w:softHyphen/>
      </w:r>
      <w:r w:rsidRPr="004F4FFE">
        <w:rPr>
          <w:rFonts w:ascii="Times New Roman" w:hAnsi="Times New Roman" w:cs="Times New Roman"/>
          <w:b/>
          <w:spacing w:val="-3"/>
          <w:sz w:val="24"/>
          <w:szCs w:val="24"/>
        </w:rPr>
        <w:softHyphen/>
      </w:r>
    </w:p>
    <w:p w:rsidR="00785A4C" w:rsidRPr="004F4FFE" w:rsidP="00785A4C">
      <w:pPr>
        <w:pBdr>
          <w:bottom w:val="single" w:sz="12" w:space="1" w:color="auto"/>
        </w:pBdr>
        <w:tabs>
          <w:tab w:val="left" w:pos="-720"/>
        </w:tabs>
        <w:suppressAutoHyphens/>
        <w:jc w:val="center"/>
        <w:rPr>
          <w:rFonts w:ascii="Times New Roman" w:hAnsi="Times New Roman" w:cs="Times New Roman"/>
          <w:b/>
          <w:spacing w:val="-3"/>
          <w:sz w:val="24"/>
          <w:szCs w:val="24"/>
        </w:rPr>
      </w:pPr>
    </w:p>
    <w:p w:rsidR="00937CE8" w:rsidP="007575D2">
      <w:pPr>
        <w:pStyle w:val="Heading1"/>
        <w:rPr>
          <w:rFonts w:cs="Times New Roman"/>
          <w:bCs w:val="0"/>
          <w:iCs/>
          <w:szCs w:val="24"/>
        </w:rPr>
      </w:pPr>
      <w:bookmarkStart w:id="1" w:name="_Toc499709901"/>
      <w:r>
        <w:t>I.</w:t>
      </w:r>
      <w:r>
        <w:tab/>
      </w:r>
      <w:r w:rsidRPr="00785A4C">
        <w:t>INTRODUCTION</w:t>
      </w:r>
      <w:bookmarkEnd w:id="1"/>
      <w:r w:rsidR="00785A4C">
        <w:rPr>
          <w:rFonts w:cs="Times New Roman"/>
          <w:iCs/>
          <w:szCs w:val="24"/>
        </w:rPr>
        <w:tab/>
      </w:r>
    </w:p>
    <w:p w:rsidR="00785A4C" w:rsidRPr="00785A4C" w:rsidP="00A73778">
      <w:pPr>
        <w:pBdr>
          <w:top w:val="nil"/>
          <w:left w:val="nil"/>
          <w:bottom w:val="nil"/>
          <w:right w:val="nil"/>
          <w:between w:val="nil"/>
          <w:bar w:val="nil"/>
        </w:pBdr>
        <w:spacing w:after="0" w:line="480" w:lineRule="auto"/>
        <w:ind w:firstLine="72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 xml:space="preserve">In an effort to fulfill its promises to various parties given in return for their support to subsidize aging deregulated power plants, </w:t>
      </w:r>
      <w:r w:rsidR="000F2D82">
        <w:rPr>
          <w:rFonts w:ascii="Times New Roman" w:eastAsia="Arial Unicode MS" w:hAnsi="Times New Roman" w:cs="Times New Roman"/>
          <w:bCs/>
          <w:iCs/>
          <w:sz w:val="24"/>
          <w:szCs w:val="24"/>
          <w:bdr w:val="nil"/>
        </w:rPr>
        <w:t>Ohio Power Company (“AEP”)</w:t>
      </w:r>
      <w:r w:rsidRPr="00785A4C">
        <w:rPr>
          <w:rFonts w:ascii="Times New Roman" w:eastAsia="Arial Unicode MS" w:hAnsi="Times New Roman" w:cs="Times New Roman"/>
          <w:bCs/>
          <w:iCs/>
          <w:sz w:val="24"/>
          <w:szCs w:val="24"/>
          <w:bdr w:val="nil"/>
        </w:rPr>
        <w:t xml:space="preserve"> has put before the Public Utilities Commission of Ohio (“PUCO”) a Joint Stipulation and Recommendation (“Settlement”) that will extend its current electric security plan (“ESP”) – and consumers’ </w:t>
      </w:r>
      <w:r w:rsidR="00937CE8">
        <w:rPr>
          <w:rFonts w:ascii="Times New Roman" w:eastAsia="Arial Unicode MS" w:hAnsi="Times New Roman" w:cs="Times New Roman"/>
          <w:bCs/>
          <w:iCs/>
          <w:sz w:val="24"/>
          <w:szCs w:val="24"/>
          <w:bdr w:val="nil"/>
        </w:rPr>
        <w:t>harm</w:t>
      </w:r>
      <w:r w:rsidRPr="00785A4C">
        <w:rPr>
          <w:rFonts w:ascii="Times New Roman" w:eastAsia="Arial Unicode MS" w:hAnsi="Times New Roman" w:cs="Times New Roman"/>
          <w:bCs/>
          <w:iCs/>
          <w:sz w:val="24"/>
          <w:szCs w:val="24"/>
          <w:bdr w:val="nil"/>
        </w:rPr>
        <w:t>.  If approved, AEP’s 1.3 million customers will be required to fund tens of millions of dollars in projects most will not use</w:t>
      </w:r>
      <w:r w:rsidR="00937CE8">
        <w:rPr>
          <w:rFonts w:ascii="Times New Roman" w:eastAsia="Arial Unicode MS" w:hAnsi="Times New Roman" w:cs="Times New Roman"/>
          <w:bCs/>
          <w:iCs/>
          <w:sz w:val="24"/>
          <w:szCs w:val="24"/>
          <w:bdr w:val="nil"/>
        </w:rPr>
        <w:t xml:space="preserve"> or directly benefit from</w:t>
      </w:r>
      <w:r w:rsidRPr="00785A4C">
        <w:rPr>
          <w:rFonts w:ascii="Times New Roman" w:eastAsia="Arial Unicode MS" w:hAnsi="Times New Roman" w:cs="Times New Roman"/>
          <w:bCs/>
          <w:iCs/>
          <w:sz w:val="24"/>
          <w:szCs w:val="24"/>
          <w:bdr w:val="nil"/>
        </w:rPr>
        <w:t xml:space="preserve">.  Worse, such funding will benefit AEP’s shareholders and private sector third-parties, not the public interest or electric reliability.  But the Settlement’s true cost is unknown, as it contains multiple proposals whose costs will only be identified later.  And incredibly, the Settlement seeks to increase the charge for </w:t>
      </w:r>
      <w:r w:rsidR="00937CE8">
        <w:rPr>
          <w:rFonts w:ascii="Times New Roman" w:eastAsia="Arial Unicode MS" w:hAnsi="Times New Roman" w:cs="Times New Roman"/>
          <w:bCs/>
          <w:iCs/>
          <w:sz w:val="24"/>
          <w:szCs w:val="24"/>
          <w:bdr w:val="nil"/>
        </w:rPr>
        <w:t xml:space="preserve">the standard </w:t>
      </w:r>
      <w:r w:rsidRPr="00785A4C">
        <w:rPr>
          <w:rFonts w:ascii="Times New Roman" w:eastAsia="Arial Unicode MS" w:hAnsi="Times New Roman" w:cs="Times New Roman"/>
          <w:bCs/>
          <w:iCs/>
          <w:sz w:val="24"/>
          <w:szCs w:val="24"/>
          <w:bdr w:val="nil"/>
        </w:rPr>
        <w:t>service</w:t>
      </w:r>
      <w:r w:rsidR="00937CE8">
        <w:rPr>
          <w:rFonts w:ascii="Times New Roman" w:eastAsia="Arial Unicode MS" w:hAnsi="Times New Roman" w:cs="Times New Roman"/>
          <w:bCs/>
          <w:iCs/>
          <w:sz w:val="24"/>
          <w:szCs w:val="24"/>
          <w:bdr w:val="nil"/>
        </w:rPr>
        <w:t xml:space="preserve"> offer</w:t>
      </w:r>
      <w:r w:rsidRPr="00785A4C">
        <w:rPr>
          <w:rFonts w:ascii="Times New Roman" w:eastAsia="Arial Unicode MS" w:hAnsi="Times New Roman" w:cs="Times New Roman"/>
          <w:bCs/>
          <w:iCs/>
          <w:sz w:val="24"/>
          <w:szCs w:val="24"/>
          <w:bdr w:val="nil"/>
        </w:rPr>
        <w:t>, without any supporting evidence justifying the increase, paid by the vast majority of Ohioans through a so-called Competition Incentive Rider</w:t>
      </w:r>
      <w:r w:rsidR="000F2D82">
        <w:rPr>
          <w:rFonts w:ascii="Times New Roman" w:eastAsia="Arial Unicode MS" w:hAnsi="Times New Roman" w:cs="Times New Roman"/>
          <w:bCs/>
          <w:iCs/>
          <w:sz w:val="24"/>
          <w:szCs w:val="24"/>
          <w:bdr w:val="nil"/>
        </w:rPr>
        <w:t xml:space="preserve"> (“CIR”)</w:t>
      </w:r>
      <w:r w:rsidRPr="00785A4C">
        <w:rPr>
          <w:rFonts w:ascii="Times New Roman" w:eastAsia="Arial Unicode MS" w:hAnsi="Times New Roman" w:cs="Times New Roman"/>
          <w:bCs/>
          <w:iCs/>
          <w:sz w:val="24"/>
          <w:szCs w:val="24"/>
          <w:bdr w:val="nil"/>
        </w:rPr>
        <w:t>.  The Settlement is not in Ohioans’ best interest and should be rejected.</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In return for their support to allow AEP to charge consumers to subsidize aging deregulated power plants,</w:t>
      </w:r>
      <w:r>
        <w:rPr>
          <w:rFonts w:ascii="Times New Roman" w:eastAsia="Arial Unicode MS" w:hAnsi="Times New Roman" w:cs="Times New Roman"/>
          <w:bCs/>
          <w:iCs/>
          <w:sz w:val="24"/>
          <w:szCs w:val="24"/>
          <w:bdr w:val="nil"/>
          <w:vertAlign w:val="superscript"/>
        </w:rPr>
        <w:footnoteReference w:id="2"/>
      </w:r>
      <w:r w:rsidRPr="00785A4C">
        <w:rPr>
          <w:rFonts w:ascii="Times New Roman" w:eastAsia="Arial Unicode MS" w:hAnsi="Times New Roman" w:cs="Times New Roman"/>
          <w:bCs/>
          <w:iCs/>
          <w:sz w:val="24"/>
          <w:szCs w:val="24"/>
          <w:bdr w:val="nil"/>
        </w:rPr>
        <w:t xml:space="preserve"> AEP promised to extend its current ESP and include in it various handouts to supporting parties.</w:t>
      </w:r>
      <w:r>
        <w:rPr>
          <w:rFonts w:ascii="Times New Roman" w:eastAsia="Arial Unicode MS" w:hAnsi="Times New Roman" w:cs="Times New Roman"/>
          <w:bCs/>
          <w:iCs/>
          <w:sz w:val="24"/>
          <w:szCs w:val="24"/>
          <w:bdr w:val="nil"/>
          <w:vertAlign w:val="superscript"/>
        </w:rPr>
        <w:footnoteReference w:id="3"/>
      </w:r>
      <w:r w:rsidRPr="00785A4C">
        <w:rPr>
          <w:rFonts w:ascii="Times New Roman" w:eastAsia="Arial Unicode MS" w:hAnsi="Times New Roman" w:cs="Times New Roman"/>
          <w:bCs/>
          <w:iCs/>
          <w:sz w:val="24"/>
          <w:szCs w:val="24"/>
          <w:bdr w:val="nil"/>
        </w:rPr>
        <w:t xml:space="preserve">  The Settlement is the fruit of that </w:t>
      </w:r>
      <w:r w:rsidRPr="00785A4C">
        <w:rPr>
          <w:rFonts w:ascii="Times New Roman" w:eastAsia="Arial Unicode MS" w:hAnsi="Times New Roman" w:cs="Times New Roman"/>
          <w:bCs/>
          <w:i/>
          <w:iCs/>
          <w:sz w:val="24"/>
          <w:szCs w:val="24"/>
          <w:bdr w:val="nil"/>
        </w:rPr>
        <w:t>quid pro quo.</w:t>
      </w:r>
      <w:r w:rsidRPr="00785A4C">
        <w:rPr>
          <w:rFonts w:ascii="Times New Roman" w:eastAsia="Arial Unicode MS" w:hAnsi="Times New Roman" w:cs="Times New Roman"/>
          <w:bCs/>
          <w:iCs/>
          <w:sz w:val="24"/>
          <w:szCs w:val="24"/>
          <w:bdr w:val="nil"/>
        </w:rPr>
        <w:t xml:space="preserve">  It contains various vague and undefined proposals, such as charging consumers for microgrids and electric vehicle charging stations, </w:t>
      </w:r>
      <w:r w:rsidR="00FB06AB">
        <w:rPr>
          <w:rFonts w:ascii="Times New Roman" w:eastAsia="Arial Unicode MS" w:hAnsi="Times New Roman" w:cs="Times New Roman"/>
          <w:bCs/>
          <w:iCs/>
          <w:sz w:val="24"/>
          <w:szCs w:val="24"/>
          <w:bdr w:val="nil"/>
        </w:rPr>
        <w:t>which</w:t>
      </w:r>
      <w:r w:rsidRPr="00785A4C" w:rsidR="00FB06AB">
        <w:rPr>
          <w:rFonts w:ascii="Times New Roman" w:eastAsia="Arial Unicode MS" w:hAnsi="Times New Roman" w:cs="Times New Roman"/>
          <w:bCs/>
          <w:iCs/>
          <w:sz w:val="24"/>
          <w:szCs w:val="24"/>
          <w:bdr w:val="nil"/>
        </w:rPr>
        <w:t xml:space="preserve"> </w:t>
      </w:r>
      <w:r w:rsidRPr="00785A4C">
        <w:rPr>
          <w:rFonts w:ascii="Times New Roman" w:eastAsia="Arial Unicode MS" w:hAnsi="Times New Roman" w:cs="Times New Roman"/>
          <w:bCs/>
          <w:iCs/>
          <w:sz w:val="24"/>
          <w:szCs w:val="24"/>
          <w:bdr w:val="nil"/>
        </w:rPr>
        <w:t>the vast majority of consumers will never use</w:t>
      </w:r>
      <w:r w:rsidR="00937CE8">
        <w:rPr>
          <w:rFonts w:ascii="Times New Roman" w:eastAsia="Arial Unicode MS" w:hAnsi="Times New Roman" w:cs="Times New Roman"/>
          <w:bCs/>
          <w:iCs/>
          <w:sz w:val="24"/>
          <w:szCs w:val="24"/>
          <w:bdr w:val="nil"/>
        </w:rPr>
        <w:t xml:space="preserve"> or receive any benefit from</w:t>
      </w:r>
      <w:r w:rsidRPr="00785A4C">
        <w:rPr>
          <w:rFonts w:ascii="Times New Roman" w:eastAsia="Arial Unicode MS" w:hAnsi="Times New Roman" w:cs="Times New Roman"/>
          <w:bCs/>
          <w:iCs/>
          <w:sz w:val="24"/>
          <w:szCs w:val="24"/>
          <w:bdr w:val="nil"/>
        </w:rPr>
        <w:t>.  It provides no criteria by which the success or failure of such proposals will be measured, so consumers’ money will be spent without any identifiable way for determining if it was spent wisely.  Notwithstanding Ohio’s decision to have electric generation compete in markets, the Settlement paves the way for subsidizing renewable energy generation – to the tune of an unknown but no doubt substantial</w:t>
      </w:r>
      <w:r w:rsidR="00F251C5">
        <w:rPr>
          <w:rFonts w:ascii="Times New Roman" w:eastAsia="Arial Unicode MS" w:hAnsi="Times New Roman" w:cs="Times New Roman"/>
          <w:bCs/>
          <w:iCs/>
          <w:sz w:val="24"/>
          <w:szCs w:val="24"/>
          <w:bdr w:val="nil"/>
        </w:rPr>
        <w:t>,</w:t>
      </w:r>
      <w:r w:rsidR="00F5503E">
        <w:rPr>
          <w:rFonts w:ascii="Times New Roman" w:eastAsia="Arial Unicode MS" w:hAnsi="Times New Roman" w:cs="Times New Roman"/>
          <w:bCs/>
          <w:iCs/>
          <w:sz w:val="24"/>
          <w:szCs w:val="24"/>
          <w:bdr w:val="nil"/>
        </w:rPr>
        <w:t xml:space="preserve"> amount</w:t>
      </w:r>
      <w:r w:rsidRPr="00785A4C">
        <w:rPr>
          <w:rFonts w:ascii="Times New Roman" w:eastAsia="Arial Unicode MS" w:hAnsi="Times New Roman" w:cs="Times New Roman"/>
          <w:bCs/>
          <w:iCs/>
          <w:sz w:val="24"/>
          <w:szCs w:val="24"/>
          <w:bdr w:val="nil"/>
        </w:rPr>
        <w:t xml:space="preserve">.  It continues subsidizing AEP’s affiliated coal-fired power plants and increases the price consumers will pay for </w:t>
      </w:r>
      <w:r w:rsidR="0067618E">
        <w:rPr>
          <w:rFonts w:ascii="Times New Roman" w:eastAsia="Arial Unicode MS" w:hAnsi="Times New Roman" w:cs="Times New Roman"/>
          <w:bCs/>
          <w:iCs/>
          <w:sz w:val="24"/>
          <w:szCs w:val="24"/>
          <w:bdr w:val="nil"/>
        </w:rPr>
        <w:t xml:space="preserve">the </w:t>
      </w:r>
      <w:r w:rsidRPr="00785A4C">
        <w:rPr>
          <w:rFonts w:ascii="Times New Roman" w:eastAsia="Arial Unicode MS" w:hAnsi="Times New Roman" w:cs="Times New Roman"/>
          <w:bCs/>
          <w:iCs/>
          <w:sz w:val="24"/>
          <w:szCs w:val="24"/>
          <w:bdr w:val="nil"/>
        </w:rPr>
        <w:t>standard service</w:t>
      </w:r>
      <w:r w:rsidR="0067618E">
        <w:rPr>
          <w:rFonts w:ascii="Times New Roman" w:eastAsia="Arial Unicode MS" w:hAnsi="Times New Roman" w:cs="Times New Roman"/>
          <w:bCs/>
          <w:iCs/>
          <w:sz w:val="24"/>
          <w:szCs w:val="24"/>
          <w:bdr w:val="nil"/>
        </w:rPr>
        <w:t xml:space="preserve"> offer</w:t>
      </w:r>
      <w:r w:rsidRPr="00785A4C">
        <w:rPr>
          <w:rFonts w:ascii="Times New Roman" w:eastAsia="Arial Unicode MS" w:hAnsi="Times New Roman" w:cs="Times New Roman"/>
          <w:bCs/>
          <w:iCs/>
          <w:sz w:val="24"/>
          <w:szCs w:val="24"/>
          <w:bdr w:val="nil"/>
        </w:rPr>
        <w:t xml:space="preserve"> (“SSO”) without any justification other than that doing so will help certain signatory parties.  The Settlement authorizes creating various charges, such as the PowerForward Rider, well before any such charges are justified or their costs known.</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Put simply, and as described more fully below, the Settlement, as a package, does not benefit customers and the public interest.  It violates important regulatory principles and practice</w:t>
      </w:r>
      <w:r w:rsidR="00F5503E">
        <w:rPr>
          <w:rFonts w:ascii="Times New Roman" w:eastAsia="Arial Unicode MS" w:hAnsi="Times New Roman" w:cs="Times New Roman"/>
          <w:bCs/>
          <w:iCs/>
          <w:sz w:val="24"/>
          <w:szCs w:val="24"/>
          <w:bdr w:val="nil"/>
        </w:rPr>
        <w:t>s</w:t>
      </w:r>
      <w:r w:rsidRPr="00785A4C">
        <w:rPr>
          <w:rFonts w:ascii="Times New Roman" w:eastAsia="Arial Unicode MS" w:hAnsi="Times New Roman" w:cs="Times New Roman"/>
          <w:bCs/>
          <w:iCs/>
          <w:sz w:val="24"/>
          <w:szCs w:val="24"/>
          <w:bdr w:val="nil"/>
        </w:rPr>
        <w:t>.  To protect consumers</w:t>
      </w:r>
      <w:r w:rsidR="00FB06AB">
        <w:rPr>
          <w:rFonts w:ascii="Times New Roman" w:eastAsia="Arial Unicode MS" w:hAnsi="Times New Roman" w:cs="Times New Roman"/>
          <w:bCs/>
          <w:iCs/>
          <w:sz w:val="24"/>
          <w:szCs w:val="24"/>
          <w:bdr w:val="nil"/>
        </w:rPr>
        <w:t xml:space="preserve"> from paying unwarranted charges</w:t>
      </w:r>
      <w:r w:rsidRPr="00785A4C">
        <w:rPr>
          <w:rFonts w:ascii="Times New Roman" w:eastAsia="Arial Unicode MS" w:hAnsi="Times New Roman" w:cs="Times New Roman"/>
          <w:bCs/>
          <w:iCs/>
          <w:sz w:val="24"/>
          <w:szCs w:val="24"/>
          <w:bdr w:val="nil"/>
        </w:rPr>
        <w:t>, it should be rejected.</w:t>
      </w:r>
    </w:p>
    <w:p w:rsidR="00785A4C" w:rsidRPr="00785A4C" w:rsidP="007575D2">
      <w:pPr>
        <w:pStyle w:val="Heading1"/>
      </w:pPr>
      <w:bookmarkStart w:id="2" w:name="_Toc499709902"/>
      <w:r>
        <w:t>II.</w:t>
      </w:r>
      <w:r>
        <w:tab/>
      </w:r>
      <w:r w:rsidRPr="00785A4C">
        <w:t>STANDARD OF REVIEW</w:t>
      </w:r>
      <w:bookmarkEnd w:id="2"/>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 xml:space="preserve">The Supreme Court </w:t>
      </w:r>
      <w:r w:rsidR="00FB06AB">
        <w:rPr>
          <w:rFonts w:ascii="Times New Roman" w:eastAsia="Arial Unicode MS" w:hAnsi="Times New Roman" w:cs="Times New Roman"/>
          <w:bCs/>
          <w:iCs/>
          <w:sz w:val="24"/>
          <w:szCs w:val="24"/>
          <w:bdr w:val="nil"/>
        </w:rPr>
        <w:t xml:space="preserve">of Ohio (“Court”) </w:t>
      </w:r>
      <w:r w:rsidRPr="00785A4C">
        <w:rPr>
          <w:rFonts w:ascii="Times New Roman" w:eastAsia="Arial Unicode MS" w:hAnsi="Times New Roman" w:cs="Times New Roman"/>
          <w:bCs/>
          <w:iCs/>
          <w:sz w:val="24"/>
          <w:szCs w:val="24"/>
          <w:bdr w:val="nil"/>
        </w:rPr>
        <w:t xml:space="preserve">stated in </w:t>
      </w:r>
      <w:r w:rsidRPr="00785A4C">
        <w:rPr>
          <w:rFonts w:ascii="Times New Roman" w:eastAsia="Arial Unicode MS" w:hAnsi="Times New Roman" w:cs="Times New Roman"/>
          <w:bCs/>
          <w:i/>
          <w:iCs/>
          <w:sz w:val="24"/>
          <w:szCs w:val="24"/>
          <w:bdr w:val="nil"/>
        </w:rPr>
        <w:t>Duff v. PUCO</w:t>
      </w:r>
      <w:r w:rsidRPr="00785A4C">
        <w:rPr>
          <w:rFonts w:ascii="Times New Roman" w:eastAsia="Arial Unicode MS" w:hAnsi="Times New Roman" w:cs="Times New Roman"/>
          <w:bCs/>
          <w:iCs/>
          <w:sz w:val="24"/>
          <w:szCs w:val="24"/>
          <w:bdr w:val="nil"/>
        </w:rPr>
        <w:t>,</w:t>
      </w:r>
      <w:r>
        <w:rPr>
          <w:rFonts w:ascii="Times New Roman" w:eastAsia="Arial Unicode MS" w:hAnsi="Times New Roman" w:cs="Times New Roman"/>
          <w:bCs/>
          <w:iCs/>
          <w:sz w:val="24"/>
          <w:szCs w:val="24"/>
          <w:bdr w:val="nil"/>
          <w:vertAlign w:val="superscript"/>
        </w:rPr>
        <w:footnoteReference w:id="4"/>
      </w:r>
      <w:r w:rsidRPr="00785A4C">
        <w:rPr>
          <w:rFonts w:ascii="Times New Roman" w:eastAsia="Arial Unicode MS" w:hAnsi="Times New Roman" w:cs="Times New Roman"/>
          <w:bCs/>
          <w:iCs/>
          <w:sz w:val="24"/>
          <w:szCs w:val="24"/>
          <w:bdr w:val="nil"/>
        </w:rPr>
        <w:t xml:space="preserve"> that a settlement is merely a recommendation that is not legally binding on the PUCO.  The PUCO “may take the stipulation into consideration, but must determine what is just and reasonable from the evidence presented at the hearing.”</w:t>
      </w:r>
      <w:r>
        <w:rPr>
          <w:rFonts w:ascii="Times New Roman" w:eastAsia="Arial Unicode MS" w:hAnsi="Times New Roman" w:cs="Times New Roman"/>
          <w:bCs/>
          <w:iCs/>
          <w:sz w:val="24"/>
          <w:szCs w:val="24"/>
          <w:bdr w:val="nil"/>
          <w:vertAlign w:val="superscript"/>
        </w:rPr>
        <w:footnoteReference w:id="5"/>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 xml:space="preserve">The Court in </w:t>
      </w:r>
      <w:r w:rsidRPr="00785A4C">
        <w:rPr>
          <w:rFonts w:ascii="Times New Roman" w:eastAsia="Arial Unicode MS" w:hAnsi="Times New Roman" w:cs="Times New Roman"/>
          <w:bCs/>
          <w:i/>
          <w:iCs/>
          <w:sz w:val="24"/>
          <w:szCs w:val="24"/>
          <w:bdr w:val="nil"/>
        </w:rPr>
        <w:t>Consume</w:t>
      </w:r>
      <w:r w:rsidR="00D50A0D">
        <w:rPr>
          <w:rFonts w:ascii="Times New Roman" w:eastAsia="Arial Unicode MS" w:hAnsi="Times New Roman" w:cs="Times New Roman"/>
          <w:bCs/>
          <w:i/>
          <w:iCs/>
          <w:sz w:val="24"/>
          <w:szCs w:val="24"/>
          <w:bdr w:val="nil"/>
        </w:rPr>
        <w:t>rs’ Counsel v. PUCO</w:t>
      </w:r>
      <w:r>
        <w:rPr>
          <w:rStyle w:val="FootnoteReference"/>
          <w:rFonts w:ascii="Times New Roman" w:eastAsia="Arial Unicode MS" w:hAnsi="Times New Roman" w:cs="Times New Roman"/>
          <w:bCs/>
          <w:iCs/>
          <w:sz w:val="20"/>
          <w:szCs w:val="20"/>
          <w:bdr w:val="nil"/>
        </w:rPr>
        <w:footnoteReference w:id="6"/>
      </w:r>
      <w:r w:rsidRPr="00785A4C">
        <w:rPr>
          <w:rFonts w:ascii="Times New Roman" w:eastAsia="Arial Unicode MS" w:hAnsi="Times New Roman" w:cs="Times New Roman"/>
          <w:bCs/>
          <w:iCs/>
          <w:sz w:val="24"/>
          <w:szCs w:val="24"/>
          <w:bdr w:val="nil"/>
        </w:rPr>
        <w:t>considered whether a just and reasonable result was achieved with reference to criteria adopted by the PUCO in evaluating settlements:</w:t>
      </w:r>
    </w:p>
    <w:p w:rsidR="00785A4C" w:rsidRPr="00785A4C" w:rsidP="00726330">
      <w:pPr>
        <w:numPr>
          <w:ilvl w:val="0"/>
          <w:numId w:val="10"/>
        </w:numPr>
        <w:pBdr>
          <w:top w:val="nil"/>
          <w:left w:val="nil"/>
          <w:bottom w:val="nil"/>
          <w:right w:val="nil"/>
          <w:between w:val="nil"/>
          <w:bar w:val="nil"/>
        </w:pBdr>
        <w:spacing w:after="0" w:line="480" w:lineRule="auto"/>
        <w:ind w:left="1440" w:hanging="720"/>
        <w:rPr>
          <w:rFonts w:ascii="Times New Roman" w:eastAsia="Arial Unicode MS" w:hAnsi="Arial Unicode MS" w:cs="Arial Unicode MS"/>
          <w:bCs/>
          <w:iCs/>
          <w:color w:val="000000"/>
          <w:sz w:val="24"/>
          <w:szCs w:val="24"/>
          <w:u w:color="000000"/>
          <w:bdr w:val="nil"/>
        </w:rPr>
      </w:pPr>
      <w:r w:rsidRPr="00785A4C">
        <w:rPr>
          <w:rFonts w:ascii="Times New Roman" w:eastAsia="Arial Unicode MS" w:hAnsi="Arial Unicode MS" w:cs="Arial Unicode MS"/>
          <w:bCs/>
          <w:iCs/>
          <w:color w:val="000000"/>
          <w:sz w:val="24"/>
          <w:szCs w:val="24"/>
          <w:u w:color="000000"/>
          <w:bdr w:val="nil"/>
        </w:rPr>
        <w:t>Is the settlement a product of serious bargaining among capable, knowledgeable parties, where there is a diversity of interests among the settling parties?</w:t>
      </w:r>
    </w:p>
    <w:p w:rsidR="00785A4C" w:rsidRPr="00785A4C" w:rsidP="00726330">
      <w:pPr>
        <w:numPr>
          <w:ilvl w:val="0"/>
          <w:numId w:val="10"/>
        </w:numPr>
        <w:pBdr>
          <w:top w:val="nil"/>
          <w:left w:val="nil"/>
          <w:bottom w:val="nil"/>
          <w:right w:val="nil"/>
          <w:between w:val="nil"/>
          <w:bar w:val="nil"/>
        </w:pBdr>
        <w:spacing w:after="0" w:line="480" w:lineRule="auto"/>
        <w:ind w:left="1440" w:hanging="720"/>
        <w:rPr>
          <w:rFonts w:ascii="Times New Roman" w:eastAsia="Arial Unicode MS" w:hAnsi="Arial Unicode MS" w:cs="Arial Unicode MS"/>
          <w:bCs/>
          <w:iCs/>
          <w:color w:val="000000"/>
          <w:sz w:val="24"/>
          <w:szCs w:val="24"/>
          <w:u w:color="000000"/>
          <w:bdr w:val="nil"/>
        </w:rPr>
      </w:pPr>
      <w:r w:rsidRPr="00785A4C">
        <w:rPr>
          <w:rFonts w:ascii="Times New Roman" w:eastAsia="Arial Unicode MS" w:hAnsi="Arial Unicode MS" w:cs="Arial Unicode MS"/>
          <w:bCs/>
          <w:iCs/>
          <w:color w:val="000000"/>
          <w:sz w:val="24"/>
          <w:szCs w:val="24"/>
          <w:u w:color="000000"/>
          <w:bdr w:val="nil"/>
        </w:rPr>
        <w:t>Does the settlement, as a package, benefit customers and the public interest?</w:t>
      </w:r>
    </w:p>
    <w:p w:rsidR="00785A4C" w:rsidRPr="00785A4C" w:rsidP="00726330">
      <w:pPr>
        <w:numPr>
          <w:ilvl w:val="0"/>
          <w:numId w:val="10"/>
        </w:numPr>
        <w:pBdr>
          <w:top w:val="nil"/>
          <w:left w:val="nil"/>
          <w:bottom w:val="nil"/>
          <w:right w:val="nil"/>
          <w:between w:val="nil"/>
          <w:bar w:val="nil"/>
        </w:pBdr>
        <w:spacing w:after="0" w:line="480" w:lineRule="auto"/>
        <w:ind w:left="1440" w:hanging="720"/>
        <w:rPr>
          <w:rFonts w:ascii="Times New Roman" w:eastAsia="Arial Unicode MS" w:hAnsi="Arial Unicode MS" w:cs="Arial Unicode MS"/>
          <w:bCs/>
          <w:iCs/>
          <w:color w:val="000000"/>
          <w:sz w:val="24"/>
          <w:szCs w:val="24"/>
          <w:u w:color="000000"/>
          <w:bdr w:val="nil"/>
        </w:rPr>
      </w:pPr>
      <w:r w:rsidRPr="00785A4C">
        <w:rPr>
          <w:rFonts w:ascii="Times New Roman" w:eastAsia="Arial Unicode MS" w:hAnsi="Arial Unicode MS" w:cs="Arial Unicode MS"/>
          <w:bCs/>
          <w:iCs/>
          <w:color w:val="000000"/>
          <w:sz w:val="24"/>
          <w:szCs w:val="24"/>
          <w:u w:color="000000"/>
          <w:bdr w:val="nil"/>
        </w:rPr>
        <w:t>Does the settlement violate any important regulatory principles or practice?</w:t>
      </w:r>
    </w:p>
    <w:p w:rsidR="00785A4C" w:rsidRPr="00785A4C" w:rsidP="00785A4C">
      <w:pPr>
        <w:pBdr>
          <w:top w:val="nil"/>
          <w:left w:val="nil"/>
          <w:bottom w:val="nil"/>
          <w:right w:val="nil"/>
          <w:between w:val="nil"/>
          <w:bar w:val="nil"/>
        </w:pBdr>
        <w:spacing w:after="0" w:line="480" w:lineRule="auto"/>
        <w:ind w:left="36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The ultimate question to be answered is whether, in light of the record, AEP’s proposals are reasonable, comply with Ohio law, and are in the public interest.  As the Office of the Ohio Consumers' Counsel (“OCC”) shows below, AEP does not meet this standard.</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 xml:space="preserve">Additionally, the PUCO must ensure that the Settlement meets the provisions of the Ohio Revised Code governing ESPs.  The standard of review for ESP cases is found in R.C. 4928.143(C)(1), which </w:t>
      </w:r>
      <w:r w:rsidR="00FB06AB">
        <w:rPr>
          <w:rFonts w:ascii="Times New Roman" w:eastAsia="Arial Unicode MS" w:hAnsi="Times New Roman" w:cs="Times New Roman"/>
          <w:bCs/>
          <w:iCs/>
          <w:sz w:val="24"/>
          <w:szCs w:val="24"/>
          <w:bdr w:val="nil"/>
        </w:rPr>
        <w:t>reads</w:t>
      </w:r>
      <w:r w:rsidRPr="00785A4C" w:rsidR="00FB06AB">
        <w:rPr>
          <w:rFonts w:ascii="Times New Roman" w:eastAsia="Arial Unicode MS" w:hAnsi="Times New Roman" w:cs="Times New Roman"/>
          <w:bCs/>
          <w:iCs/>
          <w:sz w:val="24"/>
          <w:szCs w:val="24"/>
          <w:bdr w:val="nil"/>
        </w:rPr>
        <w:t xml:space="preserve"> </w:t>
      </w:r>
      <w:r w:rsidRPr="00785A4C">
        <w:rPr>
          <w:rFonts w:ascii="Times New Roman" w:eastAsia="Arial Unicode MS" w:hAnsi="Times New Roman" w:cs="Times New Roman"/>
          <w:bCs/>
          <w:iCs/>
          <w:sz w:val="24"/>
          <w:szCs w:val="24"/>
          <w:bdr w:val="nil"/>
        </w:rPr>
        <w:t>in pertinent part:</w:t>
      </w:r>
    </w:p>
    <w:p w:rsidR="00785A4C" w:rsidRPr="00785A4C" w:rsidP="00726330">
      <w:pPr>
        <w:autoSpaceDE w:val="0"/>
        <w:autoSpaceDN w:val="0"/>
        <w:adjustRightInd w:val="0"/>
        <w:spacing w:after="0" w:line="240" w:lineRule="auto"/>
        <w:ind w:left="720" w:righ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commission by order shall approve or modify and approve</w:t>
      </w:r>
    </w:p>
    <w:p w:rsidR="00785A4C" w:rsidRPr="00785A4C" w:rsidP="00785A4C">
      <w:pPr>
        <w:autoSpaceDE w:val="0"/>
        <w:autoSpaceDN w:val="0"/>
        <w:adjustRightInd w:val="0"/>
        <w:spacing w:after="0" w:line="240" w:lineRule="auto"/>
        <w:ind w:left="144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an application filed under division (A) of this section if it finds that</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electric security plan so approved, including its pricing and all</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other terms and conditions, including any deferrals and any future</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recovery of deferrals, is more favorable in the aggregate as</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compared to the expected results that would otherwise apply under</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section 4928.142 of the Revised Code. Additionally, if the</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commission so approves an application that contains a surcharge</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under division (B)(2)(b) or (c) of this section, the commission shall</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ensure that the benefits derived for any purpose for which the</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surcharge is established are reserved and made available to those</w:t>
      </w:r>
    </w:p>
    <w:p w:rsidR="00785A4C" w:rsidRPr="00785A4C" w:rsidP="00785A4C">
      <w:pPr>
        <w:autoSpaceDE w:val="0"/>
        <w:autoSpaceDN w:val="0"/>
        <w:adjustRightInd w:val="0"/>
        <w:spacing w:after="0" w:line="240" w:lineRule="auto"/>
        <w:ind w:left="720"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that bear the surcharge. Otherwise, the commission by order shall</w:t>
      </w:r>
    </w:p>
    <w:p w:rsidR="00785A4C" w:rsidRPr="00785A4C" w:rsidP="00785A4C">
      <w:pPr>
        <w:pBdr>
          <w:top w:val="nil"/>
          <w:left w:val="nil"/>
          <w:bottom w:val="nil"/>
          <w:right w:val="nil"/>
          <w:between w:val="nil"/>
          <w:bar w:val="nil"/>
        </w:pBdr>
        <w:spacing w:after="0" w:line="480" w:lineRule="auto"/>
        <w:ind w:left="1080" w:firstLine="36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disapprove the application.</w:t>
      </w:r>
    </w:p>
    <w:p w:rsidR="00785A4C" w:rsidP="00785A4C">
      <w:pPr>
        <w:pBdr>
          <w:top w:val="nil"/>
          <w:left w:val="nil"/>
          <w:bottom w:val="nil"/>
          <w:right w:val="nil"/>
          <w:between w:val="nil"/>
          <w:bar w:val="nil"/>
        </w:pBdr>
        <w:spacing w:after="0" w:line="480" w:lineRule="auto"/>
        <w:rPr>
          <w:rFonts w:ascii="Times New Roman" w:eastAsia="Arial Unicode MS" w:hAnsi="Times New Roman" w:cs="Times New Roman"/>
          <w:bCs/>
          <w:iCs/>
          <w:sz w:val="24"/>
          <w:szCs w:val="24"/>
          <w:bdr w:val="nil"/>
        </w:rPr>
      </w:pPr>
      <w:r w:rsidRPr="00785A4C">
        <w:rPr>
          <w:rFonts w:ascii="Times New Roman" w:eastAsia="Arial Unicode MS" w:hAnsi="Times New Roman" w:cs="Times New Roman"/>
          <w:bCs/>
          <w:iCs/>
          <w:sz w:val="24"/>
          <w:szCs w:val="24"/>
          <w:bdr w:val="nil"/>
        </w:rPr>
        <w:t>Further, R.C. 4905.22 requires that every public utility furnish necessary and adequate service and facilities, and that all charges for any service must be just and reasonable.  Of course, AEP as the applicant bears the burden of proof.</w:t>
      </w:r>
      <w:r>
        <w:rPr>
          <w:rFonts w:ascii="Times New Roman" w:eastAsia="Arial Unicode MS" w:hAnsi="Times New Roman" w:cs="Times New Roman"/>
          <w:bCs/>
          <w:iCs/>
          <w:sz w:val="24"/>
          <w:szCs w:val="24"/>
          <w:bdr w:val="nil"/>
          <w:vertAlign w:val="superscript"/>
        </w:rPr>
        <w:footnoteReference w:id="7"/>
      </w:r>
    </w:p>
    <w:p w:rsidR="00726330" w:rsidRPr="00785A4C" w:rsidP="00726330">
      <w:pPr>
        <w:pBdr>
          <w:top w:val="nil"/>
          <w:left w:val="nil"/>
          <w:bottom w:val="nil"/>
          <w:right w:val="nil"/>
          <w:between w:val="nil"/>
          <w:bar w:val="nil"/>
        </w:pBdr>
        <w:spacing w:after="0" w:line="240" w:lineRule="auto"/>
        <w:rPr>
          <w:rFonts w:ascii="Times New Roman" w:eastAsia="Arial Unicode MS" w:hAnsi="Times New Roman" w:cs="Times New Roman"/>
          <w:bCs/>
          <w:iCs/>
          <w:sz w:val="24"/>
          <w:szCs w:val="24"/>
          <w:bdr w:val="nil"/>
        </w:rPr>
      </w:pPr>
    </w:p>
    <w:p w:rsidR="00785A4C" w:rsidRPr="00785A4C" w:rsidP="00726330">
      <w:pPr>
        <w:pStyle w:val="Heading1"/>
      </w:pPr>
      <w:bookmarkStart w:id="3" w:name="_Toc499709903"/>
      <w:r>
        <w:t>III.</w:t>
      </w:r>
      <w:r>
        <w:tab/>
      </w:r>
      <w:r w:rsidRPr="00785A4C">
        <w:t>RECOMMENDATIONS</w:t>
      </w:r>
      <w:bookmarkEnd w:id="3"/>
    </w:p>
    <w:p w:rsidR="00785A4C" w:rsidRPr="00785A4C" w:rsidP="0013336E">
      <w:pPr>
        <w:pStyle w:val="Heading2"/>
      </w:pPr>
      <w:bookmarkStart w:id="4" w:name="_Toc499709904"/>
      <w:r>
        <w:t>A.</w:t>
      </w:r>
      <w:r>
        <w:tab/>
      </w:r>
      <w:r w:rsidRPr="00785A4C">
        <w:t>The Settlement should be rejected because, as a package, it does not benefit customers and the public interest.</w:t>
      </w:r>
      <w:bookmarkEnd w:id="4"/>
    </w:p>
    <w:p w:rsidR="00785A4C" w:rsidRPr="00785A4C" w:rsidP="00785A4C">
      <w:pPr>
        <w:pBdr>
          <w:top w:val="nil"/>
          <w:left w:val="nil"/>
          <w:bottom w:val="nil"/>
          <w:right w:val="nil"/>
          <w:between w:val="nil"/>
          <w:bar w:val="nil"/>
        </w:pBdr>
        <w:spacing w:after="0" w:line="480" w:lineRule="auto"/>
        <w:ind w:firstLine="360"/>
        <w:rPr>
          <w:rFonts w:ascii="Times New Roman" w:eastAsia="Arial Unicode MS" w:hAnsi="Arial Unicode MS" w:cs="Arial Unicode MS"/>
          <w:color w:val="000000"/>
          <w:sz w:val="24"/>
          <w:szCs w:val="24"/>
          <w:u w:color="000000"/>
          <w:bdr w:val="nil"/>
        </w:rPr>
      </w:pPr>
      <w:r>
        <w:rPr>
          <w:rFonts w:ascii="Times New Roman" w:eastAsia="Arial Unicode MS" w:hAnsi="Arial Unicode MS" w:cs="Arial Unicode MS"/>
          <w:color w:val="000000"/>
          <w:sz w:val="24"/>
          <w:szCs w:val="24"/>
          <w:u w:color="000000"/>
          <w:bdr w:val="nil"/>
        </w:rPr>
        <w:tab/>
      </w:r>
      <w:r w:rsidRPr="00785A4C">
        <w:rPr>
          <w:rFonts w:ascii="Times New Roman" w:eastAsia="Arial Unicode MS" w:hAnsi="Arial Unicode MS" w:cs="Arial Unicode MS"/>
          <w:color w:val="000000"/>
          <w:sz w:val="24"/>
          <w:szCs w:val="24"/>
          <w:u w:color="000000"/>
          <w:bdr w:val="nil"/>
        </w:rPr>
        <w:t>The Settlement has a number of programs that are handouts to signatory parties and only benefit certain individuals that signed the Settlement.</w:t>
      </w:r>
      <w:r>
        <w:rPr>
          <w:rFonts w:ascii="Times New Roman" w:eastAsia="Arial Unicode MS" w:hAnsi="Arial Unicode MS" w:cs="Arial Unicode MS"/>
          <w:color w:val="000000"/>
          <w:sz w:val="24"/>
          <w:szCs w:val="24"/>
          <w:u w:color="000000"/>
          <w:bdr w:val="nil"/>
          <w:vertAlign w:val="superscript"/>
        </w:rPr>
        <w:footnoteReference w:id="8"/>
      </w:r>
      <w:r w:rsidRPr="00785A4C">
        <w:rPr>
          <w:rFonts w:ascii="Times New Roman" w:eastAsia="Arial Unicode MS" w:hAnsi="Arial Unicode MS" w:cs="Arial Unicode MS"/>
          <w:color w:val="000000"/>
          <w:sz w:val="24"/>
          <w:szCs w:val="24"/>
          <w:u w:color="000000"/>
          <w:bdr w:val="nil"/>
        </w:rPr>
        <w:t xml:space="preserve">  </w:t>
      </w:r>
      <w:r w:rsidR="000F2D82">
        <w:rPr>
          <w:rFonts w:ascii="Times New Roman" w:eastAsia="Arial Unicode MS" w:hAnsi="Arial Unicode MS" w:cs="Arial Unicode MS"/>
          <w:color w:val="000000"/>
          <w:sz w:val="24"/>
          <w:szCs w:val="24"/>
          <w:u w:color="000000"/>
          <w:bdr w:val="nil"/>
        </w:rPr>
        <w:t xml:space="preserve">As a package, these programs do not benefit consumers and the public interest.  </w:t>
      </w:r>
      <w:r w:rsidR="00C74E82">
        <w:rPr>
          <w:rFonts w:ascii="Times New Roman" w:eastAsia="Arial Unicode MS" w:hAnsi="Arial Unicode MS" w:cs="Arial Unicode MS"/>
          <w:color w:val="000000"/>
          <w:sz w:val="24"/>
          <w:szCs w:val="24"/>
          <w:u w:color="000000"/>
          <w:bdr w:val="nil"/>
        </w:rPr>
        <w:t>Therefore, t</w:t>
      </w:r>
      <w:r w:rsidR="000F2D82">
        <w:rPr>
          <w:rFonts w:ascii="Times New Roman" w:eastAsia="Arial Unicode MS" w:hAnsi="Arial Unicode MS" w:cs="Arial Unicode MS"/>
          <w:color w:val="000000"/>
          <w:sz w:val="24"/>
          <w:szCs w:val="24"/>
          <w:u w:color="000000"/>
          <w:bdr w:val="nil"/>
        </w:rPr>
        <w:t>he Settlement should be rejected.</w:t>
      </w:r>
      <w:r w:rsidRPr="00785A4C">
        <w:rPr>
          <w:rFonts w:ascii="Times New Roman" w:eastAsia="Arial Unicode MS" w:hAnsi="Arial Unicode MS" w:cs="Arial Unicode MS"/>
          <w:color w:val="000000"/>
          <w:sz w:val="24"/>
          <w:szCs w:val="24"/>
          <w:u w:color="000000"/>
          <w:bdr w:val="nil"/>
        </w:rPr>
        <w:t xml:space="preserve"> </w:t>
      </w:r>
    </w:p>
    <w:p w:rsidR="00785A4C" w:rsidRPr="00785A4C" w:rsidP="00726330">
      <w:pPr>
        <w:pStyle w:val="Heading3"/>
      </w:pPr>
      <w:bookmarkStart w:id="5" w:name="_Toc499709905"/>
      <w:r>
        <w:t>1.</w:t>
      </w:r>
      <w:r>
        <w:tab/>
      </w:r>
      <w:r w:rsidRPr="00785A4C">
        <w:t>The IRP-D program does not benefit customers and the public interest.</w:t>
      </w:r>
      <w:bookmarkEnd w:id="5"/>
    </w:p>
    <w:p w:rsidR="00785A4C" w:rsidRPr="000F2D82" w:rsidP="000F2D82">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 xml:space="preserve">While interruptible </w:t>
      </w:r>
      <w:r w:rsidR="00FB06AB">
        <w:rPr>
          <w:rFonts w:ascii="Times New Roman" w:eastAsia="Arial Unicode MS" w:hAnsi="Arial Unicode MS" w:cs="Arial Unicode MS"/>
          <w:color w:val="000000"/>
          <w:sz w:val="24"/>
          <w:szCs w:val="24"/>
          <w:u w:color="000000"/>
          <w:bdr w:val="nil"/>
        </w:rPr>
        <w:t>electric service</w:t>
      </w:r>
      <w:r w:rsidRPr="00785A4C" w:rsidR="00FB06AB">
        <w:rPr>
          <w:rFonts w:ascii="Times New Roman" w:eastAsia="Arial Unicode MS" w:hAnsi="Arial Unicode MS" w:cs="Arial Unicode MS"/>
          <w:color w:val="000000"/>
          <w:sz w:val="24"/>
          <w:szCs w:val="24"/>
          <w:u w:color="000000"/>
          <w:bdr w:val="nil"/>
        </w:rPr>
        <w:t xml:space="preserve"> </w:t>
      </w:r>
      <w:r w:rsidRPr="00785A4C">
        <w:rPr>
          <w:rFonts w:ascii="Times New Roman" w:eastAsia="Arial Unicode MS" w:hAnsi="Arial Unicode MS" w:cs="Arial Unicode MS"/>
          <w:color w:val="000000"/>
          <w:sz w:val="24"/>
          <w:szCs w:val="24"/>
          <w:u w:color="000000"/>
          <w:bdr w:val="nil"/>
        </w:rPr>
        <w:t>may provide benefits at times of peak usage</w:t>
      </w:r>
      <w:r w:rsidR="004F38E9">
        <w:rPr>
          <w:rFonts w:ascii="Times New Roman" w:eastAsia="Arial Unicode MS" w:hAnsi="Arial Unicode MS" w:cs="Arial Unicode MS"/>
          <w:color w:val="000000"/>
          <w:sz w:val="24"/>
          <w:szCs w:val="24"/>
          <w:u w:color="000000"/>
          <w:bdr w:val="nil"/>
        </w:rPr>
        <w:t xml:space="preserve"> and system stress</w:t>
      </w:r>
      <w:r w:rsidRPr="00785A4C">
        <w:rPr>
          <w:rFonts w:ascii="Times New Roman" w:eastAsia="Arial Unicode MS" w:hAnsi="Arial Unicode MS" w:cs="Arial Unicode MS"/>
          <w:color w:val="000000"/>
          <w:sz w:val="24"/>
          <w:szCs w:val="24"/>
          <w:u w:color="000000"/>
          <w:bdr w:val="nil"/>
        </w:rPr>
        <w:t>, the problem with the proposed IRP-D program is that the Existing IRP-D customers are already participating in the PJM Demand Response program.</w:t>
      </w:r>
      <w:r>
        <w:rPr>
          <w:rFonts w:ascii="Times New Roman" w:eastAsia="Arial Unicode MS" w:hAnsi="Arial Unicode MS" w:cs="Arial Unicode MS"/>
          <w:color w:val="000000"/>
          <w:sz w:val="24"/>
          <w:szCs w:val="24"/>
          <w:u w:color="000000"/>
          <w:bdr w:val="nil"/>
          <w:vertAlign w:val="superscript"/>
        </w:rPr>
        <w:footnoteReference w:id="9"/>
      </w:r>
      <w:r w:rsidRPr="00785A4C">
        <w:rPr>
          <w:rFonts w:ascii="Times New Roman" w:eastAsia="Arial Unicode MS" w:hAnsi="Arial Unicode MS" w:cs="Arial Unicode MS"/>
          <w:color w:val="000000"/>
          <w:sz w:val="24"/>
          <w:szCs w:val="24"/>
          <w:u w:color="000000"/>
          <w:bdr w:val="nil"/>
        </w:rPr>
        <w:t xml:space="preserve">  Under that </w:t>
      </w:r>
      <w:r w:rsidRPr="00E92998">
        <w:rPr>
          <w:rFonts w:ascii="Times New Roman" w:eastAsia="Arial Unicode MS" w:hAnsi="Times New Roman" w:cs="Times New Roman"/>
          <w:color w:val="000000"/>
          <w:sz w:val="24"/>
          <w:szCs w:val="24"/>
          <w:u w:color="000000"/>
          <w:bdr w:val="nil"/>
        </w:rPr>
        <w:t>program they already receive adequate payments from PJM for these efforts.</w:t>
      </w:r>
      <w:r>
        <w:rPr>
          <w:rFonts w:ascii="Times New Roman" w:eastAsia="Arial Unicode MS" w:hAnsi="Times New Roman" w:cs="Times New Roman"/>
          <w:color w:val="000000"/>
          <w:sz w:val="24"/>
          <w:szCs w:val="24"/>
          <w:u w:color="000000"/>
          <w:bdr w:val="nil"/>
          <w:vertAlign w:val="superscript"/>
        </w:rPr>
        <w:footnoteReference w:id="10"/>
      </w:r>
      <w:r w:rsidRPr="00E92998">
        <w:rPr>
          <w:rFonts w:ascii="Times New Roman" w:eastAsia="Arial Unicode MS" w:hAnsi="Times New Roman" w:cs="Times New Roman"/>
          <w:color w:val="000000"/>
          <w:sz w:val="24"/>
          <w:szCs w:val="24"/>
          <w:u w:color="000000"/>
          <w:bdr w:val="nil"/>
        </w:rPr>
        <w:t xml:space="preserve">  So the Settlement’s IRP-D proposal, that all customers fund, gives existing IRP-D participants additional funds (in the form of bill credits) for a program in which they are already participating.</w:t>
      </w:r>
      <w:r>
        <w:rPr>
          <w:rFonts w:ascii="Times New Roman" w:eastAsia="Arial Unicode MS" w:hAnsi="Times New Roman" w:cs="Times New Roman"/>
          <w:color w:val="000000"/>
          <w:sz w:val="24"/>
          <w:szCs w:val="24"/>
          <w:u w:color="000000"/>
          <w:bdr w:val="nil"/>
          <w:vertAlign w:val="superscript"/>
        </w:rPr>
        <w:footnoteReference w:id="11"/>
      </w:r>
      <w:r w:rsidRPr="00E92998" w:rsidR="000F2D82">
        <w:rPr>
          <w:rFonts w:ascii="Times New Roman" w:eastAsia="Arial Unicode MS" w:hAnsi="Times New Roman" w:cs="Times New Roman"/>
          <w:color w:val="000000"/>
          <w:sz w:val="24"/>
          <w:szCs w:val="24"/>
          <w:u w:color="000000"/>
          <w:bdr w:val="nil"/>
        </w:rPr>
        <w:t xml:space="preserve">  </w:t>
      </w:r>
      <w:r w:rsidRPr="00E92998">
        <w:rPr>
          <w:rFonts w:ascii="Times New Roman" w:eastAsia="Arial Unicode MS" w:hAnsi="Times New Roman" w:cs="Times New Roman"/>
          <w:color w:val="000000"/>
          <w:sz w:val="24"/>
          <w:szCs w:val="24"/>
          <w:u w:color="000000"/>
          <w:bdr w:val="nil"/>
        </w:rPr>
        <w:t>Further, new IRP-D customers are receiving</w:t>
      </w:r>
      <w:r w:rsidRPr="00785A4C">
        <w:rPr>
          <w:rFonts w:ascii="Times New Roman" w:eastAsia="Arial Unicode MS" w:hAnsi="Arial Unicode MS" w:cs="Arial Unicode MS"/>
          <w:color w:val="000000"/>
          <w:sz w:val="24"/>
          <w:szCs w:val="24"/>
          <w:u w:color="000000"/>
          <w:bdr w:val="nil"/>
        </w:rPr>
        <w:t xml:space="preserve"> a lower rate than the existing customers</w:t>
      </w:r>
      <w:r w:rsidR="000F2D82">
        <w:rPr>
          <w:rFonts w:ascii="Times New Roman" w:eastAsia="Arial Unicode MS" w:hAnsi="Arial Unicode MS" w:cs="Arial Unicode MS"/>
          <w:color w:val="000000"/>
          <w:sz w:val="24"/>
          <w:szCs w:val="24"/>
          <w:u w:color="000000"/>
          <w:bdr w:val="nil"/>
        </w:rPr>
        <w:t>.  B</w:t>
      </w:r>
      <w:r w:rsidRPr="00785A4C">
        <w:rPr>
          <w:rFonts w:ascii="Times New Roman" w:eastAsia="Arial Unicode MS" w:hAnsi="Arial Unicode MS" w:cs="Arial Unicode MS"/>
          <w:color w:val="000000"/>
          <w:sz w:val="24"/>
          <w:szCs w:val="24"/>
          <w:u w:color="000000"/>
          <w:bdr w:val="nil"/>
        </w:rPr>
        <w:t xml:space="preserve">ut </w:t>
      </w:r>
      <w:r w:rsidR="000F2D82">
        <w:rPr>
          <w:rFonts w:ascii="Times New Roman" w:eastAsia="Arial Unicode MS" w:hAnsi="Arial Unicode MS" w:cs="Arial Unicode MS"/>
          <w:color w:val="000000"/>
          <w:sz w:val="24"/>
          <w:szCs w:val="24"/>
          <w:u w:color="000000"/>
          <w:bdr w:val="nil"/>
        </w:rPr>
        <w:t xml:space="preserve">they </w:t>
      </w:r>
      <w:r w:rsidRPr="00785A4C">
        <w:rPr>
          <w:rFonts w:ascii="Times New Roman" w:eastAsia="Arial Unicode MS" w:hAnsi="Arial Unicode MS" w:cs="Arial Unicode MS"/>
          <w:color w:val="000000"/>
          <w:sz w:val="24"/>
          <w:szCs w:val="24"/>
          <w:u w:color="000000"/>
          <w:bdr w:val="nil"/>
        </w:rPr>
        <w:t>could also receive payments from PJM to participate in its demand response program.</w:t>
      </w:r>
      <w:r>
        <w:rPr>
          <w:rFonts w:ascii="Times New Roman" w:eastAsia="Arial Unicode MS" w:hAnsi="Arial Unicode MS" w:cs="Arial Unicode MS"/>
          <w:color w:val="000000"/>
          <w:sz w:val="24"/>
          <w:szCs w:val="24"/>
          <w:u w:color="000000"/>
          <w:bdr w:val="nil"/>
          <w:vertAlign w:val="superscript"/>
        </w:rPr>
        <w:footnoteReference w:id="12"/>
      </w:r>
      <w:r w:rsidRPr="00785A4C">
        <w:rPr>
          <w:rFonts w:ascii="Times New Roman" w:eastAsia="Arial Unicode MS" w:hAnsi="Arial Unicode MS" w:cs="Arial Unicode MS"/>
          <w:color w:val="000000"/>
          <w:sz w:val="24"/>
          <w:szCs w:val="24"/>
          <w:u w:color="000000"/>
          <w:bdr w:val="nil"/>
        </w:rPr>
        <w:t xml:space="preserve">  This program is giving payments only to parties that signed or did not </w:t>
      </w:r>
      <w:r w:rsidRPr="00785A4C">
        <w:rPr>
          <w:rFonts w:ascii="Times New Roman" w:eastAsia="Arial Unicode MS" w:hAnsi="Times New Roman" w:cs="Times New Roman"/>
          <w:color w:val="000000"/>
          <w:sz w:val="24"/>
          <w:szCs w:val="24"/>
          <w:u w:color="000000"/>
          <w:bdr w:val="nil"/>
        </w:rPr>
        <w:t>oppose the Settlement.</w:t>
      </w:r>
      <w:r>
        <w:rPr>
          <w:rFonts w:ascii="Times New Roman" w:eastAsia="Arial Unicode MS" w:hAnsi="Times New Roman" w:cs="Times New Roman"/>
          <w:color w:val="000000"/>
          <w:sz w:val="24"/>
          <w:szCs w:val="24"/>
          <w:u w:color="000000"/>
          <w:bdr w:val="nil"/>
          <w:vertAlign w:val="superscript"/>
        </w:rPr>
        <w:footnoteReference w:id="13"/>
      </w:r>
      <w:r w:rsidRPr="00785A4C">
        <w:rPr>
          <w:rFonts w:ascii="Times New Roman" w:eastAsia="Arial Unicode MS" w:hAnsi="Times New Roman" w:cs="Times New Roman"/>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 xml:space="preserve">And it </w:t>
      </w:r>
      <w:r w:rsidR="000F2D82">
        <w:rPr>
          <w:rFonts w:ascii="Times New Roman" w:eastAsia="Arial Unicode MS" w:hAnsi="Arial Unicode MS" w:cs="Arial Unicode MS"/>
          <w:color w:val="000000"/>
          <w:sz w:val="24"/>
          <w:szCs w:val="24"/>
          <w:u w:color="000000"/>
          <w:bdr w:val="nil"/>
        </w:rPr>
        <w:t>has not been shown that</w:t>
      </w:r>
      <w:r w:rsidRPr="00785A4C">
        <w:rPr>
          <w:rFonts w:ascii="Times New Roman" w:eastAsia="Arial Unicode MS" w:hAnsi="Arial Unicode MS" w:cs="Arial Unicode MS"/>
          <w:color w:val="000000"/>
          <w:sz w:val="24"/>
          <w:szCs w:val="24"/>
          <w:u w:color="000000"/>
          <w:bdr w:val="nil"/>
        </w:rPr>
        <w:t xml:space="preserve"> the AEP program provides any benefits beyond what </w:t>
      </w:r>
      <w:r w:rsidRPr="00785A4C">
        <w:rPr>
          <w:rFonts w:ascii="Times New Roman" w:eastAsia="Arial Unicode MS" w:hAnsi="Times New Roman" w:cs="Times New Roman"/>
          <w:color w:val="000000"/>
          <w:sz w:val="24"/>
          <w:szCs w:val="24"/>
          <w:u w:color="000000"/>
          <w:bdr w:val="nil"/>
        </w:rPr>
        <w:t>PJM is already doing.  AEP has not called on its IRP-D customers to curtail their load outside of events called by PJM since the program’s inception in 2012.</w:t>
      </w:r>
      <w:r>
        <w:rPr>
          <w:rFonts w:ascii="Times New Roman" w:eastAsia="Arial Unicode MS" w:hAnsi="Times New Roman" w:cs="Times New Roman"/>
          <w:color w:val="000000"/>
          <w:sz w:val="24"/>
          <w:szCs w:val="24"/>
          <w:u w:color="000000"/>
          <w:bdr w:val="nil"/>
          <w:vertAlign w:val="superscript"/>
        </w:rPr>
        <w:footnoteReference w:id="14"/>
      </w:r>
      <w:r w:rsidRPr="00785A4C">
        <w:rPr>
          <w:rFonts w:ascii="Times New Roman" w:eastAsia="Arial Unicode MS" w:hAnsi="Times New Roman" w:cs="Times New Roman"/>
          <w:color w:val="000000"/>
          <w:sz w:val="24"/>
          <w:szCs w:val="24"/>
          <w:u w:color="000000"/>
          <w:bdr w:val="nil"/>
        </w:rPr>
        <w:t xml:space="preserve">  In fact, there have only been eight events called for a total of around 24 hours.  There has not been an event called</w:t>
      </w:r>
      <w:r w:rsidRPr="00785A4C">
        <w:rPr>
          <w:rFonts w:ascii="Times New Roman" w:eastAsia="Arial Unicode MS" w:hAnsi="Arial Unicode MS" w:cs="Arial Unicode MS"/>
          <w:color w:val="000000"/>
          <w:sz w:val="24"/>
          <w:szCs w:val="24"/>
          <w:u w:color="000000"/>
          <w:bdr w:val="nil"/>
        </w:rPr>
        <w:t xml:space="preserve"> since March 2014.</w:t>
      </w:r>
      <w:r>
        <w:rPr>
          <w:rFonts w:ascii="Times New Roman" w:eastAsia="Arial Unicode MS" w:hAnsi="Arial Unicode MS" w:cs="Arial Unicode MS"/>
          <w:color w:val="000000"/>
          <w:sz w:val="24"/>
          <w:szCs w:val="24"/>
          <w:u w:color="000000"/>
          <w:bdr w:val="nil"/>
          <w:vertAlign w:val="superscript"/>
        </w:rPr>
        <w:footnoteReference w:id="15"/>
      </w:r>
      <w:r w:rsidRPr="00785A4C">
        <w:rPr>
          <w:rFonts w:ascii="Times New Roman" w:eastAsia="Arial Unicode MS" w:hAnsi="Arial Unicode MS" w:cs="Arial Unicode MS"/>
          <w:color w:val="000000"/>
          <w:sz w:val="24"/>
          <w:szCs w:val="24"/>
          <w:u w:color="000000"/>
          <w:bdr w:val="nil"/>
        </w:rPr>
        <w:t xml:space="preserve">  Demand response is part of the PJM portfolio for reliability and it is best managed by the regional transmission organization, not the local utility.</w:t>
      </w:r>
      <w:r>
        <w:rPr>
          <w:rFonts w:ascii="Times New Roman" w:eastAsia="Arial Unicode MS" w:hAnsi="Arial Unicode MS" w:cs="Arial Unicode MS"/>
          <w:color w:val="000000"/>
          <w:sz w:val="24"/>
          <w:szCs w:val="24"/>
          <w:u w:color="000000"/>
          <w:bdr w:val="nil"/>
          <w:vertAlign w:val="superscript"/>
        </w:rPr>
        <w:footnoteReference w:id="16"/>
      </w:r>
      <w:r w:rsidRPr="00785A4C">
        <w:rPr>
          <w:rFonts w:ascii="Times New Roman" w:eastAsia="Arial Unicode MS" w:hAnsi="Arial Unicode MS" w:cs="Arial Unicode MS"/>
          <w:color w:val="000000"/>
          <w:sz w:val="24"/>
          <w:szCs w:val="24"/>
          <w:u w:color="000000"/>
          <w:bdr w:val="nil"/>
        </w:rPr>
        <w:t xml:space="preserve">  If a customer wants to participate in a demand response program then it should participate in the PJM program and receive compensation through that process.</w:t>
      </w:r>
      <w:r>
        <w:rPr>
          <w:rFonts w:ascii="Times New Roman" w:eastAsia="Arial Unicode MS" w:hAnsi="Arial Unicode MS" w:cs="Arial Unicode MS"/>
          <w:color w:val="000000"/>
          <w:sz w:val="24"/>
          <w:szCs w:val="24"/>
          <w:u w:color="000000"/>
          <w:bdr w:val="nil"/>
          <w:vertAlign w:val="superscript"/>
        </w:rPr>
        <w:footnoteReference w:id="17"/>
      </w:r>
      <w:r w:rsidRPr="00785A4C">
        <w:rPr>
          <w:rFonts w:ascii="Times New Roman" w:eastAsia="Arial Unicode MS" w:hAnsi="Arial Unicode MS" w:cs="Arial Unicode MS"/>
          <w:color w:val="000000"/>
          <w:sz w:val="24"/>
          <w:szCs w:val="24"/>
          <w:u w:color="000000"/>
          <w:bdr w:val="nil"/>
        </w:rPr>
        <w:t xml:space="preserve">  It should not be subsidized by AEP customers through unwarranted and unnecessary charges under a negotiated agreement in the Settlement.</w:t>
      </w:r>
      <w:r>
        <w:rPr>
          <w:rFonts w:ascii="Times New Roman" w:eastAsia="Arial Unicode MS" w:hAnsi="Arial Unicode MS" w:cs="Arial Unicode MS"/>
          <w:color w:val="000000"/>
          <w:sz w:val="24"/>
          <w:szCs w:val="24"/>
          <w:u w:color="000000"/>
          <w:bdr w:val="nil"/>
          <w:vertAlign w:val="superscript"/>
        </w:rPr>
        <w:footnoteReference w:id="18"/>
      </w:r>
      <w:r w:rsidRPr="00785A4C">
        <w:rPr>
          <w:rFonts w:ascii="Times New Roman" w:eastAsia="Arial Unicode MS" w:hAnsi="Arial Unicode MS" w:cs="Arial Unicode MS"/>
          <w:color w:val="000000"/>
          <w:sz w:val="24"/>
          <w:szCs w:val="24"/>
          <w:u w:color="000000"/>
          <w:bdr w:val="nil"/>
        </w:rPr>
        <w:t xml:space="preserve">  </w:t>
      </w:r>
      <w:r w:rsidRPr="00785A4C">
        <w:rPr>
          <w:rFonts w:ascii="Times New Roman" w:eastAsia="Arial Unicode MS" w:hAnsi="Times New Roman" w:cs="Times New Roman"/>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left="720" w:firstLine="720"/>
        <w:rPr>
          <w:rFonts w:ascii="Times New Roman" w:eastAsia="Arial Unicode MS" w:hAnsi="Times New Roman" w:cs="Times New Roman"/>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The IRP-D program harms consumers and should be rejected.</w:t>
      </w:r>
    </w:p>
    <w:p w:rsidR="00785A4C" w:rsidRPr="00785A4C" w:rsidP="00726330">
      <w:pPr>
        <w:pStyle w:val="Heading3"/>
        <w:rPr>
          <w:rFonts w:hAnsi="Arial Unicode MS" w:cs="Arial Unicode MS"/>
        </w:rPr>
      </w:pPr>
      <w:bookmarkStart w:id="6" w:name="_Toc499709906"/>
      <w:r>
        <w:t>2.</w:t>
      </w:r>
      <w:r>
        <w:tab/>
      </w:r>
      <w:r w:rsidRPr="00785A4C">
        <w:t>The BTCR Pilot Program does not benefit customers and the public interest.</w:t>
      </w:r>
      <w:bookmarkEnd w:id="6"/>
    </w:p>
    <w:p w:rsidR="00785A4C" w:rsidRPr="007575D2" w:rsidP="007575D2">
      <w:pPr>
        <w:pBdr>
          <w:top w:val="nil"/>
          <w:left w:val="nil"/>
          <w:bottom w:val="nil"/>
          <w:right w:val="nil"/>
          <w:between w:val="nil"/>
          <w:bar w:val="nil"/>
        </w:pBdr>
        <w:spacing w:after="0" w:line="480" w:lineRule="auto"/>
        <w:contextualSpacing/>
        <w:rPr>
          <w:rFonts w:ascii="Times New Roman" w:eastAsia="Arial Unicode MS" w:hAnsi="Times New Roman" w:cs="Times New Roman"/>
          <w:color w:val="000000"/>
          <w:sz w:val="24"/>
          <w:szCs w:val="24"/>
          <w:u w:color="000000"/>
          <w:bdr w:val="nil"/>
        </w:rPr>
      </w:pPr>
      <w:r>
        <w:rPr>
          <w:rFonts w:ascii="Times New Roman" w:eastAsia="Arial Unicode MS" w:hAnsi="Arial Unicode MS" w:cs="Arial Unicode MS"/>
          <w:color w:val="000000"/>
          <w:sz w:val="24"/>
          <w:szCs w:val="24"/>
          <w:u w:color="000000"/>
          <w:bdr w:val="nil"/>
        </w:rPr>
        <w:tab/>
      </w:r>
      <w:r w:rsidRPr="007575D2">
        <w:rPr>
          <w:rFonts w:ascii="Times New Roman" w:eastAsia="Arial Unicode MS" w:hAnsi="Times New Roman" w:cs="Times New Roman"/>
          <w:color w:val="000000"/>
          <w:sz w:val="24"/>
          <w:szCs w:val="24"/>
          <w:u w:color="000000"/>
          <w:bdr w:val="nil"/>
        </w:rPr>
        <w:t>The BTCR Pilot allows certain customers to have their basic transmission costs allocated based on their own one coincident peak (“1CP”) instead of through a customer class allocation.</w:t>
      </w:r>
      <w:r>
        <w:rPr>
          <w:rFonts w:ascii="Times New Roman" w:eastAsia="Arial Unicode MS" w:hAnsi="Times New Roman" w:cs="Times New Roman"/>
          <w:color w:val="000000"/>
          <w:sz w:val="24"/>
          <w:szCs w:val="24"/>
          <w:u w:color="000000"/>
          <w:bdr w:val="nil"/>
          <w:vertAlign w:val="superscript"/>
        </w:rPr>
        <w:footnoteReference w:id="19"/>
      </w:r>
      <w:r w:rsidRPr="007575D2">
        <w:rPr>
          <w:rFonts w:ascii="Times New Roman" w:eastAsia="Arial Unicode MS" w:hAnsi="Times New Roman" w:cs="Times New Roman"/>
          <w:color w:val="000000"/>
          <w:sz w:val="24"/>
          <w:szCs w:val="24"/>
          <w:u w:color="000000"/>
          <w:bdr w:val="nil"/>
        </w:rPr>
        <w:t xml:space="preserve">  A customer’s 1CP is determined during the previous year for the current year transmission allocation.  This means a customer’s 1CP for their 2018 transmission costs is determined in 2017.  The program requires participants to notify AEP by December 1 of each year if they will be participating in the program.  A customer can game the system if they are not able to reduce their load on the 1CP</w:t>
      </w:r>
      <w:r w:rsidRPr="007575D2" w:rsidR="000F2D82">
        <w:rPr>
          <w:rFonts w:ascii="Times New Roman" w:eastAsia="Arial Unicode MS" w:hAnsi="Times New Roman" w:cs="Times New Roman"/>
          <w:color w:val="000000"/>
          <w:sz w:val="24"/>
          <w:szCs w:val="24"/>
          <w:u w:color="000000"/>
          <w:bdr w:val="nil"/>
        </w:rPr>
        <w:t>.</w:t>
      </w:r>
      <w:r w:rsidRPr="007575D2">
        <w:rPr>
          <w:rFonts w:ascii="Times New Roman" w:eastAsia="Arial Unicode MS" w:hAnsi="Times New Roman" w:cs="Times New Roman"/>
          <w:color w:val="000000"/>
          <w:sz w:val="24"/>
          <w:szCs w:val="24"/>
          <w:u w:color="000000"/>
          <w:bdr w:val="nil"/>
        </w:rPr>
        <w:t xml:space="preserve"> </w:t>
      </w:r>
      <w:r w:rsidR="00E92998">
        <w:rPr>
          <w:rFonts w:ascii="Times New Roman" w:eastAsia="Arial Unicode MS" w:hAnsi="Times New Roman" w:cs="Times New Roman"/>
          <w:color w:val="000000"/>
          <w:sz w:val="24"/>
          <w:szCs w:val="24"/>
          <w:u w:color="000000"/>
          <w:bdr w:val="nil"/>
        </w:rPr>
        <w:t xml:space="preserve"> </w:t>
      </w:r>
      <w:r w:rsidRPr="007575D2" w:rsidR="000F2D82">
        <w:rPr>
          <w:rFonts w:ascii="Times New Roman" w:eastAsia="Arial Unicode MS" w:hAnsi="Times New Roman" w:cs="Times New Roman"/>
          <w:color w:val="000000"/>
          <w:sz w:val="24"/>
          <w:szCs w:val="24"/>
          <w:u w:color="000000"/>
          <w:bdr w:val="nil"/>
        </w:rPr>
        <w:t>T</w:t>
      </w:r>
      <w:r w:rsidRPr="007575D2">
        <w:rPr>
          <w:rFonts w:ascii="Times New Roman" w:eastAsia="Arial Unicode MS" w:hAnsi="Times New Roman" w:cs="Times New Roman"/>
          <w:color w:val="000000"/>
          <w:sz w:val="24"/>
          <w:szCs w:val="24"/>
          <w:u w:color="000000"/>
          <w:bdr w:val="nil"/>
        </w:rPr>
        <w:t>he customer can decide not to participate and pay transmission costs based on the class wide allocation.</w:t>
      </w:r>
      <w:r>
        <w:rPr>
          <w:rFonts w:ascii="Times New Roman" w:eastAsia="Arial Unicode MS" w:hAnsi="Times New Roman" w:cs="Times New Roman"/>
          <w:color w:val="000000"/>
          <w:sz w:val="24"/>
          <w:szCs w:val="24"/>
          <w:u w:color="000000"/>
          <w:bdr w:val="nil"/>
          <w:vertAlign w:val="superscript"/>
        </w:rPr>
        <w:footnoteReference w:id="20"/>
      </w:r>
      <w:r w:rsidRPr="007575D2">
        <w:rPr>
          <w:rFonts w:ascii="Times New Roman" w:eastAsia="Arial Unicode MS" w:hAnsi="Times New Roman" w:cs="Times New Roman"/>
          <w:color w:val="000000"/>
          <w:sz w:val="24"/>
          <w:szCs w:val="24"/>
          <w:u w:color="000000"/>
          <w:bdr w:val="nil"/>
        </w:rPr>
        <w:t xml:space="preserve">  Then the next year if they are able to reduce load on the 1CP they can jump back into the BTCR Pilot.</w:t>
      </w:r>
      <w:r>
        <w:rPr>
          <w:rFonts w:ascii="Times New Roman" w:eastAsia="Arial Unicode MS" w:hAnsi="Times New Roman" w:cs="Times New Roman"/>
          <w:color w:val="000000"/>
          <w:sz w:val="24"/>
          <w:szCs w:val="24"/>
          <w:u w:color="000000"/>
          <w:bdr w:val="nil"/>
          <w:vertAlign w:val="superscript"/>
        </w:rPr>
        <w:footnoteReference w:id="21"/>
      </w:r>
      <w:r w:rsidRPr="007575D2">
        <w:rPr>
          <w:rFonts w:ascii="Times New Roman" w:eastAsia="Arial Unicode MS" w:hAnsi="Times New Roman" w:cs="Times New Roman"/>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Arial Unicode MS" w:cs="Arial Unicode MS"/>
          <w:color w:val="000000"/>
          <w:sz w:val="24"/>
          <w:szCs w:val="24"/>
          <w:u w:color="000000"/>
          <w:bdr w:val="nil"/>
        </w:rPr>
      </w:pPr>
      <w:r w:rsidRPr="00D50A0D">
        <w:rPr>
          <w:rFonts w:ascii="Times New Roman" w:eastAsia="Arial Unicode MS" w:hAnsi="Times New Roman" w:cs="Times New Roman"/>
          <w:color w:val="000000"/>
          <w:sz w:val="24"/>
          <w:szCs w:val="24"/>
          <w:u w:color="000000"/>
          <w:bdr w:val="nil"/>
        </w:rPr>
        <w:t xml:space="preserve">By </w:t>
      </w:r>
      <w:r w:rsidRPr="00D50A0D">
        <w:rPr>
          <w:rFonts w:ascii="Times New Roman" w:hAnsi="Times New Roman" w:cs="Times New Roman"/>
          <w:sz w:val="24"/>
          <w:szCs w:val="24"/>
        </w:rPr>
        <w:t xml:space="preserve">jumping back and forth </w:t>
      </w:r>
      <w:r w:rsidRPr="00D50A0D" w:rsidR="000F2D82">
        <w:rPr>
          <w:rFonts w:ascii="Times New Roman" w:hAnsi="Times New Roman" w:cs="Times New Roman"/>
          <w:sz w:val="24"/>
          <w:szCs w:val="24"/>
        </w:rPr>
        <w:t>the program’s effectiveness is reduced</w:t>
      </w:r>
      <w:r w:rsidR="002634EC">
        <w:rPr>
          <w:rFonts w:ascii="Times New Roman" w:hAnsi="Times New Roman" w:cs="Times New Roman"/>
          <w:sz w:val="24"/>
          <w:szCs w:val="24"/>
        </w:rPr>
        <w:t>, and non-participating customers are harmed</w:t>
      </w:r>
      <w:r w:rsidRPr="00D50A0D">
        <w:rPr>
          <w:rFonts w:ascii="Times New Roman" w:hAnsi="Times New Roman" w:cs="Times New Roman"/>
          <w:sz w:val="24"/>
          <w:szCs w:val="24"/>
        </w:rPr>
        <w:t>.</w:t>
      </w:r>
      <w:r>
        <w:rPr>
          <w:rFonts w:ascii="Times New Roman" w:hAnsi="Times New Roman" w:cs="Times New Roman"/>
          <w:sz w:val="24"/>
          <w:szCs w:val="24"/>
          <w:vertAlign w:val="superscript"/>
        </w:rPr>
        <w:footnoteReference w:id="22"/>
      </w:r>
      <w:r w:rsidRPr="00D50A0D">
        <w:rPr>
          <w:rFonts w:ascii="Times New Roman" w:hAnsi="Times New Roman" w:cs="Times New Roman"/>
          <w:sz w:val="24"/>
          <w:szCs w:val="24"/>
        </w:rPr>
        <w:t xml:space="preserve">  The intent is to reduce th</w:t>
      </w:r>
      <w:r w:rsidRPr="00D50A0D">
        <w:rPr>
          <w:rFonts w:ascii="Times New Roman" w:eastAsia="Arial Unicode MS" w:hAnsi="Times New Roman" w:cs="Times New Roman"/>
          <w:color w:val="000000"/>
          <w:sz w:val="24"/>
          <w:szCs w:val="24"/>
          <w:u w:color="000000"/>
          <w:bdr w:val="nil"/>
        </w:rPr>
        <w:t>e overall</w:t>
      </w:r>
      <w:r w:rsidRPr="00785A4C">
        <w:rPr>
          <w:rFonts w:ascii="Times New Roman" w:eastAsia="Arial Unicode MS" w:hAnsi="Arial Unicode MS" w:cs="Arial Unicode MS"/>
          <w:color w:val="000000"/>
          <w:sz w:val="24"/>
          <w:szCs w:val="24"/>
          <w:u w:color="000000"/>
          <w:bdr w:val="nil"/>
        </w:rPr>
        <w:t xml:space="preserve"> load at peak times for the AEP system, but instead this just reduces a </w:t>
      </w:r>
      <w:r w:rsidR="006C0CE7">
        <w:rPr>
          <w:rFonts w:ascii="Times New Roman" w:eastAsia="Arial Unicode MS" w:hAnsi="Arial Unicode MS" w:cs="Arial Unicode MS"/>
          <w:color w:val="000000"/>
          <w:sz w:val="24"/>
          <w:szCs w:val="24"/>
          <w:u w:color="000000"/>
          <w:bdr w:val="nil"/>
        </w:rPr>
        <w:t xml:space="preserve">participating </w:t>
      </w:r>
      <w:r w:rsidRPr="00785A4C">
        <w:rPr>
          <w:rFonts w:ascii="Times New Roman" w:eastAsia="Arial Unicode MS" w:hAnsi="Times New Roman" w:cs="Times New Roman"/>
          <w:color w:val="000000"/>
          <w:sz w:val="24"/>
          <w:szCs w:val="24"/>
          <w:u w:color="000000"/>
          <w:bdr w:val="nil"/>
        </w:rPr>
        <w:t>customer’s bill without necessarily offering a continual reduction in load for AEP</w:t>
      </w:r>
      <w:r w:rsidR="006C0CE7">
        <w:rPr>
          <w:rFonts w:ascii="Times New Roman" w:eastAsia="Arial Unicode MS" w:hAnsi="Times New Roman" w:cs="Times New Roman"/>
          <w:color w:val="000000"/>
          <w:sz w:val="24"/>
          <w:szCs w:val="24"/>
          <w:u w:color="000000"/>
          <w:bdr w:val="nil"/>
        </w:rPr>
        <w:t xml:space="preserve"> and system-wide benefits</w:t>
      </w:r>
      <w:r w:rsidRPr="00785A4C">
        <w:rPr>
          <w:rFonts w:ascii="Times New Roman" w:eastAsia="Arial Unicode MS" w:hAnsi="Times New Roman" w:cs="Times New Roman"/>
          <w:color w:val="000000"/>
          <w:sz w:val="24"/>
          <w:szCs w:val="24"/>
          <w:u w:color="000000"/>
          <w:bdr w:val="nil"/>
        </w:rPr>
        <w:t>.</w:t>
      </w:r>
      <w:r>
        <w:rPr>
          <w:rFonts w:ascii="Times New Roman" w:eastAsia="Arial Unicode MS" w:hAnsi="Times New Roman" w:cs="Times New Roman"/>
          <w:color w:val="000000"/>
          <w:sz w:val="24"/>
          <w:szCs w:val="24"/>
          <w:u w:color="000000"/>
          <w:bdr w:val="nil"/>
          <w:vertAlign w:val="superscript"/>
        </w:rPr>
        <w:footnoteReference w:id="23"/>
      </w:r>
      <w:r w:rsidRPr="00785A4C">
        <w:rPr>
          <w:rFonts w:ascii="Times New Roman" w:eastAsia="Arial Unicode MS" w:hAnsi="Times New Roman" w:cs="Times New Roman"/>
          <w:color w:val="000000"/>
          <w:sz w:val="24"/>
          <w:szCs w:val="24"/>
          <w:u w:color="000000"/>
          <w:bdr w:val="nil"/>
        </w:rPr>
        <w:t xml:space="preserve">  So</w:t>
      </w:r>
      <w:r w:rsidRPr="00785A4C">
        <w:rPr>
          <w:rFonts w:ascii="Times New Roman" w:eastAsia="Arial Unicode MS" w:hAnsi="Arial Unicode MS" w:cs="Arial Unicode MS"/>
          <w:color w:val="000000"/>
          <w:sz w:val="24"/>
          <w:szCs w:val="24"/>
          <w:u w:color="000000"/>
          <w:bdr w:val="nil"/>
        </w:rPr>
        <w:t>me customers, such as schools, will already have lower load during the 1CP and offer no additional value to reducing the load of the system.</w:t>
      </w:r>
      <w:r>
        <w:rPr>
          <w:rFonts w:ascii="Times New Roman" w:eastAsia="Arial Unicode MS" w:hAnsi="Arial Unicode MS" w:cs="Arial Unicode MS"/>
          <w:color w:val="000000"/>
          <w:sz w:val="24"/>
          <w:szCs w:val="24"/>
          <w:u w:color="000000"/>
          <w:bdr w:val="nil"/>
          <w:vertAlign w:val="superscript"/>
        </w:rPr>
        <w:footnoteReference w:id="24"/>
      </w:r>
      <w:r w:rsidRPr="00785A4C">
        <w:rPr>
          <w:rFonts w:ascii="Times New Roman" w:eastAsia="Arial Unicode MS" w:hAnsi="Arial Unicode MS" w:cs="Arial Unicode MS"/>
          <w:color w:val="000000"/>
          <w:sz w:val="24"/>
          <w:szCs w:val="24"/>
          <w:u w:color="000000"/>
          <w:bdr w:val="nil"/>
        </w:rPr>
        <w:t xml:space="preserve">  If a customer enrolls in the program it should make a commitment to be in the program every year regardless of whether the customer was able to reduce their load during the 1CP, and demonstrate that they are reducing their load on the 1CP.</w:t>
      </w:r>
      <w:r>
        <w:rPr>
          <w:rFonts w:ascii="Times New Roman" w:eastAsia="Arial Unicode MS" w:hAnsi="Arial Unicode MS" w:cs="Arial Unicode MS"/>
          <w:color w:val="000000"/>
          <w:sz w:val="24"/>
          <w:szCs w:val="24"/>
          <w:u w:color="000000"/>
          <w:bdr w:val="nil"/>
          <w:vertAlign w:val="superscript"/>
        </w:rPr>
        <w:footnoteReference w:id="25"/>
      </w:r>
      <w:r w:rsidRPr="00785A4C">
        <w:rPr>
          <w:rFonts w:ascii="Times New Roman" w:eastAsia="Arial Unicode MS" w:hAnsi="Arial Unicode MS" w:cs="Arial Unicode MS"/>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 xml:space="preserve">Further, as with the IRP-D program, this is only offered to customers that signed the Settlement.  This limits the effectiveness of the program.  The program should seek out the customers that can benefit the goal of reducing load at peak times, not </w:t>
      </w:r>
      <w:r w:rsidRPr="00785A4C">
        <w:rPr>
          <w:rFonts w:ascii="Times New Roman" w:eastAsia="Arial Unicode MS" w:hAnsi="Times New Roman" w:cs="Times New Roman"/>
          <w:color w:val="000000"/>
          <w:sz w:val="24"/>
          <w:szCs w:val="24"/>
          <w:u w:color="000000"/>
          <w:bdr w:val="nil"/>
        </w:rPr>
        <w:t>just hand out discounts to signatory, or non-opposing, parties.</w:t>
      </w:r>
      <w:r>
        <w:rPr>
          <w:rFonts w:ascii="Times New Roman" w:eastAsia="Arial Unicode MS" w:hAnsi="Times New Roman" w:cs="Times New Roman"/>
          <w:color w:val="000000"/>
          <w:sz w:val="24"/>
          <w:szCs w:val="24"/>
          <w:u w:color="000000"/>
          <w:bdr w:val="nil"/>
          <w:vertAlign w:val="superscript"/>
        </w:rPr>
        <w:footnoteReference w:id="26"/>
      </w:r>
      <w:r w:rsidRPr="00785A4C">
        <w:rPr>
          <w:rFonts w:ascii="Times New Roman" w:eastAsia="Arial Unicode MS" w:hAnsi="Times New Roman" w:cs="Times New Roman"/>
          <w:color w:val="000000"/>
          <w:sz w:val="24"/>
          <w:szCs w:val="24"/>
          <w:u w:color="000000"/>
          <w:bdr w:val="nil"/>
        </w:rPr>
        <w:t xml:space="preserve">  The program that gives a special rate to those who signed (or did not oppose) the Settlement is</w:t>
      </w:r>
      <w:r w:rsidRPr="00785A4C">
        <w:rPr>
          <w:rFonts w:ascii="Times New Roman" w:eastAsia="Arial Unicode MS" w:hAnsi="Arial Unicode MS" w:cs="Arial Unicode MS"/>
          <w:color w:val="000000"/>
          <w:sz w:val="24"/>
          <w:szCs w:val="24"/>
          <w:u w:color="000000"/>
          <w:bdr w:val="nil"/>
        </w:rPr>
        <w:t xml:space="preserve"> unduly preferential and discriminatory.</w:t>
      </w:r>
      <w:r>
        <w:rPr>
          <w:rFonts w:ascii="Times New Roman" w:eastAsia="Arial Unicode MS" w:hAnsi="Arial Unicode MS" w:cs="Arial Unicode MS"/>
          <w:color w:val="000000"/>
          <w:sz w:val="24"/>
          <w:szCs w:val="24"/>
          <w:u w:color="000000"/>
          <w:bdr w:val="nil"/>
          <w:vertAlign w:val="superscript"/>
        </w:rPr>
        <w:footnoteReference w:id="27"/>
      </w:r>
      <w:r w:rsidRPr="00785A4C">
        <w:rPr>
          <w:rFonts w:ascii="Times New Roman" w:eastAsia="Arial Unicode MS" w:hAnsi="Arial Unicode MS" w:cs="Arial Unicode MS"/>
          <w:color w:val="000000"/>
          <w:sz w:val="24"/>
          <w:szCs w:val="24"/>
          <w:u w:color="000000"/>
          <w:bdr w:val="nil"/>
        </w:rPr>
        <w:t xml:space="preserve"> </w:t>
      </w:r>
    </w:p>
    <w:p w:rsidR="00726330" w:rsidP="007575D2">
      <w:pPr>
        <w:pBdr>
          <w:top w:val="nil"/>
          <w:left w:val="nil"/>
          <w:bottom w:val="nil"/>
          <w:right w:val="nil"/>
          <w:between w:val="nil"/>
          <w:bar w:val="nil"/>
        </w:pBdr>
        <w:spacing w:after="0" w:line="480" w:lineRule="auto"/>
        <w:ind w:left="720" w:hanging="720"/>
        <w:rPr>
          <w:rFonts w:ascii="Times New Roman Bold" w:eastAsia="Arial Unicode MS" w:hAnsi="Arial Unicode MS" w:cs="Arial Unicode MS"/>
          <w:b/>
          <w:spacing w:val="-3"/>
          <w:sz w:val="24"/>
          <w:szCs w:val="24"/>
          <w:u w:color="000000"/>
          <w:bdr w:val="nil"/>
        </w:rPr>
      </w:pPr>
      <w:r>
        <w:rPr>
          <w:rFonts w:ascii="Times New Roman" w:eastAsia="Arial Unicode MS" w:hAnsi="Arial Unicode MS" w:cs="Arial Unicode MS"/>
          <w:color w:val="000000"/>
          <w:sz w:val="24"/>
          <w:szCs w:val="24"/>
          <w:u w:color="000000"/>
          <w:bdr w:val="nil"/>
        </w:rPr>
        <w:tab/>
      </w:r>
      <w:r w:rsidRPr="00785A4C" w:rsidR="00785A4C">
        <w:rPr>
          <w:rFonts w:ascii="Times New Roman" w:eastAsia="Arial Unicode MS" w:hAnsi="Arial Unicode MS" w:cs="Arial Unicode MS"/>
          <w:color w:val="000000"/>
          <w:sz w:val="24"/>
          <w:szCs w:val="24"/>
          <w:u w:color="000000"/>
          <w:bdr w:val="nil"/>
        </w:rPr>
        <w:t>The BTCR Pilot harms consumers and should be rejected.</w:t>
      </w:r>
    </w:p>
    <w:p w:rsidR="00785A4C" w:rsidRPr="00785A4C" w:rsidP="00726330">
      <w:pPr>
        <w:pStyle w:val="Heading3"/>
      </w:pPr>
      <w:bookmarkStart w:id="7" w:name="_Toc499709907"/>
      <w:r>
        <w:rPr>
          <w:rFonts w:hAnsi="Arial Unicode MS" w:cs="Arial Unicode MS"/>
        </w:rPr>
        <w:t>3.</w:t>
      </w:r>
      <w:r>
        <w:rPr>
          <w:rFonts w:hAnsi="Arial Unicode MS" w:cs="Arial Unicode MS"/>
        </w:rPr>
        <w:tab/>
      </w:r>
      <w:r w:rsidRPr="00785A4C">
        <w:rPr>
          <w:rFonts w:hAnsi="Arial Unicode MS" w:cs="Arial Unicode MS"/>
        </w:rPr>
        <w:t xml:space="preserve">The automaker credit </w:t>
      </w:r>
      <w:r w:rsidRPr="00785A4C">
        <w:t>does not benefit customers and the public interest.</w:t>
      </w:r>
      <w:bookmarkEnd w:id="7"/>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automaker credit is a $10/MWh credit for all kWh consumption above an automaker facility’s 2009 calendar year usage (baseline).</w:t>
      </w:r>
      <w:r>
        <w:rPr>
          <w:rFonts w:ascii="Times New Roman" w:eastAsia="Arial Unicode MS" w:hAnsi="Times New Roman" w:cs="Times New Roman"/>
          <w:sz w:val="24"/>
          <w:szCs w:val="24"/>
          <w:bdr w:val="nil"/>
          <w:vertAlign w:val="superscript"/>
        </w:rPr>
        <w:footnoteReference w:id="28"/>
      </w:r>
      <w:r w:rsidRPr="00785A4C">
        <w:rPr>
          <w:rFonts w:ascii="Times New Roman" w:eastAsia="Arial Unicode MS" w:hAnsi="Times New Roman" w:cs="Times New Roman"/>
          <w:sz w:val="24"/>
          <w:szCs w:val="24"/>
          <w:bdr w:val="nil"/>
        </w:rPr>
        <w:t xml:space="preserve">  </w:t>
      </w:r>
      <w:r w:rsidR="006C0CE7">
        <w:rPr>
          <w:rFonts w:ascii="Times New Roman" w:eastAsia="Arial Unicode MS" w:hAnsi="Times New Roman" w:cs="Times New Roman"/>
          <w:sz w:val="24"/>
          <w:szCs w:val="24"/>
          <w:bdr w:val="nil"/>
        </w:rPr>
        <w:t xml:space="preserve">The credit reduces the automaker’s bill and that bill reduction is subsidized by all other customers. </w:t>
      </w:r>
      <w:r w:rsidRPr="00785A4C">
        <w:rPr>
          <w:rFonts w:ascii="Times New Roman" w:eastAsia="Arial Unicode MS" w:hAnsi="Times New Roman" w:cs="Times New Roman"/>
          <w:sz w:val="24"/>
          <w:szCs w:val="24"/>
          <w:bdr w:val="nil"/>
        </w:rPr>
        <w:t>There is no justification why 2009 was used as a baseline.  But a look at the automotive industry in Ohio over the past nine years may give some insight.  The Ohio Development Services Agency released a report titled “The Ohio Motor Vehicle Report” for December 2016.</w:t>
      </w:r>
      <w:r>
        <w:rPr>
          <w:rFonts w:ascii="Times New Roman" w:eastAsia="Arial Unicode MS" w:hAnsi="Times New Roman" w:cs="Times New Roman"/>
          <w:sz w:val="24"/>
          <w:szCs w:val="24"/>
          <w:bdr w:val="nil"/>
          <w:vertAlign w:val="superscript"/>
        </w:rPr>
        <w:footnoteReference w:id="29"/>
      </w:r>
      <w:r w:rsidRPr="00785A4C">
        <w:rPr>
          <w:rFonts w:ascii="Times New Roman" w:eastAsia="Arial Unicode MS" w:hAnsi="Times New Roman" w:cs="Times New Roman"/>
          <w:sz w:val="24"/>
          <w:szCs w:val="24"/>
          <w:bdr w:val="nil"/>
        </w:rPr>
        <w:t xml:space="preserve">  The report shows a decrease in light vehicle production of 43% between 2008 and 2009.</w:t>
      </w:r>
      <w:r>
        <w:rPr>
          <w:rFonts w:ascii="Times New Roman" w:eastAsia="Arial Unicode MS" w:hAnsi="Times New Roman" w:cs="Times New Roman"/>
          <w:sz w:val="24"/>
          <w:szCs w:val="24"/>
          <w:bdr w:val="nil"/>
          <w:vertAlign w:val="superscript"/>
        </w:rPr>
        <w:footnoteReference w:id="30"/>
      </w:r>
      <w:r w:rsidRPr="00785A4C">
        <w:rPr>
          <w:rFonts w:ascii="Times New Roman" w:eastAsia="Arial Unicode MS" w:hAnsi="Times New Roman" w:cs="Times New Roman"/>
          <w:sz w:val="24"/>
          <w:szCs w:val="24"/>
          <w:bdr w:val="nil"/>
        </w:rPr>
        <w:t xml:space="preserve">  The light vehicle production in 2015 was higher than 2008 and an 82% increase over 2009.</w:t>
      </w:r>
      <w:r>
        <w:rPr>
          <w:rFonts w:ascii="Times New Roman" w:eastAsia="Arial Unicode MS" w:hAnsi="Times New Roman" w:cs="Times New Roman"/>
          <w:sz w:val="24"/>
          <w:szCs w:val="24"/>
          <w:bdr w:val="nil"/>
          <w:vertAlign w:val="superscript"/>
        </w:rPr>
        <w:footnoteReference w:id="31"/>
      </w:r>
      <w:r w:rsidRPr="00785A4C">
        <w:rPr>
          <w:rFonts w:ascii="Times New Roman" w:eastAsia="Arial Unicode MS" w:hAnsi="Times New Roman" w:cs="Times New Roman"/>
          <w:sz w:val="24"/>
          <w:szCs w:val="24"/>
          <w:bdr w:val="nil"/>
        </w:rPr>
        <w:t xml:space="preserve">  Essentially, 2009 was the lowest point of auto production in Ohio over the nine-year period evaluated.</w:t>
      </w:r>
      <w:r>
        <w:rPr>
          <w:rFonts w:ascii="Times New Roman" w:eastAsia="Arial Unicode MS" w:hAnsi="Times New Roman" w:cs="Times New Roman"/>
          <w:sz w:val="24"/>
          <w:szCs w:val="24"/>
          <w:bdr w:val="nil"/>
          <w:vertAlign w:val="superscript"/>
        </w:rPr>
        <w:footnoteReference w:id="32"/>
      </w:r>
      <w:r w:rsidRPr="00785A4C">
        <w:rPr>
          <w:rFonts w:ascii="Times New Roman" w:eastAsia="Arial Unicode MS" w:hAnsi="Times New Roman" w:cs="Times New Roman"/>
          <w:sz w:val="24"/>
          <w:szCs w:val="24"/>
          <w:bdr w:val="nil"/>
        </w:rPr>
        <w:t xml:space="preserve">  When used as a baseline for a consumption credit, it greatly increases the amount of credit funded by customers.  It is not a fair baseline upon which to set the credit.</w:t>
      </w:r>
      <w:r>
        <w:rPr>
          <w:rFonts w:ascii="Times New Roman" w:eastAsia="Arial Unicode MS" w:hAnsi="Times New Roman" w:cs="Times New Roman"/>
          <w:sz w:val="24"/>
          <w:szCs w:val="24"/>
          <w:bdr w:val="nil"/>
          <w:vertAlign w:val="superscript"/>
        </w:rPr>
        <w:footnoteReference w:id="33"/>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More importantly, this type of credit should be considered part of an economic development project.  If the customers eligible for this credit are in need of a reduction in their electric bills they should apply for a reasonable arrangement under R.C. 4905.31.</w:t>
      </w:r>
      <w:r>
        <w:rPr>
          <w:rFonts w:ascii="Times New Roman" w:eastAsia="Arial Unicode MS" w:hAnsi="Arial Unicode MS" w:cs="Arial Unicode MS"/>
          <w:color w:val="000000"/>
          <w:sz w:val="24"/>
          <w:szCs w:val="24"/>
          <w:u w:color="000000"/>
          <w:bdr w:val="nil"/>
          <w:vertAlign w:val="superscript"/>
        </w:rPr>
        <w:footnoteReference w:id="34"/>
      </w:r>
    </w:p>
    <w:p w:rsidR="00785A4C" w:rsidRPr="00785A4C" w:rsidP="00785A4C">
      <w:pPr>
        <w:pBdr>
          <w:top w:val="nil"/>
          <w:left w:val="nil"/>
          <w:bottom w:val="nil"/>
          <w:right w:val="nil"/>
          <w:between w:val="nil"/>
          <w:bar w:val="nil"/>
        </w:pBdr>
        <w:spacing w:after="0" w:line="480" w:lineRule="auto"/>
        <w:rPr>
          <w:rFonts w:ascii="Times New Roman" w:eastAsia="Arial Unicode MS" w:hAnsi="Arial Unicode MS" w:cs="Arial Unicode MS"/>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 xml:space="preserve">Under the current laws for reasonable arrangements there are rules that govern the process.  </w:t>
      </w:r>
      <w:r w:rsidRPr="00785A4C">
        <w:rPr>
          <w:rFonts w:ascii="Times New Roman" w:eastAsia="Arial Unicode MS" w:hAnsi="Arial Unicode MS" w:cs="Arial Unicode MS"/>
          <w:color w:val="000000"/>
          <w:sz w:val="24"/>
          <w:szCs w:val="24"/>
          <w:u w:color="000000"/>
          <w:bdr w:val="nil"/>
        </w:rPr>
        <w:t>In any type of economic development arrangement, the applicant must file detailed information to allow parties to assess whether the application appears to be just and reasonable.</w:t>
      </w:r>
      <w:r>
        <w:rPr>
          <w:rFonts w:ascii="Times New Roman" w:eastAsia="Arial Unicode MS" w:hAnsi="Arial Unicode MS" w:cs="Arial Unicode MS"/>
          <w:color w:val="000000"/>
          <w:sz w:val="24"/>
          <w:szCs w:val="24"/>
          <w:u w:color="000000"/>
          <w:bdr w:val="nil"/>
          <w:vertAlign w:val="superscript"/>
        </w:rPr>
        <w:footnoteReference w:id="35"/>
      </w:r>
      <w:r w:rsidRPr="00785A4C">
        <w:rPr>
          <w:rFonts w:ascii="Times New Roman" w:eastAsia="Arial Unicode MS" w:hAnsi="Arial Unicode MS" w:cs="Arial Unicode MS"/>
          <w:color w:val="000000"/>
          <w:sz w:val="24"/>
          <w:szCs w:val="24"/>
          <w:u w:color="000000"/>
          <w:bdr w:val="nil"/>
        </w:rPr>
        <w:t xml:space="preserve">  The customer also bears the burden of proof that the arrangement is reasonable and is not discriminatory.</w:t>
      </w:r>
      <w:r>
        <w:rPr>
          <w:rFonts w:ascii="Times New Roman" w:eastAsia="Arial Unicode MS" w:hAnsi="Arial Unicode MS" w:cs="Arial Unicode MS"/>
          <w:color w:val="000000"/>
          <w:sz w:val="24"/>
          <w:szCs w:val="24"/>
          <w:u w:color="000000"/>
          <w:bdr w:val="nil"/>
          <w:vertAlign w:val="superscript"/>
        </w:rPr>
        <w:footnoteReference w:id="36"/>
      </w:r>
      <w:r w:rsidRPr="00785A4C">
        <w:rPr>
          <w:rFonts w:ascii="Times New Roman" w:eastAsia="Arial Unicode MS" w:hAnsi="Arial Unicode MS" w:cs="Arial Unicode MS"/>
          <w:color w:val="000000"/>
          <w:sz w:val="24"/>
          <w:szCs w:val="24"/>
          <w:u w:color="000000"/>
          <w:bdr w:val="nil"/>
        </w:rPr>
        <w:t xml:space="preserve">  Parties are able to file comments on the application and can seek an evidentiary hearing if the PUCO determines the arrangement may be unjust and unreasonable.  Economic development applications are evaluated on a case-by-case basis and the PUCO weighs all of the positive aspects against the costs to customers.</w:t>
      </w:r>
      <w:r>
        <w:rPr>
          <w:rFonts w:ascii="Times New Roman" w:eastAsia="Arial Unicode MS" w:hAnsi="Arial Unicode MS" w:cs="Arial Unicode MS"/>
          <w:color w:val="000000"/>
          <w:sz w:val="24"/>
          <w:szCs w:val="24"/>
          <w:u w:color="000000"/>
          <w:bdr w:val="nil"/>
          <w:vertAlign w:val="superscript"/>
        </w:rPr>
        <w:footnoteReference w:id="37"/>
      </w:r>
      <w:r w:rsidRPr="00785A4C">
        <w:rPr>
          <w:rFonts w:ascii="Times New Roman" w:eastAsia="Arial Unicode MS" w:hAnsi="Arial Unicode MS" w:cs="Arial Unicode MS"/>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The reasonable arrangement process allows for a comprehensive examination</w:t>
      </w:r>
      <w:r w:rsidR="00F5503E">
        <w:rPr>
          <w:rFonts w:ascii="Times New Roman" w:eastAsia="Arial Unicode MS" w:hAnsi="Arial Unicode MS" w:cs="Arial Unicode MS"/>
          <w:color w:val="000000"/>
          <w:sz w:val="24"/>
          <w:szCs w:val="24"/>
          <w:u w:color="000000"/>
          <w:bdr w:val="nil"/>
        </w:rPr>
        <w:t xml:space="preserve"> that balances the benefits of the discount to be funded with the cost to other customers funding the discount.  But in this </w:t>
      </w:r>
      <w:r w:rsidR="00F251C5">
        <w:rPr>
          <w:rFonts w:ascii="Times New Roman" w:eastAsia="Arial Unicode MS" w:hAnsi="Arial Unicode MS" w:cs="Arial Unicode MS"/>
          <w:color w:val="000000"/>
          <w:sz w:val="24"/>
          <w:szCs w:val="24"/>
          <w:u w:color="000000"/>
          <w:bdr w:val="nil"/>
        </w:rPr>
        <w:t>S</w:t>
      </w:r>
      <w:r w:rsidR="00F5503E">
        <w:rPr>
          <w:rFonts w:ascii="Times New Roman" w:eastAsia="Arial Unicode MS" w:hAnsi="Arial Unicode MS" w:cs="Arial Unicode MS"/>
          <w:color w:val="000000"/>
          <w:sz w:val="24"/>
          <w:szCs w:val="24"/>
          <w:u w:color="000000"/>
          <w:bdr w:val="nil"/>
        </w:rPr>
        <w:t xml:space="preserve">ettlement, </w:t>
      </w:r>
      <w:r w:rsidR="00F251C5">
        <w:rPr>
          <w:rFonts w:ascii="Times New Roman" w:eastAsia="Arial Unicode MS" w:hAnsi="Arial Unicode MS" w:cs="Arial Unicode MS"/>
          <w:color w:val="000000"/>
          <w:sz w:val="24"/>
          <w:szCs w:val="24"/>
          <w:u w:color="000000"/>
          <w:bdr w:val="nil"/>
        </w:rPr>
        <w:t>AEP</w:t>
      </w:r>
      <w:r w:rsidR="00F5503E">
        <w:rPr>
          <w:rFonts w:ascii="Times New Roman" w:eastAsia="Arial Unicode MS" w:hAnsi="Arial Unicode MS" w:cs="Arial Unicode MS"/>
          <w:color w:val="000000"/>
          <w:sz w:val="24"/>
          <w:szCs w:val="24"/>
          <w:u w:color="000000"/>
          <w:bdr w:val="nil"/>
        </w:rPr>
        <w:t xml:space="preserve"> is </w:t>
      </w:r>
      <w:r w:rsidRPr="00785A4C">
        <w:rPr>
          <w:rFonts w:ascii="Times New Roman" w:eastAsia="Arial Unicode MS" w:hAnsi="Arial Unicode MS" w:cs="Arial Unicode MS"/>
          <w:color w:val="000000"/>
          <w:sz w:val="24"/>
          <w:szCs w:val="24"/>
          <w:u w:color="000000"/>
          <w:bdr w:val="nil"/>
        </w:rPr>
        <w:t>hand</w:t>
      </w:r>
      <w:r w:rsidR="00F5503E">
        <w:rPr>
          <w:rFonts w:ascii="Times New Roman" w:eastAsia="Arial Unicode MS" w:hAnsi="Arial Unicode MS" w:cs="Arial Unicode MS"/>
          <w:color w:val="000000"/>
          <w:sz w:val="24"/>
          <w:szCs w:val="24"/>
          <w:u w:color="000000"/>
          <w:bdr w:val="nil"/>
        </w:rPr>
        <w:t>ing</w:t>
      </w:r>
      <w:r w:rsidRPr="00785A4C">
        <w:rPr>
          <w:rFonts w:ascii="Times New Roman" w:eastAsia="Arial Unicode MS" w:hAnsi="Arial Unicode MS" w:cs="Arial Unicode MS"/>
          <w:color w:val="000000"/>
          <w:sz w:val="24"/>
          <w:szCs w:val="24"/>
          <w:u w:color="000000"/>
          <w:bdr w:val="nil"/>
        </w:rPr>
        <w:t xml:space="preserve"> out credits to customers based upon whether they signed a settlement.  Here, although the credits may lower the operating costs for </w:t>
      </w:r>
      <w:r w:rsidR="000F2D82">
        <w:rPr>
          <w:rFonts w:ascii="Times New Roman" w:eastAsia="Arial Unicode MS" w:hAnsi="Arial Unicode MS" w:cs="Arial Unicode MS"/>
          <w:color w:val="000000"/>
          <w:sz w:val="24"/>
          <w:szCs w:val="24"/>
          <w:u w:color="000000"/>
          <w:bdr w:val="nil"/>
        </w:rPr>
        <w:t>participating</w:t>
      </w:r>
      <w:r w:rsidRPr="00785A4C">
        <w:rPr>
          <w:rFonts w:ascii="Times New Roman" w:eastAsia="Arial Unicode MS" w:hAnsi="Arial Unicode MS" w:cs="Arial Unicode MS"/>
          <w:color w:val="000000"/>
          <w:sz w:val="24"/>
          <w:szCs w:val="24"/>
          <w:u w:color="000000"/>
          <w:bdr w:val="nil"/>
        </w:rPr>
        <w:t xml:space="preserve"> facilities, there are no commitments made by the recipients of the discount that there will be any </w:t>
      </w:r>
      <w:r w:rsidR="00F5503E">
        <w:rPr>
          <w:rFonts w:ascii="Times New Roman" w:eastAsia="Arial Unicode MS" w:hAnsi="Arial Unicode MS" w:cs="Arial Unicode MS"/>
          <w:color w:val="000000"/>
          <w:sz w:val="24"/>
          <w:szCs w:val="24"/>
          <w:u w:color="000000"/>
          <w:bdr w:val="nil"/>
        </w:rPr>
        <w:t>jobs retained or increased.  Nor does the handout require any</w:t>
      </w:r>
      <w:r w:rsidRPr="00785A4C">
        <w:rPr>
          <w:rFonts w:ascii="Times New Roman" w:eastAsia="Arial Unicode MS" w:hAnsi="Arial Unicode MS" w:cs="Arial Unicode MS"/>
          <w:color w:val="000000"/>
          <w:sz w:val="24"/>
          <w:szCs w:val="24"/>
          <w:u w:color="000000"/>
          <w:bdr w:val="nil"/>
        </w:rPr>
        <w:t xml:space="preserve"> investment in Ohio.</w:t>
      </w:r>
      <w:r>
        <w:rPr>
          <w:rFonts w:ascii="Times New Roman" w:eastAsia="Arial Unicode MS" w:hAnsi="Arial Unicode MS" w:cs="Arial Unicode MS"/>
          <w:color w:val="000000"/>
          <w:sz w:val="24"/>
          <w:szCs w:val="24"/>
          <w:u w:color="000000"/>
          <w:bdr w:val="nil"/>
          <w:vertAlign w:val="superscript"/>
        </w:rPr>
        <w:footnoteReference w:id="38"/>
      </w:r>
      <w:r w:rsidRPr="00785A4C">
        <w:rPr>
          <w:rFonts w:ascii="Times New Roman" w:eastAsia="Arial Unicode MS" w:hAnsi="Arial Unicode MS" w:cs="Arial Unicode MS"/>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The automaker credit harms consumers and should be rejected.</w:t>
      </w:r>
    </w:p>
    <w:p w:rsidR="00785A4C" w:rsidRPr="00785A4C" w:rsidP="00726330">
      <w:pPr>
        <w:pStyle w:val="Heading3"/>
      </w:pPr>
      <w:bookmarkStart w:id="8" w:name="_Toc499709908"/>
      <w:r>
        <w:t>4.</w:t>
      </w:r>
      <w:r>
        <w:tab/>
      </w:r>
      <w:r w:rsidRPr="00785A4C">
        <w:t>The enroll in your wallet program does not benefit customers and the public interest.</w:t>
      </w:r>
      <w:bookmarkEnd w:id="8"/>
    </w:p>
    <w:p w:rsidR="00785A4C" w:rsidRPr="00D50A0D" w:rsidP="00785A4C">
      <w:pPr>
        <w:pBdr>
          <w:top w:val="nil"/>
          <w:left w:val="nil"/>
          <w:bottom w:val="nil"/>
          <w:right w:val="nil"/>
          <w:between w:val="nil"/>
          <w:bar w:val="nil"/>
        </w:pBdr>
        <w:spacing w:after="0" w:line="480" w:lineRule="auto"/>
        <w:ind w:firstLine="720"/>
        <w:rPr>
          <w:rFonts w:ascii="Times New Roman" w:hAnsi="Times New Roman" w:cs="Times New Roman"/>
          <w:sz w:val="24"/>
          <w:szCs w:val="24"/>
        </w:rPr>
      </w:pPr>
      <w:r w:rsidRPr="00785A4C">
        <w:rPr>
          <w:rFonts w:ascii="Times New Roman" w:eastAsia="Arial Unicode MS" w:hAnsi="Arial Unicode MS" w:cs="Arial Unicode MS"/>
          <w:color w:val="000000"/>
          <w:sz w:val="24"/>
          <w:szCs w:val="24"/>
          <w:u w:color="000000"/>
          <w:bdr w:val="nil"/>
        </w:rPr>
        <w:t xml:space="preserve">The enroll in your wallet program allows marketers to enroll customers with less information than is </w:t>
      </w:r>
      <w:r w:rsidR="000F2D82">
        <w:rPr>
          <w:rFonts w:ascii="Times New Roman" w:eastAsia="Arial Unicode MS" w:hAnsi="Arial Unicode MS" w:cs="Arial Unicode MS"/>
          <w:color w:val="000000"/>
          <w:sz w:val="24"/>
          <w:szCs w:val="24"/>
          <w:u w:color="000000"/>
          <w:bdr w:val="nil"/>
        </w:rPr>
        <w:t>now</w:t>
      </w:r>
      <w:r w:rsidRPr="00785A4C">
        <w:rPr>
          <w:rFonts w:ascii="Times New Roman" w:eastAsia="Arial Unicode MS" w:hAnsi="Arial Unicode MS" w:cs="Arial Unicode MS"/>
          <w:color w:val="000000"/>
          <w:sz w:val="24"/>
          <w:szCs w:val="24"/>
          <w:u w:color="000000"/>
          <w:bdr w:val="nil"/>
        </w:rPr>
        <w:t xml:space="preserve"> required.</w:t>
      </w:r>
      <w:r>
        <w:rPr>
          <w:rFonts w:ascii="Times New Roman" w:eastAsia="Arial Unicode MS" w:hAnsi="Arial Unicode MS" w:cs="Arial Unicode MS"/>
          <w:color w:val="000000"/>
          <w:sz w:val="24"/>
          <w:szCs w:val="24"/>
          <w:u w:color="000000"/>
          <w:bdr w:val="nil"/>
          <w:vertAlign w:val="superscript"/>
        </w:rPr>
        <w:footnoteReference w:id="39"/>
      </w:r>
      <w:r w:rsidRPr="00785A4C">
        <w:rPr>
          <w:rFonts w:ascii="Times New Roman" w:eastAsia="Arial Unicode MS" w:hAnsi="Arial Unicode MS" w:cs="Arial Unicode MS"/>
          <w:color w:val="000000"/>
          <w:sz w:val="24"/>
          <w:szCs w:val="24"/>
          <w:u w:color="000000"/>
          <w:bdr w:val="nil"/>
        </w:rPr>
        <w:t xml:space="preserve">  Currently, when enrolling a customer with</w:t>
      </w:r>
      <w:r w:rsidR="00987372">
        <w:rPr>
          <w:rFonts w:ascii="Times New Roman" w:eastAsia="Arial Unicode MS" w:hAnsi="Arial Unicode MS" w:cs="Arial Unicode MS"/>
          <w:color w:val="000000"/>
          <w:sz w:val="24"/>
          <w:szCs w:val="24"/>
          <w:u w:color="000000"/>
          <w:bdr w:val="nil"/>
        </w:rPr>
        <w:t>in</w:t>
      </w:r>
      <w:r w:rsidRPr="00785A4C">
        <w:rPr>
          <w:rFonts w:ascii="Times New Roman" w:eastAsia="Arial Unicode MS" w:hAnsi="Arial Unicode MS" w:cs="Arial Unicode MS"/>
          <w:color w:val="000000"/>
          <w:sz w:val="24"/>
          <w:szCs w:val="24"/>
          <w:u w:color="000000"/>
          <w:bdr w:val="nil"/>
        </w:rPr>
        <w:t xml:space="preserve"> AEP</w:t>
      </w:r>
      <w:r w:rsidR="00987372">
        <w:rPr>
          <w:rFonts w:ascii="Times New Roman" w:eastAsia="Arial Unicode MS" w:hAnsi="Arial Unicode MS" w:cs="Arial Unicode MS"/>
          <w:color w:val="000000"/>
          <w:sz w:val="24"/>
          <w:szCs w:val="24"/>
          <w:u w:color="000000"/>
          <w:bdr w:val="nil"/>
        </w:rPr>
        <w:t>’</w:t>
      </w:r>
      <w:r w:rsidR="00987372">
        <w:rPr>
          <w:rFonts w:ascii="Times New Roman" w:eastAsia="Arial Unicode MS" w:hAnsi="Arial Unicode MS" w:cs="Arial Unicode MS"/>
          <w:color w:val="000000"/>
          <w:sz w:val="24"/>
          <w:szCs w:val="24"/>
          <w:u w:color="000000"/>
          <w:bdr w:val="nil"/>
        </w:rPr>
        <w:t>s system</w:t>
      </w:r>
      <w:r w:rsidRPr="00785A4C">
        <w:rPr>
          <w:rFonts w:ascii="Times New Roman" w:eastAsia="Arial Unicode MS" w:hAnsi="Arial Unicode MS" w:cs="Arial Unicode MS"/>
          <w:color w:val="000000"/>
          <w:sz w:val="24"/>
          <w:szCs w:val="24"/>
          <w:u w:color="000000"/>
          <w:bdr w:val="nil"/>
        </w:rPr>
        <w:t xml:space="preserve">, a </w:t>
      </w:r>
      <w:r w:rsidRPr="00D50A0D">
        <w:rPr>
          <w:rFonts w:ascii="Times New Roman" w:hAnsi="Times New Roman" w:cs="Times New Roman"/>
          <w:sz w:val="24"/>
          <w:szCs w:val="24"/>
        </w:rPr>
        <w:t>marketer needs to provide the customer’s account number and Service Delivery Indentifier (“SDI”).</w:t>
      </w:r>
      <w:r>
        <w:rPr>
          <w:rFonts w:ascii="Times New Roman" w:hAnsi="Times New Roman" w:cs="Times New Roman"/>
          <w:sz w:val="24"/>
          <w:szCs w:val="24"/>
          <w:vertAlign w:val="superscript"/>
        </w:rPr>
        <w:footnoteReference w:id="40"/>
      </w:r>
      <w:r w:rsidRPr="00D50A0D">
        <w:rPr>
          <w:rFonts w:ascii="Times New Roman" w:hAnsi="Times New Roman" w:cs="Times New Roman"/>
          <w:sz w:val="24"/>
          <w:szCs w:val="24"/>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Arial Unicode MS" w:cs="Arial Unicode MS"/>
          <w:color w:val="000000"/>
          <w:sz w:val="24"/>
          <w:szCs w:val="24"/>
          <w:u w:color="000000"/>
          <w:bdr w:val="nil"/>
        </w:rPr>
        <w:t>Before enrolling with a marketer customers should consult their bills.</w:t>
      </w:r>
      <w:r>
        <w:rPr>
          <w:rFonts w:ascii="Times New Roman" w:eastAsia="Arial Unicode MS" w:hAnsi="Arial Unicode MS" w:cs="Arial Unicode MS"/>
          <w:color w:val="000000"/>
          <w:sz w:val="24"/>
          <w:szCs w:val="24"/>
          <w:u w:color="000000"/>
          <w:bdr w:val="nil"/>
          <w:vertAlign w:val="superscript"/>
        </w:rPr>
        <w:footnoteReference w:id="41"/>
      </w:r>
      <w:r w:rsidRPr="00785A4C">
        <w:rPr>
          <w:rFonts w:ascii="Times New Roman" w:eastAsia="Arial Unicode MS" w:hAnsi="Arial Unicode MS" w:cs="Arial Unicode MS"/>
          <w:color w:val="000000"/>
          <w:sz w:val="24"/>
          <w:szCs w:val="24"/>
          <w:u w:color="000000"/>
          <w:bdr w:val="nil"/>
        </w:rPr>
        <w:t xml:space="preserve">  The bill provides useful information, such as their current price to compare, usage data, and information regarding their current supply choice.</w:t>
      </w:r>
      <w:r>
        <w:rPr>
          <w:rFonts w:ascii="Times New Roman" w:eastAsia="Arial Unicode MS" w:hAnsi="Arial Unicode MS" w:cs="Arial Unicode MS"/>
          <w:color w:val="000000"/>
          <w:sz w:val="24"/>
          <w:szCs w:val="24"/>
          <w:u w:color="000000"/>
          <w:bdr w:val="nil"/>
          <w:vertAlign w:val="superscript"/>
        </w:rPr>
        <w:footnoteReference w:id="42"/>
      </w:r>
      <w:r w:rsidRPr="00785A4C">
        <w:rPr>
          <w:rFonts w:ascii="Times New Roman" w:eastAsia="Arial Unicode MS" w:hAnsi="Arial Unicode MS" w:cs="Arial Unicode MS"/>
          <w:color w:val="000000"/>
          <w:sz w:val="24"/>
          <w:szCs w:val="24"/>
          <w:u w:color="000000"/>
          <w:bdr w:val="nil"/>
        </w:rPr>
        <w:t xml:space="preserve">  Customers need to have more information before making the decision to enroll with a marketer.</w:t>
      </w:r>
      <w:r>
        <w:rPr>
          <w:rFonts w:ascii="Times New Roman" w:eastAsia="Arial Unicode MS" w:hAnsi="Arial Unicode MS" w:cs="Arial Unicode MS"/>
          <w:color w:val="000000"/>
          <w:sz w:val="24"/>
          <w:szCs w:val="24"/>
          <w:u w:color="000000"/>
          <w:bdr w:val="nil"/>
          <w:vertAlign w:val="superscript"/>
        </w:rPr>
        <w:footnoteReference w:id="43"/>
      </w:r>
      <w:r w:rsidRPr="00785A4C">
        <w:rPr>
          <w:rFonts w:ascii="Times New Roman" w:eastAsia="Arial Unicode MS" w:hAnsi="Arial Unicode MS" w:cs="Arial Unicode MS"/>
          <w:color w:val="000000"/>
          <w:sz w:val="24"/>
          <w:szCs w:val="24"/>
          <w:u w:color="000000"/>
          <w:bdr w:val="nil"/>
        </w:rPr>
        <w:t xml:space="preserve">  According to a </w:t>
      </w:r>
      <w:r w:rsidRPr="00785A4C">
        <w:rPr>
          <w:rFonts w:ascii="Times New Roman" w:eastAsia="Arial Unicode MS" w:hAnsi="Times New Roman" w:cs="Times New Roman"/>
          <w:color w:val="000000"/>
          <w:sz w:val="24"/>
          <w:szCs w:val="24"/>
          <w:u w:color="000000"/>
          <w:bdr w:val="nil"/>
        </w:rPr>
        <w:t>sample bill calculator found on the AEP website, a typical residential customer’s price to compare for September 2017 is 5.53 cents per kWh.  On the PUCO’s Energy Choice Ohio website there are marketer offers in the AEP service territories</w:t>
      </w:r>
      <w:r w:rsidRPr="00785A4C">
        <w:rPr>
          <w:rFonts w:ascii="Times New Roman" w:eastAsia="Arial Unicode MS" w:hAnsi="Arial Unicode MS" w:cs="Arial Unicode MS"/>
          <w:color w:val="000000"/>
          <w:sz w:val="24"/>
          <w:szCs w:val="24"/>
          <w:u w:color="000000"/>
          <w:bdr w:val="nil"/>
        </w:rPr>
        <w:t xml:space="preserve"> for 10.5 cents per kWh, which is 90% above the price to compare.</w:t>
      </w:r>
      <w:r>
        <w:rPr>
          <w:rFonts w:ascii="Times New Roman" w:eastAsia="Arial Unicode MS" w:hAnsi="Arial Unicode MS" w:cs="Arial Unicode MS"/>
          <w:color w:val="000000"/>
          <w:sz w:val="24"/>
          <w:szCs w:val="24"/>
          <w:u w:color="000000"/>
          <w:bdr w:val="nil"/>
          <w:vertAlign w:val="superscript"/>
        </w:rPr>
        <w:footnoteReference w:id="44"/>
      </w:r>
      <w:r w:rsidRPr="00785A4C">
        <w:rPr>
          <w:rFonts w:ascii="Times New Roman" w:eastAsia="Arial Unicode MS" w:hAnsi="Arial Unicode MS" w:cs="Arial Unicode MS"/>
          <w:color w:val="000000"/>
          <w:sz w:val="24"/>
          <w:szCs w:val="24"/>
          <w:u w:color="000000"/>
          <w:bdr w:val="nil"/>
        </w:rPr>
        <w:t xml:space="preserve">  If a customer does not have their bill in front of them when evaluating a marketer offer they could easily enroll in this program without having a full picture of their current situation.</w:t>
      </w:r>
      <w:r>
        <w:rPr>
          <w:rFonts w:ascii="Times New Roman" w:eastAsia="Arial Unicode MS" w:hAnsi="Arial Unicode MS" w:cs="Arial Unicode MS"/>
          <w:color w:val="000000"/>
          <w:sz w:val="24"/>
          <w:szCs w:val="24"/>
          <w:u w:color="000000"/>
          <w:bdr w:val="nil"/>
          <w:vertAlign w:val="superscript"/>
        </w:rPr>
        <w:footnoteReference w:id="45"/>
      </w:r>
      <w:r w:rsidRPr="00785A4C">
        <w:rPr>
          <w:rFonts w:ascii="Times New Roman" w:eastAsia="Arial Unicode MS" w:hAnsi="Arial Unicode MS" w:cs="Arial Unicode MS"/>
          <w:color w:val="000000"/>
          <w:sz w:val="24"/>
          <w:szCs w:val="24"/>
          <w:u w:color="000000"/>
          <w:bdr w:val="nil"/>
        </w:rPr>
        <w:t xml:space="preserve">  </w:t>
      </w:r>
      <w:r w:rsidR="00866828">
        <w:rPr>
          <w:rFonts w:ascii="Times New Roman" w:eastAsia="Arial Unicode MS" w:hAnsi="Arial Unicode MS" w:cs="Arial Unicode MS"/>
          <w:color w:val="000000"/>
          <w:sz w:val="24"/>
          <w:szCs w:val="24"/>
          <w:u w:color="000000"/>
          <w:bdr w:val="nil"/>
        </w:rPr>
        <w:t xml:space="preserve">Given the current relationship between the price to compare (standard offer) and what marketers are currently offering, enrollment would cost customers more, not result in savings. </w:t>
      </w:r>
      <w:r w:rsidR="00E92998">
        <w:rPr>
          <w:rFonts w:ascii="Times New Roman" w:eastAsia="Arial Unicode MS" w:hAnsi="Arial Unicode MS" w:cs="Arial Unicode MS"/>
          <w:color w:val="000000"/>
          <w:sz w:val="24"/>
          <w:szCs w:val="24"/>
          <w:u w:color="000000"/>
          <w:bdr w:val="nil"/>
        </w:rPr>
        <w:t xml:space="preserve"> </w:t>
      </w:r>
      <w:r w:rsidR="00866828">
        <w:rPr>
          <w:rFonts w:ascii="Times New Roman" w:eastAsia="Arial Unicode MS" w:hAnsi="Arial Unicode MS" w:cs="Arial Unicode MS"/>
          <w:color w:val="000000"/>
          <w:sz w:val="24"/>
          <w:szCs w:val="24"/>
          <w:u w:color="000000"/>
          <w:bdr w:val="nil"/>
        </w:rPr>
        <w:t xml:space="preserve">So making it easier for customers to enroll will likely harm consumers.  The proposal </w:t>
      </w:r>
      <w:r w:rsidRPr="00785A4C">
        <w:rPr>
          <w:rFonts w:ascii="Times New Roman" w:eastAsia="Arial Unicode MS" w:hAnsi="Arial Unicode MS" w:cs="Arial Unicode MS"/>
          <w:color w:val="000000"/>
          <w:sz w:val="24"/>
          <w:szCs w:val="24"/>
          <w:u w:color="000000"/>
          <w:bdr w:val="nil"/>
        </w:rPr>
        <w:t>should be rejected.</w:t>
      </w:r>
    </w:p>
    <w:p w:rsidR="00785A4C" w:rsidRPr="00785A4C" w:rsidP="00726330">
      <w:pPr>
        <w:pStyle w:val="Heading3"/>
      </w:pPr>
      <w:r w:rsidRPr="00785A4C">
        <w:rPr>
          <w:rFonts w:hAnsi="Arial Unicode MS" w:cs="Arial Unicode MS"/>
        </w:rPr>
        <w:t xml:space="preserve"> </w:t>
      </w:r>
      <w:bookmarkStart w:id="9" w:name="_Toc499709909"/>
      <w:r w:rsidR="00726330">
        <w:rPr>
          <w:rFonts w:hAnsi="Arial Unicode MS" w:cs="Arial Unicode MS"/>
        </w:rPr>
        <w:t>5.</w:t>
      </w:r>
      <w:r w:rsidR="00726330">
        <w:rPr>
          <w:rFonts w:hAnsi="Arial Unicode MS" w:cs="Arial Unicode MS"/>
        </w:rPr>
        <w:tab/>
      </w:r>
      <w:r w:rsidRPr="00785A4C">
        <w:t>The Smart City Rider’s microgrid proposal does not benefit customers and the public interest.</w:t>
      </w:r>
      <w:bookmarkEnd w:id="9"/>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The Settlement lacks detail and justification that the microgrid and electric vehicle charging station proposals benefit customers and the public interest. </w:t>
      </w:r>
      <w:r w:rsidR="00E9299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has not identified the need for or relationship of the proposed microgrid project to its statutory duty to ensure reliability of service at a reasonable cost</w:t>
      </w:r>
      <w:r w:rsidR="00866828">
        <w:rPr>
          <w:rFonts w:ascii="Times New Roman" w:eastAsia="Arial Unicode MS" w:hAnsi="Times New Roman" w:cs="Times New Roman"/>
          <w:sz w:val="24"/>
          <w:szCs w:val="24"/>
          <w:bdr w:val="nil"/>
        </w:rPr>
        <w:t xml:space="preserve">.  Nor has AEP </w:t>
      </w:r>
      <w:r w:rsidRPr="00785A4C">
        <w:rPr>
          <w:rFonts w:ascii="Times New Roman" w:eastAsia="Arial Unicode MS" w:hAnsi="Times New Roman" w:cs="Times New Roman"/>
          <w:sz w:val="24"/>
          <w:szCs w:val="24"/>
          <w:bdr w:val="nil"/>
        </w:rPr>
        <w:t>linked the purpose of this program to any reliability plan or impact on reliability of service.</w:t>
      </w:r>
      <w:r>
        <w:rPr>
          <w:rFonts w:ascii="Times New Roman" w:eastAsia="Arial Unicode MS" w:hAnsi="Times New Roman" w:cs="Times New Roman"/>
          <w:sz w:val="24"/>
          <w:szCs w:val="24"/>
          <w:bdr w:val="nil"/>
          <w:vertAlign w:val="superscript"/>
        </w:rPr>
        <w:footnoteReference w:id="46"/>
      </w:r>
      <w:r w:rsidRPr="00785A4C">
        <w:rPr>
          <w:rFonts w:ascii="Times New Roman" w:eastAsia="Arial Unicode MS" w:hAnsi="Times New Roman" w:cs="Times New Roman"/>
          <w:sz w:val="24"/>
          <w:szCs w:val="24"/>
          <w:bdr w:val="nil"/>
        </w:rPr>
        <w:t xml:space="preserve">  Neither the Settlement nor its proponents have actually identified the purpose of this project.</w:t>
      </w:r>
      <w:r>
        <w:rPr>
          <w:rFonts w:ascii="Times New Roman" w:eastAsia="Arial Unicode MS" w:hAnsi="Times New Roman" w:cs="Times New Roman"/>
          <w:sz w:val="24"/>
          <w:szCs w:val="24"/>
          <w:bdr w:val="nil"/>
          <w:vertAlign w:val="superscript"/>
        </w:rPr>
        <w:footnoteReference w:id="47"/>
      </w:r>
      <w:r w:rsidRPr="00785A4C">
        <w:rPr>
          <w:rFonts w:ascii="Times New Roman" w:eastAsia="Arial Unicode MS" w:hAnsi="Times New Roman" w:cs="Times New Roman"/>
          <w:sz w:val="24"/>
          <w:szCs w:val="24"/>
          <w:bdr w:val="nil"/>
        </w:rPr>
        <w:t xml:space="preserve">  Thus, this “demonstration” project does not inform the public about the purpose of the “demonstration” and how this “demonstration” holds the potential for benefits to customers.</w:t>
      </w:r>
      <w:r>
        <w:rPr>
          <w:rFonts w:ascii="Times New Roman" w:eastAsia="Arial Unicode MS" w:hAnsi="Times New Roman" w:cs="Times New Roman"/>
          <w:sz w:val="24"/>
          <w:szCs w:val="24"/>
          <w:bdr w:val="nil"/>
          <w:vertAlign w:val="superscript"/>
        </w:rPr>
        <w:footnoteReference w:id="48"/>
      </w:r>
      <w:r w:rsidRPr="00785A4C">
        <w:rPr>
          <w:rFonts w:ascii="Times New Roman" w:eastAsia="Arial Unicode MS" w:hAnsi="Times New Roman" w:cs="Times New Roman"/>
          <w:sz w:val="24"/>
          <w:szCs w:val="24"/>
          <w:bdr w:val="nil"/>
        </w:rPr>
        <w:t xml:space="preserve">  For example, AEP has not identified the specific criteria for the winning microgrid proposals.</w:t>
      </w:r>
      <w:r>
        <w:rPr>
          <w:rFonts w:ascii="Times New Roman" w:eastAsia="Arial Unicode MS" w:hAnsi="Times New Roman" w:cs="Times New Roman"/>
          <w:sz w:val="24"/>
          <w:szCs w:val="24"/>
          <w:bdr w:val="nil"/>
          <w:vertAlign w:val="superscript"/>
        </w:rPr>
        <w:footnoteReference w:id="49"/>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lack of any specific project or specific project location demonstrates that there is no identified partner, identification of partner resources, or funding from sources other than customers.</w:t>
      </w:r>
      <w:r>
        <w:rPr>
          <w:rFonts w:ascii="Times New Roman" w:eastAsia="Arial Unicode MS" w:hAnsi="Times New Roman" w:cs="Times New Roman"/>
          <w:sz w:val="24"/>
          <w:szCs w:val="24"/>
          <w:bdr w:val="nil"/>
          <w:vertAlign w:val="superscript"/>
        </w:rPr>
        <w:footnoteReference w:id="50"/>
      </w:r>
      <w:r w:rsidRPr="00785A4C">
        <w:rPr>
          <w:rFonts w:ascii="Times New Roman" w:eastAsia="Arial Unicode MS" w:hAnsi="Times New Roman" w:cs="Times New Roman"/>
          <w:sz w:val="24"/>
          <w:szCs w:val="24"/>
          <w:bdr w:val="nil"/>
        </w:rPr>
        <w:t xml:space="preserve">  There is no requirement that the beneficiary of the rebate is obligated to fund any portion of the project’s costs, including, for example, grant funds from the Smart Columbus project.</w:t>
      </w:r>
      <w:r>
        <w:rPr>
          <w:rFonts w:ascii="Times New Roman" w:eastAsia="Arial Unicode MS" w:hAnsi="Times New Roman" w:cs="Times New Roman"/>
          <w:sz w:val="24"/>
          <w:szCs w:val="24"/>
          <w:bdr w:val="nil"/>
          <w:vertAlign w:val="superscript"/>
        </w:rPr>
        <w:footnoteReference w:id="51"/>
      </w:r>
      <w:r w:rsidRPr="00785A4C">
        <w:rPr>
          <w:rFonts w:ascii="Times New Roman" w:eastAsia="Arial Unicode MS" w:hAnsi="Times New Roman" w:cs="Times New Roman"/>
          <w:sz w:val="24"/>
          <w:szCs w:val="24"/>
          <w:bdr w:val="nil"/>
        </w:rPr>
        <w:t xml:space="preserve">  This is </w:t>
      </w:r>
      <w:r w:rsidR="000F2D82">
        <w:rPr>
          <w:rFonts w:ascii="Times New Roman" w:eastAsia="Arial Unicode MS" w:hAnsi="Times New Roman" w:cs="Times New Roman"/>
          <w:sz w:val="24"/>
          <w:szCs w:val="24"/>
          <w:bdr w:val="nil"/>
        </w:rPr>
        <w:t>particularly harmful to consumers</w:t>
      </w:r>
      <w:r w:rsidRPr="00785A4C">
        <w:rPr>
          <w:rFonts w:ascii="Times New Roman" w:eastAsia="Arial Unicode MS" w:hAnsi="Times New Roman" w:cs="Times New Roman"/>
          <w:sz w:val="24"/>
          <w:szCs w:val="24"/>
          <w:bdr w:val="nil"/>
        </w:rPr>
        <w:t xml:space="preserve"> viewed in light of the lack of any information on the amount of any rebate that will be provided for an unknown number of projects.  There is no provision, for example, that would prohibit AEP from using the entire $10.5 million budget for </w:t>
      </w:r>
      <w:r w:rsidR="000F2D82">
        <w:rPr>
          <w:rFonts w:ascii="Times New Roman" w:eastAsia="Arial Unicode MS" w:hAnsi="Times New Roman" w:cs="Times New Roman"/>
          <w:sz w:val="24"/>
          <w:szCs w:val="24"/>
          <w:bdr w:val="nil"/>
        </w:rPr>
        <w:t>a microgrid</w:t>
      </w:r>
      <w:r w:rsidRPr="00785A4C">
        <w:rPr>
          <w:rFonts w:ascii="Times New Roman" w:eastAsia="Arial Unicode MS" w:hAnsi="Times New Roman" w:cs="Times New Roman"/>
          <w:sz w:val="24"/>
          <w:szCs w:val="24"/>
          <w:bdr w:val="nil"/>
        </w:rPr>
        <w:t xml:space="preserve"> project for one entity.</w:t>
      </w:r>
      <w:r>
        <w:rPr>
          <w:rFonts w:ascii="Times New Roman" w:eastAsia="Arial Unicode MS" w:hAnsi="Times New Roman" w:cs="Times New Roman"/>
          <w:sz w:val="24"/>
          <w:szCs w:val="24"/>
          <w:bdr w:val="nil"/>
          <w:vertAlign w:val="superscript"/>
        </w:rPr>
        <w:footnoteReference w:id="52"/>
      </w:r>
      <w:r w:rsidRPr="00785A4C">
        <w:rPr>
          <w:rFonts w:ascii="Times New Roman" w:eastAsia="Arial Unicode MS" w:hAnsi="Times New Roman" w:cs="Times New Roman"/>
          <w:sz w:val="24"/>
          <w:szCs w:val="24"/>
          <w:bdr w:val="nil"/>
        </w:rPr>
        <w:t xml:space="preserve">  The lack of any apparent intent to seek federal funding or contribution from other public or private governments or entities that would benefit from this project is a significant defect.</w:t>
      </w:r>
      <w:r>
        <w:rPr>
          <w:rFonts w:ascii="Times New Roman" w:eastAsia="Arial Unicode MS" w:hAnsi="Times New Roman" w:cs="Times New Roman"/>
          <w:sz w:val="24"/>
          <w:szCs w:val="24"/>
          <w:bdr w:val="nil"/>
          <w:vertAlign w:val="superscript"/>
        </w:rPr>
        <w:footnoteReference w:id="53"/>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There is no proposed budget or budget allocation in th</w:t>
      </w:r>
      <w:r w:rsidR="000F2D82">
        <w:rPr>
          <w:rFonts w:ascii="Times New Roman" w:eastAsia="Arial Unicode MS" w:hAnsi="Times New Roman" w:cs="Times New Roman"/>
          <w:sz w:val="24"/>
          <w:szCs w:val="24"/>
          <w:bdr w:val="nil"/>
        </w:rPr>
        <w:t>e</w:t>
      </w:r>
      <w:r w:rsidRPr="00785A4C">
        <w:rPr>
          <w:rFonts w:ascii="Times New Roman" w:eastAsia="Arial Unicode MS" w:hAnsi="Times New Roman" w:cs="Times New Roman"/>
          <w:sz w:val="24"/>
          <w:szCs w:val="24"/>
          <w:bdr w:val="nil"/>
        </w:rPr>
        <w:t xml:space="preserve"> Settlement that describes the cost components of any microgrid project and how the unidentified rebate amount will be allocated to ensure that the customer funded subsidy will be used effectively and efficiently.</w:t>
      </w:r>
      <w:r>
        <w:rPr>
          <w:rFonts w:ascii="Times New Roman" w:eastAsia="Arial Unicode MS" w:hAnsi="Times New Roman" w:cs="Times New Roman"/>
          <w:sz w:val="24"/>
          <w:szCs w:val="24"/>
          <w:bdr w:val="nil"/>
          <w:vertAlign w:val="superscript"/>
        </w:rPr>
        <w:footnoteReference w:id="54"/>
      </w:r>
      <w:r w:rsidRPr="00785A4C">
        <w:rPr>
          <w:rFonts w:ascii="Times New Roman" w:eastAsia="Arial Unicode MS" w:hAnsi="Times New Roman" w:cs="Times New Roman"/>
          <w:sz w:val="24"/>
          <w:szCs w:val="24"/>
          <w:bdr w:val="nil"/>
        </w:rPr>
        <w:t xml:space="preserve">  When asked to identify the estimated costs for the micro grid projects that will be incurred by the project proponent, AEP stated, “</w:t>
      </w:r>
      <w:r w:rsidR="000F2D82">
        <w:rPr>
          <w:rFonts w:ascii="Times New Roman" w:eastAsia="Arial Unicode MS" w:hAnsi="Times New Roman" w:cs="Times New Roman"/>
          <w:sz w:val="24"/>
          <w:szCs w:val="24"/>
          <w:bdr w:val="nil"/>
        </w:rPr>
        <w:t>[u]</w:t>
      </w:r>
      <w:r w:rsidRPr="00785A4C">
        <w:rPr>
          <w:rFonts w:ascii="Times New Roman" w:eastAsia="Arial Unicode MS" w:hAnsi="Times New Roman" w:cs="Times New Roman"/>
          <w:sz w:val="24"/>
          <w:szCs w:val="24"/>
          <w:bdr w:val="nil"/>
        </w:rPr>
        <w:t>ntil the specific micro grid projects are identified, the costs to be incurred by the project proponent (customer) cannot be estimated.”</w:t>
      </w:r>
      <w:r>
        <w:rPr>
          <w:rFonts w:ascii="Times New Roman" w:eastAsia="Arial Unicode MS" w:hAnsi="Times New Roman" w:cs="Times New Roman"/>
          <w:sz w:val="24"/>
          <w:szCs w:val="24"/>
          <w:bdr w:val="nil"/>
          <w:vertAlign w:val="superscript"/>
        </w:rPr>
        <w:footnoteReference w:id="55"/>
      </w:r>
      <w:r w:rsidRPr="00785A4C">
        <w:rPr>
          <w:rFonts w:ascii="Times New Roman" w:eastAsia="Arial Unicode MS" w:hAnsi="Times New Roman" w:cs="Times New Roman"/>
          <w:sz w:val="24"/>
          <w:szCs w:val="24"/>
          <w:bdr w:val="nil"/>
        </w:rPr>
        <w:t xml:space="preserve">  Further, the option to enter into a microgrid contract with a non-public serving customer indicates that the public purpose touted for this micro grid project may be illusory.</w:t>
      </w:r>
      <w:r>
        <w:rPr>
          <w:rFonts w:ascii="Times New Roman" w:eastAsia="Arial Unicode MS" w:hAnsi="Times New Roman" w:cs="Times New Roman"/>
          <w:sz w:val="24"/>
          <w:szCs w:val="24"/>
          <w:bdr w:val="nil"/>
          <w:vertAlign w:val="superscript"/>
        </w:rPr>
        <w:footnoteReference w:id="56"/>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As a result of the lack of any specific project design or identification of the purpose of the “demonstration,” there are no criteria or details concerning how or when any evaluation will be done for this $10.5 million expenditure of customer funds on microgrids.  There is no evaluation plan or even a commitment to develop an evaluation plan. </w:t>
      </w:r>
      <w:r w:rsidR="00E9299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criteria by which these unknown projects at unknown locations will be evaluated are unknown.</w:t>
      </w:r>
      <w:r>
        <w:rPr>
          <w:rFonts w:ascii="Times New Roman" w:eastAsia="Arial Unicode MS" w:hAnsi="Times New Roman" w:cs="Times New Roman"/>
          <w:sz w:val="24"/>
          <w:szCs w:val="24"/>
          <w:bdr w:val="nil"/>
          <w:vertAlign w:val="superscript"/>
        </w:rPr>
        <w:footnoteReference w:id="57"/>
      </w:r>
      <w:r w:rsidRPr="00785A4C">
        <w:rPr>
          <w:rFonts w:ascii="Times New Roman" w:eastAsia="Arial Unicode MS" w:hAnsi="Times New Roman" w:cs="Times New Roman"/>
          <w:sz w:val="24"/>
          <w:szCs w:val="24"/>
          <w:bdr w:val="nil"/>
        </w:rPr>
        <w:t xml:space="preserve">  For example, AEP “does not intend to perform a cost benefit analysis,” but relies on the Settlement’s obligation to “gather and share data” for a future audit of the entire Smart Grid Rider authorized in Section III (F) of the Settlement.</w:t>
      </w:r>
      <w:r>
        <w:rPr>
          <w:rFonts w:ascii="Times New Roman" w:eastAsia="Arial Unicode MS" w:hAnsi="Times New Roman" w:cs="Times New Roman"/>
          <w:sz w:val="24"/>
          <w:szCs w:val="24"/>
          <w:bdr w:val="nil"/>
          <w:vertAlign w:val="superscript"/>
        </w:rPr>
        <w:footnoteReference w:id="58"/>
      </w:r>
      <w:r w:rsidRPr="00785A4C">
        <w:rPr>
          <w:rFonts w:ascii="Times New Roman" w:eastAsia="Arial Unicode MS" w:hAnsi="Times New Roman" w:cs="Times New Roman"/>
          <w:sz w:val="24"/>
          <w:szCs w:val="24"/>
          <w:bdr w:val="nil"/>
        </w:rPr>
        <w:t xml:space="preserve">  Further, “[t]he Company has not determined the criteria that will be used to determine the value of the micro grid demonstration.”</w:t>
      </w:r>
      <w:r>
        <w:rPr>
          <w:rFonts w:ascii="Times New Roman" w:eastAsia="Arial Unicode MS" w:hAnsi="Times New Roman" w:cs="Times New Roman"/>
          <w:sz w:val="24"/>
          <w:szCs w:val="24"/>
          <w:bdr w:val="nil"/>
          <w:vertAlign w:val="superscript"/>
        </w:rPr>
        <w:footnoteReference w:id="59"/>
      </w:r>
      <w:r w:rsidRPr="00785A4C">
        <w:rPr>
          <w:rFonts w:ascii="Times New Roman" w:eastAsia="Arial Unicode MS" w:hAnsi="Times New Roman" w:cs="Times New Roman"/>
          <w:sz w:val="24"/>
          <w:szCs w:val="24"/>
          <w:bdr w:val="nil"/>
        </w:rPr>
        <w:t xml:space="preserve">  This audit is not defined, the criteria for determining prudence are not identified, and the schedule for the audit is not specified.</w:t>
      </w:r>
      <w:r>
        <w:rPr>
          <w:rFonts w:ascii="Times New Roman" w:eastAsia="Arial Unicode MS" w:hAnsi="Times New Roman" w:cs="Times New Roman"/>
          <w:sz w:val="24"/>
          <w:szCs w:val="24"/>
          <w:bdr w:val="nil"/>
          <w:vertAlign w:val="superscript"/>
        </w:rPr>
        <w:footnoteReference w:id="60"/>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vague and unidentified criteria governing the expenditure of customer funds in this Settlement is even more troubling because AEP has no specific experience in the design, construction, or operation of a microgrid in its distribution system, except an admission that AEP Service Corp. has conducted research on a microgrid test site.</w:t>
      </w:r>
      <w:r>
        <w:rPr>
          <w:rFonts w:ascii="Times New Roman" w:eastAsia="Arial Unicode MS" w:hAnsi="Times New Roman" w:cs="Times New Roman"/>
          <w:sz w:val="24"/>
          <w:szCs w:val="24"/>
          <w:bdr w:val="nil"/>
          <w:vertAlign w:val="superscript"/>
        </w:rPr>
        <w:footnoteReference w:id="61"/>
      </w:r>
      <w:r w:rsidRPr="00785A4C">
        <w:rPr>
          <w:rFonts w:ascii="Times New Roman" w:eastAsia="Arial Unicode MS" w:hAnsi="Times New Roman" w:cs="Times New Roman"/>
          <w:sz w:val="24"/>
          <w:szCs w:val="24"/>
          <w:bdr w:val="nil"/>
        </w:rPr>
        <w:t xml:space="preserve">  None of that “research” is referenced in or explained to justify this “demonstration” project.  And there is no actual budget for any one of the potential microgrid project(s). </w:t>
      </w:r>
      <w:r w:rsidR="00E9299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It is unknown, for example, what level of O&amp;M expenses AEP might seek to collect from customers through the Smart City Rider or what level of costs might be incurred by AEP for software and control systems to operate the micro grid that AEP would also be authorized to recover through the Rider.</w:t>
      </w:r>
      <w:r>
        <w:rPr>
          <w:rFonts w:ascii="Times New Roman" w:eastAsia="Arial Unicode MS" w:hAnsi="Times New Roman" w:cs="Times New Roman"/>
          <w:sz w:val="24"/>
          <w:szCs w:val="24"/>
          <w:bdr w:val="nil"/>
          <w:vertAlign w:val="superscript"/>
        </w:rPr>
        <w:footnoteReference w:id="62"/>
      </w:r>
    </w:p>
    <w:p w:rsid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total costs of this initiative</w:t>
      </w:r>
      <w:r w:rsidR="000F2D8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and potential costs to customers</w:t>
      </w:r>
      <w:r w:rsidR="000F2D8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is unknown </w:t>
      </w:r>
      <w:r w:rsidR="00987372">
        <w:rPr>
          <w:rFonts w:ascii="Times New Roman" w:eastAsia="Arial Unicode MS" w:hAnsi="Times New Roman" w:cs="Times New Roman"/>
          <w:sz w:val="24"/>
          <w:szCs w:val="24"/>
          <w:bdr w:val="nil"/>
        </w:rPr>
        <w:t>because</w:t>
      </w:r>
      <w:r w:rsidRPr="00785A4C" w:rsidR="00987372">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Settlement allows AEP to incur additional costs related to distribution investments without any cap on such expenditures and collect those costs through the DIR.  The attempt to actually obtain an estimate of these additional costs was rebuffed by AEP.</w:t>
      </w:r>
      <w:r>
        <w:rPr>
          <w:rFonts w:ascii="Times New Roman" w:eastAsia="Arial Unicode MS" w:hAnsi="Times New Roman" w:cs="Times New Roman"/>
          <w:sz w:val="24"/>
          <w:szCs w:val="24"/>
          <w:bdr w:val="nil"/>
          <w:vertAlign w:val="superscript"/>
        </w:rPr>
        <w:footnoteReference w:id="63"/>
      </w:r>
      <w:r w:rsidRPr="00785A4C">
        <w:rPr>
          <w:rFonts w:ascii="Times New Roman" w:eastAsia="Arial Unicode MS" w:hAnsi="Times New Roman" w:cs="Times New Roman"/>
          <w:sz w:val="24"/>
          <w:szCs w:val="24"/>
          <w:bdr w:val="nil"/>
        </w:rPr>
        <w:t xml:space="preserve">  AEP’s distribution customers will be further harmed because they will be required to fund the rebate program that will subsidize the generation/battery facility for the non-profit, public-serving microgrid.</w:t>
      </w:r>
      <w:r>
        <w:rPr>
          <w:rFonts w:ascii="Times New Roman" w:eastAsia="Arial Unicode MS" w:hAnsi="Times New Roman" w:cs="Times New Roman"/>
          <w:sz w:val="24"/>
          <w:szCs w:val="24"/>
          <w:bdr w:val="nil"/>
          <w:vertAlign w:val="superscript"/>
        </w:rPr>
        <w:footnoteReference w:id="64"/>
      </w:r>
    </w:p>
    <w:p w:rsidR="000F2D82"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The microgrid proposal harms consumers and should be rejected.</w:t>
      </w:r>
    </w:p>
    <w:p w:rsidR="00785A4C" w:rsidRPr="00785A4C" w:rsidP="00726330">
      <w:pPr>
        <w:pStyle w:val="Heading3"/>
        <w:rPr>
          <w:rFonts w:hAnsi="Arial Unicode MS" w:cs="Arial Unicode MS"/>
        </w:rPr>
      </w:pPr>
      <w:bookmarkStart w:id="10" w:name="_Toc499709910"/>
      <w:r>
        <w:t>6.</w:t>
      </w:r>
      <w:r>
        <w:tab/>
      </w:r>
      <w:r w:rsidRPr="00785A4C">
        <w:t>The Smart City Rider’s electric vehicle charging station proposal does not benefit customers and the public interest.</w:t>
      </w:r>
      <w:bookmarkEnd w:id="10"/>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Settlement merely allocates customer funds to support the unregulated entities that will own and operate the electric vehicle charging stations without any discussion of or justification for the use of customer funds for this purpose.</w:t>
      </w:r>
      <w:r>
        <w:rPr>
          <w:rFonts w:ascii="Times New Roman" w:eastAsia="Arial Unicode MS" w:hAnsi="Times New Roman" w:cs="Times New Roman"/>
          <w:sz w:val="24"/>
          <w:szCs w:val="24"/>
          <w:bdr w:val="nil"/>
          <w:vertAlign w:val="superscript"/>
        </w:rPr>
        <w:footnoteReference w:id="65"/>
      </w:r>
      <w:r w:rsidRPr="00785A4C">
        <w:rPr>
          <w:rFonts w:ascii="Times New Roman" w:eastAsia="Arial Unicode MS" w:hAnsi="Times New Roman" w:cs="Times New Roman"/>
          <w:sz w:val="24"/>
          <w:szCs w:val="24"/>
          <w:bdr w:val="nil"/>
        </w:rPr>
        <w:t xml:space="preserve">  AEP did not identify any specific benefits to the electric distribution system by funding 375 more </w:t>
      </w:r>
      <w:r w:rsidR="000F2D82">
        <w:rPr>
          <w:rFonts w:ascii="Times New Roman" w:eastAsia="Arial Unicode MS" w:hAnsi="Times New Roman" w:cs="Times New Roman"/>
          <w:sz w:val="24"/>
          <w:szCs w:val="24"/>
          <w:bdr w:val="nil"/>
        </w:rPr>
        <w:t>electric vehicle</w:t>
      </w:r>
      <w:r w:rsidRPr="00785A4C">
        <w:rPr>
          <w:rFonts w:ascii="Times New Roman" w:eastAsia="Arial Unicode MS" w:hAnsi="Times New Roman" w:cs="Times New Roman"/>
          <w:sz w:val="24"/>
          <w:szCs w:val="24"/>
          <w:bdr w:val="nil"/>
        </w:rPr>
        <w:t xml:space="preserve"> charging stations.</w:t>
      </w:r>
      <w:r>
        <w:rPr>
          <w:rFonts w:ascii="Times New Roman" w:eastAsia="Arial Unicode MS" w:hAnsi="Times New Roman" w:cs="Times New Roman"/>
          <w:sz w:val="24"/>
          <w:szCs w:val="24"/>
          <w:bdr w:val="nil"/>
          <w:vertAlign w:val="superscript"/>
        </w:rPr>
        <w:footnoteReference w:id="66"/>
      </w:r>
      <w:r w:rsidRPr="00785A4C">
        <w:rPr>
          <w:rFonts w:ascii="Times New Roman" w:eastAsia="Arial Unicode MS" w:hAnsi="Times New Roman" w:cs="Times New Roman"/>
          <w:sz w:val="24"/>
          <w:szCs w:val="24"/>
          <w:bdr w:val="nil"/>
        </w:rPr>
        <w:t xml:space="preserve">  Nor does AEP identify any statutory obligation to support the development of the electric vehicle charging market with customer funds.</w:t>
      </w:r>
      <w:r>
        <w:rPr>
          <w:rFonts w:ascii="Times New Roman" w:eastAsia="Arial Unicode MS" w:hAnsi="Times New Roman" w:cs="Times New Roman"/>
          <w:sz w:val="24"/>
          <w:szCs w:val="24"/>
          <w:bdr w:val="nil"/>
          <w:vertAlign w:val="superscript"/>
        </w:rPr>
        <w:footnoteReference w:id="67"/>
      </w:r>
      <w:r w:rsidRPr="00785A4C">
        <w:rPr>
          <w:rFonts w:ascii="Times New Roman" w:eastAsia="Arial Unicode MS" w:hAnsi="Times New Roman" w:cs="Times New Roman"/>
          <w:sz w:val="24"/>
          <w:szCs w:val="24"/>
          <w:bdr w:val="nil"/>
        </w:rPr>
        <w:t xml:space="preserve">  Further, AEP has not performed any analysis to project the number of electric vehicle charging stations that would occur without customer funding</w:t>
      </w:r>
      <w:r w:rsidR="006250DD">
        <w:rPr>
          <w:rFonts w:ascii="Times New Roman" w:eastAsia="Arial Unicode MS" w:hAnsi="Times New Roman" w:cs="Times New Roman"/>
          <w:sz w:val="24"/>
          <w:szCs w:val="24"/>
          <w:bdr w:val="nil"/>
        </w:rPr>
        <w:t>.  This</w:t>
      </w:r>
      <w:r w:rsidRPr="00785A4C">
        <w:rPr>
          <w:rFonts w:ascii="Times New Roman" w:eastAsia="Arial Unicode MS" w:hAnsi="Times New Roman" w:cs="Times New Roman"/>
          <w:sz w:val="24"/>
          <w:szCs w:val="24"/>
          <w:bdr w:val="nil"/>
        </w:rPr>
        <w:t xml:space="preserve"> is another indication of the poorly designed and </w:t>
      </w:r>
      <w:r w:rsidR="000F2D82">
        <w:rPr>
          <w:rFonts w:ascii="Times New Roman" w:eastAsia="Arial Unicode MS" w:hAnsi="Times New Roman" w:cs="Times New Roman"/>
          <w:sz w:val="24"/>
          <w:szCs w:val="24"/>
          <w:bdr w:val="nil"/>
        </w:rPr>
        <w:t>unjustified</w:t>
      </w:r>
      <w:r w:rsidRPr="00785A4C">
        <w:rPr>
          <w:rFonts w:ascii="Times New Roman" w:eastAsia="Arial Unicode MS" w:hAnsi="Times New Roman" w:cs="Times New Roman"/>
          <w:sz w:val="24"/>
          <w:szCs w:val="24"/>
          <w:bdr w:val="nil"/>
        </w:rPr>
        <w:t xml:space="preserve"> customer subsidy.</w:t>
      </w:r>
      <w:r>
        <w:rPr>
          <w:rFonts w:ascii="Times New Roman" w:eastAsia="Arial Unicode MS" w:hAnsi="Times New Roman" w:cs="Times New Roman"/>
          <w:sz w:val="24"/>
          <w:szCs w:val="24"/>
          <w:bdr w:val="nil"/>
          <w:vertAlign w:val="superscript"/>
        </w:rPr>
        <w:footnoteReference w:id="68"/>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There is no record evidence before the PUCO that actually discusses the policies that were considered and relied upon to justify this customer funding.  For example, no supporting party discussed the reasonableness of the role of a distribution utility in a restructuring state such as Ohio in promoting customer funding for a project designed to support electric vehicles, the attendant growth in the use of electricity, or the implications of increased usage during peak hours on the wear and tear on the distribution system</w:t>
      </w:r>
      <w:r w:rsidR="000F2D8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w:t>
      </w:r>
      <w:r w:rsidR="000F2D82">
        <w:rPr>
          <w:rFonts w:ascii="Times New Roman" w:eastAsia="Arial Unicode MS" w:hAnsi="Times New Roman" w:cs="Times New Roman"/>
          <w:sz w:val="24"/>
          <w:szCs w:val="24"/>
          <w:bdr w:val="nil"/>
        </w:rPr>
        <w:t xml:space="preserve"> N</w:t>
      </w:r>
      <w:r w:rsidRPr="00785A4C">
        <w:rPr>
          <w:rFonts w:ascii="Times New Roman" w:eastAsia="Arial Unicode MS" w:hAnsi="Times New Roman" w:cs="Times New Roman"/>
          <w:sz w:val="24"/>
          <w:szCs w:val="24"/>
          <w:bdr w:val="nil"/>
        </w:rPr>
        <w:t xml:space="preserve">or </w:t>
      </w:r>
      <w:r w:rsidR="000F2D82">
        <w:rPr>
          <w:rFonts w:ascii="Times New Roman" w:eastAsia="Arial Unicode MS" w:hAnsi="Times New Roman" w:cs="Times New Roman"/>
          <w:sz w:val="24"/>
          <w:szCs w:val="24"/>
          <w:bdr w:val="nil"/>
        </w:rPr>
        <w:t xml:space="preserve">was </w:t>
      </w:r>
      <w:r w:rsidRPr="00785A4C">
        <w:rPr>
          <w:rFonts w:ascii="Times New Roman" w:eastAsia="Arial Unicode MS" w:hAnsi="Times New Roman" w:cs="Times New Roman"/>
          <w:sz w:val="24"/>
          <w:szCs w:val="24"/>
          <w:bdr w:val="nil"/>
        </w:rPr>
        <w:t>the impact on generation supply market prices that would impact the price of SSO purchased in the wholesale market</w:t>
      </w:r>
      <w:r w:rsidR="000F2D82">
        <w:rPr>
          <w:rFonts w:ascii="Times New Roman" w:eastAsia="Arial Unicode MS" w:hAnsi="Times New Roman" w:cs="Times New Roman"/>
          <w:sz w:val="24"/>
          <w:szCs w:val="24"/>
          <w:bdr w:val="nil"/>
        </w:rPr>
        <w:t xml:space="preserve"> considered</w:t>
      </w:r>
      <w:r w:rsidRPr="00785A4C">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vertAlign w:val="superscript"/>
        </w:rPr>
        <w:footnoteReference w:id="69"/>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Further, there is no record evidence linking the structure and implementation of these programs to the recommendation to provide customer funding.  The overall purpose of what is referred to as a “technology demonstration” project is unknown.</w:t>
      </w:r>
      <w:r>
        <w:rPr>
          <w:rFonts w:ascii="Times New Roman" w:eastAsia="Arial Unicode MS" w:hAnsi="Times New Roman" w:cs="Times New Roman"/>
          <w:sz w:val="24"/>
          <w:szCs w:val="24"/>
          <w:bdr w:val="nil"/>
          <w:vertAlign w:val="superscript"/>
        </w:rPr>
        <w:footnoteReference w:id="70"/>
      </w:r>
      <w:r w:rsidRPr="00785A4C">
        <w:rPr>
          <w:rFonts w:ascii="Times New Roman" w:eastAsia="Arial Unicode MS" w:hAnsi="Times New Roman" w:cs="Times New Roman"/>
          <w:sz w:val="24"/>
          <w:szCs w:val="24"/>
          <w:bdr w:val="nil"/>
        </w:rPr>
        <w:t xml:space="preserve">  While the Settlement mandates that the supported electric vehicle charging stations have certain functionalities, there is nothing in the Settlement that would require those functionalities (concerning time-based usage and demand features) be used in any manner.</w:t>
      </w:r>
      <w:r>
        <w:rPr>
          <w:rFonts w:ascii="Times New Roman" w:eastAsia="Arial Unicode MS" w:hAnsi="Times New Roman" w:cs="Times New Roman"/>
          <w:sz w:val="24"/>
          <w:szCs w:val="24"/>
          <w:bdr w:val="nil"/>
          <w:vertAlign w:val="superscript"/>
        </w:rPr>
        <w:footnoteReference w:id="71"/>
      </w:r>
      <w:r w:rsidRPr="00785A4C">
        <w:rPr>
          <w:rFonts w:ascii="Times New Roman" w:eastAsia="Arial Unicode MS" w:hAnsi="Times New Roman" w:cs="Times New Roman"/>
          <w:sz w:val="24"/>
          <w:szCs w:val="24"/>
          <w:bdr w:val="nil"/>
        </w:rPr>
        <w:t xml:space="preserve">  Because there is no requirement in the Settlement that the electric vehicle charging stations actually operate to serve the needs of AEP’s distribution grid in terms of the rate design of the use of the charging stations, there is no obvious benefit to AEP’s distribution customers to fund these charging stations.</w:t>
      </w:r>
      <w:r>
        <w:rPr>
          <w:rFonts w:ascii="Times New Roman" w:eastAsia="Arial Unicode MS" w:hAnsi="Times New Roman" w:cs="Times New Roman"/>
          <w:sz w:val="24"/>
          <w:szCs w:val="24"/>
          <w:bdr w:val="nil"/>
          <w:vertAlign w:val="superscript"/>
        </w:rPr>
        <w:footnoteReference w:id="72"/>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Another </w:t>
      </w:r>
      <w:r w:rsidR="000F2D82">
        <w:rPr>
          <w:rFonts w:ascii="Times New Roman" w:eastAsia="Arial Unicode MS" w:hAnsi="Times New Roman" w:cs="Times New Roman"/>
          <w:sz w:val="24"/>
          <w:szCs w:val="24"/>
          <w:bdr w:val="nil"/>
        </w:rPr>
        <w:t>harmful</w:t>
      </w:r>
      <w:r w:rsidRPr="00785A4C">
        <w:rPr>
          <w:rFonts w:ascii="Times New Roman" w:eastAsia="Arial Unicode MS" w:hAnsi="Times New Roman" w:cs="Times New Roman"/>
          <w:sz w:val="24"/>
          <w:szCs w:val="24"/>
          <w:bdr w:val="nil"/>
        </w:rPr>
        <w:t xml:space="preserve"> aspect of the electric vehicle charging station proposal is the lack of any documentation concerning the number, type, and location of electric vehicles in the AEP service territory</w:t>
      </w:r>
      <w:r w:rsidR="00F251C5">
        <w:rPr>
          <w:rFonts w:ascii="Times New Roman" w:eastAsia="Arial Unicode MS" w:hAnsi="Times New Roman" w:cs="Times New Roman"/>
          <w:sz w:val="24"/>
          <w:szCs w:val="24"/>
          <w:bdr w:val="nil"/>
        </w:rPr>
        <w:t>.  Likewise, there is no documentation about</w:t>
      </w:r>
      <w:r w:rsidRPr="00785A4C">
        <w:rPr>
          <w:rFonts w:ascii="Times New Roman" w:eastAsia="Arial Unicode MS" w:hAnsi="Times New Roman" w:cs="Times New Roman"/>
          <w:sz w:val="24"/>
          <w:szCs w:val="24"/>
          <w:bdr w:val="nil"/>
        </w:rPr>
        <w:t xml:space="preserve"> the number and type of electric vehicle charging stations that already exist</w:t>
      </w:r>
      <w:r w:rsidR="00F251C5">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00F251C5">
        <w:rPr>
          <w:rFonts w:ascii="Times New Roman" w:eastAsia="Arial Unicode MS" w:hAnsi="Times New Roman" w:cs="Times New Roman"/>
          <w:sz w:val="24"/>
          <w:szCs w:val="24"/>
          <w:bdr w:val="nil"/>
        </w:rPr>
        <w:t>There is no support regarding</w:t>
      </w:r>
      <w:r w:rsidRPr="00785A4C" w:rsidR="00F251C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how the current charging stations are configured and their usage characteristics (all of which are connected to AEP’s metering and billing system</w:t>
      </w:r>
      <w:r w:rsidRPr="00785A4C" w:rsidR="00F251C5">
        <w:rPr>
          <w:rFonts w:ascii="Times New Roman" w:eastAsia="Arial Unicode MS" w:hAnsi="Times New Roman" w:cs="Times New Roman"/>
          <w:sz w:val="24"/>
          <w:szCs w:val="24"/>
          <w:bdr w:val="nil"/>
        </w:rPr>
        <w:t>)</w:t>
      </w:r>
      <w:r w:rsidR="00F251C5">
        <w:rPr>
          <w:rFonts w:ascii="Times New Roman" w:eastAsia="Arial Unicode MS" w:hAnsi="Times New Roman" w:cs="Times New Roman"/>
          <w:sz w:val="24"/>
          <w:szCs w:val="24"/>
          <w:bdr w:val="nil"/>
        </w:rPr>
        <w:t>.  Nor is there</w:t>
      </w:r>
      <w:r w:rsidRPr="00785A4C">
        <w:rPr>
          <w:rFonts w:ascii="Times New Roman" w:eastAsia="Arial Unicode MS" w:hAnsi="Times New Roman" w:cs="Times New Roman"/>
          <w:sz w:val="24"/>
          <w:szCs w:val="24"/>
          <w:bdr w:val="nil"/>
        </w:rPr>
        <w:t xml:space="preserve"> any information or prediction on how the expansion of the current electric vehicle charging stations as proposed will impact the use of current electric vehicles or stimulate customers to purchase electric vehicles.</w:t>
      </w:r>
      <w:r>
        <w:rPr>
          <w:rFonts w:ascii="Times New Roman" w:eastAsia="Arial Unicode MS" w:hAnsi="Times New Roman" w:cs="Times New Roman"/>
          <w:sz w:val="24"/>
          <w:szCs w:val="24"/>
          <w:bdr w:val="nil"/>
          <w:vertAlign w:val="superscript"/>
        </w:rPr>
        <w:footnoteReference w:id="73"/>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According to OCC Witness Alexander, as of September 2017, there were 348 active and open </w:t>
      </w:r>
      <w:r w:rsidR="000F2D82">
        <w:rPr>
          <w:rFonts w:ascii="Times New Roman" w:eastAsia="Arial Unicode MS" w:hAnsi="Times New Roman" w:cs="Times New Roman"/>
          <w:sz w:val="24"/>
          <w:szCs w:val="24"/>
          <w:bdr w:val="nil"/>
        </w:rPr>
        <w:t>electric vehicle</w:t>
      </w:r>
      <w:r w:rsidRPr="00785A4C">
        <w:rPr>
          <w:rFonts w:ascii="Times New Roman" w:eastAsia="Arial Unicode MS" w:hAnsi="Times New Roman" w:cs="Times New Roman"/>
          <w:sz w:val="24"/>
          <w:szCs w:val="24"/>
          <w:bdr w:val="nil"/>
        </w:rPr>
        <w:t xml:space="preserve"> charging stations in the State of Ohio.</w:t>
      </w:r>
      <w:r>
        <w:rPr>
          <w:rFonts w:ascii="Times New Roman" w:eastAsia="Arial Unicode MS" w:hAnsi="Times New Roman" w:cs="Times New Roman"/>
          <w:sz w:val="24"/>
          <w:szCs w:val="24"/>
          <w:bdr w:val="nil"/>
          <w:vertAlign w:val="superscript"/>
        </w:rPr>
        <w:footnoteReference w:id="74"/>
      </w:r>
      <w:r w:rsidRPr="00785A4C">
        <w:rPr>
          <w:rFonts w:ascii="Times New Roman" w:eastAsia="Arial Unicode MS" w:hAnsi="Times New Roman" w:cs="Times New Roman"/>
          <w:sz w:val="24"/>
          <w:szCs w:val="24"/>
          <w:bdr w:val="nil"/>
        </w:rPr>
        <w:t xml:space="preserve">  Of these, 282 were “public” and 65 were “private.”</w:t>
      </w:r>
      <w:r>
        <w:rPr>
          <w:rFonts w:ascii="Times New Roman" w:eastAsia="Arial Unicode MS" w:hAnsi="Times New Roman" w:cs="Times New Roman"/>
          <w:sz w:val="24"/>
          <w:szCs w:val="24"/>
          <w:bdr w:val="nil"/>
          <w:vertAlign w:val="superscript"/>
        </w:rPr>
        <w:footnoteReference w:id="75"/>
      </w:r>
      <w:r w:rsidRPr="00785A4C">
        <w:rPr>
          <w:rFonts w:ascii="Times New Roman" w:eastAsia="Arial Unicode MS" w:hAnsi="Times New Roman" w:cs="Times New Roman"/>
          <w:sz w:val="24"/>
          <w:szCs w:val="24"/>
          <w:bdr w:val="nil"/>
        </w:rPr>
        <w:t xml:space="preserve">  Of the “public” charging stations, 28 require a card key, 70 require a “call ahead” and 182 are “public.”</w:t>
      </w:r>
      <w:r>
        <w:rPr>
          <w:rFonts w:ascii="Times New Roman" w:eastAsia="Arial Unicode MS" w:hAnsi="Times New Roman" w:cs="Times New Roman"/>
          <w:sz w:val="24"/>
          <w:szCs w:val="24"/>
          <w:bdr w:val="nil"/>
          <w:vertAlign w:val="superscript"/>
        </w:rPr>
        <w:footnoteReference w:id="76"/>
      </w:r>
      <w:r w:rsidRPr="00785A4C">
        <w:rPr>
          <w:rFonts w:ascii="Times New Roman" w:eastAsia="Arial Unicode MS" w:hAnsi="Times New Roman" w:cs="Times New Roman"/>
          <w:sz w:val="24"/>
          <w:szCs w:val="24"/>
          <w:bdr w:val="nil"/>
        </w:rPr>
        <w:t xml:space="preserve">  Of the 348 </w:t>
      </w:r>
      <w:r w:rsidR="000F2D82">
        <w:rPr>
          <w:rFonts w:ascii="Times New Roman" w:eastAsia="Arial Unicode MS" w:hAnsi="Times New Roman" w:cs="Times New Roman"/>
          <w:sz w:val="24"/>
          <w:szCs w:val="24"/>
          <w:bdr w:val="nil"/>
        </w:rPr>
        <w:t>electric vehicle</w:t>
      </w:r>
      <w:r w:rsidRPr="00785A4C">
        <w:rPr>
          <w:rFonts w:ascii="Times New Roman" w:eastAsia="Arial Unicode MS" w:hAnsi="Times New Roman" w:cs="Times New Roman"/>
          <w:sz w:val="24"/>
          <w:szCs w:val="24"/>
          <w:bdr w:val="nil"/>
        </w:rPr>
        <w:t xml:space="preserve"> charging stations in Ohio, 46 are located in Columbus, Ohio, all of which are categorized as “public.”</w:t>
      </w:r>
      <w:r>
        <w:rPr>
          <w:rFonts w:ascii="Times New Roman" w:eastAsia="Arial Unicode MS" w:hAnsi="Times New Roman" w:cs="Times New Roman"/>
          <w:sz w:val="24"/>
          <w:szCs w:val="24"/>
          <w:bdr w:val="nil"/>
          <w:vertAlign w:val="superscript"/>
        </w:rPr>
        <w:footnoteReference w:id="77"/>
      </w:r>
      <w:r w:rsidRPr="00785A4C">
        <w:rPr>
          <w:rFonts w:ascii="Times New Roman" w:eastAsia="Arial Unicode MS" w:hAnsi="Times New Roman" w:cs="Times New Roman"/>
          <w:sz w:val="24"/>
          <w:szCs w:val="24"/>
          <w:bdr w:val="nil"/>
        </w:rPr>
        <w:t xml:space="preserve">  It is unreasonable to require customers to subsidize 375 new charging stations, an amount that would </w:t>
      </w:r>
      <w:r w:rsidRPr="000F2D82">
        <w:rPr>
          <w:rFonts w:ascii="Times New Roman" w:eastAsia="Arial Unicode MS" w:hAnsi="Times New Roman" w:cs="Times New Roman"/>
          <w:sz w:val="24"/>
          <w:szCs w:val="24"/>
          <w:bdr w:val="nil"/>
        </w:rPr>
        <w:t>increase the current number by a factor of eight, when the number of electric vehicle owners in Columbus, Ohio is unknown</w:t>
      </w:r>
      <w:r w:rsidRPr="00785A4C">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vertAlign w:val="superscript"/>
        </w:rPr>
        <w:footnoteReference w:id="78"/>
      </w:r>
      <w:r w:rsidRPr="00785A4C">
        <w:rPr>
          <w:rFonts w:ascii="Times New Roman" w:eastAsia="Arial Unicode MS" w:hAnsi="Times New Roman" w:cs="Times New Roman"/>
          <w:sz w:val="24"/>
          <w:szCs w:val="24"/>
          <w:bdr w:val="nil"/>
        </w:rPr>
        <w:t xml:space="preserve">  It is unreasonable to hand out customer funds to private electric vehicle charging station developers for the potential convenience of an unknown number of electric vehicle owners.</w:t>
      </w:r>
      <w:r>
        <w:rPr>
          <w:rFonts w:ascii="Times New Roman" w:eastAsia="Arial Unicode MS" w:hAnsi="Times New Roman" w:cs="Times New Roman"/>
          <w:sz w:val="24"/>
          <w:szCs w:val="24"/>
          <w:bdr w:val="nil"/>
          <w:vertAlign w:val="superscript"/>
        </w:rPr>
        <w:footnoteReference w:id="79"/>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Additionally, there is no record evidence to support the assumption by those supporting the Settlement that more electric vehicle charging stations will lead to more electric vehicle usage and ownership.  More importantly, there is no obvious benefit to consumers to stimulate electric vehicle usage without some consideration of when electric vehicle users connect to charging stations.  Unless the increased usage occurs during off peak hours, the additional usage will only contribute to higher peak usage costs paid by AEP’s customers.</w:t>
      </w:r>
      <w:r>
        <w:rPr>
          <w:rFonts w:ascii="Times New Roman" w:eastAsia="Arial Unicode MS" w:hAnsi="Times New Roman" w:cs="Times New Roman"/>
          <w:sz w:val="24"/>
          <w:szCs w:val="24"/>
          <w:bdr w:val="nil"/>
          <w:vertAlign w:val="superscript"/>
        </w:rPr>
        <w:footnoteReference w:id="80"/>
      </w:r>
      <w:r w:rsidRPr="00785A4C">
        <w:rPr>
          <w:rFonts w:ascii="Times New Roman" w:eastAsia="Arial Unicode MS" w:hAnsi="Times New Roman" w:cs="Times New Roman"/>
          <w:sz w:val="24"/>
          <w:szCs w:val="24"/>
          <w:bdr w:val="nil"/>
        </w:rPr>
        <w:t xml:space="preserve">  The Settlement’s failure to impose any requirement for the recipients of this customer funding to price the usage of their charging stations based on the time of day is a key component that the Settlement does not conform to the public interest.  As a result, it is entirely likely that electric vehicle owners will use the charging stations funded under the Settlement in a manner that does not take into account any impact of their usage portfolio on the costs and benefits to the electric grid.</w:t>
      </w:r>
      <w:r>
        <w:rPr>
          <w:rFonts w:ascii="Times New Roman" w:eastAsia="Arial Unicode MS" w:hAnsi="Times New Roman" w:cs="Times New Roman"/>
          <w:sz w:val="24"/>
          <w:szCs w:val="24"/>
          <w:bdr w:val="nil"/>
          <w:vertAlign w:val="superscript"/>
        </w:rPr>
        <w:footnoteReference w:id="81"/>
      </w:r>
      <w:r w:rsidRPr="00785A4C">
        <w:rPr>
          <w:rFonts w:ascii="Times New Roman" w:eastAsia="Arial Unicode MS" w:hAnsi="Times New Roman" w:cs="Times New Roman"/>
          <w:sz w:val="24"/>
          <w:szCs w:val="24"/>
          <w:bdr w:val="nil"/>
        </w:rPr>
        <w:t xml:space="preserve">  It is not necessary to subsidize 375 new charging stations to find out when </w:t>
      </w:r>
      <w:r w:rsidR="000F2D82">
        <w:rPr>
          <w:rFonts w:ascii="Times New Roman" w:eastAsia="Arial Unicode MS" w:hAnsi="Times New Roman" w:cs="Times New Roman"/>
          <w:sz w:val="24"/>
          <w:szCs w:val="24"/>
          <w:bdr w:val="nil"/>
        </w:rPr>
        <w:t>electric vehicle</w:t>
      </w:r>
      <w:r w:rsidRPr="00785A4C">
        <w:rPr>
          <w:rFonts w:ascii="Times New Roman" w:eastAsia="Arial Unicode MS" w:hAnsi="Times New Roman" w:cs="Times New Roman"/>
          <w:sz w:val="24"/>
          <w:szCs w:val="24"/>
          <w:bdr w:val="nil"/>
        </w:rPr>
        <w:t xml:space="preserve"> owners use charging stations.  There is no “demonstration” of any innovative technologies associated with this proposal that will link the customer subsidy to the operation of the electric grid or the price of electricity.</w:t>
      </w:r>
      <w:r>
        <w:rPr>
          <w:rFonts w:ascii="Times New Roman" w:eastAsia="Arial Unicode MS" w:hAnsi="Times New Roman" w:cs="Times New Roman"/>
          <w:sz w:val="24"/>
          <w:szCs w:val="24"/>
          <w:bdr w:val="nil"/>
          <w:vertAlign w:val="superscript"/>
        </w:rPr>
        <w:footnoteReference w:id="82"/>
      </w:r>
      <w:r w:rsidRPr="00785A4C">
        <w:rPr>
          <w:rFonts w:ascii="Times New Roman" w:eastAsia="Arial Unicode MS" w:hAnsi="Times New Roman" w:cs="Times New Roman"/>
          <w:sz w:val="24"/>
          <w:szCs w:val="24"/>
          <w:bdr w:val="nil"/>
        </w:rPr>
        <w:t xml:space="preserve">  Nor is there any demonstration that there is a nexus to the purpose of promoting the development of the electric vehicle charging market and benefits to the general body of customers who are required to subsidize this program.</w:t>
      </w:r>
      <w:r>
        <w:rPr>
          <w:rFonts w:ascii="Times New Roman" w:eastAsia="Arial Unicode MS" w:hAnsi="Times New Roman" w:cs="Times New Roman"/>
          <w:sz w:val="24"/>
          <w:szCs w:val="24"/>
          <w:bdr w:val="nil"/>
          <w:vertAlign w:val="superscript"/>
        </w:rPr>
        <w:footnoteReference w:id="83"/>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bookmarkStart w:id="11" w:name="_Hlk495417155"/>
      <w:r w:rsidRPr="00785A4C">
        <w:rPr>
          <w:rFonts w:ascii="Times New Roman" w:eastAsia="Arial Unicode MS" w:hAnsi="Times New Roman" w:cs="Times New Roman"/>
          <w:sz w:val="24"/>
          <w:szCs w:val="24"/>
          <w:bdr w:val="nil"/>
        </w:rPr>
        <w:t>Regardless, the Settlement does not contain any directives about how the “technology demonstration” project will be evaluated.  It is an expensive project to gather data because there is no evaluation plan or evaluation criteria identified in either the Settlement or in the record evidence that would allow for any determination of the value of this project beyond collecting data.</w:t>
      </w:r>
      <w:r>
        <w:rPr>
          <w:rFonts w:ascii="Times New Roman" w:eastAsia="Arial Unicode MS" w:hAnsi="Times New Roman" w:cs="Times New Roman"/>
          <w:sz w:val="24"/>
          <w:szCs w:val="24"/>
          <w:bdr w:val="nil"/>
          <w:vertAlign w:val="superscript"/>
        </w:rPr>
        <w:footnoteReference w:id="84"/>
      </w:r>
      <w:r w:rsidRPr="00785A4C">
        <w:rPr>
          <w:rFonts w:ascii="Times New Roman" w:eastAsia="Arial Unicode MS" w:hAnsi="Times New Roman" w:cs="Times New Roman"/>
          <w:sz w:val="24"/>
          <w:szCs w:val="24"/>
          <w:bdr w:val="nil"/>
        </w:rPr>
        <w:t xml:space="preserve">  While there is a list of data that AEP has committed to collecting, how this data will be evaluated or for what purpose is unknown.  According to AEP Ohio, “This data (referring to the usage patterns of the 375 charging stations) will need to be collected, stored, summarized and analyzed and ultimately reported.”</w:t>
      </w:r>
      <w:r>
        <w:rPr>
          <w:rFonts w:ascii="Times New Roman" w:eastAsia="Arial Unicode MS" w:hAnsi="Times New Roman" w:cs="Times New Roman"/>
          <w:sz w:val="24"/>
          <w:szCs w:val="24"/>
          <w:bdr w:val="nil"/>
          <w:vertAlign w:val="superscript"/>
        </w:rPr>
        <w:footnoteReference w:id="85"/>
      </w:r>
      <w:r w:rsidRPr="00785A4C">
        <w:rPr>
          <w:rFonts w:ascii="Times New Roman" w:eastAsia="Arial Unicode MS" w:hAnsi="Times New Roman" w:cs="Times New Roman"/>
          <w:sz w:val="24"/>
          <w:szCs w:val="24"/>
          <w:bdr w:val="nil"/>
        </w:rPr>
        <w:t xml:space="preserve">  There is no identification or description of how this data will be used to determine the impact of the customer funded electric vehicle charging stations on the reliability and duties of AEP as a distribution utility.</w:t>
      </w:r>
      <w:r>
        <w:rPr>
          <w:rFonts w:ascii="Times New Roman" w:eastAsia="Arial Unicode MS" w:hAnsi="Times New Roman" w:cs="Times New Roman"/>
          <w:sz w:val="24"/>
          <w:szCs w:val="24"/>
          <w:bdr w:val="nil"/>
          <w:vertAlign w:val="superscript"/>
        </w:rPr>
        <w:footnoteReference w:id="86"/>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bookmarkEnd w:id="11"/>
      <w:r w:rsidRPr="00785A4C">
        <w:rPr>
          <w:rFonts w:ascii="Times New Roman" w:eastAsia="Arial Unicode MS" w:hAnsi="Times New Roman" w:cs="Times New Roman"/>
          <w:sz w:val="24"/>
          <w:szCs w:val="24"/>
          <w:bdr w:val="nil"/>
        </w:rPr>
        <w:t>The apparent desire to ensure that lower income customers receive some benefit from a program that is targeted to electric vehicle owners, the demographics of which are documented as higher than average income households, is understandable.</w:t>
      </w:r>
      <w:r>
        <w:rPr>
          <w:rFonts w:ascii="Times New Roman" w:eastAsia="Arial Unicode MS" w:hAnsi="Times New Roman" w:cs="Times New Roman"/>
          <w:sz w:val="24"/>
          <w:szCs w:val="24"/>
          <w:bdr w:val="nil"/>
          <w:vertAlign w:val="superscript"/>
        </w:rPr>
        <w:footnoteReference w:id="87"/>
      </w:r>
      <w:r w:rsidRPr="00785A4C">
        <w:rPr>
          <w:rFonts w:ascii="Times New Roman" w:eastAsia="Arial Unicode MS" w:hAnsi="Times New Roman" w:cs="Times New Roman"/>
          <w:sz w:val="24"/>
          <w:szCs w:val="24"/>
          <w:bdr w:val="nil"/>
        </w:rPr>
        <w:t xml:space="preserve">  But proposing to install electric vehicle charging systems in “low income geographic areas” without any evidence of the penetration of electric vehicles in such “geographic areas” puts a bow on this subsidy that is difficult to justify.</w:t>
      </w:r>
      <w:r>
        <w:rPr>
          <w:rFonts w:ascii="Times New Roman" w:eastAsia="Arial Unicode MS" w:hAnsi="Times New Roman" w:cs="Times New Roman"/>
          <w:sz w:val="24"/>
          <w:szCs w:val="24"/>
          <w:bdr w:val="nil"/>
          <w:vertAlign w:val="superscript"/>
        </w:rPr>
        <w:footnoteReference w:id="88"/>
      </w:r>
      <w:r w:rsidRPr="00785A4C">
        <w:rPr>
          <w:rFonts w:ascii="Times New Roman" w:eastAsia="Arial Unicode MS" w:hAnsi="Times New Roman" w:cs="Times New Roman"/>
          <w:sz w:val="24"/>
          <w:szCs w:val="24"/>
          <w:bdr w:val="nil"/>
        </w:rPr>
        <w:t xml:space="preserve">  There is no record evidence actually identifying the “low income geographic areas” served by AEP that would be eligible for this program beyond a reference in the Settlement to “census tracts.”</w:t>
      </w:r>
      <w:r>
        <w:rPr>
          <w:rFonts w:ascii="Times New Roman" w:eastAsia="Arial Unicode MS" w:hAnsi="Times New Roman" w:cs="Times New Roman"/>
          <w:sz w:val="24"/>
          <w:szCs w:val="24"/>
          <w:bdr w:val="nil"/>
          <w:vertAlign w:val="superscript"/>
        </w:rPr>
        <w:footnoteReference w:id="89"/>
      </w:r>
      <w:r w:rsidRPr="00785A4C">
        <w:rPr>
          <w:rFonts w:ascii="Times New Roman" w:eastAsia="Arial Unicode MS" w:hAnsi="Times New Roman" w:cs="Times New Roman"/>
          <w:sz w:val="24"/>
          <w:szCs w:val="24"/>
          <w:bdr w:val="nil"/>
        </w:rPr>
        <w:t xml:space="preserve">  Nor has the electric vehicle ownership pattern in such neighborhoods that would justify the need for or use of electric vehicle charging systems been identified.</w:t>
      </w:r>
      <w:r>
        <w:rPr>
          <w:rFonts w:ascii="Times New Roman" w:eastAsia="Arial Unicode MS" w:hAnsi="Times New Roman" w:cs="Times New Roman"/>
          <w:sz w:val="24"/>
          <w:szCs w:val="24"/>
          <w:bdr w:val="nil"/>
          <w:vertAlign w:val="superscript"/>
        </w:rPr>
        <w:footnoteReference w:id="90"/>
      </w:r>
      <w:r w:rsidRPr="00785A4C">
        <w:rPr>
          <w:rFonts w:ascii="Times New Roman" w:eastAsia="Arial Unicode MS" w:hAnsi="Times New Roman" w:cs="Times New Roman"/>
          <w:sz w:val="24"/>
          <w:szCs w:val="24"/>
          <w:bdr w:val="nil"/>
        </w:rPr>
        <w:t xml:space="preserve">  And because AEP confirms that the reference to “multi-unit” structures in this provision of the Settlement could refer to commercial or residential property,</w:t>
      </w:r>
      <w:r>
        <w:rPr>
          <w:rFonts w:ascii="Times New Roman" w:eastAsia="Arial Unicode MS" w:hAnsi="Times New Roman" w:cs="Times New Roman"/>
          <w:sz w:val="24"/>
          <w:szCs w:val="24"/>
          <w:bdr w:val="nil"/>
          <w:vertAlign w:val="superscript"/>
        </w:rPr>
        <w:footnoteReference w:id="91"/>
      </w:r>
      <w:r w:rsidRPr="00785A4C">
        <w:rPr>
          <w:rFonts w:ascii="Times New Roman" w:eastAsia="Arial Unicode MS" w:hAnsi="Times New Roman" w:cs="Times New Roman"/>
          <w:sz w:val="24"/>
          <w:szCs w:val="24"/>
          <w:bdr w:val="nil"/>
        </w:rPr>
        <w:t xml:space="preserve"> the actual impact of this subsidy for AEP’s low income customers is questionable.  A commercial owner of a multi-unit structure (such as an office building, medical facility, private commercial building owner, etc.) could qualify for the program based strictly on the building owner’s location in a “low income geographic area.”</w:t>
      </w:r>
      <w:r>
        <w:rPr>
          <w:rFonts w:ascii="Times New Roman" w:eastAsia="Arial Unicode MS" w:hAnsi="Times New Roman" w:cs="Times New Roman"/>
          <w:sz w:val="24"/>
          <w:szCs w:val="24"/>
          <w:bdr w:val="nil"/>
          <w:vertAlign w:val="superscript"/>
        </w:rPr>
        <w:footnoteReference w:id="92"/>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Another significant omission from the Settlement is that it does not identify how AEP will charge for using the charging stations or take into account the resulting revenues.</w:t>
      </w:r>
      <w:r>
        <w:rPr>
          <w:rFonts w:ascii="Times New Roman" w:eastAsia="Arial Unicode MS" w:hAnsi="Times New Roman" w:cs="Times New Roman"/>
          <w:sz w:val="24"/>
          <w:szCs w:val="24"/>
          <w:bdr w:val="nil"/>
          <w:vertAlign w:val="superscript"/>
        </w:rPr>
        <w:footnoteReference w:id="93"/>
      </w:r>
      <w:r w:rsidRPr="00785A4C">
        <w:rPr>
          <w:rFonts w:ascii="Times New Roman" w:eastAsia="Arial Unicode MS" w:hAnsi="Times New Roman" w:cs="Times New Roman"/>
          <w:sz w:val="24"/>
          <w:szCs w:val="24"/>
          <w:bdr w:val="nil"/>
        </w:rPr>
        <w:t xml:space="preserve">  AEP will meter and collect revenues from the charging stations under existing tariffs.  Under the Settlement, electric vehicle charging station owners are not required to comply with any specific pricing schedule for the use of their systems by electric vehicle owners.</w:t>
      </w:r>
      <w:r>
        <w:rPr>
          <w:rFonts w:ascii="Times New Roman" w:eastAsia="Arial Unicode MS" w:hAnsi="Times New Roman" w:cs="Times New Roman"/>
          <w:sz w:val="24"/>
          <w:szCs w:val="24"/>
          <w:bdr w:val="nil"/>
          <w:vertAlign w:val="superscript"/>
        </w:rPr>
        <w:footnoteReference w:id="94"/>
      </w:r>
      <w:r w:rsidRPr="00785A4C">
        <w:rPr>
          <w:rFonts w:ascii="Times New Roman" w:eastAsia="Arial Unicode MS" w:hAnsi="Times New Roman" w:cs="Times New Roman"/>
          <w:sz w:val="24"/>
          <w:szCs w:val="24"/>
          <w:bdr w:val="nil"/>
        </w:rPr>
        <w:t xml:space="preserve">  It is not clear whether or if the PUCO would exercise oversight over the rebate program to include the pricing schedule for usage of the customer funded electric vehicle charging stations.</w:t>
      </w:r>
      <w:r>
        <w:rPr>
          <w:rFonts w:ascii="Times New Roman" w:eastAsia="Arial Unicode MS" w:hAnsi="Times New Roman" w:cs="Times New Roman"/>
          <w:sz w:val="24"/>
          <w:szCs w:val="24"/>
          <w:bdr w:val="nil"/>
          <w:vertAlign w:val="superscript"/>
        </w:rPr>
        <w:footnoteReference w:id="95"/>
      </w:r>
      <w:r w:rsidRPr="00785A4C">
        <w:rPr>
          <w:rFonts w:ascii="Times New Roman" w:eastAsia="Arial Unicode MS" w:hAnsi="Times New Roman" w:cs="Times New Roman"/>
          <w:sz w:val="24"/>
          <w:szCs w:val="24"/>
          <w:bdr w:val="nil"/>
        </w:rPr>
        <w:t xml:space="preserve">  The Settlement does not identify the rate design or pricing policies that will be applicable.</w:t>
      </w:r>
      <w:r>
        <w:rPr>
          <w:rFonts w:ascii="Times New Roman" w:eastAsia="Arial Unicode MS" w:hAnsi="Times New Roman" w:cs="Times New Roman"/>
          <w:sz w:val="24"/>
          <w:szCs w:val="24"/>
          <w:bdr w:val="nil"/>
          <w:vertAlign w:val="superscript"/>
        </w:rPr>
        <w:footnoteReference w:id="96"/>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Even more troubling is that there is no provision in the Settlement that recognizes the incremental revenues that will result from these 375 new electric vehicle charging stations, and AEP has not estimated the future incremental revenues from this program.</w:t>
      </w:r>
      <w:r>
        <w:rPr>
          <w:rFonts w:ascii="Times New Roman" w:eastAsia="Arial Unicode MS" w:hAnsi="Times New Roman" w:cs="Times New Roman"/>
          <w:sz w:val="24"/>
          <w:szCs w:val="24"/>
          <w:bdr w:val="nil"/>
          <w:vertAlign w:val="superscript"/>
        </w:rPr>
        <w:footnoteReference w:id="97"/>
      </w:r>
      <w:r w:rsidRPr="00785A4C">
        <w:rPr>
          <w:rFonts w:ascii="Times New Roman" w:eastAsia="Arial Unicode MS" w:hAnsi="Times New Roman" w:cs="Times New Roman"/>
          <w:sz w:val="24"/>
          <w:szCs w:val="24"/>
          <w:bdr w:val="nil"/>
        </w:rPr>
        <w:t xml:space="preserve">  This raises at least two problems.  First, AEP is not required to offset its revenues from these charging stations in the Smart Grid Rider.  This benefits AEP’s shareholders rather than its customers.</w:t>
      </w:r>
      <w:r>
        <w:rPr>
          <w:rFonts w:ascii="Times New Roman" w:eastAsia="Arial Unicode MS" w:hAnsi="Times New Roman" w:cs="Times New Roman"/>
          <w:sz w:val="24"/>
          <w:szCs w:val="24"/>
          <w:bdr w:val="nil"/>
          <w:vertAlign w:val="superscript"/>
        </w:rPr>
        <w:footnoteReference w:id="98"/>
      </w:r>
      <w:r w:rsidRPr="00785A4C">
        <w:rPr>
          <w:rFonts w:ascii="Times New Roman" w:eastAsia="Arial Unicode MS" w:hAnsi="Times New Roman" w:cs="Times New Roman"/>
          <w:sz w:val="24"/>
          <w:szCs w:val="24"/>
          <w:bdr w:val="nil"/>
        </w:rPr>
        <w:t xml:space="preserve">  Second, the lack of any requirement in the Settlement that governs the pricing scheme that will be charged by the charging station owners to the electric vehicle owners raises concerns about the potential for allocating customer revenues to unregulated third parties who stand to benefit from these subsidies without any oversight or accountability.</w:t>
      </w:r>
      <w:r>
        <w:rPr>
          <w:rFonts w:ascii="Times New Roman" w:eastAsia="Arial Unicode MS" w:hAnsi="Times New Roman" w:cs="Times New Roman"/>
          <w:sz w:val="24"/>
          <w:szCs w:val="24"/>
          <w:bdr w:val="nil"/>
          <w:vertAlign w:val="superscript"/>
        </w:rPr>
        <w:footnoteReference w:id="99"/>
      </w:r>
      <w:r w:rsidRPr="00785A4C">
        <w:rPr>
          <w:rFonts w:ascii="Times New Roman" w:eastAsia="Arial Unicode MS" w:hAnsi="Times New Roman" w:cs="Times New Roman"/>
          <w:sz w:val="24"/>
          <w:szCs w:val="24"/>
          <w:bdr w:val="nil"/>
        </w:rPr>
        <w:t xml:space="preserve">  </w:t>
      </w:r>
    </w:p>
    <w:p w:rsidR="00785A4C" w:rsidRPr="00785A4C" w:rsidP="00726330">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The proposed Smart City and PowerForward Riders, and the projects to be funded thereby, raise important regulatory policy questions that are unanswered.  There is no basis to conclude that they provide any benefits to customers, thus failing to meet the public interest test for approval of a Settlement.  </w:t>
      </w:r>
    </w:p>
    <w:p w:rsidR="00785A4C" w:rsidP="00726330">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In addition, the Settlement’s provisions are not consistent with the criteria for an ESP, do not reflect a proper distribution modernization “plan,” are not linked directly to improved reliability of service, and do not conform to the PUCO’s previously stated process for considering grid modernization investments.  More specifically, the proposed projects are vague, undefined, and raise serious issues about whether distribution service customers should pay for these projects at all due to their implications for competitive markets or how the costs of the projects, even if appropriate, should be recovered from those who stand to benefit.  As OCC Witness Alexander opined, there are over twenty policy and evidentiary issues that the PUCO should explore before even considering approving AEP’s proposals.</w:t>
      </w:r>
      <w:r>
        <w:rPr>
          <w:rFonts w:ascii="Times New Roman" w:eastAsia="Arial Unicode MS" w:hAnsi="Times New Roman" w:cs="Times New Roman"/>
          <w:sz w:val="24"/>
          <w:szCs w:val="24"/>
          <w:bdr w:val="nil"/>
          <w:vertAlign w:val="superscript"/>
        </w:rPr>
        <w:footnoteReference w:id="100"/>
      </w:r>
      <w:r w:rsidRPr="00785A4C">
        <w:rPr>
          <w:rFonts w:ascii="Times New Roman" w:eastAsia="Arial Unicode MS" w:hAnsi="Times New Roman" w:cs="Times New Roman"/>
          <w:sz w:val="24"/>
          <w:szCs w:val="24"/>
          <w:bdr w:val="nil"/>
        </w:rPr>
        <w:t xml:space="preserve">    </w:t>
      </w:r>
    </w:p>
    <w:p w:rsidR="000F2D82" w:rsidRPr="00785A4C" w:rsidP="00726330">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The Smart City and PowerForward Riders harm consumers and should be rejected.</w:t>
      </w:r>
    </w:p>
    <w:p w:rsidR="00785A4C" w:rsidRPr="00785A4C" w:rsidP="00726330">
      <w:pPr>
        <w:pStyle w:val="Heading3"/>
      </w:pPr>
      <w:bookmarkStart w:id="12" w:name="_Toc499709911"/>
      <w:r>
        <w:t>7.</w:t>
      </w:r>
      <w:r>
        <w:tab/>
      </w:r>
      <w:r w:rsidRPr="00785A4C">
        <w:t>The distribution investment rider does not benefit customers and the public interest.</w:t>
      </w:r>
      <w:bookmarkEnd w:id="12"/>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AEP’s distribution investment rider (“DIR”) is intended to collect capital costs for distribution infrastructure investments to facilitate improved service reliability.</w:t>
      </w:r>
      <w:r>
        <w:rPr>
          <w:rFonts w:ascii="Times New Roman" w:eastAsia="Arial Unicode MS" w:hAnsi="Times New Roman" w:cs="Times New Roman"/>
          <w:sz w:val="24"/>
          <w:szCs w:val="24"/>
          <w:bdr w:val="nil"/>
          <w:vertAlign w:val="superscript"/>
        </w:rPr>
        <w:footnoteReference w:id="101"/>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Settlement proposes to continue the DIR through the term of the ESP with annual revenue caps of $215 million in 2018, $240 million in 2019, $265 million in 2020, and $290 million in 2021.</w:t>
      </w:r>
      <w:r>
        <w:rPr>
          <w:rFonts w:ascii="Times New Roman" w:eastAsia="Arial Unicode MS" w:hAnsi="Times New Roman" w:cs="Times New Roman"/>
          <w:sz w:val="24"/>
          <w:szCs w:val="24"/>
          <w:bdr w:val="nil"/>
          <w:vertAlign w:val="superscript"/>
        </w:rPr>
        <w:footnoteReference w:id="102"/>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also agreed to file a distribution base rate case by June 1, 2020, to address concerns with the amount of money being collected from customers as a result of excessive distribution riders.</w:t>
      </w:r>
      <w:r>
        <w:rPr>
          <w:rFonts w:ascii="Times New Roman" w:eastAsia="Arial Unicode MS" w:hAnsi="Times New Roman" w:cs="Times New Roman"/>
          <w:sz w:val="24"/>
          <w:szCs w:val="24"/>
          <w:bdr w:val="nil"/>
          <w:vertAlign w:val="superscript"/>
        </w:rPr>
        <w:footnoteReference w:id="103"/>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If AEP does not file a distribution rate case by June 1, 2020, the DIR revenue cap for 2021 and beyond would be zero.</w:t>
      </w:r>
      <w:r>
        <w:rPr>
          <w:rFonts w:ascii="Times New Roman" w:eastAsia="Arial Unicode MS" w:hAnsi="Times New Roman" w:cs="Times New Roman"/>
          <w:sz w:val="24"/>
          <w:szCs w:val="24"/>
          <w:bdr w:val="nil"/>
          <w:vertAlign w:val="superscript"/>
        </w:rPr>
        <w:footnoteReference w:id="104"/>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The proposed increase in the DIR does not benefit customers and is not in the public interest for a variety of reasons.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First and foremost, AEP has spent (and charged customers) a large amount of money without seeing any commensurate improvement to distribution reliability. To date, AEP has spent $1.5 billion under the DIR.</w:t>
      </w:r>
      <w:r>
        <w:rPr>
          <w:rFonts w:ascii="Times New Roman" w:eastAsia="Arial Unicode MS" w:hAnsi="Times New Roman" w:cs="Times New Roman"/>
          <w:sz w:val="24"/>
          <w:szCs w:val="24"/>
          <w:bdr w:val="nil"/>
          <w:vertAlign w:val="superscript"/>
        </w:rPr>
        <w:footnoteReference w:id="105"/>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 residential customer using 1,000 kWh is currently paying $8.10 per month for the DIR, or almost $100 per year.</w:t>
      </w:r>
      <w:r>
        <w:rPr>
          <w:rFonts w:ascii="Times New Roman" w:eastAsia="Arial Unicode MS" w:hAnsi="Times New Roman" w:cs="Times New Roman"/>
          <w:sz w:val="24"/>
          <w:szCs w:val="24"/>
          <w:bdr w:val="nil"/>
          <w:vertAlign w:val="superscript"/>
        </w:rPr>
        <w:footnoteReference w:id="106"/>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Yet, there has been little if any resulting improvement to distribution reliability.</w:t>
      </w:r>
      <w:r>
        <w:rPr>
          <w:rFonts w:ascii="Times New Roman" w:eastAsia="Arial Unicode MS" w:hAnsi="Times New Roman" w:cs="Times New Roman"/>
          <w:sz w:val="24"/>
          <w:szCs w:val="24"/>
          <w:bdr w:val="nil"/>
          <w:vertAlign w:val="superscript"/>
        </w:rPr>
        <w:footnoteReference w:id="107"/>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In fact, AEP’s System Average Interruption Frequency Index (“SAIFI”)</w:t>
      </w:r>
      <w:r>
        <w:rPr>
          <w:rFonts w:ascii="Times New Roman" w:eastAsia="Arial Unicode MS" w:hAnsi="Times New Roman" w:cs="Times New Roman"/>
          <w:sz w:val="24"/>
          <w:szCs w:val="24"/>
          <w:bdr w:val="nil"/>
          <w:vertAlign w:val="superscript"/>
        </w:rPr>
        <w:footnoteReference w:id="108"/>
      </w:r>
      <w:r w:rsidRPr="00785A4C">
        <w:rPr>
          <w:rFonts w:ascii="Times New Roman" w:eastAsia="Arial Unicode MS" w:hAnsi="Times New Roman" w:cs="Times New Roman"/>
          <w:sz w:val="24"/>
          <w:szCs w:val="24"/>
          <w:bdr w:val="nil"/>
        </w:rPr>
        <w:t xml:space="preserve"> and Customer Average Interruption Duration Index (“CAIDI”)</w:t>
      </w:r>
      <w:r>
        <w:rPr>
          <w:rFonts w:ascii="Times New Roman" w:eastAsia="Arial Unicode MS" w:hAnsi="Times New Roman" w:cs="Times New Roman"/>
          <w:sz w:val="24"/>
          <w:szCs w:val="24"/>
          <w:bdr w:val="nil"/>
          <w:vertAlign w:val="superscript"/>
        </w:rPr>
        <w:footnoteReference w:id="109"/>
      </w:r>
      <w:r w:rsidRPr="00785A4C">
        <w:rPr>
          <w:rFonts w:ascii="Times New Roman" w:eastAsia="Arial Unicode MS" w:hAnsi="Times New Roman" w:cs="Times New Roman"/>
          <w:sz w:val="24"/>
          <w:szCs w:val="24"/>
          <w:bdr w:val="nil"/>
        </w:rPr>
        <w:t xml:space="preserve"> scores, the two key components to measure utility reliability performance, have been decidedly poor. </w:t>
      </w:r>
    </w:p>
    <w:p w:rsidR="00D97AEF">
      <w:pPr>
        <w:rPr>
          <w:rFonts w:ascii="Times New Roman" w:eastAsia="Arial Unicode MS" w:hAnsi="Times New Roman" w:cs="Times New Roman"/>
          <w:b/>
          <w:sz w:val="24"/>
          <w:szCs w:val="24"/>
          <w:bdr w:val="nil"/>
        </w:rPr>
      </w:pPr>
      <w:r>
        <w:rPr>
          <w:rFonts w:ascii="Times New Roman" w:eastAsia="Arial Unicode MS" w:hAnsi="Times New Roman" w:cs="Times New Roman"/>
          <w:b/>
          <w:sz w:val="24"/>
          <w:szCs w:val="24"/>
          <w:bdr w:val="nil"/>
        </w:rPr>
        <w:br w:type="page"/>
      </w:r>
    </w:p>
    <w:p w:rsidR="00785A4C" w:rsidRPr="00785A4C" w:rsidP="00785A4C">
      <w:pPr>
        <w:pBdr>
          <w:top w:val="nil"/>
          <w:left w:val="nil"/>
          <w:bottom w:val="nil"/>
          <w:right w:val="nil"/>
          <w:between w:val="nil"/>
          <w:bar w:val="nil"/>
        </w:pBdr>
        <w:spacing w:after="0" w:line="240" w:lineRule="auto"/>
        <w:ind w:firstLine="720"/>
        <w:contextualSpacing/>
        <w:jc w:val="center"/>
        <w:rPr>
          <w:rFonts w:ascii="Times New Roman" w:eastAsia="Arial Unicode MS" w:hAnsi="Times New Roman" w:cs="Times New Roman"/>
          <w:b/>
          <w:sz w:val="24"/>
          <w:szCs w:val="24"/>
          <w:bdr w:val="nil"/>
        </w:rPr>
      </w:pPr>
      <w:r w:rsidRPr="00785A4C">
        <w:rPr>
          <w:rFonts w:ascii="Times New Roman" w:eastAsia="Arial Unicode MS" w:hAnsi="Times New Roman" w:cs="Times New Roman"/>
          <w:b/>
          <w:sz w:val="24"/>
          <w:szCs w:val="24"/>
          <w:bdr w:val="nil"/>
        </w:rPr>
        <w:t>Table 1: AEP Ohio Reliability Standards/Performance (2013-2016)</w:t>
      </w:r>
      <w:r>
        <w:rPr>
          <w:rFonts w:ascii="Times New Roman" w:eastAsia="Arial Unicode MS" w:hAnsi="Times New Roman" w:cs="Times New Roman"/>
          <w:b/>
          <w:sz w:val="24"/>
          <w:szCs w:val="24"/>
          <w:bdr w:val="nil"/>
          <w:vertAlign w:val="superscript"/>
        </w:rPr>
        <w:footnoteReference w:id="110"/>
      </w: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60"/>
        <w:gridCol w:w="1757"/>
        <w:gridCol w:w="1837"/>
        <w:gridCol w:w="1765"/>
        <w:gridCol w:w="1837"/>
      </w:tblGrid>
      <w:tr w:rsidTr="0072633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Year</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SAIFI Standard</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SAIDI Performance</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CAIDI Standard (Minutes)</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CAIDI Performance (Minutes)</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1.2</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1.03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150</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140.97</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2014</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1.2</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1.13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150</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146.61</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2015</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1.2</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1.13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150</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139.03</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2016</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1.2</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1.08</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150</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143.45</w:t>
            </w:r>
          </w:p>
        </w:tc>
      </w:tr>
    </w:tbl>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p>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As seen in Table 1, while AEP met the minimum SAIFI performance standard for each year, the SAIFI performance has consistently been worse each year since 2013.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The CAIDI performance has consistently been worse in two of the three years since 2013. These SAIFI and CAIDI data demonstrate that AEP is not showing $1.5 billion worth of improvement in distribution reliability.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Despite the lack of </w:t>
      </w:r>
      <w:r w:rsidR="002616F1">
        <w:rPr>
          <w:rFonts w:ascii="Times New Roman" w:eastAsia="Arial Unicode MS" w:hAnsi="Times New Roman" w:cs="Times New Roman"/>
          <w:sz w:val="24"/>
          <w:szCs w:val="24"/>
          <w:bdr w:val="nil"/>
        </w:rPr>
        <w:t xml:space="preserve">reliability improvement, AEP collected </w:t>
      </w:r>
      <w:r w:rsidRPr="00785A4C">
        <w:rPr>
          <w:rFonts w:ascii="Times New Roman" w:eastAsia="Arial Unicode MS" w:hAnsi="Times New Roman" w:cs="Times New Roman"/>
          <w:sz w:val="24"/>
          <w:szCs w:val="24"/>
          <w:bdr w:val="nil"/>
        </w:rPr>
        <w:t>over $750 million between 2013 and 2016 from customers in DIR investments.</w:t>
      </w:r>
      <w:r>
        <w:rPr>
          <w:rFonts w:ascii="Times New Roman" w:eastAsia="Arial Unicode MS" w:hAnsi="Times New Roman" w:cs="Times New Roman"/>
          <w:sz w:val="24"/>
          <w:szCs w:val="24"/>
          <w:bdr w:val="nil"/>
          <w:vertAlign w:val="superscript"/>
        </w:rPr>
        <w:footnoteReference w:id="111"/>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To add insult to injury, AEP is now seeking less stringent distribution reliability standards that support customers having more frequent annual outages that last for much longer durations of time.</w:t>
      </w:r>
      <w:r>
        <w:rPr>
          <w:rFonts w:ascii="Times New Roman" w:eastAsia="Arial Unicode MS" w:hAnsi="Times New Roman" w:cs="Times New Roman"/>
          <w:sz w:val="24"/>
          <w:szCs w:val="24"/>
          <w:bdr w:val="nil"/>
          <w:vertAlign w:val="superscript"/>
        </w:rPr>
        <w:footnoteReference w:id="112"/>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“This could be because AEP Ohio is not performing studies or analysis to determine the relationship </w:t>
      </w:r>
      <w:r w:rsidR="002C7F23">
        <w:rPr>
          <w:rFonts w:ascii="Times New Roman" w:eastAsia="Arial Unicode MS" w:hAnsi="Times New Roman" w:cs="Times New Roman"/>
          <w:sz w:val="24"/>
          <w:szCs w:val="24"/>
          <w:bdr w:val="nil"/>
        </w:rPr>
        <w:t>among</w:t>
      </w:r>
      <w:r w:rsidRPr="00785A4C" w:rsidR="002C7F23">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reliability, distribution investment, and customer satisfaction. DIR incents the Utility to increase its spending of customer money - - not providing benefits for customers.”</w:t>
      </w:r>
      <w:r>
        <w:rPr>
          <w:rFonts w:ascii="Times New Roman" w:eastAsia="Arial Unicode MS" w:hAnsi="Times New Roman" w:cs="Times New Roman"/>
          <w:sz w:val="24"/>
          <w:szCs w:val="24"/>
          <w:bdr w:val="nil"/>
          <w:vertAlign w:val="superscript"/>
        </w:rPr>
        <w:footnoteReference w:id="113"/>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studies that have been performed show that customers’ and AEP’s expectations for reliability and costs are indeed not aligned.</w:t>
      </w:r>
      <w:r>
        <w:rPr>
          <w:rFonts w:ascii="Times New Roman" w:eastAsia="Arial Unicode MS" w:hAnsi="Times New Roman" w:cs="Times New Roman"/>
          <w:sz w:val="24"/>
          <w:szCs w:val="24"/>
          <w:bdr w:val="nil"/>
          <w:vertAlign w:val="superscript"/>
        </w:rPr>
        <w:footnoteReference w:id="114"/>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Under R.C. 4928.143(B)(2)(h), the PUCO is required to examine the reliability of the electric distribution system to ensure that customer and utility expectations for reliability are aligned before approving an infrastructure modernization rider like the DIR.</w:t>
      </w:r>
      <w:r>
        <w:rPr>
          <w:rFonts w:ascii="Times New Roman" w:eastAsia="Arial Unicode MS" w:hAnsi="Times New Roman" w:cs="Times New Roman"/>
          <w:sz w:val="24"/>
          <w:szCs w:val="24"/>
          <w:bdr w:val="nil"/>
          <w:vertAlign w:val="superscript"/>
        </w:rPr>
        <w:footnoteReference w:id="115"/>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According to the AEP Ohio 2015 Service Reliability Perception Survey, the majority of residential customers prioritized the following two aspects of their home electric service: (1) the cost of electricity (34%); and (2) quickly restoring power when outages occur (32%).</w:t>
      </w:r>
      <w:r>
        <w:rPr>
          <w:rFonts w:ascii="Times New Roman" w:eastAsia="Arial Unicode MS" w:hAnsi="Times New Roman" w:cs="Times New Roman"/>
          <w:sz w:val="24"/>
          <w:szCs w:val="24"/>
          <w:bdr w:val="nil"/>
          <w:vertAlign w:val="superscript"/>
        </w:rPr>
        <w:footnoteReference w:id="116"/>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Residential customers expressed less priority in keeping power outages to a minimum (20%), timely customer service (8%), and having options in paying the bill (4%).</w:t>
      </w:r>
      <w:r>
        <w:rPr>
          <w:rFonts w:ascii="Times New Roman" w:eastAsia="Arial Unicode MS" w:hAnsi="Times New Roman" w:cs="Times New Roman"/>
          <w:sz w:val="24"/>
          <w:szCs w:val="24"/>
          <w:bdr w:val="nil"/>
          <w:vertAlign w:val="superscript"/>
        </w:rPr>
        <w:footnoteReference w:id="117"/>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Thus, the DIR proposal in the Settlement will increase costs to customers when customers' most important concern with electric service is cost.</w:t>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Further, AEP has directly stated that some of the most important customer priorities were not accounted for in the Settlement. Indeed, when asked which of the reliability programs are intended to improve SAIFI and which of the reliability programs are intended to improve CAIDI, AEP responded that the focus is on avoiding outages and the number of customers interrupted.</w:t>
      </w:r>
      <w:r>
        <w:rPr>
          <w:rFonts w:ascii="Times New Roman" w:eastAsia="Arial Unicode MS" w:hAnsi="Times New Roman" w:cs="Times New Roman"/>
          <w:sz w:val="24"/>
          <w:szCs w:val="24"/>
          <w:bdr w:val="nil"/>
          <w:vertAlign w:val="superscript"/>
        </w:rPr>
        <w:footnoteReference w:id="118"/>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further responded that “none of the reliability projects focus on reducing CAIDI.”</w:t>
      </w:r>
      <w:r>
        <w:rPr>
          <w:rFonts w:ascii="Times New Roman" w:eastAsia="Arial Unicode MS" w:hAnsi="Times New Roman" w:cs="Times New Roman"/>
          <w:sz w:val="24"/>
          <w:szCs w:val="24"/>
          <w:bdr w:val="nil"/>
          <w:vertAlign w:val="superscript"/>
        </w:rPr>
        <w:footnoteReference w:id="119"/>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Yet, as stated above, 32</w:t>
      </w:r>
      <w:r w:rsidR="00E66D9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of residential customers prioritized quickly restoring service following an outage, which directly tied to CAIDI.</w:t>
      </w:r>
      <w:r>
        <w:rPr>
          <w:rFonts w:ascii="Times New Roman" w:eastAsia="Arial Unicode MS" w:hAnsi="Times New Roman" w:cs="Times New Roman"/>
          <w:sz w:val="24"/>
          <w:szCs w:val="24"/>
          <w:bdr w:val="nil"/>
          <w:vertAlign w:val="superscript"/>
        </w:rPr>
        <w:footnoteReference w:id="120"/>
      </w:r>
      <w:r w:rsidRPr="00785A4C">
        <w:rPr>
          <w:rFonts w:ascii="Times New Roman" w:eastAsia="Arial Unicode MS" w:hAnsi="Times New Roman" w:cs="Times New Roman"/>
          <w:sz w:val="24"/>
          <w:szCs w:val="24"/>
          <w:bdr w:val="nil"/>
        </w:rPr>
        <w:t xml:space="preserve"> Only 20</w:t>
      </w:r>
      <w:r w:rsidR="00E66D9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of the AEP’s residential customers prioritized keeping power outages to a minimum, which would be tied to SAIFI.</w:t>
      </w:r>
      <w:r>
        <w:rPr>
          <w:rFonts w:ascii="Times New Roman" w:eastAsia="Arial Unicode MS" w:hAnsi="Times New Roman" w:cs="Times New Roman"/>
          <w:sz w:val="24"/>
          <w:szCs w:val="24"/>
          <w:bdr w:val="nil"/>
          <w:vertAlign w:val="superscript"/>
        </w:rPr>
        <w:footnoteReference w:id="121"/>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This further demonstrates that AEP Ohio and its customer expectations for reliability are not aligned and that the Settlement does not benefit customers.</w:t>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In a recent J.D. Power Customer Satisfaction Survey, AEP ranked near the bottom when compared to customer satisfaction ratings of other large electric utilities in the Midwest.</w:t>
      </w:r>
      <w:r>
        <w:rPr>
          <w:rFonts w:ascii="Times New Roman" w:eastAsia="Arial Unicode MS" w:hAnsi="Times New Roman" w:cs="Times New Roman"/>
          <w:sz w:val="24"/>
          <w:szCs w:val="24"/>
          <w:bdr w:val="nil"/>
          <w:vertAlign w:val="superscript"/>
        </w:rPr>
        <w:footnoteReference w:id="122"/>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Based on a 1,000 point scale, AEP rated 654, which is well below the average rating of 678.</w:t>
      </w:r>
      <w:r>
        <w:rPr>
          <w:rFonts w:ascii="Times New Roman" w:eastAsia="Arial Unicode MS" w:hAnsi="Times New Roman" w:cs="Times New Roman"/>
          <w:sz w:val="24"/>
          <w:szCs w:val="24"/>
          <w:bdr w:val="nil"/>
          <w:vertAlign w:val="superscript"/>
        </w:rPr>
        <w:footnoteReference w:id="123"/>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Considering that AEP customers have pa</w:t>
      </w:r>
      <w:r w:rsidR="002C7F23">
        <w:rPr>
          <w:rFonts w:ascii="Times New Roman" w:eastAsia="Arial Unicode MS" w:hAnsi="Times New Roman" w:cs="Times New Roman"/>
          <w:sz w:val="24"/>
          <w:szCs w:val="24"/>
          <w:bdr w:val="nil"/>
        </w:rPr>
        <w:t xml:space="preserve">id </w:t>
      </w:r>
      <w:r w:rsidRPr="00785A4C">
        <w:rPr>
          <w:rFonts w:ascii="Times New Roman" w:eastAsia="Arial Unicode MS" w:hAnsi="Times New Roman" w:cs="Times New Roman"/>
          <w:sz w:val="24"/>
          <w:szCs w:val="24"/>
          <w:bdr w:val="nil"/>
        </w:rPr>
        <w:t xml:space="preserve">well over $1 billion in additional charges through the DIR, such low customer satisfaction ratings is unacceptable.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This is additional evidence that the DIR is not benefitting customers and continuing the DIR, which the Settlement does, will not benefit customers in the future.</w:t>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Instead of additional charges via riders, AEP should seek to collect these costs through a distribution base rate case.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Until and unless AEP files a rate case, which the Settlement does not obligate AEP to file</w:t>
      </w:r>
      <w:r w:rsidR="002C7F23">
        <w:rPr>
          <w:rFonts w:ascii="Times New Roman" w:eastAsia="Arial Unicode MS" w:hAnsi="Times New Roman" w:cs="Times New Roman"/>
          <w:sz w:val="24"/>
          <w:szCs w:val="24"/>
          <w:bdr w:val="nil"/>
        </w:rPr>
        <w:t xml:space="preserve"> any time soon</w:t>
      </w:r>
      <w:r w:rsidRPr="00785A4C">
        <w:rPr>
          <w:rFonts w:ascii="Times New Roman" w:eastAsia="Arial Unicode MS" w:hAnsi="Times New Roman" w:cs="Times New Roman"/>
          <w:sz w:val="24"/>
          <w:szCs w:val="24"/>
          <w:bdr w:val="nil"/>
        </w:rPr>
        <w:t>, customers will continue to experience regular increases in their electric bills because of the increasing DIR caps.</w:t>
      </w:r>
      <w:r>
        <w:rPr>
          <w:rFonts w:ascii="Times New Roman" w:eastAsia="Arial Unicode MS" w:hAnsi="Times New Roman" w:cs="Times New Roman"/>
          <w:sz w:val="24"/>
          <w:szCs w:val="24"/>
          <w:bdr w:val="nil"/>
          <w:vertAlign w:val="superscript"/>
        </w:rPr>
        <w:footnoteReference w:id="124"/>
      </w:r>
      <w:r w:rsidRPr="00785A4C">
        <w:rPr>
          <w:rFonts w:ascii="Times New Roman" w:eastAsia="Arial Unicode MS" w:hAnsi="Times New Roman" w:cs="Times New Roman"/>
          <w:sz w:val="24"/>
          <w:szCs w:val="24"/>
          <w:bdr w:val="nil"/>
        </w:rPr>
        <w:t xml:space="preserve"> Without a rate case, there is no opportunity for a thorough examination of investments being funded through the DIR or a comprehensive examination of AEP’s financial records where all distribution revenues and expenses are reviewed contemporaneously.</w:t>
      </w:r>
      <w:r>
        <w:rPr>
          <w:rFonts w:ascii="Times New Roman" w:eastAsia="Arial Unicode MS" w:hAnsi="Times New Roman" w:cs="Times New Roman"/>
          <w:sz w:val="24"/>
          <w:szCs w:val="24"/>
          <w:bdr w:val="nil"/>
          <w:vertAlign w:val="superscript"/>
        </w:rPr>
        <w:footnoteReference w:id="125"/>
      </w:r>
      <w:r w:rsidRPr="00785A4C">
        <w:rPr>
          <w:rFonts w:ascii="Times New Roman" w:eastAsia="Arial Unicode MS" w:hAnsi="Times New Roman" w:cs="Times New Roman"/>
          <w:sz w:val="24"/>
          <w:szCs w:val="24"/>
          <w:bdr w:val="nil"/>
        </w:rPr>
        <w:t xml:space="preserve"> A rate case is necessary to adjust electric rates as appropriate so that any operational cost savings that AEP has obtained through its massive DIR investments are passed along to customers in the form of lower bills.</w:t>
      </w:r>
      <w:r>
        <w:rPr>
          <w:rFonts w:ascii="Times New Roman" w:eastAsia="Arial Unicode MS" w:hAnsi="Times New Roman" w:cs="Times New Roman"/>
          <w:sz w:val="24"/>
          <w:szCs w:val="24"/>
          <w:bdr w:val="nil"/>
          <w:vertAlign w:val="superscript"/>
        </w:rPr>
        <w:footnoteReference w:id="126"/>
      </w:r>
    </w:p>
    <w:p w:rsidR="00785A4C" w:rsidRPr="00785A4C" w:rsidP="00785A4C">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 xml:space="preserve">As explained above, the DIR proposal in the Settlement does not benefit customers or the public interest.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Therefore, it does not satisfy the three-prong settlement test. The PUCO should reject the Settlement and end customer funding of the DIR concurrent with the term of the current ESP (May 31, 2018). </w:t>
      </w:r>
    </w:p>
    <w:p w:rsidR="00785A4C" w:rsidRPr="00785A4C" w:rsidP="00185FE5">
      <w:pPr>
        <w:pStyle w:val="Heading3"/>
      </w:pPr>
      <w:bookmarkStart w:id="13" w:name="_Toc499709912"/>
      <w:r>
        <w:t>8.</w:t>
      </w:r>
      <w:r>
        <w:tab/>
      </w:r>
      <w:r w:rsidRPr="00785A4C">
        <w:t>The electric service reliability rider does not benefit customers and the public interest.</w:t>
      </w:r>
      <w:bookmarkEnd w:id="13"/>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The Electric Service Reliability Rider (“ESRR”), which was originally approved in 2009, is AEP’s vegetation management or “tree-trimming” rider.</w:t>
      </w:r>
      <w:r>
        <w:rPr>
          <w:rFonts w:ascii="Times New Roman" w:eastAsia="Arial Unicode MS" w:hAnsi="Times New Roman" w:cs="Times New Roman"/>
          <w:sz w:val="24"/>
          <w:szCs w:val="24"/>
          <w:bdr w:val="nil"/>
          <w:vertAlign w:val="superscript"/>
        </w:rPr>
        <w:footnoteReference w:id="127"/>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The program </w:t>
      </w:r>
      <w:r w:rsidR="00A34470">
        <w:rPr>
          <w:rFonts w:ascii="Times New Roman" w:eastAsia="Arial Unicode MS" w:hAnsi="Times New Roman" w:cs="Times New Roman"/>
          <w:sz w:val="24"/>
          <w:szCs w:val="24"/>
          <w:bdr w:val="nil"/>
        </w:rPr>
        <w:t>involves</w:t>
      </w:r>
      <w:r w:rsidRPr="00785A4C">
        <w:rPr>
          <w:rFonts w:ascii="Times New Roman" w:eastAsia="Arial Unicode MS" w:hAnsi="Times New Roman" w:cs="Times New Roman"/>
          <w:sz w:val="24"/>
          <w:szCs w:val="24"/>
          <w:bdr w:val="nil"/>
        </w:rPr>
        <w:t xml:space="preserve"> trim</w:t>
      </w:r>
      <w:r w:rsidR="00A34470">
        <w:rPr>
          <w:rFonts w:ascii="Times New Roman" w:eastAsia="Arial Unicode MS" w:hAnsi="Times New Roman" w:cs="Times New Roman"/>
          <w:sz w:val="24"/>
          <w:szCs w:val="24"/>
          <w:bdr w:val="nil"/>
        </w:rPr>
        <w:t>ming</w:t>
      </w:r>
      <w:r w:rsidRPr="00785A4C">
        <w:rPr>
          <w:rFonts w:ascii="Times New Roman" w:eastAsia="Arial Unicode MS" w:hAnsi="Times New Roman" w:cs="Times New Roman"/>
          <w:sz w:val="24"/>
          <w:szCs w:val="24"/>
          <w:bdr w:val="nil"/>
        </w:rPr>
        <w:t xml:space="preserve"> trees, bushes, and other vegetation around electrical lines so that they do not interfere with or interrupt electrical service to customers.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AEP currently collects $26.0 million annually through the ESRR Rider in addition to the $24.2 million that is collected </w:t>
      </w:r>
      <w:r w:rsidRPr="00785A4C" w:rsidR="00A34470">
        <w:rPr>
          <w:rFonts w:ascii="Times New Roman" w:eastAsia="Arial Unicode MS" w:hAnsi="Times New Roman" w:cs="Times New Roman"/>
          <w:sz w:val="24"/>
          <w:szCs w:val="24"/>
          <w:bdr w:val="nil"/>
        </w:rPr>
        <w:t xml:space="preserve">annually </w:t>
      </w:r>
      <w:r w:rsidRPr="00785A4C">
        <w:rPr>
          <w:rFonts w:ascii="Times New Roman" w:eastAsia="Arial Unicode MS" w:hAnsi="Times New Roman" w:cs="Times New Roman"/>
          <w:sz w:val="24"/>
          <w:szCs w:val="24"/>
          <w:bdr w:val="nil"/>
        </w:rPr>
        <w:t>from customers through base</w:t>
      </w:r>
      <w:r w:rsidR="006250DD">
        <w:rPr>
          <w:rFonts w:ascii="Times New Roman" w:eastAsia="Arial Unicode MS" w:hAnsi="Times New Roman" w:cs="Times New Roman"/>
          <w:sz w:val="24"/>
          <w:szCs w:val="24"/>
          <w:bdr w:val="nil"/>
        </w:rPr>
        <w:t xml:space="preserve"> distribution</w:t>
      </w:r>
      <w:r w:rsidRPr="00785A4C">
        <w:rPr>
          <w:rFonts w:ascii="Times New Roman" w:eastAsia="Arial Unicode MS" w:hAnsi="Times New Roman" w:cs="Times New Roman"/>
          <w:sz w:val="24"/>
          <w:szCs w:val="24"/>
          <w:bdr w:val="nil"/>
        </w:rPr>
        <w:t xml:space="preserve"> rates for vegetation management.</w:t>
      </w:r>
      <w:r>
        <w:rPr>
          <w:rFonts w:ascii="Times New Roman" w:eastAsia="Arial Unicode MS" w:hAnsi="Times New Roman" w:cs="Times New Roman"/>
          <w:sz w:val="24"/>
          <w:szCs w:val="24"/>
          <w:bdr w:val="nil"/>
          <w:vertAlign w:val="superscript"/>
        </w:rPr>
        <w:footnoteReference w:id="128"/>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Despite these already large charges to customers, the Settlement </w:t>
      </w:r>
      <w:r w:rsidR="006250DD">
        <w:rPr>
          <w:rFonts w:ascii="Times New Roman" w:eastAsia="Arial Unicode MS" w:hAnsi="Times New Roman" w:cs="Times New Roman"/>
          <w:sz w:val="24"/>
          <w:szCs w:val="24"/>
          <w:bdr w:val="nil"/>
        </w:rPr>
        <w:t>allows</w:t>
      </w:r>
      <w:r w:rsidRPr="00785A4C">
        <w:rPr>
          <w:rFonts w:ascii="Times New Roman" w:eastAsia="Arial Unicode MS" w:hAnsi="Times New Roman" w:cs="Times New Roman"/>
          <w:sz w:val="24"/>
          <w:szCs w:val="24"/>
          <w:bdr w:val="nil"/>
        </w:rPr>
        <w:t xml:space="preserve"> AEP </w:t>
      </w:r>
      <w:r w:rsidR="006250DD">
        <w:rPr>
          <w:rFonts w:ascii="Times New Roman" w:eastAsia="Arial Unicode MS" w:hAnsi="Times New Roman" w:cs="Times New Roman"/>
          <w:sz w:val="24"/>
          <w:szCs w:val="24"/>
          <w:bdr w:val="nil"/>
        </w:rPr>
        <w:t xml:space="preserve">to </w:t>
      </w:r>
      <w:r w:rsidRPr="00785A4C">
        <w:rPr>
          <w:rFonts w:ascii="Times New Roman" w:eastAsia="Arial Unicode MS" w:hAnsi="Times New Roman" w:cs="Times New Roman"/>
          <w:sz w:val="24"/>
          <w:szCs w:val="24"/>
          <w:bdr w:val="nil"/>
        </w:rPr>
        <w:t>continu</w:t>
      </w:r>
      <w:r w:rsidR="006250DD">
        <w:rPr>
          <w:rFonts w:ascii="Times New Roman" w:eastAsia="Arial Unicode MS" w:hAnsi="Times New Roman" w:cs="Times New Roman"/>
          <w:sz w:val="24"/>
          <w:szCs w:val="24"/>
          <w:bdr w:val="nil"/>
        </w:rPr>
        <w:t>e</w:t>
      </w:r>
      <w:r w:rsidRPr="00785A4C">
        <w:rPr>
          <w:rFonts w:ascii="Times New Roman" w:eastAsia="Arial Unicode MS" w:hAnsi="Times New Roman" w:cs="Times New Roman"/>
          <w:sz w:val="24"/>
          <w:szCs w:val="24"/>
          <w:bdr w:val="nil"/>
        </w:rPr>
        <w:t xml:space="preserve"> collect</w:t>
      </w:r>
      <w:r w:rsidR="006250DD">
        <w:rPr>
          <w:rFonts w:ascii="Times New Roman" w:eastAsia="Arial Unicode MS" w:hAnsi="Times New Roman" w:cs="Times New Roman"/>
          <w:sz w:val="24"/>
          <w:szCs w:val="24"/>
          <w:bdr w:val="nil"/>
        </w:rPr>
        <w:t>ing</w:t>
      </w:r>
      <w:r w:rsidRPr="00785A4C">
        <w:rPr>
          <w:rFonts w:ascii="Times New Roman" w:eastAsia="Arial Unicode MS" w:hAnsi="Times New Roman" w:cs="Times New Roman"/>
          <w:sz w:val="24"/>
          <w:szCs w:val="24"/>
          <w:bdr w:val="nil"/>
        </w:rPr>
        <w:t xml:space="preserve"> $27.6 million annually from customers for the ESRR until at least December 31, 2020.</w:t>
      </w:r>
      <w:r>
        <w:rPr>
          <w:rFonts w:ascii="Times New Roman" w:eastAsia="Arial Unicode MS" w:hAnsi="Times New Roman" w:cs="Times New Roman"/>
          <w:sz w:val="24"/>
          <w:szCs w:val="24"/>
          <w:bdr w:val="nil"/>
          <w:vertAlign w:val="superscript"/>
        </w:rPr>
        <w:footnoteReference w:id="129"/>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If AEP files a distribution rate case by June 1, 2020, it would be able to continue collecting money from customers until an order is issued in that base rate case.</w:t>
      </w:r>
      <w:r>
        <w:rPr>
          <w:rFonts w:ascii="Times New Roman" w:eastAsia="Arial Unicode MS" w:hAnsi="Times New Roman" w:cs="Times New Roman"/>
          <w:sz w:val="24"/>
          <w:szCs w:val="24"/>
          <w:bdr w:val="nil"/>
          <w:vertAlign w:val="superscript"/>
        </w:rPr>
        <w:footnoteReference w:id="130"/>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Further, the Settlement involves </w:t>
      </w:r>
      <w:r w:rsidR="00F251C5">
        <w:rPr>
          <w:rFonts w:ascii="Times New Roman" w:eastAsia="Arial Unicode MS" w:hAnsi="Times New Roman" w:cs="Times New Roman"/>
          <w:sz w:val="24"/>
          <w:szCs w:val="24"/>
          <w:bdr w:val="nil"/>
        </w:rPr>
        <w:t>addressing</w:t>
      </w:r>
      <w:r w:rsidRPr="00785A4C" w:rsidR="00F251C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ESRR in the next base rate case.</w:t>
      </w:r>
      <w:r>
        <w:rPr>
          <w:rFonts w:ascii="Times New Roman" w:eastAsia="Arial Unicode MS" w:hAnsi="Times New Roman" w:cs="Times New Roman"/>
          <w:sz w:val="24"/>
          <w:szCs w:val="24"/>
          <w:bdr w:val="nil"/>
          <w:vertAlign w:val="superscript"/>
        </w:rPr>
        <w:footnoteReference w:id="131"/>
      </w:r>
    </w:p>
    <w:p w:rsidR="008D0135" w:rsidP="007575D2">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b/>
          <w:sz w:val="24"/>
          <w:szCs w:val="24"/>
          <w:bdr w:val="nil"/>
        </w:rPr>
      </w:pPr>
      <w:r>
        <w:rPr>
          <w:rFonts w:ascii="Times New Roman" w:eastAsia="Arial Unicode MS" w:hAnsi="Times New Roman" w:cs="Times New Roman"/>
          <w:sz w:val="24"/>
          <w:szCs w:val="24"/>
          <w:bdr w:val="nil"/>
        </w:rPr>
        <w:tab/>
      </w:r>
      <w:r w:rsidRPr="00785A4C" w:rsidR="00785A4C">
        <w:rPr>
          <w:rFonts w:ascii="Times New Roman" w:eastAsia="Arial Unicode MS" w:hAnsi="Times New Roman" w:cs="Times New Roman"/>
          <w:sz w:val="24"/>
          <w:szCs w:val="24"/>
          <w:bdr w:val="nil"/>
        </w:rPr>
        <w:t xml:space="preserve">The ESRR proposal in the Settlement does not benefit customers because it has not proven effective in significantly reducing outages caused by trees. </w:t>
      </w:r>
    </w:p>
    <w:p w:rsidR="00D97AEF">
      <w:pPr>
        <w:rPr>
          <w:rFonts w:ascii="Times New Roman" w:eastAsia="Arial Unicode MS" w:hAnsi="Times New Roman" w:cs="Times New Roman"/>
          <w:b/>
          <w:sz w:val="24"/>
          <w:szCs w:val="24"/>
          <w:bdr w:val="nil"/>
        </w:rPr>
      </w:pPr>
      <w:r>
        <w:rPr>
          <w:rFonts w:ascii="Times New Roman" w:eastAsia="Arial Unicode MS" w:hAnsi="Times New Roman" w:cs="Times New Roman"/>
          <w:b/>
          <w:sz w:val="24"/>
          <w:szCs w:val="24"/>
          <w:bdr w:val="nil"/>
        </w:rPr>
        <w:br w:type="page"/>
      </w:r>
    </w:p>
    <w:p w:rsidR="00785A4C" w:rsidRPr="00785A4C" w:rsidP="00785A4C">
      <w:pPr>
        <w:pBdr>
          <w:top w:val="nil"/>
          <w:left w:val="nil"/>
          <w:bottom w:val="nil"/>
          <w:right w:val="nil"/>
          <w:between w:val="nil"/>
          <w:bar w:val="nil"/>
        </w:pBdr>
        <w:spacing w:after="0" w:line="480" w:lineRule="auto"/>
        <w:contextualSpacing/>
        <w:jc w:val="center"/>
        <w:rPr>
          <w:rFonts w:ascii="Times New Roman" w:eastAsia="Arial Unicode MS" w:hAnsi="Times New Roman" w:cs="Times New Roman"/>
          <w:b/>
          <w:sz w:val="24"/>
          <w:szCs w:val="24"/>
          <w:bdr w:val="nil"/>
        </w:rPr>
      </w:pPr>
      <w:r w:rsidRPr="00785A4C">
        <w:rPr>
          <w:rFonts w:ascii="Times New Roman" w:eastAsia="Arial Unicode MS" w:hAnsi="Times New Roman" w:cs="Times New Roman"/>
          <w:b/>
          <w:sz w:val="24"/>
          <w:szCs w:val="24"/>
          <w:bdr w:val="nil"/>
        </w:rPr>
        <w:t xml:space="preserve">Table </w:t>
      </w:r>
      <w:r w:rsidR="002616F1">
        <w:rPr>
          <w:rFonts w:ascii="Times New Roman" w:eastAsia="Arial Unicode MS" w:hAnsi="Times New Roman" w:cs="Times New Roman"/>
          <w:b/>
          <w:sz w:val="24"/>
          <w:szCs w:val="24"/>
          <w:bdr w:val="nil"/>
        </w:rPr>
        <w:t>2</w:t>
      </w:r>
      <w:r w:rsidRPr="00785A4C">
        <w:rPr>
          <w:rFonts w:ascii="Times New Roman" w:eastAsia="Arial Unicode MS" w:hAnsi="Times New Roman" w:cs="Times New Roman"/>
          <w:b/>
          <w:sz w:val="24"/>
          <w:szCs w:val="24"/>
          <w:bdr w:val="nil"/>
        </w:rPr>
        <w:t>: Outages Caused by Trees 1 (2009 – 2016).</w:t>
      </w:r>
      <w:r>
        <w:rPr>
          <w:rFonts w:ascii="Times New Roman" w:eastAsia="Arial Unicode MS" w:hAnsi="Times New Roman" w:cs="Times New Roman"/>
          <w:b/>
          <w:sz w:val="24"/>
          <w:szCs w:val="24"/>
          <w:bdr w:val="nil"/>
          <w:vertAlign w:val="superscript"/>
        </w:rPr>
        <w:footnoteReference w:id="132"/>
      </w: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128"/>
        <w:gridCol w:w="2268"/>
        <w:gridCol w:w="2241"/>
        <w:gridCol w:w="2219"/>
      </w:tblGrid>
      <w:tr w:rsidTr="0072633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Year</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Interruptions</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Customers Interrupted</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Customer Outage Minutes</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2009</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5,876</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261,804</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54,716,513</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2010</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6,336</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274,163</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57,840,607</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2011</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7,003</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312,118</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69,624,736</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2012</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5,490</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250,943</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51,227,123</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2013</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4,845</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213,659</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46,485,876</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2014</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4,568</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201,716</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46,545,188</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2015</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4,852</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223,697</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45,262,937</w:t>
            </w:r>
          </w:p>
        </w:tc>
      </w:tr>
      <w:tr w:rsidTr="00726330">
        <w:tblPrEx>
          <w:tblW w:w="0" w:type="auto"/>
          <w:tblInd w:w="0" w:type="dxa"/>
          <w:tblCellMar>
            <w:top w:w="0" w:type="dxa"/>
            <w:left w:w="108" w:type="dxa"/>
            <w:bottom w:w="0" w:type="dxa"/>
            <w:right w:w="108" w:type="dxa"/>
          </w:tblCellMar>
          <w:tblLook w:val="04A0"/>
        </w:tblPrEx>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2016</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5,083</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257,540</w:t>
            </w:r>
          </w:p>
        </w:tc>
        <w:tc>
          <w:tcPr>
            <w:tcW w:w="2394"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51,219,163</w:t>
            </w:r>
          </w:p>
        </w:tc>
      </w:tr>
    </w:tbl>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Table </w:t>
      </w:r>
      <w:r w:rsidR="002616F1">
        <w:rPr>
          <w:rFonts w:ascii="Times New Roman" w:eastAsia="Arial Unicode MS" w:hAnsi="Times New Roman" w:cs="Times New Roman"/>
          <w:sz w:val="24"/>
          <w:szCs w:val="24"/>
          <w:bdr w:val="nil"/>
        </w:rPr>
        <w:t>2</w:t>
      </w:r>
      <w:r w:rsidRPr="00785A4C">
        <w:rPr>
          <w:rFonts w:ascii="Times New Roman" w:eastAsia="Arial Unicode MS" w:hAnsi="Times New Roman" w:cs="Times New Roman"/>
          <w:sz w:val="24"/>
          <w:szCs w:val="24"/>
          <w:bdr w:val="nil"/>
        </w:rPr>
        <w:t xml:space="preserve"> shows that interruptions, customers interrupted, and customer outage minutes have declined just slightly since 2009.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But these “benefits” are outweighed by the costs -- $450 million -- AEP has charged customers for tree</w:t>
      </w:r>
      <w:r w:rsidR="00A34470">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trimming over the same period.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As stated earlier, AEP is charging $24.2 million annually in base rates and $27.6 annually through the ESRR Rider for tree-trimming expenses.</w:t>
      </w:r>
      <w:r>
        <w:rPr>
          <w:rFonts w:ascii="Times New Roman" w:eastAsia="Arial Unicode MS" w:hAnsi="Times New Roman" w:cs="Times New Roman"/>
          <w:sz w:val="24"/>
          <w:szCs w:val="24"/>
          <w:bdr w:val="nil"/>
          <w:vertAlign w:val="superscript"/>
        </w:rPr>
        <w:footnoteReference w:id="133"/>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For individual residential consumers using 1,000 kWh per month, the ESRR currently costs almost $2.00 per month, or $24.00 annually.</w:t>
      </w:r>
      <w:r>
        <w:rPr>
          <w:rFonts w:ascii="Times New Roman" w:eastAsia="Arial Unicode MS" w:hAnsi="Times New Roman" w:cs="Times New Roman"/>
          <w:sz w:val="24"/>
          <w:szCs w:val="24"/>
          <w:bdr w:val="nil"/>
          <w:vertAlign w:val="superscript"/>
        </w:rPr>
        <w:footnoteReference w:id="134"/>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Without the Settlement, the ESRR Rider is slated to end at the conclusion of the current ESP (May 31, 2018). So the Settlement will cost AEP customers at least an additional $82.8 million between 2018 and 2020 for tree-trimming expenses.</w:t>
      </w:r>
      <w:r>
        <w:rPr>
          <w:rFonts w:ascii="Times New Roman" w:eastAsia="Arial Unicode MS" w:hAnsi="Times New Roman" w:cs="Times New Roman"/>
          <w:sz w:val="24"/>
          <w:szCs w:val="24"/>
          <w:bdr w:val="nil"/>
          <w:vertAlign w:val="superscript"/>
        </w:rPr>
        <w:footnoteReference w:id="135"/>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Thus, the costs of ESRR — past, present, and future — when compared to the “benefits” that customers have received demonstrate that the proposal is not beneficial to customers and not in the public interest. </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Additionally, under Ohio Admin. Code 4901:1-10-26, AEP is required to file an annual system improvement plan on March 31 of each year that includes reporting compliance with PUCO inspection, maintenance, repair, and replacement plans.</w:t>
      </w:r>
      <w:r>
        <w:rPr>
          <w:rFonts w:ascii="Times New Roman" w:eastAsia="Arial Unicode MS" w:hAnsi="Times New Roman" w:cs="Times New Roman"/>
          <w:sz w:val="24"/>
          <w:szCs w:val="24"/>
          <w:bdr w:val="nil"/>
          <w:vertAlign w:val="superscript"/>
        </w:rPr>
        <w:footnoteReference w:id="136"/>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did not fulfill its requirements for distribution vegetation control in 2012, 2015, and 2016.</w:t>
      </w:r>
      <w:r>
        <w:rPr>
          <w:rFonts w:ascii="Times New Roman" w:eastAsia="Arial Unicode MS" w:hAnsi="Times New Roman" w:cs="Times New Roman"/>
          <w:sz w:val="24"/>
          <w:szCs w:val="24"/>
          <w:bdr w:val="nil"/>
          <w:vertAlign w:val="superscript"/>
        </w:rPr>
        <w:footnoteReference w:id="137"/>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Thus, customers have not been receiving the required benefit from the ESRR in the past. Despite these failures, the Settlement seeks to collect even more money from customers for vegetation management in the future.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This is not a just and reasonable </w:t>
      </w:r>
      <w:r w:rsidR="00A34470">
        <w:rPr>
          <w:rFonts w:ascii="Times New Roman" w:eastAsia="Arial Unicode MS" w:hAnsi="Times New Roman" w:cs="Times New Roman"/>
          <w:sz w:val="24"/>
          <w:szCs w:val="24"/>
          <w:bdr w:val="nil"/>
        </w:rPr>
        <w:t>outcome</w:t>
      </w:r>
      <w:r w:rsidRPr="00785A4C" w:rsidR="00A34470">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for customers.</w:t>
      </w:r>
    </w:p>
    <w:p w:rsid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Finally, customers should not have to pay separately through the ESRR for tree-trimming expenses that AEP can collect from customers through base rates.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is now set to file a distribution base rate case in 2020 and it can seek collection of additional revenues to meet any PUCO mandates involving tree</w:t>
      </w:r>
      <w:r w:rsidR="00A34470">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trimming in that case.</w:t>
      </w:r>
    </w:p>
    <w:p w:rsidR="002616F1"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t>The ESRR harms consumers and should be rejected.</w:t>
      </w:r>
    </w:p>
    <w:p w:rsidR="00785A4C" w:rsidRPr="00785A4C" w:rsidP="00185FE5">
      <w:pPr>
        <w:pStyle w:val="Heading3"/>
      </w:pPr>
      <w:bookmarkStart w:id="14" w:name="_Toc499709913"/>
      <w:r>
        <w:t>9.</w:t>
      </w:r>
      <w:r>
        <w:tab/>
      </w:r>
      <w:r w:rsidR="002616F1">
        <w:t>AEP’s failure to take advantage of certain tax deductions does</w:t>
      </w:r>
      <w:r w:rsidRPr="00785A4C">
        <w:t xml:space="preserve"> not benefit customers and the public interest.</w:t>
      </w:r>
      <w:bookmarkEnd w:id="14"/>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The DIR proposal in the Settlement will also not benefit customers because AEP has failed to offset the DIR revenue requirement by taking advantage of certain tax deductions that would have lowered costs to consumers.</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The DIR revenue requirement has three components: (1) the return on the increase in net rate base, defined as the increase in gross distribution plant in service less the increase in related accumulated depreciation and accumulated deferred income taxes (“ADIT”); (2) depreciation on additions to distribution plant in service; and (3) the property taxes on the additions to distribution plant in service.</w:t>
      </w:r>
      <w:r>
        <w:rPr>
          <w:rFonts w:ascii="Times New Roman" w:eastAsia="Arial Unicode MS" w:hAnsi="Times New Roman" w:cs="Times New Roman"/>
          <w:sz w:val="24"/>
          <w:szCs w:val="24"/>
          <w:bdr w:val="nil"/>
          <w:vertAlign w:val="superscript"/>
        </w:rPr>
        <w:footnoteReference w:id="138"/>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 Capital repairs income tax deductions affect the balance of accumulated deferred income taxes.</w:t>
      </w:r>
      <w:r>
        <w:rPr>
          <w:rFonts w:ascii="Times New Roman" w:eastAsia="Arial Unicode MS" w:hAnsi="Times New Roman" w:cs="Times New Roman"/>
          <w:sz w:val="24"/>
          <w:szCs w:val="24"/>
          <w:bdr w:val="nil"/>
          <w:vertAlign w:val="superscript"/>
        </w:rPr>
        <w:footnoteReference w:id="139"/>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In 2013 the IRS adopted final regulations regarding the deduction and capitalization of expenditures related to tangible property.</w:t>
      </w:r>
      <w:r>
        <w:rPr>
          <w:rFonts w:ascii="Times New Roman" w:eastAsia="Arial Unicode MS" w:hAnsi="Times New Roman" w:cs="Times New Roman"/>
          <w:sz w:val="24"/>
          <w:szCs w:val="24"/>
          <w:bdr w:val="nil"/>
          <w:vertAlign w:val="superscript"/>
        </w:rPr>
        <w:footnoteReference w:id="140"/>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regulations expanded the treatment of certain expenditures, which are capitalized on taxpayers’ books of account, as current deductions for income tax purposes.</w:t>
      </w:r>
      <w:r>
        <w:rPr>
          <w:rFonts w:ascii="Times New Roman" w:eastAsia="Arial Unicode MS" w:hAnsi="Times New Roman" w:cs="Times New Roman"/>
          <w:sz w:val="24"/>
          <w:szCs w:val="24"/>
          <w:bdr w:val="nil"/>
          <w:vertAlign w:val="superscript"/>
        </w:rPr>
        <w:footnoteReference w:id="141"/>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tax accounting change has two components: (1) a current deduction for the repair allowance is increased on a going forward basis; and (2) a “catch-up” deduction is also allowed for the cumulative effect of expenditures that had been capitalized in prior years but would be currently deductible under the new accounting change.</w:t>
      </w:r>
      <w:r>
        <w:rPr>
          <w:rFonts w:ascii="Times New Roman" w:eastAsia="Arial Unicode MS" w:hAnsi="Times New Roman" w:cs="Times New Roman"/>
          <w:sz w:val="24"/>
          <w:szCs w:val="24"/>
          <w:bdr w:val="nil"/>
          <w:vertAlign w:val="superscript"/>
        </w:rPr>
        <w:footnoteReference w:id="142"/>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AEP has failed to implement the tax accounting change even though it would reduce the DIR revenue requirement by at least $4.5 million and, ultimately, reduce the costs charged to customers.</w:t>
      </w:r>
      <w:r>
        <w:rPr>
          <w:rFonts w:ascii="Times New Roman" w:eastAsia="Arial Unicode MS" w:hAnsi="Times New Roman" w:cs="Times New Roman"/>
          <w:sz w:val="24"/>
          <w:szCs w:val="24"/>
          <w:bdr w:val="nil"/>
          <w:vertAlign w:val="superscript"/>
        </w:rPr>
        <w:footnoteReference w:id="143"/>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Indeed, other utilities in Ohio and nationwide have availed themselves of this tax treatment.</w:t>
      </w:r>
      <w:r>
        <w:rPr>
          <w:rFonts w:ascii="Times New Roman" w:eastAsia="Arial Unicode MS" w:hAnsi="Times New Roman" w:cs="Times New Roman"/>
          <w:sz w:val="24"/>
          <w:szCs w:val="24"/>
          <w:bdr w:val="nil"/>
          <w:vertAlign w:val="superscript"/>
        </w:rPr>
        <w:footnoteReference w:id="144"/>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admitted that they could have implemented the tax treatment earlier, but have simply failed to implement the proper compute</w:t>
      </w:r>
      <w:r w:rsidR="00C4390C">
        <w:rPr>
          <w:rFonts w:ascii="Times New Roman" w:eastAsia="Arial Unicode MS" w:hAnsi="Times New Roman" w:cs="Times New Roman"/>
          <w:sz w:val="24"/>
          <w:szCs w:val="24"/>
          <w:bdr w:val="nil"/>
        </w:rPr>
        <w:t>r</w:t>
      </w:r>
      <w:r w:rsidRPr="00785A4C">
        <w:rPr>
          <w:rFonts w:ascii="Times New Roman" w:eastAsia="Arial Unicode MS" w:hAnsi="Times New Roman" w:cs="Times New Roman"/>
          <w:sz w:val="24"/>
          <w:szCs w:val="24"/>
          <w:bdr w:val="nil"/>
        </w:rPr>
        <w:t xml:space="preserve"> software to do so.</w:t>
      </w:r>
      <w:r>
        <w:rPr>
          <w:rFonts w:ascii="Times New Roman" w:eastAsia="Arial Unicode MS" w:hAnsi="Times New Roman" w:cs="Times New Roman"/>
          <w:sz w:val="24"/>
          <w:szCs w:val="24"/>
          <w:bdr w:val="nil"/>
          <w:vertAlign w:val="superscript"/>
        </w:rPr>
        <w:footnoteReference w:id="145"/>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computer software costs only $500,000.</w:t>
      </w:r>
      <w:r>
        <w:rPr>
          <w:rFonts w:ascii="Times New Roman" w:eastAsia="Arial Unicode MS" w:hAnsi="Times New Roman" w:cs="Times New Roman"/>
          <w:sz w:val="24"/>
          <w:szCs w:val="24"/>
          <w:bdr w:val="nil"/>
          <w:vertAlign w:val="superscript"/>
        </w:rPr>
        <w:footnoteReference w:id="146"/>
      </w:r>
      <w:r w:rsidRPr="00785A4C">
        <w:rPr>
          <w:rFonts w:ascii="Times New Roman" w:eastAsia="Arial Unicode MS" w:hAnsi="Times New Roman" w:cs="Times New Roman"/>
          <w:sz w:val="24"/>
          <w:szCs w:val="24"/>
          <w:bdr w:val="nil"/>
        </w:rPr>
        <w:t xml:space="preserve"> </w:t>
      </w:r>
    </w:p>
    <w:p w:rsidR="00185FE5" w:rsidP="008D0135">
      <w:pPr>
        <w:pBdr>
          <w:top w:val="nil"/>
          <w:left w:val="nil"/>
          <w:bottom w:val="nil"/>
          <w:right w:val="nil"/>
          <w:between w:val="nil"/>
          <w:bar w:val="nil"/>
        </w:pBdr>
        <w:spacing w:after="0" w:line="480" w:lineRule="auto"/>
        <w:ind w:firstLine="360"/>
        <w:contextualSpacing/>
        <w:rPr>
          <w:rFonts w:ascii="Times New Roman" w:eastAsia="Arial Unicode MS" w:hAnsi="Arial Unicode MS" w:cs="Arial Unicode MS"/>
          <w:b/>
          <w:color w:val="000000"/>
          <w:sz w:val="24"/>
          <w:szCs w:val="24"/>
          <w:u w:color="000000"/>
          <w:bdr w:val="nil"/>
        </w:rPr>
      </w:pPr>
      <w:r>
        <w:rPr>
          <w:rFonts w:ascii="Times New Roman" w:eastAsia="Arial Unicode MS" w:hAnsi="Times New Roman" w:cs="Times New Roman"/>
          <w:sz w:val="24"/>
          <w:szCs w:val="24"/>
          <w:bdr w:val="nil"/>
        </w:rPr>
        <w:tab/>
      </w:r>
      <w:r w:rsidRPr="00785A4C" w:rsidR="00785A4C">
        <w:rPr>
          <w:rFonts w:ascii="Times New Roman" w:eastAsia="Arial Unicode MS" w:hAnsi="Times New Roman" w:cs="Times New Roman"/>
          <w:sz w:val="24"/>
          <w:szCs w:val="24"/>
          <w:bdr w:val="nil"/>
        </w:rPr>
        <w:t>OCC Witness Effron surmised that AEP has failed to implement the tax treatment because the DIR diminished its incentive to use the tax methods.</w:t>
      </w:r>
      <w:r>
        <w:rPr>
          <w:rFonts w:ascii="Times New Roman" w:eastAsia="Arial Unicode MS" w:hAnsi="Times New Roman" w:cs="Times New Roman"/>
          <w:sz w:val="24"/>
          <w:szCs w:val="24"/>
          <w:bdr w:val="nil"/>
          <w:vertAlign w:val="superscript"/>
        </w:rPr>
        <w:footnoteReference w:id="147"/>
      </w:r>
      <w:r w:rsidRPr="00785A4C" w:rsid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sidR="00785A4C">
        <w:rPr>
          <w:rFonts w:ascii="Times New Roman" w:eastAsia="Arial Unicode MS" w:hAnsi="Times New Roman" w:cs="Times New Roman"/>
          <w:sz w:val="24"/>
          <w:szCs w:val="24"/>
          <w:bdr w:val="nil"/>
        </w:rPr>
        <w:t xml:space="preserve">This is because “under the workings of the DIR, any benefits of the capital repairs </w:t>
      </w:r>
      <w:r w:rsidRPr="00785A4C" w:rsidR="00086485">
        <w:rPr>
          <w:rFonts w:ascii="Times New Roman" w:eastAsia="Arial Unicode MS" w:hAnsi="Times New Roman" w:cs="Times New Roman"/>
          <w:sz w:val="24"/>
          <w:szCs w:val="24"/>
          <w:bdr w:val="nil"/>
        </w:rPr>
        <w:t>deductions</w:t>
      </w:r>
      <w:r w:rsidRPr="00785A4C" w:rsidR="00785A4C">
        <w:rPr>
          <w:rFonts w:ascii="Times New Roman" w:eastAsia="Arial Unicode MS" w:hAnsi="Times New Roman" w:cs="Times New Roman"/>
          <w:sz w:val="24"/>
          <w:szCs w:val="24"/>
          <w:bdr w:val="nil"/>
        </w:rPr>
        <w:t xml:space="preserve"> would be automatically passed on to customers by reducing the DIR revenue requirement.”</w:t>
      </w:r>
      <w:r>
        <w:rPr>
          <w:rFonts w:ascii="Times New Roman" w:eastAsia="Arial Unicode MS" w:hAnsi="Times New Roman" w:cs="Times New Roman"/>
          <w:sz w:val="24"/>
          <w:szCs w:val="24"/>
          <w:bdr w:val="nil"/>
          <w:vertAlign w:val="superscript"/>
        </w:rPr>
        <w:footnoteReference w:id="148"/>
      </w:r>
      <w:r w:rsidRPr="00785A4C" w:rsidR="00785A4C">
        <w:rPr>
          <w:rFonts w:ascii="Times New Roman" w:eastAsia="Arial Unicode MS" w:hAnsi="Times New Roman" w:cs="Times New Roman"/>
          <w:sz w:val="24"/>
          <w:szCs w:val="24"/>
          <w:bdr w:val="nil"/>
        </w:rPr>
        <w:t xml:space="preserve"> Accordingly, the current DIR proposal tends to reduce or eliminate AEP’s incentives to control costs and may even encourage uneconomic choices.</w:t>
      </w:r>
      <w:r>
        <w:rPr>
          <w:rFonts w:ascii="Times New Roman" w:eastAsia="Arial Unicode MS" w:hAnsi="Times New Roman" w:cs="Times New Roman"/>
          <w:sz w:val="24"/>
          <w:szCs w:val="24"/>
          <w:bdr w:val="nil"/>
          <w:vertAlign w:val="superscript"/>
        </w:rPr>
        <w:footnoteReference w:id="149"/>
      </w:r>
      <w:r w:rsidRPr="00785A4C" w:rsid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sidR="00785A4C">
        <w:rPr>
          <w:rFonts w:ascii="Times New Roman" w:eastAsia="Arial Unicode MS" w:hAnsi="Times New Roman" w:cs="Times New Roman"/>
          <w:sz w:val="24"/>
          <w:szCs w:val="24"/>
          <w:bdr w:val="nil"/>
        </w:rPr>
        <w:t xml:space="preserve">It will also unjustly and unreasonably increase customers’ utility bills. </w:t>
      </w:r>
      <w:r w:rsidR="003361F5">
        <w:rPr>
          <w:rFonts w:ascii="Times New Roman" w:eastAsia="Arial Unicode MS" w:hAnsi="Times New Roman" w:cs="Times New Roman"/>
          <w:sz w:val="24"/>
          <w:szCs w:val="24"/>
          <w:bdr w:val="nil"/>
        </w:rPr>
        <w:t xml:space="preserve"> </w:t>
      </w:r>
      <w:r w:rsidRPr="00785A4C" w:rsidR="00785A4C">
        <w:rPr>
          <w:rFonts w:ascii="Times New Roman" w:eastAsia="Arial Unicode MS" w:hAnsi="Times New Roman" w:cs="Times New Roman"/>
          <w:sz w:val="24"/>
          <w:szCs w:val="24"/>
          <w:bdr w:val="nil"/>
        </w:rPr>
        <w:t xml:space="preserve">Thus, the DIR proposal in the Settlement does not benefit customers and the public interest. </w:t>
      </w:r>
    </w:p>
    <w:p w:rsidR="00785A4C" w:rsidRPr="00785A4C" w:rsidP="00185FE5">
      <w:pPr>
        <w:pStyle w:val="Heading3"/>
      </w:pPr>
      <w:bookmarkStart w:id="15" w:name="_Toc499709914"/>
      <w:r>
        <w:t>10.</w:t>
      </w:r>
      <w:r>
        <w:tab/>
      </w:r>
      <w:r w:rsidRPr="00785A4C">
        <w:t>The SEET proposal does not benefit customers or the public interest.</w:t>
      </w:r>
      <w:bookmarkEnd w:id="15"/>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In the Settlement AEP requests that that the PUCO confirm in advance that the SEET methodology it has used in the past will be applicable throughout the ESP period. This request is unreasonable and unnecessary. In fact, the PUCO has declined to approve this same request by AEP in the past.</w:t>
      </w:r>
      <w:r>
        <w:rPr>
          <w:rFonts w:ascii="Times New Roman" w:eastAsia="Arial Unicode MS" w:hAnsi="Times New Roman" w:cs="Times New Roman"/>
          <w:sz w:val="24"/>
          <w:szCs w:val="24"/>
          <w:bdr w:val="nil"/>
          <w:vertAlign w:val="superscript"/>
        </w:rPr>
        <w:footnoteReference w:id="150"/>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It should do the same here. Adopting the SEET proposal will only prematurely restrict the rights of intervening parties in future SEET proceedings.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This will not benefit customers or the public interest.</w:t>
      </w:r>
    </w:p>
    <w:p w:rsidR="00785A4C" w:rsidRPr="00185FE5" w:rsidP="002616F1">
      <w:pPr>
        <w:pStyle w:val="Heading2"/>
        <w:rPr>
          <w:rFonts w:cs="Times New Roman"/>
          <w:szCs w:val="24"/>
        </w:rPr>
      </w:pPr>
      <w:bookmarkStart w:id="16" w:name="_Toc499709915"/>
      <w:r>
        <w:t>B.</w:t>
      </w:r>
      <w:r>
        <w:tab/>
      </w:r>
      <w:r w:rsidRPr="00785A4C">
        <w:t>The proposed Settlement violates important regulatory principles and practice.</w:t>
      </w:r>
      <w:bookmarkEnd w:id="16"/>
      <w:r>
        <w:rPr>
          <w:rFonts w:cs="Times New Roman"/>
          <w:szCs w:val="24"/>
        </w:rPr>
        <w:tab/>
      </w:r>
    </w:p>
    <w:p w:rsidR="00785A4C" w:rsidRPr="00785A4C" w:rsidP="00185FE5">
      <w:pPr>
        <w:pStyle w:val="Heading3"/>
      </w:pPr>
      <w:bookmarkStart w:id="17" w:name="_Toc499709916"/>
      <w:r>
        <w:t>1.</w:t>
      </w:r>
      <w:r>
        <w:tab/>
      </w:r>
      <w:r w:rsidRPr="00785A4C">
        <w:t>The CIR should not be approved</w:t>
      </w:r>
      <w:r w:rsidR="00937CE8">
        <w:t xml:space="preserve"> because it harms standard servi</w:t>
      </w:r>
      <w:r w:rsidR="004C538A">
        <w:t>c</w:t>
      </w:r>
      <w:r w:rsidR="00937CE8">
        <w:t xml:space="preserve">e offer customers </w:t>
      </w:r>
      <w:r w:rsidRPr="00785A4C">
        <w:t>.</w:t>
      </w:r>
      <w:bookmarkEnd w:id="17"/>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3361F5">
        <w:rPr>
          <w:rFonts w:ascii="Times New Roman" w:eastAsia="Arial Unicode MS" w:hAnsi="Times New Roman" w:cs="Times New Roman"/>
          <w:color w:val="000000"/>
          <w:sz w:val="24"/>
          <w:szCs w:val="24"/>
          <w:u w:color="000000"/>
          <w:bdr w:val="nil"/>
        </w:rPr>
        <w:t xml:space="preserve">The signatory parties are attempting to unfairly discriminate against customers who have chosen Duke’s standard service by including in the Settlement the inaptly named </w:t>
      </w:r>
      <w:r w:rsidRPr="003361F5" w:rsidR="00404E84">
        <w:rPr>
          <w:rFonts w:ascii="Times New Roman" w:eastAsia="Arial Unicode MS" w:hAnsi="Times New Roman" w:cs="Times New Roman"/>
          <w:color w:val="000000"/>
          <w:sz w:val="24"/>
          <w:szCs w:val="24"/>
          <w:u w:color="000000"/>
          <w:bdr w:val="nil"/>
        </w:rPr>
        <w:t>CIR</w:t>
      </w:r>
      <w:r w:rsidRPr="003361F5">
        <w:rPr>
          <w:rFonts w:ascii="Times New Roman" w:eastAsia="Arial Unicode MS" w:hAnsi="Times New Roman" w:cs="Times New Roman"/>
          <w:color w:val="000000"/>
          <w:sz w:val="24"/>
          <w:szCs w:val="24"/>
          <w:u w:color="000000"/>
          <w:bdr w:val="nil"/>
        </w:rPr>
        <w:t xml:space="preserve">.  What this rider does is </w:t>
      </w:r>
      <w:r w:rsidRPr="003361F5" w:rsidR="00FC4EA8">
        <w:rPr>
          <w:rFonts w:ascii="Times New Roman" w:eastAsia="Arial Unicode MS" w:hAnsi="Times New Roman" w:cs="Times New Roman"/>
          <w:color w:val="000000"/>
          <w:sz w:val="24"/>
          <w:szCs w:val="24"/>
          <w:u w:color="000000"/>
          <w:bdr w:val="nil"/>
        </w:rPr>
        <w:t xml:space="preserve">require Duke to </w:t>
      </w:r>
      <w:r w:rsidRPr="003361F5">
        <w:rPr>
          <w:rFonts w:ascii="Times New Roman" w:eastAsia="Arial Unicode MS" w:hAnsi="Times New Roman" w:cs="Times New Roman"/>
          <w:color w:val="000000"/>
          <w:sz w:val="24"/>
          <w:szCs w:val="24"/>
          <w:u w:color="000000"/>
          <w:bdr w:val="nil"/>
        </w:rPr>
        <w:t>add unsubstantiated</w:t>
      </w:r>
      <w:r>
        <w:rPr>
          <w:rFonts w:ascii="Times New Roman" w:eastAsia="Arial Unicode MS" w:hAnsi="Arial Unicode MS" w:cs="Arial Unicode MS"/>
          <w:color w:val="000000"/>
          <w:sz w:val="24"/>
          <w:szCs w:val="24"/>
          <w:u w:color="000000"/>
          <w:bdr w:val="nil"/>
        </w:rPr>
        <w:t xml:space="preserve"> charges to </w:t>
      </w:r>
      <w:r w:rsidR="00FC4EA8">
        <w:rPr>
          <w:rFonts w:ascii="Times New Roman" w:eastAsia="Arial Unicode MS" w:hAnsi="Arial Unicode MS" w:cs="Arial Unicode MS"/>
          <w:color w:val="000000"/>
          <w:sz w:val="24"/>
          <w:szCs w:val="24"/>
          <w:u w:color="000000"/>
          <w:bdr w:val="nil"/>
        </w:rPr>
        <w:t xml:space="preserve">its otherwise competitively priced </w:t>
      </w:r>
      <w:r>
        <w:rPr>
          <w:rFonts w:ascii="Times New Roman" w:eastAsia="Arial Unicode MS" w:hAnsi="Arial Unicode MS" w:cs="Arial Unicode MS"/>
          <w:color w:val="000000"/>
          <w:sz w:val="24"/>
          <w:szCs w:val="24"/>
          <w:u w:color="000000"/>
          <w:bdr w:val="nil"/>
        </w:rPr>
        <w:t xml:space="preserve">SSO, and then </w:t>
      </w:r>
      <w:r w:rsidR="00FC4EA8">
        <w:rPr>
          <w:rFonts w:ascii="Times New Roman" w:eastAsia="Arial Unicode MS" w:hAnsi="Arial Unicode MS" w:cs="Arial Unicode MS"/>
          <w:color w:val="000000"/>
          <w:sz w:val="24"/>
          <w:szCs w:val="24"/>
          <w:u w:color="000000"/>
          <w:bdr w:val="nil"/>
        </w:rPr>
        <w:t xml:space="preserve">require Duke to </w:t>
      </w:r>
      <w:r>
        <w:rPr>
          <w:rFonts w:ascii="Times New Roman" w:eastAsia="Arial Unicode MS" w:hAnsi="Arial Unicode MS" w:cs="Arial Unicode MS"/>
          <w:color w:val="000000"/>
          <w:sz w:val="24"/>
          <w:szCs w:val="24"/>
          <w:u w:color="000000"/>
          <w:bdr w:val="nil"/>
        </w:rPr>
        <w:t xml:space="preserve">redistribute the above-market collections from SSO customers to all customers (SSO and Choice). </w:t>
      </w:r>
      <w:r w:rsidR="003361F5">
        <w:rPr>
          <w:rFonts w:ascii="Times New Roman" w:eastAsia="Arial Unicode MS" w:hAnsi="Arial Unicode MS" w:cs="Arial Unicode MS"/>
          <w:color w:val="000000"/>
          <w:sz w:val="24"/>
          <w:szCs w:val="24"/>
          <w:u w:color="000000"/>
          <w:bdr w:val="nil"/>
        </w:rPr>
        <w:t xml:space="preserve"> </w:t>
      </w:r>
      <w:r w:rsidRPr="00785A4C">
        <w:rPr>
          <w:rFonts w:ascii="Times New Roman" w:eastAsia="Arial Unicode MS" w:hAnsi="Arial Unicode MS" w:cs="Arial Unicode MS"/>
          <w:color w:val="000000"/>
          <w:sz w:val="24"/>
          <w:szCs w:val="24"/>
          <w:u w:color="000000"/>
          <w:bdr w:val="nil"/>
        </w:rPr>
        <w:t>Th</w:t>
      </w:r>
      <w:r w:rsidR="00C74E82">
        <w:rPr>
          <w:rFonts w:ascii="Times New Roman" w:eastAsia="Arial Unicode MS" w:hAnsi="Arial Unicode MS" w:cs="Arial Unicode MS"/>
          <w:color w:val="000000"/>
          <w:sz w:val="24"/>
          <w:szCs w:val="24"/>
          <w:u w:color="000000"/>
          <w:bdr w:val="nil"/>
        </w:rPr>
        <w:t>us the</w:t>
      </w:r>
      <w:r w:rsidRPr="00785A4C">
        <w:rPr>
          <w:rFonts w:ascii="Times New Roman" w:eastAsia="Arial Unicode MS" w:hAnsi="Arial Unicode MS" w:cs="Arial Unicode MS"/>
          <w:color w:val="000000"/>
          <w:sz w:val="24"/>
          <w:szCs w:val="24"/>
          <w:u w:color="000000"/>
          <w:bdr w:val="nil"/>
        </w:rPr>
        <w:t xml:space="preserve"> CIR charge artificially inflat</w:t>
      </w:r>
      <w:r>
        <w:rPr>
          <w:rFonts w:ascii="Times New Roman" w:eastAsia="Arial Unicode MS" w:hAnsi="Arial Unicode MS" w:cs="Arial Unicode MS"/>
          <w:color w:val="000000"/>
          <w:sz w:val="24"/>
          <w:szCs w:val="24"/>
          <w:u w:color="000000"/>
          <w:bdr w:val="nil"/>
        </w:rPr>
        <w:t xml:space="preserve">es </w:t>
      </w:r>
      <w:r w:rsidRPr="00785A4C">
        <w:rPr>
          <w:rFonts w:ascii="Times New Roman" w:eastAsia="Arial Unicode MS" w:hAnsi="Arial Unicode MS" w:cs="Arial Unicode MS"/>
          <w:color w:val="000000"/>
          <w:sz w:val="24"/>
          <w:szCs w:val="24"/>
          <w:u w:color="000000"/>
          <w:bdr w:val="nil"/>
        </w:rPr>
        <w:t xml:space="preserve">the SSO, providing marketers with </w:t>
      </w:r>
      <w:r>
        <w:rPr>
          <w:rFonts w:ascii="Times New Roman" w:eastAsia="Arial Unicode MS" w:hAnsi="Arial Unicode MS" w:cs="Arial Unicode MS"/>
          <w:color w:val="000000"/>
          <w:sz w:val="24"/>
          <w:szCs w:val="24"/>
          <w:u w:color="000000"/>
          <w:bdr w:val="nil"/>
        </w:rPr>
        <w:t xml:space="preserve">additional margins </w:t>
      </w:r>
      <w:r w:rsidR="00617E0A">
        <w:rPr>
          <w:rFonts w:ascii="Times New Roman" w:eastAsia="Arial Unicode MS" w:hAnsi="Arial Unicode MS" w:cs="Arial Unicode MS"/>
          <w:color w:val="000000"/>
          <w:sz w:val="24"/>
          <w:szCs w:val="24"/>
          <w:u w:color="000000"/>
          <w:bdr w:val="nil"/>
        </w:rPr>
        <w:t>which can increase what non-SSO customers are charged.  The CIR also offers Marketers</w:t>
      </w:r>
      <w:r>
        <w:rPr>
          <w:rFonts w:ascii="Times New Roman" w:eastAsia="Arial Unicode MS" w:hAnsi="Arial Unicode MS" w:cs="Arial Unicode MS"/>
          <w:color w:val="000000"/>
          <w:sz w:val="24"/>
          <w:szCs w:val="24"/>
          <w:u w:color="000000"/>
          <w:bdr w:val="nil"/>
        </w:rPr>
        <w:t xml:space="preserve"> </w:t>
      </w:r>
      <w:r w:rsidRPr="00785A4C">
        <w:rPr>
          <w:rFonts w:ascii="Times New Roman" w:eastAsia="Arial Unicode MS" w:hAnsi="Arial Unicode MS" w:cs="Arial Unicode MS"/>
          <w:color w:val="000000"/>
          <w:sz w:val="24"/>
          <w:szCs w:val="24"/>
          <w:u w:color="000000"/>
          <w:bdr w:val="nil"/>
        </w:rPr>
        <w:t>an opportunity to undercut the SSO and advantage their offers in a manner that does not reflect competitive market forces.</w:t>
      </w:r>
      <w:r>
        <w:rPr>
          <w:rFonts w:ascii="Times New Roman" w:eastAsia="Arial Unicode MS" w:hAnsi="Arial Unicode MS" w:cs="Arial Unicode MS"/>
          <w:color w:val="000000"/>
          <w:sz w:val="24"/>
          <w:szCs w:val="24"/>
          <w:u w:color="000000"/>
          <w:bdr w:val="nil"/>
          <w:vertAlign w:val="superscript"/>
        </w:rPr>
        <w:footnoteReference w:id="151"/>
      </w:r>
      <w:r w:rsidRPr="00785A4C">
        <w:rPr>
          <w:rFonts w:ascii="Times New Roman" w:eastAsia="Arial Unicode MS" w:hAnsi="Arial Unicode MS" w:cs="Arial Unicode MS"/>
          <w:color w:val="000000"/>
          <w:sz w:val="24"/>
          <w:szCs w:val="24"/>
          <w:u w:color="000000"/>
          <w:bdr w:val="nil"/>
        </w:rPr>
        <w:t xml:space="preserve">  SSO </w:t>
      </w:r>
      <w:r w:rsidR="00A34470">
        <w:rPr>
          <w:rFonts w:ascii="Times New Roman" w:eastAsia="Arial Unicode MS" w:hAnsi="Arial Unicode MS" w:cs="Arial Unicode MS"/>
          <w:color w:val="000000"/>
          <w:sz w:val="24"/>
          <w:szCs w:val="24"/>
          <w:u w:color="000000"/>
          <w:bdr w:val="nil"/>
        </w:rPr>
        <w:t>charges are</w:t>
      </w:r>
      <w:r w:rsidRPr="00785A4C">
        <w:rPr>
          <w:rFonts w:ascii="Times New Roman" w:eastAsia="Arial Unicode MS" w:hAnsi="Arial Unicode MS" w:cs="Arial Unicode MS"/>
          <w:color w:val="000000"/>
          <w:sz w:val="24"/>
          <w:szCs w:val="24"/>
          <w:u w:color="000000"/>
          <w:bdr w:val="nil"/>
        </w:rPr>
        <w:t xml:space="preserve"> the result of a competitive auction and should be </w:t>
      </w:r>
      <w:r w:rsidR="00105AE1">
        <w:rPr>
          <w:rFonts w:ascii="Times New Roman" w:eastAsia="Arial Unicode MS" w:hAnsi="Arial Unicode MS" w:cs="Arial Unicode MS"/>
          <w:color w:val="000000"/>
          <w:sz w:val="24"/>
          <w:szCs w:val="24"/>
          <w:u w:color="000000"/>
          <w:bdr w:val="nil"/>
        </w:rPr>
        <w:t>provided</w:t>
      </w:r>
      <w:r w:rsidRPr="00785A4C" w:rsidR="00105AE1">
        <w:rPr>
          <w:rFonts w:ascii="Times New Roman" w:eastAsia="Arial Unicode MS" w:hAnsi="Arial Unicode MS" w:cs="Arial Unicode MS"/>
          <w:color w:val="000000"/>
          <w:sz w:val="24"/>
          <w:szCs w:val="24"/>
          <w:u w:color="000000"/>
          <w:bdr w:val="nil"/>
        </w:rPr>
        <w:t xml:space="preserve"> </w:t>
      </w:r>
      <w:r w:rsidRPr="00785A4C">
        <w:rPr>
          <w:rFonts w:ascii="Times New Roman" w:eastAsia="Arial Unicode MS" w:hAnsi="Arial Unicode MS" w:cs="Arial Unicode MS"/>
          <w:color w:val="000000"/>
          <w:sz w:val="24"/>
          <w:szCs w:val="24"/>
          <w:u w:color="000000"/>
          <w:bdr w:val="nil"/>
        </w:rPr>
        <w:t>to consumers unaltered.</w:t>
      </w:r>
      <w:r>
        <w:rPr>
          <w:rFonts w:ascii="Times New Roman" w:eastAsia="Arial Unicode MS" w:hAnsi="Arial Unicode MS" w:cs="Arial Unicode MS"/>
          <w:color w:val="000000"/>
          <w:sz w:val="24"/>
          <w:szCs w:val="24"/>
          <w:u w:color="000000"/>
          <w:bdr w:val="nil"/>
          <w:vertAlign w:val="superscript"/>
        </w:rPr>
        <w:footnoteReference w:id="152"/>
      </w:r>
      <w:r w:rsidRPr="00785A4C">
        <w:rPr>
          <w:rFonts w:ascii="Times New Roman" w:eastAsia="Arial Unicode MS" w:hAnsi="Arial Unicode MS" w:cs="Arial Unicode MS"/>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The PUCO should not approve the CIR because it is bad for consumers receiving standard service.  However, if the PUCO wants to consider the CIR (which OCC does not recommend) t</w:t>
      </w:r>
      <w:r w:rsidRPr="00785A4C">
        <w:rPr>
          <w:rFonts w:ascii="Times New Roman" w:eastAsia="Arial Unicode MS" w:hAnsi="Times New Roman" w:cs="Times New Roman"/>
          <w:color w:val="000000"/>
          <w:sz w:val="24"/>
          <w:szCs w:val="24"/>
          <w:u w:color="000000"/>
          <w:bdr w:val="nil"/>
        </w:rPr>
        <w:t>he proper way to determine if a CIR charge is necessary is through a base distribution rate case where the costs can be fully examined and properly allocated.</w:t>
      </w:r>
      <w:r>
        <w:rPr>
          <w:rFonts w:ascii="Times New Roman" w:eastAsia="Arial Unicode MS" w:hAnsi="Times New Roman" w:cs="Times New Roman"/>
          <w:color w:val="000000"/>
          <w:sz w:val="24"/>
          <w:szCs w:val="24"/>
          <w:u w:color="000000"/>
          <w:bdr w:val="nil"/>
          <w:vertAlign w:val="superscript"/>
        </w:rPr>
        <w:footnoteReference w:id="153"/>
      </w:r>
      <w:r w:rsidRPr="00785A4C">
        <w:rPr>
          <w:rFonts w:ascii="Times New Roman" w:eastAsia="Arial Unicode MS" w:hAnsi="Times New Roman" w:cs="Times New Roman"/>
          <w:color w:val="000000"/>
          <w:sz w:val="24"/>
          <w:szCs w:val="24"/>
          <w:u w:color="000000"/>
          <w:bdr w:val="nil"/>
        </w:rPr>
        <w:t xml:space="preserve">  This evaluation should include examining the costs associated with providing SSO service to customers along with any costs associated with the CRES providers that are </w:t>
      </w:r>
      <w:r w:rsidR="004C538A">
        <w:rPr>
          <w:rFonts w:ascii="Times New Roman" w:eastAsia="Arial Unicode MS" w:hAnsi="Times New Roman" w:cs="Times New Roman"/>
          <w:color w:val="000000"/>
          <w:sz w:val="24"/>
          <w:szCs w:val="24"/>
          <w:u w:color="000000"/>
          <w:bdr w:val="nil"/>
        </w:rPr>
        <w:t>subsidized</w:t>
      </w:r>
      <w:r w:rsidR="00EE0DA1">
        <w:rPr>
          <w:rFonts w:ascii="Times New Roman" w:eastAsia="Arial Unicode MS" w:hAnsi="Times New Roman" w:cs="Times New Roman"/>
          <w:color w:val="000000"/>
          <w:sz w:val="24"/>
          <w:szCs w:val="24"/>
          <w:u w:color="000000"/>
          <w:bdr w:val="nil"/>
        </w:rPr>
        <w:t xml:space="preserve"> from customers </w:t>
      </w:r>
      <w:r w:rsidRPr="00785A4C">
        <w:rPr>
          <w:rFonts w:ascii="Times New Roman" w:eastAsia="Arial Unicode MS" w:hAnsi="Times New Roman" w:cs="Times New Roman"/>
          <w:color w:val="000000"/>
          <w:sz w:val="24"/>
          <w:szCs w:val="24"/>
          <w:u w:color="000000"/>
          <w:bdr w:val="nil"/>
        </w:rPr>
        <w:t>in distribution rates.</w:t>
      </w:r>
      <w:r>
        <w:rPr>
          <w:rFonts w:ascii="Times New Roman" w:eastAsia="Arial Unicode MS" w:hAnsi="Times New Roman" w:cs="Times New Roman"/>
          <w:color w:val="000000"/>
          <w:sz w:val="24"/>
          <w:szCs w:val="24"/>
          <w:u w:color="000000"/>
          <w:bdr w:val="nil"/>
          <w:vertAlign w:val="superscript"/>
        </w:rPr>
        <w:footnoteReference w:id="154"/>
      </w:r>
      <w:r w:rsidRPr="00785A4C">
        <w:rPr>
          <w:rFonts w:ascii="Times New Roman" w:eastAsia="Arial Unicode MS" w:hAnsi="Times New Roman" w:cs="Times New Roman"/>
          <w:color w:val="000000"/>
          <w:sz w:val="24"/>
          <w:szCs w:val="24"/>
          <w:u w:color="000000"/>
          <w:bdr w:val="nil"/>
        </w:rPr>
        <w:t xml:space="preserve">  The latter costs should be charged to the marketers.</w:t>
      </w:r>
      <w:r>
        <w:rPr>
          <w:rFonts w:ascii="Times New Roman" w:eastAsia="Arial Unicode MS" w:hAnsi="Times New Roman" w:cs="Times New Roman"/>
          <w:color w:val="000000"/>
          <w:sz w:val="24"/>
          <w:szCs w:val="24"/>
          <w:u w:color="000000"/>
          <w:bdr w:val="nil"/>
          <w:vertAlign w:val="superscript"/>
        </w:rPr>
        <w:footnoteReference w:id="155"/>
      </w:r>
      <w:r w:rsidRPr="00785A4C">
        <w:rPr>
          <w:rFonts w:ascii="Times New Roman" w:eastAsia="Arial Unicode MS" w:hAnsi="Times New Roman" w:cs="Times New Roman"/>
          <w:color w:val="000000"/>
          <w:sz w:val="24"/>
          <w:szCs w:val="24"/>
          <w:u w:color="000000"/>
          <w:bdr w:val="nil"/>
        </w:rPr>
        <w:t xml:space="preserve">  These costs could include items such as call center personnel who answer questions about marketers, any mailings issued regarding Choice, and verifications that the billing costs incurred by AEP for utility consolidated billing are correct.</w:t>
      </w:r>
      <w:r>
        <w:rPr>
          <w:rFonts w:ascii="Times New Roman" w:eastAsia="Arial Unicode MS" w:hAnsi="Times New Roman" w:cs="Times New Roman"/>
          <w:color w:val="000000"/>
          <w:sz w:val="24"/>
          <w:szCs w:val="24"/>
          <w:u w:color="000000"/>
          <w:bdr w:val="nil"/>
          <w:vertAlign w:val="superscript"/>
        </w:rPr>
        <w:footnoteReference w:id="156"/>
      </w:r>
      <w:r w:rsidRPr="00785A4C">
        <w:rPr>
          <w:rFonts w:ascii="Times New Roman" w:eastAsia="Arial Unicode MS" w:hAnsi="Times New Roman" w:cs="Times New Roman"/>
          <w:color w:val="000000"/>
          <w:sz w:val="24"/>
          <w:szCs w:val="24"/>
          <w:u w:color="000000"/>
          <w:bdr w:val="nil"/>
        </w:rPr>
        <w:t xml:space="preserve">  If there is going to be a decoupling of these costs then it needs to be comprehensive and accurate on both ends -- for customers and marketers.</w:t>
      </w:r>
      <w:r>
        <w:rPr>
          <w:rFonts w:ascii="Times New Roman" w:eastAsia="Arial Unicode MS" w:hAnsi="Times New Roman" w:cs="Times New Roman"/>
          <w:color w:val="000000"/>
          <w:sz w:val="24"/>
          <w:szCs w:val="24"/>
          <w:u w:color="000000"/>
          <w:bdr w:val="nil"/>
          <w:vertAlign w:val="superscript"/>
        </w:rPr>
        <w:footnoteReference w:id="157"/>
      </w:r>
      <w:r w:rsidRPr="00785A4C">
        <w:rPr>
          <w:rFonts w:ascii="Times New Roman" w:eastAsia="Arial Unicode MS" w:hAnsi="Times New Roman" w:cs="Times New Roman"/>
          <w:color w:val="000000"/>
          <w:sz w:val="24"/>
          <w:szCs w:val="24"/>
          <w:u w:color="000000"/>
          <w:bdr w:val="nil"/>
        </w:rPr>
        <w:t xml:space="preserve">  The charge should not be set through a negotiated settlement where there has been no comprehensive and accurate review of the actual costs.  The process in the proposed Settlement should adhere to traditional ratemaking principles.</w:t>
      </w:r>
      <w:r>
        <w:rPr>
          <w:rFonts w:ascii="Times New Roman" w:eastAsia="Arial Unicode MS" w:hAnsi="Times New Roman" w:cs="Times New Roman"/>
          <w:color w:val="000000"/>
          <w:sz w:val="24"/>
          <w:szCs w:val="24"/>
          <w:u w:color="000000"/>
          <w:bdr w:val="nil"/>
          <w:vertAlign w:val="superscript"/>
        </w:rPr>
        <w:footnoteReference w:id="158"/>
      </w:r>
      <w:r w:rsidRPr="00785A4C">
        <w:rPr>
          <w:rFonts w:ascii="Times New Roman" w:eastAsia="Arial Unicode MS" w:hAnsi="Times New Roman" w:cs="Times New Roman"/>
          <w:color w:val="000000"/>
          <w:sz w:val="24"/>
          <w:szCs w:val="24"/>
          <w:u w:color="000000"/>
          <w:bdr w:val="nil"/>
        </w:rPr>
        <w:t xml:space="preserve">  The </w:t>
      </w:r>
      <w:r w:rsidR="00105AE1">
        <w:rPr>
          <w:rFonts w:ascii="Times New Roman" w:eastAsia="Arial Unicode MS" w:hAnsi="Times New Roman" w:cs="Times New Roman"/>
          <w:color w:val="000000"/>
          <w:sz w:val="24"/>
          <w:szCs w:val="24"/>
          <w:u w:color="000000"/>
          <w:bdr w:val="nil"/>
        </w:rPr>
        <w:t>PUCO</w:t>
      </w:r>
      <w:r w:rsidRPr="00785A4C" w:rsidR="00105AE1">
        <w:rPr>
          <w:rFonts w:ascii="Times New Roman" w:eastAsia="Arial Unicode MS" w:hAnsi="Times New Roman" w:cs="Times New Roman"/>
          <w:color w:val="000000"/>
          <w:sz w:val="24"/>
          <w:szCs w:val="24"/>
          <w:u w:color="000000"/>
          <w:bdr w:val="nil"/>
        </w:rPr>
        <w:t xml:space="preserve"> </w:t>
      </w:r>
      <w:r w:rsidRPr="00785A4C">
        <w:rPr>
          <w:rFonts w:ascii="Times New Roman" w:eastAsia="Arial Unicode MS" w:hAnsi="Times New Roman" w:cs="Times New Roman"/>
          <w:color w:val="000000"/>
          <w:sz w:val="24"/>
          <w:szCs w:val="24"/>
          <w:u w:color="000000"/>
          <w:bdr w:val="nil"/>
        </w:rPr>
        <w:t xml:space="preserve">cannot accept a rider without a full evaluation of </w:t>
      </w:r>
      <w:r w:rsidR="002616F1">
        <w:rPr>
          <w:rFonts w:ascii="Times New Roman" w:eastAsia="Arial Unicode MS" w:hAnsi="Times New Roman" w:cs="Times New Roman"/>
          <w:color w:val="000000"/>
          <w:sz w:val="24"/>
          <w:szCs w:val="24"/>
          <w:u w:color="000000"/>
          <w:bdr w:val="nil"/>
        </w:rPr>
        <w:t>whether</w:t>
      </w:r>
      <w:r w:rsidRPr="00785A4C">
        <w:rPr>
          <w:rFonts w:ascii="Times New Roman" w:eastAsia="Arial Unicode MS" w:hAnsi="Times New Roman" w:cs="Times New Roman"/>
          <w:color w:val="000000"/>
          <w:sz w:val="24"/>
          <w:szCs w:val="24"/>
          <w:u w:color="000000"/>
          <w:bdr w:val="nil"/>
        </w:rPr>
        <w:t xml:space="preserve"> there is a disparity in the treatment of SSO and Choice customers.</w:t>
      </w:r>
      <w:r>
        <w:rPr>
          <w:rFonts w:ascii="Times New Roman" w:eastAsia="Arial Unicode MS" w:hAnsi="Times New Roman" w:cs="Times New Roman"/>
          <w:color w:val="000000"/>
          <w:sz w:val="24"/>
          <w:szCs w:val="24"/>
          <w:u w:color="000000"/>
          <w:bdr w:val="nil"/>
          <w:vertAlign w:val="superscript"/>
        </w:rPr>
        <w:footnoteReference w:id="159"/>
      </w:r>
      <w:r w:rsidRPr="00785A4C">
        <w:rPr>
          <w:rFonts w:ascii="Times New Roman" w:eastAsia="Arial Unicode MS" w:hAnsi="Times New Roman" w:cs="Times New Roman"/>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 xml:space="preserve">The CIR is the essence of why the General Assembly should protect consumers by banning ESPs and why the PUCO should protect consumers by only approving market rate offers.    </w:t>
      </w:r>
      <w:r w:rsidRPr="00785A4C">
        <w:rPr>
          <w:rFonts w:ascii="Times New Roman" w:eastAsia="Arial Unicode MS" w:hAnsi="Times New Roman" w:cs="Times New Roman"/>
          <w:color w:val="000000"/>
          <w:sz w:val="24"/>
          <w:szCs w:val="24"/>
          <w:u w:color="000000"/>
          <w:bdr w:val="nil"/>
        </w:rPr>
        <w:t>The CIR charge, if implemented, would violate the regulatory principle that rates should be just and reasonable.  Further</w:t>
      </w:r>
      <w:r w:rsidR="002616F1">
        <w:rPr>
          <w:rFonts w:ascii="Times New Roman" w:eastAsia="Arial Unicode MS" w:hAnsi="Times New Roman" w:cs="Times New Roman"/>
          <w:color w:val="000000"/>
          <w:sz w:val="24"/>
          <w:szCs w:val="24"/>
          <w:u w:color="000000"/>
          <w:bdr w:val="nil"/>
        </w:rPr>
        <w:t>,</w:t>
      </w:r>
      <w:r w:rsidRPr="00785A4C">
        <w:rPr>
          <w:rFonts w:ascii="Times New Roman" w:eastAsia="Arial Unicode MS" w:hAnsi="Times New Roman" w:cs="Times New Roman"/>
          <w:color w:val="000000"/>
          <w:sz w:val="24"/>
          <w:szCs w:val="24"/>
          <w:u w:color="000000"/>
          <w:bdr w:val="nil"/>
        </w:rPr>
        <w:t xml:space="preserve"> an artificially inflated SSO rate would harm SSO customers and the public interest.  Therefore, the PUCO should reject the CIR provision contained within the Settlement in this case because it violates both the second and third prongs of the PUCO’s standard for evaluating a settlement.</w:t>
      </w:r>
      <w:r>
        <w:rPr>
          <w:rFonts w:ascii="Times New Roman" w:eastAsia="Arial Unicode MS" w:hAnsi="Times New Roman" w:cs="Times New Roman"/>
          <w:color w:val="000000"/>
          <w:sz w:val="24"/>
          <w:szCs w:val="24"/>
          <w:u w:color="000000"/>
          <w:bdr w:val="nil"/>
          <w:vertAlign w:val="superscript"/>
        </w:rPr>
        <w:footnoteReference w:id="160"/>
      </w:r>
    </w:p>
    <w:p w:rsidR="00785A4C" w:rsidRPr="00785A4C" w:rsidP="00185FE5">
      <w:pPr>
        <w:pStyle w:val="Heading3"/>
      </w:pPr>
      <w:bookmarkStart w:id="18" w:name="_Toc499709917"/>
      <w:r>
        <w:t>2.</w:t>
      </w:r>
      <w:r>
        <w:tab/>
      </w:r>
      <w:r w:rsidRPr="00785A4C">
        <w:t xml:space="preserve">The </w:t>
      </w:r>
      <w:r w:rsidR="002616F1">
        <w:t>supplier consolidated billing program</w:t>
      </w:r>
      <w:r w:rsidRPr="00785A4C">
        <w:t xml:space="preserve"> </w:t>
      </w:r>
      <w:r w:rsidR="00C4390C">
        <w:t xml:space="preserve">violates the principle of cost causation and </w:t>
      </w:r>
      <w:r w:rsidRPr="00785A4C">
        <w:t>should not be approved.</w:t>
      </w:r>
      <w:bookmarkEnd w:id="18"/>
      <w:r w:rsidRPr="00785A4C">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color w:val="000000"/>
          <w:sz w:val="24"/>
          <w:szCs w:val="24"/>
          <w:u w:color="000000"/>
          <w:bdr w:val="nil"/>
        </w:rPr>
      </w:pPr>
      <w:r w:rsidRPr="00785A4C">
        <w:rPr>
          <w:rFonts w:ascii="Times New Roman" w:eastAsia="Arial Unicode MS" w:hAnsi="Times New Roman" w:cs="Times New Roman"/>
          <w:bCs/>
          <w:iCs/>
          <w:color w:val="000000"/>
          <w:sz w:val="24"/>
          <w:szCs w:val="24"/>
          <w:u w:color="000000"/>
          <w:bdr w:val="nil"/>
        </w:rPr>
        <w:t xml:space="preserve">The </w:t>
      </w:r>
      <w:r w:rsidR="002616F1">
        <w:rPr>
          <w:rFonts w:ascii="Times New Roman" w:eastAsia="Arial Unicode MS" w:hAnsi="Times New Roman" w:cs="Times New Roman"/>
          <w:bCs/>
          <w:iCs/>
          <w:color w:val="000000"/>
          <w:sz w:val="24"/>
          <w:szCs w:val="24"/>
          <w:u w:color="000000"/>
          <w:bdr w:val="nil"/>
        </w:rPr>
        <w:t>supplier consolidated billing program (“</w:t>
      </w:r>
      <w:r w:rsidRPr="00785A4C">
        <w:rPr>
          <w:rFonts w:ascii="Times New Roman" w:eastAsia="Arial Unicode MS" w:hAnsi="Times New Roman" w:cs="Times New Roman"/>
          <w:bCs/>
          <w:iCs/>
          <w:color w:val="000000"/>
          <w:sz w:val="24"/>
          <w:szCs w:val="24"/>
          <w:u w:color="000000"/>
          <w:bdr w:val="nil"/>
        </w:rPr>
        <w:t>SCB</w:t>
      </w:r>
      <w:r w:rsidR="002616F1">
        <w:rPr>
          <w:rFonts w:ascii="Times New Roman" w:eastAsia="Arial Unicode MS" w:hAnsi="Times New Roman" w:cs="Times New Roman"/>
          <w:bCs/>
          <w:iCs/>
          <w:color w:val="000000"/>
          <w:sz w:val="24"/>
          <w:szCs w:val="24"/>
          <w:u w:color="000000"/>
          <w:bdr w:val="nil"/>
        </w:rPr>
        <w:t>”)</w:t>
      </w:r>
      <w:r w:rsidRPr="00785A4C">
        <w:rPr>
          <w:rFonts w:ascii="Times New Roman" w:eastAsia="Arial Unicode MS" w:hAnsi="Times New Roman" w:cs="Times New Roman"/>
          <w:bCs/>
          <w:iCs/>
          <w:color w:val="000000"/>
          <w:sz w:val="24"/>
          <w:szCs w:val="24"/>
          <w:u w:color="000000"/>
          <w:bdr w:val="nil"/>
        </w:rPr>
        <w:t xml:space="preserve"> program proposed splits costs between marketers and customers ($1 million each).</w:t>
      </w:r>
      <w:r>
        <w:rPr>
          <w:rFonts w:ascii="Times New Roman" w:eastAsia="Arial Unicode MS" w:hAnsi="Times New Roman" w:cs="Times New Roman"/>
          <w:bCs/>
          <w:iCs/>
          <w:color w:val="000000"/>
          <w:sz w:val="24"/>
          <w:szCs w:val="24"/>
          <w:u w:color="000000"/>
          <w:bdr w:val="nil"/>
          <w:vertAlign w:val="superscript"/>
        </w:rPr>
        <w:footnoteReference w:id="161"/>
      </w:r>
      <w:r w:rsidRPr="00785A4C">
        <w:rPr>
          <w:rFonts w:ascii="Times New Roman" w:eastAsia="Arial Unicode MS" w:hAnsi="Times New Roman" w:cs="Times New Roman"/>
          <w:bCs/>
          <w:iCs/>
          <w:color w:val="000000"/>
          <w:sz w:val="24"/>
          <w:szCs w:val="24"/>
          <w:u w:color="000000"/>
          <w:bdr w:val="nil"/>
        </w:rPr>
        <w:t xml:space="preserve">  The SCB does not properly allocate costs to those who cause the costs.  Although some customers may desire supplier consolidated billing, the program primarily benefits marketers and all costs should be allocated to them.</w:t>
      </w:r>
      <w:r>
        <w:rPr>
          <w:rFonts w:ascii="Times New Roman" w:eastAsia="Arial Unicode MS" w:hAnsi="Times New Roman" w:cs="Times New Roman"/>
          <w:bCs/>
          <w:iCs/>
          <w:color w:val="000000"/>
          <w:sz w:val="24"/>
          <w:szCs w:val="24"/>
          <w:u w:color="000000"/>
          <w:bdr w:val="nil"/>
          <w:vertAlign w:val="superscript"/>
        </w:rPr>
        <w:footnoteReference w:id="162"/>
      </w:r>
      <w:r w:rsidRPr="00785A4C">
        <w:rPr>
          <w:rFonts w:ascii="Times New Roman" w:eastAsia="Arial Unicode MS" w:hAnsi="Times New Roman" w:cs="Times New Roman"/>
          <w:bCs/>
          <w:iCs/>
          <w:color w:val="000000"/>
          <w:sz w:val="24"/>
          <w:szCs w:val="24"/>
          <w:u w:color="000000"/>
          <w:bdr w:val="nil"/>
        </w:rPr>
        <w:t xml:space="preserve">  Marketers may then choose to </w:t>
      </w:r>
      <w:r w:rsidR="00EE0DA1">
        <w:rPr>
          <w:rFonts w:ascii="Times New Roman" w:eastAsia="Arial Unicode MS" w:hAnsi="Times New Roman" w:cs="Times New Roman"/>
          <w:bCs/>
          <w:iCs/>
          <w:color w:val="000000"/>
          <w:sz w:val="24"/>
          <w:szCs w:val="24"/>
          <w:u w:color="000000"/>
          <w:bdr w:val="nil"/>
        </w:rPr>
        <w:t xml:space="preserve">collect </w:t>
      </w:r>
      <w:r w:rsidRPr="00785A4C">
        <w:rPr>
          <w:rFonts w:ascii="Times New Roman" w:eastAsia="Arial Unicode MS" w:hAnsi="Times New Roman" w:cs="Times New Roman"/>
          <w:bCs/>
          <w:iCs/>
          <w:color w:val="000000"/>
          <w:sz w:val="24"/>
          <w:szCs w:val="24"/>
          <w:u w:color="000000"/>
          <w:bdr w:val="nil"/>
        </w:rPr>
        <w:t xml:space="preserve">the costs incurred by passing </w:t>
      </w:r>
      <w:r w:rsidR="00105AE1">
        <w:rPr>
          <w:rFonts w:ascii="Times New Roman" w:eastAsia="Arial Unicode MS" w:hAnsi="Times New Roman" w:cs="Times New Roman"/>
          <w:bCs/>
          <w:iCs/>
          <w:color w:val="000000"/>
          <w:sz w:val="24"/>
          <w:szCs w:val="24"/>
          <w:u w:color="000000"/>
          <w:bdr w:val="nil"/>
        </w:rPr>
        <w:t>them</w:t>
      </w:r>
      <w:r w:rsidRPr="00785A4C">
        <w:rPr>
          <w:rFonts w:ascii="Times New Roman" w:eastAsia="Arial Unicode MS" w:hAnsi="Times New Roman" w:cs="Times New Roman"/>
          <w:bCs/>
          <w:iCs/>
          <w:color w:val="000000"/>
          <w:sz w:val="24"/>
          <w:szCs w:val="24"/>
          <w:u w:color="000000"/>
          <w:bdr w:val="nil"/>
        </w:rPr>
        <w:t xml:space="preserve"> through to their customers.</w:t>
      </w:r>
      <w:r>
        <w:rPr>
          <w:rFonts w:ascii="Times New Roman" w:eastAsia="Arial Unicode MS" w:hAnsi="Times New Roman" w:cs="Times New Roman"/>
          <w:bCs/>
          <w:iCs/>
          <w:color w:val="000000"/>
          <w:sz w:val="24"/>
          <w:szCs w:val="24"/>
          <w:u w:color="000000"/>
          <w:bdr w:val="nil"/>
          <w:vertAlign w:val="superscript"/>
        </w:rPr>
        <w:footnoteReference w:id="163"/>
      </w:r>
      <w:r w:rsidRPr="00785A4C">
        <w:rPr>
          <w:rFonts w:ascii="Times New Roman" w:eastAsia="Arial Unicode MS" w:hAnsi="Times New Roman" w:cs="Times New Roman"/>
          <w:bCs/>
          <w:iCs/>
          <w:color w:val="000000"/>
          <w:sz w:val="24"/>
          <w:szCs w:val="24"/>
          <w:u w:color="000000"/>
          <w:bdr w:val="nil"/>
        </w:rPr>
        <w:t xml:space="preserve">  </w:t>
      </w:r>
      <w:r w:rsidR="00EE0DA1">
        <w:rPr>
          <w:rFonts w:ascii="Times New Roman" w:eastAsia="Arial Unicode MS" w:hAnsi="Times New Roman" w:cs="Times New Roman"/>
          <w:bCs/>
          <w:iCs/>
          <w:color w:val="000000"/>
          <w:sz w:val="24"/>
          <w:szCs w:val="24"/>
          <w:u w:color="000000"/>
          <w:bdr w:val="nil"/>
        </w:rPr>
        <w:t>C</w:t>
      </w:r>
      <w:r w:rsidRPr="00785A4C">
        <w:rPr>
          <w:rFonts w:ascii="Times New Roman" w:eastAsia="Arial Unicode MS" w:hAnsi="Times New Roman" w:cs="Times New Roman"/>
          <w:bCs/>
          <w:iCs/>
          <w:color w:val="000000"/>
          <w:sz w:val="24"/>
          <w:szCs w:val="24"/>
          <w:u w:color="000000"/>
          <w:bdr w:val="nil"/>
        </w:rPr>
        <w:t xml:space="preserve">harging 100% of the </w:t>
      </w:r>
      <w:r w:rsidR="00105AE1">
        <w:rPr>
          <w:rFonts w:ascii="Times New Roman" w:eastAsia="Arial Unicode MS" w:hAnsi="Times New Roman" w:cs="Times New Roman"/>
          <w:bCs/>
          <w:iCs/>
          <w:color w:val="000000"/>
          <w:sz w:val="24"/>
          <w:szCs w:val="24"/>
          <w:u w:color="000000"/>
          <w:bdr w:val="nil"/>
        </w:rPr>
        <w:t xml:space="preserve">additional </w:t>
      </w:r>
      <w:r w:rsidRPr="00785A4C">
        <w:rPr>
          <w:rFonts w:ascii="Times New Roman" w:eastAsia="Arial Unicode MS" w:hAnsi="Times New Roman" w:cs="Times New Roman"/>
          <w:bCs/>
          <w:iCs/>
          <w:color w:val="000000"/>
          <w:sz w:val="24"/>
          <w:szCs w:val="24"/>
          <w:u w:color="000000"/>
          <w:bdr w:val="nil"/>
        </w:rPr>
        <w:t>costs to suppliers ensures that customers that do not shop, or do not desire SCB, will not be charged for a program that offers them no benefit.</w:t>
      </w:r>
      <w:r>
        <w:rPr>
          <w:rFonts w:ascii="Times New Roman" w:eastAsia="Arial Unicode MS" w:hAnsi="Times New Roman" w:cs="Times New Roman"/>
          <w:bCs/>
          <w:iCs/>
          <w:color w:val="000000"/>
          <w:sz w:val="24"/>
          <w:szCs w:val="24"/>
          <w:u w:color="000000"/>
          <w:bdr w:val="nil"/>
          <w:vertAlign w:val="superscript"/>
        </w:rPr>
        <w:footnoteReference w:id="164"/>
      </w:r>
      <w:r w:rsidRPr="00785A4C">
        <w:rPr>
          <w:rFonts w:ascii="Times New Roman" w:eastAsia="Arial Unicode MS" w:hAnsi="Times New Roman" w:cs="Times New Roman"/>
          <w:bCs/>
          <w:iCs/>
          <w:color w:val="000000"/>
          <w:sz w:val="24"/>
          <w:szCs w:val="24"/>
          <w:u w:color="000000"/>
          <w:bdr w:val="nil"/>
        </w:rPr>
        <w:t xml:space="preserve">  </w:t>
      </w:r>
    </w:p>
    <w:p w:rsidR="00785A4C" w:rsidRPr="00785A4C" w:rsidP="00185FE5">
      <w:pPr>
        <w:pStyle w:val="Heading3"/>
      </w:pPr>
      <w:bookmarkStart w:id="19" w:name="_Toc499709918"/>
      <w:r>
        <w:t>3.</w:t>
      </w:r>
      <w:r>
        <w:tab/>
      </w:r>
      <w:r w:rsidRPr="00785A4C">
        <w:t xml:space="preserve">The </w:t>
      </w:r>
      <w:r w:rsidR="002616F1">
        <w:t>Renewable Generation Rider</w:t>
      </w:r>
      <w:r w:rsidRPr="00785A4C">
        <w:t xml:space="preserve"> </w:t>
      </w:r>
      <w:r w:rsidR="00607E1C">
        <w:t xml:space="preserve">is an unlawful above-market generation subsidy collected from captive customers, and </w:t>
      </w:r>
      <w:r w:rsidRPr="00785A4C">
        <w:t>should not be approved.</w:t>
      </w:r>
      <w:bookmarkEnd w:id="19"/>
    </w:p>
    <w:p w:rsidR="00785A4C" w:rsidRPr="00185FE5" w:rsidP="00185FE5">
      <w:pPr>
        <w:pBdr>
          <w:top w:val="nil"/>
          <w:left w:val="nil"/>
          <w:bottom w:val="nil"/>
          <w:right w:val="nil"/>
          <w:between w:val="nil"/>
          <w:bar w:val="nil"/>
        </w:pBdr>
        <w:spacing w:after="0" w:line="480" w:lineRule="auto"/>
        <w:rPr>
          <w:rFonts w:ascii="Times New Roman" w:hAnsi="Times New Roman" w:cs="Times New Roman"/>
          <w:sz w:val="24"/>
          <w:szCs w:val="24"/>
        </w:rPr>
      </w:pPr>
      <w:r>
        <w:rPr>
          <w:rFonts w:ascii="Times New Roman" w:eastAsia="Arial Unicode MS" w:hAnsi="Arial Unicode MS" w:cs="Arial Unicode MS"/>
          <w:color w:val="000000"/>
          <w:sz w:val="24"/>
          <w:szCs w:val="24"/>
          <w:u w:color="000000"/>
          <w:bdr w:val="nil"/>
        </w:rPr>
        <w:tab/>
      </w:r>
      <w:r w:rsidRPr="00785A4C">
        <w:rPr>
          <w:rFonts w:ascii="Times New Roman" w:eastAsia="Arial Unicode MS" w:hAnsi="Arial Unicode MS" w:cs="Arial Unicode MS"/>
          <w:color w:val="000000"/>
          <w:sz w:val="24"/>
          <w:szCs w:val="24"/>
          <w:u w:color="000000"/>
          <w:bdr w:val="nil"/>
        </w:rPr>
        <w:t xml:space="preserve">Renewable generation costs should not be collected from captive customers.  The General Assembly through Senate Bill 3 determined that generation is deregulated and customers should have the choice of the source of their generation.  Further, currently </w:t>
      </w:r>
      <w:r w:rsidRPr="00185FE5">
        <w:rPr>
          <w:rFonts w:ascii="Times New Roman" w:hAnsi="Times New Roman" w:cs="Times New Roman"/>
          <w:sz w:val="24"/>
          <w:szCs w:val="24"/>
        </w:rPr>
        <w:t>there are 25 riders in AEP’s tariffs.</w:t>
      </w:r>
      <w:r>
        <w:rPr>
          <w:rFonts w:ascii="Times New Roman" w:hAnsi="Times New Roman" w:cs="Times New Roman"/>
          <w:sz w:val="24"/>
          <w:szCs w:val="24"/>
          <w:vertAlign w:val="superscript"/>
        </w:rPr>
        <w:footnoteReference w:id="165"/>
      </w:r>
      <w:r w:rsidRPr="00185FE5">
        <w:rPr>
          <w:rFonts w:ascii="Times New Roman" w:hAnsi="Times New Roman" w:cs="Times New Roman"/>
          <w:sz w:val="24"/>
          <w:szCs w:val="24"/>
        </w:rPr>
        <w:t xml:space="preserve">  This additional rider will add complexity and confusion for customers attempting to evaluate their charges.</w:t>
      </w:r>
      <w:r>
        <w:rPr>
          <w:rFonts w:ascii="Times New Roman" w:hAnsi="Times New Roman" w:cs="Times New Roman"/>
          <w:sz w:val="24"/>
          <w:szCs w:val="24"/>
          <w:vertAlign w:val="superscript"/>
        </w:rPr>
        <w:footnoteReference w:id="166"/>
      </w:r>
      <w:r w:rsidRPr="00185FE5">
        <w:rPr>
          <w:rFonts w:ascii="Times New Roman" w:hAnsi="Times New Roman" w:cs="Times New Roman"/>
          <w:sz w:val="24"/>
          <w:szCs w:val="24"/>
        </w:rPr>
        <w:t xml:space="preserve">   </w:t>
      </w:r>
    </w:p>
    <w:p w:rsidR="00785A4C" w:rsidRPr="00785A4C" w:rsidP="00185FE5">
      <w:pPr>
        <w:pBdr>
          <w:top w:val="nil"/>
          <w:left w:val="nil"/>
          <w:bottom w:val="nil"/>
          <w:right w:val="nil"/>
          <w:between w:val="nil"/>
          <w:bar w:val="nil"/>
        </w:pBdr>
        <w:spacing w:after="0" w:line="480" w:lineRule="auto"/>
        <w:rPr>
          <w:rFonts w:ascii="Times New Roman" w:eastAsia="Arial Unicode MS" w:hAnsi="Arial Unicode MS" w:cs="Arial Unicode MS"/>
          <w:color w:val="000000"/>
          <w:sz w:val="24"/>
          <w:szCs w:val="24"/>
          <w:u w:color="000000"/>
          <w:bdr w:val="nil"/>
        </w:rPr>
      </w:pPr>
      <w:r>
        <w:rPr>
          <w:rFonts w:ascii="Times New Roman" w:eastAsia="Arial Unicode MS" w:hAnsi="Arial Unicode MS" w:cs="Arial Unicode MS"/>
          <w:color w:val="000000"/>
          <w:sz w:val="24"/>
          <w:szCs w:val="24"/>
          <w:u w:color="000000"/>
          <w:bdr w:val="nil"/>
        </w:rPr>
        <w:tab/>
      </w:r>
      <w:r w:rsidRPr="008D0135" w:rsidR="002616F1">
        <w:rPr>
          <w:rFonts w:ascii="Times New Roman" w:hAnsi="Times New Roman" w:cs="Times New Roman"/>
          <w:sz w:val="24"/>
          <w:szCs w:val="24"/>
        </w:rPr>
        <w:t>More fundamentally, the Renewable Generation Rider (“RGR”)</w:t>
      </w:r>
      <w:r w:rsidRPr="008D0135">
        <w:rPr>
          <w:rFonts w:ascii="Times New Roman" w:hAnsi="Times New Roman" w:cs="Times New Roman"/>
          <w:sz w:val="24"/>
          <w:szCs w:val="24"/>
        </w:rPr>
        <w:t xml:space="preserve"> is needless and, on the record</w:t>
      </w:r>
      <w:r w:rsidRPr="00785A4C">
        <w:rPr>
          <w:rFonts w:ascii="Times New Roman" w:eastAsia="Arial Unicode MS" w:hAnsi="Arial Unicode MS" w:cs="Arial Unicode MS"/>
          <w:color w:val="000000"/>
          <w:sz w:val="24"/>
          <w:szCs w:val="24"/>
          <w:u w:color="000000"/>
          <w:bdr w:val="nil"/>
        </w:rPr>
        <w:t xml:space="preserve"> evidence, cannot be approved under the statute.  R.C. 4928.143(B)(2)</w:t>
      </w:r>
      <w:r w:rsidR="00105AE1">
        <w:rPr>
          <w:rFonts w:ascii="Times New Roman" w:eastAsia="Arial Unicode MS" w:hAnsi="Arial Unicode MS" w:cs="Arial Unicode MS"/>
          <w:color w:val="000000"/>
          <w:sz w:val="24"/>
          <w:szCs w:val="24"/>
          <w:u w:color="000000"/>
          <w:bdr w:val="nil"/>
        </w:rPr>
        <w:t>.  The new rider</w:t>
      </w:r>
      <w:r w:rsidRPr="00785A4C">
        <w:rPr>
          <w:rFonts w:ascii="Times New Roman" w:eastAsia="Arial Unicode MS" w:hAnsi="Arial Unicode MS" w:cs="Arial Unicode MS"/>
          <w:color w:val="000000"/>
          <w:sz w:val="24"/>
          <w:szCs w:val="24"/>
          <w:u w:color="000000"/>
          <w:bdr w:val="nil"/>
        </w:rPr>
        <w:t xml:space="preserve"> allows for charges to </w:t>
      </w:r>
      <w:r w:rsidR="00EE0DA1">
        <w:rPr>
          <w:rFonts w:ascii="Times New Roman" w:eastAsia="Arial Unicode MS" w:hAnsi="Arial Unicode MS" w:cs="Arial Unicode MS"/>
          <w:color w:val="000000"/>
          <w:sz w:val="24"/>
          <w:szCs w:val="24"/>
          <w:u w:color="000000"/>
          <w:bdr w:val="nil"/>
        </w:rPr>
        <w:t xml:space="preserve">customers </w:t>
      </w:r>
      <w:r w:rsidRPr="00785A4C">
        <w:rPr>
          <w:rFonts w:ascii="Times New Roman" w:eastAsia="Arial Unicode MS" w:hAnsi="Arial Unicode MS" w:cs="Arial Unicode MS"/>
          <w:color w:val="000000"/>
          <w:sz w:val="24"/>
          <w:szCs w:val="24"/>
          <w:u w:color="000000"/>
          <w:bdr w:val="nil"/>
        </w:rPr>
        <w:t xml:space="preserve">for electric </w:t>
      </w:r>
      <w:r w:rsidRPr="00185FE5">
        <w:rPr>
          <w:rFonts w:ascii="Times New Roman" w:hAnsi="Times New Roman" w:cs="Times New Roman"/>
          <w:sz w:val="24"/>
          <w:szCs w:val="24"/>
        </w:rPr>
        <w:t>generation facilities, but only if a “need” for those facilities is shown “in the proceeding.”</w:t>
      </w:r>
      <w:r>
        <w:rPr>
          <w:rFonts w:ascii="Times New Roman" w:hAnsi="Times New Roman" w:cs="Times New Roman"/>
          <w:sz w:val="24"/>
          <w:szCs w:val="24"/>
          <w:vertAlign w:val="superscript"/>
        </w:rPr>
        <w:footnoteReference w:id="167"/>
      </w:r>
      <w:r w:rsidRPr="00B90B3D">
        <w:rPr>
          <w:rFonts w:ascii="Times New Roman" w:hAnsi="Times New Roman" w:cs="Times New Roman"/>
          <w:sz w:val="24"/>
          <w:szCs w:val="24"/>
          <w:vertAlign w:val="superscript"/>
        </w:rPr>
        <w:t xml:space="preserve"> </w:t>
      </w:r>
      <w:r w:rsidRPr="00185FE5">
        <w:rPr>
          <w:rFonts w:ascii="Times New Roman" w:hAnsi="Times New Roman" w:cs="Times New Roman"/>
          <w:sz w:val="24"/>
          <w:szCs w:val="24"/>
        </w:rPr>
        <w:t xml:space="preserve"> Although the PUCO has indicated that “the proceeding” does not refer to the ESP case in which a utility seeks authority for the charge,</w:t>
      </w:r>
      <w:r>
        <w:rPr>
          <w:rFonts w:ascii="Times New Roman" w:hAnsi="Times New Roman" w:cs="Times New Roman"/>
          <w:sz w:val="24"/>
          <w:szCs w:val="24"/>
          <w:vertAlign w:val="superscript"/>
        </w:rPr>
        <w:footnoteReference w:id="168"/>
      </w:r>
      <w:r w:rsidRPr="00B90B3D">
        <w:rPr>
          <w:rFonts w:ascii="Times New Roman" w:hAnsi="Times New Roman" w:cs="Times New Roman"/>
          <w:sz w:val="24"/>
          <w:szCs w:val="24"/>
          <w:vertAlign w:val="superscript"/>
        </w:rPr>
        <w:t xml:space="preserve"> </w:t>
      </w:r>
      <w:r w:rsidRPr="00185FE5">
        <w:rPr>
          <w:rFonts w:ascii="Times New Roman" w:hAnsi="Times New Roman" w:cs="Times New Roman"/>
          <w:sz w:val="24"/>
          <w:szCs w:val="24"/>
        </w:rPr>
        <w:t>the statutory language clearly requires otherwise.  Under R.C. 4928.143(C)(1), the burden of proof “in the proceeding” is placed on the utility.</w:t>
      </w:r>
      <w:r>
        <w:rPr>
          <w:rFonts w:ascii="Times New Roman" w:hAnsi="Times New Roman" w:cs="Times New Roman"/>
          <w:sz w:val="24"/>
          <w:szCs w:val="24"/>
          <w:vertAlign w:val="superscript"/>
        </w:rPr>
        <w:footnoteReference w:id="169"/>
      </w:r>
      <w:r w:rsidRPr="00185FE5">
        <w:rPr>
          <w:rFonts w:ascii="Times New Roman" w:hAnsi="Times New Roman" w:cs="Times New Roman"/>
          <w:sz w:val="24"/>
          <w:szCs w:val="24"/>
        </w:rPr>
        <w:t xml:space="preserve">  As used in (C)(1), “the proceeding” certainly refers to the ESP proceeding.  The same conclusion should be reached where “the proceeding” is used in (B)(2)(c).</w:t>
      </w:r>
      <w:r>
        <w:rPr>
          <w:rStyle w:val="FootnoteReference"/>
          <w:rFonts w:ascii="Times New Roman" w:hAnsi="Times New Roman" w:cs="Times New Roman"/>
          <w:sz w:val="24"/>
          <w:szCs w:val="24"/>
        </w:rPr>
        <w:footnoteReference w:id="170"/>
      </w:r>
      <w:r w:rsidRPr="00185FE5">
        <w:rPr>
          <w:rFonts w:ascii="Times New Roman" w:hAnsi="Times New Roman" w:cs="Times New Roman"/>
          <w:sz w:val="24"/>
          <w:szCs w:val="24"/>
        </w:rPr>
        <w:t xml:space="preserve">  Further, “need” may be shown in the proceeding “based on” resource planning projections.</w:t>
      </w:r>
      <w:r>
        <w:rPr>
          <w:rFonts w:ascii="Times New Roman" w:hAnsi="Times New Roman" w:cs="Times New Roman"/>
          <w:sz w:val="24"/>
          <w:szCs w:val="24"/>
          <w:vertAlign w:val="superscript"/>
        </w:rPr>
        <w:footnoteReference w:id="171"/>
      </w:r>
      <w:r w:rsidRPr="00B90B3D">
        <w:rPr>
          <w:rFonts w:ascii="Times New Roman" w:hAnsi="Times New Roman" w:cs="Times New Roman"/>
          <w:sz w:val="24"/>
          <w:szCs w:val="24"/>
          <w:vertAlign w:val="superscript"/>
        </w:rPr>
        <w:t xml:space="preserve"> </w:t>
      </w:r>
      <w:r w:rsidRPr="00185FE5">
        <w:rPr>
          <w:rFonts w:ascii="Times New Roman" w:hAnsi="Times New Roman" w:cs="Times New Roman"/>
          <w:sz w:val="24"/>
          <w:szCs w:val="24"/>
        </w:rPr>
        <w:t xml:space="preserve"> Thus, resource planning projections may serve as evidence to support the need for a generation charge, but “need” must still be shown in the ESP case.  This is affirmed by R.C. 4928.143(B)(2)(c)’s statement that “if a surcharge is authorized for a facility pursuant to plan approve under division (C) of this section . . . .”</w:t>
      </w:r>
      <w:r>
        <w:rPr>
          <w:rFonts w:ascii="Times New Roman" w:hAnsi="Times New Roman" w:cs="Times New Roman"/>
          <w:sz w:val="24"/>
          <w:szCs w:val="24"/>
          <w:vertAlign w:val="superscript"/>
        </w:rPr>
        <w:footnoteReference w:id="172"/>
      </w:r>
      <w:r w:rsidRPr="00185FE5">
        <w:rPr>
          <w:rFonts w:ascii="Times New Roman" w:hAnsi="Times New Roman" w:cs="Times New Roman"/>
          <w:sz w:val="24"/>
          <w:szCs w:val="24"/>
        </w:rPr>
        <w:t xml:space="preserve">  The generation charge may be approved under division (C) of the ESP statute but, as the statute makes clear, only if “need” is shown.  Without a showing of “need” in the ESP</w:t>
      </w:r>
      <w:r w:rsidRPr="00785A4C">
        <w:rPr>
          <w:rFonts w:ascii="Times New Roman" w:eastAsia="Arial Unicode MS" w:hAnsi="Arial Unicode MS" w:cs="Arial Unicode MS"/>
          <w:color w:val="000000"/>
          <w:sz w:val="24"/>
          <w:szCs w:val="24"/>
          <w:u w:color="000000"/>
          <w:bdr w:val="nil"/>
        </w:rPr>
        <w:t xml:space="preserve"> proceeding, the generation charge could not possibly be approved under division (C) of the ESP statute.</w:t>
      </w:r>
      <w:r>
        <w:rPr>
          <w:rStyle w:val="FootnoteReference"/>
          <w:rFonts w:ascii="Times New Roman" w:eastAsia="Arial Unicode MS" w:hAnsi="Arial Unicode MS" w:cs="Arial Unicode MS"/>
          <w:color w:val="000000"/>
          <w:sz w:val="24"/>
          <w:szCs w:val="24"/>
          <w:u w:color="000000"/>
          <w:bdr w:val="nil"/>
        </w:rPr>
        <w:footnoteReference w:id="173"/>
      </w:r>
      <w:r w:rsidRPr="00785A4C">
        <w:rPr>
          <w:rFonts w:ascii="Times New Roman" w:eastAsia="Arial Unicode MS" w:hAnsi="Arial Unicode MS" w:cs="Arial Unicode MS"/>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Arial Unicode MS" w:cs="Arial Unicode MS"/>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Additionally, the Settlement provision to allow a bilateral contract at a price below the cost of the generation resource should not be allowed.  Ohio Revised Code Section 4905.33(B) states that “[n]o public utility shall furnish free service or service for less than actual cost for the purpose of destroying competition.”  This proposal could allow</w:t>
      </w:r>
      <w:r w:rsidRPr="00785A4C">
        <w:rPr>
          <w:rFonts w:ascii="Times New Roman" w:eastAsia="Arial Unicode MS" w:hAnsi="Arial Unicode MS" w:cs="Arial Unicode MS"/>
          <w:color w:val="000000"/>
          <w:sz w:val="24"/>
          <w:szCs w:val="24"/>
          <w:u w:color="000000"/>
          <w:bdr w:val="nil"/>
        </w:rPr>
        <w:t xml:space="preserve"> for a customer to purchase generation service below the actual cost and would destroy competition.</w:t>
      </w:r>
      <w:r>
        <w:rPr>
          <w:rFonts w:ascii="Times New Roman" w:eastAsia="Arial Unicode MS" w:hAnsi="Arial Unicode MS" w:cs="Arial Unicode MS"/>
          <w:color w:val="000000"/>
          <w:sz w:val="24"/>
          <w:szCs w:val="24"/>
          <w:u w:color="000000"/>
          <w:bdr w:val="nil"/>
          <w:vertAlign w:val="superscript"/>
        </w:rPr>
        <w:footnoteReference w:id="174"/>
      </w:r>
      <w:r w:rsidRPr="00785A4C">
        <w:rPr>
          <w:rFonts w:ascii="Times New Roman" w:eastAsia="Arial Unicode MS" w:hAnsi="Arial Unicode MS" w:cs="Arial Unicode MS"/>
          <w:color w:val="000000"/>
          <w:sz w:val="24"/>
          <w:szCs w:val="24"/>
          <w:u w:color="000000"/>
          <w:bdr w:val="nil"/>
        </w:rPr>
        <w:t xml:space="preserve">  It has the ability to distort competitive markets and ultimately destroy competition because a customer will gladly go to AEP for a discounted rate in lieu of going to a </w:t>
      </w:r>
      <w:r w:rsidR="00105AE1">
        <w:rPr>
          <w:rFonts w:ascii="Times New Roman" w:eastAsia="Arial Unicode MS" w:hAnsi="Arial Unicode MS" w:cs="Arial Unicode MS"/>
          <w:color w:val="000000"/>
          <w:sz w:val="24"/>
          <w:szCs w:val="24"/>
          <w:u w:color="000000"/>
          <w:bdr w:val="nil"/>
        </w:rPr>
        <w:t xml:space="preserve">competitive </w:t>
      </w:r>
      <w:r w:rsidRPr="00785A4C">
        <w:rPr>
          <w:rFonts w:ascii="Times New Roman" w:eastAsia="Arial Unicode MS" w:hAnsi="Arial Unicode MS" w:cs="Arial Unicode MS"/>
          <w:color w:val="000000"/>
          <w:sz w:val="24"/>
          <w:szCs w:val="24"/>
          <w:u w:color="000000"/>
          <w:bdr w:val="nil"/>
        </w:rPr>
        <w:t>independent renewable generator that would need to charge the full cost of the generation (and not have the ability to subsidize their costs</w:t>
      </w:r>
      <w:r w:rsidR="00105AE1">
        <w:rPr>
          <w:rFonts w:ascii="Times New Roman" w:eastAsia="Arial Unicode MS" w:hAnsi="Arial Unicode MS" w:cs="Arial Unicode MS"/>
          <w:color w:val="000000"/>
          <w:sz w:val="24"/>
          <w:szCs w:val="24"/>
          <w:u w:color="000000"/>
          <w:bdr w:val="nil"/>
        </w:rPr>
        <w:t xml:space="preserve"> through captive monopoly customers</w:t>
      </w:r>
      <w:r w:rsidRPr="00785A4C">
        <w:rPr>
          <w:rFonts w:ascii="Times New Roman" w:eastAsia="Arial Unicode MS" w:hAnsi="Arial Unicode MS" w:cs="Arial Unicode MS"/>
          <w:color w:val="000000"/>
          <w:sz w:val="24"/>
          <w:szCs w:val="24"/>
          <w:u w:color="000000"/>
          <w:bdr w:val="nil"/>
        </w:rPr>
        <w:t>).</w:t>
      </w:r>
      <w:r>
        <w:rPr>
          <w:rFonts w:ascii="Times New Roman" w:eastAsia="Arial Unicode MS" w:hAnsi="Arial Unicode MS" w:cs="Arial Unicode MS"/>
          <w:color w:val="000000"/>
          <w:sz w:val="24"/>
          <w:szCs w:val="24"/>
          <w:u w:color="000000"/>
          <w:bdr w:val="nil"/>
          <w:vertAlign w:val="superscript"/>
        </w:rPr>
        <w:footnoteReference w:id="175"/>
      </w:r>
    </w:p>
    <w:p w:rsidR="00785A4C" w:rsidRPr="00785A4C" w:rsidP="00185FE5">
      <w:pPr>
        <w:pStyle w:val="Heading3"/>
      </w:pPr>
      <w:bookmarkStart w:id="20" w:name="_Toc499709919"/>
      <w:r w:rsidRPr="00785A4C">
        <w:t>4.</w:t>
      </w:r>
      <w:r w:rsidRPr="00785A4C">
        <w:tab/>
        <w:t>The Smart City Rider and PowerForward Rider should not be approved.</w:t>
      </w:r>
      <w:bookmarkEnd w:id="20"/>
      <w:r w:rsidRPr="00785A4C">
        <w:t xml:space="preserve"> </w:t>
      </w:r>
    </w:p>
    <w:p w:rsidR="00785A4C" w:rsidRPr="00785A4C" w:rsidP="00785A4C">
      <w:pPr>
        <w:spacing w:after="0" w:line="480" w:lineRule="auto"/>
        <w:ind w:firstLine="720"/>
        <w:rPr>
          <w:rFonts w:ascii="Times New Roman" w:eastAsia="Times New Roman" w:hAnsi="Times New Roman" w:cs="Times New Roman"/>
          <w:sz w:val="24"/>
          <w:szCs w:val="24"/>
        </w:rPr>
      </w:pPr>
      <w:r w:rsidRPr="00785A4C">
        <w:rPr>
          <w:rFonts w:ascii="Times New Roman" w:eastAsia="Times New Roman" w:hAnsi="Times New Roman" w:cs="Times New Roman"/>
          <w:sz w:val="24"/>
          <w:szCs w:val="24"/>
        </w:rPr>
        <w:t xml:space="preserve">There are </w:t>
      </w:r>
      <w:r w:rsidR="00105AE1">
        <w:rPr>
          <w:rFonts w:ascii="Times New Roman" w:eastAsia="Times New Roman" w:hAnsi="Times New Roman" w:cs="Times New Roman"/>
          <w:sz w:val="24"/>
          <w:szCs w:val="24"/>
        </w:rPr>
        <w:t xml:space="preserve">compelling </w:t>
      </w:r>
      <w:r w:rsidRPr="00785A4C">
        <w:rPr>
          <w:rFonts w:ascii="Times New Roman" w:eastAsia="Times New Roman" w:hAnsi="Times New Roman" w:cs="Times New Roman"/>
          <w:sz w:val="24"/>
          <w:szCs w:val="24"/>
        </w:rPr>
        <w:t>reasons to reject the Smart City Rider and PowerForward Rider common to both.  First, separate riders and surcharges should not be used to collect utility costs and expenses from customers, outside of a base rate case.  There are no statutory or policy grounds to support the Settlement’s proposal to isolate</w:t>
      </w:r>
      <w:r w:rsidRPr="00785A4C">
        <w:rPr>
          <w:rFonts w:ascii="Times New Roman" w:eastAsia="Times New Roman" w:hAnsi="Times New Roman" w:cs="Times New Roman"/>
          <w:caps/>
          <w:sz w:val="24"/>
          <w:szCs w:val="24"/>
        </w:rPr>
        <w:t xml:space="preserve"> </w:t>
      </w:r>
      <w:r w:rsidRPr="00785A4C">
        <w:rPr>
          <w:rFonts w:ascii="Times New Roman" w:eastAsia="Times New Roman" w:hAnsi="Times New Roman" w:cs="Times New Roman"/>
          <w:sz w:val="24"/>
          <w:szCs w:val="24"/>
        </w:rPr>
        <w:t xml:space="preserve">the projects funded through these riders and seek the collection of costs outside of a regular base rate case.  This is particularly true in light of the relatively modest budget for these programs, as well as the deficient aspects of the Settlement </w:t>
      </w:r>
      <w:r w:rsidR="002616F1">
        <w:rPr>
          <w:rFonts w:ascii="Times New Roman" w:eastAsia="Times New Roman" w:hAnsi="Times New Roman" w:cs="Times New Roman"/>
          <w:sz w:val="24"/>
          <w:szCs w:val="24"/>
        </w:rPr>
        <w:t>regarding</w:t>
      </w:r>
      <w:r w:rsidRPr="00785A4C">
        <w:rPr>
          <w:rFonts w:ascii="Times New Roman" w:eastAsia="Times New Roman" w:hAnsi="Times New Roman" w:cs="Times New Roman"/>
          <w:sz w:val="24"/>
          <w:szCs w:val="24"/>
        </w:rPr>
        <w:t xml:space="preserve"> to determining the value of these costs at the conclusion of what are described as “demonstration” projects.</w:t>
      </w:r>
      <w:r>
        <w:rPr>
          <w:rFonts w:ascii="Times New Roman" w:eastAsia="Times New Roman" w:hAnsi="Times New Roman" w:cs="Times New Roman"/>
          <w:sz w:val="24"/>
          <w:szCs w:val="24"/>
          <w:vertAlign w:val="superscript"/>
        </w:rPr>
        <w:footnoteReference w:id="176"/>
      </w:r>
    </w:p>
    <w:p w:rsidR="00785A4C" w:rsidRPr="00785A4C" w:rsidP="00785A4C">
      <w:pPr>
        <w:spacing w:after="0" w:line="480" w:lineRule="auto"/>
        <w:ind w:firstLine="720"/>
        <w:rPr>
          <w:rFonts w:ascii="Times New Roman" w:eastAsia="Times New Roman" w:hAnsi="Times New Roman" w:cs="Times New Roman"/>
          <w:sz w:val="24"/>
          <w:szCs w:val="24"/>
        </w:rPr>
      </w:pPr>
      <w:r w:rsidRPr="00785A4C">
        <w:rPr>
          <w:rFonts w:ascii="Times New Roman" w:eastAsia="Times New Roman" w:hAnsi="Times New Roman" w:cs="Times New Roman"/>
          <w:sz w:val="24"/>
          <w:szCs w:val="24"/>
        </w:rPr>
        <w:t xml:space="preserve">If the PUCO approves the projects described in this Settlement (which OCC does not recommend), to protect customers from unwarranted charges the actual costs and benefits, if any, should be reviewed in a distribution base rate case.  There AEP will have the opportunity to demonstrate that the expenses were prudently incurred and that the investments are used and useful </w:t>
      </w:r>
      <w:r w:rsidR="00607E1C">
        <w:rPr>
          <w:rFonts w:ascii="Times New Roman" w:eastAsia="Times New Roman" w:hAnsi="Times New Roman" w:cs="Times New Roman"/>
          <w:sz w:val="24"/>
          <w:szCs w:val="24"/>
        </w:rPr>
        <w:t xml:space="preserve">in </w:t>
      </w:r>
      <w:r w:rsidR="00404E84">
        <w:rPr>
          <w:rFonts w:ascii="Times New Roman" w:eastAsia="Times New Roman" w:hAnsi="Times New Roman" w:cs="Times New Roman"/>
          <w:sz w:val="24"/>
          <w:szCs w:val="24"/>
        </w:rPr>
        <w:t>providing</w:t>
      </w:r>
      <w:r w:rsidR="00607E1C">
        <w:rPr>
          <w:rFonts w:ascii="Times New Roman" w:eastAsia="Times New Roman" w:hAnsi="Times New Roman" w:cs="Times New Roman"/>
          <w:sz w:val="24"/>
          <w:szCs w:val="24"/>
        </w:rPr>
        <w:t xml:space="preserve"> utility service</w:t>
      </w:r>
      <w:r w:rsidRPr="00785A4C">
        <w:rPr>
          <w:rFonts w:ascii="Times New Roman" w:eastAsia="Times New Roman" w:hAnsi="Times New Roman" w:cs="Times New Roman"/>
          <w:sz w:val="24"/>
          <w:szCs w:val="24"/>
        </w:rPr>
        <w:t xml:space="preserve"> for consumers.  This should happen before AEP is authorized to collect the costs from customers.</w:t>
      </w:r>
      <w:r>
        <w:rPr>
          <w:rFonts w:ascii="Times New Roman" w:eastAsia="Times New Roman" w:hAnsi="Times New Roman" w:cs="Times New Roman"/>
          <w:sz w:val="24"/>
          <w:szCs w:val="24"/>
          <w:vertAlign w:val="superscript"/>
        </w:rPr>
        <w:footnoteReference w:id="177"/>
      </w:r>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sz w:val="24"/>
          <w:szCs w:val="24"/>
          <w:bdr w:val="nil"/>
        </w:rPr>
      </w:pPr>
      <w:r w:rsidRPr="00785A4C">
        <w:rPr>
          <w:rFonts w:ascii="Times New Roman" w:eastAsia="Arial Unicode MS" w:hAnsi="Times New Roman" w:cs="Times New Roman"/>
          <w:sz w:val="24"/>
          <w:szCs w:val="24"/>
          <w:bdr w:val="nil"/>
        </w:rPr>
        <w:t xml:space="preserve">Second, these projects have no nexus to the ESP proceeding, which is primarily intended to address the obligation to provide default generation supply service.  Neither </w:t>
      </w:r>
      <w:r w:rsidR="002616F1">
        <w:rPr>
          <w:rFonts w:ascii="Times New Roman" w:eastAsia="Arial Unicode MS" w:hAnsi="Times New Roman" w:cs="Times New Roman"/>
          <w:sz w:val="24"/>
          <w:szCs w:val="24"/>
          <w:bdr w:val="nil"/>
        </w:rPr>
        <w:t>AEP</w:t>
      </w:r>
      <w:r w:rsidRPr="00785A4C">
        <w:rPr>
          <w:rFonts w:ascii="Times New Roman" w:eastAsia="Arial Unicode MS" w:hAnsi="Times New Roman" w:cs="Times New Roman"/>
          <w:sz w:val="24"/>
          <w:szCs w:val="24"/>
          <w:bdr w:val="nil"/>
        </w:rPr>
        <w:t xml:space="preserve"> nor any proponent of th</w:t>
      </w:r>
      <w:r w:rsidR="002616F1">
        <w:rPr>
          <w:rFonts w:ascii="Times New Roman" w:eastAsia="Arial Unicode MS" w:hAnsi="Times New Roman" w:cs="Times New Roman"/>
          <w:sz w:val="24"/>
          <w:szCs w:val="24"/>
          <w:bdr w:val="nil"/>
        </w:rPr>
        <w:t>e</w:t>
      </w:r>
      <w:r w:rsidRPr="00785A4C">
        <w:rPr>
          <w:rFonts w:ascii="Times New Roman" w:eastAsia="Arial Unicode MS" w:hAnsi="Times New Roman" w:cs="Times New Roman"/>
          <w:sz w:val="24"/>
          <w:szCs w:val="24"/>
          <w:bdr w:val="nil"/>
        </w:rPr>
        <w:t xml:space="preserve"> Settlement has demonstrated the required nexus to R.C. 4928.143.</w:t>
      </w:r>
      <w:r>
        <w:rPr>
          <w:rFonts w:ascii="Times New Roman" w:eastAsia="Arial Unicode MS" w:hAnsi="Times New Roman" w:cs="Times New Roman"/>
          <w:sz w:val="24"/>
          <w:szCs w:val="24"/>
          <w:bdr w:val="nil"/>
          <w:vertAlign w:val="superscript"/>
        </w:rPr>
        <w:footnoteReference w:id="178"/>
      </w:r>
      <w:r w:rsidRPr="00785A4C">
        <w:rPr>
          <w:rFonts w:ascii="Times New Roman" w:eastAsia="Arial Unicode MS" w:hAnsi="Times New Roman" w:cs="Times New Roman"/>
          <w:sz w:val="24"/>
          <w:szCs w:val="24"/>
          <w:bdr w:val="nil"/>
        </w:rPr>
        <w:t xml:space="preserve">  Although AEP originally sought to support the projects under R.C. 4928.143(B)(2)(h), relating to a specific proposal for "long-term energy delivery infrastructure modernization,” the Settlement apparently </w:t>
      </w:r>
      <w:r w:rsidR="003A0586">
        <w:rPr>
          <w:rFonts w:ascii="Times New Roman" w:eastAsia="Arial Unicode MS" w:hAnsi="Times New Roman" w:cs="Times New Roman"/>
          <w:sz w:val="24"/>
          <w:szCs w:val="24"/>
          <w:bdr w:val="nil"/>
        </w:rPr>
        <w:t>sidesteps</w:t>
      </w:r>
      <w:r w:rsidRPr="00785A4C" w:rsidR="003A0586">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this justification and none of the proponents reference th</w:t>
      </w:r>
      <w:r w:rsidR="003A0586">
        <w:rPr>
          <w:rFonts w:ascii="Times New Roman" w:eastAsia="Arial Unicode MS" w:hAnsi="Times New Roman" w:cs="Times New Roman"/>
          <w:sz w:val="24"/>
          <w:szCs w:val="24"/>
          <w:bdr w:val="nil"/>
        </w:rPr>
        <w:t>e</w:t>
      </w:r>
      <w:r w:rsidRPr="00785A4C">
        <w:rPr>
          <w:rFonts w:ascii="Times New Roman" w:eastAsia="Arial Unicode MS" w:hAnsi="Times New Roman" w:cs="Times New Roman"/>
          <w:sz w:val="24"/>
          <w:szCs w:val="24"/>
          <w:bdr w:val="nil"/>
        </w:rPr>
        <w:t xml:space="preserve"> justification.  None of the projects included in the Smart City Rider are related to each other or are part of any overall “plan” to improve AEP’s distribution reliability. </w:t>
      </w:r>
      <w:r w:rsidRPr="00785A4C">
        <w:rPr>
          <w:rFonts w:ascii="Times New Roman" w:eastAsia="Times New Roman" w:hAnsi="Times New Roman" w:cs="Times New Roman"/>
          <w:sz w:val="24"/>
          <w:szCs w:val="24"/>
          <w:bdr w:val="nil"/>
        </w:rPr>
        <w:t xml:space="preserve"> Further, no link to the reliability of the distribution system has been shown.</w:t>
      </w:r>
      <w:r>
        <w:rPr>
          <w:rFonts w:ascii="Times New Roman" w:eastAsia="Times New Roman" w:hAnsi="Times New Roman" w:cs="Times New Roman"/>
          <w:sz w:val="24"/>
          <w:szCs w:val="24"/>
          <w:bdr w:val="nil"/>
          <w:vertAlign w:val="superscript"/>
        </w:rPr>
        <w:footnoteReference w:id="179"/>
      </w:r>
      <w:r w:rsidRPr="00785A4C">
        <w:rPr>
          <w:rFonts w:ascii="Times New Roman" w:eastAsia="Times New Roman" w:hAnsi="Times New Roman" w:cs="Times New Roman"/>
          <w:sz w:val="24"/>
          <w:szCs w:val="24"/>
          <w:bdr w:val="nil"/>
        </w:rPr>
        <w:t xml:space="preserve">  The Smart City Rider is nothing more than a combination of unrelated projects that are not accompanied by any analysis that either links the proposed projects together or links them to AEP’s obligation to provide adequate, reliable, safe, efficient, nondiscriminatory, and reasonably priced retail distribution electric service.</w:t>
      </w:r>
      <w:r>
        <w:rPr>
          <w:rFonts w:ascii="Times New Roman" w:eastAsia="Times New Roman" w:hAnsi="Times New Roman" w:cs="Times New Roman"/>
          <w:sz w:val="24"/>
          <w:szCs w:val="24"/>
          <w:bdr w:val="nil"/>
          <w:vertAlign w:val="superscript"/>
        </w:rPr>
        <w:footnoteReference w:id="180"/>
      </w:r>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sz w:val="24"/>
          <w:szCs w:val="24"/>
          <w:bdr w:val="nil"/>
        </w:rPr>
      </w:pPr>
      <w:r w:rsidRPr="00785A4C">
        <w:rPr>
          <w:rFonts w:ascii="Times New Roman" w:eastAsia="Times New Roman" w:hAnsi="Times New Roman" w:cs="Times New Roman"/>
          <w:sz w:val="24"/>
          <w:szCs w:val="24"/>
          <w:bdr w:val="nil"/>
        </w:rPr>
        <w:t>Third, the proposed Riders actually violate AEP’s obligation to comply with certain policies of the State of Ohio, including avoiding improper subsidies</w:t>
      </w:r>
      <w:r>
        <w:rPr>
          <w:rFonts w:ascii="Times New Roman" w:eastAsia="Times New Roman" w:hAnsi="Times New Roman" w:cs="Times New Roman"/>
          <w:sz w:val="24"/>
          <w:szCs w:val="24"/>
          <w:bdr w:val="nil"/>
          <w:vertAlign w:val="superscript"/>
        </w:rPr>
        <w:footnoteReference w:id="181"/>
      </w:r>
      <w:r w:rsidRPr="00785A4C">
        <w:rPr>
          <w:rFonts w:ascii="Times New Roman" w:eastAsia="Times New Roman" w:hAnsi="Times New Roman" w:cs="Times New Roman"/>
          <w:sz w:val="24"/>
          <w:szCs w:val="24"/>
          <w:bdr w:val="nil"/>
        </w:rPr>
        <w:t xml:space="preserve"> and protecting “at-risk populations.”</w:t>
      </w:r>
      <w:r>
        <w:rPr>
          <w:rFonts w:ascii="Times New Roman" w:eastAsia="Times New Roman" w:hAnsi="Times New Roman" w:cs="Times New Roman"/>
          <w:sz w:val="24"/>
          <w:szCs w:val="24"/>
          <w:bdr w:val="nil"/>
          <w:vertAlign w:val="superscript"/>
        </w:rPr>
        <w:footnoteReference w:id="182"/>
      </w:r>
      <w:r w:rsidRPr="00785A4C">
        <w:rPr>
          <w:rFonts w:ascii="Times New Roman" w:eastAsia="Times New Roman" w:hAnsi="Times New Roman" w:cs="Times New Roman"/>
          <w:sz w:val="24"/>
          <w:szCs w:val="24"/>
          <w:bdr w:val="nil"/>
        </w:rPr>
        <w:t xml:space="preserve">  The </w:t>
      </w:r>
      <w:r w:rsidR="002616F1">
        <w:rPr>
          <w:rFonts w:ascii="Times New Roman" w:eastAsia="Times New Roman" w:hAnsi="Times New Roman" w:cs="Times New Roman"/>
          <w:sz w:val="24"/>
          <w:szCs w:val="24"/>
          <w:bdr w:val="nil"/>
        </w:rPr>
        <w:t>electric vehicle</w:t>
      </w:r>
      <w:r w:rsidRPr="00785A4C">
        <w:rPr>
          <w:rFonts w:ascii="Times New Roman" w:eastAsia="Times New Roman" w:hAnsi="Times New Roman" w:cs="Times New Roman"/>
          <w:sz w:val="24"/>
          <w:szCs w:val="24"/>
          <w:bdr w:val="nil"/>
        </w:rPr>
        <w:t xml:space="preserve"> rebates in particular will indirectly permit certain </w:t>
      </w:r>
      <w:r w:rsidR="002616F1">
        <w:rPr>
          <w:rFonts w:ascii="Times New Roman" w:eastAsia="Times New Roman" w:hAnsi="Times New Roman" w:cs="Times New Roman"/>
          <w:sz w:val="24"/>
          <w:szCs w:val="24"/>
          <w:bdr w:val="nil"/>
        </w:rPr>
        <w:t>electric vehicle</w:t>
      </w:r>
      <w:r w:rsidRPr="00785A4C">
        <w:rPr>
          <w:rFonts w:ascii="Times New Roman" w:eastAsia="Times New Roman" w:hAnsi="Times New Roman" w:cs="Times New Roman"/>
          <w:sz w:val="24"/>
          <w:szCs w:val="24"/>
          <w:bdr w:val="nil"/>
        </w:rPr>
        <w:t xml:space="preserve"> charging station owners in the Smart City footprint to receive discounted prices for distribution service due to their receipt of the rebates, unlike other charging station owners outside of the footprint (or not participating </w:t>
      </w:r>
      <w:r w:rsidR="008D0135">
        <w:rPr>
          <w:rFonts w:ascii="Times New Roman" w:eastAsia="Times New Roman" w:hAnsi="Times New Roman" w:cs="Times New Roman"/>
          <w:sz w:val="24"/>
          <w:szCs w:val="24"/>
          <w:bdr w:val="nil"/>
        </w:rPr>
        <w:t xml:space="preserve">in </w:t>
      </w:r>
      <w:r w:rsidRPr="00785A4C">
        <w:rPr>
          <w:rFonts w:ascii="Times New Roman" w:eastAsia="Times New Roman" w:hAnsi="Times New Roman" w:cs="Times New Roman"/>
          <w:sz w:val="24"/>
          <w:szCs w:val="24"/>
          <w:bdr w:val="nil"/>
        </w:rPr>
        <w:t>the program).</w:t>
      </w:r>
      <w:r>
        <w:rPr>
          <w:rFonts w:ascii="Times New Roman" w:eastAsia="Times New Roman" w:hAnsi="Times New Roman" w:cs="Times New Roman"/>
          <w:sz w:val="24"/>
          <w:szCs w:val="24"/>
          <w:bdr w:val="nil"/>
          <w:vertAlign w:val="superscript"/>
        </w:rPr>
        <w:footnoteReference w:id="183"/>
      </w:r>
      <w:r w:rsidRPr="00785A4C">
        <w:rPr>
          <w:rFonts w:ascii="Times New Roman" w:eastAsia="Times New Roman" w:hAnsi="Times New Roman" w:cs="Times New Roman"/>
          <w:sz w:val="24"/>
          <w:szCs w:val="24"/>
          <w:bdr w:val="nil"/>
        </w:rPr>
        <w:t xml:space="preserve">  </w:t>
      </w:r>
      <w:r w:rsidR="002616F1">
        <w:rPr>
          <w:rFonts w:ascii="Times New Roman" w:eastAsia="Times New Roman" w:hAnsi="Times New Roman" w:cs="Times New Roman"/>
          <w:sz w:val="24"/>
          <w:szCs w:val="24"/>
          <w:bdr w:val="nil"/>
        </w:rPr>
        <w:t>Electric vehicle</w:t>
      </w:r>
      <w:r w:rsidRPr="00785A4C">
        <w:rPr>
          <w:rFonts w:ascii="Times New Roman" w:eastAsia="Times New Roman" w:hAnsi="Times New Roman" w:cs="Times New Roman"/>
          <w:sz w:val="24"/>
          <w:szCs w:val="24"/>
          <w:bdr w:val="nil"/>
        </w:rPr>
        <w:t xml:space="preserve"> charging station owners participating in the rebate program in turn will be able to charge their customers less than customers served by </w:t>
      </w:r>
      <w:r w:rsidR="003A0586">
        <w:rPr>
          <w:rFonts w:ascii="Times New Roman" w:eastAsia="Times New Roman" w:hAnsi="Times New Roman" w:cs="Times New Roman"/>
          <w:sz w:val="24"/>
          <w:szCs w:val="24"/>
          <w:bdr w:val="nil"/>
        </w:rPr>
        <w:t xml:space="preserve">other </w:t>
      </w:r>
      <w:r w:rsidRPr="00785A4C">
        <w:rPr>
          <w:rFonts w:ascii="Times New Roman" w:eastAsia="Times New Roman" w:hAnsi="Times New Roman" w:cs="Times New Roman"/>
          <w:sz w:val="24"/>
          <w:szCs w:val="24"/>
          <w:bdr w:val="nil"/>
        </w:rPr>
        <w:t>charging station owners who will not receive the discounted service as a result of their lower costs.</w:t>
      </w:r>
      <w:r>
        <w:rPr>
          <w:rFonts w:ascii="Times New Roman" w:eastAsia="Times New Roman" w:hAnsi="Times New Roman" w:cs="Times New Roman"/>
          <w:sz w:val="24"/>
          <w:szCs w:val="24"/>
          <w:bdr w:val="nil"/>
          <w:vertAlign w:val="superscript"/>
        </w:rPr>
        <w:footnoteReference w:id="184"/>
      </w:r>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sz w:val="24"/>
          <w:szCs w:val="24"/>
          <w:bdr w:val="nil"/>
        </w:rPr>
      </w:pPr>
      <w:r w:rsidRPr="00785A4C">
        <w:rPr>
          <w:rFonts w:ascii="Times New Roman" w:eastAsia="Times New Roman" w:hAnsi="Times New Roman" w:cs="Times New Roman"/>
          <w:sz w:val="24"/>
          <w:szCs w:val="24"/>
          <w:bdr w:val="nil"/>
        </w:rPr>
        <w:t xml:space="preserve">Further, low-income and at-risk customers would be required to fund these proposals without receiving proportionate benefits.  The notion that handing out rebates in order to support the location of a few </w:t>
      </w:r>
      <w:r w:rsidR="002616F1">
        <w:rPr>
          <w:rFonts w:ascii="Times New Roman" w:eastAsia="Times New Roman" w:hAnsi="Times New Roman" w:cs="Times New Roman"/>
          <w:sz w:val="24"/>
          <w:szCs w:val="24"/>
          <w:bdr w:val="nil"/>
        </w:rPr>
        <w:t>electric vehicle</w:t>
      </w:r>
      <w:r w:rsidRPr="00785A4C">
        <w:rPr>
          <w:rFonts w:ascii="Times New Roman" w:eastAsia="Times New Roman" w:hAnsi="Times New Roman" w:cs="Times New Roman"/>
          <w:sz w:val="24"/>
          <w:szCs w:val="24"/>
          <w:bdr w:val="nil"/>
        </w:rPr>
        <w:t xml:space="preserve"> charging stations in “low income communities” somehow properly responds to this concern is not defensible.</w:t>
      </w:r>
      <w:r>
        <w:rPr>
          <w:rFonts w:ascii="Times New Roman" w:eastAsia="Times New Roman" w:hAnsi="Times New Roman" w:cs="Times New Roman"/>
          <w:sz w:val="24"/>
          <w:szCs w:val="24"/>
          <w:bdr w:val="nil"/>
          <w:vertAlign w:val="superscript"/>
        </w:rPr>
        <w:footnoteReference w:id="185"/>
      </w:r>
      <w:r w:rsidRPr="00785A4C">
        <w:rPr>
          <w:rFonts w:ascii="Times New Roman" w:eastAsia="Times New Roman" w:hAnsi="Times New Roman" w:cs="Times New Roman"/>
          <w:sz w:val="24"/>
          <w:szCs w:val="24"/>
          <w:bdr w:val="nil"/>
        </w:rPr>
        <w:t xml:space="preserve">  Importantly, </w:t>
      </w:r>
      <w:r w:rsidR="003A0586">
        <w:rPr>
          <w:rFonts w:ascii="Times New Roman" w:eastAsia="Times New Roman" w:hAnsi="Times New Roman" w:cs="Times New Roman"/>
          <w:sz w:val="24"/>
          <w:szCs w:val="24"/>
          <w:bdr w:val="nil"/>
        </w:rPr>
        <w:t xml:space="preserve">by </w:t>
      </w:r>
      <w:r w:rsidRPr="00785A4C">
        <w:rPr>
          <w:rFonts w:ascii="Times New Roman" w:eastAsia="Times New Roman" w:hAnsi="Times New Roman" w:cs="Times New Roman"/>
          <w:sz w:val="24"/>
          <w:szCs w:val="24"/>
          <w:bdr w:val="nil"/>
        </w:rPr>
        <w:t xml:space="preserve">requiring all </w:t>
      </w:r>
      <w:r w:rsidR="003A0586">
        <w:rPr>
          <w:rFonts w:ascii="Times New Roman" w:eastAsia="Times New Roman" w:hAnsi="Times New Roman" w:cs="Times New Roman"/>
          <w:sz w:val="24"/>
          <w:szCs w:val="24"/>
          <w:bdr w:val="nil"/>
        </w:rPr>
        <w:t xml:space="preserve">local </w:t>
      </w:r>
      <w:r w:rsidRPr="00785A4C">
        <w:rPr>
          <w:rFonts w:ascii="Times New Roman" w:eastAsia="Times New Roman" w:hAnsi="Times New Roman" w:cs="Times New Roman"/>
          <w:sz w:val="24"/>
          <w:szCs w:val="24"/>
          <w:bdr w:val="nil"/>
        </w:rPr>
        <w:t>distribution customers to fund these programs for the benefit of relatively few customers (the owners of electrically powered vehicles and the recipient of the rebate for one or more micro grid projects) raises serious concerns about the allocation of costs and the recovery of costs in a fair and reasonable manner.</w:t>
      </w:r>
      <w:r>
        <w:rPr>
          <w:rFonts w:ascii="Times New Roman" w:eastAsia="Times New Roman" w:hAnsi="Times New Roman" w:cs="Times New Roman"/>
          <w:sz w:val="24"/>
          <w:szCs w:val="24"/>
          <w:bdr w:val="nil"/>
          <w:vertAlign w:val="superscript"/>
        </w:rPr>
        <w:footnoteReference w:id="186"/>
      </w:r>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sz w:val="24"/>
          <w:szCs w:val="24"/>
          <w:bdr w:val="nil"/>
        </w:rPr>
      </w:pPr>
      <w:r w:rsidRPr="00785A4C">
        <w:rPr>
          <w:rFonts w:ascii="Times New Roman" w:eastAsia="Times New Roman" w:hAnsi="Times New Roman" w:cs="Times New Roman"/>
          <w:sz w:val="24"/>
          <w:szCs w:val="24"/>
          <w:bdr w:val="nil"/>
        </w:rPr>
        <w:t xml:space="preserve">Fourth, the Settlement’s provision that AEP will conduct “research and development needed to develop and maintain the Smart City program for the </w:t>
      </w:r>
      <w:r w:rsidR="003A0586">
        <w:rPr>
          <w:rFonts w:ascii="Times New Roman" w:eastAsia="Times New Roman" w:hAnsi="Times New Roman" w:cs="Times New Roman"/>
          <w:sz w:val="24"/>
          <w:szCs w:val="24"/>
          <w:bdr w:val="nil"/>
        </w:rPr>
        <w:t>four</w:t>
      </w:r>
      <w:r w:rsidRPr="00785A4C">
        <w:rPr>
          <w:rFonts w:ascii="Times New Roman" w:eastAsia="Times New Roman" w:hAnsi="Times New Roman" w:cs="Times New Roman"/>
          <w:sz w:val="24"/>
          <w:szCs w:val="24"/>
          <w:bdr w:val="nil"/>
        </w:rPr>
        <w:t>-year term, with up to $200,000 of costs eligible, subject to a prudency review, to flow through the Smart City Rider,” is not accompanied by any specific description of the “research and development” activities.</w:t>
      </w:r>
      <w:r>
        <w:rPr>
          <w:rFonts w:ascii="Times New Roman" w:eastAsia="Times New Roman" w:hAnsi="Times New Roman" w:cs="Times New Roman"/>
          <w:sz w:val="24"/>
          <w:szCs w:val="24"/>
          <w:bdr w:val="nil"/>
          <w:vertAlign w:val="superscript"/>
        </w:rPr>
        <w:footnoteReference w:id="187"/>
      </w:r>
      <w:r w:rsidRPr="00785A4C">
        <w:rPr>
          <w:rFonts w:ascii="Times New Roman" w:eastAsia="Times New Roman" w:hAnsi="Times New Roman" w:cs="Times New Roman"/>
          <w:sz w:val="24"/>
          <w:szCs w:val="24"/>
          <w:bdr w:val="nil"/>
        </w:rPr>
        <w:t xml:space="preserve">  And this research and development activity will logically benefit other AEP affiliates, namely AEP’s distribution utilities in other States,</w:t>
      </w:r>
      <w:r>
        <w:rPr>
          <w:rFonts w:ascii="Times New Roman" w:eastAsia="Times New Roman" w:hAnsi="Times New Roman" w:cs="Times New Roman"/>
          <w:sz w:val="24"/>
          <w:szCs w:val="24"/>
          <w:bdr w:val="nil"/>
          <w:vertAlign w:val="superscript"/>
        </w:rPr>
        <w:footnoteReference w:id="188"/>
      </w:r>
      <w:r w:rsidRPr="00785A4C">
        <w:rPr>
          <w:rFonts w:ascii="Times New Roman" w:eastAsia="Times New Roman" w:hAnsi="Times New Roman" w:cs="Times New Roman"/>
          <w:sz w:val="24"/>
          <w:szCs w:val="24"/>
          <w:bdr w:val="nil"/>
        </w:rPr>
        <w:t xml:space="preserve"> and should not be reimbursed by Ohio customers, but should be funded by AEP’s shareholders.  </w:t>
      </w:r>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sz w:val="24"/>
          <w:szCs w:val="24"/>
          <w:bdr w:val="nil"/>
        </w:rPr>
      </w:pPr>
      <w:r w:rsidRPr="00785A4C">
        <w:rPr>
          <w:rFonts w:ascii="Times New Roman" w:eastAsia="Times New Roman" w:hAnsi="Times New Roman" w:cs="Times New Roman"/>
          <w:sz w:val="24"/>
          <w:szCs w:val="24"/>
          <w:bdr w:val="nil"/>
        </w:rPr>
        <w:t>Fifth, there is a lack of specificity of the program design and the justification for these programs.  And there is a lack of clarity concerning the percentage of costs that AEP can collect under these Riders compared to the projects identified in the Riders.</w:t>
      </w:r>
      <w:r>
        <w:rPr>
          <w:rFonts w:ascii="Times New Roman" w:eastAsia="Times New Roman" w:hAnsi="Times New Roman" w:cs="Times New Roman"/>
          <w:sz w:val="24"/>
          <w:szCs w:val="24"/>
          <w:bdr w:val="nil"/>
          <w:vertAlign w:val="superscript"/>
        </w:rPr>
        <w:footnoteReference w:id="189"/>
      </w:r>
    </w:p>
    <w:p w:rsidR="00785A4C" w:rsidRPr="00785A4C" w:rsidP="00185FE5">
      <w:pPr>
        <w:pStyle w:val="Heading3"/>
      </w:pPr>
      <w:bookmarkStart w:id="21" w:name="_Toc499709920"/>
      <w:r>
        <w:t>5.</w:t>
      </w:r>
      <w:r>
        <w:tab/>
      </w:r>
      <w:r w:rsidRPr="00785A4C">
        <w:t>The proposed PowerForward Rider violates important regulatory principles and practice.</w:t>
      </w:r>
      <w:bookmarkEnd w:id="21"/>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sz w:val="24"/>
          <w:szCs w:val="24"/>
          <w:bdr w:val="nil"/>
        </w:rPr>
      </w:pPr>
      <w:r w:rsidRPr="00785A4C">
        <w:rPr>
          <w:rFonts w:ascii="Times New Roman" w:eastAsia="Times New Roman" w:hAnsi="Times New Roman" w:cs="Times New Roman"/>
          <w:sz w:val="24"/>
          <w:szCs w:val="24"/>
          <w:bdr w:val="nil"/>
        </w:rPr>
        <w:t>The proposal to approve a new PowerForward Rider that has no current purpose is particularly troublesome.  The PowerForward initiative is not a formal proceeding and the PUCO has not yet issued any policy directives.  It has certainly not addressed the various forms of utility investments that might result from unknown future policy directives, identified the costs associated with those directives, or considered and resolved the various means by which utilities will collect costs associated with these unknown future policy directives.</w:t>
      </w:r>
    </w:p>
    <w:p w:rsidR="00785A4C" w:rsidRPr="00785A4C" w:rsidP="00785A4C">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785A4C">
        <w:rPr>
          <w:rFonts w:ascii="Times New Roman" w:eastAsia="Times New Roman" w:hAnsi="Times New Roman" w:cs="Times New Roman"/>
          <w:color w:val="000000"/>
          <w:sz w:val="24"/>
          <w:szCs w:val="24"/>
          <w:u w:color="000000"/>
          <w:bdr w:val="nil"/>
        </w:rPr>
        <w:t>The intent of this particular provision of the Settlement appears to preempt the potential for considering alternative methods of cost recovery in the informal PowerForward proceeding itself.</w:t>
      </w:r>
      <w:r>
        <w:rPr>
          <w:rFonts w:ascii="Times New Roman" w:eastAsia="Times New Roman" w:hAnsi="Times New Roman" w:cs="Times New Roman"/>
          <w:color w:val="000000"/>
          <w:sz w:val="24"/>
          <w:szCs w:val="24"/>
          <w:u w:color="000000"/>
          <w:bdr w:val="nil"/>
          <w:vertAlign w:val="superscript"/>
        </w:rPr>
        <w:footnoteReference w:id="190"/>
      </w:r>
      <w:r w:rsidRPr="00785A4C">
        <w:rPr>
          <w:rFonts w:ascii="Times New Roman" w:eastAsia="Times New Roman" w:hAnsi="Times New Roman" w:cs="Times New Roman"/>
          <w:color w:val="000000"/>
          <w:sz w:val="24"/>
          <w:szCs w:val="24"/>
          <w:u w:color="000000"/>
          <w:bdr w:val="nil"/>
        </w:rPr>
        <w:t xml:space="preserve">  Thus, the </w:t>
      </w:r>
      <w:r w:rsidR="002616F1">
        <w:rPr>
          <w:rFonts w:ascii="Times New Roman" w:eastAsia="Times New Roman" w:hAnsi="Times New Roman" w:cs="Times New Roman"/>
          <w:color w:val="000000"/>
          <w:sz w:val="24"/>
          <w:szCs w:val="24"/>
          <w:u w:color="000000"/>
          <w:bdr w:val="nil"/>
        </w:rPr>
        <w:t>R</w:t>
      </w:r>
      <w:r w:rsidRPr="00785A4C">
        <w:rPr>
          <w:rFonts w:ascii="Times New Roman" w:eastAsia="Times New Roman" w:hAnsi="Times New Roman" w:cs="Times New Roman"/>
          <w:color w:val="000000"/>
          <w:sz w:val="24"/>
          <w:szCs w:val="24"/>
          <w:u w:color="000000"/>
          <w:bdr w:val="nil"/>
        </w:rPr>
        <w:t>ider should be rejected as unnecessary and inappropriate.  Further, taking it out of the Settlement will not adversely affect any of the other provisions of the Settlement.  Indeed, the actual purpose of pre-approving the Rider is to force customers to pay AEP as soon as possible for unknown additional projects approved in the PowerForward initiative, without the benefit of ensuring that the project expenses are prudently incurred and used and useful in providing customers’ service.</w:t>
      </w:r>
      <w:r>
        <w:rPr>
          <w:rFonts w:ascii="Times New Roman" w:eastAsia="Times New Roman" w:hAnsi="Times New Roman" w:cs="Times New Roman"/>
          <w:color w:val="000000"/>
          <w:sz w:val="24"/>
          <w:szCs w:val="24"/>
          <w:u w:color="000000"/>
          <w:bdr w:val="nil"/>
          <w:vertAlign w:val="superscript"/>
        </w:rPr>
        <w:footnoteReference w:id="191"/>
      </w:r>
    </w:p>
    <w:p w:rsidR="00785A4C" w:rsidRPr="00785A4C" w:rsidP="00185FE5">
      <w:pPr>
        <w:pStyle w:val="Heading3"/>
      </w:pPr>
      <w:bookmarkStart w:id="22" w:name="_Toc499709921"/>
      <w:r>
        <w:t>6.</w:t>
      </w:r>
      <w:r>
        <w:tab/>
      </w:r>
      <w:r w:rsidRPr="00785A4C">
        <w:t>The Settlement should not be approved because it will not provide reasonably priced retail electric service for consumers or protect at-risk consumer populations.</w:t>
      </w:r>
      <w:bookmarkEnd w:id="22"/>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Two well-known regulatory policies of the State of Ohio are to </w:t>
      </w:r>
      <w:r w:rsidR="003A0586">
        <w:rPr>
          <w:rFonts w:ascii="Times New Roman" w:eastAsia="Arial Unicode MS" w:hAnsi="Times New Roman" w:cs="Times New Roman"/>
          <w:sz w:val="24"/>
          <w:szCs w:val="24"/>
          <w:bdr w:val="nil"/>
        </w:rPr>
        <w:t>ensure</w:t>
      </w:r>
      <w:r w:rsidRPr="00785A4C" w:rsidR="003A0586">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customers are provided reasonably priced retail electric service and to protect at-risk populations.</w:t>
      </w:r>
      <w:r>
        <w:rPr>
          <w:rFonts w:ascii="Times New Roman" w:eastAsia="Arial Unicode MS" w:hAnsi="Times New Roman" w:cs="Times New Roman"/>
          <w:sz w:val="24"/>
          <w:szCs w:val="24"/>
          <w:bdr w:val="nil"/>
          <w:vertAlign w:val="superscript"/>
        </w:rPr>
        <w:footnoteReference w:id="192"/>
      </w:r>
      <w:r w:rsidRPr="00785A4C">
        <w:rPr>
          <w:rFonts w:ascii="Times New Roman" w:eastAsia="Arial Unicode MS" w:hAnsi="Times New Roman" w:cs="Times New Roman"/>
          <w:sz w:val="24"/>
          <w:szCs w:val="24"/>
          <w:bdr w:val="nil"/>
        </w:rPr>
        <w:t xml:space="preserve"> The Settlement violates both of these regulatory policies.  It does not benefit customers and is not in the public interest, because the evidence shows that customers, especially customers in at-risk populations, cannot afford to pay the proposed increase to their utility bills. </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As OCC Witness Williams testified, residential consumers in the AEP service territory live within some of the highest poverty areas in Ohio.</w:t>
      </w:r>
      <w:r>
        <w:rPr>
          <w:rFonts w:ascii="Times New Roman" w:eastAsia="Arial Unicode MS" w:hAnsi="Times New Roman" w:cs="Times New Roman"/>
          <w:sz w:val="24"/>
          <w:szCs w:val="24"/>
          <w:bdr w:val="nil"/>
          <w:vertAlign w:val="superscript"/>
        </w:rPr>
        <w:footnoteReference w:id="193"/>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For example, AEP serves customers in Athens County, where the poverty rate is 33</w:t>
      </w:r>
      <w:r w:rsidR="00E66D9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vertAlign w:val="superscript"/>
        </w:rPr>
        <w:footnoteReference w:id="194"/>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Yet, AEP has the highest electric rates in the state.</w:t>
      </w:r>
      <w:r>
        <w:rPr>
          <w:rFonts w:ascii="Times New Roman" w:eastAsia="Arial Unicode MS" w:hAnsi="Times New Roman" w:cs="Times New Roman"/>
          <w:sz w:val="24"/>
          <w:szCs w:val="24"/>
          <w:bdr w:val="nil"/>
          <w:vertAlign w:val="superscript"/>
        </w:rPr>
        <w:footnoteReference w:id="195"/>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customers in the Ohio Power rate zone pay $9.03 per month more than the average customer served by other Ohio electric utilities.</w:t>
      </w:r>
      <w:r>
        <w:rPr>
          <w:rFonts w:ascii="Times New Roman" w:eastAsia="Arial Unicode MS" w:hAnsi="Times New Roman" w:cs="Times New Roman"/>
          <w:sz w:val="24"/>
          <w:szCs w:val="24"/>
          <w:bdr w:val="nil"/>
          <w:vertAlign w:val="superscript"/>
        </w:rPr>
        <w:footnoteReference w:id="196"/>
      </w:r>
      <w:r w:rsidRPr="00785A4C">
        <w:rPr>
          <w:rFonts w:ascii="Times New Roman" w:eastAsia="Arial Unicode MS" w:hAnsi="Times New Roman" w:cs="Times New Roman"/>
          <w:sz w:val="24"/>
          <w:szCs w:val="24"/>
          <w:bdr w:val="nil"/>
        </w:rPr>
        <w:t xml:space="preserve"> AEP customers in the Columbus Southern Power rate zone pay $2.67 per month more than the average customer served by other Ohio electric utilities.</w:t>
      </w:r>
      <w:r>
        <w:rPr>
          <w:rFonts w:ascii="Times New Roman" w:eastAsia="Arial Unicode MS" w:hAnsi="Times New Roman" w:cs="Times New Roman"/>
          <w:sz w:val="24"/>
          <w:szCs w:val="24"/>
          <w:bdr w:val="nil"/>
          <w:vertAlign w:val="superscript"/>
        </w:rPr>
        <w:footnoteReference w:id="197"/>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AEP customers in Ohio also pay much higher rates than the customers of any of the other AEP companies.</w:t>
      </w:r>
      <w:r>
        <w:rPr>
          <w:rFonts w:ascii="Times New Roman" w:eastAsia="Arial Unicode MS" w:hAnsi="Times New Roman" w:cs="Times New Roman"/>
          <w:sz w:val="24"/>
          <w:szCs w:val="24"/>
          <w:bdr w:val="nil"/>
          <w:vertAlign w:val="superscript"/>
        </w:rPr>
        <w:footnoteReference w:id="198"/>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The Settlement will increase the </w:t>
      </w:r>
      <w:r w:rsidR="001E466B">
        <w:rPr>
          <w:rFonts w:ascii="Times New Roman" w:eastAsia="Arial Unicode MS" w:hAnsi="Times New Roman" w:cs="Times New Roman"/>
          <w:sz w:val="24"/>
          <w:szCs w:val="24"/>
          <w:bdr w:val="nil"/>
        </w:rPr>
        <w:t>charges</w:t>
      </w:r>
      <w:r w:rsidRPr="00785A4C" w:rsidR="001E466B">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that customers are asked to pay. Thus, the Settlement will not assure that customers are provided reasonably priced retail electric service.</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These high rates have directly contributed to the over 135,872 residential customers (10.5</w:t>
      </w:r>
      <w:r w:rsidR="00E66D9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of all AEP customers) that have had their electric service disconnected between June 1, 2015 and May 31, 2016 for non-payment.</w:t>
      </w:r>
      <w:r>
        <w:rPr>
          <w:rFonts w:ascii="Times New Roman" w:eastAsia="Arial Unicode MS" w:hAnsi="Times New Roman" w:cs="Times New Roman"/>
          <w:sz w:val="24"/>
          <w:szCs w:val="24"/>
          <w:bdr w:val="nil"/>
          <w:vertAlign w:val="superscript"/>
        </w:rPr>
        <w:footnoteReference w:id="199"/>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During this same time, AEP has also issued over 2.1 million disconnection notices.</w:t>
      </w:r>
      <w:r>
        <w:rPr>
          <w:rFonts w:ascii="Times New Roman" w:eastAsia="Arial Unicode MS" w:hAnsi="Times New Roman" w:cs="Times New Roman"/>
          <w:sz w:val="24"/>
          <w:szCs w:val="24"/>
          <w:bdr w:val="nil"/>
          <w:vertAlign w:val="superscript"/>
        </w:rPr>
        <w:footnoteReference w:id="200"/>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As OCC Witness Williams stated, “[t]hese numbers leave little doubt that many AEP Ohio residential customers including at-risk customers are not being protected.”</w:t>
      </w:r>
      <w:r>
        <w:rPr>
          <w:rFonts w:ascii="Times New Roman" w:eastAsia="Arial Unicode MS" w:hAnsi="Times New Roman" w:cs="Times New Roman"/>
          <w:sz w:val="24"/>
          <w:szCs w:val="24"/>
          <w:bdr w:val="nil"/>
          <w:vertAlign w:val="superscript"/>
        </w:rPr>
        <w:footnoteReference w:id="201"/>
      </w:r>
      <w:r w:rsidRP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Thus, the Settlement violates this regulatory principle and should not be approved.</w:t>
      </w:r>
    </w:p>
    <w:p w:rsidR="00785A4C" w:rsidRPr="00785A4C" w:rsidP="0013336E">
      <w:pPr>
        <w:pStyle w:val="Heading3"/>
        <w:rPr>
          <w:u w:val="single"/>
        </w:rPr>
      </w:pPr>
      <w:bookmarkStart w:id="23" w:name="_Toc499709922"/>
      <w:r>
        <w:t>7.</w:t>
      </w:r>
      <w:r>
        <w:tab/>
      </w:r>
      <w:r w:rsidRPr="00785A4C">
        <w:t>The Settlement should not be approved because the return on equity and the rate of return are overstated, which results in unjust and unreasonable charges to consumers.</w:t>
      </w:r>
      <w:bookmarkEnd w:id="23"/>
    </w:p>
    <w:p w:rsidR="0013336E" w:rsidP="008D0135">
      <w:pPr>
        <w:pBdr>
          <w:top w:val="nil"/>
          <w:left w:val="nil"/>
          <w:bottom w:val="nil"/>
          <w:right w:val="nil"/>
          <w:between w:val="nil"/>
          <w:bar w:val="nil"/>
        </w:pBdr>
        <w:spacing w:after="0" w:line="480" w:lineRule="auto"/>
        <w:ind w:firstLine="360"/>
        <w:contextualSpacing/>
        <w:rPr>
          <w:rFonts w:ascii="Times New Roman" w:eastAsia="Arial Unicode MS" w:hAnsi="Arial Unicode MS" w:cs="Arial Unicode MS"/>
          <w:b/>
          <w:color w:val="000000"/>
          <w:sz w:val="24"/>
          <w:szCs w:val="24"/>
          <w:u w:color="000000"/>
          <w:bdr w:val="nil"/>
        </w:rPr>
      </w:pPr>
      <w:r w:rsidRPr="00785A4C">
        <w:rPr>
          <w:rFonts w:ascii="Times New Roman" w:eastAsia="Arial Unicode MS" w:hAnsi="Times New Roman" w:cs="Times New Roman"/>
          <w:sz w:val="24"/>
          <w:szCs w:val="24"/>
          <w:bdr w:val="nil"/>
        </w:rPr>
        <w:t xml:space="preserve"> The Settlement should not be approved because the proposed return on equity (“ROE”) of 10</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the rate of return (“ROR”) of 8.02</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and a pre-tax weighted average cost of capital (“WACC”) of 10.82</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bCs/>
          <w:sz w:val="24"/>
          <w:szCs w:val="24"/>
          <w:bdr w:val="nil"/>
        </w:rPr>
        <w:t>violate regulatory principles and practices and do not benefit customers or the public interest for a variety of reasons. As OCC Witness Duann testifies, the proposed ROE, ROR, and WACC are excessive, unreasonable, and unjustified</w:t>
      </w:r>
      <w:r w:rsidRPr="00785A4C">
        <w:rPr>
          <w:rFonts w:ascii="Times New Roman" w:eastAsia="Arial Unicode MS" w:hAnsi="Times New Roman" w:cs="Times New Roman"/>
          <w:sz w:val="24"/>
          <w:szCs w:val="24"/>
          <w:bdr w:val="nil"/>
        </w:rPr>
        <w:t xml:space="preserve">.  </w:t>
      </w:r>
    </w:p>
    <w:p w:rsidR="00785A4C" w:rsidRPr="00785A4C" w:rsidP="003361F5">
      <w:pPr>
        <w:pStyle w:val="Heading4"/>
        <w:rPr>
          <w:rFonts w:eastAsia="Arial Unicode MS"/>
          <w:u w:color="000000"/>
          <w:bdr w:val="nil"/>
        </w:rPr>
      </w:pPr>
      <w:bookmarkStart w:id="24" w:name="_Toc499709923"/>
      <w:r>
        <w:rPr>
          <w:rFonts w:eastAsia="Arial Unicode MS"/>
          <w:u w:color="000000"/>
          <w:bdr w:val="nil"/>
        </w:rPr>
        <w:t>a.</w:t>
      </w:r>
      <w:r>
        <w:rPr>
          <w:rFonts w:eastAsia="Arial Unicode MS"/>
          <w:u w:color="000000"/>
          <w:bdr w:val="nil"/>
        </w:rPr>
        <w:tab/>
      </w:r>
      <w:r w:rsidRPr="00785A4C">
        <w:rPr>
          <w:rFonts w:eastAsia="Arial Unicode MS"/>
          <w:u w:color="000000"/>
          <w:bdr w:val="nil"/>
        </w:rPr>
        <w:t>The proposed ROE is too larg</w:t>
      </w:r>
      <w:r w:rsidR="00A25A49">
        <w:rPr>
          <w:rFonts w:eastAsia="Arial Unicode MS"/>
          <w:u w:color="000000"/>
          <w:bdr w:val="nil"/>
        </w:rPr>
        <w:t>e for customers to fund</w:t>
      </w:r>
      <w:r w:rsidRPr="00785A4C">
        <w:rPr>
          <w:rFonts w:eastAsia="Arial Unicode MS"/>
          <w:u w:color="000000"/>
          <w:bdr w:val="nil"/>
        </w:rPr>
        <w:t>.</w:t>
      </w:r>
      <w:bookmarkEnd w:id="24"/>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bCs/>
          <w:sz w:val="24"/>
          <w:szCs w:val="24"/>
          <w:bdr w:val="nil"/>
        </w:rPr>
        <w:tab/>
      </w:r>
      <w:r w:rsidRPr="00785A4C">
        <w:rPr>
          <w:rFonts w:ascii="Times New Roman" w:eastAsia="Arial Unicode MS" w:hAnsi="Times New Roman" w:cs="Times New Roman"/>
          <w:bCs/>
          <w:sz w:val="24"/>
          <w:szCs w:val="24"/>
          <w:bdr w:val="nil"/>
        </w:rPr>
        <w:t>B</w:t>
      </w:r>
      <w:r w:rsidRPr="00785A4C">
        <w:rPr>
          <w:rFonts w:ascii="Times New Roman" w:eastAsia="Arial Unicode MS" w:hAnsi="Times New Roman" w:cs="Times New Roman"/>
          <w:sz w:val="24"/>
          <w:szCs w:val="24"/>
          <w:bdr w:val="nil"/>
        </w:rPr>
        <w:t>ased on the ROEs authorized for electric distribution utilities in recent years in many jurisdictions, the financial and business risks of AEP and its parent company, and the current conditions of the financial markets and the U.S. economy, a reasonable ROE for AEP in this proceeding would be no higher than 9.30</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vertAlign w:val="superscript"/>
        </w:rPr>
        <w:footnoteReference w:id="202"/>
      </w:r>
      <w:r w:rsidRPr="00785A4C">
        <w:rPr>
          <w:rFonts w:ascii="Times New Roman" w:eastAsia="Arial Unicode MS" w:hAnsi="Times New Roman" w:cs="Times New Roman"/>
          <w:sz w:val="24"/>
          <w:szCs w:val="24"/>
          <w:bdr w:val="nil"/>
        </w:rPr>
        <w:t xml:space="preserve"> </w:t>
      </w:r>
    </w:p>
    <w:p w:rsidR="00785A4C" w:rsidRPr="00785A4C" w:rsidP="0013336E">
      <w:pPr>
        <w:pBdr>
          <w:top w:val="nil"/>
          <w:left w:val="nil"/>
          <w:bottom w:val="nil"/>
          <w:right w:val="nil"/>
          <w:between w:val="nil"/>
          <w:bar w:val="nil"/>
        </w:pBdr>
        <w:spacing w:after="120" w:line="480" w:lineRule="auto"/>
        <w:ind w:left="360"/>
        <w:contextualSpacing/>
        <w:rPr>
          <w:rFonts w:ascii="Times New Roman" w:eastAsia="Arial Unicode MS" w:hAnsi="Times New Roman" w:cs="Times New Roman"/>
          <w:bCs/>
          <w:sz w:val="24"/>
          <w:szCs w:val="24"/>
          <w:bdr w:val="nil"/>
        </w:rPr>
      </w:pPr>
      <w:r>
        <w:rPr>
          <w:rFonts w:ascii="Times New Roman" w:eastAsia="Arial Unicode MS" w:hAnsi="Times New Roman" w:cs="Times New Roman"/>
          <w:bCs/>
          <w:sz w:val="24"/>
          <w:szCs w:val="24"/>
          <w:bdr w:val="nil"/>
        </w:rPr>
        <w:tab/>
      </w:r>
      <w:r w:rsidRPr="00785A4C">
        <w:rPr>
          <w:rFonts w:ascii="Times New Roman" w:eastAsia="Arial Unicode MS" w:hAnsi="Times New Roman" w:cs="Times New Roman"/>
          <w:bCs/>
          <w:sz w:val="24"/>
          <w:szCs w:val="24"/>
          <w:bdr w:val="nil"/>
        </w:rPr>
        <w:t>The regulatory principles and practices that should be considered by the PUCO in setting a reasonable rate of return for a regulated utility are as follows:</w:t>
      </w:r>
      <w:r>
        <w:rPr>
          <w:rFonts w:ascii="Times New Roman" w:eastAsia="Arial Unicode MS" w:hAnsi="Times New Roman" w:cs="Times New Roman"/>
          <w:bCs/>
          <w:sz w:val="24"/>
          <w:szCs w:val="24"/>
          <w:bdr w:val="nil"/>
          <w:vertAlign w:val="superscript"/>
        </w:rPr>
        <w:footnoteReference w:id="203"/>
      </w:r>
    </w:p>
    <w:p w:rsidR="00785A4C" w:rsidRPr="00785A4C" w:rsidP="00785A4C">
      <w:pPr>
        <w:numPr>
          <w:ilvl w:val="0"/>
          <w:numId w:val="15"/>
        </w:numPr>
        <w:pBdr>
          <w:top w:val="nil"/>
          <w:left w:val="nil"/>
          <w:bottom w:val="nil"/>
          <w:right w:val="nil"/>
          <w:between w:val="nil"/>
          <w:bar w:val="nil"/>
        </w:pBdr>
        <w:spacing w:after="0" w:line="240" w:lineRule="auto"/>
        <w:ind w:left="1440" w:right="720" w:hanging="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resulting rates paid by the customers of the regulated utility should be just and reasonable;</w:t>
      </w:r>
    </w:p>
    <w:p w:rsidR="00785A4C" w:rsidRPr="00785A4C" w:rsidP="00785A4C">
      <w:pPr>
        <w:pBdr>
          <w:top w:val="nil"/>
          <w:left w:val="nil"/>
          <w:bottom w:val="nil"/>
          <w:right w:val="nil"/>
          <w:between w:val="nil"/>
          <w:bar w:val="nil"/>
        </w:pBdr>
        <w:spacing w:after="120" w:line="240" w:lineRule="auto"/>
        <w:ind w:left="1785"/>
        <w:contextualSpacing/>
        <w:rPr>
          <w:rFonts w:ascii="Times New Roman" w:eastAsia="Arial Unicode MS" w:hAnsi="Times New Roman" w:cs="Times New Roman"/>
          <w:sz w:val="24"/>
          <w:szCs w:val="24"/>
          <w:bdr w:val="nil"/>
        </w:rPr>
      </w:pPr>
    </w:p>
    <w:p w:rsidR="00785A4C" w:rsidRPr="00785A4C" w:rsidP="00785A4C">
      <w:pPr>
        <w:numPr>
          <w:ilvl w:val="0"/>
          <w:numId w:val="15"/>
        </w:numPr>
        <w:pBdr>
          <w:top w:val="nil"/>
          <w:left w:val="nil"/>
          <w:bottom w:val="nil"/>
          <w:right w:val="nil"/>
          <w:between w:val="nil"/>
          <w:bar w:val="nil"/>
        </w:pBdr>
        <w:spacing w:after="0" w:line="240" w:lineRule="auto"/>
        <w:ind w:left="1440" w:right="720" w:hanging="720"/>
        <w:contextualSpacing/>
        <w:rPr>
          <w:rFonts w:ascii="Times New Roman" w:eastAsia="Arial Unicode MS" w:hAnsi="Times New Roman" w:cs="Times New Roman"/>
          <w:bCs/>
          <w:sz w:val="24"/>
          <w:szCs w:val="24"/>
          <w:bdr w:val="nil"/>
        </w:rPr>
      </w:pPr>
      <w:r w:rsidRPr="00785A4C">
        <w:rPr>
          <w:rFonts w:ascii="Times New Roman" w:eastAsia="Arial Unicode MS" w:hAnsi="Times New Roman" w:cs="Times New Roman"/>
          <w:sz w:val="24"/>
          <w:szCs w:val="24"/>
          <w:bdr w:val="nil"/>
        </w:rPr>
        <w:t xml:space="preserve">The regulated utility should have funds available to continue its normal course of business; </w:t>
      </w:r>
    </w:p>
    <w:p w:rsidR="00785A4C" w:rsidRPr="00785A4C" w:rsidP="00785A4C">
      <w:pPr>
        <w:pBdr>
          <w:top w:val="nil"/>
          <w:left w:val="nil"/>
          <w:bottom w:val="nil"/>
          <w:right w:val="nil"/>
          <w:between w:val="nil"/>
          <w:bar w:val="nil"/>
        </w:pBdr>
        <w:spacing w:after="120" w:line="240" w:lineRule="auto"/>
        <w:ind w:left="1440" w:right="720" w:hanging="720"/>
        <w:contextualSpacing/>
        <w:rPr>
          <w:rFonts w:ascii="Times New Roman" w:eastAsia="Arial Unicode MS" w:hAnsi="Times New Roman" w:cs="Times New Roman"/>
          <w:bCs/>
          <w:sz w:val="24"/>
          <w:szCs w:val="24"/>
          <w:bdr w:val="nil"/>
        </w:rPr>
      </w:pPr>
    </w:p>
    <w:p w:rsidR="00785A4C" w:rsidRPr="00785A4C" w:rsidP="00785A4C">
      <w:pPr>
        <w:numPr>
          <w:ilvl w:val="0"/>
          <w:numId w:val="15"/>
        </w:numPr>
        <w:pBdr>
          <w:top w:val="nil"/>
          <w:left w:val="nil"/>
          <w:bottom w:val="nil"/>
          <w:right w:val="nil"/>
          <w:between w:val="nil"/>
          <w:bar w:val="nil"/>
        </w:pBdr>
        <w:spacing w:after="0" w:line="240" w:lineRule="auto"/>
        <w:ind w:left="1440" w:right="720" w:hanging="720"/>
        <w:contextualSpacing/>
        <w:rPr>
          <w:rFonts w:ascii="Times New Roman" w:eastAsia="Arial Unicode MS" w:hAnsi="Times New Roman" w:cs="Times New Roman"/>
          <w:bCs/>
          <w:sz w:val="24"/>
          <w:szCs w:val="24"/>
          <w:bdr w:val="nil"/>
        </w:rPr>
      </w:pPr>
      <w:r w:rsidRPr="00785A4C">
        <w:rPr>
          <w:rFonts w:ascii="Times New Roman" w:eastAsia="Arial Unicode MS" w:hAnsi="Times New Roman" w:cs="Times New Roman"/>
          <w:sz w:val="24"/>
          <w:szCs w:val="24"/>
          <w:bdr w:val="nil"/>
        </w:rPr>
        <w:t xml:space="preserve">The regulated utility should have access to capital (both equity and debt) at a reasonable cost in comparison to other businesses with comparable risks under current market conditions; and </w:t>
      </w:r>
    </w:p>
    <w:p w:rsidR="00785A4C" w:rsidRPr="00785A4C" w:rsidP="00785A4C">
      <w:pPr>
        <w:pBdr>
          <w:top w:val="nil"/>
          <w:left w:val="nil"/>
          <w:bottom w:val="nil"/>
          <w:right w:val="nil"/>
          <w:between w:val="nil"/>
          <w:bar w:val="nil"/>
        </w:pBdr>
        <w:spacing w:after="120" w:line="240" w:lineRule="auto"/>
        <w:ind w:left="1440" w:right="720" w:hanging="720"/>
        <w:contextualSpacing/>
        <w:rPr>
          <w:rFonts w:ascii="Times New Roman" w:eastAsia="Arial Unicode MS" w:hAnsi="Times New Roman" w:cs="Times New Roman"/>
          <w:bCs/>
          <w:sz w:val="24"/>
          <w:szCs w:val="24"/>
          <w:bdr w:val="nil"/>
        </w:rPr>
      </w:pPr>
    </w:p>
    <w:p w:rsidR="00785A4C" w:rsidRPr="00785A4C" w:rsidP="00785A4C">
      <w:pPr>
        <w:numPr>
          <w:ilvl w:val="0"/>
          <w:numId w:val="15"/>
        </w:numPr>
        <w:pBdr>
          <w:top w:val="nil"/>
          <w:left w:val="nil"/>
          <w:bottom w:val="nil"/>
          <w:right w:val="nil"/>
          <w:between w:val="nil"/>
          <w:bar w:val="nil"/>
        </w:pBdr>
        <w:spacing w:after="0" w:line="240" w:lineRule="auto"/>
        <w:ind w:left="1440" w:right="720" w:hanging="720"/>
        <w:contextualSpacing/>
        <w:rPr>
          <w:rFonts w:ascii="Times New Roman" w:eastAsia="Arial Unicode MS" w:hAnsi="Times New Roman" w:cs="Times New Roman"/>
          <w:bCs/>
          <w:sz w:val="24"/>
          <w:szCs w:val="24"/>
          <w:bdr w:val="nil"/>
        </w:rPr>
      </w:pPr>
      <w:r w:rsidRPr="00785A4C">
        <w:rPr>
          <w:rFonts w:ascii="Times New Roman" w:eastAsia="Arial Unicode MS" w:hAnsi="Times New Roman" w:cs="Times New Roman"/>
          <w:sz w:val="24"/>
          <w:szCs w:val="24"/>
          <w:bdr w:val="nil"/>
        </w:rPr>
        <w:t>The shareholders of the regulated utility should be provided the opportunity to earn a fair return on their invested capital in comparison to other investments available.</w:t>
      </w:r>
    </w:p>
    <w:p w:rsidR="0013336E" w:rsidP="0013336E">
      <w:pPr>
        <w:pBdr>
          <w:top w:val="nil"/>
          <w:left w:val="nil"/>
          <w:bottom w:val="nil"/>
          <w:right w:val="nil"/>
          <w:between w:val="nil"/>
          <w:bar w:val="nil"/>
        </w:pBdr>
        <w:spacing w:after="0" w:line="24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p>
    <w:p w:rsidR="004A6A58" w:rsidP="00D97AEF">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b/>
          <w:sz w:val="24"/>
          <w:szCs w:val="24"/>
          <w:bdr w:val="nil"/>
        </w:rPr>
      </w:pPr>
      <w:r>
        <w:rPr>
          <w:rFonts w:ascii="Times New Roman" w:eastAsia="Arial Unicode MS" w:hAnsi="Times New Roman" w:cs="Times New Roman"/>
          <w:sz w:val="24"/>
          <w:szCs w:val="24"/>
          <w:bdr w:val="nil"/>
        </w:rPr>
        <w:tab/>
      </w:r>
      <w:r w:rsidRPr="00785A4C" w:rsidR="00785A4C">
        <w:rPr>
          <w:rFonts w:ascii="Times New Roman" w:eastAsia="Arial Unicode MS" w:hAnsi="Times New Roman" w:cs="Times New Roman"/>
          <w:sz w:val="24"/>
          <w:szCs w:val="24"/>
          <w:bdr w:val="nil"/>
        </w:rPr>
        <w:t>The</w:t>
      </w:r>
      <w:r w:rsidRPr="00785A4C" w:rsidR="00785A4C">
        <w:rPr>
          <w:rFonts w:ascii="Times New Roman" w:eastAsia="Arial Unicode MS" w:hAnsi="Times New Roman" w:cs="Times New Roman"/>
          <w:bCs/>
          <w:sz w:val="24"/>
          <w:szCs w:val="24"/>
          <w:bdr w:val="nil"/>
        </w:rPr>
        <w:t xml:space="preserve"> average ROE authorized in other jurisdictions in recent years can and should be considered when evaluating a proposed ROE in other </w:t>
      </w:r>
      <w:r w:rsidR="001E466B">
        <w:rPr>
          <w:rFonts w:ascii="Times New Roman" w:eastAsia="Arial Unicode MS" w:hAnsi="Times New Roman" w:cs="Times New Roman"/>
          <w:bCs/>
          <w:sz w:val="24"/>
          <w:szCs w:val="24"/>
          <w:bdr w:val="nil"/>
        </w:rPr>
        <w:t xml:space="preserve">PUCO </w:t>
      </w:r>
      <w:r w:rsidRPr="00785A4C" w:rsidR="00785A4C">
        <w:rPr>
          <w:rFonts w:ascii="Times New Roman" w:eastAsia="Arial Unicode MS" w:hAnsi="Times New Roman" w:cs="Times New Roman"/>
          <w:bCs/>
          <w:sz w:val="24"/>
          <w:szCs w:val="24"/>
          <w:bdr w:val="nil"/>
        </w:rPr>
        <w:t>proceedings, including this one.</w:t>
      </w:r>
      <w:r w:rsidR="003361F5">
        <w:rPr>
          <w:rFonts w:ascii="Times New Roman" w:eastAsia="Arial Unicode MS" w:hAnsi="Times New Roman" w:cs="Times New Roman"/>
          <w:bCs/>
          <w:sz w:val="24"/>
          <w:szCs w:val="24"/>
          <w:bdr w:val="nil"/>
        </w:rPr>
        <w:t xml:space="preserve"> </w:t>
      </w:r>
      <w:r w:rsidRPr="00785A4C" w:rsidR="00785A4C">
        <w:rPr>
          <w:rFonts w:ascii="Times New Roman" w:eastAsia="Arial Unicode MS" w:hAnsi="Times New Roman" w:cs="Times New Roman"/>
          <w:bCs/>
          <w:sz w:val="24"/>
          <w:szCs w:val="24"/>
          <w:bdr w:val="nil"/>
        </w:rPr>
        <w:t xml:space="preserve"> As OCC Witness Duann explained,</w:t>
      </w:r>
      <w:r w:rsidRPr="00785A4C" w:rsidR="00785A4C">
        <w:rPr>
          <w:rFonts w:ascii="Times New Roman" w:eastAsia="Arial Unicode MS" w:hAnsi="Times New Roman" w:cs="Times New Roman"/>
          <w:sz w:val="24"/>
          <w:szCs w:val="24"/>
          <w:bdr w:val="nil"/>
        </w:rPr>
        <w:t xml:space="preserve"> “the average ROE authorized in recent years is a valid and useful “yardstick” in determining if a particular ROE is reasonable for AEP Ohio and for its consumers to pay, assuming it does not have any distinct and additional financial and business risks”</w:t>
      </w:r>
      <w:r>
        <w:rPr>
          <w:rFonts w:ascii="Times New Roman" w:eastAsia="Arial Unicode MS" w:hAnsi="Times New Roman" w:cs="Times New Roman"/>
          <w:sz w:val="24"/>
          <w:szCs w:val="24"/>
          <w:bdr w:val="nil"/>
          <w:vertAlign w:val="superscript"/>
        </w:rPr>
        <w:footnoteReference w:id="204"/>
      </w:r>
      <w:r w:rsidRPr="00785A4C" w:rsidR="00785A4C">
        <w:rPr>
          <w:rFonts w:ascii="Times New Roman" w:eastAsia="Arial Unicode MS" w:hAnsi="Times New Roman" w:cs="Times New Roman"/>
          <w:sz w:val="24"/>
          <w:szCs w:val="24"/>
          <w:bdr w:val="nil"/>
        </w:rPr>
        <w:t xml:space="preserve"> which AEP does not.</w:t>
      </w:r>
      <w:r>
        <w:rPr>
          <w:rFonts w:ascii="Times New Roman" w:eastAsia="Arial Unicode MS" w:hAnsi="Times New Roman" w:cs="Times New Roman"/>
          <w:sz w:val="24"/>
          <w:szCs w:val="24"/>
          <w:bdr w:val="nil"/>
          <w:vertAlign w:val="superscript"/>
        </w:rPr>
        <w:footnoteReference w:id="205"/>
      </w:r>
      <w:r w:rsidRPr="00785A4C" w:rsidR="00785A4C">
        <w:rPr>
          <w:rFonts w:ascii="Times New Roman" w:eastAsia="Arial Unicode MS" w:hAnsi="Times New Roman" w:cs="Times New Roman"/>
          <w:sz w:val="24"/>
          <w:szCs w:val="24"/>
          <w:bdr w:val="nil"/>
        </w:rPr>
        <w:t xml:space="preserve"> </w:t>
      </w:r>
      <w:r w:rsidR="003361F5">
        <w:rPr>
          <w:rFonts w:ascii="Times New Roman" w:eastAsia="Arial Unicode MS" w:hAnsi="Times New Roman" w:cs="Times New Roman"/>
          <w:sz w:val="24"/>
          <w:szCs w:val="24"/>
          <w:bdr w:val="nil"/>
        </w:rPr>
        <w:t xml:space="preserve"> </w:t>
      </w:r>
      <w:r w:rsidRPr="00785A4C" w:rsidR="00785A4C">
        <w:rPr>
          <w:rFonts w:ascii="Times New Roman" w:eastAsia="Arial Unicode MS" w:hAnsi="Times New Roman" w:cs="Times New Roman"/>
          <w:sz w:val="24"/>
          <w:szCs w:val="24"/>
          <w:bdr w:val="nil"/>
        </w:rPr>
        <w:t xml:space="preserve">When OCC Witness Duann compared the earned ROE between AEP and other major electric utilities in Ohio from 2012 to 2015, he found that AEP has earned a higher return on equity than most electric distribution utilities in Ohio during that period. </w:t>
      </w:r>
      <w:r w:rsidR="003361F5">
        <w:rPr>
          <w:rFonts w:ascii="Times New Roman" w:eastAsia="Arial Unicode MS" w:hAnsi="Times New Roman" w:cs="Times New Roman"/>
          <w:sz w:val="24"/>
          <w:szCs w:val="24"/>
          <w:bdr w:val="nil"/>
        </w:rPr>
        <w:t xml:space="preserve"> </w:t>
      </w:r>
      <w:r w:rsidRPr="00785A4C" w:rsidR="00785A4C">
        <w:rPr>
          <w:rFonts w:ascii="Times New Roman" w:eastAsia="Arial Unicode MS" w:hAnsi="Times New Roman" w:cs="Times New Roman"/>
          <w:sz w:val="24"/>
          <w:szCs w:val="24"/>
          <w:bdr w:val="nil"/>
        </w:rPr>
        <w:t>As the table below shows, AEP has consistently had the highest or second highest ROE of the major electric distribution utilities in Ohio from 2012 to 2015.</w:t>
      </w:r>
    </w:p>
    <w:p w:rsidR="00785A4C" w:rsidRPr="00785A4C" w:rsidP="00785A4C">
      <w:pPr>
        <w:pBdr>
          <w:top w:val="nil"/>
          <w:left w:val="nil"/>
          <w:bottom w:val="nil"/>
          <w:right w:val="nil"/>
          <w:between w:val="nil"/>
          <w:bar w:val="nil"/>
        </w:pBdr>
        <w:spacing w:after="0" w:line="480" w:lineRule="auto"/>
        <w:contextualSpacing/>
        <w:jc w:val="center"/>
        <w:rPr>
          <w:rFonts w:ascii="Times New Roman" w:eastAsia="Arial Unicode MS" w:hAnsi="Times New Roman" w:cs="Times New Roman"/>
          <w:b/>
          <w:sz w:val="24"/>
          <w:szCs w:val="24"/>
          <w:bdr w:val="nil"/>
        </w:rPr>
      </w:pPr>
      <w:r w:rsidRPr="00785A4C">
        <w:rPr>
          <w:rFonts w:ascii="Times New Roman" w:eastAsia="Arial Unicode MS" w:hAnsi="Times New Roman" w:cs="Times New Roman"/>
          <w:b/>
          <w:sz w:val="24"/>
          <w:szCs w:val="24"/>
          <w:bdr w:val="nil"/>
        </w:rPr>
        <w:t xml:space="preserve">Table </w:t>
      </w:r>
      <w:r w:rsidR="004D70F7">
        <w:rPr>
          <w:rFonts w:ascii="Times New Roman" w:eastAsia="Arial Unicode MS" w:hAnsi="Times New Roman" w:cs="Times New Roman"/>
          <w:b/>
          <w:sz w:val="24"/>
          <w:szCs w:val="24"/>
          <w:bdr w:val="nil"/>
        </w:rPr>
        <w:t>3</w:t>
      </w:r>
      <w:r w:rsidRPr="00785A4C">
        <w:rPr>
          <w:rFonts w:ascii="Times New Roman" w:eastAsia="Arial Unicode MS" w:hAnsi="Times New Roman" w:cs="Times New Roman"/>
          <w:b/>
          <w:sz w:val="24"/>
          <w:szCs w:val="24"/>
          <w:bdr w:val="nil"/>
        </w:rPr>
        <w:t xml:space="preserve">: Earned ROE of Major Ohio Electric </w:t>
      </w:r>
      <w:r w:rsidRPr="00785A4C" w:rsidR="00086485">
        <w:rPr>
          <w:rFonts w:ascii="Times New Roman" w:eastAsia="Arial Unicode MS" w:hAnsi="Times New Roman" w:cs="Times New Roman"/>
          <w:b/>
          <w:sz w:val="24"/>
          <w:szCs w:val="24"/>
          <w:bdr w:val="nil"/>
        </w:rPr>
        <w:t>Distribution</w:t>
      </w:r>
      <w:r w:rsidRPr="00785A4C">
        <w:rPr>
          <w:rFonts w:ascii="Times New Roman" w:eastAsia="Arial Unicode MS" w:hAnsi="Times New Roman" w:cs="Times New Roman"/>
          <w:b/>
          <w:sz w:val="24"/>
          <w:szCs w:val="24"/>
          <w:bdr w:val="nil"/>
        </w:rPr>
        <w:t xml:space="preserve"> Utilities</w:t>
      </w:r>
      <w:r>
        <w:rPr>
          <w:rFonts w:ascii="Times New Roman" w:eastAsia="Arial Unicode MS" w:hAnsi="Times New Roman" w:cs="Times New Roman"/>
          <w:b/>
          <w:sz w:val="24"/>
          <w:szCs w:val="24"/>
          <w:bdr w:val="nil"/>
          <w:vertAlign w:val="superscript"/>
        </w:rPr>
        <w:footnoteReference w:id="206"/>
      </w: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771"/>
        <w:gridCol w:w="1771"/>
        <w:gridCol w:w="1771"/>
        <w:gridCol w:w="1771"/>
        <w:gridCol w:w="1772"/>
      </w:tblGrid>
      <w:tr w:rsidTr="0072633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Year</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2015</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2014</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2013</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2012</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AEP Ohio</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11.73%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12.01%</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13.41%</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7.72%</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Duke Energy Ohio</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4.56%</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-9.90%</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2.16%</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3.38%</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CEI</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6.03%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3.31%</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7.27%</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3.56%</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Ohio Edison</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12.81%</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11.23%</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23.51%</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14.11%</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Toledo Edison</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5.70%</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5.39%</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9.55%</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4.30%</w:t>
            </w:r>
          </w:p>
        </w:tc>
      </w:tr>
      <w:tr w:rsidTr="00726330">
        <w:tblPrEx>
          <w:tblW w:w="0" w:type="auto"/>
          <w:tblInd w:w="0" w:type="dxa"/>
          <w:tblCellMar>
            <w:top w:w="0" w:type="dxa"/>
            <w:left w:w="108" w:type="dxa"/>
            <w:bottom w:w="0" w:type="dxa"/>
            <w:right w:w="108" w:type="dxa"/>
          </w:tblCellMar>
          <w:tblLook w:val="04A0"/>
        </w:tblPrEx>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Dayton Power &amp; Light</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9.11%</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9.87%</w:t>
            </w:r>
          </w:p>
        </w:tc>
        <w:tc>
          <w:tcPr>
            <w:tcW w:w="1915"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6.61%</w:t>
            </w:r>
          </w:p>
        </w:tc>
        <w:tc>
          <w:tcPr>
            <w:tcW w:w="1916"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6.79%</w:t>
            </w:r>
          </w:p>
        </w:tc>
      </w:tr>
    </w:tbl>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p>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Additionally, AEP has consistently earned the highest return on equity among the seven distribution subsidiaries of the AEP parent company in recent years.</w:t>
      </w:r>
      <w:r>
        <w:rPr>
          <w:rFonts w:ascii="Times New Roman" w:eastAsia="Arial Unicode MS" w:hAnsi="Times New Roman" w:cs="Times New Roman"/>
          <w:sz w:val="24"/>
          <w:szCs w:val="24"/>
          <w:bdr w:val="nil"/>
          <w:vertAlign w:val="superscript"/>
        </w:rPr>
        <w:footnoteReference w:id="207"/>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Specifically, in 2016, AEP’s earned ROE of 13.9</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was significantly higher than the average earned ROE of 10.1</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for the parent’s seven distribution subsidiaries.</w:t>
      </w:r>
      <w:r>
        <w:rPr>
          <w:rFonts w:ascii="Times New Roman" w:eastAsia="Arial Unicode MS" w:hAnsi="Times New Roman" w:cs="Times New Roman"/>
          <w:sz w:val="24"/>
          <w:szCs w:val="24"/>
          <w:bdr w:val="nil"/>
          <w:vertAlign w:val="superscript"/>
        </w:rPr>
        <w:footnoteReference w:id="208"/>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13.9 percent ROE was even higher than the 12.1</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earned ROE of AEP Transmission.</w:t>
      </w:r>
      <w:r>
        <w:rPr>
          <w:rFonts w:ascii="Times New Roman" w:eastAsia="Arial Unicode MS" w:hAnsi="Times New Roman" w:cs="Times New Roman"/>
          <w:sz w:val="24"/>
          <w:szCs w:val="24"/>
          <w:bdr w:val="nil"/>
          <w:vertAlign w:val="superscript"/>
        </w:rPr>
        <w:footnoteReference w:id="209"/>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An electric transmission utility is typically authorized a higher ROE and has typically earned a higher ROE then an electric distribution utility.</w:t>
      </w:r>
      <w:r>
        <w:rPr>
          <w:rFonts w:ascii="Times New Roman" w:eastAsia="Arial Unicode MS" w:hAnsi="Times New Roman" w:cs="Times New Roman"/>
          <w:sz w:val="24"/>
          <w:szCs w:val="24"/>
          <w:bdr w:val="nil"/>
          <w:vertAlign w:val="superscript"/>
        </w:rPr>
        <w:footnoteReference w:id="210"/>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These consistently high earned ROEs by AEP are another indication that it is a financially strong and stable electric utility.</w:t>
      </w:r>
      <w:r>
        <w:rPr>
          <w:rFonts w:ascii="Times New Roman" w:eastAsia="Arial Unicode MS" w:hAnsi="Times New Roman" w:cs="Times New Roman"/>
          <w:sz w:val="24"/>
          <w:szCs w:val="24"/>
          <w:bdr w:val="nil"/>
          <w:vertAlign w:val="superscript"/>
        </w:rPr>
        <w:footnoteReference w:id="211"/>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It will be counter to sound regulatory policy if the PUCO requires customers to fund AEP with a significantly higher ROE than the average ROE authorized for electric distribution utilities in recent years.</w:t>
      </w:r>
      <w:r>
        <w:rPr>
          <w:rFonts w:ascii="Times New Roman" w:eastAsia="Arial Unicode MS" w:hAnsi="Times New Roman" w:cs="Times New Roman"/>
          <w:sz w:val="24"/>
          <w:szCs w:val="24"/>
          <w:bdr w:val="nil"/>
          <w:vertAlign w:val="superscript"/>
        </w:rPr>
        <w:footnoteReference w:id="212"/>
      </w:r>
    </w:p>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b/>
        <w:t>Further, the proposed 10</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ROE is not just and reasonable because it is higher than the quarterly and yearly average ROEs authorized for electric utilities nationwide. Among the 42 cases (including both vertically integrated electric utilities and delivery-only electric utilities) decided in 2016, the average ROE authorized was 9.77</w:t>
      </w:r>
      <w:r w:rsidR="001E466B">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average ROE for the 12 delivery-only electric utilities similar to AEP was 9.31</w:t>
      </w:r>
      <w:r w:rsidR="00E66D92">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for the whole year of 2016. “AEP Ohio or AEP does not have any additional financial or business risk in comparison to the electric utilities as a group.”</w:t>
      </w:r>
      <w:r>
        <w:rPr>
          <w:rFonts w:ascii="Times New Roman" w:eastAsia="Arial Unicode MS" w:hAnsi="Times New Roman" w:cs="Times New Roman"/>
          <w:sz w:val="24"/>
          <w:szCs w:val="24"/>
          <w:bdr w:val="nil"/>
          <w:vertAlign w:val="superscript"/>
        </w:rPr>
        <w:footnoteReference w:id="213"/>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Thus, the proposed ROE would result in unjust and unreasonable charges to consumers, which means it would not be beneficial to customers.</w:t>
      </w:r>
    </w:p>
    <w:p w:rsidR="0013336E" w:rsidP="004A6A58">
      <w:pPr>
        <w:pBdr>
          <w:top w:val="nil"/>
          <w:left w:val="nil"/>
          <w:bottom w:val="nil"/>
          <w:right w:val="nil"/>
          <w:between w:val="nil"/>
          <w:bar w:val="nil"/>
        </w:pBdr>
        <w:spacing w:after="0" w:line="480" w:lineRule="auto"/>
        <w:ind w:firstLine="720"/>
        <w:contextualSpacing/>
        <w:rPr>
          <w:rFonts w:ascii="Times New Roman" w:eastAsia="Arial Unicode MS" w:hAnsi="Times New Roman" w:cs="Times New Roman"/>
          <w:b/>
          <w:sz w:val="24"/>
          <w:szCs w:val="24"/>
          <w:bdr w:val="nil"/>
        </w:rPr>
      </w:pPr>
      <w:r w:rsidRPr="00785A4C">
        <w:rPr>
          <w:rFonts w:ascii="Times New Roman" w:eastAsia="Arial Unicode MS" w:hAnsi="Times New Roman" w:cs="Times New Roman"/>
          <w:sz w:val="24"/>
          <w:szCs w:val="24"/>
          <w:bdr w:val="nil"/>
        </w:rPr>
        <w:t>When AEP’s ROE request is compared to other pending electric utility rate cases, it is apparent that AEP’s request is not just and reasonable.</w:t>
      </w:r>
    </w:p>
    <w:p w:rsidR="00785A4C" w:rsidRPr="00785A4C" w:rsidP="00785A4C">
      <w:pPr>
        <w:pBdr>
          <w:top w:val="nil"/>
          <w:left w:val="nil"/>
          <w:bottom w:val="nil"/>
          <w:right w:val="nil"/>
          <w:between w:val="nil"/>
          <w:bar w:val="nil"/>
        </w:pBdr>
        <w:spacing w:after="0" w:line="480" w:lineRule="auto"/>
        <w:contextualSpacing/>
        <w:jc w:val="center"/>
        <w:rPr>
          <w:rFonts w:ascii="Times New Roman" w:eastAsia="Arial Unicode MS" w:hAnsi="Times New Roman" w:cs="Times New Roman"/>
          <w:b/>
          <w:sz w:val="24"/>
          <w:szCs w:val="24"/>
          <w:bdr w:val="nil"/>
        </w:rPr>
      </w:pPr>
      <w:r w:rsidRPr="00785A4C">
        <w:rPr>
          <w:rFonts w:ascii="Times New Roman" w:eastAsia="Arial Unicode MS" w:hAnsi="Times New Roman" w:cs="Times New Roman"/>
          <w:b/>
          <w:sz w:val="24"/>
          <w:szCs w:val="24"/>
          <w:bdr w:val="nil"/>
        </w:rPr>
        <w:t xml:space="preserve">Table </w:t>
      </w:r>
      <w:r w:rsidR="004D70F7">
        <w:rPr>
          <w:rFonts w:ascii="Times New Roman" w:eastAsia="Arial Unicode MS" w:hAnsi="Times New Roman" w:cs="Times New Roman"/>
          <w:b/>
          <w:sz w:val="24"/>
          <w:szCs w:val="24"/>
          <w:bdr w:val="nil"/>
        </w:rPr>
        <w:t>4</w:t>
      </w:r>
      <w:r w:rsidRPr="00785A4C">
        <w:rPr>
          <w:rFonts w:ascii="Times New Roman" w:eastAsia="Arial Unicode MS" w:hAnsi="Times New Roman" w:cs="Times New Roman"/>
          <w:b/>
          <w:sz w:val="24"/>
          <w:szCs w:val="24"/>
          <w:bdr w:val="nil"/>
        </w:rPr>
        <w:t>: ROE’s of Select Pending Electric Utility Rate Cases</w:t>
      </w:r>
      <w:r>
        <w:rPr>
          <w:rFonts w:ascii="Times New Roman" w:eastAsia="Arial Unicode MS" w:hAnsi="Times New Roman" w:cs="Times New Roman"/>
          <w:b/>
          <w:sz w:val="24"/>
          <w:szCs w:val="24"/>
          <w:bdr w:val="nil"/>
          <w:vertAlign w:val="superscript"/>
        </w:rPr>
        <w:footnoteReference w:id="214"/>
      </w: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918"/>
        <w:gridCol w:w="2969"/>
        <w:gridCol w:w="2969"/>
      </w:tblGrid>
      <w:tr w:rsidTr="0072633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Utility/Case</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ROE</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ROR</w:t>
            </w:r>
          </w:p>
        </w:tc>
      </w:tr>
      <w:tr w:rsidTr="00726330">
        <w:tblPrEx>
          <w:tblW w:w="0" w:type="auto"/>
          <w:tblInd w:w="0" w:type="dxa"/>
          <w:tblCellMar>
            <w:top w:w="0" w:type="dxa"/>
            <w:left w:w="108" w:type="dxa"/>
            <w:bottom w:w="0" w:type="dxa"/>
            <w:right w:w="108" w:type="dxa"/>
          </w:tblCellMar>
          <w:tblLook w:val="04A0"/>
        </w:tblPrEx>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AEP Ohio:</w:t>
            </w:r>
          </w:p>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16-1852-EL-SSO</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10.0% (Settlement proposal)</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8.02% (Settlement proposal)</w:t>
            </w:r>
          </w:p>
        </w:tc>
      </w:tr>
      <w:tr w:rsidTr="00726330">
        <w:tblPrEx>
          <w:tblW w:w="0" w:type="auto"/>
          <w:tblInd w:w="0" w:type="dxa"/>
          <w:tblCellMar>
            <w:top w:w="0" w:type="dxa"/>
            <w:left w:w="108" w:type="dxa"/>
            <w:bottom w:w="0" w:type="dxa"/>
            <w:right w:w="108" w:type="dxa"/>
          </w:tblCellMar>
          <w:tblLook w:val="04A0"/>
        </w:tblPrEx>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Duke Energy Ohio:</w:t>
            </w:r>
          </w:p>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17-0032-EL-AIR</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9.73% (Staff recommended midpoint)</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7.47% (Staff recommended midpoint)</w:t>
            </w:r>
          </w:p>
        </w:tc>
      </w:tr>
      <w:tr w:rsidTr="00726330">
        <w:tblPrEx>
          <w:tblW w:w="0" w:type="auto"/>
          <w:tblInd w:w="0" w:type="dxa"/>
          <w:tblCellMar>
            <w:top w:w="0" w:type="dxa"/>
            <w:left w:w="108" w:type="dxa"/>
            <w:bottom w:w="0" w:type="dxa"/>
            <w:right w:w="108" w:type="dxa"/>
          </w:tblCellMar>
          <w:tblLook w:val="04A0"/>
        </w:tblPrEx>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Southwestern Elec. Power Co.:</w:t>
            </w:r>
          </w:p>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Texas PUC Docket No. 46449</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9.3% (Staff recommendation)</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7.03% (Staff recommendation)</w:t>
            </w:r>
          </w:p>
        </w:tc>
      </w:tr>
      <w:tr w:rsidTr="00726330">
        <w:tblPrEx>
          <w:tblW w:w="0" w:type="auto"/>
          <w:tblInd w:w="0" w:type="dxa"/>
          <w:tblCellMar>
            <w:top w:w="0" w:type="dxa"/>
            <w:left w:w="108" w:type="dxa"/>
            <w:bottom w:w="0" w:type="dxa"/>
            <w:right w:w="108" w:type="dxa"/>
          </w:tblCellMar>
          <w:tblLook w:val="04A0"/>
        </w:tblPrEx>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Public Service Co. of Oklahoma:</w:t>
            </w:r>
          </w:p>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b/>
                <w:sz w:val="24"/>
                <w:szCs w:val="24"/>
                <w:bdr w:val="nil"/>
                <w:lang w:val="en-US" w:eastAsia="en-US" w:bidi="ar-SA"/>
              </w:rPr>
            </w:pPr>
            <w:r w:rsidRPr="00785A4C">
              <w:rPr>
                <w:rFonts w:ascii="Times New Roman" w:eastAsia="Helvetica" w:hAnsi="Times New Roman" w:cs="Times New Roman"/>
                <w:b/>
                <w:sz w:val="24"/>
                <w:szCs w:val="24"/>
                <w:bdr w:val="nil"/>
                <w:lang w:val="en-US" w:eastAsia="en-US" w:bidi="ar-SA"/>
              </w:rPr>
              <w:t>Oklahoma Corp. Comm. Cause No. PUD 201700151</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8.90% (Staff recommendation)</w:t>
            </w:r>
          </w:p>
        </w:tc>
        <w:tc>
          <w:tcPr>
            <w:tcW w:w="3192" w:type="dxa"/>
            <w:vAlign w:val="center"/>
          </w:tcPr>
          <w:p w:rsidR="00785A4C" w:rsidRPr="00785A4C" w:rsidP="00785A4C">
            <w:pPr>
              <w:pBdr>
                <w:top w:val="nil"/>
                <w:left w:val="nil"/>
                <w:bottom w:val="nil"/>
                <w:right w:val="nil"/>
                <w:between w:val="nil"/>
                <w:bar w:val="nil"/>
              </w:pBdr>
              <w:spacing w:after="0" w:line="240" w:lineRule="auto"/>
              <w:contextualSpacing/>
              <w:jc w:val="center"/>
              <w:rPr>
                <w:rStyle w:val="DefaultParagraphFont"/>
                <w:rFonts w:ascii="Times New Roman" w:eastAsia="Arial Unicode MS" w:hAnsi="Times New Roman" w:cs="Times New Roman"/>
                <w:sz w:val="24"/>
                <w:szCs w:val="24"/>
                <w:bdr w:val="nil"/>
                <w:lang w:val="en-US" w:eastAsia="en-US" w:bidi="ar-SA"/>
              </w:rPr>
            </w:pPr>
            <w:r w:rsidRPr="00785A4C">
              <w:rPr>
                <w:rFonts w:ascii="Times New Roman" w:eastAsia="Helvetica" w:hAnsi="Times New Roman" w:cs="Times New Roman"/>
                <w:sz w:val="24"/>
                <w:szCs w:val="24"/>
                <w:bdr w:val="nil"/>
                <w:lang w:val="en-US" w:eastAsia="en-US" w:bidi="ar-SA"/>
              </w:rPr>
              <w:t>6.69% (Staff recommendation)</w:t>
            </w:r>
          </w:p>
        </w:tc>
      </w:tr>
    </w:tbl>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p>
    <w:p w:rsidR="00785A4C" w:rsidRPr="00785A4C" w:rsidP="00785A4C">
      <w:pPr>
        <w:pBdr>
          <w:top w:val="nil"/>
          <w:left w:val="nil"/>
          <w:bottom w:val="nil"/>
          <w:right w:val="nil"/>
          <w:between w:val="nil"/>
          <w:bar w:val="nil"/>
        </w:pBdr>
        <w:spacing w:after="0" w:line="480" w:lineRule="auto"/>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Notably, the Southwestern Electric Power Co. and Public Service Co. of Oklahoma pending rate cases both have added significance because both are subsidiaries of AEP’s parent and share similar financial (credit) risk of the same parent company.</w:t>
      </w:r>
      <w:r>
        <w:rPr>
          <w:rFonts w:ascii="Times New Roman" w:eastAsia="Arial Unicode MS" w:hAnsi="Times New Roman" w:cs="Times New Roman"/>
          <w:sz w:val="24"/>
          <w:szCs w:val="24"/>
          <w:bdr w:val="nil"/>
          <w:vertAlign w:val="superscript"/>
        </w:rPr>
        <w:footnoteReference w:id="215"/>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“These three examples all indicated that a reasonable ROE for an electric distribution utility with somewhat similar business and financial risks to AEP Ohio is nowhere close to the </w:t>
      </w:r>
      <w:r w:rsidR="00135BA6">
        <w:rPr>
          <w:rFonts w:ascii="Times New Roman" w:eastAsia="Arial Unicode MS" w:hAnsi="Times New Roman" w:cs="Times New Roman"/>
          <w:sz w:val="24"/>
          <w:szCs w:val="24"/>
          <w:bdr w:val="nil"/>
        </w:rPr>
        <w:t>10%</w:t>
      </w:r>
      <w:r w:rsidRPr="00785A4C">
        <w:rPr>
          <w:rFonts w:ascii="Times New Roman" w:eastAsia="Arial Unicode MS" w:hAnsi="Times New Roman" w:cs="Times New Roman"/>
          <w:sz w:val="24"/>
          <w:szCs w:val="24"/>
          <w:bdr w:val="nil"/>
        </w:rPr>
        <w:t xml:space="preserve"> proposed for AEP Ohio in the Settlement.”</w:t>
      </w:r>
      <w:r>
        <w:rPr>
          <w:rFonts w:ascii="Times New Roman" w:eastAsia="Arial Unicode MS" w:hAnsi="Times New Roman" w:cs="Times New Roman"/>
          <w:sz w:val="24"/>
          <w:szCs w:val="24"/>
          <w:bdr w:val="nil"/>
          <w:vertAlign w:val="superscript"/>
        </w:rPr>
        <w:footnoteReference w:id="216"/>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More reason that AEP’s proposed ROE should not be approved is that Moody’s credit rating service upgraded AEP’s credit rating by two-notches (from Baa1 to A2) in June 2017.</w:t>
      </w:r>
      <w:r>
        <w:rPr>
          <w:rFonts w:ascii="Times New Roman" w:eastAsia="Arial Unicode MS" w:hAnsi="Times New Roman" w:cs="Times New Roman"/>
          <w:sz w:val="24"/>
          <w:szCs w:val="24"/>
          <w:bdr w:val="nil"/>
          <w:vertAlign w:val="superscript"/>
        </w:rPr>
        <w:footnoteReference w:id="217"/>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Moody’s noted that AEP is a financially strong utility that is in a supportive environment in Ohio.</w:t>
      </w:r>
      <w:r>
        <w:rPr>
          <w:rFonts w:ascii="Times New Roman" w:eastAsia="Arial Unicode MS" w:hAnsi="Times New Roman" w:cs="Times New Roman"/>
          <w:sz w:val="24"/>
          <w:szCs w:val="24"/>
          <w:bdr w:val="nil"/>
          <w:vertAlign w:val="superscript"/>
        </w:rPr>
        <w:footnoteReference w:id="218"/>
      </w:r>
      <w:r w:rsidRPr="00785A4C">
        <w:rPr>
          <w:rFonts w:ascii="Times New Roman" w:eastAsia="Arial Unicode MS" w:hAnsi="Times New Roman" w:cs="Times New Roman"/>
          <w:sz w:val="24"/>
          <w:szCs w:val="24"/>
          <w:bdr w:val="nil"/>
        </w:rPr>
        <w:t xml:space="preserve"> Thus,</w:t>
      </w:r>
      <w:r>
        <w:rPr>
          <w:rFonts w:ascii="Times New Roman" w:eastAsia="Arial Unicode MS" w:hAnsi="Times New Roman" w:cs="Times New Roman"/>
          <w:sz w:val="24"/>
          <w:szCs w:val="24"/>
          <w:bdr w:val="nil"/>
        </w:rPr>
        <w:t xml:space="preserve"> as OCC Witness Duann explained:</w:t>
      </w:r>
      <w:r w:rsidRPr="00785A4C">
        <w:rPr>
          <w:rFonts w:ascii="Times New Roman" w:eastAsia="Arial Unicode MS" w:hAnsi="Times New Roman" w:cs="Times New Roman"/>
          <w:sz w:val="24"/>
          <w:szCs w:val="24"/>
          <w:bdr w:val="nil"/>
        </w:rPr>
        <w:t xml:space="preserve"> </w:t>
      </w:r>
    </w:p>
    <w:p w:rsidR="00785A4C" w:rsidRPr="00785A4C" w:rsidP="008D0135">
      <w:pPr>
        <w:pBdr>
          <w:top w:val="nil"/>
          <w:left w:val="nil"/>
          <w:bottom w:val="nil"/>
          <w:right w:val="nil"/>
          <w:between w:val="nil"/>
          <w:bar w:val="nil"/>
        </w:pBdr>
        <w:spacing w:after="0" w:line="240" w:lineRule="auto"/>
        <w:ind w:left="1440" w:right="720"/>
        <w:contextualSpacing/>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in the eyes of the rating agency, the financial and business risk profile of AEP Ohio has improved from recent past and is expected to continue improving in the future. AEP Ohio has been and would remain less risky than an average electric distribution utility. There is simply no valid reason for the PUCO to authorize a significantly higher ROE (such as the ten percent proposed in the Settlement) than the average authorized ROEs in recent years (such as the 9.31 percent in 2016) to a less risky electric utility such as AEP Ohio.</w:t>
      </w:r>
      <w:r>
        <w:rPr>
          <w:rFonts w:ascii="Times New Roman" w:eastAsia="Arial Unicode MS" w:hAnsi="Times New Roman" w:cs="Times New Roman"/>
          <w:sz w:val="24"/>
          <w:szCs w:val="24"/>
          <w:bdr w:val="nil"/>
          <w:vertAlign w:val="superscript"/>
        </w:rPr>
        <w:footnoteReference w:id="219"/>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240" w:lineRule="auto"/>
        <w:ind w:left="720" w:right="720" w:firstLine="360"/>
        <w:contextualSpacing/>
        <w:rPr>
          <w:rFonts w:ascii="Times New Roman" w:eastAsia="Arial Unicode MS" w:hAnsi="Times New Roman" w:cs="Times New Roman"/>
          <w:sz w:val="24"/>
          <w:szCs w:val="24"/>
          <w:bdr w:val="nil"/>
        </w:rPr>
      </w:pP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Adopting the 10</w:t>
      </w:r>
      <w:r w:rsidR="00135BA6">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ROE that AEP Ohio proposes in the Settlement will result in unjust and unreasonable rates for consumers and will also reward AEP’s sole shareholder a return on its capital investments that far exceeds the returns the shareholder can earn from alternative investments.</w:t>
      </w:r>
      <w:r>
        <w:rPr>
          <w:rFonts w:ascii="Times New Roman" w:eastAsia="Arial Unicode MS" w:hAnsi="Times New Roman" w:cs="Times New Roman"/>
          <w:sz w:val="24"/>
          <w:szCs w:val="24"/>
          <w:bdr w:val="nil"/>
          <w:vertAlign w:val="superscript"/>
        </w:rPr>
        <w:footnoteReference w:id="220"/>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This would be a violation of the first and fourth regulatory principles that were outlined above.</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Adopting an unjust and unreasonable ROE will not advance or promote state policies on electric services.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First, adopting an overstated ROE will result in overstated </w:t>
      </w:r>
      <w:r w:rsidR="00135BA6">
        <w:rPr>
          <w:rFonts w:ascii="Times New Roman" w:eastAsia="Arial Unicode MS" w:hAnsi="Times New Roman" w:cs="Times New Roman"/>
          <w:sz w:val="24"/>
          <w:szCs w:val="24"/>
          <w:bdr w:val="nil"/>
        </w:rPr>
        <w:t>charges</w:t>
      </w:r>
      <w:r w:rsidRPr="00785A4C" w:rsidR="00135BA6">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that will not advance or promote state electric policy of ensuring the availability to consumers of adequate, reliable, safe, efficient, nondiscriminatory, and reasonably priced retail electric service.</w:t>
      </w:r>
      <w:r>
        <w:rPr>
          <w:rFonts w:ascii="Times New Roman" w:eastAsia="Arial Unicode MS" w:hAnsi="Times New Roman" w:cs="Times New Roman"/>
          <w:sz w:val="24"/>
          <w:szCs w:val="24"/>
          <w:bdr w:val="nil"/>
          <w:vertAlign w:val="superscript"/>
        </w:rPr>
        <w:footnoteReference w:id="221"/>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Second, higher utility rates would not advance or promote the state policy of protecting at-risk population in the provision of electric services.</w:t>
      </w:r>
      <w:r>
        <w:rPr>
          <w:rFonts w:ascii="Times New Roman" w:eastAsia="Arial Unicode MS" w:hAnsi="Times New Roman" w:cs="Times New Roman"/>
          <w:sz w:val="24"/>
          <w:szCs w:val="24"/>
          <w:bdr w:val="nil"/>
          <w:vertAlign w:val="superscript"/>
        </w:rPr>
        <w:footnoteReference w:id="222"/>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Third, higher utility rates will reduce the purchasing power of residential customers and increase the cost of doing business for the commercial and industrial customers and make them less competitive.</w:t>
      </w:r>
      <w:r>
        <w:rPr>
          <w:rFonts w:ascii="Times New Roman" w:eastAsia="Arial Unicode MS" w:hAnsi="Times New Roman" w:cs="Times New Roman"/>
          <w:sz w:val="24"/>
          <w:szCs w:val="24"/>
          <w:bdr w:val="nil"/>
          <w:vertAlign w:val="superscript"/>
        </w:rPr>
        <w:footnoteReference w:id="223"/>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This will not advance or promote the state policy of facilitating the state’s effectiveness in the global economy.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Therefore, the Settlement violates important regulatory principles and practices.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Settlement should not be approved.</w:t>
      </w:r>
    </w:p>
    <w:p w:rsidR="00785A4C" w:rsidRPr="00785A4C" w:rsidP="003361F5">
      <w:pPr>
        <w:pStyle w:val="Heading4"/>
        <w:rPr>
          <w:u w:color="000000"/>
          <w:bdr w:val="nil"/>
        </w:rPr>
      </w:pPr>
      <w:bookmarkStart w:id="25" w:name="_Toc499709924"/>
      <w:r>
        <w:rPr>
          <w:u w:color="000000"/>
          <w:bdr w:val="nil"/>
        </w:rPr>
        <w:t>b.</w:t>
      </w:r>
      <w:r>
        <w:rPr>
          <w:u w:color="000000"/>
          <w:bdr w:val="nil"/>
        </w:rPr>
        <w:tab/>
      </w:r>
      <w:r w:rsidRPr="00785A4C">
        <w:rPr>
          <w:u w:color="000000"/>
          <w:bdr w:val="nil"/>
        </w:rPr>
        <w:t xml:space="preserve">The proposed WACC is </w:t>
      </w:r>
      <w:r w:rsidR="00A25A49">
        <w:rPr>
          <w:u w:color="000000"/>
          <w:bdr w:val="nil"/>
        </w:rPr>
        <w:t>overstated and should not be funded by customers</w:t>
      </w:r>
      <w:bookmarkEnd w:id="25"/>
      <w:r w:rsidR="00A25A49">
        <w:rPr>
          <w:u w:color="000000"/>
          <w:bdr w:val="nil"/>
        </w:rPr>
        <w:t xml:space="preserve"> </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In the Settlement, AEP proposes a pre-tax </w:t>
      </w:r>
      <w:r w:rsidR="00135BA6">
        <w:rPr>
          <w:rFonts w:ascii="Times New Roman" w:eastAsia="Arial Unicode MS" w:hAnsi="Times New Roman" w:cs="Times New Roman"/>
          <w:sz w:val="24"/>
          <w:szCs w:val="24"/>
          <w:bdr w:val="nil"/>
        </w:rPr>
        <w:t>weighted average cost of capital (“</w:t>
      </w:r>
      <w:r w:rsidRPr="00785A4C">
        <w:rPr>
          <w:rFonts w:ascii="Times New Roman" w:eastAsia="Arial Unicode MS" w:hAnsi="Times New Roman" w:cs="Times New Roman"/>
          <w:sz w:val="24"/>
          <w:szCs w:val="24"/>
          <w:bdr w:val="nil"/>
        </w:rPr>
        <w:t>WACC</w:t>
      </w:r>
      <w:r w:rsidR="00135BA6">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of 10.82</w:t>
      </w:r>
      <w:r w:rsidR="00135BA6">
        <w:rPr>
          <w:rFonts w:ascii="Times New Roman" w:eastAsia="Arial Unicode MS" w:hAnsi="Times New Roman" w:cs="Times New Roman"/>
          <w:sz w:val="24"/>
          <w:szCs w:val="24"/>
          <w:bdr w:val="nil"/>
        </w:rPr>
        <w:t>%</w:t>
      </w:r>
      <w:r w:rsidRPr="00785A4C">
        <w:rPr>
          <w:rFonts w:ascii="Times New Roman" w:eastAsia="Arial Unicode MS" w:hAnsi="Times New Roman" w:cs="Times New Roman"/>
          <w:sz w:val="24"/>
          <w:szCs w:val="24"/>
          <w:bdr w:val="nil"/>
        </w:rPr>
        <w:t xml:space="preserve"> that it will update if it refinances future debt.</w:t>
      </w:r>
      <w:r>
        <w:rPr>
          <w:rFonts w:ascii="Times New Roman" w:eastAsia="Arial Unicode MS" w:hAnsi="Times New Roman" w:cs="Times New Roman"/>
          <w:sz w:val="24"/>
          <w:szCs w:val="24"/>
          <w:bdr w:val="nil"/>
          <w:vertAlign w:val="superscript"/>
        </w:rPr>
        <w:footnoteReference w:id="224"/>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This proposal does not provide a benefit to consumers and should not be used to justify the overstated ROE.</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First and foremost, the Settlement does not actually obligate AEP to refinance the debt.</w:t>
      </w:r>
      <w:r>
        <w:rPr>
          <w:rFonts w:ascii="Times New Roman" w:eastAsia="Arial Unicode MS" w:hAnsi="Times New Roman" w:cs="Times New Roman"/>
          <w:sz w:val="24"/>
          <w:szCs w:val="24"/>
          <w:bdr w:val="nil"/>
          <w:vertAlign w:val="superscript"/>
        </w:rPr>
        <w:footnoteReference w:id="225"/>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It merely states that AEP is currently anticipating refinancing its long-term debt.</w:t>
      </w:r>
      <w:r>
        <w:rPr>
          <w:rFonts w:ascii="Times New Roman" w:eastAsia="Arial Unicode MS" w:hAnsi="Times New Roman" w:cs="Times New Roman"/>
          <w:sz w:val="24"/>
          <w:szCs w:val="24"/>
          <w:bdr w:val="nil"/>
          <w:vertAlign w:val="superscript"/>
        </w:rPr>
        <w:footnoteReference w:id="226"/>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Second, even if the long-term debt was refinanced, “there is practically no chance that the WACC will be lower due to possible debt refinancing by AEP Ohio in 2018”</w:t>
      </w:r>
      <w:r>
        <w:rPr>
          <w:rFonts w:ascii="Times New Roman" w:eastAsia="Arial Unicode MS" w:hAnsi="Times New Roman" w:cs="Times New Roman"/>
          <w:sz w:val="24"/>
          <w:szCs w:val="24"/>
          <w:bdr w:val="nil"/>
          <w:vertAlign w:val="superscript"/>
        </w:rPr>
        <w:footnoteReference w:id="227"/>
      </w:r>
      <w:r w:rsidRPr="00785A4C">
        <w:rPr>
          <w:rFonts w:ascii="Times New Roman" w:eastAsia="Arial Unicode MS" w:hAnsi="Times New Roman" w:cs="Times New Roman"/>
          <w:sz w:val="24"/>
          <w:szCs w:val="24"/>
          <w:bdr w:val="nil"/>
        </w:rPr>
        <w:t xml:space="preserve"> or that it will benefits customers. There is no assurance that AEP will get more favorable terms in refinancing the $350 million debt in 2018.</w:t>
      </w:r>
      <w:r>
        <w:rPr>
          <w:rFonts w:ascii="Times New Roman" w:eastAsia="Arial Unicode MS" w:hAnsi="Times New Roman" w:cs="Times New Roman"/>
          <w:sz w:val="24"/>
          <w:szCs w:val="24"/>
          <w:bdr w:val="nil"/>
          <w:vertAlign w:val="superscript"/>
        </w:rPr>
        <w:footnoteReference w:id="228"/>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AEP has not supplied any information about what the term of the refinancing may be.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Further, based on unexpected developments in the financial market and U.S. economy, those terms could potentially be worse than the current terms.</w:t>
      </w:r>
      <w:r>
        <w:rPr>
          <w:rFonts w:ascii="Times New Roman" w:eastAsia="Arial Unicode MS" w:hAnsi="Times New Roman" w:cs="Times New Roman"/>
          <w:sz w:val="24"/>
          <w:szCs w:val="24"/>
          <w:bdr w:val="nil"/>
          <w:vertAlign w:val="superscript"/>
        </w:rPr>
        <w:footnoteReference w:id="229"/>
      </w:r>
      <w:r w:rsidRPr="00785A4C">
        <w:rPr>
          <w:rFonts w:ascii="Times New Roman" w:eastAsia="Arial Unicode MS" w:hAnsi="Times New Roman" w:cs="Times New Roman"/>
          <w:sz w:val="24"/>
          <w:szCs w:val="24"/>
          <w:bdr w:val="nil"/>
        </w:rPr>
        <w:t xml:space="preserve">  Also, there are certain substantial one-time costs associated with a new debt refinancing that will reduce any benefit that customers could potentially realize.</w:t>
      </w:r>
      <w:r>
        <w:rPr>
          <w:rFonts w:ascii="Times New Roman" w:eastAsia="Arial Unicode MS" w:hAnsi="Times New Roman" w:cs="Times New Roman"/>
          <w:sz w:val="24"/>
          <w:szCs w:val="24"/>
          <w:bdr w:val="nil"/>
          <w:vertAlign w:val="superscript"/>
        </w:rPr>
        <w:footnoteReference w:id="230"/>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Third, the $350 million that may be refinanced is only a small part of the $1.95 billion included in the capital structure and the calculation of the embedded cost of debt.</w:t>
      </w:r>
      <w:r>
        <w:rPr>
          <w:rFonts w:ascii="Times New Roman" w:eastAsia="Arial Unicode MS" w:hAnsi="Times New Roman" w:cs="Times New Roman"/>
          <w:sz w:val="24"/>
          <w:szCs w:val="24"/>
          <w:bdr w:val="nil"/>
          <w:vertAlign w:val="superscript"/>
        </w:rPr>
        <w:footnoteReference w:id="231"/>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The interest cost of the remaining debts that are not being refinanced will not be affected by the refinanced debt.</w:t>
      </w:r>
      <w:r>
        <w:rPr>
          <w:rFonts w:ascii="Times New Roman" w:eastAsia="Arial Unicode MS" w:hAnsi="Times New Roman" w:cs="Times New Roman"/>
          <w:sz w:val="24"/>
          <w:szCs w:val="24"/>
          <w:bdr w:val="nil"/>
          <w:vertAlign w:val="superscript"/>
        </w:rPr>
        <w:footnoteReference w:id="232"/>
      </w:r>
      <w:r w:rsidRPr="00785A4C">
        <w:rPr>
          <w:rFonts w:ascii="Times New Roman" w:eastAsia="Arial Unicode MS" w:hAnsi="Times New Roman" w:cs="Times New Roman"/>
          <w:sz w:val="24"/>
          <w:szCs w:val="24"/>
          <w:bdr w:val="nil"/>
        </w:rPr>
        <w:t xml:space="preserve"> So the reduction in the overall embedded cost of debt of AEP would be limited.</w:t>
      </w:r>
      <w:r>
        <w:rPr>
          <w:rFonts w:ascii="Times New Roman" w:eastAsia="Arial Unicode MS" w:hAnsi="Times New Roman" w:cs="Times New Roman"/>
          <w:sz w:val="24"/>
          <w:szCs w:val="24"/>
          <w:bdr w:val="nil"/>
          <w:vertAlign w:val="superscript"/>
        </w:rPr>
        <w:footnoteReference w:id="233"/>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Also, AEP will likely have a much higher percentage of equity in its capital structure than it currently does if the WACC is updated.</w:t>
      </w:r>
      <w:r>
        <w:rPr>
          <w:rFonts w:ascii="Times New Roman" w:eastAsia="Arial Unicode MS" w:hAnsi="Times New Roman" w:cs="Times New Roman"/>
          <w:sz w:val="24"/>
          <w:szCs w:val="24"/>
          <w:bdr w:val="nil"/>
          <w:vertAlign w:val="superscript"/>
        </w:rPr>
        <w:footnoteReference w:id="234"/>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A higher equity portion in the capital structure will invariably increase the pre-tax WACC.</w:t>
      </w:r>
      <w:r>
        <w:rPr>
          <w:rFonts w:ascii="Times New Roman" w:eastAsia="Arial Unicode MS" w:hAnsi="Times New Roman" w:cs="Times New Roman"/>
          <w:sz w:val="24"/>
          <w:szCs w:val="24"/>
          <w:bdr w:val="nil"/>
          <w:vertAlign w:val="superscript"/>
        </w:rPr>
        <w:footnoteReference w:id="235"/>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480" w:lineRule="auto"/>
        <w:ind w:firstLine="360"/>
        <w:contextualSpacing/>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Finally, even if AEP went forward with debt refinancing in 2018 and saved a significant amount of interest cost, none of the savings would be passed along to its customers because the updated WACC will not be lowered proportionally.</w:t>
      </w:r>
      <w:r>
        <w:rPr>
          <w:rFonts w:ascii="Times New Roman" w:eastAsia="Arial Unicode MS" w:hAnsi="Times New Roman" w:cs="Times New Roman"/>
          <w:sz w:val="24"/>
          <w:szCs w:val="24"/>
          <w:bdr w:val="nil"/>
          <w:vertAlign w:val="superscript"/>
        </w:rPr>
        <w:footnoteReference w:id="236"/>
      </w:r>
      <w:r w:rsidRPr="00785A4C">
        <w:rPr>
          <w:rFonts w:ascii="Times New Roman" w:eastAsia="Arial Unicode MS" w:hAnsi="Times New Roman" w:cs="Times New Roman"/>
          <w:sz w:val="24"/>
          <w:szCs w:val="24"/>
          <w:bdr w:val="nil"/>
        </w:rPr>
        <w:t xml:space="preserve"> </w:t>
      </w:r>
      <w:r w:rsidR="004A6A58">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In this particular instance, the updated WACC would actually be higher because the updated capital structure will have a higher portion in common equity than in the past.</w:t>
      </w:r>
      <w:r>
        <w:rPr>
          <w:rFonts w:ascii="Times New Roman" w:eastAsia="Arial Unicode MS" w:hAnsi="Times New Roman" w:cs="Times New Roman"/>
          <w:sz w:val="24"/>
          <w:szCs w:val="24"/>
          <w:bdr w:val="nil"/>
          <w:vertAlign w:val="superscript"/>
        </w:rPr>
        <w:footnoteReference w:id="237"/>
      </w:r>
      <w:r w:rsidRPr="00785A4C">
        <w:rPr>
          <w:rFonts w:ascii="Times New Roman" w:eastAsia="Arial Unicode MS" w:hAnsi="Times New Roman" w:cs="Times New Roman"/>
          <w:sz w:val="24"/>
          <w:szCs w:val="24"/>
          <w:bdr w:val="nil"/>
        </w:rPr>
        <w:t xml:space="preserve"> </w:t>
      </w:r>
    </w:p>
    <w:p w:rsidR="00785A4C" w:rsidRPr="00785A4C" w:rsidP="00785A4C">
      <w:pPr>
        <w:pBdr>
          <w:top w:val="nil"/>
          <w:left w:val="nil"/>
          <w:bottom w:val="nil"/>
          <w:right w:val="nil"/>
          <w:between w:val="nil"/>
          <w:bar w:val="nil"/>
        </w:pBdr>
        <w:spacing w:after="0" w:line="240" w:lineRule="auto"/>
        <w:rPr>
          <w:rFonts w:ascii="Times New Roman" w:eastAsia="Times New Roman" w:hAnsi="Times New Roman" w:cs="Times New Roman"/>
          <w:b/>
          <w:color w:val="000000"/>
          <w:sz w:val="20"/>
          <w:szCs w:val="20"/>
          <w:u w:color="000000"/>
          <w:bdr w:val="nil"/>
        </w:rPr>
      </w:pPr>
    </w:p>
    <w:p w:rsidR="00785A4C" w:rsidRPr="00785A4C" w:rsidP="0013336E">
      <w:pPr>
        <w:pStyle w:val="Heading1"/>
        <w:rPr>
          <w:rFonts w:eastAsia="Times New Roman"/>
          <w:iCs/>
        </w:rPr>
      </w:pPr>
      <w:bookmarkStart w:id="26" w:name="_Toc495504388"/>
      <w:bookmarkStart w:id="27" w:name="_Toc499709925"/>
      <w:r>
        <w:rPr>
          <w:rFonts w:eastAsia="Times New Roman"/>
        </w:rPr>
        <w:t>IV.</w:t>
      </w:r>
      <w:r>
        <w:rPr>
          <w:rFonts w:eastAsia="Times New Roman"/>
        </w:rPr>
        <w:tab/>
      </w:r>
      <w:r w:rsidRPr="00785A4C">
        <w:rPr>
          <w:rFonts w:eastAsia="Times New Roman"/>
        </w:rPr>
        <w:t>MRO vs ESP test</w:t>
      </w:r>
      <w:bookmarkEnd w:id="26"/>
      <w:bookmarkEnd w:id="27"/>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The comparison the PUCO</w:t>
      </w:r>
      <w:r w:rsidR="00A25A49">
        <w:rPr>
          <w:rFonts w:ascii="Times New Roman" w:eastAsia="Arial Unicode MS" w:hAnsi="Times New Roman" w:cs="Times New Roman"/>
          <w:color w:val="000000"/>
          <w:sz w:val="24"/>
          <w:szCs w:val="24"/>
          <w:u w:color="000000"/>
          <w:bdr w:val="nil"/>
        </w:rPr>
        <w:t xml:space="preserve"> must </w:t>
      </w:r>
      <w:r w:rsidRPr="00785A4C">
        <w:rPr>
          <w:rFonts w:ascii="Times New Roman" w:eastAsia="Arial Unicode MS" w:hAnsi="Times New Roman" w:cs="Times New Roman"/>
          <w:color w:val="000000"/>
          <w:sz w:val="24"/>
          <w:szCs w:val="24"/>
          <w:u w:color="000000"/>
          <w:bdr w:val="nil"/>
        </w:rPr>
        <w:t>make between the results of a utility’s ESP and the results that would be expected under a Market Rate Offer (“MRO”) is the “statutory test,”</w:t>
      </w:r>
      <w:r>
        <w:rPr>
          <w:rFonts w:ascii="Times New Roman" w:eastAsia="Arial Unicode MS" w:hAnsi="Times New Roman" w:cs="Times New Roman"/>
          <w:color w:val="000000"/>
          <w:sz w:val="24"/>
          <w:szCs w:val="24"/>
          <w:u w:color="000000"/>
          <w:bdr w:val="nil"/>
          <w:vertAlign w:val="superscript"/>
        </w:rPr>
        <w:footnoteReference w:id="238"/>
      </w:r>
      <w:r w:rsidRPr="00785A4C">
        <w:rPr>
          <w:rFonts w:ascii="Times New Roman" w:eastAsia="Arial Unicode MS" w:hAnsi="Times New Roman" w:cs="Times New Roman"/>
          <w:color w:val="000000"/>
          <w:sz w:val="24"/>
          <w:szCs w:val="24"/>
          <w:u w:color="000000"/>
          <w:bdr w:val="nil"/>
        </w:rPr>
        <w:t xml:space="preserve"> sometimes also referred to as the “MRO vs. ESP test.”  Under Section 4928.143(C)(1) of the Ohio Revised Code, the </w:t>
      </w:r>
      <w:r w:rsidR="00E66D92">
        <w:rPr>
          <w:rFonts w:ascii="Times New Roman" w:eastAsia="Arial Unicode MS" w:hAnsi="Times New Roman" w:cs="Times New Roman"/>
          <w:color w:val="000000"/>
          <w:sz w:val="24"/>
          <w:szCs w:val="24"/>
          <w:u w:color="000000"/>
          <w:bdr w:val="nil"/>
        </w:rPr>
        <w:t>PUCO</w:t>
      </w:r>
      <w:r w:rsidRPr="00785A4C" w:rsidR="00E66D92">
        <w:rPr>
          <w:rFonts w:ascii="Times New Roman" w:eastAsia="Arial Unicode MS" w:hAnsi="Times New Roman" w:cs="Times New Roman"/>
          <w:color w:val="000000"/>
          <w:sz w:val="24"/>
          <w:szCs w:val="24"/>
          <w:u w:color="000000"/>
          <w:bdr w:val="nil"/>
        </w:rPr>
        <w:t xml:space="preserve"> </w:t>
      </w:r>
      <w:r w:rsidRPr="00785A4C">
        <w:rPr>
          <w:rFonts w:ascii="Times New Roman" w:eastAsia="Arial Unicode MS" w:hAnsi="Times New Roman" w:cs="Times New Roman"/>
          <w:color w:val="000000"/>
          <w:sz w:val="24"/>
          <w:szCs w:val="24"/>
          <w:u w:color="000000"/>
          <w:bdr w:val="nil"/>
        </w:rPr>
        <w:t xml:space="preserve">cannot approve, or modify and approve, an ESP unless it finds that the ESP “including its pricing and all other terms and conditions, including any deferrals and future recovery of deferrals, is more favorable in the aggregate [to customers] as compared to the expected results that would otherwise apply under section 4928.142 of the Revised Code.”  </w:t>
      </w:r>
    </w:p>
    <w:p w:rsidR="00785A4C" w:rsidRPr="00785A4C" w:rsidP="004D70F7">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In conducting the statutory test, the PUCO has generally evaluated three parts - comparing the results of these elements under the proposed ESP to the results expected under an MRO:</w:t>
      </w:r>
    </w:p>
    <w:p w:rsidR="00785A4C" w:rsidRPr="00785A4C" w:rsidP="008D0135">
      <w:pPr>
        <w:numPr>
          <w:ilvl w:val="0"/>
          <w:numId w:val="3"/>
        </w:numPr>
        <w:pBdr>
          <w:top w:val="nil"/>
          <w:left w:val="nil"/>
          <w:bottom w:val="nil"/>
          <w:right w:val="nil"/>
          <w:between w:val="nil"/>
          <w:bar w:val="nil"/>
        </w:pBdr>
        <w:spacing w:after="0" w:line="480" w:lineRule="auto"/>
        <w:ind w:left="2160" w:right="720" w:hanging="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SSO price of generation to customers,</w:t>
      </w:r>
    </w:p>
    <w:p w:rsidR="00785A4C" w:rsidRPr="00785A4C" w:rsidP="008D0135">
      <w:pPr>
        <w:numPr>
          <w:ilvl w:val="0"/>
          <w:numId w:val="3"/>
        </w:numPr>
        <w:pBdr>
          <w:top w:val="nil"/>
          <w:left w:val="nil"/>
          <w:bottom w:val="nil"/>
          <w:right w:val="nil"/>
          <w:between w:val="nil"/>
          <w:bar w:val="nil"/>
        </w:pBdr>
        <w:spacing w:after="0" w:line="480" w:lineRule="auto"/>
        <w:ind w:left="2160" w:right="720" w:hanging="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Other quantifiable provisions, and</w:t>
      </w:r>
    </w:p>
    <w:p w:rsidR="00785A4C" w:rsidRPr="00785A4C" w:rsidP="008D0135">
      <w:pPr>
        <w:numPr>
          <w:ilvl w:val="0"/>
          <w:numId w:val="3"/>
        </w:numPr>
        <w:pBdr>
          <w:top w:val="nil"/>
          <w:left w:val="nil"/>
          <w:bottom w:val="nil"/>
          <w:right w:val="nil"/>
          <w:between w:val="nil"/>
          <w:bar w:val="nil"/>
        </w:pBdr>
        <w:spacing w:after="0" w:line="480" w:lineRule="auto"/>
        <w:ind w:left="2160" w:right="720" w:hanging="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Other qualitative provisions.</w:t>
      </w:r>
      <w:r>
        <w:rPr>
          <w:rFonts w:ascii="Times New Roman" w:eastAsia="Arial Unicode MS" w:hAnsi="Times New Roman" w:cs="Times New Roman"/>
          <w:sz w:val="24"/>
          <w:szCs w:val="24"/>
          <w:bdr w:val="nil"/>
          <w:vertAlign w:val="superscript"/>
        </w:rPr>
        <w:footnoteReference w:id="239"/>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The utility bears the burden of proving the ESP is more favorable in the aggregate to customers than a market rate option.</w:t>
      </w:r>
      <w:r>
        <w:rPr>
          <w:rFonts w:ascii="Times New Roman" w:eastAsia="Arial Unicode MS" w:hAnsi="Times New Roman" w:cs="Times New Roman"/>
          <w:sz w:val="24"/>
          <w:szCs w:val="24"/>
          <w:bdr w:val="nil"/>
          <w:vertAlign w:val="superscript"/>
        </w:rPr>
        <w:footnoteReference w:id="240"/>
      </w:r>
      <w:r w:rsidRPr="00785A4C">
        <w:rPr>
          <w:rFonts w:ascii="Times New Roman" w:eastAsia="Arial Unicode MS" w:hAnsi="Times New Roman" w:cs="Times New Roman"/>
          <w:sz w:val="24"/>
          <w:szCs w:val="24"/>
          <w:bdr w:val="nil"/>
        </w:rPr>
        <w:t xml:space="preserve">  The ESP embodied in the Settlement fails the statutory test.</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bCs/>
          <w:iCs/>
          <w:color w:val="000000"/>
          <w:sz w:val="24"/>
          <w:szCs w:val="24"/>
          <w:u w:color="000000"/>
          <w:bdr w:val="nil"/>
        </w:rPr>
      </w:pPr>
      <w:r w:rsidRPr="00785A4C">
        <w:rPr>
          <w:rFonts w:ascii="Times New Roman" w:eastAsia="Arial Unicode MS" w:hAnsi="Times New Roman" w:cs="Times New Roman"/>
          <w:bCs/>
          <w:iCs/>
          <w:color w:val="000000"/>
          <w:sz w:val="24"/>
          <w:szCs w:val="24"/>
          <w:u w:color="000000"/>
          <w:bdr w:val="nil"/>
        </w:rPr>
        <w:t>There are a number of new riders and increases to existing riders under the ESP that add over $1.1 billion in costs to customers with little to no value to customers.</w:t>
      </w:r>
      <w:r>
        <w:rPr>
          <w:rFonts w:ascii="Times New Roman" w:eastAsia="Arial Unicode MS" w:hAnsi="Times New Roman" w:cs="Times New Roman"/>
          <w:bCs/>
          <w:iCs/>
          <w:color w:val="000000"/>
          <w:sz w:val="24"/>
          <w:szCs w:val="24"/>
          <w:u w:color="000000"/>
          <w:bdr w:val="nil"/>
          <w:vertAlign w:val="superscript"/>
        </w:rPr>
        <w:footnoteReference w:id="241"/>
      </w:r>
      <w:r w:rsidRPr="00785A4C">
        <w:rPr>
          <w:rFonts w:ascii="Times New Roman" w:eastAsia="Arial Unicode MS" w:hAnsi="Times New Roman" w:cs="Times New Roman"/>
          <w:bCs/>
          <w:iCs/>
          <w:color w:val="000000"/>
          <w:sz w:val="24"/>
          <w:szCs w:val="24"/>
          <w:u w:color="000000"/>
          <w:bdr w:val="nil"/>
        </w:rPr>
        <w:t xml:space="preserve">  These riders would not be included in a MRO because an MRO merely sets the standard offer price.  There are no other provisions under an MRO that allow AEP to include charges to customers for numerous and varied riders.  With these riders customers would pay $1.1 billion more in costs under the ESP than under an MRO.</w:t>
      </w:r>
      <w:r>
        <w:rPr>
          <w:rFonts w:ascii="Times New Roman" w:eastAsia="Arial Unicode MS" w:hAnsi="Times New Roman" w:cs="Times New Roman"/>
          <w:bCs/>
          <w:iCs/>
          <w:color w:val="000000"/>
          <w:sz w:val="24"/>
          <w:szCs w:val="24"/>
          <w:u w:color="000000"/>
          <w:bdr w:val="nil"/>
          <w:vertAlign w:val="superscript"/>
        </w:rPr>
        <w:footnoteReference w:id="242"/>
      </w:r>
      <w:r w:rsidRPr="00785A4C">
        <w:rPr>
          <w:rFonts w:ascii="Times New Roman" w:eastAsia="Arial Unicode MS" w:hAnsi="Times New Roman" w:cs="Times New Roman"/>
          <w:bCs/>
          <w:iCs/>
          <w:color w:val="000000"/>
          <w:sz w:val="24"/>
          <w:szCs w:val="24"/>
          <w:u w:color="000000"/>
          <w:bdr w:val="nil"/>
        </w:rPr>
        <w:t xml:space="preserve">  Further, AEP's purported qualitative arguments are unpersuasive.  And the asserted qualitative benefits for customers cannot begin to offset in any meaningful way any the quantitative cost of the ESP, let alone the more than $1.1 billion cost of this ESP.</w:t>
      </w:r>
      <w:r>
        <w:rPr>
          <w:rFonts w:ascii="Times New Roman" w:eastAsia="Arial Unicode MS" w:hAnsi="Times New Roman" w:cs="Times New Roman"/>
          <w:bCs/>
          <w:iCs/>
          <w:color w:val="000000"/>
          <w:sz w:val="24"/>
          <w:szCs w:val="24"/>
          <w:u w:color="000000"/>
          <w:bdr w:val="nil"/>
          <w:vertAlign w:val="superscript"/>
        </w:rPr>
        <w:footnoteReference w:id="243"/>
      </w:r>
    </w:p>
    <w:p w:rsidR="00785A4C" w:rsidRPr="00785A4C" w:rsidP="0013336E">
      <w:pPr>
        <w:pStyle w:val="Heading2"/>
        <w:rPr>
          <w:i/>
        </w:rPr>
      </w:pPr>
      <w:bookmarkStart w:id="28" w:name="_Toc499709926"/>
      <w:r>
        <w:t>A.</w:t>
      </w:r>
      <w:r>
        <w:tab/>
      </w:r>
      <w:r w:rsidRPr="00785A4C">
        <w:t>AEP’s proposed ESP fails the statutory test based on analysis of purported quantitative benefits.</w:t>
      </w:r>
      <w:bookmarkEnd w:id="28"/>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AEP does not provide any concrete quantitative benefits regarding DIR or Smart City Rider.</w:t>
      </w:r>
      <w:r>
        <w:rPr>
          <w:rFonts w:ascii="Times New Roman" w:eastAsia="Arial Unicode MS" w:hAnsi="Times New Roman" w:cs="Times New Roman"/>
          <w:color w:val="000000"/>
          <w:sz w:val="24"/>
          <w:szCs w:val="24"/>
          <w:u w:color="000000"/>
          <w:bdr w:val="nil"/>
          <w:vertAlign w:val="superscript"/>
        </w:rPr>
        <w:footnoteReference w:id="244"/>
      </w:r>
      <w:r w:rsidRPr="00785A4C">
        <w:rPr>
          <w:rFonts w:ascii="Times New Roman" w:eastAsia="Arial Unicode MS" w:hAnsi="Times New Roman" w:cs="Times New Roman"/>
          <w:color w:val="000000"/>
          <w:sz w:val="24"/>
          <w:szCs w:val="24"/>
          <w:u w:color="000000"/>
          <w:bdr w:val="nil"/>
        </w:rPr>
        <w:t xml:space="preserve"> </w:t>
      </w:r>
      <w:r w:rsidR="004A6A58">
        <w:rPr>
          <w:rFonts w:ascii="Times New Roman" w:eastAsia="Arial Unicode MS" w:hAnsi="Times New Roman" w:cs="Times New Roman"/>
          <w:color w:val="000000"/>
          <w:sz w:val="24"/>
          <w:szCs w:val="24"/>
          <w:u w:color="000000"/>
          <w:bdr w:val="nil"/>
        </w:rPr>
        <w:t xml:space="preserve"> </w:t>
      </w:r>
      <w:r w:rsidRPr="00785A4C">
        <w:rPr>
          <w:rFonts w:ascii="Times New Roman" w:eastAsia="Arial Unicode MS" w:hAnsi="Times New Roman" w:cs="Times New Roman"/>
          <w:color w:val="000000"/>
          <w:sz w:val="24"/>
          <w:szCs w:val="24"/>
          <w:u w:color="000000"/>
          <w:bdr w:val="nil"/>
        </w:rPr>
        <w:t>It relies on general assertions that the “streamlined recovery mechanism” will allow the company to “invest in advanced technology.”</w:t>
      </w:r>
      <w:r>
        <w:rPr>
          <w:rFonts w:ascii="Times New Roman" w:eastAsia="Arial Unicode MS" w:hAnsi="Times New Roman" w:cs="Times New Roman"/>
          <w:color w:val="000000"/>
          <w:sz w:val="24"/>
          <w:szCs w:val="24"/>
          <w:u w:color="000000"/>
          <w:bdr w:val="nil"/>
          <w:vertAlign w:val="superscript"/>
        </w:rPr>
        <w:footnoteReference w:id="245"/>
      </w:r>
      <w:r w:rsidRPr="00785A4C">
        <w:rPr>
          <w:rFonts w:ascii="Times New Roman" w:eastAsia="Arial Unicode MS" w:hAnsi="Times New Roman" w:cs="Times New Roman"/>
          <w:color w:val="000000"/>
          <w:sz w:val="24"/>
          <w:szCs w:val="24"/>
          <w:u w:color="000000"/>
          <w:bdr w:val="nil"/>
        </w:rPr>
        <w:t xml:space="preserve">  If anything, these attributes are more appropriately characterized as non-quantifiable benefits or qualitative benefits.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In contrast, there are specific costs associated with Smart City Rider.  Under the Smart City Rider, AEP will charge customers $21.1 million in capital expenditures.</w:t>
      </w:r>
      <w:r>
        <w:rPr>
          <w:rFonts w:ascii="Times New Roman" w:eastAsia="Arial Unicode MS" w:hAnsi="Times New Roman" w:cs="Times New Roman"/>
          <w:color w:val="000000"/>
          <w:sz w:val="24"/>
          <w:szCs w:val="24"/>
          <w:u w:color="000000"/>
          <w:bdr w:val="nil"/>
          <w:vertAlign w:val="superscript"/>
        </w:rPr>
        <w:footnoteReference w:id="246"/>
      </w:r>
      <w:r w:rsidRPr="00785A4C">
        <w:rPr>
          <w:rFonts w:ascii="Times New Roman" w:eastAsia="Arial Unicode MS" w:hAnsi="Times New Roman" w:cs="Times New Roman"/>
          <w:color w:val="000000"/>
          <w:sz w:val="24"/>
          <w:szCs w:val="24"/>
          <w:u w:color="000000"/>
          <w:bdr w:val="nil"/>
        </w:rPr>
        <w:t xml:space="preserve">  Hence, the PUCO should not find quantitative (or qualitative) benefits to the Smart City Rider.  The Enhanced Service Reliability Rider (“ESSR”) is a rider to recover tree trimming through the service territory and will cost $27.6 million per year or a minimum of $82.8 million.</w:t>
      </w:r>
      <w:r>
        <w:rPr>
          <w:rFonts w:ascii="Times New Roman" w:eastAsia="Arial Unicode MS" w:hAnsi="Times New Roman" w:cs="Times New Roman"/>
          <w:color w:val="000000"/>
          <w:sz w:val="24"/>
          <w:szCs w:val="24"/>
          <w:u w:color="000000"/>
          <w:bdr w:val="nil"/>
          <w:vertAlign w:val="superscript"/>
        </w:rPr>
        <w:footnoteReference w:id="247"/>
      </w:r>
      <w:r w:rsidRPr="00785A4C">
        <w:rPr>
          <w:rFonts w:ascii="Times New Roman" w:eastAsia="Arial Unicode MS" w:hAnsi="Times New Roman" w:cs="Times New Roman"/>
          <w:color w:val="000000"/>
          <w:sz w:val="24"/>
          <w:szCs w:val="24"/>
          <w:u w:color="000000"/>
          <w:bdr w:val="nil"/>
        </w:rPr>
        <w:t xml:space="preserve">  The ESSR has not significantly reduced outages caused by trees.  The ESSR does not provide any quantitative (or qualitative) benefits.</w:t>
      </w:r>
      <w:r>
        <w:rPr>
          <w:rFonts w:ascii="Times New Roman" w:eastAsia="Arial Unicode MS" w:hAnsi="Times New Roman" w:cs="Times New Roman"/>
          <w:color w:val="000000"/>
          <w:sz w:val="24"/>
          <w:szCs w:val="24"/>
          <w:u w:color="000000"/>
          <w:bdr w:val="nil"/>
          <w:vertAlign w:val="superscript"/>
        </w:rPr>
        <w:footnoteReference w:id="248"/>
      </w:r>
      <w:r w:rsidRPr="00785A4C">
        <w:rPr>
          <w:rFonts w:ascii="Times New Roman" w:eastAsia="Arial Unicode MS" w:hAnsi="Times New Roman" w:cs="Times New Roman"/>
          <w:color w:val="000000"/>
          <w:sz w:val="24"/>
          <w:szCs w:val="24"/>
          <w:u w:color="000000"/>
          <w:bdr w:val="nil"/>
        </w:rPr>
        <w:t xml:space="preserve"> </w:t>
      </w:r>
    </w:p>
    <w:p w:rsidR="00785A4C" w:rsidRPr="00785A4C" w:rsidP="00785A4C">
      <w:pPr>
        <w:pBdr>
          <w:top w:val="nil"/>
          <w:left w:val="nil"/>
          <w:bottom w:val="nil"/>
          <w:right w:val="nil"/>
          <w:between w:val="nil"/>
          <w:bar w:val="nil"/>
        </w:pBdr>
        <w:spacing w:after="0" w:line="480" w:lineRule="auto"/>
        <w:ind w:firstLine="720"/>
        <w:rPr>
          <w:rFonts w:ascii="Times New Roman" w:eastAsia="Arial Unicode MS" w:hAnsi="Times New Roman" w:cs="Times New Roman"/>
          <w:color w:val="000000"/>
          <w:sz w:val="24"/>
          <w:szCs w:val="24"/>
          <w:u w:color="000000"/>
          <w:bdr w:val="nil"/>
        </w:rPr>
      </w:pPr>
      <w:r w:rsidRPr="00785A4C">
        <w:rPr>
          <w:rFonts w:ascii="Times New Roman" w:eastAsia="Arial Unicode MS" w:hAnsi="Times New Roman" w:cs="Times New Roman"/>
          <w:color w:val="000000"/>
          <w:sz w:val="24"/>
          <w:szCs w:val="24"/>
          <w:u w:color="000000"/>
          <w:bdr w:val="nil"/>
        </w:rPr>
        <w:t>According to AEP, the DIR will cost $1.01 billion.</w:t>
      </w:r>
      <w:r>
        <w:rPr>
          <w:rFonts w:ascii="Times New Roman" w:eastAsia="Arial Unicode MS" w:hAnsi="Times New Roman" w:cs="Times New Roman"/>
          <w:color w:val="000000"/>
          <w:sz w:val="24"/>
          <w:szCs w:val="24"/>
          <w:u w:color="000000"/>
          <w:bdr w:val="nil"/>
          <w:vertAlign w:val="superscript"/>
        </w:rPr>
        <w:footnoteReference w:id="249"/>
      </w:r>
      <w:r w:rsidRPr="00785A4C">
        <w:rPr>
          <w:rFonts w:ascii="Times New Roman" w:eastAsia="Arial Unicode MS" w:hAnsi="Times New Roman" w:cs="Times New Roman"/>
          <w:color w:val="000000"/>
          <w:sz w:val="24"/>
          <w:szCs w:val="24"/>
          <w:u w:color="000000"/>
          <w:bdr w:val="nil"/>
        </w:rPr>
        <w:t xml:space="preserve">  The DIR provides little to no value to the reliability of AEP Ohio’s distribution system.</w:t>
      </w:r>
      <w:r>
        <w:rPr>
          <w:rFonts w:ascii="Times New Roman" w:eastAsia="Arial Unicode MS" w:hAnsi="Times New Roman" w:cs="Times New Roman"/>
          <w:color w:val="000000"/>
          <w:sz w:val="24"/>
          <w:szCs w:val="24"/>
          <w:u w:color="000000"/>
          <w:bdr w:val="nil"/>
          <w:vertAlign w:val="superscript"/>
        </w:rPr>
        <w:footnoteReference w:id="250"/>
      </w:r>
      <w:r w:rsidRPr="00785A4C">
        <w:rPr>
          <w:rFonts w:ascii="Times New Roman" w:eastAsia="Arial Unicode MS" w:hAnsi="Times New Roman" w:cs="Times New Roman"/>
          <w:color w:val="000000"/>
          <w:sz w:val="24"/>
          <w:szCs w:val="24"/>
          <w:u w:color="000000"/>
          <w:bdr w:val="nil"/>
        </w:rPr>
        <w:t xml:space="preserve">  The PUCO should not </w:t>
      </w:r>
      <w:r w:rsidRPr="008D0135">
        <w:rPr>
          <w:rFonts w:ascii="Times New Roman" w:hAnsi="Times New Roman" w:cs="Times New Roman"/>
          <w:sz w:val="24"/>
          <w:szCs w:val="24"/>
        </w:rPr>
        <w:t>consider quantitative (or qualitative) benefits from the proposed DIR.</w:t>
      </w:r>
      <w:r>
        <w:rPr>
          <w:rFonts w:ascii="Times New Roman" w:hAnsi="Times New Roman" w:cs="Times New Roman"/>
          <w:sz w:val="24"/>
          <w:szCs w:val="24"/>
          <w:vertAlign w:val="superscript"/>
        </w:rPr>
        <w:footnoteReference w:id="251"/>
      </w:r>
      <w:r w:rsidRPr="008D0135">
        <w:rPr>
          <w:rFonts w:ascii="Times New Roman" w:hAnsi="Times New Roman" w:cs="Times New Roman"/>
          <w:sz w:val="24"/>
          <w:szCs w:val="24"/>
        </w:rPr>
        <w:t xml:space="preserve">  Additionally, the RDCR was set up in AEP Ohio’s last distribution rate case (PUCO Case No. 11-351-EL</w:t>
      </w:r>
      <w:r w:rsidRPr="00785A4C">
        <w:rPr>
          <w:rFonts w:ascii="Times New Roman" w:eastAsia="Arial Unicode MS" w:hAnsi="Times New Roman" w:cs="Times New Roman"/>
          <w:color w:val="000000"/>
          <w:sz w:val="24"/>
          <w:szCs w:val="24"/>
          <w:u w:color="000000"/>
          <w:bdr w:val="nil"/>
        </w:rPr>
        <w:t>-AIR, et. al.) as a mechanism to credit back a double recovery of dollars from both the DIR set up in case 11-346-EL-SSO and base distribution rates.  The extension of the RDCR is not a benefit but instead a requirement to prevent double recovery.</w:t>
      </w:r>
      <w:r>
        <w:rPr>
          <w:rFonts w:ascii="Times New Roman" w:eastAsia="Arial Unicode MS" w:hAnsi="Times New Roman" w:cs="Times New Roman"/>
          <w:color w:val="000000"/>
          <w:sz w:val="24"/>
          <w:szCs w:val="24"/>
          <w:u w:color="000000"/>
          <w:bdr w:val="nil"/>
          <w:vertAlign w:val="superscript"/>
        </w:rPr>
        <w:footnoteReference w:id="252"/>
      </w:r>
      <w:r w:rsidRPr="00785A4C">
        <w:rPr>
          <w:rFonts w:ascii="Times New Roman" w:eastAsia="Arial Unicode MS" w:hAnsi="Times New Roman" w:cs="Times New Roman"/>
          <w:color w:val="000000"/>
          <w:sz w:val="24"/>
          <w:szCs w:val="24"/>
          <w:u w:color="000000"/>
          <w:bdr w:val="nil"/>
        </w:rPr>
        <w:t xml:space="preserve">  The Neighbor-to-Neighbor program is funded through the RDCR and could be funded with or without an ESP, specifically through shareholder dollars.  The Neighbor-to-Neighbor funds are not contingent on an ESP filing and can continue with or without an ESP.</w:t>
      </w:r>
      <w:r>
        <w:rPr>
          <w:rFonts w:ascii="Times New Roman" w:eastAsia="Arial Unicode MS" w:hAnsi="Times New Roman" w:cs="Times New Roman"/>
          <w:color w:val="000000"/>
          <w:sz w:val="24"/>
          <w:szCs w:val="24"/>
          <w:u w:color="000000"/>
          <w:bdr w:val="nil"/>
          <w:vertAlign w:val="superscript"/>
        </w:rPr>
        <w:footnoteReference w:id="253"/>
      </w:r>
      <w:r w:rsidRPr="00785A4C">
        <w:rPr>
          <w:rFonts w:ascii="Times New Roman" w:eastAsia="Arial Unicode MS" w:hAnsi="Times New Roman" w:cs="Times New Roman"/>
          <w:color w:val="000000"/>
          <w:sz w:val="24"/>
          <w:szCs w:val="24"/>
          <w:u w:color="000000"/>
          <w:bdr w:val="nil"/>
        </w:rPr>
        <w:t xml:space="preserve">   </w:t>
      </w:r>
    </w:p>
    <w:p w:rsidR="0013336E" w:rsidP="008D0135">
      <w:pPr>
        <w:pBdr>
          <w:top w:val="nil"/>
          <w:left w:val="nil"/>
          <w:bottom w:val="nil"/>
          <w:right w:val="nil"/>
          <w:between w:val="nil"/>
          <w:bar w:val="nil"/>
        </w:pBdr>
        <w:spacing w:after="0" w:line="480" w:lineRule="auto"/>
        <w:ind w:firstLine="720"/>
        <w:rPr>
          <w:rFonts w:ascii="Times New Roman" w:eastAsia="Arial Unicode MS" w:hAnsi="Times New Roman" w:cstheme="majorBidi"/>
          <w:b/>
          <w:bCs/>
          <w:sz w:val="24"/>
          <w:szCs w:val="26"/>
          <w:u w:color="000000"/>
          <w:bdr w:val="nil"/>
        </w:rPr>
      </w:pPr>
      <w:r w:rsidRPr="00785A4C">
        <w:rPr>
          <w:rFonts w:ascii="Times New Roman" w:eastAsia="Arial Unicode MS" w:hAnsi="Times New Roman" w:cs="Times New Roman"/>
          <w:color w:val="000000"/>
          <w:sz w:val="24"/>
          <w:szCs w:val="24"/>
          <w:u w:color="000000"/>
          <w:bdr w:val="nil"/>
        </w:rPr>
        <w:t>Finally, AEP Ohio provided no data regarding the costs and benefits of the PPA Rider and the RGR.  It only touts the purported “price stabilizing benefit.”  If a customer desires a more stable price there are a number of fixed price offers and offers that include renewable energy to fit a customer’s desires.  The PPA Rider and RGR will create higher prices as compared to not including those riders.  Customer subsidization of uneconomic generation certainly cannot be considered a benefit.</w:t>
      </w:r>
      <w:r>
        <w:rPr>
          <w:rFonts w:ascii="Times New Roman" w:eastAsia="Arial Unicode MS" w:hAnsi="Times New Roman" w:cs="Times New Roman"/>
          <w:color w:val="000000"/>
          <w:sz w:val="24"/>
          <w:szCs w:val="24"/>
          <w:u w:color="000000"/>
          <w:bdr w:val="nil"/>
          <w:vertAlign w:val="superscript"/>
        </w:rPr>
        <w:footnoteReference w:id="254"/>
      </w:r>
    </w:p>
    <w:p w:rsidR="00785A4C" w:rsidRPr="00785A4C" w:rsidP="0013336E">
      <w:pPr>
        <w:pStyle w:val="Heading2"/>
        <w:rPr>
          <w:i/>
        </w:rPr>
      </w:pPr>
      <w:bookmarkStart w:id="29" w:name="_Toc499709927"/>
      <w:r>
        <w:t>B.</w:t>
      </w:r>
      <w:r>
        <w:tab/>
      </w:r>
      <w:r w:rsidRPr="00785A4C">
        <w:t>AEP’s proposed ESP fails the statutory test based on analysis of purported qualitative benefits.</w:t>
      </w:r>
      <w:bookmarkEnd w:id="29"/>
    </w:p>
    <w:p w:rsidR="00785A4C" w:rsidRPr="00785A4C" w:rsidP="0013336E">
      <w:pPr>
        <w:pBdr>
          <w:top w:val="nil"/>
          <w:left w:val="nil"/>
          <w:bottom w:val="nil"/>
          <w:right w:val="nil"/>
          <w:between w:val="nil"/>
          <w:bar w:val="nil"/>
        </w:pBdr>
        <w:tabs>
          <w:tab w:val="left" w:pos="720"/>
        </w:tabs>
        <w:spacing w:after="0" w:line="480" w:lineRule="auto"/>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b/>
        <w:t>Although AEP asserts that the PPA Rider will provide a hedging mechanism, there are much more prudent ways to provide a hedging mechanism for SSO customers (if the PUCO desires a hedge) than using OVEC (or, for that matter, the RGR).</w:t>
      </w:r>
      <w:r>
        <w:rPr>
          <w:rFonts w:ascii="Times New Roman" w:eastAsia="Arial Unicode MS" w:hAnsi="Times New Roman" w:cs="Times New Roman"/>
          <w:sz w:val="24"/>
          <w:szCs w:val="24"/>
          <w:bdr w:val="nil"/>
          <w:vertAlign w:val="superscript"/>
        </w:rPr>
        <w:footnoteReference w:id="255"/>
      </w:r>
      <w:r w:rsidRPr="00785A4C">
        <w:rPr>
          <w:rFonts w:ascii="Times New Roman" w:eastAsia="Arial Unicode MS" w:hAnsi="Times New Roman" w:cs="Times New Roman"/>
          <w:sz w:val="24"/>
          <w:szCs w:val="24"/>
          <w:bdr w:val="nil"/>
        </w:rPr>
        <w:t xml:space="preserve">  Assertions about “economic development” and its purported qualitative benefits should be rejected, as economic development can and should be addressed through reasonable arrangement cases.</w:t>
      </w:r>
      <w:r>
        <w:rPr>
          <w:rFonts w:ascii="Times New Roman" w:eastAsia="Arial Unicode MS" w:hAnsi="Times New Roman" w:cs="Times New Roman"/>
          <w:sz w:val="24"/>
          <w:szCs w:val="24"/>
          <w:bdr w:val="nil"/>
          <w:vertAlign w:val="superscript"/>
        </w:rPr>
        <w:footnoteReference w:id="256"/>
      </w:r>
      <w:r w:rsidRPr="00785A4C">
        <w:rPr>
          <w:rFonts w:ascii="Times New Roman" w:eastAsia="Arial Unicode MS" w:hAnsi="Times New Roman" w:cs="Times New Roman"/>
          <w:sz w:val="24"/>
          <w:szCs w:val="24"/>
          <w:bdr w:val="nil"/>
        </w:rPr>
        <w:t xml:space="preserve">  The CIR, along with the SSOCR, should be addressed in a distribution rate case.</w:t>
      </w:r>
      <w:r>
        <w:rPr>
          <w:rFonts w:ascii="Times New Roman" w:eastAsia="Arial Unicode MS" w:hAnsi="Times New Roman" w:cs="Times New Roman"/>
          <w:sz w:val="24"/>
          <w:szCs w:val="24"/>
          <w:bdr w:val="nil"/>
          <w:vertAlign w:val="superscript"/>
        </w:rPr>
        <w:footnoteReference w:id="257"/>
      </w:r>
      <w:r w:rsidRPr="00785A4C">
        <w:rPr>
          <w:rFonts w:ascii="Times New Roman" w:eastAsia="Arial Unicode MS" w:hAnsi="Times New Roman" w:cs="Times New Roman"/>
          <w:sz w:val="24"/>
          <w:szCs w:val="24"/>
          <w:bdr w:val="nil"/>
        </w:rPr>
        <w:t xml:space="preserve">  Additionally, the “streamlining” of cost recovery, as touted in the DIR and ESSR, removes the ability to fully examine the totality of AEP’s financial standing and instead only gives it recovery of expenditures.</w:t>
      </w:r>
      <w:r>
        <w:rPr>
          <w:rFonts w:ascii="Times New Roman" w:eastAsia="Arial Unicode MS" w:hAnsi="Times New Roman" w:cs="Times New Roman"/>
          <w:sz w:val="24"/>
          <w:szCs w:val="24"/>
          <w:bdr w:val="nil"/>
          <w:vertAlign w:val="superscript"/>
        </w:rPr>
        <w:footnoteReference w:id="258"/>
      </w:r>
      <w:r w:rsidRPr="00785A4C">
        <w:rPr>
          <w:rFonts w:ascii="Times New Roman" w:eastAsia="Arial Unicode MS" w:hAnsi="Times New Roman" w:cs="Times New Roman"/>
          <w:sz w:val="24"/>
          <w:szCs w:val="24"/>
          <w:bdr w:val="nil"/>
        </w:rPr>
        <w:t xml:space="preserve">  The PUCO itself recently acknowledged that it is sound regulatory practice to conduct regular distribution rate cases.</w:t>
      </w:r>
      <w:r>
        <w:rPr>
          <w:rFonts w:ascii="Times New Roman" w:eastAsia="Arial Unicode MS" w:hAnsi="Times New Roman" w:cs="Times New Roman"/>
          <w:sz w:val="24"/>
          <w:szCs w:val="24"/>
          <w:bdr w:val="nil"/>
          <w:vertAlign w:val="superscript"/>
        </w:rPr>
        <w:footnoteReference w:id="259"/>
      </w:r>
      <w:r w:rsidRPr="00785A4C">
        <w:rPr>
          <w:rFonts w:ascii="Times New Roman" w:eastAsia="Arial Unicode MS" w:hAnsi="Times New Roman" w:cs="Times New Roman"/>
          <w:sz w:val="24"/>
          <w:szCs w:val="24"/>
          <w:bdr w:val="nil"/>
        </w:rPr>
        <w:t xml:space="preserve">  The alleged qualitative benefits simply do not exist. </w:t>
      </w:r>
    </w:p>
    <w:p w:rsidR="00785A4C" w:rsidP="008D0135">
      <w:pPr>
        <w:pBdr>
          <w:top w:val="nil"/>
          <w:left w:val="nil"/>
          <w:bottom w:val="nil"/>
          <w:right w:val="nil"/>
          <w:between w:val="nil"/>
          <w:bar w:val="nil"/>
        </w:pBdr>
        <w:tabs>
          <w:tab w:val="left" w:pos="720"/>
        </w:tabs>
        <w:spacing w:after="0" w:line="480" w:lineRule="auto"/>
        <w:ind w:left="720" w:hanging="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b/>
        <w:t>The ESP embodied in the Settlement fails the statutory test.</w:t>
      </w:r>
      <w:r>
        <w:rPr>
          <w:rFonts w:ascii="Times New Roman" w:eastAsia="Arial Unicode MS" w:hAnsi="Times New Roman" w:cs="Times New Roman"/>
          <w:sz w:val="24"/>
          <w:szCs w:val="24"/>
          <w:bdr w:val="nil"/>
          <w:vertAlign w:val="superscript"/>
        </w:rPr>
        <w:footnoteReference w:id="260"/>
      </w:r>
    </w:p>
    <w:p w:rsidR="0013336E" w:rsidRPr="00785A4C" w:rsidP="0013336E">
      <w:pPr>
        <w:pBdr>
          <w:top w:val="nil"/>
          <w:left w:val="nil"/>
          <w:bottom w:val="nil"/>
          <w:right w:val="nil"/>
          <w:between w:val="nil"/>
          <w:bar w:val="nil"/>
        </w:pBdr>
        <w:tabs>
          <w:tab w:val="left" w:pos="720"/>
        </w:tabs>
        <w:spacing w:after="0" w:line="240" w:lineRule="auto"/>
        <w:ind w:left="720" w:right="720" w:hanging="720"/>
        <w:rPr>
          <w:rFonts w:ascii="Times New Roman" w:eastAsia="Arial Unicode MS" w:hAnsi="Times New Roman" w:cs="Times New Roman"/>
          <w:sz w:val="24"/>
          <w:szCs w:val="24"/>
          <w:bdr w:val="nil"/>
        </w:rPr>
      </w:pPr>
    </w:p>
    <w:p w:rsidR="00785A4C" w:rsidRPr="00785A4C" w:rsidP="0013336E">
      <w:pPr>
        <w:pStyle w:val="Heading1"/>
      </w:pPr>
      <w:bookmarkStart w:id="30" w:name="_Toc499709928"/>
      <w:r>
        <w:t>V.</w:t>
      </w:r>
      <w:r>
        <w:tab/>
      </w:r>
      <w:r w:rsidRPr="00785A4C">
        <w:t>CONCLUSION</w:t>
      </w:r>
      <w:bookmarkEnd w:id="30"/>
    </w:p>
    <w:p w:rsidR="008D0135" w:rsidP="008D0135">
      <w:pPr>
        <w:pBdr>
          <w:top w:val="nil"/>
          <w:left w:val="nil"/>
          <w:bottom w:val="nil"/>
          <w:right w:val="nil"/>
          <w:between w:val="nil"/>
          <w:bar w:val="nil"/>
        </w:pBdr>
        <w:tabs>
          <w:tab w:val="left" w:pos="720"/>
        </w:tabs>
        <w:spacing w:after="0" w:line="480" w:lineRule="auto"/>
        <w:rPr>
          <w:rFonts w:ascii="Times New Roman" w:eastAsia="Arial Unicode MS" w:hAnsi="Times New Roman" w:cs="Times New Roman"/>
          <w:sz w:val="24"/>
          <w:szCs w:val="24"/>
          <w:bdr w:val="nil"/>
        </w:rPr>
      </w:pPr>
      <w:r w:rsidRPr="00785A4C">
        <w:rPr>
          <w:rFonts w:ascii="Times New Roman" w:eastAsia="Arial Unicode MS" w:hAnsi="Times New Roman" w:cs="Times New Roman"/>
          <w:b/>
          <w:sz w:val="24"/>
          <w:szCs w:val="24"/>
          <w:bdr w:val="nil"/>
        </w:rPr>
        <w:tab/>
      </w:r>
      <w:r w:rsidRPr="00785A4C">
        <w:rPr>
          <w:rFonts w:ascii="Times New Roman" w:eastAsia="Arial Unicode MS" w:hAnsi="Times New Roman" w:cs="Times New Roman"/>
          <w:sz w:val="24"/>
          <w:szCs w:val="24"/>
          <w:bdr w:val="nil"/>
        </w:rPr>
        <w:t xml:space="preserve">Public utilities such as AEP are charged with fulfilling a vital public purpose.  They provide consumers with an essential service.  For doing so, they get various benefits from regulation.  But such regulation cannot be warped and twisted so as to benefit shareholders or third-parties at consumers’ expense.  </w:t>
      </w:r>
      <w:r w:rsidR="0013336E">
        <w:rPr>
          <w:rFonts w:ascii="Times New Roman" w:eastAsia="Arial Unicode MS" w:hAnsi="Times New Roman" w:cs="Times New Roman"/>
          <w:sz w:val="24"/>
          <w:szCs w:val="24"/>
          <w:bdr w:val="nil"/>
        </w:rPr>
        <w:tab/>
      </w:r>
    </w:p>
    <w:p w:rsidR="00785A4C" w:rsidRPr="00785A4C" w:rsidP="008D0135">
      <w:pPr>
        <w:pBdr>
          <w:top w:val="nil"/>
          <w:left w:val="nil"/>
          <w:bottom w:val="nil"/>
          <w:right w:val="nil"/>
          <w:between w:val="nil"/>
          <w:bar w:val="nil"/>
        </w:pBdr>
        <w:tabs>
          <w:tab w:val="left" w:pos="720"/>
        </w:tabs>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Pr="00785A4C">
        <w:rPr>
          <w:rFonts w:ascii="Times New Roman" w:eastAsia="Arial Unicode MS" w:hAnsi="Times New Roman" w:cs="Times New Roman"/>
          <w:sz w:val="24"/>
          <w:szCs w:val="24"/>
          <w:bdr w:val="nil"/>
        </w:rPr>
        <w:t xml:space="preserve">Unfortunately for consumers, that is what the Settlement does.  It warps and twists the regulatory construct to benefit AEP’s shareholders and third-parties.  It will increase the cost of consumers’ electric service without providing consumers any additional services, increasing reliability, or safety benefits.  As a package, </w:t>
      </w:r>
      <w:r w:rsidR="00E66D92">
        <w:rPr>
          <w:rFonts w:ascii="Times New Roman" w:eastAsia="Arial Unicode MS" w:hAnsi="Times New Roman" w:cs="Times New Roman"/>
          <w:sz w:val="24"/>
          <w:szCs w:val="24"/>
          <w:bdr w:val="nil"/>
        </w:rPr>
        <w:t>the Settlement</w:t>
      </w:r>
      <w:r w:rsidRPr="00785A4C" w:rsidR="00E66D92">
        <w:rPr>
          <w:rFonts w:ascii="Times New Roman" w:eastAsia="Arial Unicode MS" w:hAnsi="Times New Roman" w:cs="Times New Roman"/>
          <w:sz w:val="24"/>
          <w:szCs w:val="24"/>
          <w:bdr w:val="nil"/>
        </w:rPr>
        <w:t xml:space="preserve"> </w:t>
      </w:r>
      <w:r w:rsidRPr="00785A4C">
        <w:rPr>
          <w:rFonts w:ascii="Times New Roman" w:eastAsia="Arial Unicode MS" w:hAnsi="Times New Roman" w:cs="Times New Roman"/>
          <w:sz w:val="24"/>
          <w:szCs w:val="24"/>
          <w:bdr w:val="nil"/>
        </w:rPr>
        <w:t xml:space="preserve">will not benefit customers and it is not in the public interest.  It violates important regulatory principles and practice.  The ESP embodied in the Settlement fails the MRO v. ESP test.  </w:t>
      </w:r>
    </w:p>
    <w:p w:rsidR="00D97AEF" w:rsidP="00D97AEF">
      <w:pPr>
        <w:pBdr>
          <w:top w:val="nil"/>
          <w:left w:val="nil"/>
          <w:bottom w:val="nil"/>
          <w:right w:val="nil"/>
          <w:between w:val="nil"/>
          <w:bar w:val="nil"/>
        </w:pBdr>
        <w:tabs>
          <w:tab w:val="left" w:pos="720"/>
        </w:tabs>
        <w:spacing w:after="0" w:line="480" w:lineRule="auto"/>
        <w:ind w:right="720"/>
        <w:rPr>
          <w:rFonts w:ascii="Times New Roman" w:eastAsia="Arial Unicode MS" w:hAnsi="Times New Roman" w:cs="Times New Roman"/>
          <w:sz w:val="24"/>
          <w:szCs w:val="24"/>
          <w:bdr w:val="nil"/>
        </w:rPr>
      </w:pPr>
      <w:r w:rsidRPr="00785A4C">
        <w:rPr>
          <w:rFonts w:ascii="Times New Roman" w:eastAsia="Arial Unicode MS" w:hAnsi="Times New Roman" w:cs="Times New Roman"/>
          <w:sz w:val="24"/>
          <w:szCs w:val="24"/>
          <w:bdr w:val="nil"/>
        </w:rPr>
        <w:tab/>
        <w:t xml:space="preserve">The Settlement should be rejected to protect consumers. </w:t>
      </w:r>
    </w:p>
    <w:p w:rsidR="00726330" w:rsidRPr="004F4FFE" w:rsidP="00D97AEF">
      <w:pPr>
        <w:pBdr>
          <w:top w:val="nil"/>
          <w:left w:val="nil"/>
          <w:bottom w:val="nil"/>
          <w:right w:val="nil"/>
          <w:between w:val="nil"/>
          <w:bar w:val="nil"/>
        </w:pBdr>
        <w:tabs>
          <w:tab w:val="left" w:pos="720"/>
        </w:tabs>
        <w:spacing w:after="0" w:line="480" w:lineRule="auto"/>
        <w:ind w:right="720"/>
        <w:rPr>
          <w:rFonts w:ascii="Times New Roman" w:hAnsi="Times New Roman" w:cs="Times New Roman"/>
          <w:color w:val="3D3D3D"/>
          <w:sz w:val="24"/>
          <w:szCs w:val="24"/>
        </w:rPr>
      </w:pPr>
      <w:r>
        <w:rPr>
          <w:rFonts w:ascii="Times New Roman" w:eastAsia="Arial Unicode MS" w:hAnsi="Times New Roman" w:cs="Times New Roman"/>
          <w:sz w:val="24"/>
          <w:szCs w:val="24"/>
          <w:bdr w:val="nil"/>
        </w:rPr>
        <w:tab/>
      </w:r>
      <w:r>
        <w:rPr>
          <w:rFonts w:ascii="Times New Roman" w:eastAsia="Arial Unicode MS" w:hAnsi="Times New Roman" w:cs="Times New Roman"/>
          <w:sz w:val="24"/>
          <w:szCs w:val="24"/>
          <w:bdr w:val="nil"/>
        </w:rPr>
        <w:tab/>
      </w:r>
      <w:r>
        <w:rPr>
          <w:rFonts w:ascii="Times New Roman" w:eastAsia="Arial Unicode MS" w:hAnsi="Times New Roman" w:cs="Times New Roman"/>
          <w:sz w:val="24"/>
          <w:szCs w:val="24"/>
          <w:bdr w:val="nil"/>
        </w:rPr>
        <w:tab/>
      </w:r>
      <w:r>
        <w:rPr>
          <w:rFonts w:ascii="Times New Roman" w:eastAsia="Arial Unicode MS" w:hAnsi="Times New Roman" w:cs="Times New Roman"/>
          <w:sz w:val="24"/>
          <w:szCs w:val="24"/>
          <w:bdr w:val="nil"/>
        </w:rPr>
        <w:tab/>
      </w:r>
      <w:r>
        <w:rPr>
          <w:rFonts w:ascii="Times New Roman" w:eastAsia="Arial Unicode MS" w:hAnsi="Times New Roman" w:cs="Times New Roman"/>
          <w:sz w:val="24"/>
          <w:szCs w:val="24"/>
          <w:bdr w:val="nil"/>
        </w:rPr>
        <w:tab/>
      </w:r>
      <w:r>
        <w:rPr>
          <w:rFonts w:ascii="Times New Roman" w:eastAsia="Arial Unicode MS" w:hAnsi="Times New Roman" w:cs="Times New Roman"/>
          <w:sz w:val="24"/>
          <w:szCs w:val="24"/>
          <w:bdr w:val="nil"/>
        </w:rPr>
        <w:tab/>
      </w:r>
      <w:r w:rsidR="00E56065">
        <w:rPr>
          <w:rFonts w:ascii="Times New Roman" w:hAnsi="Times New Roman" w:cs="Times New Roman"/>
          <w:color w:val="3D3D3D"/>
          <w:sz w:val="24"/>
          <w:szCs w:val="24"/>
        </w:rPr>
        <w:t>Respectfully submitted,</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BRUCE WESTON (0016973)</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OHIO CONSUMERS’ COUNSEL</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ab/>
      </w:r>
    </w:p>
    <w:p w:rsidR="00E56065" w:rsidRPr="00E56065" w:rsidP="00E56065">
      <w:pPr>
        <w:spacing w:after="0" w:line="240" w:lineRule="auto"/>
        <w:ind w:left="4320"/>
        <w:rPr>
          <w:rFonts w:ascii="Times New Roman" w:hAnsi="Times New Roman" w:cs="Times New Roman"/>
          <w:i/>
          <w:sz w:val="24"/>
          <w:szCs w:val="24"/>
          <w:u w:val="single"/>
        </w:rPr>
      </w:pPr>
      <w:r>
        <w:rPr>
          <w:rFonts w:ascii="Times New Roman" w:hAnsi="Times New Roman" w:cs="Times New Roman"/>
          <w:i/>
          <w:sz w:val="24"/>
          <w:szCs w:val="24"/>
          <w:u w:val="single"/>
        </w:rPr>
        <w:t>/s/ William J. Michael</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William J. Michael (0070921)</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Counsel of Record</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Kevin F. Moore (0089228)</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Assistant Consumers’ Counsel</w:t>
      </w:r>
    </w:p>
    <w:p w:rsidR="00E56065" w:rsidRPr="0013336E" w:rsidP="00E56065">
      <w:pPr>
        <w:spacing w:after="0" w:line="240" w:lineRule="auto"/>
        <w:ind w:left="4320"/>
        <w:rPr>
          <w:rFonts w:ascii="Times New Roman" w:hAnsi="Times New Roman" w:cs="Times New Roman"/>
          <w:sz w:val="24"/>
          <w:szCs w:val="24"/>
        </w:rPr>
      </w:pPr>
    </w:p>
    <w:p w:rsidR="00E56065" w:rsidRPr="0013336E" w:rsidP="00E56065">
      <w:pPr>
        <w:spacing w:after="0" w:line="240" w:lineRule="auto"/>
        <w:ind w:left="4320"/>
        <w:rPr>
          <w:rFonts w:ascii="Times New Roman" w:hAnsi="Times New Roman" w:cs="Times New Roman"/>
          <w:b/>
          <w:sz w:val="24"/>
          <w:szCs w:val="24"/>
        </w:rPr>
      </w:pPr>
      <w:r w:rsidRPr="0013336E">
        <w:rPr>
          <w:rFonts w:ascii="Times New Roman" w:hAnsi="Times New Roman" w:cs="Times New Roman"/>
          <w:b/>
          <w:sz w:val="24"/>
          <w:szCs w:val="24"/>
        </w:rPr>
        <w:t>Office of the Ohio Consumers’ Counsel</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10 West Broad Street, Suite 1800</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Columbus, Ohio 43215-3485</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Telephone: 614-466-1291 (Michael Direct)</w:t>
      </w:r>
    </w:p>
    <w:p w:rsidR="00E56065" w:rsidRPr="0013336E" w:rsidP="00E56065">
      <w:pPr>
        <w:spacing w:after="0" w:line="240" w:lineRule="auto"/>
        <w:ind w:left="4320"/>
        <w:rPr>
          <w:rFonts w:ascii="Times New Roman" w:hAnsi="Times New Roman" w:cs="Times New Roman"/>
          <w:sz w:val="24"/>
          <w:szCs w:val="24"/>
        </w:rPr>
      </w:pPr>
      <w:r w:rsidRPr="0013336E">
        <w:rPr>
          <w:rFonts w:ascii="Times New Roman" w:hAnsi="Times New Roman" w:cs="Times New Roman"/>
          <w:sz w:val="24"/>
          <w:szCs w:val="24"/>
        </w:rPr>
        <w:t>Telephone: 614-387-2965 (Moore Direct)</w:t>
      </w:r>
    </w:p>
    <w:p w:rsidR="00E56065" w:rsidRPr="0013336E" w:rsidP="00E56065">
      <w:pPr>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13336E">
        <w:rPr>
          <w:rStyle w:val="Hyperlink"/>
          <w:rFonts w:ascii="Times New Roman" w:hAnsi="Times New Roman"/>
          <w:sz w:val="24"/>
          <w:szCs w:val="24"/>
        </w:rPr>
        <w:t>William.michael@occ.ohio.gov</w:t>
      </w:r>
      <w:r>
        <w:fldChar w:fldCharType="end"/>
      </w:r>
    </w:p>
    <w:p w:rsidR="00E56065" w:rsidRPr="0013336E" w:rsidP="00E56065">
      <w:pPr>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13336E">
        <w:rPr>
          <w:rStyle w:val="Hyperlink"/>
          <w:rFonts w:ascii="Times New Roman" w:hAnsi="Times New Roman"/>
          <w:sz w:val="24"/>
          <w:szCs w:val="24"/>
        </w:rPr>
        <w:t>Kevin.moore@occ.ohio.gov</w:t>
      </w:r>
      <w:r>
        <w:fldChar w:fldCharType="end"/>
      </w:r>
    </w:p>
    <w:p w:rsidR="00726330" w:rsidP="00726330">
      <w:pPr>
        <w:spacing w:after="0" w:line="240" w:lineRule="auto"/>
        <w:jc w:val="center"/>
        <w:rPr>
          <w:rFonts w:ascii="Times New Roman" w:eastAsia="Times New Roman" w:hAnsi="Times New Roman" w:cs="Times New Roman"/>
          <w:b/>
          <w:sz w:val="24"/>
          <w:szCs w:val="24"/>
        </w:rPr>
        <w:sectPr w:rsidSect="00D97AEF">
          <w:headerReference w:type="default" r:id="rId13"/>
          <w:pgSz w:w="12240" w:h="15840"/>
          <w:pgMar w:top="1152" w:right="1800" w:bottom="1008" w:left="1800" w:header="720" w:footer="720" w:gutter="0"/>
          <w:pgNumType w:start="1"/>
          <w:cols w:space="720"/>
          <w:docGrid w:linePitch="360"/>
        </w:sectPr>
      </w:pPr>
    </w:p>
    <w:p w:rsidR="00726330" w:rsidRPr="004F4FFE" w:rsidP="00726330">
      <w:pPr>
        <w:spacing w:after="0" w:line="240" w:lineRule="auto"/>
        <w:jc w:val="center"/>
        <w:rPr>
          <w:rFonts w:ascii="Times New Roman" w:eastAsia="Times New Roman" w:hAnsi="Times New Roman" w:cs="Times New Roman"/>
          <w:b/>
          <w:sz w:val="24"/>
          <w:szCs w:val="24"/>
        </w:rPr>
      </w:pPr>
      <w:r w:rsidRPr="004F4FFE">
        <w:rPr>
          <w:rFonts w:ascii="Times New Roman" w:eastAsia="Times New Roman" w:hAnsi="Times New Roman" w:cs="Times New Roman"/>
          <w:b/>
          <w:sz w:val="24"/>
          <w:szCs w:val="24"/>
        </w:rPr>
        <w:t>CERTIFICATE OF SERVICE</w:t>
      </w:r>
    </w:p>
    <w:p w:rsidR="00726330" w:rsidRPr="004F4FFE" w:rsidP="00726330">
      <w:pPr>
        <w:tabs>
          <w:tab w:val="left" w:pos="4500"/>
        </w:tabs>
        <w:spacing w:after="0" w:line="240" w:lineRule="auto"/>
        <w:jc w:val="center"/>
        <w:rPr>
          <w:rFonts w:ascii="Times New Roman" w:eastAsia="Times New Roman" w:hAnsi="Times New Roman" w:cs="Times New Roman"/>
          <w:sz w:val="24"/>
          <w:szCs w:val="24"/>
        </w:rPr>
      </w:pPr>
    </w:p>
    <w:p w:rsidR="00726330" w:rsidRPr="004F4FFE" w:rsidP="00726330">
      <w:pPr>
        <w:spacing w:after="0" w:line="480" w:lineRule="auto"/>
        <w:rPr>
          <w:rFonts w:ascii="Times New Roman" w:eastAsia="Times New Roman" w:hAnsi="Times New Roman" w:cs="Times New Roman"/>
          <w:sz w:val="24"/>
          <w:szCs w:val="24"/>
        </w:rPr>
      </w:pPr>
      <w:r w:rsidRPr="004F4FFE">
        <w:rPr>
          <w:rFonts w:ascii="Times New Roman" w:eastAsia="Times New Roman" w:hAnsi="Times New Roman" w:cs="Times New Roman"/>
          <w:sz w:val="24"/>
          <w:szCs w:val="24"/>
        </w:rPr>
        <w:tab/>
        <w:t xml:space="preserve">I hereby certify that a copy of the </w:t>
      </w:r>
      <w:r w:rsidR="00E56065">
        <w:rPr>
          <w:rFonts w:ascii="Times New Roman" w:eastAsia="Times New Roman" w:hAnsi="Times New Roman" w:cs="Times New Roman"/>
          <w:sz w:val="24"/>
          <w:szCs w:val="24"/>
        </w:rPr>
        <w:t xml:space="preserve">Post-Hearing Brief </w:t>
      </w:r>
      <w:r w:rsidRPr="004F4FFE">
        <w:rPr>
          <w:rFonts w:ascii="Times New Roman" w:eastAsia="Times New Roman" w:hAnsi="Times New Roman" w:cs="Times New Roman"/>
          <w:sz w:val="24"/>
          <w:szCs w:val="24"/>
        </w:rPr>
        <w:t xml:space="preserve">has been served via electronic transmission upon the following parties of record this </w:t>
      </w:r>
      <w:r w:rsidR="00E56065">
        <w:rPr>
          <w:rFonts w:ascii="Times New Roman" w:eastAsia="Times New Roman" w:hAnsi="Times New Roman" w:cs="Times New Roman"/>
          <w:sz w:val="24"/>
          <w:szCs w:val="24"/>
        </w:rPr>
        <w:t>29</w:t>
      </w:r>
      <w:r w:rsidRPr="00F21DD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4F4FFE">
        <w:rPr>
          <w:rFonts w:ascii="Times New Roman" w:eastAsia="Times New Roman" w:hAnsi="Times New Roman" w:cs="Times New Roman"/>
          <w:sz w:val="24"/>
          <w:szCs w:val="24"/>
        </w:rPr>
        <w:t xml:space="preserve">day of </w:t>
      </w:r>
      <w:r w:rsidR="00E56065">
        <w:rPr>
          <w:rFonts w:ascii="Times New Roman" w:eastAsia="Times New Roman" w:hAnsi="Times New Roman" w:cs="Times New Roman"/>
          <w:sz w:val="24"/>
          <w:szCs w:val="24"/>
        </w:rPr>
        <w:t>November</w:t>
      </w:r>
      <w:r w:rsidRPr="004F4FFE">
        <w:rPr>
          <w:rFonts w:ascii="Times New Roman" w:eastAsia="Times New Roman" w:hAnsi="Times New Roman" w:cs="Times New Roman"/>
          <w:sz w:val="24"/>
          <w:szCs w:val="24"/>
        </w:rPr>
        <w:t xml:space="preserve"> 2017.</w:t>
      </w:r>
    </w:p>
    <w:p w:rsidR="00726330" w:rsidRPr="004F4FFE" w:rsidP="00726330">
      <w:pPr>
        <w:spacing w:after="0" w:line="240" w:lineRule="auto"/>
        <w:rPr>
          <w:rFonts w:ascii="Times New Roman" w:eastAsia="Times New Roman" w:hAnsi="Times New Roman" w:cs="Times New Roman"/>
          <w:sz w:val="24"/>
          <w:szCs w:val="24"/>
        </w:rPr>
      </w:pP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i/>
          <w:sz w:val="24"/>
          <w:szCs w:val="24"/>
          <w:u w:val="single"/>
        </w:rPr>
        <w:t>/s/ William J. Michael</w:t>
      </w:r>
      <w:r w:rsidRPr="004F4FFE">
        <w:rPr>
          <w:rFonts w:ascii="Times New Roman" w:eastAsia="Times New Roman" w:hAnsi="Times New Roman" w:cs="Times New Roman"/>
          <w:sz w:val="24"/>
          <w:szCs w:val="24"/>
        </w:rPr>
        <w:t>________</w:t>
      </w:r>
    </w:p>
    <w:p w:rsidR="00726330" w:rsidRPr="004F4FFE" w:rsidP="00726330">
      <w:pPr>
        <w:spacing w:after="0" w:line="240" w:lineRule="auto"/>
        <w:rPr>
          <w:rFonts w:ascii="Times New Roman" w:eastAsia="Times New Roman" w:hAnsi="Times New Roman" w:cs="Times New Roman"/>
          <w:sz w:val="24"/>
          <w:szCs w:val="24"/>
        </w:rPr>
      </w:pP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t>William J. Michael</w:t>
      </w:r>
    </w:p>
    <w:p w:rsidR="00726330" w:rsidRPr="004F4FFE" w:rsidP="00726330">
      <w:pPr>
        <w:spacing w:after="0" w:line="240" w:lineRule="auto"/>
        <w:rPr>
          <w:rFonts w:ascii="Times New Roman" w:eastAsia="Times New Roman" w:hAnsi="Times New Roman" w:cs="Times New Roman"/>
          <w:sz w:val="24"/>
          <w:szCs w:val="24"/>
        </w:rPr>
      </w:pP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r>
      <w:r w:rsidRPr="004F4FFE">
        <w:rPr>
          <w:rFonts w:ascii="Times New Roman" w:eastAsia="Times New Roman" w:hAnsi="Times New Roman" w:cs="Times New Roman"/>
          <w:sz w:val="24"/>
          <w:szCs w:val="24"/>
        </w:rPr>
        <w:tab/>
        <w:t>Assistant Consumers’ Counsel</w:t>
      </w:r>
    </w:p>
    <w:p w:rsidR="00726330" w:rsidRPr="004F4FFE" w:rsidP="00726330">
      <w:pPr>
        <w:spacing w:after="0" w:line="240" w:lineRule="auto"/>
        <w:rPr>
          <w:rFonts w:ascii="Times New Roman" w:eastAsia="Times New Roman" w:hAnsi="Times New Roman" w:cs="Times New Roman"/>
          <w:sz w:val="24"/>
          <w:szCs w:val="24"/>
        </w:rPr>
      </w:pPr>
    </w:p>
    <w:p w:rsidR="00726330" w:rsidRPr="004F4FFE" w:rsidP="00726330">
      <w:pPr>
        <w:spacing w:after="0" w:line="240" w:lineRule="auto"/>
        <w:rPr>
          <w:rFonts w:ascii="Times New Roman" w:eastAsia="Times New Roman" w:hAnsi="Times New Roman" w:cs="Times New Roman"/>
          <w:sz w:val="24"/>
          <w:szCs w:val="24"/>
        </w:rPr>
      </w:pPr>
    </w:p>
    <w:p w:rsidR="00726330" w:rsidRPr="004F4FFE" w:rsidP="00726330">
      <w:pPr>
        <w:pStyle w:val="CommentText"/>
        <w:jc w:val="center"/>
        <w:rPr>
          <w:rFonts w:ascii="Times New Roman" w:hAnsi="Times New Roman" w:cs="Times New Roman"/>
          <w:b/>
          <w:sz w:val="24"/>
          <w:szCs w:val="24"/>
          <w:u w:val="single"/>
        </w:rPr>
      </w:pPr>
      <w:r w:rsidRPr="004F4FFE">
        <w:rPr>
          <w:rFonts w:ascii="Times New Roman" w:hAnsi="Times New Roman" w:cs="Times New Roman"/>
          <w:b/>
          <w:sz w:val="24"/>
          <w:szCs w:val="24"/>
          <w:u w:val="single"/>
        </w:rPr>
        <w:t>SERVICE LIST</w:t>
      </w: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4428"/>
      </w:tblGrid>
      <w:tr w:rsidTr="00726330">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tcPr>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"mailto:perko@carpenterlipps.com"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perko@carpenterlipps.com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"mailto:mfleisher@elpc.org"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mfleisher@elpc.org</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"mailto:cmooney@ohiopartners.org"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cmooney@ohiopartners.org</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"mailto:paul@carpenterlipps.com"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paul@carpenterlipps.com</w:t>
            </w:r>
            <w:r>
              <w:fldChar w:fldCharType="end"/>
            </w:r>
          </w:p>
          <w:p w:rsidR="00726330"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"mailto:mleppla@theOEC.org"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"mailto:tdougherty@theOEC.org"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tdougherty@theOEC.org</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"mailto:lhawrot@spilmanlaw.com"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lhawrot@spilmanlaw.com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"mailto:dwilliamson@spilmanlaw.com"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dwilliamson@spilmanlaw.com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"mailto:charris@spilmanlaw.com"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charris@spilmanlaw.com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"mailto:ibatikov@vorys.com"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ibatikov@vorys.com</w:t>
            </w:r>
            <w:r>
              <w:fldChar w:fldCharType="end"/>
            </w:r>
          </w:p>
          <w:p w:rsidR="00726330"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"mailto:whitt@whitt-sturtevant.com"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whitt@whitt-sturtevant.com</w:t>
            </w:r>
            <w:r>
              <w:fldChar w:fldCharType="end"/>
            </w:r>
          </w:p>
          <w:p w:rsidR="00726330" w:rsidP="0072633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"mailto:campbell@whitt-sturtevant.com"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campbell@whitt-sturtevant.com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"mailto:glover@whitt-sturtevant.com"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glover@whitt-sturtevant.com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"mailto:tony.mendoza@sierraclub.org"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tony.mendoza@sierraclub.org</w:t>
            </w:r>
            <w:r>
              <w:fldChar w:fldCharType="end"/>
            </w:r>
          </w:p>
          <w:p w:rsidR="00726330" w:rsidP="00726330">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"mailto:dborchers@bricker.com"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dborchers@bricker.com</w:t>
            </w:r>
            <w:r>
              <w:fldChar w:fldCharType="end"/>
            </w:r>
          </w:p>
          <w:p w:rsidR="00726330" w:rsidP="00726330">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"mailto:eakhbari@bricker.com"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eakhbari@bricker.com</w:t>
            </w:r>
            <w:r>
              <w:fldChar w:fldCharType="end"/>
            </w:r>
          </w:p>
          <w:p w:rsidR="00726330" w:rsidP="00726330">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"mailto:sechler@carpenterlipps.com"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sechler@carpenterlipps.com</w:t>
            </w:r>
            <w:r>
              <w:fldChar w:fldCharType="end"/>
            </w:r>
          </w:p>
          <w:p w:rsidR="00726330" w:rsidP="00726330">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"mailto:cpirik@dickinsonwright.com"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cpirik@dickinsonwright.com</w:t>
            </w:r>
            <w:r>
              <w:fldChar w:fldCharType="end"/>
            </w:r>
          </w:p>
          <w:p w:rsidR="00726330" w:rsidP="00726330">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"mailto:todonnell@dickinsonwright.com"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todonnell@dickinsonwright.com</w:t>
            </w:r>
            <w:r>
              <w:fldChar w:fldCharType="end"/>
            </w:r>
          </w:p>
          <w:p w:rsidR="00726330" w:rsidP="00726330">
            <w:pPr>
              <w:spacing w:after="0" w:line="240" w:lineRule="auto"/>
              <w:rPr>
                <w:rStyle w:val="Hyperlink"/>
                <w:rFonts w:ascii="Times New Roman" w:hAnsi="Times New Roman" w:eastAsiaTheme="minorHAnsi" w:cstheme="minorBidi"/>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"mailto:wvorys@dickinsonwright.com"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wvorys@dickinsonwright.com</w:t>
            </w:r>
            <w:r>
              <w:fldChar w:fldCharType="end"/>
            </w:r>
          </w:p>
          <w:p w:rsidR="000A7155" w:rsidP="00726330">
            <w:pPr>
              <w:spacing w:after="0" w:line="240" w:lineRule="auto"/>
              <w:rPr>
                <w:rStyle w:val="Hyperlink"/>
                <w:rFonts w:ascii="Times New Roman" w:hAnsi="Times New Roman" w:eastAsiaTheme="minorHAnsi" w:cstheme="minorBidi"/>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"mailto:callwein@keglerbrown.com" </w:instrText>
            </w:r>
            <w:r>
              <w:fldChar w:fldCharType="separate"/>
            </w:r>
            <w:r w:rsidRPr="009A1CF1">
              <w:rPr>
                <w:rStyle w:val="Hyperlink"/>
                <w:rFonts w:ascii="Times New Roman" w:hAnsi="Times New Roman" w:eastAsiaTheme="minorHAnsi" w:cstheme="minorBidi"/>
                <w:color w:val="0000FF"/>
                <w:sz w:val="24"/>
                <w:szCs w:val="24"/>
                <w:u w:val="single"/>
                <w:lang w:val="en-US" w:eastAsia="en-US" w:bidi="ar-SA"/>
              </w:rPr>
              <w:t>callwein@keglerbrown.com</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"mailto:werner.margard@ohioattorneygeneral.gov"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werner.margard@ohioattorneygeneral.gov</w:t>
            </w:r>
            <w:r>
              <w:fldChar w:fldCharType="end"/>
            </w:r>
          </w:p>
          <w:p w:rsidR="00726330"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"mailto:Robert.eubanks@ohioattorneygeneral.gov"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Robert.eubanks@ohioattorneygeneral.gov</w:t>
            </w:r>
            <w:r>
              <w:fldChar w:fldCharType="end"/>
            </w:r>
          </w:p>
          <w:p w:rsidR="00E56065" w:rsidP="00726330">
            <w:pPr>
              <w:spacing w:after="0" w:line="240" w:lineRule="auto"/>
              <w:rPr>
                <w:rStyle w:val="DefaultParagraphFont"/>
                <w:rFonts w:ascii="Times New Roman" w:hAnsi="Times New Roman" w:eastAsiaTheme="minorHAnsi" w:cs="Times New Roman"/>
                <w:sz w:val="24"/>
                <w:szCs w:val="24"/>
                <w:lang w:val="en-US" w:eastAsia="en-US" w:bidi="ar-SA"/>
              </w:rPr>
            </w:pPr>
          </w:p>
          <w:p w:rsidR="00E56065" w:rsidP="00726330">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Attorney Examiners:</w:t>
            </w:r>
          </w:p>
          <w:p w:rsidR="00E56065" w:rsidP="00726330">
            <w:pPr>
              <w:spacing w:after="0" w:line="240" w:lineRule="auto"/>
              <w:rPr>
                <w:rStyle w:val="DefaultParagraphFont"/>
                <w:rFonts w:ascii="Times New Roman" w:hAnsi="Times New Roman" w:eastAsiaTheme="minorHAnsi" w:cs="Times New Roman"/>
                <w:sz w:val="24"/>
                <w:szCs w:val="24"/>
                <w:lang w:val="en-US" w:eastAsia="en-US" w:bidi="ar-SA"/>
              </w:rPr>
            </w:pPr>
          </w:p>
          <w:p w:rsidR="00E56065" w:rsidP="00726330">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"mailto:Sarah.parrot@puc.state.oh.us" </w:instrText>
            </w:r>
            <w:r>
              <w:fldChar w:fldCharType="separate"/>
            </w:r>
            <w:r w:rsidRPr="0086319D">
              <w:rPr>
                <w:rStyle w:val="Hyperlink"/>
                <w:rFonts w:ascii="Times New Roman" w:hAnsi="Times New Roman" w:eastAsiaTheme="minorHAnsi" w:cs="Times New Roman"/>
                <w:color w:val="0000FF"/>
                <w:sz w:val="24"/>
                <w:szCs w:val="24"/>
                <w:u w:val="single"/>
                <w:lang w:val="en-US" w:eastAsia="en-US" w:bidi="ar-SA"/>
              </w:rPr>
              <w:t>Sarah.parrot@puc.state.oh.us</w:t>
            </w:r>
            <w:r>
              <w:fldChar w:fldCharType="end"/>
            </w:r>
          </w:p>
          <w:p w:rsidR="00726330" w:rsidRPr="00CD634A" w:rsidP="000A7155">
            <w:pPr>
              <w:spacing w:after="0" w:line="240" w:lineRule="auto"/>
              <w:rPr>
                <w:rStyle w:val="DefaultParagraphFont"/>
                <w:rFonts w:ascii="Times New Roman" w:hAnsi="Times New Roman" w:eastAsiaTheme="minorHAnsi" w:cs="Times New Roman"/>
                <w:b/>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"mailto:Greta.see@puc.state.oh.us"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Greta.see@puc.state.oh.us</w:t>
            </w:r>
            <w:r>
              <w:fldChar w:fldCharType="end"/>
            </w:r>
          </w:p>
        </w:tc>
        <w:tc>
          <w:tcPr>
            <w:tcW w:w="4428" w:type="dxa"/>
          </w:tcPr>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stnourse@aep.com</w:t>
            </w:r>
            <w:r>
              <w:fldChar w:fldCharType="end"/>
            </w:r>
          </w:p>
          <w:p w:rsidR="00726330" w:rsidP="00726330">
            <w:pPr>
              <w:spacing w:after="0" w:line="240" w:lineRule="auto"/>
              <w:ind w:left="101"/>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"mailto:msmckenzie@aep.com"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msmckenzie@aep.com</w:t>
            </w:r>
            <w:r>
              <w:fldChar w:fldCharType="end"/>
            </w:r>
          </w:p>
          <w:p w:rsidR="00726330" w:rsidP="00726330">
            <w:pPr>
              <w:spacing w:after="0" w:line="240" w:lineRule="auto"/>
              <w:ind w:left="101"/>
              <w:rPr>
                <w:rStyle w:val="Hyperlink"/>
                <w:rFonts w:ascii="Times New Roman" w:hAnsi="Times New Roman" w:eastAsiaTheme="minorHAnsi" w:cs="Times New Roman"/>
                <w:color w:val="auto"/>
                <w:sz w:val="24"/>
                <w:szCs w:val="24"/>
                <w:u w:val="non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"mailto:cmblend@aep.com"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cmblend@aep.com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"mailto:fdarr@mwncmh.com"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fdarr@mwncmh.com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mpritchard@mwncmh.com</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"mailto:Kurt.Helfrich@ThompsonHine.com"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Kurt.Helfrich@ThompsonHine.com</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"mailto:Stephanie.Chmiel@ThompsonHine.com"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Stephanie.Chmiel@ThompsonHine.com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"mailto:Michael.Austin@ThompsonHine.com"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Michael.Austin@ThompsonHine.com</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mkurtz@BKLlawfirm.com</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"mailto:kboehm@BKLlawfirm.com"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kboehm@BKLlawfirm.com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"mailto:jkylercohn@BKLlawfirm.com"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jkylercohn@BKLlawfirm.com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"mailto:rick.sites@ohiohospitals.org"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rick.sites@ohiohospitals.org</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"mailto:mwarnock@bricker.com"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mwarnock@bricker.com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"mailto:rdove@attorneydove.com"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rdove@attorneydove.com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"mailto:rsahli@columbus.rr.com"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rsahli@columbus.rr.com</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"mailto:mjsettineri@vorys.com"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mjsettineri@vorys.com</w:t>
            </w:r>
            <w:r>
              <w:fldChar w:fldCharType="end"/>
            </w:r>
          </w:p>
          <w:p w:rsidR="00726330" w:rsidP="00726330">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"mailto:glpetrucci@vorys.com"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glpetrucci@vorys.com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"mailto:ibatikov@vorys.com"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ibatikov@vorys.com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"mailto:joliker@igsenergy.com"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joliker@igsenergy.com</w:t>
            </w:r>
            <w:r>
              <w:fldChar w:fldCharType="end"/>
            </w:r>
          </w:p>
          <w:p w:rsidR="00726330" w:rsidP="00726330">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"mailto:mdortch@kravitzllc.com" </w:instrText>
            </w:r>
            <w:r>
              <w:fldChar w:fldCharType="separate"/>
            </w:r>
            <w:r w:rsidRPr="0086319D" w:rsidR="00E56065">
              <w:rPr>
                <w:rStyle w:val="Hyperlink"/>
                <w:rFonts w:ascii="Times New Roman" w:hAnsi="Times New Roman" w:eastAsiaTheme="minorHAnsi" w:cs="Times New Roman"/>
                <w:color w:val="0000FF"/>
                <w:sz w:val="24"/>
                <w:szCs w:val="24"/>
                <w:u w:val="single"/>
                <w:lang w:val="en-US" w:eastAsia="en-US" w:bidi="ar-SA"/>
              </w:rPr>
              <w:t>mdortch@kravitzllc.com</w:t>
            </w:r>
            <w:r>
              <w:fldChar w:fldCharType="end"/>
            </w:r>
          </w:p>
          <w:p w:rsidR="00726330" w:rsidP="00726330">
            <w:pPr>
              <w:spacing w:after="0" w:line="240" w:lineRule="auto"/>
              <w:ind w:left="101"/>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"mailto:amy.spiller@duke-energy.com"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amy.spiller@duke-energy.com</w:t>
            </w:r>
            <w:r>
              <w:fldChar w:fldCharType="end"/>
            </w:r>
          </w:p>
          <w:p w:rsidR="00726330" w:rsidP="00726330">
            <w:pPr>
              <w:spacing w:after="0" w:line="240" w:lineRule="auto"/>
              <w:ind w:left="101"/>
              <w:rPr>
                <w:rStyle w:val="DefaultParagraphFont"/>
                <w:rFonts w:ascii="Times New Roman" w:hAnsi="Times New Roman" w:eastAsiaTheme="minorHAnsi" w:cstheme="minorBidi"/>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"mailto:Elizabeth.watts@duke-energy.com"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Elizabeth.watts@duke-energy.com</w:t>
            </w:r>
            <w:r>
              <w:fldChar w:fldCharType="end"/>
            </w:r>
          </w:p>
          <w:p w:rsidR="00726330" w:rsidRPr="00CD634A" w:rsidP="000A7155">
            <w:pPr>
              <w:spacing w:after="0" w:line="240" w:lineRule="auto"/>
              <w:rPr>
                <w:rStyle w:val="DefaultParagraphFont"/>
                <w:rFonts w:ascii="Times New Roman" w:hAnsi="Times New Roman" w:eastAsiaTheme="minorHAnsi" w:cs="Times New Roman"/>
                <w:b/>
                <w:sz w:val="24"/>
                <w:szCs w:val="24"/>
                <w:lang w:val="en-US" w:eastAsia="en-US" w:bidi="ar-SA"/>
              </w:rPr>
            </w:pPr>
            <w:r w:rsidRPr="00CD634A">
              <w:rPr>
                <w:rFonts w:ascii="Times New Roman" w:hAnsi="Times New Roman" w:eastAsiaTheme="minorHAnsi" w:cs="Times New Roman"/>
                <w:sz w:val="24"/>
                <w:szCs w:val="24"/>
                <w:lang w:val="en-US" w:eastAsia="en-US" w:bidi="ar-SA"/>
              </w:rPr>
              <w:t xml:space="preserve">  </w:t>
            </w:r>
            <w:r>
              <w:fldChar w:fldCharType="begin"/>
            </w:r>
            <w:r>
              <w:rPr>
                <w:rFonts w:asciiTheme="minorHAnsi" w:eastAsiaTheme="minorHAnsi" w:hAnsiTheme="minorHAnsi" w:cstheme="minorBidi"/>
                <w:sz w:val="22"/>
                <w:szCs w:val="22"/>
                <w:lang w:val="en-US" w:eastAsia="en-US" w:bidi="ar-SA"/>
              </w:rPr>
              <w:instrText xml:space="preserve"> HYPERLINK "mailto:joe.halso@sierraclub.org" </w:instrText>
            </w:r>
            <w:r>
              <w:fldChar w:fldCharType="separate"/>
            </w:r>
            <w:r w:rsidRPr="0086319D" w:rsidR="00E56065">
              <w:rPr>
                <w:rStyle w:val="Hyperlink"/>
                <w:rFonts w:ascii="Times New Roman" w:hAnsi="Times New Roman" w:eastAsiaTheme="minorHAnsi" w:cstheme="minorBidi"/>
                <w:color w:val="0000FF"/>
                <w:sz w:val="24"/>
                <w:szCs w:val="24"/>
                <w:u w:val="single"/>
                <w:lang w:val="en-US" w:eastAsia="en-US" w:bidi="ar-SA"/>
              </w:rPr>
              <w:t>joe.halso@sierraclub.org</w:t>
            </w:r>
            <w:r>
              <w:fldChar w:fldCharType="end"/>
            </w:r>
          </w:p>
        </w:tc>
      </w:tr>
    </w:tbl>
    <w:p w:rsidR="00726330" w:rsidRPr="004F4FFE" w:rsidP="00726330">
      <w:pPr>
        <w:tabs>
          <w:tab w:val="left" w:pos="5400"/>
        </w:tabs>
        <w:spacing w:line="240" w:lineRule="auto"/>
        <w:jc w:val="center"/>
        <w:rPr>
          <w:rFonts w:ascii="Times New Roman" w:hAnsi="Times New Roman" w:cs="Times New Roman"/>
          <w:b/>
          <w:sz w:val="24"/>
          <w:szCs w:val="24"/>
          <w:u w:val="single"/>
        </w:rPr>
      </w:pPr>
    </w:p>
    <w:p w:rsidR="00726330" w:rsidRPr="004F4FFE" w:rsidP="00726330">
      <w:pPr>
        <w:spacing w:line="480" w:lineRule="auto"/>
        <w:rPr>
          <w:rFonts w:ascii="Times New Roman" w:hAnsi="Times New Roman" w:cs="Times New Roman"/>
          <w:sz w:val="24"/>
          <w:szCs w:val="24"/>
        </w:rPr>
      </w:pPr>
    </w:p>
    <w:sectPr w:rsidSect="00726330">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AEF">
    <w:pPr>
      <w:pStyle w:val="Footer"/>
      <w:jc w:val="center"/>
    </w:pPr>
  </w:p>
  <w:p w:rsidR="00617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6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2915816"/>
      <w:docPartObj>
        <w:docPartGallery w:val="Page Numbers (Bottom of Page)"/>
        <w:docPartUnique/>
      </w:docPartObj>
    </w:sdtPr>
    <w:sdtEndPr>
      <w:rPr>
        <w:noProof/>
      </w:rPr>
    </w:sdtEndPr>
    <w:sdtContent>
      <w:p w:rsidR="00D97AE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D97A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E0A" w:rsidRPr="00FC68D8" w:rsidP="0072633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7E0A">
      <w:pPr>
        <w:spacing w:after="0" w:line="240" w:lineRule="auto"/>
      </w:pPr>
      <w:r>
        <w:separator/>
      </w:r>
    </w:p>
  </w:footnote>
  <w:footnote w:type="continuationSeparator" w:id="1">
    <w:p w:rsidR="00617E0A">
      <w:pPr>
        <w:spacing w:after="0" w:line="240" w:lineRule="auto"/>
      </w:pPr>
      <w:r>
        <w:continuationSeparator/>
      </w:r>
    </w:p>
  </w:footnote>
  <w:footnote w:id="2">
    <w:p w:rsidR="00617E0A" w:rsidRPr="00663EC4" w:rsidP="00663EC4">
      <w:pPr>
        <w:pStyle w:val="FootnoteText"/>
        <w:spacing w:after="120"/>
      </w:pPr>
      <w:r w:rsidRPr="00663EC4">
        <w:rPr>
          <w:rStyle w:val="FootnoteReference"/>
        </w:rPr>
        <w:footnoteRef/>
      </w:r>
      <w:r w:rsidRPr="00663EC4">
        <w:t xml:space="preserve"> See </w:t>
      </w:r>
      <w:r w:rsidRPr="00663EC4">
        <w:rPr>
          <w:i/>
        </w:rPr>
        <w:t>In the Matter of the Application Seeking Approval of Ohio Power Company’s Proposal to Enter into an Affiliate Power Purchase Agreement in the Power Purchase Agreement Rider</w:t>
      </w:r>
      <w:r w:rsidRPr="00663EC4">
        <w:t>, Case No. 14-1693-EL-RDR.</w:t>
      </w:r>
    </w:p>
  </w:footnote>
  <w:footnote w:id="3">
    <w:p w:rsidR="00617E0A" w:rsidRPr="00663EC4" w:rsidP="00663EC4">
      <w:pPr>
        <w:pStyle w:val="FootnoteText"/>
        <w:spacing w:after="120"/>
      </w:pPr>
      <w:r w:rsidRPr="00663EC4">
        <w:rPr>
          <w:rStyle w:val="FootnoteReference"/>
        </w:rPr>
        <w:footnoteRef/>
      </w:r>
      <w:r w:rsidRPr="00663EC4">
        <w:t xml:space="preserve"> See id. at Joint Stipulation and Recommendation filed December 14, 2015 (Joint Ex. 1).</w:t>
      </w:r>
    </w:p>
  </w:footnote>
  <w:footnote w:id="4">
    <w:p w:rsidR="00617E0A" w:rsidRPr="00663EC4" w:rsidP="00663EC4">
      <w:pPr>
        <w:pStyle w:val="FootnoteText"/>
        <w:spacing w:after="120"/>
      </w:pPr>
      <w:r w:rsidRPr="00663EC4">
        <w:rPr>
          <w:rStyle w:val="FootnoteReference"/>
        </w:rPr>
        <w:footnoteRef/>
      </w:r>
      <w:r w:rsidRPr="00663EC4">
        <w:t xml:space="preserve"> 56 Ohio St.2d 367 (1978); see also O.A.C. 4901-1-30(E).</w:t>
      </w:r>
    </w:p>
  </w:footnote>
  <w:footnote w:id="5">
    <w:p w:rsidR="00617E0A" w:rsidRPr="00663EC4" w:rsidP="00663EC4">
      <w:pPr>
        <w:pStyle w:val="FootnoteText"/>
        <w:spacing w:after="120"/>
      </w:pPr>
      <w:r w:rsidRPr="00663EC4">
        <w:rPr>
          <w:rStyle w:val="FootnoteReference"/>
        </w:rPr>
        <w:footnoteRef/>
      </w:r>
      <w:r w:rsidRPr="00663EC4">
        <w:t xml:space="preserve"> See id.</w:t>
      </w:r>
    </w:p>
  </w:footnote>
  <w:footnote w:id="6">
    <w:p w:rsidR="00617E0A" w:rsidRPr="00663EC4" w:rsidP="00D50A0D">
      <w:pPr>
        <w:pStyle w:val="FootnoteText"/>
        <w:spacing w:after="120"/>
      </w:pPr>
      <w:r>
        <w:rPr>
          <w:rStyle w:val="FootnoteReference"/>
        </w:rPr>
        <w:footnoteRef/>
      </w:r>
      <w:r>
        <w:t xml:space="preserve"> </w:t>
      </w:r>
      <w:r w:rsidRPr="00663EC4">
        <w:t>64 Ohio St.3d 123, 126 (1992).</w:t>
      </w:r>
    </w:p>
    <w:p w:rsidR="00617E0A">
      <w:pPr>
        <w:pStyle w:val="FootnoteText"/>
      </w:pPr>
    </w:p>
  </w:footnote>
  <w:footnote w:id="7">
    <w:p w:rsidR="00617E0A" w:rsidRPr="00663EC4" w:rsidP="00663EC4">
      <w:pPr>
        <w:pStyle w:val="FootnoteText"/>
        <w:spacing w:after="120"/>
      </w:pPr>
      <w:r w:rsidRPr="00663EC4">
        <w:rPr>
          <w:rStyle w:val="FootnoteReference"/>
        </w:rPr>
        <w:footnoteRef/>
      </w:r>
      <w:r w:rsidRPr="00663EC4">
        <w:t xml:space="preserve"> See R.C. 4928.143(C)(1).</w:t>
      </w:r>
    </w:p>
  </w:footnote>
  <w:footnote w:id="8">
    <w:p w:rsidR="00617E0A" w:rsidRPr="00663EC4" w:rsidP="00663EC4">
      <w:pPr>
        <w:pStyle w:val="FootnoteText"/>
        <w:spacing w:after="120"/>
      </w:pPr>
      <w:r w:rsidRPr="00663EC4">
        <w:rPr>
          <w:rStyle w:val="FootnoteReference"/>
        </w:rPr>
        <w:footnoteRef/>
      </w:r>
      <w:r w:rsidRPr="00663EC4">
        <w:t xml:space="preserve"> Supplemental Testimony of Michael P. Haugh (OCC Ex. 8) filed October 11, 2017 (“Haugh Testimony”) at 4:17-18.</w:t>
      </w:r>
    </w:p>
  </w:footnote>
  <w:footnote w:id="9">
    <w:p w:rsidR="00617E0A" w:rsidRPr="00663EC4" w:rsidP="00663EC4">
      <w:pPr>
        <w:pStyle w:val="FootnoteText"/>
        <w:spacing w:after="120"/>
      </w:pPr>
      <w:r w:rsidRPr="00663EC4">
        <w:rPr>
          <w:rStyle w:val="FootnoteReference"/>
        </w:rPr>
        <w:footnoteRef/>
      </w:r>
      <w:r w:rsidRPr="00663EC4">
        <w:t xml:space="preserve"> Id. at 7:3-5.</w:t>
      </w:r>
    </w:p>
  </w:footnote>
  <w:footnote w:id="10">
    <w:p w:rsidR="00617E0A" w:rsidRPr="00663EC4" w:rsidP="00663EC4">
      <w:pPr>
        <w:pStyle w:val="FootnoteText"/>
        <w:spacing w:after="120"/>
      </w:pPr>
      <w:r w:rsidRPr="00663EC4">
        <w:rPr>
          <w:rStyle w:val="FootnoteReference"/>
        </w:rPr>
        <w:footnoteRef/>
      </w:r>
      <w:r w:rsidRPr="00663EC4">
        <w:t xml:space="preserve"> Id. at 7:5-6.</w:t>
      </w:r>
    </w:p>
  </w:footnote>
  <w:footnote w:id="11">
    <w:p w:rsidR="00617E0A" w:rsidRPr="00663EC4" w:rsidP="00663EC4">
      <w:pPr>
        <w:pStyle w:val="FootnoteText"/>
        <w:spacing w:after="120"/>
      </w:pPr>
      <w:r w:rsidRPr="00663EC4">
        <w:rPr>
          <w:rStyle w:val="FootnoteReference"/>
        </w:rPr>
        <w:footnoteRef/>
      </w:r>
      <w:r w:rsidRPr="00663EC4">
        <w:t xml:space="preserve"> Id. at 7:6-8.</w:t>
      </w:r>
    </w:p>
  </w:footnote>
  <w:footnote w:id="12">
    <w:p w:rsidR="00617E0A" w:rsidRPr="00663EC4" w:rsidP="00663EC4">
      <w:pPr>
        <w:pStyle w:val="FootnoteText"/>
        <w:spacing w:after="120"/>
      </w:pPr>
      <w:r w:rsidRPr="00663EC4">
        <w:rPr>
          <w:rStyle w:val="FootnoteReference"/>
        </w:rPr>
        <w:footnoteRef/>
      </w:r>
      <w:r w:rsidRPr="00663EC4">
        <w:t xml:space="preserve"> Id. at 7:10-12.</w:t>
      </w:r>
    </w:p>
  </w:footnote>
  <w:footnote w:id="13">
    <w:p w:rsidR="00617E0A" w:rsidRPr="00663EC4" w:rsidP="00663EC4">
      <w:pPr>
        <w:pStyle w:val="FootnoteText"/>
        <w:spacing w:after="120"/>
      </w:pPr>
      <w:r w:rsidRPr="00663EC4">
        <w:rPr>
          <w:rStyle w:val="FootnoteReference"/>
        </w:rPr>
        <w:footnoteRef/>
      </w:r>
      <w:r w:rsidRPr="00663EC4">
        <w:t xml:space="preserve"> Id. at 7:12-13.</w:t>
      </w:r>
    </w:p>
  </w:footnote>
  <w:footnote w:id="14">
    <w:p w:rsidR="00617E0A" w:rsidRPr="00663EC4" w:rsidP="00663EC4">
      <w:pPr>
        <w:pStyle w:val="FootnoteText"/>
        <w:spacing w:after="120"/>
      </w:pPr>
      <w:r w:rsidRPr="00663EC4">
        <w:rPr>
          <w:rStyle w:val="FootnoteReference"/>
        </w:rPr>
        <w:footnoteRef/>
      </w:r>
      <w:r w:rsidRPr="00663EC4">
        <w:t xml:space="preserve"> Id. at 7:16-17.</w:t>
      </w:r>
    </w:p>
  </w:footnote>
  <w:footnote w:id="15">
    <w:p w:rsidR="00617E0A" w:rsidRPr="00663EC4" w:rsidP="00663EC4">
      <w:pPr>
        <w:pStyle w:val="FootnoteText"/>
        <w:spacing w:after="120"/>
      </w:pPr>
      <w:r w:rsidRPr="00663EC4">
        <w:rPr>
          <w:rStyle w:val="FootnoteReference"/>
        </w:rPr>
        <w:footnoteRef/>
      </w:r>
      <w:r w:rsidRPr="00663EC4">
        <w:t xml:space="preserve"> Id. at 7:17-19.</w:t>
      </w:r>
    </w:p>
  </w:footnote>
  <w:footnote w:id="16">
    <w:p w:rsidR="00617E0A" w:rsidRPr="00663EC4" w:rsidP="00663EC4">
      <w:pPr>
        <w:pStyle w:val="FootnoteText"/>
        <w:spacing w:after="120"/>
      </w:pPr>
      <w:r w:rsidRPr="00663EC4">
        <w:rPr>
          <w:rStyle w:val="FootnoteReference"/>
        </w:rPr>
        <w:footnoteRef/>
      </w:r>
      <w:r w:rsidRPr="00663EC4">
        <w:t xml:space="preserve"> Id. at 7:19-21.</w:t>
      </w:r>
    </w:p>
  </w:footnote>
  <w:footnote w:id="17">
    <w:p w:rsidR="00617E0A" w:rsidRPr="00663EC4" w:rsidP="00663EC4">
      <w:pPr>
        <w:pStyle w:val="FootnoteText"/>
        <w:spacing w:after="120"/>
      </w:pPr>
      <w:r w:rsidRPr="00663EC4">
        <w:rPr>
          <w:rStyle w:val="FootnoteReference"/>
        </w:rPr>
        <w:footnoteRef/>
      </w:r>
      <w:r w:rsidRPr="00663EC4">
        <w:t xml:space="preserve"> Id. at 7:21-8:2.</w:t>
      </w:r>
    </w:p>
  </w:footnote>
  <w:footnote w:id="18">
    <w:p w:rsidR="00617E0A" w:rsidRPr="00663EC4" w:rsidP="00663EC4">
      <w:pPr>
        <w:pStyle w:val="FootnoteText"/>
        <w:spacing w:after="120"/>
      </w:pPr>
      <w:r w:rsidRPr="00663EC4">
        <w:rPr>
          <w:rStyle w:val="FootnoteReference"/>
        </w:rPr>
        <w:footnoteRef/>
      </w:r>
      <w:r w:rsidRPr="00663EC4">
        <w:t xml:space="preserve"> Id. at 8:2-4.</w:t>
      </w:r>
    </w:p>
  </w:footnote>
  <w:footnote w:id="19">
    <w:p w:rsidR="00617E0A" w:rsidRPr="00663EC4" w:rsidP="00663EC4">
      <w:pPr>
        <w:pStyle w:val="FootnoteText"/>
        <w:spacing w:after="120"/>
      </w:pPr>
      <w:r w:rsidRPr="00663EC4">
        <w:rPr>
          <w:rStyle w:val="FootnoteReference"/>
        </w:rPr>
        <w:footnoteRef/>
      </w:r>
      <w:r w:rsidRPr="00663EC4">
        <w:t xml:space="preserve"> Id. at 8:15-18.</w:t>
      </w:r>
    </w:p>
  </w:footnote>
  <w:footnote w:id="20">
    <w:p w:rsidR="00617E0A" w:rsidRPr="00663EC4" w:rsidP="00663EC4">
      <w:pPr>
        <w:pStyle w:val="FootnoteText"/>
        <w:spacing w:after="120"/>
      </w:pPr>
      <w:r w:rsidRPr="00663EC4">
        <w:rPr>
          <w:rStyle w:val="FootnoteReference"/>
        </w:rPr>
        <w:footnoteRef/>
      </w:r>
      <w:r w:rsidRPr="00663EC4">
        <w:t xml:space="preserve"> Id. at 9:9-12.</w:t>
      </w:r>
    </w:p>
  </w:footnote>
  <w:footnote w:id="21">
    <w:p w:rsidR="00617E0A" w:rsidRPr="00663EC4" w:rsidP="00663EC4">
      <w:pPr>
        <w:pStyle w:val="FootnoteText"/>
        <w:spacing w:after="120"/>
      </w:pPr>
      <w:r w:rsidRPr="00663EC4">
        <w:rPr>
          <w:rStyle w:val="FootnoteReference"/>
        </w:rPr>
        <w:footnoteRef/>
      </w:r>
      <w:r w:rsidRPr="00663EC4">
        <w:t xml:space="preserve"> Id. at 9:12-13.</w:t>
      </w:r>
    </w:p>
  </w:footnote>
  <w:footnote w:id="22">
    <w:p w:rsidR="00617E0A" w:rsidRPr="00663EC4" w:rsidP="00663EC4">
      <w:pPr>
        <w:pStyle w:val="FootnoteText"/>
        <w:spacing w:after="120"/>
      </w:pPr>
      <w:r w:rsidRPr="00663EC4">
        <w:rPr>
          <w:rStyle w:val="FootnoteReference"/>
        </w:rPr>
        <w:footnoteRef/>
      </w:r>
      <w:r w:rsidRPr="00663EC4">
        <w:t xml:space="preserve"> Id. at 9:13-14.</w:t>
      </w:r>
    </w:p>
  </w:footnote>
  <w:footnote w:id="23">
    <w:p w:rsidR="00617E0A" w:rsidRPr="00663EC4" w:rsidP="00663EC4">
      <w:pPr>
        <w:pStyle w:val="FootnoteText"/>
        <w:spacing w:after="120"/>
      </w:pPr>
      <w:r w:rsidRPr="00663EC4">
        <w:rPr>
          <w:rStyle w:val="FootnoteReference"/>
        </w:rPr>
        <w:footnoteRef/>
      </w:r>
      <w:r w:rsidRPr="00663EC4">
        <w:t xml:space="preserve"> Id. at 9:14-16.</w:t>
      </w:r>
    </w:p>
  </w:footnote>
  <w:footnote w:id="24">
    <w:p w:rsidR="00617E0A" w:rsidRPr="00663EC4" w:rsidP="00663EC4">
      <w:pPr>
        <w:pStyle w:val="FootnoteText"/>
        <w:spacing w:after="120"/>
      </w:pPr>
      <w:r w:rsidRPr="00663EC4">
        <w:rPr>
          <w:rStyle w:val="FootnoteReference"/>
        </w:rPr>
        <w:footnoteRef/>
      </w:r>
      <w:r w:rsidRPr="00663EC4">
        <w:t xml:space="preserve"> Id. at 9:17-18.</w:t>
      </w:r>
    </w:p>
  </w:footnote>
  <w:footnote w:id="25">
    <w:p w:rsidR="00617E0A" w:rsidRPr="00663EC4" w:rsidP="00663EC4">
      <w:pPr>
        <w:pStyle w:val="FootnoteText"/>
        <w:spacing w:after="120"/>
      </w:pPr>
      <w:r w:rsidRPr="00663EC4">
        <w:rPr>
          <w:rStyle w:val="FootnoteReference"/>
        </w:rPr>
        <w:footnoteRef/>
      </w:r>
      <w:r w:rsidRPr="00663EC4">
        <w:t xml:space="preserve"> Id. at 9:18-21.</w:t>
      </w:r>
    </w:p>
  </w:footnote>
  <w:footnote w:id="26">
    <w:p w:rsidR="00617E0A" w:rsidRPr="00663EC4" w:rsidP="00663EC4">
      <w:pPr>
        <w:pStyle w:val="FootnoteText"/>
        <w:spacing w:after="120"/>
      </w:pPr>
      <w:r w:rsidRPr="00663EC4">
        <w:rPr>
          <w:rStyle w:val="FootnoteReference"/>
        </w:rPr>
        <w:footnoteRef/>
      </w:r>
      <w:r w:rsidRPr="00663EC4">
        <w:t xml:space="preserve"> Id. at 10:2-4.</w:t>
      </w:r>
    </w:p>
  </w:footnote>
  <w:footnote w:id="27">
    <w:p w:rsidR="00617E0A" w:rsidRPr="00663EC4" w:rsidP="00663EC4">
      <w:pPr>
        <w:pStyle w:val="FootnoteText"/>
        <w:spacing w:after="120"/>
      </w:pPr>
      <w:r w:rsidRPr="00663EC4">
        <w:rPr>
          <w:rStyle w:val="FootnoteReference"/>
        </w:rPr>
        <w:footnoteRef/>
      </w:r>
      <w:r w:rsidRPr="00663EC4">
        <w:t xml:space="preserve"> Id. at 10:7-8; see also R.C. 4905.33-.35.</w:t>
      </w:r>
    </w:p>
  </w:footnote>
  <w:footnote w:id="28">
    <w:p w:rsidR="00617E0A" w:rsidRPr="00663EC4" w:rsidP="00663EC4">
      <w:pPr>
        <w:pStyle w:val="FootnoteText"/>
        <w:spacing w:after="120"/>
      </w:pPr>
      <w:r w:rsidRPr="00663EC4">
        <w:rPr>
          <w:rStyle w:val="FootnoteReference"/>
        </w:rPr>
        <w:footnoteRef/>
      </w:r>
      <w:r w:rsidRPr="00663EC4">
        <w:t xml:space="preserve"> See Haugh Testimony at 10:11-12.</w:t>
      </w:r>
    </w:p>
  </w:footnote>
  <w:footnote w:id="29">
    <w:p w:rsidR="00617E0A" w:rsidRPr="00663EC4" w:rsidP="00663EC4">
      <w:pPr>
        <w:pStyle w:val="FootnoteText"/>
        <w:spacing w:after="120"/>
      </w:pPr>
      <w:r w:rsidRPr="00663EC4">
        <w:rPr>
          <w:rStyle w:val="FootnoteReference"/>
        </w:rPr>
        <w:footnoteRef/>
      </w:r>
      <w:r w:rsidRPr="00663EC4">
        <w:t xml:space="preserve"> See id. at 10:19-20.</w:t>
      </w:r>
    </w:p>
  </w:footnote>
  <w:footnote w:id="30">
    <w:p w:rsidR="00617E0A" w:rsidRPr="00663EC4" w:rsidP="00663EC4">
      <w:pPr>
        <w:pStyle w:val="FootnoteText"/>
        <w:spacing w:after="120"/>
      </w:pPr>
      <w:r w:rsidRPr="00663EC4">
        <w:rPr>
          <w:rStyle w:val="FootnoteReference"/>
        </w:rPr>
        <w:footnoteRef/>
      </w:r>
      <w:r w:rsidRPr="00663EC4">
        <w:t xml:space="preserve"> See id. at 10:21-11:1.</w:t>
      </w:r>
    </w:p>
  </w:footnote>
  <w:footnote w:id="31">
    <w:p w:rsidR="00617E0A" w:rsidRPr="00663EC4" w:rsidP="00663EC4">
      <w:pPr>
        <w:pStyle w:val="FootnoteText"/>
        <w:spacing w:after="120"/>
      </w:pPr>
      <w:r w:rsidRPr="00663EC4">
        <w:rPr>
          <w:rStyle w:val="FootnoteReference"/>
        </w:rPr>
        <w:footnoteRef/>
      </w:r>
      <w:r w:rsidRPr="00663EC4">
        <w:t xml:space="preserve"> See id. at 11:1-2.</w:t>
      </w:r>
    </w:p>
  </w:footnote>
  <w:footnote w:id="32">
    <w:p w:rsidR="00617E0A" w:rsidRPr="00663EC4" w:rsidP="00663EC4">
      <w:pPr>
        <w:pStyle w:val="FootnoteText"/>
        <w:spacing w:after="120"/>
      </w:pPr>
      <w:r w:rsidRPr="00663EC4">
        <w:rPr>
          <w:rStyle w:val="FootnoteReference"/>
        </w:rPr>
        <w:footnoteRef/>
      </w:r>
      <w:r w:rsidRPr="00663EC4">
        <w:t xml:space="preserve"> Id. at 11:2-3.</w:t>
      </w:r>
    </w:p>
  </w:footnote>
  <w:footnote w:id="33">
    <w:p w:rsidR="00617E0A" w:rsidRPr="00663EC4" w:rsidP="00663EC4">
      <w:pPr>
        <w:pStyle w:val="FootnoteText"/>
        <w:spacing w:after="120"/>
      </w:pPr>
      <w:r w:rsidRPr="00663EC4">
        <w:rPr>
          <w:rStyle w:val="FootnoteReference"/>
        </w:rPr>
        <w:footnoteRef/>
      </w:r>
      <w:r w:rsidRPr="00663EC4">
        <w:t xml:space="preserve"> Id. at 11:3-5.</w:t>
      </w:r>
    </w:p>
  </w:footnote>
  <w:footnote w:id="34">
    <w:p w:rsidR="00617E0A" w:rsidRPr="00663EC4" w:rsidP="00663EC4">
      <w:pPr>
        <w:pStyle w:val="FootnoteText"/>
        <w:spacing w:after="120"/>
      </w:pPr>
      <w:r w:rsidRPr="00663EC4">
        <w:rPr>
          <w:rStyle w:val="FootnoteReference"/>
        </w:rPr>
        <w:footnoteRef/>
      </w:r>
      <w:r w:rsidRPr="00663EC4">
        <w:t xml:space="preserve"> Id. at 11:9-12.</w:t>
      </w:r>
    </w:p>
  </w:footnote>
  <w:footnote w:id="35">
    <w:p w:rsidR="00617E0A" w:rsidRPr="00663EC4" w:rsidP="00663EC4">
      <w:pPr>
        <w:pStyle w:val="FootnoteText"/>
        <w:spacing w:after="120"/>
      </w:pPr>
      <w:r w:rsidRPr="00663EC4">
        <w:rPr>
          <w:rStyle w:val="FootnoteReference"/>
        </w:rPr>
        <w:footnoteRef/>
      </w:r>
      <w:r w:rsidRPr="00663EC4">
        <w:t xml:space="preserve"> See id. at 11:16-19; 12:1-12.</w:t>
      </w:r>
    </w:p>
  </w:footnote>
  <w:footnote w:id="36">
    <w:p w:rsidR="00617E0A" w:rsidRPr="00663EC4" w:rsidP="00663EC4">
      <w:pPr>
        <w:pStyle w:val="FootnoteText"/>
        <w:spacing w:after="120"/>
      </w:pPr>
      <w:r w:rsidRPr="00663EC4">
        <w:rPr>
          <w:rStyle w:val="FootnoteReference"/>
        </w:rPr>
        <w:footnoteRef/>
      </w:r>
      <w:r w:rsidRPr="00663EC4">
        <w:t xml:space="preserve"> Id. at 12:11-12.</w:t>
      </w:r>
    </w:p>
  </w:footnote>
  <w:footnote w:id="37">
    <w:p w:rsidR="00617E0A" w:rsidRPr="00663EC4" w:rsidP="00663EC4">
      <w:pPr>
        <w:pStyle w:val="FootnoteText"/>
        <w:spacing w:after="120"/>
      </w:pPr>
      <w:r w:rsidRPr="00663EC4">
        <w:rPr>
          <w:rStyle w:val="FootnoteReference"/>
        </w:rPr>
        <w:footnoteRef/>
      </w:r>
      <w:r w:rsidRPr="00663EC4">
        <w:t xml:space="preserve"> Id. at 12:14-17.</w:t>
      </w:r>
    </w:p>
  </w:footnote>
  <w:footnote w:id="38">
    <w:p w:rsidR="00617E0A" w:rsidRPr="00663EC4" w:rsidP="00663EC4">
      <w:pPr>
        <w:pStyle w:val="FootnoteText"/>
        <w:spacing w:after="120"/>
      </w:pPr>
      <w:r w:rsidRPr="00663EC4">
        <w:rPr>
          <w:rStyle w:val="FootnoteReference"/>
        </w:rPr>
        <w:footnoteRef/>
      </w:r>
      <w:r w:rsidRPr="00663EC4">
        <w:t xml:space="preserve"> Id. at 12:21-23.</w:t>
      </w:r>
    </w:p>
  </w:footnote>
  <w:footnote w:id="39">
    <w:p w:rsidR="00617E0A" w:rsidRPr="00663EC4" w:rsidP="00663EC4">
      <w:pPr>
        <w:pStyle w:val="FootnoteText"/>
        <w:spacing w:after="120"/>
      </w:pPr>
      <w:r w:rsidRPr="00663EC4">
        <w:rPr>
          <w:rStyle w:val="FootnoteReference"/>
        </w:rPr>
        <w:footnoteRef/>
      </w:r>
      <w:r w:rsidRPr="00663EC4">
        <w:t xml:space="preserve"> Id. at 13:5-6.</w:t>
      </w:r>
    </w:p>
  </w:footnote>
  <w:footnote w:id="40">
    <w:p w:rsidR="00617E0A" w:rsidRPr="00663EC4" w:rsidP="00663EC4">
      <w:pPr>
        <w:pStyle w:val="FootnoteText"/>
        <w:spacing w:after="120"/>
      </w:pPr>
      <w:r w:rsidRPr="00663EC4">
        <w:rPr>
          <w:rStyle w:val="FootnoteReference"/>
        </w:rPr>
        <w:footnoteRef/>
      </w:r>
      <w:r w:rsidRPr="00663EC4">
        <w:t xml:space="preserve"> Id. at 13:6-8.</w:t>
      </w:r>
    </w:p>
  </w:footnote>
  <w:footnote w:id="41">
    <w:p w:rsidR="00617E0A" w:rsidRPr="00663EC4" w:rsidP="00663EC4">
      <w:pPr>
        <w:pStyle w:val="FootnoteText"/>
        <w:spacing w:after="120"/>
      </w:pPr>
      <w:r w:rsidRPr="00663EC4">
        <w:rPr>
          <w:rStyle w:val="FootnoteReference"/>
        </w:rPr>
        <w:footnoteRef/>
      </w:r>
      <w:r w:rsidRPr="00663EC4">
        <w:t xml:space="preserve"> Id. at 13:16.</w:t>
      </w:r>
    </w:p>
  </w:footnote>
  <w:footnote w:id="42">
    <w:p w:rsidR="00617E0A" w:rsidRPr="00663EC4" w:rsidP="00663EC4">
      <w:pPr>
        <w:pStyle w:val="FootnoteText"/>
        <w:spacing w:after="120"/>
      </w:pPr>
      <w:r w:rsidRPr="00663EC4">
        <w:rPr>
          <w:rStyle w:val="FootnoteReference"/>
        </w:rPr>
        <w:footnoteRef/>
      </w:r>
      <w:r w:rsidRPr="00663EC4">
        <w:t xml:space="preserve"> Id. at 13:16-18.</w:t>
      </w:r>
    </w:p>
  </w:footnote>
  <w:footnote w:id="43">
    <w:p w:rsidR="00617E0A" w:rsidRPr="00663EC4" w:rsidP="00663EC4">
      <w:pPr>
        <w:pStyle w:val="FootnoteText"/>
        <w:spacing w:after="120"/>
      </w:pPr>
      <w:r w:rsidRPr="00663EC4">
        <w:rPr>
          <w:rStyle w:val="FootnoteReference"/>
        </w:rPr>
        <w:footnoteRef/>
      </w:r>
      <w:r w:rsidRPr="00663EC4">
        <w:t xml:space="preserve"> Id. at 13:19-20.</w:t>
      </w:r>
    </w:p>
  </w:footnote>
  <w:footnote w:id="44">
    <w:p w:rsidR="00617E0A" w:rsidRPr="00663EC4" w:rsidP="00663EC4">
      <w:pPr>
        <w:pStyle w:val="FootnoteText"/>
        <w:spacing w:after="120"/>
      </w:pPr>
      <w:r w:rsidRPr="00663EC4">
        <w:rPr>
          <w:rStyle w:val="FootnoteReference"/>
        </w:rPr>
        <w:footnoteRef/>
      </w:r>
      <w:r w:rsidRPr="00663EC4">
        <w:t xml:space="preserve"> See id. at 13:20-14:3.</w:t>
      </w:r>
    </w:p>
  </w:footnote>
  <w:footnote w:id="45">
    <w:p w:rsidR="00617E0A" w:rsidRPr="00663EC4" w:rsidP="00663EC4">
      <w:pPr>
        <w:pStyle w:val="FootnoteText"/>
        <w:spacing w:after="120"/>
      </w:pPr>
      <w:r w:rsidRPr="00663EC4">
        <w:rPr>
          <w:rStyle w:val="FootnoteReference"/>
        </w:rPr>
        <w:footnoteRef/>
      </w:r>
      <w:r w:rsidRPr="00663EC4">
        <w:t xml:space="preserve"> Id. at 14:3-6.</w:t>
      </w:r>
    </w:p>
  </w:footnote>
  <w:footnote w:id="46">
    <w:p w:rsidR="00617E0A" w:rsidRPr="00663EC4" w:rsidP="00663EC4">
      <w:pPr>
        <w:pStyle w:val="FootnoteText"/>
        <w:spacing w:after="120"/>
      </w:pPr>
      <w:r w:rsidRPr="00663EC4">
        <w:rPr>
          <w:rStyle w:val="FootnoteReference"/>
        </w:rPr>
        <w:footnoteRef/>
      </w:r>
      <w:r w:rsidRPr="00663EC4">
        <w:t xml:space="preserve"> Supplemental Testimony of Barbara R. Alexander (OCC Ex. 7) filed October 11, 2017 (“Alexander Testimony”) at 21:1-5.</w:t>
      </w:r>
    </w:p>
  </w:footnote>
  <w:footnote w:id="47">
    <w:p w:rsidR="00617E0A" w:rsidRPr="00663EC4" w:rsidP="00663EC4">
      <w:pPr>
        <w:pStyle w:val="FootnoteText"/>
        <w:spacing w:after="120"/>
      </w:pPr>
      <w:r w:rsidRPr="00663EC4">
        <w:rPr>
          <w:rStyle w:val="FootnoteReference"/>
        </w:rPr>
        <w:footnoteRef/>
      </w:r>
      <w:r w:rsidRPr="00663EC4">
        <w:t xml:space="preserve"> Id. at 21:6-22:8.</w:t>
      </w:r>
    </w:p>
  </w:footnote>
  <w:footnote w:id="48">
    <w:p w:rsidR="00617E0A" w:rsidRPr="00663EC4" w:rsidP="00663EC4">
      <w:pPr>
        <w:pStyle w:val="FootnoteText"/>
        <w:spacing w:after="120"/>
      </w:pPr>
      <w:r w:rsidRPr="00663EC4">
        <w:rPr>
          <w:rStyle w:val="FootnoteReference"/>
        </w:rPr>
        <w:footnoteRef/>
      </w:r>
      <w:r w:rsidRPr="00663EC4">
        <w:t xml:space="preserve"> Id. at 22:3-7.</w:t>
      </w:r>
    </w:p>
  </w:footnote>
  <w:footnote w:id="49">
    <w:p w:rsidR="00617E0A" w:rsidRPr="00663EC4" w:rsidP="00663EC4">
      <w:pPr>
        <w:pStyle w:val="FootnoteText"/>
        <w:spacing w:after="120"/>
      </w:pPr>
      <w:r w:rsidRPr="00663EC4">
        <w:rPr>
          <w:rStyle w:val="FootnoteReference"/>
        </w:rPr>
        <w:footnoteRef/>
      </w:r>
      <w:r w:rsidRPr="00663EC4">
        <w:t xml:space="preserve"> Id. at 22:7-8.</w:t>
      </w:r>
    </w:p>
  </w:footnote>
  <w:footnote w:id="50">
    <w:p w:rsidR="00617E0A" w:rsidRPr="00663EC4" w:rsidP="00663EC4">
      <w:pPr>
        <w:pStyle w:val="FootnoteText"/>
        <w:spacing w:after="120"/>
      </w:pPr>
      <w:r w:rsidRPr="00663EC4">
        <w:rPr>
          <w:rStyle w:val="FootnoteReference"/>
        </w:rPr>
        <w:footnoteRef/>
      </w:r>
      <w:r w:rsidRPr="00663EC4">
        <w:t xml:space="preserve"> Id. at 22:9-12.</w:t>
      </w:r>
    </w:p>
  </w:footnote>
  <w:footnote w:id="51">
    <w:p w:rsidR="00617E0A" w:rsidRPr="00663EC4" w:rsidP="00663EC4">
      <w:pPr>
        <w:pStyle w:val="FootnoteText"/>
        <w:spacing w:after="120"/>
      </w:pPr>
      <w:r w:rsidRPr="00663EC4">
        <w:rPr>
          <w:rStyle w:val="FootnoteReference"/>
        </w:rPr>
        <w:footnoteRef/>
      </w:r>
      <w:r w:rsidRPr="00663EC4">
        <w:t xml:space="preserve"> Id. at 22:12-15.</w:t>
      </w:r>
    </w:p>
  </w:footnote>
  <w:footnote w:id="52">
    <w:p w:rsidR="00617E0A" w:rsidRPr="00663EC4" w:rsidP="00663EC4">
      <w:pPr>
        <w:pStyle w:val="FootnoteText"/>
        <w:spacing w:after="120"/>
      </w:pPr>
      <w:r w:rsidRPr="00663EC4">
        <w:rPr>
          <w:rStyle w:val="FootnoteReference"/>
        </w:rPr>
        <w:footnoteRef/>
      </w:r>
      <w:r w:rsidRPr="00663EC4">
        <w:t xml:space="preserve"> Id. at 22:18-20.</w:t>
      </w:r>
    </w:p>
  </w:footnote>
  <w:footnote w:id="53">
    <w:p w:rsidR="00617E0A" w:rsidRPr="00663EC4" w:rsidP="00663EC4">
      <w:pPr>
        <w:pStyle w:val="FootnoteText"/>
        <w:spacing w:after="120"/>
      </w:pPr>
      <w:r w:rsidRPr="00663EC4">
        <w:rPr>
          <w:rStyle w:val="FootnoteReference"/>
        </w:rPr>
        <w:footnoteRef/>
      </w:r>
      <w:r w:rsidRPr="00663EC4">
        <w:t xml:space="preserve"> Id. at 22:20-23:2.</w:t>
      </w:r>
    </w:p>
  </w:footnote>
  <w:footnote w:id="54">
    <w:p w:rsidR="00617E0A" w:rsidRPr="00663EC4" w:rsidP="00663EC4">
      <w:pPr>
        <w:pStyle w:val="FootnoteText"/>
        <w:spacing w:after="120"/>
      </w:pPr>
      <w:r w:rsidRPr="00663EC4">
        <w:rPr>
          <w:rStyle w:val="FootnoteReference"/>
        </w:rPr>
        <w:footnoteRef/>
      </w:r>
      <w:r w:rsidRPr="00663EC4">
        <w:t xml:space="preserve"> Id. at 23:3-7.</w:t>
      </w:r>
    </w:p>
  </w:footnote>
  <w:footnote w:id="55">
    <w:p w:rsidR="00617E0A" w:rsidRPr="00663EC4" w:rsidP="00663EC4">
      <w:pPr>
        <w:pStyle w:val="FootnoteText"/>
        <w:spacing w:after="120"/>
      </w:pPr>
      <w:r w:rsidRPr="00663EC4">
        <w:rPr>
          <w:rStyle w:val="FootnoteReference"/>
        </w:rPr>
        <w:footnoteRef/>
      </w:r>
      <w:r w:rsidRPr="00663EC4">
        <w:t xml:space="preserve"> Id. at 23:7-12.</w:t>
      </w:r>
    </w:p>
  </w:footnote>
  <w:footnote w:id="56">
    <w:p w:rsidR="00617E0A" w:rsidRPr="00663EC4" w:rsidP="00663EC4">
      <w:pPr>
        <w:pStyle w:val="FootnoteText"/>
        <w:spacing w:after="120"/>
      </w:pPr>
      <w:r w:rsidRPr="00663EC4">
        <w:rPr>
          <w:rStyle w:val="FootnoteReference"/>
        </w:rPr>
        <w:footnoteRef/>
      </w:r>
      <w:r w:rsidRPr="00663EC4">
        <w:t xml:space="preserve"> Id. at 23:13-15.</w:t>
      </w:r>
    </w:p>
  </w:footnote>
  <w:footnote w:id="57">
    <w:p w:rsidR="00617E0A" w:rsidRPr="00663EC4" w:rsidP="00663EC4">
      <w:pPr>
        <w:pStyle w:val="FootnoteText"/>
        <w:spacing w:after="120"/>
      </w:pPr>
      <w:r w:rsidRPr="00663EC4">
        <w:rPr>
          <w:rStyle w:val="FootnoteReference"/>
        </w:rPr>
        <w:footnoteRef/>
      </w:r>
      <w:r w:rsidRPr="00663EC4">
        <w:t xml:space="preserve"> Id. at 23:16-24:4.</w:t>
      </w:r>
    </w:p>
  </w:footnote>
  <w:footnote w:id="58">
    <w:p w:rsidR="00617E0A" w:rsidRPr="00663EC4" w:rsidP="00663EC4">
      <w:pPr>
        <w:pStyle w:val="FootnoteText"/>
        <w:spacing w:after="120"/>
      </w:pPr>
      <w:r w:rsidRPr="00663EC4">
        <w:rPr>
          <w:rStyle w:val="FootnoteReference"/>
        </w:rPr>
        <w:footnoteRef/>
      </w:r>
      <w:r w:rsidRPr="00663EC4">
        <w:t xml:space="preserve"> Id. at 24:4-9.</w:t>
      </w:r>
    </w:p>
  </w:footnote>
  <w:footnote w:id="59">
    <w:p w:rsidR="00617E0A" w:rsidRPr="00663EC4" w:rsidP="00663EC4">
      <w:pPr>
        <w:pStyle w:val="FootnoteText"/>
        <w:spacing w:after="120"/>
      </w:pPr>
      <w:r w:rsidRPr="00663EC4">
        <w:rPr>
          <w:rStyle w:val="FootnoteReference"/>
        </w:rPr>
        <w:footnoteRef/>
      </w:r>
      <w:r w:rsidRPr="00663EC4">
        <w:t xml:space="preserve"> Id. at 24:9-11.</w:t>
      </w:r>
    </w:p>
  </w:footnote>
  <w:footnote w:id="60">
    <w:p w:rsidR="00617E0A" w:rsidRPr="00663EC4" w:rsidP="00663EC4">
      <w:pPr>
        <w:pStyle w:val="FootnoteText"/>
        <w:spacing w:after="120"/>
      </w:pPr>
      <w:r w:rsidRPr="00663EC4">
        <w:rPr>
          <w:rStyle w:val="FootnoteReference"/>
        </w:rPr>
        <w:footnoteRef/>
      </w:r>
      <w:r w:rsidRPr="00663EC4">
        <w:t xml:space="preserve"> Id. at 24:11-13.</w:t>
      </w:r>
    </w:p>
  </w:footnote>
  <w:footnote w:id="61">
    <w:p w:rsidR="00617E0A" w:rsidRPr="00663EC4" w:rsidP="00663EC4">
      <w:pPr>
        <w:pStyle w:val="FootnoteText"/>
        <w:spacing w:after="120"/>
      </w:pPr>
      <w:r w:rsidRPr="00663EC4">
        <w:rPr>
          <w:rStyle w:val="FootnoteReference"/>
        </w:rPr>
        <w:footnoteRef/>
      </w:r>
      <w:r w:rsidRPr="00663EC4">
        <w:t xml:space="preserve"> Id. at 24:14-25:1.</w:t>
      </w:r>
    </w:p>
  </w:footnote>
  <w:footnote w:id="62">
    <w:p w:rsidR="00617E0A" w:rsidRPr="00663EC4" w:rsidP="00663EC4">
      <w:pPr>
        <w:pStyle w:val="FootnoteText"/>
        <w:spacing w:after="120"/>
      </w:pPr>
      <w:r w:rsidRPr="00663EC4">
        <w:rPr>
          <w:rStyle w:val="FootnoteReference"/>
        </w:rPr>
        <w:footnoteRef/>
      </w:r>
      <w:r w:rsidRPr="00663EC4">
        <w:t xml:space="preserve"> Id. at 25:3-9.</w:t>
      </w:r>
    </w:p>
  </w:footnote>
  <w:footnote w:id="63">
    <w:p w:rsidR="00617E0A" w:rsidRPr="00663EC4" w:rsidP="00663EC4">
      <w:pPr>
        <w:pStyle w:val="FootnoteText"/>
        <w:spacing w:after="120"/>
      </w:pPr>
      <w:r w:rsidRPr="00663EC4">
        <w:rPr>
          <w:rStyle w:val="FootnoteReference"/>
        </w:rPr>
        <w:footnoteRef/>
      </w:r>
      <w:r w:rsidRPr="00663EC4">
        <w:t xml:space="preserve"> Id. at 25:14-16; see also AEP Response to STIP-OCC-INT-1-022 (Attachment BRA-11), 023 (Attachment BRA-12), 024 Attachment BRA-13).  In each of these responses AEP was unable to estimate the additional costs for distribution facilities necessary to deliver power to the technology, to put the new technology into service, or to get the site ready for delivery.  All of these unknown costs would be eligible for collection under the DIR.</w:t>
      </w:r>
    </w:p>
  </w:footnote>
  <w:footnote w:id="64">
    <w:p w:rsidR="00617E0A" w:rsidRPr="00663EC4" w:rsidP="00663EC4">
      <w:pPr>
        <w:pStyle w:val="FootnoteText"/>
        <w:spacing w:after="120"/>
      </w:pPr>
      <w:r w:rsidRPr="00663EC4">
        <w:rPr>
          <w:rStyle w:val="FootnoteReference"/>
        </w:rPr>
        <w:footnoteRef/>
      </w:r>
      <w:r w:rsidRPr="00663EC4">
        <w:t xml:space="preserve"> Alexander Testimony at 26:1-3.</w:t>
      </w:r>
    </w:p>
  </w:footnote>
  <w:footnote w:id="65">
    <w:p w:rsidR="00617E0A" w:rsidRPr="00663EC4" w:rsidP="00663EC4">
      <w:pPr>
        <w:pStyle w:val="FootnoteText"/>
        <w:spacing w:after="120"/>
      </w:pPr>
      <w:r w:rsidRPr="00663EC4">
        <w:rPr>
          <w:rStyle w:val="FootnoteReference"/>
        </w:rPr>
        <w:footnoteRef/>
      </w:r>
      <w:r w:rsidRPr="00663EC4">
        <w:t xml:space="preserve"> Id. at 26:12-14.</w:t>
      </w:r>
    </w:p>
  </w:footnote>
  <w:footnote w:id="66">
    <w:p w:rsidR="00617E0A" w:rsidRPr="00663EC4" w:rsidP="00663EC4">
      <w:pPr>
        <w:pStyle w:val="FootnoteText"/>
        <w:spacing w:after="120"/>
      </w:pPr>
      <w:r w:rsidRPr="00663EC4">
        <w:rPr>
          <w:rStyle w:val="FootnoteReference"/>
        </w:rPr>
        <w:footnoteRef/>
      </w:r>
      <w:r w:rsidRPr="00663EC4">
        <w:t xml:space="preserve"> Id. at 26:18-20.</w:t>
      </w:r>
    </w:p>
  </w:footnote>
  <w:footnote w:id="67">
    <w:p w:rsidR="00617E0A" w:rsidRPr="00663EC4" w:rsidP="00663EC4">
      <w:pPr>
        <w:pStyle w:val="FootnoteText"/>
        <w:spacing w:after="120"/>
      </w:pPr>
      <w:r w:rsidRPr="00663EC4">
        <w:rPr>
          <w:rStyle w:val="FootnoteReference"/>
        </w:rPr>
        <w:footnoteRef/>
      </w:r>
      <w:r w:rsidRPr="00663EC4">
        <w:t xml:space="preserve"> Id. at 26:20-22.</w:t>
      </w:r>
    </w:p>
  </w:footnote>
  <w:footnote w:id="68">
    <w:p w:rsidR="00617E0A" w:rsidRPr="00663EC4" w:rsidP="00663EC4">
      <w:pPr>
        <w:pStyle w:val="FootnoteText"/>
        <w:spacing w:after="120"/>
      </w:pPr>
      <w:r w:rsidRPr="00663EC4">
        <w:rPr>
          <w:rStyle w:val="FootnoteReference"/>
        </w:rPr>
        <w:footnoteRef/>
      </w:r>
      <w:r w:rsidRPr="00663EC4">
        <w:t xml:space="preserve"> Id. at 26:22-27:2; see also AEP Ohio Response to STIP-OCC-INT-1-032 (Attachment BRA-14).</w:t>
      </w:r>
    </w:p>
  </w:footnote>
  <w:footnote w:id="69">
    <w:p w:rsidR="00617E0A" w:rsidRPr="00663EC4" w:rsidP="00663EC4">
      <w:pPr>
        <w:pStyle w:val="FootnoteText"/>
        <w:spacing w:after="120"/>
      </w:pPr>
      <w:r w:rsidRPr="00663EC4">
        <w:rPr>
          <w:rStyle w:val="FootnoteReference"/>
        </w:rPr>
        <w:footnoteRef/>
      </w:r>
      <w:r w:rsidRPr="00663EC4">
        <w:t xml:space="preserve"> Alexander Testimony at 30:1-9.</w:t>
      </w:r>
    </w:p>
  </w:footnote>
  <w:footnote w:id="70">
    <w:p w:rsidR="00617E0A" w:rsidRPr="00663EC4" w:rsidP="00663EC4">
      <w:pPr>
        <w:pStyle w:val="FootnoteText"/>
        <w:spacing w:after="120"/>
      </w:pPr>
      <w:r w:rsidRPr="00663EC4">
        <w:rPr>
          <w:rStyle w:val="FootnoteReference"/>
        </w:rPr>
        <w:footnoteRef/>
      </w:r>
      <w:r w:rsidRPr="00663EC4">
        <w:t xml:space="preserve"> Id. at 30:12-14.</w:t>
      </w:r>
    </w:p>
  </w:footnote>
  <w:footnote w:id="71">
    <w:p w:rsidR="00617E0A" w:rsidRPr="00663EC4" w:rsidP="00663EC4">
      <w:pPr>
        <w:pStyle w:val="FootnoteText"/>
        <w:spacing w:after="120"/>
      </w:pPr>
      <w:r w:rsidRPr="00663EC4">
        <w:rPr>
          <w:rStyle w:val="FootnoteReference"/>
        </w:rPr>
        <w:footnoteRef/>
      </w:r>
      <w:r w:rsidRPr="00663EC4">
        <w:t xml:space="preserve"> Id. at 30:14-17.</w:t>
      </w:r>
    </w:p>
  </w:footnote>
  <w:footnote w:id="72">
    <w:p w:rsidR="00617E0A" w:rsidRPr="00663EC4" w:rsidP="00663EC4">
      <w:pPr>
        <w:pStyle w:val="FootnoteText"/>
        <w:spacing w:after="120"/>
      </w:pPr>
      <w:r w:rsidRPr="00663EC4">
        <w:rPr>
          <w:rStyle w:val="FootnoteReference"/>
        </w:rPr>
        <w:footnoteRef/>
      </w:r>
      <w:r w:rsidRPr="00663EC4">
        <w:t xml:space="preserve"> Id. at 30:17-21.</w:t>
      </w:r>
    </w:p>
  </w:footnote>
  <w:footnote w:id="73">
    <w:p w:rsidR="00617E0A" w:rsidRPr="00663EC4" w:rsidP="00663EC4">
      <w:pPr>
        <w:pStyle w:val="FootnoteText"/>
        <w:spacing w:after="120"/>
      </w:pPr>
      <w:r w:rsidRPr="00663EC4">
        <w:rPr>
          <w:rStyle w:val="FootnoteReference"/>
        </w:rPr>
        <w:footnoteRef/>
      </w:r>
      <w:r w:rsidRPr="00663EC4">
        <w:t xml:space="preserve"> Id. at 31:7-14.</w:t>
      </w:r>
    </w:p>
  </w:footnote>
  <w:footnote w:id="74">
    <w:p w:rsidR="00617E0A" w:rsidRPr="00663EC4" w:rsidP="00663EC4">
      <w:pPr>
        <w:pStyle w:val="FootnoteText"/>
        <w:spacing w:after="120"/>
      </w:pPr>
      <w:r w:rsidRPr="00663EC4">
        <w:rPr>
          <w:rStyle w:val="FootnoteReference"/>
        </w:rPr>
        <w:footnoteRef/>
      </w:r>
      <w:r w:rsidRPr="00663EC4">
        <w:t xml:space="preserve"> Id. at 31:16-17.</w:t>
      </w:r>
    </w:p>
  </w:footnote>
  <w:footnote w:id="75">
    <w:p w:rsidR="00617E0A" w:rsidRPr="00663EC4" w:rsidP="00663EC4">
      <w:pPr>
        <w:pStyle w:val="FootnoteText"/>
        <w:spacing w:after="120"/>
      </w:pPr>
      <w:r w:rsidRPr="00663EC4">
        <w:rPr>
          <w:rStyle w:val="FootnoteReference"/>
        </w:rPr>
        <w:footnoteRef/>
      </w:r>
      <w:r w:rsidRPr="00663EC4">
        <w:t xml:space="preserve"> Id. at 31:17-18.</w:t>
      </w:r>
    </w:p>
  </w:footnote>
  <w:footnote w:id="76">
    <w:p w:rsidR="00617E0A" w:rsidRPr="00663EC4" w:rsidP="00663EC4">
      <w:pPr>
        <w:pStyle w:val="FootnoteText"/>
        <w:spacing w:after="120"/>
      </w:pPr>
      <w:r w:rsidRPr="00663EC4">
        <w:rPr>
          <w:rStyle w:val="FootnoteReference"/>
        </w:rPr>
        <w:footnoteRef/>
      </w:r>
      <w:r w:rsidRPr="00663EC4">
        <w:t xml:space="preserve"> Id. at 31:18-19.</w:t>
      </w:r>
    </w:p>
  </w:footnote>
  <w:footnote w:id="77">
    <w:p w:rsidR="00617E0A" w:rsidRPr="00663EC4" w:rsidP="00663EC4">
      <w:pPr>
        <w:pStyle w:val="FootnoteText"/>
        <w:spacing w:after="120"/>
      </w:pPr>
      <w:r w:rsidRPr="00663EC4">
        <w:rPr>
          <w:rStyle w:val="FootnoteReference"/>
        </w:rPr>
        <w:footnoteRef/>
      </w:r>
      <w:r w:rsidRPr="00663EC4">
        <w:t xml:space="preserve"> Id. at 31:19-20.</w:t>
      </w:r>
    </w:p>
  </w:footnote>
  <w:footnote w:id="78">
    <w:p w:rsidR="00617E0A" w:rsidRPr="00663EC4" w:rsidP="00663EC4">
      <w:pPr>
        <w:pStyle w:val="FootnoteText"/>
        <w:spacing w:after="120"/>
      </w:pPr>
      <w:r w:rsidRPr="00663EC4">
        <w:rPr>
          <w:rStyle w:val="FootnoteReference"/>
        </w:rPr>
        <w:footnoteRef/>
      </w:r>
      <w:r w:rsidRPr="00663EC4">
        <w:t xml:space="preserve"> Id. at 32:1-3.</w:t>
      </w:r>
    </w:p>
  </w:footnote>
  <w:footnote w:id="79">
    <w:p w:rsidR="00617E0A" w:rsidRPr="00663EC4" w:rsidP="00663EC4">
      <w:pPr>
        <w:pStyle w:val="FootnoteText"/>
        <w:spacing w:after="120"/>
      </w:pPr>
      <w:r w:rsidRPr="00663EC4">
        <w:rPr>
          <w:rStyle w:val="FootnoteReference"/>
        </w:rPr>
        <w:footnoteRef/>
      </w:r>
      <w:r w:rsidRPr="00663EC4">
        <w:t xml:space="preserve"> Id. at 32:3-5.</w:t>
      </w:r>
    </w:p>
  </w:footnote>
  <w:footnote w:id="80">
    <w:p w:rsidR="00617E0A" w:rsidRPr="00663EC4" w:rsidP="00663EC4">
      <w:pPr>
        <w:pStyle w:val="FootnoteText"/>
        <w:spacing w:after="120"/>
      </w:pPr>
      <w:r w:rsidRPr="00663EC4">
        <w:rPr>
          <w:rStyle w:val="FootnoteReference"/>
        </w:rPr>
        <w:footnoteRef/>
      </w:r>
      <w:r w:rsidRPr="00663EC4">
        <w:t xml:space="preserve"> Id. at 32:15-33:1.</w:t>
      </w:r>
    </w:p>
  </w:footnote>
  <w:footnote w:id="81">
    <w:p w:rsidR="00617E0A" w:rsidRPr="00663EC4" w:rsidP="00663EC4">
      <w:pPr>
        <w:pStyle w:val="FootnoteText"/>
        <w:spacing w:after="120"/>
      </w:pPr>
      <w:r w:rsidRPr="00663EC4">
        <w:rPr>
          <w:rStyle w:val="FootnoteReference"/>
        </w:rPr>
        <w:footnoteRef/>
      </w:r>
      <w:r w:rsidRPr="00663EC4">
        <w:t xml:space="preserve"> Id. at 33:5-8.</w:t>
      </w:r>
    </w:p>
  </w:footnote>
  <w:footnote w:id="82">
    <w:p w:rsidR="00617E0A" w:rsidRPr="00663EC4" w:rsidP="00663EC4">
      <w:pPr>
        <w:pStyle w:val="FootnoteText"/>
        <w:spacing w:after="120"/>
      </w:pPr>
      <w:r w:rsidRPr="00663EC4">
        <w:rPr>
          <w:rStyle w:val="FootnoteReference"/>
        </w:rPr>
        <w:footnoteRef/>
      </w:r>
      <w:r w:rsidRPr="00663EC4">
        <w:t xml:space="preserve"> Id. at 33:10-12.</w:t>
      </w:r>
    </w:p>
  </w:footnote>
  <w:footnote w:id="83">
    <w:p w:rsidR="00617E0A" w:rsidRPr="00663EC4" w:rsidP="00663EC4">
      <w:pPr>
        <w:pStyle w:val="FootnoteText"/>
        <w:spacing w:after="120"/>
      </w:pPr>
      <w:r w:rsidRPr="00663EC4">
        <w:rPr>
          <w:rStyle w:val="FootnoteReference"/>
        </w:rPr>
        <w:footnoteRef/>
      </w:r>
      <w:r w:rsidRPr="00663EC4">
        <w:t xml:space="preserve"> Id. at 33:21-34:3.</w:t>
      </w:r>
    </w:p>
  </w:footnote>
  <w:footnote w:id="84">
    <w:p w:rsidR="00617E0A" w:rsidRPr="00663EC4" w:rsidP="00663EC4">
      <w:pPr>
        <w:pStyle w:val="FootnoteText"/>
        <w:spacing w:after="120"/>
      </w:pPr>
      <w:r w:rsidRPr="00663EC4">
        <w:rPr>
          <w:rStyle w:val="FootnoteReference"/>
        </w:rPr>
        <w:footnoteRef/>
      </w:r>
      <w:r w:rsidRPr="00663EC4">
        <w:t xml:space="preserve"> Id. at 34:9-12.</w:t>
      </w:r>
    </w:p>
  </w:footnote>
  <w:footnote w:id="85">
    <w:p w:rsidR="00617E0A" w:rsidRPr="00663EC4" w:rsidP="00663EC4">
      <w:pPr>
        <w:pStyle w:val="FootnoteText"/>
        <w:spacing w:after="120"/>
      </w:pPr>
      <w:r w:rsidRPr="00663EC4">
        <w:rPr>
          <w:rStyle w:val="FootnoteReference"/>
        </w:rPr>
        <w:footnoteRef/>
      </w:r>
      <w:r w:rsidRPr="00663EC4">
        <w:t xml:space="preserve"> Id. at 34:14-16; see also AEP Ohio Response to STIP-OCC-INT-1-004 (Attachment BRA-19).</w:t>
      </w:r>
    </w:p>
  </w:footnote>
  <w:footnote w:id="86">
    <w:p w:rsidR="00617E0A" w:rsidRPr="00663EC4" w:rsidP="00663EC4">
      <w:pPr>
        <w:pStyle w:val="FootnoteText"/>
        <w:spacing w:after="120"/>
      </w:pPr>
      <w:r w:rsidRPr="00663EC4">
        <w:rPr>
          <w:rStyle w:val="FootnoteReference"/>
        </w:rPr>
        <w:footnoteRef/>
      </w:r>
      <w:r w:rsidRPr="00663EC4">
        <w:t xml:space="preserve"> Alexander Testimony at 16-19.</w:t>
      </w:r>
    </w:p>
  </w:footnote>
  <w:footnote w:id="87">
    <w:p w:rsidR="00617E0A" w:rsidRPr="00663EC4" w:rsidP="00663EC4">
      <w:pPr>
        <w:pStyle w:val="FootnoteText"/>
        <w:spacing w:after="120"/>
      </w:pPr>
      <w:r w:rsidRPr="00663EC4">
        <w:rPr>
          <w:rStyle w:val="FootnoteReference"/>
        </w:rPr>
        <w:footnoteRef/>
      </w:r>
      <w:r w:rsidRPr="00663EC4">
        <w:t xml:space="preserve"> See id. at 35:4-6.</w:t>
      </w:r>
    </w:p>
  </w:footnote>
  <w:footnote w:id="88">
    <w:p w:rsidR="00617E0A" w:rsidRPr="00663EC4" w:rsidP="00663EC4">
      <w:pPr>
        <w:pStyle w:val="FootnoteText"/>
        <w:spacing w:after="120"/>
      </w:pPr>
      <w:r w:rsidRPr="00663EC4">
        <w:rPr>
          <w:rStyle w:val="FootnoteReference"/>
        </w:rPr>
        <w:footnoteRef/>
      </w:r>
      <w:r w:rsidRPr="00663EC4">
        <w:t xml:space="preserve"> Id. at 35:6-9.</w:t>
      </w:r>
    </w:p>
  </w:footnote>
  <w:footnote w:id="89">
    <w:p w:rsidR="00617E0A" w:rsidRPr="00663EC4" w:rsidP="00663EC4">
      <w:pPr>
        <w:pStyle w:val="FootnoteText"/>
        <w:spacing w:after="120"/>
      </w:pPr>
      <w:r w:rsidRPr="00663EC4">
        <w:rPr>
          <w:rStyle w:val="FootnoteReference"/>
        </w:rPr>
        <w:footnoteRef/>
      </w:r>
      <w:r w:rsidRPr="00663EC4">
        <w:t xml:space="preserve"> Id. at 35:9-12.</w:t>
      </w:r>
    </w:p>
  </w:footnote>
  <w:footnote w:id="90">
    <w:p w:rsidR="00617E0A" w:rsidRPr="00663EC4" w:rsidP="00663EC4">
      <w:pPr>
        <w:pStyle w:val="FootnoteText"/>
        <w:spacing w:after="120"/>
      </w:pPr>
      <w:r w:rsidRPr="00663EC4">
        <w:rPr>
          <w:rStyle w:val="FootnoteReference"/>
        </w:rPr>
        <w:footnoteRef/>
      </w:r>
      <w:r w:rsidRPr="00663EC4">
        <w:t xml:space="preserve"> Id. at 35:12-14.</w:t>
      </w:r>
    </w:p>
  </w:footnote>
  <w:footnote w:id="91">
    <w:p w:rsidR="00617E0A" w:rsidRPr="00663EC4" w:rsidP="00663EC4">
      <w:pPr>
        <w:pStyle w:val="FootnoteText"/>
        <w:spacing w:after="120"/>
      </w:pPr>
      <w:r w:rsidRPr="00663EC4">
        <w:rPr>
          <w:rStyle w:val="FootnoteReference"/>
        </w:rPr>
        <w:footnoteRef/>
      </w:r>
      <w:r w:rsidRPr="00663EC4">
        <w:t xml:space="preserve"> Id. at 35:14-16; see also AEP Ohio Response to STIP-OCC-INT-1-039 (Attachment BRA-21).</w:t>
      </w:r>
    </w:p>
  </w:footnote>
  <w:footnote w:id="92">
    <w:p w:rsidR="00617E0A" w:rsidRPr="00663EC4" w:rsidP="00663EC4">
      <w:pPr>
        <w:pStyle w:val="FootnoteText"/>
        <w:spacing w:after="120"/>
      </w:pPr>
      <w:r w:rsidRPr="00663EC4">
        <w:rPr>
          <w:rStyle w:val="FootnoteReference"/>
        </w:rPr>
        <w:footnoteRef/>
      </w:r>
      <w:r w:rsidRPr="00663EC4">
        <w:t xml:space="preserve"> Alexander Testimony at 36:1-3.</w:t>
      </w:r>
    </w:p>
  </w:footnote>
  <w:footnote w:id="93">
    <w:p w:rsidR="00617E0A" w:rsidRPr="00663EC4" w:rsidP="00663EC4">
      <w:pPr>
        <w:pStyle w:val="FootnoteText"/>
        <w:spacing w:after="120"/>
      </w:pPr>
      <w:r w:rsidRPr="00663EC4">
        <w:rPr>
          <w:rStyle w:val="FootnoteReference"/>
        </w:rPr>
        <w:footnoteRef/>
      </w:r>
      <w:r w:rsidRPr="00663EC4">
        <w:t xml:space="preserve"> Id. at 36:5-9.</w:t>
      </w:r>
    </w:p>
  </w:footnote>
  <w:footnote w:id="94">
    <w:p w:rsidR="00617E0A" w:rsidRPr="00663EC4" w:rsidP="00663EC4">
      <w:pPr>
        <w:pStyle w:val="FootnoteText"/>
        <w:spacing w:after="120"/>
      </w:pPr>
      <w:r w:rsidRPr="00663EC4">
        <w:rPr>
          <w:rStyle w:val="FootnoteReference"/>
        </w:rPr>
        <w:footnoteRef/>
      </w:r>
      <w:r w:rsidRPr="00663EC4">
        <w:t xml:space="preserve"> Id. at 36:10-12.</w:t>
      </w:r>
    </w:p>
  </w:footnote>
  <w:footnote w:id="95">
    <w:p w:rsidR="00617E0A" w:rsidRPr="00663EC4" w:rsidP="00663EC4">
      <w:pPr>
        <w:pStyle w:val="FootnoteText"/>
        <w:spacing w:after="120"/>
      </w:pPr>
      <w:r w:rsidRPr="00663EC4">
        <w:rPr>
          <w:rStyle w:val="FootnoteReference"/>
        </w:rPr>
        <w:footnoteRef/>
      </w:r>
      <w:r w:rsidRPr="00663EC4">
        <w:t xml:space="preserve"> Id. at 36:12-14.</w:t>
      </w:r>
    </w:p>
  </w:footnote>
  <w:footnote w:id="96">
    <w:p w:rsidR="00617E0A" w:rsidRPr="00663EC4" w:rsidP="00663EC4">
      <w:pPr>
        <w:pStyle w:val="FootnoteText"/>
        <w:spacing w:after="120"/>
      </w:pPr>
      <w:r w:rsidRPr="00663EC4">
        <w:rPr>
          <w:rStyle w:val="FootnoteReference"/>
        </w:rPr>
        <w:footnoteRef/>
      </w:r>
      <w:r w:rsidRPr="00663EC4">
        <w:t xml:space="preserve"> Id. at 36:14-15.</w:t>
      </w:r>
    </w:p>
  </w:footnote>
  <w:footnote w:id="97">
    <w:p w:rsidR="00617E0A" w:rsidRPr="00663EC4" w:rsidP="00663EC4">
      <w:pPr>
        <w:pStyle w:val="FootnoteText"/>
        <w:spacing w:after="120"/>
      </w:pPr>
      <w:r w:rsidRPr="00663EC4">
        <w:rPr>
          <w:rStyle w:val="FootnoteReference"/>
        </w:rPr>
        <w:footnoteRef/>
      </w:r>
      <w:r w:rsidRPr="00663EC4">
        <w:t xml:space="preserve"> Id. at 36:15-19; AEP Ohio Response to STIP-OCC-INT-1-045 (Attachment BRA-22).</w:t>
      </w:r>
    </w:p>
  </w:footnote>
  <w:footnote w:id="98">
    <w:p w:rsidR="00617E0A" w:rsidRPr="00663EC4" w:rsidP="00663EC4">
      <w:pPr>
        <w:pStyle w:val="FootnoteText"/>
        <w:spacing w:after="120"/>
      </w:pPr>
      <w:r w:rsidRPr="00663EC4">
        <w:rPr>
          <w:rStyle w:val="FootnoteReference"/>
        </w:rPr>
        <w:footnoteRef/>
      </w:r>
      <w:r w:rsidRPr="00663EC4">
        <w:t xml:space="preserve"> Alexander Testimony at 37:1-3.</w:t>
      </w:r>
    </w:p>
  </w:footnote>
  <w:footnote w:id="99">
    <w:p w:rsidR="00617E0A" w:rsidRPr="00663EC4" w:rsidP="00663EC4">
      <w:pPr>
        <w:pStyle w:val="FootnoteText"/>
        <w:spacing w:after="120"/>
      </w:pPr>
      <w:r w:rsidRPr="00663EC4">
        <w:rPr>
          <w:rStyle w:val="FootnoteReference"/>
        </w:rPr>
        <w:footnoteRef/>
      </w:r>
      <w:r w:rsidRPr="00663EC4">
        <w:t xml:space="preserve"> Id. at 37:3-7.</w:t>
      </w:r>
    </w:p>
  </w:footnote>
  <w:footnote w:id="100">
    <w:p w:rsidR="00617E0A" w:rsidRPr="00663EC4" w:rsidP="00663EC4">
      <w:pPr>
        <w:pStyle w:val="FootnoteText"/>
        <w:spacing w:after="120"/>
      </w:pPr>
      <w:r w:rsidRPr="00663EC4">
        <w:rPr>
          <w:rStyle w:val="FootnoteReference"/>
        </w:rPr>
        <w:footnoteRef/>
      </w:r>
      <w:r w:rsidRPr="00663EC4">
        <w:t xml:space="preserve"> Id. at 39:8-43:6.</w:t>
      </w:r>
    </w:p>
  </w:footnote>
  <w:footnote w:id="101">
    <w:p w:rsidR="00617E0A" w:rsidRPr="00663EC4" w:rsidP="00663EC4">
      <w:pPr>
        <w:pStyle w:val="FootnoteText"/>
        <w:spacing w:after="120"/>
      </w:pPr>
      <w:r w:rsidRPr="00663EC4">
        <w:rPr>
          <w:rStyle w:val="FootnoteReference"/>
        </w:rPr>
        <w:footnoteRef/>
      </w:r>
      <w:r w:rsidRPr="00663EC4">
        <w:t xml:space="preserve"> Direct Testimony of James D. Williams (OCC Ex. 2) filed May 2, 2017 (“Williams Direct”) at 17.</w:t>
      </w:r>
    </w:p>
  </w:footnote>
  <w:footnote w:id="102">
    <w:p w:rsidR="00617E0A" w:rsidRPr="00663EC4" w:rsidP="00663EC4">
      <w:pPr>
        <w:pStyle w:val="FootnoteText"/>
        <w:spacing w:after="120"/>
      </w:pPr>
      <w:r w:rsidRPr="00663EC4">
        <w:rPr>
          <w:rStyle w:val="FootnoteReference"/>
        </w:rPr>
        <w:footnoteRef/>
      </w:r>
      <w:r w:rsidRPr="00663EC4">
        <w:t xml:space="preserve"> Supplemental Testimony of James D. Williams (OCC Ex. 2A) filed October 11, 2017 (“Williams Supplemental) at 3. </w:t>
      </w:r>
    </w:p>
  </w:footnote>
  <w:footnote w:id="103">
    <w:p w:rsidR="00617E0A" w:rsidRPr="00663EC4" w:rsidP="00663EC4">
      <w:pPr>
        <w:pStyle w:val="FootnoteText"/>
        <w:spacing w:after="120"/>
      </w:pPr>
      <w:r w:rsidRPr="00663EC4">
        <w:rPr>
          <w:rStyle w:val="FootnoteReference"/>
        </w:rPr>
        <w:footnoteRef/>
      </w:r>
      <w:r w:rsidRPr="00663EC4">
        <w:t xml:space="preserve"> Id.</w:t>
      </w:r>
    </w:p>
  </w:footnote>
  <w:footnote w:id="104">
    <w:p w:rsidR="00617E0A" w:rsidRPr="00663EC4" w:rsidP="00663EC4">
      <w:pPr>
        <w:pStyle w:val="FootnoteText"/>
        <w:spacing w:after="120"/>
      </w:pPr>
      <w:r w:rsidRPr="00663EC4">
        <w:rPr>
          <w:rStyle w:val="FootnoteReference"/>
        </w:rPr>
        <w:footnoteRef/>
      </w:r>
      <w:r w:rsidRPr="00663EC4">
        <w:t xml:space="preserve"> Id.</w:t>
      </w:r>
    </w:p>
  </w:footnote>
  <w:footnote w:id="105">
    <w:p w:rsidR="00617E0A" w:rsidRPr="00663EC4" w:rsidP="00663EC4">
      <w:pPr>
        <w:pStyle w:val="FootnoteText"/>
        <w:spacing w:after="120"/>
      </w:pPr>
      <w:r w:rsidRPr="00663EC4">
        <w:rPr>
          <w:rStyle w:val="FootnoteReference"/>
        </w:rPr>
        <w:footnoteRef/>
      </w:r>
      <w:r w:rsidRPr="00663EC4">
        <w:t xml:space="preserve"> Williams Direct at 18.</w:t>
      </w:r>
    </w:p>
  </w:footnote>
  <w:footnote w:id="106">
    <w:p w:rsidR="00617E0A" w:rsidRPr="00663EC4" w:rsidP="00663EC4">
      <w:pPr>
        <w:pStyle w:val="FootnoteText"/>
        <w:spacing w:after="120"/>
      </w:pPr>
      <w:r w:rsidRPr="00663EC4">
        <w:rPr>
          <w:rStyle w:val="FootnoteReference"/>
        </w:rPr>
        <w:footnoteRef/>
      </w:r>
      <w:r w:rsidRPr="00663EC4">
        <w:t xml:space="preserve"> Williams Supplemental at 4.</w:t>
      </w:r>
    </w:p>
  </w:footnote>
  <w:footnote w:id="107">
    <w:p w:rsidR="00617E0A" w:rsidRPr="00663EC4" w:rsidP="00663EC4">
      <w:pPr>
        <w:pStyle w:val="FootnoteText"/>
        <w:spacing w:after="120"/>
      </w:pPr>
      <w:r w:rsidRPr="00663EC4">
        <w:rPr>
          <w:rStyle w:val="FootnoteReference"/>
        </w:rPr>
        <w:footnoteRef/>
      </w:r>
      <w:r w:rsidRPr="00663EC4">
        <w:t xml:space="preserve"> Williams Direct at 4.</w:t>
      </w:r>
    </w:p>
  </w:footnote>
  <w:footnote w:id="108">
    <w:p w:rsidR="00617E0A" w:rsidRPr="00663EC4" w:rsidP="00663EC4">
      <w:pPr>
        <w:pStyle w:val="FootnoteText"/>
        <w:spacing w:after="120"/>
      </w:pPr>
      <w:r w:rsidRPr="00663EC4">
        <w:rPr>
          <w:rStyle w:val="FootnoteReference"/>
        </w:rPr>
        <w:footnoteRef/>
      </w:r>
      <w:r w:rsidRPr="00663EC4">
        <w:t xml:space="preserve"> SAIFI is a measure of the average number of interruptions per customer. Higher numbers mean that the average number of customer interruptions is increasing.  Williams Direct at 19.</w:t>
      </w:r>
    </w:p>
  </w:footnote>
  <w:footnote w:id="109">
    <w:p w:rsidR="00617E0A" w:rsidRPr="00663EC4" w:rsidP="00663EC4">
      <w:pPr>
        <w:pStyle w:val="FootnoteText"/>
        <w:spacing w:after="120"/>
      </w:pPr>
      <w:r w:rsidRPr="00663EC4">
        <w:rPr>
          <w:rStyle w:val="FootnoteReference"/>
        </w:rPr>
        <w:footnoteRef/>
      </w:r>
      <w:r w:rsidRPr="00663EC4">
        <w:t xml:space="preserve"> CAIDI is the average time to restore service following an interruption. Higher numbers mean that customers that experience an outage are waiting longer to have services restored.  Williams Direct at 19.</w:t>
      </w:r>
    </w:p>
  </w:footnote>
  <w:footnote w:id="110">
    <w:p w:rsidR="00617E0A" w:rsidRPr="00663EC4" w:rsidP="00663EC4">
      <w:pPr>
        <w:pStyle w:val="FootnoteText"/>
        <w:spacing w:after="120"/>
      </w:pPr>
      <w:r w:rsidRPr="00663EC4">
        <w:rPr>
          <w:rStyle w:val="FootnoteReference"/>
        </w:rPr>
        <w:footnoteRef/>
      </w:r>
      <w:r w:rsidRPr="00663EC4">
        <w:t xml:space="preserve"> Id. at 19.</w:t>
      </w:r>
    </w:p>
  </w:footnote>
  <w:footnote w:id="111">
    <w:p w:rsidR="00617E0A" w:rsidRPr="00663EC4" w:rsidP="00663EC4">
      <w:pPr>
        <w:pStyle w:val="FootnoteText"/>
        <w:spacing w:after="120"/>
      </w:pPr>
      <w:r w:rsidRPr="00663EC4">
        <w:rPr>
          <w:rStyle w:val="FootnoteReference"/>
        </w:rPr>
        <w:footnoteRef/>
      </w:r>
      <w:r w:rsidRPr="00663EC4">
        <w:t xml:space="preserve"> Id. at 20.</w:t>
      </w:r>
    </w:p>
  </w:footnote>
  <w:footnote w:id="112">
    <w:p w:rsidR="00617E0A" w:rsidRPr="00663EC4" w:rsidP="00663EC4">
      <w:pPr>
        <w:pStyle w:val="FootnoteText"/>
        <w:spacing w:after="120"/>
      </w:pPr>
      <w:r w:rsidRPr="00663EC4">
        <w:rPr>
          <w:rStyle w:val="FootnoteReference"/>
        </w:rPr>
        <w:footnoteRef/>
      </w:r>
      <w:r w:rsidRPr="00663EC4">
        <w:t xml:space="preserve"> Williams Supplemental at 4.</w:t>
      </w:r>
    </w:p>
  </w:footnote>
  <w:footnote w:id="113">
    <w:p w:rsidR="00617E0A" w:rsidRPr="00663EC4" w:rsidP="00663EC4">
      <w:pPr>
        <w:pStyle w:val="FootnoteText"/>
        <w:spacing w:after="120"/>
      </w:pPr>
      <w:r w:rsidRPr="00663EC4">
        <w:rPr>
          <w:rStyle w:val="FootnoteReference"/>
        </w:rPr>
        <w:footnoteRef/>
      </w:r>
      <w:r w:rsidRPr="00663EC4">
        <w:t xml:space="preserve"> Id. at 4.</w:t>
      </w:r>
    </w:p>
  </w:footnote>
  <w:footnote w:id="114">
    <w:p w:rsidR="00617E0A" w:rsidRPr="00663EC4" w:rsidP="00663EC4">
      <w:pPr>
        <w:pStyle w:val="FootnoteText"/>
        <w:spacing w:after="120"/>
      </w:pPr>
      <w:r w:rsidRPr="00663EC4">
        <w:rPr>
          <w:rStyle w:val="FootnoteReference"/>
        </w:rPr>
        <w:footnoteRef/>
      </w:r>
      <w:r w:rsidRPr="00663EC4">
        <w:t xml:space="preserve"> Williams Direct at 22-23.</w:t>
      </w:r>
    </w:p>
  </w:footnote>
  <w:footnote w:id="115">
    <w:p w:rsidR="00617E0A" w:rsidRPr="00663EC4" w:rsidP="00663EC4">
      <w:pPr>
        <w:pStyle w:val="FootnoteText"/>
        <w:spacing w:after="120"/>
      </w:pPr>
      <w:r w:rsidRPr="00663EC4">
        <w:rPr>
          <w:rStyle w:val="FootnoteReference"/>
        </w:rPr>
        <w:footnoteRef/>
      </w:r>
      <w:r w:rsidRPr="00663EC4">
        <w:t xml:space="preserve"> Id. at 21; R.C. 4928.143(B)(2)(h).</w:t>
      </w:r>
    </w:p>
  </w:footnote>
  <w:footnote w:id="116">
    <w:p w:rsidR="00617E0A" w:rsidRPr="00663EC4" w:rsidP="00663EC4">
      <w:pPr>
        <w:pStyle w:val="FootnoteText"/>
        <w:spacing w:after="120"/>
      </w:pPr>
      <w:r w:rsidRPr="00663EC4">
        <w:rPr>
          <w:rStyle w:val="FootnoteReference"/>
        </w:rPr>
        <w:footnoteRef/>
      </w:r>
      <w:r w:rsidRPr="00663EC4">
        <w:t xml:space="preserve"> Williams Direct at 22.</w:t>
      </w:r>
    </w:p>
  </w:footnote>
  <w:footnote w:id="117">
    <w:p w:rsidR="00617E0A" w:rsidRPr="00663EC4" w:rsidP="00663EC4">
      <w:pPr>
        <w:pStyle w:val="FootnoteText"/>
        <w:spacing w:after="120"/>
      </w:pPr>
      <w:r w:rsidRPr="00663EC4">
        <w:rPr>
          <w:rStyle w:val="FootnoteReference"/>
        </w:rPr>
        <w:footnoteRef/>
      </w:r>
      <w:r w:rsidRPr="00663EC4">
        <w:t xml:space="preserve"> Id. at 22-23.</w:t>
      </w:r>
    </w:p>
  </w:footnote>
  <w:footnote w:id="118">
    <w:p w:rsidR="00617E0A" w:rsidRPr="00663EC4" w:rsidP="00663EC4">
      <w:pPr>
        <w:pStyle w:val="FootnoteText"/>
        <w:spacing w:after="120"/>
      </w:pPr>
      <w:r w:rsidRPr="00663EC4">
        <w:rPr>
          <w:rStyle w:val="FootnoteReference"/>
        </w:rPr>
        <w:footnoteRef/>
      </w:r>
      <w:r w:rsidRPr="00663EC4">
        <w:t xml:space="preserve"> Id. at 23.</w:t>
      </w:r>
    </w:p>
  </w:footnote>
  <w:footnote w:id="119">
    <w:p w:rsidR="00617E0A" w:rsidRPr="00663EC4" w:rsidP="00663EC4">
      <w:pPr>
        <w:pStyle w:val="FootnoteText"/>
        <w:spacing w:after="120"/>
      </w:pPr>
      <w:r w:rsidRPr="00663EC4">
        <w:rPr>
          <w:rStyle w:val="FootnoteReference"/>
        </w:rPr>
        <w:footnoteRef/>
      </w:r>
      <w:r w:rsidRPr="00663EC4">
        <w:t xml:space="preserve"> Id. </w:t>
      </w:r>
    </w:p>
  </w:footnote>
  <w:footnote w:id="120">
    <w:p w:rsidR="00617E0A" w:rsidRPr="00663EC4" w:rsidP="00663EC4">
      <w:pPr>
        <w:pStyle w:val="FootnoteText"/>
        <w:spacing w:after="120"/>
      </w:pPr>
      <w:r w:rsidRPr="00663EC4">
        <w:rPr>
          <w:rStyle w:val="FootnoteReference"/>
        </w:rPr>
        <w:footnoteRef/>
      </w:r>
      <w:r w:rsidRPr="00663EC4">
        <w:t xml:space="preserve"> Id. </w:t>
      </w:r>
    </w:p>
  </w:footnote>
  <w:footnote w:id="121">
    <w:p w:rsidR="00617E0A" w:rsidRPr="00663EC4" w:rsidP="00663EC4">
      <w:pPr>
        <w:pStyle w:val="FootnoteText"/>
        <w:spacing w:after="120"/>
      </w:pPr>
      <w:r w:rsidRPr="00663EC4">
        <w:rPr>
          <w:rStyle w:val="FootnoteReference"/>
        </w:rPr>
        <w:footnoteRef/>
      </w:r>
      <w:r w:rsidRPr="00663EC4">
        <w:t xml:space="preserve"> Id. </w:t>
      </w:r>
    </w:p>
  </w:footnote>
  <w:footnote w:id="122">
    <w:p w:rsidR="00617E0A" w:rsidRPr="00663EC4" w:rsidP="00663EC4">
      <w:pPr>
        <w:pStyle w:val="FootnoteText"/>
        <w:spacing w:after="120"/>
      </w:pPr>
      <w:r w:rsidRPr="00663EC4">
        <w:rPr>
          <w:rStyle w:val="FootnoteReference"/>
        </w:rPr>
        <w:footnoteRef/>
      </w:r>
      <w:r w:rsidRPr="00663EC4">
        <w:t xml:space="preserve"> Id. at 25.</w:t>
      </w:r>
    </w:p>
  </w:footnote>
  <w:footnote w:id="123">
    <w:p w:rsidR="00617E0A" w:rsidRPr="00663EC4" w:rsidP="00663EC4">
      <w:pPr>
        <w:pStyle w:val="FootnoteText"/>
        <w:spacing w:after="120"/>
      </w:pPr>
      <w:r w:rsidRPr="00663EC4">
        <w:rPr>
          <w:rStyle w:val="FootnoteReference"/>
        </w:rPr>
        <w:footnoteRef/>
      </w:r>
      <w:r w:rsidRPr="00663EC4">
        <w:t xml:space="preserve"> Id. at 25.</w:t>
      </w:r>
    </w:p>
  </w:footnote>
  <w:footnote w:id="124">
    <w:p w:rsidR="00617E0A" w:rsidRPr="00663EC4" w:rsidP="00663EC4">
      <w:pPr>
        <w:pStyle w:val="FootnoteText"/>
        <w:spacing w:after="120"/>
      </w:pPr>
      <w:r w:rsidRPr="00663EC4">
        <w:rPr>
          <w:rStyle w:val="FootnoteReference"/>
        </w:rPr>
        <w:footnoteRef/>
      </w:r>
      <w:r w:rsidRPr="00663EC4">
        <w:t xml:space="preserve"> Williams Supplemental at 5-6.</w:t>
      </w:r>
    </w:p>
  </w:footnote>
  <w:footnote w:id="125">
    <w:p w:rsidR="00617E0A" w:rsidRPr="00663EC4" w:rsidP="00663EC4">
      <w:pPr>
        <w:pStyle w:val="FootnoteText"/>
        <w:spacing w:after="120"/>
      </w:pPr>
      <w:r w:rsidRPr="00663EC4">
        <w:rPr>
          <w:rStyle w:val="FootnoteReference"/>
        </w:rPr>
        <w:footnoteRef/>
      </w:r>
      <w:r w:rsidRPr="00663EC4">
        <w:t xml:space="preserve"> Id. at 5.</w:t>
      </w:r>
    </w:p>
  </w:footnote>
  <w:footnote w:id="126">
    <w:p w:rsidR="00617E0A" w:rsidRPr="00663EC4" w:rsidP="00663EC4">
      <w:pPr>
        <w:pStyle w:val="FootnoteText"/>
        <w:spacing w:after="120"/>
      </w:pPr>
      <w:r w:rsidRPr="00663EC4">
        <w:rPr>
          <w:rStyle w:val="FootnoteReference"/>
        </w:rPr>
        <w:footnoteRef/>
      </w:r>
      <w:r w:rsidRPr="00663EC4">
        <w:t xml:space="preserve"> Id.</w:t>
      </w:r>
    </w:p>
  </w:footnote>
  <w:footnote w:id="127">
    <w:p w:rsidR="00617E0A" w:rsidRPr="00663EC4" w:rsidP="00663EC4">
      <w:pPr>
        <w:pStyle w:val="FootnoteText"/>
        <w:spacing w:after="120"/>
      </w:pPr>
      <w:r w:rsidRPr="00663EC4">
        <w:rPr>
          <w:rStyle w:val="FootnoteReference"/>
        </w:rPr>
        <w:footnoteRef/>
      </w:r>
      <w:r w:rsidRPr="00663EC4">
        <w:t xml:space="preserve"> Williams Direct at 26.</w:t>
      </w:r>
    </w:p>
  </w:footnote>
  <w:footnote w:id="128">
    <w:p w:rsidR="00617E0A" w:rsidRPr="00663EC4" w:rsidP="00663EC4">
      <w:pPr>
        <w:pStyle w:val="FootnoteText"/>
        <w:spacing w:after="120"/>
      </w:pPr>
      <w:r w:rsidRPr="00663EC4">
        <w:rPr>
          <w:rStyle w:val="FootnoteReference"/>
        </w:rPr>
        <w:footnoteRef/>
      </w:r>
      <w:r w:rsidRPr="00663EC4">
        <w:t xml:space="preserve"> Id.</w:t>
      </w:r>
    </w:p>
  </w:footnote>
  <w:footnote w:id="129">
    <w:p w:rsidR="00617E0A" w:rsidRPr="00663EC4" w:rsidP="00663EC4">
      <w:pPr>
        <w:pStyle w:val="FootnoteText"/>
        <w:spacing w:after="120"/>
      </w:pPr>
      <w:r w:rsidRPr="00663EC4">
        <w:rPr>
          <w:rStyle w:val="FootnoteReference"/>
        </w:rPr>
        <w:footnoteRef/>
      </w:r>
      <w:r w:rsidRPr="00663EC4">
        <w:t xml:space="preserve"> Williams Supplemental at 7-8.</w:t>
      </w:r>
    </w:p>
  </w:footnote>
  <w:footnote w:id="130">
    <w:p w:rsidR="00617E0A" w:rsidRPr="00663EC4" w:rsidP="00663EC4">
      <w:pPr>
        <w:pStyle w:val="FootnoteText"/>
        <w:spacing w:after="120"/>
      </w:pPr>
      <w:r w:rsidRPr="00663EC4">
        <w:rPr>
          <w:rStyle w:val="FootnoteReference"/>
        </w:rPr>
        <w:footnoteRef/>
      </w:r>
      <w:r w:rsidRPr="00663EC4">
        <w:t xml:space="preserve"> Id.</w:t>
      </w:r>
    </w:p>
  </w:footnote>
  <w:footnote w:id="131">
    <w:p w:rsidR="00617E0A" w:rsidRPr="00663EC4" w:rsidP="00663EC4">
      <w:pPr>
        <w:pStyle w:val="FootnoteText"/>
        <w:spacing w:after="120"/>
      </w:pPr>
      <w:r w:rsidRPr="00663EC4">
        <w:rPr>
          <w:rStyle w:val="FootnoteReference"/>
        </w:rPr>
        <w:footnoteRef/>
      </w:r>
      <w:r w:rsidRPr="00663EC4">
        <w:t xml:space="preserve"> Id.</w:t>
      </w:r>
    </w:p>
  </w:footnote>
  <w:footnote w:id="132">
    <w:p w:rsidR="00617E0A" w:rsidRPr="00663EC4" w:rsidP="00663EC4">
      <w:pPr>
        <w:pStyle w:val="FootnoteText"/>
        <w:spacing w:after="120"/>
      </w:pPr>
      <w:r w:rsidRPr="00663EC4">
        <w:rPr>
          <w:rStyle w:val="FootnoteReference"/>
        </w:rPr>
        <w:footnoteRef/>
      </w:r>
      <w:r w:rsidRPr="00663EC4">
        <w:t xml:space="preserve"> Williams Direct at 28.</w:t>
      </w:r>
    </w:p>
  </w:footnote>
  <w:footnote w:id="133">
    <w:p w:rsidR="00617E0A" w:rsidRPr="00663EC4" w:rsidP="00663EC4">
      <w:pPr>
        <w:pStyle w:val="FootnoteText"/>
        <w:spacing w:after="120"/>
      </w:pPr>
      <w:r w:rsidRPr="00663EC4">
        <w:rPr>
          <w:rStyle w:val="FootnoteReference"/>
        </w:rPr>
        <w:footnoteRef/>
      </w:r>
      <w:r w:rsidRPr="00663EC4">
        <w:t xml:space="preserve"> Id. at 26.</w:t>
      </w:r>
    </w:p>
  </w:footnote>
  <w:footnote w:id="134">
    <w:p w:rsidR="00617E0A" w:rsidRPr="00663EC4" w:rsidP="00663EC4">
      <w:pPr>
        <w:pStyle w:val="FootnoteText"/>
        <w:spacing w:after="120"/>
      </w:pPr>
      <w:r w:rsidRPr="00663EC4">
        <w:rPr>
          <w:rStyle w:val="FootnoteReference"/>
        </w:rPr>
        <w:footnoteRef/>
      </w:r>
      <w:r w:rsidRPr="00663EC4">
        <w:t xml:space="preserve"> Williams Supplemental at 8.</w:t>
      </w:r>
    </w:p>
  </w:footnote>
  <w:footnote w:id="135">
    <w:p w:rsidR="00617E0A" w:rsidRPr="00663EC4" w:rsidP="00663EC4">
      <w:pPr>
        <w:pStyle w:val="FootnoteText"/>
        <w:spacing w:after="120"/>
      </w:pPr>
      <w:r w:rsidRPr="00663EC4">
        <w:rPr>
          <w:rStyle w:val="FootnoteReference"/>
        </w:rPr>
        <w:footnoteRef/>
      </w:r>
      <w:r w:rsidRPr="00663EC4">
        <w:t xml:space="preserve"> Id. at 7-8.</w:t>
      </w:r>
    </w:p>
  </w:footnote>
  <w:footnote w:id="136">
    <w:p w:rsidR="00617E0A" w:rsidRPr="00663EC4" w:rsidP="00663EC4">
      <w:pPr>
        <w:pStyle w:val="FootnoteText"/>
        <w:spacing w:after="120"/>
      </w:pPr>
      <w:r w:rsidRPr="00663EC4">
        <w:rPr>
          <w:rStyle w:val="FootnoteReference"/>
        </w:rPr>
        <w:footnoteRef/>
      </w:r>
      <w:r w:rsidRPr="00663EC4">
        <w:t xml:space="preserve"> Williams Direct at 29.</w:t>
      </w:r>
    </w:p>
  </w:footnote>
  <w:footnote w:id="137">
    <w:p w:rsidR="00617E0A" w:rsidRPr="00663EC4" w:rsidP="00663EC4">
      <w:pPr>
        <w:pStyle w:val="FootnoteText"/>
        <w:spacing w:after="120"/>
      </w:pPr>
      <w:r w:rsidRPr="00663EC4">
        <w:rPr>
          <w:rStyle w:val="FootnoteReference"/>
        </w:rPr>
        <w:footnoteRef/>
      </w:r>
      <w:r w:rsidRPr="00663EC4">
        <w:t xml:space="preserve"> Id.</w:t>
      </w:r>
    </w:p>
  </w:footnote>
  <w:footnote w:id="138">
    <w:p w:rsidR="00617E0A" w:rsidRPr="00663EC4" w:rsidP="00663EC4">
      <w:pPr>
        <w:pStyle w:val="FootnoteText"/>
        <w:spacing w:after="120"/>
      </w:pPr>
      <w:r w:rsidRPr="00663EC4">
        <w:rPr>
          <w:rStyle w:val="FootnoteReference"/>
        </w:rPr>
        <w:footnoteRef/>
      </w:r>
      <w:r w:rsidRPr="00663EC4">
        <w:t xml:space="preserve"> Supplemental Testimony of David J. Effron (OCC Ex. 4A) filed October 11, 2017 (“Effron Supplemental”) at 3.</w:t>
      </w:r>
    </w:p>
  </w:footnote>
  <w:footnote w:id="139">
    <w:p w:rsidR="00617E0A" w:rsidRPr="00663EC4" w:rsidP="00663EC4">
      <w:pPr>
        <w:pStyle w:val="FootnoteText"/>
        <w:spacing w:after="120"/>
      </w:pPr>
      <w:r w:rsidRPr="00663EC4">
        <w:rPr>
          <w:rStyle w:val="FootnoteReference"/>
        </w:rPr>
        <w:footnoteRef/>
      </w:r>
      <w:r w:rsidRPr="00663EC4">
        <w:t xml:space="preserve"> Id. at 4.</w:t>
      </w:r>
    </w:p>
  </w:footnote>
  <w:footnote w:id="140">
    <w:p w:rsidR="00617E0A" w:rsidRPr="00663EC4" w:rsidP="00663EC4">
      <w:pPr>
        <w:pStyle w:val="FootnoteText"/>
        <w:spacing w:after="120"/>
      </w:pPr>
      <w:r w:rsidRPr="00663EC4">
        <w:rPr>
          <w:rStyle w:val="FootnoteReference"/>
        </w:rPr>
        <w:footnoteRef/>
      </w:r>
      <w:r w:rsidRPr="00663EC4">
        <w:t xml:space="preserve"> Id. at 5.</w:t>
      </w:r>
    </w:p>
  </w:footnote>
  <w:footnote w:id="141">
    <w:p w:rsidR="00617E0A" w:rsidRPr="00663EC4" w:rsidP="00663EC4">
      <w:pPr>
        <w:pStyle w:val="FootnoteText"/>
        <w:spacing w:after="120"/>
      </w:pPr>
      <w:r w:rsidRPr="00663EC4">
        <w:rPr>
          <w:rStyle w:val="FootnoteReference"/>
        </w:rPr>
        <w:footnoteRef/>
      </w:r>
      <w:r w:rsidRPr="00663EC4">
        <w:t xml:space="preserve"> Id.</w:t>
      </w:r>
    </w:p>
  </w:footnote>
  <w:footnote w:id="142">
    <w:p w:rsidR="00617E0A" w:rsidRPr="00663EC4" w:rsidP="00663EC4">
      <w:pPr>
        <w:pStyle w:val="FootnoteText"/>
        <w:spacing w:after="120"/>
      </w:pPr>
      <w:r w:rsidRPr="00663EC4">
        <w:rPr>
          <w:rStyle w:val="FootnoteReference"/>
        </w:rPr>
        <w:footnoteRef/>
      </w:r>
      <w:r w:rsidRPr="00663EC4">
        <w:t xml:space="preserve"> Id. at 5-6.</w:t>
      </w:r>
    </w:p>
  </w:footnote>
  <w:footnote w:id="143">
    <w:p w:rsidR="00617E0A" w:rsidRPr="00663EC4" w:rsidP="00663EC4">
      <w:pPr>
        <w:pStyle w:val="FootnoteText"/>
        <w:spacing w:after="120"/>
      </w:pPr>
      <w:r w:rsidRPr="00663EC4">
        <w:rPr>
          <w:rStyle w:val="FootnoteReference"/>
        </w:rPr>
        <w:footnoteRef/>
      </w:r>
      <w:r w:rsidRPr="00663EC4">
        <w:t xml:space="preserve"> Id. at 7.</w:t>
      </w:r>
    </w:p>
  </w:footnote>
  <w:footnote w:id="144">
    <w:p w:rsidR="00617E0A" w:rsidRPr="00663EC4" w:rsidP="00663EC4">
      <w:pPr>
        <w:pStyle w:val="FootnoteText"/>
        <w:spacing w:after="120"/>
      </w:pPr>
      <w:r w:rsidRPr="00663EC4">
        <w:rPr>
          <w:rStyle w:val="FootnoteReference"/>
        </w:rPr>
        <w:footnoteRef/>
      </w:r>
      <w:r w:rsidRPr="00663EC4">
        <w:t xml:space="preserve"> Id. at 6-7.</w:t>
      </w:r>
    </w:p>
  </w:footnote>
  <w:footnote w:id="145">
    <w:p w:rsidR="00617E0A" w:rsidRPr="00663EC4" w:rsidP="00663EC4">
      <w:pPr>
        <w:pStyle w:val="FootnoteText"/>
        <w:spacing w:after="120"/>
      </w:pPr>
      <w:r w:rsidRPr="00663EC4">
        <w:rPr>
          <w:rStyle w:val="FootnoteReference"/>
        </w:rPr>
        <w:footnoteRef/>
      </w:r>
      <w:r w:rsidRPr="00663EC4">
        <w:t xml:space="preserve"> Id. at 7-9.</w:t>
      </w:r>
    </w:p>
  </w:footnote>
  <w:footnote w:id="146">
    <w:p w:rsidR="00617E0A" w:rsidRPr="00663EC4" w:rsidP="00663EC4">
      <w:pPr>
        <w:pStyle w:val="FootnoteText"/>
        <w:spacing w:after="120"/>
      </w:pPr>
      <w:r w:rsidRPr="00663EC4">
        <w:rPr>
          <w:rStyle w:val="FootnoteReference"/>
        </w:rPr>
        <w:footnoteRef/>
      </w:r>
      <w:r w:rsidRPr="00663EC4">
        <w:t xml:space="preserve"> Hearing Transcript Vol. III, p. 361:2-9.</w:t>
      </w:r>
    </w:p>
  </w:footnote>
  <w:footnote w:id="147">
    <w:p w:rsidR="00617E0A" w:rsidRPr="00663EC4" w:rsidP="00663EC4">
      <w:pPr>
        <w:pStyle w:val="FootnoteText"/>
        <w:spacing w:after="120"/>
      </w:pPr>
      <w:r w:rsidRPr="00663EC4">
        <w:rPr>
          <w:rStyle w:val="FootnoteReference"/>
        </w:rPr>
        <w:footnoteRef/>
      </w:r>
      <w:r w:rsidRPr="00663EC4">
        <w:t xml:space="preserve"> Effron Supplemental at 10-11.</w:t>
      </w:r>
    </w:p>
  </w:footnote>
  <w:footnote w:id="148">
    <w:p w:rsidR="00617E0A" w:rsidRPr="00663EC4" w:rsidP="00663EC4">
      <w:pPr>
        <w:pStyle w:val="FootnoteText"/>
        <w:spacing w:after="120"/>
      </w:pPr>
      <w:r w:rsidRPr="00663EC4">
        <w:rPr>
          <w:rStyle w:val="FootnoteReference"/>
        </w:rPr>
        <w:footnoteRef/>
      </w:r>
      <w:r w:rsidRPr="00663EC4">
        <w:t xml:space="preserve"> Id. at 10.</w:t>
      </w:r>
    </w:p>
  </w:footnote>
  <w:footnote w:id="149">
    <w:p w:rsidR="00617E0A" w:rsidRPr="00663EC4" w:rsidP="00663EC4">
      <w:pPr>
        <w:pStyle w:val="FootnoteText"/>
        <w:spacing w:after="120"/>
      </w:pPr>
      <w:r w:rsidRPr="00663EC4">
        <w:rPr>
          <w:rStyle w:val="FootnoteReference"/>
        </w:rPr>
        <w:footnoteRef/>
      </w:r>
      <w:r w:rsidRPr="00663EC4">
        <w:t xml:space="preserve"> Id. at 10-11.</w:t>
      </w:r>
    </w:p>
  </w:footnote>
  <w:footnote w:id="150">
    <w:p w:rsidR="00617E0A" w:rsidRPr="00663EC4" w:rsidP="00663EC4">
      <w:pPr>
        <w:pStyle w:val="FootnoteText"/>
        <w:spacing w:after="120"/>
      </w:pPr>
      <w:r w:rsidRPr="00663EC4">
        <w:rPr>
          <w:rStyle w:val="FootnoteReference"/>
        </w:rPr>
        <w:footnoteRef/>
      </w:r>
      <w:r w:rsidRPr="00663EC4">
        <w:t xml:space="preserve"> See </w:t>
      </w:r>
      <w:r w:rsidRPr="00663EC4">
        <w:rPr>
          <w:i/>
        </w:rPr>
        <w:t>In the Matter of the Application of Ohio Power Company for Authority to Establish Standard Service Offer Pursuant to R.C. 4928.143, in the Form of an Electric Security Plan</w:t>
      </w:r>
      <w:r w:rsidRPr="00663EC4">
        <w:t>, Case No. 13-2385-EL-SSO et al., Opinion and Order, 87-88 (February 25, 2015).</w:t>
      </w:r>
    </w:p>
  </w:footnote>
  <w:footnote w:id="151">
    <w:p w:rsidR="00617E0A" w:rsidRPr="00663EC4" w:rsidP="00663EC4">
      <w:pPr>
        <w:pStyle w:val="FootnoteText"/>
        <w:spacing w:after="120"/>
      </w:pPr>
      <w:r w:rsidRPr="00663EC4">
        <w:rPr>
          <w:rStyle w:val="FootnoteReference"/>
        </w:rPr>
        <w:footnoteRef/>
      </w:r>
      <w:r w:rsidRPr="00663EC4">
        <w:t xml:space="preserve"> Haugh Testimony at 15:18-16:1.</w:t>
      </w:r>
    </w:p>
  </w:footnote>
  <w:footnote w:id="152">
    <w:p w:rsidR="00617E0A" w:rsidRPr="00663EC4" w:rsidP="00663EC4">
      <w:pPr>
        <w:pStyle w:val="FootnoteText"/>
        <w:spacing w:after="120"/>
      </w:pPr>
      <w:r w:rsidRPr="00663EC4">
        <w:rPr>
          <w:rStyle w:val="FootnoteReference"/>
        </w:rPr>
        <w:footnoteRef/>
      </w:r>
      <w:r w:rsidRPr="00663EC4">
        <w:t xml:space="preserve"> Id. at 15:1-2.</w:t>
      </w:r>
    </w:p>
  </w:footnote>
  <w:footnote w:id="153">
    <w:p w:rsidR="00617E0A" w:rsidRPr="00663EC4" w:rsidP="00663EC4">
      <w:pPr>
        <w:pStyle w:val="FootnoteText"/>
        <w:spacing w:after="120"/>
      </w:pPr>
      <w:r w:rsidRPr="00663EC4">
        <w:rPr>
          <w:rStyle w:val="FootnoteReference"/>
        </w:rPr>
        <w:footnoteRef/>
      </w:r>
      <w:r w:rsidRPr="00663EC4">
        <w:t xml:space="preserve"> Id. at 16:14-15.</w:t>
      </w:r>
    </w:p>
  </w:footnote>
  <w:footnote w:id="154">
    <w:p w:rsidR="00617E0A" w:rsidRPr="00663EC4" w:rsidP="00663EC4">
      <w:pPr>
        <w:pStyle w:val="FootnoteText"/>
        <w:spacing w:after="120"/>
      </w:pPr>
      <w:r w:rsidRPr="00663EC4">
        <w:rPr>
          <w:rStyle w:val="FootnoteReference"/>
        </w:rPr>
        <w:footnoteRef/>
      </w:r>
      <w:r w:rsidRPr="00663EC4">
        <w:t xml:space="preserve"> Id. at 16:15-18.</w:t>
      </w:r>
    </w:p>
  </w:footnote>
  <w:footnote w:id="155">
    <w:p w:rsidR="00617E0A" w:rsidRPr="00663EC4" w:rsidP="00663EC4">
      <w:pPr>
        <w:pStyle w:val="FootnoteText"/>
        <w:spacing w:after="120"/>
      </w:pPr>
      <w:r w:rsidRPr="00663EC4">
        <w:rPr>
          <w:rStyle w:val="FootnoteReference"/>
        </w:rPr>
        <w:footnoteRef/>
      </w:r>
      <w:r w:rsidRPr="00663EC4">
        <w:t xml:space="preserve"> Id. at 16:18.</w:t>
      </w:r>
    </w:p>
  </w:footnote>
  <w:footnote w:id="156">
    <w:p w:rsidR="00617E0A" w:rsidRPr="00663EC4" w:rsidP="00663EC4">
      <w:pPr>
        <w:pStyle w:val="FootnoteText"/>
        <w:spacing w:after="120"/>
      </w:pPr>
      <w:r w:rsidRPr="00663EC4">
        <w:rPr>
          <w:rStyle w:val="FootnoteReference"/>
        </w:rPr>
        <w:footnoteRef/>
      </w:r>
      <w:r w:rsidRPr="00663EC4">
        <w:t xml:space="preserve"> Id. at 16:18-21.</w:t>
      </w:r>
    </w:p>
  </w:footnote>
  <w:footnote w:id="157">
    <w:p w:rsidR="00617E0A" w:rsidRPr="00663EC4" w:rsidP="00663EC4">
      <w:pPr>
        <w:pStyle w:val="FootnoteText"/>
        <w:spacing w:after="120"/>
      </w:pPr>
      <w:r w:rsidRPr="00663EC4">
        <w:rPr>
          <w:rStyle w:val="FootnoteReference"/>
        </w:rPr>
        <w:footnoteRef/>
      </w:r>
      <w:r w:rsidRPr="00663EC4">
        <w:t xml:space="preserve"> Id. at 16:22-23.</w:t>
      </w:r>
    </w:p>
  </w:footnote>
  <w:footnote w:id="158">
    <w:p w:rsidR="00617E0A" w:rsidRPr="00663EC4" w:rsidP="00663EC4">
      <w:pPr>
        <w:pStyle w:val="FootnoteText"/>
        <w:spacing w:after="120"/>
      </w:pPr>
      <w:r w:rsidRPr="00663EC4">
        <w:rPr>
          <w:rStyle w:val="FootnoteReference"/>
        </w:rPr>
        <w:footnoteRef/>
      </w:r>
      <w:r w:rsidRPr="00663EC4">
        <w:t xml:space="preserve"> Id. at 16:23-17:3.</w:t>
      </w:r>
    </w:p>
  </w:footnote>
  <w:footnote w:id="159">
    <w:p w:rsidR="00617E0A" w:rsidRPr="00663EC4" w:rsidP="00663EC4">
      <w:pPr>
        <w:pStyle w:val="FootnoteText"/>
        <w:spacing w:after="120"/>
      </w:pPr>
      <w:r w:rsidRPr="00663EC4">
        <w:rPr>
          <w:rStyle w:val="FootnoteReference"/>
        </w:rPr>
        <w:footnoteRef/>
      </w:r>
      <w:r w:rsidRPr="00663EC4">
        <w:t xml:space="preserve"> Id. at 17:5-6.</w:t>
      </w:r>
    </w:p>
  </w:footnote>
  <w:footnote w:id="160">
    <w:p w:rsidR="00617E0A" w:rsidRPr="00663EC4" w:rsidP="00663EC4">
      <w:pPr>
        <w:pStyle w:val="FootnoteText"/>
        <w:spacing w:after="120"/>
      </w:pPr>
      <w:r w:rsidRPr="00663EC4">
        <w:rPr>
          <w:rStyle w:val="FootnoteReference"/>
        </w:rPr>
        <w:footnoteRef/>
      </w:r>
      <w:r w:rsidRPr="00663EC4">
        <w:t xml:space="preserve"> Id. at 18:3-8.</w:t>
      </w:r>
    </w:p>
  </w:footnote>
  <w:footnote w:id="161">
    <w:p w:rsidR="00617E0A" w:rsidRPr="00663EC4" w:rsidP="00663EC4">
      <w:pPr>
        <w:pStyle w:val="FootnoteText"/>
        <w:spacing w:after="120"/>
      </w:pPr>
      <w:r w:rsidRPr="00663EC4">
        <w:rPr>
          <w:rStyle w:val="FootnoteReference"/>
        </w:rPr>
        <w:footnoteRef/>
      </w:r>
      <w:r w:rsidRPr="00663EC4">
        <w:t xml:space="preserve"> Id. at 18:21-22.</w:t>
      </w:r>
    </w:p>
  </w:footnote>
  <w:footnote w:id="162">
    <w:p w:rsidR="00617E0A" w:rsidRPr="00663EC4" w:rsidP="00663EC4">
      <w:pPr>
        <w:pStyle w:val="FootnoteText"/>
        <w:spacing w:after="120"/>
      </w:pPr>
      <w:r w:rsidRPr="00663EC4">
        <w:rPr>
          <w:rStyle w:val="FootnoteReference"/>
        </w:rPr>
        <w:footnoteRef/>
      </w:r>
      <w:r w:rsidRPr="00663EC4">
        <w:t xml:space="preserve"> Id. at 19:4-5.</w:t>
      </w:r>
    </w:p>
  </w:footnote>
  <w:footnote w:id="163">
    <w:p w:rsidR="00617E0A" w:rsidRPr="00663EC4" w:rsidP="00663EC4">
      <w:pPr>
        <w:pStyle w:val="FootnoteText"/>
        <w:spacing w:after="120"/>
      </w:pPr>
      <w:r w:rsidRPr="00663EC4">
        <w:rPr>
          <w:rStyle w:val="FootnoteReference"/>
        </w:rPr>
        <w:footnoteRef/>
      </w:r>
      <w:r w:rsidRPr="00663EC4">
        <w:t xml:space="preserve"> Id. at 6-7.</w:t>
      </w:r>
    </w:p>
  </w:footnote>
  <w:footnote w:id="164">
    <w:p w:rsidR="00617E0A" w:rsidRPr="00663EC4" w:rsidP="00663EC4">
      <w:pPr>
        <w:pStyle w:val="FootnoteText"/>
        <w:spacing w:after="120"/>
      </w:pPr>
      <w:r w:rsidRPr="00663EC4">
        <w:rPr>
          <w:rStyle w:val="FootnoteReference"/>
        </w:rPr>
        <w:footnoteRef/>
      </w:r>
      <w:r w:rsidRPr="00663EC4">
        <w:t xml:space="preserve"> Id. at 7-9.</w:t>
      </w:r>
    </w:p>
  </w:footnote>
  <w:footnote w:id="165">
    <w:p w:rsidR="00617E0A" w:rsidRPr="00663EC4" w:rsidP="00663EC4">
      <w:pPr>
        <w:pStyle w:val="FootnoteText"/>
        <w:spacing w:after="120"/>
      </w:pPr>
      <w:r w:rsidRPr="00663EC4">
        <w:rPr>
          <w:rStyle w:val="FootnoteReference"/>
        </w:rPr>
        <w:footnoteRef/>
      </w:r>
      <w:r w:rsidRPr="00663EC4">
        <w:t xml:space="preserve"> Id. at 20:7-8.</w:t>
      </w:r>
    </w:p>
  </w:footnote>
  <w:footnote w:id="166">
    <w:p w:rsidR="00617E0A" w:rsidRPr="00663EC4" w:rsidP="00663EC4">
      <w:pPr>
        <w:pStyle w:val="FootnoteText"/>
        <w:spacing w:after="120"/>
      </w:pPr>
      <w:r w:rsidRPr="00663EC4">
        <w:rPr>
          <w:rStyle w:val="FootnoteReference"/>
        </w:rPr>
        <w:footnoteRef/>
      </w:r>
      <w:r w:rsidRPr="00663EC4">
        <w:t xml:space="preserve"> Id. at 20:3-9.</w:t>
      </w:r>
    </w:p>
  </w:footnote>
  <w:footnote w:id="167">
    <w:p w:rsidR="00617E0A" w:rsidRPr="00663EC4" w:rsidP="00663EC4">
      <w:pPr>
        <w:pStyle w:val="FootnoteText"/>
        <w:spacing w:after="120"/>
      </w:pPr>
      <w:r w:rsidRPr="00663EC4">
        <w:rPr>
          <w:rStyle w:val="FootnoteReference"/>
        </w:rPr>
        <w:footnoteRef/>
      </w:r>
      <w:r w:rsidRPr="00663EC4">
        <w:t xml:space="preserve"> R.C. 4928.143(B)(2)(c).  AEP does not even attempt to show need here.  See, e.g., Direct Testimony of William A. Allen filed September 13, 2017 (AEP Ex. 1) at 6-7.</w:t>
      </w:r>
    </w:p>
  </w:footnote>
  <w:footnote w:id="168">
    <w:p w:rsidR="00617E0A" w:rsidRPr="00663EC4" w:rsidP="00663EC4">
      <w:pPr>
        <w:pStyle w:val="FootnoteText"/>
        <w:spacing w:after="120"/>
      </w:pPr>
      <w:r w:rsidRPr="00663EC4">
        <w:rPr>
          <w:rStyle w:val="FootnoteReference"/>
        </w:rPr>
        <w:footnoteRef/>
      </w:r>
      <w:r w:rsidRPr="00663EC4">
        <w:t xml:space="preserve"> See </w:t>
      </w:r>
      <w:r w:rsidRPr="00663EC4">
        <w:rPr>
          <w:i/>
        </w:rPr>
        <w:t>In the Matter of the Long-Term Forecast Report of Columbus Southern Power Company and Related Matters</w:t>
      </w:r>
      <w:r w:rsidRPr="00663EC4">
        <w:t>, Case No. 10-501-EL-FOR.</w:t>
      </w:r>
    </w:p>
  </w:footnote>
  <w:footnote w:id="169">
    <w:p w:rsidR="00617E0A" w:rsidRPr="00663EC4" w:rsidP="00663EC4">
      <w:pPr>
        <w:pStyle w:val="FootnoteText"/>
        <w:spacing w:after="120"/>
      </w:pPr>
      <w:r w:rsidRPr="00663EC4">
        <w:rPr>
          <w:rStyle w:val="FootnoteReference"/>
        </w:rPr>
        <w:footnoteRef/>
      </w:r>
      <w:r w:rsidRPr="00663EC4">
        <w:t xml:space="preserve"> R.C. 4928.143(C)(1).</w:t>
      </w:r>
    </w:p>
  </w:footnote>
  <w:footnote w:id="170">
    <w:p w:rsidR="00617E0A" w:rsidRPr="00663EC4" w:rsidP="00663EC4">
      <w:pPr>
        <w:pStyle w:val="FootnoteText"/>
        <w:spacing w:after="120"/>
      </w:pPr>
      <w:r w:rsidRPr="00663EC4">
        <w:rPr>
          <w:rStyle w:val="FootnoteReference"/>
        </w:rPr>
        <w:footnoteRef/>
      </w:r>
      <w:r w:rsidRPr="00663EC4">
        <w:t xml:space="preserve"> See, e.g., R.C. 1.49(D); </w:t>
      </w:r>
      <w:r w:rsidRPr="00663EC4">
        <w:rPr>
          <w:i/>
        </w:rPr>
        <w:t>State v. Everett</w:t>
      </w:r>
      <w:r w:rsidRPr="00663EC4">
        <w:t xml:space="preserve">, 129 Ohio St. 3d 317 (2011); </w:t>
      </w:r>
      <w:r w:rsidRPr="00663EC4">
        <w:rPr>
          <w:i/>
        </w:rPr>
        <w:t>FCC v. AT&amp;T</w:t>
      </w:r>
      <w:r w:rsidRPr="00663EC4">
        <w:t xml:space="preserve">, 562 U.S. 397 (2011). </w:t>
      </w:r>
    </w:p>
  </w:footnote>
  <w:footnote w:id="171">
    <w:p w:rsidR="00617E0A" w:rsidRPr="00663EC4" w:rsidP="00663EC4">
      <w:pPr>
        <w:pStyle w:val="FootnoteText"/>
        <w:spacing w:after="120"/>
      </w:pPr>
      <w:r w:rsidRPr="00663EC4">
        <w:rPr>
          <w:rStyle w:val="FootnoteReference"/>
        </w:rPr>
        <w:footnoteRef/>
      </w:r>
      <w:r w:rsidRPr="00663EC4">
        <w:t xml:space="preserve"> R.C. 4928.143(B)(2)(c).</w:t>
      </w:r>
    </w:p>
  </w:footnote>
  <w:footnote w:id="172">
    <w:p w:rsidR="00617E0A" w:rsidRPr="00663EC4" w:rsidP="00663EC4">
      <w:pPr>
        <w:pStyle w:val="FootnoteText"/>
        <w:spacing w:after="120"/>
      </w:pPr>
      <w:r w:rsidRPr="00663EC4">
        <w:rPr>
          <w:rStyle w:val="FootnoteReference"/>
        </w:rPr>
        <w:footnoteRef/>
      </w:r>
      <w:r w:rsidRPr="00663EC4">
        <w:t xml:space="preserve"> Id.</w:t>
      </w:r>
    </w:p>
  </w:footnote>
  <w:footnote w:id="173">
    <w:p w:rsidR="00617E0A" w:rsidRPr="00663EC4" w:rsidP="00663EC4">
      <w:pPr>
        <w:pStyle w:val="FootnoteText"/>
        <w:spacing w:after="120"/>
      </w:pPr>
      <w:r w:rsidRPr="00663EC4">
        <w:rPr>
          <w:rStyle w:val="FootnoteReference"/>
        </w:rPr>
        <w:footnoteRef/>
      </w:r>
      <w:r w:rsidRPr="00663EC4">
        <w:t xml:space="preserve"> See R.C. 1.47(C); </w:t>
      </w:r>
      <w:r w:rsidRPr="00663EC4">
        <w:rPr>
          <w:i/>
        </w:rPr>
        <w:t>Mishr v. Poland Bd. of Zoning Appeals</w:t>
      </w:r>
      <w:r w:rsidRPr="00663EC4">
        <w:t>, 76 Ohio St. 3d 238 (1996).</w:t>
      </w:r>
    </w:p>
  </w:footnote>
  <w:footnote w:id="174">
    <w:p w:rsidR="00617E0A" w:rsidRPr="00663EC4" w:rsidP="00663EC4">
      <w:pPr>
        <w:pStyle w:val="FootnoteText"/>
        <w:spacing w:after="120"/>
      </w:pPr>
      <w:r w:rsidRPr="00663EC4">
        <w:rPr>
          <w:rStyle w:val="FootnoteReference"/>
        </w:rPr>
        <w:footnoteRef/>
      </w:r>
      <w:r w:rsidRPr="00663EC4">
        <w:t xml:space="preserve"> Haugh Testimony at 20:14-16.</w:t>
      </w:r>
    </w:p>
  </w:footnote>
  <w:footnote w:id="175">
    <w:p w:rsidR="00617E0A" w:rsidRPr="00663EC4" w:rsidP="00663EC4">
      <w:pPr>
        <w:pStyle w:val="FootnoteText"/>
        <w:spacing w:after="120"/>
      </w:pPr>
      <w:r w:rsidRPr="00663EC4">
        <w:rPr>
          <w:rStyle w:val="FootnoteReference"/>
        </w:rPr>
        <w:footnoteRef/>
      </w:r>
      <w:r w:rsidRPr="00663EC4">
        <w:t xml:space="preserve"> Id. at 16-20.</w:t>
      </w:r>
    </w:p>
  </w:footnote>
  <w:footnote w:id="176">
    <w:p w:rsidR="00617E0A" w:rsidRPr="00663EC4" w:rsidP="00663EC4">
      <w:pPr>
        <w:pStyle w:val="FootnoteText"/>
        <w:spacing w:after="120"/>
      </w:pPr>
      <w:r w:rsidRPr="00663EC4">
        <w:rPr>
          <w:rStyle w:val="FootnoteReference"/>
        </w:rPr>
        <w:footnoteRef/>
      </w:r>
      <w:r w:rsidRPr="00663EC4">
        <w:t xml:space="preserve"> Alexander Testimony at 14:1-8.</w:t>
      </w:r>
    </w:p>
  </w:footnote>
  <w:footnote w:id="177">
    <w:p w:rsidR="00617E0A" w:rsidRPr="00663EC4" w:rsidP="00663EC4">
      <w:pPr>
        <w:pStyle w:val="FootnoteText"/>
        <w:spacing w:after="120"/>
      </w:pPr>
      <w:r w:rsidRPr="00663EC4">
        <w:rPr>
          <w:rStyle w:val="FootnoteReference"/>
        </w:rPr>
        <w:footnoteRef/>
      </w:r>
      <w:r w:rsidRPr="00663EC4">
        <w:t xml:space="preserve"> Id. at 14:10-16.</w:t>
      </w:r>
    </w:p>
  </w:footnote>
  <w:footnote w:id="178">
    <w:p w:rsidR="00617E0A" w:rsidRPr="00663EC4" w:rsidP="00663EC4">
      <w:pPr>
        <w:pStyle w:val="FootnoteText"/>
        <w:spacing w:after="120"/>
      </w:pPr>
      <w:r w:rsidRPr="00663EC4">
        <w:rPr>
          <w:rStyle w:val="FootnoteReference"/>
        </w:rPr>
        <w:footnoteRef/>
      </w:r>
      <w:r w:rsidRPr="00663EC4">
        <w:t xml:space="preserve"> Id. at 14:18-21.</w:t>
      </w:r>
    </w:p>
  </w:footnote>
  <w:footnote w:id="179">
    <w:p w:rsidR="00617E0A" w:rsidRPr="00663EC4" w:rsidP="00663EC4">
      <w:pPr>
        <w:pStyle w:val="FootnoteText"/>
        <w:spacing w:after="120"/>
      </w:pPr>
      <w:r w:rsidRPr="00663EC4">
        <w:rPr>
          <w:rStyle w:val="FootnoteReference"/>
        </w:rPr>
        <w:footnoteRef/>
      </w:r>
      <w:r w:rsidRPr="00663EC4">
        <w:t xml:space="preserve"> Id. at 15:6-7.</w:t>
      </w:r>
    </w:p>
  </w:footnote>
  <w:footnote w:id="180">
    <w:p w:rsidR="00617E0A" w:rsidRPr="00663EC4" w:rsidP="00663EC4">
      <w:pPr>
        <w:pStyle w:val="FootnoteText"/>
        <w:spacing w:after="120"/>
      </w:pPr>
      <w:r w:rsidRPr="00663EC4">
        <w:rPr>
          <w:rStyle w:val="FootnoteReference"/>
        </w:rPr>
        <w:footnoteRef/>
      </w:r>
      <w:r w:rsidRPr="00663EC4">
        <w:t xml:space="preserve"> Id. at 15:7-12; R.C. 4928.02(A).</w:t>
      </w:r>
    </w:p>
  </w:footnote>
  <w:footnote w:id="181">
    <w:p w:rsidR="00617E0A" w:rsidRPr="00663EC4" w:rsidP="00663EC4">
      <w:pPr>
        <w:pStyle w:val="FootnoteText"/>
        <w:spacing w:after="120"/>
      </w:pPr>
      <w:r w:rsidRPr="00663EC4">
        <w:rPr>
          <w:rStyle w:val="FootnoteReference"/>
        </w:rPr>
        <w:footnoteRef/>
      </w:r>
      <w:r w:rsidRPr="00663EC4">
        <w:t xml:space="preserve"> R.C. 4905.33.</w:t>
      </w:r>
    </w:p>
  </w:footnote>
  <w:footnote w:id="182">
    <w:p w:rsidR="00617E0A" w:rsidRPr="00663EC4" w:rsidP="00663EC4">
      <w:pPr>
        <w:pStyle w:val="FootnoteText"/>
        <w:spacing w:after="120"/>
      </w:pPr>
      <w:r w:rsidRPr="00663EC4">
        <w:rPr>
          <w:rStyle w:val="FootnoteReference"/>
        </w:rPr>
        <w:footnoteRef/>
      </w:r>
      <w:r w:rsidRPr="00663EC4">
        <w:t xml:space="preserve"> R.C. 4928.02 (L).</w:t>
      </w:r>
    </w:p>
  </w:footnote>
  <w:footnote w:id="183">
    <w:p w:rsidR="00617E0A" w:rsidRPr="00663EC4" w:rsidP="00663EC4">
      <w:pPr>
        <w:pStyle w:val="FootnoteText"/>
        <w:spacing w:after="120"/>
      </w:pPr>
      <w:r w:rsidRPr="00663EC4">
        <w:rPr>
          <w:rStyle w:val="FootnoteReference"/>
        </w:rPr>
        <w:footnoteRef/>
      </w:r>
      <w:r w:rsidRPr="00663EC4">
        <w:t xml:space="preserve"> Alexander Testimony at 15:16-16:2.</w:t>
      </w:r>
    </w:p>
  </w:footnote>
  <w:footnote w:id="184">
    <w:p w:rsidR="00617E0A" w:rsidRPr="00663EC4" w:rsidP="00663EC4">
      <w:pPr>
        <w:pStyle w:val="FootnoteText"/>
        <w:spacing w:after="120"/>
      </w:pPr>
      <w:r w:rsidRPr="00663EC4">
        <w:rPr>
          <w:rStyle w:val="FootnoteReference"/>
        </w:rPr>
        <w:footnoteRef/>
      </w:r>
      <w:r w:rsidRPr="00663EC4">
        <w:t xml:space="preserve"> Id. at 16:2-5.</w:t>
      </w:r>
    </w:p>
  </w:footnote>
  <w:footnote w:id="185">
    <w:p w:rsidR="00617E0A" w:rsidRPr="00663EC4" w:rsidP="00663EC4">
      <w:pPr>
        <w:pStyle w:val="FootnoteText"/>
        <w:spacing w:after="120"/>
      </w:pPr>
      <w:r w:rsidRPr="00663EC4">
        <w:rPr>
          <w:rStyle w:val="FootnoteReference"/>
        </w:rPr>
        <w:footnoteRef/>
      </w:r>
      <w:r w:rsidRPr="00663EC4">
        <w:t xml:space="preserve"> Id. at 16:8-11.</w:t>
      </w:r>
    </w:p>
  </w:footnote>
  <w:footnote w:id="186">
    <w:p w:rsidR="00617E0A" w:rsidRPr="00663EC4" w:rsidP="00663EC4">
      <w:pPr>
        <w:pStyle w:val="FootnoteText"/>
        <w:spacing w:after="120"/>
      </w:pPr>
      <w:r w:rsidRPr="00663EC4">
        <w:rPr>
          <w:rStyle w:val="FootnoteReference"/>
        </w:rPr>
        <w:footnoteRef/>
      </w:r>
      <w:r w:rsidRPr="00663EC4">
        <w:t xml:space="preserve"> Id. at 16:11-15.</w:t>
      </w:r>
    </w:p>
  </w:footnote>
  <w:footnote w:id="187">
    <w:p w:rsidR="00617E0A" w:rsidRPr="00663EC4" w:rsidP="00663EC4">
      <w:pPr>
        <w:pStyle w:val="FootnoteText"/>
        <w:spacing w:after="120"/>
      </w:pPr>
      <w:r w:rsidRPr="00663EC4">
        <w:rPr>
          <w:rStyle w:val="FootnoteReference"/>
        </w:rPr>
        <w:footnoteRef/>
      </w:r>
      <w:r w:rsidRPr="00663EC4">
        <w:t xml:space="preserve"> Id. at 16:17-21.</w:t>
      </w:r>
    </w:p>
  </w:footnote>
  <w:footnote w:id="188">
    <w:p w:rsidR="00617E0A" w:rsidRPr="00663EC4" w:rsidP="00663EC4">
      <w:pPr>
        <w:pStyle w:val="FootnoteText"/>
        <w:spacing w:after="120"/>
      </w:pPr>
      <w:r w:rsidRPr="00663EC4">
        <w:rPr>
          <w:rStyle w:val="FootnoteReference"/>
        </w:rPr>
        <w:footnoteRef/>
      </w:r>
      <w:r w:rsidRPr="00663EC4">
        <w:t xml:space="preserve"> Id. at 16:22-23.</w:t>
      </w:r>
    </w:p>
  </w:footnote>
  <w:footnote w:id="189">
    <w:p w:rsidR="00617E0A" w:rsidRPr="00663EC4" w:rsidP="00663EC4">
      <w:pPr>
        <w:pStyle w:val="FootnoteText"/>
        <w:spacing w:after="120"/>
      </w:pPr>
      <w:r w:rsidRPr="00663EC4">
        <w:rPr>
          <w:rStyle w:val="FootnoteReference"/>
        </w:rPr>
        <w:footnoteRef/>
      </w:r>
      <w:r w:rsidRPr="00663EC4">
        <w:t xml:space="preserve"> Id. at 17:6-10.</w:t>
      </w:r>
    </w:p>
  </w:footnote>
  <w:footnote w:id="190">
    <w:p w:rsidR="00617E0A" w:rsidRPr="00663EC4" w:rsidP="00663EC4">
      <w:pPr>
        <w:pStyle w:val="FootnoteText"/>
        <w:spacing w:after="120"/>
      </w:pPr>
      <w:r w:rsidRPr="00663EC4">
        <w:rPr>
          <w:rStyle w:val="FootnoteReference"/>
        </w:rPr>
        <w:footnoteRef/>
      </w:r>
      <w:r w:rsidRPr="00663EC4">
        <w:t xml:space="preserve"> Id. at 18:11-13.</w:t>
      </w:r>
    </w:p>
  </w:footnote>
  <w:footnote w:id="191">
    <w:p w:rsidR="00617E0A" w:rsidRPr="00663EC4" w:rsidP="00663EC4">
      <w:pPr>
        <w:pStyle w:val="FootnoteText"/>
        <w:spacing w:after="120"/>
      </w:pPr>
      <w:r w:rsidRPr="00663EC4">
        <w:rPr>
          <w:rStyle w:val="FootnoteReference"/>
        </w:rPr>
        <w:footnoteRef/>
      </w:r>
      <w:r w:rsidRPr="00663EC4">
        <w:t xml:space="preserve"> Id. at 18:16-20.</w:t>
      </w:r>
    </w:p>
  </w:footnote>
  <w:footnote w:id="192">
    <w:p w:rsidR="00617E0A" w:rsidRPr="00663EC4" w:rsidP="00663EC4">
      <w:pPr>
        <w:pStyle w:val="FootnoteText"/>
        <w:spacing w:after="120"/>
      </w:pPr>
      <w:r w:rsidRPr="00663EC4">
        <w:rPr>
          <w:rStyle w:val="FootnoteReference"/>
        </w:rPr>
        <w:footnoteRef/>
      </w:r>
      <w:r w:rsidRPr="00663EC4">
        <w:t xml:space="preserve"> See R.C. 4928.02(A).</w:t>
      </w:r>
    </w:p>
  </w:footnote>
  <w:footnote w:id="193">
    <w:p w:rsidR="00617E0A" w:rsidRPr="00663EC4" w:rsidP="00663EC4">
      <w:pPr>
        <w:pStyle w:val="FootnoteText"/>
        <w:spacing w:after="120"/>
      </w:pPr>
      <w:r w:rsidRPr="00663EC4">
        <w:rPr>
          <w:rStyle w:val="FootnoteReference"/>
        </w:rPr>
        <w:footnoteRef/>
      </w:r>
      <w:r w:rsidRPr="00663EC4">
        <w:t xml:space="preserve"> Williams Direct at 8.</w:t>
      </w:r>
    </w:p>
  </w:footnote>
  <w:footnote w:id="194">
    <w:p w:rsidR="00617E0A" w:rsidRPr="00663EC4" w:rsidP="00663EC4">
      <w:pPr>
        <w:pStyle w:val="FootnoteText"/>
        <w:spacing w:after="120"/>
      </w:pPr>
      <w:r w:rsidRPr="00663EC4">
        <w:rPr>
          <w:rStyle w:val="FootnoteReference"/>
        </w:rPr>
        <w:footnoteRef/>
      </w:r>
      <w:r w:rsidRPr="00663EC4">
        <w:t xml:space="preserve"> Id. at 8.</w:t>
      </w:r>
    </w:p>
  </w:footnote>
  <w:footnote w:id="195">
    <w:p w:rsidR="00617E0A" w:rsidRPr="00663EC4" w:rsidP="00663EC4">
      <w:pPr>
        <w:pStyle w:val="FootnoteText"/>
        <w:spacing w:after="120"/>
      </w:pPr>
      <w:r w:rsidRPr="00663EC4">
        <w:rPr>
          <w:rStyle w:val="FootnoteReference"/>
        </w:rPr>
        <w:footnoteRef/>
      </w:r>
      <w:r w:rsidRPr="00663EC4">
        <w:t xml:space="preserve"> Id. at 5-6.</w:t>
      </w:r>
    </w:p>
  </w:footnote>
  <w:footnote w:id="196">
    <w:p w:rsidR="00617E0A" w:rsidRPr="00663EC4" w:rsidP="00663EC4">
      <w:pPr>
        <w:pStyle w:val="FootnoteText"/>
        <w:spacing w:after="120"/>
      </w:pPr>
      <w:r w:rsidRPr="00663EC4">
        <w:rPr>
          <w:rStyle w:val="FootnoteReference"/>
        </w:rPr>
        <w:footnoteRef/>
      </w:r>
      <w:r w:rsidRPr="00663EC4">
        <w:t xml:space="preserve"> Id. at 5-6.</w:t>
      </w:r>
    </w:p>
  </w:footnote>
  <w:footnote w:id="197">
    <w:p w:rsidR="00617E0A" w:rsidRPr="00663EC4" w:rsidP="00663EC4">
      <w:pPr>
        <w:pStyle w:val="FootnoteText"/>
        <w:spacing w:after="120"/>
      </w:pPr>
      <w:r w:rsidRPr="00663EC4">
        <w:rPr>
          <w:rStyle w:val="FootnoteReference"/>
        </w:rPr>
        <w:footnoteRef/>
      </w:r>
      <w:r w:rsidRPr="00663EC4">
        <w:t xml:space="preserve"> Id. at 5-6.</w:t>
      </w:r>
    </w:p>
  </w:footnote>
  <w:footnote w:id="198">
    <w:p w:rsidR="00617E0A" w:rsidRPr="00663EC4" w:rsidP="00663EC4">
      <w:pPr>
        <w:pStyle w:val="FootnoteText"/>
        <w:spacing w:after="120"/>
      </w:pPr>
      <w:r w:rsidRPr="00663EC4">
        <w:rPr>
          <w:rStyle w:val="FootnoteReference"/>
        </w:rPr>
        <w:footnoteRef/>
      </w:r>
      <w:r w:rsidRPr="00663EC4">
        <w:t xml:space="preserve"> Id. at 5-6.</w:t>
      </w:r>
    </w:p>
  </w:footnote>
  <w:footnote w:id="199">
    <w:p w:rsidR="00617E0A" w:rsidRPr="00663EC4" w:rsidP="00663EC4">
      <w:pPr>
        <w:pStyle w:val="FootnoteText"/>
        <w:spacing w:after="120"/>
      </w:pPr>
      <w:r w:rsidRPr="00663EC4">
        <w:rPr>
          <w:rStyle w:val="FootnoteReference"/>
        </w:rPr>
        <w:footnoteRef/>
      </w:r>
      <w:r w:rsidRPr="00663EC4">
        <w:t xml:space="preserve"> Id. at 7.</w:t>
      </w:r>
    </w:p>
  </w:footnote>
  <w:footnote w:id="200">
    <w:p w:rsidR="00617E0A" w:rsidRPr="00663EC4" w:rsidP="00663EC4">
      <w:pPr>
        <w:pStyle w:val="FootnoteText"/>
        <w:spacing w:after="120"/>
      </w:pPr>
      <w:r w:rsidRPr="00663EC4">
        <w:rPr>
          <w:rStyle w:val="FootnoteReference"/>
        </w:rPr>
        <w:footnoteRef/>
      </w:r>
      <w:r w:rsidRPr="00663EC4">
        <w:t xml:space="preserve"> Id.</w:t>
      </w:r>
    </w:p>
  </w:footnote>
  <w:footnote w:id="201">
    <w:p w:rsidR="00617E0A" w:rsidRPr="00663EC4" w:rsidP="00663EC4">
      <w:pPr>
        <w:pStyle w:val="FootnoteText"/>
        <w:spacing w:after="120"/>
      </w:pPr>
      <w:r w:rsidRPr="00663EC4">
        <w:rPr>
          <w:rStyle w:val="FootnoteReference"/>
        </w:rPr>
        <w:footnoteRef/>
      </w:r>
      <w:r w:rsidRPr="00663EC4">
        <w:t xml:space="preserve"> Id.</w:t>
      </w:r>
    </w:p>
  </w:footnote>
  <w:footnote w:id="202">
    <w:p w:rsidR="00617E0A" w:rsidRPr="00663EC4" w:rsidP="00663EC4">
      <w:pPr>
        <w:pStyle w:val="FootnoteText"/>
        <w:spacing w:after="120"/>
      </w:pPr>
      <w:r w:rsidRPr="00663EC4">
        <w:rPr>
          <w:rStyle w:val="FootnoteReference"/>
        </w:rPr>
        <w:footnoteRef/>
      </w:r>
      <w:r w:rsidRPr="00663EC4">
        <w:t xml:space="preserve"> Supplemental Testimony of Dr. Daniel J. Duann (OCC Ex. 3A) filed October 11, 2017 (“Duann Supplemental”) at 12.</w:t>
      </w:r>
    </w:p>
  </w:footnote>
  <w:footnote w:id="203">
    <w:p w:rsidR="00617E0A" w:rsidRPr="00663EC4" w:rsidP="00663EC4">
      <w:pPr>
        <w:pStyle w:val="FootnoteText"/>
        <w:spacing w:after="120"/>
      </w:pPr>
      <w:r w:rsidRPr="00663EC4">
        <w:rPr>
          <w:rStyle w:val="FootnoteReference"/>
        </w:rPr>
        <w:footnoteRef/>
      </w:r>
      <w:r w:rsidRPr="00663EC4">
        <w:t xml:space="preserve"> Direct Testimony of Dr. Daniel J. Duann (OCC Ex. 3) filed May 2, 2017 (“Duann Direct”) at 10-11.</w:t>
      </w:r>
    </w:p>
  </w:footnote>
  <w:footnote w:id="204">
    <w:p w:rsidR="00617E0A" w:rsidRPr="00663EC4" w:rsidP="00663EC4">
      <w:pPr>
        <w:pStyle w:val="FootnoteText"/>
        <w:spacing w:after="120"/>
      </w:pPr>
      <w:r w:rsidRPr="00663EC4">
        <w:rPr>
          <w:rStyle w:val="FootnoteReference"/>
        </w:rPr>
        <w:footnoteRef/>
      </w:r>
      <w:r w:rsidRPr="00663EC4">
        <w:t xml:space="preserve"> Id. at 7-8.</w:t>
      </w:r>
    </w:p>
  </w:footnote>
  <w:footnote w:id="205">
    <w:p w:rsidR="00617E0A" w:rsidRPr="00663EC4" w:rsidP="00663EC4">
      <w:pPr>
        <w:pStyle w:val="FootnoteText"/>
        <w:spacing w:after="120"/>
      </w:pPr>
      <w:r w:rsidRPr="00663EC4">
        <w:rPr>
          <w:rStyle w:val="FootnoteReference"/>
        </w:rPr>
        <w:footnoteRef/>
      </w:r>
      <w:r w:rsidRPr="00663EC4">
        <w:t xml:space="preserve"> Id.</w:t>
      </w:r>
    </w:p>
  </w:footnote>
  <w:footnote w:id="206">
    <w:p w:rsidR="00617E0A" w:rsidRPr="00663EC4" w:rsidP="00663EC4">
      <w:pPr>
        <w:pStyle w:val="FootnoteText"/>
        <w:spacing w:after="120"/>
      </w:pPr>
      <w:r w:rsidRPr="00663EC4">
        <w:rPr>
          <w:rStyle w:val="FootnoteReference"/>
        </w:rPr>
        <w:footnoteRef/>
      </w:r>
      <w:r w:rsidRPr="00663EC4">
        <w:t xml:space="preserve"> Id. at 9.</w:t>
      </w:r>
    </w:p>
  </w:footnote>
  <w:footnote w:id="207">
    <w:p w:rsidR="00617E0A" w:rsidRPr="00663EC4" w:rsidP="00663EC4">
      <w:pPr>
        <w:pStyle w:val="FootnoteText"/>
        <w:spacing w:after="120"/>
      </w:pPr>
      <w:r w:rsidRPr="00663EC4">
        <w:rPr>
          <w:rStyle w:val="FootnoteReference"/>
        </w:rPr>
        <w:footnoteRef/>
      </w:r>
      <w:r w:rsidRPr="00663EC4">
        <w:t xml:space="preserve"> Duann Supplemental at 12.</w:t>
      </w:r>
    </w:p>
  </w:footnote>
  <w:footnote w:id="208">
    <w:p w:rsidR="00617E0A" w:rsidRPr="00663EC4" w:rsidP="00663EC4">
      <w:pPr>
        <w:pStyle w:val="FootnoteText"/>
        <w:spacing w:after="120"/>
      </w:pPr>
      <w:r w:rsidRPr="00663EC4">
        <w:rPr>
          <w:rStyle w:val="FootnoteReference"/>
        </w:rPr>
        <w:footnoteRef/>
      </w:r>
      <w:r w:rsidRPr="00663EC4">
        <w:t xml:space="preserve"> Id. at 12-13.</w:t>
      </w:r>
    </w:p>
  </w:footnote>
  <w:footnote w:id="209">
    <w:p w:rsidR="00617E0A" w:rsidRPr="00663EC4" w:rsidP="00663EC4">
      <w:pPr>
        <w:pStyle w:val="FootnoteText"/>
        <w:spacing w:after="120"/>
      </w:pPr>
      <w:r w:rsidRPr="00663EC4">
        <w:rPr>
          <w:rStyle w:val="FootnoteReference"/>
        </w:rPr>
        <w:footnoteRef/>
      </w:r>
      <w:r w:rsidRPr="00663EC4">
        <w:t xml:space="preserve"> Id.</w:t>
      </w:r>
    </w:p>
  </w:footnote>
  <w:footnote w:id="210">
    <w:p w:rsidR="00617E0A" w:rsidRPr="00663EC4" w:rsidP="00663EC4">
      <w:pPr>
        <w:pStyle w:val="FootnoteText"/>
        <w:spacing w:after="120"/>
      </w:pPr>
      <w:r w:rsidRPr="00663EC4">
        <w:rPr>
          <w:rStyle w:val="FootnoteReference"/>
        </w:rPr>
        <w:footnoteRef/>
      </w:r>
      <w:r w:rsidRPr="00663EC4">
        <w:t xml:space="preserve"> Id. at 13.</w:t>
      </w:r>
    </w:p>
  </w:footnote>
  <w:footnote w:id="211">
    <w:p w:rsidR="00617E0A" w:rsidRPr="00663EC4" w:rsidP="00663EC4">
      <w:pPr>
        <w:pStyle w:val="FootnoteText"/>
        <w:spacing w:after="120"/>
      </w:pPr>
      <w:r w:rsidRPr="00663EC4">
        <w:rPr>
          <w:rStyle w:val="FootnoteReference"/>
        </w:rPr>
        <w:footnoteRef/>
      </w:r>
      <w:r w:rsidRPr="00663EC4">
        <w:t xml:space="preserve"> Id.</w:t>
      </w:r>
    </w:p>
  </w:footnote>
  <w:footnote w:id="212">
    <w:p w:rsidR="00617E0A" w:rsidRPr="00663EC4" w:rsidP="00663EC4">
      <w:pPr>
        <w:pStyle w:val="FootnoteText"/>
        <w:spacing w:after="120"/>
      </w:pPr>
      <w:r w:rsidRPr="00663EC4">
        <w:rPr>
          <w:rStyle w:val="FootnoteReference"/>
        </w:rPr>
        <w:footnoteRef/>
      </w:r>
      <w:r w:rsidRPr="00663EC4">
        <w:t xml:space="preserve"> Id.</w:t>
      </w:r>
    </w:p>
  </w:footnote>
  <w:footnote w:id="213">
    <w:p w:rsidR="00617E0A" w:rsidRPr="00663EC4" w:rsidP="00663EC4">
      <w:pPr>
        <w:pStyle w:val="FootnoteText"/>
        <w:spacing w:after="120"/>
      </w:pPr>
      <w:r w:rsidRPr="00663EC4">
        <w:rPr>
          <w:rStyle w:val="FootnoteReference"/>
        </w:rPr>
        <w:footnoteRef/>
      </w:r>
      <w:r w:rsidRPr="00663EC4">
        <w:t xml:space="preserve"> Duann Direct at 12.</w:t>
      </w:r>
    </w:p>
  </w:footnote>
  <w:footnote w:id="214">
    <w:p w:rsidR="00617E0A" w:rsidRPr="00663EC4" w:rsidP="00663EC4">
      <w:pPr>
        <w:pStyle w:val="FootnoteText"/>
        <w:spacing w:after="120"/>
      </w:pPr>
      <w:r w:rsidRPr="00663EC4">
        <w:rPr>
          <w:rStyle w:val="FootnoteReference"/>
        </w:rPr>
        <w:footnoteRef/>
      </w:r>
      <w:r w:rsidRPr="00663EC4">
        <w:t xml:space="preserve"> Duann Supplemental at 14-19.</w:t>
      </w:r>
    </w:p>
  </w:footnote>
  <w:footnote w:id="215">
    <w:p w:rsidR="00617E0A" w:rsidRPr="00663EC4" w:rsidP="00663EC4">
      <w:pPr>
        <w:pStyle w:val="FootnoteText"/>
        <w:spacing w:after="120"/>
      </w:pPr>
      <w:r w:rsidRPr="00663EC4">
        <w:rPr>
          <w:rStyle w:val="FootnoteReference"/>
        </w:rPr>
        <w:footnoteRef/>
      </w:r>
      <w:r w:rsidRPr="00663EC4">
        <w:t xml:space="preserve"> Id. at 18.</w:t>
      </w:r>
    </w:p>
  </w:footnote>
  <w:footnote w:id="216">
    <w:p w:rsidR="00617E0A" w:rsidRPr="00663EC4" w:rsidP="00663EC4">
      <w:pPr>
        <w:pStyle w:val="FootnoteText"/>
        <w:spacing w:after="120"/>
      </w:pPr>
      <w:r w:rsidRPr="00663EC4">
        <w:rPr>
          <w:rStyle w:val="FootnoteReference"/>
        </w:rPr>
        <w:footnoteRef/>
      </w:r>
      <w:r w:rsidRPr="00663EC4">
        <w:t xml:space="preserve"> Id.</w:t>
      </w:r>
    </w:p>
  </w:footnote>
  <w:footnote w:id="217">
    <w:p w:rsidR="00617E0A" w:rsidRPr="00663EC4" w:rsidP="00663EC4">
      <w:pPr>
        <w:pStyle w:val="FootnoteText"/>
        <w:spacing w:after="120"/>
      </w:pPr>
      <w:r w:rsidRPr="00663EC4">
        <w:rPr>
          <w:rStyle w:val="FootnoteReference"/>
        </w:rPr>
        <w:footnoteRef/>
      </w:r>
      <w:r w:rsidRPr="00663EC4">
        <w:t xml:space="preserve"> Id. at 13.</w:t>
      </w:r>
    </w:p>
  </w:footnote>
  <w:footnote w:id="218">
    <w:p w:rsidR="00617E0A" w:rsidRPr="00663EC4" w:rsidP="00663EC4">
      <w:pPr>
        <w:pStyle w:val="FootnoteText"/>
        <w:spacing w:after="120"/>
      </w:pPr>
      <w:r w:rsidRPr="00663EC4">
        <w:rPr>
          <w:rStyle w:val="FootnoteReference"/>
        </w:rPr>
        <w:footnoteRef/>
      </w:r>
      <w:r w:rsidRPr="00663EC4">
        <w:t xml:space="preserve"> Id. at 13-14.</w:t>
      </w:r>
    </w:p>
  </w:footnote>
  <w:footnote w:id="219">
    <w:p w:rsidR="00617E0A" w:rsidRPr="00663EC4" w:rsidP="00663EC4">
      <w:pPr>
        <w:pStyle w:val="FootnoteText"/>
        <w:spacing w:after="120"/>
      </w:pPr>
      <w:r w:rsidRPr="00663EC4">
        <w:rPr>
          <w:rStyle w:val="FootnoteReference"/>
        </w:rPr>
        <w:footnoteRef/>
      </w:r>
      <w:r w:rsidRPr="00663EC4">
        <w:t xml:space="preserve"> Id.</w:t>
      </w:r>
    </w:p>
  </w:footnote>
  <w:footnote w:id="220">
    <w:p w:rsidR="00617E0A" w:rsidRPr="00663EC4" w:rsidP="00663EC4">
      <w:pPr>
        <w:pStyle w:val="FootnoteText"/>
        <w:spacing w:after="120"/>
      </w:pPr>
      <w:r w:rsidRPr="00663EC4">
        <w:rPr>
          <w:rStyle w:val="FootnoteReference"/>
        </w:rPr>
        <w:footnoteRef/>
      </w:r>
      <w:r w:rsidRPr="00663EC4">
        <w:t xml:space="preserve"> Id. at 27.</w:t>
      </w:r>
    </w:p>
  </w:footnote>
  <w:footnote w:id="221">
    <w:p w:rsidR="00617E0A" w:rsidRPr="00663EC4" w:rsidP="00663EC4">
      <w:pPr>
        <w:pStyle w:val="FootnoteText"/>
        <w:spacing w:after="120"/>
      </w:pPr>
      <w:r w:rsidRPr="00663EC4">
        <w:rPr>
          <w:rStyle w:val="FootnoteReference"/>
        </w:rPr>
        <w:footnoteRef/>
      </w:r>
      <w:r w:rsidRPr="00663EC4">
        <w:t xml:space="preserve"> Id. at 27-28.</w:t>
      </w:r>
    </w:p>
  </w:footnote>
  <w:footnote w:id="222">
    <w:p w:rsidR="00617E0A" w:rsidRPr="00663EC4" w:rsidP="00663EC4">
      <w:pPr>
        <w:pStyle w:val="FootnoteText"/>
        <w:spacing w:after="120"/>
      </w:pPr>
      <w:r w:rsidRPr="00663EC4">
        <w:rPr>
          <w:rStyle w:val="FootnoteReference"/>
        </w:rPr>
        <w:footnoteRef/>
      </w:r>
      <w:r w:rsidRPr="00663EC4">
        <w:t xml:space="preserve"> Id. at 28.</w:t>
      </w:r>
    </w:p>
  </w:footnote>
  <w:footnote w:id="223">
    <w:p w:rsidR="00617E0A" w:rsidRPr="00663EC4" w:rsidP="00663EC4">
      <w:pPr>
        <w:pStyle w:val="FootnoteText"/>
        <w:spacing w:after="120"/>
      </w:pPr>
      <w:r w:rsidRPr="00663EC4">
        <w:rPr>
          <w:rStyle w:val="FootnoteReference"/>
        </w:rPr>
        <w:footnoteRef/>
      </w:r>
      <w:r w:rsidRPr="00663EC4">
        <w:t xml:space="preserve"> Id.</w:t>
      </w:r>
    </w:p>
  </w:footnote>
  <w:footnote w:id="224">
    <w:p w:rsidR="00617E0A" w:rsidRPr="00663EC4" w:rsidP="00663EC4">
      <w:pPr>
        <w:pStyle w:val="FootnoteText"/>
        <w:spacing w:after="120"/>
      </w:pPr>
      <w:r w:rsidRPr="00663EC4">
        <w:rPr>
          <w:rStyle w:val="FootnoteReference"/>
        </w:rPr>
        <w:footnoteRef/>
      </w:r>
      <w:r w:rsidRPr="00663EC4">
        <w:t xml:space="preserve"> Id. at 19.</w:t>
      </w:r>
    </w:p>
  </w:footnote>
  <w:footnote w:id="225">
    <w:p w:rsidR="00617E0A" w:rsidRPr="00663EC4" w:rsidP="00663EC4">
      <w:pPr>
        <w:pStyle w:val="FootnoteText"/>
        <w:spacing w:after="120"/>
      </w:pPr>
      <w:r w:rsidRPr="00663EC4">
        <w:rPr>
          <w:rStyle w:val="FootnoteReference"/>
        </w:rPr>
        <w:footnoteRef/>
      </w:r>
      <w:r w:rsidRPr="00663EC4">
        <w:t xml:space="preserve"> Id. at 20.</w:t>
      </w:r>
    </w:p>
  </w:footnote>
  <w:footnote w:id="226">
    <w:p w:rsidR="00617E0A" w:rsidRPr="00663EC4" w:rsidP="00663EC4">
      <w:pPr>
        <w:pStyle w:val="FootnoteText"/>
        <w:spacing w:after="120"/>
      </w:pPr>
      <w:r w:rsidRPr="00663EC4">
        <w:rPr>
          <w:rStyle w:val="FootnoteReference"/>
        </w:rPr>
        <w:footnoteRef/>
      </w:r>
      <w:r w:rsidRPr="00663EC4">
        <w:t xml:space="preserve"> Id. </w:t>
      </w:r>
    </w:p>
  </w:footnote>
  <w:footnote w:id="227">
    <w:p w:rsidR="00617E0A" w:rsidRPr="00663EC4" w:rsidP="00663EC4">
      <w:pPr>
        <w:pStyle w:val="FootnoteText"/>
        <w:spacing w:after="120"/>
      </w:pPr>
      <w:r w:rsidRPr="00663EC4">
        <w:rPr>
          <w:rStyle w:val="FootnoteReference"/>
        </w:rPr>
        <w:footnoteRef/>
      </w:r>
      <w:r w:rsidRPr="00663EC4">
        <w:t xml:space="preserve"> Id. at 19.</w:t>
      </w:r>
    </w:p>
  </w:footnote>
  <w:footnote w:id="228">
    <w:p w:rsidR="00617E0A" w:rsidRPr="00663EC4" w:rsidP="00663EC4">
      <w:pPr>
        <w:pStyle w:val="FootnoteText"/>
        <w:spacing w:after="120"/>
      </w:pPr>
      <w:r w:rsidRPr="00663EC4">
        <w:rPr>
          <w:rStyle w:val="FootnoteReference"/>
        </w:rPr>
        <w:footnoteRef/>
      </w:r>
      <w:r w:rsidRPr="00663EC4">
        <w:t xml:space="preserve"> Id. at 21.</w:t>
      </w:r>
    </w:p>
  </w:footnote>
  <w:footnote w:id="229">
    <w:p w:rsidR="00617E0A" w:rsidRPr="00663EC4" w:rsidP="00663EC4">
      <w:pPr>
        <w:pStyle w:val="FootnoteText"/>
        <w:spacing w:after="120"/>
      </w:pPr>
      <w:r w:rsidRPr="00663EC4">
        <w:rPr>
          <w:rStyle w:val="FootnoteReference"/>
        </w:rPr>
        <w:footnoteRef/>
      </w:r>
      <w:r w:rsidRPr="00663EC4">
        <w:t xml:space="preserve"> Id.</w:t>
      </w:r>
    </w:p>
  </w:footnote>
  <w:footnote w:id="230">
    <w:p w:rsidR="00617E0A" w:rsidRPr="00663EC4" w:rsidP="00663EC4">
      <w:pPr>
        <w:pStyle w:val="FootnoteText"/>
        <w:spacing w:after="120"/>
      </w:pPr>
      <w:r w:rsidRPr="00663EC4">
        <w:rPr>
          <w:rStyle w:val="FootnoteReference"/>
        </w:rPr>
        <w:footnoteRef/>
      </w:r>
      <w:r w:rsidRPr="00663EC4">
        <w:t xml:space="preserve"> Id. at 22.</w:t>
      </w:r>
    </w:p>
  </w:footnote>
  <w:footnote w:id="231">
    <w:p w:rsidR="00617E0A" w:rsidRPr="00663EC4" w:rsidP="00663EC4">
      <w:pPr>
        <w:pStyle w:val="FootnoteText"/>
        <w:spacing w:after="120"/>
      </w:pPr>
      <w:r w:rsidRPr="00663EC4">
        <w:rPr>
          <w:rStyle w:val="FootnoteReference"/>
        </w:rPr>
        <w:footnoteRef/>
      </w:r>
      <w:r w:rsidRPr="00663EC4">
        <w:t xml:space="preserve"> Id.</w:t>
      </w:r>
    </w:p>
  </w:footnote>
  <w:footnote w:id="232">
    <w:p w:rsidR="00617E0A" w:rsidRPr="00663EC4" w:rsidP="00663EC4">
      <w:pPr>
        <w:pStyle w:val="FootnoteText"/>
        <w:spacing w:after="120"/>
      </w:pPr>
      <w:r w:rsidRPr="00663EC4">
        <w:rPr>
          <w:rStyle w:val="FootnoteReference"/>
        </w:rPr>
        <w:footnoteRef/>
      </w:r>
      <w:r w:rsidRPr="00663EC4">
        <w:t xml:space="preserve"> Id.</w:t>
      </w:r>
    </w:p>
  </w:footnote>
  <w:footnote w:id="233">
    <w:p w:rsidR="00617E0A" w:rsidRPr="00663EC4" w:rsidP="00663EC4">
      <w:pPr>
        <w:pStyle w:val="FootnoteText"/>
        <w:spacing w:after="120"/>
      </w:pPr>
      <w:r w:rsidRPr="00663EC4">
        <w:rPr>
          <w:rStyle w:val="FootnoteReference"/>
        </w:rPr>
        <w:footnoteRef/>
      </w:r>
      <w:r w:rsidRPr="00663EC4">
        <w:t xml:space="preserve"> Id.</w:t>
      </w:r>
    </w:p>
  </w:footnote>
  <w:footnote w:id="234">
    <w:p w:rsidR="00617E0A" w:rsidRPr="00663EC4" w:rsidP="00663EC4">
      <w:pPr>
        <w:pStyle w:val="FootnoteText"/>
        <w:spacing w:after="120"/>
      </w:pPr>
      <w:r w:rsidRPr="00663EC4">
        <w:rPr>
          <w:rStyle w:val="FootnoteReference"/>
        </w:rPr>
        <w:footnoteRef/>
      </w:r>
      <w:r w:rsidRPr="00663EC4">
        <w:t xml:space="preserve"> OCC Ex. 3A at 22-23 (Duann Supplemental).</w:t>
      </w:r>
    </w:p>
  </w:footnote>
  <w:footnote w:id="235">
    <w:p w:rsidR="00617E0A" w:rsidRPr="00663EC4" w:rsidP="00663EC4">
      <w:pPr>
        <w:pStyle w:val="FootnoteText"/>
        <w:spacing w:after="120"/>
      </w:pPr>
      <w:r w:rsidRPr="00663EC4">
        <w:rPr>
          <w:rStyle w:val="FootnoteReference"/>
        </w:rPr>
        <w:footnoteRef/>
      </w:r>
      <w:r w:rsidRPr="00663EC4">
        <w:t xml:space="preserve"> OCC Ex. 3A at 23 (Duann Supplemental).</w:t>
      </w:r>
    </w:p>
  </w:footnote>
  <w:footnote w:id="236">
    <w:p w:rsidR="00617E0A" w:rsidRPr="00663EC4" w:rsidP="00663EC4">
      <w:pPr>
        <w:pStyle w:val="FootnoteText"/>
        <w:spacing w:after="120"/>
      </w:pPr>
      <w:r w:rsidRPr="00663EC4">
        <w:rPr>
          <w:rStyle w:val="FootnoteReference"/>
        </w:rPr>
        <w:footnoteRef/>
      </w:r>
      <w:r w:rsidRPr="00663EC4">
        <w:t xml:space="preserve"> OCC Ex. 3A at 26-27 (Duann Supplemental).</w:t>
      </w:r>
    </w:p>
  </w:footnote>
  <w:footnote w:id="237">
    <w:p w:rsidR="00617E0A" w:rsidRPr="00663EC4" w:rsidP="00663EC4">
      <w:pPr>
        <w:pStyle w:val="FootnoteText"/>
        <w:spacing w:after="120"/>
      </w:pPr>
      <w:r w:rsidRPr="00663EC4">
        <w:rPr>
          <w:rStyle w:val="FootnoteReference"/>
        </w:rPr>
        <w:footnoteRef/>
      </w:r>
      <w:r w:rsidRPr="00663EC4">
        <w:t xml:space="preserve"> OCC Ex. 3A at 26-27 (Duann Supplemental).</w:t>
      </w:r>
    </w:p>
  </w:footnote>
  <w:footnote w:id="238">
    <w:p w:rsidR="00617E0A" w:rsidRPr="00663EC4" w:rsidP="00663EC4">
      <w:pPr>
        <w:autoSpaceDE w:val="0"/>
        <w:autoSpaceDN w:val="0"/>
        <w:adjustRightInd w:val="0"/>
        <w:spacing w:after="120" w:line="240" w:lineRule="auto"/>
        <w:rPr>
          <w:rFonts w:ascii="Times New Roman" w:hAnsi="Times New Roman" w:cs="Times New Roman"/>
          <w:sz w:val="20"/>
          <w:szCs w:val="20"/>
        </w:rPr>
      </w:pPr>
      <w:r w:rsidRPr="00663EC4">
        <w:rPr>
          <w:rStyle w:val="FootnoteReference"/>
          <w:rFonts w:ascii="Times New Roman" w:hAnsi="Times New Roman" w:cs="Times New Roman"/>
          <w:sz w:val="20"/>
          <w:szCs w:val="20"/>
        </w:rPr>
        <w:footnoteRef/>
      </w:r>
      <w:r w:rsidRPr="00663EC4">
        <w:rPr>
          <w:rFonts w:ascii="Times New Roman" w:hAnsi="Times New Roman" w:cs="Times New Roman"/>
          <w:sz w:val="20"/>
          <w:szCs w:val="20"/>
        </w:rPr>
        <w:t xml:space="preserve"> Duke Energy Ohio, Case No. 11-3549-EL-SSO, et al., Opinion and Order at 46 (November 22, 2011), Columbus Southern Power and Ohio Power, Case No. 11-346-EL-SSO, et al., Opinion and Order at 73 (August 8, 2012 ) and Dayton Power &amp; Light, Case No. 12-426-EL-SSO, et al., Opinion and Order at 48-52 (September 3, 2013).</w:t>
      </w:r>
    </w:p>
  </w:footnote>
  <w:footnote w:id="239">
    <w:p w:rsidR="00617E0A" w:rsidRPr="00663EC4" w:rsidP="00663EC4">
      <w:pPr>
        <w:autoSpaceDE w:val="0"/>
        <w:autoSpaceDN w:val="0"/>
        <w:adjustRightInd w:val="0"/>
        <w:spacing w:after="120" w:line="240" w:lineRule="auto"/>
        <w:rPr>
          <w:rFonts w:ascii="Times New Roman" w:hAnsi="Times New Roman" w:cs="Times New Roman"/>
          <w:sz w:val="20"/>
          <w:szCs w:val="20"/>
        </w:rPr>
      </w:pPr>
      <w:r w:rsidRPr="00663EC4">
        <w:rPr>
          <w:rStyle w:val="FootnoteReference"/>
          <w:rFonts w:ascii="Times New Roman" w:hAnsi="Times New Roman" w:cs="Times New Roman"/>
          <w:sz w:val="20"/>
          <w:szCs w:val="20"/>
        </w:rPr>
        <w:footnoteRef/>
      </w:r>
      <w:r w:rsidRPr="00663EC4">
        <w:rPr>
          <w:rFonts w:ascii="Times New Roman" w:hAnsi="Times New Roman" w:cs="Times New Roman"/>
          <w:sz w:val="20"/>
          <w:szCs w:val="20"/>
        </w:rPr>
        <w:t xml:space="preserve"> AEP Ohio ESP, Case No. 11-346-EL-SSO et al., Opinion and Order at 73 (August 8, 2012) and Entry on Rehearing at 13-14 (January 30, 2013) and Dayton Power &amp; Light, Case No. 12-426-EL-SSO, et al., Opinion and Order at 48-52 (September 3, 2013).</w:t>
      </w:r>
    </w:p>
  </w:footnote>
  <w:footnote w:id="240">
    <w:p w:rsidR="00617E0A" w:rsidRPr="00663EC4" w:rsidP="00663EC4">
      <w:pPr>
        <w:pStyle w:val="FootnoteText"/>
        <w:spacing w:after="120"/>
      </w:pPr>
      <w:r w:rsidRPr="00663EC4">
        <w:rPr>
          <w:rStyle w:val="FootnoteReference"/>
        </w:rPr>
        <w:footnoteRef/>
      </w:r>
      <w:r w:rsidRPr="00663EC4">
        <w:t xml:space="preserve"> R.C. 4928.143.</w:t>
      </w:r>
    </w:p>
  </w:footnote>
  <w:footnote w:id="241">
    <w:p w:rsidR="00617E0A" w:rsidRPr="00663EC4" w:rsidP="00663EC4">
      <w:pPr>
        <w:pStyle w:val="FootnoteText"/>
        <w:spacing w:after="120"/>
      </w:pPr>
      <w:r w:rsidRPr="00663EC4">
        <w:rPr>
          <w:rStyle w:val="FootnoteReference"/>
        </w:rPr>
        <w:footnoteRef/>
      </w:r>
      <w:r w:rsidRPr="00663EC4">
        <w:t xml:space="preserve"> Haugh Testimony at 22:17-19.</w:t>
      </w:r>
    </w:p>
  </w:footnote>
  <w:footnote w:id="242">
    <w:p w:rsidR="00617E0A" w:rsidRPr="00663EC4" w:rsidP="00663EC4">
      <w:pPr>
        <w:pStyle w:val="FootnoteText"/>
        <w:spacing w:after="120"/>
      </w:pPr>
      <w:r w:rsidRPr="00663EC4">
        <w:rPr>
          <w:rStyle w:val="FootnoteReference"/>
        </w:rPr>
        <w:footnoteRef/>
      </w:r>
      <w:r w:rsidRPr="00663EC4">
        <w:t xml:space="preserve"> Id. at 23:1-2.</w:t>
      </w:r>
    </w:p>
  </w:footnote>
  <w:footnote w:id="243">
    <w:p w:rsidR="00617E0A" w:rsidRPr="00663EC4" w:rsidP="00663EC4">
      <w:pPr>
        <w:pStyle w:val="FootnoteText"/>
        <w:spacing w:after="120"/>
      </w:pPr>
      <w:r w:rsidRPr="00663EC4">
        <w:rPr>
          <w:rStyle w:val="FootnoteReference"/>
        </w:rPr>
        <w:footnoteRef/>
      </w:r>
      <w:r w:rsidRPr="00663EC4">
        <w:t xml:space="preserve"> Id. at 23:4-9.</w:t>
      </w:r>
    </w:p>
  </w:footnote>
  <w:footnote w:id="244">
    <w:p w:rsidR="00617E0A" w:rsidRPr="00663EC4" w:rsidP="00663EC4">
      <w:pPr>
        <w:pStyle w:val="FootnoteText"/>
        <w:spacing w:after="120"/>
      </w:pPr>
      <w:r w:rsidRPr="00663EC4">
        <w:rPr>
          <w:rStyle w:val="FootnoteReference"/>
        </w:rPr>
        <w:footnoteRef/>
      </w:r>
      <w:r w:rsidRPr="00663EC4">
        <w:t xml:space="preserve"> Id. at 24:7-8.</w:t>
      </w:r>
    </w:p>
  </w:footnote>
  <w:footnote w:id="245">
    <w:p w:rsidR="00617E0A" w:rsidRPr="00663EC4" w:rsidP="00663EC4">
      <w:pPr>
        <w:pStyle w:val="FootnoteText"/>
        <w:spacing w:after="120"/>
      </w:pPr>
      <w:r w:rsidRPr="00663EC4">
        <w:rPr>
          <w:rStyle w:val="FootnoteReference"/>
        </w:rPr>
        <w:footnoteRef/>
      </w:r>
      <w:r w:rsidRPr="00663EC4">
        <w:t xml:space="preserve"> Id. at 24:8-9.</w:t>
      </w:r>
    </w:p>
  </w:footnote>
  <w:footnote w:id="246">
    <w:p w:rsidR="00617E0A" w:rsidRPr="00663EC4" w:rsidP="00663EC4">
      <w:pPr>
        <w:pStyle w:val="FootnoteText"/>
        <w:spacing w:after="120"/>
      </w:pPr>
      <w:r w:rsidRPr="00663EC4">
        <w:rPr>
          <w:rStyle w:val="FootnoteReference"/>
        </w:rPr>
        <w:footnoteRef/>
      </w:r>
      <w:r w:rsidRPr="00663EC4">
        <w:t xml:space="preserve"> Id. at 24:14-15.</w:t>
      </w:r>
    </w:p>
  </w:footnote>
  <w:footnote w:id="247">
    <w:p w:rsidR="00617E0A" w:rsidRPr="00663EC4" w:rsidP="00663EC4">
      <w:pPr>
        <w:pStyle w:val="FootnoteText"/>
        <w:spacing w:after="120"/>
      </w:pPr>
      <w:r w:rsidRPr="00663EC4">
        <w:rPr>
          <w:rStyle w:val="FootnoteReference"/>
        </w:rPr>
        <w:footnoteRef/>
      </w:r>
      <w:r w:rsidRPr="00663EC4">
        <w:t xml:space="preserve"> Id. at 24:20-22.</w:t>
      </w:r>
    </w:p>
  </w:footnote>
  <w:footnote w:id="248">
    <w:p w:rsidR="00617E0A" w:rsidRPr="00663EC4" w:rsidP="00663EC4">
      <w:pPr>
        <w:pStyle w:val="FootnoteText"/>
        <w:spacing w:after="120"/>
      </w:pPr>
      <w:r w:rsidRPr="00663EC4">
        <w:rPr>
          <w:rStyle w:val="FootnoteReference"/>
        </w:rPr>
        <w:footnoteRef/>
      </w:r>
      <w:r w:rsidRPr="00663EC4">
        <w:t xml:space="preserve"> Id. at 24:23-25:1.</w:t>
      </w:r>
    </w:p>
  </w:footnote>
  <w:footnote w:id="249">
    <w:p w:rsidR="00617E0A" w:rsidRPr="00663EC4" w:rsidP="00663EC4">
      <w:pPr>
        <w:pStyle w:val="FootnoteText"/>
        <w:spacing w:after="120"/>
      </w:pPr>
      <w:r w:rsidRPr="00663EC4">
        <w:rPr>
          <w:rStyle w:val="FootnoteReference"/>
        </w:rPr>
        <w:footnoteRef/>
      </w:r>
      <w:r w:rsidRPr="00663EC4">
        <w:t xml:space="preserve"> See id. at 25:4.</w:t>
      </w:r>
    </w:p>
  </w:footnote>
  <w:footnote w:id="250">
    <w:p w:rsidR="00617E0A" w:rsidRPr="00663EC4" w:rsidP="00663EC4">
      <w:pPr>
        <w:pStyle w:val="FootnoteText"/>
        <w:spacing w:after="120"/>
      </w:pPr>
      <w:r w:rsidRPr="00663EC4">
        <w:rPr>
          <w:rStyle w:val="FootnoteReference"/>
        </w:rPr>
        <w:footnoteRef/>
      </w:r>
      <w:r w:rsidRPr="00663EC4">
        <w:t xml:space="preserve"> See id. at 25:4-6.</w:t>
      </w:r>
    </w:p>
  </w:footnote>
  <w:footnote w:id="251">
    <w:p w:rsidR="00617E0A" w:rsidRPr="00663EC4" w:rsidP="00663EC4">
      <w:pPr>
        <w:pStyle w:val="FootnoteText"/>
        <w:spacing w:after="120"/>
      </w:pPr>
      <w:r w:rsidRPr="00663EC4">
        <w:rPr>
          <w:rStyle w:val="FootnoteReference"/>
        </w:rPr>
        <w:footnoteRef/>
      </w:r>
      <w:r w:rsidRPr="00663EC4">
        <w:t xml:space="preserve"> Id. at 25:6-7.</w:t>
      </w:r>
    </w:p>
  </w:footnote>
  <w:footnote w:id="252">
    <w:p w:rsidR="00617E0A" w:rsidRPr="00663EC4" w:rsidP="00663EC4">
      <w:pPr>
        <w:pStyle w:val="FootnoteText"/>
        <w:spacing w:after="120"/>
      </w:pPr>
      <w:r w:rsidRPr="00663EC4">
        <w:rPr>
          <w:rStyle w:val="FootnoteReference"/>
        </w:rPr>
        <w:footnoteRef/>
      </w:r>
      <w:r w:rsidRPr="00663EC4">
        <w:t xml:space="preserve"> See id. at 25:12-13.</w:t>
      </w:r>
    </w:p>
  </w:footnote>
  <w:footnote w:id="253">
    <w:p w:rsidR="00617E0A" w:rsidRPr="00663EC4" w:rsidP="00663EC4">
      <w:pPr>
        <w:pStyle w:val="FootnoteText"/>
        <w:spacing w:after="120"/>
      </w:pPr>
      <w:r w:rsidRPr="00663EC4">
        <w:rPr>
          <w:rStyle w:val="FootnoteReference"/>
        </w:rPr>
        <w:footnoteRef/>
      </w:r>
      <w:r w:rsidRPr="00663EC4">
        <w:t xml:space="preserve"> Id. at 25:17-20.</w:t>
      </w:r>
    </w:p>
  </w:footnote>
  <w:footnote w:id="254">
    <w:p w:rsidR="00617E0A" w:rsidRPr="00663EC4" w:rsidP="00663EC4">
      <w:pPr>
        <w:pStyle w:val="FootnoteText"/>
        <w:spacing w:after="120"/>
      </w:pPr>
      <w:r w:rsidRPr="00663EC4">
        <w:rPr>
          <w:rStyle w:val="FootnoteReference"/>
        </w:rPr>
        <w:footnoteRef/>
      </w:r>
      <w:r w:rsidRPr="00663EC4">
        <w:t xml:space="preserve"> Id. at 26:1-7.</w:t>
      </w:r>
    </w:p>
  </w:footnote>
  <w:footnote w:id="255">
    <w:p w:rsidR="00617E0A" w:rsidRPr="00663EC4" w:rsidP="00663EC4">
      <w:pPr>
        <w:pStyle w:val="FootnoteText"/>
        <w:spacing w:after="120"/>
      </w:pPr>
      <w:r w:rsidRPr="00663EC4">
        <w:rPr>
          <w:rStyle w:val="FootnoteReference"/>
        </w:rPr>
        <w:footnoteRef/>
      </w:r>
      <w:r w:rsidRPr="00663EC4">
        <w:t xml:space="preserve"> Id. at 26:13-15.</w:t>
      </w:r>
    </w:p>
  </w:footnote>
  <w:footnote w:id="256">
    <w:p w:rsidR="00617E0A" w:rsidRPr="00663EC4" w:rsidP="00663EC4">
      <w:pPr>
        <w:pStyle w:val="FootnoteText"/>
        <w:spacing w:after="120"/>
      </w:pPr>
      <w:r w:rsidRPr="00663EC4">
        <w:rPr>
          <w:rStyle w:val="FootnoteReference"/>
        </w:rPr>
        <w:footnoteRef/>
      </w:r>
      <w:r w:rsidRPr="00663EC4">
        <w:t xml:space="preserve"> Id. at 26:15-17.</w:t>
      </w:r>
    </w:p>
  </w:footnote>
  <w:footnote w:id="257">
    <w:p w:rsidR="00617E0A" w:rsidRPr="00663EC4" w:rsidP="00663EC4">
      <w:pPr>
        <w:pStyle w:val="FootnoteText"/>
        <w:spacing w:after="120"/>
      </w:pPr>
      <w:r w:rsidRPr="00663EC4">
        <w:rPr>
          <w:rStyle w:val="FootnoteReference"/>
        </w:rPr>
        <w:footnoteRef/>
      </w:r>
      <w:r w:rsidRPr="00663EC4">
        <w:t xml:space="preserve"> Id. at 26:17-18.</w:t>
      </w:r>
    </w:p>
  </w:footnote>
  <w:footnote w:id="258">
    <w:p w:rsidR="00617E0A" w:rsidRPr="00663EC4" w:rsidP="00663EC4">
      <w:pPr>
        <w:pStyle w:val="FootnoteText"/>
        <w:spacing w:after="120"/>
      </w:pPr>
      <w:r w:rsidRPr="00663EC4">
        <w:rPr>
          <w:rStyle w:val="FootnoteReference"/>
        </w:rPr>
        <w:footnoteRef/>
      </w:r>
      <w:r w:rsidRPr="00663EC4">
        <w:t xml:space="preserve"> Id. at 26:18-21.</w:t>
      </w:r>
    </w:p>
  </w:footnote>
  <w:footnote w:id="259">
    <w:p w:rsidR="00617E0A" w:rsidRPr="00663EC4" w:rsidP="00663EC4">
      <w:pPr>
        <w:pStyle w:val="FootnoteText"/>
        <w:spacing w:after="120"/>
      </w:pPr>
      <w:r w:rsidRPr="00663EC4">
        <w:rPr>
          <w:rStyle w:val="FootnoteReference"/>
        </w:rPr>
        <w:footnoteRef/>
      </w:r>
      <w:r w:rsidRPr="00663EC4">
        <w:t xml:space="preserve"> </w:t>
      </w:r>
      <w:r w:rsidRPr="00663EC4">
        <w:rPr>
          <w:i/>
        </w:rPr>
        <w:t>In re: FirstEnergy Application</w:t>
      </w:r>
      <w:r w:rsidRPr="00663EC4">
        <w:t xml:space="preserve">, Case No. 14-1297-EL-SSO, Eighth Entry on Rehearing at ¶91 (Aug. 16, 2017).  </w:t>
      </w:r>
    </w:p>
  </w:footnote>
  <w:footnote w:id="260">
    <w:p w:rsidR="00617E0A" w:rsidRPr="00663EC4" w:rsidP="00663EC4">
      <w:pPr>
        <w:pStyle w:val="FootnoteText"/>
        <w:spacing w:after="120"/>
      </w:pPr>
      <w:r w:rsidRPr="00663EC4">
        <w:rPr>
          <w:rStyle w:val="FootnoteReference"/>
        </w:rPr>
        <w:footnoteRef/>
      </w:r>
      <w:r w:rsidRPr="00663EC4">
        <w:t xml:space="preserve"> Haugh Testimony at 27:4-28:4.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6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A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6C6B55"/>
    <w:multiLevelType w:val="hybridMultilevel"/>
    <w:tmpl w:val="0A3613E4"/>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805890"/>
    <w:multiLevelType w:val="hybridMultilevel"/>
    <w:tmpl w:val="012C69A2"/>
    <w:lvl w:ilvl="0">
      <w:start w:val="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AF3934"/>
    <w:multiLevelType w:val="hybridMultilevel"/>
    <w:tmpl w:val="D39A5D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9B07150"/>
    <w:multiLevelType w:val="hybridMultilevel"/>
    <w:tmpl w:val="69AC55E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C5B5400"/>
    <w:multiLevelType w:val="hybridMultilevel"/>
    <w:tmpl w:val="3E300BC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E538B2"/>
    <w:multiLevelType w:val="hybridMultilevel"/>
    <w:tmpl w:val="FFCCC51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C2D46FA"/>
    <w:multiLevelType w:val="hybridMultilevel"/>
    <w:tmpl w:val="8A2AF69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E4700E"/>
    <w:multiLevelType w:val="hybridMultilevel"/>
    <w:tmpl w:val="31923430"/>
    <w:lvl w:ilvl="0">
      <w:start w:val="1"/>
      <w:numFmt w:val="decimal"/>
      <w:lvlText w:val="(%1)"/>
      <w:lvlJc w:val="left"/>
      <w:pPr>
        <w:ind w:left="1785" w:hanging="10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630A36DA"/>
    <w:multiLevelType w:val="hybridMultilevel"/>
    <w:tmpl w:val="39E2E24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1">
    <w:nsid w:val="69E82D05"/>
    <w:multiLevelType w:val="hybridMultilevel"/>
    <w:tmpl w:val="3E9C7802"/>
    <w:lvl w:ilvl="0">
      <w:start w:val="1"/>
      <w:numFmt w:val="decimal"/>
      <w:lvlText w:val="%1."/>
      <w:lvlJc w:val="left"/>
      <w:pPr>
        <w:ind w:left="1800" w:hanging="360"/>
      </w:pPr>
      <w:rPr>
        <w:rFonts w:hint="default"/>
        <w:b/>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712E40BC"/>
    <w:multiLevelType w:val="hybridMultilevel"/>
    <w:tmpl w:val="ACF6F7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3069D5"/>
    <w:multiLevelType w:val="hybridMultilevel"/>
    <w:tmpl w:val="C3AACBC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8DC639E"/>
    <w:multiLevelType w:val="hybridMultilevel"/>
    <w:tmpl w:val="6896D28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B56A76"/>
    <w:multiLevelType w:val="hybridMultilevel"/>
    <w:tmpl w:val="18C6E05E"/>
    <w:lvl w:ilvl="0">
      <w:start w:val="1"/>
      <w:numFmt w:val="decimal"/>
      <w:lvlText w:val="%1."/>
      <w:lvlJc w:val="left"/>
      <w:pPr>
        <w:ind w:left="1440" w:hanging="360"/>
      </w:pPr>
      <w:rPr>
        <w:rFonts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A2E7BAB"/>
    <w:multiLevelType w:val="hybridMultilevel"/>
    <w:tmpl w:val="674A0B74"/>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8"/>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5"/>
  </w:num>
  <w:num w:numId="4">
    <w:abstractNumId w:val="12"/>
  </w:num>
  <w:num w:numId="5">
    <w:abstractNumId w:val="11"/>
  </w:num>
  <w:num w:numId="6">
    <w:abstractNumId w:val="16"/>
  </w:num>
  <w:num w:numId="7">
    <w:abstractNumId w:val="0"/>
  </w:num>
  <w:num w:numId="8">
    <w:abstractNumId w:val="13"/>
  </w:num>
  <w:num w:numId="9">
    <w:abstractNumId w:val="4"/>
  </w:num>
  <w:num w:numId="10">
    <w:abstractNumId w:val="2"/>
  </w:num>
  <w:num w:numId="11">
    <w:abstractNumId w:val="9"/>
  </w:num>
  <w:num w:numId="12">
    <w:abstractNumId w:val="14"/>
  </w:num>
  <w:num w:numId="13">
    <w:abstractNumId w:val="6"/>
  </w:num>
  <w:num w:numId="14">
    <w:abstractNumId w:val="5"/>
  </w:num>
  <w:num w:numId="15">
    <w:abstractNumId w:val="7"/>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575D2"/>
    <w:pPr>
      <w:keepNext/>
      <w:keepLines/>
      <w:spacing w:after="240" w:line="240" w:lineRule="auto"/>
      <w:ind w:left="720" w:hanging="720"/>
      <w:outlineLvl w:val="0"/>
    </w:pPr>
    <w:rPr>
      <w:rFonts w:ascii="Times New Roman" w:eastAsia="Arial Unicode MS" w:hAnsi="Times New Roman" w:cstheme="majorBidi"/>
      <w:b/>
      <w:bCs/>
      <w:sz w:val="24"/>
      <w:szCs w:val="28"/>
      <w:u w:color="000000"/>
      <w:bdr w:val="nil"/>
    </w:rPr>
  </w:style>
  <w:style w:type="paragraph" w:styleId="Heading2">
    <w:name w:val="heading 2"/>
    <w:basedOn w:val="Normal"/>
    <w:next w:val="Normal"/>
    <w:link w:val="Heading2Char"/>
    <w:autoRedefine/>
    <w:uiPriority w:val="9"/>
    <w:unhideWhenUsed/>
    <w:qFormat/>
    <w:rsid w:val="0013336E"/>
    <w:pPr>
      <w:keepNext/>
      <w:keepLines/>
      <w:spacing w:after="240" w:line="240" w:lineRule="auto"/>
      <w:ind w:left="1440" w:right="720" w:hanging="720"/>
      <w:outlineLvl w:val="1"/>
    </w:pPr>
    <w:rPr>
      <w:rFonts w:ascii="Times New Roman" w:eastAsia="Arial Unicode MS" w:hAnsi="Times New Roman" w:cstheme="majorBidi"/>
      <w:b/>
      <w:bCs/>
      <w:sz w:val="24"/>
      <w:szCs w:val="26"/>
      <w:u w:color="000000"/>
      <w:bdr w:val="nil"/>
    </w:rPr>
  </w:style>
  <w:style w:type="paragraph" w:styleId="Heading3">
    <w:name w:val="heading 3"/>
    <w:basedOn w:val="Normal"/>
    <w:next w:val="Normal"/>
    <w:link w:val="Heading3Char"/>
    <w:autoRedefine/>
    <w:qFormat/>
    <w:rsid w:val="00726330"/>
    <w:pPr>
      <w:keepNext/>
      <w:suppressAutoHyphens/>
      <w:spacing w:after="240" w:line="240" w:lineRule="auto"/>
      <w:ind w:left="2160" w:right="720" w:hanging="720"/>
      <w:outlineLvl w:val="2"/>
    </w:pPr>
    <w:rPr>
      <w:rFonts w:ascii="Times New Roman Bold" w:eastAsia="Arial Unicode MS" w:hAnsi="Times New Roman Bold" w:cs="Arial"/>
      <w:b/>
      <w:spacing w:val="-3"/>
      <w:sz w:val="24"/>
      <w:szCs w:val="24"/>
      <w:u w:color="000000"/>
      <w:bdr w:val="nil"/>
    </w:rPr>
  </w:style>
  <w:style w:type="paragraph" w:styleId="Heading4">
    <w:name w:val="heading 4"/>
    <w:basedOn w:val="Normal"/>
    <w:next w:val="Normal"/>
    <w:link w:val="Heading4Char"/>
    <w:autoRedefine/>
    <w:qFormat/>
    <w:rsid w:val="003361F5"/>
    <w:pPr>
      <w:keepNext/>
      <w:suppressAutoHyphens/>
      <w:spacing w:after="240" w:line="240" w:lineRule="auto"/>
      <w:ind w:left="2880" w:right="720" w:hanging="720"/>
      <w:jc w:val="both"/>
      <w:outlineLvl w:val="3"/>
    </w:pPr>
    <w:rPr>
      <w:rFonts w:ascii="Times New Roman Bold" w:eastAsia="Times New Roman" w:hAnsi="Times New Roman Bold" w:cs="Arial"/>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CA"/>
    <w:pPr>
      <w:ind w:left="720"/>
      <w:contextualSpacing/>
    </w:pPr>
  </w:style>
  <w:style w:type="paragraph" w:styleId="Header">
    <w:name w:val="header"/>
    <w:basedOn w:val="Normal"/>
    <w:link w:val="HeaderChar"/>
    <w:unhideWhenUsed/>
    <w:rsid w:val="00D5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B3"/>
  </w:style>
  <w:style w:type="paragraph" w:styleId="Footer">
    <w:name w:val="footer"/>
    <w:basedOn w:val="Normal"/>
    <w:link w:val="FooterChar"/>
    <w:uiPriority w:val="99"/>
    <w:unhideWhenUsed/>
    <w:rsid w:val="00D5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B3"/>
  </w:style>
  <w:style w:type="character" w:customStyle="1" w:styleId="Heading3Char">
    <w:name w:val="Heading 3 Char"/>
    <w:basedOn w:val="DefaultParagraphFont"/>
    <w:link w:val="Heading3"/>
    <w:rsid w:val="00726330"/>
    <w:rPr>
      <w:rFonts w:ascii="Times New Roman Bold" w:eastAsia="Arial Unicode MS" w:hAnsi="Times New Roman Bold" w:cs="Arial"/>
      <w:b/>
      <w:spacing w:val="-3"/>
      <w:sz w:val="24"/>
      <w:szCs w:val="24"/>
      <w:u w:color="000000"/>
      <w:bdr w:val="nil"/>
    </w:rPr>
  </w:style>
  <w:style w:type="character" w:customStyle="1" w:styleId="Heading4Char">
    <w:name w:val="Heading 4 Char"/>
    <w:basedOn w:val="DefaultParagraphFont"/>
    <w:link w:val="Heading4"/>
    <w:rsid w:val="003361F5"/>
    <w:rPr>
      <w:rFonts w:ascii="Times New Roman Bold" w:eastAsia="Times New Roman" w:hAnsi="Times New Roman Bold" w:cs="Arial"/>
      <w:b/>
      <w:bCs/>
      <w:spacing w:val="-3"/>
      <w:sz w:val="24"/>
      <w:szCs w:val="24"/>
    </w:rPr>
  </w:style>
  <w:style w:type="character" w:styleId="Hyperlink">
    <w:name w:val="Hyperlink"/>
    <w:uiPriority w:val="99"/>
    <w:rsid w:val="004B647F"/>
    <w:rPr>
      <w:rFonts w:cs="Times New Roman"/>
      <w:color w:val="0000FF"/>
      <w:u w:val="single"/>
    </w:rPr>
  </w:style>
  <w:style w:type="paragraph" w:styleId="BodyText">
    <w:name w:val="Body Text"/>
    <w:basedOn w:val="Normal"/>
    <w:link w:val="BodyTextChar"/>
    <w:rsid w:val="004B647F"/>
    <w:pPr>
      <w:tabs>
        <w:tab w:val="left" w:pos="-720"/>
      </w:tabs>
      <w:suppressAutoHyphens/>
      <w:spacing w:after="0" w:line="48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4B647F"/>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4B647F"/>
    <w:pPr>
      <w:tabs>
        <w:tab w:val="left" w:pos="-1440"/>
        <w:tab w:val="left" w:pos="-720"/>
      </w:tabs>
      <w:suppressAutoHyphens/>
      <w:spacing w:before="120" w:after="0" w:line="480" w:lineRule="auto"/>
      <w:ind w:left="1440" w:hanging="7"/>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4B647F"/>
    <w:rPr>
      <w:rFonts w:ascii="Arial" w:eastAsia="Times New Roman" w:hAnsi="Arial" w:cs="Arial"/>
      <w:spacing w:val="-3"/>
      <w:sz w:val="24"/>
      <w:szCs w:val="24"/>
    </w:rPr>
  </w:style>
  <w:style w:type="paragraph" w:styleId="BodyTextIndent3">
    <w:name w:val="Body Text Indent 3"/>
    <w:basedOn w:val="Normal"/>
    <w:link w:val="BodyTextIndent3Char"/>
    <w:rsid w:val="004B647F"/>
    <w:pPr>
      <w:tabs>
        <w:tab w:val="left" w:pos="-720"/>
      </w:tabs>
      <w:suppressAutoHyphens/>
      <w:spacing w:after="0" w:line="480" w:lineRule="auto"/>
      <w:ind w:firstLine="720"/>
      <w:jc w:val="both"/>
    </w:pPr>
    <w:rPr>
      <w:rFonts w:ascii="Arial" w:eastAsia="Times New Roman" w:hAnsi="Arial" w:cs="Arial"/>
      <w:spacing w:val="-3"/>
      <w:sz w:val="24"/>
      <w:szCs w:val="24"/>
    </w:rPr>
  </w:style>
  <w:style w:type="character" w:customStyle="1" w:styleId="BodyTextIndent3Char">
    <w:name w:val="Body Text Indent 3 Char"/>
    <w:basedOn w:val="DefaultParagraphFont"/>
    <w:link w:val="BodyTextIndent3"/>
    <w:rsid w:val="004B647F"/>
    <w:rPr>
      <w:rFonts w:ascii="Arial" w:eastAsia="Times New Roman" w:hAnsi="Arial" w:cs="Arial"/>
      <w:spacing w:val="-3"/>
      <w:sz w:val="24"/>
      <w:szCs w:val="24"/>
    </w:rPr>
  </w:style>
  <w:style w:type="paragraph" w:styleId="HTMLPreformatted">
    <w:name w:val="HTML Preformatted"/>
    <w:basedOn w:val="Normal"/>
    <w:link w:val="HTMLPreformattedChar"/>
    <w:rsid w:val="004B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647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3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D0"/>
    <w:rPr>
      <w:rFonts w:ascii="Tahoma" w:hAnsi="Tahoma" w:cs="Tahoma"/>
      <w:sz w:val="16"/>
      <w:szCs w:val="16"/>
    </w:rPr>
  </w:style>
  <w:style w:type="paragraph" w:styleId="NormalWeb">
    <w:name w:val="Normal (Web)"/>
    <w:basedOn w:val="Normal"/>
    <w:uiPriority w:val="99"/>
    <w:unhideWhenUsed/>
    <w:rsid w:val="00383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75D2"/>
    <w:rPr>
      <w:rFonts w:ascii="Times New Roman" w:eastAsia="Arial Unicode MS" w:hAnsi="Times New Roman" w:cstheme="majorBidi"/>
      <w:b/>
      <w:bCs/>
      <w:sz w:val="24"/>
      <w:szCs w:val="28"/>
      <w:u w:color="000000"/>
      <w:bdr w:val="nil"/>
    </w:rPr>
  </w:style>
  <w:style w:type="paragraph" w:styleId="CommentText">
    <w:name w:val="annotation text"/>
    <w:basedOn w:val="Normal"/>
    <w:link w:val="CommentTextChar"/>
    <w:unhideWhenUsed/>
    <w:rsid w:val="00AC5269"/>
    <w:pPr>
      <w:spacing w:line="240" w:lineRule="auto"/>
    </w:pPr>
    <w:rPr>
      <w:sz w:val="20"/>
      <w:szCs w:val="20"/>
    </w:rPr>
  </w:style>
  <w:style w:type="character" w:customStyle="1" w:styleId="CommentTextChar">
    <w:name w:val="Comment Text Char"/>
    <w:basedOn w:val="DefaultParagraphFont"/>
    <w:link w:val="CommentText"/>
    <w:rsid w:val="00AC5269"/>
    <w:rPr>
      <w:sz w:val="20"/>
      <w:szCs w:val="20"/>
    </w:rPr>
  </w:style>
  <w:style w:type="table" w:styleId="TableGrid">
    <w:name w:val="Table Grid"/>
    <w:basedOn w:val="TableNormal"/>
    <w:uiPriority w:val="59"/>
    <w:rsid w:val="00AC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262D44"/>
    <w:rPr>
      <w:rFonts w:ascii="Times New Roman" w:hAnsi="Times New Roman" w:cs="Times New Roman"/>
      <w:b w:val="0"/>
      <w:bCs/>
      <w:i w:val="0"/>
      <w:caps w:val="0"/>
      <w:vanish w:val="0"/>
      <w:color w:val="000000"/>
      <w:sz w:val="16"/>
      <w:szCs w:val="24"/>
      <w:u w:val="none"/>
    </w:rPr>
  </w:style>
  <w:style w:type="character" w:styleId="CommentReference">
    <w:name w:val="annotation reference"/>
    <w:basedOn w:val="DefaultParagraphFont"/>
    <w:semiHidden/>
    <w:unhideWhenUsed/>
    <w:rsid w:val="000611D9"/>
    <w:rPr>
      <w:sz w:val="16"/>
      <w:szCs w:val="16"/>
    </w:rPr>
  </w:style>
  <w:style w:type="paragraph" w:styleId="CommentSubject">
    <w:name w:val="annotation subject"/>
    <w:basedOn w:val="CommentText"/>
    <w:next w:val="CommentText"/>
    <w:link w:val="CommentSubjectChar"/>
    <w:uiPriority w:val="99"/>
    <w:semiHidden/>
    <w:unhideWhenUsed/>
    <w:rsid w:val="000611D9"/>
    <w:rPr>
      <w:b/>
      <w:bCs/>
    </w:rPr>
  </w:style>
  <w:style w:type="character" w:customStyle="1" w:styleId="CommentSubjectChar">
    <w:name w:val="Comment Subject Char"/>
    <w:basedOn w:val="CommentTextChar"/>
    <w:link w:val="CommentSubject"/>
    <w:uiPriority w:val="99"/>
    <w:semiHidden/>
    <w:rsid w:val="000611D9"/>
    <w:rPr>
      <w:b/>
      <w:bCs/>
      <w:sz w:val="20"/>
      <w:szCs w:val="20"/>
    </w:rPr>
  </w:style>
  <w:style w:type="numbering" w:customStyle="1" w:styleId="NoList1">
    <w:name w:val="No List1"/>
    <w:next w:val="NoList"/>
    <w:uiPriority w:val="99"/>
    <w:semiHidden/>
    <w:unhideWhenUsed/>
    <w:rsid w:val="00785A4C"/>
  </w:style>
  <w:style w:type="paragraph" w:customStyle="1" w:styleId="HeaderFooter">
    <w:name w:val="Header &amp; Footer"/>
    <w:rsid w:val="00785A4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A">
    <w:name w:val="Body A"/>
    <w:rsid w:val="00785A4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TOC1">
    <w:name w:val="toc 1"/>
    <w:autoRedefine/>
    <w:uiPriority w:val="39"/>
    <w:qFormat/>
    <w:rsid w:val="007D425A"/>
    <w:pPr>
      <w:pBdr>
        <w:top w:val="nil"/>
        <w:left w:val="nil"/>
        <w:bottom w:val="nil"/>
        <w:right w:val="nil"/>
        <w:between w:val="nil"/>
        <w:bar w:val="nil"/>
      </w:pBdr>
      <w:tabs>
        <w:tab w:val="decimal" w:leader="dot" w:pos="8640"/>
      </w:tabs>
      <w:spacing w:after="240" w:line="240" w:lineRule="auto"/>
      <w:ind w:left="720" w:hanging="720"/>
      <w:outlineLvl w:val="0"/>
    </w:pPr>
    <w:rPr>
      <w:rFonts w:ascii="Times New Roman" w:eastAsia="Times New Roman" w:hAnsi="Times New Roman" w:cs="Times New Roman"/>
      <w:caps/>
      <w:sz w:val="24"/>
      <w:szCs w:val="24"/>
      <w:u w:color="000000"/>
      <w:bdr w:val="nil"/>
    </w:rPr>
  </w:style>
  <w:style w:type="paragraph" w:customStyle="1" w:styleId="Heading">
    <w:name w:val="Heading"/>
    <w:next w:val="BodyA"/>
    <w:rsid w:val="00785A4C"/>
    <w:pPr>
      <w:keepNext/>
      <w:keepLines/>
      <w:pBdr>
        <w:top w:val="nil"/>
        <w:left w:val="nil"/>
        <w:bottom w:val="nil"/>
        <w:right w:val="nil"/>
        <w:between w:val="nil"/>
        <w:bar w:val="nil"/>
      </w:pBdr>
      <w:spacing w:after="0" w:line="480" w:lineRule="auto"/>
      <w:outlineLvl w:val="0"/>
    </w:pPr>
    <w:rPr>
      <w:rFonts w:ascii="Times New Roman" w:eastAsia="Times New Roman" w:hAnsi="Times New Roman" w:cs="Times New Roman"/>
      <w:b/>
      <w:bCs/>
      <w:color w:val="000000"/>
      <w:sz w:val="24"/>
      <w:szCs w:val="24"/>
      <w:u w:color="000000"/>
      <w:bdr w:val="nil"/>
    </w:rPr>
  </w:style>
  <w:style w:type="paragraph" w:customStyle="1" w:styleId="DirectQuestion">
    <w:name w:val="Direct Question"/>
    <w:next w:val="BodyA"/>
    <w:rsid w:val="00785A4C"/>
    <w:pPr>
      <w:pBdr>
        <w:top w:val="nil"/>
        <w:left w:val="nil"/>
        <w:bottom w:val="nil"/>
        <w:right w:val="nil"/>
        <w:between w:val="nil"/>
        <w:bar w:val="nil"/>
      </w:pBdr>
      <w:tabs>
        <w:tab w:val="left" w:pos="1440"/>
      </w:tabs>
      <w:spacing w:after="0" w:line="480" w:lineRule="auto"/>
      <w:ind w:left="1440" w:hanging="1440"/>
    </w:pPr>
    <w:rPr>
      <w:rFonts w:ascii="Times New Roman" w:eastAsia="Arial Unicode MS" w:hAnsi="Arial Unicode MS" w:cs="Arial Unicode MS"/>
      <w:b/>
      <w:bCs/>
      <w:i/>
      <w:iCs/>
      <w:caps/>
      <w:color w:val="000000"/>
      <w:sz w:val="24"/>
      <w:szCs w:val="24"/>
      <w:u w:color="000000"/>
      <w:bdr w:val="nil"/>
    </w:rPr>
  </w:style>
  <w:style w:type="numbering" w:customStyle="1" w:styleId="List0">
    <w:name w:val="List 0"/>
    <w:basedOn w:val="ImportedStyle1"/>
    <w:rsid w:val="00785A4C"/>
    <w:pPr>
      <w:numPr>
        <w:numId w:val="1"/>
      </w:numPr>
    </w:pPr>
  </w:style>
  <w:style w:type="numbering" w:customStyle="1" w:styleId="ImportedStyle1">
    <w:name w:val="Imported Style 1"/>
    <w:rsid w:val="00785A4C"/>
  </w:style>
  <w:style w:type="paragraph" w:customStyle="1" w:styleId="DirectAnswer">
    <w:name w:val="Direct Answer"/>
    <w:next w:val="DirectNext"/>
    <w:rsid w:val="00785A4C"/>
    <w:pPr>
      <w:pBdr>
        <w:top w:val="nil"/>
        <w:left w:val="nil"/>
        <w:bottom w:val="nil"/>
        <w:right w:val="nil"/>
        <w:between w:val="nil"/>
        <w:bar w:val="nil"/>
      </w:pBdr>
      <w:spacing w:after="0" w:line="480" w:lineRule="auto"/>
      <w:ind w:left="720" w:hanging="720"/>
    </w:pPr>
    <w:rPr>
      <w:rFonts w:ascii="Times New Roman" w:eastAsia="Arial Unicode MS" w:hAnsi="Arial Unicode MS" w:cs="Arial Unicode MS"/>
      <w:color w:val="000000"/>
      <w:sz w:val="24"/>
      <w:szCs w:val="24"/>
      <w:u w:color="000000"/>
      <w:bdr w:val="nil"/>
    </w:rPr>
  </w:style>
  <w:style w:type="paragraph" w:customStyle="1" w:styleId="DirectNext">
    <w:name w:val="Direct Next"/>
    <w:rsid w:val="00785A4C"/>
    <w:pPr>
      <w:pBdr>
        <w:top w:val="nil"/>
        <w:left w:val="nil"/>
        <w:bottom w:val="nil"/>
        <w:right w:val="nil"/>
        <w:between w:val="nil"/>
        <w:bar w:val="nil"/>
      </w:pBdr>
      <w:spacing w:after="0" w:line="504" w:lineRule="exact"/>
      <w:ind w:left="720"/>
    </w:pPr>
    <w:rPr>
      <w:rFonts w:ascii="Times New Roman" w:eastAsia="Arial Unicode MS" w:hAnsi="Arial Unicode MS" w:cs="Arial Unicode MS"/>
      <w:color w:val="000000"/>
      <w:sz w:val="24"/>
      <w:szCs w:val="24"/>
      <w:u w:color="000000"/>
      <w:bdr w:val="nil"/>
    </w:rPr>
  </w:style>
  <w:style w:type="numbering" w:customStyle="1" w:styleId="List1">
    <w:name w:val="List 1"/>
    <w:basedOn w:val="ImportedStyle2"/>
    <w:rsid w:val="00785A4C"/>
    <w:pPr>
      <w:numPr>
        <w:numId w:val="18"/>
      </w:numPr>
    </w:pPr>
  </w:style>
  <w:style w:type="numbering" w:customStyle="1" w:styleId="ImportedStyle2">
    <w:name w:val="Imported Style 2"/>
    <w:rsid w:val="00785A4C"/>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fn"/>
    <w:link w:val="FootnoteTextChar"/>
    <w:qFormat/>
    <w:rsid w:val="00785A4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fn Char"/>
    <w:basedOn w:val="DefaultParagraphFont"/>
    <w:link w:val="FootnoteText"/>
    <w:rsid w:val="00785A4C"/>
    <w:rPr>
      <w:rFonts w:ascii="Times New Roman" w:eastAsia="Times New Roman" w:hAnsi="Times New Roman" w:cs="Times New Roman"/>
      <w:color w:val="000000"/>
      <w:sz w:val="20"/>
      <w:szCs w:val="20"/>
      <w:u w:color="000000"/>
      <w:bdr w:val="nil"/>
    </w:rPr>
  </w:style>
  <w:style w:type="paragraph" w:customStyle="1" w:styleId="Default">
    <w:name w:val="Default"/>
    <w:rsid w:val="00785A4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EndnoteText">
    <w:name w:val="endnote text"/>
    <w:link w:val="EndnoteTextChar"/>
    <w:rsid w:val="00785A4C"/>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EndnoteTextChar">
    <w:name w:val="Endnote Text Char"/>
    <w:basedOn w:val="DefaultParagraphFont"/>
    <w:link w:val="EndnoteText"/>
    <w:rsid w:val="00785A4C"/>
    <w:rPr>
      <w:rFonts w:ascii="Courier New" w:eastAsia="Courier New" w:hAnsi="Courier New" w:cs="Courier New"/>
      <w:color w:val="000000"/>
      <w:sz w:val="24"/>
      <w:szCs w:val="24"/>
      <w:u w:color="000000"/>
      <w:bdr w:val="nil"/>
    </w:rPr>
  </w:style>
  <w:style w:type="character" w:styleId="LineNumber">
    <w:name w:val="line number"/>
    <w:basedOn w:val="DefaultParagraphFont"/>
    <w:uiPriority w:val="99"/>
    <w:semiHidden/>
    <w:unhideWhenUsed/>
    <w:rsid w:val="00785A4C"/>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785A4C"/>
    <w:rPr>
      <w:vertAlign w:val="superscript"/>
    </w:rPr>
  </w:style>
  <w:style w:type="paragraph" w:styleId="NoSpacing">
    <w:name w:val="No Spacing"/>
    <w:uiPriority w:val="1"/>
    <w:qFormat/>
    <w:rsid w:val="00785A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customStyle="1" w:styleId="TableGrid1">
    <w:name w:val="Table Grid1"/>
    <w:basedOn w:val="TableNormal"/>
    <w:next w:val="TableGrid"/>
    <w:uiPriority w:val="59"/>
    <w:rsid w:val="00785A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A4C"/>
    <w:pPr>
      <w:spacing w:after="0" w:line="240" w:lineRule="auto"/>
    </w:pPr>
    <w:rPr>
      <w:rFonts w:ascii="Times New Roman" w:eastAsia="Arial Unicode MS" w:hAnsi="Times New Roman" w:cs="Times New Roman"/>
      <w:sz w:val="24"/>
      <w:szCs w:val="24"/>
      <w:bdr w:val="nil"/>
    </w:rPr>
  </w:style>
  <w:style w:type="character" w:customStyle="1" w:styleId="FollowedHyperlink1">
    <w:name w:val="FollowedHyperlink1"/>
    <w:basedOn w:val="DefaultParagraphFont"/>
    <w:uiPriority w:val="99"/>
    <w:semiHidden/>
    <w:unhideWhenUsed/>
    <w:rsid w:val="00785A4C"/>
    <w:rPr>
      <w:color w:val="FF00FF"/>
      <w:u w:val="single"/>
    </w:rPr>
  </w:style>
  <w:style w:type="paragraph" w:customStyle="1" w:styleId="Question">
    <w:name w:val="Question"/>
    <w:basedOn w:val="Normal"/>
    <w:link w:val="QuestionChar"/>
    <w:qFormat/>
    <w:rsid w:val="00785A4C"/>
    <w:pPr>
      <w:spacing w:after="0" w:line="480" w:lineRule="auto"/>
      <w:ind w:left="720" w:hanging="720"/>
    </w:pPr>
    <w:rPr>
      <w:rFonts w:ascii="Times New Roman" w:eastAsia="Times New Roman" w:hAnsi="Times New Roman" w:cs="Times New Roman"/>
      <w:b/>
      <w:i/>
      <w:caps/>
      <w:sz w:val="24"/>
      <w:szCs w:val="24"/>
    </w:rPr>
  </w:style>
  <w:style w:type="character" w:customStyle="1" w:styleId="QuestionChar">
    <w:name w:val="Question Char"/>
    <w:basedOn w:val="DefaultParagraphFont"/>
    <w:link w:val="Question"/>
    <w:rsid w:val="00785A4C"/>
    <w:rPr>
      <w:rFonts w:ascii="Times New Roman" w:eastAsia="Times New Roman" w:hAnsi="Times New Roman" w:cs="Times New Roman"/>
      <w:b/>
      <w:i/>
      <w:caps/>
      <w:sz w:val="24"/>
      <w:szCs w:val="24"/>
    </w:rPr>
  </w:style>
  <w:style w:type="character" w:styleId="PageNumber">
    <w:name w:val="page number"/>
    <w:basedOn w:val="DefaultParagraphFont"/>
    <w:uiPriority w:val="99"/>
    <w:semiHidden/>
    <w:unhideWhenUsed/>
    <w:rsid w:val="00785A4C"/>
  </w:style>
  <w:style w:type="paragraph" w:styleId="BodyTextIndent">
    <w:name w:val="Body Text Indent"/>
    <w:basedOn w:val="Normal"/>
    <w:link w:val="BodyTextIndentChar"/>
    <w:uiPriority w:val="99"/>
    <w:semiHidden/>
    <w:unhideWhenUsed/>
    <w:rsid w:val="00785A4C"/>
    <w:pPr>
      <w:pBdr>
        <w:top w:val="nil"/>
        <w:left w:val="nil"/>
        <w:bottom w:val="nil"/>
        <w:right w:val="nil"/>
        <w:between w:val="nil"/>
        <w:bar w:val="nil"/>
      </w:pBdr>
      <w:spacing w:after="120" w:line="240" w:lineRule="auto"/>
      <w:ind w:left="360"/>
    </w:pPr>
    <w:rPr>
      <w:rFonts w:ascii="Times New Roman" w:eastAsia="Arial Unicode MS" w:hAnsi="Times New Roman" w:cs="Times New Roman"/>
      <w:sz w:val="24"/>
      <w:szCs w:val="24"/>
      <w:bdr w:val="nil"/>
    </w:rPr>
  </w:style>
  <w:style w:type="character" w:customStyle="1" w:styleId="BodyTextIndentChar">
    <w:name w:val="Body Text Indent Char"/>
    <w:basedOn w:val="DefaultParagraphFont"/>
    <w:link w:val="BodyTextIndent"/>
    <w:uiPriority w:val="99"/>
    <w:semiHidden/>
    <w:rsid w:val="00785A4C"/>
    <w:rPr>
      <w:rFonts w:ascii="Times New Roman" w:eastAsia="Arial Unicode MS" w:hAnsi="Times New Roman" w:cs="Times New Roman"/>
      <w:sz w:val="24"/>
      <w:szCs w:val="24"/>
      <w:bdr w:val="nil"/>
    </w:rPr>
  </w:style>
  <w:style w:type="character" w:styleId="FollowedHyperlink">
    <w:name w:val="FollowedHyperlink"/>
    <w:basedOn w:val="DefaultParagraphFont"/>
    <w:uiPriority w:val="99"/>
    <w:semiHidden/>
    <w:unhideWhenUsed/>
    <w:rsid w:val="00785A4C"/>
    <w:rPr>
      <w:color w:val="800080" w:themeColor="followedHyperlink"/>
      <w:u w:val="single"/>
    </w:rPr>
  </w:style>
  <w:style w:type="character" w:customStyle="1" w:styleId="Heading2Char">
    <w:name w:val="Heading 2 Char"/>
    <w:basedOn w:val="DefaultParagraphFont"/>
    <w:link w:val="Heading2"/>
    <w:uiPriority w:val="9"/>
    <w:rsid w:val="0013336E"/>
    <w:rPr>
      <w:rFonts w:ascii="Times New Roman" w:eastAsia="Arial Unicode MS" w:hAnsi="Times New Roman" w:cstheme="majorBidi"/>
      <w:b/>
      <w:bCs/>
      <w:sz w:val="24"/>
      <w:szCs w:val="26"/>
      <w:u w:color="000000"/>
      <w:bdr w:val="nil"/>
    </w:rPr>
  </w:style>
  <w:style w:type="paragraph" w:styleId="TOC2">
    <w:name w:val="toc 2"/>
    <w:basedOn w:val="Normal"/>
    <w:next w:val="Normal"/>
    <w:autoRedefine/>
    <w:uiPriority w:val="39"/>
    <w:unhideWhenUsed/>
    <w:qFormat/>
    <w:rsid w:val="007D425A"/>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7D425A"/>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7D425A"/>
    <w:pPr>
      <w:tabs>
        <w:tab w:val="decimal" w:leader="dot" w:pos="8640"/>
      </w:tabs>
      <w:spacing w:after="240" w:line="240" w:lineRule="auto"/>
      <w:ind w:left="288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12392</Words>
  <Characters>70636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16-1852.docx</vt:lpstr>
    </vt:vector>
  </TitlesOfParts>
  <Company/>
  <LinksUpToDate>false</LinksUpToDate>
  <CharactersWithSpaces>82863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2017-11-29T14:13:06Z</dcterms:created>
  <dcterms:modified xsi:type="dcterms:W3CDTF">2017-11-29T14:13:06Z</dcterms:modified>
</cp:coreProperties>
</file>