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D2B6" w14:textId="77777777" w:rsidR="00545F29" w:rsidRPr="009D71F6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7176D2B7" w14:textId="77777777" w:rsidR="00545F29" w:rsidRPr="009D71F6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54"/>
        <w:gridCol w:w="632"/>
        <w:gridCol w:w="3940"/>
      </w:tblGrid>
      <w:tr w:rsidR="00355B90" w:rsidRPr="009D71F6" w14:paraId="7176D2C6" w14:textId="77777777" w:rsidTr="00A22CF9">
        <w:trPr>
          <w:trHeight w:val="1458"/>
          <w:jc w:val="center"/>
        </w:trPr>
        <w:tc>
          <w:tcPr>
            <w:tcW w:w="4754" w:type="dxa"/>
          </w:tcPr>
          <w:p w14:paraId="7176D2BB" w14:textId="1BBC1D77" w:rsidR="00545F29" w:rsidRPr="009D71F6" w:rsidRDefault="00D57E21" w:rsidP="00EB25E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</w:t>
            </w:r>
            <w:r w:rsidR="00EB25ED">
              <w:rPr>
                <w:rFonts w:ascii="Arial" w:hAnsi="Arial" w:cs="Arial"/>
                <w:sz w:val="24"/>
                <w:szCs w:val="24"/>
              </w:rPr>
              <w:t>Commission-Ordered Investigation of Marketing Practices in the Competitive Retail Electric Service Market</w:t>
            </w:r>
          </w:p>
        </w:tc>
        <w:tc>
          <w:tcPr>
            <w:tcW w:w="632" w:type="dxa"/>
          </w:tcPr>
          <w:p w14:paraId="7176D2BC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D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E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F" w14:textId="19FF2947" w:rsidR="00545F29" w:rsidRPr="009D71F6" w:rsidRDefault="00545F29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76D2C0" w14:textId="57F2D5C1" w:rsidR="00545F29" w:rsidRPr="009D71F6" w:rsidRDefault="00545F29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176D2C1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2" w14:textId="05927611" w:rsidR="00545F29" w:rsidRPr="009D71F6" w:rsidRDefault="00EB25E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14-568-EL-COI</w:t>
            </w:r>
          </w:p>
          <w:p w14:paraId="7176D2C3" w14:textId="671401B5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275791" w14:textId="77777777" w:rsidR="00613140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5" w14:textId="68B55317" w:rsidR="00613140" w:rsidRPr="009D71F6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6D2C7" w14:textId="77777777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A" w14:textId="0B7A2A4C" w:rsidR="00545F29" w:rsidRPr="009D71F6" w:rsidRDefault="00EB25ED" w:rsidP="00EB25E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COMMENTS OF IGS ENERGY</w:t>
      </w:r>
      <w:r w:rsidR="0056270F" w:rsidRPr="009D71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5C23F749" w14:textId="650D21AF" w:rsidR="00EB25ED" w:rsidRPr="004B612B" w:rsidRDefault="004B612B" w:rsidP="004B612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612B">
        <w:rPr>
          <w:rFonts w:ascii="Arial" w:hAnsi="Arial" w:cs="Arial"/>
          <w:b/>
          <w:sz w:val="24"/>
          <w:szCs w:val="24"/>
        </w:rPr>
        <w:t>INTRODUCTION</w:t>
      </w:r>
    </w:p>
    <w:p w14:paraId="2054E9E2" w14:textId="77777777" w:rsidR="004B612B" w:rsidRDefault="004B612B" w:rsidP="00EB25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33A62B" w14:textId="275D92FD" w:rsidR="00811017" w:rsidRDefault="00C1182B" w:rsidP="00C1182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early 2014, </w:t>
      </w:r>
      <w:r w:rsidR="00CA2E72">
        <w:rPr>
          <w:rFonts w:ascii="Arial" w:hAnsi="Arial" w:cs="Arial"/>
          <w:sz w:val="24"/>
          <w:szCs w:val="24"/>
        </w:rPr>
        <w:t>PJM</w:t>
      </w:r>
      <w:r w:rsidR="00811017" w:rsidRPr="00811017">
        <w:rPr>
          <w:rFonts w:ascii="Arial" w:hAnsi="Arial" w:cs="Arial"/>
          <w:sz w:val="24"/>
          <w:szCs w:val="24"/>
        </w:rPr>
        <w:t xml:space="preserve"> assigned </w:t>
      </w:r>
      <w:r w:rsidR="00CA62D0">
        <w:rPr>
          <w:rFonts w:ascii="Arial" w:hAnsi="Arial" w:cs="Arial"/>
          <w:sz w:val="24"/>
          <w:szCs w:val="24"/>
        </w:rPr>
        <w:t>un</w:t>
      </w:r>
      <w:r w:rsidR="00811017" w:rsidRPr="00811017">
        <w:rPr>
          <w:rFonts w:ascii="Arial" w:hAnsi="Arial" w:cs="Arial"/>
          <w:sz w:val="24"/>
          <w:szCs w:val="24"/>
        </w:rPr>
        <w:t>usually high balancing and operating reserve (“BOR”) charges to load serving entities.</w:t>
      </w:r>
      <w:r w:rsidR="00811017">
        <w:rPr>
          <w:rFonts w:ascii="Arial" w:hAnsi="Arial" w:cs="Arial"/>
          <w:sz w:val="24"/>
          <w:szCs w:val="24"/>
        </w:rPr>
        <w:t xml:space="preserve">  </w:t>
      </w:r>
      <w:r w:rsidR="00CA62D0">
        <w:rPr>
          <w:rFonts w:ascii="Arial" w:hAnsi="Arial" w:cs="Arial"/>
          <w:sz w:val="24"/>
          <w:szCs w:val="24"/>
        </w:rPr>
        <w:t>The imposition of these charges and the possible application of</w:t>
      </w:r>
      <w:r w:rsidR="00811017" w:rsidRPr="00811017">
        <w:rPr>
          <w:rFonts w:ascii="Arial" w:hAnsi="Arial" w:cs="Arial"/>
          <w:sz w:val="24"/>
          <w:szCs w:val="24"/>
        </w:rPr>
        <w:t xml:space="preserve"> “pass-through clauses” contained in fixed-price and guaranteed savings contracts</w:t>
      </w:r>
      <w:r>
        <w:rPr>
          <w:rFonts w:ascii="Arial" w:hAnsi="Arial" w:cs="Arial"/>
          <w:sz w:val="24"/>
          <w:szCs w:val="24"/>
        </w:rPr>
        <w:t xml:space="preserve"> </w:t>
      </w:r>
      <w:r w:rsidR="00CA62D0">
        <w:rPr>
          <w:rFonts w:ascii="Arial" w:hAnsi="Arial" w:cs="Arial"/>
          <w:sz w:val="24"/>
          <w:szCs w:val="24"/>
        </w:rPr>
        <w:t xml:space="preserve">of </w:t>
      </w:r>
      <w:r w:rsidR="00CA62D0" w:rsidRPr="00CA62D0">
        <w:rPr>
          <w:rFonts w:ascii="Arial" w:hAnsi="Arial" w:cs="Arial"/>
          <w:sz w:val="24"/>
          <w:szCs w:val="24"/>
        </w:rPr>
        <w:t>competitive electric service (“CRES”) providers</w:t>
      </w:r>
      <w:r w:rsidR="00CA62D0">
        <w:rPr>
          <w:rFonts w:ascii="Arial" w:hAnsi="Arial" w:cs="Arial"/>
          <w:sz w:val="24"/>
          <w:szCs w:val="24"/>
        </w:rPr>
        <w:t xml:space="preserve"> prompted</w:t>
      </w:r>
      <w:r w:rsidR="00811017" w:rsidRPr="00811017">
        <w:rPr>
          <w:rFonts w:ascii="Arial" w:hAnsi="Arial" w:cs="Arial"/>
          <w:sz w:val="24"/>
          <w:szCs w:val="24"/>
        </w:rPr>
        <w:t xml:space="preserve"> </w:t>
      </w:r>
      <w:r w:rsidR="00811017">
        <w:rPr>
          <w:rFonts w:ascii="Arial" w:hAnsi="Arial" w:cs="Arial"/>
          <w:sz w:val="24"/>
          <w:szCs w:val="24"/>
        </w:rPr>
        <w:t xml:space="preserve">the Public Utilities Commission of Ohio (“Commission”) </w:t>
      </w:r>
      <w:r w:rsidR="00CA62D0">
        <w:rPr>
          <w:rFonts w:ascii="Arial" w:hAnsi="Arial" w:cs="Arial"/>
          <w:sz w:val="24"/>
          <w:szCs w:val="24"/>
        </w:rPr>
        <w:t xml:space="preserve">to </w:t>
      </w:r>
      <w:r w:rsidR="00811017">
        <w:rPr>
          <w:rFonts w:ascii="Arial" w:hAnsi="Arial" w:cs="Arial"/>
          <w:sz w:val="24"/>
          <w:szCs w:val="24"/>
        </w:rPr>
        <w:t xml:space="preserve">open an investigation to determine whether “it is unfair, misleading, deceptive, or unconscionable to market contracts as fixed-rate contracts or as variable contracts with </w:t>
      </w:r>
      <w:r>
        <w:rPr>
          <w:rFonts w:ascii="Arial" w:hAnsi="Arial" w:cs="Arial"/>
          <w:sz w:val="24"/>
          <w:szCs w:val="24"/>
        </w:rPr>
        <w:t>a guaranteed percent off the [standard service offer]</w:t>
      </w:r>
      <w:r w:rsidR="00811017">
        <w:rPr>
          <w:rFonts w:ascii="Arial" w:hAnsi="Arial" w:cs="Arial"/>
          <w:sz w:val="24"/>
          <w:szCs w:val="24"/>
        </w:rPr>
        <w:t xml:space="preserve"> rate when the contracts include pass-through clauses.”</w:t>
      </w:r>
      <w:r w:rsidR="0074660C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811017">
        <w:rPr>
          <w:rFonts w:ascii="Arial" w:hAnsi="Arial" w:cs="Arial"/>
          <w:sz w:val="24"/>
          <w:szCs w:val="24"/>
        </w:rPr>
        <w:t xml:space="preserve"> </w:t>
      </w:r>
      <w:r w:rsidR="00F25345">
        <w:rPr>
          <w:rFonts w:ascii="Arial" w:hAnsi="Arial" w:cs="Arial"/>
          <w:sz w:val="24"/>
          <w:szCs w:val="24"/>
        </w:rPr>
        <w:t xml:space="preserve"> </w:t>
      </w:r>
      <w:r w:rsidR="00811017">
        <w:rPr>
          <w:rFonts w:ascii="Arial" w:hAnsi="Arial" w:cs="Arial"/>
          <w:sz w:val="24"/>
          <w:szCs w:val="24"/>
        </w:rPr>
        <w:t>The Commission requested comments to a series of questions to assist its investigation.</w:t>
      </w:r>
    </w:p>
    <w:p w14:paraId="79548BF3" w14:textId="0D984AAD" w:rsidR="00EF0EF9" w:rsidRDefault="00EF0EF9" w:rsidP="00C1182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Interstate Gas Supply, Inc.’s (“IGS” or “IGS Energy”) Comm</w:t>
      </w:r>
      <w:r w:rsidR="00C1182B">
        <w:rPr>
          <w:rFonts w:ascii="Arial" w:hAnsi="Arial" w:cs="Arial"/>
          <w:sz w:val="24"/>
          <w:szCs w:val="24"/>
        </w:rPr>
        <w:t>ents are provided below.  F</w:t>
      </w:r>
      <w:r>
        <w:rPr>
          <w:rFonts w:ascii="Arial" w:hAnsi="Arial" w:cs="Arial"/>
          <w:sz w:val="24"/>
          <w:szCs w:val="24"/>
        </w:rPr>
        <w:t>rom a high level, 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GS believes that c</w:t>
      </w:r>
      <w:r w:rsidR="00811017" w:rsidRPr="00EF0EF9">
        <w:rPr>
          <w:rFonts w:ascii="Arial" w:hAnsi="Arial" w:cs="Arial"/>
          <w:sz w:val="24"/>
          <w:szCs w:val="24"/>
        </w:rPr>
        <w:t>ustomers should be fully informed about products and services they purchase from a CRES</w:t>
      </w:r>
      <w:r w:rsidR="00C1182B">
        <w:rPr>
          <w:rFonts w:ascii="Arial" w:hAnsi="Arial" w:cs="Arial"/>
          <w:sz w:val="24"/>
          <w:szCs w:val="24"/>
        </w:rPr>
        <w:t xml:space="preserve"> provider</w:t>
      </w:r>
      <w:r w:rsidR="00811017" w:rsidRPr="00EF0E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And, a</w:t>
      </w:r>
      <w:r w:rsidR="00811017" w:rsidRPr="00EF0EF9">
        <w:rPr>
          <w:rFonts w:ascii="Arial" w:hAnsi="Arial" w:cs="Arial"/>
          <w:sz w:val="24"/>
          <w:szCs w:val="24"/>
        </w:rPr>
        <w:t xml:space="preserve">s a general rule, a fixed-rate contract should not change for the </w:t>
      </w:r>
      <w:r w:rsidR="00CA62D0">
        <w:rPr>
          <w:rFonts w:ascii="Arial" w:hAnsi="Arial" w:cs="Arial"/>
          <w:sz w:val="24"/>
          <w:szCs w:val="24"/>
        </w:rPr>
        <w:t xml:space="preserve">duration of the </w:t>
      </w:r>
      <w:r w:rsidR="00811017" w:rsidRPr="00EF0EF9">
        <w:rPr>
          <w:rFonts w:ascii="Arial" w:hAnsi="Arial" w:cs="Arial"/>
          <w:sz w:val="24"/>
          <w:szCs w:val="24"/>
        </w:rPr>
        <w:t>term of</w:t>
      </w:r>
      <w:r w:rsidR="0074660C">
        <w:rPr>
          <w:rFonts w:ascii="Arial" w:hAnsi="Arial" w:cs="Arial"/>
          <w:sz w:val="24"/>
          <w:szCs w:val="24"/>
        </w:rPr>
        <w:t xml:space="preserve"> the</w:t>
      </w:r>
      <w:r w:rsidR="00811017" w:rsidRPr="00EF0EF9">
        <w:rPr>
          <w:rFonts w:ascii="Arial" w:hAnsi="Arial" w:cs="Arial"/>
          <w:sz w:val="24"/>
          <w:szCs w:val="24"/>
        </w:rPr>
        <w:t xml:space="preserve"> contract. </w:t>
      </w:r>
    </w:p>
    <w:p w14:paraId="18187ED6" w14:textId="38EA72CF" w:rsidR="00811017" w:rsidRPr="00E241BC" w:rsidRDefault="00EF0EF9" w:rsidP="0074660C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These principles aside, it is important to keep in mind that </w:t>
      </w:r>
      <w:r w:rsidR="00CA62D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Commission</w:t>
      </w:r>
      <w:r w:rsidR="00811017" w:rsidRPr="00EF0EF9">
        <w:rPr>
          <w:rFonts w:ascii="Arial" w:hAnsi="Arial" w:cs="Arial"/>
          <w:sz w:val="24"/>
          <w:szCs w:val="24"/>
        </w:rPr>
        <w:t xml:space="preserve"> cannot regulate prices</w:t>
      </w:r>
      <w:r>
        <w:rPr>
          <w:rFonts w:ascii="Arial" w:hAnsi="Arial" w:cs="Arial"/>
          <w:sz w:val="24"/>
          <w:szCs w:val="24"/>
        </w:rPr>
        <w:t xml:space="preserve"> offered by CRES providers</w:t>
      </w:r>
      <w:r w:rsidR="00811017" w:rsidRPr="00EF0E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Thus, the focus of this proceeding should be upon marketing practices of CRES providers and the disclosures contained </w:t>
      </w:r>
      <w:r w:rsidR="0074660C">
        <w:rPr>
          <w:rFonts w:ascii="Arial" w:hAnsi="Arial" w:cs="Arial"/>
          <w:sz w:val="24"/>
          <w:szCs w:val="24"/>
        </w:rPr>
        <w:t xml:space="preserve">in </w:t>
      </w:r>
      <w:r w:rsidR="00E241BC">
        <w:rPr>
          <w:rFonts w:ascii="Arial" w:hAnsi="Arial" w:cs="Arial"/>
          <w:sz w:val="24"/>
          <w:szCs w:val="24"/>
        </w:rPr>
        <w:t xml:space="preserve">contracts and offers.  Accordingly, IGS believes </w:t>
      </w:r>
      <w:r w:rsidR="00187A63">
        <w:rPr>
          <w:rFonts w:ascii="Arial" w:hAnsi="Arial" w:cs="Arial"/>
          <w:sz w:val="24"/>
          <w:szCs w:val="24"/>
        </w:rPr>
        <w:t>the Commission should not limit the type of products a CRES provider can offer</w:t>
      </w:r>
      <w:r w:rsidR="004F49DA">
        <w:rPr>
          <w:rFonts w:ascii="Arial" w:hAnsi="Arial" w:cs="Arial"/>
          <w:sz w:val="24"/>
          <w:szCs w:val="24"/>
        </w:rPr>
        <w:t>, but rather suggests the following disclosure requirements b</w:t>
      </w:r>
      <w:r w:rsidR="0074660C">
        <w:rPr>
          <w:rFonts w:ascii="Arial" w:hAnsi="Arial" w:cs="Arial"/>
          <w:sz w:val="24"/>
          <w:szCs w:val="24"/>
        </w:rPr>
        <w:t>e implemented by the Commission.</w:t>
      </w:r>
      <w:r w:rsidR="00187A63">
        <w:rPr>
          <w:rFonts w:ascii="Arial" w:hAnsi="Arial" w:cs="Arial"/>
          <w:sz w:val="24"/>
          <w:szCs w:val="24"/>
        </w:rPr>
        <w:t xml:space="preserve"> </w:t>
      </w:r>
      <w:r w:rsidR="004F49DA">
        <w:rPr>
          <w:rFonts w:ascii="Arial" w:hAnsi="Arial" w:cs="Arial"/>
          <w:sz w:val="24"/>
          <w:szCs w:val="24"/>
        </w:rPr>
        <w:t>I</w:t>
      </w:r>
      <w:r w:rsidR="00811017" w:rsidRPr="00E241BC">
        <w:rPr>
          <w:rFonts w:ascii="Arial" w:hAnsi="Arial" w:cs="Arial"/>
          <w:sz w:val="24"/>
          <w:szCs w:val="24"/>
        </w:rPr>
        <w:t>f a</w:t>
      </w:r>
      <w:r w:rsidR="00090FFC">
        <w:rPr>
          <w:rFonts w:ascii="Arial" w:hAnsi="Arial" w:cs="Arial"/>
          <w:sz w:val="24"/>
          <w:szCs w:val="24"/>
        </w:rPr>
        <w:t xml:space="preserve"> </w:t>
      </w:r>
      <w:r w:rsidR="004F49DA">
        <w:rPr>
          <w:rFonts w:ascii="Arial" w:hAnsi="Arial" w:cs="Arial"/>
          <w:sz w:val="24"/>
          <w:szCs w:val="24"/>
        </w:rPr>
        <w:t>CRES</w:t>
      </w:r>
      <w:r w:rsidR="0074660C">
        <w:rPr>
          <w:rFonts w:ascii="Arial" w:hAnsi="Arial" w:cs="Arial"/>
          <w:sz w:val="24"/>
          <w:szCs w:val="24"/>
        </w:rPr>
        <w:t xml:space="preserve"> offers a fixed price</w:t>
      </w:r>
      <w:r w:rsidR="00090FFC">
        <w:rPr>
          <w:rFonts w:ascii="Arial" w:hAnsi="Arial" w:cs="Arial"/>
          <w:sz w:val="24"/>
          <w:szCs w:val="24"/>
        </w:rPr>
        <w:t xml:space="preserve"> that contains a</w:t>
      </w:r>
      <w:r w:rsidR="00811017" w:rsidRPr="00E241BC">
        <w:rPr>
          <w:rFonts w:ascii="Arial" w:hAnsi="Arial" w:cs="Arial"/>
          <w:sz w:val="24"/>
          <w:szCs w:val="24"/>
        </w:rPr>
        <w:t xml:space="preserve"> pass-through clause</w:t>
      </w:r>
      <w:r w:rsidR="00090FFC">
        <w:rPr>
          <w:rFonts w:ascii="Arial" w:hAnsi="Arial" w:cs="Arial"/>
          <w:sz w:val="24"/>
          <w:szCs w:val="24"/>
        </w:rPr>
        <w:t>,</w:t>
      </w:r>
      <w:r w:rsidR="0074660C">
        <w:rPr>
          <w:rFonts w:ascii="Arial" w:hAnsi="Arial" w:cs="Arial"/>
          <w:sz w:val="24"/>
          <w:szCs w:val="24"/>
        </w:rPr>
        <w:t xml:space="preserve"> </w:t>
      </w:r>
      <w:r w:rsidR="00811017" w:rsidRPr="00E241BC">
        <w:rPr>
          <w:rFonts w:ascii="Arial" w:hAnsi="Arial" w:cs="Arial"/>
          <w:sz w:val="24"/>
          <w:szCs w:val="24"/>
        </w:rPr>
        <w:t xml:space="preserve">the </w:t>
      </w:r>
      <w:r w:rsidR="004F49DA">
        <w:rPr>
          <w:rFonts w:ascii="Arial" w:hAnsi="Arial" w:cs="Arial"/>
          <w:sz w:val="24"/>
          <w:szCs w:val="24"/>
        </w:rPr>
        <w:t>CRES must disclose the pass through clause accordingly</w:t>
      </w:r>
      <w:r w:rsidR="00811017" w:rsidRPr="00E241BC">
        <w:rPr>
          <w:rFonts w:ascii="Arial" w:hAnsi="Arial" w:cs="Arial"/>
          <w:sz w:val="24"/>
          <w:szCs w:val="24"/>
        </w:rPr>
        <w:t>:</w:t>
      </w:r>
    </w:p>
    <w:p w14:paraId="7EC6910F" w14:textId="0277FB2B" w:rsidR="00811017" w:rsidRPr="00E241BC" w:rsidRDefault="00811017" w:rsidP="000D081C">
      <w:pPr>
        <w:pStyle w:val="ListParagraph"/>
        <w:numPr>
          <w:ilvl w:val="0"/>
          <w:numId w:val="11"/>
        </w:numPr>
        <w:ind w:left="1080" w:right="720"/>
        <w:jc w:val="both"/>
        <w:rPr>
          <w:rFonts w:ascii="Arial" w:hAnsi="Arial" w:cs="Arial"/>
          <w:sz w:val="24"/>
          <w:szCs w:val="24"/>
        </w:rPr>
      </w:pPr>
      <w:r w:rsidRPr="00E241BC">
        <w:rPr>
          <w:rFonts w:ascii="Arial" w:hAnsi="Arial" w:cs="Arial"/>
          <w:sz w:val="24"/>
          <w:szCs w:val="24"/>
        </w:rPr>
        <w:t>Residential</w:t>
      </w:r>
      <w:r w:rsidR="00C1182B">
        <w:rPr>
          <w:rFonts w:ascii="Arial" w:hAnsi="Arial" w:cs="Arial"/>
          <w:sz w:val="24"/>
          <w:szCs w:val="24"/>
        </w:rPr>
        <w:t xml:space="preserve"> Customers:  A</w:t>
      </w:r>
      <w:r w:rsidRPr="00E241BC">
        <w:rPr>
          <w:rFonts w:ascii="Arial" w:hAnsi="Arial" w:cs="Arial"/>
          <w:sz w:val="24"/>
          <w:szCs w:val="24"/>
        </w:rPr>
        <w:t xml:space="preserve">ny material offer/advertisement for a fixed-rate contract must conspicuously and clearly disclose </w:t>
      </w:r>
      <w:r w:rsidR="00090FFC">
        <w:rPr>
          <w:rFonts w:ascii="Arial" w:hAnsi="Arial" w:cs="Arial"/>
          <w:sz w:val="24"/>
          <w:szCs w:val="24"/>
        </w:rPr>
        <w:t>any</w:t>
      </w:r>
      <w:r w:rsidRPr="00E241BC">
        <w:rPr>
          <w:rFonts w:ascii="Arial" w:hAnsi="Arial" w:cs="Arial"/>
          <w:sz w:val="24"/>
          <w:szCs w:val="24"/>
        </w:rPr>
        <w:t xml:space="preserve"> pass-through clause.  The disclosure must disclose the nature (types of costs) of the pass-through and the events that would trigger the pass-through.  </w:t>
      </w:r>
      <w:r w:rsidR="00187A63">
        <w:rPr>
          <w:rFonts w:ascii="Arial" w:hAnsi="Arial" w:cs="Arial"/>
          <w:sz w:val="24"/>
          <w:szCs w:val="24"/>
        </w:rPr>
        <w:t>Further, upon enrollment in the product, the</w:t>
      </w:r>
      <w:r w:rsidRPr="00E241BC">
        <w:rPr>
          <w:rFonts w:ascii="Arial" w:hAnsi="Arial" w:cs="Arial"/>
          <w:sz w:val="24"/>
          <w:szCs w:val="24"/>
        </w:rPr>
        <w:t xml:space="preserve"> customer</w:t>
      </w:r>
      <w:r w:rsidR="00187A63">
        <w:rPr>
          <w:rFonts w:ascii="Arial" w:hAnsi="Arial" w:cs="Arial"/>
          <w:sz w:val="24"/>
          <w:szCs w:val="24"/>
        </w:rPr>
        <w:t xml:space="preserve"> </w:t>
      </w:r>
      <w:r w:rsidRPr="00E241BC">
        <w:rPr>
          <w:rFonts w:ascii="Arial" w:hAnsi="Arial" w:cs="Arial"/>
          <w:sz w:val="24"/>
          <w:szCs w:val="24"/>
        </w:rPr>
        <w:t>must acknowledge the pass-through either through a recorded verification or through a line-item initial.</w:t>
      </w:r>
    </w:p>
    <w:p w14:paraId="22B7EAEE" w14:textId="4FEB4D94" w:rsidR="00811017" w:rsidRPr="00E241BC" w:rsidRDefault="00811017" w:rsidP="000D081C">
      <w:pPr>
        <w:pStyle w:val="ListParagraph"/>
        <w:numPr>
          <w:ilvl w:val="0"/>
          <w:numId w:val="11"/>
        </w:numPr>
        <w:ind w:left="1080" w:right="720"/>
        <w:jc w:val="both"/>
        <w:rPr>
          <w:rFonts w:ascii="Arial" w:hAnsi="Arial" w:cs="Arial"/>
          <w:sz w:val="24"/>
          <w:szCs w:val="24"/>
        </w:rPr>
      </w:pPr>
      <w:r w:rsidRPr="00E241BC">
        <w:rPr>
          <w:rFonts w:ascii="Arial" w:hAnsi="Arial" w:cs="Arial"/>
          <w:sz w:val="24"/>
          <w:szCs w:val="24"/>
        </w:rPr>
        <w:t>Commercial/Industrial</w:t>
      </w:r>
      <w:r w:rsidR="00C1182B">
        <w:rPr>
          <w:rFonts w:ascii="Arial" w:hAnsi="Arial" w:cs="Arial"/>
          <w:sz w:val="24"/>
          <w:szCs w:val="24"/>
        </w:rPr>
        <w:t xml:space="preserve"> Customers</w:t>
      </w:r>
      <w:r w:rsidRPr="00E241BC">
        <w:rPr>
          <w:rFonts w:ascii="Arial" w:hAnsi="Arial" w:cs="Arial"/>
          <w:sz w:val="24"/>
          <w:szCs w:val="24"/>
        </w:rPr>
        <w:t xml:space="preserve">:  The contract must disclose the nature (types of costs) of the pass-through and the events that would trigger the pass-through.  </w:t>
      </w:r>
      <w:r w:rsidR="00187A63">
        <w:rPr>
          <w:rFonts w:ascii="Arial" w:hAnsi="Arial" w:cs="Arial"/>
          <w:sz w:val="24"/>
          <w:szCs w:val="24"/>
        </w:rPr>
        <w:t>Upon enrollment in the product, t</w:t>
      </w:r>
      <w:r w:rsidRPr="00E241BC">
        <w:rPr>
          <w:rFonts w:ascii="Arial" w:hAnsi="Arial" w:cs="Arial"/>
          <w:sz w:val="24"/>
          <w:szCs w:val="24"/>
        </w:rPr>
        <w:t>he customer must acknowledge the pass-through either through a recorded verification or through a line-item initial.</w:t>
      </w:r>
    </w:p>
    <w:p w14:paraId="2190B85B" w14:textId="653680FE" w:rsidR="00811017" w:rsidRDefault="00187A63" w:rsidP="00E241B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clear, the</w:t>
      </w:r>
      <w:r w:rsidR="00C1182B">
        <w:rPr>
          <w:rFonts w:ascii="Arial" w:hAnsi="Arial" w:cs="Arial"/>
          <w:sz w:val="24"/>
          <w:szCs w:val="24"/>
        </w:rPr>
        <w:t xml:space="preserve"> disclosure requirements</w:t>
      </w:r>
      <w:r>
        <w:rPr>
          <w:rFonts w:ascii="Arial" w:hAnsi="Arial" w:cs="Arial"/>
          <w:sz w:val="24"/>
          <w:szCs w:val="24"/>
        </w:rPr>
        <w:t xml:space="preserve"> above</w:t>
      </w:r>
      <w:r w:rsidR="00C1182B">
        <w:rPr>
          <w:rFonts w:ascii="Arial" w:hAnsi="Arial" w:cs="Arial"/>
          <w:sz w:val="24"/>
          <w:szCs w:val="24"/>
        </w:rPr>
        <w:t xml:space="preserve"> should</w:t>
      </w:r>
      <w:r>
        <w:rPr>
          <w:rFonts w:ascii="Arial" w:hAnsi="Arial" w:cs="Arial"/>
          <w:sz w:val="24"/>
          <w:szCs w:val="24"/>
        </w:rPr>
        <w:t xml:space="preserve"> only</w:t>
      </w:r>
      <w:r w:rsidR="0074660C">
        <w:rPr>
          <w:rFonts w:ascii="Arial" w:hAnsi="Arial" w:cs="Arial"/>
          <w:sz w:val="24"/>
          <w:szCs w:val="24"/>
        </w:rPr>
        <w:t xml:space="preserve"> apply to pass-through clauses</w:t>
      </w:r>
      <w:r w:rsidR="00C11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should not be applicable if a </w:t>
      </w:r>
      <w:r w:rsidR="00090FFC">
        <w:rPr>
          <w:rFonts w:ascii="Arial" w:hAnsi="Arial" w:cs="Arial"/>
          <w:sz w:val="24"/>
          <w:szCs w:val="24"/>
        </w:rPr>
        <w:t>CRES</w:t>
      </w:r>
      <w:r w:rsidR="00D32876">
        <w:rPr>
          <w:rFonts w:ascii="Arial" w:hAnsi="Arial" w:cs="Arial"/>
          <w:sz w:val="24"/>
          <w:szCs w:val="24"/>
        </w:rPr>
        <w:t xml:space="preserve"> provider</w:t>
      </w:r>
      <w:r w:rsidR="0074660C">
        <w:rPr>
          <w:rFonts w:ascii="Arial" w:hAnsi="Arial" w:cs="Arial"/>
          <w:sz w:val="24"/>
          <w:szCs w:val="24"/>
        </w:rPr>
        <w:t xml:space="preserve"> offers a fixed </w:t>
      </w:r>
      <w:r>
        <w:rPr>
          <w:rFonts w:ascii="Arial" w:hAnsi="Arial" w:cs="Arial"/>
          <w:sz w:val="24"/>
          <w:szCs w:val="24"/>
        </w:rPr>
        <w:t>price</w:t>
      </w:r>
      <w:r w:rsidR="00090FFC">
        <w:rPr>
          <w:rFonts w:ascii="Arial" w:hAnsi="Arial" w:cs="Arial"/>
          <w:sz w:val="24"/>
          <w:szCs w:val="24"/>
        </w:rPr>
        <w:t xml:space="preserve"> but does not</w:t>
      </w:r>
      <w:r w:rsidR="00C1182B">
        <w:rPr>
          <w:rFonts w:ascii="Arial" w:hAnsi="Arial" w:cs="Arial"/>
          <w:sz w:val="24"/>
          <w:szCs w:val="24"/>
        </w:rPr>
        <w:t xml:space="preserve"> </w:t>
      </w:r>
      <w:r w:rsidR="00090FFC">
        <w:rPr>
          <w:rFonts w:ascii="Arial" w:hAnsi="Arial" w:cs="Arial"/>
          <w:sz w:val="24"/>
          <w:szCs w:val="24"/>
        </w:rPr>
        <w:t>reserve the right to pass through charges to the customers</w:t>
      </w:r>
      <w:r w:rsidR="00C1182B">
        <w:rPr>
          <w:rFonts w:ascii="Arial" w:hAnsi="Arial" w:cs="Arial"/>
          <w:sz w:val="24"/>
          <w:szCs w:val="24"/>
        </w:rPr>
        <w:t xml:space="preserve">.  </w:t>
      </w:r>
      <w:r w:rsidR="00090FFC">
        <w:rPr>
          <w:rFonts w:ascii="Arial" w:hAnsi="Arial" w:cs="Arial"/>
          <w:sz w:val="24"/>
          <w:szCs w:val="24"/>
        </w:rPr>
        <w:t>Further</w:t>
      </w:r>
      <w:r w:rsidR="00C1182B">
        <w:rPr>
          <w:rFonts w:ascii="Arial" w:hAnsi="Arial" w:cs="Arial"/>
          <w:sz w:val="24"/>
          <w:szCs w:val="24"/>
        </w:rPr>
        <w:t xml:space="preserve">, the Commission should </w:t>
      </w:r>
      <w:r w:rsidR="00811017" w:rsidRPr="00E241BC">
        <w:rPr>
          <w:rFonts w:ascii="Arial" w:hAnsi="Arial" w:cs="Arial"/>
          <w:sz w:val="24"/>
          <w:szCs w:val="24"/>
        </w:rPr>
        <w:t>distinguish between a pass-through clause and a regulatory out/force majeure clause which wou</w:t>
      </w:r>
      <w:r w:rsidR="00E241BC">
        <w:rPr>
          <w:rFonts w:ascii="Arial" w:hAnsi="Arial" w:cs="Arial"/>
          <w:sz w:val="24"/>
          <w:szCs w:val="24"/>
        </w:rPr>
        <w:t>ld allow a provider to terminate a contract</w:t>
      </w:r>
      <w:r w:rsidR="00090FFC">
        <w:rPr>
          <w:rFonts w:ascii="Arial" w:hAnsi="Arial" w:cs="Arial"/>
          <w:sz w:val="24"/>
          <w:szCs w:val="24"/>
        </w:rPr>
        <w:t>, but not pass on charges to customers</w:t>
      </w:r>
      <w:r w:rsidR="00E241BC">
        <w:rPr>
          <w:rFonts w:ascii="Arial" w:hAnsi="Arial" w:cs="Arial"/>
          <w:sz w:val="24"/>
          <w:szCs w:val="24"/>
        </w:rPr>
        <w:t>.</w:t>
      </w:r>
      <w:r w:rsidR="00090FFC">
        <w:rPr>
          <w:rFonts w:ascii="Arial" w:hAnsi="Arial" w:cs="Arial"/>
          <w:sz w:val="24"/>
          <w:szCs w:val="24"/>
        </w:rPr>
        <w:t xml:space="preserve"> </w:t>
      </w:r>
      <w:r w:rsidR="0074660C">
        <w:rPr>
          <w:rFonts w:ascii="Arial" w:hAnsi="Arial" w:cs="Arial"/>
          <w:sz w:val="24"/>
          <w:szCs w:val="24"/>
        </w:rPr>
        <w:t xml:space="preserve"> </w:t>
      </w:r>
      <w:r w:rsidR="00090FFC">
        <w:rPr>
          <w:rFonts w:ascii="Arial" w:hAnsi="Arial" w:cs="Arial"/>
          <w:sz w:val="24"/>
          <w:szCs w:val="24"/>
        </w:rPr>
        <w:t xml:space="preserve">Regulatory out or </w:t>
      </w:r>
      <w:r w:rsidR="00090FFC" w:rsidRPr="00E241BC">
        <w:rPr>
          <w:rFonts w:ascii="Arial" w:hAnsi="Arial" w:cs="Arial"/>
          <w:sz w:val="24"/>
          <w:szCs w:val="24"/>
        </w:rPr>
        <w:t>force majeure clause</w:t>
      </w:r>
      <w:r w:rsidR="00090FFC">
        <w:rPr>
          <w:rFonts w:ascii="Arial" w:hAnsi="Arial" w:cs="Arial"/>
          <w:sz w:val="24"/>
          <w:szCs w:val="24"/>
        </w:rPr>
        <w:t xml:space="preserve"> should not trigger the above disclosure requirements.</w:t>
      </w:r>
    </w:p>
    <w:p w14:paraId="59AC6FE2" w14:textId="0C82064A" w:rsidR="00811017" w:rsidRPr="00C1182B" w:rsidRDefault="00E241BC" w:rsidP="005979C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RESPONSES TO COMMISSION QUESTIONS</w:t>
      </w:r>
    </w:p>
    <w:p w14:paraId="474D28C3" w14:textId="77777777" w:rsidR="00811017" w:rsidRDefault="00811017" w:rsidP="00EB25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41A9E" w14:textId="592A8F81" w:rsidR="000D081C" w:rsidRDefault="00EB25ED" w:rsidP="00D51E5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 xml:space="preserve">Is it unfair, misleading, deceptive, or unconscionable to market or label a contract as fixed-rate when it contains a pass-through clause in its terms and conditions? If so, should the labeling of a contract containing a pass-through clause as a fixed-rate contract </w:t>
      </w:r>
      <w:proofErr w:type="gramStart"/>
      <w:r w:rsidRPr="00E241BC">
        <w:rPr>
          <w:rFonts w:ascii="Arial" w:hAnsi="Arial" w:cs="Arial"/>
          <w:b/>
          <w:sz w:val="24"/>
          <w:szCs w:val="24"/>
        </w:rPr>
        <w:t>be</w:t>
      </w:r>
      <w:proofErr w:type="gramEnd"/>
      <w:r w:rsidRPr="00E241BC">
        <w:rPr>
          <w:rFonts w:ascii="Arial" w:hAnsi="Arial" w:cs="Arial"/>
          <w:b/>
          <w:sz w:val="24"/>
          <w:szCs w:val="24"/>
        </w:rPr>
        <w:t xml:space="preserve"> prohibited in all CRES contracts; resident</w:t>
      </w:r>
      <w:r w:rsidR="000D081C">
        <w:rPr>
          <w:rFonts w:ascii="Arial" w:hAnsi="Arial" w:cs="Arial"/>
          <w:b/>
          <w:sz w:val="24"/>
          <w:szCs w:val="24"/>
        </w:rPr>
        <w:t>ial and small comm</w:t>
      </w:r>
      <w:r w:rsidRPr="00E241BC">
        <w:rPr>
          <w:rFonts w:ascii="Arial" w:hAnsi="Arial" w:cs="Arial"/>
          <w:b/>
          <w:sz w:val="24"/>
          <w:szCs w:val="24"/>
        </w:rPr>
        <w:t>ercial contracts; or only residential contracts?</w:t>
      </w:r>
    </w:p>
    <w:p w14:paraId="50D01F3B" w14:textId="77777777" w:rsidR="00D51E58" w:rsidRPr="00D51E58" w:rsidRDefault="00D51E58" w:rsidP="00D51E5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2E0D15A6" w14:textId="5065C3B1" w:rsidR="00EB25ED" w:rsidRPr="00C1182B" w:rsidRDefault="004E3853" w:rsidP="00C1182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discussed above, it is not necessary to prohibit the inclusion of pass-through clauses in fixed-rate contracts.  That being said, it is important that any material offer/advertisement to a residential customer for a fixed-rate contract must conspicuously and clearly disclose the presence </w:t>
      </w:r>
      <w:r w:rsidR="00186BB9">
        <w:rPr>
          <w:rFonts w:ascii="Arial" w:hAnsi="Arial" w:cs="Arial"/>
          <w:sz w:val="24"/>
          <w:szCs w:val="24"/>
        </w:rPr>
        <w:t xml:space="preserve">and nature </w:t>
      </w:r>
      <w:r>
        <w:rPr>
          <w:rFonts w:ascii="Arial" w:hAnsi="Arial" w:cs="Arial"/>
          <w:sz w:val="24"/>
          <w:szCs w:val="24"/>
        </w:rPr>
        <w:t>of a pass-through clause</w:t>
      </w:r>
      <w:r w:rsidR="00186BB9">
        <w:rPr>
          <w:rFonts w:ascii="Arial" w:hAnsi="Arial" w:cs="Arial"/>
          <w:sz w:val="24"/>
          <w:szCs w:val="24"/>
        </w:rPr>
        <w:t xml:space="preserve"> and </w:t>
      </w:r>
      <w:r w:rsidR="00186BB9" w:rsidRPr="00E241BC">
        <w:rPr>
          <w:rFonts w:ascii="Arial" w:hAnsi="Arial" w:cs="Arial"/>
          <w:sz w:val="24"/>
          <w:szCs w:val="24"/>
        </w:rPr>
        <w:t>the events that would trigger the pass-through</w:t>
      </w:r>
      <w:r>
        <w:rPr>
          <w:rFonts w:ascii="Arial" w:hAnsi="Arial" w:cs="Arial"/>
          <w:sz w:val="24"/>
          <w:szCs w:val="24"/>
        </w:rPr>
        <w:t>.</w:t>
      </w:r>
      <w:r w:rsidR="00186BB9">
        <w:rPr>
          <w:rFonts w:ascii="Arial" w:hAnsi="Arial" w:cs="Arial"/>
          <w:sz w:val="24"/>
          <w:szCs w:val="24"/>
        </w:rPr>
        <w:t xml:space="preserve">  Because</w:t>
      </w:r>
      <w:r>
        <w:rPr>
          <w:rFonts w:ascii="Arial" w:hAnsi="Arial" w:cs="Arial"/>
          <w:sz w:val="24"/>
          <w:szCs w:val="24"/>
        </w:rPr>
        <w:t xml:space="preserve"> commercial and industrial customers</w:t>
      </w:r>
      <w:r w:rsidR="00186BB9">
        <w:rPr>
          <w:rFonts w:ascii="Arial" w:hAnsi="Arial" w:cs="Arial"/>
          <w:sz w:val="24"/>
          <w:szCs w:val="24"/>
        </w:rPr>
        <w:t xml:space="preserve"> are typically more</w:t>
      </w:r>
      <w:r>
        <w:rPr>
          <w:rFonts w:ascii="Arial" w:hAnsi="Arial" w:cs="Arial"/>
          <w:sz w:val="24"/>
          <w:szCs w:val="24"/>
        </w:rPr>
        <w:t xml:space="preserve"> sophisticated with energy procurement matters,</w:t>
      </w:r>
      <w:r w:rsidR="00186BB9">
        <w:rPr>
          <w:rFonts w:ascii="Arial" w:hAnsi="Arial" w:cs="Arial"/>
          <w:sz w:val="24"/>
          <w:szCs w:val="24"/>
        </w:rPr>
        <w:t xml:space="preserve"> IGS recommends that any contract with commercial/industrial customers </w:t>
      </w:r>
      <w:r w:rsidR="00186BB9" w:rsidRPr="00E241BC">
        <w:rPr>
          <w:rFonts w:ascii="Arial" w:hAnsi="Arial" w:cs="Arial"/>
          <w:sz w:val="24"/>
          <w:szCs w:val="24"/>
        </w:rPr>
        <w:t>disclose th</w:t>
      </w:r>
      <w:r w:rsidR="00186BB9">
        <w:rPr>
          <w:rFonts w:ascii="Arial" w:hAnsi="Arial" w:cs="Arial"/>
          <w:sz w:val="24"/>
          <w:szCs w:val="24"/>
        </w:rPr>
        <w:t xml:space="preserve">e nature </w:t>
      </w:r>
      <w:r w:rsidR="001944CE">
        <w:rPr>
          <w:rFonts w:ascii="Arial" w:hAnsi="Arial" w:cs="Arial"/>
          <w:sz w:val="24"/>
          <w:szCs w:val="24"/>
        </w:rPr>
        <w:t xml:space="preserve">of </w:t>
      </w:r>
      <w:r w:rsidR="00186BB9">
        <w:rPr>
          <w:rFonts w:ascii="Arial" w:hAnsi="Arial" w:cs="Arial"/>
          <w:sz w:val="24"/>
          <w:szCs w:val="24"/>
        </w:rPr>
        <w:t>the</w:t>
      </w:r>
      <w:r w:rsidR="00186BB9" w:rsidRPr="00E241BC">
        <w:rPr>
          <w:rFonts w:ascii="Arial" w:hAnsi="Arial" w:cs="Arial"/>
          <w:sz w:val="24"/>
          <w:szCs w:val="24"/>
        </w:rPr>
        <w:t xml:space="preserve"> pass-through and the events that would trigger the pass-through</w:t>
      </w:r>
      <w:r w:rsidR="00090FFC">
        <w:rPr>
          <w:rFonts w:ascii="Arial" w:hAnsi="Arial" w:cs="Arial"/>
          <w:sz w:val="24"/>
          <w:szCs w:val="24"/>
        </w:rPr>
        <w:t xml:space="preserve">, with acknowledgement of such clause through </w:t>
      </w:r>
      <w:proofErr w:type="gramStart"/>
      <w:r w:rsidR="00090FFC">
        <w:rPr>
          <w:rFonts w:ascii="Arial" w:hAnsi="Arial" w:cs="Arial"/>
          <w:sz w:val="24"/>
          <w:szCs w:val="24"/>
        </w:rPr>
        <w:t>a line</w:t>
      </w:r>
      <w:proofErr w:type="gramEnd"/>
      <w:r w:rsidR="00090FFC">
        <w:rPr>
          <w:rFonts w:ascii="Arial" w:hAnsi="Arial" w:cs="Arial"/>
          <w:sz w:val="24"/>
          <w:szCs w:val="24"/>
        </w:rPr>
        <w:t>-item initial or recorded voice verification</w:t>
      </w:r>
      <w:r w:rsidR="00186B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3545C0" w14:textId="717EE5B0" w:rsidR="00EB25ED" w:rsidRDefault="00EB25ED" w:rsidP="00186B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May a CRES supplier include a pass-through clause in a fixed-rate contract that serves to collect a regional transmission organization (RTO) charge? Is such a practice unfair,</w:t>
      </w:r>
      <w:r w:rsidR="00E241BC">
        <w:rPr>
          <w:rFonts w:ascii="Arial" w:hAnsi="Arial" w:cs="Arial"/>
          <w:b/>
          <w:sz w:val="24"/>
          <w:szCs w:val="24"/>
        </w:rPr>
        <w:t xml:space="preserve"> </w:t>
      </w:r>
      <w:r w:rsidRPr="00E241BC">
        <w:rPr>
          <w:rFonts w:ascii="Arial" w:hAnsi="Arial" w:cs="Arial"/>
          <w:b/>
          <w:sz w:val="24"/>
          <w:szCs w:val="24"/>
        </w:rPr>
        <w:t>misleading, deceptive, or unconscionable?</w:t>
      </w:r>
    </w:p>
    <w:p w14:paraId="6EBF3AE3" w14:textId="77777777" w:rsidR="00186BB9" w:rsidRDefault="00186BB9" w:rsidP="00186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7C63D" w14:textId="6B113663" w:rsidR="00EB25ED" w:rsidRPr="00186BB9" w:rsidRDefault="00186BB9" w:rsidP="00186BB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discussed above, yes, but only if the pass-through clause is clearly disclosed in a manner befitting the customer’s class</w:t>
      </w:r>
      <w:r w:rsidR="00090FFC">
        <w:rPr>
          <w:rFonts w:ascii="Arial" w:hAnsi="Arial" w:cs="Arial"/>
          <w:sz w:val="24"/>
          <w:szCs w:val="24"/>
        </w:rPr>
        <w:t xml:space="preserve"> as already discussed herein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7045227" w14:textId="2BD83A97" w:rsidR="00EB25ED" w:rsidRDefault="00EB25ED" w:rsidP="00186B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May increased costs imposed by an RTO and billed to CRES suppliers be categorized as a pass-through event that may be billed to customers in addition to the basic service price pursuant to fixed-price CRES contracts? Is such a practice unfair, misleading, deceptive, or unconscionable?</w:t>
      </w:r>
    </w:p>
    <w:p w14:paraId="1382FA3D" w14:textId="77777777" w:rsidR="00186BB9" w:rsidRDefault="00186BB9" w:rsidP="00186B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D07BA3" w14:textId="4F182D6D" w:rsidR="00EB25ED" w:rsidRPr="00C1182B" w:rsidRDefault="00186BB9" w:rsidP="00C1182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Yes</w:t>
      </w:r>
      <w:r w:rsidR="0074660C">
        <w:rPr>
          <w:rFonts w:ascii="Arial" w:hAnsi="Arial" w:cs="Arial"/>
          <w:sz w:val="24"/>
          <w:szCs w:val="24"/>
        </w:rPr>
        <w:t>,</w:t>
      </w:r>
      <w:r w:rsidR="00090FFC">
        <w:rPr>
          <w:rFonts w:ascii="Arial" w:hAnsi="Arial" w:cs="Arial"/>
          <w:sz w:val="24"/>
          <w:szCs w:val="24"/>
        </w:rPr>
        <w:t xml:space="preserve"> </w:t>
      </w:r>
      <w:r w:rsidR="004F49DA">
        <w:rPr>
          <w:rFonts w:ascii="Arial" w:hAnsi="Arial" w:cs="Arial"/>
          <w:sz w:val="24"/>
          <w:szCs w:val="24"/>
        </w:rPr>
        <w:t xml:space="preserve">a </w:t>
      </w:r>
      <w:r w:rsidR="00090FFC">
        <w:rPr>
          <w:rFonts w:ascii="Arial" w:hAnsi="Arial" w:cs="Arial"/>
          <w:sz w:val="24"/>
          <w:szCs w:val="24"/>
        </w:rPr>
        <w:t>CRES should be allowed to pass on these charges</w:t>
      </w:r>
      <w:r>
        <w:rPr>
          <w:rFonts w:ascii="Arial" w:hAnsi="Arial" w:cs="Arial"/>
          <w:sz w:val="24"/>
          <w:szCs w:val="24"/>
        </w:rPr>
        <w:t>, but only if the pass-through clause is clearly disclosed in a manner befitting the customer’s class</w:t>
      </w:r>
      <w:r w:rsidR="00090FFC">
        <w:rPr>
          <w:rFonts w:ascii="Arial" w:hAnsi="Arial" w:cs="Arial"/>
          <w:sz w:val="24"/>
          <w:szCs w:val="24"/>
        </w:rPr>
        <w:t>, as already discussed herein.</w:t>
      </w:r>
    </w:p>
    <w:p w14:paraId="46D95362" w14:textId="3C8CBB78" w:rsidR="00186BB9" w:rsidRDefault="00EB25ED" w:rsidP="00D328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If increased costs imposed by an RTO and billed to CRES suppliers may be categorized as a pass-through event that may be billed to customers with fixed-price CRES contracts, what types of pass-through events should invoke the application of the pass-through clause by a CRES supplier?</w:t>
      </w:r>
    </w:p>
    <w:p w14:paraId="7E00B36C" w14:textId="77777777" w:rsidR="00186BB9" w:rsidRPr="00186BB9" w:rsidRDefault="00186BB9" w:rsidP="00186B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120AA53E" w14:textId="44E08F4B" w:rsidR="00EB25ED" w:rsidRPr="00186BB9" w:rsidRDefault="00186BB9" w:rsidP="00186BB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Commission should not attempt to regulate the type of costs that may be subject to a pass-through clause—rather, the focus should </w:t>
      </w:r>
      <w:r w:rsidR="00262CB9">
        <w:rPr>
          <w:rFonts w:ascii="Arial" w:hAnsi="Arial" w:cs="Arial"/>
          <w:sz w:val="24"/>
          <w:szCs w:val="24"/>
        </w:rPr>
        <w:t>be on whether the type of cost was adequately disclosed to the customer.  Thus, t</w:t>
      </w:r>
      <w:r>
        <w:rPr>
          <w:rFonts w:ascii="Arial" w:hAnsi="Arial" w:cs="Arial"/>
          <w:sz w:val="24"/>
          <w:szCs w:val="24"/>
        </w:rPr>
        <w:t>he type of event</w:t>
      </w:r>
      <w:r w:rsidR="00D3287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subject to the pass-through should be limited to the type of events that are clearly and conspicuously disclosed to the customer.  With respect to residential customers, it would be limited </w:t>
      </w:r>
      <w:r w:rsidR="001944CE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the types of costs disclosed to the customer in each </w:t>
      </w:r>
      <w:r w:rsidRPr="00186BB9">
        <w:rPr>
          <w:rFonts w:ascii="Arial" w:hAnsi="Arial" w:cs="Arial"/>
          <w:sz w:val="24"/>
          <w:szCs w:val="24"/>
        </w:rPr>
        <w:t>material</w:t>
      </w:r>
      <w:r>
        <w:rPr>
          <w:rFonts w:ascii="Arial" w:hAnsi="Arial" w:cs="Arial"/>
          <w:sz w:val="24"/>
          <w:szCs w:val="24"/>
        </w:rPr>
        <w:t xml:space="preserve"> offer/advertisement.  With respect to commercial/industrial</w:t>
      </w:r>
      <w:r w:rsidR="00D32876">
        <w:rPr>
          <w:rFonts w:ascii="Arial" w:hAnsi="Arial" w:cs="Arial"/>
          <w:sz w:val="24"/>
          <w:szCs w:val="24"/>
        </w:rPr>
        <w:t xml:space="preserve"> customers</w:t>
      </w:r>
      <w:r>
        <w:rPr>
          <w:rFonts w:ascii="Arial" w:hAnsi="Arial" w:cs="Arial"/>
          <w:sz w:val="24"/>
          <w:szCs w:val="24"/>
        </w:rPr>
        <w:t xml:space="preserve">, it would be limited to the types of costs disclosed to the customer in the contract </w:t>
      </w:r>
      <w:r w:rsidR="004F49DA">
        <w:rPr>
          <w:rFonts w:ascii="Arial" w:hAnsi="Arial" w:cs="Arial"/>
          <w:sz w:val="24"/>
          <w:szCs w:val="24"/>
        </w:rPr>
        <w:t>and acknowledged by the customer, as already discussed herein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EAC4896" w14:textId="539D8EFB" w:rsidR="00EB25ED" w:rsidRDefault="00EB25ED" w:rsidP="00D328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Is it unfair, misleading, deceptive, or unconscionable when a CRES provider prominently advertises a fixed price, but the contract also contains a pass-through clause that is significantly less prominent (i.e., is displayed far down in the fine print or on a second page of the terms and conditions)?</w:t>
      </w:r>
    </w:p>
    <w:p w14:paraId="36F63531" w14:textId="77777777" w:rsidR="00186BB9" w:rsidRDefault="00186BB9" w:rsidP="00186B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710051" w14:textId="6C1DF99E" w:rsidR="00EB25ED" w:rsidRPr="00262CB9" w:rsidRDefault="00186BB9" w:rsidP="00262CB9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discussed above, the disclosure of a pass-through clause should be clear and conspicuous.  IGS would not object to requiring the pass-through clause to be included</w:t>
      </w:r>
      <w:r w:rsidR="00262CB9">
        <w:rPr>
          <w:rFonts w:ascii="Arial" w:hAnsi="Arial" w:cs="Arial"/>
          <w:sz w:val="24"/>
          <w:szCs w:val="24"/>
        </w:rPr>
        <w:t xml:space="preserve"> on the front page of the contract/advertise</w:t>
      </w:r>
      <w:r w:rsidR="001944CE">
        <w:rPr>
          <w:rFonts w:ascii="Arial" w:hAnsi="Arial" w:cs="Arial"/>
          <w:sz w:val="24"/>
          <w:szCs w:val="24"/>
        </w:rPr>
        <w:t>ment</w:t>
      </w:r>
      <w:r w:rsidR="00262CB9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in the s</w:t>
      </w:r>
      <w:r w:rsidR="00262CB9">
        <w:rPr>
          <w:rFonts w:ascii="Arial" w:hAnsi="Arial" w:cs="Arial"/>
          <w:sz w:val="24"/>
          <w:szCs w:val="24"/>
        </w:rPr>
        <w:t>ame size font as the contract/</w:t>
      </w:r>
      <w:r>
        <w:rPr>
          <w:rFonts w:ascii="Arial" w:hAnsi="Arial" w:cs="Arial"/>
          <w:sz w:val="24"/>
          <w:szCs w:val="24"/>
        </w:rPr>
        <w:t xml:space="preserve"> advertisement.</w:t>
      </w:r>
    </w:p>
    <w:p w14:paraId="3D71E376" w14:textId="4726DB3E" w:rsidR="00EB25ED" w:rsidRDefault="00EB25ED" w:rsidP="00D328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 xml:space="preserve">Should a pass-through clause that refers to acronyms such as "RTO," "NERC," or "PJM" be required to define these acronyms? If so, should </w:t>
      </w:r>
      <w:r w:rsidRPr="00E241BC">
        <w:rPr>
          <w:rFonts w:ascii="Arial" w:hAnsi="Arial" w:cs="Arial"/>
          <w:b/>
          <w:sz w:val="24"/>
          <w:szCs w:val="24"/>
        </w:rPr>
        <w:lastRenderedPageBreak/>
        <w:t>definitions be required in residential and small commercial contracts, or only residential contracts?</w:t>
      </w:r>
    </w:p>
    <w:p w14:paraId="4BA6B9CC" w14:textId="77777777" w:rsidR="00262CB9" w:rsidRDefault="00262CB9" w:rsidP="00262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65091" w14:textId="54FE1AA8" w:rsidR="00262CB9" w:rsidRPr="00262CB9" w:rsidRDefault="00262CB9" w:rsidP="00262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would not object to requiring that the contract/advertisement define these terms.</w:t>
      </w:r>
      <w:r w:rsidR="001944CE">
        <w:rPr>
          <w:rFonts w:ascii="Arial" w:hAnsi="Arial" w:cs="Arial"/>
          <w:sz w:val="24"/>
          <w:szCs w:val="24"/>
        </w:rPr>
        <w:t xml:space="preserve"> </w:t>
      </w:r>
    </w:p>
    <w:p w14:paraId="2D364F34" w14:textId="77777777" w:rsidR="00EB25ED" w:rsidRPr="00E241BC" w:rsidRDefault="00EB25ED" w:rsidP="00EB25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7893F02" w14:textId="5A91BFE2" w:rsidR="00EB25ED" w:rsidRDefault="00EB25ED" w:rsidP="00D328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Could permitting pass-through clauses in residential and/or small commercial CRES contracts labeled as fixed-rate contracts have an adverse effect on the CRES market?</w:t>
      </w:r>
    </w:p>
    <w:p w14:paraId="362FB860" w14:textId="77777777" w:rsidR="00262CB9" w:rsidRDefault="00262CB9" w:rsidP="00262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59183E" w14:textId="673C0AF3" w:rsidR="00EB25ED" w:rsidRPr="0079537F" w:rsidRDefault="00262CB9" w:rsidP="0079537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Potentially.</w:t>
      </w:r>
      <w:proofErr w:type="gramEnd"/>
      <w:r>
        <w:rPr>
          <w:rFonts w:ascii="Arial" w:hAnsi="Arial" w:cs="Arial"/>
          <w:sz w:val="24"/>
          <w:szCs w:val="24"/>
        </w:rPr>
        <w:t xml:space="preserve">  To the extent that a CRES provider includes an inconspicuous pass-through c</w:t>
      </w:r>
      <w:r w:rsidR="00C1182B">
        <w:rPr>
          <w:rFonts w:ascii="Arial" w:hAnsi="Arial" w:cs="Arial"/>
          <w:sz w:val="24"/>
          <w:szCs w:val="24"/>
        </w:rPr>
        <w:t xml:space="preserve">lause, it may be able to offer lower prices to </w:t>
      </w:r>
      <w:r w:rsidR="001944CE">
        <w:rPr>
          <w:rFonts w:ascii="Arial" w:hAnsi="Arial" w:cs="Arial"/>
          <w:sz w:val="24"/>
          <w:szCs w:val="24"/>
        </w:rPr>
        <w:t xml:space="preserve">unwitting </w:t>
      </w:r>
      <w:r w:rsidR="00C1182B">
        <w:rPr>
          <w:rFonts w:ascii="Arial" w:hAnsi="Arial" w:cs="Arial"/>
          <w:sz w:val="24"/>
          <w:szCs w:val="24"/>
        </w:rPr>
        <w:t xml:space="preserve">customers knowing that it will bear less </w:t>
      </w:r>
      <w:r>
        <w:rPr>
          <w:rFonts w:ascii="Arial" w:hAnsi="Arial" w:cs="Arial"/>
          <w:sz w:val="24"/>
          <w:szCs w:val="24"/>
        </w:rPr>
        <w:t xml:space="preserve">risk, whereas other CRES providers </w:t>
      </w:r>
      <w:r w:rsidR="001944CE">
        <w:rPr>
          <w:rFonts w:ascii="Arial" w:hAnsi="Arial" w:cs="Arial"/>
          <w:sz w:val="24"/>
          <w:szCs w:val="24"/>
        </w:rPr>
        <w:t xml:space="preserve">who elect not to include pass-through clauses must </w:t>
      </w:r>
      <w:r>
        <w:rPr>
          <w:rFonts w:ascii="Arial" w:hAnsi="Arial" w:cs="Arial"/>
          <w:sz w:val="24"/>
          <w:szCs w:val="24"/>
        </w:rPr>
        <w:t>build that risk into their offers.  Additionally, to the extent that a CRES provider invokes a pas</w:t>
      </w:r>
      <w:r w:rsidR="0079537F">
        <w:rPr>
          <w:rFonts w:ascii="Arial" w:hAnsi="Arial" w:cs="Arial"/>
          <w:sz w:val="24"/>
          <w:szCs w:val="24"/>
        </w:rPr>
        <w:t xml:space="preserve">s-through clause and it negatively impacts </w:t>
      </w:r>
      <w:r>
        <w:rPr>
          <w:rFonts w:ascii="Arial" w:hAnsi="Arial" w:cs="Arial"/>
          <w:sz w:val="24"/>
          <w:szCs w:val="24"/>
        </w:rPr>
        <w:t>customers</w:t>
      </w:r>
      <w:r w:rsidR="0079537F">
        <w:rPr>
          <w:rFonts w:ascii="Arial" w:hAnsi="Arial" w:cs="Arial"/>
          <w:sz w:val="24"/>
          <w:szCs w:val="24"/>
        </w:rPr>
        <w:t>’ shopping experience</w:t>
      </w:r>
      <w:r>
        <w:rPr>
          <w:rFonts w:ascii="Arial" w:hAnsi="Arial" w:cs="Arial"/>
          <w:sz w:val="24"/>
          <w:szCs w:val="24"/>
        </w:rPr>
        <w:t xml:space="preserve">, it may produce a negative view of competitive providers </w:t>
      </w:r>
      <w:r w:rsidR="001944CE">
        <w:rPr>
          <w:rFonts w:ascii="Arial" w:hAnsi="Arial" w:cs="Arial"/>
          <w:sz w:val="24"/>
          <w:szCs w:val="24"/>
        </w:rPr>
        <w:t xml:space="preserve">more generally </w:t>
      </w:r>
      <w:r>
        <w:rPr>
          <w:rFonts w:ascii="Arial" w:hAnsi="Arial" w:cs="Arial"/>
          <w:sz w:val="24"/>
          <w:szCs w:val="24"/>
        </w:rPr>
        <w:t>and have a tendency to discourage customers from participating in the competitive market.</w:t>
      </w:r>
    </w:p>
    <w:p w14:paraId="3203FB75" w14:textId="048E704F" w:rsidR="00EB25ED" w:rsidRPr="00E241BC" w:rsidRDefault="00EB25ED" w:rsidP="00D3287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41BC">
        <w:rPr>
          <w:rFonts w:ascii="Arial" w:hAnsi="Arial" w:cs="Arial"/>
          <w:b/>
          <w:sz w:val="24"/>
          <w:szCs w:val="24"/>
        </w:rPr>
        <w:t>What alternative label should be used on a contract with a pass-through clause that has an otherwise fixed rate?</w:t>
      </w:r>
    </w:p>
    <w:p w14:paraId="7315E384" w14:textId="77777777" w:rsidR="00EB25ED" w:rsidRDefault="00EB25ED" w:rsidP="00262C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77BE91" w14:textId="759C5BAE" w:rsidR="00262CB9" w:rsidRPr="00262CB9" w:rsidRDefault="00262CB9" w:rsidP="00262CB9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would not recommend a CRES provider place an alternate label on a contract with a pass-</w:t>
      </w:r>
      <w:r w:rsidR="0079537F">
        <w:rPr>
          <w:rFonts w:ascii="Arial" w:hAnsi="Arial" w:cs="Arial"/>
          <w:sz w:val="24"/>
          <w:szCs w:val="24"/>
        </w:rPr>
        <w:t xml:space="preserve">through </w:t>
      </w:r>
      <w:r>
        <w:rPr>
          <w:rFonts w:ascii="Arial" w:hAnsi="Arial" w:cs="Arial"/>
          <w:sz w:val="24"/>
          <w:szCs w:val="24"/>
        </w:rPr>
        <w:t>clause.</w:t>
      </w:r>
      <w:r w:rsidR="0079537F">
        <w:rPr>
          <w:rFonts w:ascii="Arial" w:hAnsi="Arial" w:cs="Arial"/>
          <w:sz w:val="24"/>
          <w:szCs w:val="24"/>
        </w:rPr>
        <w:t xml:space="preserve">  Rather than using a different label, any pass-through clause should be clearly and conspicuously disclosed</w:t>
      </w:r>
      <w:r w:rsidR="001944CE">
        <w:rPr>
          <w:rFonts w:ascii="Arial" w:hAnsi="Arial" w:cs="Arial"/>
          <w:sz w:val="24"/>
          <w:szCs w:val="24"/>
        </w:rPr>
        <w:t xml:space="preserve"> and the inherent nature of the product should be fairly and accurately described in marke</w:t>
      </w:r>
      <w:r w:rsidR="007929CE">
        <w:rPr>
          <w:rFonts w:ascii="Arial" w:hAnsi="Arial" w:cs="Arial"/>
          <w:sz w:val="24"/>
          <w:szCs w:val="24"/>
        </w:rPr>
        <w:t>ting and solicitation materials</w:t>
      </w:r>
      <w:r w:rsidR="0079537F">
        <w:rPr>
          <w:rFonts w:ascii="Arial" w:hAnsi="Arial" w:cs="Arial"/>
          <w:sz w:val="24"/>
          <w:szCs w:val="24"/>
        </w:rPr>
        <w:t>.</w:t>
      </w:r>
    </w:p>
    <w:p w14:paraId="69093D0B" w14:textId="10AB9B64" w:rsidR="00262CB9" w:rsidRDefault="004B612B" w:rsidP="005979C5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CONCLUSION</w:t>
      </w:r>
    </w:p>
    <w:p w14:paraId="73435C49" w14:textId="77777777" w:rsidR="004B612B" w:rsidRDefault="004B612B" w:rsidP="00262C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1BAE4" w14:textId="39C77C6B" w:rsidR="004B612B" w:rsidRPr="004B612B" w:rsidRDefault="004B612B" w:rsidP="004B612B">
      <w:pPr>
        <w:spacing w:after="0"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appreciates the opportunity to file comments in this proceeding.  Consumer protection is an important goal.  But it is important to keep in mind that the Commission</w:t>
      </w:r>
      <w:r w:rsidRPr="00EF0EF9">
        <w:rPr>
          <w:rFonts w:ascii="Arial" w:hAnsi="Arial" w:cs="Arial"/>
          <w:sz w:val="24"/>
          <w:szCs w:val="24"/>
        </w:rPr>
        <w:t xml:space="preserve"> cannot regulate prices</w:t>
      </w:r>
      <w:r>
        <w:rPr>
          <w:rFonts w:ascii="Arial" w:hAnsi="Arial" w:cs="Arial"/>
          <w:sz w:val="24"/>
          <w:szCs w:val="24"/>
        </w:rPr>
        <w:t xml:space="preserve"> offered by CRES providers</w:t>
      </w:r>
      <w:r w:rsidRPr="00EF0EF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Accordingly,</w:t>
      </w:r>
      <w:r w:rsidR="005979C5">
        <w:rPr>
          <w:rFonts w:ascii="Arial" w:hAnsi="Arial" w:cs="Arial"/>
          <w:sz w:val="24"/>
          <w:szCs w:val="24"/>
        </w:rPr>
        <w:t xml:space="preserve"> and as discussed </w:t>
      </w:r>
      <w:r w:rsidR="005979C5">
        <w:rPr>
          <w:rFonts w:ascii="Arial" w:hAnsi="Arial" w:cs="Arial"/>
          <w:sz w:val="24"/>
          <w:szCs w:val="24"/>
        </w:rPr>
        <w:lastRenderedPageBreak/>
        <w:t>herein,</w:t>
      </w:r>
      <w:r>
        <w:rPr>
          <w:rFonts w:ascii="Arial" w:hAnsi="Arial" w:cs="Arial"/>
          <w:sz w:val="24"/>
          <w:szCs w:val="24"/>
        </w:rPr>
        <w:t xml:space="preserve"> rather than limiting the type of products a CRES provider can </w:t>
      </w:r>
      <w:r w:rsidR="005979C5">
        <w:rPr>
          <w:rFonts w:ascii="Arial" w:hAnsi="Arial" w:cs="Arial"/>
          <w:sz w:val="24"/>
          <w:szCs w:val="24"/>
        </w:rPr>
        <w:t xml:space="preserve">offer to customers, IGS recommends </w:t>
      </w:r>
      <w:r>
        <w:rPr>
          <w:rFonts w:ascii="Arial" w:hAnsi="Arial" w:cs="Arial"/>
          <w:sz w:val="24"/>
          <w:szCs w:val="24"/>
        </w:rPr>
        <w:t xml:space="preserve">that the Commission focus on </w:t>
      </w:r>
      <w:r w:rsidR="008A6E7A">
        <w:rPr>
          <w:rFonts w:ascii="Arial" w:hAnsi="Arial" w:cs="Arial"/>
          <w:sz w:val="24"/>
          <w:szCs w:val="24"/>
        </w:rPr>
        <w:t>the manner, clarity, and effectiveness of disclosures communicating the existence of pass-through clauses and the consequent ramifications of their implementation.</w:t>
      </w:r>
    </w:p>
    <w:p w14:paraId="5F41593C" w14:textId="77777777" w:rsidR="00262CB9" w:rsidRDefault="00262CB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2" w14:textId="77777777" w:rsidR="00545F29" w:rsidRDefault="00545F29" w:rsidP="005979C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D4" w14:textId="34528572" w:rsidR="00F10F9B" w:rsidRDefault="00F5720A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BC0634">
        <w:rPr>
          <w:rFonts w:ascii="Arial" w:eastAsia="Arial" w:hAnsi="Arial" w:cs="Arial"/>
          <w:i/>
          <w:sz w:val="24"/>
          <w:szCs w:val="24"/>
          <w:u w:val="single"/>
        </w:rPr>
        <w:t>Joseph Oliker_____</w:t>
      </w:r>
    </w:p>
    <w:p w14:paraId="0181F1A6" w14:textId="584ED71F" w:rsidR="00F5720A" w:rsidRDefault="00F5720A">
      <w:pPr>
        <w:spacing w:after="0" w:line="240" w:lineRule="auto"/>
        <w:ind w:left="5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Joseph Oliker</w:t>
      </w:r>
    </w:p>
    <w:p w14:paraId="4878AB42" w14:textId="5D55136F" w:rsidR="00F5720A" w:rsidRDefault="00F5720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Counsel of Record </w:t>
      </w:r>
    </w:p>
    <w:p w14:paraId="7176D2D6" w14:textId="54340D04" w:rsidR="00545F29" w:rsidRDefault="00F5720A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joliker</w:t>
      </w:r>
      <w:r w:rsidR="0056270F">
        <w:rPr>
          <w:rFonts w:ascii="Arial" w:hAnsi="Arial" w:cs="Arial"/>
          <w:sz w:val="24"/>
          <w:szCs w:val="24"/>
        </w:rPr>
        <w:t>@igsenergy.com</w:t>
      </w:r>
    </w:p>
    <w:p w14:paraId="7176D2D8" w14:textId="4A669D18" w:rsidR="002F05DC" w:rsidRDefault="0056270F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White (0082859)</w:t>
      </w:r>
    </w:p>
    <w:p w14:paraId="7176D2D9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mswhite@igsenergy.com</w:t>
      </w:r>
    </w:p>
    <w:p w14:paraId="7176D2DA" w14:textId="1CA4132A" w:rsidR="00545F29" w:rsidRDefault="0069671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2DB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2DC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2DD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2DE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2DF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E1" w14:textId="048FDAAE" w:rsidR="00545F29" w:rsidRPr="00D32876" w:rsidRDefault="0056270F" w:rsidP="00D32876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Attorneys for </w:t>
      </w:r>
      <w:r w:rsidR="00D32876">
        <w:rPr>
          <w:rFonts w:ascii="Arial" w:hAnsi="Arial" w:cs="Arial"/>
          <w:b/>
          <w:i/>
          <w:sz w:val="24"/>
          <w:szCs w:val="24"/>
        </w:rPr>
        <w:t>IGS Energy</w:t>
      </w:r>
    </w:p>
    <w:p w14:paraId="7176D2E2" w14:textId="77777777" w:rsidR="00545F29" w:rsidRDefault="0056270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51DB0DB9" w:rsidR="00545F29" w:rsidRPr="009D71F6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="00957E0A">
        <w:rPr>
          <w:rFonts w:ascii="Arial" w:eastAsia="Calibri" w:hAnsi="Arial" w:cs="Arial"/>
          <w:i/>
          <w:sz w:val="24"/>
          <w:szCs w:val="24"/>
        </w:rPr>
        <w:t xml:space="preserve">Comments of IGS Energy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957E0A">
        <w:rPr>
          <w:rFonts w:ascii="Arial" w:eastAsia="Calibri" w:hAnsi="Arial" w:cs="Arial"/>
          <w:sz w:val="24"/>
          <w:szCs w:val="24"/>
        </w:rPr>
        <w:t>9th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957E0A">
        <w:rPr>
          <w:rFonts w:ascii="Arial" w:eastAsia="Calibri" w:hAnsi="Arial" w:cs="Arial"/>
          <w:sz w:val="24"/>
          <w:szCs w:val="24"/>
        </w:rPr>
        <w:t>May</w:t>
      </w:r>
      <w:r w:rsidR="00A71E20">
        <w:rPr>
          <w:rFonts w:ascii="Arial" w:eastAsia="Calibri" w:hAnsi="Arial" w:cs="Arial"/>
          <w:sz w:val="24"/>
          <w:szCs w:val="24"/>
        </w:rPr>
        <w:t xml:space="preserve"> 2014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176D30D" w14:textId="77777777" w:rsidR="00545F29" w:rsidRPr="009D71F6" w:rsidRDefault="00545F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76D30E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0F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10" w14:textId="355A54D8" w:rsidR="009D71F6" w:rsidRPr="009D71F6" w:rsidRDefault="009D71F6" w:rsidP="00957E0A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D71F6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79537F">
        <w:rPr>
          <w:rFonts w:ascii="Arial" w:eastAsia="Arial" w:hAnsi="Arial" w:cs="Arial"/>
          <w:i/>
          <w:sz w:val="24"/>
          <w:szCs w:val="24"/>
          <w:u w:val="single"/>
        </w:rPr>
        <w:t>Joseph Oliker</w:t>
      </w:r>
      <w:r w:rsidR="00D32876">
        <w:rPr>
          <w:rFonts w:ascii="Arial" w:eastAsia="Arial" w:hAnsi="Arial" w:cs="Arial"/>
          <w:i/>
          <w:sz w:val="24"/>
          <w:szCs w:val="24"/>
          <w:u w:val="single"/>
        </w:rPr>
        <w:t>______</w:t>
      </w:r>
    </w:p>
    <w:p w14:paraId="7176D311" w14:textId="6CE8AE8D" w:rsidR="00FE2DE0" w:rsidRPr="009D71F6" w:rsidRDefault="0079537F" w:rsidP="00957E0A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7176D312" w14:textId="77777777" w:rsidR="00545F29" w:rsidRPr="00F15484" w:rsidRDefault="00545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8661B" w14:textId="0621E4D6" w:rsidR="00957E0A" w:rsidRPr="00F15484" w:rsidRDefault="00957E0A" w:rsidP="00957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5484">
        <w:rPr>
          <w:rFonts w:ascii="Arial" w:hAnsi="Arial" w:cs="Arial"/>
          <w:sz w:val="24"/>
          <w:szCs w:val="24"/>
        </w:rPr>
        <w:t>dboehm@BKL1awfirm.com</w:t>
      </w:r>
    </w:p>
    <w:p w14:paraId="22B1CE69" w14:textId="5D54892F" w:rsidR="00957E0A" w:rsidRPr="00F15484" w:rsidRDefault="00957E0A" w:rsidP="00957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5484">
        <w:rPr>
          <w:rFonts w:ascii="Arial" w:hAnsi="Arial" w:cs="Arial"/>
          <w:sz w:val="24"/>
          <w:szCs w:val="24"/>
        </w:rPr>
        <w:t>mkurtz@BKLlawfirm.com</w:t>
      </w:r>
    </w:p>
    <w:p w14:paraId="7176D329" w14:textId="67E4EE4D" w:rsidR="00545F29" w:rsidRPr="00D32876" w:rsidRDefault="00957E0A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876">
        <w:rPr>
          <w:rFonts w:ascii="Arial" w:hAnsi="Arial" w:cs="Arial"/>
          <w:sz w:val="24"/>
          <w:szCs w:val="24"/>
        </w:rPr>
        <w:t>jkylercohn@BKLlawfirm.com</w:t>
      </w:r>
    </w:p>
    <w:p w14:paraId="5496E473" w14:textId="59FF91D6" w:rsidR="00957E0A" w:rsidRPr="00D32876" w:rsidRDefault="00807859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957E0A" w:rsidRPr="00D3287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Michael.schuler@occ.ohio.gov</w:t>
        </w:r>
      </w:hyperlink>
    </w:p>
    <w:p w14:paraId="78D88BEA" w14:textId="0FB676B5" w:rsidR="00957E0A" w:rsidRPr="00D32876" w:rsidRDefault="00807859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957E0A" w:rsidRPr="00D3287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kjoseph@napower.com</w:t>
        </w:r>
      </w:hyperlink>
    </w:p>
    <w:p w14:paraId="3C8AAFBC" w14:textId="3DC510C8" w:rsidR="00957E0A" w:rsidRPr="00D32876" w:rsidRDefault="00957E0A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876">
        <w:rPr>
          <w:rFonts w:ascii="Arial" w:hAnsi="Arial" w:cs="Arial"/>
          <w:sz w:val="24"/>
          <w:szCs w:val="24"/>
        </w:rPr>
        <w:t>shopson</w:t>
      </w:r>
      <w:r w:rsidR="00F15484" w:rsidRPr="00D32876">
        <w:rPr>
          <w:rFonts w:ascii="Arial" w:hAnsi="Arial" w:cs="Arial"/>
          <w:sz w:val="24"/>
          <w:szCs w:val="24"/>
        </w:rPr>
        <w:t>@</w:t>
      </w:r>
      <w:r w:rsidRPr="00D32876">
        <w:rPr>
          <w:rFonts w:ascii="Arial" w:hAnsi="Arial" w:cs="Arial"/>
          <w:sz w:val="24"/>
          <w:szCs w:val="24"/>
        </w:rPr>
        <w:t>napower.com</w:t>
      </w:r>
    </w:p>
    <w:p w14:paraId="65F4C53C" w14:textId="4C21AE2F" w:rsidR="00957E0A" w:rsidRPr="00D32876" w:rsidRDefault="00F15484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32876">
        <w:rPr>
          <w:rFonts w:ascii="Arial" w:hAnsi="Arial" w:cs="Arial"/>
          <w:sz w:val="24"/>
          <w:szCs w:val="24"/>
        </w:rPr>
        <w:t>cgelo@</w:t>
      </w:r>
      <w:r w:rsidR="00957E0A" w:rsidRPr="00D32876">
        <w:rPr>
          <w:rFonts w:ascii="Arial" w:hAnsi="Arial" w:cs="Arial"/>
          <w:sz w:val="24"/>
          <w:szCs w:val="24"/>
        </w:rPr>
        <w:t>napower.com</w:t>
      </w:r>
    </w:p>
    <w:p w14:paraId="46A36FE4" w14:textId="603F5B7F" w:rsidR="00957E0A" w:rsidRPr="00D32876" w:rsidRDefault="00807859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5979C5" w:rsidRPr="00D3287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arobinson@napower.com</w:t>
        </w:r>
      </w:hyperlink>
    </w:p>
    <w:p w14:paraId="5AADED76" w14:textId="6B3DD580" w:rsidR="005979C5" w:rsidRPr="00F15484" w:rsidRDefault="0017566F" w:rsidP="00957E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566F">
        <w:rPr>
          <w:rFonts w:ascii="Arial" w:hAnsi="Arial" w:cs="Arial"/>
          <w:sz w:val="24"/>
          <w:szCs w:val="24"/>
        </w:rPr>
        <w:t>cmooney@ohiopartners.org</w:t>
      </w:r>
    </w:p>
    <w:sectPr w:rsidR="005979C5" w:rsidRPr="00F15484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0A51" w14:textId="77777777" w:rsidR="00807859" w:rsidRDefault="00807859">
      <w:pPr>
        <w:spacing w:after="0" w:line="240" w:lineRule="auto"/>
      </w:pPr>
      <w:r>
        <w:separator/>
      </w:r>
    </w:p>
  </w:endnote>
  <w:endnote w:type="continuationSeparator" w:id="0">
    <w:p w14:paraId="42745DB0" w14:textId="77777777" w:rsidR="00807859" w:rsidRDefault="0080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028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AA4FB" w14:textId="645EEDBE" w:rsidR="00262CB9" w:rsidRDefault="00262C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7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26244" w14:textId="77777777" w:rsidR="00807859" w:rsidRDefault="00807859">
      <w:pPr>
        <w:spacing w:after="0" w:line="240" w:lineRule="auto"/>
      </w:pPr>
      <w:r>
        <w:separator/>
      </w:r>
    </w:p>
  </w:footnote>
  <w:footnote w:type="continuationSeparator" w:id="0">
    <w:p w14:paraId="16E53A2C" w14:textId="77777777" w:rsidR="00807859" w:rsidRDefault="00807859">
      <w:pPr>
        <w:spacing w:after="0" w:line="240" w:lineRule="auto"/>
      </w:pPr>
      <w:r>
        <w:continuationSeparator/>
      </w:r>
    </w:p>
  </w:footnote>
  <w:footnote w:id="1">
    <w:p w14:paraId="4BDCC595" w14:textId="60DEAD89" w:rsidR="0074660C" w:rsidRPr="0074660C" w:rsidRDefault="0074660C">
      <w:pPr>
        <w:pStyle w:val="FootnoteText"/>
        <w:rPr>
          <w:rFonts w:ascii="Arial" w:hAnsi="Arial" w:cs="Arial"/>
        </w:rPr>
      </w:pPr>
      <w:r w:rsidRPr="0074660C">
        <w:rPr>
          <w:rStyle w:val="FootnoteReference"/>
          <w:rFonts w:ascii="Arial" w:hAnsi="Arial" w:cs="Arial"/>
        </w:rPr>
        <w:footnoteRef/>
      </w:r>
      <w:r w:rsidRPr="0074660C">
        <w:rPr>
          <w:rFonts w:ascii="Arial" w:hAnsi="Arial" w:cs="Arial"/>
        </w:rPr>
        <w:t xml:space="preserve"> Entry at 1</w:t>
      </w:r>
      <w:r>
        <w:rPr>
          <w:rFonts w:ascii="Arial" w:hAnsi="Arial" w:cs="Arial"/>
        </w:rPr>
        <w:t xml:space="preserve"> (citations removed)</w:t>
      </w:r>
      <w:r w:rsidRPr="0074660C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7F26"/>
    <w:multiLevelType w:val="hybridMultilevel"/>
    <w:tmpl w:val="601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A6939"/>
    <w:multiLevelType w:val="hybridMultilevel"/>
    <w:tmpl w:val="210E9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6D02"/>
    <w:multiLevelType w:val="hybridMultilevel"/>
    <w:tmpl w:val="3490FCCA"/>
    <w:lvl w:ilvl="0" w:tplc="673AB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D650A"/>
    <w:multiLevelType w:val="hybridMultilevel"/>
    <w:tmpl w:val="51F2037A"/>
    <w:lvl w:ilvl="0" w:tplc="23ACC2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223DB8"/>
    <w:multiLevelType w:val="hybridMultilevel"/>
    <w:tmpl w:val="0968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4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9"/>
    <w:rsid w:val="00014322"/>
    <w:rsid w:val="00090FFC"/>
    <w:rsid w:val="000A293C"/>
    <w:rsid w:val="000D081C"/>
    <w:rsid w:val="0017566F"/>
    <w:rsid w:val="00186BB9"/>
    <w:rsid w:val="00187A63"/>
    <w:rsid w:val="001944CE"/>
    <w:rsid w:val="001D1F82"/>
    <w:rsid w:val="00207FF4"/>
    <w:rsid w:val="00231B62"/>
    <w:rsid w:val="00262CB9"/>
    <w:rsid w:val="002F05DC"/>
    <w:rsid w:val="00355B90"/>
    <w:rsid w:val="0037461B"/>
    <w:rsid w:val="00406973"/>
    <w:rsid w:val="00492AD6"/>
    <w:rsid w:val="004B612B"/>
    <w:rsid w:val="004E3853"/>
    <w:rsid w:val="004F49DA"/>
    <w:rsid w:val="00545F29"/>
    <w:rsid w:val="0056270F"/>
    <w:rsid w:val="005979C5"/>
    <w:rsid w:val="00613140"/>
    <w:rsid w:val="0069671F"/>
    <w:rsid w:val="0074660C"/>
    <w:rsid w:val="007929CE"/>
    <w:rsid w:val="0079537F"/>
    <w:rsid w:val="007D2210"/>
    <w:rsid w:val="00807859"/>
    <w:rsid w:val="00811017"/>
    <w:rsid w:val="0088666F"/>
    <w:rsid w:val="008A6E7A"/>
    <w:rsid w:val="008D520B"/>
    <w:rsid w:val="00957E0A"/>
    <w:rsid w:val="0098338B"/>
    <w:rsid w:val="009D71F6"/>
    <w:rsid w:val="009F3431"/>
    <w:rsid w:val="009F6674"/>
    <w:rsid w:val="00A22CF9"/>
    <w:rsid w:val="00A71E20"/>
    <w:rsid w:val="00A76738"/>
    <w:rsid w:val="00A940AD"/>
    <w:rsid w:val="00AD5E1E"/>
    <w:rsid w:val="00AE3F4D"/>
    <w:rsid w:val="00B2355B"/>
    <w:rsid w:val="00B92A76"/>
    <w:rsid w:val="00BC0634"/>
    <w:rsid w:val="00C03C04"/>
    <w:rsid w:val="00C1182B"/>
    <w:rsid w:val="00CA2E72"/>
    <w:rsid w:val="00CA62D0"/>
    <w:rsid w:val="00D32876"/>
    <w:rsid w:val="00D51E58"/>
    <w:rsid w:val="00D57E21"/>
    <w:rsid w:val="00E241BC"/>
    <w:rsid w:val="00EB25ED"/>
    <w:rsid w:val="00EF0EF9"/>
    <w:rsid w:val="00F10F9B"/>
    <w:rsid w:val="00F15484"/>
    <w:rsid w:val="00F25345"/>
    <w:rsid w:val="00F5720A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Michael.schuler@occ.ohio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robinson@napower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kjoseph@napo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ility xmlns="fedb4aab-8a55-4ee1-8a65-7fced8ef9b4a">37</Utility>
    <Case_x0020_Description xmlns="fedb4aab-8a55-4ee1-8a65-7fced8ef9b4a">Case No. 13-1939-EL-RDR</Case_x0020_Description>
    <State xmlns="fedb4aab-8a55-4ee1-8a65-7fced8ef9b4a">
      <Value>Ohio</Value>
    </State>
    <_dlc_DocId xmlns="9a7fcd12-a304-4f5c-8906-7eefc0f485bf">6AY4FRT6M45F-16-47</_dlc_DocId>
    <_dlc_DocIdUrl xmlns="9a7fcd12-a304-4f5c-8906-7eefc0f485bf">
      <Url>http://intranet/department/Legal/Regulatory/_layouts/DocIdRedir.aspx?ID=6AY4FRT6M45F-16-47</Url>
      <Description>6AY4FRT6M45F-16-47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D15D4E26974A9E35D32B56D922AD" ma:contentTypeVersion="3" ma:contentTypeDescription="Create a new document." ma:contentTypeScope="" ma:versionID="0a2081eb7e7d5f514e5f39807464b4ea">
  <xsd:schema xmlns:xsd="http://www.w3.org/2001/XMLSchema" xmlns:xs="http://www.w3.org/2001/XMLSchema" xmlns:p="http://schemas.microsoft.com/office/2006/metadata/properties" xmlns:ns2="9a7fcd12-a304-4f5c-8906-7eefc0f485bf" xmlns:ns3="fedb4aab-8a55-4ee1-8a65-7fced8ef9b4a" targetNamespace="http://schemas.microsoft.com/office/2006/metadata/properties" ma:root="true" ma:fieldsID="82e21bf6ed7c55ee2f473c97bb620282" ns2:_="" ns3:_="">
    <xsd:import namespace="9a7fcd12-a304-4f5c-8906-7eefc0f485bf"/>
    <xsd:import namespace="fedb4aab-8a55-4ee1-8a65-7fced8ef9b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tility" minOccurs="0"/>
                <xsd:element ref="ns3:State" minOccurs="0"/>
                <xsd:element ref="ns3:Cas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cd12-a304-4f5c-8906-7eefc0f485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b4aab-8a55-4ee1-8a65-7fced8ef9b4a" elementFormDefault="qualified">
    <xsd:import namespace="http://schemas.microsoft.com/office/2006/documentManagement/types"/>
    <xsd:import namespace="http://schemas.microsoft.com/office/infopath/2007/PartnerControls"/>
    <xsd:element name="Utility" ma:index="11" nillable="true" ma:displayName="Utility" ma:list="{2c4c9be8-dee3-4175-aa57-3ce7a97e2a70}" ma:internalName="Utility" ma:showField="Service">
      <xsd:simpleType>
        <xsd:restriction base="dms:Lookup"/>
      </xsd:simpleType>
    </xsd:element>
    <xsd:element name="State" ma:index="12" nillable="true" ma:displayName="State" ma:internalName="St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lifornia"/>
                    <xsd:enumeration value="D.C."/>
                    <xsd:enumeration value="Illinois"/>
                    <xsd:enumeration value="Indiana"/>
                    <xsd:enumeration value="Kentucky"/>
                    <xsd:enumeration value="Maryland"/>
                    <xsd:enumeration value="Michigan"/>
                    <xsd:enumeration value="New York"/>
                    <xsd:enumeration value="Ohio"/>
                    <xsd:enumeration value="Pennsylvania"/>
                    <xsd:enumeration value="Virginia"/>
                    <xsd:enumeration value="Texas"/>
                  </xsd:restriction>
                </xsd:simpleType>
              </xsd:element>
            </xsd:sequence>
          </xsd:extension>
        </xsd:complexContent>
      </xsd:complexType>
    </xsd:element>
    <xsd:element name="Case_x0020_Description" ma:index="13" nillable="true" ma:displayName="Case Description" ma:internalName="Cas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8D52-4585-47FE-B0C6-52C58D8D5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11B2-0142-4353-84BB-47B838509A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6A4145-6D3D-42D2-9678-A788F61753E8}">
  <ds:schemaRefs>
    <ds:schemaRef ds:uri="http://schemas.microsoft.com/office/2006/metadata/properties"/>
    <ds:schemaRef ds:uri="http://schemas.microsoft.com/office/infopath/2007/PartnerControls"/>
    <ds:schemaRef ds:uri="fedb4aab-8a55-4ee1-8a65-7fced8ef9b4a"/>
    <ds:schemaRef ds:uri="9a7fcd12-a304-4f5c-8906-7eefc0f485bf"/>
  </ds:schemaRefs>
</ds:datastoreItem>
</file>

<file path=customXml/itemProps4.xml><?xml version="1.0" encoding="utf-8"?>
<ds:datastoreItem xmlns:ds="http://schemas.openxmlformats.org/officeDocument/2006/customXml" ds:itemID="{5B5209BE-87D0-4604-AC88-9E17E8F6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cd12-a304-4f5c-8906-7eefc0f485bf"/>
    <ds:schemaRef ds:uri="fedb4aab-8a55-4ee1-8a65-7fced8ef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3B0862-ECBE-41F4-B213-9388D2A6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2010-10-04T15:02:00Z</cp:lastPrinted>
  <dcterms:created xsi:type="dcterms:W3CDTF">2014-05-08T19:53:00Z</dcterms:created>
  <dcterms:modified xsi:type="dcterms:W3CDTF">2014-05-09T18:45:00Z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0x010100ED74D15D4E26974A9E35D32B56D922AD</vt:lpwstr>
  </property>
  <property fmtid="{D5CDD505-2E9C-101B-9397-08002B2CF9AE}" pid="3" name="_dlc_DocIdItemGuid">
    <vt:lpwstr>38453a24-4398-4d1d-84d1-5d64ffab59aa</vt:lpwstr>
  </property>
</Properties>
</file>