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E4453" w:rsidRPr="005136BC" w:rsidP="00AE4453" w14:paraId="08E09251" w14:textId="77777777">
      <w:pPr>
        <w:pStyle w:val="HTMLPreformatted"/>
        <w:jc w:val="center"/>
        <w:rPr>
          <w:rFonts w:ascii="Times New Roman" w:hAnsi="Times New Roman" w:cs="Times New Roman"/>
          <w:b/>
          <w:bCs/>
          <w:sz w:val="24"/>
          <w:szCs w:val="24"/>
        </w:rPr>
      </w:pPr>
      <w:r w:rsidRPr="005136BC">
        <w:rPr>
          <w:rFonts w:ascii="Times New Roman" w:hAnsi="Times New Roman" w:cs="Times New Roman"/>
          <w:b/>
          <w:bCs/>
          <w:sz w:val="24"/>
          <w:szCs w:val="24"/>
        </w:rPr>
        <w:t>BEFORE</w:t>
      </w:r>
    </w:p>
    <w:p w:rsidR="00AE4453" w:rsidRPr="005136BC" w:rsidP="00AE4453" w14:paraId="2A59E27A" w14:textId="77777777">
      <w:pPr>
        <w:pStyle w:val="HTMLPreformatted"/>
        <w:jc w:val="center"/>
        <w:rPr>
          <w:rFonts w:ascii="Times New Roman" w:hAnsi="Times New Roman" w:cs="Times New Roman"/>
          <w:sz w:val="24"/>
          <w:szCs w:val="24"/>
        </w:rPr>
      </w:pPr>
      <w:r w:rsidRPr="005136BC">
        <w:rPr>
          <w:rFonts w:ascii="Times New Roman" w:hAnsi="Times New Roman" w:cs="Times New Roman"/>
          <w:b/>
          <w:bCs/>
          <w:sz w:val="24"/>
          <w:szCs w:val="24"/>
        </w:rPr>
        <w:t>THE PUBLIC UTILITIES COMMISSION OF OHIO</w:t>
      </w:r>
    </w:p>
    <w:p w:rsidR="00AE4453" w:rsidRPr="005136BC" w:rsidP="00AE4453" w14:paraId="55522CDF" w14:textId="77777777">
      <w:pPr>
        <w:pStyle w:val="HTMLPreformatted"/>
        <w:rPr>
          <w:rFonts w:ascii="Times New Roman" w:hAnsi="Times New Roman" w:cs="Times New Roman"/>
          <w:sz w:val="24"/>
          <w:szCs w:val="24"/>
        </w:rPr>
      </w:pPr>
    </w:p>
    <w:tbl>
      <w:tblPr>
        <w:tblW w:w="9092" w:type="dxa"/>
        <w:tblLook w:val="01E0"/>
      </w:tblPr>
      <w:tblGrid>
        <w:gridCol w:w="4596"/>
        <w:gridCol w:w="296"/>
        <w:gridCol w:w="4200"/>
      </w:tblGrid>
      <w:tr w14:paraId="748AE784" w14:textId="77777777" w:rsidTr="00DB7D89">
        <w:tblPrEx>
          <w:tblW w:w="9092" w:type="dxa"/>
          <w:tblLook w:val="01E0"/>
        </w:tblPrEx>
        <w:trPr>
          <w:trHeight w:val="807"/>
        </w:trPr>
        <w:tc>
          <w:tcPr>
            <w:tcW w:w="4608" w:type="dxa"/>
            <w:shd w:val="clear" w:color="auto" w:fill="auto"/>
          </w:tcPr>
          <w:p w:rsidR="00AE4453" w:rsidRPr="005136BC" w:rsidP="00DB7D89" w14:paraId="4C905CF3"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In the Matter of the Application of the Dayton Power and Light Company to Increase its Rates for Electric Distribution.</w:t>
            </w:r>
          </w:p>
          <w:p w:rsidR="00AE4453" w:rsidRPr="005136BC" w:rsidP="00DB7D89" w14:paraId="594AAC5E" w14:textId="77777777">
            <w:pPr>
              <w:pStyle w:val="HTMLPreformatted"/>
              <w:rPr>
                <w:rFonts w:ascii="Times New Roman" w:hAnsi="Times New Roman" w:cs="Times New Roman"/>
                <w:sz w:val="24"/>
                <w:szCs w:val="24"/>
              </w:rPr>
            </w:pPr>
          </w:p>
          <w:p w:rsidR="00AE4453" w:rsidRPr="005136BC" w:rsidP="00DB7D89" w14:paraId="20C3870A"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In the Matter of the Application of the Dayton Power and Light Company for Accounting Authority.</w:t>
            </w:r>
          </w:p>
          <w:p w:rsidR="00AE4453" w:rsidRPr="005136BC" w:rsidP="00DB7D89" w14:paraId="08204BE6" w14:textId="77777777">
            <w:pPr>
              <w:pStyle w:val="HTMLPreformatted"/>
              <w:rPr>
                <w:rFonts w:ascii="Times New Roman" w:hAnsi="Times New Roman" w:cs="Times New Roman"/>
                <w:sz w:val="24"/>
                <w:szCs w:val="24"/>
              </w:rPr>
            </w:pPr>
          </w:p>
          <w:p w:rsidR="00AE4453" w:rsidRPr="005136BC" w:rsidP="00DB7D89" w14:paraId="5A0C720C" w14:textId="169BC10D">
            <w:pPr>
              <w:pStyle w:val="HTMLPreformatted"/>
              <w:rPr>
                <w:rFonts w:ascii="Times New Roman" w:hAnsi="Times New Roman" w:cs="Times New Roman"/>
                <w:sz w:val="24"/>
                <w:szCs w:val="24"/>
              </w:rPr>
            </w:pPr>
            <w:r w:rsidRPr="005136BC">
              <w:rPr>
                <w:rFonts w:ascii="Times New Roman" w:hAnsi="Times New Roman" w:cs="Times New Roman"/>
                <w:sz w:val="24"/>
                <w:szCs w:val="24"/>
              </w:rPr>
              <w:t>In the Matter of the Application of Dayton Power and Light Company for Approval of Revised Tariffs.</w:t>
            </w:r>
            <w:r w:rsidRPr="005136BC" w:rsidR="00FE1700">
              <w:rPr>
                <w:rFonts w:ascii="Times New Roman" w:hAnsi="Times New Roman" w:cs="Times New Roman"/>
                <w:sz w:val="24"/>
                <w:szCs w:val="24"/>
              </w:rPr>
              <w:t xml:space="preserve"> </w:t>
            </w:r>
          </w:p>
        </w:tc>
        <w:tc>
          <w:tcPr>
            <w:tcW w:w="270" w:type="dxa"/>
            <w:shd w:val="clear" w:color="auto" w:fill="auto"/>
          </w:tcPr>
          <w:p w:rsidR="00AE4453" w:rsidRPr="005136BC" w:rsidP="00DB7D89" w14:paraId="2A8018BE"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0F41F776"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70BF1373"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6D5A1BB6" w14:textId="77777777">
            <w:pPr>
              <w:pStyle w:val="HTMLPreformatted"/>
              <w:rPr>
                <w:rFonts w:ascii="Times New Roman" w:hAnsi="Times New Roman" w:cs="Times New Roman"/>
                <w:sz w:val="24"/>
                <w:szCs w:val="24"/>
              </w:rPr>
            </w:pPr>
          </w:p>
          <w:p w:rsidR="00AE4453" w:rsidRPr="005136BC" w:rsidP="00DB7D89" w14:paraId="34E5F58D"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7509F35E"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19CA527D"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01CB4A46" w14:textId="77777777">
            <w:pPr>
              <w:pStyle w:val="HTMLPreformatted"/>
              <w:rPr>
                <w:rFonts w:ascii="Times New Roman" w:hAnsi="Times New Roman" w:cs="Times New Roman"/>
                <w:sz w:val="24"/>
                <w:szCs w:val="24"/>
              </w:rPr>
            </w:pPr>
          </w:p>
          <w:p w:rsidR="00AE4453" w:rsidRPr="005136BC" w:rsidP="00DB7D89" w14:paraId="6EED1021"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1790C4BE"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27D87615"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tc>
        <w:tc>
          <w:tcPr>
            <w:tcW w:w="4214" w:type="dxa"/>
            <w:shd w:val="clear" w:color="auto" w:fill="auto"/>
          </w:tcPr>
          <w:p w:rsidR="00AE4453" w:rsidRPr="005136BC" w:rsidP="00DB7D89" w14:paraId="3636BAED" w14:textId="77777777">
            <w:pPr>
              <w:pStyle w:val="HTMLPreformatted"/>
              <w:rPr>
                <w:rFonts w:ascii="Times New Roman" w:hAnsi="Times New Roman" w:cs="Times New Roman"/>
                <w:sz w:val="24"/>
                <w:szCs w:val="24"/>
              </w:rPr>
            </w:pPr>
          </w:p>
          <w:p w:rsidR="00AE4453" w:rsidRPr="005136BC" w:rsidP="00DB7D89" w14:paraId="6CADF1E2"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Case No. 20-1651-EL-AIR</w:t>
            </w:r>
          </w:p>
          <w:p w:rsidR="00AE4453" w:rsidRPr="005136BC" w:rsidP="00DB7D89" w14:paraId="6825587F" w14:textId="77777777">
            <w:pPr>
              <w:pStyle w:val="HTMLPreformatted"/>
              <w:rPr>
                <w:rFonts w:ascii="Times New Roman" w:hAnsi="Times New Roman" w:cs="Times New Roman"/>
                <w:sz w:val="24"/>
                <w:szCs w:val="24"/>
              </w:rPr>
            </w:pPr>
          </w:p>
          <w:p w:rsidR="00AE4453" w:rsidRPr="005136BC" w:rsidP="00DB7D89" w14:paraId="7BC0E177" w14:textId="77777777">
            <w:pPr>
              <w:pStyle w:val="HTMLPreformatted"/>
              <w:rPr>
                <w:rFonts w:ascii="Times New Roman" w:hAnsi="Times New Roman" w:cs="Times New Roman"/>
                <w:sz w:val="24"/>
                <w:szCs w:val="24"/>
              </w:rPr>
            </w:pPr>
          </w:p>
          <w:p w:rsidR="00AE4453" w:rsidRPr="005136BC" w:rsidP="00DB7D89" w14:paraId="31969090" w14:textId="77777777">
            <w:pPr>
              <w:pStyle w:val="HTMLPreformatted"/>
              <w:rPr>
                <w:rFonts w:ascii="Times New Roman" w:hAnsi="Times New Roman" w:cs="Times New Roman"/>
                <w:sz w:val="24"/>
                <w:szCs w:val="24"/>
              </w:rPr>
            </w:pPr>
          </w:p>
          <w:p w:rsidR="00AE4453" w:rsidRPr="005136BC" w:rsidP="00DB7D89" w14:paraId="7834A160"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Case No. 20-1652-EL-AAM</w:t>
            </w:r>
          </w:p>
          <w:p w:rsidR="00AE4453" w:rsidRPr="005136BC" w:rsidP="00DB7D89" w14:paraId="161FE181" w14:textId="77777777">
            <w:pPr>
              <w:pStyle w:val="HTMLPreformatted"/>
              <w:rPr>
                <w:rFonts w:ascii="Times New Roman" w:hAnsi="Times New Roman" w:cs="Times New Roman"/>
                <w:sz w:val="24"/>
                <w:szCs w:val="24"/>
              </w:rPr>
            </w:pPr>
          </w:p>
          <w:p w:rsidR="00AE4453" w:rsidRPr="005136BC" w:rsidP="00DB7D89" w14:paraId="601ACEA1" w14:textId="77777777">
            <w:pPr>
              <w:pStyle w:val="HTMLPreformatted"/>
              <w:rPr>
                <w:rFonts w:ascii="Times New Roman" w:hAnsi="Times New Roman" w:cs="Times New Roman"/>
                <w:sz w:val="24"/>
                <w:szCs w:val="24"/>
              </w:rPr>
            </w:pPr>
          </w:p>
          <w:p w:rsidR="00AE4453" w:rsidRPr="005136BC" w:rsidP="00DB7D89" w14:paraId="7F75DC3D" w14:textId="77777777">
            <w:pPr>
              <w:pStyle w:val="HTMLPreformatted"/>
              <w:rPr>
                <w:rFonts w:ascii="Times New Roman" w:hAnsi="Times New Roman" w:cs="Times New Roman"/>
                <w:sz w:val="24"/>
                <w:szCs w:val="24"/>
              </w:rPr>
            </w:pPr>
          </w:p>
          <w:p w:rsidR="00AE4453" w:rsidRPr="005136BC" w:rsidP="00DB7D89" w14:paraId="678F039F"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Case No. 20-1653-EL-ATA</w:t>
            </w:r>
          </w:p>
        </w:tc>
      </w:tr>
    </w:tbl>
    <w:p w:rsidR="00841E5F" w:rsidRPr="005136BC" w:rsidP="00841E5F" w14:paraId="370D0713" w14:textId="1EB24ADD">
      <w:pPr>
        <w:pStyle w:val="HTMLPreformatted"/>
        <w:rPr>
          <w:rFonts w:ascii="Times New Roman" w:hAnsi="Times New Roman" w:cs="Times New Roman"/>
          <w:sz w:val="24"/>
          <w:szCs w:val="24"/>
        </w:rPr>
      </w:pPr>
      <w:r w:rsidRPr="005136BC">
        <w:rPr>
          <w:rFonts w:ascii="Times New Roman" w:hAnsi="Times New Roman" w:cs="Times New Roman"/>
          <w:sz w:val="24"/>
          <w:szCs w:val="24"/>
        </w:rPr>
        <w:tab/>
      </w:r>
    </w:p>
    <w:p w:rsidR="00841E5F" w:rsidRPr="005136BC" w:rsidP="00841E5F" w14:paraId="09D541A4" w14:textId="77777777">
      <w:pPr>
        <w:pStyle w:val="HTMLPreformatted"/>
        <w:pBdr>
          <w:top w:val="single" w:sz="12" w:space="1" w:color="auto"/>
        </w:pBdr>
        <w:rPr>
          <w:rFonts w:ascii="Times New Roman" w:hAnsi="Times New Roman" w:cs="Times New Roman"/>
          <w:sz w:val="24"/>
          <w:szCs w:val="24"/>
        </w:rPr>
      </w:pPr>
    </w:p>
    <w:p w:rsidR="00841E5F" w:rsidRPr="005136BC" w:rsidP="00841E5F" w14:paraId="5543ECF8" w14:textId="6BB10840">
      <w:pPr>
        <w:jc w:val="center"/>
        <w:rPr>
          <w:b/>
          <w:bCs/>
          <w:szCs w:val="24"/>
        </w:rPr>
      </w:pPr>
      <w:r w:rsidRPr="005136BC">
        <w:rPr>
          <w:b/>
          <w:bCs/>
          <w:szCs w:val="24"/>
        </w:rPr>
        <w:t>OBJECTIONS</w:t>
      </w:r>
      <w:r w:rsidRPr="005136BC" w:rsidR="00E66BE9">
        <w:rPr>
          <w:b/>
          <w:bCs/>
          <w:szCs w:val="24"/>
        </w:rPr>
        <w:t xml:space="preserve"> TO THE PUCO STAFF REPORT</w:t>
      </w:r>
    </w:p>
    <w:p w:rsidR="00841E5F" w:rsidRPr="005136BC" w:rsidP="00841E5F" w14:paraId="29E6CF5F" w14:textId="77777777">
      <w:pPr>
        <w:jc w:val="center"/>
        <w:rPr>
          <w:b/>
          <w:bCs/>
          <w:szCs w:val="24"/>
        </w:rPr>
      </w:pPr>
      <w:r w:rsidRPr="005136BC">
        <w:rPr>
          <w:b/>
          <w:bCs/>
          <w:szCs w:val="24"/>
        </w:rPr>
        <w:t>BY</w:t>
      </w:r>
    </w:p>
    <w:p w:rsidR="00841E5F" w:rsidRPr="005136BC" w:rsidP="00841E5F" w14:paraId="16AE2ADC" w14:textId="38EED5C7">
      <w:pPr>
        <w:jc w:val="center"/>
        <w:rPr>
          <w:b/>
          <w:bCs/>
          <w:szCs w:val="24"/>
        </w:rPr>
      </w:pPr>
      <w:r w:rsidRPr="005136BC">
        <w:rPr>
          <w:b/>
          <w:bCs/>
          <w:szCs w:val="24"/>
        </w:rPr>
        <w:t>OFFICE OF THE OHIO CONSUMERS’ COUNSEL</w:t>
      </w:r>
    </w:p>
    <w:p w:rsidR="00841E5F" w:rsidRPr="005136BC" w:rsidP="00841E5F" w14:paraId="32AEE801" w14:textId="77777777">
      <w:pPr>
        <w:pBdr>
          <w:bottom w:val="single" w:sz="12" w:space="1" w:color="auto"/>
        </w:pBdr>
        <w:tabs>
          <w:tab w:val="left" w:pos="4320"/>
        </w:tabs>
        <w:rPr>
          <w:szCs w:val="24"/>
        </w:rPr>
      </w:pPr>
    </w:p>
    <w:p w:rsidR="00841E5F" w:rsidRPr="005136BC" w:rsidP="00841E5F" w14:paraId="7B073D09" w14:textId="77777777">
      <w:pPr>
        <w:tabs>
          <w:tab w:val="left" w:pos="4320"/>
        </w:tabs>
        <w:rPr>
          <w:szCs w:val="24"/>
        </w:rPr>
      </w:pPr>
    </w:p>
    <w:p w:rsidR="00841E5F" w:rsidRPr="005136BC" w:rsidP="00D4185C" w14:paraId="5FBD77D5" w14:textId="77777777">
      <w:pPr>
        <w:pStyle w:val="HTMLPreformatted"/>
        <w:jc w:val="center"/>
        <w:rPr>
          <w:rFonts w:ascii="Times New Roman" w:hAnsi="Times New Roman" w:cs="Times New Roman"/>
          <w:b/>
          <w:bCs/>
          <w:sz w:val="24"/>
          <w:szCs w:val="24"/>
        </w:rPr>
      </w:pPr>
    </w:p>
    <w:p w:rsidR="00841E5F" w:rsidRPr="005136BC" w:rsidP="00D4185C" w14:paraId="02AB0012" w14:textId="77777777">
      <w:pPr>
        <w:pStyle w:val="HTMLPreformatted"/>
        <w:jc w:val="center"/>
        <w:rPr>
          <w:rFonts w:ascii="Times New Roman" w:hAnsi="Times New Roman" w:cs="Times New Roman"/>
          <w:b/>
          <w:bCs/>
          <w:sz w:val="24"/>
          <w:szCs w:val="24"/>
        </w:rPr>
      </w:pPr>
    </w:p>
    <w:p w:rsidR="00841E5F" w:rsidRPr="005136BC" w:rsidP="00D4185C" w14:paraId="752E7645" w14:textId="77777777">
      <w:pPr>
        <w:pStyle w:val="HTMLPreformatted"/>
        <w:jc w:val="center"/>
        <w:rPr>
          <w:rFonts w:ascii="Times New Roman" w:hAnsi="Times New Roman" w:cs="Times New Roman"/>
          <w:b/>
          <w:bCs/>
          <w:sz w:val="24"/>
          <w:szCs w:val="24"/>
        </w:rPr>
      </w:pPr>
    </w:p>
    <w:p w:rsidR="00AE4453" w:rsidRPr="005136BC" w:rsidP="00AE4453" w14:paraId="33BF5A0A" w14:textId="77777777">
      <w:pPr>
        <w:pStyle w:val="Footer"/>
        <w:tabs>
          <w:tab w:val="left" w:pos="4320"/>
          <w:tab w:val="clear" w:pos="8640"/>
        </w:tabs>
        <w:spacing w:before="240"/>
        <w:rPr>
          <w:sz w:val="24"/>
          <w:szCs w:val="24"/>
        </w:rPr>
      </w:pPr>
      <w:r w:rsidRPr="005136BC">
        <w:rPr>
          <w:sz w:val="24"/>
          <w:szCs w:val="24"/>
        </w:rPr>
        <w:tab/>
        <w:t>Bruce Weston (0016973)</w:t>
      </w:r>
    </w:p>
    <w:p w:rsidR="00AE4453" w:rsidRPr="005136BC" w:rsidP="00AE4453" w14:paraId="4EEE0241" w14:textId="77777777">
      <w:pPr>
        <w:tabs>
          <w:tab w:val="left" w:pos="4320"/>
        </w:tabs>
        <w:rPr>
          <w:szCs w:val="24"/>
        </w:rPr>
      </w:pPr>
      <w:r w:rsidRPr="005136BC">
        <w:rPr>
          <w:szCs w:val="24"/>
        </w:rPr>
        <w:tab/>
        <w:t>Ohio Consumers’ Counsel</w:t>
      </w:r>
    </w:p>
    <w:p w:rsidR="00AE4453" w:rsidRPr="005136BC" w:rsidP="00AE4453" w14:paraId="1BD9628A" w14:textId="77777777">
      <w:pPr>
        <w:tabs>
          <w:tab w:val="left" w:pos="4320"/>
        </w:tabs>
        <w:rPr>
          <w:szCs w:val="24"/>
        </w:rPr>
      </w:pPr>
    </w:p>
    <w:p w:rsidR="00AE4453" w:rsidRPr="005136BC" w:rsidP="00AE4453" w14:paraId="7DA60353" w14:textId="77777777">
      <w:pPr>
        <w:tabs>
          <w:tab w:val="left" w:pos="4320"/>
        </w:tabs>
        <w:rPr>
          <w:szCs w:val="24"/>
        </w:rPr>
      </w:pPr>
      <w:r w:rsidRPr="005136BC">
        <w:rPr>
          <w:szCs w:val="24"/>
        </w:rPr>
        <w:tab/>
        <w:t>Christopher Healey (0086027)</w:t>
      </w:r>
    </w:p>
    <w:p w:rsidR="00AE4453" w:rsidRPr="005136BC" w:rsidP="00AE4453" w14:paraId="64DA7405" w14:textId="77777777">
      <w:pPr>
        <w:tabs>
          <w:tab w:val="left" w:pos="4320"/>
        </w:tabs>
        <w:ind w:firstLine="4320"/>
        <w:rPr>
          <w:szCs w:val="24"/>
        </w:rPr>
      </w:pPr>
      <w:r w:rsidRPr="005136BC">
        <w:rPr>
          <w:szCs w:val="24"/>
        </w:rPr>
        <w:t>Counsel of Record</w:t>
      </w:r>
    </w:p>
    <w:p w:rsidR="00AE4453" w:rsidRPr="005136BC" w:rsidP="00AE4453" w14:paraId="2BA1E12C" w14:textId="77777777">
      <w:pPr>
        <w:tabs>
          <w:tab w:val="left" w:pos="4320"/>
        </w:tabs>
        <w:rPr>
          <w:szCs w:val="24"/>
        </w:rPr>
      </w:pPr>
      <w:r w:rsidRPr="005136BC">
        <w:rPr>
          <w:szCs w:val="24"/>
        </w:rPr>
        <w:tab/>
        <w:t>Ambrosia E. Wilson (0096598)</w:t>
      </w:r>
    </w:p>
    <w:p w:rsidR="00AE4453" w:rsidRPr="005136BC" w:rsidP="00AE4453" w14:paraId="7C482A66" w14:textId="77777777">
      <w:pPr>
        <w:tabs>
          <w:tab w:val="left" w:pos="4320"/>
        </w:tabs>
        <w:ind w:firstLine="4320"/>
        <w:rPr>
          <w:szCs w:val="24"/>
        </w:rPr>
      </w:pPr>
      <w:r w:rsidRPr="005136BC">
        <w:rPr>
          <w:szCs w:val="24"/>
        </w:rPr>
        <w:t>John Finnigan (0018689)</w:t>
      </w:r>
    </w:p>
    <w:p w:rsidR="00AE4453" w:rsidRPr="005136BC" w:rsidP="00AE4453" w14:paraId="778F8DF4" w14:textId="77777777">
      <w:pPr>
        <w:tabs>
          <w:tab w:val="left" w:pos="4320"/>
        </w:tabs>
        <w:rPr>
          <w:szCs w:val="24"/>
        </w:rPr>
      </w:pPr>
      <w:r w:rsidRPr="005136BC">
        <w:rPr>
          <w:szCs w:val="24"/>
        </w:rPr>
        <w:tab/>
        <w:t>Assistant Consumers’ Counsel</w:t>
      </w:r>
    </w:p>
    <w:p w:rsidR="00AE4453" w:rsidRPr="005136BC" w:rsidP="00AE4453" w14:paraId="5945B011" w14:textId="77777777">
      <w:pPr>
        <w:rPr>
          <w:szCs w:val="24"/>
        </w:rPr>
      </w:pPr>
      <w:r w:rsidRPr="005136BC">
        <w:rPr>
          <w:szCs w:val="24"/>
        </w:rPr>
        <w:tab/>
      </w:r>
    </w:p>
    <w:p w:rsidR="00AE4453" w:rsidRPr="005136BC" w:rsidP="00AE4453" w14:paraId="618061B4" w14:textId="77777777">
      <w:pPr>
        <w:rPr>
          <w:b/>
          <w:bCs/>
          <w:szCs w:val="24"/>
        </w:rPr>
      </w:pPr>
      <w:r w:rsidRPr="005136BC">
        <w:rPr>
          <w:szCs w:val="24"/>
        </w:rPr>
        <w:tab/>
      </w:r>
      <w:r w:rsidRPr="005136BC">
        <w:rPr>
          <w:szCs w:val="24"/>
        </w:rPr>
        <w:tab/>
      </w:r>
      <w:r w:rsidRPr="005136BC">
        <w:rPr>
          <w:szCs w:val="24"/>
        </w:rPr>
        <w:tab/>
      </w:r>
      <w:r w:rsidRPr="005136BC">
        <w:rPr>
          <w:szCs w:val="24"/>
        </w:rPr>
        <w:tab/>
      </w:r>
      <w:r w:rsidRPr="005136BC">
        <w:rPr>
          <w:szCs w:val="24"/>
        </w:rPr>
        <w:tab/>
      </w:r>
      <w:r w:rsidRPr="005136BC">
        <w:rPr>
          <w:szCs w:val="24"/>
        </w:rPr>
        <w:tab/>
      </w:r>
      <w:r w:rsidRPr="005136BC">
        <w:rPr>
          <w:b/>
          <w:bCs/>
          <w:szCs w:val="24"/>
        </w:rPr>
        <w:t>Office of the Ohio Consumers’ Counsel</w:t>
      </w:r>
    </w:p>
    <w:p w:rsidR="00AE4453" w:rsidRPr="005136BC" w:rsidP="00AE4453" w14:paraId="153114F4" w14:textId="77777777">
      <w:pPr>
        <w:ind w:left="2880" w:firstLine="720"/>
        <w:rPr>
          <w:szCs w:val="24"/>
        </w:rPr>
      </w:pPr>
      <w:r w:rsidRPr="005136BC">
        <w:rPr>
          <w:szCs w:val="24"/>
        </w:rPr>
        <w:tab/>
        <w:t>65 East State Street, 7th Floor</w:t>
      </w:r>
    </w:p>
    <w:p w:rsidR="00AE4453" w:rsidRPr="005136BC" w:rsidP="00AE4453" w14:paraId="16FD90F6" w14:textId="77777777">
      <w:pPr>
        <w:ind w:left="3600"/>
        <w:rPr>
          <w:szCs w:val="24"/>
        </w:rPr>
      </w:pPr>
      <w:r w:rsidRPr="005136BC">
        <w:rPr>
          <w:szCs w:val="24"/>
        </w:rPr>
        <w:tab/>
        <w:t>Columbus, Ohio 43215</w:t>
      </w:r>
    </w:p>
    <w:p w:rsidR="00AE4453" w:rsidRPr="005136BC" w:rsidP="00AE4453" w14:paraId="18AEE950" w14:textId="77777777">
      <w:pPr>
        <w:autoSpaceDE w:val="0"/>
        <w:autoSpaceDN w:val="0"/>
        <w:adjustRightInd w:val="0"/>
        <w:ind w:left="3600" w:firstLine="720"/>
        <w:rPr>
          <w:szCs w:val="24"/>
        </w:rPr>
      </w:pPr>
      <w:r w:rsidRPr="005136BC">
        <w:rPr>
          <w:szCs w:val="24"/>
        </w:rPr>
        <w:t>Telephone [Healey]: (614)-466-9571</w:t>
      </w:r>
    </w:p>
    <w:p w:rsidR="00AE4453" w:rsidRPr="005136BC" w:rsidP="00AE4453" w14:paraId="09396188" w14:textId="77777777">
      <w:pPr>
        <w:autoSpaceDE w:val="0"/>
        <w:autoSpaceDN w:val="0"/>
        <w:adjustRightInd w:val="0"/>
        <w:ind w:left="3600" w:firstLine="720"/>
        <w:rPr>
          <w:szCs w:val="24"/>
        </w:rPr>
      </w:pPr>
      <w:r w:rsidRPr="005136BC">
        <w:rPr>
          <w:szCs w:val="24"/>
        </w:rPr>
        <w:t>Telephone [Wilson]: (614)-466-1292</w:t>
      </w:r>
    </w:p>
    <w:p w:rsidR="00AE4453" w:rsidRPr="005136BC" w:rsidP="00AE4453" w14:paraId="795F4C1C" w14:textId="77777777">
      <w:pPr>
        <w:autoSpaceDE w:val="0"/>
        <w:autoSpaceDN w:val="0"/>
        <w:adjustRightInd w:val="0"/>
        <w:ind w:left="3600" w:firstLine="720"/>
        <w:rPr>
          <w:szCs w:val="24"/>
        </w:rPr>
      </w:pPr>
      <w:r w:rsidRPr="005136BC">
        <w:rPr>
          <w:szCs w:val="24"/>
        </w:rPr>
        <w:t>Telephone [Finnigan]: (614) 466-9585</w:t>
      </w:r>
    </w:p>
    <w:p w:rsidR="00AE4453" w:rsidRPr="005136BC" w:rsidP="00AE4453" w14:paraId="57F7C6BB" w14:textId="77777777">
      <w:pPr>
        <w:autoSpaceDE w:val="0"/>
        <w:autoSpaceDN w:val="0"/>
        <w:adjustRightInd w:val="0"/>
        <w:ind w:left="3600" w:firstLine="720"/>
        <w:rPr>
          <w:szCs w:val="24"/>
        </w:rPr>
      </w:pPr>
      <w:hyperlink r:id="rId6" w:history="1">
        <w:r w:rsidRPr="005136BC">
          <w:rPr>
            <w:rStyle w:val="Hyperlink"/>
            <w:szCs w:val="24"/>
          </w:rPr>
          <w:t>christopher.healey@occ.ohio.gov</w:t>
        </w:r>
      </w:hyperlink>
    </w:p>
    <w:p w:rsidR="00AE4453" w:rsidRPr="005136BC" w:rsidP="00AE4453" w14:paraId="578FD7D0" w14:textId="77777777">
      <w:pPr>
        <w:autoSpaceDE w:val="0"/>
        <w:autoSpaceDN w:val="0"/>
        <w:adjustRightInd w:val="0"/>
        <w:ind w:left="3600" w:firstLine="720"/>
        <w:rPr>
          <w:szCs w:val="24"/>
        </w:rPr>
      </w:pPr>
      <w:hyperlink r:id="rId7" w:history="1">
        <w:r w:rsidRPr="005136BC">
          <w:rPr>
            <w:rStyle w:val="Hyperlink"/>
            <w:szCs w:val="24"/>
          </w:rPr>
          <w:t>ambrosia.wilson@occ.ohio.gov</w:t>
        </w:r>
      </w:hyperlink>
      <w:r w:rsidRPr="005136BC">
        <w:rPr>
          <w:szCs w:val="24"/>
        </w:rPr>
        <w:t xml:space="preserve"> </w:t>
      </w:r>
    </w:p>
    <w:p w:rsidR="00AE4453" w:rsidRPr="005136BC" w:rsidP="00AE4453" w14:paraId="44572546" w14:textId="77777777">
      <w:pPr>
        <w:autoSpaceDE w:val="0"/>
        <w:autoSpaceDN w:val="0"/>
        <w:adjustRightInd w:val="0"/>
        <w:ind w:left="3600" w:firstLine="720"/>
        <w:rPr>
          <w:szCs w:val="24"/>
        </w:rPr>
      </w:pPr>
      <w:hyperlink r:id="rId8" w:history="1">
        <w:r w:rsidRPr="005136BC">
          <w:rPr>
            <w:rStyle w:val="Hyperlink"/>
            <w:szCs w:val="24"/>
          </w:rPr>
          <w:t>john.finnigan@occ.ohio.gov</w:t>
        </w:r>
      </w:hyperlink>
    </w:p>
    <w:p w:rsidR="00AE4453" w:rsidRPr="005136BC" w:rsidP="00AE4453" w14:paraId="5E3DB8AF" w14:textId="2D35DC19">
      <w:pPr>
        <w:autoSpaceDE w:val="0"/>
        <w:autoSpaceDN w:val="0"/>
        <w:adjustRightInd w:val="0"/>
        <w:rPr>
          <w:szCs w:val="24"/>
        </w:rPr>
      </w:pPr>
      <w:r w:rsidRPr="005136BC">
        <w:rPr>
          <w:szCs w:val="24"/>
        </w:rPr>
        <w:t>August 25, 2021</w:t>
      </w:r>
      <w:r w:rsidRPr="005136BC">
        <w:rPr>
          <w:szCs w:val="24"/>
        </w:rPr>
        <w:tab/>
      </w:r>
      <w:r w:rsidRPr="005136BC">
        <w:rPr>
          <w:szCs w:val="24"/>
        </w:rPr>
        <w:tab/>
      </w:r>
      <w:r w:rsidRPr="005136BC">
        <w:rPr>
          <w:szCs w:val="24"/>
        </w:rPr>
        <w:tab/>
      </w:r>
      <w:r w:rsidRPr="005136BC">
        <w:rPr>
          <w:szCs w:val="24"/>
        </w:rPr>
        <w:tab/>
        <w:t>(willing to accept service by e-mail)</w:t>
      </w:r>
    </w:p>
    <w:p w:rsidR="00841E5F" w:rsidRPr="005136BC" w:rsidP="00841E5F" w14:paraId="516CEB90" w14:textId="61D35FA1">
      <w:pPr>
        <w:rPr>
          <w:szCs w:val="24"/>
        </w:rPr>
      </w:pPr>
    </w:p>
    <w:p w:rsidR="00841E5F" w:rsidRPr="005136BC" w:rsidP="00D4185C" w14:paraId="5A95CBCD" w14:textId="77777777">
      <w:pPr>
        <w:pStyle w:val="HTMLPreformatted"/>
        <w:jc w:val="center"/>
        <w:rPr>
          <w:rFonts w:ascii="Times New Roman" w:hAnsi="Times New Roman" w:cs="Times New Roman"/>
          <w:b/>
          <w:bCs/>
          <w:sz w:val="24"/>
          <w:szCs w:val="24"/>
        </w:rPr>
      </w:pPr>
    </w:p>
    <w:p w:rsidR="00A754D5" w:rsidRPr="005136BC" w:rsidP="00D4185C" w14:paraId="784D8D9B" w14:textId="77777777">
      <w:pPr>
        <w:pStyle w:val="HTMLPreformatted"/>
        <w:jc w:val="center"/>
        <w:rPr>
          <w:rFonts w:ascii="Times New Roman" w:hAnsi="Times New Roman" w:cs="Times New Roman"/>
          <w:b/>
          <w:bCs/>
          <w:sz w:val="24"/>
          <w:szCs w:val="24"/>
        </w:rPr>
        <w:sectPr w:rsidSect="00AB22E0">
          <w:footerReference w:type="default" r:id="rId9"/>
          <w:pgSz w:w="12240" w:h="15840"/>
          <w:pgMar w:top="1440" w:right="1440" w:bottom="1440" w:left="1440" w:header="720" w:footer="720" w:gutter="0"/>
          <w:pgNumType w:start="1"/>
          <w:cols w:space="720"/>
          <w:titlePg/>
          <w:docGrid w:linePitch="326"/>
        </w:sectPr>
      </w:pPr>
    </w:p>
    <w:p w:rsidR="00841E5F" w:rsidRPr="005136BC" w:rsidP="00D4185C" w14:paraId="532811B6" w14:textId="13EA6B63">
      <w:pPr>
        <w:pStyle w:val="HTMLPreformatted"/>
        <w:jc w:val="center"/>
        <w:rPr>
          <w:rFonts w:ascii="Times New Roman" w:hAnsi="Times New Roman" w:cs="Times New Roman"/>
          <w:b/>
          <w:bCs/>
          <w:sz w:val="24"/>
          <w:szCs w:val="24"/>
          <w:u w:val="single"/>
        </w:rPr>
      </w:pPr>
      <w:r w:rsidRPr="005136BC">
        <w:rPr>
          <w:rFonts w:ascii="Times New Roman" w:hAnsi="Times New Roman" w:cs="Times New Roman"/>
          <w:b/>
          <w:bCs/>
          <w:sz w:val="24"/>
          <w:szCs w:val="24"/>
          <w:u w:val="single"/>
        </w:rPr>
        <w:t>TABLE OF CONTENTS</w:t>
      </w:r>
    </w:p>
    <w:p w:rsidR="00DB7D89" w:rsidRPr="005136BC" w:rsidP="00D4185C" w14:paraId="23267781" w14:textId="15C34EBB">
      <w:pPr>
        <w:pStyle w:val="HTMLPreformatted"/>
        <w:jc w:val="center"/>
        <w:rPr>
          <w:rFonts w:ascii="Times New Roman" w:hAnsi="Times New Roman" w:cs="Times New Roman"/>
          <w:b/>
          <w:bCs/>
          <w:sz w:val="24"/>
          <w:szCs w:val="24"/>
          <w:u w:val="single"/>
        </w:rPr>
      </w:pPr>
    </w:p>
    <w:p w:rsidR="00DB7D89" w:rsidRPr="005136BC" w:rsidP="00D4185C" w14:paraId="00B01EA0" w14:textId="44BA6349">
      <w:pPr>
        <w:pStyle w:val="HTMLPreformatted"/>
        <w:jc w:val="center"/>
        <w:rPr>
          <w:rFonts w:ascii="Times New Roman" w:hAnsi="Times New Roman" w:cs="Times New Roman"/>
          <w:b/>
          <w:bCs/>
          <w:sz w:val="24"/>
          <w:szCs w:val="24"/>
        </w:rPr>
      </w:pPr>
      <w:r w:rsidRPr="005136BC">
        <w:rPr>
          <w:rFonts w:ascii="Times New Roman" w:hAnsi="Times New Roman" w:cs="Times New Roman"/>
          <w:b/>
          <w:bCs/>
          <w:sz w:val="24"/>
          <w:szCs w:val="24"/>
        </w:rPr>
        <w:tab/>
      </w:r>
      <w:r w:rsidRPr="005136BC">
        <w:rPr>
          <w:rFonts w:ascii="Times New Roman" w:hAnsi="Times New Roman" w:cs="Times New Roman"/>
          <w:b/>
          <w:bCs/>
          <w:sz w:val="24"/>
          <w:szCs w:val="24"/>
        </w:rPr>
        <w:tab/>
      </w:r>
      <w:r w:rsidRPr="005136BC">
        <w:rPr>
          <w:rFonts w:ascii="Times New Roman" w:hAnsi="Times New Roman" w:cs="Times New Roman"/>
          <w:b/>
          <w:bCs/>
          <w:sz w:val="24"/>
          <w:szCs w:val="24"/>
        </w:rPr>
        <w:tab/>
      </w:r>
      <w:r w:rsidRPr="005136BC">
        <w:rPr>
          <w:rFonts w:ascii="Times New Roman" w:hAnsi="Times New Roman" w:cs="Times New Roman"/>
          <w:b/>
          <w:bCs/>
          <w:sz w:val="24"/>
          <w:szCs w:val="24"/>
        </w:rPr>
        <w:tab/>
      </w:r>
      <w:r w:rsidRPr="005136BC">
        <w:rPr>
          <w:rFonts w:ascii="Times New Roman" w:hAnsi="Times New Roman" w:cs="Times New Roman"/>
          <w:b/>
          <w:bCs/>
          <w:sz w:val="24"/>
          <w:szCs w:val="24"/>
        </w:rPr>
        <w:tab/>
      </w:r>
      <w:r w:rsidRPr="005136BC">
        <w:rPr>
          <w:rFonts w:ascii="Times New Roman" w:hAnsi="Times New Roman" w:cs="Times New Roman"/>
          <w:b/>
          <w:bCs/>
          <w:sz w:val="24"/>
          <w:szCs w:val="24"/>
        </w:rPr>
        <w:tab/>
      </w:r>
      <w:r w:rsidRPr="005136BC">
        <w:rPr>
          <w:rFonts w:ascii="Times New Roman" w:hAnsi="Times New Roman" w:cs="Times New Roman"/>
          <w:b/>
          <w:bCs/>
          <w:sz w:val="24"/>
          <w:szCs w:val="24"/>
        </w:rPr>
        <w:tab/>
      </w:r>
      <w:r w:rsidRPr="005136BC">
        <w:rPr>
          <w:rFonts w:ascii="Times New Roman" w:hAnsi="Times New Roman" w:cs="Times New Roman"/>
          <w:b/>
          <w:bCs/>
          <w:sz w:val="24"/>
          <w:szCs w:val="24"/>
        </w:rPr>
        <w:tab/>
      </w:r>
      <w:r w:rsidRPr="005136BC">
        <w:rPr>
          <w:rFonts w:ascii="Times New Roman" w:hAnsi="Times New Roman" w:cs="Times New Roman"/>
          <w:b/>
          <w:bCs/>
          <w:sz w:val="24"/>
          <w:szCs w:val="24"/>
        </w:rPr>
        <w:tab/>
        <w:t xml:space="preserve">       PAGE</w:t>
      </w:r>
    </w:p>
    <w:p w:rsidR="00DB7D89" w:rsidRPr="005136BC" w:rsidP="00D4185C" w14:paraId="3D7FAE41" w14:textId="77777777">
      <w:pPr>
        <w:pStyle w:val="HTMLPreformatted"/>
        <w:jc w:val="center"/>
        <w:rPr>
          <w:rFonts w:ascii="Times New Roman" w:hAnsi="Times New Roman" w:cs="Times New Roman"/>
          <w:b/>
          <w:bCs/>
          <w:sz w:val="24"/>
          <w:szCs w:val="24"/>
        </w:rPr>
      </w:pPr>
    </w:p>
    <w:p w:rsidR="00052622" w14:paraId="71B1401E" w14:textId="4A1CEB1F">
      <w:pPr>
        <w:pStyle w:val="TOC1"/>
        <w:rPr>
          <w:rFonts w:asciiTheme="minorHAnsi" w:eastAsiaTheme="minorEastAsia" w:hAnsiTheme="minorHAnsi" w:cstheme="minorBidi"/>
          <w:noProof/>
          <w:sz w:val="22"/>
          <w:szCs w:val="22"/>
        </w:rPr>
      </w:pPr>
      <w:r w:rsidRPr="005136BC">
        <w:rPr>
          <w:b/>
          <w:bCs/>
          <w:szCs w:val="24"/>
        </w:rPr>
        <w:fldChar w:fldCharType="begin"/>
      </w:r>
      <w:r w:rsidRPr="005136BC">
        <w:rPr>
          <w:b/>
          <w:bCs/>
          <w:szCs w:val="24"/>
        </w:rPr>
        <w:instrText xml:space="preserve"> TOC \o "1-3" \h \z \u </w:instrText>
      </w:r>
      <w:r w:rsidRPr="005136BC">
        <w:rPr>
          <w:b/>
          <w:bCs/>
          <w:szCs w:val="24"/>
        </w:rPr>
        <w:fldChar w:fldCharType="separate"/>
      </w:r>
      <w:hyperlink w:anchor="_Toc80777718" w:history="1">
        <w:r w:rsidRPr="003E6FB0">
          <w:rPr>
            <w:rStyle w:val="Hyperlink"/>
            <w:noProof/>
          </w:rPr>
          <w:t>I.</w:t>
        </w:r>
        <w:r>
          <w:rPr>
            <w:rFonts w:asciiTheme="minorHAnsi" w:eastAsiaTheme="minorEastAsia" w:hAnsiTheme="minorHAnsi" w:cstheme="minorBidi"/>
            <w:noProof/>
            <w:sz w:val="22"/>
            <w:szCs w:val="22"/>
          </w:rPr>
          <w:tab/>
        </w:r>
        <w:r w:rsidRPr="003E6FB0">
          <w:rPr>
            <w:rStyle w:val="Hyperlink"/>
            <w:noProof/>
          </w:rPr>
          <w:t>INTRODUCTION</w:t>
        </w:r>
        <w:r>
          <w:rPr>
            <w:noProof/>
            <w:webHidden/>
          </w:rPr>
          <w:tab/>
        </w:r>
        <w:r>
          <w:rPr>
            <w:noProof/>
            <w:webHidden/>
          </w:rPr>
          <w:fldChar w:fldCharType="begin"/>
        </w:r>
        <w:r>
          <w:rPr>
            <w:noProof/>
            <w:webHidden/>
          </w:rPr>
          <w:instrText xml:space="preserve"> PAGEREF _Toc80777718 \h </w:instrText>
        </w:r>
        <w:r>
          <w:rPr>
            <w:noProof/>
            <w:webHidden/>
          </w:rPr>
          <w:fldChar w:fldCharType="separate"/>
        </w:r>
        <w:r>
          <w:rPr>
            <w:noProof/>
            <w:webHidden/>
          </w:rPr>
          <w:t>1</w:t>
        </w:r>
        <w:r>
          <w:rPr>
            <w:noProof/>
            <w:webHidden/>
          </w:rPr>
          <w:fldChar w:fldCharType="end"/>
        </w:r>
      </w:hyperlink>
    </w:p>
    <w:p w:rsidR="00052622" w14:paraId="37F5B702" w14:textId="6840CAE5">
      <w:pPr>
        <w:pStyle w:val="TOC1"/>
        <w:rPr>
          <w:rFonts w:asciiTheme="minorHAnsi" w:eastAsiaTheme="minorEastAsia" w:hAnsiTheme="minorHAnsi" w:cstheme="minorBidi"/>
          <w:noProof/>
          <w:sz w:val="22"/>
          <w:szCs w:val="22"/>
        </w:rPr>
      </w:pPr>
      <w:hyperlink w:anchor="_Toc80777719" w:history="1">
        <w:r w:rsidRPr="003E6FB0">
          <w:rPr>
            <w:rStyle w:val="Hyperlink"/>
            <w:noProof/>
          </w:rPr>
          <w:t>II.</w:t>
        </w:r>
        <w:r>
          <w:rPr>
            <w:rFonts w:asciiTheme="minorHAnsi" w:eastAsiaTheme="minorEastAsia" w:hAnsiTheme="minorHAnsi" w:cstheme="minorBidi"/>
            <w:noProof/>
            <w:sz w:val="22"/>
            <w:szCs w:val="22"/>
          </w:rPr>
          <w:tab/>
        </w:r>
        <w:r w:rsidRPr="003E6FB0">
          <w:rPr>
            <w:rStyle w:val="Hyperlink"/>
            <w:noProof/>
          </w:rPr>
          <w:t>OBJECTIONS</w:t>
        </w:r>
        <w:r>
          <w:rPr>
            <w:noProof/>
            <w:webHidden/>
          </w:rPr>
          <w:tab/>
        </w:r>
        <w:r>
          <w:rPr>
            <w:noProof/>
            <w:webHidden/>
          </w:rPr>
          <w:fldChar w:fldCharType="begin"/>
        </w:r>
        <w:r>
          <w:rPr>
            <w:noProof/>
            <w:webHidden/>
          </w:rPr>
          <w:instrText xml:space="preserve"> PAGEREF _Toc80777719 \h </w:instrText>
        </w:r>
        <w:r>
          <w:rPr>
            <w:noProof/>
            <w:webHidden/>
          </w:rPr>
          <w:fldChar w:fldCharType="separate"/>
        </w:r>
        <w:r>
          <w:rPr>
            <w:noProof/>
            <w:webHidden/>
          </w:rPr>
          <w:t>2</w:t>
        </w:r>
        <w:r>
          <w:rPr>
            <w:noProof/>
            <w:webHidden/>
          </w:rPr>
          <w:fldChar w:fldCharType="end"/>
        </w:r>
      </w:hyperlink>
    </w:p>
    <w:p w:rsidR="00052622" w14:paraId="687AA828" w14:textId="2F2AF53E">
      <w:pPr>
        <w:pStyle w:val="TOC2"/>
        <w:rPr>
          <w:rFonts w:asciiTheme="minorHAnsi" w:eastAsiaTheme="minorEastAsia" w:hAnsiTheme="minorHAnsi" w:cstheme="minorBidi"/>
          <w:noProof/>
          <w:sz w:val="22"/>
          <w:szCs w:val="22"/>
        </w:rPr>
      </w:pPr>
      <w:hyperlink w:anchor="_Toc80777720" w:history="1">
        <w:r w:rsidRPr="003E6FB0">
          <w:rPr>
            <w:rStyle w:val="Hyperlink"/>
            <w:noProof/>
          </w:rPr>
          <w:t>A.</w:t>
        </w:r>
        <w:r>
          <w:rPr>
            <w:rFonts w:asciiTheme="minorHAnsi" w:eastAsiaTheme="minorEastAsia" w:hAnsiTheme="minorHAnsi" w:cstheme="minorBidi"/>
            <w:noProof/>
            <w:sz w:val="22"/>
            <w:szCs w:val="22"/>
          </w:rPr>
          <w:tab/>
        </w:r>
        <w:r w:rsidRPr="003E6FB0">
          <w:rPr>
            <w:rStyle w:val="Hyperlink"/>
            <w:noProof/>
          </w:rPr>
          <w:t>Rate Freeze</w:t>
        </w:r>
        <w:r>
          <w:rPr>
            <w:noProof/>
            <w:webHidden/>
          </w:rPr>
          <w:tab/>
        </w:r>
        <w:r>
          <w:rPr>
            <w:noProof/>
            <w:webHidden/>
          </w:rPr>
          <w:fldChar w:fldCharType="begin"/>
        </w:r>
        <w:r>
          <w:rPr>
            <w:noProof/>
            <w:webHidden/>
          </w:rPr>
          <w:instrText xml:space="preserve"> PAGEREF _Toc80777720 \h </w:instrText>
        </w:r>
        <w:r>
          <w:rPr>
            <w:noProof/>
            <w:webHidden/>
          </w:rPr>
          <w:fldChar w:fldCharType="separate"/>
        </w:r>
        <w:r>
          <w:rPr>
            <w:noProof/>
            <w:webHidden/>
          </w:rPr>
          <w:t>2</w:t>
        </w:r>
        <w:r>
          <w:rPr>
            <w:noProof/>
            <w:webHidden/>
          </w:rPr>
          <w:fldChar w:fldCharType="end"/>
        </w:r>
      </w:hyperlink>
    </w:p>
    <w:p w:rsidR="00052622" w14:paraId="4491FDF8" w14:textId="5FE7F05A">
      <w:pPr>
        <w:pStyle w:val="TOC3"/>
        <w:rPr>
          <w:rFonts w:asciiTheme="minorHAnsi" w:eastAsiaTheme="minorEastAsia" w:hAnsiTheme="minorHAnsi" w:cstheme="minorBidi"/>
          <w:noProof/>
          <w:sz w:val="22"/>
          <w:szCs w:val="22"/>
        </w:rPr>
      </w:pPr>
      <w:hyperlink w:anchor="_Toc80777721" w:history="1">
        <w:r w:rsidRPr="003E6FB0">
          <w:rPr>
            <w:rStyle w:val="Hyperlink"/>
            <w:noProof/>
          </w:rPr>
          <w:t>Objection 1. To protect consumers, the Staff Report should have recommended enforcement of the distribution rate freeze (no rate increase) that DP&amp;L agreed to as part of a settlement with OCC, the Staff, and others in its ESP 1 case because ESP 1 is currently in effect, and the settlement requires a base distribution rate freeze for the duration of ESP 1.</w:t>
        </w:r>
        <w:r>
          <w:rPr>
            <w:noProof/>
            <w:webHidden/>
          </w:rPr>
          <w:tab/>
        </w:r>
        <w:r>
          <w:rPr>
            <w:noProof/>
            <w:webHidden/>
          </w:rPr>
          <w:fldChar w:fldCharType="begin"/>
        </w:r>
        <w:r>
          <w:rPr>
            <w:noProof/>
            <w:webHidden/>
          </w:rPr>
          <w:instrText xml:space="preserve"> PAGEREF _Toc80777721 \h </w:instrText>
        </w:r>
        <w:r>
          <w:rPr>
            <w:noProof/>
            <w:webHidden/>
          </w:rPr>
          <w:fldChar w:fldCharType="separate"/>
        </w:r>
        <w:r>
          <w:rPr>
            <w:noProof/>
            <w:webHidden/>
          </w:rPr>
          <w:t>2</w:t>
        </w:r>
        <w:r>
          <w:rPr>
            <w:noProof/>
            <w:webHidden/>
          </w:rPr>
          <w:fldChar w:fldCharType="end"/>
        </w:r>
      </w:hyperlink>
    </w:p>
    <w:p w:rsidR="00052622" w14:paraId="2FC8DB1A" w14:textId="582BC22B">
      <w:pPr>
        <w:pStyle w:val="TOC2"/>
        <w:rPr>
          <w:rFonts w:asciiTheme="minorHAnsi" w:eastAsiaTheme="minorEastAsia" w:hAnsiTheme="minorHAnsi" w:cstheme="minorBidi"/>
          <w:noProof/>
          <w:sz w:val="22"/>
          <w:szCs w:val="22"/>
        </w:rPr>
      </w:pPr>
      <w:hyperlink w:anchor="_Toc80777722" w:history="1">
        <w:r w:rsidRPr="003E6FB0">
          <w:rPr>
            <w:rStyle w:val="Hyperlink"/>
            <w:noProof/>
          </w:rPr>
          <w:t>B.</w:t>
        </w:r>
        <w:r>
          <w:rPr>
            <w:rFonts w:asciiTheme="minorHAnsi" w:eastAsiaTheme="minorEastAsia" w:hAnsiTheme="minorHAnsi" w:cstheme="minorBidi"/>
            <w:noProof/>
            <w:sz w:val="22"/>
            <w:szCs w:val="22"/>
          </w:rPr>
          <w:tab/>
        </w:r>
        <w:r w:rsidRPr="003E6FB0">
          <w:rPr>
            <w:rStyle w:val="Hyperlink"/>
            <w:noProof/>
          </w:rPr>
          <w:t>Revenue Requirement</w:t>
        </w:r>
        <w:r>
          <w:rPr>
            <w:noProof/>
            <w:webHidden/>
          </w:rPr>
          <w:tab/>
        </w:r>
        <w:r>
          <w:rPr>
            <w:noProof/>
            <w:webHidden/>
          </w:rPr>
          <w:fldChar w:fldCharType="begin"/>
        </w:r>
        <w:r>
          <w:rPr>
            <w:noProof/>
            <w:webHidden/>
          </w:rPr>
          <w:instrText xml:space="preserve"> PAGEREF _Toc80777722 \h </w:instrText>
        </w:r>
        <w:r>
          <w:rPr>
            <w:noProof/>
            <w:webHidden/>
          </w:rPr>
          <w:fldChar w:fldCharType="separate"/>
        </w:r>
        <w:r>
          <w:rPr>
            <w:noProof/>
            <w:webHidden/>
          </w:rPr>
          <w:t>3</w:t>
        </w:r>
        <w:r>
          <w:rPr>
            <w:noProof/>
            <w:webHidden/>
          </w:rPr>
          <w:fldChar w:fldCharType="end"/>
        </w:r>
      </w:hyperlink>
    </w:p>
    <w:p w:rsidR="00052622" w14:paraId="478A3D47" w14:textId="1D946FB4">
      <w:pPr>
        <w:pStyle w:val="TOC3"/>
        <w:rPr>
          <w:rFonts w:asciiTheme="minorHAnsi" w:eastAsiaTheme="minorEastAsia" w:hAnsiTheme="minorHAnsi" w:cstheme="minorBidi"/>
          <w:noProof/>
          <w:sz w:val="22"/>
          <w:szCs w:val="22"/>
        </w:rPr>
      </w:pPr>
      <w:hyperlink w:anchor="_Toc80777723" w:history="1">
        <w:r w:rsidRPr="003E6FB0">
          <w:rPr>
            <w:rStyle w:val="Hyperlink"/>
            <w:noProof/>
          </w:rPr>
          <w:t>Objection 2. As a result of OCC’s other objections below (including OCC’s proposed changes to rate base, operating income, and rate of return), the Staff Report’s recommended rate increase of $61,115,418 to $66,665,151 is too high for consumers and would result in consumers paying unjust and unreasonable rates under R.C. 4905.22, 4909.15, 4909.154, 4909.17, and 4909.18.</w:t>
        </w:r>
        <w:r>
          <w:rPr>
            <w:noProof/>
            <w:webHidden/>
          </w:rPr>
          <w:tab/>
        </w:r>
        <w:r>
          <w:rPr>
            <w:noProof/>
            <w:webHidden/>
          </w:rPr>
          <w:fldChar w:fldCharType="begin"/>
        </w:r>
        <w:r>
          <w:rPr>
            <w:noProof/>
            <w:webHidden/>
          </w:rPr>
          <w:instrText xml:space="preserve"> PAGEREF _Toc80777723 \h </w:instrText>
        </w:r>
        <w:r>
          <w:rPr>
            <w:noProof/>
            <w:webHidden/>
          </w:rPr>
          <w:fldChar w:fldCharType="separate"/>
        </w:r>
        <w:r>
          <w:rPr>
            <w:noProof/>
            <w:webHidden/>
          </w:rPr>
          <w:t>3</w:t>
        </w:r>
        <w:r>
          <w:rPr>
            <w:noProof/>
            <w:webHidden/>
          </w:rPr>
          <w:fldChar w:fldCharType="end"/>
        </w:r>
      </w:hyperlink>
    </w:p>
    <w:p w:rsidR="00052622" w14:paraId="1D5D958D" w14:textId="6EF87D71">
      <w:pPr>
        <w:pStyle w:val="TOC3"/>
        <w:rPr>
          <w:rFonts w:asciiTheme="minorHAnsi" w:eastAsiaTheme="minorEastAsia" w:hAnsiTheme="minorHAnsi" w:cstheme="minorBidi"/>
          <w:noProof/>
          <w:sz w:val="22"/>
          <w:szCs w:val="22"/>
        </w:rPr>
      </w:pPr>
      <w:hyperlink w:anchor="_Toc80777724" w:history="1">
        <w:r w:rsidRPr="003E6FB0">
          <w:rPr>
            <w:rStyle w:val="Hyperlink"/>
            <w:noProof/>
          </w:rPr>
          <w:t>Objection 3. The Staff Report failed to consider the adverse impact of its proposed $61,115,418 to $66,665,151 rate increase on residential consumers, including at-risk consumers who can face loss of electric service because of their inability to pay for unreasonable rates.</w:t>
        </w:r>
        <w:r>
          <w:rPr>
            <w:noProof/>
            <w:webHidden/>
          </w:rPr>
          <w:tab/>
        </w:r>
        <w:r>
          <w:rPr>
            <w:noProof/>
            <w:webHidden/>
          </w:rPr>
          <w:fldChar w:fldCharType="begin"/>
        </w:r>
        <w:r>
          <w:rPr>
            <w:noProof/>
            <w:webHidden/>
          </w:rPr>
          <w:instrText xml:space="preserve"> PAGEREF _Toc80777724 \h </w:instrText>
        </w:r>
        <w:r>
          <w:rPr>
            <w:noProof/>
            <w:webHidden/>
          </w:rPr>
          <w:fldChar w:fldCharType="separate"/>
        </w:r>
        <w:r>
          <w:rPr>
            <w:noProof/>
            <w:webHidden/>
          </w:rPr>
          <w:t>3</w:t>
        </w:r>
        <w:r>
          <w:rPr>
            <w:noProof/>
            <w:webHidden/>
          </w:rPr>
          <w:fldChar w:fldCharType="end"/>
        </w:r>
      </w:hyperlink>
    </w:p>
    <w:p w:rsidR="00052622" w14:paraId="2A3F0403" w14:textId="5A63614C">
      <w:pPr>
        <w:pStyle w:val="TOC2"/>
        <w:rPr>
          <w:rFonts w:asciiTheme="minorHAnsi" w:eastAsiaTheme="minorEastAsia" w:hAnsiTheme="minorHAnsi" w:cstheme="minorBidi"/>
          <w:noProof/>
          <w:sz w:val="22"/>
          <w:szCs w:val="22"/>
        </w:rPr>
      </w:pPr>
      <w:hyperlink w:anchor="_Toc80777725" w:history="1">
        <w:r w:rsidRPr="003E6FB0">
          <w:rPr>
            <w:rStyle w:val="Hyperlink"/>
            <w:noProof/>
          </w:rPr>
          <w:t>C.</w:t>
        </w:r>
        <w:r>
          <w:rPr>
            <w:rFonts w:asciiTheme="minorHAnsi" w:eastAsiaTheme="minorEastAsia" w:hAnsiTheme="minorHAnsi" w:cstheme="minorBidi"/>
            <w:noProof/>
            <w:sz w:val="22"/>
            <w:szCs w:val="22"/>
          </w:rPr>
          <w:tab/>
        </w:r>
        <w:r w:rsidRPr="003E6FB0">
          <w:rPr>
            <w:rStyle w:val="Hyperlink"/>
            <w:noProof/>
          </w:rPr>
          <w:t>Rate Base</w:t>
        </w:r>
        <w:r>
          <w:rPr>
            <w:noProof/>
            <w:webHidden/>
          </w:rPr>
          <w:tab/>
        </w:r>
        <w:r>
          <w:rPr>
            <w:noProof/>
            <w:webHidden/>
          </w:rPr>
          <w:fldChar w:fldCharType="begin"/>
        </w:r>
        <w:r>
          <w:rPr>
            <w:noProof/>
            <w:webHidden/>
          </w:rPr>
          <w:instrText xml:space="preserve"> PAGEREF _Toc80777725 \h </w:instrText>
        </w:r>
        <w:r>
          <w:rPr>
            <w:noProof/>
            <w:webHidden/>
          </w:rPr>
          <w:fldChar w:fldCharType="separate"/>
        </w:r>
        <w:r>
          <w:rPr>
            <w:noProof/>
            <w:webHidden/>
          </w:rPr>
          <w:t>5</w:t>
        </w:r>
        <w:r>
          <w:rPr>
            <w:noProof/>
            <w:webHidden/>
          </w:rPr>
          <w:fldChar w:fldCharType="end"/>
        </w:r>
      </w:hyperlink>
    </w:p>
    <w:p w:rsidR="00052622" w14:paraId="4E89ACFF" w14:textId="024F4787">
      <w:pPr>
        <w:pStyle w:val="TOC3"/>
        <w:rPr>
          <w:rFonts w:asciiTheme="minorHAnsi" w:eastAsiaTheme="minorEastAsia" w:hAnsiTheme="minorHAnsi" w:cstheme="minorBidi"/>
          <w:noProof/>
          <w:sz w:val="22"/>
          <w:szCs w:val="22"/>
        </w:rPr>
      </w:pPr>
      <w:hyperlink w:anchor="_Toc80777726" w:history="1">
        <w:r w:rsidRPr="003E6FB0">
          <w:rPr>
            <w:rStyle w:val="Hyperlink"/>
            <w:noProof/>
          </w:rPr>
          <w:t>Objection 4. The Staff Report erred by not recommending that capitalized incentive compensation be removed from Plant In Service, which will lead to higher rates charged to consumers.</w:t>
        </w:r>
        <w:r>
          <w:rPr>
            <w:noProof/>
            <w:webHidden/>
          </w:rPr>
          <w:tab/>
        </w:r>
        <w:r>
          <w:rPr>
            <w:noProof/>
            <w:webHidden/>
          </w:rPr>
          <w:fldChar w:fldCharType="begin"/>
        </w:r>
        <w:r>
          <w:rPr>
            <w:noProof/>
            <w:webHidden/>
          </w:rPr>
          <w:instrText xml:space="preserve"> PAGEREF _Toc80777726 \h </w:instrText>
        </w:r>
        <w:r>
          <w:rPr>
            <w:noProof/>
            <w:webHidden/>
          </w:rPr>
          <w:fldChar w:fldCharType="separate"/>
        </w:r>
        <w:r>
          <w:rPr>
            <w:noProof/>
            <w:webHidden/>
          </w:rPr>
          <w:t>5</w:t>
        </w:r>
        <w:r>
          <w:rPr>
            <w:noProof/>
            <w:webHidden/>
          </w:rPr>
          <w:fldChar w:fldCharType="end"/>
        </w:r>
      </w:hyperlink>
    </w:p>
    <w:p w:rsidR="00052622" w14:paraId="12BE9E89" w14:textId="4C240EDE">
      <w:pPr>
        <w:pStyle w:val="TOC3"/>
        <w:rPr>
          <w:rFonts w:asciiTheme="minorHAnsi" w:eastAsiaTheme="minorEastAsia" w:hAnsiTheme="minorHAnsi" w:cstheme="minorBidi"/>
          <w:noProof/>
          <w:sz w:val="22"/>
          <w:szCs w:val="22"/>
        </w:rPr>
      </w:pPr>
      <w:hyperlink w:anchor="_Toc80777727" w:history="1">
        <w:r w:rsidRPr="003E6FB0">
          <w:rPr>
            <w:rStyle w:val="Hyperlink"/>
            <w:noProof/>
          </w:rPr>
          <w:t>Objection 5. The Staff Report erred by not making a plant in service adjustment to exclude $16.8 million in improper capitalized storm costs.</w:t>
        </w:r>
        <w:r>
          <w:rPr>
            <w:noProof/>
            <w:webHidden/>
          </w:rPr>
          <w:tab/>
        </w:r>
        <w:r>
          <w:rPr>
            <w:noProof/>
            <w:webHidden/>
          </w:rPr>
          <w:fldChar w:fldCharType="begin"/>
        </w:r>
        <w:r>
          <w:rPr>
            <w:noProof/>
            <w:webHidden/>
          </w:rPr>
          <w:instrText xml:space="preserve"> PAGEREF _Toc80777727 \h </w:instrText>
        </w:r>
        <w:r>
          <w:rPr>
            <w:noProof/>
            <w:webHidden/>
          </w:rPr>
          <w:fldChar w:fldCharType="separate"/>
        </w:r>
        <w:r>
          <w:rPr>
            <w:noProof/>
            <w:webHidden/>
          </w:rPr>
          <w:t>6</w:t>
        </w:r>
        <w:r>
          <w:rPr>
            <w:noProof/>
            <w:webHidden/>
          </w:rPr>
          <w:fldChar w:fldCharType="end"/>
        </w:r>
      </w:hyperlink>
    </w:p>
    <w:p w:rsidR="00052622" w14:paraId="35D4B6D3" w14:textId="66B343A1">
      <w:pPr>
        <w:pStyle w:val="TOC3"/>
        <w:rPr>
          <w:rFonts w:asciiTheme="minorHAnsi" w:eastAsiaTheme="minorEastAsia" w:hAnsiTheme="minorHAnsi" w:cstheme="minorBidi"/>
          <w:noProof/>
          <w:sz w:val="22"/>
          <w:szCs w:val="22"/>
        </w:rPr>
      </w:pPr>
      <w:hyperlink w:anchor="_Toc80777728" w:history="1">
        <w:r w:rsidRPr="003E6FB0">
          <w:rPr>
            <w:rStyle w:val="Hyperlink"/>
            <w:noProof/>
          </w:rPr>
          <w:t>Objection 6. The Staff Report erred by not recommending depreciation reserve adjustments based on OCC’s recommended storm cost and capitalized incentive adjustments.</w:t>
        </w:r>
        <w:r>
          <w:rPr>
            <w:noProof/>
            <w:webHidden/>
          </w:rPr>
          <w:tab/>
        </w:r>
        <w:r>
          <w:rPr>
            <w:noProof/>
            <w:webHidden/>
          </w:rPr>
          <w:fldChar w:fldCharType="begin"/>
        </w:r>
        <w:r>
          <w:rPr>
            <w:noProof/>
            <w:webHidden/>
          </w:rPr>
          <w:instrText xml:space="preserve"> PAGEREF _Toc80777728 \h </w:instrText>
        </w:r>
        <w:r>
          <w:rPr>
            <w:noProof/>
            <w:webHidden/>
          </w:rPr>
          <w:fldChar w:fldCharType="separate"/>
        </w:r>
        <w:r>
          <w:rPr>
            <w:noProof/>
            <w:webHidden/>
          </w:rPr>
          <w:t>6</w:t>
        </w:r>
        <w:r>
          <w:rPr>
            <w:noProof/>
            <w:webHidden/>
          </w:rPr>
          <w:fldChar w:fldCharType="end"/>
        </w:r>
      </w:hyperlink>
    </w:p>
    <w:p w:rsidR="00052622" w14:paraId="3C769A50" w14:textId="389DD806">
      <w:pPr>
        <w:pStyle w:val="TOC2"/>
        <w:rPr>
          <w:rFonts w:asciiTheme="minorHAnsi" w:eastAsiaTheme="minorEastAsia" w:hAnsiTheme="minorHAnsi" w:cstheme="minorBidi"/>
          <w:noProof/>
          <w:sz w:val="22"/>
          <w:szCs w:val="22"/>
        </w:rPr>
      </w:pPr>
      <w:hyperlink w:anchor="_Toc80777729" w:history="1">
        <w:r w:rsidRPr="003E6FB0">
          <w:rPr>
            <w:rStyle w:val="Hyperlink"/>
            <w:noProof/>
          </w:rPr>
          <w:t>D.</w:t>
        </w:r>
        <w:r>
          <w:rPr>
            <w:rFonts w:asciiTheme="minorHAnsi" w:eastAsiaTheme="minorEastAsia" w:hAnsiTheme="minorHAnsi" w:cstheme="minorBidi"/>
            <w:noProof/>
            <w:sz w:val="22"/>
            <w:szCs w:val="22"/>
          </w:rPr>
          <w:tab/>
        </w:r>
        <w:r w:rsidRPr="003E6FB0">
          <w:rPr>
            <w:rStyle w:val="Hyperlink"/>
            <w:noProof/>
          </w:rPr>
          <w:t>Operating Income</w:t>
        </w:r>
        <w:r>
          <w:rPr>
            <w:noProof/>
            <w:webHidden/>
          </w:rPr>
          <w:tab/>
        </w:r>
        <w:r>
          <w:rPr>
            <w:noProof/>
            <w:webHidden/>
          </w:rPr>
          <w:fldChar w:fldCharType="begin"/>
        </w:r>
        <w:r>
          <w:rPr>
            <w:noProof/>
            <w:webHidden/>
          </w:rPr>
          <w:instrText xml:space="preserve"> PAGEREF _Toc80777729 \h </w:instrText>
        </w:r>
        <w:r>
          <w:rPr>
            <w:noProof/>
            <w:webHidden/>
          </w:rPr>
          <w:fldChar w:fldCharType="separate"/>
        </w:r>
        <w:r>
          <w:rPr>
            <w:noProof/>
            <w:webHidden/>
          </w:rPr>
          <w:t>7</w:t>
        </w:r>
        <w:r>
          <w:rPr>
            <w:noProof/>
            <w:webHidden/>
          </w:rPr>
          <w:fldChar w:fldCharType="end"/>
        </w:r>
      </w:hyperlink>
    </w:p>
    <w:p w:rsidR="00052622" w14:paraId="2D0ACADA" w14:textId="7A16020E">
      <w:pPr>
        <w:pStyle w:val="TOC3"/>
        <w:rPr>
          <w:rFonts w:asciiTheme="minorHAnsi" w:eastAsiaTheme="minorEastAsia" w:hAnsiTheme="minorHAnsi" w:cstheme="minorBidi"/>
          <w:noProof/>
          <w:sz w:val="22"/>
          <w:szCs w:val="22"/>
        </w:rPr>
      </w:pPr>
      <w:hyperlink w:anchor="_Toc80777730" w:history="1">
        <w:r w:rsidRPr="003E6FB0">
          <w:rPr>
            <w:rStyle w:val="Hyperlink"/>
            <w:noProof/>
          </w:rPr>
          <w:t>Objection 7. The Staff Report erred by only recommending that $14,534 associated with dues and memberships be removed from test year expenses, when instead, at least $241,572 should be removed from test year O&amp;M expenses.</w:t>
        </w:r>
        <w:r>
          <w:rPr>
            <w:noProof/>
            <w:webHidden/>
          </w:rPr>
          <w:tab/>
        </w:r>
        <w:r>
          <w:rPr>
            <w:noProof/>
            <w:webHidden/>
          </w:rPr>
          <w:fldChar w:fldCharType="begin"/>
        </w:r>
        <w:r>
          <w:rPr>
            <w:noProof/>
            <w:webHidden/>
          </w:rPr>
          <w:instrText xml:space="preserve"> PAGEREF _Toc80777730 \h </w:instrText>
        </w:r>
        <w:r>
          <w:rPr>
            <w:noProof/>
            <w:webHidden/>
          </w:rPr>
          <w:fldChar w:fldCharType="separate"/>
        </w:r>
        <w:r>
          <w:rPr>
            <w:noProof/>
            <w:webHidden/>
          </w:rPr>
          <w:t>7</w:t>
        </w:r>
        <w:r>
          <w:rPr>
            <w:noProof/>
            <w:webHidden/>
          </w:rPr>
          <w:fldChar w:fldCharType="end"/>
        </w:r>
      </w:hyperlink>
    </w:p>
    <w:p w:rsidR="00052622" w14:paraId="1214D43B" w14:textId="11352093">
      <w:pPr>
        <w:pStyle w:val="TOC3"/>
        <w:rPr>
          <w:rFonts w:asciiTheme="minorHAnsi" w:eastAsiaTheme="minorEastAsia" w:hAnsiTheme="minorHAnsi" w:cstheme="minorBidi"/>
          <w:noProof/>
          <w:sz w:val="22"/>
          <w:szCs w:val="22"/>
        </w:rPr>
      </w:pPr>
      <w:hyperlink w:anchor="_Toc80777731" w:history="1">
        <w:r w:rsidRPr="003E6FB0">
          <w:rPr>
            <w:rStyle w:val="Hyperlink"/>
            <w:noProof/>
          </w:rPr>
          <w:t>Objection 8. The Staff Report erred by not recommending depreciation expense adjustments based on OCC’s recommended storm cost and capitalized incentive adjustments.</w:t>
        </w:r>
        <w:r>
          <w:rPr>
            <w:noProof/>
            <w:webHidden/>
          </w:rPr>
          <w:tab/>
        </w:r>
        <w:r>
          <w:rPr>
            <w:noProof/>
            <w:webHidden/>
          </w:rPr>
          <w:fldChar w:fldCharType="begin"/>
        </w:r>
        <w:r>
          <w:rPr>
            <w:noProof/>
            <w:webHidden/>
          </w:rPr>
          <w:instrText xml:space="preserve"> PAGEREF _Toc80777731 \h </w:instrText>
        </w:r>
        <w:r>
          <w:rPr>
            <w:noProof/>
            <w:webHidden/>
          </w:rPr>
          <w:fldChar w:fldCharType="separate"/>
        </w:r>
        <w:r>
          <w:rPr>
            <w:noProof/>
            <w:webHidden/>
          </w:rPr>
          <w:t>7</w:t>
        </w:r>
        <w:r>
          <w:rPr>
            <w:noProof/>
            <w:webHidden/>
          </w:rPr>
          <w:fldChar w:fldCharType="end"/>
        </w:r>
      </w:hyperlink>
    </w:p>
    <w:p w:rsidR="00052622" w14:paraId="441E9667" w14:textId="09671C92">
      <w:pPr>
        <w:pStyle w:val="TOC3"/>
        <w:rPr>
          <w:rFonts w:asciiTheme="minorHAnsi" w:eastAsiaTheme="minorEastAsia" w:hAnsiTheme="minorHAnsi" w:cstheme="minorBidi"/>
          <w:noProof/>
          <w:sz w:val="22"/>
          <w:szCs w:val="22"/>
        </w:rPr>
      </w:pPr>
      <w:hyperlink w:anchor="_Toc80777732" w:history="1">
        <w:r w:rsidRPr="003E6FB0">
          <w:rPr>
            <w:rStyle w:val="Hyperlink"/>
            <w:noProof/>
          </w:rPr>
          <w:t>Objection 9. OCC reserves the right to object to charges to consumers for DP&amp;L’s rate case expenses, which will be provided as a late-filed exhibit.</w:t>
        </w:r>
        <w:r>
          <w:rPr>
            <w:noProof/>
            <w:webHidden/>
          </w:rPr>
          <w:tab/>
        </w:r>
        <w:r>
          <w:rPr>
            <w:noProof/>
            <w:webHidden/>
          </w:rPr>
          <w:fldChar w:fldCharType="begin"/>
        </w:r>
        <w:r>
          <w:rPr>
            <w:noProof/>
            <w:webHidden/>
          </w:rPr>
          <w:instrText xml:space="preserve"> PAGEREF _Toc80777732 \h </w:instrText>
        </w:r>
        <w:r>
          <w:rPr>
            <w:noProof/>
            <w:webHidden/>
          </w:rPr>
          <w:fldChar w:fldCharType="separate"/>
        </w:r>
        <w:r>
          <w:rPr>
            <w:noProof/>
            <w:webHidden/>
          </w:rPr>
          <w:t>8</w:t>
        </w:r>
        <w:r>
          <w:rPr>
            <w:noProof/>
            <w:webHidden/>
          </w:rPr>
          <w:fldChar w:fldCharType="end"/>
        </w:r>
      </w:hyperlink>
    </w:p>
    <w:p w:rsidR="00052622" w14:paraId="647CC562" w14:textId="238210A2">
      <w:pPr>
        <w:pStyle w:val="TOC3"/>
        <w:rPr>
          <w:rFonts w:asciiTheme="minorHAnsi" w:eastAsiaTheme="minorEastAsia" w:hAnsiTheme="minorHAnsi" w:cstheme="minorBidi"/>
          <w:noProof/>
          <w:sz w:val="22"/>
          <w:szCs w:val="22"/>
        </w:rPr>
      </w:pPr>
      <w:hyperlink w:anchor="_Toc80777733" w:history="1">
        <w:r w:rsidRPr="003E6FB0">
          <w:rPr>
            <w:rStyle w:val="Hyperlink"/>
            <w:noProof/>
          </w:rPr>
          <w:t>Objection 10. The PUCO Staff erred by making an adjustment to decrease test year operating income revenues by $5,019,523 without explanation or justification.</w:t>
        </w:r>
        <w:r>
          <w:rPr>
            <w:noProof/>
            <w:webHidden/>
          </w:rPr>
          <w:tab/>
        </w:r>
        <w:r>
          <w:rPr>
            <w:noProof/>
            <w:webHidden/>
          </w:rPr>
          <w:fldChar w:fldCharType="begin"/>
        </w:r>
        <w:r>
          <w:rPr>
            <w:noProof/>
            <w:webHidden/>
          </w:rPr>
          <w:instrText xml:space="preserve"> PAGEREF _Toc80777733 \h </w:instrText>
        </w:r>
        <w:r>
          <w:rPr>
            <w:noProof/>
            <w:webHidden/>
          </w:rPr>
          <w:fldChar w:fldCharType="separate"/>
        </w:r>
        <w:r>
          <w:rPr>
            <w:noProof/>
            <w:webHidden/>
          </w:rPr>
          <w:t>8</w:t>
        </w:r>
        <w:r>
          <w:rPr>
            <w:noProof/>
            <w:webHidden/>
          </w:rPr>
          <w:fldChar w:fldCharType="end"/>
        </w:r>
      </w:hyperlink>
    </w:p>
    <w:p w:rsidR="00052622" w14:paraId="21AD23E2" w14:textId="695D7F1B">
      <w:pPr>
        <w:pStyle w:val="TOC3"/>
        <w:rPr>
          <w:rFonts w:asciiTheme="minorHAnsi" w:eastAsiaTheme="minorEastAsia" w:hAnsiTheme="minorHAnsi" w:cstheme="minorBidi"/>
          <w:noProof/>
          <w:sz w:val="22"/>
          <w:szCs w:val="22"/>
        </w:rPr>
      </w:pPr>
      <w:hyperlink w:anchor="_Toc80777734" w:history="1">
        <w:r w:rsidRPr="003E6FB0">
          <w:rPr>
            <w:rStyle w:val="Hyperlink"/>
            <w:noProof/>
          </w:rPr>
          <w:t>Objection 11. The Staff Report erred by not making an adjustment to the unadjusted test year expenses to remove $952,488 in travel and entertainment savings arising from the coronavirus pandemic.</w:t>
        </w:r>
        <w:r>
          <w:rPr>
            <w:noProof/>
            <w:webHidden/>
          </w:rPr>
          <w:tab/>
        </w:r>
        <w:r>
          <w:rPr>
            <w:noProof/>
            <w:webHidden/>
          </w:rPr>
          <w:fldChar w:fldCharType="begin"/>
        </w:r>
        <w:r>
          <w:rPr>
            <w:noProof/>
            <w:webHidden/>
          </w:rPr>
          <w:instrText xml:space="preserve"> PAGEREF _Toc80777734 \h </w:instrText>
        </w:r>
        <w:r>
          <w:rPr>
            <w:noProof/>
            <w:webHidden/>
          </w:rPr>
          <w:fldChar w:fldCharType="separate"/>
        </w:r>
        <w:r>
          <w:rPr>
            <w:noProof/>
            <w:webHidden/>
          </w:rPr>
          <w:t>8</w:t>
        </w:r>
        <w:r>
          <w:rPr>
            <w:noProof/>
            <w:webHidden/>
          </w:rPr>
          <w:fldChar w:fldCharType="end"/>
        </w:r>
      </w:hyperlink>
    </w:p>
    <w:p w:rsidR="00052622" w14:paraId="0A46626E" w14:textId="1D9E25BF">
      <w:pPr>
        <w:pStyle w:val="TOC3"/>
        <w:rPr>
          <w:rFonts w:asciiTheme="minorHAnsi" w:eastAsiaTheme="minorEastAsia" w:hAnsiTheme="minorHAnsi" w:cstheme="minorBidi"/>
          <w:noProof/>
          <w:sz w:val="22"/>
          <w:szCs w:val="22"/>
        </w:rPr>
      </w:pPr>
      <w:hyperlink w:anchor="_Toc80777735" w:history="1">
        <w:r w:rsidRPr="003E6FB0">
          <w:rPr>
            <w:rStyle w:val="Hyperlink"/>
            <w:noProof/>
          </w:rPr>
          <w:t>Objection 12. The Staff Report erred by recommending a $1.8 million increase in the baseline expense for vegetation management without any analysis or support and without any requirement for DP&amp;L to improve reliability.</w:t>
        </w:r>
        <w:r>
          <w:rPr>
            <w:noProof/>
            <w:webHidden/>
          </w:rPr>
          <w:tab/>
        </w:r>
        <w:r>
          <w:rPr>
            <w:noProof/>
            <w:webHidden/>
          </w:rPr>
          <w:fldChar w:fldCharType="begin"/>
        </w:r>
        <w:r>
          <w:rPr>
            <w:noProof/>
            <w:webHidden/>
          </w:rPr>
          <w:instrText xml:space="preserve"> PAGEREF _Toc80777735 \h </w:instrText>
        </w:r>
        <w:r>
          <w:rPr>
            <w:noProof/>
            <w:webHidden/>
          </w:rPr>
          <w:fldChar w:fldCharType="separate"/>
        </w:r>
        <w:r>
          <w:rPr>
            <w:noProof/>
            <w:webHidden/>
          </w:rPr>
          <w:t>9</w:t>
        </w:r>
        <w:r>
          <w:rPr>
            <w:noProof/>
            <w:webHidden/>
          </w:rPr>
          <w:fldChar w:fldCharType="end"/>
        </w:r>
      </w:hyperlink>
    </w:p>
    <w:p w:rsidR="00052622" w14:paraId="493ADAD2" w14:textId="7CC7E04F">
      <w:pPr>
        <w:pStyle w:val="TOC3"/>
        <w:rPr>
          <w:rFonts w:asciiTheme="minorHAnsi" w:eastAsiaTheme="minorEastAsia" w:hAnsiTheme="minorHAnsi" w:cstheme="minorBidi"/>
          <w:noProof/>
          <w:sz w:val="22"/>
          <w:szCs w:val="22"/>
        </w:rPr>
      </w:pPr>
      <w:hyperlink w:anchor="_Toc80777736" w:history="1">
        <w:r w:rsidRPr="003E6FB0">
          <w:rPr>
            <w:rStyle w:val="Hyperlink"/>
            <w:noProof/>
          </w:rPr>
          <w:t>Objection 13. The Staff Report erred by recommending that consumers pay $2.75 million per year for DP&amp;L’s deferred vegetation management expenses.</w:t>
        </w:r>
        <w:r>
          <w:rPr>
            <w:noProof/>
            <w:webHidden/>
          </w:rPr>
          <w:tab/>
        </w:r>
        <w:r>
          <w:rPr>
            <w:noProof/>
            <w:webHidden/>
          </w:rPr>
          <w:fldChar w:fldCharType="begin"/>
        </w:r>
        <w:r>
          <w:rPr>
            <w:noProof/>
            <w:webHidden/>
          </w:rPr>
          <w:instrText xml:space="preserve"> PAGEREF _Toc80777736 \h </w:instrText>
        </w:r>
        <w:r>
          <w:rPr>
            <w:noProof/>
            <w:webHidden/>
          </w:rPr>
          <w:fldChar w:fldCharType="separate"/>
        </w:r>
        <w:r>
          <w:rPr>
            <w:noProof/>
            <w:webHidden/>
          </w:rPr>
          <w:t>9</w:t>
        </w:r>
        <w:r>
          <w:rPr>
            <w:noProof/>
            <w:webHidden/>
          </w:rPr>
          <w:fldChar w:fldCharType="end"/>
        </w:r>
      </w:hyperlink>
    </w:p>
    <w:p w:rsidR="00052622" w14:paraId="71E9815A" w14:textId="6EF858B6">
      <w:pPr>
        <w:pStyle w:val="TOC3"/>
        <w:rPr>
          <w:rFonts w:asciiTheme="minorHAnsi" w:eastAsiaTheme="minorEastAsia" w:hAnsiTheme="minorHAnsi" w:cstheme="minorBidi"/>
          <w:noProof/>
          <w:sz w:val="22"/>
          <w:szCs w:val="22"/>
        </w:rPr>
      </w:pPr>
      <w:hyperlink w:anchor="_Toc80777737" w:history="1">
        <w:r w:rsidRPr="003E6FB0">
          <w:rPr>
            <w:rStyle w:val="Hyperlink"/>
            <w:noProof/>
          </w:rPr>
          <w:t>Objection 14. The Staff Report erred by recommending that DP&amp;L be allowed to defer up to $5 million in vegetation management expenses, which could be charged to consumers later.</w:t>
        </w:r>
        <w:r>
          <w:rPr>
            <w:noProof/>
            <w:webHidden/>
          </w:rPr>
          <w:tab/>
        </w:r>
        <w:r>
          <w:rPr>
            <w:noProof/>
            <w:webHidden/>
          </w:rPr>
          <w:fldChar w:fldCharType="begin"/>
        </w:r>
        <w:r>
          <w:rPr>
            <w:noProof/>
            <w:webHidden/>
          </w:rPr>
          <w:instrText xml:space="preserve"> PAGEREF _Toc80777737 \h </w:instrText>
        </w:r>
        <w:r>
          <w:rPr>
            <w:noProof/>
            <w:webHidden/>
          </w:rPr>
          <w:fldChar w:fldCharType="separate"/>
        </w:r>
        <w:r>
          <w:rPr>
            <w:noProof/>
            <w:webHidden/>
          </w:rPr>
          <w:t>10</w:t>
        </w:r>
        <w:r>
          <w:rPr>
            <w:noProof/>
            <w:webHidden/>
          </w:rPr>
          <w:fldChar w:fldCharType="end"/>
        </w:r>
      </w:hyperlink>
    </w:p>
    <w:p w:rsidR="00052622" w14:paraId="26145C72" w14:textId="3DB86482">
      <w:pPr>
        <w:pStyle w:val="TOC2"/>
        <w:rPr>
          <w:rFonts w:asciiTheme="minorHAnsi" w:eastAsiaTheme="minorEastAsia" w:hAnsiTheme="minorHAnsi" w:cstheme="minorBidi"/>
          <w:noProof/>
          <w:sz w:val="22"/>
          <w:szCs w:val="22"/>
        </w:rPr>
      </w:pPr>
      <w:hyperlink w:anchor="_Toc80777738" w:history="1">
        <w:r w:rsidRPr="003E6FB0">
          <w:rPr>
            <w:rStyle w:val="Hyperlink"/>
            <w:noProof/>
          </w:rPr>
          <w:t>E.</w:t>
        </w:r>
        <w:r>
          <w:rPr>
            <w:rFonts w:asciiTheme="minorHAnsi" w:eastAsiaTheme="minorEastAsia" w:hAnsiTheme="minorHAnsi" w:cstheme="minorBidi"/>
            <w:noProof/>
            <w:sz w:val="22"/>
            <w:szCs w:val="22"/>
          </w:rPr>
          <w:tab/>
        </w:r>
        <w:r w:rsidRPr="003E6FB0">
          <w:rPr>
            <w:rStyle w:val="Hyperlink"/>
            <w:noProof/>
          </w:rPr>
          <w:t>Rate of Return</w:t>
        </w:r>
        <w:r>
          <w:rPr>
            <w:noProof/>
            <w:webHidden/>
          </w:rPr>
          <w:tab/>
        </w:r>
        <w:r>
          <w:rPr>
            <w:noProof/>
            <w:webHidden/>
          </w:rPr>
          <w:fldChar w:fldCharType="begin"/>
        </w:r>
        <w:r>
          <w:rPr>
            <w:noProof/>
            <w:webHidden/>
          </w:rPr>
          <w:instrText xml:space="preserve"> PAGEREF _Toc80777738 \h </w:instrText>
        </w:r>
        <w:r>
          <w:rPr>
            <w:noProof/>
            <w:webHidden/>
          </w:rPr>
          <w:fldChar w:fldCharType="separate"/>
        </w:r>
        <w:r>
          <w:rPr>
            <w:noProof/>
            <w:webHidden/>
          </w:rPr>
          <w:t>10</w:t>
        </w:r>
        <w:r>
          <w:rPr>
            <w:noProof/>
            <w:webHidden/>
          </w:rPr>
          <w:fldChar w:fldCharType="end"/>
        </w:r>
      </w:hyperlink>
    </w:p>
    <w:p w:rsidR="00052622" w14:paraId="762B59E7" w14:textId="45117DA7">
      <w:pPr>
        <w:pStyle w:val="TOC3"/>
        <w:rPr>
          <w:rFonts w:asciiTheme="minorHAnsi" w:eastAsiaTheme="minorEastAsia" w:hAnsiTheme="minorHAnsi" w:cstheme="minorBidi"/>
          <w:noProof/>
          <w:sz w:val="22"/>
          <w:szCs w:val="22"/>
        </w:rPr>
      </w:pPr>
      <w:hyperlink w:anchor="_Toc80777739" w:history="1">
        <w:r w:rsidRPr="003E6FB0">
          <w:rPr>
            <w:rStyle w:val="Hyperlink"/>
            <w:noProof/>
          </w:rPr>
          <w:t>Objection 15. The Staff Report erred by concluding that DP&amp;L’s capital structure is appropriate without consideration of the proxy group’s book value capital structure or other benchmarks such as the common equity ratio being awarded to electric utilities around the United States recently. The proxy group’s capital structure cannot be ignored since it is used to estimate DP&amp;L’s cost of equity. A more appropriate capital structure would be 52.89% common equity and 47.11% long-term debt.</w:t>
        </w:r>
        <w:r>
          <w:rPr>
            <w:noProof/>
            <w:webHidden/>
          </w:rPr>
          <w:tab/>
        </w:r>
        <w:r>
          <w:rPr>
            <w:noProof/>
            <w:webHidden/>
          </w:rPr>
          <w:fldChar w:fldCharType="begin"/>
        </w:r>
        <w:r>
          <w:rPr>
            <w:noProof/>
            <w:webHidden/>
          </w:rPr>
          <w:instrText xml:space="preserve"> PAGEREF _Toc80777739 \h </w:instrText>
        </w:r>
        <w:r>
          <w:rPr>
            <w:noProof/>
            <w:webHidden/>
          </w:rPr>
          <w:fldChar w:fldCharType="separate"/>
        </w:r>
        <w:r>
          <w:rPr>
            <w:noProof/>
            <w:webHidden/>
          </w:rPr>
          <w:t>10</w:t>
        </w:r>
        <w:r>
          <w:rPr>
            <w:noProof/>
            <w:webHidden/>
          </w:rPr>
          <w:fldChar w:fldCharType="end"/>
        </w:r>
      </w:hyperlink>
    </w:p>
    <w:p w:rsidR="00052622" w14:paraId="7824E09C" w14:textId="0E3CF15F">
      <w:pPr>
        <w:pStyle w:val="TOC3"/>
        <w:rPr>
          <w:rFonts w:asciiTheme="minorHAnsi" w:eastAsiaTheme="minorEastAsia" w:hAnsiTheme="minorHAnsi" w:cstheme="minorBidi"/>
          <w:noProof/>
          <w:sz w:val="22"/>
          <w:szCs w:val="22"/>
        </w:rPr>
      </w:pPr>
      <w:hyperlink w:anchor="_Toc80777740" w:history="1">
        <w:r w:rsidRPr="003E6FB0">
          <w:rPr>
            <w:rStyle w:val="Hyperlink"/>
            <w:noProof/>
          </w:rPr>
          <w:t>Objection 16. The Staff Report erred by only relying on Value Line as a source for beta estimates to use in its CAPM without consideration of other sources as a check on the reasonableness of Value Line’s betas. The Staff’s beta estimates are abnormally high, are being heavily influenced by market volatility experienced in 2020 as a result of the anomalous event of the pandemic caused by COVID-19, and do not necessarily capture investor expectations.</w:t>
        </w:r>
        <w:r>
          <w:rPr>
            <w:noProof/>
            <w:webHidden/>
          </w:rPr>
          <w:tab/>
        </w:r>
        <w:r>
          <w:rPr>
            <w:noProof/>
            <w:webHidden/>
          </w:rPr>
          <w:fldChar w:fldCharType="begin"/>
        </w:r>
        <w:r>
          <w:rPr>
            <w:noProof/>
            <w:webHidden/>
          </w:rPr>
          <w:instrText xml:space="preserve"> PAGEREF _Toc80777740 \h </w:instrText>
        </w:r>
        <w:r>
          <w:rPr>
            <w:noProof/>
            <w:webHidden/>
          </w:rPr>
          <w:fldChar w:fldCharType="separate"/>
        </w:r>
        <w:r>
          <w:rPr>
            <w:noProof/>
            <w:webHidden/>
          </w:rPr>
          <w:t>11</w:t>
        </w:r>
        <w:r>
          <w:rPr>
            <w:noProof/>
            <w:webHidden/>
          </w:rPr>
          <w:fldChar w:fldCharType="end"/>
        </w:r>
      </w:hyperlink>
    </w:p>
    <w:p w:rsidR="00052622" w14:paraId="39C9BDE1" w14:textId="1AE0ABDE">
      <w:pPr>
        <w:pStyle w:val="TOC3"/>
        <w:rPr>
          <w:rFonts w:asciiTheme="minorHAnsi" w:eastAsiaTheme="minorEastAsia" w:hAnsiTheme="minorHAnsi" w:cstheme="minorBidi"/>
          <w:noProof/>
          <w:sz w:val="22"/>
          <w:szCs w:val="22"/>
        </w:rPr>
      </w:pPr>
      <w:hyperlink w:anchor="_Toc80777741" w:history="1">
        <w:r w:rsidRPr="003E6FB0">
          <w:rPr>
            <w:rStyle w:val="Hyperlink"/>
            <w:noProof/>
          </w:rPr>
          <w:t>Objection 17. The Staff Report erred by relying on the average of 10-year and 30-year Treasury yields over a 15-year historical period ending January 2021 as a proxy for the risk-free rate in its CAPM. The Staff’s method of estimating the risk-free rate is arbitrary and not shown to be based on investor expectations.</w:t>
        </w:r>
        <w:r>
          <w:rPr>
            <w:noProof/>
            <w:webHidden/>
          </w:rPr>
          <w:tab/>
        </w:r>
        <w:r>
          <w:rPr>
            <w:noProof/>
            <w:webHidden/>
          </w:rPr>
          <w:fldChar w:fldCharType="begin"/>
        </w:r>
        <w:r>
          <w:rPr>
            <w:noProof/>
            <w:webHidden/>
          </w:rPr>
          <w:instrText xml:space="preserve"> PAGEREF _Toc80777741 \h </w:instrText>
        </w:r>
        <w:r>
          <w:rPr>
            <w:noProof/>
            <w:webHidden/>
          </w:rPr>
          <w:fldChar w:fldCharType="separate"/>
        </w:r>
        <w:r>
          <w:rPr>
            <w:noProof/>
            <w:webHidden/>
          </w:rPr>
          <w:t>11</w:t>
        </w:r>
        <w:r>
          <w:rPr>
            <w:noProof/>
            <w:webHidden/>
          </w:rPr>
          <w:fldChar w:fldCharType="end"/>
        </w:r>
      </w:hyperlink>
    </w:p>
    <w:p w:rsidR="00052622" w14:paraId="0B86284C" w14:textId="34EE8F30">
      <w:pPr>
        <w:pStyle w:val="TOC3"/>
        <w:rPr>
          <w:rFonts w:asciiTheme="minorHAnsi" w:eastAsiaTheme="minorEastAsia" w:hAnsiTheme="minorHAnsi" w:cstheme="minorBidi"/>
          <w:noProof/>
          <w:sz w:val="22"/>
          <w:szCs w:val="22"/>
        </w:rPr>
      </w:pPr>
      <w:hyperlink w:anchor="_Toc80777742" w:history="1">
        <w:r w:rsidRPr="003E6FB0">
          <w:rPr>
            <w:rStyle w:val="Hyperlink"/>
            <w:noProof/>
          </w:rPr>
          <w:t>Objection 18. The Staff Report erred by relying solely on a non-constant growth DCF while ignoring the constant growth DCF results it had produced. The average and median of the Staff’s constant growth DCF analysis are 8.93% and 9.10%, respectively.</w:t>
        </w:r>
        <w:r>
          <w:rPr>
            <w:noProof/>
            <w:webHidden/>
          </w:rPr>
          <w:tab/>
        </w:r>
        <w:r>
          <w:rPr>
            <w:noProof/>
            <w:webHidden/>
          </w:rPr>
          <w:fldChar w:fldCharType="begin"/>
        </w:r>
        <w:r>
          <w:rPr>
            <w:noProof/>
            <w:webHidden/>
          </w:rPr>
          <w:instrText xml:space="preserve"> PAGEREF _Toc80777742 \h </w:instrText>
        </w:r>
        <w:r>
          <w:rPr>
            <w:noProof/>
            <w:webHidden/>
          </w:rPr>
          <w:fldChar w:fldCharType="separate"/>
        </w:r>
        <w:r>
          <w:rPr>
            <w:noProof/>
            <w:webHidden/>
          </w:rPr>
          <w:t>11</w:t>
        </w:r>
        <w:r>
          <w:rPr>
            <w:noProof/>
            <w:webHidden/>
          </w:rPr>
          <w:fldChar w:fldCharType="end"/>
        </w:r>
      </w:hyperlink>
    </w:p>
    <w:p w:rsidR="00052622" w14:paraId="34C4B0FE" w14:textId="4E62F88C">
      <w:pPr>
        <w:pStyle w:val="TOC3"/>
        <w:rPr>
          <w:rFonts w:asciiTheme="minorHAnsi" w:eastAsiaTheme="minorEastAsia" w:hAnsiTheme="minorHAnsi" w:cstheme="minorBidi"/>
          <w:noProof/>
          <w:sz w:val="22"/>
          <w:szCs w:val="22"/>
        </w:rPr>
      </w:pPr>
      <w:hyperlink w:anchor="_Toc80777743" w:history="1">
        <w:r w:rsidRPr="003E6FB0">
          <w:rPr>
            <w:rStyle w:val="Hyperlink"/>
            <w:noProof/>
          </w:rPr>
          <w:t>Objection 19. The Staff Report erred by using a purely historical measure of U.S. Gross National Product of 6.32% for the terminal growth rate used in its non-constant growth DCF when there are multiple sources of projected economic growth which reflect investors’ expectations.</w:t>
        </w:r>
        <w:r>
          <w:rPr>
            <w:noProof/>
            <w:webHidden/>
          </w:rPr>
          <w:tab/>
        </w:r>
        <w:r>
          <w:rPr>
            <w:noProof/>
            <w:webHidden/>
          </w:rPr>
          <w:fldChar w:fldCharType="begin"/>
        </w:r>
        <w:r>
          <w:rPr>
            <w:noProof/>
            <w:webHidden/>
          </w:rPr>
          <w:instrText xml:space="preserve"> PAGEREF _Toc80777743 \h </w:instrText>
        </w:r>
        <w:r>
          <w:rPr>
            <w:noProof/>
            <w:webHidden/>
          </w:rPr>
          <w:fldChar w:fldCharType="separate"/>
        </w:r>
        <w:r>
          <w:rPr>
            <w:noProof/>
            <w:webHidden/>
          </w:rPr>
          <w:t>11</w:t>
        </w:r>
        <w:r>
          <w:rPr>
            <w:noProof/>
            <w:webHidden/>
          </w:rPr>
          <w:fldChar w:fldCharType="end"/>
        </w:r>
      </w:hyperlink>
    </w:p>
    <w:p w:rsidR="00052622" w14:paraId="78C6E1C1" w14:textId="202D4CCB">
      <w:pPr>
        <w:pStyle w:val="TOC3"/>
        <w:rPr>
          <w:rFonts w:asciiTheme="minorHAnsi" w:eastAsiaTheme="minorEastAsia" w:hAnsiTheme="minorHAnsi" w:cstheme="minorBidi"/>
          <w:noProof/>
          <w:sz w:val="22"/>
          <w:szCs w:val="22"/>
        </w:rPr>
      </w:pPr>
      <w:hyperlink w:anchor="_Toc80777744" w:history="1">
        <w:r w:rsidRPr="003E6FB0">
          <w:rPr>
            <w:rStyle w:val="Hyperlink"/>
            <w:noProof/>
          </w:rPr>
          <w:t>Objection 20. Staff inappropriately increased the ROE by allowing an adjustment for equity issuance and other costs.</w:t>
        </w:r>
        <w:r>
          <w:rPr>
            <w:noProof/>
            <w:webHidden/>
          </w:rPr>
          <w:tab/>
        </w:r>
        <w:r>
          <w:rPr>
            <w:noProof/>
            <w:webHidden/>
          </w:rPr>
          <w:fldChar w:fldCharType="begin"/>
        </w:r>
        <w:r>
          <w:rPr>
            <w:noProof/>
            <w:webHidden/>
          </w:rPr>
          <w:instrText xml:space="preserve"> PAGEREF _Toc80777744 \h </w:instrText>
        </w:r>
        <w:r>
          <w:rPr>
            <w:noProof/>
            <w:webHidden/>
          </w:rPr>
          <w:fldChar w:fldCharType="separate"/>
        </w:r>
        <w:r>
          <w:rPr>
            <w:noProof/>
            <w:webHidden/>
          </w:rPr>
          <w:t>11</w:t>
        </w:r>
        <w:r>
          <w:rPr>
            <w:noProof/>
            <w:webHidden/>
          </w:rPr>
          <w:fldChar w:fldCharType="end"/>
        </w:r>
      </w:hyperlink>
    </w:p>
    <w:p w:rsidR="00052622" w14:paraId="00CF8F05" w14:textId="729EDA29">
      <w:pPr>
        <w:pStyle w:val="TOC3"/>
        <w:rPr>
          <w:rFonts w:asciiTheme="minorHAnsi" w:eastAsiaTheme="minorEastAsia" w:hAnsiTheme="minorHAnsi" w:cstheme="minorBidi"/>
          <w:noProof/>
          <w:sz w:val="22"/>
          <w:szCs w:val="22"/>
        </w:rPr>
      </w:pPr>
      <w:hyperlink w:anchor="_Toc80777745" w:history="1">
        <w:r w:rsidRPr="003E6FB0">
          <w:rPr>
            <w:rStyle w:val="Hyperlink"/>
            <w:noProof/>
          </w:rPr>
          <w:t>Objection 21. The Staff Report’s recommended rate of return range of 7.05% to 7.59% is too high and would result in unjust and unreasonable rates for consumers.</w:t>
        </w:r>
        <w:r>
          <w:rPr>
            <w:noProof/>
            <w:webHidden/>
          </w:rPr>
          <w:tab/>
        </w:r>
        <w:r>
          <w:rPr>
            <w:noProof/>
            <w:webHidden/>
          </w:rPr>
          <w:fldChar w:fldCharType="begin"/>
        </w:r>
        <w:r>
          <w:rPr>
            <w:noProof/>
            <w:webHidden/>
          </w:rPr>
          <w:instrText xml:space="preserve"> PAGEREF _Toc80777745 \h </w:instrText>
        </w:r>
        <w:r>
          <w:rPr>
            <w:noProof/>
            <w:webHidden/>
          </w:rPr>
          <w:fldChar w:fldCharType="separate"/>
        </w:r>
        <w:r>
          <w:rPr>
            <w:noProof/>
            <w:webHidden/>
          </w:rPr>
          <w:t>11</w:t>
        </w:r>
        <w:r>
          <w:rPr>
            <w:noProof/>
            <w:webHidden/>
          </w:rPr>
          <w:fldChar w:fldCharType="end"/>
        </w:r>
      </w:hyperlink>
    </w:p>
    <w:p w:rsidR="00052622" w14:paraId="35AE677E" w14:textId="1DDFA13F">
      <w:pPr>
        <w:pStyle w:val="TOC2"/>
        <w:rPr>
          <w:rFonts w:asciiTheme="minorHAnsi" w:eastAsiaTheme="minorEastAsia" w:hAnsiTheme="minorHAnsi" w:cstheme="minorBidi"/>
          <w:noProof/>
          <w:sz w:val="22"/>
          <w:szCs w:val="22"/>
        </w:rPr>
      </w:pPr>
      <w:hyperlink w:anchor="_Toc80777746" w:history="1">
        <w:r w:rsidRPr="003E6FB0">
          <w:rPr>
            <w:rStyle w:val="Hyperlink"/>
            <w:noProof/>
          </w:rPr>
          <w:t>F.</w:t>
        </w:r>
        <w:r>
          <w:rPr>
            <w:rFonts w:asciiTheme="minorHAnsi" w:eastAsiaTheme="minorEastAsia" w:hAnsiTheme="minorHAnsi" w:cstheme="minorBidi"/>
            <w:noProof/>
            <w:sz w:val="22"/>
            <w:szCs w:val="22"/>
          </w:rPr>
          <w:tab/>
        </w:r>
        <w:r w:rsidRPr="003E6FB0">
          <w:rPr>
            <w:rStyle w:val="Hyperlink"/>
            <w:noProof/>
          </w:rPr>
          <w:t>Rates and Tariffs</w:t>
        </w:r>
        <w:r>
          <w:rPr>
            <w:noProof/>
            <w:webHidden/>
          </w:rPr>
          <w:tab/>
        </w:r>
        <w:r>
          <w:rPr>
            <w:noProof/>
            <w:webHidden/>
          </w:rPr>
          <w:fldChar w:fldCharType="begin"/>
        </w:r>
        <w:r>
          <w:rPr>
            <w:noProof/>
            <w:webHidden/>
          </w:rPr>
          <w:instrText xml:space="preserve"> PAGEREF _Toc80777746 \h </w:instrText>
        </w:r>
        <w:r>
          <w:rPr>
            <w:noProof/>
            <w:webHidden/>
          </w:rPr>
          <w:fldChar w:fldCharType="separate"/>
        </w:r>
        <w:r>
          <w:rPr>
            <w:noProof/>
            <w:webHidden/>
          </w:rPr>
          <w:t>12</w:t>
        </w:r>
        <w:r>
          <w:rPr>
            <w:noProof/>
            <w:webHidden/>
          </w:rPr>
          <w:fldChar w:fldCharType="end"/>
        </w:r>
      </w:hyperlink>
    </w:p>
    <w:p w:rsidR="00052622" w14:paraId="7EC51AD9" w14:textId="325F2361">
      <w:pPr>
        <w:pStyle w:val="TOC3"/>
        <w:rPr>
          <w:rFonts w:asciiTheme="minorHAnsi" w:eastAsiaTheme="minorEastAsia" w:hAnsiTheme="minorHAnsi" w:cstheme="minorBidi"/>
          <w:noProof/>
          <w:sz w:val="22"/>
          <w:szCs w:val="22"/>
        </w:rPr>
      </w:pPr>
      <w:hyperlink w:anchor="_Toc80777747" w:history="1">
        <w:r w:rsidRPr="003E6FB0">
          <w:rPr>
            <w:rStyle w:val="Hyperlink"/>
            <w:noProof/>
          </w:rPr>
          <w:t>Objection 22. OCC objects to the Staff Report’s recommendation to allocate 66.70% of base distribution charges to residential consumers because residential consumers should pay no more than 63.10% of base distribution charges.</w:t>
        </w:r>
        <w:r>
          <w:rPr>
            <w:noProof/>
            <w:webHidden/>
          </w:rPr>
          <w:tab/>
        </w:r>
        <w:r>
          <w:rPr>
            <w:noProof/>
            <w:webHidden/>
          </w:rPr>
          <w:fldChar w:fldCharType="begin"/>
        </w:r>
        <w:r>
          <w:rPr>
            <w:noProof/>
            <w:webHidden/>
          </w:rPr>
          <w:instrText xml:space="preserve"> PAGEREF _Toc80777747 \h </w:instrText>
        </w:r>
        <w:r>
          <w:rPr>
            <w:noProof/>
            <w:webHidden/>
          </w:rPr>
          <w:fldChar w:fldCharType="separate"/>
        </w:r>
        <w:r>
          <w:rPr>
            <w:noProof/>
            <w:webHidden/>
          </w:rPr>
          <w:t>12</w:t>
        </w:r>
        <w:r>
          <w:rPr>
            <w:noProof/>
            <w:webHidden/>
          </w:rPr>
          <w:fldChar w:fldCharType="end"/>
        </w:r>
      </w:hyperlink>
    </w:p>
    <w:p w:rsidR="00052622" w14:paraId="6AA3E679" w14:textId="443D5685">
      <w:pPr>
        <w:pStyle w:val="TOC3"/>
        <w:rPr>
          <w:rFonts w:asciiTheme="minorHAnsi" w:eastAsiaTheme="minorEastAsia" w:hAnsiTheme="minorHAnsi" w:cstheme="minorBidi"/>
          <w:noProof/>
          <w:sz w:val="22"/>
          <w:szCs w:val="22"/>
        </w:rPr>
      </w:pPr>
      <w:hyperlink w:anchor="_Toc80777748" w:history="1">
        <w:r w:rsidRPr="003E6FB0">
          <w:rPr>
            <w:rStyle w:val="Hyperlink"/>
            <w:noProof/>
          </w:rPr>
          <w:t>Objection 23. The PUCO Staff’s recommended customer charge of $9.75 is too high because it includes charges for line transformers, uses an unreasonably high carrying cost of 26.35%, and violates the regulatory principle of gradualism. A more reasonable customer charge would be no greater than $8.25.</w:t>
        </w:r>
        <w:r>
          <w:rPr>
            <w:noProof/>
            <w:webHidden/>
          </w:rPr>
          <w:tab/>
        </w:r>
        <w:r>
          <w:rPr>
            <w:noProof/>
            <w:webHidden/>
          </w:rPr>
          <w:fldChar w:fldCharType="begin"/>
        </w:r>
        <w:r>
          <w:rPr>
            <w:noProof/>
            <w:webHidden/>
          </w:rPr>
          <w:instrText xml:space="preserve"> PAGEREF _Toc80777748 \h </w:instrText>
        </w:r>
        <w:r>
          <w:rPr>
            <w:noProof/>
            <w:webHidden/>
          </w:rPr>
          <w:fldChar w:fldCharType="separate"/>
        </w:r>
        <w:r>
          <w:rPr>
            <w:noProof/>
            <w:webHidden/>
          </w:rPr>
          <w:t>12</w:t>
        </w:r>
        <w:r>
          <w:rPr>
            <w:noProof/>
            <w:webHidden/>
          </w:rPr>
          <w:fldChar w:fldCharType="end"/>
        </w:r>
      </w:hyperlink>
    </w:p>
    <w:p w:rsidR="00052622" w14:paraId="2CCDA2AC" w14:textId="7286A9C6">
      <w:pPr>
        <w:pStyle w:val="TOC2"/>
        <w:rPr>
          <w:rFonts w:asciiTheme="minorHAnsi" w:eastAsiaTheme="minorEastAsia" w:hAnsiTheme="minorHAnsi" w:cstheme="minorBidi"/>
          <w:noProof/>
          <w:sz w:val="22"/>
          <w:szCs w:val="22"/>
        </w:rPr>
      </w:pPr>
      <w:hyperlink w:anchor="_Toc80777749" w:history="1">
        <w:r w:rsidRPr="003E6FB0">
          <w:rPr>
            <w:rStyle w:val="Hyperlink"/>
            <w:noProof/>
          </w:rPr>
          <w:t>G.</w:t>
        </w:r>
        <w:r>
          <w:rPr>
            <w:rFonts w:asciiTheme="minorHAnsi" w:eastAsiaTheme="minorEastAsia" w:hAnsiTheme="minorHAnsi" w:cstheme="minorBidi"/>
            <w:noProof/>
            <w:sz w:val="22"/>
            <w:szCs w:val="22"/>
          </w:rPr>
          <w:tab/>
        </w:r>
        <w:r w:rsidRPr="003E6FB0">
          <w:rPr>
            <w:rStyle w:val="Hyperlink"/>
            <w:noProof/>
          </w:rPr>
          <w:t>Service Monitoring and Enforcement</w:t>
        </w:r>
        <w:r>
          <w:rPr>
            <w:noProof/>
            <w:webHidden/>
          </w:rPr>
          <w:tab/>
        </w:r>
        <w:r>
          <w:rPr>
            <w:noProof/>
            <w:webHidden/>
          </w:rPr>
          <w:fldChar w:fldCharType="begin"/>
        </w:r>
        <w:r>
          <w:rPr>
            <w:noProof/>
            <w:webHidden/>
          </w:rPr>
          <w:instrText xml:space="preserve"> PAGEREF _Toc80777749 \h </w:instrText>
        </w:r>
        <w:r>
          <w:rPr>
            <w:noProof/>
            <w:webHidden/>
          </w:rPr>
          <w:fldChar w:fldCharType="separate"/>
        </w:r>
        <w:r>
          <w:rPr>
            <w:noProof/>
            <w:webHidden/>
          </w:rPr>
          <w:t>13</w:t>
        </w:r>
        <w:r>
          <w:rPr>
            <w:noProof/>
            <w:webHidden/>
          </w:rPr>
          <w:fldChar w:fldCharType="end"/>
        </w:r>
      </w:hyperlink>
    </w:p>
    <w:p w:rsidR="00052622" w14:paraId="67E67DD8" w14:textId="2B4EBE15">
      <w:pPr>
        <w:pStyle w:val="TOC3"/>
        <w:rPr>
          <w:rFonts w:asciiTheme="minorHAnsi" w:eastAsiaTheme="minorEastAsia" w:hAnsiTheme="minorHAnsi" w:cstheme="minorBidi"/>
          <w:noProof/>
          <w:sz w:val="22"/>
          <w:szCs w:val="22"/>
        </w:rPr>
      </w:pPr>
      <w:hyperlink w:anchor="_Toc80777750" w:history="1">
        <w:r w:rsidRPr="003E6FB0">
          <w:rPr>
            <w:rStyle w:val="Hyperlink"/>
            <w:noProof/>
          </w:rPr>
          <w:t>Objection 24. The Staff Report erred by failing to recommend financial penalties associated with DP&amp;L’s failure to comply with the minimum PUCO distribution reliability standards in 2019 and 2020 enumerated in O.A.C. 4901:1-10-10(E).</w:t>
        </w:r>
        <w:r>
          <w:rPr>
            <w:noProof/>
            <w:webHidden/>
          </w:rPr>
          <w:tab/>
        </w:r>
        <w:r>
          <w:rPr>
            <w:noProof/>
            <w:webHidden/>
          </w:rPr>
          <w:fldChar w:fldCharType="begin"/>
        </w:r>
        <w:r>
          <w:rPr>
            <w:noProof/>
            <w:webHidden/>
          </w:rPr>
          <w:instrText xml:space="preserve"> PAGEREF _Toc80777750 \h </w:instrText>
        </w:r>
        <w:r>
          <w:rPr>
            <w:noProof/>
            <w:webHidden/>
          </w:rPr>
          <w:fldChar w:fldCharType="separate"/>
        </w:r>
        <w:r>
          <w:rPr>
            <w:noProof/>
            <w:webHidden/>
          </w:rPr>
          <w:t>13</w:t>
        </w:r>
        <w:r>
          <w:rPr>
            <w:noProof/>
            <w:webHidden/>
          </w:rPr>
          <w:fldChar w:fldCharType="end"/>
        </w:r>
      </w:hyperlink>
    </w:p>
    <w:p w:rsidR="00052622" w14:paraId="1076ADC0" w14:textId="6052A420">
      <w:pPr>
        <w:pStyle w:val="TOC3"/>
        <w:rPr>
          <w:rFonts w:asciiTheme="minorHAnsi" w:eastAsiaTheme="minorEastAsia" w:hAnsiTheme="minorHAnsi" w:cstheme="minorBidi"/>
          <w:noProof/>
          <w:sz w:val="22"/>
          <w:szCs w:val="22"/>
        </w:rPr>
      </w:pPr>
      <w:hyperlink w:anchor="_Toc80777751" w:history="1">
        <w:r w:rsidRPr="003E6FB0">
          <w:rPr>
            <w:rStyle w:val="Hyperlink"/>
            <w:noProof/>
          </w:rPr>
          <w:t>Objection 25. The Staff Report erred by failing to require DP&amp;L to develop a remedial plan to address its failure to consistently enroll customers in an extended payment plan following the submission of a medical certificate in compliance with Ohio Admin. Code 4901:1-18-06(C)(3)(e).</w:t>
        </w:r>
        <w:r>
          <w:rPr>
            <w:noProof/>
            <w:webHidden/>
          </w:rPr>
          <w:tab/>
        </w:r>
        <w:r>
          <w:rPr>
            <w:noProof/>
            <w:webHidden/>
          </w:rPr>
          <w:fldChar w:fldCharType="begin"/>
        </w:r>
        <w:r>
          <w:rPr>
            <w:noProof/>
            <w:webHidden/>
          </w:rPr>
          <w:instrText xml:space="preserve"> PAGEREF _Toc80777751 \h </w:instrText>
        </w:r>
        <w:r>
          <w:rPr>
            <w:noProof/>
            <w:webHidden/>
          </w:rPr>
          <w:fldChar w:fldCharType="separate"/>
        </w:r>
        <w:r>
          <w:rPr>
            <w:noProof/>
            <w:webHidden/>
          </w:rPr>
          <w:t>14</w:t>
        </w:r>
        <w:r>
          <w:rPr>
            <w:noProof/>
            <w:webHidden/>
          </w:rPr>
          <w:fldChar w:fldCharType="end"/>
        </w:r>
      </w:hyperlink>
    </w:p>
    <w:p w:rsidR="00052622" w14:paraId="33F44FE7" w14:textId="2CA1C954">
      <w:pPr>
        <w:pStyle w:val="TOC1"/>
        <w:rPr>
          <w:rFonts w:asciiTheme="minorHAnsi" w:eastAsiaTheme="minorEastAsia" w:hAnsiTheme="minorHAnsi" w:cstheme="minorBidi"/>
          <w:noProof/>
          <w:sz w:val="22"/>
          <w:szCs w:val="22"/>
        </w:rPr>
      </w:pPr>
      <w:hyperlink w:anchor="_Toc80777752" w:history="1">
        <w:r w:rsidRPr="003E6FB0">
          <w:rPr>
            <w:rStyle w:val="Hyperlink"/>
            <w:noProof/>
          </w:rPr>
          <w:t>III.</w:t>
        </w:r>
        <w:r>
          <w:rPr>
            <w:rFonts w:asciiTheme="minorHAnsi" w:eastAsiaTheme="minorEastAsia" w:hAnsiTheme="minorHAnsi" w:cstheme="minorBidi"/>
            <w:noProof/>
            <w:sz w:val="22"/>
            <w:szCs w:val="22"/>
          </w:rPr>
          <w:tab/>
        </w:r>
        <w:r w:rsidRPr="003E6FB0">
          <w:rPr>
            <w:rStyle w:val="Hyperlink"/>
            <w:noProof/>
          </w:rPr>
          <w:t>CONCLUSION</w:t>
        </w:r>
        <w:r>
          <w:rPr>
            <w:noProof/>
            <w:webHidden/>
          </w:rPr>
          <w:tab/>
        </w:r>
        <w:r>
          <w:rPr>
            <w:noProof/>
            <w:webHidden/>
          </w:rPr>
          <w:fldChar w:fldCharType="begin"/>
        </w:r>
        <w:r>
          <w:rPr>
            <w:noProof/>
            <w:webHidden/>
          </w:rPr>
          <w:instrText xml:space="preserve"> PAGEREF _Toc80777752 \h </w:instrText>
        </w:r>
        <w:r>
          <w:rPr>
            <w:noProof/>
            <w:webHidden/>
          </w:rPr>
          <w:fldChar w:fldCharType="separate"/>
        </w:r>
        <w:r>
          <w:rPr>
            <w:noProof/>
            <w:webHidden/>
          </w:rPr>
          <w:t>14</w:t>
        </w:r>
        <w:r>
          <w:rPr>
            <w:noProof/>
            <w:webHidden/>
          </w:rPr>
          <w:fldChar w:fldCharType="end"/>
        </w:r>
      </w:hyperlink>
    </w:p>
    <w:p w:rsidR="00A754D5" w:rsidRPr="005136BC" w:rsidP="008576E5" w14:paraId="40772D2F" w14:textId="3EAA30C0">
      <w:pPr>
        <w:pStyle w:val="HTMLPreformatted"/>
        <w:rPr>
          <w:rFonts w:ascii="Times New Roman" w:hAnsi="Times New Roman" w:cs="Times New Roman"/>
          <w:b/>
          <w:bCs/>
          <w:sz w:val="24"/>
          <w:szCs w:val="24"/>
        </w:rPr>
        <w:sectPr w:rsidSect="0080038A">
          <w:footerReference w:type="first" r:id="rId10"/>
          <w:pgSz w:w="12240" w:h="15840"/>
          <w:pgMar w:top="1440" w:right="1440" w:bottom="1440" w:left="1440" w:header="720" w:footer="720" w:gutter="0"/>
          <w:pgNumType w:fmt="lowerRoman" w:start="1"/>
          <w:cols w:space="720"/>
          <w:titlePg/>
          <w:docGrid w:linePitch="326"/>
        </w:sectPr>
      </w:pPr>
      <w:r w:rsidRPr="005136BC">
        <w:rPr>
          <w:rFonts w:ascii="Times New Roman" w:eastAsia="Times New Roman" w:hAnsi="Times New Roman" w:cs="Times New Roman"/>
          <w:b/>
          <w:bCs/>
          <w:sz w:val="24"/>
          <w:szCs w:val="24"/>
        </w:rPr>
        <w:fldChar w:fldCharType="end"/>
      </w:r>
    </w:p>
    <w:p w:rsidR="00AE4453" w:rsidRPr="005136BC" w:rsidP="00AE4453" w14:paraId="05458816" w14:textId="77777777">
      <w:pPr>
        <w:pStyle w:val="HTMLPreformatted"/>
        <w:jc w:val="center"/>
        <w:rPr>
          <w:rFonts w:ascii="Times New Roman" w:hAnsi="Times New Roman" w:cs="Times New Roman"/>
          <w:b/>
          <w:bCs/>
          <w:sz w:val="24"/>
          <w:szCs w:val="24"/>
        </w:rPr>
      </w:pPr>
      <w:r w:rsidRPr="005136BC">
        <w:rPr>
          <w:rFonts w:ascii="Times New Roman" w:hAnsi="Times New Roman" w:cs="Times New Roman"/>
          <w:b/>
          <w:bCs/>
          <w:sz w:val="24"/>
          <w:szCs w:val="24"/>
        </w:rPr>
        <w:t>BEFORE</w:t>
      </w:r>
    </w:p>
    <w:p w:rsidR="00AE4453" w:rsidRPr="005136BC" w:rsidP="00AE4453" w14:paraId="57825EB3" w14:textId="77777777">
      <w:pPr>
        <w:pStyle w:val="HTMLPreformatted"/>
        <w:jc w:val="center"/>
        <w:rPr>
          <w:rFonts w:ascii="Times New Roman" w:hAnsi="Times New Roman" w:cs="Times New Roman"/>
          <w:sz w:val="24"/>
          <w:szCs w:val="24"/>
        </w:rPr>
      </w:pPr>
      <w:r w:rsidRPr="005136BC">
        <w:rPr>
          <w:rFonts w:ascii="Times New Roman" w:hAnsi="Times New Roman" w:cs="Times New Roman"/>
          <w:b/>
          <w:bCs/>
          <w:sz w:val="24"/>
          <w:szCs w:val="24"/>
        </w:rPr>
        <w:t>THE PUBLIC UTILITIES COMMISSION OF OHIO</w:t>
      </w:r>
    </w:p>
    <w:p w:rsidR="00AE4453" w:rsidRPr="005136BC" w:rsidP="00AE4453" w14:paraId="3F77E766" w14:textId="77777777">
      <w:pPr>
        <w:pStyle w:val="HTMLPreformatted"/>
        <w:rPr>
          <w:rFonts w:ascii="Times New Roman" w:hAnsi="Times New Roman" w:cs="Times New Roman"/>
          <w:sz w:val="24"/>
          <w:szCs w:val="24"/>
        </w:rPr>
      </w:pPr>
    </w:p>
    <w:tbl>
      <w:tblPr>
        <w:tblW w:w="9092" w:type="dxa"/>
        <w:tblLook w:val="01E0"/>
      </w:tblPr>
      <w:tblGrid>
        <w:gridCol w:w="4596"/>
        <w:gridCol w:w="296"/>
        <w:gridCol w:w="4200"/>
      </w:tblGrid>
      <w:tr w14:paraId="2A0F4B0A" w14:textId="77777777" w:rsidTr="00DB7D89">
        <w:tblPrEx>
          <w:tblW w:w="9092" w:type="dxa"/>
          <w:tblLook w:val="01E0"/>
        </w:tblPrEx>
        <w:trPr>
          <w:trHeight w:val="807"/>
        </w:trPr>
        <w:tc>
          <w:tcPr>
            <w:tcW w:w="4608" w:type="dxa"/>
            <w:shd w:val="clear" w:color="auto" w:fill="auto"/>
          </w:tcPr>
          <w:p w:rsidR="00AE4453" w:rsidRPr="005136BC" w:rsidP="00DB7D89" w14:paraId="75F4FCE2"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In the Matter of the Application of the Dayton Power and Light Company to Increase its Rates for Electric Distribution.</w:t>
            </w:r>
          </w:p>
          <w:p w:rsidR="00AE4453" w:rsidRPr="005136BC" w:rsidP="00DB7D89" w14:paraId="52965938" w14:textId="77777777">
            <w:pPr>
              <w:pStyle w:val="HTMLPreformatted"/>
              <w:rPr>
                <w:rFonts w:ascii="Times New Roman" w:hAnsi="Times New Roman" w:cs="Times New Roman"/>
                <w:sz w:val="24"/>
                <w:szCs w:val="24"/>
              </w:rPr>
            </w:pPr>
          </w:p>
          <w:p w:rsidR="00AE4453" w:rsidRPr="005136BC" w:rsidP="00DB7D89" w14:paraId="6CE9A191"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In the Matter of the Application of the Dayton Power and Light Company for Accounting Authority.</w:t>
            </w:r>
          </w:p>
          <w:p w:rsidR="00AE4453" w:rsidRPr="005136BC" w:rsidP="00DB7D89" w14:paraId="59E82AEA" w14:textId="77777777">
            <w:pPr>
              <w:pStyle w:val="HTMLPreformatted"/>
              <w:rPr>
                <w:rFonts w:ascii="Times New Roman" w:hAnsi="Times New Roman" w:cs="Times New Roman"/>
                <w:sz w:val="24"/>
                <w:szCs w:val="24"/>
              </w:rPr>
            </w:pPr>
          </w:p>
          <w:p w:rsidR="00AE4453" w:rsidRPr="005136BC" w:rsidP="00DB7D89" w14:paraId="3AC33AEF"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In the Matter of the Application of Dayton Power and Light Company for Approval of Revised Tariffs.</w:t>
            </w:r>
          </w:p>
        </w:tc>
        <w:tc>
          <w:tcPr>
            <w:tcW w:w="270" w:type="dxa"/>
            <w:shd w:val="clear" w:color="auto" w:fill="auto"/>
          </w:tcPr>
          <w:p w:rsidR="00AE4453" w:rsidRPr="005136BC" w:rsidP="00DB7D89" w14:paraId="6EB8BA30"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3FCBBBB3"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05EC8A0A"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5E784419" w14:textId="77777777">
            <w:pPr>
              <w:pStyle w:val="HTMLPreformatted"/>
              <w:rPr>
                <w:rFonts w:ascii="Times New Roman" w:hAnsi="Times New Roman" w:cs="Times New Roman"/>
                <w:sz w:val="24"/>
                <w:szCs w:val="24"/>
              </w:rPr>
            </w:pPr>
          </w:p>
          <w:p w:rsidR="00AE4453" w:rsidRPr="005136BC" w:rsidP="00DB7D89" w14:paraId="46D96233"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1C9926AE"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3A6DA71F"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1BB115CC" w14:textId="77777777">
            <w:pPr>
              <w:pStyle w:val="HTMLPreformatted"/>
              <w:rPr>
                <w:rFonts w:ascii="Times New Roman" w:hAnsi="Times New Roman" w:cs="Times New Roman"/>
                <w:sz w:val="24"/>
                <w:szCs w:val="24"/>
              </w:rPr>
            </w:pPr>
          </w:p>
          <w:p w:rsidR="00AE4453" w:rsidRPr="005136BC" w:rsidP="00DB7D89" w14:paraId="739DFC29"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0EDFB4EC"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p w:rsidR="00AE4453" w:rsidRPr="005136BC" w:rsidP="00DB7D89" w14:paraId="372C774F"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w:t>
            </w:r>
          </w:p>
        </w:tc>
        <w:tc>
          <w:tcPr>
            <w:tcW w:w="4214" w:type="dxa"/>
            <w:shd w:val="clear" w:color="auto" w:fill="auto"/>
          </w:tcPr>
          <w:p w:rsidR="00AE4453" w:rsidRPr="005136BC" w:rsidP="00DB7D89" w14:paraId="3FE9E6AB" w14:textId="77777777">
            <w:pPr>
              <w:pStyle w:val="HTMLPreformatted"/>
              <w:rPr>
                <w:rFonts w:ascii="Times New Roman" w:hAnsi="Times New Roman" w:cs="Times New Roman"/>
                <w:sz w:val="24"/>
                <w:szCs w:val="24"/>
              </w:rPr>
            </w:pPr>
          </w:p>
          <w:p w:rsidR="00AE4453" w:rsidRPr="005136BC" w:rsidP="00DB7D89" w14:paraId="0B430737"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Case No. 20-1651-EL-AIR</w:t>
            </w:r>
          </w:p>
          <w:p w:rsidR="00AE4453" w:rsidRPr="005136BC" w:rsidP="00DB7D89" w14:paraId="25787B56" w14:textId="77777777">
            <w:pPr>
              <w:pStyle w:val="HTMLPreformatted"/>
              <w:rPr>
                <w:rFonts w:ascii="Times New Roman" w:hAnsi="Times New Roman" w:cs="Times New Roman"/>
                <w:sz w:val="24"/>
                <w:szCs w:val="24"/>
              </w:rPr>
            </w:pPr>
          </w:p>
          <w:p w:rsidR="00AE4453" w:rsidRPr="005136BC" w:rsidP="00DB7D89" w14:paraId="1A20481E" w14:textId="77777777">
            <w:pPr>
              <w:pStyle w:val="HTMLPreformatted"/>
              <w:rPr>
                <w:rFonts w:ascii="Times New Roman" w:hAnsi="Times New Roman" w:cs="Times New Roman"/>
                <w:sz w:val="24"/>
                <w:szCs w:val="24"/>
              </w:rPr>
            </w:pPr>
          </w:p>
          <w:p w:rsidR="00AE4453" w:rsidRPr="005136BC" w:rsidP="00DB7D89" w14:paraId="637B7160" w14:textId="77777777">
            <w:pPr>
              <w:pStyle w:val="HTMLPreformatted"/>
              <w:rPr>
                <w:rFonts w:ascii="Times New Roman" w:hAnsi="Times New Roman" w:cs="Times New Roman"/>
                <w:sz w:val="24"/>
                <w:szCs w:val="24"/>
              </w:rPr>
            </w:pPr>
          </w:p>
          <w:p w:rsidR="00AE4453" w:rsidRPr="005136BC" w:rsidP="00DB7D89" w14:paraId="11B95ED9"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Case No. 20-1652-EL-AAM</w:t>
            </w:r>
          </w:p>
          <w:p w:rsidR="00AE4453" w:rsidRPr="005136BC" w:rsidP="00DB7D89" w14:paraId="0F785EB0" w14:textId="77777777">
            <w:pPr>
              <w:pStyle w:val="HTMLPreformatted"/>
              <w:rPr>
                <w:rFonts w:ascii="Times New Roman" w:hAnsi="Times New Roman" w:cs="Times New Roman"/>
                <w:sz w:val="24"/>
                <w:szCs w:val="24"/>
              </w:rPr>
            </w:pPr>
          </w:p>
          <w:p w:rsidR="00AE4453" w:rsidRPr="005136BC" w:rsidP="00DB7D89" w14:paraId="17D52DBA" w14:textId="77777777">
            <w:pPr>
              <w:pStyle w:val="HTMLPreformatted"/>
              <w:rPr>
                <w:rFonts w:ascii="Times New Roman" w:hAnsi="Times New Roman" w:cs="Times New Roman"/>
                <w:sz w:val="24"/>
                <w:szCs w:val="24"/>
              </w:rPr>
            </w:pPr>
          </w:p>
          <w:p w:rsidR="00AE4453" w:rsidRPr="005136BC" w:rsidP="00DB7D89" w14:paraId="6847FD5A" w14:textId="77777777">
            <w:pPr>
              <w:pStyle w:val="HTMLPreformatted"/>
              <w:rPr>
                <w:rFonts w:ascii="Times New Roman" w:hAnsi="Times New Roman" w:cs="Times New Roman"/>
                <w:sz w:val="24"/>
                <w:szCs w:val="24"/>
              </w:rPr>
            </w:pPr>
          </w:p>
          <w:p w:rsidR="00AE4453" w:rsidRPr="005136BC" w:rsidP="00DB7D89" w14:paraId="2CCF5C29"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Case No. 20-1653-EL-ATA</w:t>
            </w:r>
          </w:p>
        </w:tc>
      </w:tr>
    </w:tbl>
    <w:p w:rsidR="00AE4453" w:rsidRPr="005136BC" w:rsidP="00AE4453" w14:paraId="27BE96AD" w14:textId="77777777">
      <w:pPr>
        <w:pStyle w:val="HTMLPreformatted"/>
        <w:rPr>
          <w:rFonts w:ascii="Times New Roman" w:hAnsi="Times New Roman" w:cs="Times New Roman"/>
          <w:sz w:val="24"/>
          <w:szCs w:val="24"/>
        </w:rPr>
      </w:pPr>
      <w:r w:rsidRPr="005136BC">
        <w:rPr>
          <w:rFonts w:ascii="Times New Roman" w:hAnsi="Times New Roman" w:cs="Times New Roman"/>
          <w:sz w:val="24"/>
          <w:szCs w:val="24"/>
        </w:rPr>
        <w:tab/>
      </w:r>
    </w:p>
    <w:p w:rsidR="00836BDA" w:rsidRPr="005136BC" w:rsidP="00D4185C" w14:paraId="7679CA80" w14:textId="77777777">
      <w:pPr>
        <w:pStyle w:val="HTMLPreformatted"/>
        <w:pBdr>
          <w:top w:val="single" w:sz="12" w:space="1" w:color="auto"/>
        </w:pBdr>
        <w:rPr>
          <w:rFonts w:ascii="Times New Roman" w:hAnsi="Times New Roman" w:cs="Times New Roman"/>
          <w:sz w:val="24"/>
          <w:szCs w:val="24"/>
        </w:rPr>
      </w:pPr>
    </w:p>
    <w:p w:rsidR="00836BDA" w:rsidRPr="005136BC" w:rsidP="00D4185C" w14:paraId="395A87F0" w14:textId="50408541">
      <w:pPr>
        <w:jc w:val="center"/>
        <w:rPr>
          <w:b/>
          <w:bCs/>
          <w:szCs w:val="24"/>
        </w:rPr>
      </w:pPr>
      <w:r w:rsidRPr="005136BC">
        <w:rPr>
          <w:b/>
          <w:bCs/>
          <w:szCs w:val="24"/>
        </w:rPr>
        <w:t>OBJECTIONS</w:t>
      </w:r>
      <w:r w:rsidRPr="005136BC" w:rsidR="00B35878">
        <w:rPr>
          <w:b/>
          <w:bCs/>
          <w:szCs w:val="24"/>
        </w:rPr>
        <w:t xml:space="preserve"> TO THE PUCO STAFF REPORT</w:t>
      </w:r>
    </w:p>
    <w:p w:rsidR="00836BDA" w:rsidRPr="005136BC" w:rsidP="00D4185C" w14:paraId="611DCA57" w14:textId="77777777">
      <w:pPr>
        <w:jc w:val="center"/>
        <w:rPr>
          <w:b/>
          <w:bCs/>
          <w:szCs w:val="24"/>
        </w:rPr>
      </w:pPr>
      <w:r w:rsidRPr="005136BC">
        <w:rPr>
          <w:b/>
          <w:bCs/>
          <w:szCs w:val="24"/>
        </w:rPr>
        <w:t>BY</w:t>
      </w:r>
    </w:p>
    <w:p w:rsidR="00836BDA" w:rsidRPr="005136BC" w:rsidP="00D4185C" w14:paraId="4EE868BC" w14:textId="52553052">
      <w:pPr>
        <w:jc w:val="center"/>
        <w:rPr>
          <w:b/>
          <w:bCs/>
          <w:szCs w:val="24"/>
        </w:rPr>
      </w:pPr>
      <w:r w:rsidRPr="005136BC">
        <w:rPr>
          <w:b/>
          <w:bCs/>
          <w:szCs w:val="24"/>
        </w:rPr>
        <w:t>OFFICE OF THE OHIO CONSUMERS’ COUNSEL</w:t>
      </w:r>
    </w:p>
    <w:p w:rsidR="00836BDA" w:rsidRPr="005136BC" w:rsidP="00D4185C" w14:paraId="4506DB2C" w14:textId="77777777">
      <w:pPr>
        <w:pBdr>
          <w:bottom w:val="single" w:sz="12" w:space="1" w:color="auto"/>
        </w:pBdr>
        <w:tabs>
          <w:tab w:val="left" w:pos="4320"/>
        </w:tabs>
        <w:rPr>
          <w:szCs w:val="24"/>
        </w:rPr>
      </w:pPr>
    </w:p>
    <w:p w:rsidR="00836BDA" w:rsidRPr="005136BC" w:rsidP="00D4185C" w14:paraId="33130FE3" w14:textId="77777777">
      <w:pPr>
        <w:tabs>
          <w:tab w:val="left" w:pos="4320"/>
        </w:tabs>
        <w:rPr>
          <w:szCs w:val="24"/>
        </w:rPr>
      </w:pPr>
    </w:p>
    <w:p w:rsidR="00E42415" w:rsidRPr="005136BC" w:rsidP="00DB7D89" w14:paraId="28DB7E5D" w14:textId="5B6BB079">
      <w:pPr>
        <w:pStyle w:val="Heading1"/>
      </w:pPr>
      <w:bookmarkStart w:id="0" w:name="_Toc80777718"/>
      <w:r w:rsidRPr="005136BC">
        <w:t>I.</w:t>
      </w:r>
      <w:r w:rsidRPr="005136BC">
        <w:tab/>
        <w:t>INTRODUCTION</w:t>
      </w:r>
      <w:bookmarkEnd w:id="0"/>
    </w:p>
    <w:p w:rsidR="00DC61DF" w:rsidRPr="005136BC" w:rsidP="00D4185C" w14:paraId="7D553654" w14:textId="1E3ED2FB">
      <w:pPr>
        <w:pStyle w:val="BodyTextIndent3"/>
        <w:spacing w:line="480" w:lineRule="auto"/>
        <w:rPr>
          <w:szCs w:val="24"/>
        </w:rPr>
      </w:pPr>
      <w:r w:rsidRPr="005136BC">
        <w:rPr>
          <w:szCs w:val="24"/>
        </w:rPr>
        <w:t xml:space="preserve">In this base </w:t>
      </w:r>
      <w:r w:rsidRPr="005136BC" w:rsidR="00E66BE9">
        <w:rPr>
          <w:szCs w:val="24"/>
        </w:rPr>
        <w:t xml:space="preserve">distribution </w:t>
      </w:r>
      <w:r w:rsidRPr="005136BC">
        <w:rPr>
          <w:szCs w:val="24"/>
        </w:rPr>
        <w:t>rate case, Dayton Power and Light Company d/b/a AES Ohio (“DP&amp;L”) seeks to charge its consumers an additional $120</w:t>
      </w:r>
      <w:r w:rsidRPr="005136BC" w:rsidR="002F7B6E">
        <w:rPr>
          <w:szCs w:val="24"/>
        </w:rPr>
        <w:t>.8</w:t>
      </w:r>
      <w:r w:rsidRPr="005136BC">
        <w:rPr>
          <w:szCs w:val="24"/>
        </w:rPr>
        <w:t xml:space="preserve"> million per year for base electric distribution service.</w:t>
      </w:r>
      <w:r>
        <w:rPr>
          <w:rStyle w:val="FootnoteReference"/>
          <w:szCs w:val="24"/>
        </w:rPr>
        <w:footnoteReference w:id="2"/>
      </w:r>
      <w:r w:rsidRPr="005136BC">
        <w:rPr>
          <w:szCs w:val="24"/>
        </w:rPr>
        <w:t xml:space="preserve"> The Public Utilities Commission of Ohio (“PUCO”) Staff recommends an increase to consumers of </w:t>
      </w:r>
      <w:r w:rsidRPr="005136BC" w:rsidR="002F7B6E">
        <w:rPr>
          <w:szCs w:val="24"/>
        </w:rPr>
        <w:t>$61.1 million to $66.7 million.</w:t>
      </w:r>
      <w:r>
        <w:rPr>
          <w:rStyle w:val="FootnoteReference"/>
          <w:szCs w:val="24"/>
        </w:rPr>
        <w:footnoteReference w:id="3"/>
      </w:r>
      <w:r w:rsidRPr="005136BC" w:rsidR="002F7B6E">
        <w:rPr>
          <w:szCs w:val="24"/>
        </w:rPr>
        <w:t xml:space="preserve"> Each of these proposed increases would be on top of the $30 million </w:t>
      </w:r>
      <w:r w:rsidRPr="005136BC" w:rsidR="009C67A0">
        <w:rPr>
          <w:szCs w:val="24"/>
        </w:rPr>
        <w:t xml:space="preserve">annual </w:t>
      </w:r>
      <w:r w:rsidRPr="005136BC" w:rsidR="002F7B6E">
        <w:rPr>
          <w:szCs w:val="24"/>
        </w:rPr>
        <w:t xml:space="preserve">increase </w:t>
      </w:r>
      <w:r w:rsidRPr="005136BC" w:rsidR="009C67A0">
        <w:rPr>
          <w:szCs w:val="24"/>
        </w:rPr>
        <w:t xml:space="preserve">to consumers </w:t>
      </w:r>
      <w:r w:rsidRPr="005136BC" w:rsidR="002F7B6E">
        <w:rPr>
          <w:szCs w:val="24"/>
        </w:rPr>
        <w:t>less than three years ago.</w:t>
      </w:r>
      <w:r>
        <w:rPr>
          <w:rStyle w:val="FootnoteReference"/>
          <w:szCs w:val="24"/>
        </w:rPr>
        <w:footnoteReference w:id="4"/>
      </w:r>
    </w:p>
    <w:p w:rsidR="002F7B6E" w:rsidRPr="005136BC" w:rsidP="00D4185C" w14:paraId="09DA9055" w14:textId="15906DB9">
      <w:pPr>
        <w:pStyle w:val="BodyTextIndent3"/>
        <w:spacing w:line="480" w:lineRule="auto"/>
        <w:rPr>
          <w:szCs w:val="24"/>
        </w:rPr>
      </w:pPr>
      <w:r w:rsidRPr="005136BC">
        <w:rPr>
          <w:szCs w:val="24"/>
        </w:rPr>
        <w:t xml:space="preserve">But consumers should not pay a single cent more than they already </w:t>
      </w:r>
      <w:r w:rsidRPr="005136BC" w:rsidR="00962288">
        <w:rPr>
          <w:szCs w:val="24"/>
        </w:rPr>
        <w:t>do</w:t>
      </w:r>
      <w:r w:rsidRPr="005136BC">
        <w:rPr>
          <w:szCs w:val="24"/>
        </w:rPr>
        <w:t xml:space="preserve"> because DP&amp;L agreed to a rate freeze with respect to its base distribution rates.</w:t>
      </w:r>
      <w:r w:rsidRPr="005136BC" w:rsidR="00962288">
        <w:rPr>
          <w:szCs w:val="24"/>
        </w:rPr>
        <w:t xml:space="preserve"> Rather than approve any rate increase, the PUCO must enforce the rate freeze and dismiss this case, as explained in OCC’s motion to dismiss.</w:t>
      </w:r>
      <w:r>
        <w:rPr>
          <w:rStyle w:val="FootnoteReference"/>
          <w:szCs w:val="24"/>
        </w:rPr>
        <w:footnoteReference w:id="5"/>
      </w:r>
    </w:p>
    <w:p w:rsidR="00962288" w:rsidRPr="005136BC" w:rsidP="00D4185C" w14:paraId="60CDFE1D" w14:textId="5644EEBF">
      <w:pPr>
        <w:pStyle w:val="BodyTextIndent3"/>
        <w:spacing w:line="480" w:lineRule="auto"/>
        <w:rPr>
          <w:szCs w:val="24"/>
        </w:rPr>
      </w:pPr>
      <w:r w:rsidRPr="005136BC">
        <w:rPr>
          <w:szCs w:val="24"/>
        </w:rPr>
        <w:t>If the PUCO does not grant OCC’s motion to dismiss, it should nonetheless reject DP&amp;L’s proposed $121 million increase and the PUCO Staff’s recommended $61.1 million to $66.7 million increase because each of these would result in unjust and unreasonable rates for consumers. Instead, the PUCO should adopt OCC’s consumer-protection recommendations, as set forth in the following objections and in more detail in OCC’s testimony.</w:t>
      </w:r>
    </w:p>
    <w:p w:rsidR="00B652E1" w:rsidRPr="005136BC" w:rsidP="00E42415" w14:paraId="23ACD6BA" w14:textId="7C990029">
      <w:pPr>
        <w:pStyle w:val="Heading1"/>
      </w:pPr>
      <w:bookmarkStart w:id="1" w:name="_Toc42694217"/>
      <w:bookmarkStart w:id="2" w:name="_Toc80777719"/>
      <w:r w:rsidRPr="005136BC">
        <w:t>II.</w:t>
      </w:r>
      <w:r w:rsidRPr="005136BC">
        <w:tab/>
        <w:t>OBJECTIONS</w:t>
      </w:r>
      <w:bookmarkEnd w:id="1"/>
      <w:bookmarkEnd w:id="2"/>
    </w:p>
    <w:p w:rsidR="005F7834" w:rsidRPr="005136BC" w:rsidP="00A754D5" w14:paraId="14A82686" w14:textId="30DE802D">
      <w:pPr>
        <w:pStyle w:val="Heading2"/>
        <w:rPr>
          <w:szCs w:val="24"/>
        </w:rPr>
      </w:pPr>
      <w:bookmarkStart w:id="3" w:name="_Toc80777720"/>
      <w:r w:rsidRPr="005136BC">
        <w:rPr>
          <w:szCs w:val="24"/>
        </w:rPr>
        <w:t>A.</w:t>
      </w:r>
      <w:r w:rsidRPr="005136BC">
        <w:rPr>
          <w:szCs w:val="24"/>
        </w:rPr>
        <w:tab/>
        <w:t>Rate Freeze</w:t>
      </w:r>
      <w:bookmarkEnd w:id="3"/>
    </w:p>
    <w:p w:rsidR="00DC61DF" w:rsidRPr="005136BC" w:rsidP="009B1DF3" w14:paraId="38B662BB" w14:textId="449F5DB0">
      <w:pPr>
        <w:pStyle w:val="Heading3"/>
        <w:rPr>
          <w:szCs w:val="24"/>
        </w:rPr>
      </w:pPr>
      <w:bookmarkStart w:id="4" w:name="_Toc42694218"/>
      <w:bookmarkStart w:id="5" w:name="_Toc80777721"/>
      <w:r w:rsidRPr="005136BC">
        <w:rPr>
          <w:szCs w:val="24"/>
        </w:rPr>
        <w:t>Objection</w:t>
      </w:r>
      <w:r w:rsidRPr="005136BC" w:rsidR="00D0665B">
        <w:rPr>
          <w:szCs w:val="24"/>
        </w:rPr>
        <w:t xml:space="preserve"> 1</w:t>
      </w:r>
      <w:r w:rsidRPr="005136BC">
        <w:rPr>
          <w:szCs w:val="24"/>
        </w:rPr>
        <w:t>.</w:t>
      </w:r>
      <w:r w:rsidRPr="005136BC" w:rsidR="00ED2B82">
        <w:rPr>
          <w:szCs w:val="24"/>
        </w:rPr>
        <w:t xml:space="preserve"> </w:t>
      </w:r>
      <w:r w:rsidRPr="005136BC">
        <w:rPr>
          <w:szCs w:val="24"/>
        </w:rPr>
        <w:t>T</w:t>
      </w:r>
      <w:r w:rsidRPr="005136BC" w:rsidR="00E951E8">
        <w:rPr>
          <w:szCs w:val="24"/>
        </w:rPr>
        <w:t>o protect consumers,</w:t>
      </w:r>
      <w:bookmarkEnd w:id="4"/>
      <w:r w:rsidRPr="005136BC" w:rsidR="0067031E">
        <w:rPr>
          <w:szCs w:val="24"/>
        </w:rPr>
        <w:t xml:space="preserve"> the Staff Report should have recommended enforcement of the </w:t>
      </w:r>
      <w:r w:rsidRPr="005136BC" w:rsidR="008B5757">
        <w:rPr>
          <w:szCs w:val="24"/>
        </w:rPr>
        <w:t xml:space="preserve">distribution </w:t>
      </w:r>
      <w:r w:rsidRPr="005136BC" w:rsidR="0067031E">
        <w:rPr>
          <w:szCs w:val="24"/>
        </w:rPr>
        <w:t>rate freeze</w:t>
      </w:r>
      <w:r w:rsidRPr="005136BC" w:rsidR="006A409E">
        <w:rPr>
          <w:szCs w:val="24"/>
        </w:rPr>
        <w:t xml:space="preserve"> (no rate increase)</w:t>
      </w:r>
      <w:r w:rsidRPr="005136BC" w:rsidR="0067031E">
        <w:rPr>
          <w:szCs w:val="24"/>
        </w:rPr>
        <w:t xml:space="preserve"> that DP&amp;L agreed to as part of a settlement with OCC</w:t>
      </w:r>
      <w:r w:rsidRPr="005136BC" w:rsidR="006A409E">
        <w:rPr>
          <w:szCs w:val="24"/>
        </w:rPr>
        <w:t xml:space="preserve">, the Staff, </w:t>
      </w:r>
      <w:r w:rsidRPr="005136BC" w:rsidR="0067031E">
        <w:rPr>
          <w:szCs w:val="24"/>
        </w:rPr>
        <w:t xml:space="preserve">and others in its ESP 1 case because ESP 1 is currently in effect, and the settlement requires a </w:t>
      </w:r>
      <w:r w:rsidRPr="005136BC" w:rsidR="00C52E44">
        <w:rPr>
          <w:szCs w:val="24"/>
        </w:rPr>
        <w:t xml:space="preserve">base distribution </w:t>
      </w:r>
      <w:r w:rsidRPr="005136BC" w:rsidR="0067031E">
        <w:rPr>
          <w:szCs w:val="24"/>
        </w:rPr>
        <w:t>rate freeze for the duration of ESP 1.</w:t>
      </w:r>
      <w:bookmarkEnd w:id="5"/>
    </w:p>
    <w:p w:rsidR="00360A7B" w:rsidRPr="005136BC" w:rsidP="00360A7B" w14:paraId="50C2F986" w14:textId="47A09DE7">
      <w:pPr>
        <w:pStyle w:val="BodyTextIndent3"/>
        <w:spacing w:line="480" w:lineRule="auto"/>
        <w:ind w:right="-24"/>
        <w:rPr>
          <w:szCs w:val="24"/>
        </w:rPr>
      </w:pPr>
      <w:r w:rsidRPr="005136BC">
        <w:rPr>
          <w:szCs w:val="24"/>
        </w:rPr>
        <w:t>As part of a settlement agreement reached with OCC</w:t>
      </w:r>
      <w:r w:rsidRPr="005136BC" w:rsidR="009C67A0">
        <w:rPr>
          <w:szCs w:val="24"/>
        </w:rPr>
        <w:t xml:space="preserve">, the PUCO Staff, </w:t>
      </w:r>
      <w:r w:rsidRPr="005136BC">
        <w:rPr>
          <w:szCs w:val="24"/>
        </w:rPr>
        <w:t xml:space="preserve">and others, DP&amp;L agreed to freeze its base </w:t>
      </w:r>
      <w:r w:rsidRPr="005136BC" w:rsidR="008B5757">
        <w:rPr>
          <w:szCs w:val="24"/>
        </w:rPr>
        <w:t xml:space="preserve">distribution </w:t>
      </w:r>
      <w:r w:rsidRPr="005136BC">
        <w:rPr>
          <w:szCs w:val="24"/>
        </w:rPr>
        <w:t xml:space="preserve">rates to consumers for the duration of its first Electric Security Plan (“ESP 1”) </w:t>
      </w:r>
      <w:r>
        <w:rPr>
          <w:rStyle w:val="FootnoteReference"/>
          <w:szCs w:val="24"/>
        </w:rPr>
        <w:footnoteReference w:id="6"/>
      </w:r>
      <w:r w:rsidRPr="005136BC">
        <w:rPr>
          <w:szCs w:val="24"/>
        </w:rPr>
        <w:t xml:space="preserve"> DP&amp;L’s ESP 1 is currently in effect because DP&amp;L unilaterally chose to revert back to ESP 1 after the PUCO stopped charging DP&amp;L consumers for DP&amp;L’s so-called distribution modernization rider.</w:t>
      </w:r>
      <w:r>
        <w:rPr>
          <w:rStyle w:val="FootnoteReference"/>
          <w:szCs w:val="24"/>
        </w:rPr>
        <w:footnoteReference w:id="7"/>
      </w:r>
      <w:r w:rsidRPr="005136BC">
        <w:rPr>
          <w:szCs w:val="24"/>
        </w:rPr>
        <w:t xml:space="preserve"> The Staff Report should have recommended that the PUCO enforce this ESP I rate freeze for Dayton-area consumers, just as the PUCO has enforced the other provisions of the settlement reached in DP&amp;L’s ESP I.</w:t>
      </w:r>
    </w:p>
    <w:p w:rsidR="00617AD7" w:rsidRPr="005136BC" w:rsidP="00A754D5" w14:paraId="3D76D7FF" w14:textId="50DA3C9E">
      <w:pPr>
        <w:pStyle w:val="Heading2"/>
        <w:rPr>
          <w:szCs w:val="24"/>
        </w:rPr>
      </w:pPr>
      <w:bookmarkStart w:id="6" w:name="_Toc80777722"/>
      <w:r w:rsidRPr="005136BC">
        <w:rPr>
          <w:szCs w:val="24"/>
        </w:rPr>
        <w:t>B.</w:t>
      </w:r>
      <w:r w:rsidRPr="005136BC">
        <w:rPr>
          <w:szCs w:val="24"/>
        </w:rPr>
        <w:tab/>
        <w:t>Revenue Requirement</w:t>
      </w:r>
      <w:bookmarkEnd w:id="6"/>
    </w:p>
    <w:p w:rsidR="0067031E" w:rsidRPr="005136BC" w:rsidP="009B1DF3" w14:paraId="02C9F066" w14:textId="7DAC5A07">
      <w:pPr>
        <w:pStyle w:val="Heading3"/>
        <w:rPr>
          <w:szCs w:val="24"/>
        </w:rPr>
      </w:pPr>
      <w:bookmarkStart w:id="7" w:name="_Toc80777723"/>
      <w:r w:rsidRPr="005136BC">
        <w:rPr>
          <w:szCs w:val="24"/>
        </w:rPr>
        <w:t>Objection</w:t>
      </w:r>
      <w:r w:rsidRPr="005136BC" w:rsidR="00AD672D">
        <w:rPr>
          <w:szCs w:val="24"/>
        </w:rPr>
        <w:t xml:space="preserve"> 2</w:t>
      </w:r>
      <w:r w:rsidRPr="005136BC">
        <w:rPr>
          <w:szCs w:val="24"/>
        </w:rPr>
        <w:t>.</w:t>
      </w:r>
      <w:r w:rsidRPr="005136BC" w:rsidR="00ED2B82">
        <w:rPr>
          <w:szCs w:val="24"/>
        </w:rPr>
        <w:t xml:space="preserve"> </w:t>
      </w:r>
      <w:r w:rsidRPr="005136BC" w:rsidR="00A130FC">
        <w:rPr>
          <w:szCs w:val="24"/>
        </w:rPr>
        <w:t>As a result of OCC’s other objections below (including OCC’s proposed changes to rate base, operating income, and rate of return), t</w:t>
      </w:r>
      <w:r w:rsidRPr="005136BC">
        <w:rPr>
          <w:szCs w:val="24"/>
        </w:rPr>
        <w:t xml:space="preserve">he Staff Report’s recommended rate increase of $61,115,418 to $66,665,151 is too high </w:t>
      </w:r>
      <w:r w:rsidRPr="005136BC" w:rsidR="00617AD7">
        <w:rPr>
          <w:szCs w:val="24"/>
        </w:rPr>
        <w:t xml:space="preserve">for consumers </w:t>
      </w:r>
      <w:r w:rsidRPr="005136BC">
        <w:rPr>
          <w:szCs w:val="24"/>
        </w:rPr>
        <w:t xml:space="preserve">and </w:t>
      </w:r>
      <w:r w:rsidRPr="005136BC" w:rsidR="00A130FC">
        <w:rPr>
          <w:szCs w:val="24"/>
        </w:rPr>
        <w:t>would</w:t>
      </w:r>
      <w:r w:rsidRPr="005136BC">
        <w:rPr>
          <w:szCs w:val="24"/>
        </w:rPr>
        <w:t xml:space="preserve"> result in consumers paying unjust and unreasonable rates</w:t>
      </w:r>
      <w:r w:rsidRPr="005136BC" w:rsidR="00533EDA">
        <w:rPr>
          <w:szCs w:val="24"/>
        </w:rPr>
        <w:t xml:space="preserve"> under R.C. 4905.22, 4909.15, 4909.154, 4909.17, </w:t>
      </w:r>
      <w:r w:rsidRPr="005136BC" w:rsidR="00617AD7">
        <w:rPr>
          <w:szCs w:val="24"/>
        </w:rPr>
        <w:t xml:space="preserve">and </w:t>
      </w:r>
      <w:r w:rsidRPr="005136BC" w:rsidR="00533EDA">
        <w:rPr>
          <w:szCs w:val="24"/>
        </w:rPr>
        <w:t>4909.18</w:t>
      </w:r>
      <w:r w:rsidRPr="005136BC">
        <w:rPr>
          <w:szCs w:val="24"/>
        </w:rPr>
        <w:t>.</w:t>
      </w:r>
      <w:bookmarkEnd w:id="7"/>
    </w:p>
    <w:p w:rsidR="0067031E" w:rsidRPr="005136BC" w:rsidP="00D4185C" w14:paraId="746DF830" w14:textId="7E01C285">
      <w:pPr>
        <w:pStyle w:val="BodyTextIndent3"/>
        <w:spacing w:line="480" w:lineRule="auto"/>
        <w:rPr>
          <w:szCs w:val="24"/>
        </w:rPr>
      </w:pPr>
      <w:r w:rsidRPr="005136BC">
        <w:rPr>
          <w:szCs w:val="24"/>
        </w:rPr>
        <w:t xml:space="preserve">The Staff Report’s recommended rate increase of $61.1 to $66.7 million is too high for consumers and would result in unjust and unreasonable rates. Among other things, OCC objects below on the grounds that (i) capitalized incentives should not be included in rate base, (ii) $16.8 million in capitalized storm costs should not be included in rate base, (iii) $241,572 in dues and memberships should not be charged to consumers, (iv) the Staff Report unreasonably reduced test year operating income revenues by $5 million, (v) the Staff Report unreasonably failed to remove $952,488 in travel and entertainment costs that DP&amp;L did not actually incur </w:t>
      </w:r>
      <w:r w:rsidRPr="005136BC" w:rsidR="004061A5">
        <w:rPr>
          <w:szCs w:val="24"/>
        </w:rPr>
        <w:t xml:space="preserve">during the test year </w:t>
      </w:r>
      <w:r w:rsidRPr="005136BC">
        <w:rPr>
          <w:szCs w:val="24"/>
        </w:rPr>
        <w:t>as a result of the coronavirus pandemic, (vi) test year vegetation management expenses should not be increased by $</w:t>
      </w:r>
      <w:r w:rsidRPr="005136BC" w:rsidR="00343FB2">
        <w:rPr>
          <w:szCs w:val="24"/>
        </w:rPr>
        <w:t>1.</w:t>
      </w:r>
      <w:r w:rsidRPr="005136BC" w:rsidR="00837897">
        <w:rPr>
          <w:szCs w:val="24"/>
        </w:rPr>
        <w:t>8</w:t>
      </w:r>
      <w:r w:rsidRPr="005136BC">
        <w:rPr>
          <w:szCs w:val="24"/>
        </w:rPr>
        <w:t xml:space="preserve"> million </w:t>
      </w:r>
      <w:r w:rsidRPr="005136BC" w:rsidR="0094299B">
        <w:rPr>
          <w:szCs w:val="24"/>
        </w:rPr>
        <w:t xml:space="preserve">compared to current base rates </w:t>
      </w:r>
      <w:r w:rsidRPr="005136BC">
        <w:rPr>
          <w:szCs w:val="24"/>
        </w:rPr>
        <w:t>without justification, and (vii) consumers should not pay the PUCO Staff’s proposed rate of return in the range of 7.05% to 7.59% (midpoint 7.32%).</w:t>
      </w:r>
    </w:p>
    <w:p w:rsidR="00A130FC" w:rsidRPr="005136BC" w:rsidP="00D4185C" w14:paraId="424AC004" w14:textId="1B535510">
      <w:pPr>
        <w:pStyle w:val="BodyTextIndent3"/>
        <w:spacing w:line="480" w:lineRule="auto"/>
        <w:rPr>
          <w:szCs w:val="24"/>
        </w:rPr>
      </w:pPr>
      <w:r w:rsidRPr="005136BC">
        <w:rPr>
          <w:szCs w:val="24"/>
        </w:rPr>
        <w:t xml:space="preserve">Each of these </w:t>
      </w:r>
      <w:r w:rsidRPr="005136BC" w:rsidR="00F04CD4">
        <w:rPr>
          <w:szCs w:val="24"/>
        </w:rPr>
        <w:t>unjust and unreasonable</w:t>
      </w:r>
      <w:r w:rsidRPr="005136BC">
        <w:rPr>
          <w:szCs w:val="24"/>
        </w:rPr>
        <w:t xml:space="preserve"> positions taken in the Staff Report, if the PUCO were to adopt them, would </w:t>
      </w:r>
      <w:r w:rsidRPr="005136BC" w:rsidR="00F04CD4">
        <w:rPr>
          <w:szCs w:val="24"/>
        </w:rPr>
        <w:t>unlawfully</w:t>
      </w:r>
      <w:r w:rsidRPr="005136BC">
        <w:rPr>
          <w:szCs w:val="24"/>
        </w:rPr>
        <w:t xml:space="preserve"> increase the rates that consumers pay. Instead, the PUCO should adopt OCC’s objections, which would result in a revenue requirement that is lower than the $61.4 to $66.7 million increase recommended in the Staff Report.</w:t>
      </w:r>
    </w:p>
    <w:p w:rsidR="00617AD7" w:rsidRPr="005136BC" w:rsidP="009B1DF3" w14:paraId="13746628" w14:textId="2CD943FD">
      <w:pPr>
        <w:pStyle w:val="Heading3"/>
        <w:rPr>
          <w:szCs w:val="24"/>
        </w:rPr>
      </w:pPr>
      <w:bookmarkStart w:id="8" w:name="_Toc80777724"/>
      <w:r w:rsidRPr="005136BC">
        <w:rPr>
          <w:szCs w:val="24"/>
        </w:rPr>
        <w:t>Objection</w:t>
      </w:r>
      <w:r w:rsidRPr="005136BC" w:rsidR="002C16D1">
        <w:rPr>
          <w:szCs w:val="24"/>
        </w:rPr>
        <w:t xml:space="preserve"> 3</w:t>
      </w:r>
      <w:r w:rsidRPr="005136BC">
        <w:rPr>
          <w:szCs w:val="24"/>
        </w:rPr>
        <w:t>.</w:t>
      </w:r>
      <w:r w:rsidRPr="005136BC" w:rsidR="00ED2B82">
        <w:rPr>
          <w:szCs w:val="24"/>
        </w:rPr>
        <w:t xml:space="preserve"> </w:t>
      </w:r>
      <w:r w:rsidRPr="005136BC" w:rsidR="00B76BDE">
        <w:rPr>
          <w:szCs w:val="24"/>
        </w:rPr>
        <w:t xml:space="preserve">The Staff Report failed to consider </w:t>
      </w:r>
      <w:r w:rsidRPr="005136BC" w:rsidR="00B76BDE">
        <w:rPr>
          <w:rStyle w:val="markedcontent"/>
          <w:szCs w:val="24"/>
        </w:rPr>
        <w:t xml:space="preserve">the adverse impact of its proposed </w:t>
      </w:r>
      <w:r w:rsidRPr="005136BC" w:rsidR="00B76BDE">
        <w:rPr>
          <w:szCs w:val="24"/>
        </w:rPr>
        <w:t>$61,115,418 to $66,665,151</w:t>
      </w:r>
      <w:r w:rsidRPr="005136BC" w:rsidR="00B76BDE">
        <w:rPr>
          <w:rStyle w:val="markedcontent"/>
          <w:szCs w:val="24"/>
        </w:rPr>
        <w:t xml:space="preserve"> rate increase on residential consumers, including at-risk consumers who can face loss of electric service</w:t>
      </w:r>
      <w:r w:rsidRPr="005136BC" w:rsidR="008E1FF3">
        <w:rPr>
          <w:rStyle w:val="markedcontent"/>
          <w:szCs w:val="24"/>
        </w:rPr>
        <w:t xml:space="preserve"> because of their inability to pay for unreasonable rates</w:t>
      </w:r>
      <w:r w:rsidRPr="005136BC" w:rsidR="00B76BDE">
        <w:rPr>
          <w:rStyle w:val="markedcontent"/>
          <w:szCs w:val="24"/>
        </w:rPr>
        <w:t>.</w:t>
      </w:r>
      <w:bookmarkEnd w:id="8"/>
    </w:p>
    <w:p w:rsidR="00F95D3C" w:rsidRPr="005136BC" w:rsidP="00F95D3C" w14:paraId="4565EB62" w14:textId="0B16E07D">
      <w:pPr>
        <w:tabs>
          <w:tab w:val="left" w:leader="dot" w:pos="8640"/>
        </w:tabs>
        <w:spacing w:line="480" w:lineRule="auto"/>
        <w:ind w:firstLine="720"/>
        <w:rPr>
          <w:szCs w:val="24"/>
        </w:rPr>
      </w:pPr>
      <w:r w:rsidRPr="005136BC">
        <w:rPr>
          <w:szCs w:val="24"/>
        </w:rPr>
        <w:t xml:space="preserve">The magnitude of the proposed revenue increase and the resulting bill impacts are </w:t>
      </w:r>
      <w:r w:rsidRPr="005136BC" w:rsidR="009C67A0">
        <w:rPr>
          <w:szCs w:val="24"/>
        </w:rPr>
        <w:t>contributing to utility b</w:t>
      </w:r>
      <w:r w:rsidRPr="005136BC" w:rsidR="007769C5">
        <w:rPr>
          <w:szCs w:val="24"/>
        </w:rPr>
        <w:t>i</w:t>
      </w:r>
      <w:r w:rsidRPr="005136BC" w:rsidR="00746281">
        <w:rPr>
          <w:szCs w:val="24"/>
        </w:rPr>
        <w:t>l</w:t>
      </w:r>
      <w:r w:rsidRPr="005136BC" w:rsidR="009C67A0">
        <w:rPr>
          <w:szCs w:val="24"/>
        </w:rPr>
        <w:t xml:space="preserve">ls that may be </w:t>
      </w:r>
      <w:r w:rsidRPr="005136BC">
        <w:rPr>
          <w:szCs w:val="24"/>
        </w:rPr>
        <w:t>unaffordable for consumers in many communities in the DP&amp;L service territory. Even before the pandemic, Dayton-area consumers were suffering, facing some of the worst poverty in the state, with more than 32% of consumers in the City of Dayton living in poverty—more than twice the state average.</w:t>
      </w:r>
      <w:r>
        <w:rPr>
          <w:rStyle w:val="FootnoteReference"/>
          <w:szCs w:val="24"/>
        </w:rPr>
        <w:footnoteReference w:id="8"/>
      </w:r>
      <w:r w:rsidRPr="005136BC">
        <w:rPr>
          <w:szCs w:val="24"/>
        </w:rPr>
        <w:t xml:space="preserve"> Many more Ohioans in Montgomery County live just above the poverty line.</w:t>
      </w:r>
      <w:r>
        <w:rPr>
          <w:rStyle w:val="FootnoteReference"/>
          <w:szCs w:val="24"/>
        </w:rPr>
        <w:footnoteReference w:id="9"/>
      </w:r>
      <w:r w:rsidRPr="005136BC">
        <w:rPr>
          <w:szCs w:val="24"/>
        </w:rPr>
        <w:t xml:space="preserve"> And before the pandemic, more than 14% of Ohioans in Montgomery had inadequate access to food.</w:t>
      </w:r>
      <w:r>
        <w:rPr>
          <w:rStyle w:val="FootnoteReference"/>
          <w:szCs w:val="24"/>
        </w:rPr>
        <w:footnoteReference w:id="10"/>
      </w:r>
      <w:r w:rsidRPr="005136BC">
        <w:rPr>
          <w:szCs w:val="24"/>
        </w:rPr>
        <w:t xml:space="preserve"> Unfortunately, food insecurity affects children even more, with over 20% of Montgomery County children lacking adequate access to food.</w:t>
      </w:r>
      <w:r>
        <w:rPr>
          <w:rStyle w:val="FootnoteReference"/>
          <w:szCs w:val="24"/>
        </w:rPr>
        <w:footnoteReference w:id="11"/>
      </w:r>
    </w:p>
    <w:p w:rsidR="00F95D3C" w:rsidRPr="005136BC" w:rsidP="00F95D3C" w14:paraId="77F56474" w14:textId="77777777">
      <w:pPr>
        <w:tabs>
          <w:tab w:val="left" w:leader="dot" w:pos="8640"/>
        </w:tabs>
        <w:spacing w:line="480" w:lineRule="auto"/>
        <w:ind w:firstLine="720"/>
        <w:rPr>
          <w:szCs w:val="24"/>
        </w:rPr>
      </w:pPr>
      <w:r w:rsidRPr="005136BC">
        <w:rPr>
          <w:szCs w:val="24"/>
        </w:rPr>
        <w:t>These types of problems—and others—have only been made worse by the coronavirus pandemic and financial emergency. Unemployment reached 10% or more in the Dayton region during the pandemic, and although employment rates have improved since then, a recent report shows that Dayton’s unemployment rate is still higher than both the state and national average.</w:t>
      </w:r>
      <w:r>
        <w:rPr>
          <w:rStyle w:val="FootnoteReference"/>
          <w:szCs w:val="24"/>
        </w:rPr>
        <w:footnoteReference w:id="12"/>
      </w:r>
    </w:p>
    <w:p w:rsidR="00F95D3C" w:rsidRPr="005136BC" w:rsidP="00F95D3C" w14:paraId="12AE1F83" w14:textId="1B1C8ED9">
      <w:pPr>
        <w:tabs>
          <w:tab w:val="left" w:leader="dot" w:pos="8640"/>
        </w:tabs>
        <w:spacing w:line="480" w:lineRule="auto"/>
        <w:ind w:firstLine="720"/>
        <w:rPr>
          <w:szCs w:val="24"/>
        </w:rPr>
      </w:pPr>
      <w:r w:rsidRPr="005136BC">
        <w:rPr>
          <w:szCs w:val="24"/>
        </w:rPr>
        <w:t>Residential consumers are still economically struggling due to horrific and prolonged global effects of the coronavirus pandemic. The pandemic continues</w:t>
      </w:r>
      <w:r w:rsidRPr="005136BC" w:rsidR="009B1DF3">
        <w:rPr>
          <w:szCs w:val="24"/>
        </w:rPr>
        <w:t xml:space="preserve">. </w:t>
      </w:r>
      <w:r w:rsidRPr="005136BC">
        <w:rPr>
          <w:szCs w:val="24"/>
        </w:rPr>
        <w:t>The cases related to the delta variant of the coronavirus are escalating. Just recently, Ohio recorded the highest number of daily infections since February.</w:t>
      </w:r>
      <w:r>
        <w:rPr>
          <w:rStyle w:val="FootnoteReference"/>
          <w:szCs w:val="24"/>
        </w:rPr>
        <w:footnoteReference w:id="13"/>
      </w:r>
      <w:r w:rsidRPr="005136BC">
        <w:rPr>
          <w:szCs w:val="24"/>
        </w:rPr>
        <w:t xml:space="preserve"> The increase proposed in the Staff Report does not address these important concerns for residential consumers.</w:t>
      </w:r>
    </w:p>
    <w:p w:rsidR="00916047" w:rsidRPr="005136BC" w:rsidP="00F95D3C" w14:paraId="124558E9" w14:textId="54034D34">
      <w:pPr>
        <w:tabs>
          <w:tab w:val="left" w:leader="dot" w:pos="8640"/>
        </w:tabs>
        <w:spacing w:line="480" w:lineRule="auto"/>
        <w:ind w:firstLine="720"/>
        <w:rPr>
          <w:szCs w:val="24"/>
        </w:rPr>
      </w:pPr>
      <w:r w:rsidRPr="005136BC">
        <w:rPr>
          <w:szCs w:val="24"/>
        </w:rPr>
        <w:t>Disconnections in DP&amp;L’s service territory are also an indicator of unaffordable electric service. Due to the state of emergency declared in Ohio as a result of the coronavirus pandemic, DP&amp;L was prohibited from disconnecting residential consumers from March 2020 through August 2020. But given the lack of any current suspension on disconnections, the proposed bill impact associated with this rate case, and other factors, DP&amp;L</w:t>
      </w:r>
      <w:r w:rsidRPr="005136BC" w:rsidR="009C67A0">
        <w:rPr>
          <w:szCs w:val="24"/>
        </w:rPr>
        <w:t xml:space="preserve">’s </w:t>
      </w:r>
      <w:r w:rsidRPr="005136BC">
        <w:rPr>
          <w:szCs w:val="24"/>
        </w:rPr>
        <w:t xml:space="preserve">disconnections </w:t>
      </w:r>
      <w:r w:rsidRPr="005136BC" w:rsidR="009C67A0">
        <w:rPr>
          <w:szCs w:val="24"/>
        </w:rPr>
        <w:t xml:space="preserve">of consumers </w:t>
      </w:r>
      <w:r w:rsidRPr="005136BC">
        <w:rPr>
          <w:szCs w:val="24"/>
        </w:rPr>
        <w:t>are likely to increase.</w:t>
      </w:r>
    </w:p>
    <w:p w:rsidR="00617AD7" w:rsidRPr="005136BC" w:rsidP="00D4185C" w14:paraId="6B366A3A" w14:textId="3CA23C2D">
      <w:pPr>
        <w:pStyle w:val="BodyTextIndent3"/>
        <w:spacing w:line="480" w:lineRule="auto"/>
        <w:rPr>
          <w:szCs w:val="24"/>
        </w:rPr>
      </w:pPr>
      <w:r w:rsidRPr="005136BC">
        <w:rPr>
          <w:szCs w:val="24"/>
        </w:rPr>
        <w:t xml:space="preserve">In recommending a rate increase for consumers of greater than $61 million per year, the Staff Report </w:t>
      </w:r>
      <w:r w:rsidRPr="005136BC" w:rsidR="00B76BDE">
        <w:rPr>
          <w:szCs w:val="24"/>
        </w:rPr>
        <w:t>failed to evaluate the impact that the large rate increase will have on all residential consumers (including at-risk consumers) and to recommend ways to mitigate such impacts on consumers.</w:t>
      </w:r>
    </w:p>
    <w:p w:rsidR="00B76BDE" w:rsidRPr="005136BC" w:rsidP="00A754D5" w14:paraId="443F2F31" w14:textId="2D19BE52">
      <w:pPr>
        <w:pStyle w:val="Heading2"/>
        <w:rPr>
          <w:szCs w:val="24"/>
        </w:rPr>
      </w:pPr>
      <w:bookmarkStart w:id="9" w:name="_Toc80777725"/>
      <w:r w:rsidRPr="005136BC">
        <w:rPr>
          <w:szCs w:val="24"/>
        </w:rPr>
        <w:t>C</w:t>
      </w:r>
      <w:r w:rsidRPr="005136BC" w:rsidR="00B76DE4">
        <w:rPr>
          <w:szCs w:val="24"/>
        </w:rPr>
        <w:t>.</w:t>
      </w:r>
      <w:r w:rsidRPr="005136BC" w:rsidR="00B76DE4">
        <w:rPr>
          <w:szCs w:val="24"/>
        </w:rPr>
        <w:tab/>
        <w:t>Rate Base</w:t>
      </w:r>
      <w:bookmarkEnd w:id="9"/>
    </w:p>
    <w:p w:rsidR="00B76BDE" w:rsidRPr="005136BC" w:rsidP="009B1DF3" w14:paraId="3DF04F2A" w14:textId="70E2217E">
      <w:pPr>
        <w:pStyle w:val="Heading3"/>
        <w:rPr>
          <w:szCs w:val="24"/>
        </w:rPr>
      </w:pPr>
      <w:bookmarkStart w:id="10" w:name="_Toc80777726"/>
      <w:r w:rsidRPr="005136BC">
        <w:rPr>
          <w:szCs w:val="24"/>
        </w:rPr>
        <w:t>Objection</w:t>
      </w:r>
      <w:r w:rsidRPr="005136BC" w:rsidR="002C16D1">
        <w:rPr>
          <w:szCs w:val="24"/>
        </w:rPr>
        <w:t xml:space="preserve"> 4</w:t>
      </w:r>
      <w:r w:rsidRPr="005136BC">
        <w:rPr>
          <w:szCs w:val="24"/>
        </w:rPr>
        <w:t>.</w:t>
      </w:r>
      <w:r w:rsidRPr="005136BC" w:rsidR="00ED2B82">
        <w:rPr>
          <w:szCs w:val="24"/>
        </w:rPr>
        <w:t xml:space="preserve"> </w:t>
      </w:r>
      <w:r w:rsidRPr="005136BC" w:rsidR="006E1164">
        <w:rPr>
          <w:szCs w:val="24"/>
        </w:rPr>
        <w:t>The Staff Report erred by not recommending</w:t>
      </w:r>
      <w:r w:rsidRPr="005136BC" w:rsidR="00F77750">
        <w:rPr>
          <w:szCs w:val="24"/>
        </w:rPr>
        <w:t xml:space="preserve"> that capitalized</w:t>
      </w:r>
      <w:r w:rsidRPr="005136BC" w:rsidR="006E1164">
        <w:rPr>
          <w:szCs w:val="24"/>
        </w:rPr>
        <w:t xml:space="preserve"> incentive compensation be removed from Plant In Service, which will lead to higher rates charge</w:t>
      </w:r>
      <w:r w:rsidRPr="005136BC" w:rsidR="00F77750">
        <w:rPr>
          <w:szCs w:val="24"/>
        </w:rPr>
        <w:t>d</w:t>
      </w:r>
      <w:r w:rsidRPr="005136BC" w:rsidR="006E1164">
        <w:rPr>
          <w:szCs w:val="24"/>
        </w:rPr>
        <w:t xml:space="preserve"> to consumers.</w:t>
      </w:r>
      <w:bookmarkEnd w:id="10"/>
    </w:p>
    <w:p w:rsidR="00B76BDE" w:rsidRPr="005136BC" w:rsidP="00D4185C" w14:paraId="4345229F" w14:textId="1DB5B197">
      <w:pPr>
        <w:pStyle w:val="BodyTextIndent3"/>
        <w:spacing w:line="480" w:lineRule="auto"/>
        <w:rPr>
          <w:szCs w:val="24"/>
        </w:rPr>
      </w:pPr>
      <w:r w:rsidRPr="005136BC">
        <w:rPr>
          <w:szCs w:val="24"/>
        </w:rPr>
        <w:t>The Staff Report recommends that “starting with the Commission’s Opinion and Order in this case and going forward, the Company exclude from base rates all capitalized earnings-based incentive compensation as shareholders and not ratepayers should fund earnings-based incentives.”</w:t>
      </w:r>
      <w:r>
        <w:rPr>
          <w:rStyle w:val="FootnoteReference"/>
          <w:szCs w:val="24"/>
        </w:rPr>
        <w:footnoteReference w:id="14"/>
      </w:r>
      <w:r w:rsidRPr="005136BC">
        <w:rPr>
          <w:szCs w:val="24"/>
        </w:rPr>
        <w:t xml:space="preserve"> The Staff is correct that consumers should not pay for DP&amp;L’s employees’ incentive compensation, but the Staff Report should have gone further by actually removing such compensation </w:t>
      </w:r>
      <w:r w:rsidRPr="005136BC" w:rsidR="00746281">
        <w:rPr>
          <w:szCs w:val="24"/>
        </w:rPr>
        <w:t xml:space="preserve">that is currently booked in </w:t>
      </w:r>
      <w:r w:rsidRPr="005136BC">
        <w:rPr>
          <w:szCs w:val="24"/>
        </w:rPr>
        <w:t>rate base.</w:t>
      </w:r>
    </w:p>
    <w:p w:rsidR="00B76BDE" w:rsidRPr="005136BC" w:rsidP="00D4185C" w14:paraId="1F7E538A" w14:textId="7ADCF27B">
      <w:pPr>
        <w:pStyle w:val="BodyTextIndent3"/>
        <w:spacing w:line="480" w:lineRule="auto"/>
        <w:rPr>
          <w:szCs w:val="24"/>
        </w:rPr>
      </w:pPr>
      <w:r w:rsidRPr="005136BC">
        <w:rPr>
          <w:szCs w:val="24"/>
        </w:rPr>
        <w:t xml:space="preserve">Incentives </w:t>
      </w:r>
      <w:r w:rsidRPr="005136BC" w:rsidR="0077685C">
        <w:rPr>
          <w:szCs w:val="24"/>
        </w:rPr>
        <w:t xml:space="preserve">compensation to employees </w:t>
      </w:r>
      <w:r w:rsidRPr="005136BC">
        <w:rPr>
          <w:szCs w:val="24"/>
        </w:rPr>
        <w:t xml:space="preserve">are not necessary in the provision of electric service to consumers. Further, capitalizing </w:t>
      </w:r>
      <w:r w:rsidRPr="005136BC" w:rsidR="0077685C">
        <w:rPr>
          <w:szCs w:val="24"/>
        </w:rPr>
        <w:t xml:space="preserve">employee </w:t>
      </w:r>
      <w:r w:rsidRPr="005136BC">
        <w:rPr>
          <w:szCs w:val="24"/>
        </w:rPr>
        <w:t>incentive</w:t>
      </w:r>
      <w:r w:rsidRPr="005136BC" w:rsidR="0077685C">
        <w:rPr>
          <w:szCs w:val="24"/>
        </w:rPr>
        <w:t xml:space="preserve"> compensation </w:t>
      </w:r>
      <w:r w:rsidRPr="005136BC">
        <w:rPr>
          <w:szCs w:val="24"/>
        </w:rPr>
        <w:t xml:space="preserve">increases Rate Base and </w:t>
      </w:r>
      <w:r w:rsidRPr="005136BC" w:rsidR="0077685C">
        <w:rPr>
          <w:szCs w:val="24"/>
        </w:rPr>
        <w:t xml:space="preserve">this amount of “capitalized plant” </w:t>
      </w:r>
      <w:r w:rsidRPr="005136BC">
        <w:rPr>
          <w:szCs w:val="24"/>
        </w:rPr>
        <w:t>is not used and useful</w:t>
      </w:r>
      <w:r w:rsidRPr="005136BC" w:rsidR="009B1DF3">
        <w:rPr>
          <w:szCs w:val="24"/>
        </w:rPr>
        <w:t xml:space="preserve">. </w:t>
      </w:r>
      <w:r w:rsidRPr="005136BC">
        <w:rPr>
          <w:szCs w:val="24"/>
        </w:rPr>
        <w:t xml:space="preserve">The PUCO should require DP&amp;L to remove all capitalized </w:t>
      </w:r>
      <w:r w:rsidRPr="005136BC" w:rsidR="00AE2025">
        <w:rPr>
          <w:szCs w:val="24"/>
        </w:rPr>
        <w:t xml:space="preserve">employee </w:t>
      </w:r>
      <w:r w:rsidRPr="005136BC">
        <w:rPr>
          <w:szCs w:val="24"/>
        </w:rPr>
        <w:t>incentive</w:t>
      </w:r>
      <w:r w:rsidRPr="005136BC" w:rsidR="00AE2025">
        <w:rPr>
          <w:szCs w:val="24"/>
        </w:rPr>
        <w:t xml:space="preserve"> compensation</w:t>
      </w:r>
      <w:r w:rsidRPr="005136BC">
        <w:rPr>
          <w:szCs w:val="24"/>
        </w:rPr>
        <w:t xml:space="preserve"> from Rate Base and reduce the Revenue Requirement accordingly.</w:t>
      </w:r>
    </w:p>
    <w:p w:rsidR="006E1164" w:rsidRPr="005136BC" w:rsidP="009B1DF3" w14:paraId="32E5E9A4" w14:textId="41ECC6D7">
      <w:pPr>
        <w:pStyle w:val="Heading3"/>
        <w:rPr>
          <w:szCs w:val="24"/>
        </w:rPr>
      </w:pPr>
      <w:bookmarkStart w:id="11" w:name="_Toc80777727"/>
      <w:r w:rsidRPr="005136BC">
        <w:rPr>
          <w:szCs w:val="24"/>
        </w:rPr>
        <w:t>Objection</w:t>
      </w:r>
      <w:r w:rsidRPr="005136BC" w:rsidR="002C16D1">
        <w:rPr>
          <w:szCs w:val="24"/>
        </w:rPr>
        <w:t xml:space="preserve"> 5</w:t>
      </w:r>
      <w:r w:rsidRPr="005136BC">
        <w:rPr>
          <w:szCs w:val="24"/>
        </w:rPr>
        <w:t>.</w:t>
      </w:r>
      <w:r w:rsidRPr="005136BC" w:rsidR="00ED2B82">
        <w:rPr>
          <w:szCs w:val="24"/>
        </w:rPr>
        <w:t xml:space="preserve"> </w:t>
      </w:r>
      <w:r w:rsidRPr="005136BC">
        <w:rPr>
          <w:szCs w:val="24"/>
        </w:rPr>
        <w:t xml:space="preserve">The Staff Report erred by not making a </w:t>
      </w:r>
      <w:r w:rsidRPr="005136BC" w:rsidR="001B5732">
        <w:rPr>
          <w:szCs w:val="24"/>
        </w:rPr>
        <w:t>p</w:t>
      </w:r>
      <w:r w:rsidRPr="005136BC">
        <w:rPr>
          <w:szCs w:val="24"/>
        </w:rPr>
        <w:t xml:space="preserve">lant </w:t>
      </w:r>
      <w:r w:rsidRPr="005136BC" w:rsidR="001B5732">
        <w:rPr>
          <w:szCs w:val="24"/>
        </w:rPr>
        <w:t>i</w:t>
      </w:r>
      <w:r w:rsidRPr="005136BC">
        <w:rPr>
          <w:szCs w:val="24"/>
        </w:rPr>
        <w:t xml:space="preserve">n </w:t>
      </w:r>
      <w:r w:rsidRPr="005136BC" w:rsidR="001B5732">
        <w:rPr>
          <w:szCs w:val="24"/>
        </w:rPr>
        <w:t>s</w:t>
      </w:r>
      <w:r w:rsidRPr="005136BC">
        <w:rPr>
          <w:szCs w:val="24"/>
        </w:rPr>
        <w:t xml:space="preserve">ervice adjustment to exclude </w:t>
      </w:r>
      <w:r w:rsidRPr="005136BC" w:rsidR="001B5732">
        <w:rPr>
          <w:szCs w:val="24"/>
        </w:rPr>
        <w:t xml:space="preserve">$16.8 million in </w:t>
      </w:r>
      <w:r w:rsidRPr="005136BC" w:rsidR="00AE2025">
        <w:rPr>
          <w:szCs w:val="24"/>
        </w:rPr>
        <w:t xml:space="preserve">improper </w:t>
      </w:r>
      <w:r w:rsidRPr="005136BC">
        <w:rPr>
          <w:szCs w:val="24"/>
        </w:rPr>
        <w:t>capitalized storm costs</w:t>
      </w:r>
      <w:r w:rsidRPr="005136BC" w:rsidR="009B1DF3">
        <w:rPr>
          <w:szCs w:val="24"/>
        </w:rPr>
        <w:t>.</w:t>
      </w:r>
      <w:bookmarkEnd w:id="11"/>
      <w:r w:rsidRPr="005136BC" w:rsidR="009B1DF3">
        <w:rPr>
          <w:szCs w:val="24"/>
        </w:rPr>
        <w:t xml:space="preserve"> </w:t>
      </w:r>
    </w:p>
    <w:p w:rsidR="006E1164" w:rsidRPr="005136BC" w:rsidP="00D4185C" w14:paraId="10864362" w14:textId="5CABF36F">
      <w:pPr>
        <w:pStyle w:val="BodyTextIndent3"/>
        <w:spacing w:line="480" w:lineRule="auto"/>
        <w:rPr>
          <w:szCs w:val="24"/>
        </w:rPr>
      </w:pPr>
      <w:r w:rsidRPr="005136BC">
        <w:rPr>
          <w:szCs w:val="24"/>
        </w:rPr>
        <w:t xml:space="preserve">Since date certain in the last rate case (September 30, 2015), DP&amp;L booked to plant in service $28.9 million in storm costs. OCC recommends an adjustment of $16.8 million to remove administrative and general overheads, operation and maintenance expenses, cash bonuses, meals, picnics and parties, travel, and office supplies that are either inappropriate for </w:t>
      </w:r>
      <w:r w:rsidRPr="005136BC" w:rsidR="00AE2025">
        <w:rPr>
          <w:szCs w:val="24"/>
        </w:rPr>
        <w:t xml:space="preserve">collection from consumer </w:t>
      </w:r>
      <w:r w:rsidRPr="005136BC">
        <w:rPr>
          <w:szCs w:val="24"/>
        </w:rPr>
        <w:t>altogether</w:t>
      </w:r>
      <w:r w:rsidRPr="005136BC" w:rsidR="007769C5">
        <w:rPr>
          <w:szCs w:val="24"/>
        </w:rPr>
        <w:t xml:space="preserve"> (because they are not necessary to provide distribution service, were not prudently incurred, or are otherwise excessive)</w:t>
      </w:r>
      <w:r w:rsidRPr="005136BC">
        <w:rPr>
          <w:szCs w:val="24"/>
        </w:rPr>
        <w:t xml:space="preserve"> or inappropriate for inclusion in rate base</w:t>
      </w:r>
      <w:r w:rsidRPr="005136BC" w:rsidR="007769C5">
        <w:rPr>
          <w:szCs w:val="24"/>
        </w:rPr>
        <w:t xml:space="preserve"> (because they are operations and maintenance costs)</w:t>
      </w:r>
      <w:r w:rsidRPr="005136BC">
        <w:rPr>
          <w:szCs w:val="24"/>
        </w:rPr>
        <w:t>.</w:t>
      </w:r>
    </w:p>
    <w:p w:rsidR="006E1164" w:rsidRPr="005136BC" w:rsidP="009B1DF3" w14:paraId="1F375E7C" w14:textId="6191DB62">
      <w:pPr>
        <w:pStyle w:val="Heading3"/>
        <w:rPr>
          <w:szCs w:val="24"/>
        </w:rPr>
      </w:pPr>
      <w:bookmarkStart w:id="12" w:name="_Toc80777728"/>
      <w:r w:rsidRPr="005136BC">
        <w:rPr>
          <w:szCs w:val="24"/>
        </w:rPr>
        <w:t>Objection</w:t>
      </w:r>
      <w:r w:rsidRPr="005136BC" w:rsidR="002C16D1">
        <w:rPr>
          <w:szCs w:val="24"/>
        </w:rPr>
        <w:t xml:space="preserve"> 6</w:t>
      </w:r>
      <w:r w:rsidRPr="005136BC">
        <w:rPr>
          <w:szCs w:val="24"/>
        </w:rPr>
        <w:t>.</w:t>
      </w:r>
      <w:r w:rsidRPr="005136BC" w:rsidR="00ED2B82">
        <w:rPr>
          <w:szCs w:val="24"/>
        </w:rPr>
        <w:t xml:space="preserve"> </w:t>
      </w:r>
      <w:r w:rsidRPr="005136BC">
        <w:rPr>
          <w:szCs w:val="24"/>
        </w:rPr>
        <w:t xml:space="preserve">The Staff Report erred by not recommending </w:t>
      </w:r>
      <w:r w:rsidRPr="005136BC" w:rsidR="001B5732">
        <w:rPr>
          <w:szCs w:val="24"/>
        </w:rPr>
        <w:t>d</w:t>
      </w:r>
      <w:r w:rsidRPr="005136BC">
        <w:rPr>
          <w:szCs w:val="24"/>
        </w:rPr>
        <w:t xml:space="preserve">epreciation </w:t>
      </w:r>
      <w:r w:rsidRPr="005136BC" w:rsidR="001B5732">
        <w:rPr>
          <w:szCs w:val="24"/>
        </w:rPr>
        <w:t>r</w:t>
      </w:r>
      <w:r w:rsidRPr="005136BC">
        <w:rPr>
          <w:szCs w:val="24"/>
        </w:rPr>
        <w:t xml:space="preserve">eserve </w:t>
      </w:r>
      <w:r w:rsidRPr="005136BC" w:rsidR="001B5732">
        <w:rPr>
          <w:szCs w:val="24"/>
        </w:rPr>
        <w:t xml:space="preserve">adjustments based on OCC’s recommended </w:t>
      </w:r>
      <w:r w:rsidRPr="005136BC" w:rsidR="002C16D1">
        <w:rPr>
          <w:szCs w:val="24"/>
        </w:rPr>
        <w:t>storm cost and capitalized incentive adjustments.</w:t>
      </w:r>
      <w:bookmarkEnd w:id="12"/>
    </w:p>
    <w:p w:rsidR="006E1164" w:rsidRPr="005136BC" w:rsidP="002C16D1" w14:paraId="21ECBB3F" w14:textId="3E6F1C51">
      <w:pPr>
        <w:pStyle w:val="BodyTextIndent3"/>
        <w:spacing w:line="480" w:lineRule="auto"/>
        <w:rPr>
          <w:szCs w:val="24"/>
        </w:rPr>
      </w:pPr>
      <w:r w:rsidRPr="005136BC">
        <w:rPr>
          <w:szCs w:val="24"/>
        </w:rPr>
        <w:t>If OCC objections 4 and 5 regarding capitalized incentives and storm costs are adopted, corresponding adjustments would need to be made to the depreciation reserve. OCC’s storm cost adjustment requires a reduction of $485,717 in the depreciation reserve. Depreciation reserve will need to be further adjusted once capitalized incentive</w:t>
      </w:r>
      <w:r w:rsidRPr="005136BC" w:rsidR="00B907D9">
        <w:rPr>
          <w:szCs w:val="24"/>
        </w:rPr>
        <w:t xml:space="preserve"> compensation </w:t>
      </w:r>
      <w:r w:rsidRPr="005136BC">
        <w:rPr>
          <w:szCs w:val="24"/>
        </w:rPr>
        <w:t>are identified and removed from plant in service.</w:t>
      </w:r>
      <w:r w:rsidRPr="005136BC" w:rsidR="00B907D9">
        <w:rPr>
          <w:szCs w:val="24"/>
        </w:rPr>
        <w:t xml:space="preserve"> OCC is unable </w:t>
      </w:r>
      <w:r w:rsidRPr="005136BC" w:rsidR="001A5EB0">
        <w:rPr>
          <w:szCs w:val="24"/>
        </w:rPr>
        <w:t xml:space="preserve">at this time </w:t>
      </w:r>
      <w:r w:rsidRPr="005136BC" w:rsidR="00B907D9">
        <w:rPr>
          <w:szCs w:val="24"/>
        </w:rPr>
        <w:t>to quantify the amount of capitalized incentive compensation because DP&amp;L did not provide sufficient information in its Application and discovery response</w:t>
      </w:r>
      <w:r w:rsidRPr="005136BC" w:rsidR="007769C5">
        <w:rPr>
          <w:szCs w:val="24"/>
        </w:rPr>
        <w:t>s</w:t>
      </w:r>
      <w:r w:rsidRPr="005136BC" w:rsidR="00B907D9">
        <w:rPr>
          <w:szCs w:val="24"/>
        </w:rPr>
        <w:t>.</w:t>
      </w:r>
    </w:p>
    <w:p w:rsidR="00052622" w14:paraId="27356F65" w14:textId="77777777">
      <w:pPr>
        <w:rPr>
          <w:b/>
          <w:szCs w:val="24"/>
        </w:rPr>
      </w:pPr>
      <w:r>
        <w:rPr>
          <w:szCs w:val="24"/>
        </w:rPr>
        <w:br w:type="page"/>
      </w:r>
    </w:p>
    <w:p w:rsidR="00D53A2C" w:rsidRPr="005136BC" w:rsidP="00A754D5" w14:paraId="31A1EF6C" w14:textId="64518A59">
      <w:pPr>
        <w:pStyle w:val="Heading2"/>
        <w:rPr>
          <w:szCs w:val="24"/>
        </w:rPr>
      </w:pPr>
      <w:bookmarkStart w:id="13" w:name="_Toc80777729"/>
      <w:r w:rsidRPr="005136BC">
        <w:rPr>
          <w:szCs w:val="24"/>
        </w:rPr>
        <w:t>D</w:t>
      </w:r>
      <w:r w:rsidRPr="005136BC">
        <w:rPr>
          <w:szCs w:val="24"/>
        </w:rPr>
        <w:t>.</w:t>
      </w:r>
      <w:r w:rsidRPr="005136BC">
        <w:rPr>
          <w:szCs w:val="24"/>
        </w:rPr>
        <w:tab/>
        <w:t>Operating Income</w:t>
      </w:r>
      <w:bookmarkEnd w:id="13"/>
    </w:p>
    <w:p w:rsidR="00D53A2C" w:rsidRPr="005136BC" w:rsidP="009B1DF3" w14:paraId="446F33EA" w14:textId="640C0FF2">
      <w:pPr>
        <w:pStyle w:val="Heading3"/>
        <w:rPr>
          <w:szCs w:val="24"/>
        </w:rPr>
      </w:pPr>
      <w:bookmarkStart w:id="14" w:name="_Toc80777730"/>
      <w:r w:rsidRPr="005136BC">
        <w:rPr>
          <w:szCs w:val="24"/>
        </w:rPr>
        <w:t>Objection</w:t>
      </w:r>
      <w:r w:rsidRPr="005136BC" w:rsidR="001C45BB">
        <w:rPr>
          <w:szCs w:val="24"/>
        </w:rPr>
        <w:t xml:space="preserve"> 7</w:t>
      </w:r>
      <w:r w:rsidRPr="005136BC">
        <w:rPr>
          <w:szCs w:val="24"/>
        </w:rPr>
        <w:t>.</w:t>
      </w:r>
      <w:r w:rsidRPr="005136BC" w:rsidR="00ED2B82">
        <w:rPr>
          <w:szCs w:val="24"/>
        </w:rPr>
        <w:t xml:space="preserve"> </w:t>
      </w:r>
      <w:r w:rsidRPr="005136BC">
        <w:rPr>
          <w:szCs w:val="24"/>
        </w:rPr>
        <w:t>The Staff Report erred by only recommending that $14,534 associated with dues and memberships be removed from test year expenses</w:t>
      </w:r>
      <w:r w:rsidRPr="005136BC" w:rsidR="00C86B98">
        <w:rPr>
          <w:szCs w:val="24"/>
        </w:rPr>
        <w:t>, when instead, at least $241,572 should be removed</w:t>
      </w:r>
      <w:r w:rsidRPr="005136BC" w:rsidR="007769C5">
        <w:rPr>
          <w:szCs w:val="24"/>
        </w:rPr>
        <w:t xml:space="preserve"> </w:t>
      </w:r>
      <w:r w:rsidRPr="005136BC" w:rsidR="00B907D9">
        <w:rPr>
          <w:szCs w:val="24"/>
        </w:rPr>
        <w:t>from test year O&amp;M expenses</w:t>
      </w:r>
      <w:r w:rsidRPr="005136BC" w:rsidR="00C86B98">
        <w:rPr>
          <w:szCs w:val="24"/>
        </w:rPr>
        <w:t>.</w:t>
      </w:r>
      <w:bookmarkEnd w:id="14"/>
    </w:p>
    <w:p w:rsidR="00C86B98" w:rsidRPr="005136BC" w:rsidP="00D4185C" w14:paraId="0A3B5F28" w14:textId="58B02FC4">
      <w:pPr>
        <w:pStyle w:val="BodyTextIndent3"/>
        <w:spacing w:line="480" w:lineRule="auto"/>
        <w:rPr>
          <w:szCs w:val="24"/>
        </w:rPr>
      </w:pPr>
      <w:r w:rsidRPr="005136BC">
        <w:rPr>
          <w:szCs w:val="24"/>
        </w:rPr>
        <w:t xml:space="preserve">The Staff Report </w:t>
      </w:r>
      <w:r w:rsidRPr="005136BC" w:rsidR="00817C4D">
        <w:rPr>
          <w:szCs w:val="24"/>
        </w:rPr>
        <w:t xml:space="preserve">states that “a portion of [DP&amp;L’s] Edison Electric Institute (EEI) dues were attributable to lobbying expenses. Therefore, Staff recommends an adjustment to remove $14,534, which represents the expenses attributable to industry associations </w:t>
      </w:r>
      <w:r w:rsidRPr="005136BC" w:rsidR="00877EB2">
        <w:rPr>
          <w:szCs w:val="24"/>
        </w:rPr>
        <w:t xml:space="preserve">for </w:t>
      </w:r>
      <w:r w:rsidRPr="005136BC" w:rsidR="00817C4D">
        <w:rPr>
          <w:szCs w:val="24"/>
        </w:rPr>
        <w:t>which Staff finds recovery inappropriate and EE</w:t>
      </w:r>
      <w:r w:rsidRPr="005136BC" w:rsidR="00877EB2">
        <w:rPr>
          <w:szCs w:val="24"/>
        </w:rPr>
        <w:t>I</w:t>
      </w:r>
      <w:r w:rsidRPr="005136BC" w:rsidR="00817C4D">
        <w:rPr>
          <w:szCs w:val="24"/>
        </w:rPr>
        <w:t xml:space="preserve"> related lobbying expenses.”</w:t>
      </w:r>
      <w:r>
        <w:rPr>
          <w:rStyle w:val="FootnoteReference"/>
          <w:szCs w:val="24"/>
        </w:rPr>
        <w:footnoteReference w:id="15"/>
      </w:r>
      <w:r w:rsidRPr="005136BC" w:rsidR="00817C4D">
        <w:rPr>
          <w:szCs w:val="24"/>
        </w:rPr>
        <w:t xml:space="preserve"> </w:t>
      </w:r>
    </w:p>
    <w:p w:rsidR="00057450" w:rsidRPr="005136BC" w:rsidP="00D4185C" w14:paraId="1E6399C8" w14:textId="2521352C">
      <w:pPr>
        <w:pStyle w:val="BodyTextIndent3"/>
        <w:spacing w:line="480" w:lineRule="auto"/>
        <w:rPr>
          <w:szCs w:val="24"/>
        </w:rPr>
      </w:pPr>
      <w:r w:rsidRPr="005136BC">
        <w:rPr>
          <w:szCs w:val="24"/>
        </w:rPr>
        <w:t xml:space="preserve">While OCC agrees with the PUCO Staff’s rational for excluding these expenses, the PUCO Staff did not go far enough. OCC recommends reducing test year operating expenses </w:t>
      </w:r>
      <w:r w:rsidRPr="005136BC" w:rsidR="001A5EB0">
        <w:rPr>
          <w:szCs w:val="24"/>
        </w:rPr>
        <w:t xml:space="preserve">for dues and memberships </w:t>
      </w:r>
      <w:r w:rsidRPr="005136BC">
        <w:rPr>
          <w:szCs w:val="24"/>
        </w:rPr>
        <w:t>by at least $241,572, as the DP&amp;L has failed to meet its burden of proof that these expenses are ordinary and necessary in the provision of electric service to consumers</w:t>
      </w:r>
    </w:p>
    <w:p w:rsidR="00E47A3D" w:rsidRPr="005136BC" w:rsidP="009B1DF3" w14:paraId="44AB3252" w14:textId="4C8F233E">
      <w:pPr>
        <w:pStyle w:val="Heading3"/>
        <w:rPr>
          <w:szCs w:val="24"/>
        </w:rPr>
      </w:pPr>
      <w:bookmarkStart w:id="15" w:name="_Toc80777731"/>
      <w:r w:rsidRPr="005136BC">
        <w:rPr>
          <w:szCs w:val="24"/>
        </w:rPr>
        <w:t>Objection</w:t>
      </w:r>
      <w:r w:rsidRPr="005136BC" w:rsidR="00057450">
        <w:rPr>
          <w:szCs w:val="24"/>
        </w:rPr>
        <w:t xml:space="preserve"> 8</w:t>
      </w:r>
      <w:r w:rsidRPr="005136BC">
        <w:rPr>
          <w:szCs w:val="24"/>
        </w:rPr>
        <w:t>.</w:t>
      </w:r>
      <w:r w:rsidRPr="005136BC" w:rsidR="00ED2B82">
        <w:rPr>
          <w:szCs w:val="24"/>
        </w:rPr>
        <w:t xml:space="preserve"> </w:t>
      </w:r>
      <w:r w:rsidRPr="005136BC" w:rsidR="00057450">
        <w:rPr>
          <w:szCs w:val="24"/>
        </w:rPr>
        <w:t>The Staff Report erred by not recommending depreciation expense adjustments based on OCC’s recommended storm cost and capitalized incentive adjustments.</w:t>
      </w:r>
      <w:bookmarkEnd w:id="15"/>
      <w:r w:rsidRPr="005136BC" w:rsidR="00057450">
        <w:rPr>
          <w:szCs w:val="24"/>
        </w:rPr>
        <w:t xml:space="preserve"> </w:t>
      </w:r>
    </w:p>
    <w:p w:rsidR="00E47A3D" w:rsidRPr="005136BC" w:rsidP="00057450" w14:paraId="3303605F" w14:textId="6E34409D">
      <w:pPr>
        <w:pStyle w:val="BodyTextIndent3"/>
        <w:spacing w:line="480" w:lineRule="auto"/>
        <w:rPr>
          <w:szCs w:val="24"/>
        </w:rPr>
      </w:pPr>
      <w:r w:rsidRPr="005136BC">
        <w:rPr>
          <w:szCs w:val="24"/>
        </w:rPr>
        <w:t xml:space="preserve">If OCC objections 4 and 5 regarding capitalized incentives and storm costs are adopted, corresponding adjustments would need to be made to the </w:t>
      </w:r>
      <w:r w:rsidRPr="005136BC" w:rsidR="00B907D9">
        <w:rPr>
          <w:szCs w:val="24"/>
        </w:rPr>
        <w:t xml:space="preserve">test year </w:t>
      </w:r>
      <w:r w:rsidRPr="005136BC">
        <w:rPr>
          <w:szCs w:val="24"/>
        </w:rPr>
        <w:t xml:space="preserve">depreciation expense. The Staff Report does not </w:t>
      </w:r>
      <w:r w:rsidRPr="005136BC" w:rsidR="00B907D9">
        <w:rPr>
          <w:szCs w:val="24"/>
        </w:rPr>
        <w:t xml:space="preserve">include </w:t>
      </w:r>
      <w:r w:rsidRPr="005136BC">
        <w:rPr>
          <w:szCs w:val="24"/>
        </w:rPr>
        <w:t>such an adjustment.</w:t>
      </w:r>
      <w:r>
        <w:rPr>
          <w:rStyle w:val="FootnoteReference"/>
          <w:szCs w:val="24"/>
        </w:rPr>
        <w:footnoteReference w:id="16"/>
      </w:r>
      <w:r w:rsidRPr="005136BC">
        <w:rPr>
          <w:szCs w:val="24"/>
        </w:rPr>
        <w:t xml:space="preserve"> OCC recommends an adjustment to depreciation expense related to its capitalized storm cost adjustment by reducing depreciation expense by $218,428. Depreciation expense will need to be further adjusted once capitalized incentives are identified and removed from Plant In Service.</w:t>
      </w:r>
    </w:p>
    <w:p w:rsidR="00052622" w14:paraId="780F8527" w14:textId="77777777">
      <w:pPr>
        <w:rPr>
          <w:b/>
          <w:bCs/>
          <w:szCs w:val="24"/>
        </w:rPr>
      </w:pPr>
      <w:r>
        <w:rPr>
          <w:szCs w:val="24"/>
        </w:rPr>
        <w:br w:type="page"/>
      </w:r>
    </w:p>
    <w:p w:rsidR="00E47A3D" w:rsidRPr="005136BC" w:rsidP="009B1DF3" w14:paraId="2A0E4311" w14:textId="69FBB304">
      <w:pPr>
        <w:pStyle w:val="Heading3"/>
        <w:rPr>
          <w:szCs w:val="24"/>
        </w:rPr>
      </w:pPr>
      <w:bookmarkStart w:id="16" w:name="_Toc80777732"/>
      <w:r w:rsidRPr="005136BC">
        <w:rPr>
          <w:szCs w:val="24"/>
        </w:rPr>
        <w:t>Objection</w:t>
      </w:r>
      <w:r w:rsidRPr="005136BC" w:rsidR="00057450">
        <w:rPr>
          <w:szCs w:val="24"/>
        </w:rPr>
        <w:t xml:space="preserve"> 9</w:t>
      </w:r>
      <w:r w:rsidRPr="005136BC">
        <w:rPr>
          <w:szCs w:val="24"/>
        </w:rPr>
        <w:t>.</w:t>
      </w:r>
      <w:r w:rsidRPr="005136BC" w:rsidR="00ED2B82">
        <w:rPr>
          <w:szCs w:val="24"/>
        </w:rPr>
        <w:t xml:space="preserve"> </w:t>
      </w:r>
      <w:r w:rsidRPr="005136BC" w:rsidR="007A0AC4">
        <w:rPr>
          <w:szCs w:val="24"/>
        </w:rPr>
        <w:t>OCC reserves the right to object to charges to consumers for DP&amp;L’s rate case expenses, which will be provided as a late-filed exhibit.</w:t>
      </w:r>
      <w:bookmarkEnd w:id="16"/>
    </w:p>
    <w:p w:rsidR="00E47A3D" w:rsidRPr="005136BC" w:rsidP="00D4185C" w14:paraId="6AEDD3C4" w14:textId="3C7454BC">
      <w:pPr>
        <w:pStyle w:val="BodyTextIndent3"/>
        <w:spacing w:line="480" w:lineRule="auto"/>
        <w:rPr>
          <w:szCs w:val="24"/>
        </w:rPr>
      </w:pPr>
      <w:r w:rsidRPr="005136BC">
        <w:rPr>
          <w:szCs w:val="24"/>
        </w:rPr>
        <w:t>The Staff Report recommends that the PUCO “review the most recent updated information regarding Applicant’s rate case expense before issuing its final Order” and that DP&amp;L be required to “submit this information as a late filed exhibit.”</w:t>
      </w:r>
      <w:r>
        <w:rPr>
          <w:rStyle w:val="FootnoteReference"/>
          <w:szCs w:val="24"/>
        </w:rPr>
        <w:footnoteReference w:id="17"/>
      </w:r>
      <w:r w:rsidRPr="005136BC">
        <w:rPr>
          <w:szCs w:val="24"/>
        </w:rPr>
        <w:t xml:space="preserve"> OCC reserves the right to object to rate case expense based on any such late filed exhibit or otherwise.</w:t>
      </w:r>
    </w:p>
    <w:p w:rsidR="00E47A3D" w:rsidRPr="005136BC" w:rsidP="009B1DF3" w14:paraId="5FF51C6C" w14:textId="0D49E8BA">
      <w:pPr>
        <w:pStyle w:val="Heading3"/>
        <w:rPr>
          <w:szCs w:val="24"/>
        </w:rPr>
      </w:pPr>
      <w:bookmarkStart w:id="17" w:name="_Toc80777733"/>
      <w:r w:rsidRPr="005136BC">
        <w:rPr>
          <w:szCs w:val="24"/>
        </w:rPr>
        <w:t>Objection</w:t>
      </w:r>
      <w:r w:rsidRPr="005136BC" w:rsidR="00F9004B">
        <w:rPr>
          <w:szCs w:val="24"/>
        </w:rPr>
        <w:t xml:space="preserve"> 10</w:t>
      </w:r>
      <w:r w:rsidRPr="005136BC">
        <w:rPr>
          <w:szCs w:val="24"/>
        </w:rPr>
        <w:t>.</w:t>
      </w:r>
      <w:r w:rsidRPr="005136BC" w:rsidR="00ED2B82">
        <w:rPr>
          <w:szCs w:val="24"/>
        </w:rPr>
        <w:t xml:space="preserve"> </w:t>
      </w:r>
      <w:r w:rsidRPr="005136BC" w:rsidR="007B68AD">
        <w:rPr>
          <w:szCs w:val="24"/>
        </w:rPr>
        <w:t>The PUCO Staff erred by making an adjustment to decrease test year operating income revenues by $5,019,523</w:t>
      </w:r>
      <w:r w:rsidRPr="005136BC" w:rsidR="00F9004B">
        <w:rPr>
          <w:szCs w:val="24"/>
        </w:rPr>
        <w:t xml:space="preserve"> </w:t>
      </w:r>
      <w:r w:rsidRPr="005136BC" w:rsidR="00B80284">
        <w:rPr>
          <w:szCs w:val="24"/>
        </w:rPr>
        <w:t>without explanation or justification</w:t>
      </w:r>
      <w:r w:rsidRPr="005136BC" w:rsidR="007B68AD">
        <w:rPr>
          <w:szCs w:val="24"/>
        </w:rPr>
        <w:t>.</w:t>
      </w:r>
      <w:bookmarkEnd w:id="17"/>
    </w:p>
    <w:p w:rsidR="00E47A3D" w:rsidRPr="005136BC" w:rsidP="00D4185C" w14:paraId="780AA94D" w14:textId="7E0E605B">
      <w:pPr>
        <w:pStyle w:val="BodyTextIndent3"/>
        <w:spacing w:line="480" w:lineRule="auto"/>
        <w:rPr>
          <w:szCs w:val="24"/>
        </w:rPr>
      </w:pPr>
      <w:r w:rsidRPr="005136BC">
        <w:rPr>
          <w:szCs w:val="24"/>
        </w:rPr>
        <w:t>The Staff Report adjusted test year operating income by $5,019,523 without explanation.</w:t>
      </w:r>
      <w:r>
        <w:rPr>
          <w:rStyle w:val="FootnoteReference"/>
          <w:szCs w:val="24"/>
        </w:rPr>
        <w:footnoteReference w:id="18"/>
      </w:r>
      <w:r w:rsidRPr="005136BC">
        <w:rPr>
          <w:szCs w:val="24"/>
        </w:rPr>
        <w:t xml:space="preserve"> This is even greater than a similar adjustment made by DP&amp;L of $2,426,956, and DP&amp;L’s adjustment, like the PUCO Staff’s, has no justification. Without any explanation for these adjustments—which would increase the amount that consumers pay for distribution service—there is no basis for them, and they should be rejected.</w:t>
      </w:r>
    </w:p>
    <w:p w:rsidR="007B68AD" w:rsidRPr="005136BC" w:rsidP="009B1DF3" w14:paraId="7977E31D" w14:textId="4EA8AB54">
      <w:pPr>
        <w:pStyle w:val="Heading3"/>
        <w:rPr>
          <w:szCs w:val="24"/>
        </w:rPr>
      </w:pPr>
      <w:bookmarkStart w:id="18" w:name="_Toc80777734"/>
      <w:r w:rsidRPr="005136BC">
        <w:rPr>
          <w:szCs w:val="24"/>
        </w:rPr>
        <w:t>Objection</w:t>
      </w:r>
      <w:r w:rsidRPr="005136BC" w:rsidR="00DB273D">
        <w:rPr>
          <w:szCs w:val="24"/>
        </w:rPr>
        <w:t xml:space="preserve"> 11</w:t>
      </w:r>
      <w:r w:rsidRPr="005136BC">
        <w:rPr>
          <w:szCs w:val="24"/>
        </w:rPr>
        <w:t>.</w:t>
      </w:r>
      <w:r w:rsidRPr="005136BC" w:rsidR="00ED2B82">
        <w:rPr>
          <w:szCs w:val="24"/>
        </w:rPr>
        <w:t xml:space="preserve"> </w:t>
      </w:r>
      <w:r w:rsidRPr="005136BC">
        <w:rPr>
          <w:szCs w:val="24"/>
        </w:rPr>
        <w:t>The Staff Report erred by not making an adjustment to the unadjusted test year expenses to remove</w:t>
      </w:r>
      <w:r w:rsidRPr="005136BC" w:rsidR="00DB273D">
        <w:rPr>
          <w:szCs w:val="24"/>
        </w:rPr>
        <w:t xml:space="preserve"> $952,488 in</w:t>
      </w:r>
      <w:r w:rsidRPr="005136BC">
        <w:rPr>
          <w:szCs w:val="24"/>
        </w:rPr>
        <w:t xml:space="preserve"> travel and entertainment savings arising from the </w:t>
      </w:r>
      <w:r w:rsidRPr="005136BC" w:rsidR="00DB273D">
        <w:rPr>
          <w:szCs w:val="24"/>
        </w:rPr>
        <w:t>coronavirus</w:t>
      </w:r>
      <w:r w:rsidRPr="005136BC">
        <w:rPr>
          <w:szCs w:val="24"/>
        </w:rPr>
        <w:t xml:space="preserve"> pandemic.</w:t>
      </w:r>
      <w:bookmarkEnd w:id="18"/>
      <w:r w:rsidRPr="005136BC">
        <w:rPr>
          <w:szCs w:val="24"/>
        </w:rPr>
        <w:t xml:space="preserve"> </w:t>
      </w:r>
    </w:p>
    <w:p w:rsidR="00DB273D" w:rsidRPr="005136BC" w:rsidP="00D4185C" w14:paraId="3BD2B294" w14:textId="57221AB3">
      <w:pPr>
        <w:pStyle w:val="BodyTextIndent3"/>
        <w:spacing w:line="480" w:lineRule="auto"/>
        <w:rPr>
          <w:szCs w:val="24"/>
        </w:rPr>
      </w:pPr>
      <w:r w:rsidRPr="005136BC">
        <w:rPr>
          <w:szCs w:val="24"/>
        </w:rPr>
        <w:t>As a result of the coronavirus pandemic and financial emergency, both of which affected the test period, DP&amp;L reduced its operating expenses by $952,488 related to travel and entertainment. Because this money was not spent, these unadjusted expenses should be removed from test year expenses, thus reducing the amount that consumers pay for distribution service.</w:t>
      </w:r>
    </w:p>
    <w:p w:rsidR="00052622" w14:paraId="321BEAFC" w14:textId="77777777">
      <w:pPr>
        <w:rPr>
          <w:b/>
          <w:bCs/>
          <w:szCs w:val="24"/>
        </w:rPr>
      </w:pPr>
      <w:r>
        <w:rPr>
          <w:szCs w:val="24"/>
        </w:rPr>
        <w:br w:type="page"/>
      </w:r>
    </w:p>
    <w:p w:rsidR="007B68AD" w:rsidRPr="005136BC" w:rsidP="009B1DF3" w14:paraId="64EB80F4" w14:textId="06742E2B">
      <w:pPr>
        <w:pStyle w:val="Heading3"/>
        <w:rPr>
          <w:szCs w:val="24"/>
        </w:rPr>
      </w:pPr>
      <w:bookmarkStart w:id="19" w:name="_Toc80777735"/>
      <w:r w:rsidRPr="005136BC">
        <w:rPr>
          <w:szCs w:val="24"/>
        </w:rPr>
        <w:t>Objection</w:t>
      </w:r>
      <w:r w:rsidRPr="005136BC" w:rsidR="00023671">
        <w:rPr>
          <w:szCs w:val="24"/>
        </w:rPr>
        <w:t xml:space="preserve"> 12</w:t>
      </w:r>
      <w:r w:rsidRPr="005136BC">
        <w:rPr>
          <w:szCs w:val="24"/>
        </w:rPr>
        <w:t>.</w:t>
      </w:r>
      <w:r w:rsidRPr="005136BC" w:rsidR="00ED2B82">
        <w:rPr>
          <w:szCs w:val="24"/>
        </w:rPr>
        <w:t xml:space="preserve"> </w:t>
      </w:r>
      <w:r w:rsidRPr="005136BC" w:rsidR="00A64C70">
        <w:rPr>
          <w:szCs w:val="24"/>
        </w:rPr>
        <w:t>The Staff Report erred by recommending a $</w:t>
      </w:r>
      <w:r w:rsidRPr="005136BC" w:rsidR="009D6A15">
        <w:rPr>
          <w:szCs w:val="24"/>
        </w:rPr>
        <w:t xml:space="preserve">1.8 </w:t>
      </w:r>
      <w:r w:rsidRPr="005136BC" w:rsidR="00A64C70">
        <w:rPr>
          <w:szCs w:val="24"/>
        </w:rPr>
        <w:t>million increase in the baseline expense for vegetation management without any analysis or support</w:t>
      </w:r>
      <w:r w:rsidRPr="005136BC" w:rsidR="00023671">
        <w:rPr>
          <w:szCs w:val="24"/>
        </w:rPr>
        <w:t xml:space="preserve"> and without any requirement for DP&amp;L to improve reliability</w:t>
      </w:r>
      <w:r w:rsidRPr="005136BC" w:rsidR="00A64C70">
        <w:rPr>
          <w:szCs w:val="24"/>
        </w:rPr>
        <w:t>.</w:t>
      </w:r>
      <w:bookmarkEnd w:id="19"/>
      <w:r w:rsidRPr="005136BC" w:rsidR="00A64C70">
        <w:rPr>
          <w:szCs w:val="24"/>
        </w:rPr>
        <w:t xml:space="preserve"> </w:t>
      </w:r>
    </w:p>
    <w:p w:rsidR="007B68AD" w:rsidRPr="005136BC" w:rsidP="00D4185C" w14:paraId="7112EA5B" w14:textId="261F5D20">
      <w:pPr>
        <w:pStyle w:val="BodyTextIndent3"/>
        <w:spacing w:line="480" w:lineRule="auto"/>
        <w:rPr>
          <w:szCs w:val="24"/>
        </w:rPr>
      </w:pPr>
      <w:r w:rsidRPr="005136BC">
        <w:rPr>
          <w:szCs w:val="24"/>
        </w:rPr>
        <w:t>The Staff Report recommends an annual baseline of $17.5 million for vegetation management expenses, which is a $1.8 million increase over the current charges to consumers in base rates for vegetation management.</w:t>
      </w:r>
      <w:r>
        <w:rPr>
          <w:rStyle w:val="FootnoteReference"/>
          <w:szCs w:val="24"/>
        </w:rPr>
        <w:footnoteReference w:id="19"/>
      </w:r>
      <w:r w:rsidRPr="005136BC">
        <w:rPr>
          <w:szCs w:val="24"/>
        </w:rPr>
        <w:t xml:space="preserve"> OCC objects because the Staff Report does not explain the basis for the increase. Further, if there is to be an increase in charges to consumers for vegetation management, such increase should be conditioned upon improvements in distribution reliability. </w:t>
      </w:r>
      <w:r w:rsidRPr="005136BC" w:rsidR="009C67A0">
        <w:rPr>
          <w:szCs w:val="24"/>
        </w:rPr>
        <w:t>Additionally</w:t>
      </w:r>
      <w:r w:rsidRPr="005136BC" w:rsidR="007769C5">
        <w:rPr>
          <w:szCs w:val="24"/>
        </w:rPr>
        <w:t xml:space="preserve">, </w:t>
      </w:r>
      <w:r w:rsidRPr="005136BC">
        <w:rPr>
          <w:szCs w:val="24"/>
        </w:rPr>
        <w:t>in recommending any charges to consumers for vegetation management, the Staff Report should have addressed requirements pertaining to the frequency of regular tree-trimming cycles. DP&amp;L is required to trim trees within the right-of-way on a five-year cycle, but it has failed to do so. The Staff Report should have considered DP&amp;L’s failure to adhere to its proper tree trimming cycle in recommending charges to consumers for vegetation management.</w:t>
      </w:r>
    </w:p>
    <w:p w:rsidR="00992B99" w:rsidRPr="005136BC" w:rsidP="009B1DF3" w14:paraId="268BD0C3" w14:textId="54009B96">
      <w:pPr>
        <w:pStyle w:val="Heading3"/>
        <w:rPr>
          <w:szCs w:val="24"/>
        </w:rPr>
      </w:pPr>
      <w:bookmarkStart w:id="20" w:name="_Toc80777736"/>
      <w:r w:rsidRPr="005136BC">
        <w:rPr>
          <w:szCs w:val="24"/>
        </w:rPr>
        <w:t>Objection</w:t>
      </w:r>
      <w:r w:rsidRPr="005136BC" w:rsidR="00E51DCC">
        <w:rPr>
          <w:szCs w:val="24"/>
        </w:rPr>
        <w:t xml:space="preserve"> 13</w:t>
      </w:r>
      <w:r w:rsidRPr="005136BC">
        <w:rPr>
          <w:szCs w:val="24"/>
        </w:rPr>
        <w:t>.</w:t>
      </w:r>
      <w:r w:rsidRPr="005136BC" w:rsidR="00ED2B82">
        <w:rPr>
          <w:szCs w:val="24"/>
        </w:rPr>
        <w:t xml:space="preserve"> </w:t>
      </w:r>
      <w:r w:rsidRPr="005136BC">
        <w:rPr>
          <w:szCs w:val="24"/>
        </w:rPr>
        <w:t xml:space="preserve">The Staff Report erred by recommending </w:t>
      </w:r>
      <w:r w:rsidRPr="005136BC">
        <w:rPr>
          <w:szCs w:val="24"/>
        </w:rPr>
        <w:t>that consumers pay $2.7</w:t>
      </w:r>
      <w:r w:rsidRPr="005136BC" w:rsidR="006B664C">
        <w:rPr>
          <w:szCs w:val="24"/>
        </w:rPr>
        <w:t>5</w:t>
      </w:r>
      <w:r w:rsidRPr="005136BC">
        <w:rPr>
          <w:szCs w:val="24"/>
        </w:rPr>
        <w:t xml:space="preserve"> million per year for DP&amp;L’s deferred vegetation management expenses.</w:t>
      </w:r>
      <w:bookmarkEnd w:id="20"/>
    </w:p>
    <w:p w:rsidR="00A64C70" w:rsidRPr="005136BC" w:rsidP="00D4185C" w14:paraId="6410BC76" w14:textId="5AFAB391">
      <w:pPr>
        <w:pStyle w:val="BodyTextIndent3"/>
        <w:spacing w:line="480" w:lineRule="auto"/>
        <w:rPr>
          <w:szCs w:val="24"/>
        </w:rPr>
      </w:pPr>
      <w:r w:rsidRPr="005136BC">
        <w:rPr>
          <w:szCs w:val="24"/>
        </w:rPr>
        <w:t>The Staff Report recommends that consumers pay $2,748,050 per year (about $13.7 million with a five-year amortization) for DP&amp;L’s deferred vegetation management expenses.</w:t>
      </w:r>
      <w:r>
        <w:rPr>
          <w:rStyle w:val="FootnoteReference"/>
          <w:szCs w:val="24"/>
        </w:rPr>
        <w:footnoteReference w:id="20"/>
      </w:r>
      <w:r w:rsidRPr="005136BC">
        <w:rPr>
          <w:szCs w:val="24"/>
        </w:rPr>
        <w:t xml:space="preserve"> OCC objects to these charges because the Staff Report contains no information about whether these expenses were prudently incurred. And indeed, since 2018, DP&amp;L’s tree trimming performance has been inadequate, with DP&amp;L failing to comply with its </w:t>
      </w:r>
      <w:r w:rsidRPr="005136BC" w:rsidR="009D6A15">
        <w:rPr>
          <w:szCs w:val="24"/>
        </w:rPr>
        <w:t xml:space="preserve">own </w:t>
      </w:r>
      <w:r w:rsidRPr="005136BC">
        <w:rPr>
          <w:szCs w:val="24"/>
        </w:rPr>
        <w:t>Inspection, Maintenance, Repair and Replacement Program.</w:t>
      </w:r>
      <w:r w:rsidRPr="005136BC" w:rsidR="001A5EB0">
        <w:rPr>
          <w:szCs w:val="24"/>
        </w:rPr>
        <w:t xml:space="preserve"> The PUCO should reject these charges to consumers because the costs were not prudently incurred.</w:t>
      </w:r>
    </w:p>
    <w:p w:rsidR="00A64C70" w:rsidRPr="005136BC" w:rsidP="009B1DF3" w14:paraId="313EA8CF" w14:textId="7742E3BF">
      <w:pPr>
        <w:pStyle w:val="Heading3"/>
        <w:rPr>
          <w:szCs w:val="24"/>
        </w:rPr>
      </w:pPr>
      <w:bookmarkStart w:id="21" w:name="_Toc80777737"/>
      <w:r w:rsidRPr="005136BC">
        <w:rPr>
          <w:szCs w:val="24"/>
        </w:rPr>
        <w:t>Objection</w:t>
      </w:r>
      <w:r w:rsidRPr="005136BC" w:rsidR="00992B99">
        <w:rPr>
          <w:szCs w:val="24"/>
        </w:rPr>
        <w:t xml:space="preserve"> 14</w:t>
      </w:r>
      <w:r w:rsidRPr="005136BC">
        <w:rPr>
          <w:szCs w:val="24"/>
        </w:rPr>
        <w:t>.</w:t>
      </w:r>
      <w:r w:rsidRPr="005136BC" w:rsidR="00ED2B82">
        <w:rPr>
          <w:szCs w:val="24"/>
        </w:rPr>
        <w:t xml:space="preserve"> T</w:t>
      </w:r>
      <w:r w:rsidRPr="005136BC">
        <w:rPr>
          <w:szCs w:val="24"/>
        </w:rPr>
        <w:t xml:space="preserve">he Staff Report erred by recommending </w:t>
      </w:r>
      <w:r w:rsidRPr="005136BC" w:rsidR="006B664C">
        <w:rPr>
          <w:szCs w:val="24"/>
        </w:rPr>
        <w:t>that DP&amp;L be allowed to defer up to $5 million in vegetation management expenses, which could be charged to consumers later.</w:t>
      </w:r>
      <w:bookmarkEnd w:id="21"/>
    </w:p>
    <w:p w:rsidR="000E695A" w:rsidRPr="005136BC" w:rsidP="00140ED7" w14:paraId="79CBA1BA" w14:textId="7202E374">
      <w:pPr>
        <w:pStyle w:val="BodyTextIndent3"/>
        <w:spacing w:line="480" w:lineRule="auto"/>
        <w:rPr>
          <w:szCs w:val="24"/>
        </w:rPr>
      </w:pPr>
      <w:r w:rsidRPr="005136BC">
        <w:rPr>
          <w:szCs w:val="24"/>
        </w:rPr>
        <w:t xml:space="preserve">In addition to the $20 million that consumers would pay annually for vegetation management ($17.5 million in baseline charges plus $2.75 million for deferred amounts identified above), the Staff Report recommends that DP&amp;L be allowed to defer up to </w:t>
      </w:r>
      <w:r w:rsidRPr="005136BC" w:rsidR="00B05AE4">
        <w:rPr>
          <w:szCs w:val="24"/>
        </w:rPr>
        <w:t xml:space="preserve">an additional </w:t>
      </w:r>
      <w:r w:rsidRPr="005136BC">
        <w:rPr>
          <w:szCs w:val="24"/>
        </w:rPr>
        <w:t>$5 million per year, which could be charged to consumers later.</w:t>
      </w:r>
      <w:r>
        <w:rPr>
          <w:rStyle w:val="FootnoteReference"/>
          <w:szCs w:val="24"/>
        </w:rPr>
        <w:footnoteReference w:id="21"/>
      </w:r>
      <w:r w:rsidRPr="005136BC">
        <w:rPr>
          <w:szCs w:val="24"/>
        </w:rPr>
        <w:t xml:space="preserve"> The Staff Report does not explain the basis for this $5 million amount</w:t>
      </w:r>
      <w:r w:rsidRPr="005136BC" w:rsidR="00140ED7">
        <w:rPr>
          <w:szCs w:val="24"/>
        </w:rPr>
        <w:t>.</w:t>
      </w:r>
    </w:p>
    <w:p w:rsidR="00140ED7" w:rsidRPr="005136BC" w:rsidP="00140ED7" w14:paraId="56F6337A" w14:textId="3742BA4A">
      <w:pPr>
        <w:pStyle w:val="BodyTextIndent3"/>
        <w:spacing w:line="480" w:lineRule="auto"/>
        <w:rPr>
          <w:szCs w:val="24"/>
        </w:rPr>
      </w:pPr>
      <w:r w:rsidRPr="005136BC">
        <w:rPr>
          <w:szCs w:val="24"/>
        </w:rPr>
        <w:t>OCC objects to this deferral recommendation. Consumers are already being required to pay more than $20 million per year for vegetation management, and neither DP&amp;L nor the PUCO Staff has demonstrated that it is prudent or necessary for consumers to pay even more than that. And the Staff Report’s recommended deferral does not include any firm, quantifiable requirements for improvements in distribution reliability, nor does it require DP&amp;L to adhere to its distribution vegetation management plan.</w:t>
      </w:r>
    </w:p>
    <w:p w:rsidR="00A64C70" w:rsidRPr="005136BC" w:rsidP="009B1DF3" w14:paraId="30CDC8A2" w14:textId="45802A70">
      <w:pPr>
        <w:pStyle w:val="Heading2"/>
        <w:keepLines/>
        <w:rPr>
          <w:szCs w:val="24"/>
        </w:rPr>
      </w:pPr>
      <w:bookmarkStart w:id="22" w:name="_Toc80777738"/>
      <w:r w:rsidRPr="005136BC">
        <w:rPr>
          <w:szCs w:val="24"/>
        </w:rPr>
        <w:t>E</w:t>
      </w:r>
      <w:r w:rsidRPr="005136BC" w:rsidR="00003B95">
        <w:rPr>
          <w:szCs w:val="24"/>
        </w:rPr>
        <w:t>.</w:t>
      </w:r>
      <w:r w:rsidRPr="005136BC" w:rsidR="00003B95">
        <w:rPr>
          <w:szCs w:val="24"/>
        </w:rPr>
        <w:tab/>
        <w:t>Rate of Return</w:t>
      </w:r>
      <w:bookmarkEnd w:id="22"/>
    </w:p>
    <w:p w:rsidR="00052622" w:rsidP="00052622" w14:paraId="1819379B" w14:textId="77777777">
      <w:pPr>
        <w:pStyle w:val="Heading3"/>
        <w:rPr>
          <w:szCs w:val="24"/>
        </w:rPr>
      </w:pPr>
      <w:bookmarkStart w:id="23" w:name="_Toc80777739"/>
      <w:r w:rsidRPr="005136BC">
        <w:rPr>
          <w:szCs w:val="24"/>
        </w:rPr>
        <w:t>Objection</w:t>
      </w:r>
      <w:r w:rsidRPr="005136BC" w:rsidR="00407124">
        <w:rPr>
          <w:szCs w:val="24"/>
        </w:rPr>
        <w:t xml:space="preserve"> 15</w:t>
      </w:r>
      <w:r w:rsidRPr="005136BC">
        <w:rPr>
          <w:szCs w:val="24"/>
        </w:rPr>
        <w:t>.</w:t>
      </w:r>
      <w:r w:rsidRPr="005136BC" w:rsidR="00ED2B82">
        <w:rPr>
          <w:szCs w:val="24"/>
        </w:rPr>
        <w:t xml:space="preserve"> </w:t>
      </w:r>
      <w:r w:rsidRPr="005136BC" w:rsidR="00407124">
        <w:rPr>
          <w:szCs w:val="24"/>
        </w:rPr>
        <w:t xml:space="preserve">The </w:t>
      </w:r>
      <w:r w:rsidRPr="005136BC">
        <w:rPr>
          <w:szCs w:val="24"/>
        </w:rPr>
        <w:t xml:space="preserve">Staff </w:t>
      </w:r>
      <w:r w:rsidRPr="005136BC" w:rsidR="00407124">
        <w:rPr>
          <w:szCs w:val="24"/>
        </w:rPr>
        <w:t xml:space="preserve">Report </w:t>
      </w:r>
      <w:r w:rsidRPr="005136BC">
        <w:rPr>
          <w:szCs w:val="24"/>
        </w:rPr>
        <w:t xml:space="preserve">erred by concluding </w:t>
      </w:r>
      <w:r w:rsidRPr="005136BC" w:rsidR="00420E83">
        <w:rPr>
          <w:szCs w:val="24"/>
        </w:rPr>
        <w:t xml:space="preserve">that DP&amp;L’s </w:t>
      </w:r>
      <w:r w:rsidRPr="005136BC">
        <w:rPr>
          <w:szCs w:val="24"/>
        </w:rPr>
        <w:t>capital structure is appropriate without consideration of the proxy group’s book value capital structure or other benchmarks such as the common equity ratio being awarded to electric utilities around the United States recently</w:t>
      </w:r>
      <w:r w:rsidRPr="005136BC" w:rsidR="009B1DF3">
        <w:rPr>
          <w:szCs w:val="24"/>
        </w:rPr>
        <w:t xml:space="preserve">. </w:t>
      </w:r>
      <w:r w:rsidRPr="005136BC">
        <w:rPr>
          <w:szCs w:val="24"/>
        </w:rPr>
        <w:t xml:space="preserve">The proxy group’s capital structure cannot be ignored since it is used to estimate </w:t>
      </w:r>
      <w:r w:rsidRPr="005136BC" w:rsidR="00407124">
        <w:rPr>
          <w:szCs w:val="24"/>
        </w:rPr>
        <w:t xml:space="preserve">DP&amp;L’s </w:t>
      </w:r>
      <w:r w:rsidRPr="005136BC">
        <w:rPr>
          <w:szCs w:val="24"/>
        </w:rPr>
        <w:t>cost of equity.</w:t>
      </w:r>
      <w:r w:rsidRPr="005136BC" w:rsidR="0064343F">
        <w:rPr>
          <w:szCs w:val="24"/>
        </w:rPr>
        <w:t xml:space="preserve"> </w:t>
      </w:r>
      <w:r w:rsidRPr="005136BC" w:rsidR="006C44A7">
        <w:rPr>
          <w:szCs w:val="24"/>
        </w:rPr>
        <w:t>A more appropriate capital structure would be 52.89% common equity and 47.11% long-term debt.</w:t>
      </w:r>
      <w:r>
        <w:rPr>
          <w:rStyle w:val="FootnoteReference"/>
          <w:b w:val="0"/>
          <w:bCs w:val="0"/>
          <w:szCs w:val="24"/>
        </w:rPr>
        <w:footnoteReference w:id="22"/>
      </w:r>
      <w:bookmarkEnd w:id="23"/>
    </w:p>
    <w:p w:rsidR="00A415C0" w:rsidRPr="005136BC" w:rsidP="00052622" w14:paraId="72EB9384" w14:textId="43EDE28E">
      <w:pPr>
        <w:pStyle w:val="Heading3"/>
        <w:rPr>
          <w:szCs w:val="24"/>
        </w:rPr>
      </w:pPr>
      <w:bookmarkStart w:id="24" w:name="_Toc80777740"/>
      <w:r w:rsidRPr="005136BC">
        <w:rPr>
          <w:szCs w:val="24"/>
        </w:rPr>
        <w:t>Objection</w:t>
      </w:r>
      <w:r w:rsidRPr="005136BC" w:rsidR="00407124">
        <w:rPr>
          <w:szCs w:val="24"/>
        </w:rPr>
        <w:t xml:space="preserve"> 16</w:t>
      </w:r>
      <w:r w:rsidRPr="005136BC">
        <w:rPr>
          <w:szCs w:val="24"/>
        </w:rPr>
        <w:t>.</w:t>
      </w:r>
      <w:r w:rsidRPr="005136BC" w:rsidR="00ED2B82">
        <w:rPr>
          <w:szCs w:val="24"/>
        </w:rPr>
        <w:t xml:space="preserve"> </w:t>
      </w:r>
      <w:r w:rsidRPr="005136BC" w:rsidR="00407124">
        <w:rPr>
          <w:szCs w:val="24"/>
        </w:rPr>
        <w:t xml:space="preserve">The Staff Report </w:t>
      </w:r>
      <w:r w:rsidRPr="005136BC">
        <w:rPr>
          <w:szCs w:val="24"/>
        </w:rPr>
        <w:t xml:space="preserve">erred by only relying on Value Line as a source for beta estimates to use in its CAPM without consideration of other sources as a check on the reasonableness of Value Line’s betas. </w:t>
      </w:r>
      <w:r w:rsidRPr="005136BC" w:rsidR="00407124">
        <w:rPr>
          <w:szCs w:val="24"/>
        </w:rPr>
        <w:t xml:space="preserve">The </w:t>
      </w:r>
      <w:r w:rsidRPr="005136BC">
        <w:rPr>
          <w:szCs w:val="24"/>
        </w:rPr>
        <w:t>Staff’s beta estimates are abnormally high, are being heavily influenced by market volatility experienced in 2020 as a result of the anomalous event of the pandemic caused by COVID-19, and do not necessarily capture investor expectations.</w:t>
      </w:r>
      <w:r>
        <w:rPr>
          <w:rStyle w:val="FootnoteReference"/>
          <w:b w:val="0"/>
          <w:bCs w:val="0"/>
          <w:szCs w:val="24"/>
        </w:rPr>
        <w:footnoteReference w:id="23"/>
      </w:r>
      <w:bookmarkEnd w:id="24"/>
    </w:p>
    <w:p w:rsidR="00A415C0" w:rsidRPr="005136BC" w:rsidP="009B1DF3" w14:paraId="7E0EFA75" w14:textId="21D28BD1">
      <w:pPr>
        <w:pStyle w:val="Heading3"/>
        <w:rPr>
          <w:szCs w:val="24"/>
        </w:rPr>
      </w:pPr>
      <w:bookmarkStart w:id="25" w:name="_Toc80777741"/>
      <w:r w:rsidRPr="005136BC">
        <w:rPr>
          <w:szCs w:val="24"/>
        </w:rPr>
        <w:t>Objection</w:t>
      </w:r>
      <w:r w:rsidRPr="005136BC" w:rsidR="00407124">
        <w:rPr>
          <w:szCs w:val="24"/>
        </w:rPr>
        <w:t xml:space="preserve"> 17</w:t>
      </w:r>
      <w:r w:rsidRPr="005136BC">
        <w:rPr>
          <w:szCs w:val="24"/>
        </w:rPr>
        <w:t>.</w:t>
      </w:r>
      <w:r w:rsidRPr="005136BC" w:rsidR="00ED2B82">
        <w:rPr>
          <w:szCs w:val="24"/>
        </w:rPr>
        <w:t xml:space="preserve"> </w:t>
      </w:r>
      <w:r w:rsidRPr="005136BC" w:rsidR="00407124">
        <w:rPr>
          <w:szCs w:val="24"/>
        </w:rPr>
        <w:t xml:space="preserve">The </w:t>
      </w:r>
      <w:r w:rsidRPr="005136BC">
        <w:rPr>
          <w:szCs w:val="24"/>
        </w:rPr>
        <w:t xml:space="preserve">Staff </w:t>
      </w:r>
      <w:r w:rsidRPr="005136BC" w:rsidR="00407124">
        <w:rPr>
          <w:szCs w:val="24"/>
        </w:rPr>
        <w:t xml:space="preserve">Report </w:t>
      </w:r>
      <w:r w:rsidRPr="005136BC">
        <w:rPr>
          <w:szCs w:val="24"/>
        </w:rPr>
        <w:t xml:space="preserve">erred by relying on the average of 10-year and 30-year Treasury yields over a 15-year historical period ending January 2021 as a proxy for the risk-free rate in its CAPM. </w:t>
      </w:r>
      <w:r w:rsidRPr="005136BC" w:rsidR="00407124">
        <w:rPr>
          <w:szCs w:val="24"/>
        </w:rPr>
        <w:t xml:space="preserve">The </w:t>
      </w:r>
      <w:r w:rsidRPr="005136BC">
        <w:rPr>
          <w:szCs w:val="24"/>
        </w:rPr>
        <w:t>Staff’s method of estimating the risk-free rate is arbitrary and not shown to be based on investor expectations.</w:t>
      </w:r>
      <w:r>
        <w:rPr>
          <w:rStyle w:val="FootnoteReference"/>
          <w:b w:val="0"/>
          <w:bCs w:val="0"/>
          <w:szCs w:val="24"/>
        </w:rPr>
        <w:footnoteReference w:id="24"/>
      </w:r>
      <w:bookmarkEnd w:id="25"/>
    </w:p>
    <w:p w:rsidR="003E7F86" w:rsidRPr="005136BC" w:rsidP="009B1DF3" w14:paraId="69D76B0E" w14:textId="0D4D58C8">
      <w:pPr>
        <w:pStyle w:val="Heading3"/>
        <w:rPr>
          <w:szCs w:val="24"/>
        </w:rPr>
      </w:pPr>
      <w:bookmarkStart w:id="26" w:name="_Toc80777742"/>
      <w:r w:rsidRPr="005136BC">
        <w:rPr>
          <w:szCs w:val="24"/>
        </w:rPr>
        <w:t>Objection</w:t>
      </w:r>
      <w:r w:rsidRPr="005136BC" w:rsidR="00407124">
        <w:rPr>
          <w:szCs w:val="24"/>
        </w:rPr>
        <w:t xml:space="preserve"> 18</w:t>
      </w:r>
      <w:r w:rsidRPr="005136BC">
        <w:rPr>
          <w:szCs w:val="24"/>
        </w:rPr>
        <w:t>.</w:t>
      </w:r>
      <w:r w:rsidRPr="005136BC">
        <w:rPr>
          <w:szCs w:val="24"/>
        </w:rPr>
        <w:t xml:space="preserve"> </w:t>
      </w:r>
      <w:r w:rsidRPr="005136BC" w:rsidR="00407124">
        <w:rPr>
          <w:szCs w:val="24"/>
        </w:rPr>
        <w:t xml:space="preserve">The </w:t>
      </w:r>
      <w:r w:rsidRPr="005136BC">
        <w:rPr>
          <w:szCs w:val="24"/>
        </w:rPr>
        <w:t xml:space="preserve">Staff </w:t>
      </w:r>
      <w:r w:rsidRPr="005136BC" w:rsidR="00407124">
        <w:rPr>
          <w:szCs w:val="24"/>
        </w:rPr>
        <w:t xml:space="preserve">Report </w:t>
      </w:r>
      <w:r w:rsidRPr="005136BC">
        <w:rPr>
          <w:szCs w:val="24"/>
        </w:rPr>
        <w:t xml:space="preserve">erred by relying solely on a non-constant growth DCF while ignoring the constant growth DCF results it had produced. The average and median of </w:t>
      </w:r>
      <w:r w:rsidRPr="005136BC" w:rsidR="00407124">
        <w:rPr>
          <w:szCs w:val="24"/>
        </w:rPr>
        <w:t xml:space="preserve">the </w:t>
      </w:r>
      <w:r w:rsidRPr="005136BC">
        <w:rPr>
          <w:szCs w:val="24"/>
        </w:rPr>
        <w:t>Staff’s constant growth DCF analysis are 8.93% and 9.10%, respectively.</w:t>
      </w:r>
      <w:r>
        <w:rPr>
          <w:rStyle w:val="FootnoteReference"/>
          <w:b w:val="0"/>
          <w:bCs w:val="0"/>
          <w:szCs w:val="24"/>
        </w:rPr>
        <w:footnoteReference w:id="25"/>
      </w:r>
      <w:bookmarkEnd w:id="26"/>
    </w:p>
    <w:p w:rsidR="005A1D88" w:rsidRPr="005136BC" w:rsidP="009B1DF3" w14:paraId="53BA3394" w14:textId="7B4C1686">
      <w:pPr>
        <w:pStyle w:val="Heading3"/>
        <w:rPr>
          <w:szCs w:val="24"/>
        </w:rPr>
      </w:pPr>
      <w:bookmarkStart w:id="27" w:name="_Toc80777743"/>
      <w:r w:rsidRPr="005136BC">
        <w:rPr>
          <w:szCs w:val="24"/>
        </w:rPr>
        <w:t>Objection 19. The Staff Report erred by using a purely historical measure of U.S. Gross National Product of 6.32% for the terminal growth rate used in its non-constant growth DCF when there are multiple sources of projected economic growth which reflect investo</w:t>
      </w:r>
      <w:r w:rsidRPr="005136BC">
        <w:rPr>
          <w:szCs w:val="24"/>
        </w:rPr>
        <w:t>rs’</w:t>
      </w:r>
      <w:r w:rsidRPr="005136BC">
        <w:rPr>
          <w:szCs w:val="24"/>
        </w:rPr>
        <w:t xml:space="preserve"> expectations.</w:t>
      </w:r>
      <w:r>
        <w:rPr>
          <w:rStyle w:val="FootnoteReference"/>
          <w:b w:val="0"/>
          <w:bCs w:val="0"/>
          <w:szCs w:val="24"/>
        </w:rPr>
        <w:footnoteReference w:id="26"/>
      </w:r>
      <w:bookmarkEnd w:id="27"/>
    </w:p>
    <w:p w:rsidR="003E7F86" w:rsidRPr="005136BC" w:rsidP="009B1DF3" w14:paraId="27A2326C" w14:textId="29599354">
      <w:pPr>
        <w:pStyle w:val="Heading3"/>
        <w:rPr>
          <w:szCs w:val="24"/>
        </w:rPr>
      </w:pPr>
      <w:bookmarkStart w:id="28" w:name="_Toc80777744"/>
      <w:bookmarkStart w:id="29" w:name="_Hlk80199333"/>
      <w:r w:rsidRPr="005136BC">
        <w:rPr>
          <w:szCs w:val="24"/>
        </w:rPr>
        <w:t>Objection 20.</w:t>
      </w:r>
      <w:r w:rsidRPr="005136BC" w:rsidR="008576E5">
        <w:rPr>
          <w:szCs w:val="24"/>
        </w:rPr>
        <w:t xml:space="preserve"> </w:t>
      </w:r>
      <w:r w:rsidRPr="005136BC">
        <w:rPr>
          <w:szCs w:val="24"/>
        </w:rPr>
        <w:t>Staff inappropriately increased the ROE by allowing an adjustment for equity issuance and other costs.</w:t>
      </w:r>
      <w:r>
        <w:rPr>
          <w:rStyle w:val="FootnoteReference"/>
          <w:b w:val="0"/>
          <w:bCs w:val="0"/>
          <w:szCs w:val="24"/>
        </w:rPr>
        <w:footnoteReference w:id="27"/>
      </w:r>
      <w:bookmarkEnd w:id="28"/>
    </w:p>
    <w:p w:rsidR="00407124" w:rsidRPr="005136BC" w:rsidP="009B1DF3" w14:paraId="039216A8" w14:textId="1271C521">
      <w:pPr>
        <w:pStyle w:val="Heading3"/>
        <w:rPr>
          <w:szCs w:val="24"/>
        </w:rPr>
      </w:pPr>
      <w:bookmarkStart w:id="30" w:name="_Toc80777745"/>
      <w:r w:rsidRPr="005136BC">
        <w:rPr>
          <w:szCs w:val="24"/>
        </w:rPr>
        <w:t xml:space="preserve">Objection </w:t>
      </w:r>
      <w:r w:rsidRPr="005136BC" w:rsidR="007030F3">
        <w:rPr>
          <w:szCs w:val="24"/>
        </w:rPr>
        <w:t>21</w:t>
      </w:r>
      <w:r w:rsidRPr="005136BC">
        <w:rPr>
          <w:szCs w:val="24"/>
        </w:rPr>
        <w:t>.</w:t>
      </w:r>
      <w:r w:rsidRPr="005136BC" w:rsidR="008576E5">
        <w:rPr>
          <w:szCs w:val="24"/>
        </w:rPr>
        <w:t xml:space="preserve"> </w:t>
      </w:r>
      <w:r w:rsidRPr="005136BC">
        <w:rPr>
          <w:szCs w:val="24"/>
        </w:rPr>
        <w:t>The Staff Report’s recommended rate of return range of 7.05% to 7.59% is too high and would result in unjust and unreasonable rates for consumers.</w:t>
      </w:r>
      <w:bookmarkEnd w:id="30"/>
    </w:p>
    <w:bookmarkEnd w:id="29"/>
    <w:p w:rsidR="00A415C0" w:rsidRPr="005136BC" w:rsidP="00407124" w14:paraId="5C90ED26" w14:textId="3B4DA139">
      <w:pPr>
        <w:pStyle w:val="BodyTextIndent3"/>
        <w:spacing w:line="480" w:lineRule="auto"/>
        <w:rPr>
          <w:szCs w:val="24"/>
        </w:rPr>
      </w:pPr>
      <w:r w:rsidRPr="005136BC">
        <w:rPr>
          <w:szCs w:val="24"/>
        </w:rPr>
        <w:t>As a result of the foregoing objections, t</w:t>
      </w:r>
      <w:r w:rsidRPr="005136BC" w:rsidR="00407124">
        <w:rPr>
          <w:szCs w:val="24"/>
        </w:rPr>
        <w:t>he Staff Report’s recommended rate of return range of 7.05% to 7.59% is too high for consumers to pay. The Staff Report’s recommended capital structure should be adjusted to reflect a higher debt to equity ratio. And the Staff Report’s recommended return on equity range of 9.28% to 10.29% is too high. A more reasonable rate of return would be 7.0</w:t>
      </w:r>
      <w:r w:rsidRPr="005136BC" w:rsidR="006C44A7">
        <w:rPr>
          <w:szCs w:val="24"/>
        </w:rPr>
        <w:t>1</w:t>
      </w:r>
      <w:r w:rsidRPr="005136BC" w:rsidR="00407124">
        <w:rPr>
          <w:szCs w:val="24"/>
        </w:rPr>
        <w:t>% or lower.</w:t>
      </w:r>
    </w:p>
    <w:p w:rsidR="006241BA" w:rsidRPr="005136BC" w:rsidP="00DB7D89" w14:paraId="2E00E6EA" w14:textId="5F4C5AF7">
      <w:pPr>
        <w:pStyle w:val="Heading2"/>
        <w:rPr>
          <w:szCs w:val="24"/>
        </w:rPr>
      </w:pPr>
      <w:bookmarkStart w:id="31" w:name="_Toc80777746"/>
      <w:r w:rsidRPr="005136BC">
        <w:rPr>
          <w:szCs w:val="24"/>
        </w:rPr>
        <w:t>F</w:t>
      </w:r>
      <w:r w:rsidRPr="005136BC">
        <w:rPr>
          <w:szCs w:val="24"/>
        </w:rPr>
        <w:t>.</w:t>
      </w:r>
      <w:r w:rsidRPr="005136BC">
        <w:rPr>
          <w:szCs w:val="24"/>
        </w:rPr>
        <w:tab/>
        <w:t>Rates and Tariffs</w:t>
      </w:r>
      <w:bookmarkEnd w:id="31"/>
    </w:p>
    <w:p w:rsidR="00A64C70" w:rsidRPr="005136BC" w:rsidP="009B1DF3" w14:paraId="432C0639" w14:textId="053D1439">
      <w:pPr>
        <w:pStyle w:val="Heading3"/>
        <w:rPr>
          <w:szCs w:val="24"/>
        </w:rPr>
      </w:pPr>
      <w:bookmarkStart w:id="32" w:name="_Toc80777747"/>
      <w:r w:rsidRPr="005136BC">
        <w:rPr>
          <w:szCs w:val="24"/>
        </w:rPr>
        <w:t>Objection</w:t>
      </w:r>
      <w:r w:rsidRPr="005136BC" w:rsidR="007030F3">
        <w:rPr>
          <w:szCs w:val="24"/>
        </w:rPr>
        <w:t xml:space="preserve"> 22</w:t>
      </w:r>
      <w:r w:rsidRPr="005136BC">
        <w:rPr>
          <w:szCs w:val="24"/>
        </w:rPr>
        <w:t>.</w:t>
      </w:r>
      <w:r w:rsidRPr="005136BC" w:rsidR="008576E5">
        <w:rPr>
          <w:szCs w:val="24"/>
        </w:rPr>
        <w:t xml:space="preserve"> </w:t>
      </w:r>
      <w:r w:rsidRPr="005136BC" w:rsidR="000C09F4">
        <w:rPr>
          <w:szCs w:val="24"/>
        </w:rPr>
        <w:t xml:space="preserve">OCC objects to the Staff Report’s recommendation to allocate 66.70% of base distribution charges to residential consumers because </w:t>
      </w:r>
      <w:r w:rsidRPr="005136BC" w:rsidR="009F684F">
        <w:rPr>
          <w:szCs w:val="24"/>
        </w:rPr>
        <w:t>residential consumers should pay no more than 63.10% of base distribution charges</w:t>
      </w:r>
      <w:r w:rsidRPr="005136BC" w:rsidR="000C09F4">
        <w:rPr>
          <w:szCs w:val="24"/>
        </w:rPr>
        <w:t>.</w:t>
      </w:r>
      <w:bookmarkEnd w:id="32"/>
    </w:p>
    <w:p w:rsidR="00A64C70" w:rsidRPr="005136BC" w:rsidP="00D4185C" w14:paraId="57C36AC3" w14:textId="12CC4386">
      <w:pPr>
        <w:pStyle w:val="BodyTextIndent3"/>
        <w:spacing w:line="480" w:lineRule="auto"/>
        <w:rPr>
          <w:szCs w:val="24"/>
        </w:rPr>
      </w:pPr>
      <w:r w:rsidRPr="005136BC">
        <w:rPr>
          <w:szCs w:val="24"/>
        </w:rPr>
        <w:t>The Staff Report adopts DP&amp;L’s proposal that residential consumers pay 66.70% of base distribution charges.</w:t>
      </w:r>
      <w:r>
        <w:rPr>
          <w:rStyle w:val="FootnoteReference"/>
          <w:szCs w:val="24"/>
        </w:rPr>
        <w:footnoteReference w:id="28"/>
      </w:r>
      <w:r w:rsidRPr="005136BC">
        <w:rPr>
          <w:szCs w:val="24"/>
        </w:rPr>
        <w:t xml:space="preserve"> OCC objects because residential consumers should be allocated no more than 63.10% of base distribution charges. Dayton-area consumers face considerable poverty, with 32% of consumers in the City of Dayton living in poverty—more than twice the state average.</w:t>
      </w:r>
      <w:r>
        <w:rPr>
          <w:rStyle w:val="FootnoteReference"/>
          <w:szCs w:val="24"/>
        </w:rPr>
        <w:footnoteReference w:id="29"/>
      </w:r>
      <w:r w:rsidRPr="005136BC">
        <w:rPr>
          <w:szCs w:val="24"/>
        </w:rPr>
        <w:t xml:space="preserve"> And before the pandemic, more than 14% of Ohioans in Montgomery had inadequate access to food.</w:t>
      </w:r>
      <w:r>
        <w:rPr>
          <w:rStyle w:val="FootnoteReference"/>
          <w:szCs w:val="24"/>
        </w:rPr>
        <w:footnoteReference w:id="30"/>
      </w:r>
      <w:r w:rsidRPr="005136BC">
        <w:rPr>
          <w:szCs w:val="24"/>
        </w:rPr>
        <w:t xml:space="preserve"> These circumstances, coupled with the coronavirus pandemic and financial emergency, demand that the PUCO protect residential consumers by allocating to them no more than 63.10% of base distribution charges.</w:t>
      </w:r>
    </w:p>
    <w:p w:rsidR="00A64C70" w:rsidRPr="005136BC" w:rsidP="009B1DF3" w14:paraId="789D98FC" w14:textId="7DF2937A">
      <w:pPr>
        <w:pStyle w:val="Heading3"/>
        <w:rPr>
          <w:szCs w:val="24"/>
        </w:rPr>
      </w:pPr>
      <w:bookmarkStart w:id="33" w:name="_Toc80777748"/>
      <w:r w:rsidRPr="005136BC">
        <w:rPr>
          <w:szCs w:val="24"/>
        </w:rPr>
        <w:t>Objection</w:t>
      </w:r>
      <w:r w:rsidRPr="005136BC" w:rsidR="00A114F6">
        <w:rPr>
          <w:szCs w:val="24"/>
        </w:rPr>
        <w:t xml:space="preserve"> 23</w:t>
      </w:r>
      <w:r w:rsidRPr="005136BC">
        <w:rPr>
          <w:szCs w:val="24"/>
        </w:rPr>
        <w:t>.</w:t>
      </w:r>
      <w:r w:rsidRPr="005136BC" w:rsidR="008576E5">
        <w:rPr>
          <w:szCs w:val="24"/>
        </w:rPr>
        <w:t xml:space="preserve"> </w:t>
      </w:r>
      <w:r w:rsidRPr="005136BC">
        <w:rPr>
          <w:szCs w:val="24"/>
        </w:rPr>
        <w:t>The PUCO Staff</w:t>
      </w:r>
      <w:r w:rsidRPr="005136BC" w:rsidR="002D3C1F">
        <w:rPr>
          <w:szCs w:val="24"/>
        </w:rPr>
        <w:t>’s recommended customer charge of $9.</w:t>
      </w:r>
      <w:r w:rsidRPr="005136BC" w:rsidR="00A114F6">
        <w:rPr>
          <w:szCs w:val="24"/>
        </w:rPr>
        <w:t>7</w:t>
      </w:r>
      <w:r w:rsidRPr="005136BC" w:rsidR="002D3C1F">
        <w:rPr>
          <w:szCs w:val="24"/>
        </w:rPr>
        <w:t xml:space="preserve">5 is too high </w:t>
      </w:r>
      <w:r w:rsidRPr="005136BC" w:rsidR="00A114F6">
        <w:rPr>
          <w:szCs w:val="24"/>
        </w:rPr>
        <w:t>because it includes charges for line transformers, uses an unreasonably high carrying cost of 26.35%, and violates the regulatory principle of gradualism. A more reasonable customer charge would be no greater than $8.25.</w:t>
      </w:r>
      <w:bookmarkEnd w:id="33"/>
    </w:p>
    <w:p w:rsidR="00A114F6" w:rsidRPr="005136BC" w:rsidP="00A114F6" w14:paraId="23B0944E" w14:textId="19EC336F">
      <w:pPr>
        <w:pStyle w:val="BodyTextIndent3"/>
        <w:spacing w:line="480" w:lineRule="auto"/>
        <w:rPr>
          <w:szCs w:val="24"/>
        </w:rPr>
      </w:pPr>
      <w:r w:rsidRPr="005136BC">
        <w:rPr>
          <w:szCs w:val="24"/>
        </w:rPr>
        <w:t>The Staff Report recommends an increase in DP&amp;L’s residential customer charge (the amount that each consumer pays before using any natural gas) from $7.00 to $9.75.</w:t>
      </w:r>
      <w:r>
        <w:rPr>
          <w:rStyle w:val="FootnoteReference"/>
          <w:szCs w:val="24"/>
        </w:rPr>
        <w:footnoteReference w:id="31"/>
      </w:r>
      <w:r w:rsidRPr="005136BC">
        <w:rPr>
          <w:szCs w:val="24"/>
        </w:rPr>
        <w:t xml:space="preserve"> OCC objects to this customer charge for several reasons. First, it includes charges for Account 368, Line Transformers, which should not be included in the fixed charge. Second, it utilizes a 26.35% carrying cost instead of DP&amp;L’s proposed carrying cost of 25.00%. Third, an increase of this magnitude violates the regulatory principle of gradualism, which the PUCO has described as a “longstanding and important regulatory principles [that] seeks to minimize the impact of rate changes on customers.”</w:t>
      </w:r>
      <w:r>
        <w:rPr>
          <w:rStyle w:val="FootnoteReference"/>
          <w:szCs w:val="24"/>
        </w:rPr>
        <w:footnoteReference w:id="32"/>
      </w:r>
      <w:r w:rsidRPr="005136BC">
        <w:rPr>
          <w:szCs w:val="24"/>
        </w:rPr>
        <w:t xml:space="preserve"> A more reasonable customer charge would be no more than $8.25 per month (assuming the PUCO Staff’s recommended rate increase is approved; if a lower rate increase is approved, as OCC recommends, then a lower customer charge </w:t>
      </w:r>
      <w:r w:rsidRPr="005136BC" w:rsidR="00E86376">
        <w:rPr>
          <w:szCs w:val="24"/>
        </w:rPr>
        <w:t xml:space="preserve">would </w:t>
      </w:r>
      <w:r w:rsidRPr="005136BC">
        <w:rPr>
          <w:szCs w:val="24"/>
        </w:rPr>
        <w:t>be appropriate).</w:t>
      </w:r>
    </w:p>
    <w:p w:rsidR="00A64C70" w:rsidRPr="005136BC" w:rsidP="00DB7D89" w14:paraId="1472B02D" w14:textId="3F049113">
      <w:pPr>
        <w:pStyle w:val="Heading2"/>
        <w:rPr>
          <w:szCs w:val="24"/>
        </w:rPr>
      </w:pPr>
      <w:bookmarkStart w:id="34" w:name="_Toc80777749"/>
      <w:r w:rsidRPr="005136BC">
        <w:rPr>
          <w:szCs w:val="24"/>
        </w:rPr>
        <w:t>G</w:t>
      </w:r>
      <w:r w:rsidRPr="005136BC" w:rsidR="009A575C">
        <w:rPr>
          <w:szCs w:val="24"/>
        </w:rPr>
        <w:t>.</w:t>
      </w:r>
      <w:r w:rsidRPr="005136BC" w:rsidR="009A575C">
        <w:rPr>
          <w:szCs w:val="24"/>
        </w:rPr>
        <w:tab/>
        <w:t>Service Monitoring and Enforcement</w:t>
      </w:r>
      <w:bookmarkEnd w:id="34"/>
    </w:p>
    <w:p w:rsidR="00A64C70" w:rsidRPr="005136BC" w:rsidP="009B1DF3" w14:paraId="5E800781" w14:textId="0C903967">
      <w:pPr>
        <w:pStyle w:val="Heading3"/>
        <w:rPr>
          <w:szCs w:val="24"/>
        </w:rPr>
      </w:pPr>
      <w:bookmarkStart w:id="35" w:name="_Toc80777750"/>
      <w:r w:rsidRPr="005136BC">
        <w:rPr>
          <w:szCs w:val="24"/>
        </w:rPr>
        <w:t>Objection</w:t>
      </w:r>
      <w:r w:rsidRPr="005136BC" w:rsidR="00136282">
        <w:rPr>
          <w:szCs w:val="24"/>
        </w:rPr>
        <w:t xml:space="preserve"> 24</w:t>
      </w:r>
      <w:r w:rsidRPr="005136BC">
        <w:rPr>
          <w:szCs w:val="24"/>
        </w:rPr>
        <w:t>.</w:t>
      </w:r>
      <w:r w:rsidRPr="005136BC" w:rsidR="008576E5">
        <w:rPr>
          <w:szCs w:val="24"/>
        </w:rPr>
        <w:t xml:space="preserve"> T</w:t>
      </w:r>
      <w:r w:rsidRPr="005136BC">
        <w:rPr>
          <w:szCs w:val="24"/>
        </w:rPr>
        <w:t>he Staff Report erred by failing to recommend financial penalties associated with DP&amp;L’s failure to comply with the minimum PUCO distribution reliability standards in 2019 and 2020 enumerated in O.A.C. 4901:1-10-10(E).</w:t>
      </w:r>
      <w:bookmarkEnd w:id="35"/>
    </w:p>
    <w:p w:rsidR="00A64C70" w:rsidRPr="005136BC" w:rsidP="00136282" w14:paraId="2E4015D9" w14:textId="077E455C">
      <w:pPr>
        <w:pStyle w:val="BodyTextIndent3"/>
        <w:spacing w:line="480" w:lineRule="auto"/>
        <w:rPr>
          <w:szCs w:val="24"/>
        </w:rPr>
      </w:pPr>
      <w:r w:rsidRPr="005136BC">
        <w:rPr>
          <w:szCs w:val="24"/>
        </w:rPr>
        <w:t>The Staff Report noted that DP&amp;L failed to provide adequately reliable service in 2019 and 2020, as shown by DP&amp;L failing to meet its customer average interruption duration index (CAIDI) standard in each of 2019 and 2020.</w:t>
      </w:r>
      <w:r>
        <w:rPr>
          <w:rStyle w:val="FootnoteReference"/>
          <w:szCs w:val="24"/>
        </w:rPr>
        <w:footnoteReference w:id="33"/>
      </w:r>
      <w:r w:rsidRPr="005136BC">
        <w:rPr>
          <w:szCs w:val="24"/>
        </w:rPr>
        <w:t xml:space="preserve"> The Staff Report notes that this violates O.A.C. 4901-1-10(E).</w:t>
      </w:r>
      <w:r>
        <w:rPr>
          <w:rStyle w:val="FootnoteReference"/>
          <w:szCs w:val="24"/>
        </w:rPr>
        <w:footnoteReference w:id="34"/>
      </w:r>
      <w:r w:rsidRPr="005136BC" w:rsidR="00877EB2">
        <w:rPr>
          <w:szCs w:val="24"/>
        </w:rPr>
        <w:t xml:space="preserve"> T</w:t>
      </w:r>
      <w:r w:rsidRPr="005136BC">
        <w:rPr>
          <w:szCs w:val="24"/>
        </w:rPr>
        <w:t>he Staff Report</w:t>
      </w:r>
      <w:r w:rsidRPr="005136BC" w:rsidR="00877EB2">
        <w:rPr>
          <w:szCs w:val="24"/>
        </w:rPr>
        <w:t>, however,</w:t>
      </w:r>
      <w:r w:rsidRPr="005136BC">
        <w:rPr>
          <w:szCs w:val="24"/>
        </w:rPr>
        <w:t xml:space="preserve"> erred by failing to recommend a financial penalty. Financial penalties are especially appropriate given that customers were harmed through outages</w:t>
      </w:r>
      <w:r w:rsidRPr="005136BC" w:rsidR="00343FB2">
        <w:rPr>
          <w:szCs w:val="24"/>
        </w:rPr>
        <w:t>. Financial penalties are also a deterrent to DP&amp;L to continue its current management policies and practices that result in inadequate and unreliable services</w:t>
      </w:r>
      <w:r w:rsidRPr="005136BC" w:rsidR="00877EB2">
        <w:rPr>
          <w:szCs w:val="24"/>
        </w:rPr>
        <w:t xml:space="preserve"> </w:t>
      </w:r>
      <w:r w:rsidRPr="005136BC">
        <w:rPr>
          <w:szCs w:val="24"/>
        </w:rPr>
        <w:t xml:space="preserve">that </w:t>
      </w:r>
      <w:r w:rsidRPr="005136BC" w:rsidR="00877EB2">
        <w:rPr>
          <w:szCs w:val="24"/>
        </w:rPr>
        <w:t>may have been</w:t>
      </w:r>
      <w:r w:rsidRPr="005136BC">
        <w:rPr>
          <w:szCs w:val="24"/>
        </w:rPr>
        <w:t xml:space="preserve"> avoidable had DP&amp;L continued operation under its ESP III and</w:t>
      </w:r>
      <w:r w:rsidRPr="005136BC" w:rsidR="00877EB2">
        <w:rPr>
          <w:szCs w:val="24"/>
        </w:rPr>
        <w:t xml:space="preserve"> complied with its vegetation management plan.</w:t>
      </w:r>
    </w:p>
    <w:p w:rsidR="00052622" w14:paraId="61CF9608" w14:textId="77777777">
      <w:pPr>
        <w:rPr>
          <w:b/>
          <w:bCs/>
          <w:szCs w:val="24"/>
        </w:rPr>
      </w:pPr>
      <w:r>
        <w:rPr>
          <w:szCs w:val="24"/>
        </w:rPr>
        <w:br w:type="page"/>
      </w:r>
    </w:p>
    <w:p w:rsidR="00A64C70" w:rsidRPr="005136BC" w:rsidP="009B1DF3" w14:paraId="73ECFEE4" w14:textId="1A76FCDE">
      <w:pPr>
        <w:pStyle w:val="Heading3"/>
        <w:rPr>
          <w:szCs w:val="24"/>
        </w:rPr>
      </w:pPr>
      <w:bookmarkStart w:id="36" w:name="_Toc80777751"/>
      <w:r w:rsidRPr="005136BC">
        <w:rPr>
          <w:szCs w:val="24"/>
        </w:rPr>
        <w:t>Objection</w:t>
      </w:r>
      <w:r w:rsidRPr="005136BC" w:rsidR="00136282">
        <w:rPr>
          <w:szCs w:val="24"/>
        </w:rPr>
        <w:t xml:space="preserve"> 25</w:t>
      </w:r>
      <w:r w:rsidRPr="005136BC">
        <w:rPr>
          <w:szCs w:val="24"/>
        </w:rPr>
        <w:t>.</w:t>
      </w:r>
      <w:r w:rsidRPr="005136BC" w:rsidR="008576E5">
        <w:rPr>
          <w:szCs w:val="24"/>
        </w:rPr>
        <w:t xml:space="preserve"> </w:t>
      </w:r>
      <w:r w:rsidRPr="005136BC">
        <w:rPr>
          <w:szCs w:val="24"/>
        </w:rPr>
        <w:t>The Staff Report erred by failing to require DP&amp;L to develop a remedial plan to address its failure to consistently enroll customers in an extended payment plan following the submission of a medical certificate in compliance with Ohio Admin. Code 4901:1-18-06(C)(3)(e)</w:t>
      </w:r>
      <w:r w:rsidRPr="005136BC" w:rsidR="00136282">
        <w:rPr>
          <w:szCs w:val="24"/>
        </w:rPr>
        <w:t>.</w:t>
      </w:r>
      <w:bookmarkEnd w:id="36"/>
    </w:p>
    <w:p w:rsidR="00A64C70" w:rsidRPr="005136BC" w:rsidP="00D4185C" w14:paraId="78FB5F5C" w14:textId="5E708679">
      <w:pPr>
        <w:pStyle w:val="BodyTextIndent3"/>
        <w:spacing w:line="480" w:lineRule="auto"/>
        <w:rPr>
          <w:szCs w:val="24"/>
        </w:rPr>
      </w:pPr>
      <w:r w:rsidRPr="005136BC">
        <w:rPr>
          <w:szCs w:val="24"/>
        </w:rPr>
        <w:t>In 2020, approximately 1,450 DP&amp;L consumers applied for the medical certification protections available under Ohio law.</w:t>
      </w:r>
      <w:r>
        <w:rPr>
          <w:rStyle w:val="FootnoteReference"/>
          <w:szCs w:val="24"/>
        </w:rPr>
        <w:footnoteReference w:id="35"/>
      </w:r>
      <w:r w:rsidRPr="005136BC">
        <w:rPr>
          <w:szCs w:val="24"/>
        </w:rPr>
        <w:t xml:space="preserve"> And between January 2021 and July 2021, over 1,800 DP&amp;L consumers have already applied this year for medical certification protections.</w:t>
      </w:r>
      <w:r>
        <w:rPr>
          <w:rStyle w:val="FootnoteReference"/>
          <w:szCs w:val="24"/>
        </w:rPr>
        <w:footnoteReference w:id="36"/>
      </w:r>
      <w:r w:rsidRPr="005136BC">
        <w:rPr>
          <w:szCs w:val="24"/>
        </w:rPr>
        <w:t xml:space="preserve"> The offering of extended payments plans when consumers apply for the medical certification is extremely important to help consumers avoid future delinquency and possible loss of electric service.</w:t>
      </w:r>
    </w:p>
    <w:p w:rsidR="00275E1D" w:rsidRPr="005136BC" w:rsidP="00D4185C" w14:paraId="5E17B0DF" w14:textId="3C7E274F">
      <w:pPr>
        <w:pStyle w:val="BodyTextIndent3"/>
        <w:spacing w:line="480" w:lineRule="auto"/>
        <w:rPr>
          <w:szCs w:val="24"/>
        </w:rPr>
      </w:pPr>
      <w:r w:rsidRPr="005136BC">
        <w:rPr>
          <w:szCs w:val="24"/>
        </w:rPr>
        <w:t xml:space="preserve">The PUCO should require DP&amp;L to file a remediation plan for coming into compliance with Ohio Adm. Code 4901:1-18-06(C) within 30 days of an Order in this proceeding. The remediation plan should include at a minimum, DP&amp;L plans for training its personnel on medical certifications and the need for establishing extended payment agreements. Additionally, the remediation plan should address the need and willingness of </w:t>
      </w:r>
      <w:r w:rsidRPr="005136BC" w:rsidR="00230839">
        <w:rPr>
          <w:szCs w:val="24"/>
        </w:rPr>
        <w:t>DP&amp;L</w:t>
      </w:r>
      <w:r w:rsidRPr="005136BC">
        <w:rPr>
          <w:szCs w:val="24"/>
        </w:rPr>
        <w:t xml:space="preserve"> personnel to extend more liberal payment plans with consumers that recognize the health and safety risks of these consumers. The remediation plan should also address the need for further monitoring by DP&amp;L and Staff to </w:t>
      </w:r>
      <w:r w:rsidRPr="005136BC" w:rsidR="00F95D3C">
        <w:rPr>
          <w:szCs w:val="24"/>
        </w:rPr>
        <w:t>ensure</w:t>
      </w:r>
      <w:r w:rsidRPr="005136BC">
        <w:rPr>
          <w:szCs w:val="24"/>
        </w:rPr>
        <w:t xml:space="preserve"> that consumers who apply for medical certification are consistently offered extended payment agreements as required by Ohio law and PUCO rules.</w:t>
      </w:r>
    </w:p>
    <w:p w:rsidR="000520C5" w:rsidRPr="005136BC" w:rsidP="00DB7D89" w14:paraId="7380DC35" w14:textId="77777777">
      <w:pPr>
        <w:pStyle w:val="Heading1"/>
      </w:pPr>
      <w:bookmarkStart w:id="37" w:name="_Toc42694224"/>
      <w:bookmarkStart w:id="38" w:name="_Toc80777752"/>
      <w:r w:rsidRPr="005136BC">
        <w:t>I</w:t>
      </w:r>
      <w:r w:rsidRPr="005136BC" w:rsidR="006C2EF7">
        <w:t>I</w:t>
      </w:r>
      <w:r w:rsidRPr="005136BC">
        <w:t>I.</w:t>
      </w:r>
      <w:r w:rsidRPr="005136BC">
        <w:tab/>
        <w:t>CONCLUSION</w:t>
      </w:r>
      <w:bookmarkEnd w:id="37"/>
      <w:bookmarkEnd w:id="38"/>
    </w:p>
    <w:p w:rsidR="0069402D" w:rsidRPr="005136BC" w:rsidP="00D4185C" w14:paraId="318CC0E9" w14:textId="0181A51E">
      <w:pPr>
        <w:pStyle w:val="BodyTextIndent3"/>
        <w:spacing w:line="480" w:lineRule="auto"/>
        <w:rPr>
          <w:szCs w:val="24"/>
        </w:rPr>
      </w:pPr>
      <w:r w:rsidRPr="005136BC">
        <w:rPr>
          <w:szCs w:val="24"/>
        </w:rPr>
        <w:t>To protect consumers from paying rates that are unjust or unreasonable, the PUCO should adopt OCC’s recommendations set forth in these objections, which are further developed in OCC testimony and OCC’s motion to dismiss.</w:t>
      </w:r>
    </w:p>
    <w:p w:rsidR="00275E1D" w:rsidRPr="005136BC" w:rsidP="00275E1D" w14:paraId="708C2A57" w14:textId="77777777">
      <w:pPr>
        <w:pStyle w:val="BodyTextIndent3"/>
        <w:ind w:left="3600" w:right="-672"/>
        <w:rPr>
          <w:szCs w:val="24"/>
        </w:rPr>
      </w:pPr>
      <w:r w:rsidRPr="005136BC">
        <w:rPr>
          <w:szCs w:val="24"/>
        </w:rPr>
        <w:br w:type="page"/>
      </w:r>
      <w:r w:rsidRPr="005136BC">
        <w:rPr>
          <w:szCs w:val="24"/>
        </w:rPr>
        <w:t>Respectfully submitted,</w:t>
      </w:r>
    </w:p>
    <w:p w:rsidR="00275E1D" w:rsidRPr="005136BC" w:rsidP="00275E1D" w14:paraId="4C4149A2" w14:textId="77777777">
      <w:pPr>
        <w:pStyle w:val="Footer"/>
        <w:tabs>
          <w:tab w:val="left" w:pos="4320"/>
          <w:tab w:val="clear" w:pos="8640"/>
        </w:tabs>
        <w:spacing w:before="240"/>
        <w:rPr>
          <w:sz w:val="24"/>
          <w:szCs w:val="24"/>
        </w:rPr>
      </w:pPr>
      <w:r w:rsidRPr="005136BC">
        <w:rPr>
          <w:sz w:val="24"/>
          <w:szCs w:val="24"/>
        </w:rPr>
        <w:tab/>
        <w:t>Bruce Weston (0016973)</w:t>
      </w:r>
    </w:p>
    <w:p w:rsidR="00275E1D" w:rsidRPr="005136BC" w:rsidP="00275E1D" w14:paraId="7FB2B9C5" w14:textId="77777777">
      <w:pPr>
        <w:tabs>
          <w:tab w:val="left" w:pos="4320"/>
        </w:tabs>
        <w:rPr>
          <w:szCs w:val="24"/>
        </w:rPr>
      </w:pPr>
      <w:r w:rsidRPr="005136BC">
        <w:rPr>
          <w:szCs w:val="24"/>
        </w:rPr>
        <w:tab/>
        <w:t>Ohio Consumers’ Counsel</w:t>
      </w:r>
    </w:p>
    <w:p w:rsidR="00275E1D" w:rsidRPr="005136BC" w:rsidP="00275E1D" w14:paraId="068DA651" w14:textId="77777777">
      <w:pPr>
        <w:tabs>
          <w:tab w:val="left" w:pos="4320"/>
        </w:tabs>
        <w:rPr>
          <w:szCs w:val="24"/>
        </w:rPr>
      </w:pPr>
    </w:p>
    <w:p w:rsidR="00275E1D" w:rsidRPr="005136BC" w:rsidP="00275E1D" w14:paraId="03322CB3" w14:textId="0CBF13FD">
      <w:pPr>
        <w:tabs>
          <w:tab w:val="left" w:pos="4320"/>
        </w:tabs>
        <w:rPr>
          <w:i/>
          <w:szCs w:val="24"/>
          <w:u w:val="single"/>
        </w:rPr>
      </w:pPr>
      <w:r w:rsidRPr="005136BC">
        <w:rPr>
          <w:szCs w:val="24"/>
        </w:rPr>
        <w:tab/>
      </w:r>
      <w:r w:rsidRPr="005136BC">
        <w:rPr>
          <w:i/>
          <w:szCs w:val="24"/>
          <w:u w:val="single"/>
        </w:rPr>
        <w:t>/s/ Christopher Healey</w:t>
      </w:r>
      <w:r w:rsidRPr="005136BC">
        <w:rPr>
          <w:i/>
          <w:szCs w:val="24"/>
          <w:u w:val="single"/>
        </w:rPr>
        <w:tab/>
      </w:r>
      <w:r w:rsidRPr="005136BC">
        <w:rPr>
          <w:i/>
          <w:szCs w:val="24"/>
          <w:u w:val="single"/>
        </w:rPr>
        <w:tab/>
      </w:r>
      <w:r w:rsidRPr="005136BC" w:rsidR="009B1DF3">
        <w:rPr>
          <w:i/>
          <w:szCs w:val="24"/>
          <w:u w:val="single"/>
        </w:rPr>
        <w:tab/>
      </w:r>
    </w:p>
    <w:p w:rsidR="00275E1D" w:rsidRPr="005136BC" w:rsidP="00275E1D" w14:paraId="36E97624" w14:textId="77777777">
      <w:pPr>
        <w:tabs>
          <w:tab w:val="left" w:pos="4320"/>
        </w:tabs>
        <w:rPr>
          <w:szCs w:val="24"/>
        </w:rPr>
      </w:pPr>
      <w:r w:rsidRPr="005136BC">
        <w:rPr>
          <w:szCs w:val="24"/>
        </w:rPr>
        <w:tab/>
        <w:t>Christopher Healey (0086027)</w:t>
      </w:r>
    </w:p>
    <w:p w:rsidR="00275E1D" w:rsidRPr="005136BC" w:rsidP="00275E1D" w14:paraId="356615E1" w14:textId="77777777">
      <w:pPr>
        <w:tabs>
          <w:tab w:val="left" w:pos="4320"/>
        </w:tabs>
        <w:ind w:firstLine="4320"/>
        <w:rPr>
          <w:szCs w:val="24"/>
        </w:rPr>
      </w:pPr>
      <w:r w:rsidRPr="005136BC">
        <w:rPr>
          <w:szCs w:val="24"/>
        </w:rPr>
        <w:t>Counsel of Record</w:t>
      </w:r>
    </w:p>
    <w:p w:rsidR="00275E1D" w:rsidRPr="005136BC" w:rsidP="00275E1D" w14:paraId="28621834" w14:textId="77777777">
      <w:pPr>
        <w:tabs>
          <w:tab w:val="left" w:pos="4320"/>
        </w:tabs>
        <w:rPr>
          <w:szCs w:val="24"/>
        </w:rPr>
      </w:pPr>
      <w:r w:rsidRPr="005136BC">
        <w:rPr>
          <w:szCs w:val="24"/>
        </w:rPr>
        <w:tab/>
        <w:t>Ambrosia E. Wilson (0096598)</w:t>
      </w:r>
    </w:p>
    <w:p w:rsidR="00275E1D" w:rsidRPr="005136BC" w:rsidP="00275E1D" w14:paraId="564756F6" w14:textId="77777777">
      <w:pPr>
        <w:tabs>
          <w:tab w:val="left" w:pos="4320"/>
        </w:tabs>
        <w:ind w:firstLine="4320"/>
        <w:rPr>
          <w:szCs w:val="24"/>
        </w:rPr>
      </w:pPr>
      <w:r w:rsidRPr="005136BC">
        <w:rPr>
          <w:szCs w:val="24"/>
        </w:rPr>
        <w:t>John Finnigan (0018689)</w:t>
      </w:r>
    </w:p>
    <w:p w:rsidR="00275E1D" w:rsidRPr="005136BC" w:rsidP="00275E1D" w14:paraId="09DFED91" w14:textId="77777777">
      <w:pPr>
        <w:tabs>
          <w:tab w:val="left" w:pos="4320"/>
        </w:tabs>
        <w:rPr>
          <w:szCs w:val="24"/>
        </w:rPr>
      </w:pPr>
      <w:r w:rsidRPr="005136BC">
        <w:rPr>
          <w:szCs w:val="24"/>
        </w:rPr>
        <w:tab/>
        <w:t>Assistant Consumers’ Counsel</w:t>
      </w:r>
    </w:p>
    <w:p w:rsidR="00275E1D" w:rsidRPr="005136BC" w:rsidP="00275E1D" w14:paraId="6EA9911D" w14:textId="77777777">
      <w:pPr>
        <w:rPr>
          <w:szCs w:val="24"/>
        </w:rPr>
      </w:pPr>
      <w:r w:rsidRPr="005136BC">
        <w:rPr>
          <w:szCs w:val="24"/>
        </w:rPr>
        <w:tab/>
      </w:r>
    </w:p>
    <w:p w:rsidR="00275E1D" w:rsidRPr="005136BC" w:rsidP="00275E1D" w14:paraId="7A3103A3" w14:textId="77777777">
      <w:pPr>
        <w:rPr>
          <w:b/>
          <w:bCs/>
          <w:szCs w:val="24"/>
        </w:rPr>
      </w:pPr>
      <w:r w:rsidRPr="005136BC">
        <w:rPr>
          <w:szCs w:val="24"/>
        </w:rPr>
        <w:tab/>
      </w:r>
      <w:r w:rsidRPr="005136BC">
        <w:rPr>
          <w:szCs w:val="24"/>
        </w:rPr>
        <w:tab/>
      </w:r>
      <w:r w:rsidRPr="005136BC">
        <w:rPr>
          <w:szCs w:val="24"/>
        </w:rPr>
        <w:tab/>
      </w:r>
      <w:r w:rsidRPr="005136BC">
        <w:rPr>
          <w:szCs w:val="24"/>
        </w:rPr>
        <w:tab/>
      </w:r>
      <w:r w:rsidRPr="005136BC">
        <w:rPr>
          <w:szCs w:val="24"/>
        </w:rPr>
        <w:tab/>
      </w:r>
      <w:r w:rsidRPr="005136BC">
        <w:rPr>
          <w:szCs w:val="24"/>
        </w:rPr>
        <w:tab/>
      </w:r>
      <w:r w:rsidRPr="005136BC">
        <w:rPr>
          <w:b/>
          <w:bCs/>
          <w:szCs w:val="24"/>
        </w:rPr>
        <w:t>Office of the Ohio Consumers’ Counsel</w:t>
      </w:r>
    </w:p>
    <w:p w:rsidR="00275E1D" w:rsidRPr="005136BC" w:rsidP="00275E1D" w14:paraId="45657907" w14:textId="77777777">
      <w:pPr>
        <w:ind w:left="2880" w:firstLine="720"/>
        <w:rPr>
          <w:szCs w:val="24"/>
        </w:rPr>
      </w:pPr>
      <w:r w:rsidRPr="005136BC">
        <w:rPr>
          <w:szCs w:val="24"/>
        </w:rPr>
        <w:tab/>
        <w:t>65 East State Street, 7th Floor</w:t>
      </w:r>
    </w:p>
    <w:p w:rsidR="00275E1D" w:rsidRPr="005136BC" w:rsidP="00275E1D" w14:paraId="60E0E246" w14:textId="77777777">
      <w:pPr>
        <w:ind w:left="3600"/>
        <w:rPr>
          <w:szCs w:val="24"/>
        </w:rPr>
      </w:pPr>
      <w:r w:rsidRPr="005136BC">
        <w:rPr>
          <w:szCs w:val="24"/>
        </w:rPr>
        <w:tab/>
        <w:t>Columbus, Ohio 43215</w:t>
      </w:r>
    </w:p>
    <w:p w:rsidR="00275E1D" w:rsidRPr="005136BC" w:rsidP="00275E1D" w14:paraId="2E558460" w14:textId="77777777">
      <w:pPr>
        <w:autoSpaceDE w:val="0"/>
        <w:autoSpaceDN w:val="0"/>
        <w:adjustRightInd w:val="0"/>
        <w:ind w:left="3600" w:firstLine="720"/>
        <w:rPr>
          <w:szCs w:val="24"/>
        </w:rPr>
      </w:pPr>
      <w:r w:rsidRPr="005136BC">
        <w:rPr>
          <w:szCs w:val="24"/>
        </w:rPr>
        <w:t>Telephone [Healey]: (614)-466-9571</w:t>
      </w:r>
    </w:p>
    <w:p w:rsidR="00275E1D" w:rsidRPr="005136BC" w:rsidP="00275E1D" w14:paraId="21C434C3" w14:textId="77777777">
      <w:pPr>
        <w:autoSpaceDE w:val="0"/>
        <w:autoSpaceDN w:val="0"/>
        <w:adjustRightInd w:val="0"/>
        <w:ind w:left="3600" w:firstLine="720"/>
        <w:rPr>
          <w:szCs w:val="24"/>
        </w:rPr>
      </w:pPr>
      <w:r w:rsidRPr="005136BC">
        <w:rPr>
          <w:szCs w:val="24"/>
        </w:rPr>
        <w:t>Telephone [Wilson]: (614)-466-1292</w:t>
      </w:r>
    </w:p>
    <w:p w:rsidR="00275E1D" w:rsidRPr="005136BC" w:rsidP="00275E1D" w14:paraId="7F28E72A" w14:textId="77777777">
      <w:pPr>
        <w:autoSpaceDE w:val="0"/>
        <w:autoSpaceDN w:val="0"/>
        <w:adjustRightInd w:val="0"/>
        <w:ind w:left="3600" w:firstLine="720"/>
        <w:rPr>
          <w:szCs w:val="24"/>
        </w:rPr>
      </w:pPr>
      <w:r w:rsidRPr="005136BC">
        <w:rPr>
          <w:szCs w:val="24"/>
        </w:rPr>
        <w:t>Telephone [Finnigan]: (614) 466-9585</w:t>
      </w:r>
    </w:p>
    <w:p w:rsidR="00275E1D" w:rsidRPr="005136BC" w:rsidP="00275E1D" w14:paraId="5F393DA7" w14:textId="77777777">
      <w:pPr>
        <w:autoSpaceDE w:val="0"/>
        <w:autoSpaceDN w:val="0"/>
        <w:adjustRightInd w:val="0"/>
        <w:ind w:left="3600" w:firstLine="720"/>
        <w:rPr>
          <w:szCs w:val="24"/>
        </w:rPr>
      </w:pPr>
      <w:hyperlink r:id="rId6" w:history="1">
        <w:r w:rsidRPr="005136BC">
          <w:rPr>
            <w:rStyle w:val="Hyperlink"/>
            <w:szCs w:val="24"/>
          </w:rPr>
          <w:t>christopher.healey@occ.ohio.gov</w:t>
        </w:r>
      </w:hyperlink>
    </w:p>
    <w:p w:rsidR="00275E1D" w:rsidRPr="005136BC" w:rsidP="00275E1D" w14:paraId="31FF1233" w14:textId="77777777">
      <w:pPr>
        <w:autoSpaceDE w:val="0"/>
        <w:autoSpaceDN w:val="0"/>
        <w:adjustRightInd w:val="0"/>
        <w:ind w:left="3600" w:firstLine="720"/>
        <w:rPr>
          <w:szCs w:val="24"/>
        </w:rPr>
      </w:pPr>
      <w:hyperlink r:id="rId7" w:history="1">
        <w:r w:rsidRPr="005136BC">
          <w:rPr>
            <w:rStyle w:val="Hyperlink"/>
            <w:szCs w:val="24"/>
          </w:rPr>
          <w:t>ambrosia.wilson@occ.ohio.gov</w:t>
        </w:r>
      </w:hyperlink>
      <w:r w:rsidRPr="005136BC">
        <w:rPr>
          <w:szCs w:val="24"/>
        </w:rPr>
        <w:t xml:space="preserve"> </w:t>
      </w:r>
    </w:p>
    <w:p w:rsidR="00275E1D" w:rsidRPr="005136BC" w:rsidP="00275E1D" w14:paraId="216A02E6" w14:textId="77777777">
      <w:pPr>
        <w:autoSpaceDE w:val="0"/>
        <w:autoSpaceDN w:val="0"/>
        <w:adjustRightInd w:val="0"/>
        <w:ind w:left="3600" w:firstLine="720"/>
        <w:rPr>
          <w:szCs w:val="24"/>
        </w:rPr>
      </w:pPr>
      <w:hyperlink r:id="rId8" w:history="1">
        <w:r w:rsidRPr="005136BC">
          <w:rPr>
            <w:rStyle w:val="Hyperlink"/>
            <w:szCs w:val="24"/>
          </w:rPr>
          <w:t>john.finnigan@occ.ohio.gov</w:t>
        </w:r>
      </w:hyperlink>
    </w:p>
    <w:p w:rsidR="00836BDA" w:rsidRPr="005136BC" w:rsidP="00275E1D" w14:paraId="42B5E419" w14:textId="7AFDF942">
      <w:pPr>
        <w:pStyle w:val="BodyTextIndent3"/>
        <w:ind w:left="3600" w:right="-672"/>
        <w:rPr>
          <w:szCs w:val="24"/>
        </w:rPr>
      </w:pPr>
      <w:r w:rsidRPr="005136BC">
        <w:rPr>
          <w:szCs w:val="24"/>
        </w:rPr>
        <w:tab/>
      </w:r>
      <w:r w:rsidRPr="005136BC">
        <w:rPr>
          <w:szCs w:val="24"/>
        </w:rPr>
        <w:tab/>
      </w:r>
      <w:r w:rsidRPr="005136BC">
        <w:rPr>
          <w:szCs w:val="24"/>
        </w:rPr>
        <w:tab/>
      </w:r>
      <w:r w:rsidRPr="005136BC">
        <w:rPr>
          <w:szCs w:val="24"/>
        </w:rPr>
        <w:tab/>
      </w:r>
      <w:r w:rsidRPr="005136BC">
        <w:rPr>
          <w:szCs w:val="24"/>
        </w:rPr>
        <w:tab/>
      </w:r>
      <w:r w:rsidRPr="005136BC">
        <w:rPr>
          <w:szCs w:val="24"/>
        </w:rPr>
        <w:tab/>
      </w:r>
    </w:p>
    <w:p w:rsidR="00836BDA" w:rsidRPr="005136BC" w:rsidP="00D4185C" w14:paraId="56FC6D12" w14:textId="77777777">
      <w:pPr>
        <w:ind w:left="4320" w:firstLine="720"/>
        <w:jc w:val="both"/>
        <w:rPr>
          <w:szCs w:val="24"/>
        </w:rPr>
      </w:pPr>
    </w:p>
    <w:p w:rsidR="00CB5D16" w:rsidRPr="005136BC" w:rsidP="00D4185C" w14:paraId="2CF12B26" w14:textId="77777777">
      <w:pPr>
        <w:rPr>
          <w:b/>
          <w:bCs/>
          <w:szCs w:val="24"/>
          <w:u w:val="single"/>
        </w:rPr>
      </w:pPr>
      <w:r w:rsidRPr="005136BC">
        <w:rPr>
          <w:b/>
          <w:bCs/>
          <w:szCs w:val="24"/>
          <w:u w:val="single"/>
        </w:rPr>
        <w:br w:type="page"/>
      </w:r>
    </w:p>
    <w:p w:rsidR="00836BDA" w:rsidRPr="005136BC" w:rsidP="00D4185C" w14:paraId="3B1121F4" w14:textId="77777777">
      <w:pPr>
        <w:jc w:val="center"/>
        <w:rPr>
          <w:b/>
          <w:bCs/>
          <w:szCs w:val="24"/>
          <w:u w:val="single"/>
        </w:rPr>
      </w:pPr>
      <w:r w:rsidRPr="005136BC">
        <w:rPr>
          <w:b/>
          <w:bCs/>
          <w:szCs w:val="24"/>
          <w:u w:val="single"/>
        </w:rPr>
        <w:t>CERTIFICATE OF SERVICE</w:t>
      </w:r>
    </w:p>
    <w:p w:rsidR="00836BDA" w:rsidRPr="005136BC" w:rsidP="00D4185C" w14:paraId="1B505C9E" w14:textId="64F0D437">
      <w:pPr>
        <w:spacing w:line="480" w:lineRule="atLeast"/>
        <w:rPr>
          <w:szCs w:val="24"/>
        </w:rPr>
      </w:pPr>
      <w:r w:rsidRPr="005136BC">
        <w:rPr>
          <w:szCs w:val="24"/>
        </w:rPr>
        <w:tab/>
        <w:t>I hereby certify that a copy of th</w:t>
      </w:r>
      <w:r w:rsidRPr="005136BC" w:rsidR="00DC61DF">
        <w:rPr>
          <w:szCs w:val="24"/>
        </w:rPr>
        <w:t xml:space="preserve">ese Objections </w:t>
      </w:r>
      <w:r w:rsidRPr="005136BC" w:rsidR="004B4DFA">
        <w:rPr>
          <w:szCs w:val="24"/>
        </w:rPr>
        <w:t>was</w:t>
      </w:r>
      <w:r w:rsidRPr="005136BC">
        <w:rPr>
          <w:szCs w:val="24"/>
        </w:rPr>
        <w:t xml:space="preserve"> served on the persons stated below via electronic transmission, this </w:t>
      </w:r>
      <w:r w:rsidRPr="005136BC" w:rsidR="00275E1D">
        <w:rPr>
          <w:szCs w:val="24"/>
        </w:rPr>
        <w:t>25th</w:t>
      </w:r>
      <w:r w:rsidRPr="005136BC">
        <w:rPr>
          <w:szCs w:val="24"/>
        </w:rPr>
        <w:t xml:space="preserve"> day of </w:t>
      </w:r>
      <w:r w:rsidRPr="005136BC" w:rsidR="00275E1D">
        <w:rPr>
          <w:szCs w:val="24"/>
        </w:rPr>
        <w:t>August 2021</w:t>
      </w:r>
      <w:r w:rsidRPr="005136BC">
        <w:rPr>
          <w:szCs w:val="24"/>
        </w:rPr>
        <w:t>.</w:t>
      </w:r>
    </w:p>
    <w:p w:rsidR="00836BDA" w:rsidRPr="005136BC" w:rsidP="00D4185C" w14:paraId="74FDDE1B" w14:textId="77777777">
      <w:pPr>
        <w:spacing w:line="480" w:lineRule="atLeast"/>
        <w:rPr>
          <w:szCs w:val="24"/>
        </w:rPr>
      </w:pPr>
    </w:p>
    <w:p w:rsidR="00836BDA" w:rsidRPr="005136BC" w:rsidP="00D4185C" w14:paraId="4A3EA14D" w14:textId="77777777">
      <w:pPr>
        <w:tabs>
          <w:tab w:val="left" w:pos="4320"/>
        </w:tabs>
        <w:rPr>
          <w:iCs/>
          <w:szCs w:val="24"/>
          <w:u w:val="single"/>
        </w:rPr>
      </w:pPr>
      <w:r w:rsidRPr="005136BC">
        <w:rPr>
          <w:szCs w:val="24"/>
        </w:rPr>
        <w:tab/>
      </w:r>
      <w:r w:rsidRPr="005136BC">
        <w:rPr>
          <w:i/>
          <w:iCs/>
          <w:szCs w:val="24"/>
          <w:u w:val="single"/>
        </w:rPr>
        <w:t>/s/ Christopher Healey</w:t>
      </w:r>
      <w:r w:rsidRPr="005136BC">
        <w:rPr>
          <w:iCs/>
          <w:szCs w:val="24"/>
          <w:u w:val="single"/>
        </w:rPr>
        <w:tab/>
      </w:r>
      <w:r w:rsidRPr="005136BC">
        <w:rPr>
          <w:iCs/>
          <w:szCs w:val="24"/>
          <w:u w:val="single"/>
        </w:rPr>
        <w:tab/>
      </w:r>
    </w:p>
    <w:p w:rsidR="00836BDA" w:rsidRPr="005136BC" w:rsidP="00D4185C" w14:paraId="5FBEEB9A" w14:textId="77777777">
      <w:pPr>
        <w:tabs>
          <w:tab w:val="left" w:pos="4320"/>
        </w:tabs>
        <w:rPr>
          <w:szCs w:val="24"/>
        </w:rPr>
      </w:pPr>
      <w:r w:rsidRPr="005136BC">
        <w:rPr>
          <w:szCs w:val="24"/>
        </w:rPr>
        <w:tab/>
        <w:t>Christopher Healey</w:t>
      </w:r>
    </w:p>
    <w:p w:rsidR="00836BDA" w:rsidRPr="005136BC" w:rsidP="00D4185C" w14:paraId="3A614A9D" w14:textId="2CDF6C94">
      <w:pPr>
        <w:tabs>
          <w:tab w:val="left" w:pos="4320"/>
        </w:tabs>
        <w:rPr>
          <w:szCs w:val="24"/>
        </w:rPr>
      </w:pPr>
      <w:r w:rsidRPr="005136BC">
        <w:rPr>
          <w:szCs w:val="24"/>
        </w:rPr>
        <w:tab/>
        <w:t>Assistant Consumers’ Counsel</w:t>
      </w:r>
    </w:p>
    <w:p w:rsidR="005136BC" w:rsidRPr="005136BC" w:rsidP="00D4185C" w14:paraId="12553F1D" w14:textId="6B62EABD">
      <w:pPr>
        <w:tabs>
          <w:tab w:val="left" w:pos="4320"/>
        </w:tabs>
        <w:rPr>
          <w:szCs w:val="24"/>
        </w:rPr>
      </w:pPr>
    </w:p>
    <w:p w:rsidR="005136BC" w:rsidRPr="005136BC" w:rsidP="005136BC" w14:paraId="7D1C2AAA" w14:textId="77777777">
      <w:pPr>
        <w:tabs>
          <w:tab w:val="left" w:pos="4320"/>
        </w:tabs>
        <w:rPr>
          <w:szCs w:val="24"/>
        </w:rPr>
      </w:pPr>
    </w:p>
    <w:p w:rsidR="005136BC" w:rsidRPr="005136BC" w:rsidP="005136BC" w14:paraId="3C9DAF86" w14:textId="77777777">
      <w:pPr>
        <w:pStyle w:val="CommentText"/>
      </w:pPr>
      <w:r w:rsidRPr="005136BC">
        <w:t>The PUCO’s e-filing system will electronically serve notice of the filing of this document on the following parties:</w:t>
      </w:r>
    </w:p>
    <w:p w:rsidR="005136BC" w:rsidRPr="005136BC" w:rsidP="005136BC" w14:paraId="08637396" w14:textId="77777777">
      <w:pPr>
        <w:pStyle w:val="CommentText"/>
      </w:pPr>
    </w:p>
    <w:p w:rsidR="005136BC" w:rsidRPr="005136BC" w:rsidP="005136BC" w14:paraId="6A55F50A" w14:textId="77777777">
      <w:pPr>
        <w:pStyle w:val="CommentText"/>
        <w:jc w:val="center"/>
        <w:rPr>
          <w:b/>
          <w:bCs/>
          <w:u w:val="single"/>
        </w:rPr>
      </w:pPr>
      <w:r w:rsidRPr="005136BC">
        <w:rPr>
          <w:b/>
          <w:bCs/>
          <w:u w:val="single"/>
        </w:rPr>
        <w:t>SERVICE LIST</w:t>
      </w:r>
    </w:p>
    <w:p w:rsidR="005136BC" w:rsidRPr="005136BC" w:rsidP="005136BC" w14:paraId="7EA67FA2" w14:textId="77777777">
      <w:pPr>
        <w:pStyle w:val="CommentText"/>
        <w:jc w:val="center"/>
        <w:rPr>
          <w:b/>
          <w:u w:val="single"/>
        </w:rPr>
      </w:pPr>
    </w:p>
    <w:tbl>
      <w:tblPr>
        <w:tblW w:w="0" w:type="auto"/>
        <w:tblLook w:val="01E0"/>
      </w:tblPr>
      <w:tblGrid>
        <w:gridCol w:w="4428"/>
        <w:gridCol w:w="4428"/>
      </w:tblGrid>
      <w:tr w14:paraId="04802EA5" w14:textId="77777777" w:rsidTr="005136BC">
        <w:tblPrEx>
          <w:tblW w:w="0" w:type="auto"/>
          <w:tblLook w:val="01E0"/>
        </w:tblPrEx>
        <w:tc>
          <w:tcPr>
            <w:tcW w:w="4428" w:type="dxa"/>
          </w:tcPr>
          <w:p w:rsidR="005136BC" w:rsidRPr="005136BC" w14:paraId="547B657B" w14:textId="77777777">
            <w:pPr>
              <w:autoSpaceDE w:val="0"/>
              <w:autoSpaceDN w:val="0"/>
              <w:adjustRightInd w:val="0"/>
              <w:rPr>
                <w:szCs w:val="24"/>
              </w:rPr>
            </w:pPr>
            <w:hyperlink r:id="rId11" w:history="1">
              <w:r w:rsidRPr="005136BC">
                <w:rPr>
                  <w:rStyle w:val="Hyperlink"/>
                  <w:bCs/>
                  <w:szCs w:val="24"/>
                </w:rPr>
                <w:t>j</w:t>
              </w:r>
              <w:r w:rsidRPr="005136BC">
                <w:rPr>
                  <w:rStyle w:val="Hyperlink"/>
                  <w:szCs w:val="24"/>
                </w:rPr>
                <w:t>odi.bair@ohioAGO.gov</w:t>
              </w:r>
            </w:hyperlink>
          </w:p>
          <w:p w:rsidR="005136BC" w:rsidRPr="005136BC" w14:paraId="1CF114CD" w14:textId="77777777">
            <w:pPr>
              <w:autoSpaceDE w:val="0"/>
              <w:autoSpaceDN w:val="0"/>
              <w:adjustRightInd w:val="0"/>
              <w:rPr>
                <w:szCs w:val="24"/>
              </w:rPr>
            </w:pPr>
            <w:hyperlink r:id="rId12" w:history="1">
              <w:r w:rsidRPr="005136BC">
                <w:rPr>
                  <w:rStyle w:val="Hyperlink"/>
                  <w:szCs w:val="24"/>
                </w:rPr>
                <w:t>kyle.kern@ohioAGO.gov</w:t>
              </w:r>
            </w:hyperlink>
          </w:p>
          <w:p w:rsidR="005136BC" w:rsidRPr="005136BC" w14:paraId="67B7AC46" w14:textId="77777777">
            <w:pPr>
              <w:autoSpaceDE w:val="0"/>
              <w:autoSpaceDN w:val="0"/>
              <w:adjustRightInd w:val="0"/>
              <w:rPr>
                <w:bCs/>
                <w:szCs w:val="24"/>
              </w:rPr>
            </w:pPr>
            <w:hyperlink r:id="rId13" w:history="1">
              <w:r w:rsidRPr="005136BC">
                <w:rPr>
                  <w:rStyle w:val="Hyperlink"/>
                  <w:bCs/>
                  <w:szCs w:val="24"/>
                </w:rPr>
                <w:t>chelsea.fletcher@ohioAGO.gov</w:t>
              </w:r>
            </w:hyperlink>
          </w:p>
          <w:p w:rsidR="005136BC" w:rsidRPr="005136BC" w14:paraId="0C58F54A" w14:textId="77777777">
            <w:pPr>
              <w:pStyle w:val="BodyText"/>
              <w:rPr>
                <w:bCs/>
                <w:szCs w:val="24"/>
              </w:rPr>
            </w:pPr>
            <w:hyperlink r:id="rId14" w:history="1">
              <w:r w:rsidRPr="005136BC">
                <w:rPr>
                  <w:rStyle w:val="Hyperlink"/>
                  <w:bCs/>
                  <w:szCs w:val="24"/>
                </w:rPr>
                <w:t>bmckenney@mcneeslaw.com</w:t>
              </w:r>
            </w:hyperlink>
          </w:p>
          <w:p w:rsidR="005136BC" w:rsidRPr="005136BC" w14:paraId="4BC6D506" w14:textId="77777777">
            <w:pPr>
              <w:pStyle w:val="BodyText"/>
              <w:rPr>
                <w:bCs/>
                <w:szCs w:val="24"/>
              </w:rPr>
            </w:pPr>
            <w:hyperlink r:id="rId15" w:history="1">
              <w:r w:rsidRPr="005136BC">
                <w:rPr>
                  <w:rStyle w:val="Hyperlink"/>
                  <w:bCs/>
                  <w:szCs w:val="24"/>
                </w:rPr>
                <w:t>mjsettineri@vorys.com</w:t>
              </w:r>
            </w:hyperlink>
          </w:p>
          <w:p w:rsidR="005136BC" w:rsidRPr="005136BC" w14:paraId="25E7296A" w14:textId="77777777">
            <w:pPr>
              <w:pStyle w:val="BodyText"/>
              <w:rPr>
                <w:bCs/>
                <w:szCs w:val="24"/>
              </w:rPr>
            </w:pPr>
            <w:hyperlink r:id="rId16" w:history="1">
              <w:r w:rsidRPr="005136BC">
                <w:rPr>
                  <w:rStyle w:val="Hyperlink"/>
                  <w:bCs/>
                  <w:szCs w:val="24"/>
                </w:rPr>
                <w:t>glpetrucci@vorys.com</w:t>
              </w:r>
            </w:hyperlink>
          </w:p>
          <w:p w:rsidR="005136BC" w:rsidRPr="005136BC" w14:paraId="302C8001" w14:textId="77777777">
            <w:pPr>
              <w:pStyle w:val="BodyText"/>
              <w:rPr>
                <w:bCs/>
                <w:szCs w:val="24"/>
              </w:rPr>
            </w:pPr>
            <w:hyperlink r:id="rId17" w:history="1">
              <w:r w:rsidRPr="005136BC">
                <w:rPr>
                  <w:rStyle w:val="Hyperlink"/>
                  <w:bCs/>
                  <w:szCs w:val="24"/>
                </w:rPr>
                <w:t>dromig@armadapower.com</w:t>
              </w:r>
            </w:hyperlink>
          </w:p>
          <w:p w:rsidR="005136BC" w:rsidRPr="005136BC" w14:paraId="36377E8E" w14:textId="77777777">
            <w:pPr>
              <w:pStyle w:val="BodyText"/>
              <w:rPr>
                <w:bCs/>
                <w:szCs w:val="24"/>
              </w:rPr>
            </w:pPr>
            <w:hyperlink r:id="rId18" w:history="1">
              <w:r w:rsidRPr="005136BC">
                <w:rPr>
                  <w:rStyle w:val="Hyperlink"/>
                  <w:bCs/>
                  <w:szCs w:val="24"/>
                </w:rPr>
                <w:t>dparram@bricker.com</w:t>
              </w:r>
            </w:hyperlink>
          </w:p>
          <w:p w:rsidR="005136BC" w:rsidRPr="005136BC" w14:paraId="09FEDF69" w14:textId="77777777">
            <w:pPr>
              <w:pStyle w:val="BodyText"/>
              <w:rPr>
                <w:bCs/>
                <w:szCs w:val="24"/>
              </w:rPr>
            </w:pPr>
            <w:hyperlink r:id="rId19" w:history="1">
              <w:r w:rsidRPr="005136BC">
                <w:rPr>
                  <w:rStyle w:val="Hyperlink"/>
                  <w:bCs/>
                  <w:szCs w:val="24"/>
                </w:rPr>
                <w:t>rmains@bricker.com</w:t>
              </w:r>
            </w:hyperlink>
          </w:p>
          <w:p w:rsidR="005136BC" w:rsidRPr="005136BC" w14:paraId="11CD801C" w14:textId="77777777">
            <w:pPr>
              <w:pStyle w:val="BodyText"/>
              <w:rPr>
                <w:rStyle w:val="Hyperlink"/>
                <w:szCs w:val="24"/>
              </w:rPr>
            </w:pPr>
            <w:hyperlink r:id="rId20" w:history="1">
              <w:r w:rsidRPr="005136BC">
                <w:rPr>
                  <w:rStyle w:val="Hyperlink"/>
                  <w:bCs/>
                  <w:szCs w:val="24"/>
                </w:rPr>
                <w:t>ccox@elpc.org</w:t>
              </w:r>
            </w:hyperlink>
          </w:p>
          <w:p w:rsidR="005136BC" w:rsidRPr="005136BC" w14:paraId="13B87828" w14:textId="77777777">
            <w:pPr>
              <w:pStyle w:val="BodyText"/>
              <w:rPr>
                <w:rStyle w:val="Hyperlink"/>
                <w:bCs/>
                <w:szCs w:val="24"/>
              </w:rPr>
            </w:pPr>
            <w:hyperlink r:id="rId21" w:history="1">
              <w:r w:rsidRPr="005136BC">
                <w:rPr>
                  <w:rStyle w:val="Hyperlink"/>
                  <w:bCs/>
                  <w:szCs w:val="24"/>
                </w:rPr>
                <w:t>khernstein@bricker.com</w:t>
              </w:r>
            </w:hyperlink>
          </w:p>
          <w:p w:rsidR="005136BC" w:rsidRPr="005136BC" w14:paraId="26E66309" w14:textId="77777777">
            <w:pPr>
              <w:pStyle w:val="BodyText"/>
              <w:rPr>
                <w:szCs w:val="24"/>
              </w:rPr>
            </w:pPr>
            <w:hyperlink r:id="rId22" w:history="1">
              <w:r w:rsidRPr="005136BC">
                <w:rPr>
                  <w:rStyle w:val="Hyperlink"/>
                  <w:bCs/>
                  <w:szCs w:val="24"/>
                </w:rPr>
                <w:t>m</w:t>
              </w:r>
              <w:r w:rsidRPr="005136BC">
                <w:rPr>
                  <w:rStyle w:val="Hyperlink"/>
                  <w:szCs w:val="24"/>
                </w:rPr>
                <w:t>warnock@bricker.com</w:t>
              </w:r>
            </w:hyperlink>
          </w:p>
          <w:p w:rsidR="005136BC" w:rsidRPr="005136BC" w14:paraId="6F721533" w14:textId="77777777">
            <w:pPr>
              <w:pStyle w:val="BodyText"/>
              <w:rPr>
                <w:bCs/>
                <w:szCs w:val="24"/>
              </w:rPr>
            </w:pPr>
            <w:hyperlink r:id="rId23" w:history="1">
              <w:r w:rsidRPr="005136BC">
                <w:rPr>
                  <w:rStyle w:val="Hyperlink"/>
                  <w:bCs/>
                  <w:szCs w:val="24"/>
                </w:rPr>
                <w:t>little@litohio.com</w:t>
              </w:r>
            </w:hyperlink>
          </w:p>
          <w:p w:rsidR="005136BC" w:rsidRPr="005136BC" w14:paraId="06A449EE" w14:textId="77777777">
            <w:pPr>
              <w:pStyle w:val="BodyText"/>
              <w:rPr>
                <w:bCs/>
                <w:szCs w:val="24"/>
              </w:rPr>
            </w:pPr>
            <w:hyperlink r:id="rId24" w:history="1">
              <w:r w:rsidRPr="005136BC">
                <w:rPr>
                  <w:rStyle w:val="Hyperlink"/>
                  <w:bCs/>
                  <w:szCs w:val="24"/>
                </w:rPr>
                <w:t>hogan@litohio.com</w:t>
              </w:r>
            </w:hyperlink>
          </w:p>
          <w:p w:rsidR="005136BC" w:rsidRPr="005136BC" w14:paraId="67B4E170" w14:textId="77777777">
            <w:pPr>
              <w:pStyle w:val="BodyText"/>
              <w:rPr>
                <w:bCs/>
                <w:szCs w:val="24"/>
              </w:rPr>
            </w:pPr>
            <w:hyperlink r:id="rId25" w:history="1">
              <w:r w:rsidRPr="005136BC">
                <w:rPr>
                  <w:rStyle w:val="Hyperlink"/>
                  <w:bCs/>
                  <w:szCs w:val="24"/>
                </w:rPr>
                <w:t>ktreadway@oneenergyllc.com</w:t>
              </w:r>
            </w:hyperlink>
          </w:p>
          <w:p w:rsidR="005136BC" w:rsidRPr="005136BC" w14:paraId="21396573" w14:textId="77777777">
            <w:pPr>
              <w:pStyle w:val="BodyText"/>
              <w:rPr>
                <w:bCs/>
                <w:szCs w:val="24"/>
              </w:rPr>
            </w:pPr>
            <w:hyperlink r:id="rId26" w:history="1">
              <w:r w:rsidRPr="005136BC">
                <w:rPr>
                  <w:rStyle w:val="Hyperlink"/>
                  <w:bCs/>
                  <w:szCs w:val="24"/>
                </w:rPr>
                <w:t>jdunn@oneenergyllc.com</w:t>
              </w:r>
            </w:hyperlink>
          </w:p>
          <w:p w:rsidR="005136BC" w:rsidRPr="005136BC" w14:paraId="31F5A580" w14:textId="77777777">
            <w:pPr>
              <w:pStyle w:val="BodyText"/>
              <w:rPr>
                <w:bCs/>
                <w:szCs w:val="24"/>
              </w:rPr>
            </w:pPr>
            <w:hyperlink r:id="rId27" w:history="1">
              <w:r w:rsidRPr="005136BC">
                <w:rPr>
                  <w:rStyle w:val="Hyperlink"/>
                  <w:bCs/>
                  <w:szCs w:val="24"/>
                </w:rPr>
                <w:t>whitt@whitt-sturtevant.com</w:t>
              </w:r>
            </w:hyperlink>
          </w:p>
          <w:p w:rsidR="005136BC" w:rsidRPr="005136BC" w14:paraId="37DAE63C" w14:textId="77777777">
            <w:pPr>
              <w:pStyle w:val="BodyText"/>
              <w:rPr>
                <w:bCs/>
                <w:szCs w:val="24"/>
              </w:rPr>
            </w:pPr>
            <w:hyperlink r:id="rId28" w:history="1">
              <w:r w:rsidRPr="005136BC">
                <w:rPr>
                  <w:rStyle w:val="Hyperlink"/>
                  <w:bCs/>
                  <w:szCs w:val="24"/>
                </w:rPr>
                <w:t>fykes@whitt-sturtevant.com</w:t>
              </w:r>
            </w:hyperlink>
          </w:p>
          <w:p w:rsidR="005136BC" w:rsidRPr="005136BC" w14:paraId="63BF5141" w14:textId="77777777">
            <w:pPr>
              <w:autoSpaceDE w:val="0"/>
              <w:autoSpaceDN w:val="0"/>
              <w:adjustRightInd w:val="0"/>
              <w:rPr>
                <w:bCs/>
                <w:szCs w:val="24"/>
              </w:rPr>
            </w:pPr>
            <w:hyperlink r:id="rId29" w:history="1">
              <w:r w:rsidRPr="005136BC">
                <w:rPr>
                  <w:rStyle w:val="Hyperlink"/>
                  <w:bCs/>
                  <w:szCs w:val="24"/>
                </w:rPr>
                <w:t>rhartley@fbtlaw.com</w:t>
              </w:r>
            </w:hyperlink>
          </w:p>
          <w:p w:rsidR="005136BC" w:rsidRPr="005136BC" w14:paraId="3D9D1310" w14:textId="77777777">
            <w:pPr>
              <w:autoSpaceDE w:val="0"/>
              <w:autoSpaceDN w:val="0"/>
              <w:adjustRightInd w:val="0"/>
              <w:rPr>
                <w:bCs/>
                <w:szCs w:val="24"/>
              </w:rPr>
            </w:pPr>
            <w:hyperlink r:id="rId30" w:history="1">
              <w:r w:rsidRPr="005136BC">
                <w:rPr>
                  <w:rStyle w:val="Hyperlink"/>
                  <w:bCs/>
                  <w:szCs w:val="24"/>
                </w:rPr>
                <w:t>cwieg@fbtlaw.com</w:t>
              </w:r>
            </w:hyperlink>
          </w:p>
          <w:p w:rsidR="005136BC" w:rsidRPr="005136BC" w14:paraId="4DF12E98" w14:textId="77777777">
            <w:pPr>
              <w:autoSpaceDE w:val="0"/>
              <w:autoSpaceDN w:val="0"/>
              <w:adjustRightInd w:val="0"/>
              <w:rPr>
                <w:bCs/>
                <w:szCs w:val="24"/>
              </w:rPr>
            </w:pPr>
            <w:hyperlink r:id="rId31" w:history="1">
              <w:r w:rsidRPr="005136BC">
                <w:rPr>
                  <w:rStyle w:val="Hyperlink"/>
                  <w:bCs/>
                  <w:szCs w:val="24"/>
                </w:rPr>
                <w:t>talexander@beneschlaw.com</w:t>
              </w:r>
            </w:hyperlink>
          </w:p>
          <w:p w:rsidR="005136BC" w:rsidRPr="005136BC" w14:paraId="389558A2" w14:textId="77777777">
            <w:pPr>
              <w:autoSpaceDE w:val="0"/>
              <w:autoSpaceDN w:val="0"/>
              <w:adjustRightInd w:val="0"/>
              <w:rPr>
                <w:bCs/>
                <w:szCs w:val="24"/>
              </w:rPr>
            </w:pPr>
            <w:hyperlink r:id="rId32" w:history="1">
              <w:r w:rsidRPr="005136BC">
                <w:rPr>
                  <w:rStyle w:val="Hyperlink"/>
                  <w:bCs/>
                  <w:szCs w:val="24"/>
                </w:rPr>
                <w:t>khehmeyer@beneschlaw.com</w:t>
              </w:r>
            </w:hyperlink>
          </w:p>
          <w:p w:rsidR="005136BC" w:rsidRPr="005136BC" w14:paraId="54760967" w14:textId="77777777">
            <w:pPr>
              <w:autoSpaceDE w:val="0"/>
              <w:autoSpaceDN w:val="0"/>
              <w:adjustRightInd w:val="0"/>
              <w:rPr>
                <w:bCs/>
                <w:szCs w:val="24"/>
              </w:rPr>
            </w:pPr>
            <w:hyperlink r:id="rId33" w:history="1">
              <w:r w:rsidRPr="005136BC">
                <w:rPr>
                  <w:rStyle w:val="Hyperlink"/>
                  <w:bCs/>
                  <w:szCs w:val="24"/>
                </w:rPr>
                <w:t>ssiewe@beneschlaw.com</w:t>
              </w:r>
            </w:hyperlink>
          </w:p>
          <w:p w:rsidR="005136BC" w:rsidRPr="005136BC" w14:paraId="4F53AA5B" w14:textId="77777777">
            <w:pPr>
              <w:autoSpaceDE w:val="0"/>
              <w:autoSpaceDN w:val="0"/>
              <w:adjustRightInd w:val="0"/>
              <w:rPr>
                <w:bCs/>
                <w:szCs w:val="24"/>
              </w:rPr>
            </w:pPr>
          </w:p>
          <w:p w:rsidR="005136BC" w:rsidRPr="005136BC" w14:paraId="57BB3B26" w14:textId="77777777">
            <w:pPr>
              <w:rPr>
                <w:bCs/>
                <w:szCs w:val="24"/>
              </w:rPr>
            </w:pPr>
            <w:r w:rsidRPr="005136BC">
              <w:rPr>
                <w:bCs/>
                <w:szCs w:val="24"/>
              </w:rPr>
              <w:t>Attorney Examiners:</w:t>
            </w:r>
          </w:p>
          <w:p w:rsidR="005136BC" w:rsidRPr="005136BC" w14:paraId="44D915B1" w14:textId="77777777">
            <w:pPr>
              <w:rPr>
                <w:bCs/>
                <w:szCs w:val="24"/>
              </w:rPr>
            </w:pPr>
          </w:p>
          <w:p w:rsidR="005136BC" w:rsidRPr="005136BC" w14:paraId="57220EED" w14:textId="77777777">
            <w:pPr>
              <w:adjustRightInd w:val="0"/>
              <w:rPr>
                <w:color w:val="0000FF"/>
                <w:szCs w:val="24"/>
                <w:u w:val="single"/>
              </w:rPr>
            </w:pPr>
            <w:hyperlink r:id="rId34" w:history="1">
              <w:r w:rsidRPr="005136BC">
                <w:rPr>
                  <w:rStyle w:val="Hyperlink"/>
                  <w:szCs w:val="24"/>
                </w:rPr>
                <w:t>patricia.schabo@puco.ohio.gov</w:t>
              </w:r>
            </w:hyperlink>
          </w:p>
          <w:p w:rsidR="005136BC" w:rsidRPr="005136BC" w14:paraId="50A37BF4" w14:textId="77777777">
            <w:pPr>
              <w:rPr>
                <w:bCs/>
                <w:szCs w:val="24"/>
              </w:rPr>
            </w:pPr>
            <w:r w:rsidRPr="005136BC">
              <w:rPr>
                <w:color w:val="0000FF"/>
                <w:szCs w:val="24"/>
                <w:u w:val="single"/>
              </w:rPr>
              <w:t>Michael.williams@puco.ohio.gov</w:t>
            </w:r>
          </w:p>
        </w:tc>
        <w:tc>
          <w:tcPr>
            <w:tcW w:w="4428" w:type="dxa"/>
          </w:tcPr>
          <w:p w:rsidR="005136BC" w:rsidRPr="005136BC" w14:paraId="2AD72206" w14:textId="77777777">
            <w:pPr>
              <w:pStyle w:val="BodyText"/>
              <w:rPr>
                <w:bCs/>
                <w:szCs w:val="24"/>
              </w:rPr>
            </w:pPr>
            <w:hyperlink r:id="rId35" w:history="1">
              <w:r w:rsidRPr="005136BC">
                <w:rPr>
                  <w:rStyle w:val="Hyperlink"/>
                  <w:bCs/>
                  <w:szCs w:val="24"/>
                </w:rPr>
                <w:t>bojko@carpenterlipps.com</w:t>
              </w:r>
            </w:hyperlink>
          </w:p>
          <w:p w:rsidR="005136BC" w:rsidRPr="005136BC" w14:paraId="1A41069D" w14:textId="77777777">
            <w:pPr>
              <w:pStyle w:val="BodyText"/>
              <w:rPr>
                <w:bCs/>
                <w:szCs w:val="24"/>
              </w:rPr>
            </w:pPr>
            <w:hyperlink r:id="rId36" w:history="1">
              <w:r w:rsidRPr="005136BC">
                <w:rPr>
                  <w:rStyle w:val="Hyperlink"/>
                  <w:bCs/>
                  <w:szCs w:val="24"/>
                </w:rPr>
                <w:t>paul@carpenterlipps.com</w:t>
              </w:r>
            </w:hyperlink>
          </w:p>
          <w:p w:rsidR="005136BC" w:rsidRPr="005136BC" w14:paraId="4BA784FC" w14:textId="77777777">
            <w:pPr>
              <w:pStyle w:val="BodyText"/>
              <w:rPr>
                <w:bCs/>
                <w:szCs w:val="24"/>
              </w:rPr>
            </w:pPr>
            <w:hyperlink r:id="rId37" w:history="1">
              <w:r w:rsidRPr="005136BC">
                <w:rPr>
                  <w:rStyle w:val="Hyperlink"/>
                  <w:bCs/>
                  <w:szCs w:val="24"/>
                </w:rPr>
                <w:t>michael.schuler@aes.com</w:t>
              </w:r>
            </w:hyperlink>
          </w:p>
          <w:p w:rsidR="005136BC" w:rsidRPr="005136BC" w14:paraId="74A58A1D" w14:textId="77777777">
            <w:pPr>
              <w:autoSpaceDE w:val="0"/>
              <w:autoSpaceDN w:val="0"/>
              <w:adjustRightInd w:val="0"/>
              <w:rPr>
                <w:color w:val="0000FF"/>
                <w:szCs w:val="24"/>
                <w:u w:val="single"/>
              </w:rPr>
            </w:pPr>
            <w:r w:rsidRPr="005136BC">
              <w:rPr>
                <w:color w:val="0000FF"/>
                <w:szCs w:val="24"/>
                <w:u w:val="single"/>
              </w:rPr>
              <w:t>jsharkey@ficlaw.com</w:t>
            </w:r>
          </w:p>
          <w:p w:rsidR="005136BC" w:rsidRPr="005136BC" w14:paraId="0DB0812F" w14:textId="77777777">
            <w:pPr>
              <w:autoSpaceDE w:val="0"/>
              <w:autoSpaceDN w:val="0"/>
              <w:adjustRightInd w:val="0"/>
              <w:rPr>
                <w:color w:val="0000FF"/>
                <w:szCs w:val="24"/>
                <w:u w:val="single"/>
              </w:rPr>
            </w:pPr>
            <w:r w:rsidRPr="005136BC">
              <w:rPr>
                <w:color w:val="0000FF"/>
                <w:szCs w:val="24"/>
                <w:u w:val="single"/>
              </w:rPr>
              <w:t>djireland@ficlaw.com</w:t>
            </w:r>
          </w:p>
          <w:p w:rsidR="005136BC" w:rsidRPr="005136BC" w14:paraId="4758AB49" w14:textId="77777777">
            <w:pPr>
              <w:autoSpaceDE w:val="0"/>
              <w:autoSpaceDN w:val="0"/>
              <w:adjustRightInd w:val="0"/>
              <w:rPr>
                <w:color w:val="0000FF"/>
                <w:szCs w:val="24"/>
                <w:u w:val="single"/>
              </w:rPr>
            </w:pPr>
            <w:r w:rsidRPr="005136BC">
              <w:rPr>
                <w:color w:val="0000FF"/>
                <w:szCs w:val="24"/>
                <w:u w:val="single"/>
              </w:rPr>
              <w:t>chollon@ficlaw.com</w:t>
            </w:r>
          </w:p>
          <w:p w:rsidR="005136BC" w:rsidRPr="005136BC" w14:paraId="2FAFE6BD" w14:textId="77777777">
            <w:pPr>
              <w:autoSpaceDE w:val="0"/>
              <w:autoSpaceDN w:val="0"/>
              <w:adjustRightInd w:val="0"/>
              <w:rPr>
                <w:color w:val="0000FF"/>
                <w:szCs w:val="24"/>
                <w:u w:val="single"/>
              </w:rPr>
            </w:pPr>
            <w:r w:rsidRPr="005136BC">
              <w:rPr>
                <w:color w:val="0000FF"/>
                <w:szCs w:val="24"/>
                <w:u w:val="single"/>
              </w:rPr>
              <w:t>mkurtz@BKLlawfirm.com</w:t>
            </w:r>
          </w:p>
          <w:p w:rsidR="005136BC" w:rsidRPr="005136BC" w14:paraId="0A33A4A0" w14:textId="77777777">
            <w:pPr>
              <w:autoSpaceDE w:val="0"/>
              <w:autoSpaceDN w:val="0"/>
              <w:adjustRightInd w:val="0"/>
              <w:rPr>
                <w:color w:val="0000FF"/>
                <w:szCs w:val="24"/>
                <w:u w:val="single"/>
              </w:rPr>
            </w:pPr>
            <w:r w:rsidRPr="005136BC">
              <w:rPr>
                <w:color w:val="0000FF"/>
                <w:szCs w:val="24"/>
                <w:u w:val="single"/>
              </w:rPr>
              <w:t>kboehm@BKLlawfirm.com</w:t>
            </w:r>
          </w:p>
          <w:p w:rsidR="005136BC" w:rsidRPr="005136BC" w14:paraId="7A3F37EF" w14:textId="77777777">
            <w:pPr>
              <w:pStyle w:val="BodyText"/>
              <w:rPr>
                <w:color w:val="0000FF"/>
                <w:szCs w:val="24"/>
                <w:u w:val="single"/>
              </w:rPr>
            </w:pPr>
            <w:hyperlink r:id="rId38" w:history="1">
              <w:r w:rsidRPr="005136BC">
                <w:rPr>
                  <w:rStyle w:val="Hyperlink"/>
                  <w:szCs w:val="24"/>
                </w:rPr>
                <w:t>jkylercohn@BKLlawfirm.com</w:t>
              </w:r>
            </w:hyperlink>
          </w:p>
          <w:p w:rsidR="005136BC" w:rsidRPr="005136BC" w14:paraId="6651B34C" w14:textId="77777777">
            <w:pPr>
              <w:pStyle w:val="BodyText"/>
              <w:rPr>
                <w:bCs/>
                <w:color w:val="0000FF"/>
                <w:szCs w:val="24"/>
                <w:u w:val="single"/>
              </w:rPr>
            </w:pPr>
            <w:hyperlink r:id="rId39" w:history="1">
              <w:r w:rsidRPr="005136BC">
                <w:rPr>
                  <w:rStyle w:val="Hyperlink"/>
                  <w:szCs w:val="24"/>
                </w:rPr>
                <w:t>b</w:t>
              </w:r>
              <w:r w:rsidRPr="005136BC">
                <w:rPr>
                  <w:rStyle w:val="Hyperlink"/>
                  <w:bCs/>
                  <w:szCs w:val="24"/>
                </w:rPr>
                <w:t>ethany.allen@igs.com</w:t>
              </w:r>
            </w:hyperlink>
          </w:p>
          <w:p w:rsidR="005136BC" w:rsidRPr="005136BC" w14:paraId="675864F7" w14:textId="77777777">
            <w:pPr>
              <w:pStyle w:val="BodyText"/>
              <w:rPr>
                <w:bCs/>
                <w:color w:val="0000FF"/>
                <w:szCs w:val="24"/>
                <w:u w:val="single"/>
              </w:rPr>
            </w:pPr>
            <w:hyperlink r:id="rId40" w:history="1">
              <w:r w:rsidRPr="005136BC">
                <w:rPr>
                  <w:rStyle w:val="Hyperlink"/>
                  <w:bCs/>
                  <w:szCs w:val="24"/>
                </w:rPr>
                <w:t>Joe.oliker@igs.com</w:t>
              </w:r>
            </w:hyperlink>
          </w:p>
          <w:p w:rsidR="005136BC" w:rsidRPr="005136BC" w14:paraId="45264952" w14:textId="77777777">
            <w:pPr>
              <w:pStyle w:val="BodyText"/>
              <w:rPr>
                <w:bCs/>
                <w:color w:val="0000FF"/>
                <w:szCs w:val="24"/>
                <w:u w:val="single"/>
              </w:rPr>
            </w:pPr>
            <w:hyperlink r:id="rId41" w:history="1">
              <w:r w:rsidRPr="005136BC">
                <w:rPr>
                  <w:rStyle w:val="Hyperlink"/>
                  <w:bCs/>
                  <w:szCs w:val="24"/>
                </w:rPr>
                <w:t>Michael.nugent@igs.com</w:t>
              </w:r>
            </w:hyperlink>
          </w:p>
          <w:p w:rsidR="005136BC" w:rsidRPr="005136BC" w14:paraId="68D7B6B6" w14:textId="77777777">
            <w:pPr>
              <w:pStyle w:val="BodyText"/>
              <w:rPr>
                <w:bCs/>
                <w:color w:val="0000FF"/>
                <w:szCs w:val="24"/>
                <w:u w:val="single"/>
              </w:rPr>
            </w:pPr>
            <w:hyperlink r:id="rId42" w:history="1">
              <w:r w:rsidRPr="005136BC">
                <w:rPr>
                  <w:rStyle w:val="Hyperlink"/>
                  <w:bCs/>
                  <w:szCs w:val="24"/>
                </w:rPr>
                <w:t>Evan.betterton@igs.com</w:t>
              </w:r>
            </w:hyperlink>
          </w:p>
          <w:p w:rsidR="005136BC" w:rsidRPr="005136BC" w14:paraId="368961D9" w14:textId="77777777">
            <w:pPr>
              <w:pStyle w:val="BodyText"/>
              <w:rPr>
                <w:bCs/>
                <w:szCs w:val="24"/>
              </w:rPr>
            </w:pPr>
            <w:hyperlink r:id="rId43" w:history="1">
              <w:r w:rsidRPr="005136BC">
                <w:rPr>
                  <w:rStyle w:val="Hyperlink"/>
                  <w:bCs/>
                  <w:szCs w:val="24"/>
                </w:rPr>
                <w:t>Stephanie.chmiel@thompsonhine.com</w:t>
              </w:r>
            </w:hyperlink>
          </w:p>
          <w:p w:rsidR="005136BC" w:rsidRPr="005136BC" w14:paraId="4F7B93BA" w14:textId="77777777">
            <w:pPr>
              <w:pStyle w:val="BodyText"/>
              <w:rPr>
                <w:bCs/>
                <w:szCs w:val="24"/>
              </w:rPr>
            </w:pPr>
            <w:hyperlink r:id="rId44" w:history="1">
              <w:r w:rsidRPr="005136BC">
                <w:rPr>
                  <w:rStyle w:val="Hyperlink"/>
                  <w:bCs/>
                  <w:szCs w:val="24"/>
                </w:rPr>
                <w:t>Kevin.oles@thompsonhine.com</w:t>
              </w:r>
            </w:hyperlink>
          </w:p>
          <w:p w:rsidR="005136BC" w:rsidRPr="005136BC" w14:paraId="52DF34DD" w14:textId="77777777">
            <w:pPr>
              <w:pStyle w:val="BodyText"/>
              <w:rPr>
                <w:bCs/>
                <w:szCs w:val="24"/>
              </w:rPr>
            </w:pPr>
            <w:hyperlink r:id="rId45" w:history="1">
              <w:r w:rsidRPr="005136BC">
                <w:rPr>
                  <w:rStyle w:val="Hyperlink"/>
                  <w:bCs/>
                  <w:szCs w:val="24"/>
                </w:rPr>
                <w:t>Fdarr2019@gmail.com</w:t>
              </w:r>
            </w:hyperlink>
          </w:p>
          <w:p w:rsidR="005136BC" w:rsidRPr="005136BC" w14:paraId="57FBEA82" w14:textId="77777777">
            <w:pPr>
              <w:pStyle w:val="BodyText"/>
              <w:rPr>
                <w:bCs/>
                <w:szCs w:val="24"/>
              </w:rPr>
            </w:pPr>
            <w:hyperlink r:id="rId46" w:history="1">
              <w:r w:rsidRPr="005136BC">
                <w:rPr>
                  <w:rStyle w:val="Hyperlink"/>
                  <w:bCs/>
                  <w:szCs w:val="24"/>
                </w:rPr>
                <w:t>rdove@keglerbrown.com</w:t>
              </w:r>
            </w:hyperlink>
          </w:p>
          <w:p w:rsidR="005136BC" w:rsidRPr="005136BC" w14:paraId="76607077" w14:textId="77777777">
            <w:pPr>
              <w:pStyle w:val="BodyText"/>
              <w:rPr>
                <w:bCs/>
                <w:szCs w:val="24"/>
              </w:rPr>
            </w:pPr>
            <w:hyperlink r:id="rId47" w:history="1">
              <w:r w:rsidRPr="005136BC">
                <w:rPr>
                  <w:rStyle w:val="Hyperlink"/>
                  <w:bCs/>
                  <w:szCs w:val="24"/>
                </w:rPr>
                <w:t>cgrundmann@spilmanlaw.com</w:t>
              </w:r>
            </w:hyperlink>
          </w:p>
          <w:p w:rsidR="005136BC" w:rsidRPr="005136BC" w14:paraId="6CC76D01" w14:textId="77777777">
            <w:pPr>
              <w:pStyle w:val="BodyText"/>
              <w:rPr>
                <w:bCs/>
                <w:szCs w:val="24"/>
              </w:rPr>
            </w:pPr>
            <w:hyperlink r:id="rId48" w:history="1">
              <w:r w:rsidRPr="005136BC">
                <w:rPr>
                  <w:rStyle w:val="Hyperlink"/>
                  <w:bCs/>
                  <w:szCs w:val="24"/>
                </w:rPr>
                <w:t>dwilliamson@spilmanlaw.com</w:t>
              </w:r>
            </w:hyperlink>
          </w:p>
          <w:p w:rsidR="005136BC" w:rsidRPr="005136BC" w14:paraId="39ADAF3B" w14:textId="77777777">
            <w:pPr>
              <w:pStyle w:val="BodyText"/>
              <w:rPr>
                <w:bCs/>
                <w:szCs w:val="24"/>
              </w:rPr>
            </w:pPr>
            <w:hyperlink r:id="rId49" w:history="1">
              <w:r w:rsidRPr="005136BC">
                <w:rPr>
                  <w:rStyle w:val="Hyperlink"/>
                  <w:bCs/>
                  <w:szCs w:val="24"/>
                </w:rPr>
                <w:t>mpritchard@mcneeslaw.com</w:t>
              </w:r>
            </w:hyperlink>
          </w:p>
          <w:p w:rsidR="005136BC" w:rsidRPr="005136BC" w14:paraId="57284B9D" w14:textId="77777777">
            <w:pPr>
              <w:pStyle w:val="BodyText"/>
              <w:rPr>
                <w:bCs/>
                <w:szCs w:val="24"/>
              </w:rPr>
            </w:pPr>
            <w:hyperlink r:id="rId50" w:history="1">
              <w:r w:rsidRPr="005136BC">
                <w:rPr>
                  <w:rStyle w:val="Hyperlink"/>
                  <w:bCs/>
                  <w:szCs w:val="24"/>
                </w:rPr>
                <w:t>rglover@mcneeslaw.com</w:t>
              </w:r>
            </w:hyperlink>
          </w:p>
          <w:p w:rsidR="005136BC" w:rsidRPr="005136BC" w14:paraId="3FE9B66E" w14:textId="77777777">
            <w:pPr>
              <w:pStyle w:val="BodyText"/>
              <w:rPr>
                <w:bCs/>
                <w:szCs w:val="24"/>
              </w:rPr>
            </w:pPr>
            <w:hyperlink r:id="rId51" w:history="1">
              <w:r w:rsidRPr="005136BC">
                <w:rPr>
                  <w:rStyle w:val="Hyperlink"/>
                  <w:bCs/>
                  <w:szCs w:val="24"/>
                </w:rPr>
                <w:t>mleppla@theOEC.org</w:t>
              </w:r>
            </w:hyperlink>
          </w:p>
          <w:p w:rsidR="005136BC" w:rsidRPr="005136BC" w14:paraId="04085F20" w14:textId="77777777">
            <w:pPr>
              <w:pStyle w:val="BodyText"/>
              <w:rPr>
                <w:bCs/>
                <w:szCs w:val="24"/>
              </w:rPr>
            </w:pPr>
            <w:hyperlink r:id="rId52" w:history="1">
              <w:r w:rsidRPr="005136BC">
                <w:rPr>
                  <w:rStyle w:val="Hyperlink"/>
                  <w:bCs/>
                  <w:szCs w:val="24"/>
                </w:rPr>
                <w:t>tdougherty@theOEC.org</w:t>
              </w:r>
            </w:hyperlink>
          </w:p>
          <w:p w:rsidR="005136BC" w:rsidRPr="005136BC" w14:paraId="5035F4D6" w14:textId="77777777">
            <w:pPr>
              <w:pStyle w:val="BodyText"/>
              <w:rPr>
                <w:bCs/>
                <w:szCs w:val="24"/>
              </w:rPr>
            </w:pPr>
            <w:hyperlink r:id="rId53" w:history="1">
              <w:r w:rsidRPr="005136BC">
                <w:rPr>
                  <w:rStyle w:val="Hyperlink"/>
                  <w:bCs/>
                  <w:szCs w:val="24"/>
                </w:rPr>
                <w:t>ctavenor@theOEC.org</w:t>
              </w:r>
            </w:hyperlink>
          </w:p>
          <w:p w:rsidR="005136BC" w:rsidRPr="005136BC" w14:paraId="40FEA802" w14:textId="77777777">
            <w:pPr>
              <w:pStyle w:val="BodyText"/>
              <w:rPr>
                <w:bCs/>
                <w:szCs w:val="24"/>
              </w:rPr>
            </w:pPr>
          </w:p>
        </w:tc>
      </w:tr>
    </w:tbl>
    <w:p w:rsidR="005A1D88" w:rsidRPr="005136BC" w:rsidP="005136BC" w14:paraId="4E1C706B" w14:textId="77777777">
      <w:pPr>
        <w:tabs>
          <w:tab w:val="left" w:pos="4320"/>
        </w:tabs>
        <w:rPr>
          <w:b/>
          <w:szCs w:val="24"/>
          <w:u w:val="single"/>
        </w:rPr>
      </w:pPr>
    </w:p>
    <w:sectPr w:rsidSect="00A754D5">
      <w:headerReference w:type="default" r:id="rId54"/>
      <w:headerReference w:type="first" r:id="rId55"/>
      <w:footerReference w:type="first" r:id="rId56"/>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052622" w:rsidRPr="00FE7F0A" w14:paraId="21553457" w14:textId="77777777">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Pr>
            <w:noProof/>
            <w:sz w:val="24"/>
            <w:szCs w:val="24"/>
          </w:rPr>
          <w:t>14</w:t>
        </w:r>
        <w:r w:rsidRPr="00FE7F0A">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538554"/>
      <w:docPartObj>
        <w:docPartGallery w:val="Page Numbers (Bottom of Page)"/>
        <w:docPartUnique/>
      </w:docPartObj>
    </w:sdtPr>
    <w:sdtEndPr>
      <w:rPr>
        <w:noProof/>
        <w:sz w:val="24"/>
        <w:szCs w:val="24"/>
      </w:rPr>
    </w:sdtEndPr>
    <w:sdtContent>
      <w:p w:rsidR="00052622" w:rsidRPr="00920B1D" w14:paraId="28AF870A" w14:textId="77777777">
        <w:pPr>
          <w:pStyle w:val="Footer"/>
          <w:jc w:val="center"/>
          <w:rPr>
            <w:sz w:val="24"/>
            <w:szCs w:val="24"/>
          </w:rPr>
        </w:pPr>
        <w:r w:rsidRPr="00920B1D">
          <w:rPr>
            <w:sz w:val="24"/>
            <w:szCs w:val="24"/>
          </w:rPr>
          <w:fldChar w:fldCharType="begin"/>
        </w:r>
        <w:r w:rsidRPr="00920B1D">
          <w:rPr>
            <w:sz w:val="24"/>
            <w:szCs w:val="24"/>
          </w:rPr>
          <w:instrText xml:space="preserve"> PAGE   \* MERGEFORMAT </w:instrText>
        </w:r>
        <w:r w:rsidRPr="00920B1D">
          <w:rPr>
            <w:sz w:val="24"/>
            <w:szCs w:val="24"/>
          </w:rPr>
          <w:fldChar w:fldCharType="separate"/>
        </w:r>
        <w:r w:rsidRPr="00920B1D">
          <w:rPr>
            <w:noProof/>
            <w:sz w:val="24"/>
            <w:szCs w:val="24"/>
          </w:rPr>
          <w:t>2</w:t>
        </w:r>
        <w:r w:rsidRPr="00920B1D">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8353435"/>
      <w:docPartObj>
        <w:docPartGallery w:val="Page Numbers (Bottom of Page)"/>
        <w:docPartUnique/>
      </w:docPartObj>
    </w:sdtPr>
    <w:sdtEndPr>
      <w:rPr>
        <w:noProof/>
        <w:sz w:val="24"/>
        <w:szCs w:val="24"/>
      </w:rPr>
    </w:sdtEndPr>
    <w:sdtContent>
      <w:p w:rsidR="00052622" w:rsidRPr="00C0060E" w14:paraId="2FB8BA71" w14:textId="77777777">
        <w:pPr>
          <w:pStyle w:val="Footer"/>
          <w:jc w:val="center"/>
          <w:rPr>
            <w:sz w:val="24"/>
            <w:szCs w:val="24"/>
          </w:rPr>
        </w:pPr>
        <w:r w:rsidRPr="00C0060E">
          <w:rPr>
            <w:sz w:val="24"/>
            <w:szCs w:val="24"/>
          </w:rPr>
          <w:fldChar w:fldCharType="begin"/>
        </w:r>
        <w:r w:rsidRPr="00C0060E">
          <w:rPr>
            <w:sz w:val="24"/>
            <w:szCs w:val="24"/>
          </w:rPr>
          <w:instrText xml:space="preserve"> PAGE   \* MERGEFORMAT </w:instrText>
        </w:r>
        <w:r w:rsidRPr="00C0060E">
          <w:rPr>
            <w:sz w:val="24"/>
            <w:szCs w:val="24"/>
          </w:rPr>
          <w:fldChar w:fldCharType="separate"/>
        </w:r>
        <w:r w:rsidRPr="00C0060E">
          <w:rPr>
            <w:noProof/>
            <w:sz w:val="24"/>
            <w:szCs w:val="24"/>
          </w:rPr>
          <w:t>2</w:t>
        </w:r>
        <w:r w:rsidRPr="00C0060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52622" w14:paraId="0E8B42D9" w14:textId="77777777">
      <w:r>
        <w:separator/>
      </w:r>
    </w:p>
  </w:footnote>
  <w:footnote w:type="continuationSeparator" w:id="1">
    <w:p w:rsidR="00052622" w14:paraId="2D566ACC" w14:textId="77777777">
      <w:r>
        <w:continuationSeparator/>
      </w:r>
    </w:p>
  </w:footnote>
  <w:footnote w:id="2">
    <w:p w:rsidR="00052622" w:rsidP="005136BC" w14:paraId="7E150B01" w14:textId="22D8B0E3">
      <w:pPr>
        <w:pStyle w:val="FootnoteText"/>
        <w:spacing w:after="120"/>
      </w:pPr>
      <w:r>
        <w:rPr>
          <w:rStyle w:val="FootnoteReference"/>
        </w:rPr>
        <w:footnoteRef/>
      </w:r>
      <w:r>
        <w:t xml:space="preserve"> Application, Schedule A-1 (Nov. 30, 2020).</w:t>
      </w:r>
    </w:p>
  </w:footnote>
  <w:footnote w:id="3">
    <w:p w:rsidR="00052622" w:rsidP="005136BC" w14:paraId="0E31ADC1" w14:textId="389BF83C">
      <w:pPr>
        <w:pStyle w:val="FootnoteText"/>
        <w:spacing w:after="120"/>
      </w:pPr>
      <w:r>
        <w:rPr>
          <w:rStyle w:val="FootnoteReference"/>
        </w:rPr>
        <w:footnoteRef/>
      </w:r>
      <w:r>
        <w:t xml:space="preserve"> Staff Report, Schedule A-1 (July 26, 2021).</w:t>
      </w:r>
    </w:p>
  </w:footnote>
  <w:footnote w:id="4">
    <w:p w:rsidR="00052622" w:rsidRPr="002F7B6E" w:rsidP="005136BC" w14:paraId="4095EF3E" w14:textId="6B30BBC6">
      <w:pPr>
        <w:pStyle w:val="FootnoteText"/>
        <w:spacing w:after="120"/>
      </w:pPr>
      <w:r>
        <w:rPr>
          <w:rStyle w:val="FootnoteReference"/>
        </w:rPr>
        <w:footnoteRef/>
      </w:r>
      <w:r>
        <w:t xml:space="preserve"> </w:t>
      </w:r>
      <w:r>
        <w:rPr>
          <w:i/>
          <w:iCs/>
        </w:rPr>
        <w:t>In re Application of the Dayton Power &amp; Light Co. for an Increase in its Elec. Distrib. Rates</w:t>
      </w:r>
      <w:r>
        <w:t>, Case No. 15-1830-EL-AIR, Opinion &amp; Order (Sept. 26, 2018) (approving a $29.8 million increase).</w:t>
      </w:r>
    </w:p>
  </w:footnote>
  <w:footnote w:id="5">
    <w:p w:rsidR="00052622" w:rsidP="005136BC" w14:paraId="4CBB25A9" w14:textId="76AFCE81">
      <w:pPr>
        <w:pStyle w:val="FootnoteText"/>
        <w:spacing w:after="120"/>
      </w:pPr>
      <w:r>
        <w:rPr>
          <w:rStyle w:val="FootnoteReference"/>
        </w:rPr>
        <w:footnoteRef/>
      </w:r>
      <w:r>
        <w:t xml:space="preserve"> Motion to Dismiss DP&amp;L’s Application for a Rate Increase by Office of the Ohio Consumers’ Counsel (Aug. 5, 2021).</w:t>
      </w:r>
    </w:p>
  </w:footnote>
  <w:footnote w:id="6">
    <w:p w:rsidR="00052622" w:rsidRPr="007B1259" w:rsidP="005136BC" w14:paraId="62EB62EB" w14:textId="77777777">
      <w:pPr>
        <w:pStyle w:val="FootnoteText"/>
        <w:spacing w:after="120"/>
      </w:pPr>
      <w:r w:rsidRPr="007B1259">
        <w:rPr>
          <w:rStyle w:val="FootnoteReference"/>
        </w:rPr>
        <w:footnoteRef/>
      </w:r>
      <w:r w:rsidRPr="007B1259">
        <w:t xml:space="preserve"> </w:t>
      </w:r>
      <w:r w:rsidRPr="007B1259">
        <w:rPr>
          <w:i/>
          <w:iCs/>
        </w:rPr>
        <w:t>In re Application of the Dayton Power &amp; Light Co. for Approval of its Elec. Sec. Plan</w:t>
      </w:r>
      <w:r w:rsidRPr="007B1259">
        <w:t>, Case No. 08-1094-EL-SSO, Stipulation &amp; Recommendation at 10 (Feb</w:t>
      </w:r>
      <w:r>
        <w:t>ruary</w:t>
      </w:r>
      <w:r w:rsidRPr="007B1259">
        <w:t xml:space="preserve"> 24, 2009) (the “ESP 1 Settlement”); Opinion &amp; Order at 5, 9 (June 24, 2009) (“ESP 1 2009 Opinion”).</w:t>
      </w:r>
    </w:p>
  </w:footnote>
  <w:footnote w:id="7">
    <w:p w:rsidR="00052622" w:rsidRPr="007B1259" w:rsidP="005136BC" w14:paraId="7B3EB805" w14:textId="7AD819D1">
      <w:pPr>
        <w:pStyle w:val="FootnoteText"/>
        <w:spacing w:after="120"/>
      </w:pPr>
      <w:r w:rsidRPr="007B1259">
        <w:rPr>
          <w:rStyle w:val="FootnoteReference"/>
        </w:rPr>
        <w:footnoteRef/>
      </w:r>
      <w:r w:rsidRPr="007B1259">
        <w:t xml:space="preserve"> </w:t>
      </w:r>
      <w:r w:rsidRPr="007B1259">
        <w:rPr>
          <w:i/>
          <w:iCs/>
        </w:rPr>
        <w:t>Id.</w:t>
      </w:r>
      <w:r w:rsidRPr="007B1259">
        <w:t>, Second Finding &amp; Order (Dec</w:t>
      </w:r>
      <w:r>
        <w:t>.</w:t>
      </w:r>
      <w:r w:rsidRPr="007B1259">
        <w:t xml:space="preserve"> 18, 2019).</w:t>
      </w:r>
    </w:p>
  </w:footnote>
  <w:footnote w:id="8">
    <w:p w:rsidR="00052622" w:rsidRPr="00A2758F" w:rsidP="005136BC" w14:paraId="7FE36F54" w14:textId="4EF10DDF">
      <w:pPr>
        <w:pStyle w:val="FootnoteText"/>
        <w:spacing w:after="120"/>
      </w:pPr>
      <w:r w:rsidRPr="00A2758F">
        <w:rPr>
          <w:rStyle w:val="FootnoteReference"/>
        </w:rPr>
        <w:footnoteRef/>
      </w:r>
      <w:r w:rsidRPr="00A2758F">
        <w:t xml:space="preserve"> </w:t>
      </w:r>
      <w:r w:rsidRPr="00A2758F">
        <w:rPr>
          <w:i/>
          <w:iCs/>
        </w:rPr>
        <w:t>See</w:t>
      </w:r>
      <w:r w:rsidRPr="00A2758F">
        <w:t xml:space="preserve"> The Ohio Poverty Report, June 2020, Ohio Development Service Agency.</w:t>
      </w:r>
    </w:p>
  </w:footnote>
  <w:footnote w:id="9">
    <w:p w:rsidR="00052622" w:rsidRPr="00A2758F" w:rsidP="005136BC" w14:paraId="5332D5F0" w14:textId="6406337E">
      <w:pPr>
        <w:pStyle w:val="FootnoteText"/>
        <w:spacing w:after="120"/>
      </w:pPr>
      <w:r w:rsidRPr="00A2758F">
        <w:rPr>
          <w:rStyle w:val="FootnoteReference"/>
        </w:rPr>
        <w:footnoteRef/>
      </w:r>
      <w:r w:rsidRPr="00A2758F">
        <w:t xml:space="preserve"> </w:t>
      </w:r>
      <w:r w:rsidRPr="00A2758F">
        <w:rPr>
          <w:i/>
          <w:iCs/>
        </w:rPr>
        <w:t>See</w:t>
      </w:r>
      <w:r w:rsidRPr="00A2758F">
        <w:t xml:space="preserve"> State of Poverty in Ohio 2020, Ohio Association of Community Action Agencies, at 34 (showing 36.2% of the population in Montgomery County at or below 200% of federal poverty guidelines</w:t>
      </w:r>
      <w:r>
        <w:t>)</w:t>
      </w:r>
      <w:r w:rsidRPr="00A2758F">
        <w:t>.</w:t>
      </w:r>
    </w:p>
  </w:footnote>
  <w:footnote w:id="10">
    <w:p w:rsidR="00052622" w:rsidRPr="00A2758F" w:rsidP="005136BC" w14:paraId="60462BBB" w14:textId="67E76420">
      <w:pPr>
        <w:pStyle w:val="FootnoteText"/>
        <w:spacing w:after="120"/>
      </w:pPr>
      <w:r w:rsidRPr="00A2758F">
        <w:rPr>
          <w:rStyle w:val="FootnoteReference"/>
        </w:rPr>
        <w:footnoteRef/>
      </w:r>
      <w:r w:rsidRPr="00A2758F">
        <w:t xml:space="preserve"> </w:t>
      </w:r>
      <w:r w:rsidRPr="00A2758F">
        <w:rPr>
          <w:i/>
          <w:iCs/>
        </w:rPr>
        <w:t>See</w:t>
      </w:r>
      <w:r w:rsidRPr="00A2758F">
        <w:t xml:space="preserve"> </w:t>
      </w:r>
      <w:r>
        <w:t xml:space="preserve">Food Insecurity in Montgomery County Before COVID-19, </w:t>
      </w:r>
      <w:r>
        <w:rPr>
          <w:i/>
          <w:iCs/>
        </w:rPr>
        <w:t xml:space="preserve">available at </w:t>
      </w:r>
      <w:hyperlink r:id="rId1" w:history="1">
        <w:r w:rsidRPr="00B80284">
          <w:rPr>
            <w:rStyle w:val="Hyperlink"/>
          </w:rPr>
          <w:t>https://map.feedingamerica.org/county/2019/overall/ohio/county/montgomery</w:t>
        </w:r>
      </w:hyperlink>
      <w:r w:rsidRPr="00A2758F">
        <w:t xml:space="preserve">. </w:t>
      </w:r>
    </w:p>
  </w:footnote>
  <w:footnote w:id="11">
    <w:p w:rsidR="00052622" w:rsidRPr="00A2758F" w:rsidP="005136BC" w14:paraId="7F089313" w14:textId="1C750665">
      <w:pPr>
        <w:pStyle w:val="FootnoteText"/>
        <w:spacing w:after="120"/>
      </w:pPr>
      <w:r w:rsidRPr="00A2758F">
        <w:rPr>
          <w:rStyle w:val="FootnoteReference"/>
        </w:rPr>
        <w:footnoteRef/>
      </w:r>
      <w:r w:rsidRPr="00A2758F">
        <w:t xml:space="preserve"> </w:t>
      </w:r>
      <w:r w:rsidRPr="00A2758F">
        <w:rPr>
          <w:i/>
          <w:iCs/>
        </w:rPr>
        <w:t>See</w:t>
      </w:r>
      <w:r>
        <w:rPr>
          <w:i/>
          <w:iCs/>
        </w:rPr>
        <w:t xml:space="preserve"> </w:t>
      </w:r>
      <w:r>
        <w:t xml:space="preserve">Child Food Insecurity in Montgomery County Before COVID-19, </w:t>
      </w:r>
      <w:r>
        <w:rPr>
          <w:i/>
          <w:iCs/>
        </w:rPr>
        <w:t>available at</w:t>
      </w:r>
      <w:r>
        <w:t xml:space="preserve"> </w:t>
      </w:r>
      <w:hyperlink r:id="rId2" w:history="1">
        <w:r w:rsidRPr="00A2758F">
          <w:rPr>
            <w:rStyle w:val="Hyperlink"/>
          </w:rPr>
          <w:t>https://map.feedingamerica.org/county/2019/child/ohio/county/montgomery</w:t>
        </w:r>
      </w:hyperlink>
      <w:r w:rsidRPr="00A2758F">
        <w:t xml:space="preserve">. </w:t>
      </w:r>
    </w:p>
  </w:footnote>
  <w:footnote w:id="12">
    <w:p w:rsidR="00052622" w:rsidRPr="00A2758F" w:rsidP="005136BC" w14:paraId="28AA5D47" w14:textId="77777777">
      <w:pPr>
        <w:pStyle w:val="FootnoteText"/>
        <w:spacing w:after="120"/>
      </w:pPr>
      <w:r w:rsidRPr="00A2758F">
        <w:rPr>
          <w:rStyle w:val="FootnoteReference"/>
        </w:rPr>
        <w:footnoteRef/>
      </w:r>
      <w:r w:rsidRPr="00A2758F">
        <w:t xml:space="preserve"> </w:t>
      </w:r>
      <w:r w:rsidRPr="00A2758F">
        <w:rPr>
          <w:i/>
          <w:iCs/>
        </w:rPr>
        <w:t>See Dayton region unemployment rate worse than state and U.S. rate</w:t>
      </w:r>
      <w:r w:rsidRPr="00A2758F">
        <w:t xml:space="preserve">, Dayton Daily News (Aug. 3, 2021), </w:t>
      </w:r>
      <w:r w:rsidRPr="00A2758F">
        <w:rPr>
          <w:i/>
          <w:iCs/>
        </w:rPr>
        <w:t xml:space="preserve">available at </w:t>
      </w:r>
      <w:hyperlink r:id="rId3" w:history="1">
        <w:r w:rsidRPr="00A2758F">
          <w:rPr>
            <w:rStyle w:val="Hyperlink"/>
          </w:rPr>
          <w:t>https://www.daytondailynews.com/local/dayton-region-unemployment-rate-worse-than-state-and-us-rate/ID4TGGGJYVCETH3XRGFCQC5BUQ/</w:t>
        </w:r>
      </w:hyperlink>
      <w:r w:rsidRPr="00A2758F">
        <w:rPr>
          <w:i/>
          <w:iCs/>
        </w:rPr>
        <w:t xml:space="preserve"> </w:t>
      </w:r>
    </w:p>
  </w:footnote>
  <w:footnote w:id="13">
    <w:p w:rsidR="00052622" w:rsidRPr="00A2758F" w:rsidP="005136BC" w14:paraId="2AC94177" w14:textId="77777777">
      <w:pPr>
        <w:pStyle w:val="FootnoteText"/>
        <w:spacing w:after="120"/>
      </w:pPr>
      <w:r w:rsidRPr="00A2758F">
        <w:rPr>
          <w:rStyle w:val="FootnoteReference"/>
        </w:rPr>
        <w:footnoteRef/>
      </w:r>
      <w:r w:rsidRPr="00A2758F">
        <w:t xml:space="preserve"> </w:t>
      </w:r>
      <w:r w:rsidRPr="00A2758F">
        <w:rPr>
          <w:i/>
          <w:iCs/>
        </w:rPr>
        <w:t>See</w:t>
      </w:r>
      <w:r w:rsidRPr="00A2758F">
        <w:t xml:space="preserve"> </w:t>
      </w:r>
      <w:r w:rsidRPr="00A2758F">
        <w:rPr>
          <w:i/>
          <w:iCs/>
        </w:rPr>
        <w:t>Ohio sees highest number of COVID-19 cases in over 6 months</w:t>
      </w:r>
      <w:r w:rsidRPr="00A2758F">
        <w:t xml:space="preserve">, Miami Valley News (Aug. 11, 2021), </w:t>
      </w:r>
      <w:r w:rsidRPr="00A2758F">
        <w:rPr>
          <w:i/>
          <w:iCs/>
        </w:rPr>
        <w:t xml:space="preserve">available at </w:t>
      </w:r>
      <w:hyperlink r:id="rId4" w:history="1">
        <w:r w:rsidRPr="00A2758F">
          <w:rPr>
            <w:rStyle w:val="Hyperlink"/>
          </w:rPr>
          <w:t>https://www.wdtn.com/news/local-news/ohio-sees-highest-covid-19-cases-in-over-6-months/</w:t>
        </w:r>
      </w:hyperlink>
      <w:r w:rsidRPr="00A2758F">
        <w:t xml:space="preserve"> </w:t>
      </w:r>
    </w:p>
  </w:footnote>
  <w:footnote w:id="14">
    <w:p w:rsidR="00052622" w:rsidP="005136BC" w14:paraId="38656CCD" w14:textId="0899B744">
      <w:pPr>
        <w:pStyle w:val="FootnoteText"/>
        <w:spacing w:after="120"/>
      </w:pPr>
      <w:r>
        <w:rPr>
          <w:rStyle w:val="FootnoteReference"/>
        </w:rPr>
        <w:footnoteRef/>
      </w:r>
      <w:r>
        <w:t xml:space="preserve"> Staff Report at 10.</w:t>
      </w:r>
    </w:p>
  </w:footnote>
  <w:footnote w:id="15">
    <w:p w:rsidR="00052622" w:rsidP="005136BC" w14:paraId="48713EE7" w14:textId="7CE93A8F">
      <w:pPr>
        <w:pStyle w:val="FootnoteText"/>
        <w:spacing w:after="120"/>
      </w:pPr>
      <w:r>
        <w:rPr>
          <w:rStyle w:val="FootnoteReference"/>
        </w:rPr>
        <w:footnoteRef/>
      </w:r>
      <w:r>
        <w:t xml:space="preserve"> Staff Report at 19.</w:t>
      </w:r>
    </w:p>
  </w:footnote>
  <w:footnote w:id="16">
    <w:p w:rsidR="00052622" w:rsidP="005136BC" w14:paraId="559ABB49" w14:textId="6A8B200F">
      <w:pPr>
        <w:pStyle w:val="FootnoteText"/>
        <w:spacing w:after="120"/>
      </w:pPr>
      <w:r>
        <w:rPr>
          <w:rStyle w:val="FootnoteReference"/>
        </w:rPr>
        <w:footnoteRef/>
      </w:r>
      <w:r>
        <w:t xml:space="preserve"> Staff Report at 16.</w:t>
      </w:r>
    </w:p>
  </w:footnote>
  <w:footnote w:id="17">
    <w:p w:rsidR="00052622" w:rsidP="005136BC" w14:paraId="14966464" w14:textId="72098DDA">
      <w:pPr>
        <w:pStyle w:val="FootnoteText"/>
        <w:spacing w:after="120"/>
      </w:pPr>
      <w:r>
        <w:rPr>
          <w:rStyle w:val="FootnoteReference"/>
        </w:rPr>
        <w:footnoteRef/>
      </w:r>
      <w:r>
        <w:t xml:space="preserve"> Staff Report at 16.</w:t>
      </w:r>
    </w:p>
  </w:footnote>
  <w:footnote w:id="18">
    <w:p w:rsidR="00052622" w:rsidP="005136BC" w14:paraId="48B19E0A" w14:textId="3F1D0513">
      <w:pPr>
        <w:pStyle w:val="FootnoteText"/>
        <w:spacing w:after="120"/>
      </w:pPr>
      <w:r>
        <w:rPr>
          <w:rStyle w:val="FootnoteReference"/>
        </w:rPr>
        <w:footnoteRef/>
      </w:r>
      <w:r>
        <w:t xml:space="preserve"> Staff Report at 17.</w:t>
      </w:r>
    </w:p>
  </w:footnote>
  <w:footnote w:id="19">
    <w:p w:rsidR="00052622" w:rsidP="005136BC" w14:paraId="593AD122" w14:textId="18E1BDEC">
      <w:pPr>
        <w:pStyle w:val="FootnoteText"/>
        <w:spacing w:after="120"/>
      </w:pPr>
      <w:r>
        <w:rPr>
          <w:rStyle w:val="FootnoteReference"/>
        </w:rPr>
        <w:footnoteRef/>
      </w:r>
      <w:r>
        <w:t xml:space="preserve"> Staff Report at 15.</w:t>
      </w:r>
    </w:p>
  </w:footnote>
  <w:footnote w:id="20">
    <w:p w:rsidR="00052622" w:rsidP="005136BC" w14:paraId="53AE287B" w14:textId="3A146DD6">
      <w:pPr>
        <w:pStyle w:val="FootnoteText"/>
        <w:spacing w:after="120"/>
      </w:pPr>
      <w:r>
        <w:rPr>
          <w:rStyle w:val="FootnoteReference"/>
        </w:rPr>
        <w:footnoteRef/>
      </w:r>
      <w:r>
        <w:t xml:space="preserve"> Staff Report at 15.</w:t>
      </w:r>
    </w:p>
  </w:footnote>
  <w:footnote w:id="21">
    <w:p w:rsidR="00052622" w:rsidP="005136BC" w14:paraId="3D3C4338" w14:textId="3DAFCE4C">
      <w:pPr>
        <w:pStyle w:val="FootnoteText"/>
        <w:spacing w:after="120"/>
      </w:pPr>
      <w:r>
        <w:rPr>
          <w:rStyle w:val="FootnoteReference"/>
        </w:rPr>
        <w:footnoteRef/>
      </w:r>
      <w:r>
        <w:t xml:space="preserve"> Staff Report at 15.</w:t>
      </w:r>
    </w:p>
  </w:footnote>
  <w:footnote w:id="22">
    <w:p w:rsidR="00052622" w:rsidP="005136BC" w14:paraId="05042BEB" w14:textId="6C018363">
      <w:pPr>
        <w:pStyle w:val="FootnoteText"/>
        <w:spacing w:after="120"/>
      </w:pPr>
      <w:r>
        <w:rPr>
          <w:rStyle w:val="FootnoteReference"/>
        </w:rPr>
        <w:footnoteRef/>
      </w:r>
      <w:r>
        <w:t xml:space="preserve"> </w:t>
      </w:r>
      <w:r w:rsidRPr="00407124">
        <w:t>Staff Report at 21.</w:t>
      </w:r>
    </w:p>
  </w:footnote>
  <w:footnote w:id="23">
    <w:p w:rsidR="00052622" w:rsidRPr="00407124" w:rsidP="005136BC" w14:paraId="4ABA174B" w14:textId="40C4BE23">
      <w:pPr>
        <w:pStyle w:val="FootnoteText"/>
        <w:spacing w:after="120"/>
      </w:pPr>
      <w:r>
        <w:rPr>
          <w:rStyle w:val="FootnoteReference"/>
        </w:rPr>
        <w:footnoteRef/>
      </w:r>
      <w:r>
        <w:t xml:space="preserve"> </w:t>
      </w:r>
      <w:r w:rsidRPr="00407124">
        <w:t>Staff report at 21; Staff Schedule D-1.2</w:t>
      </w:r>
      <w:r>
        <w:t>.</w:t>
      </w:r>
    </w:p>
  </w:footnote>
  <w:footnote w:id="24">
    <w:p w:rsidR="00052622" w:rsidRPr="00407124" w:rsidP="005136BC" w14:paraId="4E237BED" w14:textId="5F09B8B9">
      <w:pPr>
        <w:pStyle w:val="FootnoteText"/>
        <w:spacing w:after="120"/>
      </w:pPr>
      <w:r>
        <w:rPr>
          <w:rStyle w:val="FootnoteReference"/>
        </w:rPr>
        <w:footnoteRef/>
      </w:r>
      <w:r>
        <w:t xml:space="preserve"> </w:t>
      </w:r>
      <w:r w:rsidRPr="00407124">
        <w:t>Staff report at 21; Staff Schedule D-1.2</w:t>
      </w:r>
      <w:r>
        <w:t>.</w:t>
      </w:r>
    </w:p>
  </w:footnote>
  <w:footnote w:id="25">
    <w:p w:rsidR="00052622" w:rsidRPr="00407124" w:rsidP="005136BC" w14:paraId="5B544AD1" w14:textId="13006FB2">
      <w:pPr>
        <w:pStyle w:val="FootnoteText"/>
        <w:spacing w:after="120"/>
      </w:pPr>
      <w:r w:rsidRPr="00407124">
        <w:rPr>
          <w:rStyle w:val="FootnoteReference"/>
        </w:rPr>
        <w:footnoteRef/>
      </w:r>
      <w:r w:rsidRPr="00407124">
        <w:t xml:space="preserve"> Staff report at 22; Staff Schedules D-1.4 – D-1.8</w:t>
      </w:r>
      <w:r>
        <w:t>.</w:t>
      </w:r>
    </w:p>
  </w:footnote>
  <w:footnote w:id="26">
    <w:p w:rsidR="00052622" w:rsidP="005136BC" w14:paraId="05C4CADC" w14:textId="564831C3">
      <w:pPr>
        <w:pStyle w:val="FootnoteText"/>
        <w:spacing w:after="120"/>
      </w:pPr>
      <w:r>
        <w:rPr>
          <w:rStyle w:val="FootnoteReference"/>
        </w:rPr>
        <w:footnoteRef/>
      </w:r>
      <w:r>
        <w:t xml:space="preserve"> </w:t>
      </w:r>
      <w:r w:rsidRPr="00407124">
        <w:t>Staff report at 22; Staff Schedules D-1.4 – D-1.9</w:t>
      </w:r>
      <w:r>
        <w:t>.</w:t>
      </w:r>
    </w:p>
  </w:footnote>
  <w:footnote w:id="27">
    <w:p w:rsidR="00052622" w:rsidP="005136BC" w14:paraId="0AE988A8" w14:textId="77777777">
      <w:pPr>
        <w:pStyle w:val="FootnoteText"/>
        <w:spacing w:after="120"/>
      </w:pPr>
      <w:r>
        <w:rPr>
          <w:rStyle w:val="FootnoteReference"/>
        </w:rPr>
        <w:footnoteRef/>
      </w:r>
      <w:r>
        <w:t xml:space="preserve"> </w:t>
      </w:r>
      <w:r w:rsidRPr="007030F3">
        <w:t>Staff report at 22; Staff Schedule D-1.1</w:t>
      </w:r>
      <w:r>
        <w:t>.</w:t>
      </w:r>
    </w:p>
  </w:footnote>
  <w:footnote w:id="28">
    <w:p w:rsidR="00052622" w:rsidP="005136BC" w14:paraId="7F606658" w14:textId="5EA10DB2">
      <w:pPr>
        <w:pStyle w:val="FootnoteText"/>
        <w:spacing w:after="120"/>
      </w:pPr>
      <w:r>
        <w:rPr>
          <w:rStyle w:val="FootnoteReference"/>
        </w:rPr>
        <w:footnoteRef/>
      </w:r>
      <w:r>
        <w:t xml:space="preserve"> Staff Report at 27, Table 2.</w:t>
      </w:r>
    </w:p>
  </w:footnote>
  <w:footnote w:id="29">
    <w:p w:rsidR="00052622" w:rsidRPr="00A2758F" w:rsidP="005136BC" w14:paraId="6FA5444E" w14:textId="76F839E6">
      <w:pPr>
        <w:pStyle w:val="FootnoteText"/>
        <w:spacing w:after="120"/>
      </w:pPr>
      <w:r w:rsidRPr="00A2758F">
        <w:rPr>
          <w:rStyle w:val="FootnoteReference"/>
        </w:rPr>
        <w:footnoteRef/>
      </w:r>
      <w:r w:rsidRPr="00A2758F">
        <w:t xml:space="preserve"> </w:t>
      </w:r>
      <w:r w:rsidRPr="00A2758F">
        <w:rPr>
          <w:i/>
          <w:iCs/>
        </w:rPr>
        <w:t>See</w:t>
      </w:r>
      <w:r w:rsidRPr="00A2758F">
        <w:t xml:space="preserve"> The Ohio Poverty Report, June 2020, Ohio Development Service Agency.</w:t>
      </w:r>
    </w:p>
  </w:footnote>
  <w:footnote w:id="30">
    <w:p w:rsidR="00052622" w:rsidRPr="00A2758F" w:rsidP="005136BC" w14:paraId="1302D23B" w14:textId="77777777">
      <w:pPr>
        <w:pStyle w:val="FootnoteText"/>
        <w:spacing w:after="120"/>
      </w:pPr>
      <w:r w:rsidRPr="00A2758F">
        <w:rPr>
          <w:rStyle w:val="FootnoteReference"/>
        </w:rPr>
        <w:footnoteRef/>
      </w:r>
      <w:r w:rsidRPr="00A2758F">
        <w:t xml:space="preserve"> </w:t>
      </w:r>
      <w:r w:rsidRPr="00A2758F">
        <w:rPr>
          <w:i/>
          <w:iCs/>
        </w:rPr>
        <w:t>See</w:t>
      </w:r>
      <w:r w:rsidRPr="00A2758F">
        <w:t xml:space="preserve"> </w:t>
      </w:r>
      <w:hyperlink r:id="rId1" w:history="1">
        <w:r w:rsidRPr="00A2758F">
          <w:rPr>
            <w:rStyle w:val="Hyperlink"/>
          </w:rPr>
          <w:t>https://map.feedingamerica.org/county/2019/overall/ohio/county/montgomery</w:t>
        </w:r>
      </w:hyperlink>
      <w:r w:rsidRPr="00A2758F">
        <w:t xml:space="preserve">. </w:t>
      </w:r>
    </w:p>
  </w:footnote>
  <w:footnote w:id="31">
    <w:p w:rsidR="00052622" w:rsidP="005136BC" w14:paraId="52934708" w14:textId="2E04AD7C">
      <w:pPr>
        <w:pStyle w:val="FootnoteText"/>
        <w:spacing w:after="120"/>
      </w:pPr>
      <w:r>
        <w:rPr>
          <w:rStyle w:val="FootnoteReference"/>
        </w:rPr>
        <w:footnoteRef/>
      </w:r>
      <w:r>
        <w:t xml:space="preserve"> Staff Report at 29.</w:t>
      </w:r>
    </w:p>
  </w:footnote>
  <w:footnote w:id="32">
    <w:p w:rsidR="00052622" w:rsidRPr="000F7811" w:rsidP="005136BC" w14:paraId="2AD9C0BC" w14:textId="77777777">
      <w:pPr>
        <w:pStyle w:val="FootnoteText"/>
        <w:spacing w:after="120"/>
      </w:pPr>
      <w:r>
        <w:rPr>
          <w:rStyle w:val="FootnoteReference"/>
        </w:rPr>
        <w:footnoteRef/>
      </w:r>
      <w:r>
        <w:t xml:space="preserve"> </w:t>
      </w:r>
      <w:r>
        <w:rPr>
          <w:i/>
          <w:iCs/>
        </w:rPr>
        <w:t>In re Application of Duke Energy Ohio, Inc. for Approval of an Alternative Form of Regulation</w:t>
      </w:r>
      <w:r>
        <w:t>, Case No. 19-791-GA-ALT, Opinion &amp; Order ¶ 82 (Apr. 21, 2021).</w:t>
      </w:r>
    </w:p>
  </w:footnote>
  <w:footnote w:id="33">
    <w:p w:rsidR="00052622" w:rsidP="005136BC" w14:paraId="52BE0427" w14:textId="4E7AEA5B">
      <w:pPr>
        <w:pStyle w:val="FootnoteText"/>
        <w:spacing w:after="120"/>
      </w:pPr>
      <w:r>
        <w:rPr>
          <w:rStyle w:val="FootnoteReference"/>
        </w:rPr>
        <w:footnoteRef/>
      </w:r>
      <w:r>
        <w:t xml:space="preserve"> Staff Report at 36-37.</w:t>
      </w:r>
    </w:p>
  </w:footnote>
  <w:footnote w:id="34">
    <w:p w:rsidR="00052622" w:rsidP="005136BC" w14:paraId="5C866AD3" w14:textId="001F67D3">
      <w:pPr>
        <w:pStyle w:val="FootnoteText"/>
        <w:spacing w:after="120"/>
      </w:pPr>
      <w:r>
        <w:rPr>
          <w:rStyle w:val="FootnoteReference"/>
        </w:rPr>
        <w:footnoteRef/>
      </w:r>
      <w:r>
        <w:t xml:space="preserve"> Staff Report at 37.</w:t>
      </w:r>
    </w:p>
  </w:footnote>
  <w:footnote w:id="35">
    <w:p w:rsidR="00052622" w:rsidP="005136BC" w14:paraId="1AE8726A" w14:textId="7A81FF92">
      <w:pPr>
        <w:pStyle w:val="FootnoteText"/>
        <w:spacing w:after="120"/>
      </w:pPr>
      <w:r>
        <w:rPr>
          <w:rStyle w:val="FootnoteReference"/>
        </w:rPr>
        <w:footnoteRef/>
      </w:r>
      <w:r>
        <w:t xml:space="preserve"> Electric PIPP Report December 2020 provided by DP&amp;L.</w:t>
      </w:r>
    </w:p>
  </w:footnote>
  <w:footnote w:id="36">
    <w:p w:rsidR="00052622" w:rsidP="005136BC" w14:paraId="6279FB7C" w14:textId="13A37E8E">
      <w:pPr>
        <w:pStyle w:val="FootnoteText"/>
        <w:spacing w:after="120"/>
      </w:pPr>
      <w:r>
        <w:rPr>
          <w:rStyle w:val="FootnoteReference"/>
        </w:rPr>
        <w:footnoteRef/>
      </w:r>
      <w:r>
        <w:t xml:space="preserve"> Electric PIPP Report June 2021 provided by DP&amp;L.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622" w14:paraId="13A612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622" w14:paraId="04E19A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C"/>
    <w:rsid w:val="00003256"/>
    <w:rsid w:val="00003B95"/>
    <w:rsid w:val="00007BE4"/>
    <w:rsid w:val="00023671"/>
    <w:rsid w:val="000258EB"/>
    <w:rsid w:val="000318A7"/>
    <w:rsid w:val="000520C5"/>
    <w:rsid w:val="00052622"/>
    <w:rsid w:val="00057450"/>
    <w:rsid w:val="000623A7"/>
    <w:rsid w:val="00091365"/>
    <w:rsid w:val="000A2CDF"/>
    <w:rsid w:val="000A777E"/>
    <w:rsid w:val="000B2FF8"/>
    <w:rsid w:val="000B3316"/>
    <w:rsid w:val="000B3D25"/>
    <w:rsid w:val="000C09F4"/>
    <w:rsid w:val="000D3CB7"/>
    <w:rsid w:val="000E2914"/>
    <w:rsid w:val="000E695A"/>
    <w:rsid w:val="000E6B41"/>
    <w:rsid w:val="000F7811"/>
    <w:rsid w:val="00110AAF"/>
    <w:rsid w:val="001277C8"/>
    <w:rsid w:val="00133AAC"/>
    <w:rsid w:val="00136282"/>
    <w:rsid w:val="00136CA4"/>
    <w:rsid w:val="00140ED7"/>
    <w:rsid w:val="001450FB"/>
    <w:rsid w:val="00166062"/>
    <w:rsid w:val="0019116F"/>
    <w:rsid w:val="001A5EB0"/>
    <w:rsid w:val="001B5732"/>
    <w:rsid w:val="001C45BB"/>
    <w:rsid w:val="001D563C"/>
    <w:rsid w:val="001E7860"/>
    <w:rsid w:val="00204608"/>
    <w:rsid w:val="002054C3"/>
    <w:rsid w:val="0020664D"/>
    <w:rsid w:val="002164CF"/>
    <w:rsid w:val="002300D1"/>
    <w:rsid w:val="00230839"/>
    <w:rsid w:val="002442EE"/>
    <w:rsid w:val="00255F3E"/>
    <w:rsid w:val="002562C4"/>
    <w:rsid w:val="00256AD3"/>
    <w:rsid w:val="00275E1D"/>
    <w:rsid w:val="00280058"/>
    <w:rsid w:val="002812E4"/>
    <w:rsid w:val="00296FC7"/>
    <w:rsid w:val="002A43E3"/>
    <w:rsid w:val="002B34D1"/>
    <w:rsid w:val="002B5102"/>
    <w:rsid w:val="002B54B9"/>
    <w:rsid w:val="002C05C4"/>
    <w:rsid w:val="002C16D1"/>
    <w:rsid w:val="002C25A2"/>
    <w:rsid w:val="002C6022"/>
    <w:rsid w:val="002D3B14"/>
    <w:rsid w:val="002D3C1F"/>
    <w:rsid w:val="002E0E4D"/>
    <w:rsid w:val="002E0F2F"/>
    <w:rsid w:val="002E4362"/>
    <w:rsid w:val="002F0CDB"/>
    <w:rsid w:val="002F7B6E"/>
    <w:rsid w:val="0030104A"/>
    <w:rsid w:val="00304692"/>
    <w:rsid w:val="00310E97"/>
    <w:rsid w:val="00326FA5"/>
    <w:rsid w:val="00335CAA"/>
    <w:rsid w:val="00343FB2"/>
    <w:rsid w:val="00347BCC"/>
    <w:rsid w:val="00351175"/>
    <w:rsid w:val="00360A7B"/>
    <w:rsid w:val="00367582"/>
    <w:rsid w:val="00372DFE"/>
    <w:rsid w:val="00383AE6"/>
    <w:rsid w:val="00390D6E"/>
    <w:rsid w:val="003916C0"/>
    <w:rsid w:val="003B4855"/>
    <w:rsid w:val="003C55EE"/>
    <w:rsid w:val="003D30A5"/>
    <w:rsid w:val="003D5071"/>
    <w:rsid w:val="003D6749"/>
    <w:rsid w:val="003E6FB0"/>
    <w:rsid w:val="003E7F86"/>
    <w:rsid w:val="003F1D60"/>
    <w:rsid w:val="003F3218"/>
    <w:rsid w:val="003F7B2A"/>
    <w:rsid w:val="004061A5"/>
    <w:rsid w:val="00406B3B"/>
    <w:rsid w:val="00407124"/>
    <w:rsid w:val="004076DC"/>
    <w:rsid w:val="004153E2"/>
    <w:rsid w:val="00420E83"/>
    <w:rsid w:val="00430F9F"/>
    <w:rsid w:val="00447673"/>
    <w:rsid w:val="004515C4"/>
    <w:rsid w:val="004515F8"/>
    <w:rsid w:val="0045467E"/>
    <w:rsid w:val="00460D90"/>
    <w:rsid w:val="00474101"/>
    <w:rsid w:val="004778AF"/>
    <w:rsid w:val="00481650"/>
    <w:rsid w:val="004A44C0"/>
    <w:rsid w:val="004A6906"/>
    <w:rsid w:val="004A6D4E"/>
    <w:rsid w:val="004B341B"/>
    <w:rsid w:val="004B41CD"/>
    <w:rsid w:val="004B4DFA"/>
    <w:rsid w:val="004D4C6D"/>
    <w:rsid w:val="004E3A86"/>
    <w:rsid w:val="004F0AD9"/>
    <w:rsid w:val="004F5BDC"/>
    <w:rsid w:val="005136BC"/>
    <w:rsid w:val="00517420"/>
    <w:rsid w:val="00524818"/>
    <w:rsid w:val="00533EDA"/>
    <w:rsid w:val="00563F69"/>
    <w:rsid w:val="00565FA7"/>
    <w:rsid w:val="00583506"/>
    <w:rsid w:val="00586E17"/>
    <w:rsid w:val="00592F22"/>
    <w:rsid w:val="005A1D88"/>
    <w:rsid w:val="005A2A37"/>
    <w:rsid w:val="005D455D"/>
    <w:rsid w:val="005E1A52"/>
    <w:rsid w:val="005E23DC"/>
    <w:rsid w:val="005F7834"/>
    <w:rsid w:val="006026F9"/>
    <w:rsid w:val="00613F7B"/>
    <w:rsid w:val="00617AD7"/>
    <w:rsid w:val="00621A3E"/>
    <w:rsid w:val="006237B2"/>
    <w:rsid w:val="006241BA"/>
    <w:rsid w:val="00632A00"/>
    <w:rsid w:val="00642606"/>
    <w:rsid w:val="0064343F"/>
    <w:rsid w:val="00652332"/>
    <w:rsid w:val="00661572"/>
    <w:rsid w:val="0067031E"/>
    <w:rsid w:val="00690416"/>
    <w:rsid w:val="00692EB0"/>
    <w:rsid w:val="0069402D"/>
    <w:rsid w:val="00697D2A"/>
    <w:rsid w:val="006A409E"/>
    <w:rsid w:val="006B45D4"/>
    <w:rsid w:val="006B664C"/>
    <w:rsid w:val="006C187E"/>
    <w:rsid w:val="006C2EF7"/>
    <w:rsid w:val="006C44A7"/>
    <w:rsid w:val="006D7569"/>
    <w:rsid w:val="006E1164"/>
    <w:rsid w:val="006E3F2E"/>
    <w:rsid w:val="007030F3"/>
    <w:rsid w:val="007203E4"/>
    <w:rsid w:val="007360B0"/>
    <w:rsid w:val="00742DDD"/>
    <w:rsid w:val="0074512F"/>
    <w:rsid w:val="00746281"/>
    <w:rsid w:val="0074700C"/>
    <w:rsid w:val="00754CAC"/>
    <w:rsid w:val="00760330"/>
    <w:rsid w:val="007644B2"/>
    <w:rsid w:val="00770F28"/>
    <w:rsid w:val="0077685C"/>
    <w:rsid w:val="007769C5"/>
    <w:rsid w:val="007A0AC4"/>
    <w:rsid w:val="007A7EAA"/>
    <w:rsid w:val="007B1259"/>
    <w:rsid w:val="007B68AD"/>
    <w:rsid w:val="007D7CBD"/>
    <w:rsid w:val="007F0AC4"/>
    <w:rsid w:val="007F72D1"/>
    <w:rsid w:val="0080038A"/>
    <w:rsid w:val="00811286"/>
    <w:rsid w:val="00812CF6"/>
    <w:rsid w:val="00814BD8"/>
    <w:rsid w:val="00817C4D"/>
    <w:rsid w:val="00821F0E"/>
    <w:rsid w:val="00824D53"/>
    <w:rsid w:val="00826A7D"/>
    <w:rsid w:val="0083461E"/>
    <w:rsid w:val="00836BDA"/>
    <w:rsid w:val="00837897"/>
    <w:rsid w:val="00841E5F"/>
    <w:rsid w:val="008426DF"/>
    <w:rsid w:val="00846631"/>
    <w:rsid w:val="008539FB"/>
    <w:rsid w:val="008576E5"/>
    <w:rsid w:val="0086360F"/>
    <w:rsid w:val="00877EB2"/>
    <w:rsid w:val="008832C7"/>
    <w:rsid w:val="00890AFE"/>
    <w:rsid w:val="00896B87"/>
    <w:rsid w:val="008A30A9"/>
    <w:rsid w:val="008B5757"/>
    <w:rsid w:val="008E0F6B"/>
    <w:rsid w:val="008E1FF3"/>
    <w:rsid w:val="008E2499"/>
    <w:rsid w:val="008E26A5"/>
    <w:rsid w:val="008E4E01"/>
    <w:rsid w:val="008F1B0B"/>
    <w:rsid w:val="009138DC"/>
    <w:rsid w:val="00916047"/>
    <w:rsid w:val="00916658"/>
    <w:rsid w:val="00920B1D"/>
    <w:rsid w:val="009272AF"/>
    <w:rsid w:val="009370C2"/>
    <w:rsid w:val="0094299B"/>
    <w:rsid w:val="00943C4B"/>
    <w:rsid w:val="009617A4"/>
    <w:rsid w:val="00962288"/>
    <w:rsid w:val="009649D5"/>
    <w:rsid w:val="0097621F"/>
    <w:rsid w:val="009910F8"/>
    <w:rsid w:val="00992B99"/>
    <w:rsid w:val="009A575C"/>
    <w:rsid w:val="009B042F"/>
    <w:rsid w:val="009B1DF3"/>
    <w:rsid w:val="009C67A0"/>
    <w:rsid w:val="009D37EA"/>
    <w:rsid w:val="009D6A15"/>
    <w:rsid w:val="009E06A5"/>
    <w:rsid w:val="009E1326"/>
    <w:rsid w:val="009F002B"/>
    <w:rsid w:val="009F684F"/>
    <w:rsid w:val="00A037BF"/>
    <w:rsid w:val="00A044B5"/>
    <w:rsid w:val="00A114F6"/>
    <w:rsid w:val="00A12CE6"/>
    <w:rsid w:val="00A130FC"/>
    <w:rsid w:val="00A134F7"/>
    <w:rsid w:val="00A2758F"/>
    <w:rsid w:val="00A342E4"/>
    <w:rsid w:val="00A415C0"/>
    <w:rsid w:val="00A457B3"/>
    <w:rsid w:val="00A54680"/>
    <w:rsid w:val="00A61AFF"/>
    <w:rsid w:val="00A64C70"/>
    <w:rsid w:val="00A65CBB"/>
    <w:rsid w:val="00A672FE"/>
    <w:rsid w:val="00A721DF"/>
    <w:rsid w:val="00A74379"/>
    <w:rsid w:val="00A754D5"/>
    <w:rsid w:val="00A91671"/>
    <w:rsid w:val="00A95A29"/>
    <w:rsid w:val="00AB22E0"/>
    <w:rsid w:val="00AC03B0"/>
    <w:rsid w:val="00AC37FB"/>
    <w:rsid w:val="00AD3727"/>
    <w:rsid w:val="00AD672D"/>
    <w:rsid w:val="00AE2025"/>
    <w:rsid w:val="00AE23C0"/>
    <w:rsid w:val="00AE4453"/>
    <w:rsid w:val="00B00277"/>
    <w:rsid w:val="00B05AE4"/>
    <w:rsid w:val="00B10041"/>
    <w:rsid w:val="00B21D29"/>
    <w:rsid w:val="00B35878"/>
    <w:rsid w:val="00B5658E"/>
    <w:rsid w:val="00B652E1"/>
    <w:rsid w:val="00B7455E"/>
    <w:rsid w:val="00B76BDE"/>
    <w:rsid w:val="00B76DE4"/>
    <w:rsid w:val="00B80284"/>
    <w:rsid w:val="00B827C6"/>
    <w:rsid w:val="00B84853"/>
    <w:rsid w:val="00B85D3A"/>
    <w:rsid w:val="00B907D9"/>
    <w:rsid w:val="00B9184D"/>
    <w:rsid w:val="00BA0756"/>
    <w:rsid w:val="00BA133C"/>
    <w:rsid w:val="00BA6EC6"/>
    <w:rsid w:val="00BB6930"/>
    <w:rsid w:val="00BC05C0"/>
    <w:rsid w:val="00BC170B"/>
    <w:rsid w:val="00BE37F0"/>
    <w:rsid w:val="00BF6CA2"/>
    <w:rsid w:val="00BF6EBE"/>
    <w:rsid w:val="00C0060E"/>
    <w:rsid w:val="00C06536"/>
    <w:rsid w:val="00C10810"/>
    <w:rsid w:val="00C410BE"/>
    <w:rsid w:val="00C52E44"/>
    <w:rsid w:val="00C621CA"/>
    <w:rsid w:val="00C6360D"/>
    <w:rsid w:val="00C65CC3"/>
    <w:rsid w:val="00C86B98"/>
    <w:rsid w:val="00C94476"/>
    <w:rsid w:val="00C95600"/>
    <w:rsid w:val="00CA15EC"/>
    <w:rsid w:val="00CA2995"/>
    <w:rsid w:val="00CB30E6"/>
    <w:rsid w:val="00CB5D16"/>
    <w:rsid w:val="00CB5DF8"/>
    <w:rsid w:val="00CC3123"/>
    <w:rsid w:val="00CD2819"/>
    <w:rsid w:val="00CE1197"/>
    <w:rsid w:val="00CF3990"/>
    <w:rsid w:val="00CF5A7A"/>
    <w:rsid w:val="00D00234"/>
    <w:rsid w:val="00D0665B"/>
    <w:rsid w:val="00D1700D"/>
    <w:rsid w:val="00D4185C"/>
    <w:rsid w:val="00D47ECF"/>
    <w:rsid w:val="00D53A2C"/>
    <w:rsid w:val="00D57937"/>
    <w:rsid w:val="00D6741A"/>
    <w:rsid w:val="00D74569"/>
    <w:rsid w:val="00D74612"/>
    <w:rsid w:val="00D7695E"/>
    <w:rsid w:val="00D84A2C"/>
    <w:rsid w:val="00D86902"/>
    <w:rsid w:val="00D875C7"/>
    <w:rsid w:val="00D879B3"/>
    <w:rsid w:val="00D961B0"/>
    <w:rsid w:val="00DB1C53"/>
    <w:rsid w:val="00DB273D"/>
    <w:rsid w:val="00DB2909"/>
    <w:rsid w:val="00DB5164"/>
    <w:rsid w:val="00DB6AED"/>
    <w:rsid w:val="00DB6F1A"/>
    <w:rsid w:val="00DB7D89"/>
    <w:rsid w:val="00DC61DF"/>
    <w:rsid w:val="00DE0FE3"/>
    <w:rsid w:val="00DF4A2A"/>
    <w:rsid w:val="00DF6691"/>
    <w:rsid w:val="00DF6B06"/>
    <w:rsid w:val="00E41E2A"/>
    <w:rsid w:val="00E42415"/>
    <w:rsid w:val="00E473A7"/>
    <w:rsid w:val="00E47A3D"/>
    <w:rsid w:val="00E51DCC"/>
    <w:rsid w:val="00E66BE9"/>
    <w:rsid w:val="00E705C3"/>
    <w:rsid w:val="00E86376"/>
    <w:rsid w:val="00E90A07"/>
    <w:rsid w:val="00E91397"/>
    <w:rsid w:val="00E93580"/>
    <w:rsid w:val="00E951E7"/>
    <w:rsid w:val="00E951E8"/>
    <w:rsid w:val="00EB4020"/>
    <w:rsid w:val="00EC69C0"/>
    <w:rsid w:val="00EC7E9F"/>
    <w:rsid w:val="00ED2B82"/>
    <w:rsid w:val="00EE75BA"/>
    <w:rsid w:val="00EF4034"/>
    <w:rsid w:val="00EF4251"/>
    <w:rsid w:val="00F04CD4"/>
    <w:rsid w:val="00F050BC"/>
    <w:rsid w:val="00F23AD2"/>
    <w:rsid w:val="00F32FD5"/>
    <w:rsid w:val="00F40885"/>
    <w:rsid w:val="00F5628F"/>
    <w:rsid w:val="00F606A7"/>
    <w:rsid w:val="00F72206"/>
    <w:rsid w:val="00F77750"/>
    <w:rsid w:val="00F87C07"/>
    <w:rsid w:val="00F9004B"/>
    <w:rsid w:val="00F95D3C"/>
    <w:rsid w:val="00FA1CDD"/>
    <w:rsid w:val="00FA280C"/>
    <w:rsid w:val="00FB00E6"/>
    <w:rsid w:val="00FC0F0B"/>
    <w:rsid w:val="00FC3E6A"/>
    <w:rsid w:val="00FC622B"/>
    <w:rsid w:val="00FD0673"/>
    <w:rsid w:val="00FE1700"/>
    <w:rsid w:val="00FE7C4E"/>
    <w:rsid w:val="00FE7F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spacing w:after="240"/>
      <w:ind w:left="720" w:hanging="720"/>
      <w:outlineLvl w:val="0"/>
    </w:pPr>
    <w:rPr>
      <w:b/>
      <w:szCs w:val="24"/>
    </w:rPr>
  </w:style>
  <w:style w:type="paragraph" w:styleId="Heading2">
    <w:name w:val="heading 2"/>
    <w:basedOn w:val="Normal"/>
    <w:next w:val="Normal"/>
    <w:qFormat/>
    <w:rsid w:val="009E06A5"/>
    <w:pPr>
      <w:keepNext/>
      <w:tabs>
        <w:tab w:val="left" w:pos="4320"/>
      </w:tabs>
      <w:spacing w:after="240"/>
      <w:ind w:left="1440" w:hanging="720"/>
      <w:outlineLvl w:val="1"/>
    </w:pPr>
    <w:rPr>
      <w:b/>
    </w:rPr>
  </w:style>
  <w:style w:type="paragraph" w:styleId="Heading3">
    <w:name w:val="heading 3"/>
    <w:basedOn w:val="Normal"/>
    <w:next w:val="Normal"/>
    <w:autoRedefine/>
    <w:qFormat/>
    <w:rsid w:val="009B1DF3"/>
    <w:pPr>
      <w:keepLines/>
      <w:spacing w:after="240"/>
      <w:ind w:left="14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rsid w:val="009138DC"/>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uiPriority w:val="59"/>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DB1C53"/>
    <w:pPr>
      <w:tabs>
        <w:tab w:val="decimal" w:leader="dot" w:pos="9360"/>
      </w:tabs>
      <w:spacing w:after="240"/>
      <w:ind w:left="720" w:hanging="720"/>
    </w:pPr>
  </w:style>
  <w:style w:type="paragraph" w:styleId="TOC2">
    <w:name w:val="toc 2"/>
    <w:basedOn w:val="Normal"/>
    <w:next w:val="Normal"/>
    <w:autoRedefine/>
    <w:uiPriority w:val="39"/>
    <w:unhideWhenUsed/>
    <w:rsid w:val="00DB1C53"/>
    <w:pPr>
      <w:tabs>
        <w:tab w:val="left" w:pos="2126"/>
        <w:tab w:val="decimal" w:leader="dot" w:pos="9360"/>
      </w:tabs>
      <w:spacing w:after="240"/>
      <w:ind w:left="1440" w:hanging="720"/>
    </w:pPr>
  </w:style>
  <w:style w:type="character" w:customStyle="1" w:styleId="markedcontent">
    <w:name w:val="markedcontent"/>
    <w:basedOn w:val="DefaultParagraphFont"/>
    <w:rsid w:val="00B76BDE"/>
  </w:style>
  <w:style w:type="paragraph" w:styleId="TOC3">
    <w:name w:val="toc 3"/>
    <w:basedOn w:val="Normal"/>
    <w:next w:val="Normal"/>
    <w:autoRedefine/>
    <w:uiPriority w:val="39"/>
    <w:unhideWhenUsed/>
    <w:qFormat/>
    <w:rsid w:val="00ED2B82"/>
    <w:pPr>
      <w:tabs>
        <w:tab w:val="decimal" w:leader="dot" w:pos="9360"/>
      </w:tabs>
      <w:spacing w:after="240"/>
      <w:ind w:left="1440"/>
      <w:outlineLvl w:val="2"/>
    </w:pPr>
  </w:style>
  <w:style w:type="character" w:customStyle="1" w:styleId="CommentTextChar">
    <w:name w:val="Comment Text Char"/>
    <w:basedOn w:val="DefaultParagraphFont"/>
    <w:link w:val="CommentText"/>
    <w:rsid w:val="005A1D88"/>
    <w:rPr>
      <w:sz w:val="24"/>
      <w:szCs w:val="24"/>
    </w:rPr>
  </w:style>
  <w:style w:type="character" w:customStyle="1" w:styleId="UnresolvedMention">
    <w:name w:val="Unresolved Mention"/>
    <w:basedOn w:val="DefaultParagraphFont"/>
    <w:rsid w:val="00B8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jodi.bair@ohioAGO.gov" TargetMode="External" /><Relationship Id="rId12" Type="http://schemas.openxmlformats.org/officeDocument/2006/relationships/hyperlink" Target="mailto:kyle.kern@ohioAGO.gov" TargetMode="External" /><Relationship Id="rId13" Type="http://schemas.openxmlformats.org/officeDocument/2006/relationships/hyperlink" Target="mailto:chelsea.fletcher@ohioAGO.gov" TargetMode="External" /><Relationship Id="rId14" Type="http://schemas.openxmlformats.org/officeDocument/2006/relationships/hyperlink" Target="mailto:bmckenney@mcneeslaw.com" TargetMode="External" /><Relationship Id="rId15" Type="http://schemas.openxmlformats.org/officeDocument/2006/relationships/hyperlink" Target="mailto:mjsettineri@vorys.com" TargetMode="External" /><Relationship Id="rId16" Type="http://schemas.openxmlformats.org/officeDocument/2006/relationships/hyperlink" Target="mailto:glpetrucci@vorys.com" TargetMode="External" /><Relationship Id="rId17" Type="http://schemas.openxmlformats.org/officeDocument/2006/relationships/hyperlink" Target="mailto:dromig@armadapower.com" TargetMode="External" /><Relationship Id="rId18" Type="http://schemas.openxmlformats.org/officeDocument/2006/relationships/hyperlink" Target="mailto:dparram@bricker.com" TargetMode="External" /><Relationship Id="rId19" Type="http://schemas.openxmlformats.org/officeDocument/2006/relationships/hyperlink" Target="mailto:rmains@bricker.com" TargetMode="External" /><Relationship Id="rId2" Type="http://schemas.openxmlformats.org/officeDocument/2006/relationships/settings" Target="settings.xml" /><Relationship Id="rId20" Type="http://schemas.openxmlformats.org/officeDocument/2006/relationships/hyperlink" Target="mailto:ccox@elpc.org" TargetMode="External" /><Relationship Id="rId21" Type="http://schemas.openxmlformats.org/officeDocument/2006/relationships/hyperlink" Target="mailto:khernstein@bricker.com" TargetMode="External" /><Relationship Id="rId22" Type="http://schemas.openxmlformats.org/officeDocument/2006/relationships/hyperlink" Target="mailto:mwarnock@bricker.com" TargetMode="External" /><Relationship Id="rId23" Type="http://schemas.openxmlformats.org/officeDocument/2006/relationships/hyperlink" Target="mailto:little@litohio.com" TargetMode="External" /><Relationship Id="rId24" Type="http://schemas.openxmlformats.org/officeDocument/2006/relationships/hyperlink" Target="mailto:hogan@litohio.com" TargetMode="External" /><Relationship Id="rId25" Type="http://schemas.openxmlformats.org/officeDocument/2006/relationships/hyperlink" Target="mailto:ktreadway@oneenergyllc.com" TargetMode="External" /><Relationship Id="rId26" Type="http://schemas.openxmlformats.org/officeDocument/2006/relationships/hyperlink" Target="mailto:jdunn@oneenergyllc.com" TargetMode="External" /><Relationship Id="rId27" Type="http://schemas.openxmlformats.org/officeDocument/2006/relationships/hyperlink" Target="mailto:whitt@whitt-sturtevant.com" TargetMode="External" /><Relationship Id="rId28" Type="http://schemas.openxmlformats.org/officeDocument/2006/relationships/hyperlink" Target="mailto:fykes@whitt-sturtevant.com" TargetMode="External" /><Relationship Id="rId29" Type="http://schemas.openxmlformats.org/officeDocument/2006/relationships/hyperlink" Target="mailto:rhartley@fbtlaw.com" TargetMode="External" /><Relationship Id="rId3" Type="http://schemas.openxmlformats.org/officeDocument/2006/relationships/webSettings" Target="webSettings.xml" /><Relationship Id="rId30" Type="http://schemas.openxmlformats.org/officeDocument/2006/relationships/hyperlink" Target="mailto:cwieg@fbtlaw.com" TargetMode="External" /><Relationship Id="rId31" Type="http://schemas.openxmlformats.org/officeDocument/2006/relationships/hyperlink" Target="mailto:talexander@beneschlaw.com" TargetMode="External" /><Relationship Id="rId32" Type="http://schemas.openxmlformats.org/officeDocument/2006/relationships/hyperlink" Target="mailto:khehmeyer@beneschlaw.com" TargetMode="External" /><Relationship Id="rId33" Type="http://schemas.openxmlformats.org/officeDocument/2006/relationships/hyperlink" Target="mailto:ssiewe@beneschlaw.com" TargetMode="External" /><Relationship Id="rId34" Type="http://schemas.openxmlformats.org/officeDocument/2006/relationships/hyperlink" Target="mailto:patricia.schabo@puco.ohio.gov" TargetMode="External" /><Relationship Id="rId35" Type="http://schemas.openxmlformats.org/officeDocument/2006/relationships/hyperlink" Target="mailto:bojko@carpenterlipps.com" TargetMode="External" /><Relationship Id="rId36" Type="http://schemas.openxmlformats.org/officeDocument/2006/relationships/hyperlink" Target="mailto:paul@carpenterlipps.com" TargetMode="External" /><Relationship Id="rId37" Type="http://schemas.openxmlformats.org/officeDocument/2006/relationships/hyperlink" Target="mailto:michael.schuler@aes.com" TargetMode="External" /><Relationship Id="rId38" Type="http://schemas.openxmlformats.org/officeDocument/2006/relationships/hyperlink" Target="mailto:jkylercohn@BKLlawfirm.com" TargetMode="External" /><Relationship Id="rId39" Type="http://schemas.openxmlformats.org/officeDocument/2006/relationships/hyperlink" Target="mailto:bethany.allen@igs.com" TargetMode="External" /><Relationship Id="rId4" Type="http://schemas.openxmlformats.org/officeDocument/2006/relationships/fontTable" Target="fontTable.xml" /><Relationship Id="rId40" Type="http://schemas.openxmlformats.org/officeDocument/2006/relationships/hyperlink" Target="mailto:Joe.oliker@igs.com" TargetMode="External" /><Relationship Id="rId41" Type="http://schemas.openxmlformats.org/officeDocument/2006/relationships/hyperlink" Target="mailto:Michael.nugent@igs.com" TargetMode="External" /><Relationship Id="rId42" Type="http://schemas.openxmlformats.org/officeDocument/2006/relationships/hyperlink" Target="mailto:Evan.betterton@igs.com" TargetMode="External" /><Relationship Id="rId43" Type="http://schemas.openxmlformats.org/officeDocument/2006/relationships/hyperlink" Target="mailto:Stephanie.chmiel@thompsonhine.com" TargetMode="External" /><Relationship Id="rId44" Type="http://schemas.openxmlformats.org/officeDocument/2006/relationships/hyperlink" Target="mailto:Kevin.oles@thompsonhine.com" TargetMode="External" /><Relationship Id="rId45" Type="http://schemas.openxmlformats.org/officeDocument/2006/relationships/hyperlink" Target="mailto:Fdarr2019@gmail.com" TargetMode="External" /><Relationship Id="rId46" Type="http://schemas.openxmlformats.org/officeDocument/2006/relationships/hyperlink" Target="mailto:rdove@keglerbrown.com" TargetMode="External" /><Relationship Id="rId47" Type="http://schemas.openxmlformats.org/officeDocument/2006/relationships/hyperlink" Target="mailto:cgrundmann@spilmanlaw.com" TargetMode="External" /><Relationship Id="rId48" Type="http://schemas.openxmlformats.org/officeDocument/2006/relationships/hyperlink" Target="mailto:dwilliamson@spilmanlaw.com" TargetMode="External" /><Relationship Id="rId49" Type="http://schemas.openxmlformats.org/officeDocument/2006/relationships/hyperlink" Target="mailto:mpritchard@mcneeslaw.com" TargetMode="External" /><Relationship Id="rId5" Type="http://schemas.openxmlformats.org/officeDocument/2006/relationships/customXml" Target="../customXml/item1.xml" /><Relationship Id="rId50" Type="http://schemas.openxmlformats.org/officeDocument/2006/relationships/hyperlink" Target="mailto:rglover@mcneeslaw.com" TargetMode="External" /><Relationship Id="rId51" Type="http://schemas.openxmlformats.org/officeDocument/2006/relationships/hyperlink" Target="mailto:mleppla@theOEC.org" TargetMode="External" /><Relationship Id="rId52" Type="http://schemas.openxmlformats.org/officeDocument/2006/relationships/hyperlink" Target="mailto:tdougherty@theOEC.org" TargetMode="External" /><Relationship Id="rId53" Type="http://schemas.openxmlformats.org/officeDocument/2006/relationships/hyperlink" Target="mailto:ctavenor@theOEC.org" TargetMode="External" /><Relationship Id="rId54" Type="http://schemas.openxmlformats.org/officeDocument/2006/relationships/header" Target="header1.xml" /><Relationship Id="rId55" Type="http://schemas.openxmlformats.org/officeDocument/2006/relationships/header" Target="header2.xml" /><Relationship Id="rId56" Type="http://schemas.openxmlformats.org/officeDocument/2006/relationships/footer" Target="footer3.xml" /><Relationship Id="rId57" Type="http://schemas.openxmlformats.org/officeDocument/2006/relationships/theme" Target="theme/theme1.xml" /><Relationship Id="rId58" Type="http://schemas.openxmlformats.org/officeDocument/2006/relationships/numbering" Target="numbering.xml" /><Relationship Id="rId59" Type="http://schemas.openxmlformats.org/officeDocument/2006/relationships/styles" Target="styles.xml" /><Relationship Id="rId6" Type="http://schemas.openxmlformats.org/officeDocument/2006/relationships/hyperlink" Target="mailto:christopher.healey@occ.ohio.gov" TargetMode="External" /><Relationship Id="rId7" Type="http://schemas.openxmlformats.org/officeDocument/2006/relationships/hyperlink" Target="mailto:ambrosia.wilson@occ.ohio.gov" TargetMode="External" /><Relationship Id="rId8" Type="http://schemas.openxmlformats.org/officeDocument/2006/relationships/hyperlink" Target="mailto:john.finnigan@occ.ohio.gov" TargetMode="Externa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map.feedingamerica.org/county/2019/overall/ohio/county/montgomery" TargetMode="External" /><Relationship Id="rId2" Type="http://schemas.openxmlformats.org/officeDocument/2006/relationships/hyperlink" Target="https://map.feedingamerica.org/county/2019/child/ohio/county/montgomery" TargetMode="External" /><Relationship Id="rId3" Type="http://schemas.openxmlformats.org/officeDocument/2006/relationships/hyperlink" Target="https://www.daytondailynews.com/local/dayton-region-unemployment-rate-worse-than-state-and-us-rate/ID4TGGGJYVCETH3XRGFCQC5BUQ/" TargetMode="External" /><Relationship Id="rId4" Type="http://schemas.openxmlformats.org/officeDocument/2006/relationships/hyperlink" Target="https://www.wdtn.com/news/local-news/ohio-sees-highest-covid-19-cases-in-over-6-month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750D0-8694-4B73-829D-E2579D3A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5557</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2021-08-25T14:01:20Z</dcterms:created>
  <dcterms:modified xsi:type="dcterms:W3CDTF">2021-08-25T14:01:20Z</dcterms:modified>
</cp:coreProperties>
</file>