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6A" w:rsidRPr="00F55BB9" w:rsidRDefault="00663D6A" w:rsidP="00663D6A">
      <w:pPr>
        <w:jc w:val="center"/>
        <w:rPr>
          <w:b/>
          <w:sz w:val="26"/>
          <w:szCs w:val="26"/>
        </w:rPr>
      </w:pPr>
      <w:bookmarkStart w:id="0" w:name="_GoBack"/>
      <w:bookmarkEnd w:id="0"/>
      <w:r w:rsidRPr="00F55BB9">
        <w:rPr>
          <w:b/>
          <w:sz w:val="26"/>
          <w:szCs w:val="26"/>
        </w:rPr>
        <w:t>BEFORE</w:t>
      </w:r>
    </w:p>
    <w:p w:rsidR="00663D6A" w:rsidRPr="00F55BB9" w:rsidRDefault="00663D6A" w:rsidP="00663D6A">
      <w:pPr>
        <w:jc w:val="center"/>
        <w:rPr>
          <w:b/>
          <w:sz w:val="26"/>
          <w:szCs w:val="26"/>
        </w:rPr>
      </w:pPr>
      <w:r w:rsidRPr="00F55BB9">
        <w:rPr>
          <w:b/>
          <w:sz w:val="26"/>
          <w:szCs w:val="26"/>
        </w:rPr>
        <w:t>THE PUBLIC UTILITIES COMMISSION OF OHIO</w:t>
      </w:r>
    </w:p>
    <w:p w:rsidR="00663D6A" w:rsidRPr="00F55BB9" w:rsidRDefault="00663D6A" w:rsidP="00663D6A">
      <w:pPr>
        <w:pStyle w:val="Title"/>
        <w:tabs>
          <w:tab w:val="left" w:pos="5130"/>
          <w:tab w:val="left" w:pos="5670"/>
        </w:tabs>
        <w:rPr>
          <w:rFonts w:ascii="Times New Roman" w:hAnsi="Times New Roman"/>
          <w:sz w:val="26"/>
          <w:szCs w:val="26"/>
        </w:rPr>
      </w:pPr>
    </w:p>
    <w:tbl>
      <w:tblPr>
        <w:tblW w:w="0" w:type="auto"/>
        <w:tblLook w:val="01E0" w:firstRow="1" w:lastRow="1" w:firstColumn="1" w:lastColumn="1" w:noHBand="0" w:noVBand="0"/>
      </w:tblPr>
      <w:tblGrid>
        <w:gridCol w:w="4608"/>
        <w:gridCol w:w="360"/>
        <w:gridCol w:w="3708"/>
      </w:tblGrid>
      <w:tr w:rsidR="00303F08" w:rsidRPr="00F55BB9" w:rsidTr="00AF04C8">
        <w:trPr>
          <w:trHeight w:val="1863"/>
        </w:trPr>
        <w:tc>
          <w:tcPr>
            <w:tcW w:w="4608" w:type="dxa"/>
            <w:shd w:val="clear" w:color="auto" w:fill="auto"/>
          </w:tcPr>
          <w:p w:rsidR="00303F08" w:rsidRPr="00F55BB9" w:rsidRDefault="00303F08" w:rsidP="00B70887">
            <w:pPr>
              <w:rPr>
                <w:color w:val="000000"/>
                <w:sz w:val="26"/>
                <w:szCs w:val="26"/>
              </w:rPr>
            </w:pPr>
            <w:r w:rsidRPr="00F55BB9">
              <w:rPr>
                <w:color w:val="000000"/>
                <w:sz w:val="26"/>
                <w:szCs w:val="26"/>
              </w:rPr>
              <w:t xml:space="preserve">In the Matter of the Application of </w:t>
            </w:r>
            <w:r w:rsidRPr="00F55BB9">
              <w:rPr>
                <w:b/>
                <w:color w:val="000000"/>
                <w:sz w:val="26"/>
                <w:szCs w:val="26"/>
              </w:rPr>
              <w:t>The Dayton Power and Light Company</w:t>
            </w:r>
            <w:r w:rsidRPr="00F55BB9">
              <w:rPr>
                <w:color w:val="000000"/>
                <w:sz w:val="26"/>
                <w:szCs w:val="26"/>
              </w:rPr>
              <w:t xml:space="preserve"> for Approval of its Electric Security Plan.</w:t>
            </w:r>
          </w:p>
          <w:p w:rsidR="00303F08" w:rsidRPr="00F55BB9" w:rsidRDefault="00303F08" w:rsidP="00B70887">
            <w:pPr>
              <w:rPr>
                <w:color w:val="000000"/>
                <w:sz w:val="26"/>
                <w:szCs w:val="26"/>
              </w:rPr>
            </w:pPr>
          </w:p>
          <w:p w:rsidR="00303F08" w:rsidRPr="00F55BB9" w:rsidRDefault="00303F08" w:rsidP="00B70887">
            <w:pPr>
              <w:rPr>
                <w:color w:val="000000"/>
                <w:sz w:val="26"/>
                <w:szCs w:val="26"/>
              </w:rPr>
            </w:pPr>
            <w:r w:rsidRPr="00F55BB9">
              <w:rPr>
                <w:color w:val="000000"/>
                <w:sz w:val="26"/>
                <w:szCs w:val="26"/>
              </w:rPr>
              <w:t xml:space="preserve">In the Matter of the Application of </w:t>
            </w:r>
            <w:r w:rsidRPr="00F55BB9">
              <w:rPr>
                <w:b/>
                <w:color w:val="000000"/>
                <w:sz w:val="26"/>
                <w:szCs w:val="26"/>
              </w:rPr>
              <w:t>The Dayton Power and Light Company</w:t>
            </w:r>
            <w:r w:rsidRPr="00F55BB9">
              <w:rPr>
                <w:color w:val="000000"/>
                <w:sz w:val="26"/>
                <w:szCs w:val="26"/>
              </w:rPr>
              <w:t xml:space="preserve"> for Approval of Revised Tariffs.</w:t>
            </w:r>
          </w:p>
          <w:p w:rsidR="00303F08" w:rsidRPr="00F55BB9" w:rsidRDefault="00303F08" w:rsidP="00B70887">
            <w:pPr>
              <w:rPr>
                <w:color w:val="000000"/>
                <w:sz w:val="26"/>
                <w:szCs w:val="26"/>
              </w:rPr>
            </w:pPr>
          </w:p>
          <w:p w:rsidR="00303F08" w:rsidRPr="00F55BB9" w:rsidRDefault="00303F08" w:rsidP="00B70887">
            <w:pPr>
              <w:rPr>
                <w:color w:val="000000"/>
                <w:sz w:val="26"/>
                <w:szCs w:val="26"/>
              </w:rPr>
            </w:pPr>
            <w:r w:rsidRPr="00F55BB9">
              <w:rPr>
                <w:color w:val="000000"/>
                <w:sz w:val="26"/>
                <w:szCs w:val="26"/>
              </w:rPr>
              <w:t xml:space="preserve">In the Matter of the Application of </w:t>
            </w:r>
            <w:r w:rsidRPr="00F55BB9">
              <w:rPr>
                <w:b/>
                <w:color w:val="000000"/>
                <w:sz w:val="26"/>
                <w:szCs w:val="26"/>
              </w:rPr>
              <w:t>The Dayton Power and Light Company</w:t>
            </w:r>
            <w:r w:rsidRPr="00F55BB9">
              <w:rPr>
                <w:color w:val="000000"/>
                <w:sz w:val="26"/>
                <w:szCs w:val="26"/>
              </w:rPr>
              <w:t xml:space="preserve"> for Approval of Certain Accounting Authority.</w:t>
            </w:r>
          </w:p>
          <w:p w:rsidR="00303F08" w:rsidRPr="00F55BB9" w:rsidRDefault="00303F08" w:rsidP="00B70887">
            <w:pPr>
              <w:rPr>
                <w:color w:val="000000"/>
                <w:sz w:val="26"/>
                <w:szCs w:val="26"/>
              </w:rPr>
            </w:pPr>
          </w:p>
          <w:p w:rsidR="00303F08" w:rsidRPr="00F55BB9" w:rsidRDefault="00303F08" w:rsidP="00B70887">
            <w:pPr>
              <w:rPr>
                <w:color w:val="000000"/>
                <w:sz w:val="26"/>
                <w:szCs w:val="26"/>
              </w:rPr>
            </w:pPr>
            <w:r w:rsidRPr="00F55BB9">
              <w:rPr>
                <w:color w:val="000000"/>
                <w:sz w:val="26"/>
                <w:szCs w:val="26"/>
              </w:rPr>
              <w:t xml:space="preserve">In the Matter of the Application of </w:t>
            </w:r>
            <w:r w:rsidRPr="00F55BB9">
              <w:rPr>
                <w:b/>
                <w:color w:val="000000"/>
                <w:sz w:val="26"/>
                <w:szCs w:val="26"/>
              </w:rPr>
              <w:t>The Dayton Power and Light Company</w:t>
            </w:r>
            <w:r w:rsidRPr="00F55BB9">
              <w:rPr>
                <w:color w:val="000000"/>
                <w:sz w:val="26"/>
                <w:szCs w:val="26"/>
              </w:rPr>
              <w:t xml:space="preserve"> for the Waiver of Certain Commission Rules.</w:t>
            </w:r>
          </w:p>
          <w:p w:rsidR="00303F08" w:rsidRPr="00F55BB9" w:rsidRDefault="00303F08" w:rsidP="00B70887">
            <w:pPr>
              <w:rPr>
                <w:color w:val="000000"/>
                <w:sz w:val="26"/>
                <w:szCs w:val="26"/>
              </w:rPr>
            </w:pPr>
          </w:p>
          <w:p w:rsidR="00303F08" w:rsidRPr="00F55BB9" w:rsidRDefault="00303F08" w:rsidP="00B70887">
            <w:pPr>
              <w:rPr>
                <w:sz w:val="26"/>
                <w:szCs w:val="26"/>
              </w:rPr>
            </w:pPr>
            <w:r w:rsidRPr="00F55BB9">
              <w:rPr>
                <w:color w:val="000000"/>
                <w:sz w:val="26"/>
                <w:szCs w:val="26"/>
              </w:rPr>
              <w:t xml:space="preserve">In the Matter of the Application of </w:t>
            </w:r>
            <w:r w:rsidRPr="00F55BB9">
              <w:rPr>
                <w:b/>
                <w:color w:val="000000"/>
                <w:sz w:val="26"/>
                <w:szCs w:val="26"/>
              </w:rPr>
              <w:t>The Dayton Power and Light Company</w:t>
            </w:r>
            <w:r w:rsidRPr="00F55BB9">
              <w:rPr>
                <w:color w:val="000000"/>
                <w:sz w:val="26"/>
                <w:szCs w:val="26"/>
              </w:rPr>
              <w:t xml:space="preserve"> to Establish Tariff Riders.</w:t>
            </w:r>
          </w:p>
        </w:tc>
        <w:tc>
          <w:tcPr>
            <w:tcW w:w="360" w:type="dxa"/>
            <w:shd w:val="clear" w:color="auto" w:fill="auto"/>
          </w:tcPr>
          <w:p w:rsidR="00303F08" w:rsidRPr="00F55BB9" w:rsidRDefault="00303F08" w:rsidP="00B70887">
            <w:pPr>
              <w:rPr>
                <w:sz w:val="26"/>
                <w:szCs w:val="26"/>
              </w:rPr>
            </w:pPr>
            <w:r w:rsidRPr="00F55BB9">
              <w:rPr>
                <w:sz w:val="26"/>
                <w:szCs w:val="26"/>
              </w:rPr>
              <w:t>:</w:t>
            </w:r>
          </w:p>
          <w:p w:rsidR="00303F08" w:rsidRPr="00F55BB9" w:rsidRDefault="00303F08" w:rsidP="00B70887">
            <w:pPr>
              <w:rPr>
                <w:sz w:val="26"/>
                <w:szCs w:val="26"/>
              </w:rPr>
            </w:pPr>
            <w:r w:rsidRPr="00F55BB9">
              <w:rPr>
                <w:sz w:val="26"/>
                <w:szCs w:val="26"/>
              </w:rPr>
              <w:t>:</w:t>
            </w:r>
          </w:p>
          <w:p w:rsidR="00303F08" w:rsidRPr="00F55BB9" w:rsidRDefault="00303F08" w:rsidP="00B70887">
            <w:pPr>
              <w:rPr>
                <w:sz w:val="26"/>
                <w:szCs w:val="26"/>
              </w:rPr>
            </w:pPr>
            <w:r w:rsidRPr="00F55BB9">
              <w:rPr>
                <w:sz w:val="26"/>
                <w:szCs w:val="26"/>
              </w:rPr>
              <w:t>:</w:t>
            </w:r>
          </w:p>
          <w:p w:rsidR="00303F08" w:rsidRPr="00F55BB9" w:rsidRDefault="00303F08" w:rsidP="00B70887">
            <w:pPr>
              <w:rPr>
                <w:sz w:val="26"/>
                <w:szCs w:val="26"/>
              </w:rPr>
            </w:pPr>
          </w:p>
          <w:p w:rsidR="00303F08" w:rsidRPr="00F55BB9" w:rsidRDefault="00303F08" w:rsidP="00B70887">
            <w:pPr>
              <w:rPr>
                <w:sz w:val="26"/>
                <w:szCs w:val="26"/>
              </w:rPr>
            </w:pPr>
            <w:r w:rsidRPr="00F55BB9">
              <w:rPr>
                <w:sz w:val="26"/>
                <w:szCs w:val="26"/>
              </w:rPr>
              <w:t>:</w:t>
            </w:r>
            <w:r w:rsidRPr="00F55BB9">
              <w:rPr>
                <w:sz w:val="26"/>
                <w:szCs w:val="26"/>
              </w:rPr>
              <w:br/>
              <w:t>:</w:t>
            </w:r>
          </w:p>
          <w:p w:rsidR="00303F08" w:rsidRPr="00F55BB9" w:rsidRDefault="00303F08" w:rsidP="00B70887">
            <w:pPr>
              <w:rPr>
                <w:sz w:val="26"/>
                <w:szCs w:val="26"/>
              </w:rPr>
            </w:pPr>
            <w:r w:rsidRPr="00F55BB9">
              <w:rPr>
                <w:sz w:val="26"/>
                <w:szCs w:val="26"/>
              </w:rPr>
              <w:t>:</w:t>
            </w:r>
          </w:p>
          <w:p w:rsidR="00303F08" w:rsidRPr="00F55BB9" w:rsidRDefault="00303F08" w:rsidP="00B70887">
            <w:pPr>
              <w:rPr>
                <w:sz w:val="26"/>
                <w:szCs w:val="26"/>
              </w:rPr>
            </w:pPr>
          </w:p>
          <w:p w:rsidR="00303F08" w:rsidRPr="00F55BB9" w:rsidRDefault="00303F08" w:rsidP="00B70887">
            <w:pPr>
              <w:rPr>
                <w:sz w:val="26"/>
                <w:szCs w:val="26"/>
              </w:rPr>
            </w:pPr>
            <w:r w:rsidRPr="00F55BB9">
              <w:rPr>
                <w:sz w:val="26"/>
                <w:szCs w:val="26"/>
              </w:rPr>
              <w:t>:</w:t>
            </w:r>
          </w:p>
          <w:p w:rsidR="00303F08" w:rsidRPr="00F55BB9" w:rsidRDefault="00303F08" w:rsidP="00B70887">
            <w:pPr>
              <w:rPr>
                <w:sz w:val="26"/>
                <w:szCs w:val="26"/>
              </w:rPr>
            </w:pPr>
            <w:r w:rsidRPr="00F55BB9">
              <w:rPr>
                <w:sz w:val="26"/>
                <w:szCs w:val="26"/>
              </w:rPr>
              <w:t>:</w:t>
            </w:r>
          </w:p>
          <w:p w:rsidR="00303F08" w:rsidRDefault="00303F08" w:rsidP="00B70887">
            <w:pPr>
              <w:rPr>
                <w:sz w:val="26"/>
                <w:szCs w:val="26"/>
              </w:rPr>
            </w:pPr>
            <w:r w:rsidRPr="00F55BB9">
              <w:rPr>
                <w:sz w:val="26"/>
                <w:szCs w:val="26"/>
              </w:rPr>
              <w:t>:</w:t>
            </w:r>
          </w:p>
          <w:p w:rsidR="00F55BB9" w:rsidRPr="00F55BB9" w:rsidRDefault="00F55BB9" w:rsidP="00B70887">
            <w:pPr>
              <w:rPr>
                <w:sz w:val="26"/>
                <w:szCs w:val="26"/>
              </w:rPr>
            </w:pPr>
            <w:r>
              <w:rPr>
                <w:sz w:val="26"/>
                <w:szCs w:val="26"/>
              </w:rPr>
              <w:t>:</w:t>
            </w:r>
          </w:p>
          <w:p w:rsidR="00303F08" w:rsidRPr="00F55BB9" w:rsidRDefault="00303F08" w:rsidP="00B70887">
            <w:pPr>
              <w:rPr>
                <w:sz w:val="26"/>
                <w:szCs w:val="26"/>
              </w:rPr>
            </w:pPr>
          </w:p>
          <w:p w:rsidR="00303F08" w:rsidRPr="00F55BB9" w:rsidRDefault="00303F08" w:rsidP="00B70887">
            <w:pPr>
              <w:rPr>
                <w:sz w:val="26"/>
                <w:szCs w:val="26"/>
              </w:rPr>
            </w:pPr>
            <w:r w:rsidRPr="00F55BB9">
              <w:rPr>
                <w:sz w:val="26"/>
                <w:szCs w:val="26"/>
              </w:rPr>
              <w:t>:</w:t>
            </w:r>
          </w:p>
          <w:p w:rsidR="00303F08" w:rsidRPr="00F55BB9" w:rsidRDefault="00303F08" w:rsidP="00B70887">
            <w:pPr>
              <w:rPr>
                <w:sz w:val="26"/>
                <w:szCs w:val="26"/>
              </w:rPr>
            </w:pPr>
            <w:r w:rsidRPr="00F55BB9">
              <w:rPr>
                <w:sz w:val="26"/>
                <w:szCs w:val="26"/>
              </w:rPr>
              <w:t>:</w:t>
            </w:r>
          </w:p>
          <w:p w:rsidR="00303F08" w:rsidRPr="00F55BB9" w:rsidRDefault="00303F08" w:rsidP="00B70887">
            <w:pPr>
              <w:rPr>
                <w:sz w:val="26"/>
                <w:szCs w:val="26"/>
              </w:rPr>
            </w:pPr>
            <w:r w:rsidRPr="00F55BB9">
              <w:rPr>
                <w:sz w:val="26"/>
                <w:szCs w:val="26"/>
              </w:rPr>
              <w:t>:</w:t>
            </w:r>
          </w:p>
          <w:p w:rsidR="00303F08" w:rsidRPr="00F55BB9" w:rsidRDefault="00303F08" w:rsidP="00B70887">
            <w:pPr>
              <w:rPr>
                <w:sz w:val="26"/>
                <w:szCs w:val="26"/>
              </w:rPr>
            </w:pPr>
          </w:p>
          <w:p w:rsidR="00303F08" w:rsidRPr="00F55BB9" w:rsidRDefault="00303F08" w:rsidP="00B70887">
            <w:pPr>
              <w:rPr>
                <w:sz w:val="26"/>
                <w:szCs w:val="26"/>
              </w:rPr>
            </w:pPr>
            <w:r w:rsidRPr="00F55BB9">
              <w:rPr>
                <w:sz w:val="26"/>
                <w:szCs w:val="26"/>
              </w:rPr>
              <w:t>:</w:t>
            </w:r>
          </w:p>
          <w:p w:rsidR="00303F08" w:rsidRPr="00F55BB9" w:rsidRDefault="00303F08" w:rsidP="00B70887">
            <w:pPr>
              <w:rPr>
                <w:sz w:val="26"/>
                <w:szCs w:val="26"/>
              </w:rPr>
            </w:pPr>
            <w:r w:rsidRPr="00F55BB9">
              <w:rPr>
                <w:sz w:val="26"/>
                <w:szCs w:val="26"/>
              </w:rPr>
              <w:t>:</w:t>
            </w:r>
            <w:r w:rsidRPr="00F55BB9">
              <w:rPr>
                <w:sz w:val="26"/>
                <w:szCs w:val="26"/>
              </w:rPr>
              <w:br/>
              <w:t>:</w:t>
            </w:r>
          </w:p>
        </w:tc>
        <w:tc>
          <w:tcPr>
            <w:tcW w:w="3708" w:type="dxa"/>
            <w:shd w:val="clear" w:color="auto" w:fill="auto"/>
          </w:tcPr>
          <w:p w:rsidR="00303F08" w:rsidRPr="00F55BB9" w:rsidRDefault="00303F08" w:rsidP="00B70887">
            <w:pPr>
              <w:rPr>
                <w:sz w:val="26"/>
                <w:szCs w:val="26"/>
              </w:rPr>
            </w:pPr>
          </w:p>
          <w:p w:rsidR="00303F08" w:rsidRPr="00F55BB9" w:rsidRDefault="00303F08" w:rsidP="00B70887">
            <w:pPr>
              <w:rPr>
                <w:sz w:val="26"/>
                <w:szCs w:val="26"/>
              </w:rPr>
            </w:pPr>
            <w:r w:rsidRPr="00F55BB9">
              <w:rPr>
                <w:sz w:val="26"/>
                <w:szCs w:val="26"/>
              </w:rPr>
              <w:t xml:space="preserve">Case No. </w:t>
            </w:r>
            <w:r w:rsidRPr="00F55BB9">
              <w:rPr>
                <w:b/>
                <w:sz w:val="26"/>
                <w:szCs w:val="26"/>
              </w:rPr>
              <w:t>12-426-EL-SSO</w:t>
            </w:r>
          </w:p>
          <w:p w:rsidR="00303F08" w:rsidRPr="00F55BB9" w:rsidRDefault="00303F08" w:rsidP="00B70887">
            <w:pPr>
              <w:rPr>
                <w:sz w:val="26"/>
                <w:szCs w:val="26"/>
              </w:rPr>
            </w:pPr>
          </w:p>
          <w:p w:rsidR="00303F08" w:rsidRPr="00F55BB9" w:rsidRDefault="00303F08" w:rsidP="00B70887">
            <w:pPr>
              <w:rPr>
                <w:sz w:val="26"/>
                <w:szCs w:val="26"/>
              </w:rPr>
            </w:pPr>
          </w:p>
          <w:p w:rsidR="00303F08" w:rsidRPr="00F55BB9" w:rsidRDefault="00303F08" w:rsidP="00B70887">
            <w:pPr>
              <w:rPr>
                <w:sz w:val="26"/>
                <w:szCs w:val="26"/>
              </w:rPr>
            </w:pPr>
          </w:p>
          <w:p w:rsidR="00303F08" w:rsidRPr="00F55BB9" w:rsidRDefault="00303F08" w:rsidP="00B70887">
            <w:pPr>
              <w:rPr>
                <w:sz w:val="26"/>
                <w:szCs w:val="26"/>
              </w:rPr>
            </w:pPr>
            <w:r w:rsidRPr="00F55BB9">
              <w:rPr>
                <w:sz w:val="26"/>
                <w:szCs w:val="26"/>
              </w:rPr>
              <w:t xml:space="preserve">Case No. </w:t>
            </w:r>
            <w:r w:rsidRPr="00F55BB9">
              <w:rPr>
                <w:b/>
                <w:sz w:val="26"/>
                <w:szCs w:val="26"/>
              </w:rPr>
              <w:t>12-427-EL-ATA</w:t>
            </w:r>
          </w:p>
          <w:p w:rsidR="00303F08" w:rsidRPr="00F55BB9" w:rsidRDefault="00303F08" w:rsidP="00B70887">
            <w:pPr>
              <w:rPr>
                <w:sz w:val="26"/>
                <w:szCs w:val="26"/>
              </w:rPr>
            </w:pPr>
          </w:p>
          <w:p w:rsidR="00303F08" w:rsidRPr="00F55BB9" w:rsidRDefault="00303F08" w:rsidP="00B70887">
            <w:pPr>
              <w:rPr>
                <w:sz w:val="26"/>
                <w:szCs w:val="26"/>
              </w:rPr>
            </w:pPr>
          </w:p>
          <w:p w:rsidR="00303F08" w:rsidRPr="00F55BB9" w:rsidRDefault="00303F08" w:rsidP="00B70887">
            <w:pPr>
              <w:rPr>
                <w:sz w:val="26"/>
                <w:szCs w:val="26"/>
              </w:rPr>
            </w:pPr>
          </w:p>
          <w:p w:rsidR="00303F08" w:rsidRPr="00F55BB9" w:rsidRDefault="00303F08" w:rsidP="00B70887">
            <w:pPr>
              <w:rPr>
                <w:sz w:val="26"/>
                <w:szCs w:val="26"/>
              </w:rPr>
            </w:pPr>
            <w:r w:rsidRPr="00F55BB9">
              <w:rPr>
                <w:sz w:val="26"/>
                <w:szCs w:val="26"/>
              </w:rPr>
              <w:t xml:space="preserve">Case No. </w:t>
            </w:r>
            <w:r w:rsidRPr="00F55BB9">
              <w:rPr>
                <w:b/>
                <w:sz w:val="26"/>
                <w:szCs w:val="26"/>
              </w:rPr>
              <w:t>12-428-EL-AAM</w:t>
            </w:r>
          </w:p>
          <w:p w:rsidR="00303F08" w:rsidRPr="00F55BB9" w:rsidRDefault="00303F08" w:rsidP="00B70887">
            <w:pPr>
              <w:rPr>
                <w:sz w:val="26"/>
                <w:szCs w:val="26"/>
              </w:rPr>
            </w:pPr>
          </w:p>
          <w:p w:rsidR="00303F08" w:rsidRPr="00F55BB9" w:rsidRDefault="00303F08" w:rsidP="00B70887">
            <w:pPr>
              <w:rPr>
                <w:sz w:val="26"/>
                <w:szCs w:val="26"/>
              </w:rPr>
            </w:pPr>
          </w:p>
          <w:p w:rsidR="00303F08" w:rsidRPr="00F55BB9" w:rsidRDefault="00303F08" w:rsidP="00B70887">
            <w:pPr>
              <w:rPr>
                <w:sz w:val="26"/>
                <w:szCs w:val="26"/>
              </w:rPr>
            </w:pPr>
          </w:p>
          <w:p w:rsidR="00303F08" w:rsidRPr="00F55BB9" w:rsidRDefault="00303F08" w:rsidP="00B70887">
            <w:pPr>
              <w:rPr>
                <w:sz w:val="26"/>
                <w:szCs w:val="26"/>
              </w:rPr>
            </w:pPr>
            <w:r w:rsidRPr="00F55BB9">
              <w:rPr>
                <w:sz w:val="26"/>
                <w:szCs w:val="26"/>
              </w:rPr>
              <w:t xml:space="preserve">Case No. </w:t>
            </w:r>
            <w:r w:rsidRPr="00F55BB9">
              <w:rPr>
                <w:b/>
                <w:sz w:val="26"/>
                <w:szCs w:val="26"/>
              </w:rPr>
              <w:t>12-429-EL-WVR</w:t>
            </w:r>
          </w:p>
          <w:p w:rsidR="00303F08" w:rsidRPr="00F55BB9" w:rsidRDefault="00303F08" w:rsidP="00B70887">
            <w:pPr>
              <w:rPr>
                <w:sz w:val="26"/>
                <w:szCs w:val="26"/>
              </w:rPr>
            </w:pPr>
          </w:p>
          <w:p w:rsidR="00303F08" w:rsidRPr="00F55BB9" w:rsidRDefault="00303F08" w:rsidP="00B70887">
            <w:pPr>
              <w:rPr>
                <w:sz w:val="26"/>
                <w:szCs w:val="26"/>
              </w:rPr>
            </w:pPr>
          </w:p>
          <w:p w:rsidR="00303F08" w:rsidRPr="00F55BB9" w:rsidRDefault="00303F08" w:rsidP="00B70887">
            <w:pPr>
              <w:rPr>
                <w:sz w:val="26"/>
                <w:szCs w:val="26"/>
              </w:rPr>
            </w:pPr>
            <w:r w:rsidRPr="00F55BB9">
              <w:rPr>
                <w:sz w:val="26"/>
                <w:szCs w:val="26"/>
              </w:rPr>
              <w:t>Case No.</w:t>
            </w:r>
            <w:r w:rsidRPr="00F55BB9">
              <w:rPr>
                <w:b/>
                <w:sz w:val="26"/>
                <w:szCs w:val="26"/>
              </w:rPr>
              <w:t xml:space="preserve"> 12-672-EL-RDR</w:t>
            </w:r>
          </w:p>
          <w:p w:rsidR="00303F08" w:rsidRPr="00F55BB9" w:rsidRDefault="00303F08" w:rsidP="00B70887">
            <w:pPr>
              <w:rPr>
                <w:sz w:val="26"/>
                <w:szCs w:val="26"/>
              </w:rPr>
            </w:pPr>
          </w:p>
        </w:tc>
      </w:tr>
    </w:tbl>
    <w:p w:rsidR="003B12DD" w:rsidRPr="00F55BB9" w:rsidRDefault="00E10679" w:rsidP="00E10679">
      <w:pPr>
        <w:pStyle w:val="Title"/>
        <w:tabs>
          <w:tab w:val="left" w:pos="9360"/>
        </w:tabs>
        <w:spacing w:after="240"/>
        <w:jc w:val="left"/>
        <w:rPr>
          <w:rFonts w:ascii="Times New Roman" w:hAnsi="Times New Roman"/>
          <w:sz w:val="18"/>
          <w:szCs w:val="18"/>
          <w:u w:val="single"/>
        </w:rPr>
      </w:pPr>
      <w:r w:rsidRPr="00F55BB9">
        <w:rPr>
          <w:rFonts w:ascii="Times New Roman" w:hAnsi="Times New Roman"/>
          <w:sz w:val="18"/>
          <w:szCs w:val="18"/>
          <w:u w:val="single"/>
        </w:rPr>
        <w:tab/>
      </w:r>
    </w:p>
    <w:p w:rsidR="00E10679" w:rsidRPr="00F55BB9" w:rsidRDefault="00E10679" w:rsidP="00E10679">
      <w:pPr>
        <w:pStyle w:val="Title"/>
        <w:tabs>
          <w:tab w:val="left" w:pos="9360"/>
        </w:tabs>
        <w:rPr>
          <w:rFonts w:ascii="Times New Roman" w:hAnsi="Times New Roman"/>
          <w:b/>
          <w:sz w:val="26"/>
          <w:szCs w:val="26"/>
        </w:rPr>
      </w:pPr>
      <w:r w:rsidRPr="00F55BB9">
        <w:rPr>
          <w:rFonts w:ascii="Times New Roman" w:hAnsi="Times New Roman"/>
          <w:b/>
          <w:sz w:val="26"/>
          <w:szCs w:val="26"/>
        </w:rPr>
        <w:t>POST-HEARING BRIEF</w:t>
      </w:r>
    </w:p>
    <w:p w:rsidR="00663D6A" w:rsidRPr="00F55BB9" w:rsidRDefault="00663D6A" w:rsidP="00303F08">
      <w:pPr>
        <w:jc w:val="center"/>
        <w:rPr>
          <w:sz w:val="26"/>
          <w:szCs w:val="26"/>
        </w:rPr>
      </w:pPr>
      <w:bookmarkStart w:id="1" w:name="_Toc257632572"/>
      <w:bookmarkStart w:id="2" w:name="_Toc257632676"/>
      <w:bookmarkStart w:id="3" w:name="_Toc257637808"/>
      <w:bookmarkStart w:id="4" w:name="_Toc257798062"/>
      <w:bookmarkStart w:id="5" w:name="_Toc260124108"/>
      <w:bookmarkStart w:id="6" w:name="_Toc260125213"/>
      <w:bookmarkStart w:id="7" w:name="_Toc260212953"/>
      <w:r w:rsidRPr="00F55BB9">
        <w:rPr>
          <w:sz w:val="26"/>
          <w:szCs w:val="26"/>
        </w:rPr>
        <w:t>SUBMITTED ON BEHALF OF THE STAFF OF</w:t>
      </w:r>
      <w:bookmarkEnd w:id="1"/>
      <w:bookmarkEnd w:id="2"/>
      <w:bookmarkEnd w:id="3"/>
      <w:bookmarkEnd w:id="4"/>
      <w:bookmarkEnd w:id="5"/>
      <w:bookmarkEnd w:id="6"/>
      <w:bookmarkEnd w:id="7"/>
    </w:p>
    <w:p w:rsidR="00663D6A" w:rsidRPr="00F55BB9" w:rsidRDefault="00663D6A" w:rsidP="00303F08">
      <w:pPr>
        <w:jc w:val="center"/>
        <w:rPr>
          <w:sz w:val="26"/>
          <w:szCs w:val="26"/>
        </w:rPr>
      </w:pPr>
      <w:bookmarkStart w:id="8" w:name="_Toc257632573"/>
      <w:bookmarkStart w:id="9" w:name="_Toc257632677"/>
      <w:bookmarkStart w:id="10" w:name="_Toc257637809"/>
      <w:bookmarkStart w:id="11" w:name="_Toc257798063"/>
      <w:bookmarkStart w:id="12" w:name="_Toc260124109"/>
      <w:bookmarkStart w:id="13" w:name="_Toc260125214"/>
      <w:bookmarkStart w:id="14" w:name="_Toc260212954"/>
      <w:r w:rsidRPr="00F55BB9">
        <w:rPr>
          <w:sz w:val="26"/>
          <w:szCs w:val="26"/>
        </w:rPr>
        <w:t>THE PUBLIC UTILITIES COMMISSION OF OHIO</w:t>
      </w:r>
      <w:bookmarkEnd w:id="8"/>
      <w:bookmarkEnd w:id="9"/>
      <w:bookmarkEnd w:id="10"/>
      <w:bookmarkEnd w:id="11"/>
      <w:bookmarkEnd w:id="12"/>
      <w:bookmarkEnd w:id="13"/>
      <w:bookmarkEnd w:id="14"/>
    </w:p>
    <w:p w:rsidR="00303F08" w:rsidRPr="00F55BB9" w:rsidRDefault="00303F08" w:rsidP="00303F08">
      <w:pPr>
        <w:pStyle w:val="Title"/>
        <w:tabs>
          <w:tab w:val="left" w:pos="9360"/>
        </w:tabs>
        <w:spacing w:after="240"/>
        <w:jc w:val="left"/>
        <w:rPr>
          <w:rFonts w:ascii="Times New Roman" w:hAnsi="Times New Roman"/>
          <w:sz w:val="18"/>
          <w:szCs w:val="18"/>
          <w:u w:val="single"/>
        </w:rPr>
      </w:pPr>
      <w:r w:rsidRPr="00F55BB9">
        <w:rPr>
          <w:rFonts w:ascii="Times New Roman" w:hAnsi="Times New Roman"/>
          <w:sz w:val="18"/>
          <w:szCs w:val="18"/>
          <w:u w:val="single"/>
        </w:rPr>
        <w:tab/>
      </w:r>
    </w:p>
    <w:p w:rsidR="00663D6A" w:rsidRPr="00F55BB9" w:rsidRDefault="00E10679" w:rsidP="00E10679">
      <w:pPr>
        <w:pStyle w:val="Title"/>
        <w:tabs>
          <w:tab w:val="left" w:pos="4320"/>
        </w:tabs>
        <w:jc w:val="left"/>
        <w:rPr>
          <w:rFonts w:ascii="Times New Roman" w:hAnsi="Times New Roman"/>
          <w:b/>
          <w:sz w:val="26"/>
          <w:szCs w:val="26"/>
        </w:rPr>
      </w:pPr>
      <w:r w:rsidRPr="00F55BB9">
        <w:rPr>
          <w:rFonts w:ascii="Times New Roman" w:hAnsi="Times New Roman"/>
          <w:sz w:val="26"/>
          <w:szCs w:val="26"/>
        </w:rPr>
        <w:tab/>
      </w:r>
      <w:r w:rsidR="00C90964" w:rsidRPr="00F55BB9">
        <w:rPr>
          <w:rFonts w:ascii="Times New Roman" w:hAnsi="Times New Roman"/>
          <w:b/>
          <w:sz w:val="26"/>
          <w:szCs w:val="26"/>
        </w:rPr>
        <w:t>Michael DeWine</w:t>
      </w:r>
    </w:p>
    <w:p w:rsidR="00E10679" w:rsidRPr="00F55BB9" w:rsidRDefault="00E10679" w:rsidP="00E10679">
      <w:pPr>
        <w:pStyle w:val="Title"/>
        <w:tabs>
          <w:tab w:val="left" w:pos="4320"/>
        </w:tabs>
        <w:jc w:val="left"/>
        <w:rPr>
          <w:rFonts w:ascii="Times New Roman" w:hAnsi="Times New Roman"/>
          <w:sz w:val="26"/>
          <w:szCs w:val="26"/>
        </w:rPr>
      </w:pPr>
      <w:r w:rsidRPr="00F55BB9">
        <w:rPr>
          <w:rFonts w:ascii="Times New Roman" w:hAnsi="Times New Roman"/>
          <w:sz w:val="26"/>
          <w:szCs w:val="26"/>
        </w:rPr>
        <w:tab/>
        <w:t xml:space="preserve">Ohio </w:t>
      </w:r>
      <w:r w:rsidR="00721F2D" w:rsidRPr="00F55BB9">
        <w:rPr>
          <w:rFonts w:ascii="Times New Roman" w:hAnsi="Times New Roman"/>
          <w:sz w:val="26"/>
          <w:szCs w:val="26"/>
        </w:rPr>
        <w:t>Attorney</w:t>
      </w:r>
      <w:r w:rsidRPr="00F55BB9">
        <w:rPr>
          <w:rFonts w:ascii="Times New Roman" w:hAnsi="Times New Roman"/>
          <w:sz w:val="26"/>
          <w:szCs w:val="26"/>
        </w:rPr>
        <w:t xml:space="preserve"> General</w:t>
      </w:r>
    </w:p>
    <w:p w:rsidR="00E10679" w:rsidRPr="00F55BB9" w:rsidRDefault="00E10679" w:rsidP="00E10679">
      <w:pPr>
        <w:pStyle w:val="Title"/>
        <w:tabs>
          <w:tab w:val="left" w:pos="4320"/>
        </w:tabs>
        <w:jc w:val="left"/>
        <w:rPr>
          <w:rFonts w:ascii="Times New Roman" w:hAnsi="Times New Roman"/>
          <w:sz w:val="18"/>
          <w:szCs w:val="18"/>
        </w:rPr>
      </w:pPr>
    </w:p>
    <w:p w:rsidR="00E10679" w:rsidRPr="00F55BB9" w:rsidRDefault="00E10679" w:rsidP="00E10679">
      <w:pPr>
        <w:pStyle w:val="Title"/>
        <w:tabs>
          <w:tab w:val="left" w:pos="4320"/>
        </w:tabs>
        <w:jc w:val="left"/>
        <w:rPr>
          <w:rFonts w:ascii="Times New Roman" w:hAnsi="Times New Roman"/>
          <w:sz w:val="26"/>
          <w:szCs w:val="26"/>
        </w:rPr>
      </w:pPr>
      <w:r w:rsidRPr="00F55BB9">
        <w:rPr>
          <w:rFonts w:ascii="Times New Roman" w:hAnsi="Times New Roman"/>
          <w:sz w:val="26"/>
          <w:szCs w:val="26"/>
        </w:rPr>
        <w:tab/>
      </w:r>
      <w:r w:rsidR="00BC5B75" w:rsidRPr="00F55BB9">
        <w:rPr>
          <w:rFonts w:ascii="Times New Roman" w:hAnsi="Times New Roman"/>
          <w:b/>
          <w:sz w:val="26"/>
          <w:szCs w:val="26"/>
        </w:rPr>
        <w:t>William L. Wright</w:t>
      </w:r>
    </w:p>
    <w:p w:rsidR="00E10679" w:rsidRPr="00F55BB9" w:rsidRDefault="00E10679" w:rsidP="00E10679">
      <w:pPr>
        <w:pStyle w:val="Title"/>
        <w:tabs>
          <w:tab w:val="left" w:pos="4320"/>
        </w:tabs>
        <w:jc w:val="left"/>
        <w:rPr>
          <w:rFonts w:ascii="Times New Roman" w:hAnsi="Times New Roman"/>
          <w:sz w:val="26"/>
          <w:szCs w:val="26"/>
        </w:rPr>
      </w:pPr>
      <w:r w:rsidRPr="00F55BB9">
        <w:rPr>
          <w:rFonts w:ascii="Times New Roman" w:hAnsi="Times New Roman"/>
          <w:sz w:val="26"/>
          <w:szCs w:val="26"/>
        </w:rPr>
        <w:tab/>
        <w:t>Section Chief</w:t>
      </w:r>
    </w:p>
    <w:p w:rsidR="00E10679" w:rsidRPr="00F55BB9" w:rsidRDefault="00E10679" w:rsidP="00E10679">
      <w:pPr>
        <w:pStyle w:val="Title"/>
        <w:tabs>
          <w:tab w:val="left" w:pos="4320"/>
        </w:tabs>
        <w:jc w:val="left"/>
        <w:rPr>
          <w:rFonts w:ascii="Times New Roman" w:hAnsi="Times New Roman"/>
          <w:sz w:val="18"/>
          <w:szCs w:val="18"/>
        </w:rPr>
      </w:pPr>
    </w:p>
    <w:p w:rsidR="00E10679" w:rsidRPr="00F55BB9" w:rsidRDefault="00E10679" w:rsidP="00EE4DBA">
      <w:pPr>
        <w:pStyle w:val="Title"/>
        <w:tabs>
          <w:tab w:val="left" w:pos="4320"/>
        </w:tabs>
        <w:jc w:val="left"/>
        <w:rPr>
          <w:rFonts w:ascii="Times New Roman" w:hAnsi="Times New Roman"/>
          <w:b/>
          <w:sz w:val="26"/>
          <w:szCs w:val="26"/>
        </w:rPr>
      </w:pPr>
      <w:r w:rsidRPr="00F55BB9">
        <w:rPr>
          <w:rFonts w:ascii="Times New Roman" w:hAnsi="Times New Roman"/>
          <w:sz w:val="26"/>
          <w:szCs w:val="26"/>
        </w:rPr>
        <w:tab/>
      </w:r>
      <w:r w:rsidR="00EE4DBA" w:rsidRPr="00F55BB9">
        <w:rPr>
          <w:rFonts w:ascii="Times New Roman" w:hAnsi="Times New Roman"/>
          <w:b/>
          <w:sz w:val="26"/>
          <w:szCs w:val="26"/>
        </w:rPr>
        <w:t>Thomas W. McNamee</w:t>
      </w:r>
    </w:p>
    <w:p w:rsidR="00EE4DBA" w:rsidRPr="00F55BB9" w:rsidRDefault="00EE4DBA" w:rsidP="00EE4DBA">
      <w:pPr>
        <w:pStyle w:val="Title"/>
        <w:tabs>
          <w:tab w:val="left" w:pos="4320"/>
        </w:tabs>
        <w:jc w:val="left"/>
        <w:rPr>
          <w:rFonts w:ascii="Times New Roman" w:hAnsi="Times New Roman"/>
          <w:b/>
          <w:sz w:val="26"/>
          <w:szCs w:val="26"/>
        </w:rPr>
      </w:pPr>
      <w:r w:rsidRPr="00F55BB9">
        <w:rPr>
          <w:rFonts w:ascii="Times New Roman" w:hAnsi="Times New Roman"/>
          <w:b/>
          <w:sz w:val="26"/>
          <w:szCs w:val="26"/>
        </w:rPr>
        <w:tab/>
        <w:t>Werner L. Margard III</w:t>
      </w:r>
    </w:p>
    <w:p w:rsidR="00E10679" w:rsidRPr="00F55BB9" w:rsidRDefault="00E10679" w:rsidP="00E10679">
      <w:pPr>
        <w:pStyle w:val="Title"/>
        <w:tabs>
          <w:tab w:val="left" w:pos="4320"/>
        </w:tabs>
        <w:jc w:val="left"/>
        <w:rPr>
          <w:rFonts w:ascii="Times New Roman" w:hAnsi="Times New Roman"/>
          <w:sz w:val="26"/>
          <w:szCs w:val="26"/>
        </w:rPr>
      </w:pPr>
      <w:r w:rsidRPr="00F55BB9">
        <w:rPr>
          <w:rFonts w:ascii="Times New Roman" w:hAnsi="Times New Roman"/>
          <w:sz w:val="26"/>
          <w:szCs w:val="26"/>
        </w:rPr>
        <w:tab/>
      </w:r>
      <w:r w:rsidR="00721F2D" w:rsidRPr="00F55BB9">
        <w:rPr>
          <w:rFonts w:ascii="Times New Roman" w:hAnsi="Times New Roman"/>
          <w:sz w:val="26"/>
          <w:szCs w:val="26"/>
        </w:rPr>
        <w:t>Assistant</w:t>
      </w:r>
      <w:r w:rsidRPr="00F55BB9">
        <w:rPr>
          <w:rFonts w:ascii="Times New Roman" w:hAnsi="Times New Roman"/>
          <w:sz w:val="26"/>
          <w:szCs w:val="26"/>
        </w:rPr>
        <w:t xml:space="preserve"> Attorneys General</w:t>
      </w:r>
    </w:p>
    <w:p w:rsidR="00E10679" w:rsidRPr="00F55BB9" w:rsidRDefault="00E10679" w:rsidP="00E10679">
      <w:pPr>
        <w:pStyle w:val="Title"/>
        <w:tabs>
          <w:tab w:val="left" w:pos="4320"/>
        </w:tabs>
        <w:jc w:val="left"/>
        <w:rPr>
          <w:rFonts w:ascii="Times New Roman" w:hAnsi="Times New Roman"/>
          <w:sz w:val="26"/>
          <w:szCs w:val="26"/>
        </w:rPr>
      </w:pPr>
      <w:r w:rsidRPr="00F55BB9">
        <w:rPr>
          <w:rFonts w:ascii="Times New Roman" w:hAnsi="Times New Roman"/>
          <w:sz w:val="26"/>
          <w:szCs w:val="26"/>
        </w:rPr>
        <w:tab/>
        <w:t xml:space="preserve">Public </w:t>
      </w:r>
      <w:r w:rsidR="00721F2D" w:rsidRPr="00F55BB9">
        <w:rPr>
          <w:rFonts w:ascii="Times New Roman" w:hAnsi="Times New Roman"/>
          <w:sz w:val="26"/>
          <w:szCs w:val="26"/>
        </w:rPr>
        <w:t>Utilities</w:t>
      </w:r>
      <w:r w:rsidRPr="00F55BB9">
        <w:rPr>
          <w:rFonts w:ascii="Times New Roman" w:hAnsi="Times New Roman"/>
          <w:sz w:val="26"/>
          <w:szCs w:val="26"/>
        </w:rPr>
        <w:t xml:space="preserve"> Section</w:t>
      </w:r>
    </w:p>
    <w:p w:rsidR="00E10679" w:rsidRPr="00F55BB9" w:rsidRDefault="00E10679" w:rsidP="00E10679">
      <w:pPr>
        <w:pStyle w:val="Title"/>
        <w:tabs>
          <w:tab w:val="left" w:pos="4320"/>
        </w:tabs>
        <w:jc w:val="left"/>
        <w:rPr>
          <w:rFonts w:ascii="Times New Roman" w:hAnsi="Times New Roman"/>
          <w:sz w:val="26"/>
          <w:szCs w:val="26"/>
        </w:rPr>
      </w:pPr>
      <w:r w:rsidRPr="00F55BB9">
        <w:rPr>
          <w:rFonts w:ascii="Times New Roman" w:hAnsi="Times New Roman"/>
          <w:sz w:val="26"/>
          <w:szCs w:val="26"/>
        </w:rPr>
        <w:tab/>
        <w:t>180 East Broad Street, 6</w:t>
      </w:r>
      <w:r w:rsidRPr="00F55BB9">
        <w:rPr>
          <w:rFonts w:ascii="Times New Roman" w:hAnsi="Times New Roman"/>
          <w:sz w:val="26"/>
          <w:szCs w:val="26"/>
          <w:vertAlign w:val="superscript"/>
        </w:rPr>
        <w:t>th</w:t>
      </w:r>
      <w:r w:rsidRPr="00F55BB9">
        <w:rPr>
          <w:rFonts w:ascii="Times New Roman" w:hAnsi="Times New Roman"/>
          <w:sz w:val="26"/>
          <w:szCs w:val="26"/>
        </w:rPr>
        <w:t xml:space="preserve"> Floor</w:t>
      </w:r>
    </w:p>
    <w:p w:rsidR="00E10679" w:rsidRPr="00F55BB9" w:rsidRDefault="00E10679" w:rsidP="00E10679">
      <w:pPr>
        <w:pStyle w:val="Title"/>
        <w:tabs>
          <w:tab w:val="left" w:pos="4320"/>
        </w:tabs>
        <w:jc w:val="left"/>
        <w:rPr>
          <w:rFonts w:ascii="Times New Roman" w:hAnsi="Times New Roman"/>
          <w:sz w:val="26"/>
          <w:szCs w:val="26"/>
        </w:rPr>
      </w:pPr>
      <w:r w:rsidRPr="00F55BB9">
        <w:rPr>
          <w:rFonts w:ascii="Times New Roman" w:hAnsi="Times New Roman"/>
          <w:sz w:val="26"/>
          <w:szCs w:val="26"/>
        </w:rPr>
        <w:tab/>
        <w:t>Columbus, OH  43215-3793</w:t>
      </w:r>
    </w:p>
    <w:p w:rsidR="00E10679" w:rsidRPr="00F55BB9" w:rsidRDefault="00E10679" w:rsidP="00E10679">
      <w:pPr>
        <w:pStyle w:val="Title"/>
        <w:tabs>
          <w:tab w:val="left" w:pos="4320"/>
        </w:tabs>
        <w:jc w:val="left"/>
        <w:rPr>
          <w:rFonts w:ascii="Times New Roman" w:hAnsi="Times New Roman"/>
          <w:sz w:val="26"/>
          <w:szCs w:val="26"/>
        </w:rPr>
      </w:pPr>
      <w:r w:rsidRPr="00F55BB9">
        <w:rPr>
          <w:rFonts w:ascii="Times New Roman" w:hAnsi="Times New Roman"/>
          <w:sz w:val="26"/>
          <w:szCs w:val="26"/>
        </w:rPr>
        <w:tab/>
        <w:t>614.466.4397 (telephone)</w:t>
      </w:r>
    </w:p>
    <w:p w:rsidR="00E10679" w:rsidRPr="00F55BB9" w:rsidRDefault="00E10679" w:rsidP="00E10679">
      <w:pPr>
        <w:pStyle w:val="Title"/>
        <w:tabs>
          <w:tab w:val="left" w:pos="4320"/>
        </w:tabs>
        <w:jc w:val="left"/>
        <w:rPr>
          <w:rFonts w:ascii="Times New Roman" w:hAnsi="Times New Roman"/>
          <w:sz w:val="26"/>
          <w:szCs w:val="26"/>
        </w:rPr>
      </w:pPr>
      <w:r w:rsidRPr="00F55BB9">
        <w:rPr>
          <w:rFonts w:ascii="Times New Roman" w:hAnsi="Times New Roman"/>
          <w:sz w:val="26"/>
          <w:szCs w:val="26"/>
        </w:rPr>
        <w:tab/>
        <w:t>614.644.8764 (fax)</w:t>
      </w:r>
    </w:p>
    <w:p w:rsidR="00E10679" w:rsidRPr="00F55BB9" w:rsidRDefault="00E10679" w:rsidP="00E10679">
      <w:pPr>
        <w:pStyle w:val="Title"/>
        <w:tabs>
          <w:tab w:val="left" w:pos="4320"/>
        </w:tabs>
        <w:jc w:val="left"/>
        <w:rPr>
          <w:rFonts w:ascii="Times New Roman" w:hAnsi="Times New Roman"/>
          <w:sz w:val="26"/>
          <w:szCs w:val="26"/>
        </w:rPr>
      </w:pPr>
      <w:r w:rsidRPr="00F55BB9">
        <w:rPr>
          <w:rFonts w:ascii="Times New Roman" w:hAnsi="Times New Roman"/>
          <w:sz w:val="26"/>
          <w:szCs w:val="26"/>
        </w:rPr>
        <w:tab/>
      </w:r>
      <w:hyperlink r:id="rId9" w:history="1">
        <w:r w:rsidR="00EE4DBA" w:rsidRPr="00F55BB9">
          <w:rPr>
            <w:rStyle w:val="Hyperlink"/>
            <w:rFonts w:ascii="Times New Roman" w:hAnsi="Times New Roman"/>
            <w:sz w:val="26"/>
            <w:szCs w:val="26"/>
          </w:rPr>
          <w:t>thomas.mcnamee@puc.state.oh.us</w:t>
        </w:r>
      </w:hyperlink>
    </w:p>
    <w:p w:rsidR="00663D6A" w:rsidRPr="00F55BB9" w:rsidRDefault="00E10679" w:rsidP="00303F08">
      <w:pPr>
        <w:pStyle w:val="Title"/>
        <w:tabs>
          <w:tab w:val="left" w:pos="4320"/>
        </w:tabs>
        <w:jc w:val="left"/>
        <w:rPr>
          <w:rFonts w:ascii="Times New Roman" w:hAnsi="Times New Roman"/>
          <w:sz w:val="26"/>
          <w:szCs w:val="26"/>
        </w:rPr>
      </w:pPr>
      <w:r w:rsidRPr="00F55BB9">
        <w:rPr>
          <w:rFonts w:ascii="Times New Roman" w:hAnsi="Times New Roman"/>
          <w:sz w:val="26"/>
          <w:szCs w:val="26"/>
        </w:rPr>
        <w:tab/>
      </w:r>
      <w:hyperlink r:id="rId10" w:history="1">
        <w:r w:rsidR="00EE4DBA" w:rsidRPr="00F55BB9">
          <w:rPr>
            <w:rStyle w:val="Hyperlink"/>
            <w:rFonts w:ascii="Times New Roman" w:hAnsi="Times New Roman"/>
            <w:sz w:val="26"/>
            <w:szCs w:val="26"/>
          </w:rPr>
          <w:t>werner.margard@puc.state.oh.us</w:t>
        </w:r>
      </w:hyperlink>
    </w:p>
    <w:p w:rsidR="00663D6A" w:rsidRPr="00F55BB9" w:rsidRDefault="00663D6A" w:rsidP="00663D6A">
      <w:pPr>
        <w:pStyle w:val="Title"/>
        <w:tabs>
          <w:tab w:val="left" w:pos="5130"/>
          <w:tab w:val="left" w:pos="5670"/>
        </w:tabs>
        <w:jc w:val="left"/>
        <w:rPr>
          <w:rFonts w:ascii="Times New Roman" w:hAnsi="Times New Roman"/>
          <w:sz w:val="26"/>
          <w:szCs w:val="26"/>
        </w:rPr>
      </w:pPr>
    </w:p>
    <w:p w:rsidR="00663D6A" w:rsidRPr="00F55BB9" w:rsidRDefault="002969AB" w:rsidP="004B6358">
      <w:pPr>
        <w:pStyle w:val="PlainText"/>
        <w:rPr>
          <w:rFonts w:ascii="Times New Roman" w:hAnsi="Times New Roman"/>
          <w:sz w:val="26"/>
          <w:szCs w:val="26"/>
        </w:rPr>
      </w:pPr>
      <w:r w:rsidRPr="00F55BB9">
        <w:rPr>
          <w:rFonts w:ascii="Times New Roman" w:hAnsi="Times New Roman"/>
          <w:sz w:val="26"/>
          <w:szCs w:val="26"/>
        </w:rPr>
        <w:t>May 20,</w:t>
      </w:r>
      <w:r w:rsidR="00303F08" w:rsidRPr="00F55BB9">
        <w:rPr>
          <w:rFonts w:ascii="Times New Roman" w:hAnsi="Times New Roman"/>
          <w:sz w:val="26"/>
          <w:szCs w:val="26"/>
        </w:rPr>
        <w:t xml:space="preserve"> 2013</w:t>
      </w:r>
    </w:p>
    <w:p w:rsidR="003B12DD" w:rsidRPr="00F55BB9" w:rsidRDefault="003B12DD" w:rsidP="00663D6A">
      <w:pPr>
        <w:jc w:val="center"/>
        <w:rPr>
          <w:b/>
          <w:sz w:val="26"/>
          <w:szCs w:val="26"/>
        </w:rPr>
        <w:sectPr w:rsidR="003B12DD" w:rsidRPr="00F55BB9" w:rsidSect="00303F08">
          <w:headerReference w:type="default" r:id="rId11"/>
          <w:footerReference w:type="default" r:id="rId12"/>
          <w:pgSz w:w="12240" w:h="15840" w:code="1"/>
          <w:pgMar w:top="720" w:right="1440" w:bottom="720" w:left="1440" w:header="720" w:footer="720" w:gutter="0"/>
          <w:pgNumType w:fmt="lowerRoman" w:start="1"/>
          <w:cols w:space="720"/>
          <w:titlePg/>
          <w:docGrid w:linePitch="360"/>
        </w:sectPr>
      </w:pPr>
    </w:p>
    <w:p w:rsidR="00511DD0" w:rsidRDefault="00BF0931">
      <w:pPr>
        <w:pStyle w:val="TOC1"/>
        <w:rPr>
          <w:rFonts w:asciiTheme="minorHAnsi" w:eastAsiaTheme="minorEastAsia" w:hAnsiTheme="minorHAnsi" w:cstheme="minorBidi"/>
          <w:noProof/>
          <w:sz w:val="22"/>
          <w:szCs w:val="22"/>
        </w:rPr>
      </w:pPr>
      <w:r>
        <w:rPr>
          <w:b/>
          <w:i/>
          <w:sz w:val="28"/>
          <w:szCs w:val="28"/>
          <w:u w:val="single"/>
        </w:rPr>
        <w:lastRenderedPageBreak/>
        <w:fldChar w:fldCharType="begin"/>
      </w:r>
      <w:r w:rsidR="00C95499" w:rsidRPr="00944CBC">
        <w:rPr>
          <w:b/>
          <w:i/>
          <w:sz w:val="28"/>
          <w:szCs w:val="28"/>
          <w:u w:val="single"/>
        </w:rPr>
        <w:instrText xml:space="preserve"> TOC \o "1-3" \u </w:instrText>
      </w:r>
      <w:r>
        <w:rPr>
          <w:b/>
          <w:i/>
          <w:sz w:val="28"/>
          <w:szCs w:val="28"/>
          <w:u w:val="single"/>
        </w:rPr>
        <w:fldChar w:fldCharType="separate"/>
      </w:r>
      <w:r w:rsidR="00511DD0">
        <w:rPr>
          <w:noProof/>
        </w:rPr>
        <w:t>INTRODUCTION</w:t>
      </w:r>
      <w:r w:rsidR="00511DD0">
        <w:rPr>
          <w:noProof/>
        </w:rPr>
        <w:tab/>
      </w:r>
      <w:r w:rsidR="00511DD0">
        <w:rPr>
          <w:noProof/>
        </w:rPr>
        <w:fldChar w:fldCharType="begin"/>
      </w:r>
      <w:r w:rsidR="00511DD0">
        <w:rPr>
          <w:noProof/>
        </w:rPr>
        <w:instrText xml:space="preserve"> PAGEREF _Toc356369820 \h </w:instrText>
      </w:r>
      <w:r w:rsidR="00511DD0">
        <w:rPr>
          <w:noProof/>
        </w:rPr>
      </w:r>
      <w:r w:rsidR="00511DD0">
        <w:rPr>
          <w:noProof/>
        </w:rPr>
        <w:fldChar w:fldCharType="separate"/>
      </w:r>
      <w:r w:rsidR="00945468">
        <w:rPr>
          <w:noProof/>
        </w:rPr>
        <w:t>1</w:t>
      </w:r>
      <w:r w:rsidR="00511DD0">
        <w:rPr>
          <w:noProof/>
        </w:rPr>
        <w:fldChar w:fldCharType="end"/>
      </w:r>
    </w:p>
    <w:p w:rsidR="00511DD0" w:rsidRDefault="00511DD0">
      <w:pPr>
        <w:pStyle w:val="TOC1"/>
        <w:rPr>
          <w:rFonts w:asciiTheme="minorHAnsi" w:eastAsiaTheme="minorEastAsia" w:hAnsiTheme="minorHAnsi" w:cstheme="minorBidi"/>
          <w:noProof/>
          <w:sz w:val="22"/>
          <w:szCs w:val="22"/>
        </w:rPr>
      </w:pPr>
      <w:r>
        <w:rPr>
          <w:noProof/>
        </w:rPr>
        <w:t>DISCUSSION</w:t>
      </w:r>
      <w:r>
        <w:rPr>
          <w:noProof/>
        </w:rPr>
        <w:tab/>
      </w:r>
      <w:r>
        <w:rPr>
          <w:noProof/>
        </w:rPr>
        <w:fldChar w:fldCharType="begin"/>
      </w:r>
      <w:r>
        <w:rPr>
          <w:noProof/>
        </w:rPr>
        <w:instrText xml:space="preserve"> PAGEREF _Toc356369821 \h </w:instrText>
      </w:r>
      <w:r>
        <w:rPr>
          <w:noProof/>
        </w:rPr>
      </w:r>
      <w:r>
        <w:rPr>
          <w:noProof/>
        </w:rPr>
        <w:fldChar w:fldCharType="separate"/>
      </w:r>
      <w:r w:rsidR="00945468">
        <w:rPr>
          <w:noProof/>
        </w:rPr>
        <w:t>2</w:t>
      </w:r>
      <w:r>
        <w:rPr>
          <w:noProof/>
        </w:rPr>
        <w:fldChar w:fldCharType="end"/>
      </w:r>
    </w:p>
    <w:p w:rsidR="00511DD0" w:rsidRDefault="00511DD0">
      <w:pPr>
        <w:pStyle w:val="TOC2"/>
        <w:tabs>
          <w:tab w:val="left" w:pos="144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A switching tracker (ST) should be rejected.</w:t>
      </w:r>
      <w:r>
        <w:rPr>
          <w:noProof/>
        </w:rPr>
        <w:tab/>
      </w:r>
      <w:r>
        <w:rPr>
          <w:noProof/>
        </w:rPr>
        <w:fldChar w:fldCharType="begin"/>
      </w:r>
      <w:r>
        <w:rPr>
          <w:noProof/>
        </w:rPr>
        <w:instrText xml:space="preserve"> PAGEREF _Toc356369822 \h </w:instrText>
      </w:r>
      <w:r>
        <w:rPr>
          <w:noProof/>
        </w:rPr>
      </w:r>
      <w:r>
        <w:rPr>
          <w:noProof/>
        </w:rPr>
        <w:fldChar w:fldCharType="separate"/>
      </w:r>
      <w:r w:rsidR="00945468">
        <w:rPr>
          <w:noProof/>
        </w:rPr>
        <w:t>2</w:t>
      </w:r>
      <w:r>
        <w:rPr>
          <w:noProof/>
        </w:rPr>
        <w:fldChar w:fldCharType="end"/>
      </w:r>
    </w:p>
    <w:p w:rsidR="00511DD0" w:rsidRDefault="00511DD0">
      <w:pPr>
        <w:pStyle w:val="TOC2"/>
        <w:tabs>
          <w:tab w:val="left" w:pos="144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A Service Stability Rider (SSR) mechanism is permissible in an ESP.</w:t>
      </w:r>
      <w:r>
        <w:rPr>
          <w:noProof/>
        </w:rPr>
        <w:tab/>
      </w:r>
      <w:r>
        <w:rPr>
          <w:noProof/>
        </w:rPr>
        <w:fldChar w:fldCharType="begin"/>
      </w:r>
      <w:r>
        <w:rPr>
          <w:noProof/>
        </w:rPr>
        <w:instrText xml:space="preserve"> PAGEREF _Toc356369823 \h </w:instrText>
      </w:r>
      <w:r>
        <w:rPr>
          <w:noProof/>
        </w:rPr>
      </w:r>
      <w:r>
        <w:rPr>
          <w:noProof/>
        </w:rPr>
        <w:fldChar w:fldCharType="separate"/>
      </w:r>
      <w:r w:rsidR="00945468">
        <w:rPr>
          <w:noProof/>
        </w:rPr>
        <w:t>5</w:t>
      </w:r>
      <w:r>
        <w:rPr>
          <w:noProof/>
        </w:rPr>
        <w:fldChar w:fldCharType="end"/>
      </w:r>
    </w:p>
    <w:p w:rsidR="00511DD0" w:rsidRDefault="00511DD0">
      <w:pPr>
        <w:pStyle w:val="TOC2"/>
        <w:tabs>
          <w:tab w:val="left" w:pos="1440"/>
        </w:tabs>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The Standard for an SSR</w:t>
      </w:r>
      <w:r>
        <w:rPr>
          <w:noProof/>
        </w:rPr>
        <w:tab/>
      </w:r>
      <w:r>
        <w:rPr>
          <w:noProof/>
        </w:rPr>
        <w:fldChar w:fldCharType="begin"/>
      </w:r>
      <w:r>
        <w:rPr>
          <w:noProof/>
        </w:rPr>
        <w:instrText xml:space="preserve"> PAGEREF _Toc356369824 \h </w:instrText>
      </w:r>
      <w:r>
        <w:rPr>
          <w:noProof/>
        </w:rPr>
      </w:r>
      <w:r>
        <w:rPr>
          <w:noProof/>
        </w:rPr>
        <w:fldChar w:fldCharType="separate"/>
      </w:r>
      <w:r w:rsidR="00945468">
        <w:rPr>
          <w:noProof/>
        </w:rPr>
        <w:t>6</w:t>
      </w:r>
      <w:r>
        <w:rPr>
          <w:noProof/>
        </w:rPr>
        <w:fldChar w:fldCharType="end"/>
      </w:r>
    </w:p>
    <w:p w:rsidR="00511DD0" w:rsidRDefault="00511DD0">
      <w:pPr>
        <w:pStyle w:val="TOC2"/>
        <w:tabs>
          <w:tab w:val="left" w:pos="1440"/>
        </w:tabs>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The Commission must decide if the financial integrity of DP&amp;L is endangered.</w:t>
      </w:r>
      <w:r>
        <w:rPr>
          <w:noProof/>
        </w:rPr>
        <w:tab/>
      </w:r>
      <w:r>
        <w:rPr>
          <w:noProof/>
        </w:rPr>
        <w:fldChar w:fldCharType="begin"/>
      </w:r>
      <w:r>
        <w:rPr>
          <w:noProof/>
        </w:rPr>
        <w:instrText xml:space="preserve"> PAGEREF _Toc356369825 \h </w:instrText>
      </w:r>
      <w:r>
        <w:rPr>
          <w:noProof/>
        </w:rPr>
      </w:r>
      <w:r>
        <w:rPr>
          <w:noProof/>
        </w:rPr>
        <w:fldChar w:fldCharType="separate"/>
      </w:r>
      <w:r w:rsidR="00945468">
        <w:rPr>
          <w:noProof/>
        </w:rPr>
        <w:t>8</w:t>
      </w:r>
      <w:r>
        <w:rPr>
          <w:noProof/>
        </w:rPr>
        <w:fldChar w:fldCharType="end"/>
      </w:r>
    </w:p>
    <w:p w:rsidR="00511DD0" w:rsidRDefault="00511DD0">
      <w:pPr>
        <w:pStyle w:val="TOC2"/>
        <w:tabs>
          <w:tab w:val="left" w:pos="1440"/>
        </w:tabs>
        <w:rPr>
          <w:rFonts w:asciiTheme="minorHAnsi" w:eastAsiaTheme="minorEastAsia" w:hAnsiTheme="minorHAnsi" w:cstheme="minorBidi"/>
          <w:noProof/>
          <w:sz w:val="22"/>
          <w:szCs w:val="22"/>
        </w:rPr>
      </w:pPr>
      <w:r>
        <w:rPr>
          <w:noProof/>
        </w:rPr>
        <w:t>E.</w:t>
      </w:r>
      <w:r>
        <w:rPr>
          <w:rFonts w:asciiTheme="minorHAnsi" w:eastAsiaTheme="minorEastAsia" w:hAnsiTheme="minorHAnsi" w:cstheme="minorBidi"/>
          <w:noProof/>
          <w:sz w:val="22"/>
          <w:szCs w:val="22"/>
        </w:rPr>
        <w:tab/>
      </w:r>
      <w:r>
        <w:rPr>
          <w:noProof/>
        </w:rPr>
        <w:t>The Level of the SSR</w:t>
      </w:r>
      <w:r>
        <w:rPr>
          <w:noProof/>
        </w:rPr>
        <w:tab/>
      </w:r>
      <w:r>
        <w:rPr>
          <w:noProof/>
        </w:rPr>
        <w:fldChar w:fldCharType="begin"/>
      </w:r>
      <w:r>
        <w:rPr>
          <w:noProof/>
        </w:rPr>
        <w:instrText xml:space="preserve"> PAGEREF _Toc356369826 \h </w:instrText>
      </w:r>
      <w:r>
        <w:rPr>
          <w:noProof/>
        </w:rPr>
      </w:r>
      <w:r>
        <w:rPr>
          <w:noProof/>
        </w:rPr>
        <w:fldChar w:fldCharType="separate"/>
      </w:r>
      <w:r w:rsidR="00945468">
        <w:rPr>
          <w:noProof/>
        </w:rPr>
        <w:t>9</w:t>
      </w:r>
      <w:r>
        <w:rPr>
          <w:noProof/>
        </w:rPr>
        <w:fldChar w:fldCharType="end"/>
      </w:r>
    </w:p>
    <w:p w:rsidR="00511DD0" w:rsidRDefault="00511DD0">
      <w:pPr>
        <w:pStyle w:val="TOC2"/>
        <w:tabs>
          <w:tab w:val="left" w:pos="1440"/>
        </w:tabs>
        <w:rPr>
          <w:rFonts w:asciiTheme="minorHAnsi" w:eastAsiaTheme="minorEastAsia" w:hAnsiTheme="minorHAnsi" w:cstheme="minorBidi"/>
          <w:noProof/>
          <w:sz w:val="22"/>
          <w:szCs w:val="22"/>
        </w:rPr>
      </w:pPr>
      <w:r>
        <w:rPr>
          <w:noProof/>
        </w:rPr>
        <w:t>F.</w:t>
      </w:r>
      <w:r>
        <w:rPr>
          <w:rFonts w:asciiTheme="minorHAnsi" w:eastAsiaTheme="minorEastAsia" w:hAnsiTheme="minorHAnsi" w:cstheme="minorBidi"/>
          <w:noProof/>
          <w:sz w:val="22"/>
          <w:szCs w:val="22"/>
        </w:rPr>
        <w:tab/>
      </w:r>
      <w:r>
        <w:rPr>
          <w:noProof/>
        </w:rPr>
        <w:t>The ESP term should be three years.</w:t>
      </w:r>
      <w:r>
        <w:rPr>
          <w:noProof/>
        </w:rPr>
        <w:tab/>
      </w:r>
      <w:r>
        <w:rPr>
          <w:noProof/>
        </w:rPr>
        <w:fldChar w:fldCharType="begin"/>
      </w:r>
      <w:r>
        <w:rPr>
          <w:noProof/>
        </w:rPr>
        <w:instrText xml:space="preserve"> PAGEREF _Toc356369827 \h </w:instrText>
      </w:r>
      <w:r>
        <w:rPr>
          <w:noProof/>
        </w:rPr>
      </w:r>
      <w:r>
        <w:rPr>
          <w:noProof/>
        </w:rPr>
        <w:fldChar w:fldCharType="separate"/>
      </w:r>
      <w:r w:rsidR="00945468">
        <w:rPr>
          <w:noProof/>
        </w:rPr>
        <w:t>10</w:t>
      </w:r>
      <w:r>
        <w:rPr>
          <w:noProof/>
        </w:rPr>
        <w:fldChar w:fldCharType="end"/>
      </w:r>
    </w:p>
    <w:p w:rsidR="00511DD0" w:rsidRDefault="00511DD0">
      <w:pPr>
        <w:pStyle w:val="TOC2"/>
        <w:tabs>
          <w:tab w:val="left" w:pos="1440"/>
        </w:tabs>
        <w:rPr>
          <w:rFonts w:asciiTheme="minorHAnsi" w:eastAsiaTheme="minorEastAsia" w:hAnsiTheme="minorHAnsi" w:cstheme="minorBidi"/>
          <w:noProof/>
          <w:sz w:val="22"/>
          <w:szCs w:val="22"/>
        </w:rPr>
      </w:pPr>
      <w:r>
        <w:rPr>
          <w:noProof/>
        </w:rPr>
        <w:t>G.</w:t>
      </w:r>
      <w:r>
        <w:rPr>
          <w:rFonts w:asciiTheme="minorHAnsi" w:eastAsiaTheme="minorEastAsia" w:hAnsiTheme="minorHAnsi" w:cstheme="minorBidi"/>
          <w:noProof/>
          <w:sz w:val="22"/>
          <w:szCs w:val="22"/>
        </w:rPr>
        <w:tab/>
      </w:r>
      <w:r>
        <w:rPr>
          <w:noProof/>
        </w:rPr>
        <w:t>DP&amp;L debt/equity ratio should be adjusted.</w:t>
      </w:r>
      <w:r>
        <w:rPr>
          <w:noProof/>
        </w:rPr>
        <w:tab/>
      </w:r>
      <w:r>
        <w:rPr>
          <w:noProof/>
        </w:rPr>
        <w:fldChar w:fldCharType="begin"/>
      </w:r>
      <w:r>
        <w:rPr>
          <w:noProof/>
        </w:rPr>
        <w:instrText xml:space="preserve"> PAGEREF _Toc356369828 \h </w:instrText>
      </w:r>
      <w:r>
        <w:rPr>
          <w:noProof/>
        </w:rPr>
      </w:r>
      <w:r>
        <w:rPr>
          <w:noProof/>
        </w:rPr>
        <w:fldChar w:fldCharType="separate"/>
      </w:r>
      <w:r w:rsidR="00945468">
        <w:rPr>
          <w:noProof/>
        </w:rPr>
        <w:t>13</w:t>
      </w:r>
      <w:r>
        <w:rPr>
          <w:noProof/>
        </w:rPr>
        <w:fldChar w:fldCharType="end"/>
      </w:r>
    </w:p>
    <w:p w:rsidR="00511DD0" w:rsidRDefault="00511DD0">
      <w:pPr>
        <w:pStyle w:val="TOC2"/>
        <w:tabs>
          <w:tab w:val="left" w:pos="1440"/>
        </w:tabs>
        <w:rPr>
          <w:rFonts w:asciiTheme="minorHAnsi" w:eastAsiaTheme="minorEastAsia" w:hAnsiTheme="minorHAnsi" w:cstheme="minorBidi"/>
          <w:noProof/>
          <w:sz w:val="22"/>
          <w:szCs w:val="22"/>
        </w:rPr>
      </w:pPr>
      <w:r>
        <w:rPr>
          <w:noProof/>
        </w:rPr>
        <w:t>H.</w:t>
      </w:r>
      <w:r>
        <w:rPr>
          <w:rFonts w:asciiTheme="minorHAnsi" w:eastAsiaTheme="minorEastAsia" w:hAnsiTheme="minorHAnsi" w:cstheme="minorBidi"/>
          <w:noProof/>
          <w:sz w:val="22"/>
          <w:szCs w:val="22"/>
        </w:rPr>
        <w:tab/>
      </w:r>
      <w:r>
        <w:rPr>
          <w:noProof/>
        </w:rPr>
        <w:t>Staff Adjustments to Company Projections</w:t>
      </w:r>
      <w:r>
        <w:rPr>
          <w:noProof/>
        </w:rPr>
        <w:tab/>
      </w:r>
      <w:r>
        <w:rPr>
          <w:noProof/>
        </w:rPr>
        <w:fldChar w:fldCharType="begin"/>
      </w:r>
      <w:r>
        <w:rPr>
          <w:noProof/>
        </w:rPr>
        <w:instrText xml:space="preserve"> PAGEREF _Toc356369829 \h </w:instrText>
      </w:r>
      <w:r>
        <w:rPr>
          <w:noProof/>
        </w:rPr>
      </w:r>
      <w:r>
        <w:rPr>
          <w:noProof/>
        </w:rPr>
        <w:fldChar w:fldCharType="separate"/>
      </w:r>
      <w:r w:rsidR="00945468">
        <w:rPr>
          <w:noProof/>
        </w:rPr>
        <w:t>13</w:t>
      </w:r>
      <w:r>
        <w:rPr>
          <w:noProof/>
        </w:rPr>
        <w:fldChar w:fldCharType="end"/>
      </w:r>
    </w:p>
    <w:p w:rsidR="00511DD0" w:rsidRDefault="00511DD0">
      <w:pPr>
        <w:pStyle w:val="TOC2"/>
        <w:tabs>
          <w:tab w:val="left" w:pos="1440"/>
        </w:tabs>
        <w:rPr>
          <w:rFonts w:asciiTheme="minorHAnsi" w:eastAsiaTheme="minorEastAsia" w:hAnsiTheme="minorHAnsi" w:cstheme="minorBidi"/>
          <w:noProof/>
          <w:sz w:val="22"/>
          <w:szCs w:val="22"/>
        </w:rPr>
      </w:pPr>
      <w:r>
        <w:rPr>
          <w:noProof/>
        </w:rPr>
        <w:t>I.</w:t>
      </w:r>
      <w:r>
        <w:rPr>
          <w:rFonts w:asciiTheme="minorHAnsi" w:eastAsiaTheme="minorEastAsia" w:hAnsiTheme="minorHAnsi" w:cstheme="minorBidi"/>
          <w:noProof/>
          <w:sz w:val="22"/>
          <w:szCs w:val="22"/>
        </w:rPr>
        <w:tab/>
      </w:r>
      <w:r>
        <w:rPr>
          <w:noProof/>
        </w:rPr>
        <w:t>Competitive Bidding Process (CBP)</w:t>
      </w:r>
      <w:r>
        <w:rPr>
          <w:noProof/>
        </w:rPr>
        <w:tab/>
      </w:r>
      <w:r>
        <w:rPr>
          <w:noProof/>
        </w:rPr>
        <w:fldChar w:fldCharType="begin"/>
      </w:r>
      <w:r>
        <w:rPr>
          <w:noProof/>
        </w:rPr>
        <w:instrText xml:space="preserve"> PAGEREF _Toc356369830 \h </w:instrText>
      </w:r>
      <w:r>
        <w:rPr>
          <w:noProof/>
        </w:rPr>
      </w:r>
      <w:r>
        <w:rPr>
          <w:noProof/>
        </w:rPr>
        <w:fldChar w:fldCharType="separate"/>
      </w:r>
      <w:r w:rsidR="00945468">
        <w:rPr>
          <w:noProof/>
        </w:rPr>
        <w:t>16</w:t>
      </w:r>
      <w:r>
        <w:rPr>
          <w:noProof/>
        </w:rPr>
        <w:fldChar w:fldCharType="end"/>
      </w:r>
    </w:p>
    <w:p w:rsidR="00511DD0" w:rsidRDefault="00511DD0">
      <w:pPr>
        <w:pStyle w:val="TOC2"/>
        <w:tabs>
          <w:tab w:val="left" w:pos="1440"/>
        </w:tabs>
        <w:rPr>
          <w:rFonts w:asciiTheme="minorHAnsi" w:eastAsiaTheme="minorEastAsia" w:hAnsiTheme="minorHAnsi" w:cstheme="minorBidi"/>
          <w:noProof/>
          <w:sz w:val="22"/>
          <w:szCs w:val="22"/>
        </w:rPr>
      </w:pPr>
      <w:r>
        <w:rPr>
          <w:noProof/>
        </w:rPr>
        <w:t>J.</w:t>
      </w:r>
      <w:r>
        <w:rPr>
          <w:rFonts w:asciiTheme="minorHAnsi" w:eastAsiaTheme="minorEastAsia" w:hAnsiTheme="minorHAnsi" w:cstheme="minorBidi"/>
          <w:noProof/>
          <w:sz w:val="22"/>
          <w:szCs w:val="22"/>
        </w:rPr>
        <w:tab/>
      </w:r>
      <w:r>
        <w:rPr>
          <w:noProof/>
        </w:rPr>
        <w:t>No Adjustment Needed for Switch Rates</w:t>
      </w:r>
      <w:r>
        <w:rPr>
          <w:noProof/>
        </w:rPr>
        <w:tab/>
      </w:r>
      <w:r>
        <w:rPr>
          <w:noProof/>
        </w:rPr>
        <w:fldChar w:fldCharType="begin"/>
      </w:r>
      <w:r>
        <w:rPr>
          <w:noProof/>
        </w:rPr>
        <w:instrText xml:space="preserve"> PAGEREF _Toc356369831 \h </w:instrText>
      </w:r>
      <w:r>
        <w:rPr>
          <w:noProof/>
        </w:rPr>
      </w:r>
      <w:r>
        <w:rPr>
          <w:noProof/>
        </w:rPr>
        <w:fldChar w:fldCharType="separate"/>
      </w:r>
      <w:r w:rsidR="00945468">
        <w:rPr>
          <w:noProof/>
        </w:rPr>
        <w:t>17</w:t>
      </w:r>
      <w:r>
        <w:rPr>
          <w:noProof/>
        </w:rPr>
        <w:fldChar w:fldCharType="end"/>
      </w:r>
    </w:p>
    <w:p w:rsidR="00511DD0" w:rsidRDefault="00511DD0">
      <w:pPr>
        <w:pStyle w:val="TOC2"/>
        <w:tabs>
          <w:tab w:val="left" w:pos="1440"/>
        </w:tabs>
        <w:rPr>
          <w:rFonts w:asciiTheme="minorHAnsi" w:eastAsiaTheme="minorEastAsia" w:hAnsiTheme="minorHAnsi" w:cstheme="minorBidi"/>
          <w:noProof/>
          <w:sz w:val="22"/>
          <w:szCs w:val="22"/>
        </w:rPr>
      </w:pPr>
      <w:r>
        <w:rPr>
          <w:noProof/>
        </w:rPr>
        <w:t>K.</w:t>
      </w:r>
      <w:r>
        <w:rPr>
          <w:rFonts w:asciiTheme="minorHAnsi" w:eastAsiaTheme="minorEastAsia" w:hAnsiTheme="minorHAnsi" w:cstheme="minorBidi"/>
          <w:noProof/>
          <w:sz w:val="22"/>
          <w:szCs w:val="22"/>
        </w:rPr>
        <w:tab/>
      </w:r>
      <w:r>
        <w:rPr>
          <w:noProof/>
        </w:rPr>
        <w:t>SSR is Not a Transition Charge</w:t>
      </w:r>
      <w:r>
        <w:rPr>
          <w:noProof/>
        </w:rPr>
        <w:tab/>
      </w:r>
      <w:r>
        <w:rPr>
          <w:noProof/>
        </w:rPr>
        <w:fldChar w:fldCharType="begin"/>
      </w:r>
      <w:r>
        <w:rPr>
          <w:noProof/>
        </w:rPr>
        <w:instrText xml:space="preserve"> PAGEREF _Toc356369832 \h </w:instrText>
      </w:r>
      <w:r>
        <w:rPr>
          <w:noProof/>
        </w:rPr>
      </w:r>
      <w:r>
        <w:rPr>
          <w:noProof/>
        </w:rPr>
        <w:fldChar w:fldCharType="separate"/>
      </w:r>
      <w:r w:rsidR="00945468">
        <w:rPr>
          <w:noProof/>
        </w:rPr>
        <w:t>18</w:t>
      </w:r>
      <w:r>
        <w:rPr>
          <w:noProof/>
        </w:rPr>
        <w:fldChar w:fldCharType="end"/>
      </w:r>
    </w:p>
    <w:p w:rsidR="00511DD0" w:rsidRDefault="00511DD0">
      <w:pPr>
        <w:pStyle w:val="TOC2"/>
        <w:tabs>
          <w:tab w:val="left" w:pos="1440"/>
        </w:tabs>
        <w:rPr>
          <w:rFonts w:asciiTheme="minorHAnsi" w:eastAsiaTheme="minorEastAsia" w:hAnsiTheme="minorHAnsi" w:cstheme="minorBidi"/>
          <w:noProof/>
          <w:sz w:val="22"/>
          <w:szCs w:val="22"/>
        </w:rPr>
      </w:pPr>
      <w:r>
        <w:rPr>
          <w:noProof/>
        </w:rPr>
        <w:t>L.</w:t>
      </w:r>
      <w:r>
        <w:rPr>
          <w:rFonts w:asciiTheme="minorHAnsi" w:eastAsiaTheme="minorEastAsia" w:hAnsiTheme="minorHAnsi" w:cstheme="minorBidi"/>
          <w:noProof/>
          <w:sz w:val="22"/>
          <w:szCs w:val="22"/>
        </w:rPr>
        <w:tab/>
      </w:r>
      <w:r>
        <w:rPr>
          <w:noProof/>
        </w:rPr>
        <w:t>Ringfencing the SSR</w:t>
      </w:r>
      <w:r>
        <w:rPr>
          <w:noProof/>
        </w:rPr>
        <w:tab/>
      </w:r>
      <w:r>
        <w:rPr>
          <w:noProof/>
        </w:rPr>
        <w:fldChar w:fldCharType="begin"/>
      </w:r>
      <w:r>
        <w:rPr>
          <w:noProof/>
        </w:rPr>
        <w:instrText xml:space="preserve"> PAGEREF _Toc356369833 \h </w:instrText>
      </w:r>
      <w:r>
        <w:rPr>
          <w:noProof/>
        </w:rPr>
      </w:r>
      <w:r>
        <w:rPr>
          <w:noProof/>
        </w:rPr>
        <w:fldChar w:fldCharType="separate"/>
      </w:r>
      <w:r w:rsidR="00945468">
        <w:rPr>
          <w:noProof/>
        </w:rPr>
        <w:t>21</w:t>
      </w:r>
      <w:r>
        <w:rPr>
          <w:noProof/>
        </w:rPr>
        <w:fldChar w:fldCharType="end"/>
      </w:r>
    </w:p>
    <w:p w:rsidR="00511DD0" w:rsidRDefault="00511DD0">
      <w:pPr>
        <w:pStyle w:val="TOC2"/>
        <w:tabs>
          <w:tab w:val="left" w:pos="1440"/>
        </w:tabs>
        <w:rPr>
          <w:rFonts w:asciiTheme="minorHAnsi" w:eastAsiaTheme="minorEastAsia" w:hAnsiTheme="minorHAnsi" w:cstheme="minorBidi"/>
          <w:noProof/>
          <w:sz w:val="22"/>
          <w:szCs w:val="22"/>
        </w:rPr>
      </w:pPr>
      <w:r>
        <w:rPr>
          <w:noProof/>
        </w:rPr>
        <w:t>M.</w:t>
      </w:r>
      <w:r>
        <w:rPr>
          <w:rFonts w:asciiTheme="minorHAnsi" w:eastAsiaTheme="minorEastAsia" w:hAnsiTheme="minorHAnsi" w:cstheme="minorBidi"/>
          <w:noProof/>
          <w:sz w:val="22"/>
          <w:szCs w:val="22"/>
        </w:rPr>
        <w:tab/>
      </w:r>
      <w:r>
        <w:rPr>
          <w:noProof/>
        </w:rPr>
        <w:t>SSR Allocation</w:t>
      </w:r>
      <w:r>
        <w:rPr>
          <w:noProof/>
        </w:rPr>
        <w:tab/>
      </w:r>
      <w:r>
        <w:rPr>
          <w:noProof/>
        </w:rPr>
        <w:fldChar w:fldCharType="begin"/>
      </w:r>
      <w:r>
        <w:rPr>
          <w:noProof/>
        </w:rPr>
        <w:instrText xml:space="preserve"> PAGEREF _Toc356369834 \h </w:instrText>
      </w:r>
      <w:r>
        <w:rPr>
          <w:noProof/>
        </w:rPr>
      </w:r>
      <w:r>
        <w:rPr>
          <w:noProof/>
        </w:rPr>
        <w:fldChar w:fldCharType="separate"/>
      </w:r>
      <w:r w:rsidR="00945468">
        <w:rPr>
          <w:noProof/>
        </w:rPr>
        <w:t>22</w:t>
      </w:r>
      <w:r>
        <w:rPr>
          <w:noProof/>
        </w:rPr>
        <w:fldChar w:fldCharType="end"/>
      </w:r>
    </w:p>
    <w:p w:rsidR="00511DD0" w:rsidRDefault="00511DD0">
      <w:pPr>
        <w:pStyle w:val="TOC2"/>
        <w:tabs>
          <w:tab w:val="left" w:pos="1440"/>
        </w:tabs>
        <w:rPr>
          <w:rFonts w:asciiTheme="minorHAnsi" w:eastAsiaTheme="minorEastAsia" w:hAnsiTheme="minorHAnsi" w:cstheme="minorBidi"/>
          <w:noProof/>
          <w:sz w:val="22"/>
          <w:szCs w:val="22"/>
        </w:rPr>
      </w:pPr>
      <w:r>
        <w:rPr>
          <w:noProof/>
        </w:rPr>
        <w:t>N.</w:t>
      </w:r>
      <w:r>
        <w:rPr>
          <w:rFonts w:asciiTheme="minorHAnsi" w:eastAsiaTheme="minorEastAsia" w:hAnsiTheme="minorHAnsi" w:cstheme="minorBidi"/>
          <w:noProof/>
          <w:sz w:val="22"/>
          <w:szCs w:val="22"/>
        </w:rPr>
        <w:tab/>
      </w:r>
      <w:r>
        <w:rPr>
          <w:noProof/>
        </w:rPr>
        <w:t>Maximum Charge Provisions</w:t>
      </w:r>
      <w:r>
        <w:rPr>
          <w:noProof/>
        </w:rPr>
        <w:tab/>
      </w:r>
      <w:r>
        <w:rPr>
          <w:noProof/>
        </w:rPr>
        <w:fldChar w:fldCharType="begin"/>
      </w:r>
      <w:r>
        <w:rPr>
          <w:noProof/>
        </w:rPr>
        <w:instrText xml:space="preserve"> PAGEREF _Toc356369835 \h </w:instrText>
      </w:r>
      <w:r>
        <w:rPr>
          <w:noProof/>
        </w:rPr>
      </w:r>
      <w:r>
        <w:rPr>
          <w:noProof/>
        </w:rPr>
        <w:fldChar w:fldCharType="separate"/>
      </w:r>
      <w:r w:rsidR="00945468">
        <w:rPr>
          <w:noProof/>
        </w:rPr>
        <w:t>23</w:t>
      </w:r>
      <w:r>
        <w:rPr>
          <w:noProof/>
        </w:rPr>
        <w:fldChar w:fldCharType="end"/>
      </w:r>
    </w:p>
    <w:p w:rsidR="00511DD0" w:rsidRDefault="00511DD0">
      <w:pPr>
        <w:pStyle w:val="TOC2"/>
        <w:tabs>
          <w:tab w:val="left" w:pos="1440"/>
        </w:tabs>
        <w:rPr>
          <w:rFonts w:asciiTheme="minorHAnsi" w:eastAsiaTheme="minorEastAsia" w:hAnsiTheme="minorHAnsi" w:cstheme="minorBidi"/>
          <w:noProof/>
          <w:sz w:val="22"/>
          <w:szCs w:val="22"/>
        </w:rPr>
      </w:pPr>
      <w:r>
        <w:rPr>
          <w:noProof/>
        </w:rPr>
        <w:t>O.</w:t>
      </w:r>
      <w:r>
        <w:rPr>
          <w:rFonts w:asciiTheme="minorHAnsi" w:eastAsiaTheme="minorEastAsia" w:hAnsiTheme="minorHAnsi" w:cstheme="minorBidi"/>
          <w:noProof/>
          <w:sz w:val="22"/>
          <w:szCs w:val="22"/>
        </w:rPr>
        <w:tab/>
      </w:r>
      <w:r>
        <w:rPr>
          <w:noProof/>
        </w:rPr>
        <w:t>Riders</w:t>
      </w:r>
      <w:r>
        <w:rPr>
          <w:noProof/>
        </w:rPr>
        <w:tab/>
      </w:r>
      <w:r>
        <w:rPr>
          <w:noProof/>
        </w:rPr>
        <w:fldChar w:fldCharType="begin"/>
      </w:r>
      <w:r>
        <w:rPr>
          <w:noProof/>
        </w:rPr>
        <w:instrText xml:space="preserve"> PAGEREF _Toc356369836 \h </w:instrText>
      </w:r>
      <w:r>
        <w:rPr>
          <w:noProof/>
        </w:rPr>
      </w:r>
      <w:r>
        <w:rPr>
          <w:noProof/>
        </w:rPr>
        <w:fldChar w:fldCharType="separate"/>
      </w:r>
      <w:r w:rsidR="00945468">
        <w:rPr>
          <w:noProof/>
        </w:rPr>
        <w:t>24</w:t>
      </w:r>
      <w:r>
        <w:rPr>
          <w:noProof/>
        </w:rPr>
        <w:fldChar w:fldCharType="end"/>
      </w:r>
    </w:p>
    <w:p w:rsidR="00511DD0" w:rsidRDefault="00511DD0">
      <w:pPr>
        <w:pStyle w:val="TOC3"/>
        <w:tabs>
          <w:tab w:val="left" w:pos="2160"/>
        </w:tabs>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FUEL Rider</w:t>
      </w:r>
      <w:r>
        <w:rPr>
          <w:noProof/>
        </w:rPr>
        <w:tab/>
      </w:r>
      <w:r>
        <w:rPr>
          <w:noProof/>
        </w:rPr>
        <w:fldChar w:fldCharType="begin"/>
      </w:r>
      <w:r>
        <w:rPr>
          <w:noProof/>
        </w:rPr>
        <w:instrText xml:space="preserve"> PAGEREF _Toc356369837 \h </w:instrText>
      </w:r>
      <w:r>
        <w:rPr>
          <w:noProof/>
        </w:rPr>
      </w:r>
      <w:r>
        <w:rPr>
          <w:noProof/>
        </w:rPr>
        <w:fldChar w:fldCharType="separate"/>
      </w:r>
      <w:r w:rsidR="00945468">
        <w:rPr>
          <w:noProof/>
        </w:rPr>
        <w:t>24</w:t>
      </w:r>
      <w:r>
        <w:rPr>
          <w:noProof/>
        </w:rPr>
        <w:fldChar w:fldCharType="end"/>
      </w:r>
    </w:p>
    <w:p w:rsidR="00511DD0" w:rsidRDefault="00511DD0">
      <w:pPr>
        <w:pStyle w:val="TOC3"/>
        <w:tabs>
          <w:tab w:val="left" w:pos="2160"/>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Storm Damage Recovery Rider</w:t>
      </w:r>
      <w:r>
        <w:rPr>
          <w:noProof/>
        </w:rPr>
        <w:tab/>
      </w:r>
      <w:r>
        <w:rPr>
          <w:noProof/>
        </w:rPr>
        <w:fldChar w:fldCharType="begin"/>
      </w:r>
      <w:r>
        <w:rPr>
          <w:noProof/>
        </w:rPr>
        <w:instrText xml:space="preserve"> PAGEREF _Toc356369838 \h </w:instrText>
      </w:r>
      <w:r>
        <w:rPr>
          <w:noProof/>
        </w:rPr>
      </w:r>
      <w:r>
        <w:rPr>
          <w:noProof/>
        </w:rPr>
        <w:fldChar w:fldCharType="separate"/>
      </w:r>
      <w:r w:rsidR="00945468">
        <w:rPr>
          <w:noProof/>
        </w:rPr>
        <w:t>25</w:t>
      </w:r>
      <w:r>
        <w:rPr>
          <w:noProof/>
        </w:rPr>
        <w:fldChar w:fldCharType="end"/>
      </w:r>
    </w:p>
    <w:p w:rsidR="00511DD0" w:rsidRDefault="00511DD0">
      <w:pPr>
        <w:pStyle w:val="TOC3"/>
        <w:tabs>
          <w:tab w:val="left" w:pos="2160"/>
        </w:tabs>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Competitive Bid True-Up Rider</w:t>
      </w:r>
      <w:r>
        <w:rPr>
          <w:noProof/>
        </w:rPr>
        <w:tab/>
      </w:r>
      <w:r>
        <w:rPr>
          <w:noProof/>
        </w:rPr>
        <w:fldChar w:fldCharType="begin"/>
      </w:r>
      <w:r>
        <w:rPr>
          <w:noProof/>
        </w:rPr>
        <w:instrText xml:space="preserve"> PAGEREF _Toc356369839 \h </w:instrText>
      </w:r>
      <w:r>
        <w:rPr>
          <w:noProof/>
        </w:rPr>
      </w:r>
      <w:r>
        <w:rPr>
          <w:noProof/>
        </w:rPr>
        <w:fldChar w:fldCharType="separate"/>
      </w:r>
      <w:r w:rsidR="00945468">
        <w:rPr>
          <w:noProof/>
        </w:rPr>
        <w:t>26</w:t>
      </w:r>
      <w:r>
        <w:rPr>
          <w:noProof/>
        </w:rPr>
        <w:fldChar w:fldCharType="end"/>
      </w:r>
    </w:p>
    <w:p w:rsidR="00511DD0" w:rsidRDefault="00511DD0">
      <w:pPr>
        <w:pStyle w:val="TOC3"/>
        <w:tabs>
          <w:tab w:val="left" w:pos="2160"/>
        </w:tabs>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Reconciliation Rider</w:t>
      </w:r>
      <w:r>
        <w:rPr>
          <w:noProof/>
        </w:rPr>
        <w:tab/>
      </w:r>
      <w:r>
        <w:rPr>
          <w:noProof/>
        </w:rPr>
        <w:fldChar w:fldCharType="begin"/>
      </w:r>
      <w:r>
        <w:rPr>
          <w:noProof/>
        </w:rPr>
        <w:instrText xml:space="preserve"> PAGEREF _Toc356369840 \h </w:instrText>
      </w:r>
      <w:r>
        <w:rPr>
          <w:noProof/>
        </w:rPr>
      </w:r>
      <w:r>
        <w:rPr>
          <w:noProof/>
        </w:rPr>
        <w:fldChar w:fldCharType="separate"/>
      </w:r>
      <w:r w:rsidR="00945468">
        <w:rPr>
          <w:noProof/>
        </w:rPr>
        <w:t>26</w:t>
      </w:r>
      <w:r>
        <w:rPr>
          <w:noProof/>
        </w:rPr>
        <w:fldChar w:fldCharType="end"/>
      </w:r>
    </w:p>
    <w:p w:rsidR="00511DD0" w:rsidRDefault="00511DD0">
      <w:pPr>
        <w:pStyle w:val="TOC2"/>
        <w:tabs>
          <w:tab w:val="left" w:pos="1440"/>
        </w:tabs>
        <w:rPr>
          <w:rFonts w:asciiTheme="minorHAnsi" w:eastAsiaTheme="minorEastAsia" w:hAnsiTheme="minorHAnsi" w:cstheme="minorBidi"/>
          <w:noProof/>
          <w:sz w:val="22"/>
          <w:szCs w:val="22"/>
        </w:rPr>
      </w:pPr>
      <w:r>
        <w:rPr>
          <w:noProof/>
        </w:rPr>
        <w:t>P.</w:t>
      </w:r>
      <w:r>
        <w:rPr>
          <w:rFonts w:asciiTheme="minorHAnsi" w:eastAsiaTheme="minorEastAsia" w:hAnsiTheme="minorHAnsi" w:cstheme="minorBidi"/>
          <w:noProof/>
          <w:sz w:val="22"/>
          <w:szCs w:val="22"/>
        </w:rPr>
        <w:tab/>
      </w:r>
      <w:r>
        <w:rPr>
          <w:noProof/>
        </w:rPr>
        <w:t>MRO v. ESP</w:t>
      </w:r>
      <w:r>
        <w:rPr>
          <w:noProof/>
        </w:rPr>
        <w:tab/>
      </w:r>
      <w:r>
        <w:rPr>
          <w:noProof/>
        </w:rPr>
        <w:fldChar w:fldCharType="begin"/>
      </w:r>
      <w:r>
        <w:rPr>
          <w:noProof/>
        </w:rPr>
        <w:instrText xml:space="preserve"> PAGEREF _Toc356369841 \h </w:instrText>
      </w:r>
      <w:r>
        <w:rPr>
          <w:noProof/>
        </w:rPr>
      </w:r>
      <w:r>
        <w:rPr>
          <w:noProof/>
        </w:rPr>
        <w:fldChar w:fldCharType="separate"/>
      </w:r>
      <w:r w:rsidR="00945468">
        <w:rPr>
          <w:noProof/>
        </w:rPr>
        <w:t>28</w:t>
      </w:r>
      <w:r>
        <w:rPr>
          <w:noProof/>
        </w:rPr>
        <w:fldChar w:fldCharType="end"/>
      </w:r>
    </w:p>
    <w:p w:rsidR="00511DD0" w:rsidRDefault="00511DD0">
      <w:pPr>
        <w:pStyle w:val="TOC2"/>
        <w:tabs>
          <w:tab w:val="left" w:pos="1440"/>
        </w:tabs>
        <w:rPr>
          <w:rFonts w:asciiTheme="minorHAnsi" w:eastAsiaTheme="minorEastAsia" w:hAnsiTheme="minorHAnsi" w:cstheme="minorBidi"/>
          <w:noProof/>
          <w:sz w:val="22"/>
          <w:szCs w:val="22"/>
        </w:rPr>
      </w:pPr>
      <w:r>
        <w:rPr>
          <w:noProof/>
        </w:rPr>
        <w:lastRenderedPageBreak/>
        <w:t>Q.</w:t>
      </w:r>
      <w:r>
        <w:rPr>
          <w:rFonts w:asciiTheme="minorHAnsi" w:eastAsiaTheme="minorEastAsia" w:hAnsiTheme="minorHAnsi" w:cstheme="minorBidi"/>
          <w:noProof/>
          <w:sz w:val="22"/>
          <w:szCs w:val="22"/>
        </w:rPr>
        <w:tab/>
      </w:r>
      <w:r>
        <w:rPr>
          <w:noProof/>
        </w:rPr>
        <w:t>An AER Cost Cap should not be considered in this case.</w:t>
      </w:r>
      <w:r>
        <w:rPr>
          <w:noProof/>
        </w:rPr>
        <w:tab/>
      </w:r>
      <w:r>
        <w:rPr>
          <w:noProof/>
        </w:rPr>
        <w:fldChar w:fldCharType="begin"/>
      </w:r>
      <w:r>
        <w:rPr>
          <w:noProof/>
        </w:rPr>
        <w:instrText xml:space="preserve"> PAGEREF _Toc356369842 \h </w:instrText>
      </w:r>
      <w:r>
        <w:rPr>
          <w:noProof/>
        </w:rPr>
      </w:r>
      <w:r>
        <w:rPr>
          <w:noProof/>
        </w:rPr>
        <w:fldChar w:fldCharType="separate"/>
      </w:r>
      <w:r w:rsidR="00945468">
        <w:rPr>
          <w:noProof/>
        </w:rPr>
        <w:t>29</w:t>
      </w:r>
      <w:r>
        <w:rPr>
          <w:noProof/>
        </w:rPr>
        <w:fldChar w:fldCharType="end"/>
      </w:r>
    </w:p>
    <w:p w:rsidR="00511DD0" w:rsidRDefault="00511DD0">
      <w:pPr>
        <w:pStyle w:val="TOC1"/>
        <w:rPr>
          <w:rFonts w:asciiTheme="minorHAnsi" w:eastAsiaTheme="minorEastAsia" w:hAnsiTheme="minorHAnsi" w:cstheme="minorBidi"/>
          <w:noProof/>
          <w:sz w:val="22"/>
          <w:szCs w:val="22"/>
        </w:rPr>
      </w:pPr>
      <w:r>
        <w:rPr>
          <w:noProof/>
        </w:rPr>
        <w:t>CONCLUSION</w:t>
      </w:r>
      <w:r>
        <w:rPr>
          <w:noProof/>
        </w:rPr>
        <w:tab/>
      </w:r>
      <w:r>
        <w:rPr>
          <w:noProof/>
        </w:rPr>
        <w:fldChar w:fldCharType="begin"/>
      </w:r>
      <w:r>
        <w:rPr>
          <w:noProof/>
        </w:rPr>
        <w:instrText xml:space="preserve"> PAGEREF _Toc356369843 \h </w:instrText>
      </w:r>
      <w:r>
        <w:rPr>
          <w:noProof/>
        </w:rPr>
      </w:r>
      <w:r>
        <w:rPr>
          <w:noProof/>
        </w:rPr>
        <w:fldChar w:fldCharType="separate"/>
      </w:r>
      <w:r w:rsidR="00945468">
        <w:rPr>
          <w:noProof/>
        </w:rPr>
        <w:t>32</w:t>
      </w:r>
      <w:r>
        <w:rPr>
          <w:noProof/>
        </w:rPr>
        <w:fldChar w:fldCharType="end"/>
      </w:r>
    </w:p>
    <w:p w:rsidR="00511DD0" w:rsidRDefault="00511DD0">
      <w:pPr>
        <w:pStyle w:val="TOC1"/>
        <w:rPr>
          <w:rFonts w:asciiTheme="minorHAnsi" w:eastAsiaTheme="minorEastAsia" w:hAnsiTheme="minorHAnsi" w:cstheme="minorBidi"/>
          <w:noProof/>
          <w:sz w:val="22"/>
          <w:szCs w:val="22"/>
        </w:rPr>
      </w:pPr>
      <w:r w:rsidRPr="00E53CC8">
        <w:rPr>
          <w:noProof/>
        </w:rPr>
        <w:t>PROOF OF SERVICE</w:t>
      </w:r>
      <w:r>
        <w:rPr>
          <w:noProof/>
        </w:rPr>
        <w:tab/>
      </w:r>
      <w:r>
        <w:rPr>
          <w:noProof/>
        </w:rPr>
        <w:fldChar w:fldCharType="begin"/>
      </w:r>
      <w:r>
        <w:rPr>
          <w:noProof/>
        </w:rPr>
        <w:instrText xml:space="preserve"> PAGEREF _Toc356369844 \h </w:instrText>
      </w:r>
      <w:r>
        <w:rPr>
          <w:noProof/>
        </w:rPr>
      </w:r>
      <w:r>
        <w:rPr>
          <w:noProof/>
        </w:rPr>
        <w:fldChar w:fldCharType="separate"/>
      </w:r>
      <w:r w:rsidR="00945468">
        <w:rPr>
          <w:noProof/>
        </w:rPr>
        <w:t>33</w:t>
      </w:r>
      <w:r>
        <w:rPr>
          <w:noProof/>
        </w:rPr>
        <w:fldChar w:fldCharType="end"/>
      </w:r>
    </w:p>
    <w:p w:rsidR="0064436A" w:rsidRDefault="00BF0931" w:rsidP="00CB5644">
      <w:pPr>
        <w:jc w:val="center"/>
        <w:rPr>
          <w:b/>
          <w:sz w:val="26"/>
          <w:szCs w:val="26"/>
        </w:rPr>
        <w:sectPr w:rsidR="0064436A" w:rsidSect="00C95499">
          <w:headerReference w:type="default" r:id="rId13"/>
          <w:footerReference w:type="default" r:id="rId14"/>
          <w:headerReference w:type="first" r:id="rId15"/>
          <w:footerReference w:type="first" r:id="rId16"/>
          <w:pgSz w:w="12240" w:h="15840" w:code="1"/>
          <w:pgMar w:top="1440" w:right="1440" w:bottom="1440" w:left="1440" w:header="720" w:footer="720" w:gutter="0"/>
          <w:pgNumType w:fmt="lowerRoman" w:start="1"/>
          <w:cols w:space="720"/>
          <w:titlePg/>
          <w:docGrid w:linePitch="360"/>
        </w:sectPr>
      </w:pPr>
      <w:r>
        <w:rPr>
          <w:b/>
          <w:sz w:val="26"/>
          <w:szCs w:val="26"/>
        </w:rPr>
        <w:fldChar w:fldCharType="end"/>
      </w:r>
    </w:p>
    <w:p w:rsidR="00303F08" w:rsidRPr="002D54AC" w:rsidRDefault="00303F08" w:rsidP="00303F08">
      <w:pPr>
        <w:jc w:val="center"/>
        <w:rPr>
          <w:b/>
          <w:sz w:val="26"/>
          <w:szCs w:val="26"/>
        </w:rPr>
      </w:pPr>
      <w:r w:rsidRPr="002D54AC">
        <w:rPr>
          <w:b/>
          <w:sz w:val="26"/>
          <w:szCs w:val="26"/>
        </w:rPr>
        <w:lastRenderedPageBreak/>
        <w:t>BEFORE</w:t>
      </w:r>
    </w:p>
    <w:p w:rsidR="00303F08" w:rsidRPr="002D54AC" w:rsidRDefault="00303F08" w:rsidP="00303F08">
      <w:pPr>
        <w:jc w:val="center"/>
        <w:rPr>
          <w:b/>
          <w:sz w:val="26"/>
          <w:szCs w:val="26"/>
        </w:rPr>
      </w:pPr>
      <w:r w:rsidRPr="002D54AC">
        <w:rPr>
          <w:b/>
          <w:sz w:val="26"/>
          <w:szCs w:val="26"/>
        </w:rPr>
        <w:t xml:space="preserve">THE PUBLIC UTILITIES COMMISSION OF </w:t>
      </w:r>
      <w:smartTag w:uri="urn:schemas-microsoft-com:office:smarttags" w:element="place">
        <w:smartTag w:uri="urn:schemas-microsoft-com:office:smarttags" w:element="State">
          <w:r w:rsidRPr="002D54AC">
            <w:rPr>
              <w:b/>
              <w:sz w:val="26"/>
              <w:szCs w:val="26"/>
            </w:rPr>
            <w:t>OHIO</w:t>
          </w:r>
        </w:smartTag>
      </w:smartTag>
    </w:p>
    <w:p w:rsidR="00303F08" w:rsidRDefault="00303F08" w:rsidP="00303F08">
      <w:pPr>
        <w:pStyle w:val="Title"/>
        <w:tabs>
          <w:tab w:val="left" w:pos="5130"/>
          <w:tab w:val="left" w:pos="5670"/>
        </w:tabs>
        <w:rPr>
          <w:rFonts w:ascii="Times New Roman" w:hAnsi="Times New Roman"/>
          <w:sz w:val="26"/>
          <w:szCs w:val="26"/>
        </w:rPr>
      </w:pPr>
    </w:p>
    <w:tbl>
      <w:tblPr>
        <w:tblW w:w="0" w:type="auto"/>
        <w:tblLook w:val="01E0" w:firstRow="1" w:lastRow="1" w:firstColumn="1" w:lastColumn="1" w:noHBand="0" w:noVBand="0"/>
      </w:tblPr>
      <w:tblGrid>
        <w:gridCol w:w="4608"/>
        <w:gridCol w:w="360"/>
        <w:gridCol w:w="3708"/>
      </w:tblGrid>
      <w:tr w:rsidR="00F55BB9" w:rsidRPr="00F55BB9" w:rsidTr="00E055EF">
        <w:trPr>
          <w:trHeight w:val="1863"/>
        </w:trPr>
        <w:tc>
          <w:tcPr>
            <w:tcW w:w="4608" w:type="dxa"/>
            <w:shd w:val="clear" w:color="auto" w:fill="auto"/>
          </w:tcPr>
          <w:p w:rsidR="00F55BB9" w:rsidRPr="00F55BB9" w:rsidRDefault="00F55BB9" w:rsidP="00E055EF">
            <w:pPr>
              <w:rPr>
                <w:color w:val="000000"/>
                <w:sz w:val="26"/>
                <w:szCs w:val="26"/>
              </w:rPr>
            </w:pPr>
            <w:r w:rsidRPr="00F55BB9">
              <w:rPr>
                <w:color w:val="000000"/>
                <w:sz w:val="26"/>
                <w:szCs w:val="26"/>
              </w:rPr>
              <w:t xml:space="preserve">In the Matter of the Application of </w:t>
            </w:r>
            <w:r w:rsidRPr="00F55BB9">
              <w:rPr>
                <w:b/>
                <w:color w:val="000000"/>
                <w:sz w:val="26"/>
                <w:szCs w:val="26"/>
              </w:rPr>
              <w:t>The Dayton Power and Light Company</w:t>
            </w:r>
            <w:r w:rsidRPr="00F55BB9">
              <w:rPr>
                <w:color w:val="000000"/>
                <w:sz w:val="26"/>
                <w:szCs w:val="26"/>
              </w:rPr>
              <w:t xml:space="preserve"> for Approval of its Electric Security Plan.</w:t>
            </w:r>
          </w:p>
          <w:p w:rsidR="00F55BB9" w:rsidRPr="00F55BB9" w:rsidRDefault="00F55BB9" w:rsidP="00E055EF">
            <w:pPr>
              <w:rPr>
                <w:color w:val="000000"/>
                <w:sz w:val="26"/>
                <w:szCs w:val="26"/>
              </w:rPr>
            </w:pPr>
          </w:p>
          <w:p w:rsidR="00F55BB9" w:rsidRPr="00F55BB9" w:rsidRDefault="00F55BB9" w:rsidP="00E055EF">
            <w:pPr>
              <w:rPr>
                <w:color w:val="000000"/>
                <w:sz w:val="26"/>
                <w:szCs w:val="26"/>
              </w:rPr>
            </w:pPr>
            <w:r w:rsidRPr="00F55BB9">
              <w:rPr>
                <w:color w:val="000000"/>
                <w:sz w:val="26"/>
                <w:szCs w:val="26"/>
              </w:rPr>
              <w:t xml:space="preserve">In the Matter of the Application of </w:t>
            </w:r>
            <w:r w:rsidRPr="00F55BB9">
              <w:rPr>
                <w:b/>
                <w:color w:val="000000"/>
                <w:sz w:val="26"/>
                <w:szCs w:val="26"/>
              </w:rPr>
              <w:t>The Dayton Power and Light Company</w:t>
            </w:r>
            <w:r w:rsidRPr="00F55BB9">
              <w:rPr>
                <w:color w:val="000000"/>
                <w:sz w:val="26"/>
                <w:szCs w:val="26"/>
              </w:rPr>
              <w:t xml:space="preserve"> for Approval of Revised Tariffs.</w:t>
            </w:r>
          </w:p>
          <w:p w:rsidR="00F55BB9" w:rsidRPr="00F55BB9" w:rsidRDefault="00F55BB9" w:rsidP="00E055EF">
            <w:pPr>
              <w:rPr>
                <w:color w:val="000000"/>
                <w:sz w:val="26"/>
                <w:szCs w:val="26"/>
              </w:rPr>
            </w:pPr>
          </w:p>
          <w:p w:rsidR="00F55BB9" w:rsidRPr="00F55BB9" w:rsidRDefault="00F55BB9" w:rsidP="00E055EF">
            <w:pPr>
              <w:rPr>
                <w:color w:val="000000"/>
                <w:sz w:val="26"/>
                <w:szCs w:val="26"/>
              </w:rPr>
            </w:pPr>
            <w:r w:rsidRPr="00F55BB9">
              <w:rPr>
                <w:color w:val="000000"/>
                <w:sz w:val="26"/>
                <w:szCs w:val="26"/>
              </w:rPr>
              <w:t xml:space="preserve">In the Matter of the Application of </w:t>
            </w:r>
            <w:r w:rsidRPr="00F55BB9">
              <w:rPr>
                <w:b/>
                <w:color w:val="000000"/>
                <w:sz w:val="26"/>
                <w:szCs w:val="26"/>
              </w:rPr>
              <w:t>The Dayton Power and Light Company</w:t>
            </w:r>
            <w:r w:rsidRPr="00F55BB9">
              <w:rPr>
                <w:color w:val="000000"/>
                <w:sz w:val="26"/>
                <w:szCs w:val="26"/>
              </w:rPr>
              <w:t xml:space="preserve"> for Approval of Certain Accounting Authority.</w:t>
            </w:r>
          </w:p>
          <w:p w:rsidR="00F55BB9" w:rsidRPr="00F55BB9" w:rsidRDefault="00F55BB9" w:rsidP="00E055EF">
            <w:pPr>
              <w:rPr>
                <w:color w:val="000000"/>
                <w:sz w:val="26"/>
                <w:szCs w:val="26"/>
              </w:rPr>
            </w:pPr>
          </w:p>
          <w:p w:rsidR="00F55BB9" w:rsidRPr="00F55BB9" w:rsidRDefault="00F55BB9" w:rsidP="00E055EF">
            <w:pPr>
              <w:rPr>
                <w:color w:val="000000"/>
                <w:sz w:val="26"/>
                <w:szCs w:val="26"/>
              </w:rPr>
            </w:pPr>
            <w:r w:rsidRPr="00F55BB9">
              <w:rPr>
                <w:color w:val="000000"/>
                <w:sz w:val="26"/>
                <w:szCs w:val="26"/>
              </w:rPr>
              <w:t xml:space="preserve">In the Matter of the Application of </w:t>
            </w:r>
            <w:r w:rsidRPr="00F55BB9">
              <w:rPr>
                <w:b/>
                <w:color w:val="000000"/>
                <w:sz w:val="26"/>
                <w:szCs w:val="26"/>
              </w:rPr>
              <w:t>The Dayton Power and Light Company</w:t>
            </w:r>
            <w:r w:rsidRPr="00F55BB9">
              <w:rPr>
                <w:color w:val="000000"/>
                <w:sz w:val="26"/>
                <w:szCs w:val="26"/>
              </w:rPr>
              <w:t xml:space="preserve"> for the Waiver of Certain Commission Rules.</w:t>
            </w:r>
          </w:p>
          <w:p w:rsidR="00F55BB9" w:rsidRPr="00F55BB9" w:rsidRDefault="00F55BB9" w:rsidP="00E055EF">
            <w:pPr>
              <w:rPr>
                <w:color w:val="000000"/>
                <w:sz w:val="26"/>
                <w:szCs w:val="26"/>
              </w:rPr>
            </w:pPr>
          </w:p>
          <w:p w:rsidR="00F55BB9" w:rsidRPr="00F55BB9" w:rsidRDefault="00F55BB9" w:rsidP="00E055EF">
            <w:pPr>
              <w:rPr>
                <w:sz w:val="26"/>
                <w:szCs w:val="26"/>
              </w:rPr>
            </w:pPr>
            <w:r w:rsidRPr="00F55BB9">
              <w:rPr>
                <w:color w:val="000000"/>
                <w:sz w:val="26"/>
                <w:szCs w:val="26"/>
              </w:rPr>
              <w:t xml:space="preserve">In the Matter of the Application of </w:t>
            </w:r>
            <w:r w:rsidRPr="00F55BB9">
              <w:rPr>
                <w:b/>
                <w:color w:val="000000"/>
                <w:sz w:val="26"/>
                <w:szCs w:val="26"/>
              </w:rPr>
              <w:t>The Dayton Power and Light Company</w:t>
            </w:r>
            <w:r w:rsidRPr="00F55BB9">
              <w:rPr>
                <w:color w:val="000000"/>
                <w:sz w:val="26"/>
                <w:szCs w:val="26"/>
              </w:rPr>
              <w:t xml:space="preserve"> to Establish Tariff Riders.</w:t>
            </w:r>
          </w:p>
        </w:tc>
        <w:tc>
          <w:tcPr>
            <w:tcW w:w="360" w:type="dxa"/>
            <w:shd w:val="clear" w:color="auto" w:fill="auto"/>
          </w:tcPr>
          <w:p w:rsidR="00F55BB9" w:rsidRPr="00F55BB9" w:rsidRDefault="00F55BB9" w:rsidP="00E055EF">
            <w:pPr>
              <w:rPr>
                <w:sz w:val="26"/>
                <w:szCs w:val="26"/>
              </w:rPr>
            </w:pPr>
            <w:r w:rsidRPr="00F55BB9">
              <w:rPr>
                <w:sz w:val="26"/>
                <w:szCs w:val="26"/>
              </w:rPr>
              <w:t>:</w:t>
            </w:r>
          </w:p>
          <w:p w:rsidR="00F55BB9" w:rsidRPr="00F55BB9" w:rsidRDefault="00F55BB9" w:rsidP="00E055EF">
            <w:pPr>
              <w:rPr>
                <w:sz w:val="26"/>
                <w:szCs w:val="26"/>
              </w:rPr>
            </w:pPr>
            <w:r w:rsidRPr="00F55BB9">
              <w:rPr>
                <w:sz w:val="26"/>
                <w:szCs w:val="26"/>
              </w:rPr>
              <w:t>:</w:t>
            </w:r>
          </w:p>
          <w:p w:rsidR="00F55BB9" w:rsidRPr="00F55BB9" w:rsidRDefault="00F55BB9" w:rsidP="00E055EF">
            <w:pPr>
              <w:rPr>
                <w:sz w:val="26"/>
                <w:szCs w:val="26"/>
              </w:rPr>
            </w:pPr>
            <w:r w:rsidRPr="00F55BB9">
              <w:rPr>
                <w:sz w:val="26"/>
                <w:szCs w:val="26"/>
              </w:rPr>
              <w:t>:</w:t>
            </w:r>
          </w:p>
          <w:p w:rsidR="00F55BB9" w:rsidRPr="00F55BB9" w:rsidRDefault="00F55BB9" w:rsidP="00E055EF">
            <w:pPr>
              <w:rPr>
                <w:sz w:val="26"/>
                <w:szCs w:val="26"/>
              </w:rPr>
            </w:pPr>
          </w:p>
          <w:p w:rsidR="00F55BB9" w:rsidRPr="00F55BB9" w:rsidRDefault="00F55BB9" w:rsidP="00E055EF">
            <w:pPr>
              <w:rPr>
                <w:sz w:val="26"/>
                <w:szCs w:val="26"/>
              </w:rPr>
            </w:pPr>
            <w:r w:rsidRPr="00F55BB9">
              <w:rPr>
                <w:sz w:val="26"/>
                <w:szCs w:val="26"/>
              </w:rPr>
              <w:t>:</w:t>
            </w:r>
            <w:r w:rsidRPr="00F55BB9">
              <w:rPr>
                <w:sz w:val="26"/>
                <w:szCs w:val="26"/>
              </w:rPr>
              <w:br/>
              <w:t>:</w:t>
            </w:r>
          </w:p>
          <w:p w:rsidR="00F55BB9" w:rsidRPr="00F55BB9" w:rsidRDefault="00F55BB9" w:rsidP="00E055EF">
            <w:pPr>
              <w:rPr>
                <w:sz w:val="26"/>
                <w:szCs w:val="26"/>
              </w:rPr>
            </w:pPr>
            <w:r w:rsidRPr="00F55BB9">
              <w:rPr>
                <w:sz w:val="26"/>
                <w:szCs w:val="26"/>
              </w:rPr>
              <w:t>:</w:t>
            </w:r>
          </w:p>
          <w:p w:rsidR="00F55BB9" w:rsidRPr="00F55BB9" w:rsidRDefault="00F55BB9" w:rsidP="00E055EF">
            <w:pPr>
              <w:rPr>
                <w:sz w:val="26"/>
                <w:szCs w:val="26"/>
              </w:rPr>
            </w:pPr>
          </w:p>
          <w:p w:rsidR="00F55BB9" w:rsidRPr="00F55BB9" w:rsidRDefault="00F55BB9" w:rsidP="00E055EF">
            <w:pPr>
              <w:rPr>
                <w:sz w:val="26"/>
                <w:szCs w:val="26"/>
              </w:rPr>
            </w:pPr>
            <w:r w:rsidRPr="00F55BB9">
              <w:rPr>
                <w:sz w:val="26"/>
                <w:szCs w:val="26"/>
              </w:rPr>
              <w:t>:</w:t>
            </w:r>
          </w:p>
          <w:p w:rsidR="00F55BB9" w:rsidRPr="00F55BB9" w:rsidRDefault="00F55BB9" w:rsidP="00E055EF">
            <w:pPr>
              <w:rPr>
                <w:sz w:val="26"/>
                <w:szCs w:val="26"/>
              </w:rPr>
            </w:pPr>
            <w:r w:rsidRPr="00F55BB9">
              <w:rPr>
                <w:sz w:val="26"/>
                <w:szCs w:val="26"/>
              </w:rPr>
              <w:t>:</w:t>
            </w:r>
          </w:p>
          <w:p w:rsidR="00F55BB9" w:rsidRDefault="00F55BB9" w:rsidP="00E055EF">
            <w:pPr>
              <w:rPr>
                <w:sz w:val="26"/>
                <w:szCs w:val="26"/>
              </w:rPr>
            </w:pPr>
            <w:r w:rsidRPr="00F55BB9">
              <w:rPr>
                <w:sz w:val="26"/>
                <w:szCs w:val="26"/>
              </w:rPr>
              <w:t>:</w:t>
            </w:r>
          </w:p>
          <w:p w:rsidR="00F55BB9" w:rsidRPr="00F55BB9" w:rsidRDefault="00F55BB9" w:rsidP="00E055EF">
            <w:pPr>
              <w:rPr>
                <w:sz w:val="26"/>
                <w:szCs w:val="26"/>
              </w:rPr>
            </w:pPr>
            <w:r>
              <w:rPr>
                <w:sz w:val="26"/>
                <w:szCs w:val="26"/>
              </w:rPr>
              <w:t>:</w:t>
            </w:r>
          </w:p>
          <w:p w:rsidR="00F55BB9" w:rsidRPr="00F55BB9" w:rsidRDefault="00F55BB9" w:rsidP="00E055EF">
            <w:pPr>
              <w:rPr>
                <w:sz w:val="26"/>
                <w:szCs w:val="26"/>
              </w:rPr>
            </w:pPr>
          </w:p>
          <w:p w:rsidR="00F55BB9" w:rsidRPr="00F55BB9" w:rsidRDefault="00F55BB9" w:rsidP="00E055EF">
            <w:pPr>
              <w:rPr>
                <w:sz w:val="26"/>
                <w:szCs w:val="26"/>
              </w:rPr>
            </w:pPr>
            <w:r w:rsidRPr="00F55BB9">
              <w:rPr>
                <w:sz w:val="26"/>
                <w:szCs w:val="26"/>
              </w:rPr>
              <w:t>:</w:t>
            </w:r>
          </w:p>
          <w:p w:rsidR="00F55BB9" w:rsidRPr="00F55BB9" w:rsidRDefault="00F55BB9" w:rsidP="00E055EF">
            <w:pPr>
              <w:rPr>
                <w:sz w:val="26"/>
                <w:szCs w:val="26"/>
              </w:rPr>
            </w:pPr>
            <w:r w:rsidRPr="00F55BB9">
              <w:rPr>
                <w:sz w:val="26"/>
                <w:szCs w:val="26"/>
              </w:rPr>
              <w:t>:</w:t>
            </w:r>
          </w:p>
          <w:p w:rsidR="00F55BB9" w:rsidRPr="00F55BB9" w:rsidRDefault="00F55BB9" w:rsidP="00E055EF">
            <w:pPr>
              <w:rPr>
                <w:sz w:val="26"/>
                <w:szCs w:val="26"/>
              </w:rPr>
            </w:pPr>
            <w:r w:rsidRPr="00F55BB9">
              <w:rPr>
                <w:sz w:val="26"/>
                <w:szCs w:val="26"/>
              </w:rPr>
              <w:t>:</w:t>
            </w:r>
          </w:p>
          <w:p w:rsidR="00F55BB9" w:rsidRPr="00F55BB9" w:rsidRDefault="00F55BB9" w:rsidP="00E055EF">
            <w:pPr>
              <w:rPr>
                <w:sz w:val="26"/>
                <w:szCs w:val="26"/>
              </w:rPr>
            </w:pPr>
          </w:p>
          <w:p w:rsidR="00F55BB9" w:rsidRPr="00F55BB9" w:rsidRDefault="00F55BB9" w:rsidP="00E055EF">
            <w:pPr>
              <w:rPr>
                <w:sz w:val="26"/>
                <w:szCs w:val="26"/>
              </w:rPr>
            </w:pPr>
            <w:r w:rsidRPr="00F55BB9">
              <w:rPr>
                <w:sz w:val="26"/>
                <w:szCs w:val="26"/>
              </w:rPr>
              <w:t>:</w:t>
            </w:r>
          </w:p>
          <w:p w:rsidR="00F55BB9" w:rsidRPr="00F55BB9" w:rsidRDefault="00F55BB9" w:rsidP="00E055EF">
            <w:pPr>
              <w:rPr>
                <w:sz w:val="26"/>
                <w:szCs w:val="26"/>
              </w:rPr>
            </w:pPr>
            <w:r w:rsidRPr="00F55BB9">
              <w:rPr>
                <w:sz w:val="26"/>
                <w:szCs w:val="26"/>
              </w:rPr>
              <w:t>:</w:t>
            </w:r>
            <w:r w:rsidRPr="00F55BB9">
              <w:rPr>
                <w:sz w:val="26"/>
                <w:szCs w:val="26"/>
              </w:rPr>
              <w:br/>
              <w:t>:</w:t>
            </w:r>
          </w:p>
        </w:tc>
        <w:tc>
          <w:tcPr>
            <w:tcW w:w="3708" w:type="dxa"/>
            <w:shd w:val="clear" w:color="auto" w:fill="auto"/>
          </w:tcPr>
          <w:p w:rsidR="00F55BB9" w:rsidRPr="00F55BB9" w:rsidRDefault="00F55BB9" w:rsidP="00E055EF">
            <w:pPr>
              <w:rPr>
                <w:sz w:val="26"/>
                <w:szCs w:val="26"/>
              </w:rPr>
            </w:pPr>
          </w:p>
          <w:p w:rsidR="00F55BB9" w:rsidRPr="00F55BB9" w:rsidRDefault="00F55BB9" w:rsidP="00E055EF">
            <w:pPr>
              <w:rPr>
                <w:sz w:val="26"/>
                <w:szCs w:val="26"/>
              </w:rPr>
            </w:pPr>
            <w:r w:rsidRPr="00F55BB9">
              <w:rPr>
                <w:sz w:val="26"/>
                <w:szCs w:val="26"/>
              </w:rPr>
              <w:t xml:space="preserve">Case No. </w:t>
            </w:r>
            <w:r w:rsidRPr="00F55BB9">
              <w:rPr>
                <w:b/>
                <w:sz w:val="26"/>
                <w:szCs w:val="26"/>
              </w:rPr>
              <w:t>12-426-EL-SSO</w:t>
            </w:r>
          </w:p>
          <w:p w:rsidR="00F55BB9" w:rsidRPr="00F55BB9" w:rsidRDefault="00F55BB9" w:rsidP="00E055EF">
            <w:pPr>
              <w:rPr>
                <w:sz w:val="26"/>
                <w:szCs w:val="26"/>
              </w:rPr>
            </w:pPr>
          </w:p>
          <w:p w:rsidR="00F55BB9" w:rsidRPr="00F55BB9" w:rsidRDefault="00F55BB9" w:rsidP="00E055EF">
            <w:pPr>
              <w:rPr>
                <w:sz w:val="26"/>
                <w:szCs w:val="26"/>
              </w:rPr>
            </w:pPr>
          </w:p>
          <w:p w:rsidR="00F55BB9" w:rsidRPr="00F55BB9" w:rsidRDefault="00F55BB9" w:rsidP="00E055EF">
            <w:pPr>
              <w:rPr>
                <w:sz w:val="26"/>
                <w:szCs w:val="26"/>
              </w:rPr>
            </w:pPr>
          </w:p>
          <w:p w:rsidR="00F55BB9" w:rsidRPr="00F55BB9" w:rsidRDefault="00F55BB9" w:rsidP="00E055EF">
            <w:pPr>
              <w:rPr>
                <w:sz w:val="26"/>
                <w:szCs w:val="26"/>
              </w:rPr>
            </w:pPr>
            <w:r w:rsidRPr="00F55BB9">
              <w:rPr>
                <w:sz w:val="26"/>
                <w:szCs w:val="26"/>
              </w:rPr>
              <w:t xml:space="preserve">Case No. </w:t>
            </w:r>
            <w:r w:rsidRPr="00F55BB9">
              <w:rPr>
                <w:b/>
                <w:sz w:val="26"/>
                <w:szCs w:val="26"/>
              </w:rPr>
              <w:t>12-427-EL-ATA</w:t>
            </w:r>
          </w:p>
          <w:p w:rsidR="00F55BB9" w:rsidRPr="00F55BB9" w:rsidRDefault="00F55BB9" w:rsidP="00E055EF">
            <w:pPr>
              <w:rPr>
                <w:sz w:val="26"/>
                <w:szCs w:val="26"/>
              </w:rPr>
            </w:pPr>
          </w:p>
          <w:p w:rsidR="00F55BB9" w:rsidRPr="00F55BB9" w:rsidRDefault="00F55BB9" w:rsidP="00E055EF">
            <w:pPr>
              <w:rPr>
                <w:sz w:val="26"/>
                <w:szCs w:val="26"/>
              </w:rPr>
            </w:pPr>
          </w:p>
          <w:p w:rsidR="00F55BB9" w:rsidRPr="00F55BB9" w:rsidRDefault="00F55BB9" w:rsidP="00E055EF">
            <w:pPr>
              <w:rPr>
                <w:sz w:val="26"/>
                <w:szCs w:val="26"/>
              </w:rPr>
            </w:pPr>
          </w:p>
          <w:p w:rsidR="00F55BB9" w:rsidRPr="00F55BB9" w:rsidRDefault="00F55BB9" w:rsidP="00E055EF">
            <w:pPr>
              <w:rPr>
                <w:sz w:val="26"/>
                <w:szCs w:val="26"/>
              </w:rPr>
            </w:pPr>
            <w:r w:rsidRPr="00F55BB9">
              <w:rPr>
                <w:sz w:val="26"/>
                <w:szCs w:val="26"/>
              </w:rPr>
              <w:t xml:space="preserve">Case No. </w:t>
            </w:r>
            <w:r w:rsidRPr="00F55BB9">
              <w:rPr>
                <w:b/>
                <w:sz w:val="26"/>
                <w:szCs w:val="26"/>
              </w:rPr>
              <w:t>12-428-EL-AAM</w:t>
            </w:r>
          </w:p>
          <w:p w:rsidR="00F55BB9" w:rsidRPr="00F55BB9" w:rsidRDefault="00F55BB9" w:rsidP="00E055EF">
            <w:pPr>
              <w:rPr>
                <w:sz w:val="26"/>
                <w:szCs w:val="26"/>
              </w:rPr>
            </w:pPr>
          </w:p>
          <w:p w:rsidR="00F55BB9" w:rsidRPr="00F55BB9" w:rsidRDefault="00F55BB9" w:rsidP="00E055EF">
            <w:pPr>
              <w:rPr>
                <w:sz w:val="26"/>
                <w:szCs w:val="26"/>
              </w:rPr>
            </w:pPr>
          </w:p>
          <w:p w:rsidR="00F55BB9" w:rsidRPr="00F55BB9" w:rsidRDefault="00F55BB9" w:rsidP="00E055EF">
            <w:pPr>
              <w:rPr>
                <w:sz w:val="26"/>
                <w:szCs w:val="26"/>
              </w:rPr>
            </w:pPr>
          </w:p>
          <w:p w:rsidR="00F55BB9" w:rsidRPr="00F55BB9" w:rsidRDefault="00F55BB9" w:rsidP="00E055EF">
            <w:pPr>
              <w:rPr>
                <w:sz w:val="26"/>
                <w:szCs w:val="26"/>
              </w:rPr>
            </w:pPr>
            <w:r w:rsidRPr="00F55BB9">
              <w:rPr>
                <w:sz w:val="26"/>
                <w:szCs w:val="26"/>
              </w:rPr>
              <w:t xml:space="preserve">Case No. </w:t>
            </w:r>
            <w:r w:rsidRPr="00F55BB9">
              <w:rPr>
                <w:b/>
                <w:sz w:val="26"/>
                <w:szCs w:val="26"/>
              </w:rPr>
              <w:t>12-429-EL-WVR</w:t>
            </w:r>
          </w:p>
          <w:p w:rsidR="00F55BB9" w:rsidRPr="00F55BB9" w:rsidRDefault="00F55BB9" w:rsidP="00E055EF">
            <w:pPr>
              <w:rPr>
                <w:sz w:val="26"/>
                <w:szCs w:val="26"/>
              </w:rPr>
            </w:pPr>
          </w:p>
          <w:p w:rsidR="00F55BB9" w:rsidRPr="00F55BB9" w:rsidRDefault="00F55BB9" w:rsidP="00E055EF">
            <w:pPr>
              <w:rPr>
                <w:sz w:val="26"/>
                <w:szCs w:val="26"/>
              </w:rPr>
            </w:pPr>
          </w:p>
          <w:p w:rsidR="00F55BB9" w:rsidRPr="00F55BB9" w:rsidRDefault="00F55BB9" w:rsidP="00E055EF">
            <w:pPr>
              <w:rPr>
                <w:sz w:val="26"/>
                <w:szCs w:val="26"/>
              </w:rPr>
            </w:pPr>
            <w:r w:rsidRPr="00F55BB9">
              <w:rPr>
                <w:sz w:val="26"/>
                <w:szCs w:val="26"/>
              </w:rPr>
              <w:t>Case No.</w:t>
            </w:r>
            <w:r w:rsidRPr="00F55BB9">
              <w:rPr>
                <w:b/>
                <w:sz w:val="26"/>
                <w:szCs w:val="26"/>
              </w:rPr>
              <w:t xml:space="preserve"> 12-672-EL-RDR</w:t>
            </w:r>
          </w:p>
          <w:p w:rsidR="00F55BB9" w:rsidRPr="00F55BB9" w:rsidRDefault="00F55BB9" w:rsidP="00E055EF">
            <w:pPr>
              <w:rPr>
                <w:sz w:val="26"/>
                <w:szCs w:val="26"/>
              </w:rPr>
            </w:pPr>
          </w:p>
        </w:tc>
      </w:tr>
    </w:tbl>
    <w:p w:rsidR="00303F08" w:rsidRDefault="00303F08" w:rsidP="00303F08">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303F08" w:rsidRPr="00E10679" w:rsidRDefault="00303F08" w:rsidP="00303F08">
      <w:pPr>
        <w:pStyle w:val="Title"/>
        <w:tabs>
          <w:tab w:val="left" w:pos="9360"/>
        </w:tabs>
        <w:rPr>
          <w:rFonts w:ascii="Times New Roman" w:hAnsi="Times New Roman"/>
          <w:b/>
          <w:sz w:val="32"/>
          <w:szCs w:val="32"/>
        </w:rPr>
      </w:pPr>
      <w:r>
        <w:rPr>
          <w:rFonts w:ascii="Times New Roman" w:hAnsi="Times New Roman"/>
          <w:b/>
          <w:sz w:val="32"/>
          <w:szCs w:val="32"/>
        </w:rPr>
        <w:t>POST-HEARING BRIEF</w:t>
      </w:r>
    </w:p>
    <w:p w:rsidR="00303F08" w:rsidRPr="00303F08" w:rsidRDefault="00303F08" w:rsidP="00303F08">
      <w:pPr>
        <w:jc w:val="center"/>
        <w:rPr>
          <w:sz w:val="26"/>
          <w:szCs w:val="26"/>
        </w:rPr>
      </w:pPr>
      <w:r w:rsidRPr="00303F08">
        <w:rPr>
          <w:sz w:val="26"/>
          <w:szCs w:val="26"/>
        </w:rPr>
        <w:t>SUBMITTED ON BEHALF OF THE STAFF OF</w:t>
      </w:r>
    </w:p>
    <w:p w:rsidR="00303F08" w:rsidRPr="00303F08" w:rsidRDefault="00303F08" w:rsidP="00303F08">
      <w:pPr>
        <w:jc w:val="center"/>
        <w:rPr>
          <w:sz w:val="26"/>
          <w:szCs w:val="26"/>
        </w:rPr>
      </w:pPr>
      <w:r w:rsidRPr="00303F08">
        <w:rPr>
          <w:sz w:val="26"/>
          <w:szCs w:val="26"/>
        </w:rPr>
        <w:t>THE PUBLIC UTILITIES COMMISSION OF OHIO</w:t>
      </w:r>
    </w:p>
    <w:p w:rsidR="00303F08" w:rsidRDefault="00303F08" w:rsidP="00303F08">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CB5644" w:rsidRPr="00613023" w:rsidRDefault="00CB5644" w:rsidP="0064436A">
      <w:pPr>
        <w:pStyle w:val="Heading1"/>
      </w:pPr>
      <w:bookmarkStart w:id="15" w:name="_Toc356369820"/>
      <w:r w:rsidRPr="00613023">
        <w:t>INTRODUCTION</w:t>
      </w:r>
      <w:bookmarkEnd w:id="15"/>
    </w:p>
    <w:p w:rsidR="00453EEA" w:rsidRDefault="00453EEA" w:rsidP="00CF5C7A">
      <w:pPr>
        <w:pStyle w:val="textstyle0"/>
      </w:pPr>
      <w:r>
        <w:tab/>
        <w:t>This case revolves around the financial stability of the Dayton Power and Light Company (DP&amp;L or the company).  It is an integrated utility, that is to say Dayton Power and Light owns generating, transmission, and distribution assets.  It claims that it is nec</w:t>
      </w:r>
      <w:r>
        <w:softHyphen/>
        <w:t>essary that this Commission provide it with a switching tracker (ST) and a system stabil</w:t>
      </w:r>
      <w:r>
        <w:softHyphen/>
        <w:t xml:space="preserve">ity rider (SSR) in its Electric Security Plan (ESP) for five years (among other steps) to assure that DP&amp;L can maintain financial integrity during the period of time that will be </w:t>
      </w:r>
      <w:r>
        <w:lastRenderedPageBreak/>
        <w:t>required for the company to spin its generating assets off into a separate affiliate.  The Staff of the Public Utilities Commission of Ohio (</w:t>
      </w:r>
      <w:r w:rsidR="0009671E">
        <w:t>S</w:t>
      </w:r>
      <w:r>
        <w:t>taff) agrees with some of the pro</w:t>
      </w:r>
      <w:r w:rsidR="00F55BB9">
        <w:softHyphen/>
      </w:r>
      <w:r>
        <w:t>posals of the company and disagrees with others.  Each topic will be explored in the sec</w:t>
      </w:r>
      <w:r w:rsidR="00F55BB9">
        <w:softHyphen/>
      </w:r>
      <w:r>
        <w:t>tions that follow.</w:t>
      </w:r>
    </w:p>
    <w:p w:rsidR="00E10679" w:rsidRDefault="00E10679" w:rsidP="00E10679">
      <w:pPr>
        <w:pStyle w:val="Heading1"/>
      </w:pPr>
      <w:bookmarkStart w:id="16" w:name="_Toc356369821"/>
      <w:r>
        <w:t>DISCUSSION</w:t>
      </w:r>
      <w:bookmarkEnd w:id="16"/>
    </w:p>
    <w:p w:rsidR="006A3730" w:rsidRDefault="006A3730" w:rsidP="00D71806">
      <w:pPr>
        <w:pStyle w:val="Heading2"/>
      </w:pPr>
      <w:bookmarkStart w:id="17" w:name="_Toc356369822"/>
      <w:r>
        <w:t>A.</w:t>
      </w:r>
      <w:r>
        <w:tab/>
      </w:r>
      <w:r w:rsidR="002969AB">
        <w:t xml:space="preserve">A switching tracker </w:t>
      </w:r>
      <w:r w:rsidR="009204B4">
        <w:t xml:space="preserve">(ST) </w:t>
      </w:r>
      <w:r w:rsidR="002969AB">
        <w:t>should be rejected.</w:t>
      </w:r>
      <w:bookmarkEnd w:id="17"/>
    </w:p>
    <w:p w:rsidR="002969AB" w:rsidRDefault="006A3730" w:rsidP="00CF5C7A">
      <w:pPr>
        <w:pStyle w:val="textstyle0"/>
      </w:pPr>
      <w:r>
        <w:tab/>
      </w:r>
      <w:r w:rsidR="002969AB">
        <w:t xml:space="preserve">The </w:t>
      </w:r>
      <w:r w:rsidR="00C25890">
        <w:t>Company</w:t>
      </w:r>
      <w:r w:rsidR="002969AB">
        <w:t xml:space="preserve"> proposes a switching tracker which would provide it with an amount of revenue which would replace the amount of margin that it would lose for switching that occurs beyond the 62% level.</w:t>
      </w:r>
      <w:r w:rsidR="002969AB">
        <w:rPr>
          <w:rStyle w:val="FootnoteReference"/>
          <w:sz w:val="28"/>
          <w:szCs w:val="28"/>
        </w:rPr>
        <w:footnoteReference w:id="1"/>
      </w:r>
      <w:r w:rsidR="002969AB">
        <w:t xml:space="preserve">  Essentially, under the </w:t>
      </w:r>
      <w:r w:rsidR="00C25890">
        <w:t>Company</w:t>
      </w:r>
      <w:r w:rsidR="002969AB">
        <w:t xml:space="preserve">’s proposal, it would receive the same amount of profit whether or not switching occurs above the 62% level.  If switching does not rise above the 62% level, the </w:t>
      </w:r>
      <w:r w:rsidR="00C25890">
        <w:t>Company</w:t>
      </w:r>
      <w:r w:rsidR="002969AB">
        <w:t xml:space="preserve"> would achieve its margin from its continued sales.  If switching would rise above this level, the </w:t>
      </w:r>
      <w:r w:rsidR="00C25890">
        <w:t>Com</w:t>
      </w:r>
      <w:r w:rsidR="003E7525">
        <w:softHyphen/>
      </w:r>
      <w:r w:rsidR="00C25890">
        <w:t>pany</w:t>
      </w:r>
      <w:r w:rsidR="002969AB">
        <w:t xml:space="preserve"> would achieve the same margin through the ST.  It would be insulated from the financial impacts of increased switching.</w:t>
      </w:r>
    </w:p>
    <w:p w:rsidR="002969AB" w:rsidRDefault="002969AB" w:rsidP="00CF5C7A">
      <w:pPr>
        <w:pStyle w:val="textstyle0"/>
      </w:pPr>
      <w:r>
        <w:tab/>
        <w:t xml:space="preserve">It is assuredly true that one of the sources of the </w:t>
      </w:r>
      <w:r w:rsidR="00C25890">
        <w:t>Company</w:t>
      </w:r>
      <w:r>
        <w:t>’s increased financial stress is the increased levels of switching already observed.</w:t>
      </w:r>
      <w:r>
        <w:rPr>
          <w:rStyle w:val="FootnoteReference"/>
          <w:sz w:val="28"/>
          <w:szCs w:val="28"/>
        </w:rPr>
        <w:footnoteReference w:id="2"/>
      </w:r>
      <w:r>
        <w:t xml:space="preserve">  It is likewise true that the proposed ST mechanism would eliminate this one source of increased financial stress that </w:t>
      </w:r>
      <w:r>
        <w:lastRenderedPageBreak/>
        <w:t xml:space="preserve">the </w:t>
      </w:r>
      <w:r w:rsidR="00C25890">
        <w:t>Company</w:t>
      </w:r>
      <w:r>
        <w:t xml:space="preserve"> will likely experience.</w:t>
      </w:r>
      <w:r>
        <w:rPr>
          <w:rStyle w:val="FootnoteReference"/>
          <w:sz w:val="28"/>
          <w:szCs w:val="28"/>
        </w:rPr>
        <w:footnoteReference w:id="3"/>
      </w:r>
      <w:r>
        <w:t xml:space="preserve">  Despite these facts, the ST proposal should be rejected.</w:t>
      </w:r>
    </w:p>
    <w:p w:rsidR="002969AB" w:rsidRDefault="002969AB" w:rsidP="00CF5C7A">
      <w:pPr>
        <w:pStyle w:val="textstyle0"/>
      </w:pPr>
      <w:r>
        <w:tab/>
        <w:t>In implementing Chapter 4928, the Commission is charged to do a number of things, including:</w:t>
      </w:r>
    </w:p>
    <w:p w:rsidR="002969AB" w:rsidRPr="00FF6A14" w:rsidRDefault="00BF52BD" w:rsidP="00BF52BD">
      <w:pPr>
        <w:pStyle w:val="Blockquote"/>
        <w:jc w:val="center"/>
      </w:pPr>
      <w:r>
        <w:t>*     *     *</w:t>
      </w:r>
    </w:p>
    <w:p w:rsidR="002969AB" w:rsidRPr="00FF6A14" w:rsidRDefault="002969AB" w:rsidP="00CF5C7A">
      <w:pPr>
        <w:pStyle w:val="Blockquote"/>
      </w:pPr>
      <w:r w:rsidRPr="00FF6A14">
        <w:t>(B) Ensure the availability of unbundled and comparable retail electric service that provides consumers with the sup</w:t>
      </w:r>
      <w:r w:rsidR="003E7525">
        <w:softHyphen/>
      </w:r>
      <w:r w:rsidRPr="00FF6A14">
        <w:t>plier, price, terms, conditions, and quality options they elect to meet their respective needs;</w:t>
      </w:r>
    </w:p>
    <w:p w:rsidR="002969AB" w:rsidRDefault="002969AB" w:rsidP="00CF5C7A">
      <w:pPr>
        <w:pStyle w:val="Blockquote"/>
      </w:pPr>
      <w:r w:rsidRPr="00FF6A14">
        <w:t xml:space="preserve">(C) Ensure diversity of electricity supplies and suppliers, by giving consumers effective choices over the selection of those supplies and suppliers and by encouraging the development of distributed and small generation facilities; </w:t>
      </w:r>
    </w:p>
    <w:p w:rsidR="00BF52BD" w:rsidRPr="00FF6A14" w:rsidRDefault="00BF52BD" w:rsidP="00BF52BD">
      <w:pPr>
        <w:pStyle w:val="Blockquote"/>
        <w:jc w:val="center"/>
      </w:pPr>
      <w:r>
        <w:t>*     *     *</w:t>
      </w:r>
    </w:p>
    <w:p w:rsidR="002969AB" w:rsidRDefault="002969AB" w:rsidP="00CF5C7A">
      <w:pPr>
        <w:pStyle w:val="Blockquote"/>
      </w:pPr>
      <w:r w:rsidRPr="00FF6A14">
        <w:t>(H) Ensure effective competition in the provision of retail electric service by avoiding anticompetitive subsidies flowing from a noncompetitive retail electric service to a competitive retail electric service or to a product or service other than retail electric service, and vice versa, including by prohibiting the recovery of any generation-related costs through dis</w:t>
      </w:r>
      <w:r>
        <w:t>tribu</w:t>
      </w:r>
      <w:r w:rsidR="003E7525">
        <w:softHyphen/>
      </w:r>
      <w:r>
        <w:t>tion or transmission rates. . . .</w:t>
      </w:r>
      <w:r>
        <w:rPr>
          <w:rStyle w:val="FootnoteReference"/>
        </w:rPr>
        <w:footnoteReference w:id="4"/>
      </w:r>
    </w:p>
    <w:p w:rsidR="002969AB" w:rsidRDefault="002969AB" w:rsidP="00CF5C7A">
      <w:pPr>
        <w:pStyle w:val="textstyle0"/>
      </w:pPr>
      <w:r>
        <w:t>The proposed ST works at cross-purposes with all of these policies.</w:t>
      </w:r>
      <w:r>
        <w:rPr>
          <w:rStyle w:val="FootnoteReference"/>
        </w:rPr>
        <w:footnoteReference w:id="5"/>
      </w:r>
      <w:r>
        <w:t xml:space="preserve">  DP&amp;L is </w:t>
      </w:r>
      <w:r w:rsidRPr="00D76063">
        <w:rPr>
          <w:i/>
        </w:rPr>
        <w:t>supposed</w:t>
      </w:r>
      <w:r>
        <w:t xml:space="preserve"> to be subject to the stresses of shopping.  This is not new.  Thirteen years ago the General </w:t>
      </w:r>
      <w:r>
        <w:lastRenderedPageBreak/>
        <w:t>Assembly determined that retail electric generating service was competitive.</w:t>
      </w:r>
      <w:r>
        <w:rPr>
          <w:rStyle w:val="FootnoteReference"/>
        </w:rPr>
        <w:footnoteReference w:id="6"/>
      </w:r>
      <w:r>
        <w:t xml:space="preserve">  All shop</w:t>
      </w:r>
      <w:r w:rsidR="003E7525">
        <w:softHyphen/>
      </w:r>
      <w:r>
        <w:t>ping begins with a customer leaving the standard service offer.  That this leaving would have financial ramifications for the utilities was not lost on the General Assembly.  SB 3 included the possibility of transition charges intended to “…assist it in making the transi</w:t>
      </w:r>
      <w:r w:rsidR="003E7525">
        <w:softHyphen/>
      </w:r>
      <w:r>
        <w:t>tion to a fully competitive retail electric generation market.”</w:t>
      </w:r>
      <w:r>
        <w:rPr>
          <w:rStyle w:val="FootnoteReference"/>
        </w:rPr>
        <w:footnoteReference w:id="7"/>
      </w:r>
      <w:r>
        <w:t xml:space="preserve">  DP&amp;L received such transi</w:t>
      </w:r>
      <w:r w:rsidR="003E7525">
        <w:softHyphen/>
      </w:r>
      <w:r>
        <w:t>tion charges.</w:t>
      </w:r>
      <w:r>
        <w:rPr>
          <w:rStyle w:val="FootnoteReference"/>
        </w:rPr>
        <w:footnoteReference w:id="8"/>
      </w:r>
      <w:r>
        <w:t xml:space="preserve">  Further the </w:t>
      </w:r>
      <w:r w:rsidR="00C25890">
        <w:t>Company</w:t>
      </w:r>
      <w:r>
        <w:t xml:space="preserve"> has charged into the competitive markets by opting into the PJM capacity markets when prices were high rather than </w:t>
      </w:r>
      <w:r w:rsidR="00AA62C8">
        <w:t>opting for the alternative construct</w:t>
      </w:r>
      <w:r>
        <w:t>.</w:t>
      </w:r>
      <w:r>
        <w:rPr>
          <w:rStyle w:val="FootnoteReference"/>
        </w:rPr>
        <w:footnoteReference w:id="9"/>
      </w:r>
      <w:r>
        <w:t xml:space="preserve">  The </w:t>
      </w:r>
      <w:r w:rsidR="00C25890">
        <w:t>Company</w:t>
      </w:r>
      <w:r>
        <w:t xml:space="preserve"> has had sufficient time and resources to come to grips with the occurrence of switching.  Assuring the profit margin of one player in a competitive market is clearly anti-competitive.  The ST does this and should not, there</w:t>
      </w:r>
      <w:r w:rsidR="0004138A">
        <w:softHyphen/>
      </w:r>
      <w:r>
        <w:t>fore, be authorized.</w:t>
      </w:r>
    </w:p>
    <w:p w:rsidR="002969AB" w:rsidRDefault="002969AB" w:rsidP="00CF5C7A">
      <w:pPr>
        <w:pStyle w:val="textstyle0"/>
      </w:pPr>
      <w:r>
        <w:tab/>
        <w:t>Even if the ST were a good idea, and it is not, including such a mechanism within an ESP is problematic.  For an ESP to be approved, it must be more fav</w:t>
      </w:r>
      <w:r w:rsidR="0009671E">
        <w:t>orable in the aggregate than a Market Rate Offer (</w:t>
      </w:r>
      <w:r>
        <w:t>MRO</w:t>
      </w:r>
      <w:r w:rsidR="0009671E">
        <w:t>)</w:t>
      </w:r>
      <w:r>
        <w:t xml:space="preserve"> would be if there </w:t>
      </w:r>
      <w:r w:rsidR="0009671E">
        <w:t>was</w:t>
      </w:r>
      <w:r>
        <w:t xml:space="preserve"> one.</w:t>
      </w:r>
      <w:r>
        <w:rPr>
          <w:rStyle w:val="FootnoteReference"/>
        </w:rPr>
        <w:footnoteReference w:id="10"/>
      </w:r>
      <w:r>
        <w:t xml:space="preserve">  Given the adjusta</w:t>
      </w:r>
      <w:r w:rsidR="00F55BB9">
        <w:softHyphen/>
      </w:r>
      <w:r>
        <w:t xml:space="preserve">ble nature of the proposed ST, it is remarkably difficult to establish what it would cost were it authorized.  Indeed, if there were no additional switching over the term, the </w:t>
      </w:r>
      <w:r>
        <w:lastRenderedPageBreak/>
        <w:t>ST would cost nothing.  Alternatively if every customer switched, the cost could be huge.  The elusive nature of the ST would make it very difficult to evaluate in the ESP/MRO comparison.</w:t>
      </w:r>
    </w:p>
    <w:p w:rsidR="00587D9C" w:rsidRDefault="00587D9C" w:rsidP="00D71806">
      <w:pPr>
        <w:pStyle w:val="Heading2"/>
      </w:pPr>
      <w:bookmarkStart w:id="18" w:name="_Toc356369823"/>
      <w:r>
        <w:t>B.</w:t>
      </w:r>
      <w:r>
        <w:tab/>
      </w:r>
      <w:r w:rsidR="002969AB">
        <w:t>A Service Stability Rider (SSR) mechanism is permissible in an ESP.</w:t>
      </w:r>
      <w:bookmarkEnd w:id="18"/>
    </w:p>
    <w:p w:rsidR="002969AB" w:rsidRDefault="002969AB" w:rsidP="00CF5C7A">
      <w:pPr>
        <w:pStyle w:val="textstyle0"/>
      </w:pPr>
      <w:r>
        <w:tab/>
        <w:t>An ESP may contain a variety of terms including:</w:t>
      </w:r>
    </w:p>
    <w:p w:rsidR="002969AB" w:rsidRDefault="002969AB" w:rsidP="00CF5C7A">
      <w:pPr>
        <w:pStyle w:val="Blockquote"/>
      </w:pPr>
      <w:r w:rsidRPr="009741DA">
        <w:t>Terms, conditions, or charges relating to limitations on cus</w:t>
      </w:r>
      <w:r w:rsidR="003E7525">
        <w:softHyphen/>
      </w:r>
      <w:r w:rsidRPr="009741DA">
        <w:t>tomer shopping for retail electric generation service, bypassa</w:t>
      </w:r>
      <w:r w:rsidR="003E7525">
        <w:softHyphen/>
      </w:r>
      <w:r w:rsidRPr="009741DA">
        <w:t>bility, standby, back-up, or supplemental power service, default service, carrying costs, amortization periods, and accounting or deferrals, including future recovery of such deferrals, as would have the effect of stabilizing or providing certainty regarding retail electric service</w:t>
      </w:r>
      <w:r>
        <w:t>….</w:t>
      </w:r>
      <w:r>
        <w:rPr>
          <w:rStyle w:val="FootnoteReference"/>
        </w:rPr>
        <w:footnoteReference w:id="11"/>
      </w:r>
    </w:p>
    <w:p w:rsidR="002969AB" w:rsidRDefault="002969AB" w:rsidP="00CF5C7A">
      <w:pPr>
        <w:pStyle w:val="textstyle0"/>
      </w:pPr>
      <w:r>
        <w:t>It is clear that the Commission has wide powers to approve mechanisms to stabilize or provide certainty regarding retail electric service.  It is equally clear that these mecha</w:t>
      </w:r>
      <w:r w:rsidR="003E7525">
        <w:softHyphen/>
      </w:r>
      <w:r>
        <w:t>nisms can include non-bypassable charges and deferrals.  The statute simply says this.</w:t>
      </w:r>
    </w:p>
    <w:p w:rsidR="002969AB" w:rsidRDefault="002969AB" w:rsidP="00CF5C7A">
      <w:pPr>
        <w:pStyle w:val="textstyle0"/>
      </w:pPr>
      <w:r>
        <w:tab/>
        <w:t>This power is fundamentally different than the power granted to the Commission in an MRO context.  In an MRO the Commission may:</w:t>
      </w:r>
    </w:p>
    <w:p w:rsidR="002969AB" w:rsidRDefault="002969AB" w:rsidP="00CF5C7A">
      <w:pPr>
        <w:pStyle w:val="Blockquote"/>
      </w:pPr>
      <w:r>
        <w:t>…</w:t>
      </w:r>
      <w:r w:rsidRPr="000B4185">
        <w:t xml:space="preserve"> adjust the electric distribution utility’s most recent stand</w:t>
      </w:r>
      <w:r w:rsidR="003E7525">
        <w:softHyphen/>
      </w:r>
      <w:r w:rsidRPr="000B4185">
        <w:t xml:space="preserve">ard service offer price by such just and reasonable amount that the commission determines necessary to address any emergency that threatens the utility’s financial integrity or to ensure that the resulting revenue available to the utility for providing the standard service offer is not so inadequate as to result, directly or indirectly, in a taking of property without </w:t>
      </w:r>
      <w:r w:rsidRPr="000B4185">
        <w:lastRenderedPageBreak/>
        <w:t>compensation pursuant to Section 19 of Article I, Ohio Con</w:t>
      </w:r>
      <w:r w:rsidR="003E7525">
        <w:softHyphen/>
      </w:r>
      <w:r w:rsidRPr="000B4185">
        <w:t>stitution.</w:t>
      </w:r>
      <w:r>
        <w:rPr>
          <w:rStyle w:val="FootnoteReference"/>
        </w:rPr>
        <w:footnoteReference w:id="12"/>
      </w:r>
    </w:p>
    <w:p w:rsidR="002969AB" w:rsidRDefault="002969AB" w:rsidP="00CF5C7A">
      <w:pPr>
        <w:pStyle w:val="textstyle0"/>
      </w:pPr>
      <w:r>
        <w:t>In the MRO context, the Commission’s power is premised on the existence of either an “emergency”</w:t>
      </w:r>
      <w:r>
        <w:rPr>
          <w:rStyle w:val="FootnoteReference"/>
          <w:sz w:val="28"/>
          <w:szCs w:val="28"/>
        </w:rPr>
        <w:footnoteReference w:id="13"/>
      </w:r>
      <w:r>
        <w:t xml:space="preserve"> or the possibility of an unconstitutional taking of utility property.  This is a much higher standard than is the case for the availability of the Commission’s powers under R.C. 4928.143(B)(2)(d) which only requires that the action have “…</w:t>
      </w:r>
      <w:r w:rsidRPr="000B4185">
        <w:t>the effect of stabilizing or providing certainty regarding retail electric service</w:t>
      </w:r>
      <w:r>
        <w:t>.”  By comparing the two sections it is obvious that the General Assembly granted the Commission much broader powers in an ESP than it did in the MRO context.</w:t>
      </w:r>
    </w:p>
    <w:p w:rsidR="002969AB" w:rsidRDefault="002969AB" w:rsidP="00CF5C7A">
      <w:pPr>
        <w:pStyle w:val="textstyle0"/>
      </w:pPr>
      <w:r>
        <w:tab/>
        <w:t>In this case, DP&amp;L seeks approval of a non-bypassable SSR to assure its financial integrity.  Should the Commission find that such a charge would have “…</w:t>
      </w:r>
      <w:r w:rsidRPr="007B6840">
        <w:t>the effect of stabilizing or providing certainty regarding retail electric service</w:t>
      </w:r>
      <w:r>
        <w:t>”, the charge is permissi</w:t>
      </w:r>
      <w:r w:rsidR="003E7525">
        <w:softHyphen/>
      </w:r>
      <w:r>
        <w:t>ble under the Revised Code.</w:t>
      </w:r>
    </w:p>
    <w:p w:rsidR="002969AB" w:rsidRDefault="00FB4C8A" w:rsidP="00D71806">
      <w:pPr>
        <w:pStyle w:val="Heading2"/>
      </w:pPr>
      <w:bookmarkStart w:id="19" w:name="_Toc356369824"/>
      <w:r>
        <w:t>C.</w:t>
      </w:r>
      <w:r>
        <w:tab/>
      </w:r>
      <w:r w:rsidR="002969AB">
        <w:t>The Standard for an SSR</w:t>
      </w:r>
      <w:bookmarkEnd w:id="19"/>
    </w:p>
    <w:p w:rsidR="002969AB" w:rsidRDefault="002969AB" w:rsidP="00CF5C7A">
      <w:pPr>
        <w:pStyle w:val="textstyle0"/>
      </w:pPr>
      <w:r>
        <w:tab/>
        <w:t>As has been seen, the General Assembly has set rather a low bar for the availabil</w:t>
      </w:r>
      <w:r w:rsidR="003E7525">
        <w:softHyphen/>
      </w:r>
      <w:r>
        <w:t>ity of an SSR-type charge.  This low bar must still be squared with the requirement that, in anything the Commission does under Chapter 4928, it must:</w:t>
      </w:r>
    </w:p>
    <w:p w:rsidR="002969AB" w:rsidRDefault="002969AB" w:rsidP="00CF5C7A">
      <w:pPr>
        <w:pStyle w:val="Blockquote"/>
      </w:pPr>
      <w:r w:rsidRPr="00F016B7">
        <w:t xml:space="preserve">Ensure effective competition in the provision of retail electric service by avoiding anticompetitive subsidies flowing from a noncompetitive retail electric service to a competitive retail electric service or to a product or service other than retail </w:t>
      </w:r>
      <w:r w:rsidRPr="00F016B7">
        <w:lastRenderedPageBreak/>
        <w:t>electric service, and vice versa, including by prohibiting the recovery of any generation-related costs through distribution or transmission rates</w:t>
      </w:r>
      <w:r>
        <w:t>.</w:t>
      </w:r>
      <w:r>
        <w:rPr>
          <w:rStyle w:val="FootnoteReference"/>
        </w:rPr>
        <w:footnoteReference w:id="14"/>
      </w:r>
    </w:p>
    <w:p w:rsidR="002969AB" w:rsidRDefault="002969AB" w:rsidP="00CF5C7A">
      <w:pPr>
        <w:pStyle w:val="textstyle0"/>
      </w:pPr>
      <w:r>
        <w:t>This is not a simple task.</w:t>
      </w:r>
    </w:p>
    <w:p w:rsidR="002969AB" w:rsidRDefault="002969AB" w:rsidP="00CF5C7A">
      <w:pPr>
        <w:pStyle w:val="textstyle0"/>
      </w:pPr>
      <w:r>
        <w:tab/>
        <w:t>DP&amp;L is an integrated utility.  It owns transmission, generation, and distribution assets.  Any effort to stabilize DP&amp;L inherently stabilizes all three activities.  At this time it is not possible to separate them.  Thus, to accomplish the tasks assigned to the Com</w:t>
      </w:r>
      <w:r w:rsidR="003E7525">
        <w:softHyphen/>
      </w:r>
      <w:r>
        <w:t>mission by the General Assembly it must simultaneously provide sufficient support to a utility so as to accomplish “…</w:t>
      </w:r>
      <w:r w:rsidRPr="00CE723F">
        <w:t>stabilizing or providing certainty regarding retail electric service</w:t>
      </w:r>
      <w:r>
        <w:t>” but simultaneously avoiding anticompetitive subsidies.  This could be accom</w:t>
      </w:r>
      <w:r w:rsidR="003E7525">
        <w:softHyphen/>
      </w:r>
      <w:r>
        <w:t>plished by providing an SSR at a level which is sufficient, but only just sufficient, to maintain the utility’s financial integrity.</w:t>
      </w:r>
      <w:r>
        <w:rPr>
          <w:rStyle w:val="FootnoteReference"/>
          <w:sz w:val="28"/>
          <w:szCs w:val="28"/>
        </w:rPr>
        <w:footnoteReference w:id="15"/>
      </w:r>
    </w:p>
    <w:p w:rsidR="002969AB" w:rsidRDefault="002969AB" w:rsidP="00CF5C7A">
      <w:pPr>
        <w:pStyle w:val="textstyle0"/>
      </w:pPr>
      <w:r>
        <w:tab/>
        <w:t>By financial integrity more is meant than just avoiding a cash flow emergency, as contemplated by an emergency filing under R.C. 4909.16, or bankruptcy.  It is important that a utility be able to function in a normal way, serving its obligations and maintaining its normal operations.  In this case the Commission will be presented with arguments that ignore this need.</w:t>
      </w:r>
      <w:r w:rsidR="00B70887">
        <w:t xml:space="preserve"> </w:t>
      </w:r>
      <w:r>
        <w:t xml:space="preserve"> Some parties will be indifferent to the need to maintain a functioning utility entity.  The Commission cannot be so cavalier.  The Commission must balance the needs of all constituents and the utility is a constituent as well.  Further, no party is bene</w:t>
      </w:r>
      <w:r w:rsidR="003E7525">
        <w:softHyphen/>
      </w:r>
      <w:r>
        <w:lastRenderedPageBreak/>
        <w:t>fitted by a utility that is financially hobbled.  The difficult task is to find the sweet spot where the utility’s ability to provide service is not threatened but the utility is not enriched.</w:t>
      </w:r>
    </w:p>
    <w:p w:rsidR="002969AB" w:rsidRDefault="00B70887" w:rsidP="00D71806">
      <w:pPr>
        <w:pStyle w:val="Heading2"/>
      </w:pPr>
      <w:bookmarkStart w:id="20" w:name="_Toc356369825"/>
      <w:r>
        <w:t>D.</w:t>
      </w:r>
      <w:r>
        <w:tab/>
      </w:r>
      <w:r w:rsidR="002969AB">
        <w:t xml:space="preserve">The Commission </w:t>
      </w:r>
      <w:r>
        <w:t xml:space="preserve">must decide if the financial integrity of </w:t>
      </w:r>
      <w:r w:rsidR="002969AB">
        <w:t xml:space="preserve">DP&amp;L is </w:t>
      </w:r>
      <w:r>
        <w:t>endangered.</w:t>
      </w:r>
      <w:bookmarkEnd w:id="20"/>
    </w:p>
    <w:p w:rsidR="002969AB" w:rsidRDefault="002969AB" w:rsidP="00CF5C7A">
      <w:pPr>
        <w:pStyle w:val="textstyle0"/>
      </w:pPr>
      <w:r>
        <w:tab/>
        <w:t>The Staff takes no position as to the threshold issue, that is, whether DP&amp;L’s finan</w:t>
      </w:r>
      <w:r w:rsidR="003E7525">
        <w:softHyphen/>
      </w:r>
      <w:r>
        <w:t>cial situation is sufficiently dire so as to require Commission intervention to accom</w:t>
      </w:r>
      <w:r w:rsidR="003E7525">
        <w:softHyphen/>
      </w:r>
      <w:r>
        <w:t>plish “</w:t>
      </w:r>
      <w:r w:rsidRPr="001F59C2">
        <w:t>stabilizing or providing certainty regarding retail electric service</w:t>
      </w:r>
      <w:r>
        <w:t>” within the meaning of the statute.</w:t>
      </w:r>
      <w:r w:rsidR="00B70887">
        <w:rPr>
          <w:rStyle w:val="FootnoteReference"/>
        </w:rPr>
        <w:footnoteReference w:id="16"/>
      </w:r>
      <w:r>
        <w:t xml:space="preserve">  In the absence of an SSR, DP&amp;L would be in a position of</w:t>
      </w:r>
      <w:r w:rsidR="00B70887">
        <w:t xml:space="preserve"> hav</w:t>
      </w:r>
      <w:r w:rsidR="003E7525">
        <w:softHyphen/>
      </w:r>
      <w:r w:rsidR="00B70887">
        <w:t>ing losses in several years</w:t>
      </w:r>
      <w:r>
        <w:t>.</w:t>
      </w:r>
      <w:r w:rsidR="00B70887">
        <w:rPr>
          <w:rStyle w:val="FootnoteReference"/>
        </w:rPr>
        <w:footnoteReference w:id="17"/>
      </w:r>
      <w:r>
        <w:t xml:space="preserve"> </w:t>
      </w:r>
      <w:r w:rsidR="00B70887">
        <w:t xml:space="preserve"> </w:t>
      </w:r>
      <w:r>
        <w:t>Even with th</w:t>
      </w:r>
      <w:r w:rsidR="005F5C3A">
        <w:t>e $73 million in the form of a Rate Stabiliza</w:t>
      </w:r>
      <w:r w:rsidR="005F5C3A">
        <w:softHyphen/>
        <w:t>tion Charge (</w:t>
      </w:r>
      <w:r>
        <w:t>RSC</w:t>
      </w:r>
      <w:r w:rsidR="005F5C3A">
        <w:t>)</w:t>
      </w:r>
      <w:r>
        <w:rPr>
          <w:rStyle w:val="FootnoteReference"/>
          <w:sz w:val="28"/>
          <w:szCs w:val="28"/>
        </w:rPr>
        <w:footnoteReference w:id="18"/>
      </w:r>
      <w:r>
        <w:t xml:space="preserve"> that the </w:t>
      </w:r>
      <w:r w:rsidR="00C25890">
        <w:t>Company</w:t>
      </w:r>
      <w:r>
        <w:t xml:space="preserve"> is receiving, its financial situation is deteriorat</w:t>
      </w:r>
      <w:r w:rsidR="005F5C3A">
        <w:softHyphen/>
      </w:r>
      <w:r>
        <w:t>ing.</w:t>
      </w:r>
      <w:r w:rsidR="00B70887">
        <w:rPr>
          <w:rStyle w:val="FootnoteReference"/>
        </w:rPr>
        <w:footnoteReference w:id="19"/>
      </w:r>
      <w:r>
        <w:t xml:space="preserve">  There are many factors which may impact this determination.</w:t>
      </w:r>
      <w:r w:rsidR="00B70887">
        <w:rPr>
          <w:rStyle w:val="FootnoteReference"/>
        </w:rPr>
        <w:footnoteReference w:id="20"/>
      </w:r>
      <w:r>
        <w:t xml:space="preserve">  Whether this obvi</w:t>
      </w:r>
      <w:r w:rsidR="005F5C3A">
        <w:softHyphen/>
      </w:r>
      <w:r>
        <w:t>ous deterioration is sufficient to warrant Commission action is something that the Com</w:t>
      </w:r>
      <w:r w:rsidR="005F5C3A">
        <w:softHyphen/>
      </w:r>
      <w:r>
        <w:t>mission must determine as a factual matter.</w:t>
      </w:r>
    </w:p>
    <w:p w:rsidR="002969AB" w:rsidRDefault="00B70887" w:rsidP="00D71806">
      <w:pPr>
        <w:pStyle w:val="Heading2"/>
      </w:pPr>
      <w:bookmarkStart w:id="21" w:name="_Toc356369826"/>
      <w:r>
        <w:lastRenderedPageBreak/>
        <w:t>E.</w:t>
      </w:r>
      <w:r>
        <w:tab/>
      </w:r>
      <w:r w:rsidR="002969AB">
        <w:t>The Level of the SSR</w:t>
      </w:r>
      <w:bookmarkEnd w:id="21"/>
    </w:p>
    <w:p w:rsidR="002969AB" w:rsidRDefault="002969AB" w:rsidP="00CF5C7A">
      <w:pPr>
        <w:pStyle w:val="textstyle0"/>
      </w:pPr>
      <w:r>
        <w:tab/>
        <w:t>Should the Commission find that an SSR is factually required by DP&amp;L’s finan</w:t>
      </w:r>
      <w:r w:rsidR="003E7525">
        <w:softHyphen/>
      </w:r>
      <w:r>
        <w:t>cial circumstances, the Staff has computed essentially a reasonable range for the level of SSR to be awarded, from $133 to 151 million per year.</w:t>
      </w:r>
      <w:r>
        <w:rPr>
          <w:rStyle w:val="FootnoteReference"/>
          <w:sz w:val="28"/>
          <w:szCs w:val="28"/>
        </w:rPr>
        <w:footnoteReference w:id="21"/>
      </w:r>
      <w:r>
        <w:t xml:space="preserve">  The Staff developed this range through a complex calculation described in the following paragraphs.</w:t>
      </w:r>
    </w:p>
    <w:p w:rsidR="002969AB" w:rsidRDefault="002969AB" w:rsidP="00CF5C7A">
      <w:pPr>
        <w:pStyle w:val="textstyle0"/>
      </w:pPr>
      <w:r>
        <w:tab/>
        <w:t xml:space="preserve">Staff started with </w:t>
      </w:r>
      <w:r w:rsidR="00C25890">
        <w:t>Company</w:t>
      </w:r>
      <w:r>
        <w:t xml:space="preserve"> data, specifically </w:t>
      </w:r>
      <w:r w:rsidR="000A2209">
        <w:t>WJC-3.B</w:t>
      </w:r>
      <w:r>
        <w:t xml:space="preserve">, DP&amp;L Ex. </w:t>
      </w:r>
      <w:r w:rsidR="000A2209">
        <w:t>4</w:t>
      </w:r>
      <w:r>
        <w:t>.</w:t>
      </w:r>
      <w:r w:rsidR="00B70887">
        <w:rPr>
          <w:rStyle w:val="FootnoteReference"/>
        </w:rPr>
        <w:footnoteReference w:id="22"/>
      </w:r>
      <w:r>
        <w:t xml:space="preserve">  This chart was developed by </w:t>
      </w:r>
      <w:r w:rsidR="00C25890">
        <w:t>Company</w:t>
      </w:r>
      <w:r>
        <w:t xml:space="preserve"> witness </w:t>
      </w:r>
      <w:r w:rsidR="006700BE">
        <w:t>Chambers</w:t>
      </w:r>
      <w:r>
        <w:t xml:space="preserve"> who in turn had used </w:t>
      </w:r>
      <w:r w:rsidR="00C25890">
        <w:t>Company</w:t>
      </w:r>
      <w:r>
        <w:t xml:space="preserve"> witness </w:t>
      </w:r>
      <w:r w:rsidR="006700BE">
        <w:t>Jackson’s</w:t>
      </w:r>
      <w:r>
        <w:t xml:space="preserve"> data which was then adjusted to eliminate the ST and to adjust for a change in the </w:t>
      </w:r>
      <w:r w:rsidR="00C25890">
        <w:t>Company</w:t>
      </w:r>
      <w:r>
        <w:t xml:space="preserve"> debt/equity ratio.  This was the appropriate base from which to work as it reflected the Staff’s opposition to the ST (discussed above) and the Staff’s preference for a more normal debt structure for DP&amp;L (discussed subsequently).</w:t>
      </w:r>
    </w:p>
    <w:p w:rsidR="002969AB" w:rsidRDefault="002969AB" w:rsidP="00CF5C7A">
      <w:pPr>
        <w:pStyle w:val="textstyle0"/>
      </w:pPr>
      <w:r>
        <w:tab/>
        <w:t xml:space="preserve">Having determined the appropriate base from which to work, the Staff then made adjustments to the </w:t>
      </w:r>
      <w:r w:rsidR="00C25890">
        <w:t>Company</w:t>
      </w:r>
      <w:r>
        <w:t xml:space="preserve"> assumptions to create a more reasonable framework.  The first of these was to truncate the analysis to reflect a three year term.</w:t>
      </w:r>
      <w:r w:rsidR="00B70887">
        <w:rPr>
          <w:rStyle w:val="FootnoteReference"/>
        </w:rPr>
        <w:footnoteReference w:id="23"/>
      </w:r>
      <w:r>
        <w:t xml:space="preserve">  The rationale will be discussed in a following section.  The second adjustment was to change the </w:t>
      </w:r>
      <w:r w:rsidR="00C25890">
        <w:t>Company</w:t>
      </w:r>
      <w:r>
        <w:t xml:space="preserve"> assumed levels of general revenue, fuel cost, and dispatch cost.</w:t>
      </w:r>
      <w:r w:rsidR="00B70887">
        <w:rPr>
          <w:rStyle w:val="FootnoteReference"/>
        </w:rPr>
        <w:footnoteReference w:id="24"/>
      </w:r>
      <w:r>
        <w:t xml:space="preserve">  These changes reflect </w:t>
      </w:r>
      <w:r>
        <w:lastRenderedPageBreak/>
        <w:t>the more reasonable assumptions of the Staff’s modeling and will be discussed in a later section.</w:t>
      </w:r>
    </w:p>
    <w:p w:rsidR="002969AB" w:rsidRDefault="002969AB" w:rsidP="00CF5C7A">
      <w:pPr>
        <w:pStyle w:val="textstyle0"/>
      </w:pPr>
      <w:r>
        <w:tab/>
        <w:t xml:space="preserve">Having adjusted the </w:t>
      </w:r>
      <w:r w:rsidR="00C25890">
        <w:t>Company</w:t>
      </w:r>
      <w:r>
        <w:t xml:space="preserve">’s assumptions, the Staff then used essentially a mechanical process to create an SSR which would, based on those assumptions, result in an ROE within what Staff had already determined to be the reasonable range.  If the Commission finds that the </w:t>
      </w:r>
      <w:r w:rsidR="00C25890">
        <w:t>Company</w:t>
      </w:r>
      <w:r>
        <w:t>’s financial situation is sufficiently weak that inter</w:t>
      </w:r>
      <w:r w:rsidR="003E7525">
        <w:softHyphen/>
      </w:r>
      <w:r>
        <w:t>vention is warranted and that a particular ROE is needed to address that situation, an SSR between the values suggested by the Staff would be a reasonable means to address that situation.</w:t>
      </w:r>
    </w:p>
    <w:p w:rsidR="002969AB" w:rsidRDefault="00B70887" w:rsidP="00D71806">
      <w:pPr>
        <w:pStyle w:val="Heading2"/>
      </w:pPr>
      <w:bookmarkStart w:id="22" w:name="_Toc356369827"/>
      <w:r>
        <w:t>F.</w:t>
      </w:r>
      <w:r>
        <w:tab/>
      </w:r>
      <w:r w:rsidR="002969AB">
        <w:t>The ESP</w:t>
      </w:r>
      <w:r>
        <w:t xml:space="preserve"> term should be three years.</w:t>
      </w:r>
      <w:bookmarkEnd w:id="22"/>
    </w:p>
    <w:p w:rsidR="002969AB" w:rsidRDefault="002969AB" w:rsidP="00CF5C7A">
      <w:pPr>
        <w:pStyle w:val="textstyle0"/>
      </w:pPr>
      <w:r>
        <w:tab/>
        <w:t xml:space="preserve">DP&amp;L has requested that its ESP, and therefore its SSR, be approved for five years.  This request should be denied.  The quality of the available information for years four and five is insufficient to warrant committing ratepayer dollars at this time.  There are, essentially, three reasons for this.  </w:t>
      </w:r>
    </w:p>
    <w:p w:rsidR="002969AB" w:rsidRDefault="002969AB" w:rsidP="00CF5C7A">
      <w:pPr>
        <w:pStyle w:val="textstyle0"/>
      </w:pPr>
      <w:r>
        <w:tab/>
        <w:t xml:space="preserve">The first reason is that capacity prices for years four and five of an ESP cannot be known today.  These prices are set through the RPM auction process and the </w:t>
      </w:r>
      <w:r w:rsidR="00C25890">
        <w:t>auctions for those years have</w:t>
      </w:r>
      <w:r>
        <w:t xml:space="preserve"> not yet happened.</w:t>
      </w:r>
      <w:r w:rsidR="00B70887">
        <w:rPr>
          <w:rStyle w:val="FootnoteReference"/>
        </w:rPr>
        <w:footnoteReference w:id="25"/>
      </w:r>
      <w:r>
        <w:t xml:space="preserve">  The one thing that is certain about the RPM process is that its results are volatile.</w:t>
      </w:r>
      <w:r w:rsidR="00B70887">
        <w:rPr>
          <w:rStyle w:val="FootnoteReference"/>
        </w:rPr>
        <w:footnoteReference w:id="26"/>
      </w:r>
      <w:r>
        <w:t xml:space="preserve">  Capacity payments are a very large source of revenue for DP&amp;L, the same order of magnitude of the Staff’s recommended SSR.  A change in the </w:t>
      </w:r>
      <w:r>
        <w:lastRenderedPageBreak/>
        <w:t xml:space="preserve">RPM capacity results could have a huge impact on the </w:t>
      </w:r>
      <w:r w:rsidR="00C25890">
        <w:t>Company</w:t>
      </w:r>
      <w:r>
        <w:t>’s finances</w:t>
      </w:r>
      <w:r w:rsidR="00C25890">
        <w:t xml:space="preserve">.  </w:t>
      </w:r>
      <w:r>
        <w:t xml:space="preserve">Whether that change would be positive or negative cannot be know today.  The </w:t>
      </w:r>
      <w:r w:rsidR="00C25890">
        <w:t>Company</w:t>
      </w:r>
      <w:r>
        <w:t xml:space="preserve"> tacitly requests that real ratepayer dollars be committed today against its estimates of where the RPM market will be in years four and five.  There is no reason to make this gamble.  The results will be known in the future and the Commission can act on that real knowledge when it exists.</w:t>
      </w:r>
    </w:p>
    <w:p w:rsidR="002969AB" w:rsidRDefault="002969AB" w:rsidP="00CF5C7A">
      <w:pPr>
        <w:pStyle w:val="textstyle0"/>
      </w:pPr>
      <w:r>
        <w:tab/>
        <w:t>The second reason to shorten the term of the ESP is the capital expenditure assump</w:t>
      </w:r>
      <w:r w:rsidR="003E7525">
        <w:softHyphen/>
      </w:r>
      <w:r>
        <w:t>tions presented by DP&amp;L.  For years four and five the amounts are very large, indeed larger than the Staff proposed SSR in this case.</w:t>
      </w:r>
      <w:r w:rsidR="00B70887">
        <w:rPr>
          <w:rStyle w:val="FootnoteReference"/>
        </w:rPr>
        <w:footnoteReference w:id="27"/>
      </w:r>
      <w:r>
        <w:t xml:space="preserve"> </w:t>
      </w:r>
      <w:r w:rsidR="00B70887">
        <w:t xml:space="preserve"> </w:t>
      </w:r>
      <w:r>
        <w:t>There is, simply stated, no rea</w:t>
      </w:r>
      <w:r w:rsidR="003E7525">
        <w:softHyphen/>
      </w:r>
      <w:r>
        <w:t xml:space="preserve">son to believe these values.  By this observation Staff does not mean to suggest that DP&amp;L is misstating or attempting to mislead this Commission.  Rather, projections of this sort, so far into the future, are not meaningful.  A comparison with the treatment of the current O&amp;M savings by the </w:t>
      </w:r>
      <w:r w:rsidR="00C25890">
        <w:t>Company</w:t>
      </w:r>
      <w:r>
        <w:t xml:space="preserve"> underscores this.  </w:t>
      </w:r>
      <w:r w:rsidR="00B70887">
        <w:t xml:space="preserve">This is revealed by </w:t>
      </w:r>
      <w:r>
        <w:t>the con</w:t>
      </w:r>
      <w:r w:rsidR="003E7525">
        <w:softHyphen/>
      </w:r>
      <w:r>
        <w:t xml:space="preserve">fused treatment of the Operations and Maintenance savings instituted by the </w:t>
      </w:r>
      <w:r w:rsidR="00C25890">
        <w:t>Company</w:t>
      </w:r>
      <w:r>
        <w:t xml:space="preserve">.  And this confusion is about expenditures </w:t>
      </w:r>
      <w:r w:rsidRPr="004B3C0C">
        <w:rPr>
          <w:i/>
        </w:rPr>
        <w:t>this year</w:t>
      </w:r>
      <w:r>
        <w:t>.  How can one trust projected expend</w:t>
      </w:r>
      <w:r w:rsidR="003E7525">
        <w:softHyphen/>
      </w:r>
      <w:r>
        <w:t xml:space="preserve">itures three years out when one can’t even get a handle on current expenditures?  Even </w:t>
      </w:r>
      <w:r w:rsidR="00C25890">
        <w:t>Company</w:t>
      </w:r>
      <w:r>
        <w:t xml:space="preserve"> witness Herrington, who reviews these budgets, admits that projections become progressively less reliable as they are more distant in the future.</w:t>
      </w:r>
      <w:r w:rsidR="00B70887">
        <w:rPr>
          <w:rStyle w:val="FootnoteReference"/>
        </w:rPr>
        <w:footnoteReference w:id="28"/>
      </w:r>
      <w:r>
        <w:t xml:space="preserve">  Fundamentally it can</w:t>
      </w:r>
      <w:r w:rsidR="003E7525">
        <w:softHyphen/>
      </w:r>
      <w:r>
        <w:t xml:space="preserve">not be known today what DP&amp;L’s capital expenditures will be in years four and five.  </w:t>
      </w:r>
      <w:r>
        <w:lastRenderedPageBreak/>
        <w:t>This situation will be much clearer in three years.  Ratepayer dollars should not be com</w:t>
      </w:r>
      <w:r w:rsidR="003E7525">
        <w:softHyphen/>
      </w:r>
      <w:r>
        <w:t>mitted now against speculation.</w:t>
      </w:r>
    </w:p>
    <w:p w:rsidR="002969AB" w:rsidRDefault="002969AB" w:rsidP="00CF5C7A">
      <w:pPr>
        <w:pStyle w:val="textstyle0"/>
      </w:pPr>
      <w:r>
        <w:tab/>
        <w:t xml:space="preserve">Finally it is simply unnecessary to establish a five year ESP today.  A three year plan accomplishes what is needed now, based on the information that is available now.  When this three year plan is up, the world does not end.  The three year plan will be replaced by either another ESP or an MRO.  Whatever action the Commission pursues at that point will be based on much more accurate information.  Capacity prices will be known and a much better understanding of capital investment requirements will be had.  The actual trajectory of shopping will be known.  </w:t>
      </w:r>
      <w:r w:rsidRPr="00041C79">
        <w:t xml:space="preserve">Perhaps the strongest reason to reject the five year term is the existence of the SSR proposal at all.  </w:t>
      </w:r>
      <w:r>
        <w:t xml:space="preserve">That the </w:t>
      </w:r>
      <w:r w:rsidR="00C25890">
        <w:t>Company</w:t>
      </w:r>
      <w:r>
        <w:t xml:space="preserve"> is before the Commission today claiming financial distress when only a short time ago it was among the most profitable utilities in the country</w:t>
      </w:r>
      <w:r w:rsidR="00CF5C7A">
        <w:rPr>
          <w:rStyle w:val="FootnoteReference"/>
        </w:rPr>
        <w:footnoteReference w:id="29"/>
      </w:r>
      <w:r>
        <w:t xml:space="preserve"> shows that things can change radically in unanticipated ways in a year or two.  Given this volatility and unpre</w:t>
      </w:r>
      <w:r w:rsidR="003E7525">
        <w:softHyphen/>
      </w:r>
      <w:r>
        <w:t>dictability, a shorter timeframe should be used.</w:t>
      </w:r>
    </w:p>
    <w:p w:rsidR="002969AB" w:rsidRDefault="002969AB" w:rsidP="00CF5C7A">
      <w:pPr>
        <w:pStyle w:val="textstyle0"/>
      </w:pPr>
      <w:r>
        <w:tab/>
        <w:t xml:space="preserve">The </w:t>
      </w:r>
      <w:r w:rsidR="00C25890">
        <w:t>Company</w:t>
      </w:r>
      <w:r>
        <w:t xml:space="preserve"> will argue that it needs a five year plan for the revenue assurance that such a plan would provide</w:t>
      </w:r>
      <w:r w:rsidR="00C25890">
        <w:t xml:space="preserve">.  </w:t>
      </w:r>
      <w:r>
        <w:t>While it is true that a longer plan would provide greater assurance, that assurance comes at too high a price for ratepayers.</w:t>
      </w:r>
    </w:p>
    <w:p w:rsidR="002969AB" w:rsidRDefault="00B70887" w:rsidP="00D71806">
      <w:pPr>
        <w:pStyle w:val="Heading2"/>
      </w:pPr>
      <w:bookmarkStart w:id="23" w:name="_Toc356369828"/>
      <w:r>
        <w:lastRenderedPageBreak/>
        <w:t>G.</w:t>
      </w:r>
      <w:r>
        <w:tab/>
      </w:r>
      <w:r w:rsidR="002969AB">
        <w:t xml:space="preserve">DP&amp;L </w:t>
      </w:r>
      <w:r>
        <w:t>debt/equity ratio should be adjusted.</w:t>
      </w:r>
      <w:bookmarkEnd w:id="23"/>
    </w:p>
    <w:p w:rsidR="002969AB" w:rsidRDefault="002969AB" w:rsidP="00CF5C7A">
      <w:pPr>
        <w:pStyle w:val="textstyle0"/>
      </w:pPr>
      <w:r>
        <w:tab/>
        <w:t xml:space="preserve">In its analysis, the Staff’s base incorporated an adjustment to the </w:t>
      </w:r>
      <w:r w:rsidR="00C25890">
        <w:t>Company</w:t>
      </w:r>
      <w:r>
        <w:t>’s cur</w:t>
      </w:r>
      <w:r w:rsidR="003E7525">
        <w:softHyphen/>
      </w:r>
      <w:r>
        <w:t>rent debt/equity ratio.</w:t>
      </w:r>
      <w:r w:rsidR="00B70887">
        <w:rPr>
          <w:rStyle w:val="FootnoteReference"/>
        </w:rPr>
        <w:footnoteReference w:id="30"/>
      </w:r>
      <w:r>
        <w:t xml:space="preserve">  The current debt/equity ratio is outside the norm for the utility industry.  It is too heavily composed of equity.  This has the effect of unnecessarily rais</w:t>
      </w:r>
      <w:r w:rsidR="003E7525">
        <w:softHyphen/>
      </w:r>
      <w:r>
        <w:t xml:space="preserve">ing the cost of capital for the </w:t>
      </w:r>
      <w:r w:rsidR="00C25890">
        <w:t>Company</w:t>
      </w:r>
      <w:r>
        <w:t>.  The Staff has adjusted the capital structure to reflect the industry norm of approximately 50/50.</w:t>
      </w:r>
    </w:p>
    <w:p w:rsidR="002969AB" w:rsidRDefault="00B70887" w:rsidP="00D71806">
      <w:pPr>
        <w:pStyle w:val="Heading2"/>
      </w:pPr>
      <w:bookmarkStart w:id="24" w:name="_Toc356369829"/>
      <w:r>
        <w:t>H.</w:t>
      </w:r>
      <w:r>
        <w:tab/>
      </w:r>
      <w:r w:rsidR="002969AB">
        <w:t>Staff Adjustments to Company Projections</w:t>
      </w:r>
      <w:bookmarkEnd w:id="24"/>
    </w:p>
    <w:p w:rsidR="002969AB" w:rsidRDefault="002969AB" w:rsidP="00CF5C7A">
      <w:pPr>
        <w:pStyle w:val="textstyle0"/>
      </w:pPr>
      <w:r>
        <w:tab/>
        <w:t xml:space="preserve">To develop its recommendation the Staff reviewed the </w:t>
      </w:r>
      <w:r w:rsidR="00C25890">
        <w:t>Company</w:t>
      </w:r>
      <w:r>
        <w:t xml:space="preserve"> projections regard</w:t>
      </w:r>
      <w:r w:rsidR="003E7525">
        <w:softHyphen/>
      </w:r>
      <w:r>
        <w:t>ing the revenues expected from generating facilities.</w:t>
      </w:r>
      <w:r w:rsidR="00B70887">
        <w:rPr>
          <w:rStyle w:val="FootnoteReference"/>
        </w:rPr>
        <w:footnoteReference w:id="31"/>
      </w:r>
      <w:r>
        <w:t xml:space="preserve">  </w:t>
      </w:r>
      <w:r w:rsidR="00C25890">
        <w:t xml:space="preserve">To accomplish this, the Staff utilized a sophisticated modeling software package, PROMOD IV.  </w:t>
      </w:r>
      <w:r>
        <w:t xml:space="preserve">This software essentially models the </w:t>
      </w:r>
      <w:r w:rsidR="00453EEA">
        <w:t xml:space="preserve">Eastern Interconnection </w:t>
      </w:r>
      <w:r>
        <w:t>in all of its parts and dispatches all units based on known production costs.</w:t>
      </w:r>
      <w:r w:rsidR="00B70887">
        <w:rPr>
          <w:rStyle w:val="FootnoteReference"/>
        </w:rPr>
        <w:footnoteReference w:id="32"/>
      </w:r>
      <w:r>
        <w:t xml:space="preserve">  As the </w:t>
      </w:r>
      <w:r w:rsidR="00453EEA">
        <w:t>bulk electric power</w:t>
      </w:r>
      <w:r>
        <w:t xml:space="preserve"> system is in fact dis</w:t>
      </w:r>
      <w:r w:rsidR="00453EEA">
        <w:softHyphen/>
      </w:r>
      <w:r>
        <w:t>patched dynam</w:t>
      </w:r>
      <w:r w:rsidR="003E7525">
        <w:softHyphen/>
      </w:r>
      <w:r>
        <w:t xml:space="preserve">ically and regionally, the Staff’s approach obviously reflects the reality of the electric grid in its actual operation.  </w:t>
      </w:r>
    </w:p>
    <w:p w:rsidR="0034028C" w:rsidRDefault="002969AB" w:rsidP="00CF5C7A">
      <w:pPr>
        <w:pStyle w:val="textstyle0"/>
      </w:pPr>
      <w:r>
        <w:tab/>
        <w:t xml:space="preserve">To enhance the realism of its analysis, the Staff adjusted a number of inputs to more accurately reflect current conditions.  Current low natural gas future prices were </w:t>
      </w:r>
      <w:r w:rsidR="0034028C">
        <w:br w:type="page"/>
      </w:r>
    </w:p>
    <w:p w:rsidR="002969AB" w:rsidRDefault="002969AB" w:rsidP="00CF5C7A">
      <w:pPr>
        <w:pStyle w:val="textstyle0"/>
      </w:pPr>
      <w:r>
        <w:lastRenderedPageBreak/>
        <w:t>utilized.</w:t>
      </w:r>
      <w:r w:rsidR="00B70887">
        <w:rPr>
          <w:rStyle w:val="FootnoteReference"/>
        </w:rPr>
        <w:footnoteReference w:id="33"/>
      </w:r>
      <w:r>
        <w:t xml:space="preserve">  Additionally retirements were checked to assure accuracy.</w:t>
      </w:r>
      <w:r w:rsidR="00B70887">
        <w:rPr>
          <w:rStyle w:val="FootnoteReference"/>
        </w:rPr>
        <w:footnoteReference w:id="34"/>
      </w:r>
      <w:r>
        <w:t xml:space="preserve">  Having run the model, the Staff adjusted the output in several ways, again to enhance the accuracy of the results.  Two station results were corrected for special circumstances and a purchase power contract was inserted.</w:t>
      </w:r>
      <w:r w:rsidR="00B70887">
        <w:rPr>
          <w:rStyle w:val="FootnoteReference"/>
        </w:rPr>
        <w:footnoteReference w:id="35"/>
      </w:r>
      <w:r>
        <w:t xml:space="preserve">  In sum, the Staff modeled the dynamic system in a dynamic way with appropriate adjustments to assure reliability of the outcome.</w:t>
      </w:r>
    </w:p>
    <w:p w:rsidR="002969AB" w:rsidRDefault="002969AB" w:rsidP="00CF5C7A">
      <w:pPr>
        <w:pStyle w:val="textstyle0"/>
      </w:pPr>
      <w:r>
        <w:tab/>
        <w:t>DP&amp;L unfortunately does not use this sort of system.  Rather it considers its assets in isolation.</w:t>
      </w:r>
      <w:r w:rsidR="00B70887">
        <w:rPr>
          <w:rStyle w:val="FootnoteReference"/>
        </w:rPr>
        <w:footnoteReference w:id="36"/>
      </w:r>
      <w:r>
        <w:t xml:space="preserve">  Modeling the use of assets in this isolated manner has the obvious problem of not capturing the </w:t>
      </w:r>
      <w:r w:rsidR="00453EEA">
        <w:rPr>
          <w:sz w:val="28"/>
          <w:szCs w:val="28"/>
        </w:rPr>
        <w:t>dynamic relationship between the Company’s generation fleet and the overall wholesale electric market</w:t>
      </w:r>
      <w:r>
        <w:t xml:space="preserve">.  It leads to less accurate modeling.  This can be seen in the outputs of the two models.  The </w:t>
      </w:r>
      <w:r w:rsidR="00C25890">
        <w:t>Company</w:t>
      </w:r>
      <w:r>
        <w:t xml:space="preserve"> projects that several of its large units will, inexplicably</w:t>
      </w:r>
      <w:r w:rsidR="00453EEA">
        <w:t>,</w:t>
      </w:r>
      <w:r>
        <w:t xml:space="preserve"> be dispatched at lower levels over the ESP term than has ever been observed for these plants.  There is no reason to believe that this will be true.  Indeed, this is exactly the sort of error one might expect from the </w:t>
      </w:r>
      <w:r w:rsidR="00C25890">
        <w:t>Company</w:t>
      </w:r>
      <w:r>
        <w:t>’s</w:t>
      </w:r>
      <w:r w:rsidR="00453EEA">
        <w:t xml:space="preserve"> sub-optimal</w:t>
      </w:r>
      <w:r>
        <w:t xml:space="preserve"> isolated approach.</w:t>
      </w:r>
      <w:r w:rsidR="00B70887">
        <w:rPr>
          <w:rStyle w:val="FootnoteReference"/>
        </w:rPr>
        <w:footnoteReference w:id="37"/>
      </w:r>
      <w:r>
        <w:t xml:space="preserve">  In an overall environment where electricity demand is trending up, one would expect that DP&amp;L’s production would be trending up as well or at least remaining static.  The Staff’s analysis is consistent with this.  The </w:t>
      </w:r>
      <w:r w:rsidR="00C25890">
        <w:t>Company</w:t>
      </w:r>
      <w:r>
        <w:t xml:space="preserve"> projections are not.  This difference reveals the shortcoming of the </w:t>
      </w:r>
      <w:r w:rsidR="00C25890">
        <w:t>Company</w:t>
      </w:r>
      <w:r>
        <w:t xml:space="preserve"> approach.</w:t>
      </w:r>
    </w:p>
    <w:p w:rsidR="002969AB" w:rsidRDefault="002969AB" w:rsidP="00CF5C7A">
      <w:pPr>
        <w:pStyle w:val="textstyle0"/>
      </w:pPr>
      <w:r>
        <w:lastRenderedPageBreak/>
        <w:tab/>
        <w:t xml:space="preserve">Using the Staff’s superior method reveals that the </w:t>
      </w:r>
      <w:r w:rsidR="00C25890">
        <w:t>Company</w:t>
      </w:r>
      <w:r>
        <w:t>’s</w:t>
      </w:r>
      <w:r w:rsidR="00453EEA">
        <w:t xml:space="preserve"> generation</w:t>
      </w:r>
      <w:r>
        <w:t xml:space="preserve"> sales will actually be higher than expected through its modeling.  To reflect this increase in its ROE calcu</w:t>
      </w:r>
      <w:r w:rsidR="003E7525">
        <w:softHyphen/>
      </w:r>
      <w:r>
        <w:t>lation, it was necessary to adjust the projections of fuel cost and operating and mainte</w:t>
      </w:r>
      <w:r w:rsidR="003E7525">
        <w:softHyphen/>
      </w:r>
      <w:r>
        <w:t>nance costs commensurately.  Staff accomplished these changes and the resulting values were used in the computation of the ROE recommendation.</w:t>
      </w:r>
      <w:r w:rsidR="00B70887">
        <w:rPr>
          <w:rStyle w:val="FootnoteReference"/>
        </w:rPr>
        <w:footnoteReference w:id="38"/>
      </w:r>
      <w:r>
        <w:t xml:space="preserve"> </w:t>
      </w:r>
    </w:p>
    <w:p w:rsidR="006700BE" w:rsidRDefault="006700BE" w:rsidP="00CF5C7A">
      <w:pPr>
        <w:pStyle w:val="textstyle0"/>
      </w:pPr>
      <w:r>
        <w:tab/>
        <w:t xml:space="preserve">In his rebuttal testimony, company witness Jackson attempted to recalculate the ROE requirement using </w:t>
      </w:r>
      <w:r w:rsidR="00AA62C8">
        <w:t xml:space="preserve">all of </w:t>
      </w:r>
      <w:r>
        <w:t>Staff’s corrections</w:t>
      </w:r>
      <w:r w:rsidR="00AA62C8">
        <w:t xml:space="preserve"> including the elimination of the ST, a faster move to market, and reflecting Dr. Choueiki’s switching rate estimate</w:t>
      </w:r>
      <w:r>
        <w:t>.</w:t>
      </w:r>
      <w:r>
        <w:rPr>
          <w:rStyle w:val="FootnoteReference"/>
        </w:rPr>
        <w:footnoteReference w:id="39"/>
      </w:r>
      <w:r>
        <w:t xml:space="preserve">  In perform</w:t>
      </w:r>
      <w:r w:rsidR="0004138A">
        <w:softHyphen/>
      </w:r>
      <w:r>
        <w:t>ing his analysis company wit</w:t>
      </w:r>
      <w:r>
        <w:softHyphen/>
        <w:t>ness Jackson neglected to adjust for the change in the debt/equity ratio.</w:t>
      </w:r>
      <w:r>
        <w:rPr>
          <w:rStyle w:val="FootnoteReference"/>
        </w:rPr>
        <w:footnoteReference w:id="40"/>
      </w:r>
      <w:r>
        <w:t xml:space="preserve">  He further incor</w:t>
      </w:r>
      <w:r>
        <w:softHyphen/>
        <w:t>rectly failed to include 5/12 of Staff witness Benedict’s correction for the planning year 201</w:t>
      </w:r>
      <w:r w:rsidR="00AA62C8">
        <w:t>5</w:t>
      </w:r>
      <w:r>
        <w:t>-201</w:t>
      </w:r>
      <w:r w:rsidR="00AA62C8">
        <w:t>6</w:t>
      </w:r>
      <w:r>
        <w:t>.</w:t>
      </w:r>
      <w:r>
        <w:rPr>
          <w:rStyle w:val="FootnoteReference"/>
        </w:rPr>
        <w:footnoteReference w:id="41"/>
      </w:r>
      <w:r>
        <w:t xml:space="preserve">  </w:t>
      </w:r>
      <w:proofErr w:type="gramStart"/>
      <w:r>
        <w:t>Rectifying these oversights results in a Staff range of $</w:t>
      </w:r>
      <w:r w:rsidR="00AA62C8">
        <w:t xml:space="preserve">126 </w:t>
      </w:r>
      <w:r>
        <w:t>to 1</w:t>
      </w:r>
      <w:r w:rsidR="00AA62C8">
        <w:t>43</w:t>
      </w:r>
      <w:r>
        <w:t xml:space="preserve"> mil</w:t>
      </w:r>
      <w:r>
        <w:softHyphen/>
        <w:t>lion annually.</w:t>
      </w:r>
      <w:proofErr w:type="gramEnd"/>
    </w:p>
    <w:p w:rsidR="002969AB" w:rsidRDefault="002969AB" w:rsidP="00CF5C7A">
      <w:pPr>
        <w:pStyle w:val="textstyle0"/>
      </w:pPr>
      <w:r>
        <w:tab/>
        <w:t xml:space="preserve">In sum, the Staff has presented a reasonable method of assessing the </w:t>
      </w:r>
      <w:r w:rsidR="00C25890">
        <w:t>Company</w:t>
      </w:r>
      <w:r>
        <w:t>’s future</w:t>
      </w:r>
      <w:r w:rsidR="00453EEA">
        <w:t xml:space="preserve"> wholesale generation</w:t>
      </w:r>
      <w:r>
        <w:t xml:space="preserve"> sales and this method should be utilized by the Commission.</w:t>
      </w:r>
    </w:p>
    <w:p w:rsidR="0034028C" w:rsidRDefault="0034028C" w:rsidP="00D71806">
      <w:pPr>
        <w:pStyle w:val="Heading2"/>
      </w:pPr>
      <w:r>
        <w:br w:type="page"/>
      </w:r>
    </w:p>
    <w:p w:rsidR="002969AB" w:rsidRDefault="00B70887" w:rsidP="00D71806">
      <w:pPr>
        <w:pStyle w:val="Heading2"/>
      </w:pPr>
      <w:bookmarkStart w:id="25" w:name="_Toc356369830"/>
      <w:r>
        <w:lastRenderedPageBreak/>
        <w:t>I.</w:t>
      </w:r>
      <w:r>
        <w:tab/>
      </w:r>
      <w:r w:rsidR="002969AB">
        <w:t>Competitive Bid</w:t>
      </w:r>
      <w:r w:rsidR="00D71806">
        <w:t>ding Process</w:t>
      </w:r>
      <w:r w:rsidR="0009671E">
        <w:t xml:space="preserve"> (CBP)</w:t>
      </w:r>
      <w:bookmarkEnd w:id="25"/>
    </w:p>
    <w:p w:rsidR="00D71806" w:rsidRDefault="00CF5C7A" w:rsidP="00CF5C7A">
      <w:pPr>
        <w:pStyle w:val="textstyle0"/>
      </w:pPr>
      <w:r>
        <w:tab/>
      </w:r>
      <w:r w:rsidR="00D71806" w:rsidRPr="00CF5C7A">
        <w:t>At the outset, Staff notes that the Company has addressed many of its concerns about the competitive bidding process as initially proposed</w:t>
      </w:r>
      <w:r w:rsidR="0009671E" w:rsidRPr="00CF5C7A">
        <w:t xml:space="preserve">.  </w:t>
      </w:r>
      <w:r w:rsidR="00D71806" w:rsidRPr="00CF5C7A">
        <w:t>But some concerns remain. Most significantly, although the Company has indicated that the CBP could be modified during the ESP term, no process for modification has been presented. Equally important, the Commission must be the ultimate arbiter of the outcome of the CBP auction.</w:t>
      </w:r>
      <w:r w:rsidR="00D71806" w:rsidRPr="00CF5C7A">
        <w:rPr>
          <w:rStyle w:val="FootnoteReference"/>
          <w:szCs w:val="26"/>
        </w:rPr>
        <w:footnoteReference w:id="42"/>
      </w:r>
      <w:r w:rsidR="00D71806" w:rsidRPr="00CF5C7A">
        <w:t xml:space="preserve"> </w:t>
      </w:r>
    </w:p>
    <w:p w:rsidR="00D71806" w:rsidRDefault="00D71806" w:rsidP="00CF5C7A">
      <w:pPr>
        <w:pStyle w:val="textstyle0"/>
      </w:pPr>
      <w:r>
        <w:tab/>
        <w:t>While the Staff would prefer to move to an SSO entirely sourced through a competi</w:t>
      </w:r>
      <w:r>
        <w:softHyphen/>
        <w:t>tive bid immediately, this is not possible.  A flashcut would result in massive harm to the utility.  Conversely, moving as slowly as the Company proposes would slow the benefit to customers of the current low electricity price.  To address these competing, yet valid, concerns the Staff recommends a 40, 60, 100 percent approach over its recom</w:t>
      </w:r>
      <w:r>
        <w:softHyphen/>
        <w:t>mended three year term.</w:t>
      </w:r>
      <w:r>
        <w:rPr>
          <w:rStyle w:val="FootnoteReference"/>
        </w:rPr>
        <w:footnoteReference w:id="43"/>
      </w:r>
      <w:r>
        <w:t xml:space="preserve">  This assumption is built into the Staff’s overall analysis sup</w:t>
      </w:r>
      <w:r>
        <w:softHyphen/>
        <w:t xml:space="preserve">porting its SSR recommendation and, therefore, it has been shown that its adoption will preserve the Company’s financial integrity (within the ranges discussed previously).  It would simultaneously bring the benefits of low electricity prices to SSO customers more quickly than the Company proposal. </w:t>
      </w:r>
      <w:r w:rsidR="0009671E">
        <w:t xml:space="preserve"> </w:t>
      </w:r>
      <w:r>
        <w:t>In Staff’s view, this strikes the correct balance between the competing concerns of low prices and financial stability.  Departing from these assumed percentages would have a major impact on the SSR calculation and should not be done without a new analysis to quantify that effect.</w:t>
      </w:r>
    </w:p>
    <w:p w:rsidR="00D71806" w:rsidRPr="00CF5C7A" w:rsidRDefault="00CF5C7A" w:rsidP="00CF5C7A">
      <w:pPr>
        <w:pStyle w:val="textstyle0"/>
      </w:pPr>
      <w:r>
        <w:lastRenderedPageBreak/>
        <w:tab/>
      </w:r>
      <w:r w:rsidR="00D71806" w:rsidRPr="00CF5C7A">
        <w:t xml:space="preserve">Finally, the proposed CBP would permit DP&amp;L to participate in its own auction. </w:t>
      </w:r>
      <w:r w:rsidR="0009671E">
        <w:t xml:space="preserve"> </w:t>
      </w:r>
      <w:r w:rsidR="00D71806" w:rsidRPr="00CF5C7A">
        <w:t>This would discourage participation from other potential bidders</w:t>
      </w:r>
      <w:r w:rsidR="0009671E" w:rsidRPr="00CF5C7A">
        <w:t xml:space="preserve">.  </w:t>
      </w:r>
      <w:r w:rsidR="00D71806" w:rsidRPr="00CF5C7A">
        <w:t>Exelon witness Fein, for example, testified that allowing an incumbent utility owning generation assets to par</w:t>
      </w:r>
      <w:r w:rsidR="00F55BB9">
        <w:softHyphen/>
      </w:r>
      <w:r w:rsidR="00D71806" w:rsidRPr="00CF5C7A">
        <w:t>ticipate in the auction would have an effect on their willingness to participate.</w:t>
      </w:r>
      <w:r w:rsidR="00D71806" w:rsidRPr="00CF5C7A">
        <w:rPr>
          <w:rStyle w:val="FootnoteReference"/>
          <w:szCs w:val="26"/>
        </w:rPr>
        <w:footnoteReference w:id="44"/>
      </w:r>
      <w:r w:rsidR="00D71806" w:rsidRPr="00CF5C7A">
        <w:t xml:space="preserve"> </w:t>
      </w:r>
      <w:r w:rsidR="0009671E">
        <w:t xml:space="preserve"> </w:t>
      </w:r>
      <w:r w:rsidR="00D71806" w:rsidRPr="00CF5C7A">
        <w:t xml:space="preserve">Because robust participation is important for the auction to be successful, DP&amp;L should not be permitted to participate in the auction while the SSR is in place. </w:t>
      </w:r>
    </w:p>
    <w:p w:rsidR="002969AB" w:rsidRDefault="00944304" w:rsidP="00D71806">
      <w:pPr>
        <w:pStyle w:val="Heading2"/>
      </w:pPr>
      <w:bookmarkStart w:id="26" w:name="_Toc356369831"/>
      <w:r>
        <w:t>J.</w:t>
      </w:r>
      <w:r>
        <w:tab/>
      </w:r>
      <w:r w:rsidR="002969AB">
        <w:t>No Adjustment Needed for Switch Rates</w:t>
      </w:r>
      <w:bookmarkEnd w:id="26"/>
    </w:p>
    <w:p w:rsidR="002969AB" w:rsidRDefault="002969AB" w:rsidP="00CF5C7A">
      <w:pPr>
        <w:pStyle w:val="textstyle0"/>
      </w:pPr>
      <w:r>
        <w:tab/>
        <w:t>Having discussed adjustments made by Staff, it is necessary to mention an adjust</w:t>
      </w:r>
      <w:r w:rsidR="003E7525">
        <w:softHyphen/>
      </w:r>
      <w:r>
        <w:t xml:space="preserve">ment not made.  The </w:t>
      </w:r>
      <w:r w:rsidR="00C25890">
        <w:t>Company</w:t>
      </w:r>
      <w:r>
        <w:t xml:space="preserve"> has projected quite high switching rates over the ESP term.</w:t>
      </w:r>
      <w:r w:rsidR="00B70887">
        <w:rPr>
          <w:rStyle w:val="FootnoteReference"/>
        </w:rPr>
        <w:footnoteReference w:id="45"/>
      </w:r>
      <w:r>
        <w:t xml:space="preserve">  Although the Staff disagrees with the </w:t>
      </w:r>
      <w:r w:rsidR="00C25890">
        <w:t>Company</w:t>
      </w:r>
      <w:r>
        <w:t xml:space="preserve"> estimate of future switching rates, finding them too high and inconsistent with historically observed rates,</w:t>
      </w:r>
      <w:r w:rsidR="00C25890">
        <w:rPr>
          <w:rStyle w:val="FootnoteReference"/>
        </w:rPr>
        <w:footnoteReference w:id="46"/>
      </w:r>
      <w:r>
        <w:t xml:space="preserve"> no adjust</w:t>
      </w:r>
      <w:r w:rsidR="003E7525">
        <w:softHyphen/>
      </w:r>
      <w:r>
        <w:t>ment was made for this item.</w:t>
      </w:r>
    </w:p>
    <w:p w:rsidR="002969AB" w:rsidRDefault="002969AB" w:rsidP="00CF5C7A">
      <w:pPr>
        <w:pStyle w:val="textstyle0"/>
      </w:pPr>
      <w:r>
        <w:tab/>
        <w:t>Adjustment was not required because Staff also recommends, as discussed previ</w:t>
      </w:r>
      <w:r w:rsidR="003E7525">
        <w:softHyphen/>
      </w:r>
      <w:r>
        <w:t xml:space="preserve">ously, a faster move to market.  A faster move to market would reduce DP&amp;L’s revenues while a lower, reasonable switch rate assumption would increase the </w:t>
      </w:r>
      <w:r w:rsidR="00C25890">
        <w:t>Company</w:t>
      </w:r>
      <w:r>
        <w:t>’s pro</w:t>
      </w:r>
      <w:r w:rsidR="003E7525">
        <w:softHyphen/>
      </w:r>
      <w:r>
        <w:t>jected revenues.  By coincidence, calculation shows that these two effects, both embodied in the Staff’s analysis, are of the same magnitude, but as they are opposite in direction, they wash and no adjustment is required.</w:t>
      </w:r>
    </w:p>
    <w:p w:rsidR="002969AB" w:rsidRDefault="00944304" w:rsidP="00D71806">
      <w:pPr>
        <w:pStyle w:val="Heading2"/>
      </w:pPr>
      <w:bookmarkStart w:id="27" w:name="_Toc356369832"/>
      <w:r>
        <w:lastRenderedPageBreak/>
        <w:t>K.</w:t>
      </w:r>
      <w:r>
        <w:tab/>
      </w:r>
      <w:r w:rsidR="002969AB">
        <w:t xml:space="preserve">SSR is </w:t>
      </w:r>
      <w:r>
        <w:t>Not</w:t>
      </w:r>
      <w:r w:rsidR="002969AB">
        <w:t xml:space="preserve"> a Transition Charge</w:t>
      </w:r>
      <w:bookmarkEnd w:id="27"/>
    </w:p>
    <w:p w:rsidR="002969AB" w:rsidRDefault="002969AB" w:rsidP="00CF5C7A">
      <w:pPr>
        <w:pStyle w:val="textstyle0"/>
      </w:pPr>
      <w:r>
        <w:tab/>
        <w:t>It will be argued that the SSR is a transition charge and, therefore improper under R.C. 4928.38.  There is no merit to this argument.  As the Commission is aware, transi</w:t>
      </w:r>
      <w:r w:rsidR="003E7525">
        <w:softHyphen/>
      </w:r>
      <w:r>
        <w:t>tion revenues were monies to be collected by electric utilities under transition plans approved prior to the beginning of the transition period created under S.B. 3.  They were to be allowed so as to “…</w:t>
      </w:r>
      <w:r w:rsidRPr="00041C79">
        <w:t>provide an electric utility the opportunity to receive transition revenues that may assist it in making the transition to a fully competitive retail electric generation market</w:t>
      </w:r>
      <w:r>
        <w:t>.”</w:t>
      </w:r>
      <w:r w:rsidR="00944304">
        <w:rPr>
          <w:rStyle w:val="FootnoteReference"/>
        </w:rPr>
        <w:footnoteReference w:id="47"/>
      </w:r>
      <w:r>
        <w:t xml:space="preserve">  The criteria for designation as transition costs (those amounts to be collected to create transition revenues) were:</w:t>
      </w:r>
    </w:p>
    <w:p w:rsidR="002969AB" w:rsidRPr="00041C79" w:rsidRDefault="002969AB" w:rsidP="00CF5C7A">
      <w:pPr>
        <w:pStyle w:val="Blockquote"/>
      </w:pPr>
      <w:r w:rsidRPr="00041C79">
        <w:t xml:space="preserve">(A) </w:t>
      </w:r>
      <w:r w:rsidR="00944304">
        <w:t xml:space="preserve"> </w:t>
      </w:r>
      <w:r w:rsidRPr="00041C79">
        <w:t xml:space="preserve">The </w:t>
      </w:r>
      <w:r>
        <w:t xml:space="preserve">costs were prudently incurred. </w:t>
      </w:r>
    </w:p>
    <w:p w:rsidR="002969AB" w:rsidRPr="00041C79" w:rsidRDefault="002969AB" w:rsidP="00CF5C7A">
      <w:pPr>
        <w:pStyle w:val="Blockquote"/>
      </w:pPr>
      <w:r w:rsidRPr="00041C79">
        <w:t xml:space="preserve">(B) </w:t>
      </w:r>
      <w:r w:rsidR="00944304">
        <w:t xml:space="preserve"> </w:t>
      </w:r>
      <w:r w:rsidRPr="00041C79">
        <w:t>The costs are legitimate, net, verifiable, and directly assignable or allocable to retail electric generation service provided to ele</w:t>
      </w:r>
      <w:r>
        <w:t xml:space="preserve">ctric consumers in this state. </w:t>
      </w:r>
    </w:p>
    <w:p w:rsidR="002969AB" w:rsidRPr="00041C79" w:rsidRDefault="002969AB" w:rsidP="00CF5C7A">
      <w:pPr>
        <w:pStyle w:val="Blockquote"/>
      </w:pPr>
      <w:r w:rsidRPr="00041C79">
        <w:t xml:space="preserve">(C) </w:t>
      </w:r>
      <w:r w:rsidR="00944304">
        <w:t xml:space="preserve"> </w:t>
      </w:r>
      <w:r w:rsidRPr="00041C79">
        <w:t>The costs are unrecove</w:t>
      </w:r>
      <w:r>
        <w:t xml:space="preserve">rable in a competitive market. </w:t>
      </w:r>
    </w:p>
    <w:p w:rsidR="002969AB" w:rsidRDefault="002969AB" w:rsidP="00CF5C7A">
      <w:pPr>
        <w:pStyle w:val="Blockquote"/>
      </w:pPr>
      <w:r w:rsidRPr="00041C79">
        <w:t xml:space="preserve">(D) </w:t>
      </w:r>
      <w:r w:rsidR="00944304">
        <w:t xml:space="preserve"> </w:t>
      </w:r>
      <w:r w:rsidRPr="00041C79">
        <w:t>The utility would otherwise be entitled an opportunity to recover the costs.</w:t>
      </w:r>
      <w:r w:rsidR="00944304">
        <w:rPr>
          <w:rStyle w:val="FootnoteReference"/>
        </w:rPr>
        <w:footnoteReference w:id="48"/>
      </w:r>
    </w:p>
    <w:p w:rsidR="002969AB" w:rsidRDefault="002969AB" w:rsidP="00944304">
      <w:pPr>
        <w:pStyle w:val="ex"/>
      </w:pPr>
      <w:r>
        <w:t xml:space="preserve">As should be fairly plain from the express language of these sections, transition charges were intended to collect </w:t>
      </w:r>
      <w:r w:rsidRPr="00041C79">
        <w:rPr>
          <w:i/>
        </w:rPr>
        <w:t>historic costs</w:t>
      </w:r>
      <w:r>
        <w:t xml:space="preserve">, specifically those historic costs incurred by utilities prior to the introduction of competition in Ohio.  The concern existed that such costs, properly incurred prior to the change in law with the </w:t>
      </w:r>
      <w:r>
        <w:lastRenderedPageBreak/>
        <w:t>expectation of recovery, would no longer be recoverable in the new, competitive market.  The transition mechanism was created to resolve this concern.</w:t>
      </w:r>
    </w:p>
    <w:p w:rsidR="002969AB" w:rsidRDefault="002969AB" w:rsidP="00CF5C7A">
      <w:pPr>
        <w:pStyle w:val="textstyle0"/>
      </w:pPr>
      <w:r>
        <w:tab/>
        <w:t>As should also be quite obvious, the above has nothing to do with the proposed SSR.  The SSR proposal has nothing to do with historic cost.  It is entirely related to future solvency.  The SSR is not intended to collect any cost, rather it is structured so as to maintain the financial stability of the utility to allow it to continue to function and pro</w:t>
      </w:r>
      <w:r w:rsidR="003E7525">
        <w:softHyphen/>
      </w:r>
      <w:r>
        <w:t>vide reliable service.  History, in the sense of historic cost, is not relevant to this goal and is not used in its determination.</w:t>
      </w:r>
    </w:p>
    <w:p w:rsidR="002969AB" w:rsidRDefault="002969AB" w:rsidP="00CF5C7A">
      <w:pPr>
        <w:pStyle w:val="textstyle0"/>
      </w:pPr>
      <w:r>
        <w:tab/>
        <w:t>Transition revenues were allowed to right a perceived wrong.  The SSR is pro</w:t>
      </w:r>
      <w:r w:rsidR="003E7525">
        <w:softHyphen/>
      </w:r>
      <w:r>
        <w:t>posed for an entirely different purpose, keeping the utility viable.  There is no relation between the two and arguments to the contrary should be rejected.</w:t>
      </w:r>
    </w:p>
    <w:p w:rsidR="002969AB" w:rsidRDefault="002969AB" w:rsidP="002969AB">
      <w:pPr>
        <w:spacing w:line="480" w:lineRule="auto"/>
        <w:rPr>
          <w:sz w:val="28"/>
          <w:szCs w:val="28"/>
        </w:rPr>
      </w:pPr>
      <w:r>
        <w:rPr>
          <w:sz w:val="28"/>
          <w:szCs w:val="28"/>
        </w:rPr>
        <w:t>Earlier Separation of Generation Plant</w:t>
      </w:r>
    </w:p>
    <w:p w:rsidR="002969AB" w:rsidRDefault="002969AB" w:rsidP="00CF5C7A">
      <w:pPr>
        <w:pStyle w:val="textstyle0"/>
      </w:pPr>
      <w:r>
        <w:tab/>
        <w:t>Much as the Staff would prefer that DP&amp;L separate its generating assets into a free-standing corporation, whether affiliated or held by a third party, it is simply not fea</w:t>
      </w:r>
      <w:r w:rsidR="003E7525">
        <w:softHyphen/>
      </w:r>
      <w:r>
        <w:t xml:space="preserve">sible to do this currently.  As clearly shown through the testimony, the </w:t>
      </w:r>
      <w:r w:rsidR="00C25890">
        <w:t>Company</w:t>
      </w:r>
      <w:r>
        <w:t>’s debt is secured by bonds which have claims to all the utility’s property and are not callable until 2016.</w:t>
      </w:r>
      <w:r w:rsidR="00944304">
        <w:rPr>
          <w:rStyle w:val="FootnoteReference"/>
        </w:rPr>
        <w:footnoteReference w:id="49"/>
      </w:r>
      <w:r>
        <w:t xml:space="preserve">  The ability to transfer DP&amp;L’s generating plant to a new corporation is held by the bondholders who are not subject to the control of this Commission or DP&amp;L.  Until these no-call features lapse with the passage of time, there is simply no mechanism which would allow an earlier transfer of ownership of the generating assets.</w:t>
      </w:r>
    </w:p>
    <w:p w:rsidR="002969AB" w:rsidRDefault="002969AB" w:rsidP="00CF5C7A">
      <w:pPr>
        <w:pStyle w:val="textstyle0"/>
      </w:pPr>
      <w:r>
        <w:lastRenderedPageBreak/>
        <w:tab/>
        <w:t>DP&amp;L will be criticized for having recreated the above problem.  It was recog</w:t>
      </w:r>
      <w:r w:rsidR="003E7525">
        <w:softHyphen/>
      </w:r>
      <w:r>
        <w:t>nized in DP&amp;L’s 1999 ETP case that no-call financing prevented the transfer of DP&amp;L’s generating assets at that time.</w:t>
      </w:r>
      <w:r>
        <w:rPr>
          <w:rStyle w:val="FootnoteReference"/>
          <w:sz w:val="28"/>
          <w:szCs w:val="28"/>
        </w:rPr>
        <w:footnoteReference w:id="50"/>
      </w:r>
      <w:r>
        <w:t xml:space="preserve">  Subsequently all of the debt that existed then has been refinanced with new no call provisions.  On this basis it will be argued that the </w:t>
      </w:r>
      <w:r w:rsidR="00C25890">
        <w:t>Company</w:t>
      </w:r>
      <w:r>
        <w:t xml:space="preserve"> made its own problem.  This argument ignores history and should be rejected.</w:t>
      </w:r>
    </w:p>
    <w:p w:rsidR="002969AB" w:rsidRDefault="002969AB" w:rsidP="00CF5C7A">
      <w:pPr>
        <w:pStyle w:val="textstyle0"/>
      </w:pPr>
      <w:r>
        <w:tab/>
        <w:t>In fact the world changed between 1999 and when the debt was refinanced.  It appeared that transferring the generating plant was unnecessary, even unwise.  The Commission itself approved the debt issuances which included the new no-call provi</w:t>
      </w:r>
      <w:r w:rsidR="003E7525">
        <w:softHyphen/>
      </w:r>
      <w:r>
        <w:t xml:space="preserve">sions.  The general assembly repealed the provision mandating transfer of generating plant ownership and replaced it with a requirement that Commission approval be obtained before any generating plan </w:t>
      </w:r>
      <w:r w:rsidRPr="00041C79">
        <w:rPr>
          <w:i/>
        </w:rPr>
        <w:t>could</w:t>
      </w:r>
      <w:r>
        <w:t xml:space="preserve"> be transferred.</w:t>
      </w:r>
      <w:r w:rsidR="00944304">
        <w:rPr>
          <w:rStyle w:val="FootnoteReference"/>
        </w:rPr>
        <w:footnoteReference w:id="51"/>
      </w:r>
      <w:r>
        <w:t xml:space="preserve"> </w:t>
      </w:r>
      <w:r w:rsidR="00944304">
        <w:t xml:space="preserve"> </w:t>
      </w:r>
      <w:r>
        <w:t>Given this change in circum</w:t>
      </w:r>
      <w:r w:rsidR="003E7525">
        <w:softHyphen/>
      </w:r>
      <w:r>
        <w:t>stance, and the fact that no-call provisions lower the required debt rate,</w:t>
      </w:r>
      <w:r w:rsidR="00944304">
        <w:rPr>
          <w:rStyle w:val="FootnoteReference"/>
        </w:rPr>
        <w:footnoteReference w:id="52"/>
      </w:r>
      <w:r>
        <w:t xml:space="preserve"> the </w:t>
      </w:r>
      <w:r w:rsidR="00C25890">
        <w:t>refinancings</w:t>
      </w:r>
      <w:r>
        <w:t xml:space="preserve"> were reasonable at the time.  That the world has changed yet again, making it appear nec</w:t>
      </w:r>
      <w:r w:rsidR="003E7525">
        <w:softHyphen/>
      </w:r>
      <w:r>
        <w:t xml:space="preserve">essary to transfer to generating plant as soon as possible, does not mean that the </w:t>
      </w:r>
      <w:r w:rsidR="00C25890">
        <w:t>Com</w:t>
      </w:r>
      <w:r w:rsidR="003E7525">
        <w:softHyphen/>
      </w:r>
      <w:r w:rsidR="00C25890">
        <w:t>pany</w:t>
      </w:r>
      <w:r>
        <w:t xml:space="preserve"> has done anything </w:t>
      </w:r>
      <w:r w:rsidR="00C25890">
        <w:t>wrong;</w:t>
      </w:r>
      <w:r>
        <w:t xml:space="preserve"> it is merely Monday morning quarterbacking.  </w:t>
      </w:r>
    </w:p>
    <w:p w:rsidR="002969AB" w:rsidRDefault="002969AB" w:rsidP="00CF5C7A">
      <w:pPr>
        <w:pStyle w:val="textstyle0"/>
      </w:pPr>
      <w:r>
        <w:tab/>
        <w:t xml:space="preserve">Indeed the proper conclusion to be drawn from these two radical changes in the common wisdom about the fundamental structure of the industry, reversing twice in such </w:t>
      </w:r>
      <w:r>
        <w:lastRenderedPageBreak/>
        <w:t xml:space="preserve">a short period, underscores the need to keep the ESP term short.  A five year term is very, very long in this business.  Given the </w:t>
      </w:r>
      <w:r w:rsidR="0009671E">
        <w:t>sea changes</w:t>
      </w:r>
      <w:r>
        <w:t xml:space="preserve"> that happen continually in this area, the Commission should refrain from limiting its own ability to respond.  A shorter term does this and the Staff’s recommended three year term is the superior approach.</w:t>
      </w:r>
    </w:p>
    <w:p w:rsidR="002969AB" w:rsidRDefault="002969AB" w:rsidP="00CF5C7A">
      <w:pPr>
        <w:pStyle w:val="textstyle0"/>
      </w:pPr>
      <w:r>
        <w:tab/>
        <w:t xml:space="preserve">In sum, there is no possibility of transferring the generating plant early.  No amount of wishing will make it otherwise.  The facts are the facts.  They arise through no fault of the </w:t>
      </w:r>
      <w:r w:rsidR="00C25890">
        <w:t>Company</w:t>
      </w:r>
      <w:r>
        <w:t xml:space="preserve"> and we must all simply live with the situation.</w:t>
      </w:r>
    </w:p>
    <w:p w:rsidR="002969AB" w:rsidRDefault="00944304" w:rsidP="00D71806">
      <w:pPr>
        <w:pStyle w:val="Heading2"/>
      </w:pPr>
      <w:bookmarkStart w:id="28" w:name="_Toc356369833"/>
      <w:r>
        <w:t>L.</w:t>
      </w:r>
      <w:r>
        <w:tab/>
      </w:r>
      <w:r w:rsidR="002969AB">
        <w:t>Ringfencing the SSR</w:t>
      </w:r>
      <w:bookmarkEnd w:id="28"/>
    </w:p>
    <w:p w:rsidR="002969AB" w:rsidRDefault="002969AB" w:rsidP="00CF5C7A">
      <w:pPr>
        <w:pStyle w:val="textstyle0"/>
      </w:pPr>
      <w:r>
        <w:tab/>
        <w:t>The Commission will be presented with many arguments suggesting that provid</w:t>
      </w:r>
      <w:r w:rsidR="003E7525">
        <w:softHyphen/>
      </w:r>
      <w:r>
        <w:t xml:space="preserve">ing the </w:t>
      </w:r>
      <w:r w:rsidR="00C25890">
        <w:t>Company</w:t>
      </w:r>
      <w:r>
        <w:t xml:space="preserve"> with an SSR of any amount will be anti-competitive.  While the Staff believes that there is no merit to these claims, the SSR being directed to financial survival rather than competitive advantage, to eliminate even the possibility that there could be incidental and unintended anti-competitive impacts, the Staff recommends ringfencing</w:t>
      </w:r>
      <w:r w:rsidR="0009671E">
        <w:t>.</w:t>
      </w:r>
      <w:r w:rsidR="00944304">
        <w:rPr>
          <w:rStyle w:val="FootnoteReference"/>
        </w:rPr>
        <w:footnoteReference w:id="53"/>
      </w:r>
      <w:r w:rsidR="0009671E">
        <w:t xml:space="preserve">  </w:t>
      </w:r>
      <w:r>
        <w:t>Specifically “[s]taff recommends that the revenues collected stay with DP&amp;L and not be transferred to any of DP&amp;L’s current, or future-formed, affiliates or subsidiaries.”</w:t>
      </w:r>
      <w:r w:rsidR="00B6553F">
        <w:rPr>
          <w:rStyle w:val="FootnoteReference"/>
        </w:rPr>
        <w:footnoteReference w:id="54"/>
      </w:r>
      <w:r>
        <w:t xml:space="preserve">  Tak</w:t>
      </w:r>
      <w:r w:rsidR="003E7525">
        <w:softHyphen/>
      </w:r>
      <w:r>
        <w:t xml:space="preserve">ing this additional step will help the Commission to assure that the twin goals, preserving both a viable </w:t>
      </w:r>
      <w:r w:rsidR="005F5C3A">
        <w:t>electric distribution utility (</w:t>
      </w:r>
      <w:r>
        <w:t>EDU</w:t>
      </w:r>
      <w:r w:rsidR="005F5C3A">
        <w:t>)</w:t>
      </w:r>
      <w:r>
        <w:t xml:space="preserve"> and a viable competitive market will be achieved.</w:t>
      </w:r>
    </w:p>
    <w:p w:rsidR="002969AB" w:rsidRDefault="00B6553F" w:rsidP="00D71806">
      <w:pPr>
        <w:pStyle w:val="Heading2"/>
      </w:pPr>
      <w:bookmarkStart w:id="29" w:name="_Toc356369834"/>
      <w:r>
        <w:lastRenderedPageBreak/>
        <w:t>M.</w:t>
      </w:r>
      <w:r>
        <w:tab/>
      </w:r>
      <w:r w:rsidR="002969AB">
        <w:t>SSR Allocation</w:t>
      </w:r>
      <w:bookmarkEnd w:id="29"/>
    </w:p>
    <w:p w:rsidR="002969AB" w:rsidRDefault="002969AB" w:rsidP="00CF5C7A">
      <w:pPr>
        <w:pStyle w:val="textstyle0"/>
      </w:pPr>
      <w:r>
        <w:tab/>
        <w:t>Should the Commission determine that an SSR should be approved, it will be neces</w:t>
      </w:r>
      <w:r w:rsidR="003E7525">
        <w:softHyphen/>
      </w:r>
      <w:r>
        <w:t>sary to determine how to allocate it across the rate classes.  The Commission will be presented with three ideas about how to accomplish this, all should be rejected.</w:t>
      </w:r>
    </w:p>
    <w:p w:rsidR="002969AB" w:rsidRDefault="002969AB" w:rsidP="00CF5C7A">
      <w:pPr>
        <w:pStyle w:val="textstyle0"/>
      </w:pPr>
      <w:r>
        <w:tab/>
        <w:t xml:space="preserve">The </w:t>
      </w:r>
      <w:r w:rsidR="00C25890">
        <w:t>Company</w:t>
      </w:r>
      <w:r>
        <w:t xml:space="preserve"> has proposed collecting a portion of the SSR through a customer charge although none exists currently for the RSC.</w:t>
      </w:r>
      <w:r w:rsidR="00B6553F">
        <w:rPr>
          <w:rStyle w:val="FootnoteReference"/>
        </w:rPr>
        <w:footnoteReference w:id="55"/>
      </w:r>
      <w:r>
        <w:t xml:space="preserve"> </w:t>
      </w:r>
      <w:r w:rsidR="00B6553F">
        <w:t xml:space="preserve"> </w:t>
      </w:r>
      <w:r>
        <w:t>Indeed no other Ohio EDU has a customer charge for a non-bypassable charge.</w:t>
      </w:r>
      <w:r w:rsidR="00B6553F">
        <w:rPr>
          <w:rStyle w:val="FootnoteReference"/>
        </w:rPr>
        <w:footnoteReference w:id="56"/>
      </w:r>
      <w:r w:rsidR="00B6553F">
        <w:t xml:space="preserve">  </w:t>
      </w:r>
      <w:r>
        <w:t>Additionally the Commission will see competing proposals for the allocation, one from industrials seeking to shift a portion of the SSR to residentials and another from residentials seeking to shift a portion to industri</w:t>
      </w:r>
      <w:r w:rsidR="003E7525">
        <w:softHyphen/>
      </w:r>
      <w:r>
        <w:t>als.  There is no merit to any of these ideas.  The better course is to maintain the alloca</w:t>
      </w:r>
      <w:r w:rsidR="003E7525">
        <w:softHyphen/>
      </w:r>
      <w:r>
        <w:t>tion used currently for the RSC.</w:t>
      </w:r>
      <w:r w:rsidR="00B6553F">
        <w:rPr>
          <w:rStyle w:val="FootnoteReference"/>
        </w:rPr>
        <w:footnoteReference w:id="57"/>
      </w:r>
      <w:r>
        <w:t xml:space="preserve">  There is no basis to change the allocation, no cost of service study has been done and none is really feasible given the nature of the SSR.</w:t>
      </w:r>
      <w:r w:rsidR="00B6553F">
        <w:rPr>
          <w:rStyle w:val="FootnoteReference"/>
        </w:rPr>
        <w:footnoteReference w:id="58"/>
      </w:r>
      <w:r>
        <w:t xml:space="preserve">  Shifting responsibility only creates the possibility of unwarranted and unexpected rate impacts without any countervailing benefit.  The status quo should be maintained.</w:t>
      </w:r>
    </w:p>
    <w:p w:rsidR="002969AB" w:rsidRDefault="00C865AE" w:rsidP="00D71806">
      <w:pPr>
        <w:pStyle w:val="Heading2"/>
      </w:pPr>
      <w:bookmarkStart w:id="30" w:name="_Toc356369835"/>
      <w:r>
        <w:lastRenderedPageBreak/>
        <w:t>N.</w:t>
      </w:r>
      <w:r>
        <w:tab/>
      </w:r>
      <w:r w:rsidR="002969AB">
        <w:t>Maximum Charge Provisions</w:t>
      </w:r>
      <w:bookmarkEnd w:id="30"/>
    </w:p>
    <w:p w:rsidR="002969AB" w:rsidRDefault="00B6553F" w:rsidP="00CF5C7A">
      <w:pPr>
        <w:pStyle w:val="textstyle0"/>
      </w:pPr>
      <w:r>
        <w:tab/>
      </w:r>
      <w:r w:rsidR="002969AB">
        <w:t>For at least twenty two years the tariffs of DP&amp;L have included what are termed maximum rate provisions.</w:t>
      </w:r>
      <w:r>
        <w:rPr>
          <w:rStyle w:val="FootnoteReference"/>
        </w:rPr>
        <w:footnoteReference w:id="59"/>
      </w:r>
      <w:r w:rsidR="002969AB">
        <w:t xml:space="preserve">  These provisions limit the total amount of increase that partic</w:t>
      </w:r>
      <w:r w:rsidR="003E7525">
        <w:softHyphen/>
      </w:r>
      <w:r w:rsidR="002969AB">
        <w:t xml:space="preserve">ularly low load factor customers might experience in a given billing period.  The </w:t>
      </w:r>
      <w:r w:rsidR="00C25890">
        <w:t>Company</w:t>
      </w:r>
      <w:r w:rsidR="002969AB">
        <w:t xml:space="preserve"> proposes to eliminate these provisions.</w:t>
      </w:r>
    </w:p>
    <w:p w:rsidR="002969AB" w:rsidRDefault="002969AB" w:rsidP="00CF5C7A">
      <w:pPr>
        <w:pStyle w:val="textstyle0"/>
      </w:pPr>
      <w:r>
        <w:tab/>
        <w:t>The lack of information about these provisions is striking.  It is unknown how many customers benefit</w:t>
      </w:r>
      <w:r w:rsidR="00B6553F">
        <w:t>.</w:t>
      </w:r>
      <w:r>
        <w:rPr>
          <w:rStyle w:val="FootnoteReference"/>
          <w:sz w:val="28"/>
          <w:szCs w:val="28"/>
        </w:rPr>
        <w:footnoteReference w:id="60"/>
      </w:r>
      <w:r>
        <w:t xml:space="preserve">  It is unknown how these customers change from month to month.</w:t>
      </w:r>
      <w:r w:rsidR="00B6553F">
        <w:rPr>
          <w:rStyle w:val="FootnoteReference"/>
        </w:rPr>
        <w:footnoteReference w:id="61"/>
      </w:r>
      <w:r>
        <w:t xml:space="preserve"> </w:t>
      </w:r>
      <w:r w:rsidR="00B6553F">
        <w:t xml:space="preserve"> </w:t>
      </w:r>
      <w:r>
        <w:t>It is unknown what the rate effect would be of the elimination of these provi</w:t>
      </w:r>
      <w:r w:rsidR="003E7525">
        <w:softHyphen/>
      </w:r>
      <w:r>
        <w:t>sions.</w:t>
      </w:r>
      <w:r w:rsidR="00B6553F">
        <w:rPr>
          <w:rStyle w:val="FootnoteReference"/>
        </w:rPr>
        <w:footnoteReference w:id="62"/>
      </w:r>
      <w:r>
        <w:t xml:space="preserve"> </w:t>
      </w:r>
      <w:r w:rsidR="00B6553F">
        <w:t xml:space="preserve"> </w:t>
      </w:r>
      <w:r>
        <w:t>Although the total value of these provisions can be estimated at a few million dollars per year</w:t>
      </w:r>
      <w:r w:rsidR="00C865AE">
        <w:t xml:space="preserve"> ($5M)</w:t>
      </w:r>
      <w:r>
        <w:t xml:space="preserve">, it is unknown whether </w:t>
      </w:r>
      <w:r w:rsidR="00C865AE">
        <w:t xml:space="preserve">portions of these costs are paid by </w:t>
      </w:r>
      <w:r>
        <w:t xml:space="preserve">other ratepayers or the </w:t>
      </w:r>
      <w:r w:rsidR="00C25890">
        <w:t>Company</w:t>
      </w:r>
      <w:r>
        <w:t xml:space="preserve"> carry this cost.</w:t>
      </w:r>
      <w:r w:rsidR="00B6553F">
        <w:rPr>
          <w:rStyle w:val="FootnoteReference"/>
        </w:rPr>
        <w:footnoteReference w:id="63"/>
      </w:r>
      <w:r>
        <w:t xml:space="preserve"> </w:t>
      </w:r>
      <w:r w:rsidR="00B6553F">
        <w:t xml:space="preserve"> </w:t>
      </w:r>
      <w:r w:rsidR="00C865AE">
        <w:t>Staff believes that approximately 15% is being borne by ratepayers and 85% is being borne by DPL shareholders.</w:t>
      </w:r>
      <w:r w:rsidR="00C865AE">
        <w:rPr>
          <w:rStyle w:val="FootnoteReference"/>
        </w:rPr>
        <w:footnoteReference w:id="64"/>
      </w:r>
      <w:r w:rsidR="00C865AE">
        <w:t xml:space="preserve">  T</w:t>
      </w:r>
      <w:r>
        <w:t>he best course of action is no action at all</w:t>
      </w:r>
      <w:r w:rsidR="00C865AE">
        <w:t xml:space="preserve"> and to continue to have DPL shareholders bear the cost of the maximum charge provision</w:t>
      </w:r>
      <w:r>
        <w:t>.</w:t>
      </w:r>
      <w:r w:rsidR="00B6553F">
        <w:rPr>
          <w:rStyle w:val="FootnoteReference"/>
        </w:rPr>
        <w:footnoteReference w:id="65"/>
      </w:r>
      <w:r>
        <w:t xml:space="preserve">  Eliminating the provision as the </w:t>
      </w:r>
      <w:r w:rsidR="00C25890">
        <w:t>Company</w:t>
      </w:r>
      <w:r>
        <w:t xml:space="preserve"> seeks is simply too risky.  Based on this record it is impossible to know who might be </w:t>
      </w:r>
      <w:r w:rsidR="00C865AE">
        <w:t>a</w:t>
      </w:r>
      <w:r w:rsidR="00C25890">
        <w:t>ffected</w:t>
      </w:r>
      <w:r>
        <w:t xml:space="preserve">, </w:t>
      </w:r>
      <w:r>
        <w:lastRenderedPageBreak/>
        <w:t xml:space="preserve">how they might be </w:t>
      </w:r>
      <w:r w:rsidR="00C865AE">
        <w:t>a</w:t>
      </w:r>
      <w:r>
        <w:t xml:space="preserve">ffected, or even when they might be </w:t>
      </w:r>
      <w:r w:rsidR="00C25890">
        <w:t xml:space="preserve">affected.  </w:t>
      </w:r>
      <w:r>
        <w:t>Taking the extreme step of eliminating the charge presents the possibility of very negative consequences that cannot be predicted.  It should not be done.</w:t>
      </w:r>
    </w:p>
    <w:p w:rsidR="002969AB" w:rsidRDefault="002969AB" w:rsidP="00CF5C7A">
      <w:pPr>
        <w:pStyle w:val="textstyle0"/>
      </w:pPr>
      <w:r>
        <w:tab/>
        <w:t xml:space="preserve">Should the Commission determine to phase out the maximum rate provision, a much slower approach is warranted.  Even the </w:t>
      </w:r>
      <w:r w:rsidR="00C25890">
        <w:t>Company</w:t>
      </w:r>
      <w:r>
        <w:t xml:space="preserve"> itself recognizes the merit of the concept of gradualism.</w:t>
      </w:r>
      <w:r w:rsidR="00B6553F">
        <w:rPr>
          <w:rStyle w:val="FootnoteReference"/>
        </w:rPr>
        <w:footnoteReference w:id="66"/>
      </w:r>
      <w:r>
        <w:t xml:space="preserve">  Staff witness Turkenton lays out a much more measured approach, actually only a quarter of the speed suggested by the </w:t>
      </w:r>
      <w:r w:rsidR="00C25890">
        <w:t>Company</w:t>
      </w:r>
      <w:r>
        <w:t>.</w:t>
      </w:r>
      <w:r w:rsidR="00B6553F">
        <w:rPr>
          <w:rStyle w:val="FootnoteReference"/>
        </w:rPr>
        <w:footnoteReference w:id="67"/>
      </w:r>
      <w:r>
        <w:t xml:space="preserve"> </w:t>
      </w:r>
      <w:r w:rsidR="00B6553F">
        <w:t xml:space="preserve"> </w:t>
      </w:r>
      <w:r>
        <w:t>While this is not favored by the Staff, the slower approach would allow more time to address the problems that will assuredly crop up.</w:t>
      </w:r>
    </w:p>
    <w:p w:rsidR="00D71806" w:rsidRDefault="00D71806" w:rsidP="00D71806">
      <w:pPr>
        <w:pStyle w:val="Heading2"/>
      </w:pPr>
      <w:bookmarkStart w:id="31" w:name="_Toc356369836"/>
      <w:r>
        <w:t>O.</w:t>
      </w:r>
      <w:r>
        <w:tab/>
        <w:t>Riders</w:t>
      </w:r>
      <w:bookmarkEnd w:id="31"/>
    </w:p>
    <w:p w:rsidR="00D71806" w:rsidRPr="00942CE3" w:rsidRDefault="00D71806" w:rsidP="00CF5C7A">
      <w:pPr>
        <w:pStyle w:val="Heading3"/>
      </w:pPr>
      <w:bookmarkStart w:id="32" w:name="_Toc356369837"/>
      <w:r w:rsidRPr="00942CE3">
        <w:t>FUEL Rider</w:t>
      </w:r>
      <w:bookmarkEnd w:id="32"/>
    </w:p>
    <w:p w:rsidR="00D71806" w:rsidRPr="00942CE3" w:rsidRDefault="00CF5C7A" w:rsidP="00CF5C7A">
      <w:pPr>
        <w:pStyle w:val="textstyle0"/>
      </w:pPr>
      <w:r>
        <w:tab/>
      </w:r>
      <w:r w:rsidR="00D71806" w:rsidRPr="00942CE3">
        <w:t>The Company currently has a fuel rider in effect</w:t>
      </w:r>
      <w:r w:rsidR="0009671E" w:rsidRPr="00942CE3">
        <w:t xml:space="preserve">.  </w:t>
      </w:r>
      <w:r w:rsidR="00D71806" w:rsidRPr="00942CE3">
        <w:t>In this case, it is proposing to change the methodology for calculating the rider from a least cost to a system average cost methodology. Staff opposes this change. The Company’s proposal will result in higher rates to SSO customers, and result in a subsidization of non-SSO customers.</w:t>
      </w:r>
      <w:r w:rsidR="00D71806" w:rsidRPr="00942CE3">
        <w:rPr>
          <w:rStyle w:val="FootnoteReference"/>
          <w:szCs w:val="26"/>
        </w:rPr>
        <w:footnoteReference w:id="68"/>
      </w:r>
      <w:r w:rsidR="00D71806" w:rsidRPr="00942CE3">
        <w:t xml:space="preserve"> Aver</w:t>
      </w:r>
      <w:r w:rsidR="00F55BB9">
        <w:softHyphen/>
      </w:r>
      <w:r w:rsidR="00D71806" w:rsidRPr="00942CE3">
        <w:t>age cost will always be higher than least cost</w:t>
      </w:r>
      <w:r w:rsidR="005F5C3A" w:rsidRPr="00942CE3">
        <w:t xml:space="preserve">.  </w:t>
      </w:r>
      <w:r w:rsidR="00D71806" w:rsidRPr="00942CE3">
        <w:t>The Company’s generation assets should be used primarily to provide DP&amp;L SSO customers with the lowest cost genera</w:t>
      </w:r>
      <w:r w:rsidR="00F55BB9">
        <w:softHyphen/>
      </w:r>
      <w:r w:rsidR="00D71806" w:rsidRPr="00942CE3">
        <w:t xml:space="preserve">tion. </w:t>
      </w:r>
    </w:p>
    <w:p w:rsidR="00D71806" w:rsidRPr="00942CE3" w:rsidRDefault="00CF5C7A" w:rsidP="00CF5C7A">
      <w:pPr>
        <w:pStyle w:val="textstyle0"/>
      </w:pPr>
      <w:r>
        <w:lastRenderedPageBreak/>
        <w:tab/>
      </w:r>
      <w:r w:rsidR="00D71806" w:rsidRPr="00942CE3">
        <w:t>But even the Company’s current least cost methodology results in a cross-subsidiza</w:t>
      </w:r>
      <w:r w:rsidR="00F55BB9">
        <w:softHyphen/>
      </w:r>
      <w:r w:rsidR="00D71806" w:rsidRPr="00942CE3">
        <w:t xml:space="preserve">tion of non-jurisdictional load. </w:t>
      </w:r>
      <w:r w:rsidR="0009671E">
        <w:t xml:space="preserve"> </w:t>
      </w:r>
      <w:r w:rsidR="00D71806" w:rsidRPr="00942CE3">
        <w:t xml:space="preserve">The fuel rider should be set based on least cost to SSO customers, and should exclude the load of DPL Energy Resources (DPLER), DP&amp;L’s affiliate. </w:t>
      </w:r>
      <w:r w:rsidR="0009671E">
        <w:t xml:space="preserve"> </w:t>
      </w:r>
      <w:r w:rsidR="00D71806" w:rsidRPr="00942CE3">
        <w:t>That load, which serves non-SSO customers, is currently included in the determination of “least cost.”</w:t>
      </w:r>
      <w:r w:rsidR="00D71806" w:rsidRPr="00942CE3">
        <w:rPr>
          <w:rStyle w:val="FootnoteReference"/>
          <w:szCs w:val="26"/>
        </w:rPr>
        <w:footnoteReference w:id="69"/>
      </w:r>
      <w:r w:rsidR="00D71806" w:rsidRPr="00942CE3">
        <w:t xml:space="preserve"> </w:t>
      </w:r>
      <w:r w:rsidR="0009671E">
        <w:t xml:space="preserve"> </w:t>
      </w:r>
      <w:r w:rsidR="00D71806" w:rsidRPr="00942CE3">
        <w:t xml:space="preserve">Staff does, however, support the Company’s proposal to change the rider’s reconciliation periods to include the most current data available when calculating the rider. </w:t>
      </w:r>
    </w:p>
    <w:p w:rsidR="00D71806" w:rsidRPr="00942CE3" w:rsidRDefault="00D71806" w:rsidP="00CF5C7A">
      <w:pPr>
        <w:pStyle w:val="Heading3"/>
      </w:pPr>
      <w:bookmarkStart w:id="33" w:name="_Toc356369838"/>
      <w:r w:rsidRPr="00942CE3">
        <w:t>Storm Damage Recovery Rider</w:t>
      </w:r>
      <w:bookmarkEnd w:id="33"/>
    </w:p>
    <w:p w:rsidR="00D71806" w:rsidRPr="00942CE3" w:rsidRDefault="00CF5C7A" w:rsidP="00CF5C7A">
      <w:pPr>
        <w:pStyle w:val="textstyle0"/>
      </w:pPr>
      <w:r>
        <w:tab/>
      </w:r>
      <w:r w:rsidR="00D71806" w:rsidRPr="00942CE3">
        <w:t xml:space="preserve">The Company currently recovers costs associated with destructive or major storms by requesting accounting authority to defer those expenses as a regulatory asset. </w:t>
      </w:r>
      <w:r w:rsidR="0009671E">
        <w:t xml:space="preserve"> </w:t>
      </w:r>
      <w:r w:rsidR="00D71806" w:rsidRPr="00942CE3">
        <w:t xml:space="preserve">While it has recovered those expenses through a rider in the past, it is not presently. </w:t>
      </w:r>
      <w:r w:rsidR="0009671E">
        <w:t xml:space="preserve"> </w:t>
      </w:r>
      <w:r w:rsidR="00D71806" w:rsidRPr="00942CE3">
        <w:t>Staff recom</w:t>
      </w:r>
      <w:r w:rsidR="00F55BB9">
        <w:softHyphen/>
      </w:r>
      <w:r w:rsidR="00D71806" w:rsidRPr="00942CE3">
        <w:t xml:space="preserve">mends that the Company be ordered to establish a Storm Damage Recovery Rider on a going-forward basis to defer storm-related costs that exceed an annual baseline. </w:t>
      </w:r>
      <w:r w:rsidR="0009671E">
        <w:t xml:space="preserve"> </w:t>
      </w:r>
      <w:r w:rsidR="00D71806" w:rsidRPr="00942CE3">
        <w:t>A rider would both reduce delays in seeking deferral authority, and minimize carrying charges associated with those deferrals.</w:t>
      </w:r>
      <w:r w:rsidR="00D71806" w:rsidRPr="00942CE3">
        <w:rPr>
          <w:rStyle w:val="FootnoteReference"/>
          <w:szCs w:val="26"/>
        </w:rPr>
        <w:footnoteReference w:id="70"/>
      </w:r>
      <w:r w:rsidR="00D71806" w:rsidRPr="00942CE3">
        <w:t xml:space="preserve"> </w:t>
      </w:r>
      <w:r w:rsidR="0009671E">
        <w:t xml:space="preserve"> </w:t>
      </w:r>
      <w:r w:rsidR="00D71806" w:rsidRPr="00942CE3">
        <w:t>Any rider should also provide refunds in years when costs are below the baseline.</w:t>
      </w:r>
    </w:p>
    <w:p w:rsidR="00D71806" w:rsidRPr="00942CE3" w:rsidRDefault="00CF5C7A" w:rsidP="00CF5C7A">
      <w:pPr>
        <w:pStyle w:val="textstyle0"/>
      </w:pPr>
      <w:r>
        <w:tab/>
      </w:r>
      <w:r w:rsidR="00D71806" w:rsidRPr="00942CE3">
        <w:t>Staff recommends that the Commission establish an annual baseline of $4,000,000 in this case.</w:t>
      </w:r>
      <w:r w:rsidR="0009671E">
        <w:t xml:space="preserve"> </w:t>
      </w:r>
      <w:r w:rsidR="00D71806" w:rsidRPr="00942CE3">
        <w:t xml:space="preserve"> As demonstrated by Staff witness Lipthratt, this amount is roughly equal to the average annual level of storm damage cost experienced by the Company during the </w:t>
      </w:r>
      <w:r w:rsidR="00D71806" w:rsidRPr="00942CE3">
        <w:lastRenderedPageBreak/>
        <w:t>10-year period from 2002 to 2011, and consistent with its most recent three-year aver</w:t>
      </w:r>
      <w:r w:rsidR="00F55BB9">
        <w:softHyphen/>
      </w:r>
      <w:r w:rsidR="00D71806" w:rsidRPr="00942CE3">
        <w:t>age.</w:t>
      </w:r>
      <w:r w:rsidR="00D71806" w:rsidRPr="00942CE3">
        <w:rPr>
          <w:rStyle w:val="FootnoteReference"/>
          <w:szCs w:val="26"/>
        </w:rPr>
        <w:footnoteReference w:id="71"/>
      </w:r>
      <w:r w:rsidR="00D71806" w:rsidRPr="00942CE3">
        <w:t xml:space="preserve"> </w:t>
      </w:r>
    </w:p>
    <w:p w:rsidR="00D71806" w:rsidRPr="00942CE3" w:rsidRDefault="00D71806" w:rsidP="00CF5C7A">
      <w:pPr>
        <w:pStyle w:val="Heading3"/>
      </w:pPr>
      <w:bookmarkStart w:id="34" w:name="_Toc356369839"/>
      <w:r w:rsidRPr="00942CE3">
        <w:t>Competitive Bid True-Up Rider</w:t>
      </w:r>
      <w:bookmarkEnd w:id="34"/>
    </w:p>
    <w:p w:rsidR="00D71806" w:rsidRPr="00942CE3" w:rsidRDefault="00CF5C7A" w:rsidP="00CF5C7A">
      <w:pPr>
        <w:pStyle w:val="textstyle0"/>
      </w:pPr>
      <w:r>
        <w:tab/>
      </w:r>
      <w:r w:rsidR="00D71806" w:rsidRPr="00942CE3">
        <w:t>The Company is proposing a Competitive Bid True-Up Rider to recover the differ</w:t>
      </w:r>
      <w:r w:rsidR="00F55BB9">
        <w:softHyphen/>
      </w:r>
      <w:r w:rsidR="00D71806" w:rsidRPr="00942CE3">
        <w:t xml:space="preserve">ence between amounts paid to suppliers for the delivery of SSO supply as a result of the CBP auction(s), and amounts billed to customers through the Competitive Bidding Rate. </w:t>
      </w:r>
      <w:r w:rsidR="0009671E">
        <w:t xml:space="preserve"> </w:t>
      </w:r>
      <w:r w:rsidR="00D71806" w:rsidRPr="00942CE3">
        <w:t>While Staff generally supports the proposal, it recommends a different timeline to reflect its recommended three-year term.</w:t>
      </w:r>
      <w:r w:rsidR="00D71806" w:rsidRPr="00942CE3">
        <w:rPr>
          <w:rStyle w:val="FootnoteReference"/>
          <w:szCs w:val="26"/>
        </w:rPr>
        <w:footnoteReference w:id="72"/>
      </w:r>
      <w:r w:rsidR="00D71806" w:rsidRPr="00942CE3">
        <w:t xml:space="preserve"> </w:t>
      </w:r>
      <w:r>
        <w:t xml:space="preserve"> </w:t>
      </w:r>
      <w:r w:rsidR="00D71806" w:rsidRPr="00942CE3">
        <w:t>The Company should work with Staff to develop an audit timeline and process.</w:t>
      </w:r>
    </w:p>
    <w:p w:rsidR="00D71806" w:rsidRPr="00942CE3" w:rsidRDefault="00D71806" w:rsidP="00CF5C7A">
      <w:pPr>
        <w:pStyle w:val="Heading3"/>
      </w:pPr>
      <w:bookmarkStart w:id="35" w:name="_Toc356369840"/>
      <w:r w:rsidRPr="00942CE3">
        <w:t>Reconciliation Rider</w:t>
      </w:r>
      <w:bookmarkEnd w:id="35"/>
    </w:p>
    <w:p w:rsidR="00D71806" w:rsidRPr="00942CE3" w:rsidRDefault="00CF5C7A" w:rsidP="00CF5C7A">
      <w:pPr>
        <w:pStyle w:val="textstyle0"/>
      </w:pPr>
      <w:r>
        <w:tab/>
      </w:r>
      <w:r w:rsidR="00D71806" w:rsidRPr="00942CE3">
        <w:t>The Company has proposed a non-bypassable Reconciliation Rider (RR), to be trued-up quarterly, to recover certain costs and deferrals.</w:t>
      </w:r>
      <w:r>
        <w:t xml:space="preserve"> </w:t>
      </w:r>
      <w:r w:rsidR="00D71806" w:rsidRPr="00942CE3">
        <w:t xml:space="preserve"> The RR would recover the costs of administering and implementing the competitive bid process (CBP) auction costs, CBP consultant fees, PUCO consultant fees, audit costs, supplier default costs and carrying costs. </w:t>
      </w:r>
      <w:r>
        <w:t xml:space="preserve"> </w:t>
      </w:r>
      <w:r w:rsidR="00D71806" w:rsidRPr="00942CE3">
        <w:t>The Company would also begin to recover the cost of its proposed com</w:t>
      </w:r>
      <w:r w:rsidR="005F5C3A">
        <w:softHyphen/>
      </w:r>
      <w:r w:rsidR="00D71806" w:rsidRPr="00942CE3">
        <w:t xml:space="preserve">petitive retail enhancement projects through the RR. </w:t>
      </w:r>
      <w:r>
        <w:t xml:space="preserve"> </w:t>
      </w:r>
      <w:r w:rsidR="00D71806" w:rsidRPr="00942CE3">
        <w:t>In addition, the Company has pro</w:t>
      </w:r>
      <w:r w:rsidR="005F5C3A">
        <w:softHyphen/>
      </w:r>
      <w:r w:rsidR="00D71806" w:rsidRPr="00942CE3">
        <w:t xml:space="preserve">posed to include recovery of certain deferral balances (any deferred balance exceeding 10% of the base recovery rate associated with riders FUEL, RPM, TCRR-B, AER and </w:t>
      </w:r>
      <w:r w:rsidR="00D71806" w:rsidRPr="00942CE3">
        <w:lastRenderedPageBreak/>
        <w:t>CBT) in the RR.</w:t>
      </w:r>
      <w:r w:rsidR="0009671E">
        <w:t xml:space="preserve"> </w:t>
      </w:r>
      <w:r w:rsidR="00D71806" w:rsidRPr="00942CE3">
        <w:t xml:space="preserve"> Further, any deferral (or credit) balances remaining when the FUEL, RPM, and TCRR-B riders are eliminated would also be included in the RR.</w:t>
      </w:r>
    </w:p>
    <w:p w:rsidR="00D71806" w:rsidRPr="00942CE3" w:rsidRDefault="00CF5C7A" w:rsidP="00CF5C7A">
      <w:pPr>
        <w:pStyle w:val="textstyle0"/>
      </w:pPr>
      <w:r>
        <w:tab/>
      </w:r>
      <w:r w:rsidR="00D71806" w:rsidRPr="00942CE3">
        <w:t xml:space="preserve">While Staff supports recovery of these costs, it recommends that recovery be had through separate riders, not all of them non-bypassable. </w:t>
      </w:r>
      <w:r w:rsidR="0009671E">
        <w:t xml:space="preserve"> </w:t>
      </w:r>
      <w:r w:rsidR="00D71806" w:rsidRPr="00942CE3">
        <w:t xml:space="preserve">Specifically, Staff believes that recovery of the auction costs should be through a bypassable rider. </w:t>
      </w:r>
    </w:p>
    <w:p w:rsidR="00D71806" w:rsidRPr="00942CE3" w:rsidRDefault="00CF5C7A" w:rsidP="00CF5C7A">
      <w:pPr>
        <w:pStyle w:val="textstyle0"/>
      </w:pPr>
      <w:r>
        <w:tab/>
      </w:r>
      <w:r w:rsidR="00D71806" w:rsidRPr="00942CE3">
        <w:t>While Staff does not have a position on which Competitive Enhancements should be adopted by the Commission, the cost of any approved enhancements should be recov</w:t>
      </w:r>
      <w:r w:rsidR="00F55BB9">
        <w:softHyphen/>
      </w:r>
      <w:r w:rsidR="00D71806" w:rsidRPr="00942CE3">
        <w:t xml:space="preserve">erable, once used and useful, through a non-bypassable Reconciliation Rider, RR-N. </w:t>
      </w:r>
      <w:r w:rsidR="0009671E">
        <w:t xml:space="preserve"> </w:t>
      </w:r>
      <w:r w:rsidR="00D71806" w:rsidRPr="00942CE3">
        <w:t xml:space="preserve">Those costs, not to include maintenance costs, should be split between </w:t>
      </w:r>
      <w:r w:rsidR="005F5C3A">
        <w:t>Competitive Retail Electric Service (</w:t>
      </w:r>
      <w:r w:rsidR="00D71806" w:rsidRPr="00942CE3">
        <w:t>CRES</w:t>
      </w:r>
      <w:r w:rsidR="005F5C3A">
        <w:t>)</w:t>
      </w:r>
      <w:r w:rsidR="00D71806" w:rsidRPr="00942CE3">
        <w:t xml:space="preserve"> providers (60%), the Company (15%) and customers (25%).</w:t>
      </w:r>
      <w:r w:rsidR="0009671E">
        <w:t xml:space="preserve"> </w:t>
      </w:r>
      <w:r w:rsidR="00D71806" w:rsidRPr="00942CE3">
        <w:t xml:space="preserve"> This division of cost responsibility fairly reflects the relative burdens of and benefits to these different groups.</w:t>
      </w:r>
      <w:r w:rsidR="00D71806" w:rsidRPr="00942CE3">
        <w:rPr>
          <w:rStyle w:val="FootnoteReference"/>
          <w:szCs w:val="26"/>
        </w:rPr>
        <w:footnoteReference w:id="73"/>
      </w:r>
      <w:r w:rsidR="00D71806" w:rsidRPr="00942CE3">
        <w:t xml:space="preserve"> </w:t>
      </w:r>
    </w:p>
    <w:p w:rsidR="00D71806" w:rsidRPr="00942CE3" w:rsidRDefault="00CF5C7A" w:rsidP="00CF5C7A">
      <w:pPr>
        <w:pStyle w:val="textstyle0"/>
      </w:pPr>
      <w:r>
        <w:tab/>
      </w:r>
      <w:r w:rsidR="00D71806" w:rsidRPr="00942CE3">
        <w:t xml:space="preserve">The CBP auction cost should be recoverable through a new proposed bypassable Reconciliation Rider, RR-B. </w:t>
      </w:r>
      <w:r w:rsidR="0009671E">
        <w:t xml:space="preserve"> </w:t>
      </w:r>
      <w:r w:rsidR="00D71806" w:rsidRPr="00942CE3">
        <w:t>Because shopping customers would not receive any benefit or services from the auction process, they should not have to pay for those costs.</w:t>
      </w:r>
      <w:r w:rsidR="00D71806" w:rsidRPr="00942CE3">
        <w:rPr>
          <w:rStyle w:val="FootnoteReference"/>
          <w:szCs w:val="26"/>
        </w:rPr>
        <w:footnoteReference w:id="74"/>
      </w:r>
    </w:p>
    <w:p w:rsidR="00D71806" w:rsidRPr="00942CE3" w:rsidRDefault="00CF5C7A" w:rsidP="00CF5C7A">
      <w:pPr>
        <w:pStyle w:val="textstyle0"/>
      </w:pPr>
      <w:r>
        <w:tab/>
      </w:r>
      <w:r w:rsidR="00D71806" w:rsidRPr="00942CE3">
        <w:t>To the extent that any deferred balance exceeds 10% of the base recovery rate associ</w:t>
      </w:r>
      <w:r w:rsidR="00F55BB9">
        <w:softHyphen/>
      </w:r>
      <w:r w:rsidR="00D71806" w:rsidRPr="00942CE3">
        <w:t xml:space="preserve">ated with riders FUEL, RPM, TCRR-B, AER, and CBT, that balance should be recoverable through the RR. </w:t>
      </w:r>
      <w:r w:rsidR="0009671E">
        <w:t xml:space="preserve"> </w:t>
      </w:r>
      <w:r w:rsidR="00D71806" w:rsidRPr="00942CE3">
        <w:t xml:space="preserve">This would, however, permit the recovery of bypassable </w:t>
      </w:r>
      <w:r w:rsidR="00D71806" w:rsidRPr="00942CE3">
        <w:lastRenderedPageBreak/>
        <w:t>rider balances through a non-bypassable charge.</w:t>
      </w:r>
      <w:r w:rsidR="00D71806" w:rsidRPr="00942CE3">
        <w:rPr>
          <w:rStyle w:val="FootnoteReference"/>
          <w:szCs w:val="26"/>
        </w:rPr>
        <w:footnoteReference w:id="75"/>
      </w:r>
      <w:r w:rsidR="00D71806" w:rsidRPr="00942CE3">
        <w:t xml:space="preserve"> </w:t>
      </w:r>
      <w:r w:rsidR="0009671E">
        <w:t xml:space="preserve"> </w:t>
      </w:r>
      <w:r w:rsidR="00D71806" w:rsidRPr="00942CE3">
        <w:t xml:space="preserve">Staff doesn’t oppose the recovery of these deferrals, but believes that it should not be accomplished through a non-bypassable charge. </w:t>
      </w:r>
      <w:r w:rsidR="0009671E">
        <w:t xml:space="preserve"> </w:t>
      </w:r>
      <w:r w:rsidR="00D71806" w:rsidRPr="00942CE3">
        <w:t xml:space="preserve">The Company should be permitted to petition the Commission to true-up any over or under recovery of bypassable riders at the end of the ESP term. </w:t>
      </w:r>
      <w:r w:rsidR="0009671E">
        <w:t xml:space="preserve"> </w:t>
      </w:r>
      <w:r w:rsidR="00D71806" w:rsidRPr="00942CE3">
        <w:t>The Commission should be free to determine at that time how best to permit recovery of those costs to avoid a “death spiral.”</w:t>
      </w:r>
      <w:r w:rsidR="00D71806" w:rsidRPr="00942CE3">
        <w:rPr>
          <w:rStyle w:val="FootnoteReference"/>
          <w:szCs w:val="26"/>
        </w:rPr>
        <w:footnoteReference w:id="76"/>
      </w:r>
    </w:p>
    <w:p w:rsidR="002969AB" w:rsidRDefault="00D71806" w:rsidP="00D71806">
      <w:pPr>
        <w:pStyle w:val="Heading2"/>
      </w:pPr>
      <w:bookmarkStart w:id="36" w:name="_Toc356369841"/>
      <w:r>
        <w:t>P</w:t>
      </w:r>
      <w:r w:rsidR="00B6553F">
        <w:t>.</w:t>
      </w:r>
      <w:r w:rsidR="00B6553F">
        <w:tab/>
      </w:r>
      <w:r w:rsidR="002969AB">
        <w:t>MRO v. ESP</w:t>
      </w:r>
      <w:bookmarkEnd w:id="36"/>
    </w:p>
    <w:p w:rsidR="006700BE" w:rsidRDefault="002969AB" w:rsidP="00CF5C7A">
      <w:pPr>
        <w:pStyle w:val="textstyle0"/>
      </w:pPr>
      <w:r>
        <w:tab/>
        <w:t>To approve an ESP for DP&amp;L the Commission must find</w:t>
      </w:r>
      <w:r w:rsidRPr="00041C79">
        <w:t xml:space="preserve"> </w:t>
      </w:r>
      <w:r>
        <w:t>“…</w:t>
      </w:r>
      <w:r w:rsidRPr="00041C79">
        <w:t>that the electric secu</w:t>
      </w:r>
      <w:r w:rsidR="005F5C3A">
        <w:softHyphen/>
      </w:r>
      <w:r w:rsidRPr="00041C79">
        <w:t>rity plan so approved, including its pricing and all other terms and conditions, including any deferrals and any future recovery of deferrals, is more favorable in the aggregate as compared to the expected results that would otherwise apply under section 4928.142 of the Revised Code.</w:t>
      </w:r>
      <w:r>
        <w:t>”</w:t>
      </w:r>
      <w:r w:rsidR="00B6553F">
        <w:rPr>
          <w:rStyle w:val="FootnoteReference"/>
        </w:rPr>
        <w:footnoteReference w:id="77"/>
      </w:r>
      <w:r>
        <w:t xml:space="preserve">  Staff has performed a number of analyses considering a variety of permutations of ESP and MRO structures.</w:t>
      </w:r>
      <w:r w:rsidR="00B6553F">
        <w:rPr>
          <w:rStyle w:val="FootnoteReference"/>
        </w:rPr>
        <w:footnoteReference w:id="78"/>
      </w:r>
      <w:r>
        <w:t xml:space="preserve">  These analyses consider only quantifiable costs and benefits.  Regardless of the assumptions used by the Staff, these quantifiable effects show that the ESP is not more favorable than the </w:t>
      </w:r>
      <w:r w:rsidR="006700BE">
        <w:t>MRO</w:t>
      </w:r>
      <w:r>
        <w:t xml:space="preserve">.  </w:t>
      </w:r>
    </w:p>
    <w:p w:rsidR="002969AB" w:rsidRDefault="006700BE" w:rsidP="00CF5C7A">
      <w:pPr>
        <w:pStyle w:val="textstyle0"/>
      </w:pPr>
      <w:r>
        <w:tab/>
      </w:r>
      <w:r w:rsidR="002969AB">
        <w:t xml:space="preserve">This is not the end of the story.  </w:t>
      </w:r>
    </w:p>
    <w:p w:rsidR="002969AB" w:rsidRDefault="002969AB" w:rsidP="00CF5C7A">
      <w:pPr>
        <w:pStyle w:val="textstyle0"/>
      </w:pPr>
      <w:r>
        <w:lastRenderedPageBreak/>
        <w:tab/>
        <w:t>Whether the unquantifiable benefits of the ESP counterbalance the quantifiable costs is a question that the Commission must answer.  The Staff takes no position on this question.  As noted in its testimony, if the Commission wishes to approve the ESP it must:</w:t>
      </w:r>
    </w:p>
    <w:p w:rsidR="002969AB" w:rsidRPr="00B6553F" w:rsidRDefault="002969AB" w:rsidP="00B6553F">
      <w:pPr>
        <w:numPr>
          <w:ilvl w:val="0"/>
          <w:numId w:val="7"/>
        </w:numPr>
        <w:spacing w:after="240"/>
        <w:ind w:left="1800" w:right="1440"/>
        <w:rPr>
          <w:sz w:val="26"/>
          <w:szCs w:val="26"/>
        </w:rPr>
      </w:pPr>
      <w:r w:rsidRPr="00B6553F">
        <w:rPr>
          <w:sz w:val="26"/>
          <w:szCs w:val="26"/>
        </w:rPr>
        <w:t>reduce the SSR rate calculated by the Staff;</w:t>
      </w:r>
    </w:p>
    <w:p w:rsidR="002969AB" w:rsidRPr="00B6553F" w:rsidRDefault="002969AB" w:rsidP="00B6553F">
      <w:pPr>
        <w:numPr>
          <w:ilvl w:val="0"/>
          <w:numId w:val="7"/>
        </w:numPr>
        <w:spacing w:after="240"/>
        <w:ind w:left="1800" w:right="1440"/>
        <w:rPr>
          <w:sz w:val="26"/>
          <w:szCs w:val="26"/>
        </w:rPr>
      </w:pPr>
      <w:r w:rsidRPr="00B6553F">
        <w:rPr>
          <w:sz w:val="26"/>
          <w:szCs w:val="26"/>
        </w:rPr>
        <w:t>conclude that the Staff-projected market rates are too high; or</w:t>
      </w:r>
    </w:p>
    <w:p w:rsidR="002969AB" w:rsidRPr="00B6553F" w:rsidRDefault="002969AB" w:rsidP="00B6553F">
      <w:pPr>
        <w:numPr>
          <w:ilvl w:val="0"/>
          <w:numId w:val="7"/>
        </w:numPr>
        <w:spacing w:after="240"/>
        <w:ind w:left="1800" w:right="1440"/>
        <w:rPr>
          <w:sz w:val="26"/>
          <w:szCs w:val="26"/>
        </w:rPr>
      </w:pPr>
      <w:r w:rsidRPr="00B6553F">
        <w:rPr>
          <w:sz w:val="26"/>
          <w:szCs w:val="26"/>
        </w:rPr>
        <w:t>consider other qualitative benefits of the ESP.</w:t>
      </w:r>
      <w:r w:rsidR="00B6553F">
        <w:rPr>
          <w:rStyle w:val="FootnoteReference"/>
          <w:sz w:val="26"/>
          <w:szCs w:val="26"/>
        </w:rPr>
        <w:footnoteReference w:id="79"/>
      </w:r>
    </w:p>
    <w:p w:rsidR="002969AB" w:rsidRDefault="002969AB" w:rsidP="00CF5C7A">
      <w:pPr>
        <w:pStyle w:val="textstyle0"/>
      </w:pPr>
      <w:r>
        <w:t>Staff takes no position as to whether any of these steps, or a combination of them, are appropriate in this case.</w:t>
      </w:r>
    </w:p>
    <w:p w:rsidR="002969AB" w:rsidRDefault="00D71806" w:rsidP="00D71806">
      <w:pPr>
        <w:pStyle w:val="Heading2"/>
      </w:pPr>
      <w:bookmarkStart w:id="37" w:name="_Toc356369842"/>
      <w:r>
        <w:t>Q</w:t>
      </w:r>
      <w:r w:rsidR="00B6553F">
        <w:t>.</w:t>
      </w:r>
      <w:r w:rsidR="00B6553F">
        <w:tab/>
      </w:r>
      <w:r w:rsidR="002969AB">
        <w:t>An AER Cost Cap</w:t>
      </w:r>
      <w:r w:rsidR="00EE4DBA">
        <w:t xml:space="preserve"> should not be considered in this case</w:t>
      </w:r>
      <w:r w:rsidR="002969AB">
        <w:t>.</w:t>
      </w:r>
      <w:bookmarkEnd w:id="37"/>
    </w:p>
    <w:p w:rsidR="002969AB" w:rsidRDefault="002969AB" w:rsidP="00CF5C7A">
      <w:pPr>
        <w:pStyle w:val="textstyle0"/>
      </w:pPr>
      <w:r>
        <w:tab/>
        <w:t>Statute requires that:</w:t>
      </w:r>
    </w:p>
    <w:p w:rsidR="002969AB" w:rsidRDefault="002969AB" w:rsidP="00CF5C7A">
      <w:pPr>
        <w:pStyle w:val="Blockquote"/>
      </w:pPr>
      <w:r w:rsidRPr="00041C79">
        <w:t xml:space="preserve">An electric distribution utility or an electric services </w:t>
      </w:r>
      <w:r w:rsidR="00C25890">
        <w:t>Com</w:t>
      </w:r>
      <w:r w:rsidR="003E7525">
        <w:softHyphen/>
      </w:r>
      <w:r w:rsidR="00C25890">
        <w:t>pany</w:t>
      </w:r>
      <w:r w:rsidRPr="00041C79">
        <w:t xml:space="preserve"> need not comply with a benchmark under division (B</w:t>
      </w:r>
      <w:proofErr w:type="gramStart"/>
      <w:r w:rsidRPr="00041C79">
        <w:t>)(</w:t>
      </w:r>
      <w:proofErr w:type="gramEnd"/>
      <w:r w:rsidRPr="00041C79">
        <w:t>1) or (2) of this section to the extent that its reasonably expected cost of that compliance exceeds its reasonably expected cost of otherwise producing or acquiring the requi</w:t>
      </w:r>
      <w:r w:rsidR="003E7525">
        <w:softHyphen/>
      </w:r>
      <w:r w:rsidRPr="00041C79">
        <w:t>site electricity by three per cent or more</w:t>
      </w:r>
      <w:r w:rsidR="00C25890" w:rsidRPr="00041C79">
        <w:t xml:space="preserve">.  </w:t>
      </w:r>
      <w:r w:rsidRPr="00041C79">
        <w:t>The cost of compli</w:t>
      </w:r>
      <w:r w:rsidR="003E7525">
        <w:softHyphen/>
      </w:r>
      <w:r w:rsidRPr="00041C79">
        <w:t>ance shall be calculated as though any exemption from taxes and assessments had not been granted under section 5727.75 of the Revised Code.</w:t>
      </w:r>
      <w:r w:rsidR="00EE4DBA">
        <w:rPr>
          <w:rStyle w:val="FootnoteReference"/>
        </w:rPr>
        <w:footnoteReference w:id="80"/>
      </w:r>
    </w:p>
    <w:p w:rsidR="002969AB" w:rsidRDefault="002969AB" w:rsidP="00CF5C7A">
      <w:pPr>
        <w:pStyle w:val="textstyle0"/>
      </w:pPr>
      <w:r>
        <w:lastRenderedPageBreak/>
        <w:t xml:space="preserve">The </w:t>
      </w:r>
      <w:r w:rsidR="00C25890">
        <w:t>Company</w:t>
      </w:r>
      <w:r>
        <w:t xml:space="preserve"> has proposed that this section should be implemented in this case by establishing a cut off of 3% of the expected auction result.</w:t>
      </w:r>
      <w:r w:rsidR="00EE4DBA">
        <w:rPr>
          <w:rStyle w:val="FootnoteReference"/>
        </w:rPr>
        <w:footnoteReference w:id="81"/>
      </w:r>
      <w:r>
        <w:t xml:space="preserve">  The </w:t>
      </w:r>
      <w:r w:rsidR="00C25890">
        <w:t>Company</w:t>
      </w:r>
      <w:r>
        <w:t xml:space="preserve"> proposal should be rejected.</w:t>
      </w:r>
    </w:p>
    <w:p w:rsidR="002969AB" w:rsidRDefault="002969AB" w:rsidP="00CF5C7A">
      <w:pPr>
        <w:pStyle w:val="textstyle0"/>
      </w:pPr>
      <w:r>
        <w:tab/>
        <w:t>There are two other contexts in which the question of the implementation of R.C</w:t>
      </w:r>
      <w:r w:rsidR="00EE4DBA">
        <w:t>. </w:t>
      </w:r>
      <w:r>
        <w:t>4928.64(C)(3) should be considered.  It is a current topic in case number 11-5201-EL-RDR</w:t>
      </w:r>
      <w:r w:rsidR="00453EEA">
        <w:t>, a</w:t>
      </w:r>
      <w:r>
        <w:t xml:space="preserve"> case </w:t>
      </w:r>
      <w:r w:rsidR="00453EEA">
        <w:t xml:space="preserve">that </w:t>
      </w:r>
      <w:r>
        <w:t>has been initially briefed.  There are a number of parties to that case that are not involved in this case including: Toledo Edison, Cleveland Electric Illuminat</w:t>
      </w:r>
      <w:r w:rsidR="003E7525">
        <w:softHyphen/>
      </w:r>
      <w:r>
        <w:t xml:space="preserve">ing, Ohio Edison, Nucor Steel, the Environmental Law and Policy Center, Citizen Power, Sierra Club, and the Midatlantic Renewable Energy Coalition.  It would be inappropriate to pull the 3% cap issue out of that docket and decide it here among different parties.  In addition, the rule addressing the implementation of the 3% cap, </w:t>
      </w:r>
      <w:r w:rsidR="00EE4DBA">
        <w:t xml:space="preserve">O.A.C. </w:t>
      </w:r>
      <w:r>
        <w:t>4901:1-40</w:t>
      </w:r>
      <w:r w:rsidR="00EE4DBA">
        <w:t>,</w:t>
      </w:r>
      <w:r>
        <w:t xml:space="preserve"> will be reviewed this year </w:t>
      </w:r>
      <w:r w:rsidR="00453EEA">
        <w:t xml:space="preserve">in case number 13-0652-EL-ORD </w:t>
      </w:r>
      <w:r>
        <w:t>and that would be the proper context within which to review this question.</w:t>
      </w:r>
      <w:r w:rsidR="00EE4DBA">
        <w:rPr>
          <w:rStyle w:val="FootnoteReference"/>
        </w:rPr>
        <w:footnoteReference w:id="82"/>
      </w:r>
      <w:r>
        <w:t xml:space="preserve"> </w:t>
      </w:r>
      <w:r w:rsidR="00453EEA">
        <w:t xml:space="preserve"> </w:t>
      </w:r>
      <w:r w:rsidR="00453EEA">
        <w:rPr>
          <w:sz w:val="28"/>
          <w:szCs w:val="28"/>
        </w:rPr>
        <w:t>Further, the Company has indicated that it does not expect to exceed its proposed 3% AER threshold in this filing, and therefore it is not critical that this question be answered at this immediate time.  Neither the Company nor its customers would be harmed by seeking resolution of the 3% provision in these other more appropriate contexts referenced by Staff.</w:t>
      </w:r>
    </w:p>
    <w:p w:rsidR="002969AB" w:rsidRDefault="002969AB" w:rsidP="002969AB">
      <w:pPr>
        <w:spacing w:line="480" w:lineRule="auto"/>
        <w:rPr>
          <w:sz w:val="28"/>
          <w:szCs w:val="28"/>
        </w:rPr>
      </w:pPr>
      <w:r>
        <w:rPr>
          <w:sz w:val="28"/>
          <w:szCs w:val="28"/>
        </w:rPr>
        <w:tab/>
        <w:t>Even if the</w:t>
      </w:r>
      <w:r w:rsidR="00453EEA">
        <w:rPr>
          <w:sz w:val="28"/>
          <w:szCs w:val="28"/>
        </w:rPr>
        <w:t>re</w:t>
      </w:r>
      <w:r>
        <w:rPr>
          <w:sz w:val="28"/>
          <w:szCs w:val="28"/>
        </w:rPr>
        <w:t xml:space="preserve"> were no better </w:t>
      </w:r>
      <w:r w:rsidR="00453EEA">
        <w:rPr>
          <w:sz w:val="28"/>
          <w:szCs w:val="28"/>
        </w:rPr>
        <w:t>setting</w:t>
      </w:r>
      <w:r>
        <w:rPr>
          <w:sz w:val="28"/>
          <w:szCs w:val="28"/>
        </w:rPr>
        <w:t xml:space="preserve"> for examining the AER question, the </w:t>
      </w:r>
      <w:r w:rsidR="00C25890">
        <w:rPr>
          <w:sz w:val="28"/>
          <w:szCs w:val="28"/>
        </w:rPr>
        <w:t>Com</w:t>
      </w:r>
      <w:r w:rsidR="003E7525">
        <w:rPr>
          <w:sz w:val="28"/>
          <w:szCs w:val="28"/>
        </w:rPr>
        <w:softHyphen/>
      </w:r>
      <w:r w:rsidR="00C25890">
        <w:rPr>
          <w:sz w:val="28"/>
          <w:szCs w:val="28"/>
        </w:rPr>
        <w:t>pany</w:t>
      </w:r>
      <w:r>
        <w:rPr>
          <w:sz w:val="28"/>
          <w:szCs w:val="28"/>
        </w:rPr>
        <w:t xml:space="preserve"> proposal is not reasonable.  The </w:t>
      </w:r>
      <w:r w:rsidR="00C25890">
        <w:rPr>
          <w:sz w:val="28"/>
          <w:szCs w:val="28"/>
        </w:rPr>
        <w:t>Company</w:t>
      </w:r>
      <w:r>
        <w:rPr>
          <w:sz w:val="28"/>
          <w:szCs w:val="28"/>
        </w:rPr>
        <w:t xml:space="preserve"> would peg a single number </w:t>
      </w:r>
      <w:r>
        <w:rPr>
          <w:sz w:val="28"/>
          <w:szCs w:val="28"/>
        </w:rPr>
        <w:lastRenderedPageBreak/>
        <w:t>for the cap, based on an estimate of the first future auction and then never change it, regardless of the first or any late actual auction result.</w:t>
      </w:r>
      <w:r w:rsidR="00EE4DBA">
        <w:rPr>
          <w:rStyle w:val="FootnoteReference"/>
          <w:sz w:val="28"/>
          <w:szCs w:val="28"/>
        </w:rPr>
        <w:footnoteReference w:id="83"/>
      </w:r>
      <w:r>
        <w:rPr>
          <w:sz w:val="28"/>
          <w:szCs w:val="28"/>
        </w:rPr>
        <w:t xml:space="preserve">  This is unreasonable.</w:t>
      </w:r>
      <w:r w:rsidR="00453EEA">
        <w:rPr>
          <w:sz w:val="28"/>
          <w:szCs w:val="28"/>
        </w:rPr>
        <w:t xml:space="preserve">  In addition, the Staff believes it may be inappropriate to rely exclusively on auc</w:t>
      </w:r>
      <w:r w:rsidR="00453EEA">
        <w:rPr>
          <w:sz w:val="28"/>
          <w:szCs w:val="28"/>
        </w:rPr>
        <w:softHyphen/>
        <w:t xml:space="preserve">tion results for years in which the Company is not 100% competitively bid. </w:t>
      </w:r>
    </w:p>
    <w:p w:rsidR="002969AB" w:rsidRDefault="002969AB" w:rsidP="00CF5C7A">
      <w:pPr>
        <w:pStyle w:val="textstyle0"/>
      </w:pPr>
      <w:r>
        <w:tab/>
        <w:t>In sum there are two appropriate vehicles for the determination of the implementa</w:t>
      </w:r>
      <w:r w:rsidR="003E7525">
        <w:softHyphen/>
      </w:r>
      <w:r>
        <w:t xml:space="preserve">tion of the 3% cap.  This case is not one of them.  The </w:t>
      </w:r>
      <w:r w:rsidR="00C25890">
        <w:t>Company</w:t>
      </w:r>
      <w:r>
        <w:t xml:space="preserve"> proposal should be rejected.</w:t>
      </w:r>
    </w:p>
    <w:p w:rsidR="00BF52BD" w:rsidRDefault="00BF52BD" w:rsidP="001A5C2F">
      <w:pPr>
        <w:pStyle w:val="Heading1"/>
      </w:pPr>
      <w:bookmarkStart w:id="38" w:name="_Toc356369843"/>
      <w:r>
        <w:br w:type="page"/>
      </w:r>
    </w:p>
    <w:p w:rsidR="001A5C2F" w:rsidRDefault="001A5C2F" w:rsidP="001A5C2F">
      <w:pPr>
        <w:pStyle w:val="Heading1"/>
      </w:pPr>
      <w:r>
        <w:lastRenderedPageBreak/>
        <w:t>CONCLUSION</w:t>
      </w:r>
      <w:bookmarkEnd w:id="38"/>
    </w:p>
    <w:p w:rsidR="00E10679" w:rsidRDefault="001A5C2F" w:rsidP="00CF5C7A">
      <w:pPr>
        <w:pStyle w:val="textstyle0"/>
      </w:pPr>
      <w:r>
        <w:tab/>
      </w:r>
      <w:r w:rsidR="0082187C">
        <w:t>In conclusion, the Staff asks that the Commission adopt the recommendations included above.</w:t>
      </w:r>
    </w:p>
    <w:p w:rsidR="00200A0A" w:rsidRPr="0064436A" w:rsidRDefault="00200A0A" w:rsidP="007A2B5F">
      <w:pPr>
        <w:tabs>
          <w:tab w:val="left" w:pos="9348"/>
        </w:tabs>
        <w:spacing w:line="480" w:lineRule="auto"/>
        <w:ind w:left="5040"/>
        <w:rPr>
          <w:sz w:val="26"/>
          <w:szCs w:val="26"/>
        </w:rPr>
      </w:pPr>
      <w:r w:rsidRPr="0064436A">
        <w:rPr>
          <w:sz w:val="26"/>
          <w:szCs w:val="26"/>
        </w:rPr>
        <w:t>Respectfully submitted,</w:t>
      </w:r>
    </w:p>
    <w:p w:rsidR="00200A0A" w:rsidRPr="0064436A" w:rsidRDefault="00C90964" w:rsidP="00200A0A">
      <w:pPr>
        <w:tabs>
          <w:tab w:val="left" w:pos="9348"/>
        </w:tabs>
        <w:ind w:left="5040"/>
        <w:rPr>
          <w:sz w:val="26"/>
          <w:szCs w:val="26"/>
        </w:rPr>
      </w:pPr>
      <w:r>
        <w:rPr>
          <w:b/>
          <w:sz w:val="26"/>
          <w:szCs w:val="26"/>
        </w:rPr>
        <w:t>Michael DeWine</w:t>
      </w:r>
    </w:p>
    <w:p w:rsidR="00200A0A" w:rsidRPr="0064436A" w:rsidRDefault="00200A0A" w:rsidP="00200A0A">
      <w:pPr>
        <w:tabs>
          <w:tab w:val="left" w:pos="9348"/>
        </w:tabs>
        <w:ind w:left="5040"/>
        <w:rPr>
          <w:sz w:val="26"/>
          <w:szCs w:val="26"/>
        </w:rPr>
      </w:pPr>
      <w:r w:rsidRPr="0064436A">
        <w:rPr>
          <w:sz w:val="26"/>
          <w:szCs w:val="26"/>
        </w:rPr>
        <w:t>Ohio Attorney General</w:t>
      </w:r>
    </w:p>
    <w:p w:rsidR="00200A0A" w:rsidRPr="0064436A" w:rsidRDefault="00200A0A" w:rsidP="00200A0A">
      <w:pPr>
        <w:tabs>
          <w:tab w:val="left" w:pos="9348"/>
        </w:tabs>
        <w:ind w:left="5040"/>
        <w:rPr>
          <w:sz w:val="26"/>
          <w:szCs w:val="26"/>
        </w:rPr>
      </w:pPr>
    </w:p>
    <w:p w:rsidR="000753F8" w:rsidRDefault="00BC5B75" w:rsidP="00200A0A">
      <w:pPr>
        <w:tabs>
          <w:tab w:val="left" w:pos="9348"/>
        </w:tabs>
        <w:ind w:left="5040"/>
        <w:rPr>
          <w:b/>
          <w:sz w:val="26"/>
          <w:szCs w:val="26"/>
        </w:rPr>
      </w:pPr>
      <w:r>
        <w:rPr>
          <w:b/>
          <w:sz w:val="26"/>
          <w:szCs w:val="26"/>
        </w:rPr>
        <w:t>William L. Wright</w:t>
      </w:r>
    </w:p>
    <w:p w:rsidR="00200A0A" w:rsidRPr="0064436A" w:rsidRDefault="00200A0A" w:rsidP="00200A0A">
      <w:pPr>
        <w:tabs>
          <w:tab w:val="left" w:pos="9348"/>
        </w:tabs>
        <w:ind w:left="5040"/>
        <w:rPr>
          <w:sz w:val="26"/>
          <w:szCs w:val="26"/>
        </w:rPr>
      </w:pPr>
      <w:r w:rsidRPr="0064436A">
        <w:rPr>
          <w:sz w:val="26"/>
          <w:szCs w:val="26"/>
        </w:rPr>
        <w:t>Section Chief</w:t>
      </w:r>
    </w:p>
    <w:p w:rsidR="00200A0A" w:rsidRDefault="00200A0A" w:rsidP="00200A0A">
      <w:pPr>
        <w:tabs>
          <w:tab w:val="left" w:pos="9348"/>
        </w:tabs>
        <w:ind w:left="5040"/>
        <w:rPr>
          <w:sz w:val="26"/>
          <w:szCs w:val="26"/>
        </w:rPr>
      </w:pPr>
    </w:p>
    <w:p w:rsidR="005F5C3A" w:rsidRPr="0064436A" w:rsidRDefault="005F5C3A" w:rsidP="00200A0A">
      <w:pPr>
        <w:tabs>
          <w:tab w:val="left" w:pos="9348"/>
        </w:tabs>
        <w:ind w:left="5040"/>
        <w:rPr>
          <w:sz w:val="26"/>
          <w:szCs w:val="26"/>
        </w:rPr>
      </w:pPr>
    </w:p>
    <w:p w:rsidR="00200A0A" w:rsidRPr="00BF52BD" w:rsidRDefault="00BF52BD" w:rsidP="00200A0A">
      <w:pPr>
        <w:tabs>
          <w:tab w:val="left" w:pos="9348"/>
        </w:tabs>
        <w:ind w:left="5040"/>
        <w:rPr>
          <w:rFonts w:ascii="Viner Hand ITC" w:hAnsi="Viner Hand ITC"/>
          <w:sz w:val="32"/>
          <w:szCs w:val="32"/>
          <w:u w:val="single"/>
        </w:rPr>
      </w:pPr>
      <w:r w:rsidRPr="00BF52BD">
        <w:rPr>
          <w:rFonts w:ascii="Viner Hand ITC" w:hAnsi="Viner Hand ITC"/>
          <w:sz w:val="32"/>
          <w:szCs w:val="32"/>
          <w:u w:val="single"/>
        </w:rPr>
        <w:t>/s/ Thomas W. McNamee</w:t>
      </w:r>
      <w:r w:rsidR="00200A0A" w:rsidRPr="00BF52BD">
        <w:rPr>
          <w:rFonts w:ascii="Viner Hand ITC" w:hAnsi="Viner Hand ITC"/>
          <w:sz w:val="32"/>
          <w:szCs w:val="32"/>
          <w:u w:val="single"/>
        </w:rPr>
        <w:tab/>
      </w:r>
    </w:p>
    <w:p w:rsidR="00EE4DBA" w:rsidRDefault="00EE4DBA" w:rsidP="00EE4DBA">
      <w:pPr>
        <w:pStyle w:val="Title"/>
        <w:tabs>
          <w:tab w:val="left" w:pos="5040"/>
        </w:tabs>
        <w:jc w:val="left"/>
        <w:rPr>
          <w:rFonts w:ascii="Times New Roman" w:hAnsi="Times New Roman"/>
          <w:b/>
          <w:sz w:val="26"/>
          <w:szCs w:val="26"/>
        </w:rPr>
      </w:pPr>
      <w:r>
        <w:rPr>
          <w:rFonts w:ascii="Times New Roman" w:hAnsi="Times New Roman"/>
          <w:b/>
          <w:sz w:val="26"/>
          <w:szCs w:val="26"/>
        </w:rPr>
        <w:tab/>
        <w:t>Thomas W. McNamee</w:t>
      </w:r>
    </w:p>
    <w:p w:rsidR="00EE4DBA" w:rsidRDefault="00EE4DBA" w:rsidP="00EE4DBA">
      <w:pPr>
        <w:pStyle w:val="Title"/>
        <w:tabs>
          <w:tab w:val="left" w:pos="5040"/>
        </w:tabs>
        <w:jc w:val="left"/>
        <w:rPr>
          <w:rFonts w:ascii="Times New Roman" w:hAnsi="Times New Roman"/>
          <w:b/>
          <w:sz w:val="26"/>
          <w:szCs w:val="26"/>
        </w:rPr>
      </w:pPr>
      <w:r>
        <w:rPr>
          <w:rFonts w:ascii="Times New Roman" w:hAnsi="Times New Roman"/>
          <w:b/>
          <w:sz w:val="26"/>
          <w:szCs w:val="26"/>
        </w:rPr>
        <w:tab/>
        <w:t>Werner L. Margard III</w:t>
      </w:r>
    </w:p>
    <w:p w:rsidR="00EE4DBA" w:rsidRDefault="00EE4DBA" w:rsidP="00EE4DBA">
      <w:pPr>
        <w:pStyle w:val="Title"/>
        <w:tabs>
          <w:tab w:val="left" w:pos="5040"/>
        </w:tabs>
        <w:jc w:val="left"/>
        <w:rPr>
          <w:rFonts w:ascii="Times New Roman" w:hAnsi="Times New Roman"/>
          <w:sz w:val="26"/>
          <w:szCs w:val="26"/>
        </w:rPr>
      </w:pPr>
      <w:r>
        <w:rPr>
          <w:rFonts w:ascii="Times New Roman" w:hAnsi="Times New Roman"/>
          <w:sz w:val="26"/>
          <w:szCs w:val="26"/>
        </w:rPr>
        <w:tab/>
        <w:t>Assistant Attorneys General</w:t>
      </w:r>
    </w:p>
    <w:p w:rsidR="00EE4DBA" w:rsidRDefault="00EE4DBA" w:rsidP="00EE4DBA">
      <w:pPr>
        <w:pStyle w:val="Title"/>
        <w:tabs>
          <w:tab w:val="left" w:pos="5040"/>
        </w:tabs>
        <w:jc w:val="left"/>
        <w:rPr>
          <w:rFonts w:ascii="Times New Roman" w:hAnsi="Times New Roman"/>
          <w:sz w:val="26"/>
          <w:szCs w:val="26"/>
        </w:rPr>
      </w:pPr>
      <w:r>
        <w:rPr>
          <w:rFonts w:ascii="Times New Roman" w:hAnsi="Times New Roman"/>
          <w:sz w:val="26"/>
          <w:szCs w:val="26"/>
        </w:rPr>
        <w:tab/>
        <w:t>Public Utilities Section</w:t>
      </w:r>
    </w:p>
    <w:p w:rsidR="00EE4DBA" w:rsidRDefault="00EE4DBA" w:rsidP="00EE4DBA">
      <w:pPr>
        <w:pStyle w:val="Title"/>
        <w:tabs>
          <w:tab w:val="left" w:pos="5040"/>
        </w:tabs>
        <w:jc w:val="left"/>
        <w:rPr>
          <w:rFonts w:ascii="Times New Roman" w:hAnsi="Times New Roman"/>
          <w:sz w:val="26"/>
          <w:szCs w:val="26"/>
        </w:rPr>
      </w:pPr>
      <w:r>
        <w:rPr>
          <w:rFonts w:ascii="Times New Roman" w:hAnsi="Times New Roman"/>
          <w:sz w:val="26"/>
          <w:szCs w:val="26"/>
        </w:rPr>
        <w:tab/>
        <w:t>180 East Broad Street, 6</w:t>
      </w:r>
      <w:r w:rsidRPr="00E10679">
        <w:rPr>
          <w:rFonts w:ascii="Times New Roman" w:hAnsi="Times New Roman"/>
          <w:sz w:val="26"/>
          <w:szCs w:val="26"/>
          <w:vertAlign w:val="superscript"/>
        </w:rPr>
        <w:t>th</w:t>
      </w:r>
      <w:r>
        <w:rPr>
          <w:rFonts w:ascii="Times New Roman" w:hAnsi="Times New Roman"/>
          <w:sz w:val="26"/>
          <w:szCs w:val="26"/>
        </w:rPr>
        <w:t xml:space="preserve"> Floor</w:t>
      </w:r>
    </w:p>
    <w:p w:rsidR="00EE4DBA" w:rsidRDefault="00EE4DBA" w:rsidP="00EE4DBA">
      <w:pPr>
        <w:pStyle w:val="Title"/>
        <w:tabs>
          <w:tab w:val="left" w:pos="5040"/>
        </w:tabs>
        <w:jc w:val="left"/>
        <w:rPr>
          <w:rFonts w:ascii="Times New Roman" w:hAnsi="Times New Roman"/>
          <w:sz w:val="26"/>
          <w:szCs w:val="26"/>
        </w:rPr>
      </w:pPr>
      <w:r>
        <w:rPr>
          <w:rFonts w:ascii="Times New Roman" w:hAnsi="Times New Roman"/>
          <w:sz w:val="26"/>
          <w:szCs w:val="26"/>
        </w:rPr>
        <w:tab/>
        <w:t>Columbus, OH  43215-3793</w:t>
      </w:r>
    </w:p>
    <w:p w:rsidR="00EE4DBA" w:rsidRDefault="00EE4DBA" w:rsidP="00EE4DBA">
      <w:pPr>
        <w:pStyle w:val="Title"/>
        <w:tabs>
          <w:tab w:val="left" w:pos="5040"/>
        </w:tabs>
        <w:jc w:val="left"/>
        <w:rPr>
          <w:rFonts w:ascii="Times New Roman" w:hAnsi="Times New Roman"/>
          <w:sz w:val="26"/>
          <w:szCs w:val="26"/>
        </w:rPr>
      </w:pPr>
      <w:r>
        <w:rPr>
          <w:rFonts w:ascii="Times New Roman" w:hAnsi="Times New Roman"/>
          <w:sz w:val="26"/>
          <w:szCs w:val="26"/>
        </w:rPr>
        <w:tab/>
        <w:t>614.466.4397 (telephone)</w:t>
      </w:r>
    </w:p>
    <w:p w:rsidR="00EE4DBA" w:rsidRDefault="00EE4DBA" w:rsidP="00EE4DBA">
      <w:pPr>
        <w:pStyle w:val="Title"/>
        <w:tabs>
          <w:tab w:val="left" w:pos="5040"/>
        </w:tabs>
        <w:jc w:val="left"/>
        <w:rPr>
          <w:rFonts w:ascii="Times New Roman" w:hAnsi="Times New Roman"/>
          <w:sz w:val="26"/>
          <w:szCs w:val="26"/>
        </w:rPr>
      </w:pPr>
      <w:r>
        <w:rPr>
          <w:rFonts w:ascii="Times New Roman" w:hAnsi="Times New Roman"/>
          <w:sz w:val="26"/>
          <w:szCs w:val="26"/>
        </w:rPr>
        <w:tab/>
        <w:t>614.644.8764 (fax)</w:t>
      </w:r>
    </w:p>
    <w:p w:rsidR="00EE4DBA" w:rsidRDefault="00EE4DBA" w:rsidP="00EE4DBA">
      <w:pPr>
        <w:pStyle w:val="Title"/>
        <w:tabs>
          <w:tab w:val="left" w:pos="5040"/>
        </w:tabs>
        <w:jc w:val="left"/>
        <w:rPr>
          <w:rFonts w:ascii="Times New Roman" w:hAnsi="Times New Roman"/>
          <w:sz w:val="26"/>
          <w:szCs w:val="26"/>
        </w:rPr>
      </w:pPr>
      <w:r>
        <w:rPr>
          <w:rFonts w:ascii="Times New Roman" w:hAnsi="Times New Roman"/>
          <w:sz w:val="26"/>
          <w:szCs w:val="26"/>
        </w:rPr>
        <w:tab/>
      </w:r>
      <w:hyperlink r:id="rId17" w:history="1">
        <w:r w:rsidRPr="000637BC">
          <w:rPr>
            <w:rStyle w:val="Hyperlink"/>
            <w:rFonts w:ascii="Times New Roman" w:hAnsi="Times New Roman"/>
            <w:sz w:val="26"/>
            <w:szCs w:val="26"/>
          </w:rPr>
          <w:t>thomas.mcnamee@puc.state.oh.us</w:t>
        </w:r>
      </w:hyperlink>
    </w:p>
    <w:p w:rsidR="00EE4DBA" w:rsidRPr="002D54AC" w:rsidRDefault="00EE4DBA" w:rsidP="00EE4DBA">
      <w:pPr>
        <w:pStyle w:val="Title"/>
        <w:tabs>
          <w:tab w:val="left" w:pos="5040"/>
        </w:tabs>
        <w:jc w:val="left"/>
        <w:rPr>
          <w:rFonts w:ascii="Times New Roman" w:hAnsi="Times New Roman"/>
          <w:sz w:val="26"/>
          <w:szCs w:val="26"/>
        </w:rPr>
      </w:pPr>
      <w:r>
        <w:rPr>
          <w:rFonts w:ascii="Times New Roman" w:hAnsi="Times New Roman"/>
          <w:sz w:val="26"/>
          <w:szCs w:val="26"/>
        </w:rPr>
        <w:tab/>
      </w:r>
      <w:hyperlink r:id="rId18" w:history="1">
        <w:r w:rsidRPr="000637BC">
          <w:rPr>
            <w:rStyle w:val="Hyperlink"/>
            <w:rFonts w:ascii="Times New Roman" w:hAnsi="Times New Roman"/>
            <w:sz w:val="26"/>
            <w:szCs w:val="26"/>
          </w:rPr>
          <w:t>werner.margard@puc.state.oh.us</w:t>
        </w:r>
      </w:hyperlink>
    </w:p>
    <w:p w:rsidR="00EE4DBA" w:rsidRPr="002D54AC" w:rsidRDefault="00EE4DBA" w:rsidP="00EE4DBA">
      <w:pPr>
        <w:pStyle w:val="Title"/>
        <w:tabs>
          <w:tab w:val="left" w:pos="5130"/>
          <w:tab w:val="left" w:pos="5670"/>
        </w:tabs>
        <w:jc w:val="left"/>
        <w:rPr>
          <w:rFonts w:ascii="Times New Roman" w:hAnsi="Times New Roman"/>
          <w:sz w:val="26"/>
          <w:szCs w:val="26"/>
        </w:rPr>
      </w:pPr>
    </w:p>
    <w:p w:rsidR="00200A0A" w:rsidRPr="00934B92" w:rsidRDefault="00200A0A" w:rsidP="0064436A">
      <w:pPr>
        <w:pStyle w:val="Heading1"/>
      </w:pPr>
      <w:r w:rsidRPr="00955E20">
        <w:br w:type="page"/>
      </w:r>
      <w:bookmarkStart w:id="39" w:name="_Toc205862526"/>
      <w:bookmarkStart w:id="40" w:name="_Toc356369844"/>
      <w:r w:rsidR="00C95499" w:rsidRPr="00934B92">
        <w:rPr>
          <w:caps w:val="0"/>
        </w:rPr>
        <w:lastRenderedPageBreak/>
        <w:t>PROOF OF SERVICE</w:t>
      </w:r>
      <w:bookmarkEnd w:id="39"/>
      <w:bookmarkEnd w:id="40"/>
    </w:p>
    <w:p w:rsidR="00200A0A" w:rsidRPr="00934B92" w:rsidRDefault="0064436A" w:rsidP="00CF5C7A">
      <w:pPr>
        <w:pStyle w:val="textstyle0"/>
      </w:pPr>
      <w:r>
        <w:tab/>
      </w:r>
      <w:r w:rsidR="00200A0A" w:rsidRPr="00934B92">
        <w:t xml:space="preserve">I hereby certify that a true copy of the foregoing </w:t>
      </w:r>
      <w:r w:rsidR="00721F2D">
        <w:rPr>
          <w:b/>
        </w:rPr>
        <w:t>Post-Hearing Brief</w:t>
      </w:r>
      <w:r>
        <w:rPr>
          <w:b/>
        </w:rPr>
        <w:t xml:space="preserve"> </w:t>
      </w:r>
      <w:r w:rsidR="00200A0A" w:rsidRPr="00934B92">
        <w:t>submitted on behalf of the Staff of the Public Utilities Commis</w:t>
      </w:r>
      <w:r w:rsidR="00200A0A" w:rsidRPr="00934B92">
        <w:softHyphen/>
        <w:t>sion of Ohio,</w:t>
      </w:r>
      <w:r w:rsidR="00200A0A" w:rsidRPr="00934B92">
        <w:rPr>
          <w:b/>
        </w:rPr>
        <w:t xml:space="preserve"> </w:t>
      </w:r>
      <w:r w:rsidR="00200A0A" w:rsidRPr="00934B92">
        <w:t>was served by regular U.S. mail, postage pre</w:t>
      </w:r>
      <w:r w:rsidR="00200A0A" w:rsidRPr="00934B92">
        <w:softHyphen/>
        <w:t xml:space="preserve">paid, or hand-delivered, upon </w:t>
      </w:r>
      <w:r w:rsidR="00977F01">
        <w:t>the following Parties of Record</w:t>
      </w:r>
      <w:r w:rsidR="00721F2D">
        <w:t xml:space="preserve">, </w:t>
      </w:r>
      <w:r w:rsidR="00200A0A" w:rsidRPr="00934B92">
        <w:t xml:space="preserve">this </w:t>
      </w:r>
      <w:r w:rsidR="00EE4DBA">
        <w:t>20</w:t>
      </w:r>
      <w:r w:rsidR="00EE4DBA" w:rsidRPr="00EE4DBA">
        <w:rPr>
          <w:vertAlign w:val="superscript"/>
        </w:rPr>
        <w:t>th</w:t>
      </w:r>
      <w:r w:rsidR="00EE4DBA">
        <w:t xml:space="preserve"> day of May</w:t>
      </w:r>
      <w:r w:rsidR="00303F08">
        <w:t>, 2013</w:t>
      </w:r>
      <w:r w:rsidR="00200A0A" w:rsidRPr="00934B92">
        <w:t>.</w:t>
      </w:r>
    </w:p>
    <w:p w:rsidR="00BF52BD" w:rsidRDefault="00BF52BD" w:rsidP="00BF52BD">
      <w:pPr>
        <w:tabs>
          <w:tab w:val="left" w:pos="9360"/>
        </w:tabs>
        <w:ind w:left="4332"/>
        <w:jc w:val="both"/>
        <w:rPr>
          <w:rFonts w:ascii="Viner Hand ITC" w:hAnsi="Viner Hand ITC"/>
          <w:sz w:val="32"/>
          <w:szCs w:val="32"/>
          <w:u w:val="single"/>
        </w:rPr>
      </w:pPr>
      <w:r w:rsidRPr="00BF52BD">
        <w:rPr>
          <w:rFonts w:ascii="Viner Hand ITC" w:hAnsi="Viner Hand ITC"/>
          <w:sz w:val="32"/>
          <w:szCs w:val="32"/>
          <w:u w:val="single"/>
        </w:rPr>
        <w:t>/s/ Thomas W. McNamee</w:t>
      </w:r>
      <w:r>
        <w:rPr>
          <w:rFonts w:ascii="Viner Hand ITC" w:hAnsi="Viner Hand ITC"/>
          <w:sz w:val="32"/>
          <w:szCs w:val="32"/>
          <w:u w:val="single"/>
        </w:rPr>
        <w:tab/>
      </w:r>
    </w:p>
    <w:p w:rsidR="00200A0A" w:rsidRPr="00DF3D54" w:rsidRDefault="00303F08" w:rsidP="00200A0A">
      <w:pPr>
        <w:ind w:left="4332"/>
        <w:jc w:val="both"/>
        <w:rPr>
          <w:b/>
          <w:sz w:val="26"/>
          <w:szCs w:val="26"/>
        </w:rPr>
      </w:pPr>
      <w:r>
        <w:rPr>
          <w:b/>
          <w:sz w:val="26"/>
          <w:szCs w:val="26"/>
        </w:rPr>
        <w:t>Thomas W. McNamee</w:t>
      </w:r>
    </w:p>
    <w:p w:rsidR="00200A0A" w:rsidRDefault="00200A0A" w:rsidP="00200A0A">
      <w:pPr>
        <w:ind w:left="4332"/>
        <w:jc w:val="both"/>
        <w:rPr>
          <w:sz w:val="26"/>
          <w:szCs w:val="26"/>
        </w:rPr>
      </w:pPr>
      <w:r w:rsidRPr="00DF3D54">
        <w:rPr>
          <w:sz w:val="26"/>
          <w:szCs w:val="26"/>
        </w:rPr>
        <w:t>Assistant Attorney General</w:t>
      </w:r>
    </w:p>
    <w:p w:rsidR="00977F01" w:rsidRDefault="00977F01" w:rsidP="00200A0A">
      <w:pPr>
        <w:ind w:left="4332"/>
        <w:jc w:val="both"/>
        <w:rPr>
          <w:sz w:val="26"/>
          <w:szCs w:val="26"/>
        </w:rPr>
      </w:pPr>
    </w:p>
    <w:p w:rsidR="00977F01" w:rsidRDefault="00977F01" w:rsidP="00977F01">
      <w:pPr>
        <w:rPr>
          <w:b/>
          <w:sz w:val="26"/>
          <w:szCs w:val="26"/>
        </w:rPr>
      </w:pPr>
      <w:r w:rsidRPr="00DF3D54">
        <w:rPr>
          <w:b/>
          <w:sz w:val="26"/>
          <w:szCs w:val="26"/>
        </w:rPr>
        <w:t>Parties of Record:</w:t>
      </w:r>
    </w:p>
    <w:p w:rsidR="00977F01" w:rsidRPr="00DF3D54" w:rsidRDefault="00977F01" w:rsidP="00977F01">
      <w:pPr>
        <w:rPr>
          <w:b/>
          <w:sz w:val="26"/>
          <w:szCs w:val="26"/>
        </w:rPr>
      </w:pPr>
    </w:p>
    <w:tbl>
      <w:tblPr>
        <w:tblW w:w="0" w:type="auto"/>
        <w:tblLook w:val="01E0" w:firstRow="1" w:lastRow="1" w:firstColumn="1" w:lastColumn="1" w:noHBand="0" w:noVBand="0"/>
      </w:tblPr>
      <w:tblGrid>
        <w:gridCol w:w="9354"/>
        <w:gridCol w:w="222"/>
      </w:tblGrid>
      <w:tr w:rsidR="00977F01" w:rsidRPr="00D2703A" w:rsidTr="00B70887">
        <w:tc>
          <w:tcPr>
            <w:tcW w:w="4788" w:type="dxa"/>
          </w:tcPr>
          <w:p w:rsidR="00303F08" w:rsidRDefault="00303F08" w:rsidP="00303F08">
            <w:pPr>
              <w:rPr>
                <w:b/>
                <w:sz w:val="26"/>
                <w:szCs w:val="26"/>
              </w:rPr>
            </w:pPr>
            <w:r>
              <w:rPr>
                <w:b/>
                <w:sz w:val="26"/>
                <w:szCs w:val="26"/>
              </w:rPr>
              <w:t>Service List</w:t>
            </w:r>
            <w:r w:rsidRPr="002669BF">
              <w:rPr>
                <w:b/>
                <w:sz w:val="26"/>
                <w:szCs w:val="26"/>
              </w:rPr>
              <w:t>:</w:t>
            </w:r>
          </w:p>
          <w:p w:rsidR="00303F08" w:rsidRPr="002669BF" w:rsidRDefault="00303F08" w:rsidP="00303F08">
            <w:pPr>
              <w:rPr>
                <w:b/>
                <w:sz w:val="26"/>
                <w:szCs w:val="26"/>
              </w:rPr>
            </w:pPr>
          </w:p>
          <w:tbl>
            <w:tblPr>
              <w:tblW w:w="9180" w:type="dxa"/>
              <w:tblLook w:val="04A0" w:firstRow="1" w:lastRow="0" w:firstColumn="1" w:lastColumn="0" w:noHBand="0" w:noVBand="1"/>
            </w:tblPr>
            <w:tblGrid>
              <w:gridCol w:w="4680"/>
              <w:gridCol w:w="4500"/>
            </w:tblGrid>
            <w:tr w:rsidR="00303F08" w:rsidRPr="00047176" w:rsidTr="00502C5B">
              <w:tc>
                <w:tcPr>
                  <w:tcW w:w="4680" w:type="dxa"/>
                  <w:shd w:val="clear" w:color="auto" w:fill="auto"/>
                </w:tcPr>
                <w:p w:rsidR="00303F08" w:rsidRPr="00047176" w:rsidRDefault="00945468" w:rsidP="00B70887">
                  <w:pPr>
                    <w:rPr>
                      <w:sz w:val="26"/>
                      <w:szCs w:val="26"/>
                      <w:u w:val="single"/>
                    </w:rPr>
                  </w:pPr>
                  <w:hyperlink r:id="rId19" w:history="1">
                    <w:r w:rsidR="00303F08" w:rsidRPr="00047176">
                      <w:rPr>
                        <w:rStyle w:val="Hyperlink"/>
                        <w:sz w:val="26"/>
                        <w:szCs w:val="26"/>
                      </w:rPr>
                      <w:t>cmooney@ohiopartners.org</w:t>
                    </w:r>
                  </w:hyperlink>
                </w:p>
                <w:p w:rsidR="00303F08" w:rsidRPr="00047176" w:rsidRDefault="00303F08" w:rsidP="00B70887">
                  <w:pPr>
                    <w:autoSpaceDE w:val="0"/>
                    <w:autoSpaceDN w:val="0"/>
                    <w:adjustRightInd w:val="0"/>
                    <w:rPr>
                      <w:color w:val="0000FF"/>
                      <w:sz w:val="26"/>
                      <w:szCs w:val="26"/>
                      <w:u w:val="single"/>
                    </w:rPr>
                  </w:pPr>
                  <w:r w:rsidRPr="00047176">
                    <w:rPr>
                      <w:color w:val="0000FF"/>
                      <w:sz w:val="26"/>
                      <w:szCs w:val="26"/>
                      <w:u w:val="single"/>
                    </w:rPr>
                    <w:t>judi.sobecki@dplinc.com</w:t>
                  </w:r>
                </w:p>
                <w:p w:rsidR="00303F08" w:rsidRPr="00047176" w:rsidRDefault="00303F08" w:rsidP="00B70887">
                  <w:pPr>
                    <w:autoSpaceDE w:val="0"/>
                    <w:autoSpaceDN w:val="0"/>
                    <w:adjustRightInd w:val="0"/>
                    <w:rPr>
                      <w:color w:val="0000FF"/>
                      <w:sz w:val="26"/>
                      <w:szCs w:val="26"/>
                      <w:u w:val="single"/>
                    </w:rPr>
                  </w:pPr>
                  <w:r w:rsidRPr="00047176">
                    <w:rPr>
                      <w:color w:val="0000FF"/>
                      <w:sz w:val="26"/>
                      <w:szCs w:val="26"/>
                      <w:u w:val="single"/>
                    </w:rPr>
                    <w:t>sam@mwncmh.com</w:t>
                  </w:r>
                </w:p>
                <w:p w:rsidR="00303F08" w:rsidRPr="00047176" w:rsidRDefault="00303F08" w:rsidP="00B70887">
                  <w:pPr>
                    <w:autoSpaceDE w:val="0"/>
                    <w:autoSpaceDN w:val="0"/>
                    <w:adjustRightInd w:val="0"/>
                    <w:rPr>
                      <w:color w:val="0000FF"/>
                      <w:sz w:val="26"/>
                      <w:szCs w:val="26"/>
                      <w:u w:val="single"/>
                    </w:rPr>
                  </w:pPr>
                  <w:r w:rsidRPr="00047176">
                    <w:rPr>
                      <w:color w:val="0000FF"/>
                      <w:sz w:val="26"/>
                      <w:szCs w:val="26"/>
                      <w:u w:val="single"/>
                    </w:rPr>
                    <w:t>fdarr@mwncmh.com</w:t>
                  </w:r>
                </w:p>
                <w:p w:rsidR="00303F08" w:rsidRPr="00047176" w:rsidRDefault="00303F08" w:rsidP="00B70887">
                  <w:pPr>
                    <w:autoSpaceDE w:val="0"/>
                    <w:autoSpaceDN w:val="0"/>
                    <w:adjustRightInd w:val="0"/>
                    <w:rPr>
                      <w:color w:val="0000FF"/>
                      <w:sz w:val="26"/>
                      <w:szCs w:val="26"/>
                      <w:u w:val="single"/>
                    </w:rPr>
                  </w:pPr>
                  <w:r w:rsidRPr="00047176">
                    <w:rPr>
                      <w:color w:val="0000FF"/>
                      <w:sz w:val="26"/>
                      <w:szCs w:val="26"/>
                      <w:u w:val="single"/>
                    </w:rPr>
                    <w:t>mpritchard@mwncmh.com</w:t>
                  </w:r>
                </w:p>
                <w:p w:rsidR="00303F08" w:rsidRPr="00047176" w:rsidRDefault="00303F08" w:rsidP="00B70887">
                  <w:pPr>
                    <w:autoSpaceDE w:val="0"/>
                    <w:autoSpaceDN w:val="0"/>
                    <w:adjustRightInd w:val="0"/>
                    <w:rPr>
                      <w:color w:val="0000FF"/>
                      <w:sz w:val="26"/>
                      <w:szCs w:val="26"/>
                      <w:u w:val="single"/>
                    </w:rPr>
                  </w:pPr>
                  <w:r w:rsidRPr="00047176">
                    <w:rPr>
                      <w:color w:val="0000FF"/>
                      <w:sz w:val="26"/>
                      <w:szCs w:val="26"/>
                      <w:u w:val="single"/>
                    </w:rPr>
                    <w:t>joliker@mwncmh.com</w:t>
                  </w:r>
                </w:p>
                <w:p w:rsidR="00303F08" w:rsidRPr="00047176" w:rsidRDefault="00303F08" w:rsidP="00B70887">
                  <w:pPr>
                    <w:autoSpaceDE w:val="0"/>
                    <w:autoSpaceDN w:val="0"/>
                    <w:adjustRightInd w:val="0"/>
                    <w:rPr>
                      <w:color w:val="0000FF"/>
                      <w:sz w:val="26"/>
                      <w:szCs w:val="26"/>
                      <w:u w:val="single"/>
                    </w:rPr>
                  </w:pPr>
                  <w:r w:rsidRPr="00047176">
                    <w:rPr>
                      <w:color w:val="0000FF"/>
                      <w:sz w:val="26"/>
                      <w:szCs w:val="26"/>
                      <w:u w:val="single"/>
                    </w:rPr>
                    <w:t>amy.spiller@duke-energy.com</w:t>
                  </w:r>
                </w:p>
                <w:p w:rsidR="00303F08" w:rsidRPr="00047176" w:rsidRDefault="00303F08" w:rsidP="00B70887">
                  <w:pPr>
                    <w:autoSpaceDE w:val="0"/>
                    <w:autoSpaceDN w:val="0"/>
                    <w:adjustRightInd w:val="0"/>
                    <w:rPr>
                      <w:color w:val="0000FF"/>
                      <w:sz w:val="26"/>
                      <w:szCs w:val="26"/>
                      <w:u w:val="single"/>
                    </w:rPr>
                  </w:pPr>
                  <w:r w:rsidRPr="00047176">
                    <w:rPr>
                      <w:color w:val="0000FF"/>
                      <w:sz w:val="26"/>
                      <w:szCs w:val="26"/>
                      <w:u w:val="single"/>
                    </w:rPr>
                    <w:t>jeanne.kingery@duke-energy.com</w:t>
                  </w:r>
                </w:p>
                <w:p w:rsidR="00303F08" w:rsidRPr="00047176" w:rsidRDefault="00303F08" w:rsidP="00B70887">
                  <w:pPr>
                    <w:autoSpaceDE w:val="0"/>
                    <w:autoSpaceDN w:val="0"/>
                    <w:adjustRightInd w:val="0"/>
                    <w:rPr>
                      <w:color w:val="0000FF"/>
                      <w:sz w:val="26"/>
                      <w:szCs w:val="26"/>
                      <w:u w:val="single"/>
                    </w:rPr>
                  </w:pPr>
                  <w:r w:rsidRPr="00047176">
                    <w:rPr>
                      <w:color w:val="0000FF"/>
                      <w:sz w:val="26"/>
                      <w:szCs w:val="26"/>
                      <w:u w:val="single"/>
                    </w:rPr>
                    <w:t>bmcmahon@emh-law.com</w:t>
                  </w:r>
                </w:p>
                <w:p w:rsidR="00303F08" w:rsidRPr="00047176" w:rsidRDefault="00303F08" w:rsidP="00B70887">
                  <w:pPr>
                    <w:autoSpaceDE w:val="0"/>
                    <w:autoSpaceDN w:val="0"/>
                    <w:adjustRightInd w:val="0"/>
                    <w:rPr>
                      <w:color w:val="0000FF"/>
                      <w:sz w:val="26"/>
                      <w:szCs w:val="26"/>
                      <w:u w:val="single"/>
                    </w:rPr>
                  </w:pPr>
                  <w:r w:rsidRPr="00047176">
                    <w:rPr>
                      <w:color w:val="0000FF"/>
                      <w:sz w:val="26"/>
                      <w:szCs w:val="26"/>
                      <w:u w:val="single"/>
                    </w:rPr>
                    <w:t>elizabeth.watts@duke-energy.com</w:t>
                  </w:r>
                </w:p>
                <w:p w:rsidR="00303F08" w:rsidRPr="00047176" w:rsidRDefault="00303F08" w:rsidP="00B70887">
                  <w:pPr>
                    <w:autoSpaceDE w:val="0"/>
                    <w:autoSpaceDN w:val="0"/>
                    <w:adjustRightInd w:val="0"/>
                    <w:rPr>
                      <w:color w:val="0000FF"/>
                      <w:sz w:val="26"/>
                      <w:szCs w:val="26"/>
                      <w:u w:val="single"/>
                    </w:rPr>
                  </w:pPr>
                  <w:r w:rsidRPr="00047176">
                    <w:rPr>
                      <w:color w:val="0000FF"/>
                      <w:sz w:val="26"/>
                      <w:szCs w:val="26"/>
                      <w:u w:val="single"/>
                    </w:rPr>
                    <w:t>rocco.dascenzo@duke-energy.com</w:t>
                  </w:r>
                </w:p>
                <w:p w:rsidR="00303F08" w:rsidRPr="00047176" w:rsidRDefault="00303F08" w:rsidP="00B70887">
                  <w:pPr>
                    <w:autoSpaceDE w:val="0"/>
                    <w:autoSpaceDN w:val="0"/>
                    <w:adjustRightInd w:val="0"/>
                    <w:rPr>
                      <w:color w:val="0000FF"/>
                      <w:sz w:val="26"/>
                      <w:szCs w:val="26"/>
                      <w:u w:val="single"/>
                    </w:rPr>
                  </w:pPr>
                  <w:r w:rsidRPr="00047176">
                    <w:rPr>
                      <w:color w:val="0000FF"/>
                      <w:sz w:val="26"/>
                      <w:szCs w:val="26"/>
                      <w:u w:val="single"/>
                    </w:rPr>
                    <w:t>stephanie.chmi@thompsonhine.com</w:t>
                  </w:r>
                </w:p>
                <w:p w:rsidR="00303F08" w:rsidRPr="00047176" w:rsidRDefault="00303F08" w:rsidP="00B70887">
                  <w:pPr>
                    <w:autoSpaceDE w:val="0"/>
                    <w:autoSpaceDN w:val="0"/>
                    <w:adjustRightInd w:val="0"/>
                    <w:rPr>
                      <w:color w:val="0000FF"/>
                      <w:sz w:val="26"/>
                      <w:szCs w:val="26"/>
                      <w:u w:val="single"/>
                    </w:rPr>
                  </w:pPr>
                  <w:r w:rsidRPr="00047176">
                    <w:rPr>
                      <w:color w:val="0000FF"/>
                      <w:sz w:val="26"/>
                      <w:szCs w:val="26"/>
                      <w:u w:val="single"/>
                    </w:rPr>
                    <w:t>philip.sineneng@thompsonhine.com</w:t>
                  </w:r>
                </w:p>
                <w:p w:rsidR="00303F08" w:rsidRPr="00047176" w:rsidRDefault="00303F08" w:rsidP="00B70887">
                  <w:pPr>
                    <w:autoSpaceDE w:val="0"/>
                    <w:autoSpaceDN w:val="0"/>
                    <w:adjustRightInd w:val="0"/>
                    <w:rPr>
                      <w:color w:val="0000FF"/>
                      <w:sz w:val="26"/>
                      <w:szCs w:val="26"/>
                      <w:u w:val="single"/>
                    </w:rPr>
                  </w:pPr>
                  <w:r w:rsidRPr="00047176">
                    <w:rPr>
                      <w:color w:val="0000FF"/>
                      <w:sz w:val="26"/>
                      <w:szCs w:val="26"/>
                      <w:u w:val="single"/>
                    </w:rPr>
                    <w:t>michael.dillard@thompsonhine.com</w:t>
                  </w:r>
                </w:p>
                <w:p w:rsidR="00303F08" w:rsidRPr="00047176" w:rsidRDefault="00303F08" w:rsidP="00B70887">
                  <w:pPr>
                    <w:autoSpaceDE w:val="0"/>
                    <w:autoSpaceDN w:val="0"/>
                    <w:adjustRightInd w:val="0"/>
                    <w:rPr>
                      <w:color w:val="0000FF"/>
                      <w:sz w:val="26"/>
                      <w:szCs w:val="26"/>
                      <w:u w:val="single"/>
                    </w:rPr>
                  </w:pPr>
                  <w:r w:rsidRPr="00047176">
                    <w:rPr>
                      <w:color w:val="0000FF"/>
                      <w:sz w:val="26"/>
                      <w:szCs w:val="26"/>
                      <w:u w:val="single"/>
                    </w:rPr>
                    <w:t>matt@matthewcoxlaw.com</w:t>
                  </w:r>
                </w:p>
                <w:p w:rsidR="00303F08" w:rsidRPr="00047176" w:rsidRDefault="00303F08" w:rsidP="00B70887">
                  <w:pPr>
                    <w:autoSpaceDE w:val="0"/>
                    <w:autoSpaceDN w:val="0"/>
                    <w:adjustRightInd w:val="0"/>
                    <w:rPr>
                      <w:color w:val="0000FF"/>
                      <w:sz w:val="26"/>
                      <w:szCs w:val="26"/>
                      <w:u w:val="single"/>
                    </w:rPr>
                  </w:pPr>
                  <w:r w:rsidRPr="00047176">
                    <w:rPr>
                      <w:color w:val="0000FF"/>
                      <w:sz w:val="26"/>
                      <w:szCs w:val="26"/>
                      <w:u w:val="single"/>
                    </w:rPr>
                    <w:t>bojko@carpenterlipps.com</w:t>
                  </w:r>
                </w:p>
                <w:p w:rsidR="00303F08" w:rsidRPr="00047176" w:rsidRDefault="00303F08" w:rsidP="00B70887">
                  <w:pPr>
                    <w:autoSpaceDE w:val="0"/>
                    <w:autoSpaceDN w:val="0"/>
                    <w:adjustRightInd w:val="0"/>
                    <w:rPr>
                      <w:color w:val="0000FF"/>
                      <w:sz w:val="26"/>
                      <w:szCs w:val="26"/>
                      <w:u w:val="single"/>
                    </w:rPr>
                  </w:pPr>
                  <w:r w:rsidRPr="00047176">
                    <w:rPr>
                      <w:color w:val="0000FF"/>
                      <w:sz w:val="26"/>
                      <w:szCs w:val="26"/>
                      <w:u w:val="single"/>
                    </w:rPr>
                    <w:t>sechler@carpenterlipps.com</w:t>
                  </w:r>
                </w:p>
                <w:p w:rsidR="00303F08" w:rsidRPr="00047176" w:rsidRDefault="00303F08" w:rsidP="00B70887">
                  <w:pPr>
                    <w:autoSpaceDE w:val="0"/>
                    <w:autoSpaceDN w:val="0"/>
                    <w:adjustRightInd w:val="0"/>
                    <w:rPr>
                      <w:color w:val="0000FF"/>
                      <w:sz w:val="26"/>
                      <w:szCs w:val="26"/>
                      <w:u w:val="single"/>
                    </w:rPr>
                  </w:pPr>
                  <w:r w:rsidRPr="00047176">
                    <w:rPr>
                      <w:color w:val="0000FF"/>
                      <w:sz w:val="26"/>
                      <w:szCs w:val="26"/>
                      <w:u w:val="single"/>
                    </w:rPr>
                    <w:t>bill.wells@wpafb.af.mil</w:t>
                  </w:r>
                </w:p>
                <w:p w:rsidR="00303F08" w:rsidRPr="00047176" w:rsidRDefault="00303F08" w:rsidP="00B70887">
                  <w:pPr>
                    <w:autoSpaceDE w:val="0"/>
                    <w:autoSpaceDN w:val="0"/>
                    <w:adjustRightInd w:val="0"/>
                    <w:rPr>
                      <w:color w:val="0000FF"/>
                      <w:sz w:val="26"/>
                      <w:szCs w:val="26"/>
                      <w:u w:val="single"/>
                    </w:rPr>
                  </w:pPr>
                  <w:r w:rsidRPr="00047176">
                    <w:rPr>
                      <w:color w:val="0000FF"/>
                      <w:sz w:val="26"/>
                      <w:szCs w:val="26"/>
                      <w:u w:val="single"/>
                    </w:rPr>
                    <w:t>chris.thompson.2@tyndall.af.mil</w:t>
                  </w:r>
                </w:p>
                <w:p w:rsidR="00303F08" w:rsidRPr="00047176" w:rsidRDefault="00303F08" w:rsidP="00B70887">
                  <w:pPr>
                    <w:autoSpaceDE w:val="0"/>
                    <w:autoSpaceDN w:val="0"/>
                    <w:adjustRightInd w:val="0"/>
                    <w:rPr>
                      <w:color w:val="0000FF"/>
                      <w:sz w:val="26"/>
                      <w:szCs w:val="26"/>
                      <w:u w:val="single"/>
                    </w:rPr>
                  </w:pPr>
                  <w:r w:rsidRPr="00047176">
                    <w:rPr>
                      <w:color w:val="0000FF"/>
                      <w:sz w:val="26"/>
                      <w:szCs w:val="26"/>
                      <w:u w:val="single"/>
                    </w:rPr>
                    <w:t>gmeyer@consultbai.com</w:t>
                  </w:r>
                </w:p>
                <w:p w:rsidR="00303F08" w:rsidRPr="00047176" w:rsidRDefault="00303F08" w:rsidP="00B70887">
                  <w:pPr>
                    <w:autoSpaceDE w:val="0"/>
                    <w:autoSpaceDN w:val="0"/>
                    <w:adjustRightInd w:val="0"/>
                    <w:rPr>
                      <w:color w:val="0000FF"/>
                      <w:sz w:val="26"/>
                      <w:szCs w:val="26"/>
                      <w:u w:val="single"/>
                    </w:rPr>
                  </w:pPr>
                  <w:r w:rsidRPr="00047176">
                    <w:rPr>
                      <w:color w:val="0000FF"/>
                      <w:sz w:val="26"/>
                      <w:szCs w:val="26"/>
                      <w:u w:val="single"/>
                    </w:rPr>
                    <w:t>cfaruki@ficlaw.com</w:t>
                  </w:r>
                </w:p>
                <w:p w:rsidR="00303F08" w:rsidRPr="00047176" w:rsidRDefault="00303F08" w:rsidP="00B70887">
                  <w:pPr>
                    <w:autoSpaceDE w:val="0"/>
                    <w:autoSpaceDN w:val="0"/>
                    <w:adjustRightInd w:val="0"/>
                    <w:rPr>
                      <w:color w:val="0000FF"/>
                      <w:sz w:val="26"/>
                      <w:szCs w:val="26"/>
                      <w:u w:val="single"/>
                    </w:rPr>
                  </w:pPr>
                  <w:r w:rsidRPr="00047176">
                    <w:rPr>
                      <w:color w:val="0000FF"/>
                      <w:sz w:val="26"/>
                      <w:szCs w:val="26"/>
                      <w:u w:val="single"/>
                    </w:rPr>
                    <w:t>jsharkey@ficlaw.com</w:t>
                  </w:r>
                </w:p>
                <w:p w:rsidR="00303F08" w:rsidRPr="00047176" w:rsidRDefault="00303F08" w:rsidP="00B70887">
                  <w:pPr>
                    <w:autoSpaceDE w:val="0"/>
                    <w:autoSpaceDN w:val="0"/>
                    <w:adjustRightInd w:val="0"/>
                    <w:rPr>
                      <w:color w:val="0000FF"/>
                      <w:sz w:val="26"/>
                      <w:szCs w:val="26"/>
                      <w:u w:val="single"/>
                    </w:rPr>
                  </w:pPr>
                  <w:r w:rsidRPr="00047176">
                    <w:rPr>
                      <w:color w:val="0000FF"/>
                      <w:sz w:val="26"/>
                      <w:szCs w:val="26"/>
                      <w:u w:val="single"/>
                    </w:rPr>
                    <w:t>mswhite@igsenergy.com</w:t>
                  </w:r>
                </w:p>
                <w:p w:rsidR="00303F08" w:rsidRPr="00047176" w:rsidRDefault="00303F08" w:rsidP="00B70887">
                  <w:pPr>
                    <w:autoSpaceDE w:val="0"/>
                    <w:autoSpaceDN w:val="0"/>
                    <w:adjustRightInd w:val="0"/>
                    <w:rPr>
                      <w:color w:val="0000FF"/>
                      <w:sz w:val="26"/>
                      <w:szCs w:val="26"/>
                      <w:u w:val="single"/>
                    </w:rPr>
                  </w:pPr>
                  <w:r w:rsidRPr="00047176">
                    <w:rPr>
                      <w:color w:val="0000FF"/>
                      <w:sz w:val="26"/>
                      <w:szCs w:val="26"/>
                      <w:u w:val="single"/>
                    </w:rPr>
                    <w:lastRenderedPageBreak/>
                    <w:t>christopher.miller@icemiller.com</w:t>
                  </w:r>
                </w:p>
                <w:p w:rsidR="00303F08" w:rsidRPr="00047176" w:rsidRDefault="00303F08" w:rsidP="00B70887">
                  <w:pPr>
                    <w:autoSpaceDE w:val="0"/>
                    <w:autoSpaceDN w:val="0"/>
                    <w:adjustRightInd w:val="0"/>
                    <w:rPr>
                      <w:color w:val="0000FF"/>
                      <w:sz w:val="26"/>
                      <w:szCs w:val="26"/>
                      <w:u w:val="single"/>
                    </w:rPr>
                  </w:pPr>
                  <w:r w:rsidRPr="00047176">
                    <w:rPr>
                      <w:color w:val="0000FF"/>
                      <w:sz w:val="26"/>
                      <w:szCs w:val="26"/>
                      <w:u w:val="single"/>
                    </w:rPr>
                    <w:t>gregory.dunn@icemiller.com</w:t>
                  </w:r>
                </w:p>
                <w:p w:rsidR="00303F08" w:rsidRPr="00047176" w:rsidRDefault="00303F08" w:rsidP="00B70887">
                  <w:pPr>
                    <w:autoSpaceDE w:val="0"/>
                    <w:autoSpaceDN w:val="0"/>
                    <w:adjustRightInd w:val="0"/>
                    <w:rPr>
                      <w:color w:val="0000FF"/>
                      <w:sz w:val="26"/>
                      <w:szCs w:val="26"/>
                      <w:u w:val="single"/>
                    </w:rPr>
                  </w:pPr>
                  <w:r w:rsidRPr="00047176">
                    <w:rPr>
                      <w:color w:val="0000FF"/>
                      <w:sz w:val="26"/>
                      <w:szCs w:val="26"/>
                      <w:u w:val="single"/>
                    </w:rPr>
                    <w:t>chris.michael@icemiller.com</w:t>
                  </w:r>
                </w:p>
                <w:p w:rsidR="00303F08" w:rsidRPr="00047176" w:rsidRDefault="00303F08" w:rsidP="00B70887">
                  <w:pPr>
                    <w:autoSpaceDE w:val="0"/>
                    <w:autoSpaceDN w:val="0"/>
                    <w:adjustRightInd w:val="0"/>
                    <w:rPr>
                      <w:color w:val="0000FF"/>
                      <w:sz w:val="26"/>
                      <w:szCs w:val="26"/>
                      <w:u w:val="single"/>
                    </w:rPr>
                  </w:pPr>
                  <w:r w:rsidRPr="00047176">
                    <w:rPr>
                      <w:color w:val="0000FF"/>
                      <w:sz w:val="26"/>
                      <w:szCs w:val="26"/>
                      <w:u w:val="single"/>
                    </w:rPr>
                    <w:t>trent@theoec.org</w:t>
                  </w:r>
                </w:p>
                <w:p w:rsidR="00303F08" w:rsidRPr="00047176" w:rsidRDefault="00303F08" w:rsidP="00B70887">
                  <w:pPr>
                    <w:rPr>
                      <w:sz w:val="26"/>
                      <w:szCs w:val="26"/>
                      <w:u w:val="single"/>
                    </w:rPr>
                  </w:pPr>
                  <w:r w:rsidRPr="00047176">
                    <w:rPr>
                      <w:color w:val="0000FF"/>
                      <w:sz w:val="26"/>
                      <w:szCs w:val="26"/>
                      <w:u w:val="single"/>
                    </w:rPr>
                    <w:t>mchristensen@columbuslaw.org</w:t>
                  </w:r>
                </w:p>
                <w:p w:rsidR="00303F08" w:rsidRPr="00047176" w:rsidRDefault="00303F08" w:rsidP="00B70887">
                  <w:pPr>
                    <w:autoSpaceDE w:val="0"/>
                    <w:autoSpaceDN w:val="0"/>
                    <w:adjustRightInd w:val="0"/>
                    <w:rPr>
                      <w:color w:val="0000FF"/>
                      <w:sz w:val="26"/>
                      <w:szCs w:val="26"/>
                      <w:u w:val="single"/>
                    </w:rPr>
                  </w:pPr>
                  <w:r w:rsidRPr="00047176">
                    <w:rPr>
                      <w:color w:val="0000FF"/>
                      <w:sz w:val="26"/>
                      <w:szCs w:val="26"/>
                      <w:u w:val="single"/>
                    </w:rPr>
                    <w:t>stnourse@aep.com</w:t>
                  </w:r>
                </w:p>
                <w:p w:rsidR="00303F08" w:rsidRPr="00047176" w:rsidRDefault="00303F08" w:rsidP="00B70887">
                  <w:pPr>
                    <w:autoSpaceDE w:val="0"/>
                    <w:autoSpaceDN w:val="0"/>
                    <w:adjustRightInd w:val="0"/>
                    <w:rPr>
                      <w:color w:val="0000FF"/>
                      <w:sz w:val="26"/>
                      <w:szCs w:val="26"/>
                      <w:u w:val="single"/>
                    </w:rPr>
                  </w:pPr>
                  <w:r w:rsidRPr="00047176">
                    <w:rPr>
                      <w:color w:val="0000FF"/>
                      <w:sz w:val="26"/>
                      <w:szCs w:val="26"/>
                      <w:u w:val="single"/>
                    </w:rPr>
                    <w:t>ssolberg@eimerstahl.com</w:t>
                  </w:r>
                </w:p>
                <w:p w:rsidR="00303F08" w:rsidRPr="00047176" w:rsidRDefault="00303F08" w:rsidP="00B70887">
                  <w:pPr>
                    <w:autoSpaceDE w:val="0"/>
                    <w:autoSpaceDN w:val="0"/>
                    <w:adjustRightInd w:val="0"/>
                    <w:rPr>
                      <w:color w:val="0000FF"/>
                      <w:sz w:val="26"/>
                      <w:szCs w:val="26"/>
                      <w:u w:val="single"/>
                    </w:rPr>
                  </w:pPr>
                  <w:r w:rsidRPr="00047176">
                    <w:rPr>
                      <w:color w:val="0000FF"/>
                      <w:sz w:val="26"/>
                      <w:szCs w:val="26"/>
                      <w:u w:val="single"/>
                    </w:rPr>
                    <w:t>stephen.bennett@exeloncorp.com</w:t>
                  </w:r>
                </w:p>
                <w:p w:rsidR="00303F08" w:rsidRPr="00047176" w:rsidRDefault="00303F08" w:rsidP="00B70887">
                  <w:pPr>
                    <w:autoSpaceDE w:val="0"/>
                    <w:autoSpaceDN w:val="0"/>
                    <w:adjustRightInd w:val="0"/>
                    <w:rPr>
                      <w:color w:val="0000FF"/>
                      <w:sz w:val="26"/>
                      <w:szCs w:val="26"/>
                      <w:u w:val="single"/>
                    </w:rPr>
                  </w:pPr>
                  <w:r w:rsidRPr="00047176">
                    <w:rPr>
                      <w:color w:val="0000FF"/>
                      <w:sz w:val="26"/>
                      <w:szCs w:val="26"/>
                      <w:u w:val="single"/>
                    </w:rPr>
                    <w:t>cynthia.brady@constellation.com</w:t>
                  </w:r>
                </w:p>
                <w:p w:rsidR="00303F08" w:rsidRPr="00047176" w:rsidRDefault="00303F08" w:rsidP="00B70887">
                  <w:pPr>
                    <w:rPr>
                      <w:sz w:val="26"/>
                      <w:szCs w:val="26"/>
                      <w:u w:val="single"/>
                    </w:rPr>
                  </w:pPr>
                </w:p>
              </w:tc>
              <w:tc>
                <w:tcPr>
                  <w:tcW w:w="4500" w:type="dxa"/>
                  <w:shd w:val="clear" w:color="auto" w:fill="auto"/>
                </w:tcPr>
                <w:p w:rsidR="00303F08" w:rsidRPr="00047176" w:rsidRDefault="00303F08" w:rsidP="00B70887">
                  <w:pPr>
                    <w:autoSpaceDE w:val="0"/>
                    <w:autoSpaceDN w:val="0"/>
                    <w:adjustRightInd w:val="0"/>
                    <w:rPr>
                      <w:color w:val="0000FF"/>
                      <w:sz w:val="26"/>
                      <w:szCs w:val="26"/>
                      <w:u w:val="single"/>
                    </w:rPr>
                  </w:pPr>
                  <w:r w:rsidRPr="00047176">
                    <w:rPr>
                      <w:color w:val="0000FF"/>
                      <w:sz w:val="26"/>
                      <w:szCs w:val="26"/>
                      <w:u w:val="single"/>
                    </w:rPr>
                    <w:lastRenderedPageBreak/>
                    <w:t>dboehm@bkllawfirm.com</w:t>
                  </w:r>
                </w:p>
                <w:p w:rsidR="00303F08" w:rsidRPr="00047176" w:rsidRDefault="00303F08" w:rsidP="00B70887">
                  <w:pPr>
                    <w:autoSpaceDE w:val="0"/>
                    <w:autoSpaceDN w:val="0"/>
                    <w:adjustRightInd w:val="0"/>
                    <w:rPr>
                      <w:color w:val="0000FF"/>
                      <w:sz w:val="26"/>
                      <w:szCs w:val="26"/>
                      <w:u w:val="single"/>
                    </w:rPr>
                  </w:pPr>
                  <w:r w:rsidRPr="00047176">
                    <w:rPr>
                      <w:color w:val="0000FF"/>
                      <w:sz w:val="26"/>
                      <w:szCs w:val="26"/>
                      <w:u w:val="single"/>
                    </w:rPr>
                    <w:t>mkurtz@bkllawfirm.com</w:t>
                  </w:r>
                </w:p>
                <w:p w:rsidR="00303F08" w:rsidRPr="00047176" w:rsidRDefault="00303F08" w:rsidP="00B70887">
                  <w:pPr>
                    <w:autoSpaceDE w:val="0"/>
                    <w:autoSpaceDN w:val="0"/>
                    <w:adjustRightInd w:val="0"/>
                    <w:rPr>
                      <w:color w:val="0000FF"/>
                      <w:sz w:val="26"/>
                      <w:szCs w:val="26"/>
                      <w:u w:val="single"/>
                    </w:rPr>
                  </w:pPr>
                  <w:r w:rsidRPr="00047176">
                    <w:rPr>
                      <w:color w:val="0000FF"/>
                      <w:sz w:val="26"/>
                      <w:szCs w:val="26"/>
                      <w:u w:val="single"/>
                    </w:rPr>
                    <w:t>jkyler@bkllawfirm.com</w:t>
                  </w:r>
                </w:p>
                <w:p w:rsidR="00303F08" w:rsidRPr="00047176" w:rsidRDefault="00303F08" w:rsidP="00B70887">
                  <w:pPr>
                    <w:autoSpaceDE w:val="0"/>
                    <w:autoSpaceDN w:val="0"/>
                    <w:adjustRightInd w:val="0"/>
                    <w:rPr>
                      <w:color w:val="0000FF"/>
                      <w:sz w:val="26"/>
                      <w:szCs w:val="26"/>
                      <w:u w:val="single"/>
                    </w:rPr>
                  </w:pPr>
                  <w:r w:rsidRPr="00047176">
                    <w:rPr>
                      <w:color w:val="0000FF"/>
                      <w:sz w:val="26"/>
                      <w:szCs w:val="26"/>
                      <w:u w:val="single"/>
                    </w:rPr>
                    <w:t>myurick@taftlaw.com</w:t>
                  </w:r>
                </w:p>
                <w:p w:rsidR="00303F08" w:rsidRPr="00047176" w:rsidRDefault="00303F08" w:rsidP="00B70887">
                  <w:pPr>
                    <w:autoSpaceDE w:val="0"/>
                    <w:autoSpaceDN w:val="0"/>
                    <w:adjustRightInd w:val="0"/>
                    <w:rPr>
                      <w:color w:val="0000FF"/>
                      <w:sz w:val="26"/>
                      <w:szCs w:val="26"/>
                      <w:u w:val="single"/>
                    </w:rPr>
                  </w:pPr>
                  <w:r w:rsidRPr="00047176">
                    <w:rPr>
                      <w:color w:val="0000FF"/>
                      <w:sz w:val="26"/>
                      <w:szCs w:val="26"/>
                      <w:u w:val="single"/>
                    </w:rPr>
                    <w:t>zkravitz@taftlaw.com</w:t>
                  </w:r>
                </w:p>
                <w:p w:rsidR="00303F08" w:rsidRPr="00047176" w:rsidRDefault="00303F08" w:rsidP="00B70887">
                  <w:pPr>
                    <w:autoSpaceDE w:val="0"/>
                    <w:autoSpaceDN w:val="0"/>
                    <w:adjustRightInd w:val="0"/>
                    <w:rPr>
                      <w:color w:val="0000FF"/>
                      <w:sz w:val="26"/>
                      <w:szCs w:val="26"/>
                      <w:u w:val="single"/>
                    </w:rPr>
                  </w:pPr>
                  <w:r w:rsidRPr="00047176">
                    <w:rPr>
                      <w:color w:val="0000FF"/>
                      <w:sz w:val="26"/>
                      <w:szCs w:val="26"/>
                      <w:u w:val="single"/>
                    </w:rPr>
                    <w:t>whitt@whitt-sturtevant.com</w:t>
                  </w:r>
                </w:p>
                <w:p w:rsidR="00303F08" w:rsidRPr="00047176" w:rsidRDefault="00303F08" w:rsidP="00B70887">
                  <w:pPr>
                    <w:autoSpaceDE w:val="0"/>
                    <w:autoSpaceDN w:val="0"/>
                    <w:adjustRightInd w:val="0"/>
                    <w:rPr>
                      <w:color w:val="0000FF"/>
                      <w:sz w:val="26"/>
                      <w:szCs w:val="26"/>
                      <w:u w:val="single"/>
                    </w:rPr>
                  </w:pPr>
                  <w:r w:rsidRPr="00047176">
                    <w:rPr>
                      <w:color w:val="0000FF"/>
                      <w:sz w:val="26"/>
                      <w:szCs w:val="26"/>
                      <w:u w:val="single"/>
                    </w:rPr>
                    <w:t>campbell@whitt-sturtevant.com</w:t>
                  </w:r>
                </w:p>
                <w:p w:rsidR="00303F08" w:rsidRPr="00047176" w:rsidRDefault="00303F08" w:rsidP="00B70887">
                  <w:pPr>
                    <w:autoSpaceDE w:val="0"/>
                    <w:autoSpaceDN w:val="0"/>
                    <w:adjustRightInd w:val="0"/>
                    <w:rPr>
                      <w:color w:val="0000FF"/>
                      <w:sz w:val="26"/>
                      <w:szCs w:val="26"/>
                      <w:u w:val="single"/>
                    </w:rPr>
                  </w:pPr>
                  <w:r w:rsidRPr="00047176">
                    <w:rPr>
                      <w:color w:val="0000FF"/>
                      <w:sz w:val="26"/>
                      <w:szCs w:val="26"/>
                      <w:u w:val="single"/>
                    </w:rPr>
                    <w:t>mhpetricoff@vorys.com</w:t>
                  </w:r>
                </w:p>
                <w:p w:rsidR="00303F08" w:rsidRPr="00047176" w:rsidRDefault="00303F08" w:rsidP="00B70887">
                  <w:pPr>
                    <w:autoSpaceDE w:val="0"/>
                    <w:autoSpaceDN w:val="0"/>
                    <w:adjustRightInd w:val="0"/>
                    <w:rPr>
                      <w:color w:val="0000FF"/>
                      <w:sz w:val="26"/>
                      <w:szCs w:val="26"/>
                      <w:u w:val="single"/>
                    </w:rPr>
                  </w:pPr>
                  <w:r w:rsidRPr="00047176">
                    <w:rPr>
                      <w:color w:val="0000FF"/>
                      <w:sz w:val="26"/>
                      <w:szCs w:val="26"/>
                      <w:u w:val="single"/>
                    </w:rPr>
                    <w:t>smhoward@vorys.com</w:t>
                  </w:r>
                </w:p>
                <w:p w:rsidR="00303F08" w:rsidRPr="00047176" w:rsidRDefault="00303F08" w:rsidP="00B70887">
                  <w:pPr>
                    <w:autoSpaceDE w:val="0"/>
                    <w:autoSpaceDN w:val="0"/>
                    <w:adjustRightInd w:val="0"/>
                    <w:rPr>
                      <w:color w:val="0000FF"/>
                      <w:sz w:val="26"/>
                      <w:szCs w:val="26"/>
                      <w:u w:val="single"/>
                    </w:rPr>
                  </w:pPr>
                  <w:r w:rsidRPr="00047176">
                    <w:rPr>
                      <w:color w:val="0000FF"/>
                      <w:sz w:val="26"/>
                      <w:szCs w:val="26"/>
                      <w:u w:val="single"/>
                    </w:rPr>
                    <w:t>ssherman@kdlegal.com</w:t>
                  </w:r>
                </w:p>
                <w:p w:rsidR="00303F08" w:rsidRPr="00047176" w:rsidRDefault="00303F08" w:rsidP="00B70887">
                  <w:pPr>
                    <w:autoSpaceDE w:val="0"/>
                    <w:autoSpaceDN w:val="0"/>
                    <w:adjustRightInd w:val="0"/>
                    <w:rPr>
                      <w:color w:val="0000FF"/>
                      <w:sz w:val="26"/>
                      <w:szCs w:val="26"/>
                      <w:u w:val="single"/>
                    </w:rPr>
                  </w:pPr>
                  <w:r w:rsidRPr="00047176">
                    <w:rPr>
                      <w:color w:val="0000FF"/>
                      <w:sz w:val="26"/>
                      <w:szCs w:val="26"/>
                      <w:u w:val="single"/>
                    </w:rPr>
                    <w:t>jhague@kdlegal.com</w:t>
                  </w:r>
                </w:p>
                <w:p w:rsidR="00303F08" w:rsidRPr="00047176" w:rsidRDefault="00303F08" w:rsidP="00B70887">
                  <w:pPr>
                    <w:autoSpaceDE w:val="0"/>
                    <w:autoSpaceDN w:val="0"/>
                    <w:adjustRightInd w:val="0"/>
                    <w:rPr>
                      <w:color w:val="0000FF"/>
                      <w:sz w:val="26"/>
                      <w:szCs w:val="26"/>
                      <w:u w:val="single"/>
                    </w:rPr>
                  </w:pPr>
                  <w:r w:rsidRPr="00047176">
                    <w:rPr>
                      <w:color w:val="0000FF"/>
                      <w:sz w:val="26"/>
                      <w:szCs w:val="26"/>
                      <w:u w:val="single"/>
                    </w:rPr>
                    <w:t>mwarnock@bricker.com</w:t>
                  </w:r>
                </w:p>
                <w:p w:rsidR="00303F08" w:rsidRPr="00047176" w:rsidRDefault="00303F08" w:rsidP="00B70887">
                  <w:pPr>
                    <w:autoSpaceDE w:val="0"/>
                    <w:autoSpaceDN w:val="0"/>
                    <w:adjustRightInd w:val="0"/>
                    <w:rPr>
                      <w:color w:val="0000FF"/>
                      <w:sz w:val="26"/>
                      <w:szCs w:val="26"/>
                      <w:u w:val="single"/>
                    </w:rPr>
                  </w:pPr>
                  <w:r w:rsidRPr="00047176">
                    <w:rPr>
                      <w:color w:val="0000FF"/>
                      <w:sz w:val="26"/>
                      <w:szCs w:val="26"/>
                      <w:u w:val="single"/>
                    </w:rPr>
                    <w:t>tsiwo@bricker.com</w:t>
                  </w:r>
                </w:p>
                <w:p w:rsidR="00303F08" w:rsidRPr="00047176" w:rsidRDefault="00303F08" w:rsidP="00B70887">
                  <w:pPr>
                    <w:autoSpaceDE w:val="0"/>
                    <w:autoSpaceDN w:val="0"/>
                    <w:adjustRightInd w:val="0"/>
                    <w:rPr>
                      <w:color w:val="0000FF"/>
                      <w:sz w:val="26"/>
                      <w:szCs w:val="26"/>
                      <w:u w:val="single"/>
                    </w:rPr>
                  </w:pPr>
                  <w:r w:rsidRPr="00047176">
                    <w:rPr>
                      <w:color w:val="0000FF"/>
                      <w:sz w:val="26"/>
                      <w:szCs w:val="26"/>
                      <w:u w:val="single"/>
                    </w:rPr>
                    <w:t>tony_long@ham.honda.com</w:t>
                  </w:r>
                </w:p>
                <w:p w:rsidR="00303F08" w:rsidRPr="00047176" w:rsidRDefault="00303F08" w:rsidP="00B70887">
                  <w:pPr>
                    <w:autoSpaceDE w:val="0"/>
                    <w:autoSpaceDN w:val="0"/>
                    <w:adjustRightInd w:val="0"/>
                    <w:rPr>
                      <w:color w:val="0000FF"/>
                      <w:sz w:val="26"/>
                      <w:szCs w:val="26"/>
                      <w:u w:val="single"/>
                    </w:rPr>
                  </w:pPr>
                  <w:r w:rsidRPr="00047176">
                    <w:rPr>
                      <w:color w:val="0000FF"/>
                      <w:sz w:val="26"/>
                      <w:szCs w:val="26"/>
                      <w:u w:val="single"/>
                    </w:rPr>
                    <w:t>asim_haque@ham.honda.com</w:t>
                  </w:r>
                </w:p>
                <w:p w:rsidR="00303F08" w:rsidRPr="00047176" w:rsidRDefault="00303F08" w:rsidP="00B70887">
                  <w:pPr>
                    <w:autoSpaceDE w:val="0"/>
                    <w:autoSpaceDN w:val="0"/>
                    <w:adjustRightInd w:val="0"/>
                    <w:rPr>
                      <w:color w:val="0000FF"/>
                      <w:sz w:val="26"/>
                      <w:szCs w:val="26"/>
                      <w:u w:val="single"/>
                    </w:rPr>
                  </w:pPr>
                  <w:r w:rsidRPr="00047176">
                    <w:rPr>
                      <w:color w:val="0000FF"/>
                      <w:sz w:val="26"/>
                      <w:szCs w:val="26"/>
                      <w:u w:val="single"/>
                    </w:rPr>
                    <w:t>haydenm@firstenergycorp.com</w:t>
                  </w:r>
                </w:p>
                <w:p w:rsidR="00303F08" w:rsidRPr="00047176" w:rsidRDefault="00303F08" w:rsidP="00B70887">
                  <w:pPr>
                    <w:autoSpaceDE w:val="0"/>
                    <w:autoSpaceDN w:val="0"/>
                    <w:adjustRightInd w:val="0"/>
                    <w:rPr>
                      <w:color w:val="0000FF"/>
                      <w:sz w:val="26"/>
                      <w:szCs w:val="26"/>
                      <w:u w:val="single"/>
                    </w:rPr>
                  </w:pPr>
                  <w:r w:rsidRPr="00047176">
                    <w:rPr>
                      <w:color w:val="0000FF"/>
                      <w:sz w:val="26"/>
                      <w:szCs w:val="26"/>
                      <w:u w:val="single"/>
                    </w:rPr>
                    <w:t>jlang@calfee.com</w:t>
                  </w:r>
                </w:p>
                <w:p w:rsidR="00303F08" w:rsidRPr="00047176" w:rsidRDefault="00303F08" w:rsidP="00B70887">
                  <w:pPr>
                    <w:autoSpaceDE w:val="0"/>
                    <w:autoSpaceDN w:val="0"/>
                    <w:adjustRightInd w:val="0"/>
                    <w:rPr>
                      <w:color w:val="0000FF"/>
                      <w:sz w:val="26"/>
                      <w:szCs w:val="26"/>
                      <w:u w:val="single"/>
                    </w:rPr>
                  </w:pPr>
                  <w:r w:rsidRPr="00047176">
                    <w:rPr>
                      <w:color w:val="0000FF"/>
                      <w:sz w:val="26"/>
                      <w:szCs w:val="26"/>
                      <w:u w:val="single"/>
                    </w:rPr>
                    <w:t>lmcbride@calfee.com</w:t>
                  </w:r>
                </w:p>
                <w:p w:rsidR="00303F08" w:rsidRPr="00047176" w:rsidRDefault="00303F08" w:rsidP="00B70887">
                  <w:pPr>
                    <w:autoSpaceDE w:val="0"/>
                    <w:autoSpaceDN w:val="0"/>
                    <w:adjustRightInd w:val="0"/>
                    <w:rPr>
                      <w:color w:val="0000FF"/>
                      <w:sz w:val="26"/>
                      <w:szCs w:val="26"/>
                      <w:u w:val="single"/>
                    </w:rPr>
                  </w:pPr>
                  <w:r w:rsidRPr="00047176">
                    <w:rPr>
                      <w:color w:val="0000FF"/>
                      <w:sz w:val="26"/>
                      <w:szCs w:val="26"/>
                      <w:u w:val="single"/>
                    </w:rPr>
                    <w:t>talexander@calfee.com</w:t>
                  </w:r>
                </w:p>
                <w:p w:rsidR="00303F08" w:rsidRPr="00047176" w:rsidRDefault="00303F08" w:rsidP="00B70887">
                  <w:pPr>
                    <w:autoSpaceDE w:val="0"/>
                    <w:autoSpaceDN w:val="0"/>
                    <w:adjustRightInd w:val="0"/>
                    <w:rPr>
                      <w:color w:val="0000FF"/>
                      <w:sz w:val="26"/>
                      <w:szCs w:val="26"/>
                      <w:u w:val="single"/>
                    </w:rPr>
                  </w:pPr>
                  <w:r w:rsidRPr="00047176">
                    <w:rPr>
                      <w:color w:val="0000FF"/>
                      <w:sz w:val="26"/>
                      <w:szCs w:val="26"/>
                      <w:u w:val="single"/>
                    </w:rPr>
                    <w:t>jejadwin@aep.com</w:t>
                  </w:r>
                </w:p>
                <w:p w:rsidR="00303F08" w:rsidRPr="00047176" w:rsidRDefault="00303F08" w:rsidP="00B70887">
                  <w:pPr>
                    <w:autoSpaceDE w:val="0"/>
                    <w:autoSpaceDN w:val="0"/>
                    <w:adjustRightInd w:val="0"/>
                    <w:rPr>
                      <w:color w:val="0000FF"/>
                      <w:sz w:val="26"/>
                      <w:szCs w:val="26"/>
                      <w:u w:val="single"/>
                    </w:rPr>
                  </w:pPr>
                  <w:r w:rsidRPr="00047176">
                    <w:rPr>
                      <w:color w:val="0000FF"/>
                      <w:sz w:val="26"/>
                      <w:szCs w:val="26"/>
                      <w:u w:val="single"/>
                    </w:rPr>
                    <w:t>gpoulos@enernoc.com</w:t>
                  </w:r>
                </w:p>
                <w:p w:rsidR="00303F08" w:rsidRPr="00047176" w:rsidRDefault="00303F08" w:rsidP="00B70887">
                  <w:pPr>
                    <w:autoSpaceDE w:val="0"/>
                    <w:autoSpaceDN w:val="0"/>
                    <w:adjustRightInd w:val="0"/>
                    <w:rPr>
                      <w:color w:val="0000FF"/>
                      <w:sz w:val="26"/>
                      <w:szCs w:val="26"/>
                      <w:u w:val="single"/>
                    </w:rPr>
                  </w:pPr>
                  <w:r w:rsidRPr="00047176">
                    <w:rPr>
                      <w:color w:val="0000FF"/>
                      <w:sz w:val="26"/>
                      <w:szCs w:val="26"/>
                      <w:u w:val="single"/>
                    </w:rPr>
                    <w:t>ricks@ohanet.org</w:t>
                  </w:r>
                </w:p>
                <w:p w:rsidR="00303F08" w:rsidRPr="00047176" w:rsidRDefault="00303F08" w:rsidP="00B70887">
                  <w:pPr>
                    <w:autoSpaceDE w:val="0"/>
                    <w:autoSpaceDN w:val="0"/>
                    <w:adjustRightInd w:val="0"/>
                    <w:rPr>
                      <w:color w:val="0000FF"/>
                      <w:sz w:val="26"/>
                      <w:szCs w:val="26"/>
                      <w:u w:val="single"/>
                    </w:rPr>
                  </w:pPr>
                  <w:r w:rsidRPr="00047176">
                    <w:rPr>
                      <w:color w:val="0000FF"/>
                      <w:sz w:val="26"/>
                      <w:szCs w:val="26"/>
                      <w:u w:val="single"/>
                    </w:rPr>
                    <w:t>cmooney2@columbus.rr.com</w:t>
                  </w:r>
                </w:p>
                <w:p w:rsidR="00303F08" w:rsidRPr="00047176" w:rsidRDefault="00303F08" w:rsidP="00B70887">
                  <w:pPr>
                    <w:autoSpaceDE w:val="0"/>
                    <w:autoSpaceDN w:val="0"/>
                    <w:adjustRightInd w:val="0"/>
                    <w:rPr>
                      <w:color w:val="0000FF"/>
                      <w:sz w:val="26"/>
                      <w:szCs w:val="26"/>
                      <w:u w:val="single"/>
                    </w:rPr>
                  </w:pPr>
                  <w:r w:rsidRPr="00047176">
                    <w:rPr>
                      <w:color w:val="0000FF"/>
                      <w:sz w:val="26"/>
                      <w:szCs w:val="26"/>
                      <w:u w:val="single"/>
                    </w:rPr>
                    <w:lastRenderedPageBreak/>
                    <w:t>tobrien@bricker.com</w:t>
                  </w:r>
                </w:p>
                <w:p w:rsidR="00303F08" w:rsidRPr="00047176" w:rsidRDefault="00303F08" w:rsidP="00B70887">
                  <w:pPr>
                    <w:autoSpaceDE w:val="0"/>
                    <w:autoSpaceDN w:val="0"/>
                    <w:adjustRightInd w:val="0"/>
                    <w:rPr>
                      <w:color w:val="0000FF"/>
                      <w:sz w:val="26"/>
                      <w:szCs w:val="26"/>
                      <w:u w:val="single"/>
                    </w:rPr>
                  </w:pPr>
                  <w:r w:rsidRPr="00047176">
                    <w:rPr>
                      <w:color w:val="0000FF"/>
                      <w:sz w:val="26"/>
                      <w:szCs w:val="26"/>
                      <w:u w:val="single"/>
                    </w:rPr>
                    <w:t>vparisi@igsenergy.com</w:t>
                  </w:r>
                </w:p>
                <w:p w:rsidR="00303F08" w:rsidRPr="00047176" w:rsidRDefault="00303F08" w:rsidP="00B70887">
                  <w:pPr>
                    <w:autoSpaceDE w:val="0"/>
                    <w:autoSpaceDN w:val="0"/>
                    <w:adjustRightInd w:val="0"/>
                    <w:rPr>
                      <w:color w:val="0000FF"/>
                      <w:sz w:val="26"/>
                      <w:szCs w:val="26"/>
                      <w:u w:val="single"/>
                    </w:rPr>
                  </w:pPr>
                  <w:r w:rsidRPr="00047176">
                    <w:rPr>
                      <w:color w:val="0000FF"/>
                      <w:sz w:val="26"/>
                      <w:szCs w:val="26"/>
                      <w:u w:val="single"/>
                    </w:rPr>
                    <w:t>cathy@theoec.org</w:t>
                  </w:r>
                </w:p>
                <w:p w:rsidR="00303F08" w:rsidRPr="00047176" w:rsidRDefault="00303F08" w:rsidP="00B70887">
                  <w:pPr>
                    <w:autoSpaceDE w:val="0"/>
                    <w:autoSpaceDN w:val="0"/>
                    <w:adjustRightInd w:val="0"/>
                    <w:rPr>
                      <w:color w:val="0000FF"/>
                      <w:sz w:val="26"/>
                      <w:szCs w:val="26"/>
                      <w:u w:val="single"/>
                    </w:rPr>
                  </w:pPr>
                  <w:r w:rsidRPr="00047176">
                    <w:rPr>
                      <w:color w:val="0000FF"/>
                      <w:sz w:val="26"/>
                      <w:szCs w:val="26"/>
                      <w:u w:val="single"/>
                    </w:rPr>
                    <w:t>joseph.clark@directenergy.com</w:t>
                  </w:r>
                </w:p>
                <w:p w:rsidR="00303F08" w:rsidRPr="00047176" w:rsidRDefault="00303F08" w:rsidP="00B70887">
                  <w:pPr>
                    <w:autoSpaceDE w:val="0"/>
                    <w:autoSpaceDN w:val="0"/>
                    <w:adjustRightInd w:val="0"/>
                    <w:rPr>
                      <w:color w:val="0000FF"/>
                      <w:sz w:val="26"/>
                      <w:szCs w:val="26"/>
                      <w:u w:val="single"/>
                    </w:rPr>
                  </w:pPr>
                  <w:r w:rsidRPr="00047176">
                    <w:rPr>
                      <w:color w:val="0000FF"/>
                      <w:sz w:val="26"/>
                      <w:szCs w:val="26"/>
                      <w:u w:val="single"/>
                    </w:rPr>
                    <w:t>dakutik@jonesday.com</w:t>
                  </w:r>
                </w:p>
                <w:p w:rsidR="00303F08" w:rsidRPr="00047176" w:rsidRDefault="00303F08" w:rsidP="00B70887">
                  <w:pPr>
                    <w:autoSpaceDE w:val="0"/>
                    <w:autoSpaceDN w:val="0"/>
                    <w:adjustRightInd w:val="0"/>
                    <w:rPr>
                      <w:color w:val="0000FF"/>
                      <w:sz w:val="26"/>
                      <w:szCs w:val="26"/>
                      <w:u w:val="single"/>
                    </w:rPr>
                  </w:pPr>
                  <w:r w:rsidRPr="00047176">
                    <w:rPr>
                      <w:color w:val="0000FF"/>
                      <w:sz w:val="26"/>
                      <w:szCs w:val="26"/>
                      <w:u w:val="single"/>
                    </w:rPr>
                    <w:t>aehaedt@jonesday.com</w:t>
                  </w:r>
                </w:p>
                <w:p w:rsidR="00303F08" w:rsidRPr="00047176" w:rsidRDefault="00303F08" w:rsidP="00B70887">
                  <w:pPr>
                    <w:autoSpaceDE w:val="0"/>
                    <w:autoSpaceDN w:val="0"/>
                    <w:adjustRightInd w:val="0"/>
                    <w:rPr>
                      <w:color w:val="0000FF"/>
                      <w:sz w:val="26"/>
                      <w:szCs w:val="26"/>
                      <w:u w:val="single"/>
                    </w:rPr>
                  </w:pPr>
                  <w:r w:rsidRPr="00047176">
                    <w:rPr>
                      <w:color w:val="0000FF"/>
                      <w:sz w:val="26"/>
                      <w:szCs w:val="26"/>
                      <w:u w:val="single"/>
                    </w:rPr>
                    <w:t>ejacobs@ablelaw.org</w:t>
                  </w:r>
                </w:p>
                <w:p w:rsidR="00303F08" w:rsidRPr="00047176" w:rsidRDefault="00303F08" w:rsidP="00B70887">
                  <w:pPr>
                    <w:autoSpaceDE w:val="0"/>
                    <w:autoSpaceDN w:val="0"/>
                    <w:adjustRightInd w:val="0"/>
                    <w:rPr>
                      <w:color w:val="0000FF"/>
                      <w:sz w:val="26"/>
                      <w:szCs w:val="26"/>
                      <w:u w:val="single"/>
                    </w:rPr>
                  </w:pPr>
                  <w:r w:rsidRPr="00047176">
                    <w:rPr>
                      <w:color w:val="0000FF"/>
                      <w:sz w:val="26"/>
                      <w:szCs w:val="26"/>
                      <w:u w:val="single"/>
                    </w:rPr>
                    <w:t>mjsatterwhite@aep.com</w:t>
                  </w:r>
                </w:p>
                <w:p w:rsidR="00303F08" w:rsidRPr="00047176" w:rsidRDefault="00303F08" w:rsidP="00B70887">
                  <w:pPr>
                    <w:rPr>
                      <w:sz w:val="26"/>
                      <w:szCs w:val="26"/>
                      <w:u w:val="single"/>
                    </w:rPr>
                  </w:pPr>
                </w:p>
              </w:tc>
            </w:tr>
          </w:tbl>
          <w:p w:rsidR="00977F01" w:rsidRPr="00221496" w:rsidRDefault="00977F01" w:rsidP="00B70887">
            <w:pPr>
              <w:rPr>
                <w:sz w:val="26"/>
                <w:szCs w:val="26"/>
              </w:rPr>
            </w:pPr>
          </w:p>
        </w:tc>
        <w:tc>
          <w:tcPr>
            <w:tcW w:w="4788" w:type="dxa"/>
          </w:tcPr>
          <w:p w:rsidR="00977F01" w:rsidRPr="00221496" w:rsidRDefault="00977F01" w:rsidP="00B70887">
            <w:pPr>
              <w:rPr>
                <w:sz w:val="26"/>
                <w:szCs w:val="26"/>
              </w:rPr>
            </w:pPr>
          </w:p>
        </w:tc>
      </w:tr>
    </w:tbl>
    <w:p w:rsidR="00977F01" w:rsidRPr="00DF3D54" w:rsidRDefault="00977F01" w:rsidP="00200A0A">
      <w:pPr>
        <w:ind w:left="4332"/>
        <w:jc w:val="both"/>
        <w:rPr>
          <w:sz w:val="26"/>
          <w:szCs w:val="26"/>
        </w:rPr>
      </w:pPr>
    </w:p>
    <w:sectPr w:rsidR="00977F01" w:rsidRPr="00DF3D54" w:rsidSect="003B12DD">
      <w:headerReference w:type="default" r:id="rId20"/>
      <w:footerReference w:type="default" r:id="rId21"/>
      <w:headerReference w:type="first" r:id="rId22"/>
      <w:footerReference w:type="first" r:id="rId2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D50" w:rsidRDefault="00677D50" w:rsidP="008866FC">
      <w:pPr>
        <w:pStyle w:val="Title"/>
      </w:pPr>
      <w:r>
        <w:separator/>
      </w:r>
    </w:p>
  </w:endnote>
  <w:endnote w:type="continuationSeparator" w:id="0">
    <w:p w:rsidR="00677D50" w:rsidRDefault="00677D50" w:rsidP="008866F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71E" w:rsidRDefault="0009671E" w:rsidP="003B12DD">
    <w:pPr>
      <w:pStyle w:val="Footer"/>
      <w:jc w:val="center"/>
    </w:pPr>
    <w:r>
      <w:rPr>
        <w:rStyle w:val="PageNumber"/>
      </w:rPr>
      <w:fldChar w:fldCharType="begin"/>
    </w:r>
    <w:r>
      <w:rPr>
        <w:rStyle w:val="PageNumber"/>
      </w:rPr>
      <w:instrText xml:space="preserve"> PAGE </w:instrText>
    </w:r>
    <w:r>
      <w:rPr>
        <w:rStyle w:val="PageNumber"/>
      </w:rPr>
      <w:fldChar w:fldCharType="separate"/>
    </w:r>
    <w:r w:rsidR="00BF52BD">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71E" w:rsidRPr="007F5520" w:rsidRDefault="0009671E" w:rsidP="003B12DD">
    <w:pPr>
      <w:pStyle w:val="Footer"/>
      <w:jc w:val="center"/>
      <w:rPr>
        <w:sz w:val="24"/>
        <w:szCs w:val="24"/>
      </w:rPr>
    </w:pPr>
    <w:r w:rsidRPr="007F5520">
      <w:rPr>
        <w:rStyle w:val="PageNumber"/>
        <w:sz w:val="24"/>
        <w:szCs w:val="24"/>
      </w:rPr>
      <w:fldChar w:fldCharType="begin"/>
    </w:r>
    <w:r w:rsidRPr="007F5520">
      <w:rPr>
        <w:rStyle w:val="PageNumber"/>
        <w:sz w:val="24"/>
        <w:szCs w:val="24"/>
      </w:rPr>
      <w:instrText xml:space="preserve"> PAGE </w:instrText>
    </w:r>
    <w:r w:rsidRPr="007F5520">
      <w:rPr>
        <w:rStyle w:val="PageNumber"/>
        <w:sz w:val="24"/>
        <w:szCs w:val="24"/>
      </w:rPr>
      <w:fldChar w:fldCharType="separate"/>
    </w:r>
    <w:r w:rsidR="00945468">
      <w:rPr>
        <w:rStyle w:val="PageNumber"/>
        <w:noProof/>
        <w:sz w:val="24"/>
        <w:szCs w:val="24"/>
      </w:rPr>
      <w:t>ii</w:t>
    </w:r>
    <w:r w:rsidRPr="007F5520">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71E" w:rsidRPr="00C95499" w:rsidRDefault="0009671E" w:rsidP="00C95499">
    <w:pPr>
      <w:pStyle w:val="Footer"/>
      <w:jc w:val="center"/>
      <w:rPr>
        <w:sz w:val="26"/>
        <w:szCs w:val="26"/>
      </w:rPr>
    </w:pPr>
    <w:r w:rsidRPr="00C95499">
      <w:rPr>
        <w:sz w:val="26"/>
        <w:szCs w:val="26"/>
      </w:rPr>
      <w:fldChar w:fldCharType="begin"/>
    </w:r>
    <w:r w:rsidRPr="00C95499">
      <w:rPr>
        <w:sz w:val="26"/>
        <w:szCs w:val="26"/>
      </w:rPr>
      <w:instrText xml:space="preserve"> PAGE   \* MERGEFORMAT </w:instrText>
    </w:r>
    <w:r w:rsidRPr="00C95499">
      <w:rPr>
        <w:sz w:val="26"/>
        <w:szCs w:val="26"/>
      </w:rPr>
      <w:fldChar w:fldCharType="separate"/>
    </w:r>
    <w:r w:rsidR="00945468">
      <w:rPr>
        <w:noProof/>
        <w:sz w:val="26"/>
        <w:szCs w:val="26"/>
      </w:rPr>
      <w:t>i</w:t>
    </w:r>
    <w:r w:rsidRPr="00C95499">
      <w:rPr>
        <w:sz w:val="26"/>
        <w:szCs w:val="2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71E" w:rsidRPr="007F5520" w:rsidRDefault="0009671E" w:rsidP="003B12DD">
    <w:pPr>
      <w:pStyle w:val="Footer"/>
      <w:jc w:val="center"/>
      <w:rPr>
        <w:sz w:val="24"/>
        <w:szCs w:val="24"/>
      </w:rPr>
    </w:pPr>
    <w:r w:rsidRPr="007F5520">
      <w:rPr>
        <w:rStyle w:val="PageNumber"/>
        <w:sz w:val="24"/>
        <w:szCs w:val="24"/>
      </w:rPr>
      <w:fldChar w:fldCharType="begin"/>
    </w:r>
    <w:r w:rsidRPr="007F5520">
      <w:rPr>
        <w:rStyle w:val="PageNumber"/>
        <w:sz w:val="24"/>
        <w:szCs w:val="24"/>
      </w:rPr>
      <w:instrText xml:space="preserve"> PAGE </w:instrText>
    </w:r>
    <w:r w:rsidRPr="007F5520">
      <w:rPr>
        <w:rStyle w:val="PageNumber"/>
        <w:sz w:val="24"/>
        <w:szCs w:val="24"/>
      </w:rPr>
      <w:fldChar w:fldCharType="separate"/>
    </w:r>
    <w:r w:rsidR="00945468">
      <w:rPr>
        <w:rStyle w:val="PageNumber"/>
        <w:noProof/>
        <w:sz w:val="24"/>
        <w:szCs w:val="24"/>
      </w:rPr>
      <w:t>34</w:t>
    </w:r>
    <w:r w:rsidRPr="007F5520">
      <w:rPr>
        <w:rStyle w:val="PageNumber"/>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71E" w:rsidRPr="00C95499" w:rsidRDefault="0009671E" w:rsidP="00C95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D50" w:rsidRDefault="00677D50" w:rsidP="00663D6A">
      <w:pPr>
        <w:pStyle w:val="Title"/>
        <w:jc w:val="left"/>
      </w:pPr>
      <w:r>
        <w:separator/>
      </w:r>
    </w:p>
  </w:footnote>
  <w:footnote w:type="continuationSeparator" w:id="0">
    <w:p w:rsidR="00677D50" w:rsidRDefault="00677D50" w:rsidP="008866FC">
      <w:pPr>
        <w:pStyle w:val="Title"/>
      </w:pPr>
      <w:r>
        <w:continuationSeparator/>
      </w:r>
    </w:p>
  </w:footnote>
  <w:footnote w:id="1">
    <w:p w:rsidR="0009671E" w:rsidRDefault="0009671E" w:rsidP="002969AB">
      <w:pPr>
        <w:pStyle w:val="FootnoteText"/>
      </w:pPr>
      <w:r>
        <w:rPr>
          <w:rStyle w:val="FootnoteReference"/>
        </w:rPr>
        <w:footnoteRef/>
      </w:r>
      <w:r>
        <w:t xml:space="preserve"> </w:t>
      </w:r>
      <w:r>
        <w:tab/>
      </w:r>
      <w:r>
        <w:tab/>
        <w:t>This level of switching was essentially achieved by August 30, 2012.  Prefiled Testimony of H.M. Choueiki (Staff Ex. 10) at 7.</w:t>
      </w:r>
    </w:p>
  </w:footnote>
  <w:footnote w:id="2">
    <w:p w:rsidR="0009671E" w:rsidRDefault="0009671E" w:rsidP="002969AB">
      <w:pPr>
        <w:pStyle w:val="FootnoteText"/>
      </w:pPr>
      <w:r>
        <w:rPr>
          <w:rStyle w:val="FootnoteReference"/>
        </w:rPr>
        <w:footnoteRef/>
      </w:r>
      <w:r>
        <w:t xml:space="preserve"> </w:t>
      </w:r>
      <w:r>
        <w:tab/>
      </w:r>
      <w:r>
        <w:tab/>
        <w:t>The others are low capacity and energy prices.</w:t>
      </w:r>
    </w:p>
  </w:footnote>
  <w:footnote w:id="3">
    <w:p w:rsidR="0009671E" w:rsidRDefault="0009671E" w:rsidP="002969AB">
      <w:pPr>
        <w:pStyle w:val="FootnoteText"/>
      </w:pPr>
      <w:r>
        <w:rPr>
          <w:rStyle w:val="FootnoteReference"/>
        </w:rPr>
        <w:footnoteRef/>
      </w:r>
      <w:r>
        <w:t xml:space="preserve"> </w:t>
      </w:r>
      <w:r>
        <w:tab/>
      </w:r>
      <w:r>
        <w:tab/>
        <w:t>The Staff and the Company disagree about the projections of the level that switch</w:t>
      </w:r>
      <w:r>
        <w:softHyphen/>
        <w:t>ing will achieve over the term of the plan as well as the length of the plan itself.  The Staff projects lower levels of switching than the Company and advocates a shorter term.</w:t>
      </w:r>
    </w:p>
  </w:footnote>
  <w:footnote w:id="4">
    <w:p w:rsidR="0009671E" w:rsidRDefault="0009671E">
      <w:pPr>
        <w:pStyle w:val="FootnoteText"/>
      </w:pPr>
      <w:r>
        <w:rPr>
          <w:rStyle w:val="FootnoteReference"/>
        </w:rPr>
        <w:footnoteRef/>
      </w:r>
      <w:r>
        <w:t xml:space="preserve"> </w:t>
      </w:r>
      <w:r>
        <w:tab/>
      </w:r>
      <w:r>
        <w:tab/>
      </w:r>
      <w:proofErr w:type="gramStart"/>
      <w:r>
        <w:t>R.C. 4928.02.</w:t>
      </w:r>
      <w:proofErr w:type="gramEnd"/>
    </w:p>
  </w:footnote>
  <w:footnote w:id="5">
    <w:p w:rsidR="0009671E" w:rsidRDefault="0009671E">
      <w:pPr>
        <w:pStyle w:val="FootnoteText"/>
      </w:pPr>
      <w:r>
        <w:rPr>
          <w:rStyle w:val="FootnoteReference"/>
        </w:rPr>
        <w:footnoteRef/>
      </w:r>
      <w:r>
        <w:t xml:space="preserve"> </w:t>
      </w:r>
      <w:r>
        <w:tab/>
      </w:r>
      <w:r>
        <w:tab/>
      </w:r>
      <w:proofErr w:type="gramStart"/>
      <w:r>
        <w:t>Prefiled Testimony of H.M. Choueiki (Staff Ex. 10) at 9.</w:t>
      </w:r>
      <w:proofErr w:type="gramEnd"/>
      <w:r>
        <w:t xml:space="preserve">  </w:t>
      </w:r>
    </w:p>
  </w:footnote>
  <w:footnote w:id="6">
    <w:p w:rsidR="0009671E" w:rsidRDefault="0009671E">
      <w:pPr>
        <w:pStyle w:val="FootnoteText"/>
      </w:pPr>
      <w:r>
        <w:rPr>
          <w:rStyle w:val="FootnoteReference"/>
        </w:rPr>
        <w:footnoteRef/>
      </w:r>
      <w:r>
        <w:t xml:space="preserve"> </w:t>
      </w:r>
      <w:r>
        <w:tab/>
      </w:r>
      <w:r>
        <w:tab/>
        <w:t xml:space="preserve">R.C. 4928.03.  </w:t>
      </w:r>
    </w:p>
  </w:footnote>
  <w:footnote w:id="7">
    <w:p w:rsidR="0009671E" w:rsidRDefault="0009671E">
      <w:pPr>
        <w:pStyle w:val="FootnoteText"/>
      </w:pPr>
      <w:r>
        <w:rPr>
          <w:rStyle w:val="FootnoteReference"/>
        </w:rPr>
        <w:footnoteRef/>
      </w:r>
      <w:r>
        <w:t xml:space="preserve"> </w:t>
      </w:r>
      <w:r>
        <w:tab/>
      </w:r>
      <w:r>
        <w:tab/>
        <w:t xml:space="preserve">R.C. 4928.37(A)(1).  </w:t>
      </w:r>
    </w:p>
  </w:footnote>
  <w:footnote w:id="8">
    <w:p w:rsidR="0009671E" w:rsidRDefault="0009671E">
      <w:pPr>
        <w:pStyle w:val="FootnoteText"/>
      </w:pPr>
      <w:r>
        <w:rPr>
          <w:rStyle w:val="FootnoteReference"/>
        </w:rPr>
        <w:footnoteRef/>
      </w:r>
      <w:r>
        <w:t xml:space="preserve"> </w:t>
      </w:r>
      <w:r>
        <w:tab/>
      </w:r>
      <w:r>
        <w:tab/>
      </w:r>
      <w:r w:rsidRPr="00090005">
        <w:rPr>
          <w:i/>
        </w:rPr>
        <w:t>See, In re Dayton Power and Light</w:t>
      </w:r>
      <w:r>
        <w:t xml:space="preserve">, Case No. 99-1687-EL-ETP (Opinion and Order at 27, </w:t>
      </w:r>
      <w:r>
        <w:rPr>
          <w:i/>
        </w:rPr>
        <w:t>et seq</w:t>
      </w:r>
      <w:r>
        <w:t xml:space="preserve">.) (September 21, 2000).  </w:t>
      </w:r>
    </w:p>
  </w:footnote>
  <w:footnote w:id="9">
    <w:p w:rsidR="0009671E" w:rsidRDefault="0009671E">
      <w:pPr>
        <w:pStyle w:val="FootnoteText"/>
      </w:pPr>
      <w:r>
        <w:rPr>
          <w:rStyle w:val="FootnoteReference"/>
        </w:rPr>
        <w:footnoteRef/>
      </w:r>
      <w:r>
        <w:t xml:space="preserve"> </w:t>
      </w:r>
      <w:r>
        <w:tab/>
      </w:r>
      <w:r>
        <w:tab/>
        <w:t xml:space="preserve">Prefiled Testimony of H.M. Choueiki (Staff Ex. 10) at 9.  </w:t>
      </w:r>
    </w:p>
  </w:footnote>
  <w:footnote w:id="10">
    <w:p w:rsidR="0009671E" w:rsidRDefault="0009671E">
      <w:pPr>
        <w:pStyle w:val="FootnoteText"/>
      </w:pPr>
      <w:r>
        <w:rPr>
          <w:rStyle w:val="FootnoteReference"/>
        </w:rPr>
        <w:footnoteRef/>
      </w:r>
      <w:r>
        <w:t xml:space="preserve"> </w:t>
      </w:r>
      <w:r>
        <w:tab/>
      </w:r>
      <w:r>
        <w:tab/>
        <w:t xml:space="preserve">R.C. 4928.143(C)(1).  </w:t>
      </w:r>
    </w:p>
  </w:footnote>
  <w:footnote w:id="11">
    <w:p w:rsidR="0009671E" w:rsidRDefault="0009671E">
      <w:pPr>
        <w:pStyle w:val="FootnoteText"/>
      </w:pPr>
      <w:r>
        <w:rPr>
          <w:rStyle w:val="FootnoteReference"/>
        </w:rPr>
        <w:footnoteRef/>
      </w:r>
      <w:r>
        <w:t xml:space="preserve"> </w:t>
      </w:r>
      <w:r>
        <w:tab/>
      </w:r>
      <w:r>
        <w:tab/>
      </w:r>
      <w:r w:rsidRPr="00AF04C8">
        <w:t xml:space="preserve">R.C. 4928.143(B)(2)(d).  </w:t>
      </w:r>
    </w:p>
  </w:footnote>
  <w:footnote w:id="12">
    <w:p w:rsidR="0009671E" w:rsidRDefault="0009671E">
      <w:pPr>
        <w:pStyle w:val="FootnoteText"/>
      </w:pPr>
      <w:r>
        <w:rPr>
          <w:rStyle w:val="FootnoteReference"/>
        </w:rPr>
        <w:footnoteRef/>
      </w:r>
      <w:r>
        <w:t xml:space="preserve"> </w:t>
      </w:r>
      <w:r>
        <w:tab/>
      </w:r>
      <w:r>
        <w:tab/>
      </w:r>
      <w:proofErr w:type="gramStart"/>
      <w:r w:rsidRPr="002969AB">
        <w:t>R.C. 4928.142(D).</w:t>
      </w:r>
      <w:proofErr w:type="gramEnd"/>
      <w:r w:rsidRPr="002969AB">
        <w:t xml:space="preserve">  </w:t>
      </w:r>
    </w:p>
  </w:footnote>
  <w:footnote w:id="13">
    <w:p w:rsidR="0009671E" w:rsidRDefault="0009671E" w:rsidP="002969AB">
      <w:pPr>
        <w:pStyle w:val="FootnoteText"/>
      </w:pPr>
      <w:r>
        <w:rPr>
          <w:rStyle w:val="FootnoteReference"/>
        </w:rPr>
        <w:footnoteRef/>
      </w:r>
      <w:r>
        <w:t xml:space="preserve"> </w:t>
      </w:r>
      <w:r>
        <w:tab/>
      </w:r>
      <w:r>
        <w:tab/>
        <w:t>This term is undefined.  It may be a reference to R.C. 4909.16.</w:t>
      </w:r>
    </w:p>
  </w:footnote>
  <w:footnote w:id="14">
    <w:p w:rsidR="0009671E" w:rsidRDefault="0009671E">
      <w:pPr>
        <w:pStyle w:val="FootnoteText"/>
      </w:pPr>
      <w:r>
        <w:rPr>
          <w:rStyle w:val="FootnoteReference"/>
        </w:rPr>
        <w:footnoteRef/>
      </w:r>
      <w:r>
        <w:t xml:space="preserve"> </w:t>
      </w:r>
      <w:r>
        <w:tab/>
      </w:r>
      <w:r>
        <w:tab/>
      </w:r>
      <w:r w:rsidRPr="002969AB">
        <w:t xml:space="preserve">R.C. 4928.02(H).  </w:t>
      </w:r>
    </w:p>
  </w:footnote>
  <w:footnote w:id="15">
    <w:p w:rsidR="0009671E" w:rsidRDefault="0009671E" w:rsidP="002969AB">
      <w:pPr>
        <w:pStyle w:val="FootnoteText"/>
      </w:pPr>
      <w:r>
        <w:rPr>
          <w:rStyle w:val="FootnoteReference"/>
        </w:rPr>
        <w:footnoteRef/>
      </w:r>
      <w:r>
        <w:t xml:space="preserve"> </w:t>
      </w:r>
      <w:r>
        <w:tab/>
      </w:r>
      <w:r>
        <w:tab/>
        <w:t>It will be argued that the SSR is anti-competitive like the ST.  This is incorrect.  The two are different.  The switching tracker goes to switching and is, therefore, inher</w:t>
      </w:r>
      <w:r>
        <w:softHyphen/>
        <w:t>ently anti-competitive.  The SSR goes to financial integrity and thus does not harm com</w:t>
      </w:r>
      <w:r>
        <w:softHyphen/>
        <w:t>petitors if properly limited.  Tr. V at 1865-6.</w:t>
      </w:r>
    </w:p>
  </w:footnote>
  <w:footnote w:id="16">
    <w:p w:rsidR="0009671E" w:rsidRDefault="0009671E">
      <w:pPr>
        <w:pStyle w:val="FootnoteText"/>
      </w:pPr>
      <w:r>
        <w:rPr>
          <w:rStyle w:val="FootnoteReference"/>
        </w:rPr>
        <w:footnoteRef/>
      </w:r>
      <w:r>
        <w:t xml:space="preserve"> </w:t>
      </w:r>
      <w:r>
        <w:tab/>
      </w:r>
      <w:r>
        <w:tab/>
        <w:t xml:space="preserve">Prefiled Testimony of H.M. Choueiki (Staff Ex. 10) at 12.  </w:t>
      </w:r>
    </w:p>
  </w:footnote>
  <w:footnote w:id="17">
    <w:p w:rsidR="0009671E" w:rsidRDefault="0009671E">
      <w:pPr>
        <w:pStyle w:val="FootnoteText"/>
      </w:pPr>
      <w:r>
        <w:rPr>
          <w:rStyle w:val="FootnoteReference"/>
        </w:rPr>
        <w:footnoteRef/>
      </w:r>
      <w:r>
        <w:t xml:space="preserve"> </w:t>
      </w:r>
      <w:r>
        <w:tab/>
      </w:r>
      <w:r>
        <w:tab/>
        <w:t xml:space="preserve">Tr. I at 221-222.  </w:t>
      </w:r>
    </w:p>
  </w:footnote>
  <w:footnote w:id="18">
    <w:p w:rsidR="0009671E" w:rsidRDefault="0009671E" w:rsidP="002969AB">
      <w:pPr>
        <w:pStyle w:val="FootnoteText"/>
      </w:pPr>
      <w:r>
        <w:rPr>
          <w:rStyle w:val="FootnoteReference"/>
        </w:rPr>
        <w:footnoteRef/>
      </w:r>
      <w:r>
        <w:t xml:space="preserve"> </w:t>
      </w:r>
      <w:r>
        <w:tab/>
      </w:r>
      <w:r>
        <w:tab/>
        <w:t>The RSC was established as a POLR charge but the reason for its existence is irrele</w:t>
      </w:r>
      <w:r>
        <w:softHyphen/>
        <w:t>vant for current purposes.  It is simply a current source of revenue.</w:t>
      </w:r>
    </w:p>
  </w:footnote>
  <w:footnote w:id="19">
    <w:p w:rsidR="0009671E" w:rsidRDefault="0009671E">
      <w:pPr>
        <w:pStyle w:val="FootnoteText"/>
      </w:pPr>
      <w:r>
        <w:rPr>
          <w:rStyle w:val="FootnoteReference"/>
        </w:rPr>
        <w:footnoteRef/>
      </w:r>
      <w:r>
        <w:t xml:space="preserve"> </w:t>
      </w:r>
      <w:r>
        <w:tab/>
      </w:r>
      <w:r>
        <w:tab/>
        <w:t xml:space="preserve">OCC Ex. 3 (Standard &amp; Poor’s Ratings Direct); OCC Ex. 4 (Fitch Ratings); and, OCC Ex. 5 (Moody’s Investor’s Service).  </w:t>
      </w:r>
    </w:p>
  </w:footnote>
  <w:footnote w:id="20">
    <w:p w:rsidR="0009671E" w:rsidRDefault="0009671E">
      <w:pPr>
        <w:pStyle w:val="FootnoteText"/>
      </w:pPr>
      <w:r>
        <w:rPr>
          <w:rStyle w:val="FootnoteReference"/>
        </w:rPr>
        <w:footnoteRef/>
      </w:r>
      <w:r>
        <w:t xml:space="preserve"> </w:t>
      </w:r>
      <w:r>
        <w:tab/>
      </w:r>
      <w:r>
        <w:tab/>
        <w:t xml:space="preserve">Redacted Prefiled Testimony of S. Mahmud (Staff Ex 1) at 6-7.  </w:t>
      </w:r>
    </w:p>
  </w:footnote>
  <w:footnote w:id="21">
    <w:p w:rsidR="0009671E" w:rsidRDefault="0009671E" w:rsidP="002969AB">
      <w:pPr>
        <w:pStyle w:val="FootnoteText"/>
      </w:pPr>
      <w:r>
        <w:rPr>
          <w:rStyle w:val="FootnoteReference"/>
        </w:rPr>
        <w:footnoteRef/>
      </w:r>
      <w:r>
        <w:t xml:space="preserve"> </w:t>
      </w:r>
      <w:r>
        <w:tab/>
      </w:r>
      <w:r>
        <w:tab/>
        <w:t>There may be adjustments to Staff’s computation that would be appropriate.  For example, it became clear through the hearing that the Company can achieve certain cost savings in operations and maintenance.  These would amount to $45 million in the first year, $20 in the second and $30 in each subsequent year.  Tr. I at 141.</w:t>
      </w:r>
    </w:p>
  </w:footnote>
  <w:footnote w:id="22">
    <w:p w:rsidR="0009671E" w:rsidRDefault="0009671E">
      <w:pPr>
        <w:pStyle w:val="FootnoteText"/>
      </w:pPr>
      <w:r>
        <w:rPr>
          <w:rStyle w:val="FootnoteReference"/>
        </w:rPr>
        <w:footnoteRef/>
      </w:r>
      <w:r>
        <w:t xml:space="preserve"> </w:t>
      </w:r>
      <w:r>
        <w:tab/>
      </w:r>
      <w:r>
        <w:tab/>
        <w:t xml:space="preserve">Redacted Prefiled Testimony of S. Mahmud (Staff Ex 1) at 3.  </w:t>
      </w:r>
    </w:p>
  </w:footnote>
  <w:footnote w:id="23">
    <w:p w:rsidR="0009671E" w:rsidRDefault="0009671E">
      <w:pPr>
        <w:pStyle w:val="FootnoteText"/>
      </w:pPr>
      <w:r>
        <w:rPr>
          <w:rStyle w:val="FootnoteReference"/>
        </w:rPr>
        <w:footnoteRef/>
      </w:r>
      <w:r>
        <w:t xml:space="preserve"> </w:t>
      </w:r>
      <w:r>
        <w:tab/>
      </w:r>
      <w:r>
        <w:tab/>
      </w:r>
      <w:r>
        <w:rPr>
          <w:i/>
        </w:rPr>
        <w:t>Id</w:t>
      </w:r>
      <w:r>
        <w:t xml:space="preserve">. at 4.  </w:t>
      </w:r>
    </w:p>
  </w:footnote>
  <w:footnote w:id="24">
    <w:p w:rsidR="0009671E" w:rsidRDefault="0009671E">
      <w:pPr>
        <w:pStyle w:val="FootnoteText"/>
      </w:pPr>
      <w:r>
        <w:rPr>
          <w:rStyle w:val="FootnoteReference"/>
        </w:rPr>
        <w:footnoteRef/>
      </w:r>
      <w:r>
        <w:t xml:space="preserve"> </w:t>
      </w:r>
      <w:r>
        <w:tab/>
      </w:r>
      <w:r>
        <w:tab/>
      </w:r>
      <w:r>
        <w:rPr>
          <w:i/>
        </w:rPr>
        <w:t>Id</w:t>
      </w:r>
      <w:r>
        <w:t xml:space="preserve">. at 5.  </w:t>
      </w:r>
    </w:p>
  </w:footnote>
  <w:footnote w:id="25">
    <w:p w:rsidR="0009671E" w:rsidRDefault="0009671E">
      <w:pPr>
        <w:pStyle w:val="FootnoteText"/>
      </w:pPr>
      <w:r>
        <w:rPr>
          <w:rStyle w:val="FootnoteReference"/>
        </w:rPr>
        <w:footnoteRef/>
      </w:r>
      <w:r>
        <w:t xml:space="preserve"> </w:t>
      </w:r>
      <w:r>
        <w:tab/>
      </w:r>
      <w:r>
        <w:tab/>
        <w:t xml:space="preserve">Prefiled Testimony of H.M. Choueiki (Staff Ex. 10) at 5. </w:t>
      </w:r>
    </w:p>
  </w:footnote>
  <w:footnote w:id="26">
    <w:p w:rsidR="0009671E" w:rsidRDefault="0009671E">
      <w:pPr>
        <w:pStyle w:val="FootnoteText"/>
      </w:pPr>
      <w:r>
        <w:rPr>
          <w:rStyle w:val="FootnoteReference"/>
        </w:rPr>
        <w:footnoteRef/>
      </w:r>
      <w:r>
        <w:t xml:space="preserve"> </w:t>
      </w:r>
      <w:r>
        <w:tab/>
      </w:r>
      <w:r>
        <w:tab/>
      </w:r>
      <w:r>
        <w:rPr>
          <w:i/>
        </w:rPr>
        <w:t>Id</w:t>
      </w:r>
      <w:r>
        <w:t xml:space="preserve">. at 9.  </w:t>
      </w:r>
    </w:p>
  </w:footnote>
  <w:footnote w:id="27">
    <w:p w:rsidR="0009671E" w:rsidRDefault="0009671E">
      <w:pPr>
        <w:pStyle w:val="FootnoteText"/>
      </w:pPr>
      <w:r>
        <w:rPr>
          <w:rStyle w:val="FootnoteReference"/>
        </w:rPr>
        <w:footnoteRef/>
      </w:r>
      <w:r>
        <w:t xml:space="preserve"> </w:t>
      </w:r>
      <w:r>
        <w:tab/>
      </w:r>
      <w:r>
        <w:tab/>
        <w:t xml:space="preserve">Prefiled Redacted Testimony of W.J. Chambers (DP&amp;L Ex. 4) at Second Revised WJC1A, line 15.  </w:t>
      </w:r>
    </w:p>
  </w:footnote>
  <w:footnote w:id="28">
    <w:p w:rsidR="0009671E" w:rsidRDefault="0009671E">
      <w:pPr>
        <w:pStyle w:val="FootnoteText"/>
      </w:pPr>
      <w:r>
        <w:rPr>
          <w:rStyle w:val="FootnoteReference"/>
        </w:rPr>
        <w:footnoteRef/>
      </w:r>
      <w:r>
        <w:t xml:space="preserve"> </w:t>
      </w:r>
      <w:r>
        <w:tab/>
      </w:r>
      <w:r>
        <w:tab/>
        <w:t xml:space="preserve">Tr. IV at 1174-5.  </w:t>
      </w:r>
    </w:p>
  </w:footnote>
  <w:footnote w:id="29">
    <w:p w:rsidR="0009671E" w:rsidRDefault="0009671E">
      <w:pPr>
        <w:pStyle w:val="FootnoteText"/>
      </w:pPr>
      <w:r>
        <w:rPr>
          <w:rStyle w:val="FootnoteReference"/>
        </w:rPr>
        <w:footnoteRef/>
      </w:r>
      <w:r>
        <w:t xml:space="preserve"> </w:t>
      </w:r>
      <w:r>
        <w:tab/>
      </w:r>
      <w:r>
        <w:tab/>
        <w:t>Tr. I at 113.</w:t>
      </w:r>
    </w:p>
  </w:footnote>
  <w:footnote w:id="30">
    <w:p w:rsidR="0009671E" w:rsidRDefault="0009671E">
      <w:pPr>
        <w:pStyle w:val="FootnoteText"/>
      </w:pPr>
      <w:r>
        <w:rPr>
          <w:rStyle w:val="FootnoteReference"/>
        </w:rPr>
        <w:footnoteRef/>
      </w:r>
      <w:r>
        <w:t xml:space="preserve"> </w:t>
      </w:r>
      <w:r>
        <w:tab/>
      </w:r>
      <w:r>
        <w:tab/>
        <w:t xml:space="preserve">Redacted Prefiled Testimony of S. Mahmud (Staff Ex. 1) at 5.  </w:t>
      </w:r>
    </w:p>
  </w:footnote>
  <w:footnote w:id="31">
    <w:p w:rsidR="0009671E" w:rsidRDefault="0009671E">
      <w:pPr>
        <w:pStyle w:val="FootnoteText"/>
      </w:pPr>
      <w:r>
        <w:rPr>
          <w:rStyle w:val="FootnoteReference"/>
        </w:rPr>
        <w:footnoteRef/>
      </w:r>
      <w:r>
        <w:t xml:space="preserve"> </w:t>
      </w:r>
      <w:r>
        <w:tab/>
      </w:r>
      <w:r>
        <w:tab/>
        <w:t xml:space="preserve">Prefiled Testimony of T.W. Benedict (Staff Ex. 3).  </w:t>
      </w:r>
    </w:p>
  </w:footnote>
  <w:footnote w:id="32">
    <w:p w:rsidR="0009671E" w:rsidRDefault="0009671E">
      <w:pPr>
        <w:pStyle w:val="FootnoteText"/>
      </w:pPr>
      <w:r>
        <w:rPr>
          <w:rStyle w:val="FootnoteReference"/>
        </w:rPr>
        <w:footnoteRef/>
      </w:r>
      <w:r>
        <w:t xml:space="preserve"> </w:t>
      </w:r>
      <w:r>
        <w:tab/>
      </w:r>
      <w:r>
        <w:tab/>
      </w:r>
      <w:r>
        <w:rPr>
          <w:i/>
        </w:rPr>
        <w:t>Id</w:t>
      </w:r>
      <w:r>
        <w:t xml:space="preserve">. at 2.  </w:t>
      </w:r>
    </w:p>
  </w:footnote>
  <w:footnote w:id="33">
    <w:p w:rsidR="0009671E" w:rsidRDefault="0009671E">
      <w:pPr>
        <w:pStyle w:val="FootnoteText"/>
      </w:pPr>
      <w:r>
        <w:rPr>
          <w:rStyle w:val="FootnoteReference"/>
        </w:rPr>
        <w:footnoteRef/>
      </w:r>
      <w:r>
        <w:t xml:space="preserve"> </w:t>
      </w:r>
      <w:r>
        <w:tab/>
      </w:r>
      <w:r>
        <w:tab/>
      </w:r>
      <w:r w:rsidR="0034028C">
        <w:t>Prefiled Testimony of T.W. Benedict (Staff Ex. 3) at 4</w:t>
      </w:r>
      <w:r>
        <w:t xml:space="preserve">.  </w:t>
      </w:r>
    </w:p>
  </w:footnote>
  <w:footnote w:id="34">
    <w:p w:rsidR="0009671E" w:rsidRDefault="0009671E">
      <w:pPr>
        <w:pStyle w:val="FootnoteText"/>
      </w:pPr>
      <w:r>
        <w:rPr>
          <w:rStyle w:val="FootnoteReference"/>
        </w:rPr>
        <w:footnoteRef/>
      </w:r>
      <w:r>
        <w:t xml:space="preserve"> </w:t>
      </w:r>
      <w:r>
        <w:tab/>
      </w:r>
      <w:r>
        <w:tab/>
      </w:r>
      <w:r w:rsidR="0034028C">
        <w:rPr>
          <w:i/>
        </w:rPr>
        <w:t>Id</w:t>
      </w:r>
      <w:r>
        <w:t xml:space="preserve">. </w:t>
      </w:r>
    </w:p>
  </w:footnote>
  <w:footnote w:id="35">
    <w:p w:rsidR="0009671E" w:rsidRDefault="0009671E">
      <w:pPr>
        <w:pStyle w:val="FootnoteText"/>
      </w:pPr>
      <w:r>
        <w:rPr>
          <w:rStyle w:val="FootnoteReference"/>
        </w:rPr>
        <w:footnoteRef/>
      </w:r>
      <w:r>
        <w:t xml:space="preserve"> </w:t>
      </w:r>
      <w:r>
        <w:tab/>
      </w:r>
      <w:r>
        <w:tab/>
      </w:r>
      <w:r w:rsidR="0034028C">
        <w:rPr>
          <w:i/>
        </w:rPr>
        <w:t>Id</w:t>
      </w:r>
      <w:r w:rsidR="0034028C">
        <w:t>.</w:t>
      </w:r>
      <w:r>
        <w:t xml:space="preserve"> at 5.  </w:t>
      </w:r>
    </w:p>
  </w:footnote>
  <w:footnote w:id="36">
    <w:p w:rsidR="0009671E" w:rsidRDefault="0009671E">
      <w:pPr>
        <w:pStyle w:val="FootnoteText"/>
      </w:pPr>
      <w:r>
        <w:rPr>
          <w:rStyle w:val="FootnoteReference"/>
        </w:rPr>
        <w:footnoteRef/>
      </w:r>
      <w:r>
        <w:t xml:space="preserve"> </w:t>
      </w:r>
      <w:r>
        <w:tab/>
      </w:r>
      <w:r>
        <w:tab/>
      </w:r>
      <w:r>
        <w:rPr>
          <w:i/>
        </w:rPr>
        <w:t>Id</w:t>
      </w:r>
      <w:r>
        <w:t xml:space="preserve">. at 3.  </w:t>
      </w:r>
    </w:p>
  </w:footnote>
  <w:footnote w:id="37">
    <w:p w:rsidR="0009671E" w:rsidRDefault="0009671E">
      <w:pPr>
        <w:pStyle w:val="FootnoteText"/>
      </w:pPr>
      <w:r>
        <w:rPr>
          <w:rStyle w:val="FootnoteReference"/>
        </w:rPr>
        <w:footnoteRef/>
      </w:r>
      <w:r>
        <w:t xml:space="preserve"> </w:t>
      </w:r>
      <w:r>
        <w:tab/>
      </w:r>
      <w:r>
        <w:tab/>
      </w:r>
      <w:r>
        <w:rPr>
          <w:i/>
        </w:rPr>
        <w:t>Id</w:t>
      </w:r>
      <w:r>
        <w:t xml:space="preserve">.  </w:t>
      </w:r>
    </w:p>
  </w:footnote>
  <w:footnote w:id="38">
    <w:p w:rsidR="0009671E" w:rsidRDefault="0009671E">
      <w:pPr>
        <w:pStyle w:val="FootnoteText"/>
      </w:pPr>
      <w:r>
        <w:rPr>
          <w:rStyle w:val="FootnoteReference"/>
        </w:rPr>
        <w:footnoteRef/>
      </w:r>
      <w:r>
        <w:t xml:space="preserve"> </w:t>
      </w:r>
      <w:r>
        <w:tab/>
      </w:r>
      <w:r>
        <w:tab/>
        <w:t>Prefiled Testimony of T.W. Benedict (Staff Ex. 3) at 10.</w:t>
      </w:r>
    </w:p>
  </w:footnote>
  <w:footnote w:id="39">
    <w:p w:rsidR="0009671E" w:rsidRDefault="0009671E" w:rsidP="006700BE">
      <w:pPr>
        <w:pStyle w:val="FootnoteText"/>
      </w:pPr>
      <w:r>
        <w:rPr>
          <w:rStyle w:val="FootnoteReference"/>
        </w:rPr>
        <w:footnoteRef/>
      </w:r>
      <w:r>
        <w:t xml:space="preserve"> </w:t>
      </w:r>
      <w:r>
        <w:tab/>
      </w:r>
      <w:r>
        <w:tab/>
        <w:t>Public Rebuttal Testimony of C.L. Jackson (DP&amp;L Ex. 16).</w:t>
      </w:r>
    </w:p>
  </w:footnote>
  <w:footnote w:id="40">
    <w:p w:rsidR="0009671E" w:rsidRDefault="0009671E" w:rsidP="006700BE">
      <w:pPr>
        <w:pStyle w:val="FootnoteText"/>
      </w:pPr>
      <w:r>
        <w:rPr>
          <w:rStyle w:val="FootnoteReference"/>
        </w:rPr>
        <w:footnoteRef/>
      </w:r>
      <w:r>
        <w:t xml:space="preserve"> </w:t>
      </w:r>
      <w:r>
        <w:tab/>
      </w:r>
      <w:r>
        <w:tab/>
        <w:t>Tr. XII at 2963.</w:t>
      </w:r>
    </w:p>
  </w:footnote>
  <w:footnote w:id="41">
    <w:p w:rsidR="0009671E" w:rsidRDefault="0009671E" w:rsidP="006700BE">
      <w:pPr>
        <w:pStyle w:val="FootnoteText"/>
      </w:pPr>
      <w:r>
        <w:rPr>
          <w:rStyle w:val="FootnoteReference"/>
        </w:rPr>
        <w:footnoteRef/>
      </w:r>
      <w:r>
        <w:t xml:space="preserve"> </w:t>
      </w:r>
      <w:r>
        <w:tab/>
      </w:r>
      <w:r>
        <w:tab/>
      </w:r>
      <w:r>
        <w:rPr>
          <w:i/>
        </w:rPr>
        <w:t>Id</w:t>
      </w:r>
      <w:r>
        <w:t>. at 2962.</w:t>
      </w:r>
    </w:p>
  </w:footnote>
  <w:footnote w:id="42">
    <w:p w:rsidR="0009671E" w:rsidRPr="00CF5C7A" w:rsidRDefault="0009671E" w:rsidP="00D71806">
      <w:pPr>
        <w:pStyle w:val="FootnoteText"/>
        <w:rPr>
          <w:sz w:val="26"/>
          <w:szCs w:val="26"/>
        </w:rPr>
      </w:pPr>
      <w:r w:rsidRPr="00CF5C7A">
        <w:rPr>
          <w:rStyle w:val="FootnoteReference"/>
          <w:sz w:val="26"/>
          <w:szCs w:val="26"/>
        </w:rPr>
        <w:footnoteRef/>
      </w:r>
      <w:r w:rsidRPr="00CF5C7A">
        <w:rPr>
          <w:sz w:val="26"/>
          <w:szCs w:val="26"/>
        </w:rPr>
        <w:t xml:space="preserve"> </w:t>
      </w:r>
      <w:r w:rsidRPr="00CF5C7A">
        <w:rPr>
          <w:sz w:val="26"/>
          <w:szCs w:val="26"/>
        </w:rPr>
        <w:tab/>
      </w:r>
      <w:r w:rsidRPr="00CF5C7A">
        <w:rPr>
          <w:sz w:val="26"/>
          <w:szCs w:val="26"/>
        </w:rPr>
        <w:tab/>
      </w:r>
      <w:r w:rsidRPr="00CF5C7A">
        <w:rPr>
          <w:szCs w:val="24"/>
        </w:rPr>
        <w:t xml:space="preserve">Prefiled Testimony of R.W. Strom (Staff Ex. 2) at 3.  </w:t>
      </w:r>
    </w:p>
  </w:footnote>
  <w:footnote w:id="43">
    <w:p w:rsidR="0009671E" w:rsidRPr="00CF5C7A" w:rsidRDefault="0009671E" w:rsidP="00D71806">
      <w:pPr>
        <w:pStyle w:val="FootnoteText"/>
        <w:rPr>
          <w:szCs w:val="24"/>
        </w:rPr>
      </w:pPr>
      <w:r w:rsidRPr="00CF5C7A">
        <w:rPr>
          <w:rStyle w:val="FootnoteReference"/>
          <w:sz w:val="26"/>
          <w:szCs w:val="26"/>
        </w:rPr>
        <w:footnoteRef/>
      </w:r>
      <w:r w:rsidRPr="00CF5C7A">
        <w:rPr>
          <w:sz w:val="26"/>
          <w:szCs w:val="26"/>
        </w:rPr>
        <w:t xml:space="preserve"> </w:t>
      </w:r>
      <w:r w:rsidRPr="00CF5C7A">
        <w:rPr>
          <w:sz w:val="26"/>
          <w:szCs w:val="26"/>
        </w:rPr>
        <w:tab/>
      </w:r>
      <w:r w:rsidRPr="00CF5C7A">
        <w:rPr>
          <w:sz w:val="26"/>
          <w:szCs w:val="26"/>
        </w:rPr>
        <w:tab/>
      </w:r>
      <w:r w:rsidRPr="00CF5C7A">
        <w:rPr>
          <w:i/>
          <w:szCs w:val="24"/>
        </w:rPr>
        <w:t>Id</w:t>
      </w:r>
      <w:r w:rsidRPr="00CF5C7A">
        <w:rPr>
          <w:szCs w:val="24"/>
        </w:rPr>
        <w:t xml:space="preserve">. at RWS-1.  </w:t>
      </w:r>
    </w:p>
  </w:footnote>
  <w:footnote w:id="44">
    <w:p w:rsidR="0009671E" w:rsidRPr="00CF5C7A" w:rsidRDefault="0009671E" w:rsidP="00D71806">
      <w:pPr>
        <w:pStyle w:val="FootnoteText"/>
        <w:rPr>
          <w:szCs w:val="24"/>
        </w:rPr>
      </w:pPr>
      <w:r w:rsidRPr="00CF5C7A">
        <w:rPr>
          <w:rStyle w:val="FootnoteReference"/>
          <w:sz w:val="26"/>
          <w:szCs w:val="26"/>
        </w:rPr>
        <w:footnoteRef/>
      </w:r>
      <w:r w:rsidRPr="00CF5C7A">
        <w:rPr>
          <w:sz w:val="26"/>
          <w:szCs w:val="26"/>
        </w:rPr>
        <w:t xml:space="preserve"> </w:t>
      </w:r>
      <w:r w:rsidRPr="00CF5C7A">
        <w:rPr>
          <w:sz w:val="26"/>
          <w:szCs w:val="26"/>
        </w:rPr>
        <w:tab/>
      </w:r>
      <w:r w:rsidRPr="00CF5C7A">
        <w:rPr>
          <w:sz w:val="26"/>
          <w:szCs w:val="26"/>
        </w:rPr>
        <w:tab/>
      </w:r>
      <w:r w:rsidRPr="00CF5C7A">
        <w:rPr>
          <w:szCs w:val="24"/>
        </w:rPr>
        <w:t>Tr. V at 1213.</w:t>
      </w:r>
    </w:p>
  </w:footnote>
  <w:footnote w:id="45">
    <w:p w:rsidR="0009671E" w:rsidRDefault="0009671E">
      <w:pPr>
        <w:pStyle w:val="FootnoteText"/>
      </w:pPr>
      <w:r>
        <w:rPr>
          <w:rStyle w:val="FootnoteReference"/>
        </w:rPr>
        <w:footnoteRef/>
      </w:r>
      <w:r>
        <w:t xml:space="preserve"> </w:t>
      </w:r>
      <w:r>
        <w:tab/>
      </w:r>
      <w:r>
        <w:tab/>
        <w:t xml:space="preserve">Prefiled Redacted Testimony of A. Hoekstra (DP&amp;L Ex. 2) at 8.  </w:t>
      </w:r>
    </w:p>
  </w:footnote>
  <w:footnote w:id="46">
    <w:p w:rsidR="0009671E" w:rsidRDefault="0009671E">
      <w:pPr>
        <w:pStyle w:val="FootnoteText"/>
      </w:pPr>
      <w:r>
        <w:rPr>
          <w:rStyle w:val="FootnoteReference"/>
        </w:rPr>
        <w:footnoteRef/>
      </w:r>
      <w:r>
        <w:t xml:space="preserve"> </w:t>
      </w:r>
      <w:r>
        <w:tab/>
      </w:r>
      <w:r>
        <w:tab/>
        <w:t>Prefiled Testimony of H.M. Choueiki (Staff Ex. 10) at 13, fn 4 and HMC-1.</w:t>
      </w:r>
    </w:p>
  </w:footnote>
  <w:footnote w:id="47">
    <w:p w:rsidR="0009671E" w:rsidRDefault="0009671E">
      <w:pPr>
        <w:pStyle w:val="FootnoteText"/>
      </w:pPr>
      <w:r>
        <w:rPr>
          <w:rStyle w:val="FootnoteReference"/>
        </w:rPr>
        <w:footnoteRef/>
      </w:r>
      <w:r>
        <w:t xml:space="preserve"> </w:t>
      </w:r>
      <w:r>
        <w:tab/>
      </w:r>
      <w:r>
        <w:tab/>
        <w:t xml:space="preserve">R.C. 4928.37(A)(1).  </w:t>
      </w:r>
    </w:p>
  </w:footnote>
  <w:footnote w:id="48">
    <w:p w:rsidR="0009671E" w:rsidRDefault="0009671E">
      <w:pPr>
        <w:pStyle w:val="FootnoteText"/>
      </w:pPr>
      <w:r>
        <w:rPr>
          <w:rStyle w:val="FootnoteReference"/>
        </w:rPr>
        <w:footnoteRef/>
      </w:r>
      <w:r>
        <w:t xml:space="preserve"> </w:t>
      </w:r>
      <w:r>
        <w:tab/>
      </w:r>
      <w:r>
        <w:tab/>
      </w:r>
      <w:proofErr w:type="gramStart"/>
      <w:r w:rsidRPr="00944304">
        <w:t>R.C. 4928.39.</w:t>
      </w:r>
      <w:proofErr w:type="gramEnd"/>
      <w:r w:rsidRPr="00944304">
        <w:t xml:space="preserve">  </w:t>
      </w:r>
    </w:p>
  </w:footnote>
  <w:footnote w:id="49">
    <w:p w:rsidR="0009671E" w:rsidRDefault="0009671E">
      <w:pPr>
        <w:pStyle w:val="FootnoteText"/>
      </w:pPr>
      <w:r>
        <w:rPr>
          <w:rStyle w:val="FootnoteReference"/>
        </w:rPr>
        <w:footnoteRef/>
      </w:r>
      <w:r>
        <w:t xml:space="preserve"> </w:t>
      </w:r>
      <w:r>
        <w:tab/>
      </w:r>
      <w:r>
        <w:tab/>
        <w:t>Tr</w:t>
      </w:r>
      <w:proofErr w:type="gramStart"/>
      <w:r>
        <w:t xml:space="preserve">. </w:t>
      </w:r>
      <w:proofErr w:type="gramEnd"/>
      <w:r>
        <w:t xml:space="preserve">I at 131.  </w:t>
      </w:r>
    </w:p>
  </w:footnote>
  <w:footnote w:id="50">
    <w:p w:rsidR="0009671E" w:rsidRDefault="0009671E" w:rsidP="002969AB">
      <w:pPr>
        <w:pStyle w:val="FootnoteText"/>
      </w:pPr>
      <w:r>
        <w:rPr>
          <w:rStyle w:val="FootnoteReference"/>
        </w:rPr>
        <w:footnoteRef/>
      </w:r>
      <w:r>
        <w:t xml:space="preserve"> </w:t>
      </w:r>
      <w:r>
        <w:tab/>
      </w:r>
      <w:r>
        <w:tab/>
        <w:t xml:space="preserve">Transfer of generating assets was </w:t>
      </w:r>
      <w:r w:rsidRPr="00041C79">
        <w:rPr>
          <w:i/>
        </w:rPr>
        <w:t xml:space="preserve">required </w:t>
      </w:r>
      <w:r>
        <w:t>at that time by S.B. 3 unless the Commis</w:t>
      </w:r>
      <w:r>
        <w:softHyphen/>
        <w:t>sion granted an exemption.  The Commission granted such exemptions for all Ohio utilities at that time.</w:t>
      </w:r>
    </w:p>
  </w:footnote>
  <w:footnote w:id="51">
    <w:p w:rsidR="0009671E" w:rsidRDefault="0009671E">
      <w:pPr>
        <w:pStyle w:val="FootnoteText"/>
      </w:pPr>
      <w:r>
        <w:rPr>
          <w:rStyle w:val="FootnoteReference"/>
        </w:rPr>
        <w:footnoteRef/>
      </w:r>
      <w:r>
        <w:t xml:space="preserve"> </w:t>
      </w:r>
      <w:r>
        <w:tab/>
      </w:r>
      <w:r>
        <w:tab/>
      </w:r>
      <w:r w:rsidRPr="00041C79">
        <w:rPr>
          <w:i/>
        </w:rPr>
        <w:t>See</w:t>
      </w:r>
      <w:r>
        <w:t xml:space="preserve">, R.C. 4988.17(E).  </w:t>
      </w:r>
    </w:p>
  </w:footnote>
  <w:footnote w:id="52">
    <w:p w:rsidR="0009671E" w:rsidRDefault="0009671E">
      <w:pPr>
        <w:pStyle w:val="FootnoteText"/>
      </w:pPr>
      <w:r>
        <w:rPr>
          <w:rStyle w:val="FootnoteReference"/>
        </w:rPr>
        <w:footnoteRef/>
      </w:r>
      <w:r>
        <w:t xml:space="preserve"> </w:t>
      </w:r>
      <w:r>
        <w:tab/>
      </w:r>
      <w:r>
        <w:tab/>
        <w:t>Tr. III at 772.</w:t>
      </w:r>
    </w:p>
  </w:footnote>
  <w:footnote w:id="53">
    <w:p w:rsidR="0009671E" w:rsidRDefault="0009671E">
      <w:pPr>
        <w:pStyle w:val="FootnoteText"/>
      </w:pPr>
      <w:r>
        <w:rPr>
          <w:rStyle w:val="FootnoteReference"/>
        </w:rPr>
        <w:footnoteRef/>
      </w:r>
      <w:r>
        <w:t xml:space="preserve"> </w:t>
      </w:r>
      <w:r>
        <w:tab/>
      </w:r>
      <w:r>
        <w:tab/>
        <w:t xml:space="preserve">Prefiled Testimony of H.M. Choueiki (Staff Ex. 10) at 15.  </w:t>
      </w:r>
    </w:p>
  </w:footnote>
  <w:footnote w:id="54">
    <w:p w:rsidR="0009671E" w:rsidRDefault="0009671E">
      <w:pPr>
        <w:pStyle w:val="FootnoteText"/>
      </w:pPr>
      <w:r>
        <w:rPr>
          <w:rStyle w:val="FootnoteReference"/>
        </w:rPr>
        <w:footnoteRef/>
      </w:r>
      <w:r>
        <w:t xml:space="preserve"> </w:t>
      </w:r>
      <w:r>
        <w:tab/>
      </w:r>
      <w:r>
        <w:tab/>
      </w:r>
      <w:r w:rsidRPr="00B6553F">
        <w:rPr>
          <w:i/>
        </w:rPr>
        <w:t>Id</w:t>
      </w:r>
      <w:r>
        <w:t xml:space="preserve">.  </w:t>
      </w:r>
    </w:p>
  </w:footnote>
  <w:footnote w:id="55">
    <w:p w:rsidR="0009671E" w:rsidRDefault="0009671E">
      <w:pPr>
        <w:pStyle w:val="FootnoteText"/>
      </w:pPr>
      <w:r>
        <w:rPr>
          <w:rStyle w:val="FootnoteReference"/>
        </w:rPr>
        <w:footnoteRef/>
      </w:r>
      <w:r>
        <w:t xml:space="preserve"> </w:t>
      </w:r>
      <w:r>
        <w:tab/>
      </w:r>
      <w:r>
        <w:tab/>
        <w:t xml:space="preserve">Tr. V at 1274.  </w:t>
      </w:r>
    </w:p>
  </w:footnote>
  <w:footnote w:id="56">
    <w:p w:rsidR="0009671E" w:rsidRDefault="0009671E">
      <w:pPr>
        <w:pStyle w:val="FootnoteText"/>
      </w:pPr>
      <w:r>
        <w:rPr>
          <w:rStyle w:val="FootnoteReference"/>
        </w:rPr>
        <w:footnoteRef/>
      </w:r>
      <w:r>
        <w:t xml:space="preserve"> </w:t>
      </w:r>
      <w:r>
        <w:tab/>
      </w:r>
      <w:r>
        <w:tab/>
      </w:r>
      <w:r>
        <w:rPr>
          <w:i/>
        </w:rPr>
        <w:t>Id</w:t>
      </w:r>
      <w:r>
        <w:t xml:space="preserve">. at 1278.  </w:t>
      </w:r>
    </w:p>
  </w:footnote>
  <w:footnote w:id="57">
    <w:p w:rsidR="0009671E" w:rsidRDefault="0009671E">
      <w:pPr>
        <w:pStyle w:val="FootnoteText"/>
      </w:pPr>
      <w:r>
        <w:rPr>
          <w:rStyle w:val="FootnoteReference"/>
        </w:rPr>
        <w:footnoteRef/>
      </w:r>
      <w:r>
        <w:t xml:space="preserve"> </w:t>
      </w:r>
      <w:r>
        <w:tab/>
      </w:r>
      <w:r>
        <w:tab/>
        <w:t xml:space="preserve">Prefiled Testimony of T.S. Turkenton (Staff Ex. 8) at 14.  </w:t>
      </w:r>
    </w:p>
  </w:footnote>
  <w:footnote w:id="58">
    <w:p w:rsidR="0009671E" w:rsidRDefault="0009671E">
      <w:pPr>
        <w:pStyle w:val="FootnoteText"/>
      </w:pPr>
      <w:r>
        <w:rPr>
          <w:rStyle w:val="FootnoteReference"/>
        </w:rPr>
        <w:footnoteRef/>
      </w:r>
      <w:r>
        <w:t xml:space="preserve"> </w:t>
      </w:r>
      <w:r>
        <w:tab/>
      </w:r>
      <w:r>
        <w:tab/>
        <w:t xml:space="preserve">Tr. V at 1305.  </w:t>
      </w:r>
    </w:p>
  </w:footnote>
  <w:footnote w:id="59">
    <w:p w:rsidR="0009671E" w:rsidRDefault="0009671E">
      <w:pPr>
        <w:pStyle w:val="FootnoteText"/>
      </w:pPr>
      <w:r>
        <w:rPr>
          <w:rStyle w:val="FootnoteReference"/>
        </w:rPr>
        <w:footnoteRef/>
      </w:r>
      <w:r>
        <w:t xml:space="preserve"> </w:t>
      </w:r>
      <w:r>
        <w:tab/>
      </w:r>
      <w:r>
        <w:tab/>
        <w:t xml:space="preserve">Tr. III at 889.  </w:t>
      </w:r>
    </w:p>
  </w:footnote>
  <w:footnote w:id="60">
    <w:p w:rsidR="0009671E" w:rsidRDefault="0009671E" w:rsidP="002969AB">
      <w:pPr>
        <w:pStyle w:val="FootnoteText"/>
      </w:pPr>
      <w:r>
        <w:rPr>
          <w:rStyle w:val="FootnoteReference"/>
        </w:rPr>
        <w:footnoteRef/>
      </w:r>
      <w:r>
        <w:t xml:space="preserve"> </w:t>
      </w:r>
      <w:r>
        <w:tab/>
      </w:r>
      <w:r>
        <w:tab/>
        <w:t xml:space="preserve">It does appear to be 3000 a month, but the beneficiaries change from month to month so the total number affected is unknown.  </w:t>
      </w:r>
      <w:r>
        <w:rPr>
          <w:i/>
        </w:rPr>
        <w:t>Id</w:t>
      </w:r>
      <w:r>
        <w:t xml:space="preserve">. at 890.  </w:t>
      </w:r>
    </w:p>
  </w:footnote>
  <w:footnote w:id="61">
    <w:p w:rsidR="0009671E" w:rsidRDefault="0009671E">
      <w:pPr>
        <w:pStyle w:val="FootnoteText"/>
      </w:pPr>
      <w:r>
        <w:rPr>
          <w:rStyle w:val="FootnoteReference"/>
        </w:rPr>
        <w:footnoteRef/>
      </w:r>
      <w:r>
        <w:t xml:space="preserve"> </w:t>
      </w:r>
      <w:r>
        <w:tab/>
      </w:r>
      <w:r>
        <w:tab/>
      </w:r>
      <w:r w:rsidRPr="007933C4">
        <w:rPr>
          <w:i/>
        </w:rPr>
        <w:t>Id.</w:t>
      </w:r>
      <w:r w:rsidRPr="00041C79">
        <w:t xml:space="preserve">  </w:t>
      </w:r>
      <w:r>
        <w:t xml:space="preserve"> </w:t>
      </w:r>
    </w:p>
  </w:footnote>
  <w:footnote w:id="62">
    <w:p w:rsidR="0009671E" w:rsidRDefault="0009671E">
      <w:pPr>
        <w:pStyle w:val="FootnoteText"/>
      </w:pPr>
      <w:r>
        <w:rPr>
          <w:rStyle w:val="FootnoteReference"/>
        </w:rPr>
        <w:footnoteRef/>
      </w:r>
      <w:r>
        <w:t xml:space="preserve"> </w:t>
      </w:r>
      <w:r>
        <w:tab/>
      </w:r>
      <w:r>
        <w:tab/>
      </w:r>
      <w:r>
        <w:rPr>
          <w:i/>
        </w:rPr>
        <w:t>Id</w:t>
      </w:r>
      <w:r w:rsidRPr="00041C79">
        <w:t xml:space="preserve">.  </w:t>
      </w:r>
    </w:p>
  </w:footnote>
  <w:footnote w:id="63">
    <w:p w:rsidR="0009671E" w:rsidRDefault="0009671E">
      <w:pPr>
        <w:pStyle w:val="FootnoteText"/>
      </w:pPr>
      <w:r>
        <w:rPr>
          <w:rStyle w:val="FootnoteReference"/>
        </w:rPr>
        <w:footnoteRef/>
      </w:r>
      <w:r>
        <w:t xml:space="preserve"> </w:t>
      </w:r>
      <w:r>
        <w:tab/>
      </w:r>
      <w:r>
        <w:tab/>
      </w:r>
      <w:r>
        <w:rPr>
          <w:i/>
        </w:rPr>
        <w:t>Id</w:t>
      </w:r>
      <w:r>
        <w:t>. at 891-2</w:t>
      </w:r>
      <w:r w:rsidRPr="00041C79">
        <w:t xml:space="preserve">.  </w:t>
      </w:r>
      <w:r>
        <w:t xml:space="preserve"> </w:t>
      </w:r>
    </w:p>
  </w:footnote>
  <w:footnote w:id="64">
    <w:p w:rsidR="0009671E" w:rsidRDefault="0009671E">
      <w:pPr>
        <w:pStyle w:val="FootnoteText"/>
      </w:pPr>
      <w:r>
        <w:rPr>
          <w:rStyle w:val="FootnoteReference"/>
        </w:rPr>
        <w:footnoteRef/>
      </w:r>
      <w:r>
        <w:t xml:space="preserve"> </w:t>
      </w:r>
      <w:r>
        <w:tab/>
      </w:r>
      <w:r>
        <w:tab/>
        <w:t>Prefiled Testimony of T.S. Turkenton (Staff Ex. 8) at 12.</w:t>
      </w:r>
    </w:p>
  </w:footnote>
  <w:footnote w:id="65">
    <w:p w:rsidR="0009671E" w:rsidRDefault="0009671E">
      <w:pPr>
        <w:pStyle w:val="FootnoteText"/>
      </w:pPr>
      <w:r>
        <w:rPr>
          <w:rStyle w:val="FootnoteReference"/>
        </w:rPr>
        <w:footnoteRef/>
      </w:r>
      <w:r>
        <w:t xml:space="preserve"> </w:t>
      </w:r>
      <w:r>
        <w:tab/>
      </w:r>
      <w:r>
        <w:tab/>
      </w:r>
      <w:r>
        <w:rPr>
          <w:i/>
        </w:rPr>
        <w:t>Id</w:t>
      </w:r>
      <w:r>
        <w:t>. at 13</w:t>
      </w:r>
      <w:r w:rsidRPr="00041C79">
        <w:t>.</w:t>
      </w:r>
      <w:r>
        <w:t xml:space="preserve">  </w:t>
      </w:r>
    </w:p>
  </w:footnote>
  <w:footnote w:id="66">
    <w:p w:rsidR="0009671E" w:rsidRDefault="0009671E">
      <w:pPr>
        <w:pStyle w:val="FootnoteText"/>
      </w:pPr>
      <w:r>
        <w:rPr>
          <w:rStyle w:val="FootnoteReference"/>
        </w:rPr>
        <w:footnoteRef/>
      </w:r>
      <w:r>
        <w:t xml:space="preserve"> </w:t>
      </w:r>
      <w:r>
        <w:tab/>
      </w:r>
      <w:r>
        <w:tab/>
        <w:t xml:space="preserve">Tr. III at 880.  </w:t>
      </w:r>
    </w:p>
  </w:footnote>
  <w:footnote w:id="67">
    <w:p w:rsidR="0009671E" w:rsidRDefault="0009671E">
      <w:pPr>
        <w:pStyle w:val="FootnoteText"/>
      </w:pPr>
      <w:r>
        <w:rPr>
          <w:rStyle w:val="FootnoteReference"/>
        </w:rPr>
        <w:footnoteRef/>
      </w:r>
      <w:r>
        <w:t xml:space="preserve"> </w:t>
      </w:r>
      <w:r>
        <w:tab/>
      </w:r>
      <w:r>
        <w:tab/>
        <w:t>Prefiled Testimony of T.S. Turkenton (Staff Ex. 8)</w:t>
      </w:r>
      <w:r w:rsidRPr="00041C79">
        <w:t xml:space="preserve"> at 14.</w:t>
      </w:r>
      <w:r>
        <w:t xml:space="preserve">  </w:t>
      </w:r>
    </w:p>
  </w:footnote>
  <w:footnote w:id="68">
    <w:p w:rsidR="0009671E" w:rsidRPr="00CF5C7A" w:rsidRDefault="0009671E" w:rsidP="00D71806">
      <w:pPr>
        <w:pStyle w:val="FootnoteText"/>
        <w:rPr>
          <w:szCs w:val="24"/>
        </w:rPr>
      </w:pPr>
      <w:r w:rsidRPr="00CF5C7A">
        <w:rPr>
          <w:rStyle w:val="FootnoteReference"/>
          <w:sz w:val="26"/>
          <w:szCs w:val="26"/>
        </w:rPr>
        <w:footnoteRef/>
      </w:r>
      <w:r w:rsidRPr="00CF5C7A">
        <w:rPr>
          <w:sz w:val="26"/>
          <w:szCs w:val="26"/>
        </w:rPr>
        <w:t xml:space="preserve"> </w:t>
      </w:r>
      <w:r w:rsidRPr="00CF5C7A">
        <w:rPr>
          <w:sz w:val="26"/>
          <w:szCs w:val="26"/>
        </w:rPr>
        <w:tab/>
      </w:r>
      <w:r w:rsidRPr="00CF5C7A">
        <w:rPr>
          <w:szCs w:val="24"/>
        </w:rPr>
        <w:tab/>
        <w:t xml:space="preserve">Prefiled Testimony of V.P. Gallina (Staff Ex. 5) at 3.  </w:t>
      </w:r>
    </w:p>
  </w:footnote>
  <w:footnote w:id="69">
    <w:p w:rsidR="0009671E" w:rsidRPr="00CF5C7A" w:rsidRDefault="0009671E" w:rsidP="00D71806">
      <w:pPr>
        <w:pStyle w:val="FootnoteText"/>
        <w:rPr>
          <w:szCs w:val="24"/>
        </w:rPr>
      </w:pPr>
      <w:r w:rsidRPr="00CF5C7A">
        <w:rPr>
          <w:rStyle w:val="FootnoteReference"/>
          <w:sz w:val="26"/>
          <w:szCs w:val="26"/>
        </w:rPr>
        <w:footnoteRef/>
      </w:r>
      <w:r w:rsidRPr="00CF5C7A">
        <w:rPr>
          <w:sz w:val="26"/>
          <w:szCs w:val="26"/>
        </w:rPr>
        <w:t xml:space="preserve"> </w:t>
      </w:r>
      <w:r w:rsidRPr="00CF5C7A">
        <w:rPr>
          <w:sz w:val="26"/>
          <w:szCs w:val="26"/>
        </w:rPr>
        <w:tab/>
      </w:r>
      <w:r w:rsidRPr="00CF5C7A">
        <w:rPr>
          <w:szCs w:val="24"/>
        </w:rPr>
        <w:tab/>
      </w:r>
      <w:r w:rsidR="0034028C" w:rsidRPr="00CF5C7A">
        <w:rPr>
          <w:szCs w:val="24"/>
        </w:rPr>
        <w:t>Prefiled Testimony of V.P. Gallina (Staff Ex. 5) at 3</w:t>
      </w:r>
      <w:r w:rsidR="0034028C">
        <w:rPr>
          <w:szCs w:val="24"/>
        </w:rPr>
        <w:t>.</w:t>
      </w:r>
    </w:p>
  </w:footnote>
  <w:footnote w:id="70">
    <w:p w:rsidR="0009671E" w:rsidRPr="00CF5C7A" w:rsidRDefault="0009671E" w:rsidP="00D71806">
      <w:pPr>
        <w:pStyle w:val="FootnoteText"/>
        <w:rPr>
          <w:sz w:val="26"/>
          <w:szCs w:val="26"/>
        </w:rPr>
      </w:pPr>
      <w:r w:rsidRPr="00CF5C7A">
        <w:rPr>
          <w:rStyle w:val="FootnoteReference"/>
          <w:sz w:val="26"/>
          <w:szCs w:val="26"/>
        </w:rPr>
        <w:footnoteRef/>
      </w:r>
      <w:r w:rsidRPr="00CF5C7A">
        <w:rPr>
          <w:sz w:val="26"/>
          <w:szCs w:val="26"/>
        </w:rPr>
        <w:t xml:space="preserve"> </w:t>
      </w:r>
      <w:r w:rsidRPr="00CF5C7A">
        <w:rPr>
          <w:sz w:val="26"/>
          <w:szCs w:val="26"/>
        </w:rPr>
        <w:tab/>
      </w:r>
      <w:r w:rsidRPr="00CF5C7A">
        <w:rPr>
          <w:sz w:val="26"/>
          <w:szCs w:val="26"/>
        </w:rPr>
        <w:tab/>
      </w:r>
      <w:r w:rsidRPr="00CF5C7A">
        <w:rPr>
          <w:szCs w:val="24"/>
        </w:rPr>
        <w:t xml:space="preserve">Prefiled Testimony of D.M. Lipthratt (Staff Ex. 6) at 5.  </w:t>
      </w:r>
    </w:p>
  </w:footnote>
  <w:footnote w:id="71">
    <w:p w:rsidR="0009671E" w:rsidRPr="00CF5C7A" w:rsidRDefault="0009671E" w:rsidP="00D71806">
      <w:pPr>
        <w:pStyle w:val="FootnoteText"/>
        <w:rPr>
          <w:szCs w:val="24"/>
        </w:rPr>
      </w:pPr>
      <w:r w:rsidRPr="00CF5C7A">
        <w:rPr>
          <w:rStyle w:val="FootnoteReference"/>
          <w:sz w:val="26"/>
          <w:szCs w:val="26"/>
        </w:rPr>
        <w:footnoteRef/>
      </w:r>
      <w:r w:rsidRPr="00CF5C7A">
        <w:rPr>
          <w:sz w:val="26"/>
          <w:szCs w:val="26"/>
        </w:rPr>
        <w:t xml:space="preserve"> </w:t>
      </w:r>
      <w:r w:rsidRPr="00CF5C7A">
        <w:rPr>
          <w:sz w:val="26"/>
          <w:szCs w:val="26"/>
        </w:rPr>
        <w:tab/>
      </w:r>
      <w:r w:rsidRPr="00CF5C7A">
        <w:rPr>
          <w:szCs w:val="24"/>
        </w:rPr>
        <w:tab/>
      </w:r>
      <w:r w:rsidR="0034028C" w:rsidRPr="00CF5C7A">
        <w:rPr>
          <w:szCs w:val="24"/>
        </w:rPr>
        <w:t>Prefiled Testimony of D.M. Lipthratt (Staff Ex. 6)</w:t>
      </w:r>
      <w:r w:rsidRPr="00CF5C7A">
        <w:rPr>
          <w:szCs w:val="24"/>
        </w:rPr>
        <w:t xml:space="preserve"> at 6.</w:t>
      </w:r>
    </w:p>
  </w:footnote>
  <w:footnote w:id="72">
    <w:p w:rsidR="0009671E" w:rsidRPr="00CF5C7A" w:rsidRDefault="0009671E" w:rsidP="00D71806">
      <w:pPr>
        <w:pStyle w:val="FootnoteText"/>
        <w:rPr>
          <w:szCs w:val="24"/>
        </w:rPr>
      </w:pPr>
      <w:r w:rsidRPr="00CF5C7A">
        <w:rPr>
          <w:rStyle w:val="FootnoteReference"/>
          <w:sz w:val="26"/>
          <w:szCs w:val="26"/>
        </w:rPr>
        <w:footnoteRef/>
      </w:r>
      <w:r w:rsidRPr="00CF5C7A">
        <w:rPr>
          <w:sz w:val="26"/>
          <w:szCs w:val="26"/>
        </w:rPr>
        <w:t xml:space="preserve"> </w:t>
      </w:r>
      <w:r w:rsidRPr="00CF5C7A">
        <w:rPr>
          <w:sz w:val="26"/>
          <w:szCs w:val="26"/>
        </w:rPr>
        <w:tab/>
      </w:r>
      <w:r w:rsidRPr="00CF5C7A">
        <w:rPr>
          <w:szCs w:val="24"/>
        </w:rPr>
        <w:tab/>
      </w:r>
      <w:r w:rsidRPr="00CF5C7A">
        <w:rPr>
          <w:i/>
          <w:szCs w:val="24"/>
        </w:rPr>
        <w:t>Id</w:t>
      </w:r>
      <w:r w:rsidRPr="00CF5C7A">
        <w:rPr>
          <w:szCs w:val="24"/>
        </w:rPr>
        <w:t>. at 11.</w:t>
      </w:r>
    </w:p>
  </w:footnote>
  <w:footnote w:id="73">
    <w:p w:rsidR="0009671E" w:rsidRPr="00CF5C7A" w:rsidRDefault="0009671E" w:rsidP="00D71806">
      <w:pPr>
        <w:pStyle w:val="FootnoteText"/>
        <w:rPr>
          <w:szCs w:val="24"/>
        </w:rPr>
      </w:pPr>
      <w:r w:rsidRPr="00CF5C7A">
        <w:rPr>
          <w:rStyle w:val="FootnoteReference"/>
          <w:sz w:val="26"/>
          <w:szCs w:val="26"/>
        </w:rPr>
        <w:footnoteRef/>
      </w:r>
      <w:r w:rsidRPr="00CF5C7A">
        <w:rPr>
          <w:sz w:val="26"/>
          <w:szCs w:val="26"/>
        </w:rPr>
        <w:t xml:space="preserve"> </w:t>
      </w:r>
      <w:r w:rsidRPr="00CF5C7A">
        <w:rPr>
          <w:sz w:val="26"/>
          <w:szCs w:val="26"/>
        </w:rPr>
        <w:tab/>
      </w:r>
      <w:r w:rsidRPr="00CF5C7A">
        <w:rPr>
          <w:szCs w:val="24"/>
        </w:rPr>
        <w:tab/>
        <w:t xml:space="preserve">Prefiled Testimony of P. Donlon (Staff Ex. 7) at 7-9.  </w:t>
      </w:r>
    </w:p>
  </w:footnote>
  <w:footnote w:id="74">
    <w:p w:rsidR="0009671E" w:rsidRPr="00CF5C7A" w:rsidRDefault="0009671E" w:rsidP="00D71806">
      <w:pPr>
        <w:pStyle w:val="FootnoteText"/>
        <w:rPr>
          <w:szCs w:val="24"/>
        </w:rPr>
      </w:pPr>
      <w:r w:rsidRPr="00371E9B">
        <w:rPr>
          <w:rStyle w:val="FootnoteReference"/>
          <w:sz w:val="28"/>
          <w:szCs w:val="28"/>
        </w:rPr>
        <w:footnoteRef/>
      </w:r>
      <w:r w:rsidRPr="00371E9B">
        <w:rPr>
          <w:sz w:val="28"/>
          <w:szCs w:val="28"/>
        </w:rPr>
        <w:t xml:space="preserve"> </w:t>
      </w:r>
      <w:r w:rsidRPr="00371E9B">
        <w:rPr>
          <w:sz w:val="28"/>
          <w:szCs w:val="28"/>
        </w:rPr>
        <w:tab/>
      </w:r>
      <w:r w:rsidRPr="00CF5C7A">
        <w:rPr>
          <w:szCs w:val="24"/>
        </w:rPr>
        <w:tab/>
      </w:r>
      <w:r w:rsidRPr="00CF5C7A">
        <w:rPr>
          <w:i/>
          <w:szCs w:val="24"/>
        </w:rPr>
        <w:t>Id</w:t>
      </w:r>
      <w:r w:rsidRPr="00CF5C7A">
        <w:rPr>
          <w:szCs w:val="24"/>
        </w:rPr>
        <w:t>. at 5.</w:t>
      </w:r>
    </w:p>
  </w:footnote>
  <w:footnote w:id="75">
    <w:p w:rsidR="0009671E" w:rsidRPr="00CF5C7A" w:rsidRDefault="0009671E" w:rsidP="00D71806">
      <w:pPr>
        <w:pStyle w:val="FootnoteText"/>
        <w:rPr>
          <w:szCs w:val="24"/>
        </w:rPr>
      </w:pPr>
      <w:r w:rsidRPr="00371E9B">
        <w:rPr>
          <w:rStyle w:val="FootnoteReference"/>
          <w:sz w:val="28"/>
          <w:szCs w:val="28"/>
        </w:rPr>
        <w:footnoteRef/>
      </w:r>
      <w:r w:rsidRPr="00371E9B">
        <w:rPr>
          <w:sz w:val="28"/>
          <w:szCs w:val="28"/>
        </w:rPr>
        <w:t xml:space="preserve"> </w:t>
      </w:r>
      <w:r w:rsidRPr="00371E9B">
        <w:rPr>
          <w:sz w:val="28"/>
          <w:szCs w:val="28"/>
        </w:rPr>
        <w:tab/>
      </w:r>
      <w:r w:rsidRPr="00371E9B">
        <w:rPr>
          <w:sz w:val="28"/>
          <w:szCs w:val="28"/>
        </w:rPr>
        <w:tab/>
      </w:r>
      <w:r w:rsidR="005F5C3A" w:rsidRPr="00CF5C7A">
        <w:rPr>
          <w:szCs w:val="24"/>
        </w:rPr>
        <w:t>Prefiled Testimony of P. Donlon (Staff Ex. 7)</w:t>
      </w:r>
      <w:r w:rsidRPr="00CF5C7A">
        <w:rPr>
          <w:szCs w:val="24"/>
        </w:rPr>
        <w:t xml:space="preserve"> at 9.</w:t>
      </w:r>
    </w:p>
  </w:footnote>
  <w:footnote w:id="76">
    <w:p w:rsidR="0009671E" w:rsidRPr="00CF5C7A" w:rsidRDefault="0009671E" w:rsidP="00D71806">
      <w:pPr>
        <w:pStyle w:val="FootnoteText"/>
        <w:rPr>
          <w:szCs w:val="24"/>
        </w:rPr>
      </w:pPr>
      <w:r w:rsidRPr="00371E9B">
        <w:rPr>
          <w:rStyle w:val="FootnoteReference"/>
          <w:sz w:val="28"/>
          <w:szCs w:val="28"/>
        </w:rPr>
        <w:footnoteRef/>
      </w:r>
      <w:r w:rsidRPr="00371E9B">
        <w:rPr>
          <w:sz w:val="28"/>
          <w:szCs w:val="28"/>
        </w:rPr>
        <w:t xml:space="preserve"> </w:t>
      </w:r>
      <w:r w:rsidRPr="00371E9B">
        <w:rPr>
          <w:sz w:val="28"/>
          <w:szCs w:val="28"/>
        </w:rPr>
        <w:tab/>
      </w:r>
      <w:r w:rsidRPr="00CF5C7A">
        <w:rPr>
          <w:szCs w:val="24"/>
        </w:rPr>
        <w:tab/>
      </w:r>
      <w:r w:rsidR="005F5C3A">
        <w:rPr>
          <w:i/>
          <w:szCs w:val="24"/>
        </w:rPr>
        <w:t>Id</w:t>
      </w:r>
      <w:r w:rsidR="005F5C3A">
        <w:rPr>
          <w:szCs w:val="24"/>
        </w:rPr>
        <w:t>.</w:t>
      </w:r>
      <w:r w:rsidRPr="00CF5C7A">
        <w:rPr>
          <w:szCs w:val="24"/>
        </w:rPr>
        <w:t xml:space="preserve"> at 10.</w:t>
      </w:r>
    </w:p>
  </w:footnote>
  <w:footnote w:id="77">
    <w:p w:rsidR="0009671E" w:rsidRDefault="0009671E">
      <w:pPr>
        <w:pStyle w:val="FootnoteText"/>
      </w:pPr>
      <w:r>
        <w:rPr>
          <w:rStyle w:val="FootnoteReference"/>
        </w:rPr>
        <w:footnoteRef/>
      </w:r>
      <w:r>
        <w:t xml:space="preserve"> </w:t>
      </w:r>
      <w:r>
        <w:tab/>
      </w:r>
      <w:r>
        <w:tab/>
        <w:t xml:space="preserve">R.C. 4928.143(C)(1).  </w:t>
      </w:r>
    </w:p>
  </w:footnote>
  <w:footnote w:id="78">
    <w:p w:rsidR="0009671E" w:rsidRDefault="0009671E">
      <w:pPr>
        <w:pStyle w:val="FootnoteText"/>
      </w:pPr>
      <w:r>
        <w:rPr>
          <w:rStyle w:val="FootnoteReference"/>
        </w:rPr>
        <w:footnoteRef/>
      </w:r>
      <w:r>
        <w:t xml:space="preserve"> </w:t>
      </w:r>
      <w:r>
        <w:tab/>
      </w:r>
      <w:r>
        <w:tab/>
        <w:t xml:space="preserve">Prefiled Testimony of T.S. Turkenton (Staff Ex. 8) at 3-12.  </w:t>
      </w:r>
    </w:p>
  </w:footnote>
  <w:footnote w:id="79">
    <w:p w:rsidR="0009671E" w:rsidRDefault="0009671E">
      <w:pPr>
        <w:pStyle w:val="FootnoteText"/>
      </w:pPr>
      <w:r>
        <w:rPr>
          <w:rStyle w:val="FootnoteReference"/>
        </w:rPr>
        <w:footnoteRef/>
      </w:r>
      <w:r>
        <w:t xml:space="preserve"> </w:t>
      </w:r>
      <w:r>
        <w:tab/>
      </w:r>
      <w:r>
        <w:tab/>
        <w:t>Prefiled Testimony of T.S. Turkenton (Staff Ex. 8) at</w:t>
      </w:r>
      <w:r w:rsidRPr="00B6553F">
        <w:t xml:space="preserve"> 12.  </w:t>
      </w:r>
    </w:p>
  </w:footnote>
  <w:footnote w:id="80">
    <w:p w:rsidR="0009671E" w:rsidRDefault="0009671E">
      <w:pPr>
        <w:pStyle w:val="FootnoteText"/>
      </w:pPr>
      <w:r>
        <w:rPr>
          <w:rStyle w:val="FootnoteReference"/>
        </w:rPr>
        <w:footnoteRef/>
      </w:r>
      <w:r>
        <w:t xml:space="preserve"> </w:t>
      </w:r>
      <w:r>
        <w:tab/>
      </w:r>
      <w:r>
        <w:tab/>
      </w:r>
      <w:r w:rsidRPr="00EE4DBA">
        <w:t xml:space="preserve">R.C. 4928.64(C)(3).  </w:t>
      </w:r>
    </w:p>
  </w:footnote>
  <w:footnote w:id="81">
    <w:p w:rsidR="0009671E" w:rsidRDefault="0009671E">
      <w:pPr>
        <w:pStyle w:val="FootnoteText"/>
      </w:pPr>
      <w:r>
        <w:rPr>
          <w:rStyle w:val="FootnoteReference"/>
        </w:rPr>
        <w:footnoteRef/>
      </w:r>
      <w:r>
        <w:t xml:space="preserve"> </w:t>
      </w:r>
      <w:r>
        <w:tab/>
      </w:r>
      <w:r>
        <w:tab/>
      </w:r>
      <w:proofErr w:type="gramStart"/>
      <w:r>
        <w:t>Prefiled Testimony of S.M. Siegfried (Staff Ex. 4) at 4.</w:t>
      </w:r>
      <w:proofErr w:type="gramEnd"/>
      <w:r>
        <w:t xml:space="preserve">  </w:t>
      </w:r>
    </w:p>
  </w:footnote>
  <w:footnote w:id="82">
    <w:p w:rsidR="0009671E" w:rsidRDefault="0009671E">
      <w:pPr>
        <w:pStyle w:val="FootnoteText"/>
      </w:pPr>
      <w:r>
        <w:rPr>
          <w:rStyle w:val="FootnoteReference"/>
        </w:rPr>
        <w:footnoteRef/>
      </w:r>
      <w:r>
        <w:t xml:space="preserve"> </w:t>
      </w:r>
      <w:r>
        <w:tab/>
      </w:r>
      <w:r>
        <w:tab/>
      </w:r>
      <w:r w:rsidR="005F5C3A">
        <w:rPr>
          <w:i/>
        </w:rPr>
        <w:t>Id</w:t>
      </w:r>
      <w:r w:rsidR="005F5C3A">
        <w:t xml:space="preserve">. </w:t>
      </w:r>
      <w:r>
        <w:t>at 5.</w:t>
      </w:r>
    </w:p>
  </w:footnote>
  <w:footnote w:id="83">
    <w:p w:rsidR="0009671E" w:rsidRDefault="0009671E">
      <w:pPr>
        <w:pStyle w:val="FootnoteText"/>
      </w:pPr>
      <w:r>
        <w:rPr>
          <w:rStyle w:val="FootnoteReference"/>
        </w:rPr>
        <w:footnoteRef/>
      </w:r>
      <w:r>
        <w:t xml:space="preserve"> </w:t>
      </w:r>
      <w:r>
        <w:tab/>
      </w:r>
      <w:r>
        <w:tab/>
      </w:r>
      <w:r w:rsidRPr="00EE4DBA">
        <w:t xml:space="preserve">Tr. </w:t>
      </w:r>
      <w:r>
        <w:t>I</w:t>
      </w:r>
      <w:r w:rsidRPr="00EE4DBA">
        <w:t xml:space="preserve">II </w:t>
      </w:r>
      <w:r>
        <w:t>at</w:t>
      </w:r>
      <w:r w:rsidRPr="00EE4DBA">
        <w:t xml:space="preserve"> 832.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71E" w:rsidRDefault="0009671E" w:rsidP="003B12DD">
    <w:pPr>
      <w:pStyle w:val="Header"/>
      <w:jc w:val="center"/>
      <w:rPr>
        <w:b/>
        <w:color w:val="FF0000"/>
      </w:rPr>
    </w:pPr>
    <w:r>
      <w:rPr>
        <w:b/>
        <w:color w:val="FF0000"/>
      </w:rPr>
      <w:t xml:space="preserve">DRAFT - </w:t>
    </w:r>
    <w:r>
      <w:rPr>
        <w:b/>
        <w:color w:val="FF0000"/>
      </w:rPr>
      <w:fldChar w:fldCharType="begin"/>
    </w:r>
    <w:r>
      <w:rPr>
        <w:b/>
        <w:color w:val="FF0000"/>
      </w:rPr>
      <w:instrText xml:space="preserve"> DATE \@ "M/d/yyyy" </w:instrText>
    </w:r>
    <w:r>
      <w:rPr>
        <w:b/>
        <w:color w:val="FF0000"/>
      </w:rPr>
      <w:fldChar w:fldCharType="separate"/>
    </w:r>
    <w:r w:rsidR="00945468">
      <w:rPr>
        <w:b/>
        <w:noProof/>
        <w:color w:val="FF0000"/>
      </w:rPr>
      <w:t>5/16/2013</w:t>
    </w:r>
    <w:r>
      <w:rPr>
        <w:b/>
        <w:color w:val="FF0000"/>
      </w:rPr>
      <w:fldChar w:fldCharType="end"/>
    </w:r>
    <w:r>
      <w:rPr>
        <w:b/>
        <w:color w:val="FF0000"/>
      </w:rPr>
      <w:t xml:space="preserve"> - </w:t>
    </w:r>
    <w:r>
      <w:rPr>
        <w:b/>
        <w:color w:val="FF0000"/>
      </w:rPr>
      <w:fldChar w:fldCharType="begin"/>
    </w:r>
    <w:r>
      <w:rPr>
        <w:b/>
        <w:color w:val="FF0000"/>
      </w:rPr>
      <w:instrText xml:space="preserve"> TIME \@ "h:mm:ss am/pm" </w:instrText>
    </w:r>
    <w:r>
      <w:rPr>
        <w:b/>
        <w:color w:val="FF0000"/>
      </w:rPr>
      <w:fldChar w:fldCharType="separate"/>
    </w:r>
    <w:r w:rsidR="00945468">
      <w:rPr>
        <w:b/>
        <w:noProof/>
        <w:color w:val="FF0000"/>
      </w:rPr>
      <w:t>10:48:10 AM</w:t>
    </w:r>
    <w:r>
      <w:rPr>
        <w:b/>
        <w:color w:val="FF0000"/>
      </w:rPr>
      <w:fldChar w:fldCharType="end"/>
    </w:r>
  </w:p>
  <w:p w:rsidR="0009671E" w:rsidRPr="003B12DD" w:rsidRDefault="0009671E" w:rsidP="003B12DD">
    <w:pPr>
      <w:pStyle w:val="Header"/>
      <w:jc w:val="center"/>
      <w:rPr>
        <w:b/>
        <w:color w:val="FF0000"/>
      </w:rPr>
    </w:pPr>
    <w:r w:rsidRPr="003B12DD">
      <w:rPr>
        <w:b/>
        <w:color w:val="FF0000"/>
      </w:rPr>
      <w:fldChar w:fldCharType="begin"/>
    </w:r>
    <w:r w:rsidRPr="003B12DD">
      <w:rPr>
        <w:b/>
        <w:color w:val="FF0000"/>
      </w:rPr>
      <w:instrText xml:space="preserve"> FILENAME \p </w:instrText>
    </w:r>
    <w:r w:rsidRPr="003B12DD">
      <w:rPr>
        <w:b/>
        <w:color w:val="FF0000"/>
      </w:rPr>
      <w:fldChar w:fldCharType="separate"/>
    </w:r>
    <w:r w:rsidR="00945468">
      <w:rPr>
        <w:b/>
        <w:noProof/>
        <w:color w:val="FF0000"/>
      </w:rPr>
      <w:t>\\puc\shares\Departments\Attorney General\Attorneys\McNamee\Comm. Cases\electric cases\12-426 DP&amp;L SSO\Brief 052013.docx</w:t>
    </w:r>
    <w:r w:rsidRPr="003B12DD">
      <w:rPr>
        <w:b/>
        <w:color w:val="FF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BD" w:rsidRDefault="00BF52BD" w:rsidP="00BF52BD">
    <w:pPr>
      <w:pStyle w:val="Header"/>
      <w:jc w:val="center"/>
      <w:rPr>
        <w:b/>
        <w:sz w:val="28"/>
        <w:szCs w:val="28"/>
      </w:rPr>
    </w:pPr>
    <w:r>
      <w:rPr>
        <w:b/>
        <w:sz w:val="28"/>
        <w:szCs w:val="28"/>
      </w:rPr>
      <w:t>TABLE OF CONTENTS</w:t>
    </w:r>
    <w:r>
      <w:rPr>
        <w:b/>
        <w:sz w:val="28"/>
        <w:szCs w:val="28"/>
      </w:rPr>
      <w:t xml:space="preserve"> (cont’d)</w:t>
    </w:r>
  </w:p>
  <w:p w:rsidR="00BF52BD" w:rsidRDefault="00BF52BD" w:rsidP="00BF52BD">
    <w:pPr>
      <w:pStyle w:val="Header"/>
      <w:jc w:val="right"/>
      <w:rPr>
        <w:b/>
        <w:sz w:val="28"/>
        <w:szCs w:val="28"/>
      </w:rPr>
    </w:pPr>
    <w:r>
      <w:rPr>
        <w:b/>
        <w:sz w:val="28"/>
        <w:szCs w:val="28"/>
      </w:rPr>
      <w:t>Page</w:t>
    </w:r>
  </w:p>
  <w:p w:rsidR="00BF52BD" w:rsidRPr="00C95499" w:rsidRDefault="00BF52BD" w:rsidP="00BF52BD">
    <w:pPr>
      <w:pStyle w:val="Header"/>
      <w:jc w:val="right"/>
      <w:rPr>
        <w:b/>
        <w:sz w:val="28"/>
        <w:szCs w:val="28"/>
      </w:rPr>
    </w:pPr>
  </w:p>
  <w:p w:rsidR="0009671E" w:rsidRPr="00BF52BD" w:rsidRDefault="0009671E" w:rsidP="00BF52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71E" w:rsidRDefault="0009671E" w:rsidP="003B12DD">
    <w:pPr>
      <w:pStyle w:val="Header"/>
      <w:jc w:val="center"/>
      <w:rPr>
        <w:b/>
        <w:sz w:val="28"/>
        <w:szCs w:val="28"/>
      </w:rPr>
    </w:pPr>
    <w:r>
      <w:rPr>
        <w:b/>
        <w:sz w:val="28"/>
        <w:szCs w:val="28"/>
      </w:rPr>
      <w:t>TABLE OF CONTENTS</w:t>
    </w:r>
  </w:p>
  <w:p w:rsidR="0009671E" w:rsidRDefault="0009671E" w:rsidP="00C95499">
    <w:pPr>
      <w:pStyle w:val="Header"/>
      <w:jc w:val="right"/>
      <w:rPr>
        <w:b/>
        <w:sz w:val="28"/>
        <w:szCs w:val="28"/>
      </w:rPr>
    </w:pPr>
    <w:r>
      <w:rPr>
        <w:b/>
        <w:sz w:val="28"/>
        <w:szCs w:val="28"/>
      </w:rPr>
      <w:t>Page</w:t>
    </w:r>
  </w:p>
  <w:p w:rsidR="0009671E" w:rsidRPr="00C95499" w:rsidRDefault="0009671E" w:rsidP="00C95499">
    <w:pPr>
      <w:pStyle w:val="Header"/>
      <w:jc w:val="right"/>
      <w:rPr>
        <w:b/>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71E" w:rsidRPr="00BF52BD" w:rsidRDefault="0009671E" w:rsidP="00BF52B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71E" w:rsidRPr="00BF52BD" w:rsidRDefault="0009671E" w:rsidP="00BF52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ADB"/>
    <w:multiLevelType w:val="hybridMultilevel"/>
    <w:tmpl w:val="11AAE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1C7D2D"/>
    <w:multiLevelType w:val="hybridMultilevel"/>
    <w:tmpl w:val="D4CC52B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06645E9"/>
    <w:multiLevelType w:val="hybridMultilevel"/>
    <w:tmpl w:val="5A70F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25771"/>
    <w:multiLevelType w:val="hybridMultilevel"/>
    <w:tmpl w:val="463CF196"/>
    <w:lvl w:ilvl="0" w:tplc="B99E724E">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3C4DFD"/>
    <w:multiLevelType w:val="hybridMultilevel"/>
    <w:tmpl w:val="770A2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851229"/>
    <w:multiLevelType w:val="hybridMultilevel"/>
    <w:tmpl w:val="BD2E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896135D"/>
    <w:multiLevelType w:val="hybridMultilevel"/>
    <w:tmpl w:val="0AA82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8D2C0F"/>
    <w:multiLevelType w:val="hybridMultilevel"/>
    <w:tmpl w:val="4A74D22A"/>
    <w:lvl w:ilvl="0" w:tplc="49CC6D38">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FF25B6"/>
    <w:multiLevelType w:val="hybridMultilevel"/>
    <w:tmpl w:val="D4CC52B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1"/>
  </w:num>
  <w:num w:numId="4">
    <w:abstractNumId w:val="8"/>
  </w:num>
  <w:num w:numId="5">
    <w:abstractNumId w:val="4"/>
  </w:num>
  <w:num w:numId="6">
    <w:abstractNumId w:val="7"/>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F08"/>
    <w:rsid w:val="0000004B"/>
    <w:rsid w:val="0000052E"/>
    <w:rsid w:val="000007BF"/>
    <w:rsid w:val="00000D4C"/>
    <w:rsid w:val="0000112F"/>
    <w:rsid w:val="000018A2"/>
    <w:rsid w:val="00001B69"/>
    <w:rsid w:val="00001FF4"/>
    <w:rsid w:val="00002508"/>
    <w:rsid w:val="0000257D"/>
    <w:rsid w:val="00002779"/>
    <w:rsid w:val="000028B6"/>
    <w:rsid w:val="0000334F"/>
    <w:rsid w:val="0000378A"/>
    <w:rsid w:val="00003816"/>
    <w:rsid w:val="00003DDE"/>
    <w:rsid w:val="00003DF7"/>
    <w:rsid w:val="0000471E"/>
    <w:rsid w:val="00005932"/>
    <w:rsid w:val="00005983"/>
    <w:rsid w:val="0000598A"/>
    <w:rsid w:val="000063A0"/>
    <w:rsid w:val="00006929"/>
    <w:rsid w:val="00006CA5"/>
    <w:rsid w:val="000072B6"/>
    <w:rsid w:val="00007967"/>
    <w:rsid w:val="000100CC"/>
    <w:rsid w:val="000102E1"/>
    <w:rsid w:val="0001053B"/>
    <w:rsid w:val="00011169"/>
    <w:rsid w:val="0001278C"/>
    <w:rsid w:val="0001282B"/>
    <w:rsid w:val="00012FA7"/>
    <w:rsid w:val="00013BA9"/>
    <w:rsid w:val="00014470"/>
    <w:rsid w:val="0001485D"/>
    <w:rsid w:val="00014AA5"/>
    <w:rsid w:val="00014AB7"/>
    <w:rsid w:val="00014E4F"/>
    <w:rsid w:val="0001509B"/>
    <w:rsid w:val="00015561"/>
    <w:rsid w:val="000158AD"/>
    <w:rsid w:val="00015AA3"/>
    <w:rsid w:val="00015FD3"/>
    <w:rsid w:val="00016760"/>
    <w:rsid w:val="000168EC"/>
    <w:rsid w:val="00016F0B"/>
    <w:rsid w:val="00016F51"/>
    <w:rsid w:val="0001726D"/>
    <w:rsid w:val="00017C7D"/>
    <w:rsid w:val="00017E69"/>
    <w:rsid w:val="00020911"/>
    <w:rsid w:val="000210FA"/>
    <w:rsid w:val="0002116E"/>
    <w:rsid w:val="0002165B"/>
    <w:rsid w:val="00021B66"/>
    <w:rsid w:val="00022FE2"/>
    <w:rsid w:val="000233CC"/>
    <w:rsid w:val="00023468"/>
    <w:rsid w:val="00023CB6"/>
    <w:rsid w:val="00024063"/>
    <w:rsid w:val="000242AC"/>
    <w:rsid w:val="000242FB"/>
    <w:rsid w:val="000243E6"/>
    <w:rsid w:val="00024404"/>
    <w:rsid w:val="0002440B"/>
    <w:rsid w:val="00024852"/>
    <w:rsid w:val="000248B1"/>
    <w:rsid w:val="00024F3F"/>
    <w:rsid w:val="0002529F"/>
    <w:rsid w:val="00025A17"/>
    <w:rsid w:val="00025A18"/>
    <w:rsid w:val="00025E9C"/>
    <w:rsid w:val="00026B8B"/>
    <w:rsid w:val="000272E7"/>
    <w:rsid w:val="000276B0"/>
    <w:rsid w:val="00027830"/>
    <w:rsid w:val="00030484"/>
    <w:rsid w:val="00030496"/>
    <w:rsid w:val="00030BF0"/>
    <w:rsid w:val="00031495"/>
    <w:rsid w:val="0003150D"/>
    <w:rsid w:val="00032BB7"/>
    <w:rsid w:val="00032BE8"/>
    <w:rsid w:val="00032EB9"/>
    <w:rsid w:val="0003379D"/>
    <w:rsid w:val="00033DA4"/>
    <w:rsid w:val="00035E70"/>
    <w:rsid w:val="00036582"/>
    <w:rsid w:val="00036E40"/>
    <w:rsid w:val="00036E8F"/>
    <w:rsid w:val="00036F65"/>
    <w:rsid w:val="0003739B"/>
    <w:rsid w:val="0003745E"/>
    <w:rsid w:val="0003772B"/>
    <w:rsid w:val="00040197"/>
    <w:rsid w:val="00040428"/>
    <w:rsid w:val="000404ED"/>
    <w:rsid w:val="00040D38"/>
    <w:rsid w:val="0004138A"/>
    <w:rsid w:val="00041996"/>
    <w:rsid w:val="00041E34"/>
    <w:rsid w:val="00041F64"/>
    <w:rsid w:val="0004228B"/>
    <w:rsid w:val="00042783"/>
    <w:rsid w:val="000428E0"/>
    <w:rsid w:val="00042E9F"/>
    <w:rsid w:val="00043027"/>
    <w:rsid w:val="000432DE"/>
    <w:rsid w:val="00043531"/>
    <w:rsid w:val="000435A1"/>
    <w:rsid w:val="00043C56"/>
    <w:rsid w:val="000441CE"/>
    <w:rsid w:val="000449BB"/>
    <w:rsid w:val="00044C55"/>
    <w:rsid w:val="00045658"/>
    <w:rsid w:val="00045C5F"/>
    <w:rsid w:val="00046D07"/>
    <w:rsid w:val="000475D8"/>
    <w:rsid w:val="0004772F"/>
    <w:rsid w:val="000479EC"/>
    <w:rsid w:val="00047A5F"/>
    <w:rsid w:val="00047A73"/>
    <w:rsid w:val="0005119D"/>
    <w:rsid w:val="000512B2"/>
    <w:rsid w:val="0005178A"/>
    <w:rsid w:val="00052455"/>
    <w:rsid w:val="00052532"/>
    <w:rsid w:val="00052D81"/>
    <w:rsid w:val="0005338E"/>
    <w:rsid w:val="000534B5"/>
    <w:rsid w:val="00053737"/>
    <w:rsid w:val="00053FDD"/>
    <w:rsid w:val="000547B3"/>
    <w:rsid w:val="00054903"/>
    <w:rsid w:val="00054A1E"/>
    <w:rsid w:val="00054E4B"/>
    <w:rsid w:val="00055316"/>
    <w:rsid w:val="00055A53"/>
    <w:rsid w:val="00055C96"/>
    <w:rsid w:val="00055D80"/>
    <w:rsid w:val="00056561"/>
    <w:rsid w:val="00056D76"/>
    <w:rsid w:val="000572FB"/>
    <w:rsid w:val="000577B8"/>
    <w:rsid w:val="000578E2"/>
    <w:rsid w:val="00057EE6"/>
    <w:rsid w:val="000600C1"/>
    <w:rsid w:val="000600C4"/>
    <w:rsid w:val="000600E5"/>
    <w:rsid w:val="000609A3"/>
    <w:rsid w:val="00060A34"/>
    <w:rsid w:val="00060B26"/>
    <w:rsid w:val="00060B97"/>
    <w:rsid w:val="00061116"/>
    <w:rsid w:val="000616D4"/>
    <w:rsid w:val="00061985"/>
    <w:rsid w:val="00061B4D"/>
    <w:rsid w:val="0006230F"/>
    <w:rsid w:val="0006236E"/>
    <w:rsid w:val="00062838"/>
    <w:rsid w:val="00062922"/>
    <w:rsid w:val="00062B35"/>
    <w:rsid w:val="00062F19"/>
    <w:rsid w:val="0006348B"/>
    <w:rsid w:val="00063B9C"/>
    <w:rsid w:val="00063D48"/>
    <w:rsid w:val="00063E72"/>
    <w:rsid w:val="00064B28"/>
    <w:rsid w:val="000650ED"/>
    <w:rsid w:val="0006523F"/>
    <w:rsid w:val="0006587B"/>
    <w:rsid w:val="000660B3"/>
    <w:rsid w:val="00066B9B"/>
    <w:rsid w:val="00067454"/>
    <w:rsid w:val="0006748E"/>
    <w:rsid w:val="00067670"/>
    <w:rsid w:val="0007021F"/>
    <w:rsid w:val="0007065E"/>
    <w:rsid w:val="0007085C"/>
    <w:rsid w:val="00070CE5"/>
    <w:rsid w:val="00070EBD"/>
    <w:rsid w:val="000712D5"/>
    <w:rsid w:val="000714A7"/>
    <w:rsid w:val="00072FC5"/>
    <w:rsid w:val="00073843"/>
    <w:rsid w:val="00073AD1"/>
    <w:rsid w:val="00073ADB"/>
    <w:rsid w:val="00074F17"/>
    <w:rsid w:val="000751ED"/>
    <w:rsid w:val="000753F8"/>
    <w:rsid w:val="00075649"/>
    <w:rsid w:val="000757CC"/>
    <w:rsid w:val="000759D8"/>
    <w:rsid w:val="000763C7"/>
    <w:rsid w:val="00076A08"/>
    <w:rsid w:val="00076ED9"/>
    <w:rsid w:val="00080488"/>
    <w:rsid w:val="0008110F"/>
    <w:rsid w:val="0008127E"/>
    <w:rsid w:val="00081594"/>
    <w:rsid w:val="000817E2"/>
    <w:rsid w:val="00082210"/>
    <w:rsid w:val="000823F4"/>
    <w:rsid w:val="00082A10"/>
    <w:rsid w:val="00082A26"/>
    <w:rsid w:val="0008354D"/>
    <w:rsid w:val="0008393D"/>
    <w:rsid w:val="00083FB0"/>
    <w:rsid w:val="00083FD5"/>
    <w:rsid w:val="000840D0"/>
    <w:rsid w:val="00084664"/>
    <w:rsid w:val="00084B88"/>
    <w:rsid w:val="00084D3A"/>
    <w:rsid w:val="00084D72"/>
    <w:rsid w:val="00084FF9"/>
    <w:rsid w:val="000852C4"/>
    <w:rsid w:val="000867AB"/>
    <w:rsid w:val="00087012"/>
    <w:rsid w:val="00087138"/>
    <w:rsid w:val="000874A8"/>
    <w:rsid w:val="00087AC3"/>
    <w:rsid w:val="0009037A"/>
    <w:rsid w:val="000904BB"/>
    <w:rsid w:val="00090853"/>
    <w:rsid w:val="000909B1"/>
    <w:rsid w:val="00090AF6"/>
    <w:rsid w:val="00090B27"/>
    <w:rsid w:val="000912DD"/>
    <w:rsid w:val="00091346"/>
    <w:rsid w:val="00092390"/>
    <w:rsid w:val="00092585"/>
    <w:rsid w:val="00092789"/>
    <w:rsid w:val="0009292E"/>
    <w:rsid w:val="00092B97"/>
    <w:rsid w:val="00092D51"/>
    <w:rsid w:val="00092FE8"/>
    <w:rsid w:val="00093EE6"/>
    <w:rsid w:val="00094437"/>
    <w:rsid w:val="000945A2"/>
    <w:rsid w:val="0009468E"/>
    <w:rsid w:val="000956F1"/>
    <w:rsid w:val="000957BC"/>
    <w:rsid w:val="000961F6"/>
    <w:rsid w:val="000962D0"/>
    <w:rsid w:val="000963CA"/>
    <w:rsid w:val="0009671E"/>
    <w:rsid w:val="00096FE4"/>
    <w:rsid w:val="00097C21"/>
    <w:rsid w:val="00097CF3"/>
    <w:rsid w:val="00097E05"/>
    <w:rsid w:val="00097F85"/>
    <w:rsid w:val="000A002B"/>
    <w:rsid w:val="000A0399"/>
    <w:rsid w:val="000A0846"/>
    <w:rsid w:val="000A0E34"/>
    <w:rsid w:val="000A1231"/>
    <w:rsid w:val="000A136B"/>
    <w:rsid w:val="000A13D8"/>
    <w:rsid w:val="000A1418"/>
    <w:rsid w:val="000A18E4"/>
    <w:rsid w:val="000A1BBB"/>
    <w:rsid w:val="000A1FE4"/>
    <w:rsid w:val="000A2209"/>
    <w:rsid w:val="000A3294"/>
    <w:rsid w:val="000A33FF"/>
    <w:rsid w:val="000A34BB"/>
    <w:rsid w:val="000A39EC"/>
    <w:rsid w:val="000A3F36"/>
    <w:rsid w:val="000A3FF2"/>
    <w:rsid w:val="000A42C7"/>
    <w:rsid w:val="000A48FA"/>
    <w:rsid w:val="000A4B5F"/>
    <w:rsid w:val="000A4F56"/>
    <w:rsid w:val="000A5C8D"/>
    <w:rsid w:val="000A65C5"/>
    <w:rsid w:val="000A7458"/>
    <w:rsid w:val="000A75C6"/>
    <w:rsid w:val="000A7A4B"/>
    <w:rsid w:val="000A7E0E"/>
    <w:rsid w:val="000A7EA6"/>
    <w:rsid w:val="000B016B"/>
    <w:rsid w:val="000B08E1"/>
    <w:rsid w:val="000B0933"/>
    <w:rsid w:val="000B12D9"/>
    <w:rsid w:val="000B1F8C"/>
    <w:rsid w:val="000B2BC9"/>
    <w:rsid w:val="000B3D67"/>
    <w:rsid w:val="000B3ED4"/>
    <w:rsid w:val="000B45A9"/>
    <w:rsid w:val="000B51D4"/>
    <w:rsid w:val="000B5351"/>
    <w:rsid w:val="000B539F"/>
    <w:rsid w:val="000B5509"/>
    <w:rsid w:val="000B55E4"/>
    <w:rsid w:val="000B56C8"/>
    <w:rsid w:val="000B5A11"/>
    <w:rsid w:val="000B622C"/>
    <w:rsid w:val="000B64F2"/>
    <w:rsid w:val="000B77F8"/>
    <w:rsid w:val="000B799D"/>
    <w:rsid w:val="000B7ACA"/>
    <w:rsid w:val="000B7BED"/>
    <w:rsid w:val="000C041D"/>
    <w:rsid w:val="000C07C7"/>
    <w:rsid w:val="000C1044"/>
    <w:rsid w:val="000C1A63"/>
    <w:rsid w:val="000C21C7"/>
    <w:rsid w:val="000C2400"/>
    <w:rsid w:val="000C2ADB"/>
    <w:rsid w:val="000C3AB5"/>
    <w:rsid w:val="000C3AC6"/>
    <w:rsid w:val="000C3C65"/>
    <w:rsid w:val="000C4554"/>
    <w:rsid w:val="000C45EC"/>
    <w:rsid w:val="000C4B34"/>
    <w:rsid w:val="000C4BC0"/>
    <w:rsid w:val="000C60E1"/>
    <w:rsid w:val="000C6673"/>
    <w:rsid w:val="000C66E7"/>
    <w:rsid w:val="000C6F71"/>
    <w:rsid w:val="000C6F86"/>
    <w:rsid w:val="000C70C1"/>
    <w:rsid w:val="000C715D"/>
    <w:rsid w:val="000C73B5"/>
    <w:rsid w:val="000C78F1"/>
    <w:rsid w:val="000D0355"/>
    <w:rsid w:val="000D039F"/>
    <w:rsid w:val="000D0D4D"/>
    <w:rsid w:val="000D19C3"/>
    <w:rsid w:val="000D1C6A"/>
    <w:rsid w:val="000D1F89"/>
    <w:rsid w:val="000D20DF"/>
    <w:rsid w:val="000D2DF9"/>
    <w:rsid w:val="000D3617"/>
    <w:rsid w:val="000D364C"/>
    <w:rsid w:val="000D3BD5"/>
    <w:rsid w:val="000D452B"/>
    <w:rsid w:val="000D5461"/>
    <w:rsid w:val="000D6339"/>
    <w:rsid w:val="000D651A"/>
    <w:rsid w:val="000D664F"/>
    <w:rsid w:val="000D6B4A"/>
    <w:rsid w:val="000D6C94"/>
    <w:rsid w:val="000D7094"/>
    <w:rsid w:val="000D732F"/>
    <w:rsid w:val="000D7696"/>
    <w:rsid w:val="000D77A1"/>
    <w:rsid w:val="000D7ABF"/>
    <w:rsid w:val="000E019B"/>
    <w:rsid w:val="000E0203"/>
    <w:rsid w:val="000E0248"/>
    <w:rsid w:val="000E0874"/>
    <w:rsid w:val="000E0CFE"/>
    <w:rsid w:val="000E0EF9"/>
    <w:rsid w:val="000E0F4A"/>
    <w:rsid w:val="000E10A0"/>
    <w:rsid w:val="000E1136"/>
    <w:rsid w:val="000E167A"/>
    <w:rsid w:val="000E1B82"/>
    <w:rsid w:val="000E1E4D"/>
    <w:rsid w:val="000E27A3"/>
    <w:rsid w:val="000E2F0A"/>
    <w:rsid w:val="000E384D"/>
    <w:rsid w:val="000E44B6"/>
    <w:rsid w:val="000E4692"/>
    <w:rsid w:val="000E5086"/>
    <w:rsid w:val="000E54C9"/>
    <w:rsid w:val="000E5543"/>
    <w:rsid w:val="000E5569"/>
    <w:rsid w:val="000E5B4B"/>
    <w:rsid w:val="000E5F0A"/>
    <w:rsid w:val="000E68A7"/>
    <w:rsid w:val="000E69C3"/>
    <w:rsid w:val="000E7257"/>
    <w:rsid w:val="000E7928"/>
    <w:rsid w:val="000E7F36"/>
    <w:rsid w:val="000F0A35"/>
    <w:rsid w:val="000F151C"/>
    <w:rsid w:val="000F1926"/>
    <w:rsid w:val="000F1D7D"/>
    <w:rsid w:val="000F20E4"/>
    <w:rsid w:val="000F2229"/>
    <w:rsid w:val="000F2412"/>
    <w:rsid w:val="000F28AF"/>
    <w:rsid w:val="000F2F1D"/>
    <w:rsid w:val="000F3006"/>
    <w:rsid w:val="000F32B0"/>
    <w:rsid w:val="000F3445"/>
    <w:rsid w:val="000F3B23"/>
    <w:rsid w:val="000F3EC9"/>
    <w:rsid w:val="000F42B3"/>
    <w:rsid w:val="000F48C3"/>
    <w:rsid w:val="000F4A3A"/>
    <w:rsid w:val="000F4B8F"/>
    <w:rsid w:val="000F4E6C"/>
    <w:rsid w:val="000F5448"/>
    <w:rsid w:val="000F64EB"/>
    <w:rsid w:val="000F6752"/>
    <w:rsid w:val="000F6DC9"/>
    <w:rsid w:val="000F7031"/>
    <w:rsid w:val="000F78F0"/>
    <w:rsid w:val="000F7A86"/>
    <w:rsid w:val="00100BF5"/>
    <w:rsid w:val="00100C27"/>
    <w:rsid w:val="00100D5B"/>
    <w:rsid w:val="00100E5E"/>
    <w:rsid w:val="00100F1B"/>
    <w:rsid w:val="001017BF"/>
    <w:rsid w:val="00101999"/>
    <w:rsid w:val="00101CCE"/>
    <w:rsid w:val="00101D23"/>
    <w:rsid w:val="00102029"/>
    <w:rsid w:val="001021BF"/>
    <w:rsid w:val="00102CC9"/>
    <w:rsid w:val="00102F6C"/>
    <w:rsid w:val="0010331E"/>
    <w:rsid w:val="001034B3"/>
    <w:rsid w:val="001036BA"/>
    <w:rsid w:val="00103974"/>
    <w:rsid w:val="00104DC9"/>
    <w:rsid w:val="00104F04"/>
    <w:rsid w:val="00104F51"/>
    <w:rsid w:val="00105334"/>
    <w:rsid w:val="00105459"/>
    <w:rsid w:val="00106026"/>
    <w:rsid w:val="0010642A"/>
    <w:rsid w:val="001065D4"/>
    <w:rsid w:val="00106DF9"/>
    <w:rsid w:val="0010727E"/>
    <w:rsid w:val="00107D0B"/>
    <w:rsid w:val="00110EC1"/>
    <w:rsid w:val="0011138C"/>
    <w:rsid w:val="00111505"/>
    <w:rsid w:val="00111788"/>
    <w:rsid w:val="00111A82"/>
    <w:rsid w:val="001121B5"/>
    <w:rsid w:val="001129FD"/>
    <w:rsid w:val="00112D53"/>
    <w:rsid w:val="001135A7"/>
    <w:rsid w:val="00113B72"/>
    <w:rsid w:val="00113FFF"/>
    <w:rsid w:val="00114352"/>
    <w:rsid w:val="00114A8E"/>
    <w:rsid w:val="00114AD9"/>
    <w:rsid w:val="00115341"/>
    <w:rsid w:val="001155B9"/>
    <w:rsid w:val="00115B30"/>
    <w:rsid w:val="00115F93"/>
    <w:rsid w:val="0011607F"/>
    <w:rsid w:val="001161A7"/>
    <w:rsid w:val="0011632E"/>
    <w:rsid w:val="001164BD"/>
    <w:rsid w:val="00116762"/>
    <w:rsid w:val="001167C9"/>
    <w:rsid w:val="00117C1F"/>
    <w:rsid w:val="001204A3"/>
    <w:rsid w:val="001209A3"/>
    <w:rsid w:val="00120DE2"/>
    <w:rsid w:val="00120E12"/>
    <w:rsid w:val="00120F03"/>
    <w:rsid w:val="001216E1"/>
    <w:rsid w:val="00121B21"/>
    <w:rsid w:val="001222D8"/>
    <w:rsid w:val="00122C33"/>
    <w:rsid w:val="00122ECA"/>
    <w:rsid w:val="00123562"/>
    <w:rsid w:val="00123647"/>
    <w:rsid w:val="001236A1"/>
    <w:rsid w:val="001239B8"/>
    <w:rsid w:val="00123AE0"/>
    <w:rsid w:val="00123C69"/>
    <w:rsid w:val="00124193"/>
    <w:rsid w:val="001241FC"/>
    <w:rsid w:val="001242C9"/>
    <w:rsid w:val="001244AA"/>
    <w:rsid w:val="00124B43"/>
    <w:rsid w:val="00124F7F"/>
    <w:rsid w:val="00125271"/>
    <w:rsid w:val="00125360"/>
    <w:rsid w:val="0012577F"/>
    <w:rsid w:val="00125BEC"/>
    <w:rsid w:val="0012658C"/>
    <w:rsid w:val="001275FB"/>
    <w:rsid w:val="00127D0E"/>
    <w:rsid w:val="00130423"/>
    <w:rsid w:val="0013063F"/>
    <w:rsid w:val="0013099D"/>
    <w:rsid w:val="00130AFA"/>
    <w:rsid w:val="0013111B"/>
    <w:rsid w:val="0013115F"/>
    <w:rsid w:val="0013140C"/>
    <w:rsid w:val="001318AA"/>
    <w:rsid w:val="00131A50"/>
    <w:rsid w:val="00131A6B"/>
    <w:rsid w:val="00131ABF"/>
    <w:rsid w:val="00132557"/>
    <w:rsid w:val="00132BE3"/>
    <w:rsid w:val="0013306C"/>
    <w:rsid w:val="0013329A"/>
    <w:rsid w:val="00133794"/>
    <w:rsid w:val="0013398B"/>
    <w:rsid w:val="00133C42"/>
    <w:rsid w:val="00133E58"/>
    <w:rsid w:val="001355ED"/>
    <w:rsid w:val="00135B08"/>
    <w:rsid w:val="00135B83"/>
    <w:rsid w:val="001362CC"/>
    <w:rsid w:val="0013654C"/>
    <w:rsid w:val="00136C13"/>
    <w:rsid w:val="00136E07"/>
    <w:rsid w:val="00137391"/>
    <w:rsid w:val="00137860"/>
    <w:rsid w:val="001378A9"/>
    <w:rsid w:val="00140AC2"/>
    <w:rsid w:val="00141332"/>
    <w:rsid w:val="0014180B"/>
    <w:rsid w:val="00141FA8"/>
    <w:rsid w:val="001424BB"/>
    <w:rsid w:val="001426C6"/>
    <w:rsid w:val="00142A47"/>
    <w:rsid w:val="00142AF5"/>
    <w:rsid w:val="00142B4C"/>
    <w:rsid w:val="00142D8F"/>
    <w:rsid w:val="00143048"/>
    <w:rsid w:val="001430CB"/>
    <w:rsid w:val="00143119"/>
    <w:rsid w:val="0014332E"/>
    <w:rsid w:val="001434B6"/>
    <w:rsid w:val="001438E0"/>
    <w:rsid w:val="00143AF8"/>
    <w:rsid w:val="00143B3B"/>
    <w:rsid w:val="00143B6D"/>
    <w:rsid w:val="00143DD8"/>
    <w:rsid w:val="00144412"/>
    <w:rsid w:val="00144513"/>
    <w:rsid w:val="00144561"/>
    <w:rsid w:val="00144768"/>
    <w:rsid w:val="001447FC"/>
    <w:rsid w:val="00144DE7"/>
    <w:rsid w:val="00144E48"/>
    <w:rsid w:val="00144E61"/>
    <w:rsid w:val="0014528C"/>
    <w:rsid w:val="00145D22"/>
    <w:rsid w:val="00145DC6"/>
    <w:rsid w:val="00146422"/>
    <w:rsid w:val="00146484"/>
    <w:rsid w:val="001468D7"/>
    <w:rsid w:val="00146AD0"/>
    <w:rsid w:val="00146C34"/>
    <w:rsid w:val="00146F25"/>
    <w:rsid w:val="0014715C"/>
    <w:rsid w:val="001476E6"/>
    <w:rsid w:val="0014797F"/>
    <w:rsid w:val="00147C91"/>
    <w:rsid w:val="001500B6"/>
    <w:rsid w:val="00150B32"/>
    <w:rsid w:val="0015109E"/>
    <w:rsid w:val="00151CF6"/>
    <w:rsid w:val="00151F87"/>
    <w:rsid w:val="001529D5"/>
    <w:rsid w:val="00152A4F"/>
    <w:rsid w:val="00152CD1"/>
    <w:rsid w:val="00152D0C"/>
    <w:rsid w:val="00152E77"/>
    <w:rsid w:val="00153181"/>
    <w:rsid w:val="001533A5"/>
    <w:rsid w:val="0015362A"/>
    <w:rsid w:val="00153675"/>
    <w:rsid w:val="00153898"/>
    <w:rsid w:val="00153CB2"/>
    <w:rsid w:val="00153F1C"/>
    <w:rsid w:val="00154186"/>
    <w:rsid w:val="001548F1"/>
    <w:rsid w:val="0015490F"/>
    <w:rsid w:val="001549AC"/>
    <w:rsid w:val="00154BF1"/>
    <w:rsid w:val="00154E85"/>
    <w:rsid w:val="00154F9E"/>
    <w:rsid w:val="001551E8"/>
    <w:rsid w:val="0015571B"/>
    <w:rsid w:val="00155A1B"/>
    <w:rsid w:val="00155A8A"/>
    <w:rsid w:val="00156475"/>
    <w:rsid w:val="001572D5"/>
    <w:rsid w:val="00157C78"/>
    <w:rsid w:val="00157CB5"/>
    <w:rsid w:val="00157DD8"/>
    <w:rsid w:val="0016026D"/>
    <w:rsid w:val="00160A72"/>
    <w:rsid w:val="00160FA7"/>
    <w:rsid w:val="00160FDE"/>
    <w:rsid w:val="00161205"/>
    <w:rsid w:val="0016171B"/>
    <w:rsid w:val="00161995"/>
    <w:rsid w:val="001628C0"/>
    <w:rsid w:val="001630A5"/>
    <w:rsid w:val="0016335D"/>
    <w:rsid w:val="001633F0"/>
    <w:rsid w:val="001636E0"/>
    <w:rsid w:val="001642AE"/>
    <w:rsid w:val="00164304"/>
    <w:rsid w:val="001645DD"/>
    <w:rsid w:val="0016490B"/>
    <w:rsid w:val="00164E53"/>
    <w:rsid w:val="00165049"/>
    <w:rsid w:val="0016550F"/>
    <w:rsid w:val="0016560B"/>
    <w:rsid w:val="00165BE9"/>
    <w:rsid w:val="001660F8"/>
    <w:rsid w:val="0016613A"/>
    <w:rsid w:val="001663AE"/>
    <w:rsid w:val="0016677C"/>
    <w:rsid w:val="00166A0E"/>
    <w:rsid w:val="00167C18"/>
    <w:rsid w:val="00167CF2"/>
    <w:rsid w:val="0017018E"/>
    <w:rsid w:val="001702EC"/>
    <w:rsid w:val="001705C4"/>
    <w:rsid w:val="00170B0B"/>
    <w:rsid w:val="00170C2E"/>
    <w:rsid w:val="00170D25"/>
    <w:rsid w:val="00170F94"/>
    <w:rsid w:val="00171E9F"/>
    <w:rsid w:val="00171EE8"/>
    <w:rsid w:val="001720EF"/>
    <w:rsid w:val="001721FC"/>
    <w:rsid w:val="001723B6"/>
    <w:rsid w:val="00173DF6"/>
    <w:rsid w:val="00173E89"/>
    <w:rsid w:val="00173F29"/>
    <w:rsid w:val="0017432D"/>
    <w:rsid w:val="00174B04"/>
    <w:rsid w:val="00174F97"/>
    <w:rsid w:val="00175526"/>
    <w:rsid w:val="00175557"/>
    <w:rsid w:val="00176015"/>
    <w:rsid w:val="00176062"/>
    <w:rsid w:val="00176181"/>
    <w:rsid w:val="00176270"/>
    <w:rsid w:val="00176F1A"/>
    <w:rsid w:val="00177C54"/>
    <w:rsid w:val="00177CF5"/>
    <w:rsid w:val="00180891"/>
    <w:rsid w:val="0018089B"/>
    <w:rsid w:val="00180932"/>
    <w:rsid w:val="00180C2B"/>
    <w:rsid w:val="001814B9"/>
    <w:rsid w:val="00181608"/>
    <w:rsid w:val="001823B7"/>
    <w:rsid w:val="001824F4"/>
    <w:rsid w:val="00183297"/>
    <w:rsid w:val="0018342D"/>
    <w:rsid w:val="0018557E"/>
    <w:rsid w:val="00185629"/>
    <w:rsid w:val="001857D3"/>
    <w:rsid w:val="00185ABE"/>
    <w:rsid w:val="00185E49"/>
    <w:rsid w:val="0018610D"/>
    <w:rsid w:val="0018676D"/>
    <w:rsid w:val="00186A9A"/>
    <w:rsid w:val="00186B18"/>
    <w:rsid w:val="00187616"/>
    <w:rsid w:val="001878F4"/>
    <w:rsid w:val="00190038"/>
    <w:rsid w:val="00190043"/>
    <w:rsid w:val="001901C6"/>
    <w:rsid w:val="001901FD"/>
    <w:rsid w:val="00190E01"/>
    <w:rsid w:val="00190ED4"/>
    <w:rsid w:val="00190F20"/>
    <w:rsid w:val="0019138C"/>
    <w:rsid w:val="00191469"/>
    <w:rsid w:val="0019151A"/>
    <w:rsid w:val="00191B5A"/>
    <w:rsid w:val="0019200F"/>
    <w:rsid w:val="0019222D"/>
    <w:rsid w:val="001925A6"/>
    <w:rsid w:val="00192A82"/>
    <w:rsid w:val="00193109"/>
    <w:rsid w:val="0019328F"/>
    <w:rsid w:val="0019403F"/>
    <w:rsid w:val="00194E74"/>
    <w:rsid w:val="0019573D"/>
    <w:rsid w:val="0019586F"/>
    <w:rsid w:val="001958B3"/>
    <w:rsid w:val="00195979"/>
    <w:rsid w:val="00196064"/>
    <w:rsid w:val="001960A2"/>
    <w:rsid w:val="00196131"/>
    <w:rsid w:val="0019616A"/>
    <w:rsid w:val="00196262"/>
    <w:rsid w:val="00196C19"/>
    <w:rsid w:val="001A0252"/>
    <w:rsid w:val="001A0674"/>
    <w:rsid w:val="001A0696"/>
    <w:rsid w:val="001A093A"/>
    <w:rsid w:val="001A0D9B"/>
    <w:rsid w:val="001A107F"/>
    <w:rsid w:val="001A122E"/>
    <w:rsid w:val="001A18F2"/>
    <w:rsid w:val="001A1F54"/>
    <w:rsid w:val="001A217A"/>
    <w:rsid w:val="001A249F"/>
    <w:rsid w:val="001A2649"/>
    <w:rsid w:val="001A2F87"/>
    <w:rsid w:val="001A315A"/>
    <w:rsid w:val="001A3711"/>
    <w:rsid w:val="001A3915"/>
    <w:rsid w:val="001A4EA7"/>
    <w:rsid w:val="001A565C"/>
    <w:rsid w:val="001A5C2F"/>
    <w:rsid w:val="001A6220"/>
    <w:rsid w:val="001A63DD"/>
    <w:rsid w:val="001A672D"/>
    <w:rsid w:val="001A6930"/>
    <w:rsid w:val="001A71E0"/>
    <w:rsid w:val="001A76BD"/>
    <w:rsid w:val="001A79B3"/>
    <w:rsid w:val="001A7B3D"/>
    <w:rsid w:val="001B09D4"/>
    <w:rsid w:val="001B0DCA"/>
    <w:rsid w:val="001B1B9A"/>
    <w:rsid w:val="001B1DA8"/>
    <w:rsid w:val="001B1DAB"/>
    <w:rsid w:val="001B1DAE"/>
    <w:rsid w:val="001B1DF0"/>
    <w:rsid w:val="001B247F"/>
    <w:rsid w:val="001B2872"/>
    <w:rsid w:val="001B28A1"/>
    <w:rsid w:val="001B2A80"/>
    <w:rsid w:val="001B319C"/>
    <w:rsid w:val="001B483E"/>
    <w:rsid w:val="001B4E60"/>
    <w:rsid w:val="001B4EF8"/>
    <w:rsid w:val="001B5823"/>
    <w:rsid w:val="001B5C74"/>
    <w:rsid w:val="001B5F46"/>
    <w:rsid w:val="001B6996"/>
    <w:rsid w:val="001B6A71"/>
    <w:rsid w:val="001B6B4B"/>
    <w:rsid w:val="001B6D67"/>
    <w:rsid w:val="001B7278"/>
    <w:rsid w:val="001B74E1"/>
    <w:rsid w:val="001B75E3"/>
    <w:rsid w:val="001C0923"/>
    <w:rsid w:val="001C0E25"/>
    <w:rsid w:val="001C17FC"/>
    <w:rsid w:val="001C180E"/>
    <w:rsid w:val="001C19D2"/>
    <w:rsid w:val="001C1CEE"/>
    <w:rsid w:val="001C1CF5"/>
    <w:rsid w:val="001C1E77"/>
    <w:rsid w:val="001C2693"/>
    <w:rsid w:val="001C2A44"/>
    <w:rsid w:val="001C354E"/>
    <w:rsid w:val="001C3647"/>
    <w:rsid w:val="001C38CA"/>
    <w:rsid w:val="001C3C91"/>
    <w:rsid w:val="001C4C0B"/>
    <w:rsid w:val="001C5762"/>
    <w:rsid w:val="001C5EB8"/>
    <w:rsid w:val="001C5EBA"/>
    <w:rsid w:val="001C6B00"/>
    <w:rsid w:val="001C6EC1"/>
    <w:rsid w:val="001C762C"/>
    <w:rsid w:val="001C7DD1"/>
    <w:rsid w:val="001D000F"/>
    <w:rsid w:val="001D022A"/>
    <w:rsid w:val="001D022D"/>
    <w:rsid w:val="001D02C1"/>
    <w:rsid w:val="001D1598"/>
    <w:rsid w:val="001D19C5"/>
    <w:rsid w:val="001D1A32"/>
    <w:rsid w:val="001D1A86"/>
    <w:rsid w:val="001D1F51"/>
    <w:rsid w:val="001D26EC"/>
    <w:rsid w:val="001D2E4F"/>
    <w:rsid w:val="001D374D"/>
    <w:rsid w:val="001D3AAF"/>
    <w:rsid w:val="001D3F19"/>
    <w:rsid w:val="001D4599"/>
    <w:rsid w:val="001D5727"/>
    <w:rsid w:val="001D609D"/>
    <w:rsid w:val="001D61B9"/>
    <w:rsid w:val="001D6A9E"/>
    <w:rsid w:val="001D6EC5"/>
    <w:rsid w:val="001D7B2A"/>
    <w:rsid w:val="001D7FB5"/>
    <w:rsid w:val="001E05D9"/>
    <w:rsid w:val="001E1284"/>
    <w:rsid w:val="001E2056"/>
    <w:rsid w:val="001E20CE"/>
    <w:rsid w:val="001E2F28"/>
    <w:rsid w:val="001E380B"/>
    <w:rsid w:val="001E42D2"/>
    <w:rsid w:val="001E4600"/>
    <w:rsid w:val="001E4611"/>
    <w:rsid w:val="001E4C3A"/>
    <w:rsid w:val="001E4C73"/>
    <w:rsid w:val="001E4C79"/>
    <w:rsid w:val="001E4FE7"/>
    <w:rsid w:val="001E504D"/>
    <w:rsid w:val="001E511C"/>
    <w:rsid w:val="001E5DBD"/>
    <w:rsid w:val="001E6C8C"/>
    <w:rsid w:val="001E6D22"/>
    <w:rsid w:val="001E6D6D"/>
    <w:rsid w:val="001E7236"/>
    <w:rsid w:val="001E7500"/>
    <w:rsid w:val="001E7552"/>
    <w:rsid w:val="001E7637"/>
    <w:rsid w:val="001E7812"/>
    <w:rsid w:val="001E7E41"/>
    <w:rsid w:val="001F0206"/>
    <w:rsid w:val="001F0208"/>
    <w:rsid w:val="001F0257"/>
    <w:rsid w:val="001F0977"/>
    <w:rsid w:val="001F0C65"/>
    <w:rsid w:val="001F0FE5"/>
    <w:rsid w:val="001F1407"/>
    <w:rsid w:val="001F1518"/>
    <w:rsid w:val="001F1B4B"/>
    <w:rsid w:val="001F1E17"/>
    <w:rsid w:val="001F1E61"/>
    <w:rsid w:val="001F2B60"/>
    <w:rsid w:val="001F36D8"/>
    <w:rsid w:val="001F3956"/>
    <w:rsid w:val="001F3FD3"/>
    <w:rsid w:val="001F4006"/>
    <w:rsid w:val="001F49E2"/>
    <w:rsid w:val="001F5451"/>
    <w:rsid w:val="001F5727"/>
    <w:rsid w:val="001F5949"/>
    <w:rsid w:val="001F5E8F"/>
    <w:rsid w:val="001F5EAE"/>
    <w:rsid w:val="001F62B6"/>
    <w:rsid w:val="001F62DB"/>
    <w:rsid w:val="001F6500"/>
    <w:rsid w:val="001F66EB"/>
    <w:rsid w:val="001F693A"/>
    <w:rsid w:val="001F69E8"/>
    <w:rsid w:val="002002A9"/>
    <w:rsid w:val="002003F2"/>
    <w:rsid w:val="0020046C"/>
    <w:rsid w:val="002009BB"/>
    <w:rsid w:val="00200A0A"/>
    <w:rsid w:val="00200A7A"/>
    <w:rsid w:val="00200E71"/>
    <w:rsid w:val="002010D6"/>
    <w:rsid w:val="00201388"/>
    <w:rsid w:val="00201796"/>
    <w:rsid w:val="00201973"/>
    <w:rsid w:val="00202280"/>
    <w:rsid w:val="00202653"/>
    <w:rsid w:val="002033AC"/>
    <w:rsid w:val="00203A48"/>
    <w:rsid w:val="002042F2"/>
    <w:rsid w:val="00204C00"/>
    <w:rsid w:val="00205B52"/>
    <w:rsid w:val="00206074"/>
    <w:rsid w:val="0020634D"/>
    <w:rsid w:val="00206629"/>
    <w:rsid w:val="00206691"/>
    <w:rsid w:val="002067E6"/>
    <w:rsid w:val="00207398"/>
    <w:rsid w:val="002077C1"/>
    <w:rsid w:val="00207A8D"/>
    <w:rsid w:val="00207B1D"/>
    <w:rsid w:val="00210350"/>
    <w:rsid w:val="002108D5"/>
    <w:rsid w:val="00210965"/>
    <w:rsid w:val="00210BB1"/>
    <w:rsid w:val="00210DF5"/>
    <w:rsid w:val="002110CB"/>
    <w:rsid w:val="002113A7"/>
    <w:rsid w:val="00211883"/>
    <w:rsid w:val="00212C3E"/>
    <w:rsid w:val="002132E9"/>
    <w:rsid w:val="002135DB"/>
    <w:rsid w:val="0021370C"/>
    <w:rsid w:val="00213828"/>
    <w:rsid w:val="002139CE"/>
    <w:rsid w:val="00214249"/>
    <w:rsid w:val="00214C39"/>
    <w:rsid w:val="00214CCB"/>
    <w:rsid w:val="00214EDE"/>
    <w:rsid w:val="00215157"/>
    <w:rsid w:val="00215642"/>
    <w:rsid w:val="002158E9"/>
    <w:rsid w:val="00215BCC"/>
    <w:rsid w:val="00215EE1"/>
    <w:rsid w:val="0021665A"/>
    <w:rsid w:val="002168A2"/>
    <w:rsid w:val="00216C1F"/>
    <w:rsid w:val="002171BE"/>
    <w:rsid w:val="002174BF"/>
    <w:rsid w:val="00217B71"/>
    <w:rsid w:val="00220204"/>
    <w:rsid w:val="00220347"/>
    <w:rsid w:val="0022058A"/>
    <w:rsid w:val="00220806"/>
    <w:rsid w:val="00220AC6"/>
    <w:rsid w:val="00220AFF"/>
    <w:rsid w:val="002211C9"/>
    <w:rsid w:val="002211D4"/>
    <w:rsid w:val="002211EF"/>
    <w:rsid w:val="0022131D"/>
    <w:rsid w:val="00221496"/>
    <w:rsid w:val="00221E8C"/>
    <w:rsid w:val="00222015"/>
    <w:rsid w:val="0022238F"/>
    <w:rsid w:val="00222396"/>
    <w:rsid w:val="00222CD6"/>
    <w:rsid w:val="00222FFA"/>
    <w:rsid w:val="0022367A"/>
    <w:rsid w:val="00223B5A"/>
    <w:rsid w:val="00223CAB"/>
    <w:rsid w:val="002242CE"/>
    <w:rsid w:val="0022446F"/>
    <w:rsid w:val="00224752"/>
    <w:rsid w:val="00224B1B"/>
    <w:rsid w:val="00224D63"/>
    <w:rsid w:val="00224F91"/>
    <w:rsid w:val="00225639"/>
    <w:rsid w:val="002256A6"/>
    <w:rsid w:val="002257D1"/>
    <w:rsid w:val="002258ED"/>
    <w:rsid w:val="0022608F"/>
    <w:rsid w:val="002269BF"/>
    <w:rsid w:val="0023054F"/>
    <w:rsid w:val="002306D2"/>
    <w:rsid w:val="00230E40"/>
    <w:rsid w:val="00231522"/>
    <w:rsid w:val="002315E7"/>
    <w:rsid w:val="00231951"/>
    <w:rsid w:val="00231D72"/>
    <w:rsid w:val="00231EEA"/>
    <w:rsid w:val="00232319"/>
    <w:rsid w:val="00232546"/>
    <w:rsid w:val="002336BC"/>
    <w:rsid w:val="00233735"/>
    <w:rsid w:val="002345EC"/>
    <w:rsid w:val="002346B8"/>
    <w:rsid w:val="00235062"/>
    <w:rsid w:val="002356F8"/>
    <w:rsid w:val="00235E18"/>
    <w:rsid w:val="00236002"/>
    <w:rsid w:val="002366E7"/>
    <w:rsid w:val="002370A3"/>
    <w:rsid w:val="00237223"/>
    <w:rsid w:val="002374CB"/>
    <w:rsid w:val="0023773E"/>
    <w:rsid w:val="00237823"/>
    <w:rsid w:val="00237B31"/>
    <w:rsid w:val="00237CA1"/>
    <w:rsid w:val="00237D7D"/>
    <w:rsid w:val="00237FF9"/>
    <w:rsid w:val="002404E5"/>
    <w:rsid w:val="00240510"/>
    <w:rsid w:val="002405F3"/>
    <w:rsid w:val="002408DD"/>
    <w:rsid w:val="00240E66"/>
    <w:rsid w:val="00241DC7"/>
    <w:rsid w:val="0024263C"/>
    <w:rsid w:val="00242657"/>
    <w:rsid w:val="00242A8D"/>
    <w:rsid w:val="002439E3"/>
    <w:rsid w:val="00244228"/>
    <w:rsid w:val="00244567"/>
    <w:rsid w:val="00244863"/>
    <w:rsid w:val="00244A55"/>
    <w:rsid w:val="00244CA7"/>
    <w:rsid w:val="00245210"/>
    <w:rsid w:val="002453B6"/>
    <w:rsid w:val="00245700"/>
    <w:rsid w:val="002458EB"/>
    <w:rsid w:val="00245992"/>
    <w:rsid w:val="00245A03"/>
    <w:rsid w:val="00245C52"/>
    <w:rsid w:val="002463DF"/>
    <w:rsid w:val="00246AB1"/>
    <w:rsid w:val="00246FF0"/>
    <w:rsid w:val="00247272"/>
    <w:rsid w:val="00247635"/>
    <w:rsid w:val="0024783A"/>
    <w:rsid w:val="00247CEE"/>
    <w:rsid w:val="00247E68"/>
    <w:rsid w:val="002502AA"/>
    <w:rsid w:val="00250787"/>
    <w:rsid w:val="00250A8D"/>
    <w:rsid w:val="00250AE9"/>
    <w:rsid w:val="002512F2"/>
    <w:rsid w:val="002522CE"/>
    <w:rsid w:val="00252393"/>
    <w:rsid w:val="002523DE"/>
    <w:rsid w:val="002526BE"/>
    <w:rsid w:val="00253538"/>
    <w:rsid w:val="002545A6"/>
    <w:rsid w:val="0025556F"/>
    <w:rsid w:val="002555FE"/>
    <w:rsid w:val="00255950"/>
    <w:rsid w:val="00255CF2"/>
    <w:rsid w:val="00256388"/>
    <w:rsid w:val="00257469"/>
    <w:rsid w:val="00257543"/>
    <w:rsid w:val="00257555"/>
    <w:rsid w:val="0025786B"/>
    <w:rsid w:val="00257895"/>
    <w:rsid w:val="00257EDF"/>
    <w:rsid w:val="002605C1"/>
    <w:rsid w:val="00260FCD"/>
    <w:rsid w:val="00261049"/>
    <w:rsid w:val="00261A03"/>
    <w:rsid w:val="00261AE2"/>
    <w:rsid w:val="00261B96"/>
    <w:rsid w:val="00262526"/>
    <w:rsid w:val="00262CB7"/>
    <w:rsid w:val="00262E5C"/>
    <w:rsid w:val="00263D73"/>
    <w:rsid w:val="00264377"/>
    <w:rsid w:val="002643CC"/>
    <w:rsid w:val="00264938"/>
    <w:rsid w:val="00264C74"/>
    <w:rsid w:val="00264EBB"/>
    <w:rsid w:val="002651F3"/>
    <w:rsid w:val="0026566D"/>
    <w:rsid w:val="0026568C"/>
    <w:rsid w:val="002656EE"/>
    <w:rsid w:val="00265D1F"/>
    <w:rsid w:val="0026689B"/>
    <w:rsid w:val="00266C6B"/>
    <w:rsid w:val="00266DC7"/>
    <w:rsid w:val="00266FD5"/>
    <w:rsid w:val="002679B7"/>
    <w:rsid w:val="00270B9F"/>
    <w:rsid w:val="00270FF6"/>
    <w:rsid w:val="0027104A"/>
    <w:rsid w:val="002715D1"/>
    <w:rsid w:val="00271AF8"/>
    <w:rsid w:val="00271C94"/>
    <w:rsid w:val="00272790"/>
    <w:rsid w:val="002727E8"/>
    <w:rsid w:val="00272A86"/>
    <w:rsid w:val="00272C7A"/>
    <w:rsid w:val="00272FBF"/>
    <w:rsid w:val="002731FA"/>
    <w:rsid w:val="002733C8"/>
    <w:rsid w:val="00273545"/>
    <w:rsid w:val="00273626"/>
    <w:rsid w:val="00273D3C"/>
    <w:rsid w:val="00274547"/>
    <w:rsid w:val="002749E7"/>
    <w:rsid w:val="00275F0C"/>
    <w:rsid w:val="0027600E"/>
    <w:rsid w:val="00276820"/>
    <w:rsid w:val="002769EC"/>
    <w:rsid w:val="00277273"/>
    <w:rsid w:val="00277BA7"/>
    <w:rsid w:val="00280041"/>
    <w:rsid w:val="00280335"/>
    <w:rsid w:val="002805AA"/>
    <w:rsid w:val="00280D96"/>
    <w:rsid w:val="002813D8"/>
    <w:rsid w:val="00281532"/>
    <w:rsid w:val="00281A17"/>
    <w:rsid w:val="00281F3C"/>
    <w:rsid w:val="00282450"/>
    <w:rsid w:val="00282D8D"/>
    <w:rsid w:val="00283007"/>
    <w:rsid w:val="00284178"/>
    <w:rsid w:val="00284D93"/>
    <w:rsid w:val="0028525B"/>
    <w:rsid w:val="002852AA"/>
    <w:rsid w:val="0028578B"/>
    <w:rsid w:val="00285A06"/>
    <w:rsid w:val="002860FA"/>
    <w:rsid w:val="00286AB0"/>
    <w:rsid w:val="00286CB2"/>
    <w:rsid w:val="00286CD1"/>
    <w:rsid w:val="0028726D"/>
    <w:rsid w:val="0028743E"/>
    <w:rsid w:val="00287DD1"/>
    <w:rsid w:val="002901C3"/>
    <w:rsid w:val="00290A79"/>
    <w:rsid w:val="00290A85"/>
    <w:rsid w:val="00290AAE"/>
    <w:rsid w:val="00290BC2"/>
    <w:rsid w:val="00290F38"/>
    <w:rsid w:val="0029125D"/>
    <w:rsid w:val="002917FF"/>
    <w:rsid w:val="002919D3"/>
    <w:rsid w:val="00291F8D"/>
    <w:rsid w:val="00292283"/>
    <w:rsid w:val="00292444"/>
    <w:rsid w:val="00292AE6"/>
    <w:rsid w:val="00292DDE"/>
    <w:rsid w:val="00292ECC"/>
    <w:rsid w:val="00293223"/>
    <w:rsid w:val="00293299"/>
    <w:rsid w:val="00293ECA"/>
    <w:rsid w:val="00294355"/>
    <w:rsid w:val="0029465A"/>
    <w:rsid w:val="00294899"/>
    <w:rsid w:val="002948C1"/>
    <w:rsid w:val="00294948"/>
    <w:rsid w:val="00296161"/>
    <w:rsid w:val="002962E5"/>
    <w:rsid w:val="00296336"/>
    <w:rsid w:val="0029638D"/>
    <w:rsid w:val="002965E1"/>
    <w:rsid w:val="00296884"/>
    <w:rsid w:val="002969AB"/>
    <w:rsid w:val="00297277"/>
    <w:rsid w:val="0029743D"/>
    <w:rsid w:val="002977DB"/>
    <w:rsid w:val="00297B2B"/>
    <w:rsid w:val="002A01CB"/>
    <w:rsid w:val="002A12B4"/>
    <w:rsid w:val="002A13CF"/>
    <w:rsid w:val="002A1517"/>
    <w:rsid w:val="002A2046"/>
    <w:rsid w:val="002A263E"/>
    <w:rsid w:val="002A2F15"/>
    <w:rsid w:val="002A35F3"/>
    <w:rsid w:val="002A36E4"/>
    <w:rsid w:val="002A372D"/>
    <w:rsid w:val="002A3B8C"/>
    <w:rsid w:val="002A3BA7"/>
    <w:rsid w:val="002A468C"/>
    <w:rsid w:val="002A4A19"/>
    <w:rsid w:val="002A4B5B"/>
    <w:rsid w:val="002A50FA"/>
    <w:rsid w:val="002A530D"/>
    <w:rsid w:val="002A724F"/>
    <w:rsid w:val="002A7C16"/>
    <w:rsid w:val="002A7F53"/>
    <w:rsid w:val="002B0366"/>
    <w:rsid w:val="002B06EF"/>
    <w:rsid w:val="002B1133"/>
    <w:rsid w:val="002B1615"/>
    <w:rsid w:val="002B2579"/>
    <w:rsid w:val="002B28A9"/>
    <w:rsid w:val="002B29AC"/>
    <w:rsid w:val="002B2DBB"/>
    <w:rsid w:val="002B300F"/>
    <w:rsid w:val="002B3125"/>
    <w:rsid w:val="002B312C"/>
    <w:rsid w:val="002B32E9"/>
    <w:rsid w:val="002B3472"/>
    <w:rsid w:val="002B4062"/>
    <w:rsid w:val="002B40AD"/>
    <w:rsid w:val="002B41B7"/>
    <w:rsid w:val="002B437A"/>
    <w:rsid w:val="002B4AA6"/>
    <w:rsid w:val="002B574B"/>
    <w:rsid w:val="002B645E"/>
    <w:rsid w:val="002B6C02"/>
    <w:rsid w:val="002B6D88"/>
    <w:rsid w:val="002B7A3B"/>
    <w:rsid w:val="002B7B3D"/>
    <w:rsid w:val="002C0152"/>
    <w:rsid w:val="002C03C7"/>
    <w:rsid w:val="002C0556"/>
    <w:rsid w:val="002C180F"/>
    <w:rsid w:val="002C1935"/>
    <w:rsid w:val="002C1B54"/>
    <w:rsid w:val="002C1C34"/>
    <w:rsid w:val="002C2913"/>
    <w:rsid w:val="002C2B14"/>
    <w:rsid w:val="002C2FB2"/>
    <w:rsid w:val="002C3055"/>
    <w:rsid w:val="002C37E6"/>
    <w:rsid w:val="002C3852"/>
    <w:rsid w:val="002C38BE"/>
    <w:rsid w:val="002C3BBD"/>
    <w:rsid w:val="002C4351"/>
    <w:rsid w:val="002C4547"/>
    <w:rsid w:val="002C4808"/>
    <w:rsid w:val="002C519D"/>
    <w:rsid w:val="002C529F"/>
    <w:rsid w:val="002C5504"/>
    <w:rsid w:val="002C58E2"/>
    <w:rsid w:val="002C648C"/>
    <w:rsid w:val="002C655C"/>
    <w:rsid w:val="002C6B94"/>
    <w:rsid w:val="002C6D1D"/>
    <w:rsid w:val="002C7B0E"/>
    <w:rsid w:val="002C7CBD"/>
    <w:rsid w:val="002D0025"/>
    <w:rsid w:val="002D027A"/>
    <w:rsid w:val="002D0431"/>
    <w:rsid w:val="002D09A7"/>
    <w:rsid w:val="002D11C6"/>
    <w:rsid w:val="002D17A0"/>
    <w:rsid w:val="002D1A2F"/>
    <w:rsid w:val="002D23B2"/>
    <w:rsid w:val="002D245A"/>
    <w:rsid w:val="002D24A9"/>
    <w:rsid w:val="002D2B4E"/>
    <w:rsid w:val="002D2E9B"/>
    <w:rsid w:val="002D33E9"/>
    <w:rsid w:val="002D35A3"/>
    <w:rsid w:val="002D3BA2"/>
    <w:rsid w:val="002D4354"/>
    <w:rsid w:val="002D4410"/>
    <w:rsid w:val="002D45AB"/>
    <w:rsid w:val="002D4965"/>
    <w:rsid w:val="002D498A"/>
    <w:rsid w:val="002D4D6F"/>
    <w:rsid w:val="002D4D92"/>
    <w:rsid w:val="002D4DB1"/>
    <w:rsid w:val="002D506F"/>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E3B"/>
    <w:rsid w:val="002D7EDD"/>
    <w:rsid w:val="002E045A"/>
    <w:rsid w:val="002E0A9B"/>
    <w:rsid w:val="002E0F8A"/>
    <w:rsid w:val="002E287B"/>
    <w:rsid w:val="002E3CF1"/>
    <w:rsid w:val="002E3F45"/>
    <w:rsid w:val="002E474F"/>
    <w:rsid w:val="002E48DD"/>
    <w:rsid w:val="002E49B5"/>
    <w:rsid w:val="002E4CBF"/>
    <w:rsid w:val="002E535C"/>
    <w:rsid w:val="002E5D24"/>
    <w:rsid w:val="002E6503"/>
    <w:rsid w:val="002E6965"/>
    <w:rsid w:val="002E6A52"/>
    <w:rsid w:val="002E6E34"/>
    <w:rsid w:val="002E7050"/>
    <w:rsid w:val="002E730B"/>
    <w:rsid w:val="002E734B"/>
    <w:rsid w:val="002E7910"/>
    <w:rsid w:val="002E7BC9"/>
    <w:rsid w:val="002E7C77"/>
    <w:rsid w:val="002F04B1"/>
    <w:rsid w:val="002F05B1"/>
    <w:rsid w:val="002F1162"/>
    <w:rsid w:val="002F1536"/>
    <w:rsid w:val="002F15F9"/>
    <w:rsid w:val="002F166A"/>
    <w:rsid w:val="002F1B22"/>
    <w:rsid w:val="002F1B98"/>
    <w:rsid w:val="002F1BEF"/>
    <w:rsid w:val="002F1F5A"/>
    <w:rsid w:val="002F2372"/>
    <w:rsid w:val="002F2784"/>
    <w:rsid w:val="002F299A"/>
    <w:rsid w:val="002F2F0C"/>
    <w:rsid w:val="002F2FA9"/>
    <w:rsid w:val="002F31D1"/>
    <w:rsid w:val="002F347E"/>
    <w:rsid w:val="002F3569"/>
    <w:rsid w:val="002F35C2"/>
    <w:rsid w:val="002F391F"/>
    <w:rsid w:val="002F3EF7"/>
    <w:rsid w:val="002F40BB"/>
    <w:rsid w:val="002F4369"/>
    <w:rsid w:val="002F4474"/>
    <w:rsid w:val="002F44E5"/>
    <w:rsid w:val="002F52B0"/>
    <w:rsid w:val="002F55BC"/>
    <w:rsid w:val="002F56AA"/>
    <w:rsid w:val="002F6271"/>
    <w:rsid w:val="002F64EF"/>
    <w:rsid w:val="002F72D7"/>
    <w:rsid w:val="002F767E"/>
    <w:rsid w:val="002F7A7E"/>
    <w:rsid w:val="003003EF"/>
    <w:rsid w:val="00300835"/>
    <w:rsid w:val="00300C39"/>
    <w:rsid w:val="00300DED"/>
    <w:rsid w:val="0030125A"/>
    <w:rsid w:val="003014ED"/>
    <w:rsid w:val="00301541"/>
    <w:rsid w:val="00302116"/>
    <w:rsid w:val="00302311"/>
    <w:rsid w:val="003027F3"/>
    <w:rsid w:val="00302A5E"/>
    <w:rsid w:val="00302BB8"/>
    <w:rsid w:val="00302D79"/>
    <w:rsid w:val="0030320B"/>
    <w:rsid w:val="003036AA"/>
    <w:rsid w:val="003037AC"/>
    <w:rsid w:val="00303F08"/>
    <w:rsid w:val="0030468C"/>
    <w:rsid w:val="0030470D"/>
    <w:rsid w:val="0030477A"/>
    <w:rsid w:val="00304BFC"/>
    <w:rsid w:val="00304C3F"/>
    <w:rsid w:val="003050F8"/>
    <w:rsid w:val="00305AB0"/>
    <w:rsid w:val="00305E85"/>
    <w:rsid w:val="00305FB5"/>
    <w:rsid w:val="00306797"/>
    <w:rsid w:val="0030697E"/>
    <w:rsid w:val="00307768"/>
    <w:rsid w:val="00307F26"/>
    <w:rsid w:val="0031017F"/>
    <w:rsid w:val="00310674"/>
    <w:rsid w:val="00310907"/>
    <w:rsid w:val="00310A28"/>
    <w:rsid w:val="00311230"/>
    <w:rsid w:val="0031187C"/>
    <w:rsid w:val="00311953"/>
    <w:rsid w:val="00311F2A"/>
    <w:rsid w:val="0031233A"/>
    <w:rsid w:val="0031279E"/>
    <w:rsid w:val="00312E42"/>
    <w:rsid w:val="0031331C"/>
    <w:rsid w:val="00313A9E"/>
    <w:rsid w:val="00313F4F"/>
    <w:rsid w:val="003140CA"/>
    <w:rsid w:val="0031457C"/>
    <w:rsid w:val="00314677"/>
    <w:rsid w:val="00314CEA"/>
    <w:rsid w:val="00314D09"/>
    <w:rsid w:val="00315172"/>
    <w:rsid w:val="003167C7"/>
    <w:rsid w:val="003170D5"/>
    <w:rsid w:val="00317A85"/>
    <w:rsid w:val="00317AC3"/>
    <w:rsid w:val="00317B28"/>
    <w:rsid w:val="00317D4B"/>
    <w:rsid w:val="00317F10"/>
    <w:rsid w:val="003204E8"/>
    <w:rsid w:val="003206CC"/>
    <w:rsid w:val="003206CE"/>
    <w:rsid w:val="00320858"/>
    <w:rsid w:val="00320AFF"/>
    <w:rsid w:val="00321121"/>
    <w:rsid w:val="00321453"/>
    <w:rsid w:val="0032149C"/>
    <w:rsid w:val="003216EE"/>
    <w:rsid w:val="00321A06"/>
    <w:rsid w:val="00321E14"/>
    <w:rsid w:val="00322351"/>
    <w:rsid w:val="00322A7E"/>
    <w:rsid w:val="0032339D"/>
    <w:rsid w:val="003236DA"/>
    <w:rsid w:val="00323792"/>
    <w:rsid w:val="00323CBA"/>
    <w:rsid w:val="00323F89"/>
    <w:rsid w:val="003244B8"/>
    <w:rsid w:val="00325167"/>
    <w:rsid w:val="00325D90"/>
    <w:rsid w:val="00326145"/>
    <w:rsid w:val="0032645A"/>
    <w:rsid w:val="003267EE"/>
    <w:rsid w:val="00326D8D"/>
    <w:rsid w:val="00327AAF"/>
    <w:rsid w:val="00330121"/>
    <w:rsid w:val="00330740"/>
    <w:rsid w:val="00330A41"/>
    <w:rsid w:val="00330F58"/>
    <w:rsid w:val="003314E3"/>
    <w:rsid w:val="00331B5A"/>
    <w:rsid w:val="00331E18"/>
    <w:rsid w:val="00332967"/>
    <w:rsid w:val="0033379C"/>
    <w:rsid w:val="003339FE"/>
    <w:rsid w:val="00333B28"/>
    <w:rsid w:val="00333C78"/>
    <w:rsid w:val="00333F48"/>
    <w:rsid w:val="00333F5C"/>
    <w:rsid w:val="0033439C"/>
    <w:rsid w:val="00334883"/>
    <w:rsid w:val="00334899"/>
    <w:rsid w:val="003349EA"/>
    <w:rsid w:val="00334C03"/>
    <w:rsid w:val="00334E3B"/>
    <w:rsid w:val="003357D1"/>
    <w:rsid w:val="00335C07"/>
    <w:rsid w:val="003360D8"/>
    <w:rsid w:val="0033611C"/>
    <w:rsid w:val="003362DA"/>
    <w:rsid w:val="003364FF"/>
    <w:rsid w:val="003368C0"/>
    <w:rsid w:val="0033709E"/>
    <w:rsid w:val="003370C2"/>
    <w:rsid w:val="00337141"/>
    <w:rsid w:val="00337E5D"/>
    <w:rsid w:val="00337F28"/>
    <w:rsid w:val="003401A3"/>
    <w:rsid w:val="0034028C"/>
    <w:rsid w:val="00341176"/>
    <w:rsid w:val="00341177"/>
    <w:rsid w:val="003411B4"/>
    <w:rsid w:val="00341299"/>
    <w:rsid w:val="00341570"/>
    <w:rsid w:val="00341BB6"/>
    <w:rsid w:val="00342274"/>
    <w:rsid w:val="0034274E"/>
    <w:rsid w:val="00342964"/>
    <w:rsid w:val="003429DA"/>
    <w:rsid w:val="0034333E"/>
    <w:rsid w:val="003434B8"/>
    <w:rsid w:val="00344525"/>
    <w:rsid w:val="00344702"/>
    <w:rsid w:val="00344C2E"/>
    <w:rsid w:val="003455E4"/>
    <w:rsid w:val="00345CBF"/>
    <w:rsid w:val="00346071"/>
    <w:rsid w:val="00346927"/>
    <w:rsid w:val="00346FC0"/>
    <w:rsid w:val="00347190"/>
    <w:rsid w:val="003478E8"/>
    <w:rsid w:val="003479FE"/>
    <w:rsid w:val="00347B63"/>
    <w:rsid w:val="00347E26"/>
    <w:rsid w:val="00350A47"/>
    <w:rsid w:val="00350C27"/>
    <w:rsid w:val="00350E1C"/>
    <w:rsid w:val="00350E24"/>
    <w:rsid w:val="00351536"/>
    <w:rsid w:val="00351642"/>
    <w:rsid w:val="00351A77"/>
    <w:rsid w:val="00351B0B"/>
    <w:rsid w:val="003520EE"/>
    <w:rsid w:val="003521FB"/>
    <w:rsid w:val="003526A3"/>
    <w:rsid w:val="0035272D"/>
    <w:rsid w:val="0035276D"/>
    <w:rsid w:val="00352F7F"/>
    <w:rsid w:val="0035368A"/>
    <w:rsid w:val="003540F8"/>
    <w:rsid w:val="003545FB"/>
    <w:rsid w:val="003552A3"/>
    <w:rsid w:val="00355A68"/>
    <w:rsid w:val="00355DE1"/>
    <w:rsid w:val="0035600B"/>
    <w:rsid w:val="003560D6"/>
    <w:rsid w:val="003561BC"/>
    <w:rsid w:val="00356272"/>
    <w:rsid w:val="00356374"/>
    <w:rsid w:val="003566FB"/>
    <w:rsid w:val="00356BCE"/>
    <w:rsid w:val="00356F76"/>
    <w:rsid w:val="00357321"/>
    <w:rsid w:val="00360861"/>
    <w:rsid w:val="0036096A"/>
    <w:rsid w:val="00360A58"/>
    <w:rsid w:val="00361668"/>
    <w:rsid w:val="003618C5"/>
    <w:rsid w:val="00362213"/>
    <w:rsid w:val="003624A5"/>
    <w:rsid w:val="00363841"/>
    <w:rsid w:val="00363A2E"/>
    <w:rsid w:val="003640D4"/>
    <w:rsid w:val="003650F1"/>
    <w:rsid w:val="0036537A"/>
    <w:rsid w:val="00365C34"/>
    <w:rsid w:val="003661E7"/>
    <w:rsid w:val="00366A06"/>
    <w:rsid w:val="00366BF8"/>
    <w:rsid w:val="0036708C"/>
    <w:rsid w:val="0036711E"/>
    <w:rsid w:val="003673CE"/>
    <w:rsid w:val="003702B8"/>
    <w:rsid w:val="00370DFD"/>
    <w:rsid w:val="00370E04"/>
    <w:rsid w:val="00370F4B"/>
    <w:rsid w:val="0037115B"/>
    <w:rsid w:val="00371D2A"/>
    <w:rsid w:val="00372423"/>
    <w:rsid w:val="003724A1"/>
    <w:rsid w:val="00372F03"/>
    <w:rsid w:val="0037309E"/>
    <w:rsid w:val="00373676"/>
    <w:rsid w:val="00373ACC"/>
    <w:rsid w:val="00373DD4"/>
    <w:rsid w:val="00374586"/>
    <w:rsid w:val="00374B35"/>
    <w:rsid w:val="0037500F"/>
    <w:rsid w:val="00375252"/>
    <w:rsid w:val="0037580E"/>
    <w:rsid w:val="003758B9"/>
    <w:rsid w:val="0037593E"/>
    <w:rsid w:val="00375C19"/>
    <w:rsid w:val="00375C6F"/>
    <w:rsid w:val="00376326"/>
    <w:rsid w:val="003769A3"/>
    <w:rsid w:val="00376D27"/>
    <w:rsid w:val="0037773A"/>
    <w:rsid w:val="0038002C"/>
    <w:rsid w:val="003801E9"/>
    <w:rsid w:val="0038148A"/>
    <w:rsid w:val="00381946"/>
    <w:rsid w:val="00382034"/>
    <w:rsid w:val="0038243B"/>
    <w:rsid w:val="003827E6"/>
    <w:rsid w:val="00382A73"/>
    <w:rsid w:val="0038341A"/>
    <w:rsid w:val="00383848"/>
    <w:rsid w:val="0038386D"/>
    <w:rsid w:val="00383AD9"/>
    <w:rsid w:val="00383DF7"/>
    <w:rsid w:val="00384998"/>
    <w:rsid w:val="003853EB"/>
    <w:rsid w:val="0038598A"/>
    <w:rsid w:val="00385C57"/>
    <w:rsid w:val="00385D44"/>
    <w:rsid w:val="00385EF6"/>
    <w:rsid w:val="0038692E"/>
    <w:rsid w:val="00386AC6"/>
    <w:rsid w:val="003877E7"/>
    <w:rsid w:val="00387DD3"/>
    <w:rsid w:val="00387F57"/>
    <w:rsid w:val="00390992"/>
    <w:rsid w:val="00390AA6"/>
    <w:rsid w:val="00390B55"/>
    <w:rsid w:val="003910B8"/>
    <w:rsid w:val="0039123B"/>
    <w:rsid w:val="00391382"/>
    <w:rsid w:val="00391723"/>
    <w:rsid w:val="00391933"/>
    <w:rsid w:val="00391AE6"/>
    <w:rsid w:val="00392405"/>
    <w:rsid w:val="00393371"/>
    <w:rsid w:val="003934E5"/>
    <w:rsid w:val="003937AE"/>
    <w:rsid w:val="00393E1A"/>
    <w:rsid w:val="00394204"/>
    <w:rsid w:val="003951E0"/>
    <w:rsid w:val="00395386"/>
    <w:rsid w:val="003959D6"/>
    <w:rsid w:val="00395C9A"/>
    <w:rsid w:val="00395E88"/>
    <w:rsid w:val="00395FCF"/>
    <w:rsid w:val="00396E3E"/>
    <w:rsid w:val="00397BE9"/>
    <w:rsid w:val="003A06C9"/>
    <w:rsid w:val="003A12B0"/>
    <w:rsid w:val="003A1462"/>
    <w:rsid w:val="003A1BDD"/>
    <w:rsid w:val="003A21BD"/>
    <w:rsid w:val="003A2212"/>
    <w:rsid w:val="003A2231"/>
    <w:rsid w:val="003A3143"/>
    <w:rsid w:val="003A34FE"/>
    <w:rsid w:val="003A3FCB"/>
    <w:rsid w:val="003A4153"/>
    <w:rsid w:val="003A4E60"/>
    <w:rsid w:val="003A4F8B"/>
    <w:rsid w:val="003A572B"/>
    <w:rsid w:val="003A6170"/>
    <w:rsid w:val="003A61A6"/>
    <w:rsid w:val="003A6315"/>
    <w:rsid w:val="003A65A1"/>
    <w:rsid w:val="003A6629"/>
    <w:rsid w:val="003A66A3"/>
    <w:rsid w:val="003A6C57"/>
    <w:rsid w:val="003A70AD"/>
    <w:rsid w:val="003A74C3"/>
    <w:rsid w:val="003A754E"/>
    <w:rsid w:val="003B070B"/>
    <w:rsid w:val="003B0798"/>
    <w:rsid w:val="003B08E5"/>
    <w:rsid w:val="003B09C3"/>
    <w:rsid w:val="003B0EF9"/>
    <w:rsid w:val="003B12DD"/>
    <w:rsid w:val="003B188D"/>
    <w:rsid w:val="003B18D3"/>
    <w:rsid w:val="003B209C"/>
    <w:rsid w:val="003B3467"/>
    <w:rsid w:val="003B36CC"/>
    <w:rsid w:val="003B3741"/>
    <w:rsid w:val="003B3ABE"/>
    <w:rsid w:val="003B3BCE"/>
    <w:rsid w:val="003B3FEF"/>
    <w:rsid w:val="003B467C"/>
    <w:rsid w:val="003B4C84"/>
    <w:rsid w:val="003B4EA7"/>
    <w:rsid w:val="003B59A3"/>
    <w:rsid w:val="003B5D6B"/>
    <w:rsid w:val="003B7171"/>
    <w:rsid w:val="003B7542"/>
    <w:rsid w:val="003B77AF"/>
    <w:rsid w:val="003B77D4"/>
    <w:rsid w:val="003B7B4E"/>
    <w:rsid w:val="003B7DA0"/>
    <w:rsid w:val="003B7FD7"/>
    <w:rsid w:val="003C04F0"/>
    <w:rsid w:val="003C09E3"/>
    <w:rsid w:val="003C0B1F"/>
    <w:rsid w:val="003C0F77"/>
    <w:rsid w:val="003C14C4"/>
    <w:rsid w:val="003C185B"/>
    <w:rsid w:val="003C1B83"/>
    <w:rsid w:val="003C2632"/>
    <w:rsid w:val="003C342A"/>
    <w:rsid w:val="003C342D"/>
    <w:rsid w:val="003C3C3F"/>
    <w:rsid w:val="003C3ED0"/>
    <w:rsid w:val="003C4812"/>
    <w:rsid w:val="003C4B90"/>
    <w:rsid w:val="003C4E7F"/>
    <w:rsid w:val="003C50EE"/>
    <w:rsid w:val="003C5B73"/>
    <w:rsid w:val="003C60F2"/>
    <w:rsid w:val="003C6154"/>
    <w:rsid w:val="003C665A"/>
    <w:rsid w:val="003C681E"/>
    <w:rsid w:val="003C6A4B"/>
    <w:rsid w:val="003C6BC6"/>
    <w:rsid w:val="003C7D4B"/>
    <w:rsid w:val="003D00BF"/>
    <w:rsid w:val="003D0117"/>
    <w:rsid w:val="003D0813"/>
    <w:rsid w:val="003D1285"/>
    <w:rsid w:val="003D1758"/>
    <w:rsid w:val="003D20C6"/>
    <w:rsid w:val="003D211C"/>
    <w:rsid w:val="003D2146"/>
    <w:rsid w:val="003D2492"/>
    <w:rsid w:val="003D2676"/>
    <w:rsid w:val="003D28B8"/>
    <w:rsid w:val="003D3B82"/>
    <w:rsid w:val="003D42ED"/>
    <w:rsid w:val="003D437A"/>
    <w:rsid w:val="003D47EC"/>
    <w:rsid w:val="003D4C9E"/>
    <w:rsid w:val="003D4E5B"/>
    <w:rsid w:val="003D4E6A"/>
    <w:rsid w:val="003D55E5"/>
    <w:rsid w:val="003D74E0"/>
    <w:rsid w:val="003D7ADC"/>
    <w:rsid w:val="003E07E5"/>
    <w:rsid w:val="003E0D95"/>
    <w:rsid w:val="003E19DA"/>
    <w:rsid w:val="003E252B"/>
    <w:rsid w:val="003E2E6C"/>
    <w:rsid w:val="003E314E"/>
    <w:rsid w:val="003E345F"/>
    <w:rsid w:val="003E3701"/>
    <w:rsid w:val="003E4C0F"/>
    <w:rsid w:val="003E4DD4"/>
    <w:rsid w:val="003E4E82"/>
    <w:rsid w:val="003E5077"/>
    <w:rsid w:val="003E5390"/>
    <w:rsid w:val="003E59D8"/>
    <w:rsid w:val="003E5B53"/>
    <w:rsid w:val="003E5C36"/>
    <w:rsid w:val="003E5D2C"/>
    <w:rsid w:val="003E623C"/>
    <w:rsid w:val="003E680C"/>
    <w:rsid w:val="003E680D"/>
    <w:rsid w:val="003E6CEA"/>
    <w:rsid w:val="003E6FC9"/>
    <w:rsid w:val="003E740E"/>
    <w:rsid w:val="003E7525"/>
    <w:rsid w:val="003E79B8"/>
    <w:rsid w:val="003E7C3C"/>
    <w:rsid w:val="003E7CBA"/>
    <w:rsid w:val="003E7E59"/>
    <w:rsid w:val="003F0127"/>
    <w:rsid w:val="003F08B4"/>
    <w:rsid w:val="003F0B5E"/>
    <w:rsid w:val="003F0BFA"/>
    <w:rsid w:val="003F15E0"/>
    <w:rsid w:val="003F1C9F"/>
    <w:rsid w:val="003F1D6A"/>
    <w:rsid w:val="003F220B"/>
    <w:rsid w:val="003F23D6"/>
    <w:rsid w:val="003F2814"/>
    <w:rsid w:val="003F28FD"/>
    <w:rsid w:val="003F2D8C"/>
    <w:rsid w:val="003F2FB1"/>
    <w:rsid w:val="003F403E"/>
    <w:rsid w:val="003F4FBA"/>
    <w:rsid w:val="003F5487"/>
    <w:rsid w:val="003F5E39"/>
    <w:rsid w:val="003F5EDC"/>
    <w:rsid w:val="003F6490"/>
    <w:rsid w:val="003F651F"/>
    <w:rsid w:val="003F69F7"/>
    <w:rsid w:val="003F6D39"/>
    <w:rsid w:val="003F7353"/>
    <w:rsid w:val="003F76FF"/>
    <w:rsid w:val="003F789F"/>
    <w:rsid w:val="003F7F0B"/>
    <w:rsid w:val="00400D2D"/>
    <w:rsid w:val="00401019"/>
    <w:rsid w:val="00401AD4"/>
    <w:rsid w:val="004026DC"/>
    <w:rsid w:val="00402706"/>
    <w:rsid w:val="00402A23"/>
    <w:rsid w:val="00402D2A"/>
    <w:rsid w:val="00403179"/>
    <w:rsid w:val="0040328E"/>
    <w:rsid w:val="004035CD"/>
    <w:rsid w:val="004036F2"/>
    <w:rsid w:val="00403859"/>
    <w:rsid w:val="00403E50"/>
    <w:rsid w:val="00404106"/>
    <w:rsid w:val="00404201"/>
    <w:rsid w:val="00404498"/>
    <w:rsid w:val="00404DA4"/>
    <w:rsid w:val="00404F8B"/>
    <w:rsid w:val="0040510B"/>
    <w:rsid w:val="00405925"/>
    <w:rsid w:val="00405F92"/>
    <w:rsid w:val="00406088"/>
    <w:rsid w:val="00406D62"/>
    <w:rsid w:val="00407F6F"/>
    <w:rsid w:val="00410C5C"/>
    <w:rsid w:val="00410E7E"/>
    <w:rsid w:val="00410EB9"/>
    <w:rsid w:val="004118F9"/>
    <w:rsid w:val="00411B7C"/>
    <w:rsid w:val="004123D6"/>
    <w:rsid w:val="004123D7"/>
    <w:rsid w:val="004124A6"/>
    <w:rsid w:val="004127AF"/>
    <w:rsid w:val="004135CB"/>
    <w:rsid w:val="00413C67"/>
    <w:rsid w:val="00414D05"/>
    <w:rsid w:val="00415838"/>
    <w:rsid w:val="00415E56"/>
    <w:rsid w:val="00416BB3"/>
    <w:rsid w:val="00416C21"/>
    <w:rsid w:val="00416E0B"/>
    <w:rsid w:val="004175DB"/>
    <w:rsid w:val="00417A2C"/>
    <w:rsid w:val="00417E33"/>
    <w:rsid w:val="00420596"/>
    <w:rsid w:val="00420A72"/>
    <w:rsid w:val="00421C15"/>
    <w:rsid w:val="00422D84"/>
    <w:rsid w:val="00422F4B"/>
    <w:rsid w:val="00423006"/>
    <w:rsid w:val="00423067"/>
    <w:rsid w:val="00423296"/>
    <w:rsid w:val="00423D6B"/>
    <w:rsid w:val="00424C2A"/>
    <w:rsid w:val="00424D2E"/>
    <w:rsid w:val="00424F51"/>
    <w:rsid w:val="004251AC"/>
    <w:rsid w:val="0042554A"/>
    <w:rsid w:val="00425F5C"/>
    <w:rsid w:val="00426DDA"/>
    <w:rsid w:val="00427296"/>
    <w:rsid w:val="00427BC8"/>
    <w:rsid w:val="00430204"/>
    <w:rsid w:val="004302C1"/>
    <w:rsid w:val="00430537"/>
    <w:rsid w:val="00430A3C"/>
    <w:rsid w:val="00430D47"/>
    <w:rsid w:val="0043140B"/>
    <w:rsid w:val="0043202A"/>
    <w:rsid w:val="00432C9D"/>
    <w:rsid w:val="00433034"/>
    <w:rsid w:val="004331A1"/>
    <w:rsid w:val="00433EE0"/>
    <w:rsid w:val="00434416"/>
    <w:rsid w:val="004346FE"/>
    <w:rsid w:val="00434772"/>
    <w:rsid w:val="0043487C"/>
    <w:rsid w:val="004348A7"/>
    <w:rsid w:val="00435539"/>
    <w:rsid w:val="00435A62"/>
    <w:rsid w:val="00435BB8"/>
    <w:rsid w:val="00436F7A"/>
    <w:rsid w:val="00437151"/>
    <w:rsid w:val="004373B6"/>
    <w:rsid w:val="00437509"/>
    <w:rsid w:val="00437965"/>
    <w:rsid w:val="0044062A"/>
    <w:rsid w:val="00440667"/>
    <w:rsid w:val="00440803"/>
    <w:rsid w:val="0044124D"/>
    <w:rsid w:val="0044151D"/>
    <w:rsid w:val="00441CB3"/>
    <w:rsid w:val="004421F5"/>
    <w:rsid w:val="004424DD"/>
    <w:rsid w:val="00442B8B"/>
    <w:rsid w:val="00442B98"/>
    <w:rsid w:val="00442BD5"/>
    <w:rsid w:val="00442D6B"/>
    <w:rsid w:val="0044340C"/>
    <w:rsid w:val="00443AF2"/>
    <w:rsid w:val="0044436A"/>
    <w:rsid w:val="00444858"/>
    <w:rsid w:val="00444B95"/>
    <w:rsid w:val="00444BD1"/>
    <w:rsid w:val="00444DD1"/>
    <w:rsid w:val="0044530A"/>
    <w:rsid w:val="0044583F"/>
    <w:rsid w:val="00445BD5"/>
    <w:rsid w:val="00445F3B"/>
    <w:rsid w:val="00447045"/>
    <w:rsid w:val="00447289"/>
    <w:rsid w:val="00447B2A"/>
    <w:rsid w:val="0045014F"/>
    <w:rsid w:val="0045029F"/>
    <w:rsid w:val="004506D1"/>
    <w:rsid w:val="00450D70"/>
    <w:rsid w:val="00451533"/>
    <w:rsid w:val="00451B69"/>
    <w:rsid w:val="004521AE"/>
    <w:rsid w:val="004522FA"/>
    <w:rsid w:val="004529C6"/>
    <w:rsid w:val="00452BBE"/>
    <w:rsid w:val="00452ECD"/>
    <w:rsid w:val="00453134"/>
    <w:rsid w:val="004538B1"/>
    <w:rsid w:val="00453932"/>
    <w:rsid w:val="00453E54"/>
    <w:rsid w:val="00453EEA"/>
    <w:rsid w:val="004545DA"/>
    <w:rsid w:val="00454B2C"/>
    <w:rsid w:val="00454B47"/>
    <w:rsid w:val="00454E0F"/>
    <w:rsid w:val="00455025"/>
    <w:rsid w:val="0045526C"/>
    <w:rsid w:val="004552C7"/>
    <w:rsid w:val="0045546B"/>
    <w:rsid w:val="00455635"/>
    <w:rsid w:val="0045564C"/>
    <w:rsid w:val="00455881"/>
    <w:rsid w:val="00455ADB"/>
    <w:rsid w:val="00456269"/>
    <w:rsid w:val="004569D9"/>
    <w:rsid w:val="00457020"/>
    <w:rsid w:val="00457950"/>
    <w:rsid w:val="00457988"/>
    <w:rsid w:val="00460070"/>
    <w:rsid w:val="00460087"/>
    <w:rsid w:val="00460B41"/>
    <w:rsid w:val="00460CB1"/>
    <w:rsid w:val="004617DC"/>
    <w:rsid w:val="00461968"/>
    <w:rsid w:val="00461B0B"/>
    <w:rsid w:val="00462883"/>
    <w:rsid w:val="00462B4F"/>
    <w:rsid w:val="00462DD5"/>
    <w:rsid w:val="004633A0"/>
    <w:rsid w:val="00463B89"/>
    <w:rsid w:val="00464059"/>
    <w:rsid w:val="0046409F"/>
    <w:rsid w:val="004647BC"/>
    <w:rsid w:val="00464A5B"/>
    <w:rsid w:val="00464D5B"/>
    <w:rsid w:val="00464F86"/>
    <w:rsid w:val="00465187"/>
    <w:rsid w:val="00465854"/>
    <w:rsid w:val="00465A7C"/>
    <w:rsid w:val="00465FF5"/>
    <w:rsid w:val="00466190"/>
    <w:rsid w:val="004673D7"/>
    <w:rsid w:val="00467BF6"/>
    <w:rsid w:val="00467C92"/>
    <w:rsid w:val="00467F20"/>
    <w:rsid w:val="00470214"/>
    <w:rsid w:val="00470A02"/>
    <w:rsid w:val="00470DE9"/>
    <w:rsid w:val="00470FD2"/>
    <w:rsid w:val="00470FD3"/>
    <w:rsid w:val="0047140F"/>
    <w:rsid w:val="00471483"/>
    <w:rsid w:val="004716DB"/>
    <w:rsid w:val="00471FF4"/>
    <w:rsid w:val="004726F6"/>
    <w:rsid w:val="00472E06"/>
    <w:rsid w:val="0047316C"/>
    <w:rsid w:val="004733BC"/>
    <w:rsid w:val="00473D18"/>
    <w:rsid w:val="004742C5"/>
    <w:rsid w:val="004745C5"/>
    <w:rsid w:val="00474743"/>
    <w:rsid w:val="00474F66"/>
    <w:rsid w:val="004758F6"/>
    <w:rsid w:val="00475A63"/>
    <w:rsid w:val="00476318"/>
    <w:rsid w:val="00476520"/>
    <w:rsid w:val="004768BF"/>
    <w:rsid w:val="00476CB8"/>
    <w:rsid w:val="00476F18"/>
    <w:rsid w:val="004774AF"/>
    <w:rsid w:val="004777FC"/>
    <w:rsid w:val="00477B07"/>
    <w:rsid w:val="00477D94"/>
    <w:rsid w:val="00477F60"/>
    <w:rsid w:val="00477FA5"/>
    <w:rsid w:val="00480078"/>
    <w:rsid w:val="00480ED1"/>
    <w:rsid w:val="00480EF4"/>
    <w:rsid w:val="0048101B"/>
    <w:rsid w:val="0048135F"/>
    <w:rsid w:val="00481DCB"/>
    <w:rsid w:val="00481E81"/>
    <w:rsid w:val="0048215F"/>
    <w:rsid w:val="00482538"/>
    <w:rsid w:val="004825DF"/>
    <w:rsid w:val="00482D48"/>
    <w:rsid w:val="00482E3C"/>
    <w:rsid w:val="00482F4A"/>
    <w:rsid w:val="0048314E"/>
    <w:rsid w:val="004832E5"/>
    <w:rsid w:val="00484A09"/>
    <w:rsid w:val="00484A79"/>
    <w:rsid w:val="0048524C"/>
    <w:rsid w:val="004856A5"/>
    <w:rsid w:val="00485792"/>
    <w:rsid w:val="00485EA6"/>
    <w:rsid w:val="004869EF"/>
    <w:rsid w:val="00486E8B"/>
    <w:rsid w:val="00486EF8"/>
    <w:rsid w:val="00487343"/>
    <w:rsid w:val="00487EAF"/>
    <w:rsid w:val="0049062F"/>
    <w:rsid w:val="00490721"/>
    <w:rsid w:val="00490877"/>
    <w:rsid w:val="00490B0F"/>
    <w:rsid w:val="004910B4"/>
    <w:rsid w:val="00491639"/>
    <w:rsid w:val="004917D9"/>
    <w:rsid w:val="0049190B"/>
    <w:rsid w:val="00491C2D"/>
    <w:rsid w:val="004920BC"/>
    <w:rsid w:val="004926C2"/>
    <w:rsid w:val="00493431"/>
    <w:rsid w:val="004934BA"/>
    <w:rsid w:val="004939F6"/>
    <w:rsid w:val="00493B82"/>
    <w:rsid w:val="00494DD9"/>
    <w:rsid w:val="00495961"/>
    <w:rsid w:val="00495B9B"/>
    <w:rsid w:val="00495F3F"/>
    <w:rsid w:val="004960D1"/>
    <w:rsid w:val="00496423"/>
    <w:rsid w:val="00496C1C"/>
    <w:rsid w:val="00496F98"/>
    <w:rsid w:val="0049728E"/>
    <w:rsid w:val="00497CCE"/>
    <w:rsid w:val="004A0129"/>
    <w:rsid w:val="004A0ED3"/>
    <w:rsid w:val="004A16B7"/>
    <w:rsid w:val="004A1972"/>
    <w:rsid w:val="004A2331"/>
    <w:rsid w:val="004A331A"/>
    <w:rsid w:val="004A33CF"/>
    <w:rsid w:val="004A3672"/>
    <w:rsid w:val="004A4301"/>
    <w:rsid w:val="004A4D35"/>
    <w:rsid w:val="004A59C0"/>
    <w:rsid w:val="004A5C4D"/>
    <w:rsid w:val="004A6F5E"/>
    <w:rsid w:val="004A7B9E"/>
    <w:rsid w:val="004A7E48"/>
    <w:rsid w:val="004B020D"/>
    <w:rsid w:val="004B0627"/>
    <w:rsid w:val="004B0810"/>
    <w:rsid w:val="004B0AA9"/>
    <w:rsid w:val="004B0BB7"/>
    <w:rsid w:val="004B1361"/>
    <w:rsid w:val="004B1557"/>
    <w:rsid w:val="004B1589"/>
    <w:rsid w:val="004B17CB"/>
    <w:rsid w:val="004B18C0"/>
    <w:rsid w:val="004B19C9"/>
    <w:rsid w:val="004B1BA1"/>
    <w:rsid w:val="004B1C3F"/>
    <w:rsid w:val="004B2069"/>
    <w:rsid w:val="004B21F7"/>
    <w:rsid w:val="004B25F0"/>
    <w:rsid w:val="004B2F61"/>
    <w:rsid w:val="004B3210"/>
    <w:rsid w:val="004B32B3"/>
    <w:rsid w:val="004B341D"/>
    <w:rsid w:val="004B3461"/>
    <w:rsid w:val="004B35A6"/>
    <w:rsid w:val="004B392B"/>
    <w:rsid w:val="004B44CC"/>
    <w:rsid w:val="004B4EB2"/>
    <w:rsid w:val="004B53B2"/>
    <w:rsid w:val="004B569F"/>
    <w:rsid w:val="004B5A97"/>
    <w:rsid w:val="004B6174"/>
    <w:rsid w:val="004B626F"/>
    <w:rsid w:val="004B6358"/>
    <w:rsid w:val="004B6E9B"/>
    <w:rsid w:val="004B7308"/>
    <w:rsid w:val="004B7359"/>
    <w:rsid w:val="004B73F8"/>
    <w:rsid w:val="004B76A0"/>
    <w:rsid w:val="004B77B3"/>
    <w:rsid w:val="004C08AD"/>
    <w:rsid w:val="004C09D8"/>
    <w:rsid w:val="004C0F72"/>
    <w:rsid w:val="004C115D"/>
    <w:rsid w:val="004C11F4"/>
    <w:rsid w:val="004C1317"/>
    <w:rsid w:val="004C196B"/>
    <w:rsid w:val="004C1DCD"/>
    <w:rsid w:val="004C22BF"/>
    <w:rsid w:val="004C3037"/>
    <w:rsid w:val="004C3064"/>
    <w:rsid w:val="004C3E18"/>
    <w:rsid w:val="004C3F5C"/>
    <w:rsid w:val="004C441B"/>
    <w:rsid w:val="004C44E1"/>
    <w:rsid w:val="004C4578"/>
    <w:rsid w:val="004C4827"/>
    <w:rsid w:val="004C4868"/>
    <w:rsid w:val="004C4A57"/>
    <w:rsid w:val="004C5741"/>
    <w:rsid w:val="004C578A"/>
    <w:rsid w:val="004C616C"/>
    <w:rsid w:val="004C6398"/>
    <w:rsid w:val="004C63AD"/>
    <w:rsid w:val="004C6932"/>
    <w:rsid w:val="004C6E58"/>
    <w:rsid w:val="004C7074"/>
    <w:rsid w:val="004C78B2"/>
    <w:rsid w:val="004C7AB2"/>
    <w:rsid w:val="004C7EAD"/>
    <w:rsid w:val="004C7EF4"/>
    <w:rsid w:val="004C7FF7"/>
    <w:rsid w:val="004D0ED5"/>
    <w:rsid w:val="004D10B8"/>
    <w:rsid w:val="004D1821"/>
    <w:rsid w:val="004D1F0E"/>
    <w:rsid w:val="004D2E00"/>
    <w:rsid w:val="004D300F"/>
    <w:rsid w:val="004D354B"/>
    <w:rsid w:val="004D3B3F"/>
    <w:rsid w:val="004D41BC"/>
    <w:rsid w:val="004D44BA"/>
    <w:rsid w:val="004D44BC"/>
    <w:rsid w:val="004D4781"/>
    <w:rsid w:val="004D4872"/>
    <w:rsid w:val="004D4E92"/>
    <w:rsid w:val="004D54A2"/>
    <w:rsid w:val="004D56AA"/>
    <w:rsid w:val="004D581B"/>
    <w:rsid w:val="004D63ED"/>
    <w:rsid w:val="004D6E71"/>
    <w:rsid w:val="004D6F16"/>
    <w:rsid w:val="004D7F21"/>
    <w:rsid w:val="004E01EA"/>
    <w:rsid w:val="004E03F2"/>
    <w:rsid w:val="004E081F"/>
    <w:rsid w:val="004E0ADA"/>
    <w:rsid w:val="004E121C"/>
    <w:rsid w:val="004E14D6"/>
    <w:rsid w:val="004E1581"/>
    <w:rsid w:val="004E1694"/>
    <w:rsid w:val="004E1ACF"/>
    <w:rsid w:val="004E1E46"/>
    <w:rsid w:val="004E1F3B"/>
    <w:rsid w:val="004E2457"/>
    <w:rsid w:val="004E29BB"/>
    <w:rsid w:val="004E29C0"/>
    <w:rsid w:val="004E4041"/>
    <w:rsid w:val="004E44AF"/>
    <w:rsid w:val="004E4A5F"/>
    <w:rsid w:val="004E52E0"/>
    <w:rsid w:val="004E570A"/>
    <w:rsid w:val="004E5762"/>
    <w:rsid w:val="004E5DE4"/>
    <w:rsid w:val="004E63E9"/>
    <w:rsid w:val="004E6875"/>
    <w:rsid w:val="004E6CCE"/>
    <w:rsid w:val="004E6E40"/>
    <w:rsid w:val="004E71F7"/>
    <w:rsid w:val="004E79C4"/>
    <w:rsid w:val="004E7E4B"/>
    <w:rsid w:val="004E7F41"/>
    <w:rsid w:val="004F0A8A"/>
    <w:rsid w:val="004F0D12"/>
    <w:rsid w:val="004F0E49"/>
    <w:rsid w:val="004F1504"/>
    <w:rsid w:val="004F1DB5"/>
    <w:rsid w:val="004F2006"/>
    <w:rsid w:val="004F234E"/>
    <w:rsid w:val="004F265A"/>
    <w:rsid w:val="004F268A"/>
    <w:rsid w:val="004F2AA4"/>
    <w:rsid w:val="004F2C0C"/>
    <w:rsid w:val="004F3244"/>
    <w:rsid w:val="004F32FB"/>
    <w:rsid w:val="004F394A"/>
    <w:rsid w:val="004F45B6"/>
    <w:rsid w:val="004F4DF2"/>
    <w:rsid w:val="004F4FAB"/>
    <w:rsid w:val="004F520E"/>
    <w:rsid w:val="004F5331"/>
    <w:rsid w:val="004F5C6E"/>
    <w:rsid w:val="004F6703"/>
    <w:rsid w:val="004F78B5"/>
    <w:rsid w:val="004F7B50"/>
    <w:rsid w:val="0050011B"/>
    <w:rsid w:val="005001D8"/>
    <w:rsid w:val="0050071A"/>
    <w:rsid w:val="0050096E"/>
    <w:rsid w:val="00501558"/>
    <w:rsid w:val="00501C70"/>
    <w:rsid w:val="0050232A"/>
    <w:rsid w:val="005025C5"/>
    <w:rsid w:val="005029F8"/>
    <w:rsid w:val="00502C5B"/>
    <w:rsid w:val="005033D3"/>
    <w:rsid w:val="005034AE"/>
    <w:rsid w:val="005037B7"/>
    <w:rsid w:val="00504EA5"/>
    <w:rsid w:val="005058D0"/>
    <w:rsid w:val="00505ABD"/>
    <w:rsid w:val="00505C57"/>
    <w:rsid w:val="00505D6D"/>
    <w:rsid w:val="00506382"/>
    <w:rsid w:val="00506D16"/>
    <w:rsid w:val="00506E25"/>
    <w:rsid w:val="00507895"/>
    <w:rsid w:val="00507FDD"/>
    <w:rsid w:val="0051025D"/>
    <w:rsid w:val="00510311"/>
    <w:rsid w:val="00510763"/>
    <w:rsid w:val="00510D1D"/>
    <w:rsid w:val="00510F1E"/>
    <w:rsid w:val="005110A7"/>
    <w:rsid w:val="005111C5"/>
    <w:rsid w:val="00511681"/>
    <w:rsid w:val="0051178B"/>
    <w:rsid w:val="00511842"/>
    <w:rsid w:val="00511DD0"/>
    <w:rsid w:val="00511E41"/>
    <w:rsid w:val="00511ED2"/>
    <w:rsid w:val="00511FB0"/>
    <w:rsid w:val="0051261E"/>
    <w:rsid w:val="00512811"/>
    <w:rsid w:val="00512ACB"/>
    <w:rsid w:val="00513501"/>
    <w:rsid w:val="00513A28"/>
    <w:rsid w:val="0051467B"/>
    <w:rsid w:val="005153BB"/>
    <w:rsid w:val="005154D6"/>
    <w:rsid w:val="005159FD"/>
    <w:rsid w:val="0051639C"/>
    <w:rsid w:val="00516448"/>
    <w:rsid w:val="00516470"/>
    <w:rsid w:val="00516726"/>
    <w:rsid w:val="00516B59"/>
    <w:rsid w:val="00516D8B"/>
    <w:rsid w:val="0051726D"/>
    <w:rsid w:val="005172AA"/>
    <w:rsid w:val="005173D5"/>
    <w:rsid w:val="00517EB6"/>
    <w:rsid w:val="0052001E"/>
    <w:rsid w:val="005214AA"/>
    <w:rsid w:val="00521575"/>
    <w:rsid w:val="00521CB9"/>
    <w:rsid w:val="00521D6C"/>
    <w:rsid w:val="0052279E"/>
    <w:rsid w:val="00523280"/>
    <w:rsid w:val="005234B0"/>
    <w:rsid w:val="00523747"/>
    <w:rsid w:val="0052392D"/>
    <w:rsid w:val="00523D48"/>
    <w:rsid w:val="0052414A"/>
    <w:rsid w:val="00524301"/>
    <w:rsid w:val="005248D0"/>
    <w:rsid w:val="00524A14"/>
    <w:rsid w:val="00524B96"/>
    <w:rsid w:val="0052549C"/>
    <w:rsid w:val="0052565B"/>
    <w:rsid w:val="005256C0"/>
    <w:rsid w:val="005258BB"/>
    <w:rsid w:val="00525913"/>
    <w:rsid w:val="00525B08"/>
    <w:rsid w:val="00525B99"/>
    <w:rsid w:val="00525ED3"/>
    <w:rsid w:val="005260D6"/>
    <w:rsid w:val="00526206"/>
    <w:rsid w:val="00526250"/>
    <w:rsid w:val="00526300"/>
    <w:rsid w:val="0052646B"/>
    <w:rsid w:val="005265E4"/>
    <w:rsid w:val="00526817"/>
    <w:rsid w:val="00526B19"/>
    <w:rsid w:val="00526B44"/>
    <w:rsid w:val="0052702D"/>
    <w:rsid w:val="005273C6"/>
    <w:rsid w:val="005273E4"/>
    <w:rsid w:val="005275AD"/>
    <w:rsid w:val="0053022E"/>
    <w:rsid w:val="00530581"/>
    <w:rsid w:val="00530B0D"/>
    <w:rsid w:val="00530E2F"/>
    <w:rsid w:val="005310DF"/>
    <w:rsid w:val="00531414"/>
    <w:rsid w:val="00531EF4"/>
    <w:rsid w:val="00531F4F"/>
    <w:rsid w:val="005324F0"/>
    <w:rsid w:val="005325BA"/>
    <w:rsid w:val="00532B8D"/>
    <w:rsid w:val="00532DF5"/>
    <w:rsid w:val="00532EA9"/>
    <w:rsid w:val="005335E2"/>
    <w:rsid w:val="00533AF4"/>
    <w:rsid w:val="00533C7E"/>
    <w:rsid w:val="005341DB"/>
    <w:rsid w:val="00534492"/>
    <w:rsid w:val="005347BD"/>
    <w:rsid w:val="00534BEF"/>
    <w:rsid w:val="00534D80"/>
    <w:rsid w:val="00535227"/>
    <w:rsid w:val="005352E5"/>
    <w:rsid w:val="00535355"/>
    <w:rsid w:val="00535517"/>
    <w:rsid w:val="00535802"/>
    <w:rsid w:val="0053580A"/>
    <w:rsid w:val="005358C2"/>
    <w:rsid w:val="00535960"/>
    <w:rsid w:val="005363F9"/>
    <w:rsid w:val="005364A3"/>
    <w:rsid w:val="0053652C"/>
    <w:rsid w:val="0053655A"/>
    <w:rsid w:val="00536726"/>
    <w:rsid w:val="00536777"/>
    <w:rsid w:val="00536E7C"/>
    <w:rsid w:val="005371B1"/>
    <w:rsid w:val="00537710"/>
    <w:rsid w:val="00537D39"/>
    <w:rsid w:val="00540113"/>
    <w:rsid w:val="00540858"/>
    <w:rsid w:val="00540AA6"/>
    <w:rsid w:val="00540FE2"/>
    <w:rsid w:val="00541FFF"/>
    <w:rsid w:val="005423A9"/>
    <w:rsid w:val="00542402"/>
    <w:rsid w:val="005425D8"/>
    <w:rsid w:val="00542639"/>
    <w:rsid w:val="005429D5"/>
    <w:rsid w:val="00543819"/>
    <w:rsid w:val="00543D88"/>
    <w:rsid w:val="00544135"/>
    <w:rsid w:val="0054425C"/>
    <w:rsid w:val="00544FCE"/>
    <w:rsid w:val="0054535E"/>
    <w:rsid w:val="00545CB6"/>
    <w:rsid w:val="00545DEE"/>
    <w:rsid w:val="00545E5A"/>
    <w:rsid w:val="00545F54"/>
    <w:rsid w:val="00546847"/>
    <w:rsid w:val="00547252"/>
    <w:rsid w:val="005476EA"/>
    <w:rsid w:val="00550168"/>
    <w:rsid w:val="00550171"/>
    <w:rsid w:val="00550541"/>
    <w:rsid w:val="00550B14"/>
    <w:rsid w:val="00550B2A"/>
    <w:rsid w:val="00550BEC"/>
    <w:rsid w:val="00550D06"/>
    <w:rsid w:val="00551492"/>
    <w:rsid w:val="00551D54"/>
    <w:rsid w:val="00551F2A"/>
    <w:rsid w:val="00552142"/>
    <w:rsid w:val="0055264C"/>
    <w:rsid w:val="00552726"/>
    <w:rsid w:val="0055274C"/>
    <w:rsid w:val="00552BFE"/>
    <w:rsid w:val="005534F6"/>
    <w:rsid w:val="005538D8"/>
    <w:rsid w:val="00553963"/>
    <w:rsid w:val="00553D1E"/>
    <w:rsid w:val="005545B1"/>
    <w:rsid w:val="0055489F"/>
    <w:rsid w:val="0055497C"/>
    <w:rsid w:val="00554F68"/>
    <w:rsid w:val="005554B4"/>
    <w:rsid w:val="005555DC"/>
    <w:rsid w:val="00555A78"/>
    <w:rsid w:val="00555D82"/>
    <w:rsid w:val="00555ED1"/>
    <w:rsid w:val="00555F2D"/>
    <w:rsid w:val="00557110"/>
    <w:rsid w:val="005572B3"/>
    <w:rsid w:val="005573E5"/>
    <w:rsid w:val="00557426"/>
    <w:rsid w:val="00557813"/>
    <w:rsid w:val="00557828"/>
    <w:rsid w:val="00557949"/>
    <w:rsid w:val="005603AE"/>
    <w:rsid w:val="005605E8"/>
    <w:rsid w:val="00560959"/>
    <w:rsid w:val="00560BCE"/>
    <w:rsid w:val="00560CA5"/>
    <w:rsid w:val="00560D7C"/>
    <w:rsid w:val="0056142F"/>
    <w:rsid w:val="00561F7E"/>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71B1"/>
    <w:rsid w:val="00567231"/>
    <w:rsid w:val="005674A4"/>
    <w:rsid w:val="005677BE"/>
    <w:rsid w:val="00567A2A"/>
    <w:rsid w:val="00570E64"/>
    <w:rsid w:val="00570F8A"/>
    <w:rsid w:val="005710ED"/>
    <w:rsid w:val="00571ACF"/>
    <w:rsid w:val="00571F02"/>
    <w:rsid w:val="00572170"/>
    <w:rsid w:val="005723FE"/>
    <w:rsid w:val="005724AA"/>
    <w:rsid w:val="005726E3"/>
    <w:rsid w:val="005728A3"/>
    <w:rsid w:val="00573345"/>
    <w:rsid w:val="0057377A"/>
    <w:rsid w:val="00573817"/>
    <w:rsid w:val="005739B5"/>
    <w:rsid w:val="00573F00"/>
    <w:rsid w:val="00574144"/>
    <w:rsid w:val="0057464F"/>
    <w:rsid w:val="00574C81"/>
    <w:rsid w:val="00574EF0"/>
    <w:rsid w:val="0057564E"/>
    <w:rsid w:val="005756C0"/>
    <w:rsid w:val="00575AB4"/>
    <w:rsid w:val="00575B3F"/>
    <w:rsid w:val="00575E34"/>
    <w:rsid w:val="00575FBF"/>
    <w:rsid w:val="00576266"/>
    <w:rsid w:val="00576533"/>
    <w:rsid w:val="005766EC"/>
    <w:rsid w:val="00576F02"/>
    <w:rsid w:val="0057708B"/>
    <w:rsid w:val="0057758F"/>
    <w:rsid w:val="00577809"/>
    <w:rsid w:val="00577DE1"/>
    <w:rsid w:val="00580050"/>
    <w:rsid w:val="005806C0"/>
    <w:rsid w:val="00580F8C"/>
    <w:rsid w:val="0058103E"/>
    <w:rsid w:val="00581C69"/>
    <w:rsid w:val="005822E7"/>
    <w:rsid w:val="00582547"/>
    <w:rsid w:val="00582570"/>
    <w:rsid w:val="00583461"/>
    <w:rsid w:val="005834FE"/>
    <w:rsid w:val="00583990"/>
    <w:rsid w:val="005846F3"/>
    <w:rsid w:val="00584D60"/>
    <w:rsid w:val="00586111"/>
    <w:rsid w:val="005862D7"/>
    <w:rsid w:val="005864B0"/>
    <w:rsid w:val="00586D58"/>
    <w:rsid w:val="00587373"/>
    <w:rsid w:val="0058747F"/>
    <w:rsid w:val="005876A9"/>
    <w:rsid w:val="00587A99"/>
    <w:rsid w:val="00587C63"/>
    <w:rsid w:val="00587CBD"/>
    <w:rsid w:val="00587D9C"/>
    <w:rsid w:val="00587DAD"/>
    <w:rsid w:val="00590192"/>
    <w:rsid w:val="00590311"/>
    <w:rsid w:val="00590387"/>
    <w:rsid w:val="005904F9"/>
    <w:rsid w:val="00590E8B"/>
    <w:rsid w:val="00591209"/>
    <w:rsid w:val="0059189D"/>
    <w:rsid w:val="00591EC4"/>
    <w:rsid w:val="00592082"/>
    <w:rsid w:val="005921F7"/>
    <w:rsid w:val="005924E6"/>
    <w:rsid w:val="0059275A"/>
    <w:rsid w:val="00593CDA"/>
    <w:rsid w:val="00593EB5"/>
    <w:rsid w:val="00594289"/>
    <w:rsid w:val="00594A83"/>
    <w:rsid w:val="00595007"/>
    <w:rsid w:val="00595792"/>
    <w:rsid w:val="00595B62"/>
    <w:rsid w:val="00595FDE"/>
    <w:rsid w:val="00596057"/>
    <w:rsid w:val="005965E8"/>
    <w:rsid w:val="00596725"/>
    <w:rsid w:val="00597090"/>
    <w:rsid w:val="00597A59"/>
    <w:rsid w:val="00597AAE"/>
    <w:rsid w:val="00597CED"/>
    <w:rsid w:val="00597D89"/>
    <w:rsid w:val="00597E10"/>
    <w:rsid w:val="005A0356"/>
    <w:rsid w:val="005A0A1F"/>
    <w:rsid w:val="005A0A4E"/>
    <w:rsid w:val="005A0D58"/>
    <w:rsid w:val="005A0EE0"/>
    <w:rsid w:val="005A18F9"/>
    <w:rsid w:val="005A1EBB"/>
    <w:rsid w:val="005A21C8"/>
    <w:rsid w:val="005A21DC"/>
    <w:rsid w:val="005A24A0"/>
    <w:rsid w:val="005A278D"/>
    <w:rsid w:val="005A2809"/>
    <w:rsid w:val="005A3123"/>
    <w:rsid w:val="005A340F"/>
    <w:rsid w:val="005A3430"/>
    <w:rsid w:val="005A3617"/>
    <w:rsid w:val="005A3DF6"/>
    <w:rsid w:val="005A4945"/>
    <w:rsid w:val="005A4EA3"/>
    <w:rsid w:val="005A5050"/>
    <w:rsid w:val="005A533B"/>
    <w:rsid w:val="005A5392"/>
    <w:rsid w:val="005A5548"/>
    <w:rsid w:val="005A59B1"/>
    <w:rsid w:val="005A5A19"/>
    <w:rsid w:val="005A5C4B"/>
    <w:rsid w:val="005A5E34"/>
    <w:rsid w:val="005A623C"/>
    <w:rsid w:val="005A64D3"/>
    <w:rsid w:val="005A67C0"/>
    <w:rsid w:val="005A6C16"/>
    <w:rsid w:val="005A6F8D"/>
    <w:rsid w:val="005A712F"/>
    <w:rsid w:val="005A78D1"/>
    <w:rsid w:val="005A7B44"/>
    <w:rsid w:val="005A7C0F"/>
    <w:rsid w:val="005A7C73"/>
    <w:rsid w:val="005A7E0E"/>
    <w:rsid w:val="005B0A0B"/>
    <w:rsid w:val="005B0FB0"/>
    <w:rsid w:val="005B111B"/>
    <w:rsid w:val="005B1335"/>
    <w:rsid w:val="005B17BE"/>
    <w:rsid w:val="005B1C31"/>
    <w:rsid w:val="005B20D6"/>
    <w:rsid w:val="005B229B"/>
    <w:rsid w:val="005B236D"/>
    <w:rsid w:val="005B2701"/>
    <w:rsid w:val="005B2FD0"/>
    <w:rsid w:val="005B3850"/>
    <w:rsid w:val="005B440F"/>
    <w:rsid w:val="005B44E6"/>
    <w:rsid w:val="005B45C4"/>
    <w:rsid w:val="005B4630"/>
    <w:rsid w:val="005B515A"/>
    <w:rsid w:val="005B5600"/>
    <w:rsid w:val="005B6AA7"/>
    <w:rsid w:val="005B7359"/>
    <w:rsid w:val="005C00E1"/>
    <w:rsid w:val="005C06DD"/>
    <w:rsid w:val="005C076C"/>
    <w:rsid w:val="005C08D6"/>
    <w:rsid w:val="005C0A0B"/>
    <w:rsid w:val="005C0BB1"/>
    <w:rsid w:val="005C0DD9"/>
    <w:rsid w:val="005C0FE0"/>
    <w:rsid w:val="005C1168"/>
    <w:rsid w:val="005C1759"/>
    <w:rsid w:val="005C188B"/>
    <w:rsid w:val="005C1F16"/>
    <w:rsid w:val="005C26B6"/>
    <w:rsid w:val="005C33AF"/>
    <w:rsid w:val="005C37B2"/>
    <w:rsid w:val="005C3BB6"/>
    <w:rsid w:val="005C3C7A"/>
    <w:rsid w:val="005C4244"/>
    <w:rsid w:val="005C442D"/>
    <w:rsid w:val="005C460F"/>
    <w:rsid w:val="005C4B3A"/>
    <w:rsid w:val="005C4DBC"/>
    <w:rsid w:val="005C5398"/>
    <w:rsid w:val="005C5FB4"/>
    <w:rsid w:val="005C6C72"/>
    <w:rsid w:val="005C6D4F"/>
    <w:rsid w:val="005C740D"/>
    <w:rsid w:val="005C76C2"/>
    <w:rsid w:val="005C7DAD"/>
    <w:rsid w:val="005D0D96"/>
    <w:rsid w:val="005D13F0"/>
    <w:rsid w:val="005D14D7"/>
    <w:rsid w:val="005D1540"/>
    <w:rsid w:val="005D1A1E"/>
    <w:rsid w:val="005D1B38"/>
    <w:rsid w:val="005D20D3"/>
    <w:rsid w:val="005D277B"/>
    <w:rsid w:val="005D28F1"/>
    <w:rsid w:val="005D3115"/>
    <w:rsid w:val="005D3376"/>
    <w:rsid w:val="005D33AA"/>
    <w:rsid w:val="005D36BA"/>
    <w:rsid w:val="005D386E"/>
    <w:rsid w:val="005D3A22"/>
    <w:rsid w:val="005D3E7E"/>
    <w:rsid w:val="005D3EC5"/>
    <w:rsid w:val="005D46A3"/>
    <w:rsid w:val="005D4861"/>
    <w:rsid w:val="005D4B59"/>
    <w:rsid w:val="005D5920"/>
    <w:rsid w:val="005D5AD6"/>
    <w:rsid w:val="005D5C93"/>
    <w:rsid w:val="005D687B"/>
    <w:rsid w:val="005D69AC"/>
    <w:rsid w:val="005D6ABE"/>
    <w:rsid w:val="005D6E6D"/>
    <w:rsid w:val="005D708B"/>
    <w:rsid w:val="005D73C4"/>
    <w:rsid w:val="005D76D0"/>
    <w:rsid w:val="005D7A7D"/>
    <w:rsid w:val="005D7D33"/>
    <w:rsid w:val="005D7EEA"/>
    <w:rsid w:val="005E08B4"/>
    <w:rsid w:val="005E09C6"/>
    <w:rsid w:val="005E0E64"/>
    <w:rsid w:val="005E13FD"/>
    <w:rsid w:val="005E198E"/>
    <w:rsid w:val="005E1ADB"/>
    <w:rsid w:val="005E1B84"/>
    <w:rsid w:val="005E1E40"/>
    <w:rsid w:val="005E2474"/>
    <w:rsid w:val="005E4009"/>
    <w:rsid w:val="005E42F5"/>
    <w:rsid w:val="005E48E9"/>
    <w:rsid w:val="005E4FCD"/>
    <w:rsid w:val="005E5EE7"/>
    <w:rsid w:val="005E5FFB"/>
    <w:rsid w:val="005E6763"/>
    <w:rsid w:val="005E6F6B"/>
    <w:rsid w:val="005E72BB"/>
    <w:rsid w:val="005E79D8"/>
    <w:rsid w:val="005E7D9A"/>
    <w:rsid w:val="005F00FB"/>
    <w:rsid w:val="005F060F"/>
    <w:rsid w:val="005F0D94"/>
    <w:rsid w:val="005F0E94"/>
    <w:rsid w:val="005F1518"/>
    <w:rsid w:val="005F1585"/>
    <w:rsid w:val="005F15EF"/>
    <w:rsid w:val="005F1959"/>
    <w:rsid w:val="005F24F1"/>
    <w:rsid w:val="005F27AD"/>
    <w:rsid w:val="005F2FBE"/>
    <w:rsid w:val="005F32B7"/>
    <w:rsid w:val="005F32EB"/>
    <w:rsid w:val="005F35D8"/>
    <w:rsid w:val="005F3622"/>
    <w:rsid w:val="005F391E"/>
    <w:rsid w:val="005F3AA4"/>
    <w:rsid w:val="005F3BE3"/>
    <w:rsid w:val="005F3FC7"/>
    <w:rsid w:val="005F4660"/>
    <w:rsid w:val="005F471C"/>
    <w:rsid w:val="005F4734"/>
    <w:rsid w:val="005F493E"/>
    <w:rsid w:val="005F4D2D"/>
    <w:rsid w:val="005F4D67"/>
    <w:rsid w:val="005F4F8E"/>
    <w:rsid w:val="005F5286"/>
    <w:rsid w:val="005F5C3A"/>
    <w:rsid w:val="005F5CD9"/>
    <w:rsid w:val="005F6120"/>
    <w:rsid w:val="005F674A"/>
    <w:rsid w:val="005F6B21"/>
    <w:rsid w:val="005F6C7C"/>
    <w:rsid w:val="005F7316"/>
    <w:rsid w:val="005F75A4"/>
    <w:rsid w:val="005F75AF"/>
    <w:rsid w:val="005F7988"/>
    <w:rsid w:val="005F7A1C"/>
    <w:rsid w:val="005F7B51"/>
    <w:rsid w:val="005F7C8C"/>
    <w:rsid w:val="005F7DFB"/>
    <w:rsid w:val="005F7E29"/>
    <w:rsid w:val="0060001A"/>
    <w:rsid w:val="0060004C"/>
    <w:rsid w:val="0060010C"/>
    <w:rsid w:val="0060049E"/>
    <w:rsid w:val="00600742"/>
    <w:rsid w:val="0060074B"/>
    <w:rsid w:val="00600E81"/>
    <w:rsid w:val="0060130B"/>
    <w:rsid w:val="00601662"/>
    <w:rsid w:val="00601894"/>
    <w:rsid w:val="00601AAE"/>
    <w:rsid w:val="00602381"/>
    <w:rsid w:val="00602843"/>
    <w:rsid w:val="006029B9"/>
    <w:rsid w:val="00602C4C"/>
    <w:rsid w:val="00602F47"/>
    <w:rsid w:val="006032B4"/>
    <w:rsid w:val="00603F26"/>
    <w:rsid w:val="00604E51"/>
    <w:rsid w:val="006051B9"/>
    <w:rsid w:val="006066D7"/>
    <w:rsid w:val="006073C9"/>
    <w:rsid w:val="006075FD"/>
    <w:rsid w:val="00607928"/>
    <w:rsid w:val="00607979"/>
    <w:rsid w:val="00607AFA"/>
    <w:rsid w:val="00607D9E"/>
    <w:rsid w:val="00607F6B"/>
    <w:rsid w:val="00610A73"/>
    <w:rsid w:val="00610EF3"/>
    <w:rsid w:val="0061103F"/>
    <w:rsid w:val="006119D9"/>
    <w:rsid w:val="00611F34"/>
    <w:rsid w:val="0061252F"/>
    <w:rsid w:val="00612A95"/>
    <w:rsid w:val="00612D16"/>
    <w:rsid w:val="00612FFD"/>
    <w:rsid w:val="00613023"/>
    <w:rsid w:val="00613EF0"/>
    <w:rsid w:val="006145D7"/>
    <w:rsid w:val="00614843"/>
    <w:rsid w:val="00614972"/>
    <w:rsid w:val="00614C5C"/>
    <w:rsid w:val="006150FC"/>
    <w:rsid w:val="006155FC"/>
    <w:rsid w:val="00616DA2"/>
    <w:rsid w:val="00616F3C"/>
    <w:rsid w:val="00617B6B"/>
    <w:rsid w:val="00617F39"/>
    <w:rsid w:val="00620FAF"/>
    <w:rsid w:val="006212C0"/>
    <w:rsid w:val="00621794"/>
    <w:rsid w:val="006218E7"/>
    <w:rsid w:val="006218EA"/>
    <w:rsid w:val="00621985"/>
    <w:rsid w:val="00622179"/>
    <w:rsid w:val="006221E7"/>
    <w:rsid w:val="006224BB"/>
    <w:rsid w:val="00622D11"/>
    <w:rsid w:val="006234A8"/>
    <w:rsid w:val="006235C3"/>
    <w:rsid w:val="006236B3"/>
    <w:rsid w:val="0062375E"/>
    <w:rsid w:val="00623AA8"/>
    <w:rsid w:val="00623F15"/>
    <w:rsid w:val="00624A5E"/>
    <w:rsid w:val="00624C37"/>
    <w:rsid w:val="00625B87"/>
    <w:rsid w:val="0062600D"/>
    <w:rsid w:val="00626166"/>
    <w:rsid w:val="00626390"/>
    <w:rsid w:val="0062649A"/>
    <w:rsid w:val="0062660E"/>
    <w:rsid w:val="00626CFC"/>
    <w:rsid w:val="00626E46"/>
    <w:rsid w:val="006270E6"/>
    <w:rsid w:val="006276A6"/>
    <w:rsid w:val="00627BE3"/>
    <w:rsid w:val="00630123"/>
    <w:rsid w:val="006306CA"/>
    <w:rsid w:val="00630D15"/>
    <w:rsid w:val="00631E2C"/>
    <w:rsid w:val="00631EA5"/>
    <w:rsid w:val="006322C7"/>
    <w:rsid w:val="0063269F"/>
    <w:rsid w:val="00632CDB"/>
    <w:rsid w:val="00633BEF"/>
    <w:rsid w:val="00634490"/>
    <w:rsid w:val="00634A9B"/>
    <w:rsid w:val="00634B0D"/>
    <w:rsid w:val="00635810"/>
    <w:rsid w:val="00635D24"/>
    <w:rsid w:val="00636036"/>
    <w:rsid w:val="00636121"/>
    <w:rsid w:val="0063617D"/>
    <w:rsid w:val="0063622F"/>
    <w:rsid w:val="00636252"/>
    <w:rsid w:val="0063626E"/>
    <w:rsid w:val="006366D2"/>
    <w:rsid w:val="00636AA7"/>
    <w:rsid w:val="0063799E"/>
    <w:rsid w:val="00637B60"/>
    <w:rsid w:val="00637CAF"/>
    <w:rsid w:val="00637ED9"/>
    <w:rsid w:val="006401F3"/>
    <w:rsid w:val="00640B32"/>
    <w:rsid w:val="0064134C"/>
    <w:rsid w:val="00641410"/>
    <w:rsid w:val="006417D3"/>
    <w:rsid w:val="00641882"/>
    <w:rsid w:val="00641AB0"/>
    <w:rsid w:val="00641F4F"/>
    <w:rsid w:val="006425D6"/>
    <w:rsid w:val="006426D7"/>
    <w:rsid w:val="00642C50"/>
    <w:rsid w:val="00643E17"/>
    <w:rsid w:val="00643E67"/>
    <w:rsid w:val="00644012"/>
    <w:rsid w:val="0064436A"/>
    <w:rsid w:val="00644494"/>
    <w:rsid w:val="00644639"/>
    <w:rsid w:val="006448A7"/>
    <w:rsid w:val="00644AE7"/>
    <w:rsid w:val="00644CBA"/>
    <w:rsid w:val="00645CC6"/>
    <w:rsid w:val="00645E4C"/>
    <w:rsid w:val="00646137"/>
    <w:rsid w:val="0064630D"/>
    <w:rsid w:val="00647171"/>
    <w:rsid w:val="006475D4"/>
    <w:rsid w:val="00647643"/>
    <w:rsid w:val="006476E3"/>
    <w:rsid w:val="00647A3F"/>
    <w:rsid w:val="0065014F"/>
    <w:rsid w:val="00650D85"/>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F62"/>
    <w:rsid w:val="006541CB"/>
    <w:rsid w:val="00654E6E"/>
    <w:rsid w:val="00654F33"/>
    <w:rsid w:val="00654F75"/>
    <w:rsid w:val="006558DD"/>
    <w:rsid w:val="00655B3D"/>
    <w:rsid w:val="00656161"/>
    <w:rsid w:val="0065627D"/>
    <w:rsid w:val="006562E2"/>
    <w:rsid w:val="006563F6"/>
    <w:rsid w:val="00656B37"/>
    <w:rsid w:val="0065726A"/>
    <w:rsid w:val="00657A00"/>
    <w:rsid w:val="00660256"/>
    <w:rsid w:val="006603BF"/>
    <w:rsid w:val="00660AF9"/>
    <w:rsid w:val="00660BFF"/>
    <w:rsid w:val="006616F5"/>
    <w:rsid w:val="00661CFE"/>
    <w:rsid w:val="006622A0"/>
    <w:rsid w:val="0066279A"/>
    <w:rsid w:val="00662883"/>
    <w:rsid w:val="006629B0"/>
    <w:rsid w:val="00662DB6"/>
    <w:rsid w:val="0066366B"/>
    <w:rsid w:val="00663D47"/>
    <w:rsid w:val="00663D6A"/>
    <w:rsid w:val="00664253"/>
    <w:rsid w:val="00664374"/>
    <w:rsid w:val="00664409"/>
    <w:rsid w:val="0066454E"/>
    <w:rsid w:val="00664FDB"/>
    <w:rsid w:val="00665791"/>
    <w:rsid w:val="00665CEE"/>
    <w:rsid w:val="00666A18"/>
    <w:rsid w:val="00666E8D"/>
    <w:rsid w:val="006700BE"/>
    <w:rsid w:val="006702D3"/>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0B7"/>
    <w:rsid w:val="00673693"/>
    <w:rsid w:val="00673747"/>
    <w:rsid w:val="0067382E"/>
    <w:rsid w:val="00673E6D"/>
    <w:rsid w:val="00673F55"/>
    <w:rsid w:val="006746BA"/>
    <w:rsid w:val="00674CEE"/>
    <w:rsid w:val="00674D7D"/>
    <w:rsid w:val="006753E1"/>
    <w:rsid w:val="00675631"/>
    <w:rsid w:val="006756E1"/>
    <w:rsid w:val="00675CC4"/>
    <w:rsid w:val="00676159"/>
    <w:rsid w:val="006765AA"/>
    <w:rsid w:val="006767DA"/>
    <w:rsid w:val="006767F7"/>
    <w:rsid w:val="00676B14"/>
    <w:rsid w:val="006771A6"/>
    <w:rsid w:val="00677395"/>
    <w:rsid w:val="00677D50"/>
    <w:rsid w:val="00677E44"/>
    <w:rsid w:val="00680237"/>
    <w:rsid w:val="0068049D"/>
    <w:rsid w:val="00681084"/>
    <w:rsid w:val="006810C7"/>
    <w:rsid w:val="00681E84"/>
    <w:rsid w:val="00682326"/>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5F67"/>
    <w:rsid w:val="00686070"/>
    <w:rsid w:val="00686B51"/>
    <w:rsid w:val="00687372"/>
    <w:rsid w:val="00687427"/>
    <w:rsid w:val="0068779E"/>
    <w:rsid w:val="00687F2C"/>
    <w:rsid w:val="006900A5"/>
    <w:rsid w:val="00690145"/>
    <w:rsid w:val="006903C5"/>
    <w:rsid w:val="0069129C"/>
    <w:rsid w:val="006917A0"/>
    <w:rsid w:val="00691A45"/>
    <w:rsid w:val="00691BB0"/>
    <w:rsid w:val="00691C89"/>
    <w:rsid w:val="00691D52"/>
    <w:rsid w:val="00691DEE"/>
    <w:rsid w:val="00692F3E"/>
    <w:rsid w:val="00693220"/>
    <w:rsid w:val="006932C7"/>
    <w:rsid w:val="006932D4"/>
    <w:rsid w:val="006936F5"/>
    <w:rsid w:val="00693AD0"/>
    <w:rsid w:val="00693E8E"/>
    <w:rsid w:val="006946C4"/>
    <w:rsid w:val="0069471C"/>
    <w:rsid w:val="0069485A"/>
    <w:rsid w:val="00694999"/>
    <w:rsid w:val="00694E56"/>
    <w:rsid w:val="00694F08"/>
    <w:rsid w:val="0069518B"/>
    <w:rsid w:val="00696842"/>
    <w:rsid w:val="00696970"/>
    <w:rsid w:val="00696E0E"/>
    <w:rsid w:val="00696F67"/>
    <w:rsid w:val="00697290"/>
    <w:rsid w:val="00697C5B"/>
    <w:rsid w:val="006A06F0"/>
    <w:rsid w:val="006A0E3C"/>
    <w:rsid w:val="006A1028"/>
    <w:rsid w:val="006A12AC"/>
    <w:rsid w:val="006A244D"/>
    <w:rsid w:val="006A24A7"/>
    <w:rsid w:val="006A26AE"/>
    <w:rsid w:val="006A27D1"/>
    <w:rsid w:val="006A2D37"/>
    <w:rsid w:val="006A31DD"/>
    <w:rsid w:val="006A3407"/>
    <w:rsid w:val="006A3730"/>
    <w:rsid w:val="006A3AAC"/>
    <w:rsid w:val="006A3CB4"/>
    <w:rsid w:val="006A4DFF"/>
    <w:rsid w:val="006A5041"/>
    <w:rsid w:val="006A525D"/>
    <w:rsid w:val="006A640C"/>
    <w:rsid w:val="006A6562"/>
    <w:rsid w:val="006A6744"/>
    <w:rsid w:val="006A68FD"/>
    <w:rsid w:val="006A6D49"/>
    <w:rsid w:val="006A71A1"/>
    <w:rsid w:val="006A7F73"/>
    <w:rsid w:val="006B0C8E"/>
    <w:rsid w:val="006B137E"/>
    <w:rsid w:val="006B1700"/>
    <w:rsid w:val="006B1E71"/>
    <w:rsid w:val="006B2A48"/>
    <w:rsid w:val="006B2D18"/>
    <w:rsid w:val="006B2DA2"/>
    <w:rsid w:val="006B3A68"/>
    <w:rsid w:val="006B3C85"/>
    <w:rsid w:val="006B3CB5"/>
    <w:rsid w:val="006B4145"/>
    <w:rsid w:val="006B44DD"/>
    <w:rsid w:val="006B46B4"/>
    <w:rsid w:val="006B47A3"/>
    <w:rsid w:val="006B51DB"/>
    <w:rsid w:val="006B578B"/>
    <w:rsid w:val="006B5BF8"/>
    <w:rsid w:val="006B658D"/>
    <w:rsid w:val="006B665E"/>
    <w:rsid w:val="006B6954"/>
    <w:rsid w:val="006B6E41"/>
    <w:rsid w:val="006B6F42"/>
    <w:rsid w:val="006B758F"/>
    <w:rsid w:val="006C083D"/>
    <w:rsid w:val="006C09A3"/>
    <w:rsid w:val="006C0C80"/>
    <w:rsid w:val="006C1393"/>
    <w:rsid w:val="006C1714"/>
    <w:rsid w:val="006C1F42"/>
    <w:rsid w:val="006C1F63"/>
    <w:rsid w:val="006C2495"/>
    <w:rsid w:val="006C2A0F"/>
    <w:rsid w:val="006C2D20"/>
    <w:rsid w:val="006C3633"/>
    <w:rsid w:val="006C3C0A"/>
    <w:rsid w:val="006C3CFA"/>
    <w:rsid w:val="006C3F23"/>
    <w:rsid w:val="006C4036"/>
    <w:rsid w:val="006C4500"/>
    <w:rsid w:val="006C4880"/>
    <w:rsid w:val="006C49CE"/>
    <w:rsid w:val="006C49E4"/>
    <w:rsid w:val="006C4BB1"/>
    <w:rsid w:val="006C55D2"/>
    <w:rsid w:val="006C5C0A"/>
    <w:rsid w:val="006C5C2F"/>
    <w:rsid w:val="006C75C0"/>
    <w:rsid w:val="006C7BFF"/>
    <w:rsid w:val="006C7E2E"/>
    <w:rsid w:val="006C7FA7"/>
    <w:rsid w:val="006D0F47"/>
    <w:rsid w:val="006D162A"/>
    <w:rsid w:val="006D17A1"/>
    <w:rsid w:val="006D1810"/>
    <w:rsid w:val="006D27C6"/>
    <w:rsid w:val="006D2947"/>
    <w:rsid w:val="006D2BAF"/>
    <w:rsid w:val="006D35D9"/>
    <w:rsid w:val="006D3DA0"/>
    <w:rsid w:val="006D43D5"/>
    <w:rsid w:val="006D494C"/>
    <w:rsid w:val="006D4FF0"/>
    <w:rsid w:val="006D57C7"/>
    <w:rsid w:val="006D5871"/>
    <w:rsid w:val="006D5B51"/>
    <w:rsid w:val="006D5D45"/>
    <w:rsid w:val="006D5F61"/>
    <w:rsid w:val="006D638B"/>
    <w:rsid w:val="006D6A15"/>
    <w:rsid w:val="006D7479"/>
    <w:rsid w:val="006D763B"/>
    <w:rsid w:val="006E0237"/>
    <w:rsid w:val="006E09A7"/>
    <w:rsid w:val="006E0E84"/>
    <w:rsid w:val="006E13C8"/>
    <w:rsid w:val="006E169C"/>
    <w:rsid w:val="006E2C3E"/>
    <w:rsid w:val="006E2EF8"/>
    <w:rsid w:val="006E32D1"/>
    <w:rsid w:val="006E3A96"/>
    <w:rsid w:val="006E3F3D"/>
    <w:rsid w:val="006E456C"/>
    <w:rsid w:val="006E46E4"/>
    <w:rsid w:val="006E489A"/>
    <w:rsid w:val="006E4AA0"/>
    <w:rsid w:val="006E4E81"/>
    <w:rsid w:val="006E4EFE"/>
    <w:rsid w:val="006E524E"/>
    <w:rsid w:val="006E56BF"/>
    <w:rsid w:val="006E5822"/>
    <w:rsid w:val="006E5A91"/>
    <w:rsid w:val="006E6643"/>
    <w:rsid w:val="006E6D8E"/>
    <w:rsid w:val="006E6E47"/>
    <w:rsid w:val="006E7B71"/>
    <w:rsid w:val="006F0C0F"/>
    <w:rsid w:val="006F1806"/>
    <w:rsid w:val="006F1F0D"/>
    <w:rsid w:val="006F2150"/>
    <w:rsid w:val="006F2185"/>
    <w:rsid w:val="006F2478"/>
    <w:rsid w:val="006F2ACB"/>
    <w:rsid w:val="006F3104"/>
    <w:rsid w:val="006F3171"/>
    <w:rsid w:val="006F3373"/>
    <w:rsid w:val="006F3BF1"/>
    <w:rsid w:val="006F419A"/>
    <w:rsid w:val="006F4878"/>
    <w:rsid w:val="006F5BC4"/>
    <w:rsid w:val="006F5F3B"/>
    <w:rsid w:val="006F64AD"/>
    <w:rsid w:val="006F6C3A"/>
    <w:rsid w:val="006F6C83"/>
    <w:rsid w:val="006F6D49"/>
    <w:rsid w:val="006F72F9"/>
    <w:rsid w:val="006F73D4"/>
    <w:rsid w:val="006F7592"/>
    <w:rsid w:val="006F7B74"/>
    <w:rsid w:val="006F7D8A"/>
    <w:rsid w:val="006F7F32"/>
    <w:rsid w:val="00700093"/>
    <w:rsid w:val="00700282"/>
    <w:rsid w:val="0070068C"/>
    <w:rsid w:val="0070089C"/>
    <w:rsid w:val="007018FC"/>
    <w:rsid w:val="00701929"/>
    <w:rsid w:val="00701948"/>
    <w:rsid w:val="00701D50"/>
    <w:rsid w:val="0070229A"/>
    <w:rsid w:val="00702C26"/>
    <w:rsid w:val="00702FDE"/>
    <w:rsid w:val="007030D0"/>
    <w:rsid w:val="007032BB"/>
    <w:rsid w:val="00703BEA"/>
    <w:rsid w:val="00703D7D"/>
    <w:rsid w:val="00703DB1"/>
    <w:rsid w:val="00703F2A"/>
    <w:rsid w:val="00704E49"/>
    <w:rsid w:val="007051FB"/>
    <w:rsid w:val="00705458"/>
    <w:rsid w:val="00705517"/>
    <w:rsid w:val="007056B0"/>
    <w:rsid w:val="0070573C"/>
    <w:rsid w:val="00705F6B"/>
    <w:rsid w:val="00706540"/>
    <w:rsid w:val="007069E2"/>
    <w:rsid w:val="00706A5E"/>
    <w:rsid w:val="00706E74"/>
    <w:rsid w:val="007076EC"/>
    <w:rsid w:val="0070771B"/>
    <w:rsid w:val="0070796D"/>
    <w:rsid w:val="007108D3"/>
    <w:rsid w:val="0071098A"/>
    <w:rsid w:val="007109FB"/>
    <w:rsid w:val="00710B97"/>
    <w:rsid w:val="007112A1"/>
    <w:rsid w:val="0071256C"/>
    <w:rsid w:val="007126F0"/>
    <w:rsid w:val="007129D5"/>
    <w:rsid w:val="00712B7D"/>
    <w:rsid w:val="007130B8"/>
    <w:rsid w:val="00713D54"/>
    <w:rsid w:val="007145A9"/>
    <w:rsid w:val="00714CD4"/>
    <w:rsid w:val="00714F4F"/>
    <w:rsid w:val="0071570F"/>
    <w:rsid w:val="00715D38"/>
    <w:rsid w:val="00716DA7"/>
    <w:rsid w:val="00716DE1"/>
    <w:rsid w:val="0071706D"/>
    <w:rsid w:val="0071737C"/>
    <w:rsid w:val="0071743F"/>
    <w:rsid w:val="007178F8"/>
    <w:rsid w:val="00717B02"/>
    <w:rsid w:val="0072009E"/>
    <w:rsid w:val="0072010E"/>
    <w:rsid w:val="0072063E"/>
    <w:rsid w:val="0072068C"/>
    <w:rsid w:val="0072077D"/>
    <w:rsid w:val="00720995"/>
    <w:rsid w:val="00721394"/>
    <w:rsid w:val="0072187B"/>
    <w:rsid w:val="00721E1F"/>
    <w:rsid w:val="00721F2D"/>
    <w:rsid w:val="007220F6"/>
    <w:rsid w:val="0072241D"/>
    <w:rsid w:val="007225CF"/>
    <w:rsid w:val="00722E09"/>
    <w:rsid w:val="00722EA3"/>
    <w:rsid w:val="007233B9"/>
    <w:rsid w:val="007235E4"/>
    <w:rsid w:val="00723AA1"/>
    <w:rsid w:val="00724651"/>
    <w:rsid w:val="00725017"/>
    <w:rsid w:val="00725835"/>
    <w:rsid w:val="00725868"/>
    <w:rsid w:val="00725974"/>
    <w:rsid w:val="00725A26"/>
    <w:rsid w:val="007261AB"/>
    <w:rsid w:val="007261C8"/>
    <w:rsid w:val="007263CC"/>
    <w:rsid w:val="007265E6"/>
    <w:rsid w:val="00726C91"/>
    <w:rsid w:val="00726EC0"/>
    <w:rsid w:val="0072737C"/>
    <w:rsid w:val="00727B17"/>
    <w:rsid w:val="00727B97"/>
    <w:rsid w:val="00727D1A"/>
    <w:rsid w:val="00727E86"/>
    <w:rsid w:val="00730597"/>
    <w:rsid w:val="0073080A"/>
    <w:rsid w:val="00730BC8"/>
    <w:rsid w:val="00730C1B"/>
    <w:rsid w:val="00730C8E"/>
    <w:rsid w:val="00732182"/>
    <w:rsid w:val="007321C1"/>
    <w:rsid w:val="007328EA"/>
    <w:rsid w:val="007330AD"/>
    <w:rsid w:val="007337CE"/>
    <w:rsid w:val="00733AA2"/>
    <w:rsid w:val="007343EC"/>
    <w:rsid w:val="00734917"/>
    <w:rsid w:val="00734ACF"/>
    <w:rsid w:val="00734ED0"/>
    <w:rsid w:val="007351E6"/>
    <w:rsid w:val="007352F7"/>
    <w:rsid w:val="00735719"/>
    <w:rsid w:val="00735935"/>
    <w:rsid w:val="00735E5C"/>
    <w:rsid w:val="007361E3"/>
    <w:rsid w:val="007368F7"/>
    <w:rsid w:val="0073691E"/>
    <w:rsid w:val="0073781B"/>
    <w:rsid w:val="00737F4E"/>
    <w:rsid w:val="0074073D"/>
    <w:rsid w:val="00740B1C"/>
    <w:rsid w:val="00740C2F"/>
    <w:rsid w:val="007410FD"/>
    <w:rsid w:val="007412E6"/>
    <w:rsid w:val="0074134B"/>
    <w:rsid w:val="0074138D"/>
    <w:rsid w:val="007416EF"/>
    <w:rsid w:val="007417B6"/>
    <w:rsid w:val="00741888"/>
    <w:rsid w:val="00741E77"/>
    <w:rsid w:val="00742DED"/>
    <w:rsid w:val="00742EC7"/>
    <w:rsid w:val="00743456"/>
    <w:rsid w:val="007434BF"/>
    <w:rsid w:val="007436B8"/>
    <w:rsid w:val="007441E6"/>
    <w:rsid w:val="007442AA"/>
    <w:rsid w:val="00744BF7"/>
    <w:rsid w:val="00744F78"/>
    <w:rsid w:val="0074509E"/>
    <w:rsid w:val="00745354"/>
    <w:rsid w:val="007457AA"/>
    <w:rsid w:val="007462DD"/>
    <w:rsid w:val="0074673B"/>
    <w:rsid w:val="00746926"/>
    <w:rsid w:val="00746D3C"/>
    <w:rsid w:val="007477AA"/>
    <w:rsid w:val="00747884"/>
    <w:rsid w:val="00747BEB"/>
    <w:rsid w:val="00750AB6"/>
    <w:rsid w:val="007511EB"/>
    <w:rsid w:val="0075254D"/>
    <w:rsid w:val="00752613"/>
    <w:rsid w:val="0075265D"/>
    <w:rsid w:val="007528BA"/>
    <w:rsid w:val="0075304E"/>
    <w:rsid w:val="00753415"/>
    <w:rsid w:val="00753918"/>
    <w:rsid w:val="00754634"/>
    <w:rsid w:val="00754871"/>
    <w:rsid w:val="00754A65"/>
    <w:rsid w:val="00754B65"/>
    <w:rsid w:val="00754D80"/>
    <w:rsid w:val="00754E10"/>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261E"/>
    <w:rsid w:val="00762748"/>
    <w:rsid w:val="007628FC"/>
    <w:rsid w:val="0076372A"/>
    <w:rsid w:val="00763D90"/>
    <w:rsid w:val="00764057"/>
    <w:rsid w:val="00764251"/>
    <w:rsid w:val="00764C25"/>
    <w:rsid w:val="00764E70"/>
    <w:rsid w:val="0076505D"/>
    <w:rsid w:val="0076515B"/>
    <w:rsid w:val="00765439"/>
    <w:rsid w:val="00765646"/>
    <w:rsid w:val="00766441"/>
    <w:rsid w:val="00766CDF"/>
    <w:rsid w:val="00767051"/>
    <w:rsid w:val="00767C60"/>
    <w:rsid w:val="00767CEF"/>
    <w:rsid w:val="0077008B"/>
    <w:rsid w:val="007700BE"/>
    <w:rsid w:val="00770A1D"/>
    <w:rsid w:val="00771084"/>
    <w:rsid w:val="0077123A"/>
    <w:rsid w:val="00771666"/>
    <w:rsid w:val="00771847"/>
    <w:rsid w:val="0077195E"/>
    <w:rsid w:val="00771D2F"/>
    <w:rsid w:val="00772992"/>
    <w:rsid w:val="00772EE4"/>
    <w:rsid w:val="007733C3"/>
    <w:rsid w:val="0077353D"/>
    <w:rsid w:val="00773C89"/>
    <w:rsid w:val="00773D29"/>
    <w:rsid w:val="007740FE"/>
    <w:rsid w:val="00774261"/>
    <w:rsid w:val="0077435D"/>
    <w:rsid w:val="007757F5"/>
    <w:rsid w:val="00775ACA"/>
    <w:rsid w:val="00775BBE"/>
    <w:rsid w:val="00775DCA"/>
    <w:rsid w:val="00776780"/>
    <w:rsid w:val="00776A19"/>
    <w:rsid w:val="00776EA9"/>
    <w:rsid w:val="007775C9"/>
    <w:rsid w:val="00780EF8"/>
    <w:rsid w:val="00781916"/>
    <w:rsid w:val="00781A35"/>
    <w:rsid w:val="00781F71"/>
    <w:rsid w:val="007822BB"/>
    <w:rsid w:val="0078289A"/>
    <w:rsid w:val="007828C5"/>
    <w:rsid w:val="00782C06"/>
    <w:rsid w:val="00782D78"/>
    <w:rsid w:val="0078531D"/>
    <w:rsid w:val="00785EB1"/>
    <w:rsid w:val="007860D6"/>
    <w:rsid w:val="0078619D"/>
    <w:rsid w:val="00786EE6"/>
    <w:rsid w:val="007876E6"/>
    <w:rsid w:val="00790221"/>
    <w:rsid w:val="00790358"/>
    <w:rsid w:val="00790BBA"/>
    <w:rsid w:val="007917E0"/>
    <w:rsid w:val="007918D7"/>
    <w:rsid w:val="007918F2"/>
    <w:rsid w:val="00791B6F"/>
    <w:rsid w:val="00791E95"/>
    <w:rsid w:val="007920F3"/>
    <w:rsid w:val="0079210A"/>
    <w:rsid w:val="00792249"/>
    <w:rsid w:val="0079236E"/>
    <w:rsid w:val="00792719"/>
    <w:rsid w:val="0079296A"/>
    <w:rsid w:val="007945F8"/>
    <w:rsid w:val="007945FC"/>
    <w:rsid w:val="0079460B"/>
    <w:rsid w:val="00794A2A"/>
    <w:rsid w:val="00794C4E"/>
    <w:rsid w:val="007957F5"/>
    <w:rsid w:val="00795D4B"/>
    <w:rsid w:val="00795EB8"/>
    <w:rsid w:val="00796576"/>
    <w:rsid w:val="00796B28"/>
    <w:rsid w:val="00797330"/>
    <w:rsid w:val="00797714"/>
    <w:rsid w:val="00797946"/>
    <w:rsid w:val="007A09D7"/>
    <w:rsid w:val="007A0BE9"/>
    <w:rsid w:val="007A0D20"/>
    <w:rsid w:val="007A0E21"/>
    <w:rsid w:val="007A13E1"/>
    <w:rsid w:val="007A19B9"/>
    <w:rsid w:val="007A1B5B"/>
    <w:rsid w:val="007A1FF0"/>
    <w:rsid w:val="007A23CD"/>
    <w:rsid w:val="007A2657"/>
    <w:rsid w:val="007A2817"/>
    <w:rsid w:val="007A2B5F"/>
    <w:rsid w:val="007A2F65"/>
    <w:rsid w:val="007A3754"/>
    <w:rsid w:val="007A3FAF"/>
    <w:rsid w:val="007A3FF9"/>
    <w:rsid w:val="007A430D"/>
    <w:rsid w:val="007A47DD"/>
    <w:rsid w:val="007A4C22"/>
    <w:rsid w:val="007A575D"/>
    <w:rsid w:val="007A5898"/>
    <w:rsid w:val="007A5AB6"/>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34A"/>
    <w:rsid w:val="007B3A8C"/>
    <w:rsid w:val="007B3C34"/>
    <w:rsid w:val="007B457A"/>
    <w:rsid w:val="007B4AA7"/>
    <w:rsid w:val="007B4AE0"/>
    <w:rsid w:val="007B4CD0"/>
    <w:rsid w:val="007B5224"/>
    <w:rsid w:val="007B52D7"/>
    <w:rsid w:val="007B564B"/>
    <w:rsid w:val="007B5A8C"/>
    <w:rsid w:val="007B5C21"/>
    <w:rsid w:val="007B65DC"/>
    <w:rsid w:val="007C0375"/>
    <w:rsid w:val="007C0C01"/>
    <w:rsid w:val="007C0DB7"/>
    <w:rsid w:val="007C1053"/>
    <w:rsid w:val="007C195D"/>
    <w:rsid w:val="007C1AA9"/>
    <w:rsid w:val="007C1FD4"/>
    <w:rsid w:val="007C2047"/>
    <w:rsid w:val="007C2A5F"/>
    <w:rsid w:val="007C4917"/>
    <w:rsid w:val="007C532D"/>
    <w:rsid w:val="007C5422"/>
    <w:rsid w:val="007C59D2"/>
    <w:rsid w:val="007C5B6C"/>
    <w:rsid w:val="007C5EB5"/>
    <w:rsid w:val="007C660E"/>
    <w:rsid w:val="007C6786"/>
    <w:rsid w:val="007C69E9"/>
    <w:rsid w:val="007C6CA1"/>
    <w:rsid w:val="007C6F90"/>
    <w:rsid w:val="007C7325"/>
    <w:rsid w:val="007C7350"/>
    <w:rsid w:val="007C754D"/>
    <w:rsid w:val="007C7551"/>
    <w:rsid w:val="007C7CF8"/>
    <w:rsid w:val="007C7FCD"/>
    <w:rsid w:val="007D00DE"/>
    <w:rsid w:val="007D01AE"/>
    <w:rsid w:val="007D05F4"/>
    <w:rsid w:val="007D089C"/>
    <w:rsid w:val="007D090E"/>
    <w:rsid w:val="007D0D9D"/>
    <w:rsid w:val="007D1510"/>
    <w:rsid w:val="007D1768"/>
    <w:rsid w:val="007D19B4"/>
    <w:rsid w:val="007D1A9A"/>
    <w:rsid w:val="007D1AF6"/>
    <w:rsid w:val="007D1D8D"/>
    <w:rsid w:val="007D26AE"/>
    <w:rsid w:val="007D2CD7"/>
    <w:rsid w:val="007D30FB"/>
    <w:rsid w:val="007D3105"/>
    <w:rsid w:val="007D31A6"/>
    <w:rsid w:val="007D375C"/>
    <w:rsid w:val="007D3C9A"/>
    <w:rsid w:val="007D4399"/>
    <w:rsid w:val="007D4740"/>
    <w:rsid w:val="007D4B23"/>
    <w:rsid w:val="007D4BF1"/>
    <w:rsid w:val="007D4F4B"/>
    <w:rsid w:val="007D5181"/>
    <w:rsid w:val="007D5904"/>
    <w:rsid w:val="007D66D7"/>
    <w:rsid w:val="007D6BEA"/>
    <w:rsid w:val="007D6EAD"/>
    <w:rsid w:val="007D6F96"/>
    <w:rsid w:val="007D7190"/>
    <w:rsid w:val="007D77E3"/>
    <w:rsid w:val="007D7D20"/>
    <w:rsid w:val="007D7EBC"/>
    <w:rsid w:val="007D7F1F"/>
    <w:rsid w:val="007E0198"/>
    <w:rsid w:val="007E0D3B"/>
    <w:rsid w:val="007E12F0"/>
    <w:rsid w:val="007E1DA1"/>
    <w:rsid w:val="007E2231"/>
    <w:rsid w:val="007E2916"/>
    <w:rsid w:val="007E32F1"/>
    <w:rsid w:val="007E3A80"/>
    <w:rsid w:val="007E559B"/>
    <w:rsid w:val="007E58D1"/>
    <w:rsid w:val="007E65E2"/>
    <w:rsid w:val="007E6601"/>
    <w:rsid w:val="007E6616"/>
    <w:rsid w:val="007E6E0E"/>
    <w:rsid w:val="007E75F4"/>
    <w:rsid w:val="007E7763"/>
    <w:rsid w:val="007E7987"/>
    <w:rsid w:val="007E7F1C"/>
    <w:rsid w:val="007F0076"/>
    <w:rsid w:val="007F0824"/>
    <w:rsid w:val="007F17E5"/>
    <w:rsid w:val="007F1A36"/>
    <w:rsid w:val="007F1E21"/>
    <w:rsid w:val="007F1FB2"/>
    <w:rsid w:val="007F2512"/>
    <w:rsid w:val="007F2FF3"/>
    <w:rsid w:val="007F30C2"/>
    <w:rsid w:val="007F32B3"/>
    <w:rsid w:val="007F353E"/>
    <w:rsid w:val="007F5520"/>
    <w:rsid w:val="007F5BD6"/>
    <w:rsid w:val="007F633C"/>
    <w:rsid w:val="007F7C13"/>
    <w:rsid w:val="008003B2"/>
    <w:rsid w:val="008003EA"/>
    <w:rsid w:val="00800EE2"/>
    <w:rsid w:val="008015AB"/>
    <w:rsid w:val="00801BC9"/>
    <w:rsid w:val="00801D1C"/>
    <w:rsid w:val="00801F29"/>
    <w:rsid w:val="00802703"/>
    <w:rsid w:val="0080293D"/>
    <w:rsid w:val="00802B37"/>
    <w:rsid w:val="008033A6"/>
    <w:rsid w:val="008038CA"/>
    <w:rsid w:val="0080391E"/>
    <w:rsid w:val="00803E34"/>
    <w:rsid w:val="00804687"/>
    <w:rsid w:val="00804B5E"/>
    <w:rsid w:val="00804EEB"/>
    <w:rsid w:val="00805076"/>
    <w:rsid w:val="00805D08"/>
    <w:rsid w:val="00805D2D"/>
    <w:rsid w:val="00805D34"/>
    <w:rsid w:val="00805F2C"/>
    <w:rsid w:val="00806AD4"/>
    <w:rsid w:val="00806AE5"/>
    <w:rsid w:val="00806C06"/>
    <w:rsid w:val="00806EB2"/>
    <w:rsid w:val="00807276"/>
    <w:rsid w:val="00807924"/>
    <w:rsid w:val="00807B57"/>
    <w:rsid w:val="00807D1D"/>
    <w:rsid w:val="00807FBB"/>
    <w:rsid w:val="00810523"/>
    <w:rsid w:val="008107D9"/>
    <w:rsid w:val="0081081F"/>
    <w:rsid w:val="008108D6"/>
    <w:rsid w:val="00810F76"/>
    <w:rsid w:val="0081137C"/>
    <w:rsid w:val="00811FB0"/>
    <w:rsid w:val="00812137"/>
    <w:rsid w:val="00812159"/>
    <w:rsid w:val="00812216"/>
    <w:rsid w:val="00812773"/>
    <w:rsid w:val="00813079"/>
    <w:rsid w:val="00814128"/>
    <w:rsid w:val="008150D9"/>
    <w:rsid w:val="00815BC0"/>
    <w:rsid w:val="00815D1C"/>
    <w:rsid w:val="00815F08"/>
    <w:rsid w:val="00815F0C"/>
    <w:rsid w:val="00815F7D"/>
    <w:rsid w:val="008163B6"/>
    <w:rsid w:val="00816414"/>
    <w:rsid w:val="008167F1"/>
    <w:rsid w:val="00817AB6"/>
    <w:rsid w:val="00817C40"/>
    <w:rsid w:val="00817D1C"/>
    <w:rsid w:val="0082019B"/>
    <w:rsid w:val="0082066A"/>
    <w:rsid w:val="0082083D"/>
    <w:rsid w:val="00820E46"/>
    <w:rsid w:val="008217C3"/>
    <w:rsid w:val="0082187C"/>
    <w:rsid w:val="00821CAC"/>
    <w:rsid w:val="00821DC3"/>
    <w:rsid w:val="00822184"/>
    <w:rsid w:val="00822370"/>
    <w:rsid w:val="008225B1"/>
    <w:rsid w:val="00822C27"/>
    <w:rsid w:val="00822DEA"/>
    <w:rsid w:val="00822EFC"/>
    <w:rsid w:val="00822F23"/>
    <w:rsid w:val="00823047"/>
    <w:rsid w:val="0082360E"/>
    <w:rsid w:val="00823B6B"/>
    <w:rsid w:val="00823E5A"/>
    <w:rsid w:val="008253A3"/>
    <w:rsid w:val="00825767"/>
    <w:rsid w:val="0082582D"/>
    <w:rsid w:val="00825F17"/>
    <w:rsid w:val="0082643F"/>
    <w:rsid w:val="00826873"/>
    <w:rsid w:val="0082733E"/>
    <w:rsid w:val="00827B86"/>
    <w:rsid w:val="00827D56"/>
    <w:rsid w:val="00830978"/>
    <w:rsid w:val="00830B8D"/>
    <w:rsid w:val="008317BF"/>
    <w:rsid w:val="00831A4D"/>
    <w:rsid w:val="00831C75"/>
    <w:rsid w:val="00831E13"/>
    <w:rsid w:val="00831F9A"/>
    <w:rsid w:val="00832046"/>
    <w:rsid w:val="00832A3C"/>
    <w:rsid w:val="00832D16"/>
    <w:rsid w:val="008333A5"/>
    <w:rsid w:val="008335CE"/>
    <w:rsid w:val="00833C03"/>
    <w:rsid w:val="00834299"/>
    <w:rsid w:val="008346E8"/>
    <w:rsid w:val="00834943"/>
    <w:rsid w:val="00834C3A"/>
    <w:rsid w:val="00834CAB"/>
    <w:rsid w:val="0083500B"/>
    <w:rsid w:val="0083648A"/>
    <w:rsid w:val="008374DB"/>
    <w:rsid w:val="008375BD"/>
    <w:rsid w:val="008378FB"/>
    <w:rsid w:val="00837CA7"/>
    <w:rsid w:val="00840121"/>
    <w:rsid w:val="00840C4A"/>
    <w:rsid w:val="00840E40"/>
    <w:rsid w:val="008411E4"/>
    <w:rsid w:val="00841736"/>
    <w:rsid w:val="00842511"/>
    <w:rsid w:val="00844E93"/>
    <w:rsid w:val="00844EB3"/>
    <w:rsid w:val="00845976"/>
    <w:rsid w:val="00846022"/>
    <w:rsid w:val="00846187"/>
    <w:rsid w:val="008463D3"/>
    <w:rsid w:val="00846821"/>
    <w:rsid w:val="00846C15"/>
    <w:rsid w:val="00847244"/>
    <w:rsid w:val="00847556"/>
    <w:rsid w:val="00847B72"/>
    <w:rsid w:val="00847E96"/>
    <w:rsid w:val="0085040A"/>
    <w:rsid w:val="0085041F"/>
    <w:rsid w:val="00850CCE"/>
    <w:rsid w:val="00851215"/>
    <w:rsid w:val="0085121B"/>
    <w:rsid w:val="00851345"/>
    <w:rsid w:val="00851654"/>
    <w:rsid w:val="0085238E"/>
    <w:rsid w:val="008525C2"/>
    <w:rsid w:val="00852B14"/>
    <w:rsid w:val="008530BF"/>
    <w:rsid w:val="0085339E"/>
    <w:rsid w:val="008533A7"/>
    <w:rsid w:val="00853D03"/>
    <w:rsid w:val="00854826"/>
    <w:rsid w:val="00854D9E"/>
    <w:rsid w:val="00855503"/>
    <w:rsid w:val="0085658C"/>
    <w:rsid w:val="0085677C"/>
    <w:rsid w:val="00856BB2"/>
    <w:rsid w:val="00856C73"/>
    <w:rsid w:val="008578A6"/>
    <w:rsid w:val="00857AB2"/>
    <w:rsid w:val="00857CFE"/>
    <w:rsid w:val="00860030"/>
    <w:rsid w:val="008600A6"/>
    <w:rsid w:val="008607D3"/>
    <w:rsid w:val="00860B7B"/>
    <w:rsid w:val="00860C9D"/>
    <w:rsid w:val="00860E17"/>
    <w:rsid w:val="00861384"/>
    <w:rsid w:val="00861390"/>
    <w:rsid w:val="00861AE0"/>
    <w:rsid w:val="00861B0B"/>
    <w:rsid w:val="00861D92"/>
    <w:rsid w:val="008626F0"/>
    <w:rsid w:val="00862867"/>
    <w:rsid w:val="00862EE8"/>
    <w:rsid w:val="008637F7"/>
    <w:rsid w:val="0086384E"/>
    <w:rsid w:val="0086402C"/>
    <w:rsid w:val="00864471"/>
    <w:rsid w:val="0086452D"/>
    <w:rsid w:val="0086482D"/>
    <w:rsid w:val="0086495E"/>
    <w:rsid w:val="00864C99"/>
    <w:rsid w:val="00864E08"/>
    <w:rsid w:val="00864EDF"/>
    <w:rsid w:val="00865267"/>
    <w:rsid w:val="008654BC"/>
    <w:rsid w:val="00865CA2"/>
    <w:rsid w:val="00865CBD"/>
    <w:rsid w:val="0086693B"/>
    <w:rsid w:val="00866BC0"/>
    <w:rsid w:val="00867D49"/>
    <w:rsid w:val="00867F5F"/>
    <w:rsid w:val="008701AF"/>
    <w:rsid w:val="008708D8"/>
    <w:rsid w:val="008709CB"/>
    <w:rsid w:val="00870E6E"/>
    <w:rsid w:val="00871492"/>
    <w:rsid w:val="00871508"/>
    <w:rsid w:val="008719C9"/>
    <w:rsid w:val="00872094"/>
    <w:rsid w:val="00872471"/>
    <w:rsid w:val="008725A0"/>
    <w:rsid w:val="00872623"/>
    <w:rsid w:val="00872649"/>
    <w:rsid w:val="00872D5C"/>
    <w:rsid w:val="00872DB6"/>
    <w:rsid w:val="00873132"/>
    <w:rsid w:val="0087365B"/>
    <w:rsid w:val="008737DD"/>
    <w:rsid w:val="00873907"/>
    <w:rsid w:val="008745FB"/>
    <w:rsid w:val="00874DD2"/>
    <w:rsid w:val="00875776"/>
    <w:rsid w:val="0087589C"/>
    <w:rsid w:val="008758A3"/>
    <w:rsid w:val="00875BA9"/>
    <w:rsid w:val="00875EAA"/>
    <w:rsid w:val="00876214"/>
    <w:rsid w:val="00876539"/>
    <w:rsid w:val="00876AC6"/>
    <w:rsid w:val="00876EDB"/>
    <w:rsid w:val="008775C8"/>
    <w:rsid w:val="0087763E"/>
    <w:rsid w:val="0087793B"/>
    <w:rsid w:val="00877DF9"/>
    <w:rsid w:val="008803C7"/>
    <w:rsid w:val="008805BA"/>
    <w:rsid w:val="0088073C"/>
    <w:rsid w:val="0088088D"/>
    <w:rsid w:val="0088142E"/>
    <w:rsid w:val="00881B81"/>
    <w:rsid w:val="00882754"/>
    <w:rsid w:val="0088302C"/>
    <w:rsid w:val="00883FDB"/>
    <w:rsid w:val="00883FE5"/>
    <w:rsid w:val="0088453B"/>
    <w:rsid w:val="00884718"/>
    <w:rsid w:val="00884A00"/>
    <w:rsid w:val="00885C3D"/>
    <w:rsid w:val="00885CC6"/>
    <w:rsid w:val="00886397"/>
    <w:rsid w:val="008866FC"/>
    <w:rsid w:val="00886771"/>
    <w:rsid w:val="00886A74"/>
    <w:rsid w:val="00886B10"/>
    <w:rsid w:val="00886F73"/>
    <w:rsid w:val="00887216"/>
    <w:rsid w:val="00887290"/>
    <w:rsid w:val="008900AB"/>
    <w:rsid w:val="008900DA"/>
    <w:rsid w:val="00890411"/>
    <w:rsid w:val="0089072E"/>
    <w:rsid w:val="00890B3E"/>
    <w:rsid w:val="00890D24"/>
    <w:rsid w:val="008913E5"/>
    <w:rsid w:val="0089172A"/>
    <w:rsid w:val="008919B6"/>
    <w:rsid w:val="008919FD"/>
    <w:rsid w:val="00891A44"/>
    <w:rsid w:val="00891B20"/>
    <w:rsid w:val="00893179"/>
    <w:rsid w:val="0089325B"/>
    <w:rsid w:val="00893291"/>
    <w:rsid w:val="008935BB"/>
    <w:rsid w:val="008939AA"/>
    <w:rsid w:val="00893B0B"/>
    <w:rsid w:val="00894998"/>
    <w:rsid w:val="00895406"/>
    <w:rsid w:val="00895946"/>
    <w:rsid w:val="00895AF8"/>
    <w:rsid w:val="00895D43"/>
    <w:rsid w:val="0089621B"/>
    <w:rsid w:val="00896CF4"/>
    <w:rsid w:val="0089700D"/>
    <w:rsid w:val="00897F8D"/>
    <w:rsid w:val="008A0D37"/>
    <w:rsid w:val="008A0DF0"/>
    <w:rsid w:val="008A0F29"/>
    <w:rsid w:val="008A16C9"/>
    <w:rsid w:val="008A1B6B"/>
    <w:rsid w:val="008A2783"/>
    <w:rsid w:val="008A2B11"/>
    <w:rsid w:val="008A34F6"/>
    <w:rsid w:val="008A37A4"/>
    <w:rsid w:val="008A3EA6"/>
    <w:rsid w:val="008A433C"/>
    <w:rsid w:val="008A45A0"/>
    <w:rsid w:val="008A471B"/>
    <w:rsid w:val="008A4DEE"/>
    <w:rsid w:val="008A53AD"/>
    <w:rsid w:val="008A5692"/>
    <w:rsid w:val="008A5AFA"/>
    <w:rsid w:val="008A5D4A"/>
    <w:rsid w:val="008A5E0A"/>
    <w:rsid w:val="008A64B3"/>
    <w:rsid w:val="008A6B24"/>
    <w:rsid w:val="008A75F5"/>
    <w:rsid w:val="008A7632"/>
    <w:rsid w:val="008A7A11"/>
    <w:rsid w:val="008B0473"/>
    <w:rsid w:val="008B04D0"/>
    <w:rsid w:val="008B058D"/>
    <w:rsid w:val="008B06B3"/>
    <w:rsid w:val="008B0A9E"/>
    <w:rsid w:val="008B0C08"/>
    <w:rsid w:val="008B1223"/>
    <w:rsid w:val="008B1F3F"/>
    <w:rsid w:val="008B21FC"/>
    <w:rsid w:val="008B2962"/>
    <w:rsid w:val="008B2A96"/>
    <w:rsid w:val="008B2BB8"/>
    <w:rsid w:val="008B2D89"/>
    <w:rsid w:val="008B346A"/>
    <w:rsid w:val="008B38EB"/>
    <w:rsid w:val="008B3B97"/>
    <w:rsid w:val="008B3F37"/>
    <w:rsid w:val="008B40FE"/>
    <w:rsid w:val="008B4121"/>
    <w:rsid w:val="008B462B"/>
    <w:rsid w:val="008B480D"/>
    <w:rsid w:val="008B4B17"/>
    <w:rsid w:val="008B4CF6"/>
    <w:rsid w:val="008B4EFA"/>
    <w:rsid w:val="008B4F41"/>
    <w:rsid w:val="008B54DD"/>
    <w:rsid w:val="008B56DC"/>
    <w:rsid w:val="008B5D02"/>
    <w:rsid w:val="008B5DBF"/>
    <w:rsid w:val="008B60BF"/>
    <w:rsid w:val="008B61A3"/>
    <w:rsid w:val="008B6793"/>
    <w:rsid w:val="008B69B8"/>
    <w:rsid w:val="008B74EB"/>
    <w:rsid w:val="008B7A17"/>
    <w:rsid w:val="008B7D8D"/>
    <w:rsid w:val="008C04DB"/>
    <w:rsid w:val="008C054A"/>
    <w:rsid w:val="008C0F1A"/>
    <w:rsid w:val="008C1204"/>
    <w:rsid w:val="008C14F1"/>
    <w:rsid w:val="008C2371"/>
    <w:rsid w:val="008C2546"/>
    <w:rsid w:val="008C2815"/>
    <w:rsid w:val="008C2895"/>
    <w:rsid w:val="008C2A10"/>
    <w:rsid w:val="008C2D7F"/>
    <w:rsid w:val="008C3379"/>
    <w:rsid w:val="008C3F08"/>
    <w:rsid w:val="008C4D44"/>
    <w:rsid w:val="008C5681"/>
    <w:rsid w:val="008C5D3B"/>
    <w:rsid w:val="008C65D1"/>
    <w:rsid w:val="008C6B43"/>
    <w:rsid w:val="008C6DB4"/>
    <w:rsid w:val="008C7AD5"/>
    <w:rsid w:val="008D08C3"/>
    <w:rsid w:val="008D1378"/>
    <w:rsid w:val="008D156C"/>
    <w:rsid w:val="008D175E"/>
    <w:rsid w:val="008D177D"/>
    <w:rsid w:val="008D1EAD"/>
    <w:rsid w:val="008D2677"/>
    <w:rsid w:val="008D26F3"/>
    <w:rsid w:val="008D270F"/>
    <w:rsid w:val="008D3349"/>
    <w:rsid w:val="008D3FBB"/>
    <w:rsid w:val="008D4318"/>
    <w:rsid w:val="008D4727"/>
    <w:rsid w:val="008D4940"/>
    <w:rsid w:val="008D4D25"/>
    <w:rsid w:val="008D4FFB"/>
    <w:rsid w:val="008D5C5D"/>
    <w:rsid w:val="008D701F"/>
    <w:rsid w:val="008D7CBA"/>
    <w:rsid w:val="008E183C"/>
    <w:rsid w:val="008E1984"/>
    <w:rsid w:val="008E1B21"/>
    <w:rsid w:val="008E1EB2"/>
    <w:rsid w:val="008E2020"/>
    <w:rsid w:val="008E222E"/>
    <w:rsid w:val="008E31B0"/>
    <w:rsid w:val="008E3570"/>
    <w:rsid w:val="008E3972"/>
    <w:rsid w:val="008E3A7C"/>
    <w:rsid w:val="008E3F6B"/>
    <w:rsid w:val="008E46A4"/>
    <w:rsid w:val="008E47F8"/>
    <w:rsid w:val="008E5417"/>
    <w:rsid w:val="008E5973"/>
    <w:rsid w:val="008E5B7E"/>
    <w:rsid w:val="008E5BC2"/>
    <w:rsid w:val="008E66B8"/>
    <w:rsid w:val="008E677D"/>
    <w:rsid w:val="008E6A48"/>
    <w:rsid w:val="008E6A84"/>
    <w:rsid w:val="008E6B7F"/>
    <w:rsid w:val="008E6D28"/>
    <w:rsid w:val="008E763D"/>
    <w:rsid w:val="008E795E"/>
    <w:rsid w:val="008E7979"/>
    <w:rsid w:val="008E7A3F"/>
    <w:rsid w:val="008F141E"/>
    <w:rsid w:val="008F14A2"/>
    <w:rsid w:val="008F14B6"/>
    <w:rsid w:val="008F1615"/>
    <w:rsid w:val="008F1B13"/>
    <w:rsid w:val="008F1D5F"/>
    <w:rsid w:val="008F22A3"/>
    <w:rsid w:val="008F2576"/>
    <w:rsid w:val="008F41B2"/>
    <w:rsid w:val="008F4A87"/>
    <w:rsid w:val="008F4C02"/>
    <w:rsid w:val="008F5955"/>
    <w:rsid w:val="008F5AFC"/>
    <w:rsid w:val="008F66FB"/>
    <w:rsid w:val="008F676E"/>
    <w:rsid w:val="008F693F"/>
    <w:rsid w:val="008F6C7D"/>
    <w:rsid w:val="008F6EB6"/>
    <w:rsid w:val="008F6ED6"/>
    <w:rsid w:val="008F7627"/>
    <w:rsid w:val="0090039F"/>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4D3"/>
    <w:rsid w:val="0090366B"/>
    <w:rsid w:val="009038D6"/>
    <w:rsid w:val="00904F3E"/>
    <w:rsid w:val="009055B2"/>
    <w:rsid w:val="009056A7"/>
    <w:rsid w:val="00905899"/>
    <w:rsid w:val="00905E5B"/>
    <w:rsid w:val="00906804"/>
    <w:rsid w:val="00906897"/>
    <w:rsid w:val="009068CA"/>
    <w:rsid w:val="0090699F"/>
    <w:rsid w:val="00906AC5"/>
    <w:rsid w:val="00906BD9"/>
    <w:rsid w:val="00906C92"/>
    <w:rsid w:val="00906D09"/>
    <w:rsid w:val="00906EDD"/>
    <w:rsid w:val="00907D46"/>
    <w:rsid w:val="0091024B"/>
    <w:rsid w:val="00910949"/>
    <w:rsid w:val="00912286"/>
    <w:rsid w:val="009124C2"/>
    <w:rsid w:val="00912D51"/>
    <w:rsid w:val="00912D82"/>
    <w:rsid w:val="00913387"/>
    <w:rsid w:val="0091398B"/>
    <w:rsid w:val="009146EF"/>
    <w:rsid w:val="00915813"/>
    <w:rsid w:val="00915BD0"/>
    <w:rsid w:val="0091653B"/>
    <w:rsid w:val="00916B2C"/>
    <w:rsid w:val="00916CDE"/>
    <w:rsid w:val="00916D94"/>
    <w:rsid w:val="00917242"/>
    <w:rsid w:val="00917CBA"/>
    <w:rsid w:val="00917DD9"/>
    <w:rsid w:val="0092012C"/>
    <w:rsid w:val="00920223"/>
    <w:rsid w:val="009204B4"/>
    <w:rsid w:val="00920679"/>
    <w:rsid w:val="009207C8"/>
    <w:rsid w:val="0092094D"/>
    <w:rsid w:val="00920B01"/>
    <w:rsid w:val="009210C5"/>
    <w:rsid w:val="009216ED"/>
    <w:rsid w:val="00921CAE"/>
    <w:rsid w:val="00922D96"/>
    <w:rsid w:val="00922DEF"/>
    <w:rsid w:val="00923101"/>
    <w:rsid w:val="0092327D"/>
    <w:rsid w:val="00923294"/>
    <w:rsid w:val="009240B8"/>
    <w:rsid w:val="009244B4"/>
    <w:rsid w:val="009246F2"/>
    <w:rsid w:val="009247B6"/>
    <w:rsid w:val="00924C0B"/>
    <w:rsid w:val="00924E61"/>
    <w:rsid w:val="00924E65"/>
    <w:rsid w:val="00924F81"/>
    <w:rsid w:val="00925485"/>
    <w:rsid w:val="00925552"/>
    <w:rsid w:val="009258DE"/>
    <w:rsid w:val="00925B68"/>
    <w:rsid w:val="00925D5E"/>
    <w:rsid w:val="00925E28"/>
    <w:rsid w:val="0092632A"/>
    <w:rsid w:val="009263CF"/>
    <w:rsid w:val="00926B28"/>
    <w:rsid w:val="00927178"/>
    <w:rsid w:val="009272B1"/>
    <w:rsid w:val="00927924"/>
    <w:rsid w:val="00927BFD"/>
    <w:rsid w:val="00931810"/>
    <w:rsid w:val="00931988"/>
    <w:rsid w:val="00932376"/>
    <w:rsid w:val="00932448"/>
    <w:rsid w:val="00932737"/>
    <w:rsid w:val="00932B4B"/>
    <w:rsid w:val="00932DE4"/>
    <w:rsid w:val="00932F89"/>
    <w:rsid w:val="009336E7"/>
    <w:rsid w:val="00933905"/>
    <w:rsid w:val="0093404F"/>
    <w:rsid w:val="009342C9"/>
    <w:rsid w:val="00934633"/>
    <w:rsid w:val="00934A3D"/>
    <w:rsid w:val="00934B92"/>
    <w:rsid w:val="00935122"/>
    <w:rsid w:val="009358A2"/>
    <w:rsid w:val="00935B9E"/>
    <w:rsid w:val="00935C59"/>
    <w:rsid w:val="00936351"/>
    <w:rsid w:val="0093681C"/>
    <w:rsid w:val="00936984"/>
    <w:rsid w:val="0093715B"/>
    <w:rsid w:val="009371B9"/>
    <w:rsid w:val="0093782B"/>
    <w:rsid w:val="00937D8A"/>
    <w:rsid w:val="00940126"/>
    <w:rsid w:val="00940C4D"/>
    <w:rsid w:val="00940CB4"/>
    <w:rsid w:val="0094148B"/>
    <w:rsid w:val="0094176B"/>
    <w:rsid w:val="009417CC"/>
    <w:rsid w:val="009418B5"/>
    <w:rsid w:val="0094221E"/>
    <w:rsid w:val="009423C5"/>
    <w:rsid w:val="00942540"/>
    <w:rsid w:val="00942EB1"/>
    <w:rsid w:val="00943027"/>
    <w:rsid w:val="0094316D"/>
    <w:rsid w:val="00943C2E"/>
    <w:rsid w:val="00944304"/>
    <w:rsid w:val="0094445F"/>
    <w:rsid w:val="00944CBC"/>
    <w:rsid w:val="00945468"/>
    <w:rsid w:val="00945925"/>
    <w:rsid w:val="009459BA"/>
    <w:rsid w:val="00945D1E"/>
    <w:rsid w:val="009461E5"/>
    <w:rsid w:val="00947314"/>
    <w:rsid w:val="00947609"/>
    <w:rsid w:val="009476B1"/>
    <w:rsid w:val="00947FF7"/>
    <w:rsid w:val="0095040C"/>
    <w:rsid w:val="00950A10"/>
    <w:rsid w:val="00950A9A"/>
    <w:rsid w:val="00950B92"/>
    <w:rsid w:val="00950BA6"/>
    <w:rsid w:val="00950C10"/>
    <w:rsid w:val="00951D33"/>
    <w:rsid w:val="00952B58"/>
    <w:rsid w:val="00952C27"/>
    <w:rsid w:val="00954423"/>
    <w:rsid w:val="009545DF"/>
    <w:rsid w:val="00954B9C"/>
    <w:rsid w:val="009552D6"/>
    <w:rsid w:val="009553F3"/>
    <w:rsid w:val="009553FB"/>
    <w:rsid w:val="00955956"/>
    <w:rsid w:val="0095598A"/>
    <w:rsid w:val="00955BB2"/>
    <w:rsid w:val="00955C34"/>
    <w:rsid w:val="00955E20"/>
    <w:rsid w:val="009562C6"/>
    <w:rsid w:val="009568C8"/>
    <w:rsid w:val="00956960"/>
    <w:rsid w:val="00956EFD"/>
    <w:rsid w:val="009570B1"/>
    <w:rsid w:val="009574EC"/>
    <w:rsid w:val="0095752D"/>
    <w:rsid w:val="0096012F"/>
    <w:rsid w:val="00960834"/>
    <w:rsid w:val="009609C9"/>
    <w:rsid w:val="00960BF0"/>
    <w:rsid w:val="0096154E"/>
    <w:rsid w:val="00961AD1"/>
    <w:rsid w:val="00962155"/>
    <w:rsid w:val="00962BEA"/>
    <w:rsid w:val="0096370C"/>
    <w:rsid w:val="00963C43"/>
    <w:rsid w:val="0096408C"/>
    <w:rsid w:val="00964097"/>
    <w:rsid w:val="009642B9"/>
    <w:rsid w:val="0096473F"/>
    <w:rsid w:val="00964959"/>
    <w:rsid w:val="00964A73"/>
    <w:rsid w:val="00964CD7"/>
    <w:rsid w:val="00964E85"/>
    <w:rsid w:val="00965206"/>
    <w:rsid w:val="0096533A"/>
    <w:rsid w:val="00965592"/>
    <w:rsid w:val="00965ED8"/>
    <w:rsid w:val="009667CA"/>
    <w:rsid w:val="00966CF9"/>
    <w:rsid w:val="00967217"/>
    <w:rsid w:val="009672CF"/>
    <w:rsid w:val="00967A6B"/>
    <w:rsid w:val="00967ACE"/>
    <w:rsid w:val="00967F20"/>
    <w:rsid w:val="0097022C"/>
    <w:rsid w:val="0097077E"/>
    <w:rsid w:val="00970D42"/>
    <w:rsid w:val="00970F9A"/>
    <w:rsid w:val="009710DF"/>
    <w:rsid w:val="0097122A"/>
    <w:rsid w:val="00971CAF"/>
    <w:rsid w:val="00971F52"/>
    <w:rsid w:val="009720D9"/>
    <w:rsid w:val="009721C9"/>
    <w:rsid w:val="00972724"/>
    <w:rsid w:val="00972B9F"/>
    <w:rsid w:val="00972D77"/>
    <w:rsid w:val="00972EF1"/>
    <w:rsid w:val="009736A3"/>
    <w:rsid w:val="0097380E"/>
    <w:rsid w:val="00973B1E"/>
    <w:rsid w:val="00973D6E"/>
    <w:rsid w:val="00974101"/>
    <w:rsid w:val="009744C5"/>
    <w:rsid w:val="009748C6"/>
    <w:rsid w:val="00974A9F"/>
    <w:rsid w:val="00975695"/>
    <w:rsid w:val="00975F55"/>
    <w:rsid w:val="00976228"/>
    <w:rsid w:val="00976DDE"/>
    <w:rsid w:val="0097751E"/>
    <w:rsid w:val="00977E96"/>
    <w:rsid w:val="00977EB1"/>
    <w:rsid w:val="00977F01"/>
    <w:rsid w:val="009810E8"/>
    <w:rsid w:val="009812AF"/>
    <w:rsid w:val="00981551"/>
    <w:rsid w:val="00981587"/>
    <w:rsid w:val="009816D4"/>
    <w:rsid w:val="009816EC"/>
    <w:rsid w:val="00981AAA"/>
    <w:rsid w:val="00982E80"/>
    <w:rsid w:val="0098342E"/>
    <w:rsid w:val="009834D9"/>
    <w:rsid w:val="009841CA"/>
    <w:rsid w:val="009844DE"/>
    <w:rsid w:val="00984851"/>
    <w:rsid w:val="0098533D"/>
    <w:rsid w:val="00985986"/>
    <w:rsid w:val="00985E02"/>
    <w:rsid w:val="00985F74"/>
    <w:rsid w:val="0098701C"/>
    <w:rsid w:val="00987C9C"/>
    <w:rsid w:val="00987E6A"/>
    <w:rsid w:val="00987F4E"/>
    <w:rsid w:val="009902BB"/>
    <w:rsid w:val="00990A8D"/>
    <w:rsid w:val="00990C61"/>
    <w:rsid w:val="00990E67"/>
    <w:rsid w:val="00991174"/>
    <w:rsid w:val="00991C46"/>
    <w:rsid w:val="00991C48"/>
    <w:rsid w:val="009922A9"/>
    <w:rsid w:val="00994C59"/>
    <w:rsid w:val="00994D50"/>
    <w:rsid w:val="00995053"/>
    <w:rsid w:val="009953B5"/>
    <w:rsid w:val="009954D0"/>
    <w:rsid w:val="00995C07"/>
    <w:rsid w:val="009962AC"/>
    <w:rsid w:val="0099671B"/>
    <w:rsid w:val="00996D8E"/>
    <w:rsid w:val="009A0432"/>
    <w:rsid w:val="009A0802"/>
    <w:rsid w:val="009A0A22"/>
    <w:rsid w:val="009A0B98"/>
    <w:rsid w:val="009A0E24"/>
    <w:rsid w:val="009A122A"/>
    <w:rsid w:val="009A162A"/>
    <w:rsid w:val="009A2B10"/>
    <w:rsid w:val="009A3436"/>
    <w:rsid w:val="009A39BA"/>
    <w:rsid w:val="009A3B25"/>
    <w:rsid w:val="009A3C8A"/>
    <w:rsid w:val="009A4ABE"/>
    <w:rsid w:val="009A5C9F"/>
    <w:rsid w:val="009A5CF9"/>
    <w:rsid w:val="009A6450"/>
    <w:rsid w:val="009A6903"/>
    <w:rsid w:val="009A6A14"/>
    <w:rsid w:val="009A7408"/>
    <w:rsid w:val="009A7686"/>
    <w:rsid w:val="009A7697"/>
    <w:rsid w:val="009A77D4"/>
    <w:rsid w:val="009B0848"/>
    <w:rsid w:val="009B0BEB"/>
    <w:rsid w:val="009B10AC"/>
    <w:rsid w:val="009B111A"/>
    <w:rsid w:val="009B1401"/>
    <w:rsid w:val="009B1F93"/>
    <w:rsid w:val="009B2229"/>
    <w:rsid w:val="009B2805"/>
    <w:rsid w:val="009B2C9F"/>
    <w:rsid w:val="009B2E00"/>
    <w:rsid w:val="009B3132"/>
    <w:rsid w:val="009B386F"/>
    <w:rsid w:val="009B3A56"/>
    <w:rsid w:val="009B3AC5"/>
    <w:rsid w:val="009B3F80"/>
    <w:rsid w:val="009B4085"/>
    <w:rsid w:val="009B4339"/>
    <w:rsid w:val="009B437C"/>
    <w:rsid w:val="009B4868"/>
    <w:rsid w:val="009B4A32"/>
    <w:rsid w:val="009B4D4C"/>
    <w:rsid w:val="009B5282"/>
    <w:rsid w:val="009B52DA"/>
    <w:rsid w:val="009B61CC"/>
    <w:rsid w:val="009B624D"/>
    <w:rsid w:val="009B65ED"/>
    <w:rsid w:val="009B678B"/>
    <w:rsid w:val="009B6B63"/>
    <w:rsid w:val="009B75D7"/>
    <w:rsid w:val="009B789C"/>
    <w:rsid w:val="009B7A9F"/>
    <w:rsid w:val="009B7AB0"/>
    <w:rsid w:val="009B7CF7"/>
    <w:rsid w:val="009C0025"/>
    <w:rsid w:val="009C02A2"/>
    <w:rsid w:val="009C03FC"/>
    <w:rsid w:val="009C057E"/>
    <w:rsid w:val="009C07D8"/>
    <w:rsid w:val="009C0DE2"/>
    <w:rsid w:val="009C1F9E"/>
    <w:rsid w:val="009C214D"/>
    <w:rsid w:val="009C2E68"/>
    <w:rsid w:val="009C2EA5"/>
    <w:rsid w:val="009C31BB"/>
    <w:rsid w:val="009C3D14"/>
    <w:rsid w:val="009C3D1F"/>
    <w:rsid w:val="009C44B3"/>
    <w:rsid w:val="009C45A6"/>
    <w:rsid w:val="009C4C88"/>
    <w:rsid w:val="009C51AF"/>
    <w:rsid w:val="009C52E8"/>
    <w:rsid w:val="009C55ED"/>
    <w:rsid w:val="009C6119"/>
    <w:rsid w:val="009C643E"/>
    <w:rsid w:val="009C64F8"/>
    <w:rsid w:val="009C6A2B"/>
    <w:rsid w:val="009C6FBE"/>
    <w:rsid w:val="009C706B"/>
    <w:rsid w:val="009C71B1"/>
    <w:rsid w:val="009C72C3"/>
    <w:rsid w:val="009C7E95"/>
    <w:rsid w:val="009C7F82"/>
    <w:rsid w:val="009D01AD"/>
    <w:rsid w:val="009D0E5D"/>
    <w:rsid w:val="009D123A"/>
    <w:rsid w:val="009D1897"/>
    <w:rsid w:val="009D19CD"/>
    <w:rsid w:val="009D29BC"/>
    <w:rsid w:val="009D35B9"/>
    <w:rsid w:val="009D371A"/>
    <w:rsid w:val="009D3875"/>
    <w:rsid w:val="009D3B4D"/>
    <w:rsid w:val="009D3BA0"/>
    <w:rsid w:val="009D4218"/>
    <w:rsid w:val="009D424E"/>
    <w:rsid w:val="009D4915"/>
    <w:rsid w:val="009D4BFF"/>
    <w:rsid w:val="009D4C3B"/>
    <w:rsid w:val="009D4E82"/>
    <w:rsid w:val="009D5488"/>
    <w:rsid w:val="009D60EE"/>
    <w:rsid w:val="009D6362"/>
    <w:rsid w:val="009D6382"/>
    <w:rsid w:val="009D639E"/>
    <w:rsid w:val="009D691F"/>
    <w:rsid w:val="009D69A3"/>
    <w:rsid w:val="009D69B0"/>
    <w:rsid w:val="009D6B42"/>
    <w:rsid w:val="009D6BC0"/>
    <w:rsid w:val="009D6C8B"/>
    <w:rsid w:val="009D6CA1"/>
    <w:rsid w:val="009D6DD0"/>
    <w:rsid w:val="009D733C"/>
    <w:rsid w:val="009D7BE5"/>
    <w:rsid w:val="009D7E8F"/>
    <w:rsid w:val="009E0001"/>
    <w:rsid w:val="009E008D"/>
    <w:rsid w:val="009E0605"/>
    <w:rsid w:val="009E070A"/>
    <w:rsid w:val="009E0B29"/>
    <w:rsid w:val="009E0FA2"/>
    <w:rsid w:val="009E1328"/>
    <w:rsid w:val="009E17C5"/>
    <w:rsid w:val="009E18B5"/>
    <w:rsid w:val="009E18F8"/>
    <w:rsid w:val="009E29DC"/>
    <w:rsid w:val="009E36A1"/>
    <w:rsid w:val="009E39F8"/>
    <w:rsid w:val="009E3D0A"/>
    <w:rsid w:val="009E3D82"/>
    <w:rsid w:val="009E3DE2"/>
    <w:rsid w:val="009E3FA7"/>
    <w:rsid w:val="009E3FF6"/>
    <w:rsid w:val="009E4395"/>
    <w:rsid w:val="009E45D1"/>
    <w:rsid w:val="009E4E96"/>
    <w:rsid w:val="009E5075"/>
    <w:rsid w:val="009E53B4"/>
    <w:rsid w:val="009E5CDE"/>
    <w:rsid w:val="009E5EE4"/>
    <w:rsid w:val="009E6B19"/>
    <w:rsid w:val="009E7115"/>
    <w:rsid w:val="009E7138"/>
    <w:rsid w:val="009E7141"/>
    <w:rsid w:val="009E77B5"/>
    <w:rsid w:val="009E7A2B"/>
    <w:rsid w:val="009E7C22"/>
    <w:rsid w:val="009F00DC"/>
    <w:rsid w:val="009F05FF"/>
    <w:rsid w:val="009F0B74"/>
    <w:rsid w:val="009F0D1E"/>
    <w:rsid w:val="009F0E77"/>
    <w:rsid w:val="009F121C"/>
    <w:rsid w:val="009F129B"/>
    <w:rsid w:val="009F12EC"/>
    <w:rsid w:val="009F1368"/>
    <w:rsid w:val="009F1941"/>
    <w:rsid w:val="009F23E5"/>
    <w:rsid w:val="009F2488"/>
    <w:rsid w:val="009F251D"/>
    <w:rsid w:val="009F2DF9"/>
    <w:rsid w:val="009F3017"/>
    <w:rsid w:val="009F3FC8"/>
    <w:rsid w:val="009F4361"/>
    <w:rsid w:val="009F4A83"/>
    <w:rsid w:val="009F4A95"/>
    <w:rsid w:val="009F4AAF"/>
    <w:rsid w:val="009F4C0D"/>
    <w:rsid w:val="009F4E61"/>
    <w:rsid w:val="009F6390"/>
    <w:rsid w:val="009F69D9"/>
    <w:rsid w:val="009F6E45"/>
    <w:rsid w:val="00A001BD"/>
    <w:rsid w:val="00A0068A"/>
    <w:rsid w:val="00A00BCD"/>
    <w:rsid w:val="00A00CD6"/>
    <w:rsid w:val="00A00E15"/>
    <w:rsid w:val="00A024B9"/>
    <w:rsid w:val="00A02858"/>
    <w:rsid w:val="00A02B5A"/>
    <w:rsid w:val="00A02B6D"/>
    <w:rsid w:val="00A02F50"/>
    <w:rsid w:val="00A03494"/>
    <w:rsid w:val="00A03630"/>
    <w:rsid w:val="00A03947"/>
    <w:rsid w:val="00A03BE5"/>
    <w:rsid w:val="00A03C27"/>
    <w:rsid w:val="00A04868"/>
    <w:rsid w:val="00A04A6A"/>
    <w:rsid w:val="00A04C6F"/>
    <w:rsid w:val="00A04F0B"/>
    <w:rsid w:val="00A0691A"/>
    <w:rsid w:val="00A06DB9"/>
    <w:rsid w:val="00A06F4B"/>
    <w:rsid w:val="00A071A0"/>
    <w:rsid w:val="00A072EF"/>
    <w:rsid w:val="00A073B5"/>
    <w:rsid w:val="00A075CA"/>
    <w:rsid w:val="00A076DB"/>
    <w:rsid w:val="00A10450"/>
    <w:rsid w:val="00A106C3"/>
    <w:rsid w:val="00A10C14"/>
    <w:rsid w:val="00A11369"/>
    <w:rsid w:val="00A1149A"/>
    <w:rsid w:val="00A1175F"/>
    <w:rsid w:val="00A11976"/>
    <w:rsid w:val="00A11F33"/>
    <w:rsid w:val="00A120C0"/>
    <w:rsid w:val="00A127C5"/>
    <w:rsid w:val="00A129EC"/>
    <w:rsid w:val="00A12C56"/>
    <w:rsid w:val="00A12E91"/>
    <w:rsid w:val="00A12F01"/>
    <w:rsid w:val="00A12FAB"/>
    <w:rsid w:val="00A130A8"/>
    <w:rsid w:val="00A136BB"/>
    <w:rsid w:val="00A137C9"/>
    <w:rsid w:val="00A139A1"/>
    <w:rsid w:val="00A13B72"/>
    <w:rsid w:val="00A13E25"/>
    <w:rsid w:val="00A13E7C"/>
    <w:rsid w:val="00A1528A"/>
    <w:rsid w:val="00A15F6D"/>
    <w:rsid w:val="00A16054"/>
    <w:rsid w:val="00A1655C"/>
    <w:rsid w:val="00A16637"/>
    <w:rsid w:val="00A16D54"/>
    <w:rsid w:val="00A170B8"/>
    <w:rsid w:val="00A1753C"/>
    <w:rsid w:val="00A17879"/>
    <w:rsid w:val="00A17A47"/>
    <w:rsid w:val="00A17C6B"/>
    <w:rsid w:val="00A20029"/>
    <w:rsid w:val="00A20153"/>
    <w:rsid w:val="00A21789"/>
    <w:rsid w:val="00A21930"/>
    <w:rsid w:val="00A219B0"/>
    <w:rsid w:val="00A21ABB"/>
    <w:rsid w:val="00A223BC"/>
    <w:rsid w:val="00A22687"/>
    <w:rsid w:val="00A22995"/>
    <w:rsid w:val="00A22A3B"/>
    <w:rsid w:val="00A22A86"/>
    <w:rsid w:val="00A22F46"/>
    <w:rsid w:val="00A23ABE"/>
    <w:rsid w:val="00A251A0"/>
    <w:rsid w:val="00A251BF"/>
    <w:rsid w:val="00A251D1"/>
    <w:rsid w:val="00A25226"/>
    <w:rsid w:val="00A254E3"/>
    <w:rsid w:val="00A2629D"/>
    <w:rsid w:val="00A26377"/>
    <w:rsid w:val="00A26E59"/>
    <w:rsid w:val="00A276DF"/>
    <w:rsid w:val="00A27BDE"/>
    <w:rsid w:val="00A30186"/>
    <w:rsid w:val="00A310A4"/>
    <w:rsid w:val="00A3150C"/>
    <w:rsid w:val="00A31DD9"/>
    <w:rsid w:val="00A31DDA"/>
    <w:rsid w:val="00A31F63"/>
    <w:rsid w:val="00A322E5"/>
    <w:rsid w:val="00A32557"/>
    <w:rsid w:val="00A32914"/>
    <w:rsid w:val="00A32A39"/>
    <w:rsid w:val="00A32AD8"/>
    <w:rsid w:val="00A3342C"/>
    <w:rsid w:val="00A3431A"/>
    <w:rsid w:val="00A3450A"/>
    <w:rsid w:val="00A34C15"/>
    <w:rsid w:val="00A34FA7"/>
    <w:rsid w:val="00A353AA"/>
    <w:rsid w:val="00A35930"/>
    <w:rsid w:val="00A36ECD"/>
    <w:rsid w:val="00A36EE0"/>
    <w:rsid w:val="00A36F04"/>
    <w:rsid w:val="00A370B8"/>
    <w:rsid w:val="00A3749F"/>
    <w:rsid w:val="00A37B99"/>
    <w:rsid w:val="00A37D8C"/>
    <w:rsid w:val="00A408EF"/>
    <w:rsid w:val="00A412C3"/>
    <w:rsid w:val="00A41774"/>
    <w:rsid w:val="00A41C2E"/>
    <w:rsid w:val="00A41CC6"/>
    <w:rsid w:val="00A424C2"/>
    <w:rsid w:val="00A428BD"/>
    <w:rsid w:val="00A42C87"/>
    <w:rsid w:val="00A4319A"/>
    <w:rsid w:val="00A43375"/>
    <w:rsid w:val="00A44073"/>
    <w:rsid w:val="00A4427E"/>
    <w:rsid w:val="00A44465"/>
    <w:rsid w:val="00A44718"/>
    <w:rsid w:val="00A45367"/>
    <w:rsid w:val="00A458BB"/>
    <w:rsid w:val="00A45CD6"/>
    <w:rsid w:val="00A45F47"/>
    <w:rsid w:val="00A46551"/>
    <w:rsid w:val="00A46998"/>
    <w:rsid w:val="00A47689"/>
    <w:rsid w:val="00A4785C"/>
    <w:rsid w:val="00A47B34"/>
    <w:rsid w:val="00A47B9B"/>
    <w:rsid w:val="00A5037A"/>
    <w:rsid w:val="00A50689"/>
    <w:rsid w:val="00A506FD"/>
    <w:rsid w:val="00A5085A"/>
    <w:rsid w:val="00A509C0"/>
    <w:rsid w:val="00A50A9B"/>
    <w:rsid w:val="00A50C40"/>
    <w:rsid w:val="00A50DDC"/>
    <w:rsid w:val="00A5199F"/>
    <w:rsid w:val="00A51A40"/>
    <w:rsid w:val="00A52571"/>
    <w:rsid w:val="00A536E2"/>
    <w:rsid w:val="00A53A19"/>
    <w:rsid w:val="00A54224"/>
    <w:rsid w:val="00A54730"/>
    <w:rsid w:val="00A55227"/>
    <w:rsid w:val="00A55E8A"/>
    <w:rsid w:val="00A560CB"/>
    <w:rsid w:val="00A5648B"/>
    <w:rsid w:val="00A56849"/>
    <w:rsid w:val="00A569B2"/>
    <w:rsid w:val="00A5783B"/>
    <w:rsid w:val="00A579BE"/>
    <w:rsid w:val="00A57DEA"/>
    <w:rsid w:val="00A60137"/>
    <w:rsid w:val="00A60308"/>
    <w:rsid w:val="00A60E87"/>
    <w:rsid w:val="00A61677"/>
    <w:rsid w:val="00A6170D"/>
    <w:rsid w:val="00A6177D"/>
    <w:rsid w:val="00A61DB9"/>
    <w:rsid w:val="00A62573"/>
    <w:rsid w:val="00A625AA"/>
    <w:rsid w:val="00A62729"/>
    <w:rsid w:val="00A629DC"/>
    <w:rsid w:val="00A629FA"/>
    <w:rsid w:val="00A62AA1"/>
    <w:rsid w:val="00A63113"/>
    <w:rsid w:val="00A63CD9"/>
    <w:rsid w:val="00A63E97"/>
    <w:rsid w:val="00A64BD8"/>
    <w:rsid w:val="00A64C03"/>
    <w:rsid w:val="00A65210"/>
    <w:rsid w:val="00A653E5"/>
    <w:rsid w:val="00A66A8B"/>
    <w:rsid w:val="00A66A8F"/>
    <w:rsid w:val="00A67C73"/>
    <w:rsid w:val="00A67CC1"/>
    <w:rsid w:val="00A67E18"/>
    <w:rsid w:val="00A7000C"/>
    <w:rsid w:val="00A700F6"/>
    <w:rsid w:val="00A70814"/>
    <w:rsid w:val="00A70E0E"/>
    <w:rsid w:val="00A710AE"/>
    <w:rsid w:val="00A711DD"/>
    <w:rsid w:val="00A71692"/>
    <w:rsid w:val="00A71BBF"/>
    <w:rsid w:val="00A71ED4"/>
    <w:rsid w:val="00A72174"/>
    <w:rsid w:val="00A727E9"/>
    <w:rsid w:val="00A729C0"/>
    <w:rsid w:val="00A73257"/>
    <w:rsid w:val="00A7346B"/>
    <w:rsid w:val="00A73578"/>
    <w:rsid w:val="00A73BD6"/>
    <w:rsid w:val="00A74299"/>
    <w:rsid w:val="00A74395"/>
    <w:rsid w:val="00A7450A"/>
    <w:rsid w:val="00A74D81"/>
    <w:rsid w:val="00A75194"/>
    <w:rsid w:val="00A75405"/>
    <w:rsid w:val="00A766A9"/>
    <w:rsid w:val="00A7692C"/>
    <w:rsid w:val="00A76EF2"/>
    <w:rsid w:val="00A7716A"/>
    <w:rsid w:val="00A77447"/>
    <w:rsid w:val="00A77828"/>
    <w:rsid w:val="00A77C9B"/>
    <w:rsid w:val="00A77CCD"/>
    <w:rsid w:val="00A77DF7"/>
    <w:rsid w:val="00A80907"/>
    <w:rsid w:val="00A80A46"/>
    <w:rsid w:val="00A80B8B"/>
    <w:rsid w:val="00A80C90"/>
    <w:rsid w:val="00A81217"/>
    <w:rsid w:val="00A813F4"/>
    <w:rsid w:val="00A81440"/>
    <w:rsid w:val="00A81847"/>
    <w:rsid w:val="00A81C73"/>
    <w:rsid w:val="00A81CDF"/>
    <w:rsid w:val="00A81E93"/>
    <w:rsid w:val="00A8240A"/>
    <w:rsid w:val="00A8283D"/>
    <w:rsid w:val="00A829A2"/>
    <w:rsid w:val="00A83335"/>
    <w:rsid w:val="00A8368A"/>
    <w:rsid w:val="00A83ED8"/>
    <w:rsid w:val="00A845FA"/>
    <w:rsid w:val="00A847B1"/>
    <w:rsid w:val="00A84ABD"/>
    <w:rsid w:val="00A85850"/>
    <w:rsid w:val="00A85EF6"/>
    <w:rsid w:val="00A86681"/>
    <w:rsid w:val="00A86B72"/>
    <w:rsid w:val="00A873A6"/>
    <w:rsid w:val="00A875E6"/>
    <w:rsid w:val="00A87762"/>
    <w:rsid w:val="00A87763"/>
    <w:rsid w:val="00A87832"/>
    <w:rsid w:val="00A9018A"/>
    <w:rsid w:val="00A903DA"/>
    <w:rsid w:val="00A90608"/>
    <w:rsid w:val="00A906FC"/>
    <w:rsid w:val="00A906FE"/>
    <w:rsid w:val="00A909DE"/>
    <w:rsid w:val="00A90A27"/>
    <w:rsid w:val="00A92B41"/>
    <w:rsid w:val="00A92ED4"/>
    <w:rsid w:val="00A9355C"/>
    <w:rsid w:val="00A94536"/>
    <w:rsid w:val="00A94579"/>
    <w:rsid w:val="00A945EF"/>
    <w:rsid w:val="00A946E6"/>
    <w:rsid w:val="00A9514C"/>
    <w:rsid w:val="00A953D8"/>
    <w:rsid w:val="00A95C19"/>
    <w:rsid w:val="00A96BFF"/>
    <w:rsid w:val="00A97632"/>
    <w:rsid w:val="00AA01E3"/>
    <w:rsid w:val="00AA09F5"/>
    <w:rsid w:val="00AA1052"/>
    <w:rsid w:val="00AA172C"/>
    <w:rsid w:val="00AA1DED"/>
    <w:rsid w:val="00AA2089"/>
    <w:rsid w:val="00AA2627"/>
    <w:rsid w:val="00AA2926"/>
    <w:rsid w:val="00AA2A19"/>
    <w:rsid w:val="00AA2A47"/>
    <w:rsid w:val="00AA2AAC"/>
    <w:rsid w:val="00AA2E90"/>
    <w:rsid w:val="00AA306C"/>
    <w:rsid w:val="00AA30FE"/>
    <w:rsid w:val="00AA345C"/>
    <w:rsid w:val="00AA3871"/>
    <w:rsid w:val="00AA46CA"/>
    <w:rsid w:val="00AA4996"/>
    <w:rsid w:val="00AA500A"/>
    <w:rsid w:val="00AA5029"/>
    <w:rsid w:val="00AA51AC"/>
    <w:rsid w:val="00AA5D6E"/>
    <w:rsid w:val="00AA606D"/>
    <w:rsid w:val="00AA62C8"/>
    <w:rsid w:val="00AA6735"/>
    <w:rsid w:val="00AA699F"/>
    <w:rsid w:val="00AA6BD6"/>
    <w:rsid w:val="00AA70FF"/>
    <w:rsid w:val="00AA72F0"/>
    <w:rsid w:val="00AB039D"/>
    <w:rsid w:val="00AB0541"/>
    <w:rsid w:val="00AB06AE"/>
    <w:rsid w:val="00AB095C"/>
    <w:rsid w:val="00AB0E70"/>
    <w:rsid w:val="00AB104F"/>
    <w:rsid w:val="00AB1086"/>
    <w:rsid w:val="00AB126F"/>
    <w:rsid w:val="00AB1C5E"/>
    <w:rsid w:val="00AB22AC"/>
    <w:rsid w:val="00AB22FA"/>
    <w:rsid w:val="00AB255D"/>
    <w:rsid w:val="00AB2B0D"/>
    <w:rsid w:val="00AB2CC7"/>
    <w:rsid w:val="00AB2FD1"/>
    <w:rsid w:val="00AB311D"/>
    <w:rsid w:val="00AB33AA"/>
    <w:rsid w:val="00AB38B1"/>
    <w:rsid w:val="00AB39C6"/>
    <w:rsid w:val="00AB3FA6"/>
    <w:rsid w:val="00AB4060"/>
    <w:rsid w:val="00AB47FD"/>
    <w:rsid w:val="00AB4E00"/>
    <w:rsid w:val="00AB4FB7"/>
    <w:rsid w:val="00AB5A9D"/>
    <w:rsid w:val="00AB68BE"/>
    <w:rsid w:val="00AB6BFB"/>
    <w:rsid w:val="00AB6D6C"/>
    <w:rsid w:val="00AB761B"/>
    <w:rsid w:val="00AB7C97"/>
    <w:rsid w:val="00AB7CD2"/>
    <w:rsid w:val="00AC10CA"/>
    <w:rsid w:val="00AC1536"/>
    <w:rsid w:val="00AC174D"/>
    <w:rsid w:val="00AC18DB"/>
    <w:rsid w:val="00AC18F7"/>
    <w:rsid w:val="00AC214D"/>
    <w:rsid w:val="00AC2209"/>
    <w:rsid w:val="00AC22E7"/>
    <w:rsid w:val="00AC2E0A"/>
    <w:rsid w:val="00AC32AB"/>
    <w:rsid w:val="00AC348F"/>
    <w:rsid w:val="00AC3873"/>
    <w:rsid w:val="00AC3BD4"/>
    <w:rsid w:val="00AC3C81"/>
    <w:rsid w:val="00AC49B0"/>
    <w:rsid w:val="00AC5276"/>
    <w:rsid w:val="00AC5861"/>
    <w:rsid w:val="00AC5C0F"/>
    <w:rsid w:val="00AC601B"/>
    <w:rsid w:val="00AC6284"/>
    <w:rsid w:val="00AC6545"/>
    <w:rsid w:val="00AC69D2"/>
    <w:rsid w:val="00AC6E87"/>
    <w:rsid w:val="00AC713A"/>
    <w:rsid w:val="00AC738F"/>
    <w:rsid w:val="00AC7498"/>
    <w:rsid w:val="00AC7EE8"/>
    <w:rsid w:val="00AD09DF"/>
    <w:rsid w:val="00AD1707"/>
    <w:rsid w:val="00AD1B05"/>
    <w:rsid w:val="00AD1F3E"/>
    <w:rsid w:val="00AD2008"/>
    <w:rsid w:val="00AD23E4"/>
    <w:rsid w:val="00AD2759"/>
    <w:rsid w:val="00AD27B2"/>
    <w:rsid w:val="00AD2DC7"/>
    <w:rsid w:val="00AD3432"/>
    <w:rsid w:val="00AD3924"/>
    <w:rsid w:val="00AD3997"/>
    <w:rsid w:val="00AD3C95"/>
    <w:rsid w:val="00AD3CF7"/>
    <w:rsid w:val="00AD4005"/>
    <w:rsid w:val="00AD414B"/>
    <w:rsid w:val="00AD467B"/>
    <w:rsid w:val="00AD4933"/>
    <w:rsid w:val="00AD4A80"/>
    <w:rsid w:val="00AD4F16"/>
    <w:rsid w:val="00AD5191"/>
    <w:rsid w:val="00AD5600"/>
    <w:rsid w:val="00AD5BD0"/>
    <w:rsid w:val="00AD5CF7"/>
    <w:rsid w:val="00AD60A3"/>
    <w:rsid w:val="00AD77E2"/>
    <w:rsid w:val="00AD780C"/>
    <w:rsid w:val="00AE08EE"/>
    <w:rsid w:val="00AE0F02"/>
    <w:rsid w:val="00AE10EF"/>
    <w:rsid w:val="00AE1269"/>
    <w:rsid w:val="00AE1A4F"/>
    <w:rsid w:val="00AE1CDD"/>
    <w:rsid w:val="00AE1DB8"/>
    <w:rsid w:val="00AE2045"/>
    <w:rsid w:val="00AE29B2"/>
    <w:rsid w:val="00AE2F03"/>
    <w:rsid w:val="00AE3186"/>
    <w:rsid w:val="00AE32DE"/>
    <w:rsid w:val="00AE3492"/>
    <w:rsid w:val="00AE355A"/>
    <w:rsid w:val="00AE379F"/>
    <w:rsid w:val="00AE384D"/>
    <w:rsid w:val="00AE3ACD"/>
    <w:rsid w:val="00AE3FFF"/>
    <w:rsid w:val="00AE423E"/>
    <w:rsid w:val="00AE49DF"/>
    <w:rsid w:val="00AE4AB7"/>
    <w:rsid w:val="00AE4E6A"/>
    <w:rsid w:val="00AE5816"/>
    <w:rsid w:val="00AE5A9A"/>
    <w:rsid w:val="00AE6111"/>
    <w:rsid w:val="00AE6D23"/>
    <w:rsid w:val="00AE7132"/>
    <w:rsid w:val="00AE71A3"/>
    <w:rsid w:val="00AF019A"/>
    <w:rsid w:val="00AF04C8"/>
    <w:rsid w:val="00AF0697"/>
    <w:rsid w:val="00AF0748"/>
    <w:rsid w:val="00AF0DAC"/>
    <w:rsid w:val="00AF0FBA"/>
    <w:rsid w:val="00AF1F62"/>
    <w:rsid w:val="00AF227B"/>
    <w:rsid w:val="00AF26BD"/>
    <w:rsid w:val="00AF277A"/>
    <w:rsid w:val="00AF2CC6"/>
    <w:rsid w:val="00AF3CBF"/>
    <w:rsid w:val="00AF4625"/>
    <w:rsid w:val="00AF4694"/>
    <w:rsid w:val="00AF4E19"/>
    <w:rsid w:val="00AF4E86"/>
    <w:rsid w:val="00AF513E"/>
    <w:rsid w:val="00AF54DA"/>
    <w:rsid w:val="00AF565E"/>
    <w:rsid w:val="00AF5747"/>
    <w:rsid w:val="00AF5A60"/>
    <w:rsid w:val="00AF5BE4"/>
    <w:rsid w:val="00AF5E98"/>
    <w:rsid w:val="00AF5F12"/>
    <w:rsid w:val="00AF63FD"/>
    <w:rsid w:val="00AF6531"/>
    <w:rsid w:val="00AF69DA"/>
    <w:rsid w:val="00AF6B43"/>
    <w:rsid w:val="00AF6FC5"/>
    <w:rsid w:val="00AF76FC"/>
    <w:rsid w:val="00AF77FD"/>
    <w:rsid w:val="00AF7977"/>
    <w:rsid w:val="00AF7A2D"/>
    <w:rsid w:val="00AF7EB0"/>
    <w:rsid w:val="00B00538"/>
    <w:rsid w:val="00B00AC7"/>
    <w:rsid w:val="00B00F0A"/>
    <w:rsid w:val="00B00F37"/>
    <w:rsid w:val="00B01372"/>
    <w:rsid w:val="00B01414"/>
    <w:rsid w:val="00B01731"/>
    <w:rsid w:val="00B019B0"/>
    <w:rsid w:val="00B01CF1"/>
    <w:rsid w:val="00B01D84"/>
    <w:rsid w:val="00B02561"/>
    <w:rsid w:val="00B034A5"/>
    <w:rsid w:val="00B037FF"/>
    <w:rsid w:val="00B03F7D"/>
    <w:rsid w:val="00B04073"/>
    <w:rsid w:val="00B041CC"/>
    <w:rsid w:val="00B0422D"/>
    <w:rsid w:val="00B04C43"/>
    <w:rsid w:val="00B05244"/>
    <w:rsid w:val="00B0577F"/>
    <w:rsid w:val="00B05C43"/>
    <w:rsid w:val="00B05F5B"/>
    <w:rsid w:val="00B062F5"/>
    <w:rsid w:val="00B06520"/>
    <w:rsid w:val="00B065C8"/>
    <w:rsid w:val="00B06DEC"/>
    <w:rsid w:val="00B06E19"/>
    <w:rsid w:val="00B06F6B"/>
    <w:rsid w:val="00B0751D"/>
    <w:rsid w:val="00B07A66"/>
    <w:rsid w:val="00B07CD9"/>
    <w:rsid w:val="00B102EB"/>
    <w:rsid w:val="00B10631"/>
    <w:rsid w:val="00B1076F"/>
    <w:rsid w:val="00B107AD"/>
    <w:rsid w:val="00B11DEA"/>
    <w:rsid w:val="00B11EE8"/>
    <w:rsid w:val="00B12044"/>
    <w:rsid w:val="00B1249A"/>
    <w:rsid w:val="00B128FA"/>
    <w:rsid w:val="00B12A8D"/>
    <w:rsid w:val="00B130E8"/>
    <w:rsid w:val="00B14095"/>
    <w:rsid w:val="00B142F8"/>
    <w:rsid w:val="00B14E90"/>
    <w:rsid w:val="00B15068"/>
    <w:rsid w:val="00B15278"/>
    <w:rsid w:val="00B15472"/>
    <w:rsid w:val="00B1556D"/>
    <w:rsid w:val="00B15B3B"/>
    <w:rsid w:val="00B16484"/>
    <w:rsid w:val="00B16844"/>
    <w:rsid w:val="00B17272"/>
    <w:rsid w:val="00B1735A"/>
    <w:rsid w:val="00B17478"/>
    <w:rsid w:val="00B17613"/>
    <w:rsid w:val="00B17A4F"/>
    <w:rsid w:val="00B2038E"/>
    <w:rsid w:val="00B218F2"/>
    <w:rsid w:val="00B21A4A"/>
    <w:rsid w:val="00B224ED"/>
    <w:rsid w:val="00B22FFB"/>
    <w:rsid w:val="00B23193"/>
    <w:rsid w:val="00B23502"/>
    <w:rsid w:val="00B235A9"/>
    <w:rsid w:val="00B23A79"/>
    <w:rsid w:val="00B23B62"/>
    <w:rsid w:val="00B23B67"/>
    <w:rsid w:val="00B24148"/>
    <w:rsid w:val="00B24208"/>
    <w:rsid w:val="00B24841"/>
    <w:rsid w:val="00B24A8F"/>
    <w:rsid w:val="00B24FF4"/>
    <w:rsid w:val="00B2614C"/>
    <w:rsid w:val="00B265C1"/>
    <w:rsid w:val="00B26B4A"/>
    <w:rsid w:val="00B26C27"/>
    <w:rsid w:val="00B27B22"/>
    <w:rsid w:val="00B300B6"/>
    <w:rsid w:val="00B30816"/>
    <w:rsid w:val="00B31693"/>
    <w:rsid w:val="00B31F02"/>
    <w:rsid w:val="00B32300"/>
    <w:rsid w:val="00B326DF"/>
    <w:rsid w:val="00B32ACE"/>
    <w:rsid w:val="00B335F8"/>
    <w:rsid w:val="00B33683"/>
    <w:rsid w:val="00B340B4"/>
    <w:rsid w:val="00B3440A"/>
    <w:rsid w:val="00B345DA"/>
    <w:rsid w:val="00B34607"/>
    <w:rsid w:val="00B34700"/>
    <w:rsid w:val="00B3517A"/>
    <w:rsid w:val="00B35B4F"/>
    <w:rsid w:val="00B36142"/>
    <w:rsid w:val="00B36DB0"/>
    <w:rsid w:val="00B36F30"/>
    <w:rsid w:val="00B37450"/>
    <w:rsid w:val="00B37929"/>
    <w:rsid w:val="00B37C70"/>
    <w:rsid w:val="00B37C95"/>
    <w:rsid w:val="00B409B0"/>
    <w:rsid w:val="00B41B4D"/>
    <w:rsid w:val="00B41C19"/>
    <w:rsid w:val="00B41DA3"/>
    <w:rsid w:val="00B41EFB"/>
    <w:rsid w:val="00B41FC4"/>
    <w:rsid w:val="00B4208A"/>
    <w:rsid w:val="00B42322"/>
    <w:rsid w:val="00B4253D"/>
    <w:rsid w:val="00B42CE8"/>
    <w:rsid w:val="00B4320B"/>
    <w:rsid w:val="00B43A89"/>
    <w:rsid w:val="00B440C3"/>
    <w:rsid w:val="00B442F6"/>
    <w:rsid w:val="00B444CC"/>
    <w:rsid w:val="00B44B54"/>
    <w:rsid w:val="00B44F00"/>
    <w:rsid w:val="00B44FE9"/>
    <w:rsid w:val="00B457E4"/>
    <w:rsid w:val="00B46C73"/>
    <w:rsid w:val="00B47101"/>
    <w:rsid w:val="00B478A1"/>
    <w:rsid w:val="00B501B5"/>
    <w:rsid w:val="00B5055A"/>
    <w:rsid w:val="00B507AA"/>
    <w:rsid w:val="00B509F3"/>
    <w:rsid w:val="00B50D01"/>
    <w:rsid w:val="00B50D53"/>
    <w:rsid w:val="00B50F98"/>
    <w:rsid w:val="00B51349"/>
    <w:rsid w:val="00B518D2"/>
    <w:rsid w:val="00B51BA3"/>
    <w:rsid w:val="00B51F7C"/>
    <w:rsid w:val="00B522A8"/>
    <w:rsid w:val="00B52477"/>
    <w:rsid w:val="00B52D28"/>
    <w:rsid w:val="00B530B1"/>
    <w:rsid w:val="00B533ED"/>
    <w:rsid w:val="00B53429"/>
    <w:rsid w:val="00B53861"/>
    <w:rsid w:val="00B53BF8"/>
    <w:rsid w:val="00B53C26"/>
    <w:rsid w:val="00B53E3C"/>
    <w:rsid w:val="00B53E42"/>
    <w:rsid w:val="00B54C9D"/>
    <w:rsid w:val="00B54D9F"/>
    <w:rsid w:val="00B55C70"/>
    <w:rsid w:val="00B56369"/>
    <w:rsid w:val="00B567A4"/>
    <w:rsid w:val="00B56D1F"/>
    <w:rsid w:val="00B56DD5"/>
    <w:rsid w:val="00B57245"/>
    <w:rsid w:val="00B572E4"/>
    <w:rsid w:val="00B5778A"/>
    <w:rsid w:val="00B57D41"/>
    <w:rsid w:val="00B6022C"/>
    <w:rsid w:val="00B60A80"/>
    <w:rsid w:val="00B61122"/>
    <w:rsid w:val="00B61C87"/>
    <w:rsid w:val="00B62047"/>
    <w:rsid w:val="00B62336"/>
    <w:rsid w:val="00B62732"/>
    <w:rsid w:val="00B62B81"/>
    <w:rsid w:val="00B62CCB"/>
    <w:rsid w:val="00B62D45"/>
    <w:rsid w:val="00B63335"/>
    <w:rsid w:val="00B63916"/>
    <w:rsid w:val="00B63B3B"/>
    <w:rsid w:val="00B63E79"/>
    <w:rsid w:val="00B6423B"/>
    <w:rsid w:val="00B6462E"/>
    <w:rsid w:val="00B64F14"/>
    <w:rsid w:val="00B6553F"/>
    <w:rsid w:val="00B6577F"/>
    <w:rsid w:val="00B65B2E"/>
    <w:rsid w:val="00B65DF5"/>
    <w:rsid w:val="00B662E3"/>
    <w:rsid w:val="00B6644D"/>
    <w:rsid w:val="00B668E5"/>
    <w:rsid w:val="00B66E43"/>
    <w:rsid w:val="00B66F77"/>
    <w:rsid w:val="00B671BF"/>
    <w:rsid w:val="00B6722F"/>
    <w:rsid w:val="00B676A6"/>
    <w:rsid w:val="00B676BB"/>
    <w:rsid w:val="00B67AA5"/>
    <w:rsid w:val="00B700A4"/>
    <w:rsid w:val="00B703B3"/>
    <w:rsid w:val="00B704CF"/>
    <w:rsid w:val="00B70887"/>
    <w:rsid w:val="00B70B3A"/>
    <w:rsid w:val="00B714A1"/>
    <w:rsid w:val="00B71F3B"/>
    <w:rsid w:val="00B72275"/>
    <w:rsid w:val="00B73084"/>
    <w:rsid w:val="00B73336"/>
    <w:rsid w:val="00B73371"/>
    <w:rsid w:val="00B7342C"/>
    <w:rsid w:val="00B73812"/>
    <w:rsid w:val="00B73DF8"/>
    <w:rsid w:val="00B74179"/>
    <w:rsid w:val="00B74552"/>
    <w:rsid w:val="00B74859"/>
    <w:rsid w:val="00B74F45"/>
    <w:rsid w:val="00B7507A"/>
    <w:rsid w:val="00B75786"/>
    <w:rsid w:val="00B760F2"/>
    <w:rsid w:val="00B765C8"/>
    <w:rsid w:val="00B7696A"/>
    <w:rsid w:val="00B76BDB"/>
    <w:rsid w:val="00B76DE6"/>
    <w:rsid w:val="00B800CB"/>
    <w:rsid w:val="00B80143"/>
    <w:rsid w:val="00B80D14"/>
    <w:rsid w:val="00B80DC0"/>
    <w:rsid w:val="00B80E94"/>
    <w:rsid w:val="00B81781"/>
    <w:rsid w:val="00B81817"/>
    <w:rsid w:val="00B819A2"/>
    <w:rsid w:val="00B824CA"/>
    <w:rsid w:val="00B82589"/>
    <w:rsid w:val="00B825EE"/>
    <w:rsid w:val="00B82B1B"/>
    <w:rsid w:val="00B83A60"/>
    <w:rsid w:val="00B83B05"/>
    <w:rsid w:val="00B842CB"/>
    <w:rsid w:val="00B84D20"/>
    <w:rsid w:val="00B84D41"/>
    <w:rsid w:val="00B84F8A"/>
    <w:rsid w:val="00B8566F"/>
    <w:rsid w:val="00B86CBC"/>
    <w:rsid w:val="00B86E81"/>
    <w:rsid w:val="00B87085"/>
    <w:rsid w:val="00B87E0E"/>
    <w:rsid w:val="00B90A5E"/>
    <w:rsid w:val="00B9109F"/>
    <w:rsid w:val="00B91272"/>
    <w:rsid w:val="00B913AE"/>
    <w:rsid w:val="00B915BB"/>
    <w:rsid w:val="00B917E2"/>
    <w:rsid w:val="00B91A25"/>
    <w:rsid w:val="00B920DB"/>
    <w:rsid w:val="00B923FC"/>
    <w:rsid w:val="00B926F8"/>
    <w:rsid w:val="00B92A05"/>
    <w:rsid w:val="00B92D81"/>
    <w:rsid w:val="00B92F46"/>
    <w:rsid w:val="00B931C7"/>
    <w:rsid w:val="00B9392E"/>
    <w:rsid w:val="00B93B21"/>
    <w:rsid w:val="00B93B6D"/>
    <w:rsid w:val="00B94016"/>
    <w:rsid w:val="00B94018"/>
    <w:rsid w:val="00B94427"/>
    <w:rsid w:val="00B944F1"/>
    <w:rsid w:val="00B94577"/>
    <w:rsid w:val="00B94C6F"/>
    <w:rsid w:val="00B94F82"/>
    <w:rsid w:val="00B953F4"/>
    <w:rsid w:val="00B95A8C"/>
    <w:rsid w:val="00B95DF1"/>
    <w:rsid w:val="00B965A1"/>
    <w:rsid w:val="00B96CDF"/>
    <w:rsid w:val="00B96DDE"/>
    <w:rsid w:val="00B96F33"/>
    <w:rsid w:val="00B971FE"/>
    <w:rsid w:val="00B9730E"/>
    <w:rsid w:val="00B97421"/>
    <w:rsid w:val="00B97665"/>
    <w:rsid w:val="00B97FA4"/>
    <w:rsid w:val="00BA0275"/>
    <w:rsid w:val="00BA02E4"/>
    <w:rsid w:val="00BA0313"/>
    <w:rsid w:val="00BA0B52"/>
    <w:rsid w:val="00BA1074"/>
    <w:rsid w:val="00BA136C"/>
    <w:rsid w:val="00BA1567"/>
    <w:rsid w:val="00BA156D"/>
    <w:rsid w:val="00BA1C50"/>
    <w:rsid w:val="00BA2F80"/>
    <w:rsid w:val="00BA303F"/>
    <w:rsid w:val="00BA317F"/>
    <w:rsid w:val="00BA38CC"/>
    <w:rsid w:val="00BA3FDF"/>
    <w:rsid w:val="00BA48D9"/>
    <w:rsid w:val="00BA4E4F"/>
    <w:rsid w:val="00BA4F99"/>
    <w:rsid w:val="00BA503D"/>
    <w:rsid w:val="00BA52BA"/>
    <w:rsid w:val="00BA61D0"/>
    <w:rsid w:val="00BA7691"/>
    <w:rsid w:val="00BA76D7"/>
    <w:rsid w:val="00BB02FA"/>
    <w:rsid w:val="00BB082B"/>
    <w:rsid w:val="00BB0C20"/>
    <w:rsid w:val="00BB0F2C"/>
    <w:rsid w:val="00BB1212"/>
    <w:rsid w:val="00BB21EE"/>
    <w:rsid w:val="00BB2C11"/>
    <w:rsid w:val="00BB31A2"/>
    <w:rsid w:val="00BB31AC"/>
    <w:rsid w:val="00BB3EA7"/>
    <w:rsid w:val="00BB40BF"/>
    <w:rsid w:val="00BB4288"/>
    <w:rsid w:val="00BB4F1C"/>
    <w:rsid w:val="00BB50FA"/>
    <w:rsid w:val="00BB6919"/>
    <w:rsid w:val="00BB76BF"/>
    <w:rsid w:val="00BB7720"/>
    <w:rsid w:val="00BB7ABA"/>
    <w:rsid w:val="00BC0544"/>
    <w:rsid w:val="00BC0A24"/>
    <w:rsid w:val="00BC0BD5"/>
    <w:rsid w:val="00BC0C6D"/>
    <w:rsid w:val="00BC1125"/>
    <w:rsid w:val="00BC1C48"/>
    <w:rsid w:val="00BC1E5F"/>
    <w:rsid w:val="00BC1F3D"/>
    <w:rsid w:val="00BC2531"/>
    <w:rsid w:val="00BC2CED"/>
    <w:rsid w:val="00BC2D76"/>
    <w:rsid w:val="00BC2FD4"/>
    <w:rsid w:val="00BC331A"/>
    <w:rsid w:val="00BC353C"/>
    <w:rsid w:val="00BC362F"/>
    <w:rsid w:val="00BC3758"/>
    <w:rsid w:val="00BC381D"/>
    <w:rsid w:val="00BC3D72"/>
    <w:rsid w:val="00BC4129"/>
    <w:rsid w:val="00BC47FC"/>
    <w:rsid w:val="00BC49DB"/>
    <w:rsid w:val="00BC4E6E"/>
    <w:rsid w:val="00BC5312"/>
    <w:rsid w:val="00BC5B75"/>
    <w:rsid w:val="00BC5D31"/>
    <w:rsid w:val="00BC5D85"/>
    <w:rsid w:val="00BC637A"/>
    <w:rsid w:val="00BC694F"/>
    <w:rsid w:val="00BC715B"/>
    <w:rsid w:val="00BC7251"/>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EE6"/>
    <w:rsid w:val="00BD5603"/>
    <w:rsid w:val="00BD588C"/>
    <w:rsid w:val="00BD5DAD"/>
    <w:rsid w:val="00BD6E09"/>
    <w:rsid w:val="00BD7743"/>
    <w:rsid w:val="00BD7B38"/>
    <w:rsid w:val="00BE08C9"/>
    <w:rsid w:val="00BE1BD7"/>
    <w:rsid w:val="00BE29A6"/>
    <w:rsid w:val="00BE37D3"/>
    <w:rsid w:val="00BE41B4"/>
    <w:rsid w:val="00BE4487"/>
    <w:rsid w:val="00BE4DD2"/>
    <w:rsid w:val="00BE5545"/>
    <w:rsid w:val="00BE5ACF"/>
    <w:rsid w:val="00BE5D3B"/>
    <w:rsid w:val="00BE6BCE"/>
    <w:rsid w:val="00BE741A"/>
    <w:rsid w:val="00BE75CD"/>
    <w:rsid w:val="00BE79CF"/>
    <w:rsid w:val="00BF0786"/>
    <w:rsid w:val="00BF0931"/>
    <w:rsid w:val="00BF0E86"/>
    <w:rsid w:val="00BF0F58"/>
    <w:rsid w:val="00BF1564"/>
    <w:rsid w:val="00BF15C2"/>
    <w:rsid w:val="00BF1A4E"/>
    <w:rsid w:val="00BF1D02"/>
    <w:rsid w:val="00BF1DD1"/>
    <w:rsid w:val="00BF2839"/>
    <w:rsid w:val="00BF342A"/>
    <w:rsid w:val="00BF3976"/>
    <w:rsid w:val="00BF3B03"/>
    <w:rsid w:val="00BF3FE9"/>
    <w:rsid w:val="00BF452D"/>
    <w:rsid w:val="00BF48AD"/>
    <w:rsid w:val="00BF51CB"/>
    <w:rsid w:val="00BF52BD"/>
    <w:rsid w:val="00BF5F12"/>
    <w:rsid w:val="00BF6528"/>
    <w:rsid w:val="00BF66CC"/>
    <w:rsid w:val="00BF6760"/>
    <w:rsid w:val="00BF6BB3"/>
    <w:rsid w:val="00BF6D97"/>
    <w:rsid w:val="00BF6DA1"/>
    <w:rsid w:val="00BF746F"/>
    <w:rsid w:val="00BF7BC1"/>
    <w:rsid w:val="00BF7DCA"/>
    <w:rsid w:val="00BF7E0F"/>
    <w:rsid w:val="00C0035A"/>
    <w:rsid w:val="00C00558"/>
    <w:rsid w:val="00C01BFA"/>
    <w:rsid w:val="00C01DCF"/>
    <w:rsid w:val="00C02714"/>
    <w:rsid w:val="00C0298F"/>
    <w:rsid w:val="00C02C02"/>
    <w:rsid w:val="00C03148"/>
    <w:rsid w:val="00C034A2"/>
    <w:rsid w:val="00C03CF5"/>
    <w:rsid w:val="00C03FCD"/>
    <w:rsid w:val="00C044B4"/>
    <w:rsid w:val="00C0468B"/>
    <w:rsid w:val="00C0484E"/>
    <w:rsid w:val="00C052A2"/>
    <w:rsid w:val="00C059E8"/>
    <w:rsid w:val="00C05B6C"/>
    <w:rsid w:val="00C05F7C"/>
    <w:rsid w:val="00C06954"/>
    <w:rsid w:val="00C0705A"/>
    <w:rsid w:val="00C073B7"/>
    <w:rsid w:val="00C07D8C"/>
    <w:rsid w:val="00C10F38"/>
    <w:rsid w:val="00C125BC"/>
    <w:rsid w:val="00C126B3"/>
    <w:rsid w:val="00C1270D"/>
    <w:rsid w:val="00C127BA"/>
    <w:rsid w:val="00C12B3C"/>
    <w:rsid w:val="00C132E2"/>
    <w:rsid w:val="00C133E0"/>
    <w:rsid w:val="00C13472"/>
    <w:rsid w:val="00C14292"/>
    <w:rsid w:val="00C14CCB"/>
    <w:rsid w:val="00C14FDF"/>
    <w:rsid w:val="00C1503A"/>
    <w:rsid w:val="00C15424"/>
    <w:rsid w:val="00C15536"/>
    <w:rsid w:val="00C157E9"/>
    <w:rsid w:val="00C15D56"/>
    <w:rsid w:val="00C15F07"/>
    <w:rsid w:val="00C1614A"/>
    <w:rsid w:val="00C16352"/>
    <w:rsid w:val="00C1653B"/>
    <w:rsid w:val="00C16979"/>
    <w:rsid w:val="00C16981"/>
    <w:rsid w:val="00C178F8"/>
    <w:rsid w:val="00C17BCF"/>
    <w:rsid w:val="00C20B00"/>
    <w:rsid w:val="00C20C42"/>
    <w:rsid w:val="00C21EE5"/>
    <w:rsid w:val="00C22E3A"/>
    <w:rsid w:val="00C23098"/>
    <w:rsid w:val="00C23BA1"/>
    <w:rsid w:val="00C23EB2"/>
    <w:rsid w:val="00C2419F"/>
    <w:rsid w:val="00C24916"/>
    <w:rsid w:val="00C249EB"/>
    <w:rsid w:val="00C24B66"/>
    <w:rsid w:val="00C24BE1"/>
    <w:rsid w:val="00C24CE6"/>
    <w:rsid w:val="00C254F3"/>
    <w:rsid w:val="00C257A9"/>
    <w:rsid w:val="00C25890"/>
    <w:rsid w:val="00C2596A"/>
    <w:rsid w:val="00C25A5B"/>
    <w:rsid w:val="00C25B8D"/>
    <w:rsid w:val="00C2606E"/>
    <w:rsid w:val="00C26086"/>
    <w:rsid w:val="00C265CA"/>
    <w:rsid w:val="00C26E65"/>
    <w:rsid w:val="00C30668"/>
    <w:rsid w:val="00C30715"/>
    <w:rsid w:val="00C309DC"/>
    <w:rsid w:val="00C30B43"/>
    <w:rsid w:val="00C3115E"/>
    <w:rsid w:val="00C31F97"/>
    <w:rsid w:val="00C32D58"/>
    <w:rsid w:val="00C32DA0"/>
    <w:rsid w:val="00C33359"/>
    <w:rsid w:val="00C33397"/>
    <w:rsid w:val="00C334D8"/>
    <w:rsid w:val="00C3351E"/>
    <w:rsid w:val="00C338DE"/>
    <w:rsid w:val="00C33937"/>
    <w:rsid w:val="00C33E77"/>
    <w:rsid w:val="00C3446B"/>
    <w:rsid w:val="00C345A1"/>
    <w:rsid w:val="00C346AE"/>
    <w:rsid w:val="00C34C52"/>
    <w:rsid w:val="00C3589B"/>
    <w:rsid w:val="00C35FC9"/>
    <w:rsid w:val="00C36851"/>
    <w:rsid w:val="00C36A41"/>
    <w:rsid w:val="00C370E2"/>
    <w:rsid w:val="00C40F60"/>
    <w:rsid w:val="00C41181"/>
    <w:rsid w:val="00C411B8"/>
    <w:rsid w:val="00C41752"/>
    <w:rsid w:val="00C43284"/>
    <w:rsid w:val="00C4396B"/>
    <w:rsid w:val="00C43D03"/>
    <w:rsid w:val="00C43FF3"/>
    <w:rsid w:val="00C44099"/>
    <w:rsid w:val="00C44349"/>
    <w:rsid w:val="00C44BB6"/>
    <w:rsid w:val="00C44FE1"/>
    <w:rsid w:val="00C4582F"/>
    <w:rsid w:val="00C45ABC"/>
    <w:rsid w:val="00C45B1F"/>
    <w:rsid w:val="00C45E2D"/>
    <w:rsid w:val="00C46691"/>
    <w:rsid w:val="00C476CA"/>
    <w:rsid w:val="00C47819"/>
    <w:rsid w:val="00C5073A"/>
    <w:rsid w:val="00C50782"/>
    <w:rsid w:val="00C50799"/>
    <w:rsid w:val="00C50C3E"/>
    <w:rsid w:val="00C50F1C"/>
    <w:rsid w:val="00C5121B"/>
    <w:rsid w:val="00C51A83"/>
    <w:rsid w:val="00C52171"/>
    <w:rsid w:val="00C52782"/>
    <w:rsid w:val="00C52A6C"/>
    <w:rsid w:val="00C52D08"/>
    <w:rsid w:val="00C52D4F"/>
    <w:rsid w:val="00C53805"/>
    <w:rsid w:val="00C5486C"/>
    <w:rsid w:val="00C558D7"/>
    <w:rsid w:val="00C55E38"/>
    <w:rsid w:val="00C56277"/>
    <w:rsid w:val="00C56958"/>
    <w:rsid w:val="00C56C64"/>
    <w:rsid w:val="00C56E96"/>
    <w:rsid w:val="00C5732F"/>
    <w:rsid w:val="00C57754"/>
    <w:rsid w:val="00C5795A"/>
    <w:rsid w:val="00C57DFB"/>
    <w:rsid w:val="00C60071"/>
    <w:rsid w:val="00C605B3"/>
    <w:rsid w:val="00C608C2"/>
    <w:rsid w:val="00C61153"/>
    <w:rsid w:val="00C611D9"/>
    <w:rsid w:val="00C6127D"/>
    <w:rsid w:val="00C61612"/>
    <w:rsid w:val="00C61E28"/>
    <w:rsid w:val="00C620F4"/>
    <w:rsid w:val="00C62230"/>
    <w:rsid w:val="00C623E3"/>
    <w:rsid w:val="00C631CD"/>
    <w:rsid w:val="00C63536"/>
    <w:rsid w:val="00C6370A"/>
    <w:rsid w:val="00C637C0"/>
    <w:rsid w:val="00C641CB"/>
    <w:rsid w:val="00C644A3"/>
    <w:rsid w:val="00C64523"/>
    <w:rsid w:val="00C646F7"/>
    <w:rsid w:val="00C6485E"/>
    <w:rsid w:val="00C64CA4"/>
    <w:rsid w:val="00C6560E"/>
    <w:rsid w:val="00C66A58"/>
    <w:rsid w:val="00C66B17"/>
    <w:rsid w:val="00C678F2"/>
    <w:rsid w:val="00C70078"/>
    <w:rsid w:val="00C708A5"/>
    <w:rsid w:val="00C71D43"/>
    <w:rsid w:val="00C7229E"/>
    <w:rsid w:val="00C72506"/>
    <w:rsid w:val="00C725B0"/>
    <w:rsid w:val="00C729B3"/>
    <w:rsid w:val="00C72CCF"/>
    <w:rsid w:val="00C72DD2"/>
    <w:rsid w:val="00C732A1"/>
    <w:rsid w:val="00C733CB"/>
    <w:rsid w:val="00C73608"/>
    <w:rsid w:val="00C73A45"/>
    <w:rsid w:val="00C73F31"/>
    <w:rsid w:val="00C74664"/>
    <w:rsid w:val="00C7478C"/>
    <w:rsid w:val="00C74E25"/>
    <w:rsid w:val="00C7532A"/>
    <w:rsid w:val="00C75C75"/>
    <w:rsid w:val="00C75D56"/>
    <w:rsid w:val="00C7613C"/>
    <w:rsid w:val="00C761BE"/>
    <w:rsid w:val="00C76584"/>
    <w:rsid w:val="00C765D8"/>
    <w:rsid w:val="00C76F91"/>
    <w:rsid w:val="00C77693"/>
    <w:rsid w:val="00C778AA"/>
    <w:rsid w:val="00C800F6"/>
    <w:rsid w:val="00C802E8"/>
    <w:rsid w:val="00C80454"/>
    <w:rsid w:val="00C8052E"/>
    <w:rsid w:val="00C8226A"/>
    <w:rsid w:val="00C82EF1"/>
    <w:rsid w:val="00C832A4"/>
    <w:rsid w:val="00C833D6"/>
    <w:rsid w:val="00C83812"/>
    <w:rsid w:val="00C84077"/>
    <w:rsid w:val="00C84829"/>
    <w:rsid w:val="00C84C1D"/>
    <w:rsid w:val="00C8553F"/>
    <w:rsid w:val="00C85665"/>
    <w:rsid w:val="00C857E3"/>
    <w:rsid w:val="00C85CB1"/>
    <w:rsid w:val="00C85EF6"/>
    <w:rsid w:val="00C85F40"/>
    <w:rsid w:val="00C865AE"/>
    <w:rsid w:val="00C86732"/>
    <w:rsid w:val="00C86B3D"/>
    <w:rsid w:val="00C86D8A"/>
    <w:rsid w:val="00C905ED"/>
    <w:rsid w:val="00C90636"/>
    <w:rsid w:val="00C90698"/>
    <w:rsid w:val="00C907A6"/>
    <w:rsid w:val="00C90964"/>
    <w:rsid w:val="00C909A5"/>
    <w:rsid w:val="00C90A96"/>
    <w:rsid w:val="00C911A5"/>
    <w:rsid w:val="00C91602"/>
    <w:rsid w:val="00C91607"/>
    <w:rsid w:val="00C9160E"/>
    <w:rsid w:val="00C91678"/>
    <w:rsid w:val="00C917CB"/>
    <w:rsid w:val="00C9181A"/>
    <w:rsid w:val="00C91C7D"/>
    <w:rsid w:val="00C921E1"/>
    <w:rsid w:val="00C92676"/>
    <w:rsid w:val="00C9339A"/>
    <w:rsid w:val="00C93488"/>
    <w:rsid w:val="00C934AF"/>
    <w:rsid w:val="00C93705"/>
    <w:rsid w:val="00C939EE"/>
    <w:rsid w:val="00C93D74"/>
    <w:rsid w:val="00C93E80"/>
    <w:rsid w:val="00C94170"/>
    <w:rsid w:val="00C94206"/>
    <w:rsid w:val="00C94209"/>
    <w:rsid w:val="00C94968"/>
    <w:rsid w:val="00C94C53"/>
    <w:rsid w:val="00C94EA3"/>
    <w:rsid w:val="00C9525A"/>
    <w:rsid w:val="00C95499"/>
    <w:rsid w:val="00C95623"/>
    <w:rsid w:val="00C95662"/>
    <w:rsid w:val="00C958CF"/>
    <w:rsid w:val="00C959C3"/>
    <w:rsid w:val="00C95BF9"/>
    <w:rsid w:val="00C96524"/>
    <w:rsid w:val="00C96810"/>
    <w:rsid w:val="00C969B3"/>
    <w:rsid w:val="00C96A7C"/>
    <w:rsid w:val="00C96D58"/>
    <w:rsid w:val="00C96E1A"/>
    <w:rsid w:val="00C97250"/>
    <w:rsid w:val="00C97610"/>
    <w:rsid w:val="00C97821"/>
    <w:rsid w:val="00C978F0"/>
    <w:rsid w:val="00CA0D04"/>
    <w:rsid w:val="00CA1054"/>
    <w:rsid w:val="00CA14A5"/>
    <w:rsid w:val="00CA1513"/>
    <w:rsid w:val="00CA185B"/>
    <w:rsid w:val="00CA1D18"/>
    <w:rsid w:val="00CA1D75"/>
    <w:rsid w:val="00CA2E50"/>
    <w:rsid w:val="00CA2F97"/>
    <w:rsid w:val="00CA319A"/>
    <w:rsid w:val="00CA31D8"/>
    <w:rsid w:val="00CA3B63"/>
    <w:rsid w:val="00CA514C"/>
    <w:rsid w:val="00CA51B2"/>
    <w:rsid w:val="00CA51E3"/>
    <w:rsid w:val="00CA5339"/>
    <w:rsid w:val="00CA55E2"/>
    <w:rsid w:val="00CA55FC"/>
    <w:rsid w:val="00CA5867"/>
    <w:rsid w:val="00CA5A31"/>
    <w:rsid w:val="00CA5F41"/>
    <w:rsid w:val="00CA7588"/>
    <w:rsid w:val="00CA79C3"/>
    <w:rsid w:val="00CA7A75"/>
    <w:rsid w:val="00CB0C0E"/>
    <w:rsid w:val="00CB0F11"/>
    <w:rsid w:val="00CB16B5"/>
    <w:rsid w:val="00CB1A98"/>
    <w:rsid w:val="00CB1B3A"/>
    <w:rsid w:val="00CB23EB"/>
    <w:rsid w:val="00CB2B1A"/>
    <w:rsid w:val="00CB30FA"/>
    <w:rsid w:val="00CB3237"/>
    <w:rsid w:val="00CB36CD"/>
    <w:rsid w:val="00CB3DD1"/>
    <w:rsid w:val="00CB4220"/>
    <w:rsid w:val="00CB4284"/>
    <w:rsid w:val="00CB4934"/>
    <w:rsid w:val="00CB4E87"/>
    <w:rsid w:val="00CB4F40"/>
    <w:rsid w:val="00CB5644"/>
    <w:rsid w:val="00CB56ED"/>
    <w:rsid w:val="00CB57D6"/>
    <w:rsid w:val="00CB58A9"/>
    <w:rsid w:val="00CB5D41"/>
    <w:rsid w:val="00CB65AF"/>
    <w:rsid w:val="00CB6D07"/>
    <w:rsid w:val="00CC009B"/>
    <w:rsid w:val="00CC07EF"/>
    <w:rsid w:val="00CC08C3"/>
    <w:rsid w:val="00CC0DCE"/>
    <w:rsid w:val="00CC0F56"/>
    <w:rsid w:val="00CC1343"/>
    <w:rsid w:val="00CC1675"/>
    <w:rsid w:val="00CC1949"/>
    <w:rsid w:val="00CC1DB6"/>
    <w:rsid w:val="00CC293F"/>
    <w:rsid w:val="00CC2AAF"/>
    <w:rsid w:val="00CC2AB9"/>
    <w:rsid w:val="00CC2BD8"/>
    <w:rsid w:val="00CC2D08"/>
    <w:rsid w:val="00CC2D98"/>
    <w:rsid w:val="00CC2F35"/>
    <w:rsid w:val="00CC43B6"/>
    <w:rsid w:val="00CC44A4"/>
    <w:rsid w:val="00CC4645"/>
    <w:rsid w:val="00CC5227"/>
    <w:rsid w:val="00CC5D4E"/>
    <w:rsid w:val="00CC5D9A"/>
    <w:rsid w:val="00CC5FC6"/>
    <w:rsid w:val="00CC6272"/>
    <w:rsid w:val="00CC64A6"/>
    <w:rsid w:val="00CC694F"/>
    <w:rsid w:val="00CC6BBF"/>
    <w:rsid w:val="00CC6C83"/>
    <w:rsid w:val="00CC7521"/>
    <w:rsid w:val="00CC7A45"/>
    <w:rsid w:val="00CC7D08"/>
    <w:rsid w:val="00CC7E24"/>
    <w:rsid w:val="00CD0058"/>
    <w:rsid w:val="00CD0221"/>
    <w:rsid w:val="00CD023A"/>
    <w:rsid w:val="00CD03E2"/>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5A7"/>
    <w:rsid w:val="00CD5C8F"/>
    <w:rsid w:val="00CD5D67"/>
    <w:rsid w:val="00CD6725"/>
    <w:rsid w:val="00CD68D5"/>
    <w:rsid w:val="00CD68F2"/>
    <w:rsid w:val="00CD6A5A"/>
    <w:rsid w:val="00CD6E88"/>
    <w:rsid w:val="00CD7155"/>
    <w:rsid w:val="00CD7367"/>
    <w:rsid w:val="00CD745D"/>
    <w:rsid w:val="00CD7690"/>
    <w:rsid w:val="00CE015E"/>
    <w:rsid w:val="00CE0621"/>
    <w:rsid w:val="00CE1383"/>
    <w:rsid w:val="00CE1482"/>
    <w:rsid w:val="00CE170E"/>
    <w:rsid w:val="00CE1A57"/>
    <w:rsid w:val="00CE2AE1"/>
    <w:rsid w:val="00CE3343"/>
    <w:rsid w:val="00CE3B8C"/>
    <w:rsid w:val="00CE3C01"/>
    <w:rsid w:val="00CE4C0A"/>
    <w:rsid w:val="00CE5AE6"/>
    <w:rsid w:val="00CE5BBB"/>
    <w:rsid w:val="00CE5F76"/>
    <w:rsid w:val="00CE7062"/>
    <w:rsid w:val="00CE758D"/>
    <w:rsid w:val="00CE75B3"/>
    <w:rsid w:val="00CE7A20"/>
    <w:rsid w:val="00CE7A71"/>
    <w:rsid w:val="00CF0108"/>
    <w:rsid w:val="00CF012A"/>
    <w:rsid w:val="00CF0E94"/>
    <w:rsid w:val="00CF102D"/>
    <w:rsid w:val="00CF12E7"/>
    <w:rsid w:val="00CF1D12"/>
    <w:rsid w:val="00CF1F0A"/>
    <w:rsid w:val="00CF2697"/>
    <w:rsid w:val="00CF2B3B"/>
    <w:rsid w:val="00CF2D24"/>
    <w:rsid w:val="00CF2F92"/>
    <w:rsid w:val="00CF3282"/>
    <w:rsid w:val="00CF358C"/>
    <w:rsid w:val="00CF3D2D"/>
    <w:rsid w:val="00CF3FE2"/>
    <w:rsid w:val="00CF4007"/>
    <w:rsid w:val="00CF4158"/>
    <w:rsid w:val="00CF455B"/>
    <w:rsid w:val="00CF4AC4"/>
    <w:rsid w:val="00CF4D5C"/>
    <w:rsid w:val="00CF5189"/>
    <w:rsid w:val="00CF5409"/>
    <w:rsid w:val="00CF5C7A"/>
    <w:rsid w:val="00CF62EA"/>
    <w:rsid w:val="00CF67A4"/>
    <w:rsid w:val="00CF70B1"/>
    <w:rsid w:val="00CF7B7D"/>
    <w:rsid w:val="00CF7E85"/>
    <w:rsid w:val="00D00580"/>
    <w:rsid w:val="00D0165D"/>
    <w:rsid w:val="00D01738"/>
    <w:rsid w:val="00D01EC7"/>
    <w:rsid w:val="00D02190"/>
    <w:rsid w:val="00D0231B"/>
    <w:rsid w:val="00D023FB"/>
    <w:rsid w:val="00D02F96"/>
    <w:rsid w:val="00D033DC"/>
    <w:rsid w:val="00D03404"/>
    <w:rsid w:val="00D03F01"/>
    <w:rsid w:val="00D04D5F"/>
    <w:rsid w:val="00D05F7D"/>
    <w:rsid w:val="00D067B3"/>
    <w:rsid w:val="00D0693E"/>
    <w:rsid w:val="00D069A7"/>
    <w:rsid w:val="00D06B24"/>
    <w:rsid w:val="00D06F52"/>
    <w:rsid w:val="00D07082"/>
    <w:rsid w:val="00D07779"/>
    <w:rsid w:val="00D0785F"/>
    <w:rsid w:val="00D07AF9"/>
    <w:rsid w:val="00D07C27"/>
    <w:rsid w:val="00D10724"/>
    <w:rsid w:val="00D11241"/>
    <w:rsid w:val="00D11FA0"/>
    <w:rsid w:val="00D12678"/>
    <w:rsid w:val="00D12714"/>
    <w:rsid w:val="00D12847"/>
    <w:rsid w:val="00D129D2"/>
    <w:rsid w:val="00D1359A"/>
    <w:rsid w:val="00D13B6E"/>
    <w:rsid w:val="00D145E5"/>
    <w:rsid w:val="00D148B4"/>
    <w:rsid w:val="00D14FDD"/>
    <w:rsid w:val="00D15AC2"/>
    <w:rsid w:val="00D15C6E"/>
    <w:rsid w:val="00D16189"/>
    <w:rsid w:val="00D164BE"/>
    <w:rsid w:val="00D165F1"/>
    <w:rsid w:val="00D1690D"/>
    <w:rsid w:val="00D16B1C"/>
    <w:rsid w:val="00D16C7F"/>
    <w:rsid w:val="00D17B1B"/>
    <w:rsid w:val="00D200CC"/>
    <w:rsid w:val="00D20356"/>
    <w:rsid w:val="00D20952"/>
    <w:rsid w:val="00D20ADC"/>
    <w:rsid w:val="00D20B05"/>
    <w:rsid w:val="00D20BF1"/>
    <w:rsid w:val="00D20BFF"/>
    <w:rsid w:val="00D20DD7"/>
    <w:rsid w:val="00D20E07"/>
    <w:rsid w:val="00D20F8A"/>
    <w:rsid w:val="00D218FB"/>
    <w:rsid w:val="00D21EE8"/>
    <w:rsid w:val="00D223EB"/>
    <w:rsid w:val="00D22700"/>
    <w:rsid w:val="00D2313B"/>
    <w:rsid w:val="00D23E8D"/>
    <w:rsid w:val="00D240A5"/>
    <w:rsid w:val="00D24564"/>
    <w:rsid w:val="00D245EE"/>
    <w:rsid w:val="00D24686"/>
    <w:rsid w:val="00D2474D"/>
    <w:rsid w:val="00D24FA2"/>
    <w:rsid w:val="00D2517C"/>
    <w:rsid w:val="00D255FA"/>
    <w:rsid w:val="00D25AAD"/>
    <w:rsid w:val="00D25CD3"/>
    <w:rsid w:val="00D2603D"/>
    <w:rsid w:val="00D26104"/>
    <w:rsid w:val="00D262DD"/>
    <w:rsid w:val="00D265C7"/>
    <w:rsid w:val="00D26A6F"/>
    <w:rsid w:val="00D26F5F"/>
    <w:rsid w:val="00D2703A"/>
    <w:rsid w:val="00D2721C"/>
    <w:rsid w:val="00D2736A"/>
    <w:rsid w:val="00D273FE"/>
    <w:rsid w:val="00D27B89"/>
    <w:rsid w:val="00D27E42"/>
    <w:rsid w:val="00D300C2"/>
    <w:rsid w:val="00D30320"/>
    <w:rsid w:val="00D30587"/>
    <w:rsid w:val="00D30975"/>
    <w:rsid w:val="00D309B7"/>
    <w:rsid w:val="00D31755"/>
    <w:rsid w:val="00D31989"/>
    <w:rsid w:val="00D31E9F"/>
    <w:rsid w:val="00D3266B"/>
    <w:rsid w:val="00D32814"/>
    <w:rsid w:val="00D329B0"/>
    <w:rsid w:val="00D329F6"/>
    <w:rsid w:val="00D32FBB"/>
    <w:rsid w:val="00D333B8"/>
    <w:rsid w:val="00D33854"/>
    <w:rsid w:val="00D340F0"/>
    <w:rsid w:val="00D34217"/>
    <w:rsid w:val="00D34488"/>
    <w:rsid w:val="00D34A65"/>
    <w:rsid w:val="00D34B20"/>
    <w:rsid w:val="00D35ACD"/>
    <w:rsid w:val="00D35BC9"/>
    <w:rsid w:val="00D3617C"/>
    <w:rsid w:val="00D369D9"/>
    <w:rsid w:val="00D36BD5"/>
    <w:rsid w:val="00D36ED1"/>
    <w:rsid w:val="00D37CA6"/>
    <w:rsid w:val="00D4004A"/>
    <w:rsid w:val="00D4076A"/>
    <w:rsid w:val="00D40D20"/>
    <w:rsid w:val="00D40DFC"/>
    <w:rsid w:val="00D41308"/>
    <w:rsid w:val="00D41552"/>
    <w:rsid w:val="00D41C12"/>
    <w:rsid w:val="00D421F2"/>
    <w:rsid w:val="00D42222"/>
    <w:rsid w:val="00D42DB0"/>
    <w:rsid w:val="00D43007"/>
    <w:rsid w:val="00D434BD"/>
    <w:rsid w:val="00D43DFA"/>
    <w:rsid w:val="00D44547"/>
    <w:rsid w:val="00D44D1F"/>
    <w:rsid w:val="00D44F5B"/>
    <w:rsid w:val="00D44FE8"/>
    <w:rsid w:val="00D451E2"/>
    <w:rsid w:val="00D452A5"/>
    <w:rsid w:val="00D453BA"/>
    <w:rsid w:val="00D4561B"/>
    <w:rsid w:val="00D45661"/>
    <w:rsid w:val="00D456C2"/>
    <w:rsid w:val="00D456C6"/>
    <w:rsid w:val="00D45D87"/>
    <w:rsid w:val="00D45F77"/>
    <w:rsid w:val="00D46748"/>
    <w:rsid w:val="00D46A9F"/>
    <w:rsid w:val="00D46D16"/>
    <w:rsid w:val="00D46EEA"/>
    <w:rsid w:val="00D47354"/>
    <w:rsid w:val="00D47792"/>
    <w:rsid w:val="00D47A92"/>
    <w:rsid w:val="00D47D3F"/>
    <w:rsid w:val="00D50653"/>
    <w:rsid w:val="00D50D24"/>
    <w:rsid w:val="00D51058"/>
    <w:rsid w:val="00D513C1"/>
    <w:rsid w:val="00D51CDD"/>
    <w:rsid w:val="00D51FE2"/>
    <w:rsid w:val="00D522CC"/>
    <w:rsid w:val="00D52865"/>
    <w:rsid w:val="00D5288B"/>
    <w:rsid w:val="00D52D4C"/>
    <w:rsid w:val="00D5349B"/>
    <w:rsid w:val="00D5357F"/>
    <w:rsid w:val="00D53736"/>
    <w:rsid w:val="00D53931"/>
    <w:rsid w:val="00D54124"/>
    <w:rsid w:val="00D54507"/>
    <w:rsid w:val="00D546FD"/>
    <w:rsid w:val="00D54923"/>
    <w:rsid w:val="00D54D7A"/>
    <w:rsid w:val="00D5649C"/>
    <w:rsid w:val="00D5653A"/>
    <w:rsid w:val="00D56AF0"/>
    <w:rsid w:val="00D56B75"/>
    <w:rsid w:val="00D56DAF"/>
    <w:rsid w:val="00D57024"/>
    <w:rsid w:val="00D5704E"/>
    <w:rsid w:val="00D57057"/>
    <w:rsid w:val="00D5762A"/>
    <w:rsid w:val="00D57999"/>
    <w:rsid w:val="00D57F43"/>
    <w:rsid w:val="00D6000E"/>
    <w:rsid w:val="00D6050C"/>
    <w:rsid w:val="00D60C04"/>
    <w:rsid w:val="00D613C8"/>
    <w:rsid w:val="00D624E9"/>
    <w:rsid w:val="00D62631"/>
    <w:rsid w:val="00D627DF"/>
    <w:rsid w:val="00D62E9F"/>
    <w:rsid w:val="00D631F5"/>
    <w:rsid w:val="00D63515"/>
    <w:rsid w:val="00D63A8D"/>
    <w:rsid w:val="00D63CE9"/>
    <w:rsid w:val="00D644D5"/>
    <w:rsid w:val="00D64A94"/>
    <w:rsid w:val="00D64B33"/>
    <w:rsid w:val="00D66228"/>
    <w:rsid w:val="00D66A78"/>
    <w:rsid w:val="00D66CFA"/>
    <w:rsid w:val="00D6726A"/>
    <w:rsid w:val="00D6733F"/>
    <w:rsid w:val="00D67531"/>
    <w:rsid w:val="00D6783E"/>
    <w:rsid w:val="00D678E1"/>
    <w:rsid w:val="00D67B15"/>
    <w:rsid w:val="00D67D1E"/>
    <w:rsid w:val="00D67DCD"/>
    <w:rsid w:val="00D67EE4"/>
    <w:rsid w:val="00D7041C"/>
    <w:rsid w:val="00D70929"/>
    <w:rsid w:val="00D70BF7"/>
    <w:rsid w:val="00D70EE1"/>
    <w:rsid w:val="00D7105A"/>
    <w:rsid w:val="00D71166"/>
    <w:rsid w:val="00D71490"/>
    <w:rsid w:val="00D71806"/>
    <w:rsid w:val="00D719F2"/>
    <w:rsid w:val="00D719FE"/>
    <w:rsid w:val="00D71BDE"/>
    <w:rsid w:val="00D71DD8"/>
    <w:rsid w:val="00D73FAB"/>
    <w:rsid w:val="00D74591"/>
    <w:rsid w:val="00D74FB0"/>
    <w:rsid w:val="00D75484"/>
    <w:rsid w:val="00D76100"/>
    <w:rsid w:val="00D76AE4"/>
    <w:rsid w:val="00D76C89"/>
    <w:rsid w:val="00D772FC"/>
    <w:rsid w:val="00D80F00"/>
    <w:rsid w:val="00D81067"/>
    <w:rsid w:val="00D810F6"/>
    <w:rsid w:val="00D811B0"/>
    <w:rsid w:val="00D816C5"/>
    <w:rsid w:val="00D81973"/>
    <w:rsid w:val="00D81C00"/>
    <w:rsid w:val="00D81C5E"/>
    <w:rsid w:val="00D81C79"/>
    <w:rsid w:val="00D81D02"/>
    <w:rsid w:val="00D820E0"/>
    <w:rsid w:val="00D82108"/>
    <w:rsid w:val="00D8271C"/>
    <w:rsid w:val="00D827F1"/>
    <w:rsid w:val="00D82A78"/>
    <w:rsid w:val="00D8318B"/>
    <w:rsid w:val="00D832F7"/>
    <w:rsid w:val="00D83342"/>
    <w:rsid w:val="00D83883"/>
    <w:rsid w:val="00D83A01"/>
    <w:rsid w:val="00D83C56"/>
    <w:rsid w:val="00D83F5F"/>
    <w:rsid w:val="00D848A6"/>
    <w:rsid w:val="00D84C9E"/>
    <w:rsid w:val="00D84DA5"/>
    <w:rsid w:val="00D85915"/>
    <w:rsid w:val="00D85B0B"/>
    <w:rsid w:val="00D86E5F"/>
    <w:rsid w:val="00D86E9C"/>
    <w:rsid w:val="00D870A6"/>
    <w:rsid w:val="00D87197"/>
    <w:rsid w:val="00D8794C"/>
    <w:rsid w:val="00D87FB2"/>
    <w:rsid w:val="00D90633"/>
    <w:rsid w:val="00D90AC2"/>
    <w:rsid w:val="00D90FF3"/>
    <w:rsid w:val="00D9196F"/>
    <w:rsid w:val="00D921F6"/>
    <w:rsid w:val="00D92B5C"/>
    <w:rsid w:val="00D93A3D"/>
    <w:rsid w:val="00D94352"/>
    <w:rsid w:val="00D943EF"/>
    <w:rsid w:val="00D9441A"/>
    <w:rsid w:val="00D9454A"/>
    <w:rsid w:val="00D94A1B"/>
    <w:rsid w:val="00D952DD"/>
    <w:rsid w:val="00D95EB5"/>
    <w:rsid w:val="00D95EBC"/>
    <w:rsid w:val="00D96265"/>
    <w:rsid w:val="00D96782"/>
    <w:rsid w:val="00D96974"/>
    <w:rsid w:val="00D972C1"/>
    <w:rsid w:val="00D97C8B"/>
    <w:rsid w:val="00DA00A7"/>
    <w:rsid w:val="00DA074C"/>
    <w:rsid w:val="00DA083D"/>
    <w:rsid w:val="00DA0BE2"/>
    <w:rsid w:val="00DA1105"/>
    <w:rsid w:val="00DA1284"/>
    <w:rsid w:val="00DA1738"/>
    <w:rsid w:val="00DA19FA"/>
    <w:rsid w:val="00DA2673"/>
    <w:rsid w:val="00DA291F"/>
    <w:rsid w:val="00DA30B5"/>
    <w:rsid w:val="00DA338F"/>
    <w:rsid w:val="00DA3765"/>
    <w:rsid w:val="00DA3C02"/>
    <w:rsid w:val="00DA3DF5"/>
    <w:rsid w:val="00DA3EF1"/>
    <w:rsid w:val="00DA3F12"/>
    <w:rsid w:val="00DA4070"/>
    <w:rsid w:val="00DA40ED"/>
    <w:rsid w:val="00DA448C"/>
    <w:rsid w:val="00DA49F0"/>
    <w:rsid w:val="00DA4E62"/>
    <w:rsid w:val="00DA4E7A"/>
    <w:rsid w:val="00DA4F1D"/>
    <w:rsid w:val="00DA507E"/>
    <w:rsid w:val="00DA531D"/>
    <w:rsid w:val="00DA5640"/>
    <w:rsid w:val="00DA5905"/>
    <w:rsid w:val="00DA5953"/>
    <w:rsid w:val="00DA5B96"/>
    <w:rsid w:val="00DA5C19"/>
    <w:rsid w:val="00DA62BA"/>
    <w:rsid w:val="00DA6A59"/>
    <w:rsid w:val="00DA6B0F"/>
    <w:rsid w:val="00DA74BA"/>
    <w:rsid w:val="00DA7A0A"/>
    <w:rsid w:val="00DB077E"/>
    <w:rsid w:val="00DB15DB"/>
    <w:rsid w:val="00DB192E"/>
    <w:rsid w:val="00DB24B1"/>
    <w:rsid w:val="00DB33A4"/>
    <w:rsid w:val="00DB345B"/>
    <w:rsid w:val="00DB4E21"/>
    <w:rsid w:val="00DB5228"/>
    <w:rsid w:val="00DB5C61"/>
    <w:rsid w:val="00DB65CA"/>
    <w:rsid w:val="00DB719D"/>
    <w:rsid w:val="00DB7458"/>
    <w:rsid w:val="00DB78A1"/>
    <w:rsid w:val="00DB7EE7"/>
    <w:rsid w:val="00DC053C"/>
    <w:rsid w:val="00DC0645"/>
    <w:rsid w:val="00DC107F"/>
    <w:rsid w:val="00DC1B60"/>
    <w:rsid w:val="00DC1DE2"/>
    <w:rsid w:val="00DC22DF"/>
    <w:rsid w:val="00DC238D"/>
    <w:rsid w:val="00DC3B74"/>
    <w:rsid w:val="00DC5132"/>
    <w:rsid w:val="00DC526C"/>
    <w:rsid w:val="00DC54AE"/>
    <w:rsid w:val="00DC54D8"/>
    <w:rsid w:val="00DC5576"/>
    <w:rsid w:val="00DC5B41"/>
    <w:rsid w:val="00DC68C1"/>
    <w:rsid w:val="00DC6BB3"/>
    <w:rsid w:val="00DC733D"/>
    <w:rsid w:val="00DC7452"/>
    <w:rsid w:val="00DC797E"/>
    <w:rsid w:val="00DC7A63"/>
    <w:rsid w:val="00DC7CCD"/>
    <w:rsid w:val="00DD02C1"/>
    <w:rsid w:val="00DD03D1"/>
    <w:rsid w:val="00DD0AE5"/>
    <w:rsid w:val="00DD0B35"/>
    <w:rsid w:val="00DD21D4"/>
    <w:rsid w:val="00DD2908"/>
    <w:rsid w:val="00DD2B2D"/>
    <w:rsid w:val="00DD2D43"/>
    <w:rsid w:val="00DD338C"/>
    <w:rsid w:val="00DD3611"/>
    <w:rsid w:val="00DD39AE"/>
    <w:rsid w:val="00DD3DB9"/>
    <w:rsid w:val="00DD44C7"/>
    <w:rsid w:val="00DD4543"/>
    <w:rsid w:val="00DD4D54"/>
    <w:rsid w:val="00DD51CF"/>
    <w:rsid w:val="00DD5219"/>
    <w:rsid w:val="00DD541B"/>
    <w:rsid w:val="00DD5A86"/>
    <w:rsid w:val="00DD5B39"/>
    <w:rsid w:val="00DD6018"/>
    <w:rsid w:val="00DD624A"/>
    <w:rsid w:val="00DD6682"/>
    <w:rsid w:val="00DD6775"/>
    <w:rsid w:val="00DD683A"/>
    <w:rsid w:val="00DD69BB"/>
    <w:rsid w:val="00DD6CD6"/>
    <w:rsid w:val="00DD756D"/>
    <w:rsid w:val="00DD7576"/>
    <w:rsid w:val="00DE0768"/>
    <w:rsid w:val="00DE0924"/>
    <w:rsid w:val="00DE0A43"/>
    <w:rsid w:val="00DE0DE4"/>
    <w:rsid w:val="00DE149C"/>
    <w:rsid w:val="00DE1F0F"/>
    <w:rsid w:val="00DE2B1F"/>
    <w:rsid w:val="00DE2DD4"/>
    <w:rsid w:val="00DE314C"/>
    <w:rsid w:val="00DE3284"/>
    <w:rsid w:val="00DE3E32"/>
    <w:rsid w:val="00DE5405"/>
    <w:rsid w:val="00DE5FFF"/>
    <w:rsid w:val="00DE64BA"/>
    <w:rsid w:val="00DE6810"/>
    <w:rsid w:val="00DE685C"/>
    <w:rsid w:val="00DE6AC7"/>
    <w:rsid w:val="00DE6E3D"/>
    <w:rsid w:val="00DE6F5A"/>
    <w:rsid w:val="00DE7278"/>
    <w:rsid w:val="00DE794E"/>
    <w:rsid w:val="00DE7D5B"/>
    <w:rsid w:val="00DE7F46"/>
    <w:rsid w:val="00DE7F86"/>
    <w:rsid w:val="00DF1C4C"/>
    <w:rsid w:val="00DF259D"/>
    <w:rsid w:val="00DF28A3"/>
    <w:rsid w:val="00DF2AAA"/>
    <w:rsid w:val="00DF38B8"/>
    <w:rsid w:val="00DF393B"/>
    <w:rsid w:val="00DF3CFD"/>
    <w:rsid w:val="00DF3E2F"/>
    <w:rsid w:val="00DF3FD6"/>
    <w:rsid w:val="00DF42A2"/>
    <w:rsid w:val="00DF4533"/>
    <w:rsid w:val="00DF4571"/>
    <w:rsid w:val="00DF471E"/>
    <w:rsid w:val="00DF4759"/>
    <w:rsid w:val="00DF4F62"/>
    <w:rsid w:val="00DF5485"/>
    <w:rsid w:val="00DF592E"/>
    <w:rsid w:val="00DF5E1E"/>
    <w:rsid w:val="00DF6AAC"/>
    <w:rsid w:val="00DF6BAA"/>
    <w:rsid w:val="00DF76B9"/>
    <w:rsid w:val="00DF7DE3"/>
    <w:rsid w:val="00DF7EEC"/>
    <w:rsid w:val="00E0054C"/>
    <w:rsid w:val="00E00DAA"/>
    <w:rsid w:val="00E00F98"/>
    <w:rsid w:val="00E01377"/>
    <w:rsid w:val="00E013A8"/>
    <w:rsid w:val="00E01CCC"/>
    <w:rsid w:val="00E01E85"/>
    <w:rsid w:val="00E01F76"/>
    <w:rsid w:val="00E021DF"/>
    <w:rsid w:val="00E02403"/>
    <w:rsid w:val="00E02411"/>
    <w:rsid w:val="00E02B0B"/>
    <w:rsid w:val="00E0300B"/>
    <w:rsid w:val="00E03D07"/>
    <w:rsid w:val="00E0437D"/>
    <w:rsid w:val="00E04CE7"/>
    <w:rsid w:val="00E04D87"/>
    <w:rsid w:val="00E0513A"/>
    <w:rsid w:val="00E05442"/>
    <w:rsid w:val="00E05832"/>
    <w:rsid w:val="00E05DC8"/>
    <w:rsid w:val="00E05F74"/>
    <w:rsid w:val="00E067DB"/>
    <w:rsid w:val="00E06899"/>
    <w:rsid w:val="00E06C08"/>
    <w:rsid w:val="00E070E9"/>
    <w:rsid w:val="00E07C80"/>
    <w:rsid w:val="00E10163"/>
    <w:rsid w:val="00E10679"/>
    <w:rsid w:val="00E107A1"/>
    <w:rsid w:val="00E1084F"/>
    <w:rsid w:val="00E10E90"/>
    <w:rsid w:val="00E112D2"/>
    <w:rsid w:val="00E115FD"/>
    <w:rsid w:val="00E11893"/>
    <w:rsid w:val="00E119BF"/>
    <w:rsid w:val="00E11CD9"/>
    <w:rsid w:val="00E11EFB"/>
    <w:rsid w:val="00E11FAE"/>
    <w:rsid w:val="00E12436"/>
    <w:rsid w:val="00E12660"/>
    <w:rsid w:val="00E126D6"/>
    <w:rsid w:val="00E12A23"/>
    <w:rsid w:val="00E12C1A"/>
    <w:rsid w:val="00E131CD"/>
    <w:rsid w:val="00E13D2E"/>
    <w:rsid w:val="00E13EED"/>
    <w:rsid w:val="00E14012"/>
    <w:rsid w:val="00E140EF"/>
    <w:rsid w:val="00E14657"/>
    <w:rsid w:val="00E14AC4"/>
    <w:rsid w:val="00E14DB8"/>
    <w:rsid w:val="00E14F5B"/>
    <w:rsid w:val="00E14FC5"/>
    <w:rsid w:val="00E15343"/>
    <w:rsid w:val="00E15815"/>
    <w:rsid w:val="00E15D57"/>
    <w:rsid w:val="00E15E95"/>
    <w:rsid w:val="00E164AD"/>
    <w:rsid w:val="00E16518"/>
    <w:rsid w:val="00E16736"/>
    <w:rsid w:val="00E169AD"/>
    <w:rsid w:val="00E17268"/>
    <w:rsid w:val="00E178CC"/>
    <w:rsid w:val="00E17E6D"/>
    <w:rsid w:val="00E17F17"/>
    <w:rsid w:val="00E17F5C"/>
    <w:rsid w:val="00E200BE"/>
    <w:rsid w:val="00E20ECA"/>
    <w:rsid w:val="00E21A68"/>
    <w:rsid w:val="00E21DA0"/>
    <w:rsid w:val="00E22047"/>
    <w:rsid w:val="00E224BB"/>
    <w:rsid w:val="00E22D5B"/>
    <w:rsid w:val="00E22FE8"/>
    <w:rsid w:val="00E23594"/>
    <w:rsid w:val="00E237A9"/>
    <w:rsid w:val="00E23A39"/>
    <w:rsid w:val="00E2424E"/>
    <w:rsid w:val="00E24CE1"/>
    <w:rsid w:val="00E2519E"/>
    <w:rsid w:val="00E2527A"/>
    <w:rsid w:val="00E2535B"/>
    <w:rsid w:val="00E256B9"/>
    <w:rsid w:val="00E25961"/>
    <w:rsid w:val="00E25AFA"/>
    <w:rsid w:val="00E25D94"/>
    <w:rsid w:val="00E25EDA"/>
    <w:rsid w:val="00E261E1"/>
    <w:rsid w:val="00E26313"/>
    <w:rsid w:val="00E26394"/>
    <w:rsid w:val="00E267CF"/>
    <w:rsid w:val="00E26897"/>
    <w:rsid w:val="00E27B02"/>
    <w:rsid w:val="00E30208"/>
    <w:rsid w:val="00E30AA6"/>
    <w:rsid w:val="00E32391"/>
    <w:rsid w:val="00E32882"/>
    <w:rsid w:val="00E32980"/>
    <w:rsid w:val="00E33658"/>
    <w:rsid w:val="00E33DCC"/>
    <w:rsid w:val="00E34634"/>
    <w:rsid w:val="00E34908"/>
    <w:rsid w:val="00E34B92"/>
    <w:rsid w:val="00E3536C"/>
    <w:rsid w:val="00E35CAD"/>
    <w:rsid w:val="00E35F8B"/>
    <w:rsid w:val="00E35FDF"/>
    <w:rsid w:val="00E3649E"/>
    <w:rsid w:val="00E36A4F"/>
    <w:rsid w:val="00E36EAD"/>
    <w:rsid w:val="00E37D7B"/>
    <w:rsid w:val="00E40632"/>
    <w:rsid w:val="00E40EBF"/>
    <w:rsid w:val="00E414CA"/>
    <w:rsid w:val="00E41AB9"/>
    <w:rsid w:val="00E42676"/>
    <w:rsid w:val="00E42A81"/>
    <w:rsid w:val="00E42BC7"/>
    <w:rsid w:val="00E43199"/>
    <w:rsid w:val="00E43337"/>
    <w:rsid w:val="00E43540"/>
    <w:rsid w:val="00E4395D"/>
    <w:rsid w:val="00E441AC"/>
    <w:rsid w:val="00E44259"/>
    <w:rsid w:val="00E4428D"/>
    <w:rsid w:val="00E444EE"/>
    <w:rsid w:val="00E44A21"/>
    <w:rsid w:val="00E45863"/>
    <w:rsid w:val="00E45A7D"/>
    <w:rsid w:val="00E45D4C"/>
    <w:rsid w:val="00E46117"/>
    <w:rsid w:val="00E4633D"/>
    <w:rsid w:val="00E46786"/>
    <w:rsid w:val="00E47B19"/>
    <w:rsid w:val="00E47EF4"/>
    <w:rsid w:val="00E47F0A"/>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72D"/>
    <w:rsid w:val="00E57730"/>
    <w:rsid w:val="00E57957"/>
    <w:rsid w:val="00E601E1"/>
    <w:rsid w:val="00E60325"/>
    <w:rsid w:val="00E605E2"/>
    <w:rsid w:val="00E6076F"/>
    <w:rsid w:val="00E61010"/>
    <w:rsid w:val="00E615DA"/>
    <w:rsid w:val="00E617D1"/>
    <w:rsid w:val="00E62519"/>
    <w:rsid w:val="00E62F4B"/>
    <w:rsid w:val="00E63015"/>
    <w:rsid w:val="00E63060"/>
    <w:rsid w:val="00E631B9"/>
    <w:rsid w:val="00E63620"/>
    <w:rsid w:val="00E64500"/>
    <w:rsid w:val="00E64CF1"/>
    <w:rsid w:val="00E64CF5"/>
    <w:rsid w:val="00E65595"/>
    <w:rsid w:val="00E65B82"/>
    <w:rsid w:val="00E6630B"/>
    <w:rsid w:val="00E6630C"/>
    <w:rsid w:val="00E66417"/>
    <w:rsid w:val="00E664D9"/>
    <w:rsid w:val="00E66D5E"/>
    <w:rsid w:val="00E66F83"/>
    <w:rsid w:val="00E66FC7"/>
    <w:rsid w:val="00E67203"/>
    <w:rsid w:val="00E6769C"/>
    <w:rsid w:val="00E676B3"/>
    <w:rsid w:val="00E67A67"/>
    <w:rsid w:val="00E700AE"/>
    <w:rsid w:val="00E709F4"/>
    <w:rsid w:val="00E70CC3"/>
    <w:rsid w:val="00E70CC8"/>
    <w:rsid w:val="00E71390"/>
    <w:rsid w:val="00E71B9F"/>
    <w:rsid w:val="00E71EBC"/>
    <w:rsid w:val="00E72170"/>
    <w:rsid w:val="00E72514"/>
    <w:rsid w:val="00E727D8"/>
    <w:rsid w:val="00E72BE6"/>
    <w:rsid w:val="00E72C56"/>
    <w:rsid w:val="00E734C3"/>
    <w:rsid w:val="00E7380C"/>
    <w:rsid w:val="00E74209"/>
    <w:rsid w:val="00E74382"/>
    <w:rsid w:val="00E746D3"/>
    <w:rsid w:val="00E74C52"/>
    <w:rsid w:val="00E74E31"/>
    <w:rsid w:val="00E75016"/>
    <w:rsid w:val="00E7504D"/>
    <w:rsid w:val="00E7531D"/>
    <w:rsid w:val="00E7574F"/>
    <w:rsid w:val="00E757AE"/>
    <w:rsid w:val="00E75854"/>
    <w:rsid w:val="00E75983"/>
    <w:rsid w:val="00E759B3"/>
    <w:rsid w:val="00E759E4"/>
    <w:rsid w:val="00E7610C"/>
    <w:rsid w:val="00E764F2"/>
    <w:rsid w:val="00E7666F"/>
    <w:rsid w:val="00E77061"/>
    <w:rsid w:val="00E779C7"/>
    <w:rsid w:val="00E77A61"/>
    <w:rsid w:val="00E77F16"/>
    <w:rsid w:val="00E800EC"/>
    <w:rsid w:val="00E8018F"/>
    <w:rsid w:val="00E801C4"/>
    <w:rsid w:val="00E80FBC"/>
    <w:rsid w:val="00E81123"/>
    <w:rsid w:val="00E81874"/>
    <w:rsid w:val="00E81AD9"/>
    <w:rsid w:val="00E82410"/>
    <w:rsid w:val="00E82A9E"/>
    <w:rsid w:val="00E82D03"/>
    <w:rsid w:val="00E82DE8"/>
    <w:rsid w:val="00E83192"/>
    <w:rsid w:val="00E8341E"/>
    <w:rsid w:val="00E83DF5"/>
    <w:rsid w:val="00E83FF4"/>
    <w:rsid w:val="00E848E3"/>
    <w:rsid w:val="00E857C3"/>
    <w:rsid w:val="00E858CB"/>
    <w:rsid w:val="00E85E6A"/>
    <w:rsid w:val="00E85F5C"/>
    <w:rsid w:val="00E8604D"/>
    <w:rsid w:val="00E86C21"/>
    <w:rsid w:val="00E86E8C"/>
    <w:rsid w:val="00E87B00"/>
    <w:rsid w:val="00E87D65"/>
    <w:rsid w:val="00E87EFD"/>
    <w:rsid w:val="00E90169"/>
    <w:rsid w:val="00E9045D"/>
    <w:rsid w:val="00E90D87"/>
    <w:rsid w:val="00E90E96"/>
    <w:rsid w:val="00E91DC4"/>
    <w:rsid w:val="00E9246D"/>
    <w:rsid w:val="00E92955"/>
    <w:rsid w:val="00E9330D"/>
    <w:rsid w:val="00E933AB"/>
    <w:rsid w:val="00E93604"/>
    <w:rsid w:val="00E93A2D"/>
    <w:rsid w:val="00E93E2C"/>
    <w:rsid w:val="00E94190"/>
    <w:rsid w:val="00E94301"/>
    <w:rsid w:val="00E943D2"/>
    <w:rsid w:val="00E947D4"/>
    <w:rsid w:val="00E94CBC"/>
    <w:rsid w:val="00E94FF8"/>
    <w:rsid w:val="00E95049"/>
    <w:rsid w:val="00E955EF"/>
    <w:rsid w:val="00E9578D"/>
    <w:rsid w:val="00E95893"/>
    <w:rsid w:val="00E96435"/>
    <w:rsid w:val="00E96AE3"/>
    <w:rsid w:val="00E96DA3"/>
    <w:rsid w:val="00E974E6"/>
    <w:rsid w:val="00E97859"/>
    <w:rsid w:val="00E97CD6"/>
    <w:rsid w:val="00E97ED0"/>
    <w:rsid w:val="00EA0AFC"/>
    <w:rsid w:val="00EA0BC1"/>
    <w:rsid w:val="00EA0BDB"/>
    <w:rsid w:val="00EA0E17"/>
    <w:rsid w:val="00EA12D6"/>
    <w:rsid w:val="00EA14DD"/>
    <w:rsid w:val="00EA14DE"/>
    <w:rsid w:val="00EA206B"/>
    <w:rsid w:val="00EA2455"/>
    <w:rsid w:val="00EA2C82"/>
    <w:rsid w:val="00EA33F9"/>
    <w:rsid w:val="00EA3437"/>
    <w:rsid w:val="00EA3BF7"/>
    <w:rsid w:val="00EA3F53"/>
    <w:rsid w:val="00EA470F"/>
    <w:rsid w:val="00EA4D80"/>
    <w:rsid w:val="00EA4FFE"/>
    <w:rsid w:val="00EA502B"/>
    <w:rsid w:val="00EA5690"/>
    <w:rsid w:val="00EA58B4"/>
    <w:rsid w:val="00EA6247"/>
    <w:rsid w:val="00EA637C"/>
    <w:rsid w:val="00EA657C"/>
    <w:rsid w:val="00EA744A"/>
    <w:rsid w:val="00EA74E9"/>
    <w:rsid w:val="00EA7713"/>
    <w:rsid w:val="00EB001E"/>
    <w:rsid w:val="00EB0327"/>
    <w:rsid w:val="00EB05D8"/>
    <w:rsid w:val="00EB0644"/>
    <w:rsid w:val="00EB0B76"/>
    <w:rsid w:val="00EB0D0F"/>
    <w:rsid w:val="00EB120C"/>
    <w:rsid w:val="00EB187A"/>
    <w:rsid w:val="00EB2551"/>
    <w:rsid w:val="00EB2A0C"/>
    <w:rsid w:val="00EB2E69"/>
    <w:rsid w:val="00EB2E72"/>
    <w:rsid w:val="00EB2FBA"/>
    <w:rsid w:val="00EB361B"/>
    <w:rsid w:val="00EB3632"/>
    <w:rsid w:val="00EB3A14"/>
    <w:rsid w:val="00EB3B7F"/>
    <w:rsid w:val="00EB3E87"/>
    <w:rsid w:val="00EB3EF5"/>
    <w:rsid w:val="00EB41F8"/>
    <w:rsid w:val="00EB443E"/>
    <w:rsid w:val="00EB45A0"/>
    <w:rsid w:val="00EB4BB2"/>
    <w:rsid w:val="00EB4E60"/>
    <w:rsid w:val="00EB5278"/>
    <w:rsid w:val="00EB5875"/>
    <w:rsid w:val="00EB597A"/>
    <w:rsid w:val="00EB5F30"/>
    <w:rsid w:val="00EB61FE"/>
    <w:rsid w:val="00EB64E2"/>
    <w:rsid w:val="00EB6547"/>
    <w:rsid w:val="00EB665C"/>
    <w:rsid w:val="00EB7063"/>
    <w:rsid w:val="00EB733C"/>
    <w:rsid w:val="00EB777A"/>
    <w:rsid w:val="00EB7837"/>
    <w:rsid w:val="00EB7F12"/>
    <w:rsid w:val="00EC0396"/>
    <w:rsid w:val="00EC040F"/>
    <w:rsid w:val="00EC0DBF"/>
    <w:rsid w:val="00EC1079"/>
    <w:rsid w:val="00EC173F"/>
    <w:rsid w:val="00EC17A9"/>
    <w:rsid w:val="00EC192D"/>
    <w:rsid w:val="00EC1A3C"/>
    <w:rsid w:val="00EC1BE3"/>
    <w:rsid w:val="00EC1D87"/>
    <w:rsid w:val="00EC27BB"/>
    <w:rsid w:val="00EC27C6"/>
    <w:rsid w:val="00EC28C2"/>
    <w:rsid w:val="00EC2B5C"/>
    <w:rsid w:val="00EC2DA7"/>
    <w:rsid w:val="00EC35EB"/>
    <w:rsid w:val="00EC363B"/>
    <w:rsid w:val="00EC3A62"/>
    <w:rsid w:val="00EC493D"/>
    <w:rsid w:val="00EC4A4D"/>
    <w:rsid w:val="00EC4C63"/>
    <w:rsid w:val="00EC5488"/>
    <w:rsid w:val="00EC54A4"/>
    <w:rsid w:val="00EC5E37"/>
    <w:rsid w:val="00EC5E87"/>
    <w:rsid w:val="00EC6092"/>
    <w:rsid w:val="00EC6166"/>
    <w:rsid w:val="00EC621A"/>
    <w:rsid w:val="00EC62D9"/>
    <w:rsid w:val="00EC65C6"/>
    <w:rsid w:val="00EC66A7"/>
    <w:rsid w:val="00EC6AA8"/>
    <w:rsid w:val="00EC6B1F"/>
    <w:rsid w:val="00EC70DA"/>
    <w:rsid w:val="00EC7276"/>
    <w:rsid w:val="00EC7667"/>
    <w:rsid w:val="00EC7852"/>
    <w:rsid w:val="00EC7F1A"/>
    <w:rsid w:val="00ED01B9"/>
    <w:rsid w:val="00ED0DC7"/>
    <w:rsid w:val="00ED108D"/>
    <w:rsid w:val="00ED1773"/>
    <w:rsid w:val="00ED1863"/>
    <w:rsid w:val="00ED1999"/>
    <w:rsid w:val="00ED211A"/>
    <w:rsid w:val="00ED2991"/>
    <w:rsid w:val="00ED2C3C"/>
    <w:rsid w:val="00ED2FD2"/>
    <w:rsid w:val="00ED2FD3"/>
    <w:rsid w:val="00ED3011"/>
    <w:rsid w:val="00ED31A7"/>
    <w:rsid w:val="00ED3A9F"/>
    <w:rsid w:val="00ED3FAA"/>
    <w:rsid w:val="00ED42E5"/>
    <w:rsid w:val="00ED4533"/>
    <w:rsid w:val="00ED4601"/>
    <w:rsid w:val="00ED4DB7"/>
    <w:rsid w:val="00ED4DE8"/>
    <w:rsid w:val="00ED4FD9"/>
    <w:rsid w:val="00ED5143"/>
    <w:rsid w:val="00ED5474"/>
    <w:rsid w:val="00ED5A76"/>
    <w:rsid w:val="00ED5B21"/>
    <w:rsid w:val="00ED5B8F"/>
    <w:rsid w:val="00ED6556"/>
    <w:rsid w:val="00ED6824"/>
    <w:rsid w:val="00ED6929"/>
    <w:rsid w:val="00ED6E5A"/>
    <w:rsid w:val="00ED7D74"/>
    <w:rsid w:val="00ED7DD0"/>
    <w:rsid w:val="00EE08F9"/>
    <w:rsid w:val="00EE0B7B"/>
    <w:rsid w:val="00EE0CF1"/>
    <w:rsid w:val="00EE120F"/>
    <w:rsid w:val="00EE1450"/>
    <w:rsid w:val="00EE1717"/>
    <w:rsid w:val="00EE1722"/>
    <w:rsid w:val="00EE1D08"/>
    <w:rsid w:val="00EE2109"/>
    <w:rsid w:val="00EE22CB"/>
    <w:rsid w:val="00EE319F"/>
    <w:rsid w:val="00EE3478"/>
    <w:rsid w:val="00EE35E5"/>
    <w:rsid w:val="00EE380B"/>
    <w:rsid w:val="00EE3820"/>
    <w:rsid w:val="00EE3A64"/>
    <w:rsid w:val="00EE3F7F"/>
    <w:rsid w:val="00EE3FF6"/>
    <w:rsid w:val="00EE4259"/>
    <w:rsid w:val="00EE4414"/>
    <w:rsid w:val="00EE4DBA"/>
    <w:rsid w:val="00EE5072"/>
    <w:rsid w:val="00EE566C"/>
    <w:rsid w:val="00EE5B18"/>
    <w:rsid w:val="00EE6465"/>
    <w:rsid w:val="00EE6B16"/>
    <w:rsid w:val="00EE7560"/>
    <w:rsid w:val="00EE756C"/>
    <w:rsid w:val="00EE7922"/>
    <w:rsid w:val="00EE7D1F"/>
    <w:rsid w:val="00EE7D86"/>
    <w:rsid w:val="00EF06A2"/>
    <w:rsid w:val="00EF0BF3"/>
    <w:rsid w:val="00EF1098"/>
    <w:rsid w:val="00EF124D"/>
    <w:rsid w:val="00EF135D"/>
    <w:rsid w:val="00EF1399"/>
    <w:rsid w:val="00EF1554"/>
    <w:rsid w:val="00EF19E6"/>
    <w:rsid w:val="00EF21CF"/>
    <w:rsid w:val="00EF3DCB"/>
    <w:rsid w:val="00EF3E78"/>
    <w:rsid w:val="00EF3EED"/>
    <w:rsid w:val="00EF41DD"/>
    <w:rsid w:val="00EF43FA"/>
    <w:rsid w:val="00EF4880"/>
    <w:rsid w:val="00EF5032"/>
    <w:rsid w:val="00EF5682"/>
    <w:rsid w:val="00EF5B51"/>
    <w:rsid w:val="00EF60B2"/>
    <w:rsid w:val="00EF6541"/>
    <w:rsid w:val="00EF6614"/>
    <w:rsid w:val="00EF67BC"/>
    <w:rsid w:val="00EF70B0"/>
    <w:rsid w:val="00EF73BA"/>
    <w:rsid w:val="00EF7530"/>
    <w:rsid w:val="00EF753B"/>
    <w:rsid w:val="00EF7E68"/>
    <w:rsid w:val="00F006D5"/>
    <w:rsid w:val="00F0097F"/>
    <w:rsid w:val="00F00AD7"/>
    <w:rsid w:val="00F013D7"/>
    <w:rsid w:val="00F023A1"/>
    <w:rsid w:val="00F023D3"/>
    <w:rsid w:val="00F02671"/>
    <w:rsid w:val="00F02D49"/>
    <w:rsid w:val="00F03436"/>
    <w:rsid w:val="00F034D2"/>
    <w:rsid w:val="00F03BC4"/>
    <w:rsid w:val="00F03DD6"/>
    <w:rsid w:val="00F04035"/>
    <w:rsid w:val="00F04CEE"/>
    <w:rsid w:val="00F04E82"/>
    <w:rsid w:val="00F051BF"/>
    <w:rsid w:val="00F054AF"/>
    <w:rsid w:val="00F0550A"/>
    <w:rsid w:val="00F055C0"/>
    <w:rsid w:val="00F0581D"/>
    <w:rsid w:val="00F058CB"/>
    <w:rsid w:val="00F05E30"/>
    <w:rsid w:val="00F06E8C"/>
    <w:rsid w:val="00F07221"/>
    <w:rsid w:val="00F073ED"/>
    <w:rsid w:val="00F07561"/>
    <w:rsid w:val="00F07983"/>
    <w:rsid w:val="00F07B3F"/>
    <w:rsid w:val="00F07FD9"/>
    <w:rsid w:val="00F100C6"/>
    <w:rsid w:val="00F102DE"/>
    <w:rsid w:val="00F10340"/>
    <w:rsid w:val="00F10591"/>
    <w:rsid w:val="00F1062E"/>
    <w:rsid w:val="00F106B9"/>
    <w:rsid w:val="00F106FA"/>
    <w:rsid w:val="00F110BA"/>
    <w:rsid w:val="00F11870"/>
    <w:rsid w:val="00F11BD4"/>
    <w:rsid w:val="00F11C41"/>
    <w:rsid w:val="00F121F7"/>
    <w:rsid w:val="00F1238D"/>
    <w:rsid w:val="00F12BDB"/>
    <w:rsid w:val="00F12BED"/>
    <w:rsid w:val="00F12C21"/>
    <w:rsid w:val="00F12C8E"/>
    <w:rsid w:val="00F137E1"/>
    <w:rsid w:val="00F14058"/>
    <w:rsid w:val="00F14DBA"/>
    <w:rsid w:val="00F15105"/>
    <w:rsid w:val="00F15738"/>
    <w:rsid w:val="00F15815"/>
    <w:rsid w:val="00F16112"/>
    <w:rsid w:val="00F1640A"/>
    <w:rsid w:val="00F16A99"/>
    <w:rsid w:val="00F16B13"/>
    <w:rsid w:val="00F16CCB"/>
    <w:rsid w:val="00F16F45"/>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54"/>
    <w:rsid w:val="00F244B9"/>
    <w:rsid w:val="00F248C3"/>
    <w:rsid w:val="00F24C54"/>
    <w:rsid w:val="00F24F99"/>
    <w:rsid w:val="00F25038"/>
    <w:rsid w:val="00F25628"/>
    <w:rsid w:val="00F25745"/>
    <w:rsid w:val="00F2577C"/>
    <w:rsid w:val="00F2582A"/>
    <w:rsid w:val="00F25B3E"/>
    <w:rsid w:val="00F25D5C"/>
    <w:rsid w:val="00F261B6"/>
    <w:rsid w:val="00F267CF"/>
    <w:rsid w:val="00F26DB5"/>
    <w:rsid w:val="00F30414"/>
    <w:rsid w:val="00F306EE"/>
    <w:rsid w:val="00F308B0"/>
    <w:rsid w:val="00F30A10"/>
    <w:rsid w:val="00F315F9"/>
    <w:rsid w:val="00F31BA8"/>
    <w:rsid w:val="00F31E62"/>
    <w:rsid w:val="00F31F9F"/>
    <w:rsid w:val="00F326FC"/>
    <w:rsid w:val="00F33349"/>
    <w:rsid w:val="00F333A0"/>
    <w:rsid w:val="00F333F4"/>
    <w:rsid w:val="00F3347A"/>
    <w:rsid w:val="00F337DA"/>
    <w:rsid w:val="00F3397D"/>
    <w:rsid w:val="00F33D1C"/>
    <w:rsid w:val="00F33DF4"/>
    <w:rsid w:val="00F33EFD"/>
    <w:rsid w:val="00F33FFD"/>
    <w:rsid w:val="00F343FB"/>
    <w:rsid w:val="00F34499"/>
    <w:rsid w:val="00F346C2"/>
    <w:rsid w:val="00F349BE"/>
    <w:rsid w:val="00F35093"/>
    <w:rsid w:val="00F35735"/>
    <w:rsid w:val="00F35971"/>
    <w:rsid w:val="00F359A5"/>
    <w:rsid w:val="00F36424"/>
    <w:rsid w:val="00F3671E"/>
    <w:rsid w:val="00F36C1B"/>
    <w:rsid w:val="00F36C7B"/>
    <w:rsid w:val="00F36F48"/>
    <w:rsid w:val="00F37469"/>
    <w:rsid w:val="00F37676"/>
    <w:rsid w:val="00F37724"/>
    <w:rsid w:val="00F377C3"/>
    <w:rsid w:val="00F37CDA"/>
    <w:rsid w:val="00F40124"/>
    <w:rsid w:val="00F40611"/>
    <w:rsid w:val="00F409F5"/>
    <w:rsid w:val="00F4121B"/>
    <w:rsid w:val="00F412D9"/>
    <w:rsid w:val="00F413EC"/>
    <w:rsid w:val="00F414FB"/>
    <w:rsid w:val="00F417EC"/>
    <w:rsid w:val="00F41EC7"/>
    <w:rsid w:val="00F41EEE"/>
    <w:rsid w:val="00F42BA7"/>
    <w:rsid w:val="00F42C08"/>
    <w:rsid w:val="00F42CBD"/>
    <w:rsid w:val="00F43264"/>
    <w:rsid w:val="00F43282"/>
    <w:rsid w:val="00F43B60"/>
    <w:rsid w:val="00F441A2"/>
    <w:rsid w:val="00F44D3C"/>
    <w:rsid w:val="00F4508E"/>
    <w:rsid w:val="00F45209"/>
    <w:rsid w:val="00F459A6"/>
    <w:rsid w:val="00F45E24"/>
    <w:rsid w:val="00F47AB7"/>
    <w:rsid w:val="00F50254"/>
    <w:rsid w:val="00F50314"/>
    <w:rsid w:val="00F503FE"/>
    <w:rsid w:val="00F5059C"/>
    <w:rsid w:val="00F505D5"/>
    <w:rsid w:val="00F50EC5"/>
    <w:rsid w:val="00F513B5"/>
    <w:rsid w:val="00F513B7"/>
    <w:rsid w:val="00F516D7"/>
    <w:rsid w:val="00F52188"/>
    <w:rsid w:val="00F526CD"/>
    <w:rsid w:val="00F52BAB"/>
    <w:rsid w:val="00F53915"/>
    <w:rsid w:val="00F53D11"/>
    <w:rsid w:val="00F54BBC"/>
    <w:rsid w:val="00F54D5B"/>
    <w:rsid w:val="00F55186"/>
    <w:rsid w:val="00F5532C"/>
    <w:rsid w:val="00F55759"/>
    <w:rsid w:val="00F55BB9"/>
    <w:rsid w:val="00F55DF5"/>
    <w:rsid w:val="00F56294"/>
    <w:rsid w:val="00F564B2"/>
    <w:rsid w:val="00F566EE"/>
    <w:rsid w:val="00F56AA9"/>
    <w:rsid w:val="00F56BBF"/>
    <w:rsid w:val="00F57011"/>
    <w:rsid w:val="00F570A7"/>
    <w:rsid w:val="00F573C1"/>
    <w:rsid w:val="00F57596"/>
    <w:rsid w:val="00F5775C"/>
    <w:rsid w:val="00F57AB7"/>
    <w:rsid w:val="00F57D51"/>
    <w:rsid w:val="00F57E96"/>
    <w:rsid w:val="00F60D93"/>
    <w:rsid w:val="00F6187D"/>
    <w:rsid w:val="00F61BD4"/>
    <w:rsid w:val="00F61E6B"/>
    <w:rsid w:val="00F61EF5"/>
    <w:rsid w:val="00F6264A"/>
    <w:rsid w:val="00F6281C"/>
    <w:rsid w:val="00F62CF9"/>
    <w:rsid w:val="00F62F14"/>
    <w:rsid w:val="00F64332"/>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08B"/>
    <w:rsid w:val="00F70B54"/>
    <w:rsid w:val="00F715B7"/>
    <w:rsid w:val="00F71678"/>
    <w:rsid w:val="00F7184F"/>
    <w:rsid w:val="00F72786"/>
    <w:rsid w:val="00F72788"/>
    <w:rsid w:val="00F73126"/>
    <w:rsid w:val="00F740BE"/>
    <w:rsid w:val="00F74779"/>
    <w:rsid w:val="00F74788"/>
    <w:rsid w:val="00F747D4"/>
    <w:rsid w:val="00F75839"/>
    <w:rsid w:val="00F75BDE"/>
    <w:rsid w:val="00F75FA4"/>
    <w:rsid w:val="00F76412"/>
    <w:rsid w:val="00F7679F"/>
    <w:rsid w:val="00F76F5C"/>
    <w:rsid w:val="00F80749"/>
    <w:rsid w:val="00F8077B"/>
    <w:rsid w:val="00F80C5D"/>
    <w:rsid w:val="00F81B54"/>
    <w:rsid w:val="00F81E09"/>
    <w:rsid w:val="00F8224C"/>
    <w:rsid w:val="00F826EB"/>
    <w:rsid w:val="00F8286C"/>
    <w:rsid w:val="00F83E78"/>
    <w:rsid w:val="00F843BD"/>
    <w:rsid w:val="00F844C7"/>
    <w:rsid w:val="00F84778"/>
    <w:rsid w:val="00F84988"/>
    <w:rsid w:val="00F84AED"/>
    <w:rsid w:val="00F84BF2"/>
    <w:rsid w:val="00F84FDB"/>
    <w:rsid w:val="00F85253"/>
    <w:rsid w:val="00F85422"/>
    <w:rsid w:val="00F854FA"/>
    <w:rsid w:val="00F85A5C"/>
    <w:rsid w:val="00F8710A"/>
    <w:rsid w:val="00F871BA"/>
    <w:rsid w:val="00F87781"/>
    <w:rsid w:val="00F905D4"/>
    <w:rsid w:val="00F907FC"/>
    <w:rsid w:val="00F91245"/>
    <w:rsid w:val="00F91469"/>
    <w:rsid w:val="00F915AD"/>
    <w:rsid w:val="00F91DCA"/>
    <w:rsid w:val="00F91EDE"/>
    <w:rsid w:val="00F920F6"/>
    <w:rsid w:val="00F929DF"/>
    <w:rsid w:val="00F92C3E"/>
    <w:rsid w:val="00F9360B"/>
    <w:rsid w:val="00F937CF"/>
    <w:rsid w:val="00F93B5D"/>
    <w:rsid w:val="00F93F17"/>
    <w:rsid w:val="00F942D1"/>
    <w:rsid w:val="00F94534"/>
    <w:rsid w:val="00F94676"/>
    <w:rsid w:val="00F95B6D"/>
    <w:rsid w:val="00F95D62"/>
    <w:rsid w:val="00F964DD"/>
    <w:rsid w:val="00F96587"/>
    <w:rsid w:val="00F9678A"/>
    <w:rsid w:val="00F9782B"/>
    <w:rsid w:val="00F9785B"/>
    <w:rsid w:val="00FA07E2"/>
    <w:rsid w:val="00FA0856"/>
    <w:rsid w:val="00FA0CF0"/>
    <w:rsid w:val="00FA143A"/>
    <w:rsid w:val="00FA145F"/>
    <w:rsid w:val="00FA1C26"/>
    <w:rsid w:val="00FA2F00"/>
    <w:rsid w:val="00FA2FFA"/>
    <w:rsid w:val="00FA3583"/>
    <w:rsid w:val="00FA35A9"/>
    <w:rsid w:val="00FA37A5"/>
    <w:rsid w:val="00FA3DD3"/>
    <w:rsid w:val="00FA3E86"/>
    <w:rsid w:val="00FA52AF"/>
    <w:rsid w:val="00FA5348"/>
    <w:rsid w:val="00FA5606"/>
    <w:rsid w:val="00FA57D8"/>
    <w:rsid w:val="00FA600E"/>
    <w:rsid w:val="00FA6119"/>
    <w:rsid w:val="00FA6E42"/>
    <w:rsid w:val="00FA7917"/>
    <w:rsid w:val="00FA7D95"/>
    <w:rsid w:val="00FA7ECA"/>
    <w:rsid w:val="00FB00AD"/>
    <w:rsid w:val="00FB06B3"/>
    <w:rsid w:val="00FB0A2D"/>
    <w:rsid w:val="00FB0A9C"/>
    <w:rsid w:val="00FB0B41"/>
    <w:rsid w:val="00FB0F3F"/>
    <w:rsid w:val="00FB258A"/>
    <w:rsid w:val="00FB29BE"/>
    <w:rsid w:val="00FB312A"/>
    <w:rsid w:val="00FB3B89"/>
    <w:rsid w:val="00FB3C4B"/>
    <w:rsid w:val="00FB3D99"/>
    <w:rsid w:val="00FB3F61"/>
    <w:rsid w:val="00FB42FF"/>
    <w:rsid w:val="00FB49E2"/>
    <w:rsid w:val="00FB4C8A"/>
    <w:rsid w:val="00FB5129"/>
    <w:rsid w:val="00FB5238"/>
    <w:rsid w:val="00FB5326"/>
    <w:rsid w:val="00FB5660"/>
    <w:rsid w:val="00FB56E2"/>
    <w:rsid w:val="00FB5955"/>
    <w:rsid w:val="00FB59D0"/>
    <w:rsid w:val="00FB5F54"/>
    <w:rsid w:val="00FB67E3"/>
    <w:rsid w:val="00FB6DC3"/>
    <w:rsid w:val="00FB7587"/>
    <w:rsid w:val="00FC132C"/>
    <w:rsid w:val="00FC152D"/>
    <w:rsid w:val="00FC17AD"/>
    <w:rsid w:val="00FC18C4"/>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6B3B"/>
    <w:rsid w:val="00FC718E"/>
    <w:rsid w:val="00FC727F"/>
    <w:rsid w:val="00FC73AF"/>
    <w:rsid w:val="00FC7A8A"/>
    <w:rsid w:val="00FC7C8D"/>
    <w:rsid w:val="00FC7F21"/>
    <w:rsid w:val="00FD01BE"/>
    <w:rsid w:val="00FD05DB"/>
    <w:rsid w:val="00FD097E"/>
    <w:rsid w:val="00FD0A0E"/>
    <w:rsid w:val="00FD17DC"/>
    <w:rsid w:val="00FD194B"/>
    <w:rsid w:val="00FD1A98"/>
    <w:rsid w:val="00FD1C21"/>
    <w:rsid w:val="00FD1E40"/>
    <w:rsid w:val="00FD277D"/>
    <w:rsid w:val="00FD3258"/>
    <w:rsid w:val="00FD34DD"/>
    <w:rsid w:val="00FD3DD4"/>
    <w:rsid w:val="00FD480E"/>
    <w:rsid w:val="00FD4EC1"/>
    <w:rsid w:val="00FD53E8"/>
    <w:rsid w:val="00FD55A9"/>
    <w:rsid w:val="00FD58BB"/>
    <w:rsid w:val="00FD5F31"/>
    <w:rsid w:val="00FD60D1"/>
    <w:rsid w:val="00FD6522"/>
    <w:rsid w:val="00FD6725"/>
    <w:rsid w:val="00FD6B9B"/>
    <w:rsid w:val="00FD6EEC"/>
    <w:rsid w:val="00FD6F8A"/>
    <w:rsid w:val="00FD6FA5"/>
    <w:rsid w:val="00FD7106"/>
    <w:rsid w:val="00FD714F"/>
    <w:rsid w:val="00FD7478"/>
    <w:rsid w:val="00FD7B24"/>
    <w:rsid w:val="00FD7E37"/>
    <w:rsid w:val="00FE0435"/>
    <w:rsid w:val="00FE0D1C"/>
    <w:rsid w:val="00FE1231"/>
    <w:rsid w:val="00FE182D"/>
    <w:rsid w:val="00FE1C99"/>
    <w:rsid w:val="00FE1F94"/>
    <w:rsid w:val="00FE232B"/>
    <w:rsid w:val="00FE29FA"/>
    <w:rsid w:val="00FE2AA3"/>
    <w:rsid w:val="00FE2DD4"/>
    <w:rsid w:val="00FE320C"/>
    <w:rsid w:val="00FE3226"/>
    <w:rsid w:val="00FE32C6"/>
    <w:rsid w:val="00FE352A"/>
    <w:rsid w:val="00FE3973"/>
    <w:rsid w:val="00FE41CD"/>
    <w:rsid w:val="00FE4890"/>
    <w:rsid w:val="00FE48EE"/>
    <w:rsid w:val="00FE4E61"/>
    <w:rsid w:val="00FE5021"/>
    <w:rsid w:val="00FE5405"/>
    <w:rsid w:val="00FE5977"/>
    <w:rsid w:val="00FE5C41"/>
    <w:rsid w:val="00FE5D33"/>
    <w:rsid w:val="00FE6091"/>
    <w:rsid w:val="00FE67D5"/>
    <w:rsid w:val="00FE6DDE"/>
    <w:rsid w:val="00FE7679"/>
    <w:rsid w:val="00FE7A11"/>
    <w:rsid w:val="00FF07D9"/>
    <w:rsid w:val="00FF09F2"/>
    <w:rsid w:val="00FF09FC"/>
    <w:rsid w:val="00FF11B9"/>
    <w:rsid w:val="00FF1293"/>
    <w:rsid w:val="00FF1468"/>
    <w:rsid w:val="00FF19E6"/>
    <w:rsid w:val="00FF1A2B"/>
    <w:rsid w:val="00FF1EFB"/>
    <w:rsid w:val="00FF2448"/>
    <w:rsid w:val="00FF321B"/>
    <w:rsid w:val="00FF3304"/>
    <w:rsid w:val="00FF37E3"/>
    <w:rsid w:val="00FF389D"/>
    <w:rsid w:val="00FF4974"/>
    <w:rsid w:val="00FF4BBE"/>
    <w:rsid w:val="00FF5205"/>
    <w:rsid w:val="00FF5338"/>
    <w:rsid w:val="00FF537C"/>
    <w:rsid w:val="00FF54BF"/>
    <w:rsid w:val="00FF5889"/>
    <w:rsid w:val="00FF5C3B"/>
    <w:rsid w:val="00FF5C70"/>
    <w:rsid w:val="00FF70C4"/>
    <w:rsid w:val="00FF71D2"/>
    <w:rsid w:val="00FF7418"/>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D6A"/>
  </w:style>
  <w:style w:type="paragraph" w:styleId="Heading1">
    <w:name w:val="heading 1"/>
    <w:basedOn w:val="Normal"/>
    <w:next w:val="Normal"/>
    <w:autoRedefine/>
    <w:qFormat/>
    <w:rsid w:val="0064436A"/>
    <w:pPr>
      <w:keepNext/>
      <w:spacing w:before="360" w:after="240"/>
      <w:jc w:val="center"/>
      <w:outlineLvl w:val="0"/>
    </w:pPr>
    <w:rPr>
      <w:rFonts w:cs="Arial"/>
      <w:b/>
      <w:bCs/>
      <w:caps/>
      <w:kern w:val="32"/>
      <w:sz w:val="28"/>
      <w:szCs w:val="24"/>
    </w:rPr>
  </w:style>
  <w:style w:type="paragraph" w:styleId="Heading2">
    <w:name w:val="heading 2"/>
    <w:basedOn w:val="Normal"/>
    <w:next w:val="Normal"/>
    <w:link w:val="Heading2Char"/>
    <w:autoRedefine/>
    <w:unhideWhenUsed/>
    <w:qFormat/>
    <w:rsid w:val="00D71806"/>
    <w:pPr>
      <w:keepNext/>
      <w:spacing w:before="360" w:after="240"/>
      <w:ind w:left="1440" w:hanging="720"/>
      <w:outlineLvl w:val="1"/>
    </w:pPr>
    <w:rPr>
      <w:b/>
      <w:bCs/>
      <w:iCs/>
      <w:sz w:val="28"/>
      <w:szCs w:val="28"/>
    </w:rPr>
  </w:style>
  <w:style w:type="paragraph" w:styleId="Heading3">
    <w:name w:val="heading 3"/>
    <w:basedOn w:val="Normal"/>
    <w:next w:val="Normal"/>
    <w:link w:val="Heading3Char"/>
    <w:autoRedefine/>
    <w:unhideWhenUsed/>
    <w:qFormat/>
    <w:rsid w:val="00CF5C7A"/>
    <w:pPr>
      <w:keepNext/>
      <w:keepLines/>
      <w:numPr>
        <w:numId w:val="9"/>
      </w:numPr>
      <w:spacing w:before="360" w:after="240"/>
      <w:ind w:left="2160" w:hanging="72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rsid w:val="00663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style">
    <w:name w:val="Text style"/>
    <w:basedOn w:val="Title"/>
    <w:autoRedefine/>
    <w:rsid w:val="0064436A"/>
    <w:pPr>
      <w:spacing w:line="480" w:lineRule="auto"/>
      <w:ind w:firstLine="720"/>
      <w:jc w:val="left"/>
    </w:pPr>
    <w:rPr>
      <w:rFonts w:ascii="Times New Roman" w:hAnsi="Times New Roman"/>
      <w:sz w:val="26"/>
      <w:szCs w:val="24"/>
    </w:rPr>
  </w:style>
  <w:style w:type="paragraph" w:styleId="FootnoteText">
    <w:name w:val="footnote text"/>
    <w:basedOn w:val="Normal"/>
    <w:link w:val="FootnoteTextChar"/>
    <w:autoRedefine/>
    <w:uiPriority w:val="99"/>
    <w:rsid w:val="006A3730"/>
    <w:pPr>
      <w:spacing w:before="240" w:after="240"/>
      <w:ind w:left="720" w:hanging="720"/>
    </w:pPr>
    <w:rPr>
      <w:sz w:val="24"/>
    </w:rPr>
  </w:style>
  <w:style w:type="character" w:customStyle="1" w:styleId="FootnoteTextChar">
    <w:name w:val="Footnote Text Char"/>
    <w:link w:val="FootnoteText"/>
    <w:uiPriority w:val="99"/>
    <w:locked/>
    <w:rsid w:val="006A3730"/>
    <w:rPr>
      <w:sz w:val="24"/>
    </w:rPr>
  </w:style>
  <w:style w:type="character" w:styleId="FootnoteReference">
    <w:name w:val="footnote reference"/>
    <w:uiPriority w:val="99"/>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rsid w:val="00200A0A"/>
    <w:rPr>
      <w:color w:val="0000FF"/>
      <w:u w:val="single"/>
    </w:rPr>
  </w:style>
  <w:style w:type="paragraph" w:customStyle="1" w:styleId="textstyle0">
    <w:name w:val="text style"/>
    <w:basedOn w:val="Normal"/>
    <w:link w:val="textstyleChar"/>
    <w:autoRedefine/>
    <w:rsid w:val="00CF5C7A"/>
    <w:pPr>
      <w:spacing w:line="480" w:lineRule="auto"/>
    </w:pPr>
    <w:rPr>
      <w:sz w:val="26"/>
      <w:szCs w:val="24"/>
    </w:rPr>
  </w:style>
  <w:style w:type="character" w:customStyle="1" w:styleId="textstyleChar">
    <w:name w:val="text style Char"/>
    <w:link w:val="textstyle0"/>
    <w:rsid w:val="00CF5C7A"/>
    <w:rPr>
      <w:sz w:val="26"/>
      <w:szCs w:val="24"/>
    </w:rPr>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C95499"/>
    <w:pPr>
      <w:tabs>
        <w:tab w:val="right" w:leader="dot" w:pos="9350"/>
      </w:tabs>
      <w:spacing w:before="240" w:after="24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rsid w:val="00D71806"/>
    <w:rPr>
      <w:b/>
      <w:bCs/>
      <w:iCs/>
      <w:sz w:val="28"/>
      <w:szCs w:val="28"/>
    </w:rPr>
  </w:style>
  <w:style w:type="paragraph" w:customStyle="1" w:styleId="Blockquote">
    <w:name w:val="Block quote"/>
    <w:basedOn w:val="textstyle0"/>
    <w:autoRedefine/>
    <w:rsid w:val="006A3730"/>
    <w:pPr>
      <w:spacing w:after="240" w:line="240" w:lineRule="auto"/>
      <w:ind w:left="1440" w:right="1440"/>
    </w:p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765439"/>
    <w:pPr>
      <w:tabs>
        <w:tab w:val="left" w:pos="660"/>
        <w:tab w:val="right" w:leader="dot" w:pos="9350"/>
      </w:tabs>
      <w:spacing w:before="240" w:after="240"/>
      <w:ind w:left="1440" w:right="1440" w:hanging="720"/>
    </w:pPr>
    <w:rPr>
      <w:sz w:val="26"/>
    </w:rPr>
  </w:style>
  <w:style w:type="paragraph" w:styleId="ListParagraph">
    <w:name w:val="List Paragraph"/>
    <w:basedOn w:val="Normal"/>
    <w:uiPriority w:val="34"/>
    <w:qFormat/>
    <w:rsid w:val="002969AB"/>
    <w:pPr>
      <w:spacing w:after="200" w:line="276" w:lineRule="auto"/>
      <w:ind w:left="720"/>
      <w:contextualSpacing/>
    </w:pPr>
    <w:rPr>
      <w:rFonts w:ascii="Calibri" w:eastAsia="Calibri" w:hAnsi="Calibri"/>
      <w:sz w:val="22"/>
      <w:szCs w:val="22"/>
    </w:rPr>
  </w:style>
  <w:style w:type="paragraph" w:customStyle="1" w:styleId="Heaidng2">
    <w:name w:val="Heaidng 2"/>
    <w:basedOn w:val="Normal"/>
    <w:rsid w:val="00B70887"/>
    <w:pPr>
      <w:spacing w:line="480" w:lineRule="auto"/>
    </w:pPr>
    <w:rPr>
      <w:sz w:val="28"/>
      <w:szCs w:val="28"/>
    </w:rPr>
  </w:style>
  <w:style w:type="paragraph" w:customStyle="1" w:styleId="ex">
    <w:name w:val="ex"/>
    <w:basedOn w:val="Normal"/>
    <w:rsid w:val="00944304"/>
    <w:pPr>
      <w:spacing w:line="480" w:lineRule="auto"/>
    </w:pPr>
    <w:rPr>
      <w:sz w:val="28"/>
      <w:szCs w:val="28"/>
    </w:rPr>
  </w:style>
  <w:style w:type="paragraph" w:customStyle="1" w:styleId="tex">
    <w:name w:val="tex'"/>
    <w:basedOn w:val="Normal"/>
    <w:rsid w:val="00B6553F"/>
    <w:pPr>
      <w:spacing w:line="480" w:lineRule="auto"/>
    </w:pPr>
    <w:rPr>
      <w:sz w:val="28"/>
      <w:szCs w:val="28"/>
    </w:rPr>
  </w:style>
  <w:style w:type="character" w:styleId="CommentReference">
    <w:name w:val="annotation reference"/>
    <w:uiPriority w:val="99"/>
    <w:unhideWhenUsed/>
    <w:rsid w:val="00453EEA"/>
    <w:rPr>
      <w:sz w:val="16"/>
      <w:szCs w:val="16"/>
    </w:rPr>
  </w:style>
  <w:style w:type="paragraph" w:styleId="CommentText">
    <w:name w:val="annotation text"/>
    <w:basedOn w:val="Normal"/>
    <w:link w:val="CommentTextChar"/>
    <w:uiPriority w:val="99"/>
    <w:unhideWhenUsed/>
    <w:rsid w:val="00453EEA"/>
    <w:pPr>
      <w:spacing w:after="200"/>
    </w:pPr>
    <w:rPr>
      <w:rFonts w:ascii="Calibri" w:eastAsia="Calibri" w:hAnsi="Calibri"/>
    </w:rPr>
  </w:style>
  <w:style w:type="character" w:customStyle="1" w:styleId="CommentTextChar">
    <w:name w:val="Comment Text Char"/>
    <w:basedOn w:val="DefaultParagraphFont"/>
    <w:link w:val="CommentText"/>
    <w:uiPriority w:val="99"/>
    <w:rsid w:val="00453EEA"/>
    <w:rPr>
      <w:rFonts w:ascii="Calibri" w:eastAsia="Calibri" w:hAnsi="Calibri"/>
    </w:rPr>
  </w:style>
  <w:style w:type="character" w:customStyle="1" w:styleId="Heading3Char">
    <w:name w:val="Heading 3 Char"/>
    <w:basedOn w:val="DefaultParagraphFont"/>
    <w:link w:val="Heading3"/>
    <w:rsid w:val="00CF5C7A"/>
    <w:rPr>
      <w:rFonts w:eastAsiaTheme="majorEastAsia" w:cstheme="majorBidi"/>
      <w:b/>
      <w:bCs/>
      <w:sz w:val="26"/>
    </w:rPr>
  </w:style>
  <w:style w:type="paragraph" w:styleId="TOC3">
    <w:name w:val="toc 3"/>
    <w:basedOn w:val="Normal"/>
    <w:next w:val="Normal"/>
    <w:autoRedefine/>
    <w:uiPriority w:val="39"/>
    <w:rsid w:val="009204B4"/>
    <w:pPr>
      <w:tabs>
        <w:tab w:val="left" w:pos="1440"/>
        <w:tab w:val="right" w:leader="dot" w:pos="9350"/>
      </w:tabs>
      <w:spacing w:before="240" w:after="240"/>
      <w:ind w:left="2160" w:right="1440" w:hanging="720"/>
    </w:pPr>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D6A"/>
  </w:style>
  <w:style w:type="paragraph" w:styleId="Heading1">
    <w:name w:val="heading 1"/>
    <w:basedOn w:val="Normal"/>
    <w:next w:val="Normal"/>
    <w:autoRedefine/>
    <w:qFormat/>
    <w:rsid w:val="0064436A"/>
    <w:pPr>
      <w:keepNext/>
      <w:spacing w:before="360" w:after="240"/>
      <w:jc w:val="center"/>
      <w:outlineLvl w:val="0"/>
    </w:pPr>
    <w:rPr>
      <w:rFonts w:cs="Arial"/>
      <w:b/>
      <w:bCs/>
      <w:caps/>
      <w:kern w:val="32"/>
      <w:sz w:val="28"/>
      <w:szCs w:val="24"/>
    </w:rPr>
  </w:style>
  <w:style w:type="paragraph" w:styleId="Heading2">
    <w:name w:val="heading 2"/>
    <w:basedOn w:val="Normal"/>
    <w:next w:val="Normal"/>
    <w:link w:val="Heading2Char"/>
    <w:autoRedefine/>
    <w:unhideWhenUsed/>
    <w:qFormat/>
    <w:rsid w:val="00D71806"/>
    <w:pPr>
      <w:keepNext/>
      <w:spacing w:before="360" w:after="240"/>
      <w:ind w:left="1440" w:hanging="720"/>
      <w:outlineLvl w:val="1"/>
    </w:pPr>
    <w:rPr>
      <w:b/>
      <w:bCs/>
      <w:iCs/>
      <w:sz w:val="28"/>
      <w:szCs w:val="28"/>
    </w:rPr>
  </w:style>
  <w:style w:type="paragraph" w:styleId="Heading3">
    <w:name w:val="heading 3"/>
    <w:basedOn w:val="Normal"/>
    <w:next w:val="Normal"/>
    <w:link w:val="Heading3Char"/>
    <w:autoRedefine/>
    <w:unhideWhenUsed/>
    <w:qFormat/>
    <w:rsid w:val="00CF5C7A"/>
    <w:pPr>
      <w:keepNext/>
      <w:keepLines/>
      <w:numPr>
        <w:numId w:val="9"/>
      </w:numPr>
      <w:spacing w:before="360" w:after="240"/>
      <w:ind w:left="2160" w:hanging="72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rsid w:val="00663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style">
    <w:name w:val="Text style"/>
    <w:basedOn w:val="Title"/>
    <w:autoRedefine/>
    <w:rsid w:val="0064436A"/>
    <w:pPr>
      <w:spacing w:line="480" w:lineRule="auto"/>
      <w:ind w:firstLine="720"/>
      <w:jc w:val="left"/>
    </w:pPr>
    <w:rPr>
      <w:rFonts w:ascii="Times New Roman" w:hAnsi="Times New Roman"/>
      <w:sz w:val="26"/>
      <w:szCs w:val="24"/>
    </w:rPr>
  </w:style>
  <w:style w:type="paragraph" w:styleId="FootnoteText">
    <w:name w:val="footnote text"/>
    <w:basedOn w:val="Normal"/>
    <w:link w:val="FootnoteTextChar"/>
    <w:autoRedefine/>
    <w:uiPriority w:val="99"/>
    <w:rsid w:val="006A3730"/>
    <w:pPr>
      <w:spacing w:before="240" w:after="240"/>
      <w:ind w:left="720" w:hanging="720"/>
    </w:pPr>
    <w:rPr>
      <w:sz w:val="24"/>
    </w:rPr>
  </w:style>
  <w:style w:type="character" w:customStyle="1" w:styleId="FootnoteTextChar">
    <w:name w:val="Footnote Text Char"/>
    <w:link w:val="FootnoteText"/>
    <w:uiPriority w:val="99"/>
    <w:locked/>
    <w:rsid w:val="006A3730"/>
    <w:rPr>
      <w:sz w:val="24"/>
    </w:rPr>
  </w:style>
  <w:style w:type="character" w:styleId="FootnoteReference">
    <w:name w:val="footnote reference"/>
    <w:uiPriority w:val="99"/>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rsid w:val="00200A0A"/>
    <w:rPr>
      <w:color w:val="0000FF"/>
      <w:u w:val="single"/>
    </w:rPr>
  </w:style>
  <w:style w:type="paragraph" w:customStyle="1" w:styleId="textstyle0">
    <w:name w:val="text style"/>
    <w:basedOn w:val="Normal"/>
    <w:link w:val="textstyleChar"/>
    <w:autoRedefine/>
    <w:rsid w:val="00CF5C7A"/>
    <w:pPr>
      <w:spacing w:line="480" w:lineRule="auto"/>
    </w:pPr>
    <w:rPr>
      <w:sz w:val="26"/>
      <w:szCs w:val="24"/>
    </w:rPr>
  </w:style>
  <w:style w:type="character" w:customStyle="1" w:styleId="textstyleChar">
    <w:name w:val="text style Char"/>
    <w:link w:val="textstyle0"/>
    <w:rsid w:val="00CF5C7A"/>
    <w:rPr>
      <w:sz w:val="26"/>
      <w:szCs w:val="24"/>
    </w:rPr>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C95499"/>
    <w:pPr>
      <w:tabs>
        <w:tab w:val="right" w:leader="dot" w:pos="9350"/>
      </w:tabs>
      <w:spacing w:before="240" w:after="24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rsid w:val="00D71806"/>
    <w:rPr>
      <w:b/>
      <w:bCs/>
      <w:iCs/>
      <w:sz w:val="28"/>
      <w:szCs w:val="28"/>
    </w:rPr>
  </w:style>
  <w:style w:type="paragraph" w:customStyle="1" w:styleId="Blockquote">
    <w:name w:val="Block quote"/>
    <w:basedOn w:val="textstyle0"/>
    <w:autoRedefine/>
    <w:rsid w:val="006A3730"/>
    <w:pPr>
      <w:spacing w:after="240" w:line="240" w:lineRule="auto"/>
      <w:ind w:left="1440" w:right="1440"/>
    </w:p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765439"/>
    <w:pPr>
      <w:tabs>
        <w:tab w:val="left" w:pos="660"/>
        <w:tab w:val="right" w:leader="dot" w:pos="9350"/>
      </w:tabs>
      <w:spacing w:before="240" w:after="240"/>
      <w:ind w:left="1440" w:right="1440" w:hanging="720"/>
    </w:pPr>
    <w:rPr>
      <w:sz w:val="26"/>
    </w:rPr>
  </w:style>
  <w:style w:type="paragraph" w:styleId="ListParagraph">
    <w:name w:val="List Paragraph"/>
    <w:basedOn w:val="Normal"/>
    <w:uiPriority w:val="34"/>
    <w:qFormat/>
    <w:rsid w:val="002969AB"/>
    <w:pPr>
      <w:spacing w:after="200" w:line="276" w:lineRule="auto"/>
      <w:ind w:left="720"/>
      <w:contextualSpacing/>
    </w:pPr>
    <w:rPr>
      <w:rFonts w:ascii="Calibri" w:eastAsia="Calibri" w:hAnsi="Calibri"/>
      <w:sz w:val="22"/>
      <w:szCs w:val="22"/>
    </w:rPr>
  </w:style>
  <w:style w:type="paragraph" w:customStyle="1" w:styleId="Heaidng2">
    <w:name w:val="Heaidng 2"/>
    <w:basedOn w:val="Normal"/>
    <w:rsid w:val="00B70887"/>
    <w:pPr>
      <w:spacing w:line="480" w:lineRule="auto"/>
    </w:pPr>
    <w:rPr>
      <w:sz w:val="28"/>
      <w:szCs w:val="28"/>
    </w:rPr>
  </w:style>
  <w:style w:type="paragraph" w:customStyle="1" w:styleId="ex">
    <w:name w:val="ex"/>
    <w:basedOn w:val="Normal"/>
    <w:rsid w:val="00944304"/>
    <w:pPr>
      <w:spacing w:line="480" w:lineRule="auto"/>
    </w:pPr>
    <w:rPr>
      <w:sz w:val="28"/>
      <w:szCs w:val="28"/>
    </w:rPr>
  </w:style>
  <w:style w:type="paragraph" w:customStyle="1" w:styleId="tex">
    <w:name w:val="tex'"/>
    <w:basedOn w:val="Normal"/>
    <w:rsid w:val="00B6553F"/>
    <w:pPr>
      <w:spacing w:line="480" w:lineRule="auto"/>
    </w:pPr>
    <w:rPr>
      <w:sz w:val="28"/>
      <w:szCs w:val="28"/>
    </w:rPr>
  </w:style>
  <w:style w:type="character" w:styleId="CommentReference">
    <w:name w:val="annotation reference"/>
    <w:uiPriority w:val="99"/>
    <w:unhideWhenUsed/>
    <w:rsid w:val="00453EEA"/>
    <w:rPr>
      <w:sz w:val="16"/>
      <w:szCs w:val="16"/>
    </w:rPr>
  </w:style>
  <w:style w:type="paragraph" w:styleId="CommentText">
    <w:name w:val="annotation text"/>
    <w:basedOn w:val="Normal"/>
    <w:link w:val="CommentTextChar"/>
    <w:uiPriority w:val="99"/>
    <w:unhideWhenUsed/>
    <w:rsid w:val="00453EEA"/>
    <w:pPr>
      <w:spacing w:after="200"/>
    </w:pPr>
    <w:rPr>
      <w:rFonts w:ascii="Calibri" w:eastAsia="Calibri" w:hAnsi="Calibri"/>
    </w:rPr>
  </w:style>
  <w:style w:type="character" w:customStyle="1" w:styleId="CommentTextChar">
    <w:name w:val="Comment Text Char"/>
    <w:basedOn w:val="DefaultParagraphFont"/>
    <w:link w:val="CommentText"/>
    <w:uiPriority w:val="99"/>
    <w:rsid w:val="00453EEA"/>
    <w:rPr>
      <w:rFonts w:ascii="Calibri" w:eastAsia="Calibri" w:hAnsi="Calibri"/>
    </w:rPr>
  </w:style>
  <w:style w:type="character" w:customStyle="1" w:styleId="Heading3Char">
    <w:name w:val="Heading 3 Char"/>
    <w:basedOn w:val="DefaultParagraphFont"/>
    <w:link w:val="Heading3"/>
    <w:rsid w:val="00CF5C7A"/>
    <w:rPr>
      <w:rFonts w:eastAsiaTheme="majorEastAsia" w:cstheme="majorBidi"/>
      <w:b/>
      <w:bCs/>
      <w:sz w:val="26"/>
    </w:rPr>
  </w:style>
  <w:style w:type="paragraph" w:styleId="TOC3">
    <w:name w:val="toc 3"/>
    <w:basedOn w:val="Normal"/>
    <w:next w:val="Normal"/>
    <w:autoRedefine/>
    <w:uiPriority w:val="39"/>
    <w:rsid w:val="009204B4"/>
    <w:pPr>
      <w:tabs>
        <w:tab w:val="left" w:pos="1440"/>
        <w:tab w:val="right" w:leader="dot" w:pos="9350"/>
      </w:tabs>
      <w:spacing w:before="240" w:after="240"/>
      <w:ind w:left="2160" w:right="1440" w:hanging="720"/>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9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27796833">
          <w:marLeft w:val="0"/>
          <w:marRight w:val="0"/>
          <w:marTop w:val="0"/>
          <w:marBottom w:val="0"/>
          <w:divBdr>
            <w:top w:val="none" w:sz="0" w:space="0" w:color="auto"/>
            <w:left w:val="none" w:sz="0" w:space="0" w:color="auto"/>
            <w:bottom w:val="none" w:sz="0" w:space="0" w:color="auto"/>
            <w:right w:val="none" w:sz="0" w:space="0" w:color="auto"/>
          </w:divBdr>
          <w:divsChild>
            <w:div w:id="406147621">
              <w:marLeft w:val="0"/>
              <w:marRight w:val="0"/>
              <w:marTop w:val="0"/>
              <w:marBottom w:val="0"/>
              <w:divBdr>
                <w:top w:val="none" w:sz="0" w:space="0" w:color="auto"/>
                <w:left w:val="none" w:sz="0" w:space="0" w:color="auto"/>
                <w:bottom w:val="none" w:sz="0" w:space="0" w:color="auto"/>
                <w:right w:val="none" w:sz="0" w:space="0" w:color="auto"/>
              </w:divBdr>
              <w:divsChild>
                <w:div w:id="1368675628">
                  <w:marLeft w:val="0"/>
                  <w:marRight w:val="0"/>
                  <w:marTop w:val="0"/>
                  <w:marBottom w:val="0"/>
                  <w:divBdr>
                    <w:top w:val="none" w:sz="0" w:space="0" w:color="auto"/>
                    <w:left w:val="none" w:sz="0" w:space="0" w:color="auto"/>
                    <w:bottom w:val="none" w:sz="0" w:space="0" w:color="auto"/>
                    <w:right w:val="none" w:sz="0" w:space="0" w:color="auto"/>
                  </w:divBdr>
                  <w:divsChild>
                    <w:div w:id="15294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werner.margard@puc.state.oh.us"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thomas.mcnamee@puc.state.oh.u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hyperlink" Target="mailto:werner.margard@puc.state.oh.us" TargetMode="External"/><Relationship Id="rId19" Type="http://schemas.openxmlformats.org/officeDocument/2006/relationships/hyperlink" Target="mailto:cmooney@ohiopartners.org" TargetMode="External"/><Relationship Id="rId4" Type="http://schemas.microsoft.com/office/2007/relationships/stylesWithEffects" Target="stylesWithEffects.xml"/><Relationship Id="rId9" Type="http://schemas.openxmlformats.org/officeDocument/2006/relationships/hyperlink" Target="mailto:thomas.mcnamee@puc.state.oh.us" TargetMode="External"/><Relationship Id="rId14" Type="http://schemas.openxmlformats.org/officeDocument/2006/relationships/footer" Target="footer2.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PUCO%20(or%20OPSB)%20Pl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2BD1A-F704-43BD-B53D-534A801D0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PUCO (or OPSB) Pleading</Template>
  <TotalTime>8</TotalTime>
  <Pages>37</Pages>
  <Words>7015</Words>
  <Characters>39470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46393</CharactersWithSpaces>
  <SharedDoc>false</SharedDoc>
  <HLinks>
    <vt:vector size="12" baseType="variant">
      <vt:variant>
        <vt:i4>2293828</vt:i4>
      </vt:variant>
      <vt:variant>
        <vt:i4>3</vt:i4>
      </vt:variant>
      <vt:variant>
        <vt:i4>0</vt:i4>
      </vt:variant>
      <vt:variant>
        <vt:i4>5</vt:i4>
      </vt:variant>
      <vt:variant>
        <vt:lpwstr>mailto:william.wright@puc.state.oh.us</vt:lpwstr>
      </vt:variant>
      <vt:variant>
        <vt:lpwstr/>
      </vt:variant>
      <vt:variant>
        <vt:i4>7405588</vt:i4>
      </vt:variant>
      <vt:variant>
        <vt:i4>0</vt:i4>
      </vt:variant>
      <vt:variant>
        <vt:i4>0</vt:i4>
      </vt:variant>
      <vt:variant>
        <vt:i4>5</vt:i4>
      </vt:variant>
      <vt:variant>
        <vt:lpwstr>mailto:thomas.lindgren@puc.state.oh.us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Keeton, Kim</dc:creator>
  <cp:lastModifiedBy>Keeton, Kim</cp:lastModifiedBy>
  <cp:revision>4</cp:revision>
  <cp:lastPrinted>2013-05-16T14:48:00Z</cp:lastPrinted>
  <dcterms:created xsi:type="dcterms:W3CDTF">2013-05-16T14:41:00Z</dcterms:created>
  <dcterms:modified xsi:type="dcterms:W3CDTF">2013-05-16T14:48:00Z</dcterms:modified>
</cp:coreProperties>
</file>