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6F8" w:rsidRPr="00AC2AF3" w:rsidRDefault="004316F8" w:rsidP="004316F8">
      <w:pPr>
        <w:jc w:val="center"/>
        <w:rPr>
          <w:rFonts w:ascii="Times New Roman" w:hAnsi="Times New Roman" w:cs="Times New Roman"/>
        </w:rPr>
      </w:pPr>
      <w:r w:rsidRPr="00AC2AF3">
        <w:rPr>
          <w:rFonts w:ascii="Times New Roman" w:hAnsi="Times New Roman" w:cs="Times New Roman"/>
        </w:rPr>
        <w:t>BEFORE</w:t>
      </w:r>
    </w:p>
    <w:p w:rsidR="004316F8" w:rsidRDefault="004316F8" w:rsidP="004316F8">
      <w:pPr>
        <w:jc w:val="center"/>
        <w:rPr>
          <w:rFonts w:ascii="Times New Roman" w:hAnsi="Times New Roman" w:cs="Times New Roman"/>
        </w:rPr>
      </w:pPr>
      <w:r w:rsidRPr="00AC2AF3">
        <w:rPr>
          <w:rFonts w:ascii="Times New Roman" w:hAnsi="Times New Roman" w:cs="Times New Roman"/>
        </w:rPr>
        <w:t>THE PUBLIC UTILITIES COMMISSION OF OHIO</w:t>
      </w:r>
    </w:p>
    <w:p w:rsidR="004316F8" w:rsidRDefault="004316F8" w:rsidP="004316F8">
      <w:pPr>
        <w:jc w:val="center"/>
        <w:rPr>
          <w:rFonts w:ascii="Times New Roman" w:hAnsi="Times New Roman" w:cs="Times New Roman"/>
        </w:rPr>
      </w:pPr>
    </w:p>
    <w:p w:rsidR="004316F8" w:rsidRDefault="004316F8" w:rsidP="004316F8">
      <w:pPr>
        <w:rPr>
          <w:rFonts w:ascii="Times New Roman" w:hAnsi="Times New Roman" w:cs="Times New Roman"/>
        </w:rPr>
      </w:pPr>
      <w:r>
        <w:rPr>
          <w:rFonts w:ascii="Times New Roman" w:hAnsi="Times New Roman" w:cs="Times New Roman"/>
        </w:rPr>
        <w:t>AT&amp;T CORP.,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316F8" w:rsidRDefault="004316F8" w:rsidP="004316F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316F8" w:rsidRDefault="004316F8" w:rsidP="004316F8">
      <w:pPr>
        <w:rPr>
          <w:rFonts w:ascii="Times New Roman" w:hAnsi="Times New Roman" w:cs="Times New Roman"/>
        </w:rPr>
      </w:pPr>
      <w:r>
        <w:rPr>
          <w:rFonts w:ascii="Times New Roman" w:hAnsi="Times New Roman" w:cs="Times New Roman"/>
        </w:rPr>
        <w:tab/>
      </w:r>
      <w:r>
        <w:rPr>
          <w:rFonts w:ascii="Times New Roman" w:hAnsi="Times New Roman" w:cs="Times New Roman"/>
        </w:rPr>
        <w:tab/>
        <w:t>Complainant,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Case No. 16-1104-TP-CSS</w:t>
      </w:r>
    </w:p>
    <w:p w:rsidR="004316F8" w:rsidRDefault="004316F8" w:rsidP="004316F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316F8" w:rsidRDefault="004316F8" w:rsidP="004316F8">
      <w:pPr>
        <w:rPr>
          <w:rFonts w:ascii="Times New Roman" w:hAnsi="Times New Roman" w:cs="Times New Roman"/>
        </w:rPr>
      </w:pPr>
      <w:r>
        <w:rPr>
          <w:rFonts w:ascii="Times New Roman" w:hAnsi="Times New Roman" w:cs="Times New Roman"/>
        </w:rPr>
        <w:tab/>
        <w:t>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316F8" w:rsidRDefault="004316F8" w:rsidP="004316F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316F8" w:rsidRDefault="004316F8" w:rsidP="004316F8">
      <w:pPr>
        <w:rPr>
          <w:rFonts w:ascii="Times New Roman" w:hAnsi="Times New Roman" w:cs="Times New Roman"/>
        </w:rPr>
      </w:pPr>
      <w:r>
        <w:rPr>
          <w:rFonts w:ascii="Times New Roman" w:hAnsi="Times New Roman" w:cs="Times New Roman"/>
        </w:rPr>
        <w:t>TSC COMMUNICATIONS, INC.,</w:t>
      </w:r>
      <w:r>
        <w:rPr>
          <w:rFonts w:ascii="Times New Roman" w:hAnsi="Times New Roman" w:cs="Times New Roman"/>
        </w:rPr>
        <w:tab/>
      </w:r>
      <w:r>
        <w:rPr>
          <w:rFonts w:ascii="Times New Roman" w:hAnsi="Times New Roman" w:cs="Times New Roman"/>
        </w:rPr>
        <w:tab/>
        <w:t>)</w:t>
      </w:r>
    </w:p>
    <w:p w:rsidR="004316F8" w:rsidRDefault="004316F8" w:rsidP="004316F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316F8" w:rsidRDefault="004316F8" w:rsidP="004316F8">
      <w:pPr>
        <w:rPr>
          <w:rFonts w:ascii="Times New Roman" w:hAnsi="Times New Roman" w:cs="Times New Roman"/>
        </w:rPr>
      </w:pPr>
      <w:r>
        <w:rPr>
          <w:rFonts w:ascii="Times New Roman" w:hAnsi="Times New Roman" w:cs="Times New Roman"/>
        </w:rPr>
        <w:tab/>
      </w:r>
      <w:r>
        <w:rPr>
          <w:rFonts w:ascii="Times New Roman" w:hAnsi="Times New Roman" w:cs="Times New Roman"/>
        </w:rPr>
        <w:tab/>
        <w:t>Respondent.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316F8" w:rsidRDefault="004316F8" w:rsidP="004316F8">
      <w:pPr>
        <w:rPr>
          <w:rFonts w:ascii="Times New Roman" w:hAnsi="Times New Roman" w:cs="Times New Roman"/>
        </w:rPr>
      </w:pPr>
    </w:p>
    <w:p w:rsidR="004316F8" w:rsidRPr="00AC2AF3" w:rsidRDefault="004316F8" w:rsidP="004316F8">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E149DC">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316F8" w:rsidRDefault="004316F8" w:rsidP="004316F8">
      <w:pPr>
        <w:rPr>
          <w:rFonts w:ascii="Times New Roman" w:hAnsi="Times New Roman" w:cs="Times New Roman"/>
        </w:rPr>
      </w:pPr>
    </w:p>
    <w:p w:rsidR="00DD1E43" w:rsidRDefault="00DD1E43" w:rsidP="004316F8">
      <w:pPr>
        <w:jc w:val="center"/>
        <w:rPr>
          <w:rFonts w:ascii="Times New Roman" w:hAnsi="Times New Roman" w:cs="Times New Roman"/>
        </w:rPr>
      </w:pPr>
      <w:r>
        <w:rPr>
          <w:rFonts w:ascii="Times New Roman" w:hAnsi="Times New Roman" w:cs="Times New Roman"/>
        </w:rPr>
        <w:t xml:space="preserve">REPY MEMORANDUM IN SUPPORT OF </w:t>
      </w:r>
    </w:p>
    <w:p w:rsidR="005C2874" w:rsidRDefault="005C2874" w:rsidP="004316F8">
      <w:pPr>
        <w:jc w:val="center"/>
        <w:rPr>
          <w:rFonts w:ascii="Times New Roman" w:hAnsi="Times New Roman" w:cs="Times New Roman"/>
        </w:rPr>
      </w:pPr>
      <w:r w:rsidRPr="00AC2AF3">
        <w:rPr>
          <w:rFonts w:ascii="Times New Roman" w:hAnsi="Times New Roman" w:cs="Times New Roman"/>
        </w:rPr>
        <w:t>RESPONDENT TSC COMMUNICATIONS, INC.</w:t>
      </w:r>
      <w:r>
        <w:rPr>
          <w:rFonts w:ascii="Times New Roman" w:hAnsi="Times New Roman" w:cs="Times New Roman"/>
        </w:rPr>
        <w:t xml:space="preserve">’S </w:t>
      </w:r>
    </w:p>
    <w:p w:rsidR="004316F8" w:rsidRDefault="006439F2" w:rsidP="005C2874">
      <w:pPr>
        <w:jc w:val="center"/>
        <w:rPr>
          <w:rFonts w:ascii="Times New Roman" w:hAnsi="Times New Roman" w:cs="Times New Roman"/>
        </w:rPr>
      </w:pPr>
      <w:r>
        <w:rPr>
          <w:rFonts w:ascii="Times New Roman" w:hAnsi="Times New Roman" w:cs="Times New Roman"/>
        </w:rPr>
        <w:t>MOTION TO DISMISS</w:t>
      </w:r>
      <w:r w:rsidR="005C2874">
        <w:rPr>
          <w:rFonts w:ascii="Times New Roman" w:hAnsi="Times New Roman" w:cs="Times New Roman"/>
        </w:rPr>
        <w:t xml:space="preserve"> COMPLAINT</w:t>
      </w:r>
    </w:p>
    <w:p w:rsidR="004316F8" w:rsidRDefault="004316F8" w:rsidP="004316F8">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E149DC">
        <w:rPr>
          <w:rFonts w:ascii="Times New Roman" w:hAnsi="Times New Roman" w:cs="Times New Roman"/>
          <w:u w:val="single"/>
        </w:rPr>
        <w:tab/>
      </w:r>
      <w:r>
        <w:rPr>
          <w:rFonts w:ascii="Times New Roman" w:hAnsi="Times New Roman" w:cs="Times New Roman"/>
          <w:u w:val="single"/>
        </w:rPr>
        <w:tab/>
      </w:r>
    </w:p>
    <w:p w:rsidR="004316F8" w:rsidRPr="00AC2AF3" w:rsidRDefault="004316F8" w:rsidP="004316F8">
      <w:pPr>
        <w:rPr>
          <w:rFonts w:ascii="Times New Roman" w:hAnsi="Times New Roman" w:cs="Times New Roman"/>
          <w:u w:val="single"/>
        </w:rPr>
      </w:pPr>
    </w:p>
    <w:p w:rsidR="006B559E" w:rsidRDefault="004316F8" w:rsidP="006439F2">
      <w:pPr>
        <w:spacing w:line="480" w:lineRule="auto"/>
        <w:jc w:val="both"/>
        <w:rPr>
          <w:rFonts w:ascii="Times New Roman" w:hAnsi="Times New Roman" w:cs="Times New Roman"/>
        </w:rPr>
      </w:pPr>
      <w:r>
        <w:rPr>
          <w:rFonts w:ascii="Times New Roman" w:hAnsi="Times New Roman" w:cs="Times New Roman"/>
        </w:rPr>
        <w:tab/>
      </w:r>
      <w:r w:rsidR="00C3369F">
        <w:rPr>
          <w:rFonts w:ascii="Times New Roman" w:hAnsi="Times New Roman" w:cs="Times New Roman"/>
        </w:rPr>
        <w:t xml:space="preserve">Complainant </w:t>
      </w:r>
      <w:r w:rsidR="00DD1E43">
        <w:rPr>
          <w:rFonts w:ascii="Times New Roman" w:hAnsi="Times New Roman" w:cs="Times New Roman"/>
        </w:rPr>
        <w:t xml:space="preserve">AT&amp;T Corp.'s ("AT&amp;T") Response to Motion to Dismiss filed in this docket </w:t>
      </w:r>
      <w:r w:rsidR="00C3369F">
        <w:rPr>
          <w:rFonts w:ascii="Times New Roman" w:hAnsi="Times New Roman" w:cs="Times New Roman"/>
        </w:rPr>
        <w:t xml:space="preserve">on July 13, 2016 </w:t>
      </w:r>
      <w:r w:rsidR="00DD1E43">
        <w:rPr>
          <w:rFonts w:ascii="Times New Roman" w:hAnsi="Times New Roman" w:cs="Times New Roman"/>
        </w:rPr>
        <w:t>attempts to confuse the straight</w:t>
      </w:r>
      <w:r w:rsidR="00105A47">
        <w:rPr>
          <w:rFonts w:ascii="Times New Roman" w:hAnsi="Times New Roman" w:cs="Times New Roman"/>
        </w:rPr>
        <w:t>-</w:t>
      </w:r>
      <w:r w:rsidR="00E53DEB">
        <w:rPr>
          <w:rFonts w:ascii="Times New Roman" w:hAnsi="Times New Roman" w:cs="Times New Roman"/>
        </w:rPr>
        <w:t>forward position</w:t>
      </w:r>
      <w:r w:rsidR="00DD1E43">
        <w:rPr>
          <w:rFonts w:ascii="Times New Roman" w:hAnsi="Times New Roman" w:cs="Times New Roman"/>
        </w:rPr>
        <w:t xml:space="preserve"> raised in Respondent TSC Communications, Inc.'s ("TSCCI") Motion to Dismiss.  TSCCI made clear in its </w:t>
      </w:r>
      <w:r w:rsidR="007B26D6">
        <w:rPr>
          <w:rFonts w:ascii="Times New Roman" w:hAnsi="Times New Roman" w:cs="Times New Roman"/>
        </w:rPr>
        <w:t>M</w:t>
      </w:r>
      <w:r w:rsidR="00DD1E43">
        <w:rPr>
          <w:rFonts w:ascii="Times New Roman" w:hAnsi="Times New Roman" w:cs="Times New Roman"/>
        </w:rPr>
        <w:t xml:space="preserve">otion that it did not address the prospective application of AT&amp;T's claims.  (Motion </w:t>
      </w:r>
      <w:r w:rsidR="007B26D6">
        <w:rPr>
          <w:rFonts w:ascii="Times New Roman" w:hAnsi="Times New Roman" w:cs="Times New Roman"/>
        </w:rPr>
        <w:t xml:space="preserve">to Dismiss </w:t>
      </w:r>
      <w:r w:rsidR="00DD1E43">
        <w:rPr>
          <w:rFonts w:ascii="Times New Roman" w:hAnsi="Times New Roman" w:cs="Times New Roman"/>
        </w:rPr>
        <w:t>p. 4.)  TSCCI agrees with AT&amp;T</w:t>
      </w:r>
      <w:r w:rsidR="001513B6">
        <w:rPr>
          <w:rFonts w:ascii="Times New Roman" w:hAnsi="Times New Roman" w:cs="Times New Roman"/>
        </w:rPr>
        <w:t>’s</w:t>
      </w:r>
      <w:r w:rsidR="00DD1E43">
        <w:rPr>
          <w:rFonts w:ascii="Times New Roman" w:hAnsi="Times New Roman" w:cs="Times New Roman"/>
        </w:rPr>
        <w:t xml:space="preserve"> third argument </w:t>
      </w:r>
      <w:r w:rsidR="00105A47">
        <w:rPr>
          <w:rFonts w:ascii="Times New Roman" w:hAnsi="Times New Roman" w:cs="Times New Roman"/>
        </w:rPr>
        <w:t>(</w:t>
      </w:r>
      <w:r w:rsidR="001513B6">
        <w:rPr>
          <w:rFonts w:ascii="Times New Roman" w:hAnsi="Times New Roman" w:cs="Times New Roman"/>
        </w:rPr>
        <w:t xml:space="preserve">AT&amp;T </w:t>
      </w:r>
      <w:r w:rsidR="00105A47">
        <w:rPr>
          <w:rFonts w:ascii="Times New Roman" w:hAnsi="Times New Roman" w:cs="Times New Roman"/>
        </w:rPr>
        <w:t xml:space="preserve">Response p. 5) </w:t>
      </w:r>
      <w:r w:rsidR="00DD1E43">
        <w:rPr>
          <w:rFonts w:ascii="Times New Roman" w:hAnsi="Times New Roman" w:cs="Times New Roman"/>
        </w:rPr>
        <w:t>that the Complaint should proceed to determine whether TSCCI's current tariff should be revised on a prospective basis</w:t>
      </w:r>
      <w:r w:rsidR="006B559E">
        <w:rPr>
          <w:rFonts w:ascii="Times New Roman" w:hAnsi="Times New Roman" w:cs="Times New Roman"/>
        </w:rPr>
        <w:t xml:space="preserve"> only</w:t>
      </w:r>
      <w:r w:rsidR="00DD1E43">
        <w:rPr>
          <w:rFonts w:ascii="Times New Roman" w:hAnsi="Times New Roman" w:cs="Times New Roman"/>
        </w:rPr>
        <w:t>.  TSCCI</w:t>
      </w:r>
      <w:r w:rsidR="006207C3">
        <w:rPr>
          <w:rFonts w:ascii="Times New Roman" w:hAnsi="Times New Roman" w:cs="Times New Roman"/>
        </w:rPr>
        <w:t>'s position in this M</w:t>
      </w:r>
      <w:r w:rsidR="00DD1E43">
        <w:rPr>
          <w:rFonts w:ascii="Times New Roman" w:hAnsi="Times New Roman" w:cs="Times New Roman"/>
        </w:rPr>
        <w:t xml:space="preserve">otion </w:t>
      </w:r>
      <w:r w:rsidR="006207C3">
        <w:rPr>
          <w:rFonts w:ascii="Times New Roman" w:hAnsi="Times New Roman" w:cs="Times New Roman"/>
        </w:rPr>
        <w:t xml:space="preserve">to Dismiss </w:t>
      </w:r>
      <w:r w:rsidR="00DD1E43">
        <w:rPr>
          <w:rFonts w:ascii="Times New Roman" w:hAnsi="Times New Roman" w:cs="Times New Roman"/>
        </w:rPr>
        <w:t xml:space="preserve">is that the Public Utilities Commission of Ohio ("Commission") cannot order retroactive relief as a matter of law, which precludes </w:t>
      </w:r>
      <w:r w:rsidR="006B559E">
        <w:rPr>
          <w:rFonts w:ascii="Times New Roman" w:hAnsi="Times New Roman" w:cs="Times New Roman"/>
        </w:rPr>
        <w:t xml:space="preserve">the </w:t>
      </w:r>
      <w:r w:rsidR="00DD1E43">
        <w:rPr>
          <w:rFonts w:ascii="Times New Roman" w:hAnsi="Times New Roman" w:cs="Times New Roman"/>
        </w:rPr>
        <w:t xml:space="preserve">refunds that AT&amp;T seeks.  Ohio </w:t>
      </w:r>
      <w:r w:rsidR="00E53DEB">
        <w:rPr>
          <w:rFonts w:ascii="Times New Roman" w:hAnsi="Times New Roman" w:cs="Times New Roman"/>
        </w:rPr>
        <w:t xml:space="preserve">law </w:t>
      </w:r>
      <w:r w:rsidR="00DD1E43">
        <w:rPr>
          <w:rFonts w:ascii="Times New Roman" w:hAnsi="Times New Roman" w:cs="Times New Roman"/>
        </w:rPr>
        <w:t xml:space="preserve">prohibits retroactive changes to Commission-approved rates.  </w:t>
      </w:r>
      <w:r w:rsidR="00DD1E43">
        <w:rPr>
          <w:rFonts w:ascii="Times New Roman" w:hAnsi="Times New Roman" w:cs="Times New Roman"/>
          <w:i/>
        </w:rPr>
        <w:t>Keco Industries, Inc. v. The Cincinnati &amp; Suburban Bell Telephone Co.</w:t>
      </w:r>
      <w:r w:rsidR="00DD1E43">
        <w:rPr>
          <w:rFonts w:ascii="Times New Roman" w:hAnsi="Times New Roman" w:cs="Times New Roman"/>
        </w:rPr>
        <w:t xml:space="preserve">, 166 Ohio St. 254, 141 N.E.2d 465 (1957).  </w:t>
      </w:r>
    </w:p>
    <w:p w:rsidR="00584B2E" w:rsidRDefault="00DD1E43" w:rsidP="00790F4E">
      <w:pPr>
        <w:spacing w:line="480" w:lineRule="auto"/>
        <w:ind w:firstLine="720"/>
        <w:jc w:val="both"/>
        <w:rPr>
          <w:rFonts w:ascii="Times New Roman" w:hAnsi="Times New Roman" w:cs="Times New Roman"/>
        </w:rPr>
      </w:pPr>
      <w:r>
        <w:rPr>
          <w:rFonts w:ascii="Times New Roman" w:hAnsi="Times New Roman" w:cs="Times New Roman"/>
        </w:rPr>
        <w:t xml:space="preserve">TSCCI's rural CLEC </w:t>
      </w:r>
      <w:r w:rsidR="00CA40E6">
        <w:rPr>
          <w:rFonts w:ascii="Times New Roman" w:hAnsi="Times New Roman" w:cs="Times New Roman"/>
        </w:rPr>
        <w:t xml:space="preserve">intrastate </w:t>
      </w:r>
      <w:r>
        <w:rPr>
          <w:rFonts w:ascii="Times New Roman" w:hAnsi="Times New Roman" w:cs="Times New Roman"/>
        </w:rPr>
        <w:t>access rate was approved in Case No. 01-1348-TP-ATA (Finding and Orde</w:t>
      </w:r>
      <w:r w:rsidR="006B559E">
        <w:rPr>
          <w:rFonts w:ascii="Times New Roman" w:hAnsi="Times New Roman" w:cs="Times New Roman"/>
        </w:rPr>
        <w:t>r, November 29, 2001).  In that</w:t>
      </w:r>
      <w:r>
        <w:rPr>
          <w:rFonts w:ascii="Times New Roman" w:hAnsi="Times New Roman" w:cs="Times New Roman"/>
        </w:rPr>
        <w:t xml:space="preserve"> Finding and Order, the Commission specifically acknowledged that the Federal Communications Commission ("FCC") </w:t>
      </w:r>
      <w:r w:rsidR="00584B2E">
        <w:rPr>
          <w:rFonts w:ascii="Times New Roman" w:hAnsi="Times New Roman" w:cs="Times New Roman"/>
        </w:rPr>
        <w:t xml:space="preserve">in its </w:t>
      </w:r>
      <w:r w:rsidR="00E418BB">
        <w:rPr>
          <w:rFonts w:ascii="Times New Roman" w:hAnsi="Times New Roman" w:cs="Times New Roman"/>
        </w:rPr>
        <w:t xml:space="preserve">Seventh </w:t>
      </w:r>
      <w:r w:rsidR="00584B2E">
        <w:rPr>
          <w:rFonts w:ascii="Times New Roman" w:hAnsi="Times New Roman" w:cs="Times New Roman"/>
        </w:rPr>
        <w:t xml:space="preserve">Report and </w:t>
      </w:r>
      <w:r w:rsidR="00584B2E">
        <w:rPr>
          <w:rFonts w:ascii="Times New Roman" w:hAnsi="Times New Roman" w:cs="Times New Roman"/>
        </w:rPr>
        <w:lastRenderedPageBreak/>
        <w:t xml:space="preserve">Order released April 27, 2001, </w:t>
      </w:r>
      <w:r w:rsidR="00584B2E">
        <w:rPr>
          <w:rFonts w:ascii="Times New Roman" w:hAnsi="Times New Roman" w:cs="Times New Roman"/>
          <w:i/>
        </w:rPr>
        <w:t xml:space="preserve">In the Matter of Access Charge Reform, </w:t>
      </w:r>
      <w:r w:rsidR="00584B2E">
        <w:rPr>
          <w:rFonts w:ascii="Times New Roman" w:hAnsi="Times New Roman" w:cs="Times New Roman"/>
        </w:rPr>
        <w:t xml:space="preserve">CC Docket No. 96-262, "determined that qualifying rural CLECs may tariff rates at the level of those in the NECA access tariff …."  </w:t>
      </w:r>
      <w:r w:rsidR="00F43526">
        <w:rPr>
          <w:rFonts w:ascii="Times New Roman" w:hAnsi="Times New Roman" w:cs="Times New Roman"/>
        </w:rPr>
        <w:t>(</w:t>
      </w:r>
      <w:r w:rsidR="00C7387A">
        <w:rPr>
          <w:rFonts w:ascii="Times New Roman" w:hAnsi="Times New Roman" w:cs="Times New Roman"/>
        </w:rPr>
        <w:t>Finding and Order</w:t>
      </w:r>
      <w:r w:rsidR="00584B2E">
        <w:rPr>
          <w:rFonts w:ascii="Times New Roman" w:hAnsi="Times New Roman" w:cs="Times New Roman"/>
        </w:rPr>
        <w:t xml:space="preserve"> ¶ 2</w:t>
      </w:r>
      <w:r w:rsidR="00790F4E">
        <w:rPr>
          <w:rFonts w:ascii="Times New Roman" w:hAnsi="Times New Roman" w:cs="Times New Roman"/>
        </w:rPr>
        <w:t>.</w:t>
      </w:r>
      <w:r w:rsidR="00F43526">
        <w:rPr>
          <w:rFonts w:ascii="Times New Roman" w:hAnsi="Times New Roman" w:cs="Times New Roman"/>
        </w:rPr>
        <w:t>)</w:t>
      </w:r>
      <w:r w:rsidR="00584B2E">
        <w:rPr>
          <w:rFonts w:ascii="Times New Roman" w:hAnsi="Times New Roman" w:cs="Times New Roman"/>
        </w:rPr>
        <w:t xml:space="preserve">  The Commission authorized TSCCI to adopt, "the FCC's interstate benchmarks for rural CLECs …"</w:t>
      </w:r>
      <w:r w:rsidR="00790F4E">
        <w:rPr>
          <w:rFonts w:ascii="Times New Roman" w:hAnsi="Times New Roman" w:cs="Times New Roman"/>
        </w:rPr>
        <w:t>, which were and are the NECA rates.</w:t>
      </w:r>
      <w:r w:rsidR="00584B2E">
        <w:rPr>
          <w:rFonts w:ascii="Times New Roman" w:hAnsi="Times New Roman" w:cs="Times New Roman"/>
        </w:rPr>
        <w:t xml:space="preserve">  </w:t>
      </w:r>
      <w:r w:rsidR="00790F4E">
        <w:rPr>
          <w:rFonts w:ascii="Times New Roman" w:hAnsi="Times New Roman" w:cs="Times New Roman"/>
        </w:rPr>
        <w:t xml:space="preserve">(Finding and Order ¶ 7.)  </w:t>
      </w:r>
      <w:r w:rsidR="00584B2E">
        <w:rPr>
          <w:rFonts w:ascii="Times New Roman" w:hAnsi="Times New Roman" w:cs="Times New Roman"/>
        </w:rPr>
        <w:t xml:space="preserve">The </w:t>
      </w:r>
      <w:r w:rsidR="00790F4E">
        <w:rPr>
          <w:rFonts w:ascii="Times New Roman" w:hAnsi="Times New Roman" w:cs="Times New Roman"/>
        </w:rPr>
        <w:t xml:space="preserve">final approved </w:t>
      </w:r>
      <w:r w:rsidR="00584B2E">
        <w:rPr>
          <w:rFonts w:ascii="Times New Roman" w:hAnsi="Times New Roman" w:cs="Times New Roman"/>
        </w:rPr>
        <w:t>tariff language which was filed the day after the Finding and Order was issued is the exact same language which had been filed with the Commission on November 6, 2001</w:t>
      </w:r>
      <w:r w:rsidR="00E53DEB">
        <w:rPr>
          <w:rFonts w:ascii="Times New Roman" w:hAnsi="Times New Roman" w:cs="Times New Roman"/>
        </w:rPr>
        <w:t xml:space="preserve"> and approved in the Finding and Order</w:t>
      </w:r>
      <w:r w:rsidR="00584B2E">
        <w:rPr>
          <w:rFonts w:ascii="Times New Roman" w:hAnsi="Times New Roman" w:cs="Times New Roman"/>
        </w:rPr>
        <w:t>.</w:t>
      </w:r>
      <w:r w:rsidR="00790F4E">
        <w:rPr>
          <w:rFonts w:ascii="Times New Roman" w:hAnsi="Times New Roman" w:cs="Times New Roman"/>
        </w:rPr>
        <w:t xml:space="preserve">  </w:t>
      </w:r>
      <w:r w:rsidR="00584B2E">
        <w:rPr>
          <w:rFonts w:ascii="Times New Roman" w:hAnsi="Times New Roman" w:cs="Times New Roman"/>
        </w:rPr>
        <w:t xml:space="preserve">In other words, the Commission </w:t>
      </w:r>
      <w:r w:rsidR="003F71A7">
        <w:rPr>
          <w:rFonts w:ascii="Times New Roman" w:hAnsi="Times New Roman" w:cs="Times New Roman"/>
        </w:rPr>
        <w:t xml:space="preserve">expressly </w:t>
      </w:r>
      <w:r w:rsidR="00584B2E">
        <w:rPr>
          <w:rFonts w:ascii="Times New Roman" w:hAnsi="Times New Roman" w:cs="Times New Roman"/>
        </w:rPr>
        <w:t xml:space="preserve">authorized TSCCI, as a rural CLEC, to charge NECA access rates on an intrastate basis.  </w:t>
      </w:r>
      <w:r w:rsidR="009A4B7F">
        <w:rPr>
          <w:rFonts w:ascii="Times New Roman" w:hAnsi="Times New Roman" w:cs="Times New Roman"/>
        </w:rPr>
        <w:t xml:space="preserve">  </w:t>
      </w:r>
    </w:p>
    <w:p w:rsidR="009A4B7F" w:rsidRDefault="009A4B7F" w:rsidP="006439F2">
      <w:pPr>
        <w:spacing w:line="480" w:lineRule="auto"/>
        <w:jc w:val="both"/>
        <w:rPr>
          <w:rFonts w:ascii="Times New Roman" w:hAnsi="Times New Roman" w:cs="Times New Roman"/>
        </w:rPr>
      </w:pPr>
      <w:r>
        <w:rPr>
          <w:rFonts w:ascii="Times New Roman" w:hAnsi="Times New Roman" w:cs="Times New Roman"/>
        </w:rPr>
        <w:tab/>
        <w:t>AT&amp;T's Complaint specifically pleaded that TSCCI has been charging NECA rates for intrastate switched access since at least January 1, 2009, which TSCCI admitted in its Answer.  (Complaint ¶ 33; Answer and Counterclaim ¶ 14.)  The NECA rate</w:t>
      </w:r>
      <w:r w:rsidR="00CE5313">
        <w:rPr>
          <w:rFonts w:ascii="Times New Roman" w:hAnsi="Times New Roman" w:cs="Times New Roman"/>
        </w:rPr>
        <w:t>s always have</w:t>
      </w:r>
      <w:r>
        <w:rPr>
          <w:rFonts w:ascii="Times New Roman" w:hAnsi="Times New Roman" w:cs="Times New Roman"/>
        </w:rPr>
        <w:t xml:space="preserve"> been readily determined in the FCC tariff and simply ha</w:t>
      </w:r>
      <w:r w:rsidR="00CE5313">
        <w:rPr>
          <w:rFonts w:ascii="Times New Roman" w:hAnsi="Times New Roman" w:cs="Times New Roman"/>
        </w:rPr>
        <w:t>ve</w:t>
      </w:r>
      <w:r>
        <w:rPr>
          <w:rFonts w:ascii="Times New Roman" w:hAnsi="Times New Roman" w:cs="Times New Roman"/>
        </w:rPr>
        <w:t xml:space="preserve"> been incorporated by reference into TSCCI's intrastate tariff </w:t>
      </w:r>
      <w:r w:rsidR="00EB43EC">
        <w:rPr>
          <w:rFonts w:ascii="Times New Roman" w:hAnsi="Times New Roman" w:cs="Times New Roman"/>
        </w:rPr>
        <w:t>through</w:t>
      </w:r>
      <w:r>
        <w:rPr>
          <w:rFonts w:ascii="Times New Roman" w:hAnsi="Times New Roman" w:cs="Times New Roman"/>
        </w:rPr>
        <w:t xml:space="preserve"> the language approved by the Commission in Case No. 01-1348-TP-ATA.  </w:t>
      </w:r>
    </w:p>
    <w:p w:rsidR="009A4B7F" w:rsidRDefault="009A4B7F" w:rsidP="006439F2">
      <w:pPr>
        <w:spacing w:line="480" w:lineRule="auto"/>
        <w:jc w:val="both"/>
        <w:rPr>
          <w:rFonts w:ascii="Times New Roman" w:hAnsi="Times New Roman" w:cs="Times New Roman"/>
        </w:rPr>
      </w:pPr>
      <w:r>
        <w:rPr>
          <w:rFonts w:ascii="Times New Roman" w:hAnsi="Times New Roman" w:cs="Times New Roman"/>
        </w:rPr>
        <w:tab/>
      </w:r>
      <w:r w:rsidR="00F277DA">
        <w:rPr>
          <w:rFonts w:ascii="Times New Roman" w:hAnsi="Times New Roman" w:cs="Times New Roman"/>
        </w:rPr>
        <w:t xml:space="preserve">Given this, </w:t>
      </w:r>
      <w:r w:rsidR="007B3DED">
        <w:rPr>
          <w:rFonts w:ascii="Times New Roman" w:hAnsi="Times New Roman" w:cs="Times New Roman"/>
        </w:rPr>
        <w:t xml:space="preserve">TSCCI </w:t>
      </w:r>
      <w:r w:rsidR="00F277DA">
        <w:rPr>
          <w:rFonts w:ascii="Times New Roman" w:hAnsi="Times New Roman" w:cs="Times New Roman"/>
        </w:rPr>
        <w:t>must charge AT&amp;T the Commission-approved NECA intrastate access rate</w:t>
      </w:r>
      <w:r w:rsidR="006207C3">
        <w:rPr>
          <w:rFonts w:ascii="Times New Roman" w:hAnsi="Times New Roman" w:cs="Times New Roman"/>
        </w:rPr>
        <w:t>s</w:t>
      </w:r>
      <w:r w:rsidR="007B3DED">
        <w:rPr>
          <w:rFonts w:ascii="Times New Roman" w:hAnsi="Times New Roman" w:cs="Times New Roman"/>
        </w:rPr>
        <w:t>:</w:t>
      </w:r>
    </w:p>
    <w:p w:rsidR="007B3DED" w:rsidRDefault="007B3DED" w:rsidP="000D0B73">
      <w:pPr>
        <w:tabs>
          <w:tab w:val="left" w:pos="7920"/>
        </w:tabs>
        <w:ind w:left="1440" w:right="1440"/>
        <w:jc w:val="both"/>
        <w:rPr>
          <w:rFonts w:ascii="Times New Roman" w:hAnsi="Times New Roman" w:cs="Times New Roman"/>
        </w:rPr>
      </w:pPr>
      <w:r>
        <w:rPr>
          <w:rFonts w:ascii="Times New Roman" w:hAnsi="Times New Roman" w:cs="Times New Roman"/>
        </w:rPr>
        <w:t xml:space="preserve">Pursuant to R.C. 4909.17, a utility may not increase, decrease, or change its tariff rates without commission approval.  A utility may seek commission approval to change its rates by filing an application under R.C. 4909.18.  If the application seeks a rate decrease, the commission may, if it finds the decrease reasonable, approve the decrease without a hearing.  However, while a rate is in effect, </w:t>
      </w:r>
      <w:r w:rsidRPr="004226DB">
        <w:rPr>
          <w:rFonts w:ascii="Times New Roman" w:hAnsi="Times New Roman" w:cs="Times New Roman"/>
          <w:b/>
          <w:i/>
        </w:rPr>
        <w:t xml:space="preserve">a public utility </w:t>
      </w:r>
      <w:r w:rsidR="00B02F29" w:rsidRPr="004226DB">
        <w:rPr>
          <w:rFonts w:ascii="Times New Roman" w:hAnsi="Times New Roman" w:cs="Times New Roman"/>
          <w:b/>
          <w:i/>
        </w:rPr>
        <w:t>must charge its consumers in accordance with the commission-approved rate schedule</w:t>
      </w:r>
      <w:r w:rsidR="00B02F29">
        <w:rPr>
          <w:rFonts w:ascii="Times New Roman" w:hAnsi="Times New Roman" w:cs="Times New Roman"/>
        </w:rPr>
        <w:t>.  R.C. 4905.32.</w:t>
      </w:r>
    </w:p>
    <w:p w:rsidR="00B02F29" w:rsidRDefault="00B02F29" w:rsidP="000D0B73">
      <w:pPr>
        <w:tabs>
          <w:tab w:val="left" w:pos="7920"/>
        </w:tabs>
        <w:ind w:left="1440" w:right="1440"/>
        <w:jc w:val="both"/>
        <w:rPr>
          <w:rFonts w:ascii="Times New Roman" w:hAnsi="Times New Roman" w:cs="Times New Roman"/>
        </w:rPr>
      </w:pPr>
    </w:p>
    <w:p w:rsidR="00B02F29" w:rsidRDefault="00B02F29" w:rsidP="000D0B73">
      <w:pPr>
        <w:tabs>
          <w:tab w:val="left" w:pos="7920"/>
        </w:tabs>
        <w:ind w:left="1440" w:right="1440"/>
        <w:jc w:val="both"/>
        <w:rPr>
          <w:rFonts w:ascii="Times New Roman" w:hAnsi="Times New Roman" w:cs="Times New Roman"/>
        </w:rPr>
      </w:pPr>
      <w:r>
        <w:rPr>
          <w:rFonts w:ascii="Times New Roman" w:hAnsi="Times New Roman" w:cs="Times New Roman"/>
        </w:rPr>
        <w:t xml:space="preserve">Pursuant to R.C. 4905.26 and 4909.15(D), the commission may conduct an investigation and hearing, and fix new rates to be substituted for existing rates, if it determines that the rates charged by a utility are unjust or unreasonable.  </w:t>
      </w:r>
      <w:r w:rsidRPr="004226DB">
        <w:rPr>
          <w:rFonts w:ascii="Times New Roman" w:hAnsi="Times New Roman" w:cs="Times New Roman"/>
          <w:b/>
          <w:i/>
        </w:rPr>
        <w:t>The substitution has prospective effect only</w:t>
      </w:r>
      <w:r>
        <w:rPr>
          <w:rFonts w:ascii="Times New Roman" w:hAnsi="Times New Roman" w:cs="Times New Roman"/>
        </w:rPr>
        <w:t xml:space="preserve">.  </w:t>
      </w:r>
    </w:p>
    <w:p w:rsidR="00B02F29" w:rsidRDefault="00B02F29" w:rsidP="007B3DED">
      <w:pPr>
        <w:ind w:left="1440" w:right="994"/>
        <w:jc w:val="both"/>
        <w:rPr>
          <w:rFonts w:ascii="Times New Roman" w:hAnsi="Times New Roman" w:cs="Times New Roman"/>
        </w:rPr>
      </w:pPr>
    </w:p>
    <w:p w:rsidR="00B02F29" w:rsidRDefault="00B02F29" w:rsidP="003F71A7">
      <w:pPr>
        <w:widowControl/>
        <w:spacing w:line="480" w:lineRule="auto"/>
        <w:jc w:val="both"/>
        <w:rPr>
          <w:rFonts w:ascii="Times New Roman" w:hAnsi="Times New Roman" w:cs="Times New Roman"/>
        </w:rPr>
      </w:pPr>
      <w:r>
        <w:rPr>
          <w:rFonts w:ascii="Times New Roman" w:hAnsi="Times New Roman" w:cs="Times New Roman"/>
          <w:i/>
        </w:rPr>
        <w:lastRenderedPageBreak/>
        <w:t>Lucas County Commissioners v. Public Utilities Commission of Ohio</w:t>
      </w:r>
      <w:r>
        <w:rPr>
          <w:rFonts w:ascii="Times New Roman" w:hAnsi="Times New Roman" w:cs="Times New Roman"/>
        </w:rPr>
        <w:t>, 80 Ohio St.3d 344, 347, 686 N.E.2d 501 (1997)</w:t>
      </w:r>
      <w:r w:rsidR="008868E9">
        <w:rPr>
          <w:rFonts w:ascii="Times New Roman" w:hAnsi="Times New Roman" w:cs="Times New Roman"/>
        </w:rPr>
        <w:t xml:space="preserve"> (</w:t>
      </w:r>
      <w:r w:rsidR="004226DB">
        <w:rPr>
          <w:rFonts w:ascii="Times New Roman" w:hAnsi="Times New Roman" w:cs="Times New Roman"/>
        </w:rPr>
        <w:t xml:space="preserve">emphasis added; </w:t>
      </w:r>
      <w:r w:rsidR="008868E9">
        <w:rPr>
          <w:rFonts w:ascii="Times New Roman" w:hAnsi="Times New Roman" w:cs="Times New Roman"/>
        </w:rPr>
        <w:t>citations omitted)</w:t>
      </w:r>
      <w:r>
        <w:rPr>
          <w:rFonts w:ascii="Times New Roman" w:hAnsi="Times New Roman" w:cs="Times New Roman"/>
        </w:rPr>
        <w:t xml:space="preserve">.  </w:t>
      </w:r>
      <w:r w:rsidR="003B72D2">
        <w:rPr>
          <w:rFonts w:ascii="Times New Roman" w:hAnsi="Times New Roman" w:cs="Times New Roman"/>
        </w:rPr>
        <w:t xml:space="preserve">This is true even if it the rate is reversed on appeal and results in a windfall.  </w:t>
      </w:r>
      <w:r w:rsidR="003B72D2" w:rsidRPr="003B72D2">
        <w:rPr>
          <w:rFonts w:ascii="Times New Roman" w:hAnsi="Times New Roman" w:cs="Times New Roman"/>
          <w:i/>
          <w:iCs/>
        </w:rPr>
        <w:t>In re Application of Columbus Southern Power Co</w:t>
      </w:r>
      <w:r w:rsidR="003B72D2" w:rsidRPr="003B72D2">
        <w:rPr>
          <w:rFonts w:ascii="Times New Roman" w:hAnsi="Times New Roman" w:cs="Times New Roman"/>
        </w:rPr>
        <w:t xml:space="preserve"> v. </w:t>
      </w:r>
      <w:r w:rsidR="003B72D2" w:rsidRPr="003B72D2">
        <w:rPr>
          <w:rFonts w:ascii="Times New Roman" w:hAnsi="Times New Roman" w:cs="Times New Roman"/>
          <w:i/>
          <w:iCs/>
        </w:rPr>
        <w:t>Public Utilities Commission of Ohio</w:t>
      </w:r>
      <w:r w:rsidR="003B72D2" w:rsidRPr="003B72D2">
        <w:rPr>
          <w:rFonts w:ascii="Times New Roman" w:hAnsi="Times New Roman" w:cs="Times New Roman"/>
        </w:rPr>
        <w:t xml:space="preserve">, 138 Ohio St.3d 863, 8 N.E.3d 863 (2014) (under </w:t>
      </w:r>
      <w:r w:rsidR="003B72D2" w:rsidRPr="003B72D2">
        <w:rPr>
          <w:rFonts w:ascii="Times New Roman" w:hAnsi="Times New Roman" w:cs="Times New Roman"/>
          <w:i/>
          <w:iCs/>
        </w:rPr>
        <w:t>Keco</w:t>
      </w:r>
      <w:r w:rsidR="003B72D2" w:rsidRPr="003B72D2">
        <w:rPr>
          <w:rFonts w:ascii="Times New Roman" w:hAnsi="Times New Roman" w:cs="Times New Roman"/>
        </w:rPr>
        <w:t xml:space="preserve"> American Electric Power was allowed to keep $368 million even though resulting in a windfall)</w:t>
      </w:r>
      <w:r w:rsidR="003B72D2">
        <w:rPr>
          <w:rFonts w:ascii="Times New Roman" w:hAnsi="Times New Roman" w:cs="Times New Roman"/>
        </w:rPr>
        <w:t xml:space="preserve">.  </w:t>
      </w:r>
      <w:r>
        <w:rPr>
          <w:rFonts w:ascii="Times New Roman" w:hAnsi="Times New Roman" w:cs="Times New Roman"/>
        </w:rPr>
        <w:t>If a new rate is set by a complaint case, like the present, the new rate has prospective application only.  The Commission consistently applies this binding precedent, as recently as June 15, 2016</w:t>
      </w:r>
      <w:r w:rsidR="008C676A">
        <w:rPr>
          <w:rFonts w:ascii="Times New Roman" w:hAnsi="Times New Roman" w:cs="Times New Roman"/>
        </w:rPr>
        <w:t xml:space="preserve">. </w:t>
      </w:r>
      <w:r w:rsidR="00D60A56">
        <w:rPr>
          <w:rFonts w:ascii="Times New Roman" w:hAnsi="Times New Roman" w:cs="Times New Roman"/>
        </w:rPr>
        <w:t xml:space="preserve"> </w:t>
      </w:r>
      <w:r w:rsidR="00B30174">
        <w:rPr>
          <w:rFonts w:ascii="Times New Roman" w:hAnsi="Times New Roman" w:cs="Times New Roman"/>
          <w:i/>
        </w:rPr>
        <w:t>In the Matter of the Complaint of Orwell Natural Gas Co. v. Orwell-Trumbull Pipeline Co., LLC</w:t>
      </w:r>
      <w:r w:rsidR="00B30174">
        <w:rPr>
          <w:rFonts w:ascii="Times New Roman" w:hAnsi="Times New Roman" w:cs="Times New Roman"/>
        </w:rPr>
        <w:t>, PUCO Case Nos. 14-1654-GA-CSS, 15-637-GA-CSS (Opinion and Order, June 15, 2016</w:t>
      </w:r>
      <w:r w:rsidR="006207C3">
        <w:rPr>
          <w:rFonts w:ascii="Times New Roman" w:hAnsi="Times New Roman" w:cs="Times New Roman"/>
        </w:rPr>
        <w:t>)</w:t>
      </w:r>
      <w:r w:rsidR="00D60A56">
        <w:rPr>
          <w:rFonts w:ascii="Times New Roman" w:hAnsi="Times New Roman" w:cs="Times New Roman"/>
        </w:rPr>
        <w:t xml:space="preserve"> at</w:t>
      </w:r>
      <w:r w:rsidR="00B30174">
        <w:rPr>
          <w:rFonts w:ascii="Times New Roman" w:hAnsi="Times New Roman" w:cs="Times New Roman"/>
        </w:rPr>
        <w:t xml:space="preserve"> ¶ 102.  </w:t>
      </w:r>
    </w:p>
    <w:p w:rsidR="00B30174" w:rsidRDefault="00B30174" w:rsidP="00B30174">
      <w:pPr>
        <w:spacing w:line="480" w:lineRule="auto"/>
        <w:jc w:val="both"/>
        <w:rPr>
          <w:rFonts w:ascii="Times New Roman" w:hAnsi="Times New Roman" w:cs="Times New Roman"/>
        </w:rPr>
      </w:pPr>
      <w:r>
        <w:rPr>
          <w:rFonts w:ascii="Times New Roman" w:hAnsi="Times New Roman" w:cs="Times New Roman"/>
        </w:rPr>
        <w:tab/>
        <w:t xml:space="preserve">Because "retroactive ratemaking is not permitted under Ohio's comprehensive statutory scheme" </w:t>
      </w:r>
      <w:r w:rsidR="006148BE">
        <w:rPr>
          <w:rFonts w:ascii="Times New Roman" w:hAnsi="Times New Roman" w:cs="Times New Roman"/>
        </w:rPr>
        <w:t>(</w:t>
      </w:r>
      <w:r w:rsidR="006148BE">
        <w:rPr>
          <w:rFonts w:ascii="Times New Roman" w:hAnsi="Times New Roman" w:cs="Times New Roman"/>
          <w:i/>
        </w:rPr>
        <w:t xml:space="preserve">Lucas County Commissioners, </w:t>
      </w:r>
      <w:r w:rsidR="006148BE">
        <w:rPr>
          <w:rFonts w:ascii="Times New Roman" w:hAnsi="Times New Roman" w:cs="Times New Roman"/>
        </w:rPr>
        <w:t xml:space="preserve">80 Ohio St.3d at 348), </w:t>
      </w:r>
      <w:r>
        <w:rPr>
          <w:rFonts w:ascii="Times New Roman" w:hAnsi="Times New Roman" w:cs="Times New Roman"/>
        </w:rPr>
        <w:t>the Commission</w:t>
      </w:r>
      <w:r w:rsidR="006207C3">
        <w:rPr>
          <w:rFonts w:ascii="Times New Roman" w:hAnsi="Times New Roman" w:cs="Times New Roman"/>
        </w:rPr>
        <w:t xml:space="preserve"> </w:t>
      </w:r>
      <w:r>
        <w:rPr>
          <w:rFonts w:ascii="Times New Roman" w:hAnsi="Times New Roman" w:cs="Times New Roman"/>
        </w:rPr>
        <w:t>may not grant AT&amp;T</w:t>
      </w:r>
      <w:r w:rsidR="003F71A7">
        <w:rPr>
          <w:rFonts w:ascii="Times New Roman" w:hAnsi="Times New Roman" w:cs="Times New Roman"/>
        </w:rPr>
        <w:t>’s</w:t>
      </w:r>
      <w:r>
        <w:rPr>
          <w:rFonts w:ascii="Times New Roman" w:hAnsi="Times New Roman" w:cs="Times New Roman"/>
        </w:rPr>
        <w:t xml:space="preserve"> refund</w:t>
      </w:r>
      <w:r w:rsidR="00AD07CA">
        <w:rPr>
          <w:rFonts w:ascii="Times New Roman" w:hAnsi="Times New Roman" w:cs="Times New Roman"/>
        </w:rPr>
        <w:t xml:space="preserve"> request</w:t>
      </w:r>
      <w:r>
        <w:rPr>
          <w:rFonts w:ascii="Times New Roman" w:hAnsi="Times New Roman" w:cs="Times New Roman"/>
        </w:rPr>
        <w:t xml:space="preserve"> as a matter of law.  If AT&amp;T wanted </w:t>
      </w:r>
      <w:r w:rsidR="006618C6">
        <w:rPr>
          <w:rFonts w:ascii="Times New Roman" w:hAnsi="Times New Roman" w:cs="Times New Roman"/>
        </w:rPr>
        <w:t xml:space="preserve">to seek </w:t>
      </w:r>
      <w:r w:rsidR="00DB6AC6">
        <w:rPr>
          <w:rFonts w:ascii="Times New Roman" w:hAnsi="Times New Roman" w:cs="Times New Roman"/>
        </w:rPr>
        <w:t xml:space="preserve">earlier </w:t>
      </w:r>
      <w:r>
        <w:rPr>
          <w:rFonts w:ascii="Times New Roman" w:hAnsi="Times New Roman" w:cs="Times New Roman"/>
        </w:rPr>
        <w:t xml:space="preserve">relief from TSCCI's Commission-approved tariff rate, it </w:t>
      </w:r>
      <w:r w:rsidR="00F72866">
        <w:rPr>
          <w:rFonts w:ascii="Times New Roman" w:hAnsi="Times New Roman" w:cs="Times New Roman"/>
        </w:rPr>
        <w:t>c</w:t>
      </w:r>
      <w:r>
        <w:rPr>
          <w:rFonts w:ascii="Times New Roman" w:hAnsi="Times New Roman" w:cs="Times New Roman"/>
        </w:rPr>
        <w:t xml:space="preserve">ould have filed </w:t>
      </w:r>
      <w:r w:rsidR="00F72866">
        <w:rPr>
          <w:rFonts w:ascii="Times New Roman" w:hAnsi="Times New Roman" w:cs="Times New Roman"/>
        </w:rPr>
        <w:t>a complaint case long ago</w:t>
      </w:r>
      <w:r>
        <w:rPr>
          <w:rFonts w:ascii="Times New Roman" w:hAnsi="Times New Roman" w:cs="Times New Roman"/>
        </w:rPr>
        <w:t xml:space="preserve">, rather than waiting over seven years to </w:t>
      </w:r>
      <w:r w:rsidR="00F72866">
        <w:rPr>
          <w:rFonts w:ascii="Times New Roman" w:hAnsi="Times New Roman" w:cs="Times New Roman"/>
        </w:rPr>
        <w:t>seek relief</w:t>
      </w:r>
      <w:r>
        <w:rPr>
          <w:rFonts w:ascii="Times New Roman" w:hAnsi="Times New Roman" w:cs="Times New Roman"/>
        </w:rPr>
        <w:t xml:space="preserve">.  </w:t>
      </w:r>
    </w:p>
    <w:p w:rsidR="00B30174" w:rsidRDefault="00B30174" w:rsidP="00287BBF">
      <w:pPr>
        <w:widowControl/>
        <w:spacing w:line="480" w:lineRule="auto"/>
        <w:jc w:val="both"/>
        <w:rPr>
          <w:rFonts w:ascii="Times New Roman" w:hAnsi="Times New Roman" w:cs="Times New Roman"/>
        </w:rPr>
      </w:pPr>
      <w:r>
        <w:rPr>
          <w:rFonts w:ascii="Times New Roman" w:hAnsi="Times New Roman" w:cs="Times New Roman"/>
        </w:rPr>
        <w:tab/>
        <w:t>Moreover, the weakness of AT&amp;T's posit</w:t>
      </w:r>
      <w:r w:rsidR="007E32B1">
        <w:rPr>
          <w:rFonts w:ascii="Times New Roman" w:hAnsi="Times New Roman" w:cs="Times New Roman"/>
        </w:rPr>
        <w:t>ion is underscored by its rel</w:t>
      </w:r>
      <w:r w:rsidR="00936EE2">
        <w:rPr>
          <w:rFonts w:ascii="Times New Roman" w:hAnsi="Times New Roman" w:cs="Times New Roman"/>
        </w:rPr>
        <w:t>iance</w:t>
      </w:r>
      <w:r w:rsidR="007E32B1">
        <w:rPr>
          <w:rFonts w:ascii="Times New Roman" w:hAnsi="Times New Roman" w:cs="Times New Roman"/>
        </w:rPr>
        <w:t xml:space="preserve"> on</w:t>
      </w:r>
      <w:r>
        <w:rPr>
          <w:rFonts w:ascii="Times New Roman" w:hAnsi="Times New Roman" w:cs="Times New Roman"/>
        </w:rPr>
        <w:t xml:space="preserve"> an FCC decisi</w:t>
      </w:r>
      <w:r w:rsidR="006207C3">
        <w:rPr>
          <w:rFonts w:ascii="Times New Roman" w:hAnsi="Times New Roman" w:cs="Times New Roman"/>
        </w:rPr>
        <w:t>on applying federal law in its R</w:t>
      </w:r>
      <w:r>
        <w:rPr>
          <w:rFonts w:ascii="Times New Roman" w:hAnsi="Times New Roman" w:cs="Times New Roman"/>
        </w:rPr>
        <w:t>esponse.  (</w:t>
      </w:r>
      <w:r w:rsidR="008C676A">
        <w:rPr>
          <w:rFonts w:ascii="Times New Roman" w:hAnsi="Times New Roman" w:cs="Times New Roman"/>
        </w:rPr>
        <w:t xml:space="preserve">AT&amp;T </w:t>
      </w:r>
      <w:r>
        <w:rPr>
          <w:rFonts w:ascii="Times New Roman" w:hAnsi="Times New Roman" w:cs="Times New Roman"/>
        </w:rPr>
        <w:t xml:space="preserve">Response p. 8.)  How the FCC applies federal law with respect to retroactive ratemaking has no bearing on this Commission.  This Commission is bound by Ohio statutes as interpreted by the Supreme Court of Ohio, which prohibit retroactive ratemaking and require prospective-only application of rate changes approved by the Commission.  AT&amp;T's interstate </w:t>
      </w:r>
      <w:r w:rsidR="000F50A7">
        <w:rPr>
          <w:rFonts w:ascii="Times New Roman" w:hAnsi="Times New Roman" w:cs="Times New Roman"/>
        </w:rPr>
        <w:t xml:space="preserve">access claims </w:t>
      </w:r>
      <w:r w:rsidR="007E6070">
        <w:rPr>
          <w:rFonts w:ascii="Times New Roman" w:hAnsi="Times New Roman" w:cs="Times New Roman"/>
        </w:rPr>
        <w:t>will be adjudicated</w:t>
      </w:r>
      <w:r w:rsidR="000F50A7">
        <w:rPr>
          <w:rFonts w:ascii="Times New Roman" w:hAnsi="Times New Roman" w:cs="Times New Roman"/>
        </w:rPr>
        <w:t xml:space="preserve"> </w:t>
      </w:r>
      <w:r>
        <w:rPr>
          <w:rFonts w:ascii="Times New Roman" w:hAnsi="Times New Roman" w:cs="Times New Roman"/>
        </w:rPr>
        <w:t xml:space="preserve">in </w:t>
      </w:r>
      <w:r w:rsidR="007E32B1">
        <w:rPr>
          <w:rFonts w:ascii="Times New Roman" w:hAnsi="Times New Roman" w:cs="Times New Roman"/>
        </w:rPr>
        <w:t xml:space="preserve">federal court </w:t>
      </w:r>
      <w:r w:rsidR="003F71A7">
        <w:rPr>
          <w:rFonts w:ascii="Times New Roman" w:hAnsi="Times New Roman" w:cs="Times New Roman"/>
        </w:rPr>
        <w:t xml:space="preserve">with federal law </w:t>
      </w:r>
      <w:r w:rsidR="007E32B1">
        <w:rPr>
          <w:rFonts w:ascii="Times New Roman" w:hAnsi="Times New Roman" w:cs="Times New Roman"/>
        </w:rPr>
        <w:t>(</w:t>
      </w:r>
      <w:r>
        <w:rPr>
          <w:rFonts w:ascii="Times New Roman" w:hAnsi="Times New Roman" w:cs="Times New Roman"/>
        </w:rPr>
        <w:t>United States District Court for the Northern District of Ohio, Western Division, Case No. 3:13-cv-01143</w:t>
      </w:r>
      <w:r w:rsidR="007E32B1">
        <w:rPr>
          <w:rFonts w:ascii="Times New Roman" w:hAnsi="Times New Roman" w:cs="Times New Roman"/>
        </w:rPr>
        <w:t>)</w:t>
      </w:r>
      <w:r>
        <w:rPr>
          <w:rFonts w:ascii="Times New Roman" w:hAnsi="Times New Roman" w:cs="Times New Roman"/>
        </w:rPr>
        <w:t xml:space="preserve">, as AT&amp;T makes clear in footnote 2 of its Complaint in this </w:t>
      </w:r>
      <w:r w:rsidR="006618C6">
        <w:rPr>
          <w:rFonts w:ascii="Times New Roman" w:hAnsi="Times New Roman" w:cs="Times New Roman"/>
        </w:rPr>
        <w:t>case</w:t>
      </w:r>
      <w:r>
        <w:rPr>
          <w:rFonts w:ascii="Times New Roman" w:hAnsi="Times New Roman" w:cs="Times New Roman"/>
        </w:rPr>
        <w:t xml:space="preserve">.  </w:t>
      </w:r>
    </w:p>
    <w:p w:rsidR="00AC621B" w:rsidRDefault="00AC621B" w:rsidP="000F50A7">
      <w:pPr>
        <w:widowControl/>
        <w:spacing w:line="480" w:lineRule="auto"/>
        <w:jc w:val="both"/>
        <w:rPr>
          <w:rFonts w:ascii="Times New Roman" w:hAnsi="Times New Roman" w:cs="Times New Roman"/>
        </w:rPr>
      </w:pPr>
      <w:r>
        <w:rPr>
          <w:rFonts w:ascii="Times New Roman" w:hAnsi="Times New Roman" w:cs="Times New Roman"/>
        </w:rPr>
        <w:lastRenderedPageBreak/>
        <w:tab/>
        <w:t xml:space="preserve">AT&amp;T makes two arguments in its </w:t>
      </w:r>
      <w:r w:rsidR="006618C6">
        <w:rPr>
          <w:rFonts w:ascii="Times New Roman" w:hAnsi="Times New Roman" w:cs="Times New Roman"/>
        </w:rPr>
        <w:t>R</w:t>
      </w:r>
      <w:r>
        <w:rPr>
          <w:rFonts w:ascii="Times New Roman" w:hAnsi="Times New Roman" w:cs="Times New Roman"/>
        </w:rPr>
        <w:t xml:space="preserve">esponse which are relevant to </w:t>
      </w:r>
      <w:r w:rsidR="008C676A">
        <w:rPr>
          <w:rFonts w:ascii="Times New Roman" w:hAnsi="Times New Roman" w:cs="Times New Roman"/>
        </w:rPr>
        <w:t xml:space="preserve">the prospective application of any new rates </w:t>
      </w:r>
      <w:r w:rsidR="00EC125A">
        <w:rPr>
          <w:rFonts w:ascii="Times New Roman" w:hAnsi="Times New Roman" w:cs="Times New Roman"/>
        </w:rPr>
        <w:t xml:space="preserve">set </w:t>
      </w:r>
      <w:r w:rsidR="008C676A">
        <w:rPr>
          <w:rFonts w:ascii="Times New Roman" w:hAnsi="Times New Roman" w:cs="Times New Roman"/>
        </w:rPr>
        <w:t xml:space="preserve">in </w:t>
      </w:r>
      <w:r>
        <w:rPr>
          <w:rFonts w:ascii="Times New Roman" w:hAnsi="Times New Roman" w:cs="Times New Roman"/>
        </w:rPr>
        <w:t>this complaint case, but ha</w:t>
      </w:r>
      <w:r w:rsidR="008C676A">
        <w:rPr>
          <w:rFonts w:ascii="Times New Roman" w:hAnsi="Times New Roman" w:cs="Times New Roman"/>
        </w:rPr>
        <w:t>ve</w:t>
      </w:r>
      <w:r>
        <w:rPr>
          <w:rFonts w:ascii="Times New Roman" w:hAnsi="Times New Roman" w:cs="Times New Roman"/>
        </w:rPr>
        <w:t xml:space="preserve"> no bearing on retroactive rates.  (</w:t>
      </w:r>
      <w:r w:rsidR="008C676A">
        <w:rPr>
          <w:rFonts w:ascii="Times New Roman" w:hAnsi="Times New Roman" w:cs="Times New Roman"/>
        </w:rPr>
        <w:t xml:space="preserve">AT&amp;T </w:t>
      </w:r>
      <w:r>
        <w:rPr>
          <w:rFonts w:ascii="Times New Roman" w:hAnsi="Times New Roman" w:cs="Times New Roman"/>
        </w:rPr>
        <w:t xml:space="preserve">Response pp. 2-5.)  As mentioned earlier, TSCCI does not seek to dismiss prospective relief if AT&amp;T </w:t>
      </w:r>
      <w:r w:rsidR="00121013">
        <w:rPr>
          <w:rFonts w:ascii="Times New Roman" w:hAnsi="Times New Roman" w:cs="Times New Roman"/>
        </w:rPr>
        <w:t xml:space="preserve">were to </w:t>
      </w:r>
      <w:r>
        <w:rPr>
          <w:rFonts w:ascii="Times New Roman" w:hAnsi="Times New Roman" w:cs="Times New Roman"/>
        </w:rPr>
        <w:t>prevail on these argum</w:t>
      </w:r>
      <w:r w:rsidR="00F43526">
        <w:rPr>
          <w:rFonts w:ascii="Times New Roman" w:hAnsi="Times New Roman" w:cs="Times New Roman"/>
        </w:rPr>
        <w:t>ents.</w:t>
      </w:r>
      <w:r w:rsidR="006618C6">
        <w:rPr>
          <w:rFonts w:ascii="Times New Roman" w:hAnsi="Times New Roman" w:cs="Times New Roman"/>
        </w:rPr>
        <w:t xml:space="preserve"> </w:t>
      </w:r>
      <w:r w:rsidR="00F43526">
        <w:rPr>
          <w:rFonts w:ascii="Times New Roman" w:hAnsi="Times New Roman" w:cs="Times New Roman"/>
        </w:rPr>
        <w:t xml:space="preserve"> </w:t>
      </w:r>
      <w:r>
        <w:rPr>
          <w:rFonts w:ascii="Times New Roman" w:hAnsi="Times New Roman" w:cs="Times New Roman"/>
        </w:rPr>
        <w:t>Nevertheless, TSCCI has meritorious responses</w:t>
      </w:r>
      <w:r w:rsidR="00CF4826">
        <w:rPr>
          <w:rFonts w:ascii="Times New Roman" w:hAnsi="Times New Roman" w:cs="Times New Roman"/>
        </w:rPr>
        <w:t xml:space="preserve"> to AT&amp;T’s arguments</w:t>
      </w:r>
      <w:r>
        <w:rPr>
          <w:rFonts w:ascii="Times New Roman" w:hAnsi="Times New Roman" w:cs="Times New Roman"/>
        </w:rPr>
        <w:t xml:space="preserve">.  </w:t>
      </w:r>
    </w:p>
    <w:p w:rsidR="006208BC" w:rsidRDefault="00AC621B" w:rsidP="007E32B1">
      <w:pPr>
        <w:spacing w:line="480" w:lineRule="auto"/>
        <w:jc w:val="both"/>
        <w:rPr>
          <w:rFonts w:ascii="Times New Roman" w:hAnsi="Times New Roman" w:cs="Times New Roman"/>
        </w:rPr>
      </w:pPr>
      <w:r>
        <w:rPr>
          <w:rFonts w:ascii="Times New Roman" w:hAnsi="Times New Roman" w:cs="Times New Roman"/>
        </w:rPr>
        <w:tab/>
        <w:t xml:space="preserve">AT&amp;T's first argument </w:t>
      </w:r>
      <w:r w:rsidR="00380325">
        <w:rPr>
          <w:rFonts w:ascii="Times New Roman" w:hAnsi="Times New Roman" w:cs="Times New Roman"/>
        </w:rPr>
        <w:t>(</w:t>
      </w:r>
      <w:r w:rsidR="00A7527D">
        <w:rPr>
          <w:rFonts w:ascii="Times New Roman" w:hAnsi="Times New Roman" w:cs="Times New Roman"/>
        </w:rPr>
        <w:t xml:space="preserve">AT&amp;T </w:t>
      </w:r>
      <w:r w:rsidR="00380325">
        <w:rPr>
          <w:rFonts w:ascii="Times New Roman" w:hAnsi="Times New Roman" w:cs="Times New Roman"/>
        </w:rPr>
        <w:t xml:space="preserve">Response pp. 2-4) </w:t>
      </w:r>
      <w:r>
        <w:rPr>
          <w:rFonts w:ascii="Times New Roman" w:hAnsi="Times New Roman" w:cs="Times New Roman"/>
        </w:rPr>
        <w:t>is that TSCCI's intrastate access tariff does not contain any rates</w:t>
      </w:r>
      <w:r w:rsidR="00EE2DAC">
        <w:rPr>
          <w:rFonts w:ascii="Times New Roman" w:hAnsi="Times New Roman" w:cs="Times New Roman"/>
        </w:rPr>
        <w:t xml:space="preserve"> and TSCCI failed to bill in accordance with the tariff</w:t>
      </w:r>
      <w:r>
        <w:rPr>
          <w:rFonts w:ascii="Times New Roman" w:hAnsi="Times New Roman" w:cs="Times New Roman"/>
        </w:rPr>
        <w:t xml:space="preserve">.  While it is true that TSCCI's intrastate access tariff does not have a specific dollar figure included, this does not mean that it does not have a rate.  As </w:t>
      </w:r>
      <w:r w:rsidR="00A85C73">
        <w:rPr>
          <w:rFonts w:ascii="Times New Roman" w:hAnsi="Times New Roman" w:cs="Times New Roman"/>
        </w:rPr>
        <w:t xml:space="preserve">the Commission </w:t>
      </w:r>
      <w:r>
        <w:rPr>
          <w:rFonts w:ascii="Times New Roman" w:hAnsi="Times New Roman" w:cs="Times New Roman"/>
        </w:rPr>
        <w:t xml:space="preserve">explained in the Finding and Order in Case No. 01-1348-TP-ATA, discussed earlier, </w:t>
      </w:r>
      <w:r w:rsidR="00A85C73">
        <w:rPr>
          <w:rFonts w:ascii="Times New Roman" w:hAnsi="Times New Roman" w:cs="Times New Roman"/>
        </w:rPr>
        <w:t xml:space="preserve">it </w:t>
      </w:r>
      <w:r>
        <w:rPr>
          <w:rFonts w:ascii="Times New Roman" w:hAnsi="Times New Roman" w:cs="Times New Roman"/>
        </w:rPr>
        <w:t xml:space="preserve">authorized TSCCI to charge the rural CLEC access rate, which is the NECA rate.  (Finding and Order ¶¶ </w:t>
      </w:r>
      <w:r w:rsidR="00121013">
        <w:rPr>
          <w:rFonts w:ascii="Times New Roman" w:hAnsi="Times New Roman" w:cs="Times New Roman"/>
        </w:rPr>
        <w:t>2</w:t>
      </w:r>
      <w:r>
        <w:rPr>
          <w:rFonts w:ascii="Times New Roman" w:hAnsi="Times New Roman" w:cs="Times New Roman"/>
        </w:rPr>
        <w:t>, 7.)</w:t>
      </w:r>
      <w:r w:rsidR="006208BC">
        <w:rPr>
          <w:rFonts w:ascii="Times New Roman" w:hAnsi="Times New Roman" w:cs="Times New Roman"/>
        </w:rPr>
        <w:t xml:space="preserve">  The Commission’s standard tariffing </w:t>
      </w:r>
      <w:r w:rsidR="00A85C73">
        <w:rPr>
          <w:rFonts w:ascii="Times New Roman" w:hAnsi="Times New Roman" w:cs="Times New Roman"/>
        </w:rPr>
        <w:t xml:space="preserve">preference </w:t>
      </w:r>
      <w:r w:rsidR="006208BC">
        <w:rPr>
          <w:rFonts w:ascii="Times New Roman" w:hAnsi="Times New Roman" w:cs="Times New Roman"/>
        </w:rPr>
        <w:t xml:space="preserve">is to reference interstate tariffs that are mirrored on an intrastate basis to </w:t>
      </w:r>
      <w:r w:rsidR="00A85C73">
        <w:rPr>
          <w:rFonts w:ascii="Times New Roman" w:hAnsi="Times New Roman" w:cs="Times New Roman"/>
        </w:rPr>
        <w:t xml:space="preserve">alleviate </w:t>
      </w:r>
      <w:r w:rsidR="006208BC">
        <w:rPr>
          <w:rFonts w:ascii="Times New Roman" w:hAnsi="Times New Roman" w:cs="Times New Roman"/>
        </w:rPr>
        <w:t>the need to amend the intrastate tariff any time the interstate tariff is revised.</w:t>
      </w:r>
      <w:r>
        <w:rPr>
          <w:rFonts w:ascii="Times New Roman" w:hAnsi="Times New Roman" w:cs="Times New Roman"/>
        </w:rPr>
        <w:t xml:space="preserve">  </w:t>
      </w:r>
    </w:p>
    <w:p w:rsidR="007E32B1" w:rsidRDefault="00EE2DAC" w:rsidP="006208BC">
      <w:pPr>
        <w:spacing w:line="480" w:lineRule="auto"/>
        <w:ind w:firstLine="720"/>
        <w:jc w:val="both"/>
        <w:rPr>
          <w:rFonts w:ascii="Times New Roman" w:hAnsi="Times New Roman" w:cs="Times New Roman"/>
        </w:rPr>
      </w:pPr>
      <w:r>
        <w:rPr>
          <w:rFonts w:ascii="Times New Roman" w:hAnsi="Times New Roman" w:cs="Times New Roman"/>
        </w:rPr>
        <w:t>Moreover, t</w:t>
      </w:r>
      <w:r w:rsidR="007E32B1">
        <w:rPr>
          <w:rFonts w:ascii="Times New Roman" w:hAnsi="Times New Roman" w:cs="Times New Roman"/>
        </w:rPr>
        <w:t>he Commission’s own rules authorize rural CLEC’s to charge NECA rates for intrastate access:</w:t>
      </w:r>
    </w:p>
    <w:p w:rsidR="007E32B1" w:rsidRDefault="007E32B1" w:rsidP="007E32B1">
      <w:pPr>
        <w:ind w:left="1440" w:right="1440"/>
        <w:jc w:val="both"/>
        <w:rPr>
          <w:rFonts w:ascii="Times New Roman" w:hAnsi="Times New Roman" w:cs="Times New Roman"/>
        </w:rPr>
      </w:pPr>
      <w:r w:rsidRPr="00D64D94">
        <w:rPr>
          <w:rFonts w:ascii="Times New Roman" w:hAnsi="Times New Roman" w:cs="Times New Roman"/>
        </w:rPr>
        <w:t xml:space="preserve">(E) A facilities-based CLEC filing for certification, an ILEC's affiliate filing for a CLEC certification, or an ILEC proposing to operate outside its ILEC service area, shall establish their initial switched access reciprocal compensation rates, at a level that does not exceed the current rates of the ILEC providing service in the CLEC's service area, for the termination and origination of intrastate switched access reciprocal compensation traffic, </w:t>
      </w:r>
      <w:r w:rsidRPr="007E32B1">
        <w:rPr>
          <w:rFonts w:ascii="Times New Roman" w:hAnsi="Times New Roman" w:cs="Times New Roman"/>
          <w:b/>
          <w:i/>
        </w:rPr>
        <w:t>unless the CLEC is a rural CLEC competing with a nonrural ILEC and its rates are capped at national exchange carrier association switched access reciprocal compensation rates</w:t>
      </w:r>
      <w:r w:rsidRPr="00D64D94">
        <w:rPr>
          <w:rFonts w:ascii="Times New Roman" w:hAnsi="Times New Roman" w:cs="Times New Roman"/>
        </w:rPr>
        <w:t xml:space="preserve">. </w:t>
      </w:r>
    </w:p>
    <w:p w:rsidR="007E32B1" w:rsidRDefault="007E32B1" w:rsidP="007E32B1">
      <w:pPr>
        <w:ind w:left="1440" w:right="1440"/>
        <w:jc w:val="both"/>
        <w:rPr>
          <w:rFonts w:ascii="Times New Roman" w:hAnsi="Times New Roman" w:cs="Times New Roman"/>
        </w:rPr>
      </w:pPr>
    </w:p>
    <w:p w:rsidR="00AC621B" w:rsidRDefault="007E32B1" w:rsidP="00B30174">
      <w:pPr>
        <w:spacing w:line="480" w:lineRule="auto"/>
        <w:jc w:val="both"/>
        <w:rPr>
          <w:rFonts w:ascii="Times New Roman" w:hAnsi="Times New Roman" w:cs="Times New Roman"/>
        </w:rPr>
      </w:pPr>
      <w:r>
        <w:rPr>
          <w:rFonts w:ascii="Times New Roman" w:hAnsi="Times New Roman" w:cs="Times New Roman"/>
        </w:rPr>
        <w:t>Ohio Adm. Code § 4901:1-7-14(E)</w:t>
      </w:r>
      <w:r w:rsidR="003F71A7">
        <w:rPr>
          <w:rFonts w:ascii="Times New Roman" w:hAnsi="Times New Roman" w:cs="Times New Roman"/>
        </w:rPr>
        <w:t xml:space="preserve"> (emphasis added)</w:t>
      </w:r>
      <w:r>
        <w:rPr>
          <w:rFonts w:ascii="Times New Roman" w:hAnsi="Times New Roman" w:cs="Times New Roman"/>
        </w:rPr>
        <w:t>.  The substance of this rule has not changed since it was first promulgated in Case No 06-1344-TP-COI</w:t>
      </w:r>
      <w:r w:rsidR="003F71A7">
        <w:rPr>
          <w:rFonts w:ascii="Times New Roman" w:hAnsi="Times New Roman" w:cs="Times New Roman"/>
        </w:rPr>
        <w:t xml:space="preserve"> (Entry on Rehearing, October 17, 2007)</w:t>
      </w:r>
      <w:r>
        <w:rPr>
          <w:rFonts w:ascii="Times New Roman" w:hAnsi="Times New Roman" w:cs="Times New Roman"/>
        </w:rPr>
        <w:t xml:space="preserve">.  </w:t>
      </w:r>
      <w:r w:rsidR="006208BC">
        <w:rPr>
          <w:rFonts w:ascii="Times New Roman" w:hAnsi="Times New Roman" w:cs="Times New Roman"/>
        </w:rPr>
        <w:t>Similarly, t</w:t>
      </w:r>
      <w:r w:rsidR="00AC621B">
        <w:rPr>
          <w:rFonts w:ascii="Times New Roman" w:hAnsi="Times New Roman" w:cs="Times New Roman"/>
        </w:rPr>
        <w:t xml:space="preserve">he FCC rules adopted in the </w:t>
      </w:r>
      <w:r w:rsidR="00121013">
        <w:rPr>
          <w:rFonts w:ascii="Times New Roman" w:hAnsi="Times New Roman" w:cs="Times New Roman"/>
        </w:rPr>
        <w:t>A</w:t>
      </w:r>
      <w:r w:rsidR="00AC621B">
        <w:rPr>
          <w:rFonts w:ascii="Times New Roman" w:hAnsi="Times New Roman" w:cs="Times New Roman"/>
        </w:rPr>
        <w:t xml:space="preserve">ccess </w:t>
      </w:r>
      <w:r w:rsidR="00121013">
        <w:rPr>
          <w:rFonts w:ascii="Times New Roman" w:hAnsi="Times New Roman" w:cs="Times New Roman"/>
        </w:rPr>
        <w:t>C</w:t>
      </w:r>
      <w:r w:rsidR="00AC621B">
        <w:rPr>
          <w:rFonts w:ascii="Times New Roman" w:hAnsi="Times New Roman" w:cs="Times New Roman"/>
        </w:rPr>
        <w:t xml:space="preserve">harge </w:t>
      </w:r>
      <w:r w:rsidR="00121013">
        <w:rPr>
          <w:rFonts w:ascii="Times New Roman" w:hAnsi="Times New Roman" w:cs="Times New Roman"/>
        </w:rPr>
        <w:t>R</w:t>
      </w:r>
      <w:r w:rsidR="00AC621B">
        <w:rPr>
          <w:rFonts w:ascii="Times New Roman" w:hAnsi="Times New Roman" w:cs="Times New Roman"/>
        </w:rPr>
        <w:t xml:space="preserve">eform case </w:t>
      </w:r>
      <w:r w:rsidR="006208BC">
        <w:rPr>
          <w:rFonts w:ascii="Times New Roman" w:hAnsi="Times New Roman" w:cs="Times New Roman"/>
        </w:rPr>
        <w:t xml:space="preserve">allowed rural CLECs </w:t>
      </w:r>
      <w:r w:rsidR="006208BC">
        <w:rPr>
          <w:rFonts w:ascii="Times New Roman" w:hAnsi="Times New Roman" w:cs="Times New Roman"/>
        </w:rPr>
        <w:lastRenderedPageBreak/>
        <w:t>to charge NECA access rates</w:t>
      </w:r>
      <w:r w:rsidR="00AC621B">
        <w:rPr>
          <w:rFonts w:ascii="Times New Roman" w:hAnsi="Times New Roman" w:cs="Times New Roman"/>
        </w:rPr>
        <w:t>:</w:t>
      </w:r>
    </w:p>
    <w:p w:rsidR="00AC621B" w:rsidRDefault="00121013" w:rsidP="000D0B73">
      <w:pPr>
        <w:ind w:left="1440" w:right="1440"/>
        <w:jc w:val="both"/>
        <w:rPr>
          <w:rFonts w:ascii="Times New Roman" w:hAnsi="Times New Roman" w:cs="Times New Roman"/>
        </w:rPr>
      </w:pPr>
      <w:r>
        <w:rPr>
          <w:rFonts w:ascii="Times New Roman" w:hAnsi="Times New Roman" w:cs="Times New Roman"/>
        </w:rPr>
        <w:t>[</w:t>
      </w:r>
      <w:r w:rsidR="00AC621B">
        <w:rPr>
          <w:rFonts w:ascii="Times New Roman" w:hAnsi="Times New Roman" w:cs="Times New Roman"/>
        </w:rPr>
        <w:t>A</w:t>
      </w:r>
      <w:r>
        <w:rPr>
          <w:rFonts w:ascii="Times New Roman" w:hAnsi="Times New Roman" w:cs="Times New Roman"/>
        </w:rPr>
        <w:t>]</w:t>
      </w:r>
      <w:r w:rsidR="00AC621B">
        <w:rPr>
          <w:rFonts w:ascii="Times New Roman" w:hAnsi="Times New Roman" w:cs="Times New Roman"/>
        </w:rPr>
        <w:t xml:space="preserve"> rural CLEC competing with a non-rural ILEC shall not file a tariff for its interstate exchange access services that prices those services above the rate prescribed in the NECA access tariff … .</w:t>
      </w:r>
    </w:p>
    <w:p w:rsidR="00AC621B" w:rsidRDefault="00AC621B" w:rsidP="00AC621B">
      <w:pPr>
        <w:ind w:left="1440" w:right="994"/>
        <w:jc w:val="both"/>
        <w:rPr>
          <w:rFonts w:ascii="Times New Roman" w:hAnsi="Times New Roman" w:cs="Times New Roman"/>
        </w:rPr>
      </w:pPr>
    </w:p>
    <w:p w:rsidR="00D64D94" w:rsidRDefault="00AC621B" w:rsidP="00AC621B">
      <w:pPr>
        <w:spacing w:line="480" w:lineRule="auto"/>
        <w:jc w:val="both"/>
        <w:rPr>
          <w:rFonts w:ascii="Times New Roman" w:hAnsi="Times New Roman" w:cs="Times New Roman"/>
        </w:rPr>
      </w:pPr>
      <w:r>
        <w:rPr>
          <w:rFonts w:ascii="Times New Roman" w:hAnsi="Times New Roman" w:cs="Times New Roman"/>
        </w:rPr>
        <w:t xml:space="preserve">47 C.F.R. § 61.26(e).  </w:t>
      </w:r>
      <w:r>
        <w:rPr>
          <w:rFonts w:ascii="Times New Roman" w:hAnsi="Times New Roman" w:cs="Times New Roman"/>
          <w:i/>
        </w:rPr>
        <w:t>In the Matter of Access Charge Reform</w:t>
      </w:r>
      <w:r w:rsidR="00121013">
        <w:rPr>
          <w:rFonts w:ascii="Times New Roman" w:hAnsi="Times New Roman" w:cs="Times New Roman"/>
        </w:rPr>
        <w:t>, CC Docket No. 96-262, Seventh</w:t>
      </w:r>
      <w:r>
        <w:rPr>
          <w:rFonts w:ascii="Times New Roman" w:hAnsi="Times New Roman" w:cs="Times New Roman"/>
        </w:rPr>
        <w:t xml:space="preserve"> Repo</w:t>
      </w:r>
      <w:r w:rsidR="00121013">
        <w:rPr>
          <w:rFonts w:ascii="Times New Roman" w:hAnsi="Times New Roman" w:cs="Times New Roman"/>
        </w:rPr>
        <w:t>rt and Order (April 26, 2001).</w:t>
      </w:r>
      <w:r>
        <w:rPr>
          <w:rFonts w:ascii="Times New Roman" w:hAnsi="Times New Roman" w:cs="Times New Roman"/>
          <w:b/>
        </w:rPr>
        <w:t xml:space="preserve">  </w:t>
      </w:r>
      <w:r w:rsidR="00043ADE">
        <w:rPr>
          <w:rFonts w:ascii="Times New Roman" w:hAnsi="Times New Roman" w:cs="Times New Roman"/>
        </w:rPr>
        <w:t xml:space="preserve">Since adoption, the quoted </w:t>
      </w:r>
      <w:r w:rsidR="004157FE">
        <w:rPr>
          <w:rFonts w:ascii="Times New Roman" w:hAnsi="Times New Roman" w:cs="Times New Roman"/>
        </w:rPr>
        <w:t xml:space="preserve">rule </w:t>
      </w:r>
      <w:r w:rsidR="00043ADE">
        <w:rPr>
          <w:rFonts w:ascii="Times New Roman" w:hAnsi="Times New Roman" w:cs="Times New Roman"/>
        </w:rPr>
        <w:t>language has not changed</w:t>
      </w:r>
      <w:r w:rsidR="00F20D9C">
        <w:rPr>
          <w:rFonts w:ascii="Times New Roman" w:hAnsi="Times New Roman" w:cs="Times New Roman"/>
        </w:rPr>
        <w:t xml:space="preserve"> and </w:t>
      </w:r>
      <w:r>
        <w:rPr>
          <w:rFonts w:ascii="Times New Roman" w:hAnsi="Times New Roman" w:cs="Times New Roman"/>
        </w:rPr>
        <w:t xml:space="preserve">the FCC rules have permitted rural CLECs to charge NECA rates for interstate access.  </w:t>
      </w:r>
    </w:p>
    <w:p w:rsidR="00AC621B" w:rsidRDefault="00AC621B" w:rsidP="006208BC">
      <w:pPr>
        <w:spacing w:line="480" w:lineRule="auto"/>
        <w:ind w:firstLine="720"/>
        <w:jc w:val="both"/>
        <w:rPr>
          <w:rFonts w:ascii="Times New Roman" w:hAnsi="Times New Roman" w:cs="Times New Roman"/>
        </w:rPr>
      </w:pPr>
      <w:r>
        <w:rPr>
          <w:rFonts w:ascii="Times New Roman" w:hAnsi="Times New Roman" w:cs="Times New Roman"/>
        </w:rPr>
        <w:t xml:space="preserve">Since TSCCI's intrastate access tariff was approved in Case No. 01-1348-TP-ATA on November 30, 2001, it has charged NECA rates for intrastate access.  </w:t>
      </w:r>
      <w:r w:rsidR="00380325">
        <w:rPr>
          <w:rFonts w:ascii="Times New Roman" w:hAnsi="Times New Roman" w:cs="Times New Roman"/>
        </w:rPr>
        <w:t xml:space="preserve">Indeed, both parties admit that TSCCI has billed AT&amp;T NECA rates for intrastate access since before January 1, 2009.  (Complaint at ¶ 33; Answer and Counterclaim at ¶ 14.)  </w:t>
      </w:r>
      <w:r>
        <w:rPr>
          <w:rFonts w:ascii="Times New Roman" w:hAnsi="Times New Roman" w:cs="Times New Roman"/>
        </w:rPr>
        <w:t xml:space="preserve">Consequently, there is no merit to AT&amp;T's first argument </w:t>
      </w:r>
      <w:r w:rsidR="00380325">
        <w:rPr>
          <w:rFonts w:ascii="Times New Roman" w:hAnsi="Times New Roman" w:cs="Times New Roman"/>
        </w:rPr>
        <w:t xml:space="preserve">and certainly nothing </w:t>
      </w:r>
      <w:r>
        <w:rPr>
          <w:rFonts w:ascii="Times New Roman" w:hAnsi="Times New Roman" w:cs="Times New Roman"/>
        </w:rPr>
        <w:t>that would pre</w:t>
      </w:r>
      <w:r w:rsidR="00380325">
        <w:rPr>
          <w:rFonts w:ascii="Times New Roman" w:hAnsi="Times New Roman" w:cs="Times New Roman"/>
        </w:rPr>
        <w:t>vent</w:t>
      </w:r>
      <w:r>
        <w:rPr>
          <w:rFonts w:ascii="Times New Roman" w:hAnsi="Times New Roman" w:cs="Times New Roman"/>
        </w:rPr>
        <w:t xml:space="preserve"> granting TSCCI's </w:t>
      </w:r>
      <w:r w:rsidR="00C16B09">
        <w:rPr>
          <w:rFonts w:ascii="Times New Roman" w:hAnsi="Times New Roman" w:cs="Times New Roman"/>
        </w:rPr>
        <w:t>M</w:t>
      </w:r>
      <w:r>
        <w:rPr>
          <w:rFonts w:ascii="Times New Roman" w:hAnsi="Times New Roman" w:cs="Times New Roman"/>
        </w:rPr>
        <w:t xml:space="preserve">otion to </w:t>
      </w:r>
      <w:r w:rsidR="00C16B09">
        <w:rPr>
          <w:rFonts w:ascii="Times New Roman" w:hAnsi="Times New Roman" w:cs="Times New Roman"/>
        </w:rPr>
        <w:t>D</w:t>
      </w:r>
      <w:r>
        <w:rPr>
          <w:rFonts w:ascii="Times New Roman" w:hAnsi="Times New Roman" w:cs="Times New Roman"/>
        </w:rPr>
        <w:t>is</w:t>
      </w:r>
      <w:r w:rsidR="00380325">
        <w:rPr>
          <w:rFonts w:ascii="Times New Roman" w:hAnsi="Times New Roman" w:cs="Times New Roman"/>
        </w:rPr>
        <w:t>miss AT&amp;T’s</w:t>
      </w:r>
      <w:r>
        <w:rPr>
          <w:rFonts w:ascii="Times New Roman" w:hAnsi="Times New Roman" w:cs="Times New Roman"/>
        </w:rPr>
        <w:t xml:space="preserve"> request for refunds.</w:t>
      </w:r>
    </w:p>
    <w:p w:rsidR="00AC621B" w:rsidRDefault="00AC621B" w:rsidP="00F20D9C">
      <w:pPr>
        <w:widowControl/>
        <w:spacing w:line="480" w:lineRule="auto"/>
        <w:jc w:val="both"/>
        <w:rPr>
          <w:rFonts w:ascii="Times New Roman" w:hAnsi="Times New Roman" w:cs="Times New Roman"/>
        </w:rPr>
      </w:pPr>
      <w:r>
        <w:rPr>
          <w:rFonts w:ascii="Times New Roman" w:hAnsi="Times New Roman" w:cs="Times New Roman"/>
        </w:rPr>
        <w:tab/>
        <w:t>AT&amp;T's second argument (</w:t>
      </w:r>
      <w:r w:rsidR="00A7527D">
        <w:rPr>
          <w:rFonts w:ascii="Times New Roman" w:hAnsi="Times New Roman" w:cs="Times New Roman"/>
        </w:rPr>
        <w:t xml:space="preserve">AT&amp;T </w:t>
      </w:r>
      <w:r>
        <w:rPr>
          <w:rFonts w:ascii="Times New Roman" w:hAnsi="Times New Roman" w:cs="Times New Roman"/>
        </w:rPr>
        <w:t>Response pp. 4-5) is that somehow the FCC's rules governing CLEC access ref</w:t>
      </w:r>
      <w:r w:rsidR="006208BC">
        <w:rPr>
          <w:rFonts w:ascii="Times New Roman" w:hAnsi="Times New Roman" w:cs="Times New Roman"/>
        </w:rPr>
        <w:t>orm have</w:t>
      </w:r>
      <w:r w:rsidR="00536A06">
        <w:rPr>
          <w:rFonts w:ascii="Times New Roman" w:hAnsi="Times New Roman" w:cs="Times New Roman"/>
        </w:rPr>
        <w:t xml:space="preserve"> a bearing on this case</w:t>
      </w:r>
      <w:r>
        <w:rPr>
          <w:rFonts w:ascii="Times New Roman" w:hAnsi="Times New Roman" w:cs="Times New Roman"/>
        </w:rPr>
        <w:t>.</w:t>
      </w:r>
      <w:r w:rsidR="004D0A96">
        <w:rPr>
          <w:rFonts w:ascii="Times New Roman" w:hAnsi="Times New Roman" w:cs="Times New Roman"/>
        </w:rPr>
        <w:t xml:space="preserve"> </w:t>
      </w:r>
      <w:r w:rsidR="00536A06">
        <w:rPr>
          <w:rFonts w:ascii="Times New Roman" w:hAnsi="Times New Roman" w:cs="Times New Roman"/>
        </w:rPr>
        <w:t xml:space="preserve"> </w:t>
      </w:r>
      <w:r w:rsidR="00732A54">
        <w:rPr>
          <w:rFonts w:ascii="Times New Roman" w:hAnsi="Times New Roman" w:cs="Times New Roman"/>
        </w:rPr>
        <w:t>In particular, AT&amp;T references the Commission orders in Case No. 10-2387-TP-COI and the certification lett</w:t>
      </w:r>
      <w:r w:rsidR="00536A06">
        <w:rPr>
          <w:rFonts w:ascii="Times New Roman" w:hAnsi="Times New Roman" w:cs="Times New Roman"/>
        </w:rPr>
        <w:t>ers that TSCCI filed in that docket</w:t>
      </w:r>
      <w:r w:rsidR="00732A54">
        <w:rPr>
          <w:rFonts w:ascii="Times New Roman" w:hAnsi="Times New Roman" w:cs="Times New Roman"/>
        </w:rPr>
        <w:t xml:space="preserve">.  TSCCI always has complied with the Commission's orders in that </w:t>
      </w:r>
      <w:r w:rsidR="00536A06">
        <w:rPr>
          <w:rFonts w:ascii="Times New Roman" w:hAnsi="Times New Roman" w:cs="Times New Roman"/>
        </w:rPr>
        <w:t>docket</w:t>
      </w:r>
      <w:r w:rsidR="00732A54">
        <w:rPr>
          <w:rFonts w:ascii="Times New Roman" w:hAnsi="Times New Roman" w:cs="Times New Roman"/>
        </w:rPr>
        <w:t>.  TSCCI's most recent letter fi</w:t>
      </w:r>
      <w:r w:rsidR="00536A06">
        <w:rPr>
          <w:rFonts w:ascii="Times New Roman" w:hAnsi="Times New Roman" w:cs="Times New Roman"/>
        </w:rPr>
        <w:t>led on May 31, 2016</w:t>
      </w:r>
      <w:r w:rsidR="00732A54">
        <w:rPr>
          <w:rFonts w:ascii="Times New Roman" w:hAnsi="Times New Roman" w:cs="Times New Roman"/>
        </w:rPr>
        <w:t xml:space="preserve">, which also </w:t>
      </w:r>
      <w:r w:rsidR="00536A06">
        <w:rPr>
          <w:rFonts w:ascii="Times New Roman" w:hAnsi="Times New Roman" w:cs="Times New Roman"/>
        </w:rPr>
        <w:t xml:space="preserve">is </w:t>
      </w:r>
      <w:r w:rsidR="00732A54">
        <w:rPr>
          <w:rFonts w:ascii="Times New Roman" w:hAnsi="Times New Roman" w:cs="Times New Roman"/>
        </w:rPr>
        <w:t>included as Exhibit 1 to its Answer and Counterclaim in this case, makes clear that its intrastate access rates conform to the access rate cap required for rural CLECs in 47 C.F.R. § 61.26(e).  As the NECA interstate access rates have declined, so ha</w:t>
      </w:r>
      <w:r w:rsidR="001D14AF">
        <w:rPr>
          <w:rFonts w:ascii="Times New Roman" w:hAnsi="Times New Roman" w:cs="Times New Roman"/>
        </w:rPr>
        <w:t>ve</w:t>
      </w:r>
      <w:r w:rsidR="00732A54">
        <w:rPr>
          <w:rFonts w:ascii="Times New Roman" w:hAnsi="Times New Roman" w:cs="Times New Roman"/>
        </w:rPr>
        <w:t xml:space="preserve"> TSCCI's intrastate access rates declined.  </w:t>
      </w:r>
      <w:r w:rsidR="000D0B73">
        <w:rPr>
          <w:rFonts w:ascii="Times New Roman" w:hAnsi="Times New Roman" w:cs="Times New Roman"/>
        </w:rPr>
        <w:t>TSCCI</w:t>
      </w:r>
      <w:r w:rsidR="00732A54">
        <w:rPr>
          <w:rFonts w:ascii="Times New Roman" w:hAnsi="Times New Roman" w:cs="Times New Roman"/>
        </w:rPr>
        <w:t xml:space="preserve"> has been in compliance at all times.  </w:t>
      </w:r>
      <w:r w:rsidR="00C16B09">
        <w:rPr>
          <w:rFonts w:ascii="Times New Roman" w:hAnsi="Times New Roman" w:cs="Times New Roman"/>
        </w:rPr>
        <w:t xml:space="preserve">Consequently, there is no merit to AT&amp;T’s second argument and certainly nothing that would prevent granting </w:t>
      </w:r>
      <w:r w:rsidR="00732A54">
        <w:rPr>
          <w:rFonts w:ascii="Times New Roman" w:hAnsi="Times New Roman" w:cs="Times New Roman"/>
        </w:rPr>
        <w:t xml:space="preserve">TSCCI's Motion to Dismiss </w:t>
      </w:r>
      <w:r w:rsidR="00DB6B3A">
        <w:rPr>
          <w:rFonts w:ascii="Times New Roman" w:hAnsi="Times New Roman" w:cs="Times New Roman"/>
        </w:rPr>
        <w:t xml:space="preserve">AT&amp;T’s </w:t>
      </w:r>
      <w:r w:rsidR="00C16B09">
        <w:rPr>
          <w:rFonts w:ascii="Times New Roman" w:hAnsi="Times New Roman" w:cs="Times New Roman"/>
        </w:rPr>
        <w:t>request for refunds</w:t>
      </w:r>
      <w:r w:rsidR="00732A54">
        <w:rPr>
          <w:rFonts w:ascii="Times New Roman" w:hAnsi="Times New Roman" w:cs="Times New Roman"/>
        </w:rPr>
        <w:t xml:space="preserve">. </w:t>
      </w:r>
    </w:p>
    <w:p w:rsidR="00F2236D" w:rsidRPr="00AC621B" w:rsidRDefault="00F2236D" w:rsidP="00C16B09">
      <w:pPr>
        <w:widowControl/>
        <w:spacing w:line="480" w:lineRule="auto"/>
        <w:jc w:val="both"/>
        <w:rPr>
          <w:rFonts w:ascii="Times New Roman" w:hAnsi="Times New Roman" w:cs="Times New Roman"/>
        </w:rPr>
      </w:pPr>
      <w:r>
        <w:rPr>
          <w:rFonts w:ascii="Times New Roman" w:hAnsi="Times New Roman" w:cs="Times New Roman"/>
        </w:rPr>
        <w:lastRenderedPageBreak/>
        <w:tab/>
        <w:t>The Commission should grant TSCCI's Motion to Dismiss AT&amp;T's claims seeking refunds</w:t>
      </w:r>
      <w:r w:rsidR="001D14AF">
        <w:rPr>
          <w:rFonts w:ascii="Times New Roman" w:hAnsi="Times New Roman" w:cs="Times New Roman"/>
        </w:rPr>
        <w:t xml:space="preserve">.  </w:t>
      </w:r>
      <w:r w:rsidR="00DB6B3A">
        <w:rPr>
          <w:rFonts w:ascii="Times New Roman" w:hAnsi="Times New Roman" w:cs="Times New Roman"/>
        </w:rPr>
        <w:t>F</w:t>
      </w:r>
      <w:r>
        <w:rPr>
          <w:rFonts w:ascii="Times New Roman" w:hAnsi="Times New Roman" w:cs="Times New Roman"/>
        </w:rPr>
        <w:t xml:space="preserve">or the same reason, the Commission should order AT&amp;T to pay TSCCI all amounts it has withheld until such time as </w:t>
      </w:r>
      <w:r w:rsidR="001D14AF">
        <w:rPr>
          <w:rFonts w:ascii="Times New Roman" w:hAnsi="Times New Roman" w:cs="Times New Roman"/>
        </w:rPr>
        <w:t>the Commission should order new rates to be effective</w:t>
      </w:r>
      <w:r>
        <w:rPr>
          <w:rFonts w:ascii="Times New Roman" w:hAnsi="Times New Roman" w:cs="Times New Roman"/>
        </w:rPr>
        <w:t>.</w:t>
      </w:r>
      <w:r w:rsidR="001D14AF">
        <w:rPr>
          <w:rFonts w:ascii="Times New Roman" w:hAnsi="Times New Roman" w:cs="Times New Roman"/>
        </w:rPr>
        <w:t xml:space="preserve">  This case should proceed solely to determine whether TSCCI’s intrastate access rates should be modified on a prospective basis.  </w:t>
      </w:r>
    </w:p>
    <w:p w:rsidR="00F26660" w:rsidRDefault="00F26660" w:rsidP="00F26660">
      <w:pPr>
        <w:pStyle w:val="BodyText"/>
        <w:ind w:left="3600" w:firstLine="720"/>
      </w:pPr>
      <w:r>
        <w:t>Respectfully submitted,</w:t>
      </w:r>
    </w:p>
    <w:p w:rsidR="00F26660" w:rsidRDefault="00F26660" w:rsidP="00F26660">
      <w:pPr>
        <w:pStyle w:val="BodyText"/>
        <w:ind w:left="3600" w:firstLine="720"/>
      </w:pPr>
    </w:p>
    <w:p w:rsidR="00F26660" w:rsidRDefault="00F26660" w:rsidP="00F26660">
      <w:pPr>
        <w:pStyle w:val="BodyText"/>
        <w:spacing w:line="240" w:lineRule="auto"/>
        <w:ind w:firstLine="720"/>
      </w:pPr>
      <w:r>
        <w:tab/>
      </w:r>
      <w:r>
        <w:tab/>
      </w:r>
      <w:r>
        <w:tab/>
      </w:r>
      <w:r>
        <w:tab/>
      </w:r>
      <w:r>
        <w:tab/>
      </w:r>
      <w:r w:rsidR="00852088">
        <w:rPr>
          <w:i/>
          <w:u w:val="single"/>
        </w:rPr>
        <w:t>/s/ William A. Adams</w:t>
      </w:r>
      <w:r>
        <w:rPr>
          <w:u w:val="single"/>
        </w:rPr>
        <w:tab/>
      </w:r>
      <w:r>
        <w:rPr>
          <w:u w:val="single"/>
        </w:rPr>
        <w:tab/>
      </w:r>
      <w:r>
        <w:rPr>
          <w:u w:val="single"/>
        </w:rPr>
        <w:tab/>
      </w:r>
      <w:r>
        <w:rPr>
          <w:u w:val="single"/>
        </w:rPr>
        <w:tab/>
      </w:r>
      <w:r>
        <w:rPr>
          <w:u w:val="single"/>
        </w:rPr>
        <w:tab/>
      </w:r>
      <w:r>
        <w:tab/>
      </w:r>
      <w:r>
        <w:tab/>
      </w:r>
      <w:r>
        <w:tab/>
      </w:r>
      <w:r>
        <w:tab/>
      </w:r>
      <w:r>
        <w:tab/>
      </w:r>
      <w:r>
        <w:tab/>
        <w:t>William A. Adams, Counsel of Record</w:t>
      </w:r>
      <w:r>
        <w:tab/>
      </w:r>
    </w:p>
    <w:p w:rsidR="00F26660" w:rsidRDefault="00F26660" w:rsidP="00F26660">
      <w:pPr>
        <w:pStyle w:val="BodyText"/>
        <w:spacing w:line="240" w:lineRule="auto"/>
        <w:ind w:firstLine="720"/>
        <w:jc w:val="left"/>
      </w:pPr>
      <w:r>
        <w:tab/>
      </w:r>
      <w:r>
        <w:tab/>
      </w:r>
      <w:r>
        <w:tab/>
      </w:r>
      <w:r>
        <w:tab/>
      </w:r>
      <w:r>
        <w:tab/>
        <w:t>BAILEY CAVALIERI LLC</w:t>
      </w:r>
    </w:p>
    <w:p w:rsidR="00F26660" w:rsidRDefault="00F26660" w:rsidP="00F26660">
      <w:pPr>
        <w:pStyle w:val="BodyText"/>
        <w:spacing w:line="240" w:lineRule="auto"/>
        <w:ind w:firstLine="720"/>
        <w:jc w:val="left"/>
      </w:pPr>
      <w:r>
        <w:tab/>
      </w:r>
      <w:r>
        <w:tab/>
      </w:r>
      <w:r>
        <w:tab/>
      </w:r>
      <w:r>
        <w:tab/>
      </w:r>
      <w:r>
        <w:tab/>
        <w:t>10 West Broad Street, Suite 2100</w:t>
      </w:r>
    </w:p>
    <w:p w:rsidR="00F26660" w:rsidRDefault="00F26660" w:rsidP="00F26660">
      <w:pPr>
        <w:pStyle w:val="BodyText"/>
        <w:spacing w:line="240" w:lineRule="auto"/>
        <w:ind w:firstLine="720"/>
        <w:jc w:val="left"/>
      </w:pPr>
      <w:r>
        <w:tab/>
      </w:r>
      <w:r>
        <w:tab/>
      </w:r>
      <w:r>
        <w:tab/>
      </w:r>
      <w:r>
        <w:tab/>
      </w:r>
      <w:r>
        <w:tab/>
        <w:t xml:space="preserve">Columbus, OH </w:t>
      </w:r>
      <w:smartTag w:uri="schemas-workshare-com/workshare" w:element="socialsecuritynumber">
        <w:smartTagPr>
          <w:attr w:name="TagType" w:val="1"/>
        </w:smartTagPr>
        <w:r>
          <w:t>43215-3422</w:t>
        </w:r>
      </w:smartTag>
    </w:p>
    <w:p w:rsidR="00F26660" w:rsidRDefault="00F26660" w:rsidP="00F26660">
      <w:pPr>
        <w:pStyle w:val="BodyText"/>
        <w:spacing w:line="240" w:lineRule="auto"/>
        <w:ind w:firstLine="720"/>
        <w:jc w:val="left"/>
      </w:pPr>
      <w:r>
        <w:tab/>
      </w:r>
      <w:r>
        <w:tab/>
      </w:r>
      <w:r>
        <w:tab/>
      </w:r>
      <w:r>
        <w:tab/>
      </w:r>
      <w:r>
        <w:tab/>
        <w:t>(614) 229-3278 (telephone)</w:t>
      </w:r>
    </w:p>
    <w:p w:rsidR="00F26660" w:rsidRDefault="00F26660" w:rsidP="00F26660">
      <w:pPr>
        <w:pStyle w:val="BodyText"/>
        <w:spacing w:line="240" w:lineRule="auto"/>
        <w:ind w:firstLine="720"/>
        <w:jc w:val="left"/>
      </w:pPr>
      <w:r>
        <w:tab/>
      </w:r>
      <w:r>
        <w:tab/>
      </w:r>
      <w:r>
        <w:tab/>
      </w:r>
      <w:r>
        <w:tab/>
      </w:r>
      <w:r>
        <w:tab/>
        <w:t>(614) 221-0479 (fax)</w:t>
      </w:r>
    </w:p>
    <w:p w:rsidR="00F26660" w:rsidRPr="00AA1C6B" w:rsidRDefault="00F26660" w:rsidP="00F26660">
      <w:pPr>
        <w:pStyle w:val="BodyText"/>
        <w:spacing w:line="240" w:lineRule="auto"/>
        <w:ind w:firstLine="720"/>
        <w:jc w:val="left"/>
      </w:pPr>
      <w:r>
        <w:tab/>
      </w:r>
      <w:r>
        <w:tab/>
      </w:r>
      <w:r>
        <w:tab/>
      </w:r>
      <w:r>
        <w:tab/>
      </w:r>
      <w:r>
        <w:tab/>
      </w:r>
      <w:hyperlink r:id="rId8" w:history="1">
        <w:r w:rsidR="00261FC2" w:rsidRPr="004E33D4">
          <w:rPr>
            <w:rStyle w:val="Hyperlink"/>
            <w:rFonts w:eastAsiaTheme="minorEastAsia"/>
          </w:rPr>
          <w:t>wadams@baileycav.com</w:t>
        </w:r>
      </w:hyperlink>
    </w:p>
    <w:p w:rsidR="00F26660" w:rsidRDefault="00F26660" w:rsidP="00F26660">
      <w:pPr>
        <w:pStyle w:val="BodyText"/>
        <w:spacing w:line="240" w:lineRule="auto"/>
        <w:ind w:left="4320"/>
        <w:jc w:val="left"/>
        <w:rPr>
          <w:i/>
        </w:rPr>
      </w:pPr>
      <w:r w:rsidRPr="002F2CF5">
        <w:rPr>
          <w:i/>
        </w:rPr>
        <w:t xml:space="preserve">Attorneys for Respondent </w:t>
      </w:r>
    </w:p>
    <w:p w:rsidR="006439F2" w:rsidRDefault="00F26660" w:rsidP="00F26660">
      <w:pPr>
        <w:pStyle w:val="BodyText"/>
        <w:spacing w:line="240" w:lineRule="auto"/>
        <w:ind w:left="4320"/>
        <w:jc w:val="left"/>
        <w:rPr>
          <w:i/>
        </w:rPr>
      </w:pPr>
      <w:r>
        <w:rPr>
          <w:i/>
        </w:rPr>
        <w:t xml:space="preserve">TSC Communications, Inc. </w:t>
      </w:r>
    </w:p>
    <w:p w:rsidR="001B7AA6" w:rsidRPr="00F26660" w:rsidRDefault="001B7AA6" w:rsidP="00F26660">
      <w:pPr>
        <w:pStyle w:val="BodyText"/>
        <w:spacing w:line="240" w:lineRule="auto"/>
        <w:ind w:left="4320"/>
        <w:jc w:val="left"/>
        <w:rPr>
          <w:i/>
        </w:rPr>
      </w:pPr>
    </w:p>
    <w:p w:rsidR="001B7AA6" w:rsidRDefault="001B7AA6">
      <w:pPr>
        <w:widowControl/>
        <w:autoSpaceDE/>
        <w:autoSpaceDN/>
        <w:adjustRightInd/>
        <w:spacing w:after="160" w:line="259" w:lineRule="auto"/>
        <w:rPr>
          <w:rFonts w:ascii="Times New Roman" w:hAnsi="Times New Roman" w:cs="Times New Roman"/>
          <w:u w:val="single"/>
        </w:rPr>
      </w:pPr>
      <w:r>
        <w:rPr>
          <w:rFonts w:ascii="Times New Roman" w:hAnsi="Times New Roman" w:cs="Times New Roman"/>
          <w:u w:val="single"/>
        </w:rPr>
        <w:br w:type="page"/>
      </w:r>
    </w:p>
    <w:p w:rsidR="00BC4B1F" w:rsidRPr="00BC4B1F" w:rsidRDefault="00F32A0C" w:rsidP="004D0A96">
      <w:pPr>
        <w:widowControl/>
        <w:autoSpaceDE/>
        <w:autoSpaceDN/>
        <w:adjustRightInd/>
        <w:spacing w:after="160" w:line="259" w:lineRule="auto"/>
        <w:jc w:val="center"/>
        <w:rPr>
          <w:rFonts w:ascii="Times New Roman" w:hAnsi="Times New Roman" w:cs="Times New Roman"/>
          <w:u w:val="single"/>
        </w:rPr>
      </w:pPr>
      <w:r>
        <w:rPr>
          <w:rFonts w:ascii="Times New Roman" w:hAnsi="Times New Roman" w:cs="Times New Roman"/>
          <w:u w:val="single"/>
        </w:rPr>
        <w:lastRenderedPageBreak/>
        <w:t>C</w:t>
      </w:r>
      <w:r w:rsidR="00BC4B1F" w:rsidRPr="00BC4B1F">
        <w:rPr>
          <w:rFonts w:ascii="Times New Roman" w:hAnsi="Times New Roman" w:cs="Times New Roman"/>
          <w:u w:val="single"/>
        </w:rPr>
        <w:t>ERTIFICATE OF SERVICE</w:t>
      </w:r>
    </w:p>
    <w:p w:rsidR="00BC4B1F" w:rsidRPr="00BC4B1F" w:rsidRDefault="00BC4B1F" w:rsidP="00BC4B1F">
      <w:pPr>
        <w:jc w:val="both"/>
        <w:rPr>
          <w:rFonts w:ascii="Times New Roman" w:hAnsi="Times New Roman" w:cs="Times New Roman"/>
        </w:rPr>
      </w:pPr>
      <w:r w:rsidRPr="00BC4B1F">
        <w:rPr>
          <w:rFonts w:ascii="Times New Roman" w:hAnsi="Times New Roman" w:cs="Times New Roman"/>
        </w:rPr>
        <w:tab/>
        <w:t xml:space="preserve">The undersigned hereby certifies that a true copy of the foregoing </w:t>
      </w:r>
      <w:r w:rsidR="00140C11">
        <w:rPr>
          <w:rFonts w:ascii="Times New Roman" w:hAnsi="Times New Roman" w:cs="Times New Roman"/>
          <w:i/>
        </w:rPr>
        <w:t xml:space="preserve">Reply </w:t>
      </w:r>
      <w:r w:rsidR="00F2236D">
        <w:rPr>
          <w:rFonts w:ascii="Times New Roman" w:hAnsi="Times New Roman" w:cs="Times New Roman"/>
          <w:i/>
        </w:rPr>
        <w:t xml:space="preserve">Memorandum in Support of </w:t>
      </w:r>
      <w:r w:rsidR="00F26660">
        <w:rPr>
          <w:rFonts w:ascii="Times New Roman" w:hAnsi="Times New Roman" w:cs="Times New Roman"/>
          <w:i/>
        </w:rPr>
        <w:t xml:space="preserve">Motion to Dismiss of </w:t>
      </w:r>
      <w:r>
        <w:rPr>
          <w:rFonts w:ascii="Times New Roman" w:hAnsi="Times New Roman" w:cs="Times New Roman"/>
          <w:i/>
        </w:rPr>
        <w:t xml:space="preserve">Respondent TSC Communications, Inc. </w:t>
      </w:r>
      <w:r w:rsidRPr="00BC4B1F">
        <w:rPr>
          <w:rFonts w:ascii="Times New Roman" w:hAnsi="Times New Roman" w:cs="Times New Roman"/>
        </w:rPr>
        <w:t>was served this</w:t>
      </w:r>
      <w:r>
        <w:rPr>
          <w:rFonts w:ascii="Times New Roman" w:hAnsi="Times New Roman" w:cs="Times New Roman"/>
        </w:rPr>
        <w:t xml:space="preserve"> </w:t>
      </w:r>
      <w:r w:rsidR="009E349D">
        <w:rPr>
          <w:rFonts w:ascii="Times New Roman" w:hAnsi="Times New Roman" w:cs="Times New Roman"/>
        </w:rPr>
        <w:t>20</w:t>
      </w:r>
      <w:r w:rsidR="009E349D" w:rsidRPr="009E349D">
        <w:rPr>
          <w:rFonts w:ascii="Times New Roman" w:hAnsi="Times New Roman" w:cs="Times New Roman"/>
          <w:vertAlign w:val="superscript"/>
        </w:rPr>
        <w:t>th</w:t>
      </w:r>
      <w:r w:rsidR="009E349D">
        <w:rPr>
          <w:rFonts w:ascii="Times New Roman" w:hAnsi="Times New Roman" w:cs="Times New Roman"/>
        </w:rPr>
        <w:t xml:space="preserve"> </w:t>
      </w:r>
      <w:r w:rsidRPr="00BC4B1F">
        <w:rPr>
          <w:rFonts w:ascii="Times New Roman" w:hAnsi="Times New Roman" w:cs="Times New Roman"/>
        </w:rPr>
        <w:t>day of</w:t>
      </w:r>
      <w:r w:rsidR="00F2236D">
        <w:rPr>
          <w:rFonts w:ascii="Times New Roman" w:hAnsi="Times New Roman" w:cs="Times New Roman"/>
        </w:rPr>
        <w:t xml:space="preserve"> July</w:t>
      </w:r>
      <w:r>
        <w:rPr>
          <w:rFonts w:ascii="Times New Roman" w:hAnsi="Times New Roman" w:cs="Times New Roman"/>
        </w:rPr>
        <w:t>, 2016</w:t>
      </w:r>
      <w:r w:rsidRPr="00BC4B1F">
        <w:rPr>
          <w:rFonts w:ascii="Times New Roman" w:hAnsi="Times New Roman" w:cs="Times New Roman"/>
        </w:rPr>
        <w:t>, by</w:t>
      </w:r>
      <w:r>
        <w:rPr>
          <w:rFonts w:ascii="Times New Roman" w:hAnsi="Times New Roman" w:cs="Times New Roman"/>
        </w:rPr>
        <w:t xml:space="preserve"> electronic transmission upon the following</w:t>
      </w:r>
      <w:r w:rsidRPr="00BC4B1F">
        <w:rPr>
          <w:rFonts w:ascii="Times New Roman" w:hAnsi="Times New Roman" w:cs="Times New Roman"/>
        </w:rPr>
        <w:t>:</w:t>
      </w:r>
    </w:p>
    <w:p w:rsidR="00BC4B1F" w:rsidRPr="00BC4B1F" w:rsidRDefault="00BC4B1F" w:rsidP="00BC4B1F">
      <w:pPr>
        <w:jc w:val="both"/>
        <w:rPr>
          <w:rFonts w:ascii="Times New Roman" w:hAnsi="Times New Roman" w:cs="Times New Roman"/>
        </w:rPr>
      </w:pPr>
    </w:p>
    <w:p w:rsidR="00BC4B1F" w:rsidRDefault="00BC4B1F" w:rsidP="00BC4B1F">
      <w:pPr>
        <w:jc w:val="both"/>
        <w:rPr>
          <w:rFonts w:ascii="Times New Roman" w:hAnsi="Times New Roman" w:cs="Times New Roman"/>
        </w:rPr>
      </w:pPr>
      <w:r>
        <w:rPr>
          <w:rFonts w:ascii="Times New Roman" w:hAnsi="Times New Roman" w:cs="Times New Roman"/>
        </w:rPr>
        <w:tab/>
        <w:t>Mark R. Ortlieb</w:t>
      </w:r>
    </w:p>
    <w:p w:rsidR="00BC4B1F" w:rsidRDefault="00BC4B1F" w:rsidP="00BC4B1F">
      <w:pPr>
        <w:jc w:val="both"/>
        <w:rPr>
          <w:rFonts w:ascii="Times New Roman" w:hAnsi="Times New Roman" w:cs="Times New Roman"/>
        </w:rPr>
      </w:pPr>
      <w:r>
        <w:rPr>
          <w:rFonts w:ascii="Times New Roman" w:hAnsi="Times New Roman" w:cs="Times New Roman"/>
        </w:rPr>
        <w:tab/>
        <w:t>AT&amp;T Services, Inc.</w:t>
      </w:r>
    </w:p>
    <w:p w:rsidR="00BC4B1F" w:rsidRDefault="00BC4B1F" w:rsidP="00BC4B1F">
      <w:pPr>
        <w:jc w:val="both"/>
        <w:rPr>
          <w:rFonts w:ascii="Times New Roman" w:hAnsi="Times New Roman" w:cs="Times New Roman"/>
        </w:rPr>
      </w:pPr>
      <w:r>
        <w:rPr>
          <w:rFonts w:ascii="Times New Roman" w:hAnsi="Times New Roman" w:cs="Times New Roman"/>
        </w:rPr>
        <w:tab/>
        <w:t>225 West Randolph, Floor 25D</w:t>
      </w:r>
    </w:p>
    <w:p w:rsidR="00BC4B1F" w:rsidRDefault="00BC4B1F" w:rsidP="00BC4B1F">
      <w:pPr>
        <w:jc w:val="both"/>
        <w:rPr>
          <w:rFonts w:ascii="Times New Roman" w:hAnsi="Times New Roman" w:cs="Times New Roman"/>
        </w:rPr>
      </w:pPr>
      <w:r>
        <w:rPr>
          <w:rFonts w:ascii="Times New Roman" w:hAnsi="Times New Roman" w:cs="Times New Roman"/>
        </w:rPr>
        <w:tab/>
        <w:t>Chicago, IL 60606</w:t>
      </w:r>
    </w:p>
    <w:p w:rsidR="00BC4B1F" w:rsidRDefault="00BC4B1F" w:rsidP="00BC4B1F">
      <w:pPr>
        <w:jc w:val="both"/>
        <w:rPr>
          <w:rFonts w:ascii="Times New Roman" w:hAnsi="Times New Roman" w:cs="Times New Roman"/>
        </w:rPr>
      </w:pPr>
      <w:r>
        <w:rPr>
          <w:rFonts w:ascii="Times New Roman" w:hAnsi="Times New Roman" w:cs="Times New Roman"/>
        </w:rPr>
        <w:tab/>
      </w:r>
      <w:hyperlink r:id="rId9" w:history="1">
        <w:r w:rsidRPr="00CF5D64">
          <w:rPr>
            <w:rStyle w:val="Hyperlink"/>
            <w:rFonts w:ascii="Times New Roman" w:hAnsi="Times New Roman" w:cs="Times New Roman"/>
          </w:rPr>
          <w:t>mo2753@att.com</w:t>
        </w:r>
      </w:hyperlink>
    </w:p>
    <w:p w:rsidR="00BC4B1F" w:rsidRDefault="00BC4B1F" w:rsidP="00BC4B1F">
      <w:pPr>
        <w:jc w:val="both"/>
        <w:rPr>
          <w:rFonts w:ascii="Times New Roman" w:hAnsi="Times New Roman" w:cs="Times New Roman"/>
        </w:rPr>
      </w:pPr>
    </w:p>
    <w:p w:rsidR="00BC4B1F" w:rsidRDefault="00BC4B1F" w:rsidP="00BC4B1F">
      <w:pPr>
        <w:jc w:val="both"/>
        <w:rPr>
          <w:rFonts w:ascii="Times New Roman" w:hAnsi="Times New Roman" w:cs="Times New Roman"/>
        </w:rPr>
      </w:pPr>
      <w:r>
        <w:rPr>
          <w:rFonts w:ascii="Times New Roman" w:hAnsi="Times New Roman" w:cs="Times New Roman"/>
        </w:rPr>
        <w:tab/>
        <w:t>Dennis G. Friedman</w:t>
      </w:r>
    </w:p>
    <w:p w:rsidR="00BC4B1F" w:rsidRDefault="00BC4B1F" w:rsidP="00BC4B1F">
      <w:pPr>
        <w:jc w:val="both"/>
        <w:rPr>
          <w:rFonts w:ascii="Times New Roman" w:hAnsi="Times New Roman" w:cs="Times New Roman"/>
        </w:rPr>
      </w:pPr>
      <w:r>
        <w:rPr>
          <w:rFonts w:ascii="Times New Roman" w:hAnsi="Times New Roman" w:cs="Times New Roman"/>
        </w:rPr>
        <w:tab/>
        <w:t>Mayer Brown LLP</w:t>
      </w:r>
    </w:p>
    <w:p w:rsidR="00BC4B1F" w:rsidRDefault="00BC4B1F" w:rsidP="00BC4B1F">
      <w:pPr>
        <w:jc w:val="both"/>
        <w:rPr>
          <w:rFonts w:ascii="Times New Roman" w:hAnsi="Times New Roman" w:cs="Times New Roman"/>
        </w:rPr>
      </w:pPr>
      <w:r>
        <w:rPr>
          <w:rFonts w:ascii="Times New Roman" w:hAnsi="Times New Roman" w:cs="Times New Roman"/>
        </w:rPr>
        <w:tab/>
        <w:t>71 South Wacker Drive</w:t>
      </w:r>
    </w:p>
    <w:p w:rsidR="00BC4B1F" w:rsidRDefault="00BC4B1F" w:rsidP="00BC4B1F">
      <w:pPr>
        <w:jc w:val="both"/>
        <w:rPr>
          <w:rFonts w:ascii="Times New Roman" w:hAnsi="Times New Roman" w:cs="Times New Roman"/>
        </w:rPr>
      </w:pPr>
      <w:r>
        <w:rPr>
          <w:rFonts w:ascii="Times New Roman" w:hAnsi="Times New Roman" w:cs="Times New Roman"/>
        </w:rPr>
        <w:tab/>
        <w:t>Chicago, IL 60606</w:t>
      </w:r>
    </w:p>
    <w:p w:rsidR="00BC4B1F" w:rsidRDefault="00BC4B1F" w:rsidP="00BC4B1F">
      <w:pPr>
        <w:jc w:val="both"/>
        <w:rPr>
          <w:rStyle w:val="Hyperlink"/>
          <w:rFonts w:ascii="Times New Roman" w:hAnsi="Times New Roman" w:cs="Times New Roman"/>
        </w:rPr>
      </w:pPr>
      <w:r>
        <w:rPr>
          <w:rFonts w:ascii="Times New Roman" w:hAnsi="Times New Roman" w:cs="Times New Roman"/>
        </w:rPr>
        <w:tab/>
      </w:r>
      <w:hyperlink r:id="rId10" w:history="1">
        <w:r w:rsidR="00F26660" w:rsidRPr="00E90E8E">
          <w:rPr>
            <w:rStyle w:val="Hyperlink"/>
            <w:rFonts w:ascii="Times New Roman" w:hAnsi="Times New Roman" w:cs="Times New Roman"/>
          </w:rPr>
          <w:t>dfriedman@mayerbrown.com</w:t>
        </w:r>
      </w:hyperlink>
    </w:p>
    <w:p w:rsidR="00F26660" w:rsidRDefault="00F26660" w:rsidP="00BC4B1F">
      <w:pPr>
        <w:jc w:val="both"/>
        <w:rPr>
          <w:rStyle w:val="Hyperlink"/>
          <w:rFonts w:ascii="Times New Roman" w:hAnsi="Times New Roman" w:cs="Times New Roman"/>
        </w:rPr>
      </w:pPr>
    </w:p>
    <w:p w:rsidR="00F26660" w:rsidRPr="00140C11" w:rsidRDefault="00140C11" w:rsidP="00BC4B1F">
      <w:pPr>
        <w:jc w:val="both"/>
        <w:rPr>
          <w:rStyle w:val="Hyperlink"/>
          <w:rFonts w:ascii="Times New Roman" w:hAnsi="Times New Roman" w:cs="Times New Roman"/>
          <w:color w:val="auto"/>
          <w:u w:val="none"/>
        </w:rPr>
      </w:pPr>
      <w:r>
        <w:rPr>
          <w:rStyle w:val="Hyperlink"/>
          <w:color w:val="auto"/>
          <w:u w:val="none"/>
        </w:rPr>
        <w:tab/>
      </w:r>
      <w:r w:rsidRPr="00140C11">
        <w:rPr>
          <w:rStyle w:val="Hyperlink"/>
          <w:rFonts w:ascii="Times New Roman" w:hAnsi="Times New Roman" w:cs="Times New Roman"/>
          <w:color w:val="auto"/>
          <w:u w:val="none"/>
        </w:rPr>
        <w:t>L. Douglas Jennings</w:t>
      </w:r>
    </w:p>
    <w:p w:rsidR="00140C11" w:rsidRPr="00140C11" w:rsidRDefault="00140C11" w:rsidP="00BC4B1F">
      <w:pPr>
        <w:jc w:val="both"/>
        <w:rPr>
          <w:rStyle w:val="Hyperlink"/>
          <w:rFonts w:ascii="Times New Roman" w:hAnsi="Times New Roman" w:cs="Times New Roman"/>
          <w:color w:val="auto"/>
          <w:u w:val="none"/>
        </w:rPr>
      </w:pPr>
      <w:r w:rsidRPr="00140C11">
        <w:rPr>
          <w:rStyle w:val="Hyperlink"/>
          <w:rFonts w:ascii="Times New Roman" w:hAnsi="Times New Roman" w:cs="Times New Roman"/>
          <w:color w:val="auto"/>
          <w:u w:val="none"/>
        </w:rPr>
        <w:tab/>
        <w:t>Attorney Examiner</w:t>
      </w:r>
    </w:p>
    <w:p w:rsidR="00140C11" w:rsidRPr="00140C11" w:rsidRDefault="00140C11" w:rsidP="00BC4B1F">
      <w:pPr>
        <w:jc w:val="both"/>
        <w:rPr>
          <w:rStyle w:val="Hyperlink"/>
          <w:rFonts w:ascii="Times New Roman" w:hAnsi="Times New Roman" w:cs="Times New Roman"/>
          <w:color w:val="auto"/>
          <w:u w:val="none"/>
        </w:rPr>
      </w:pPr>
      <w:r w:rsidRPr="00140C11">
        <w:rPr>
          <w:rStyle w:val="Hyperlink"/>
          <w:rFonts w:ascii="Times New Roman" w:hAnsi="Times New Roman" w:cs="Times New Roman"/>
          <w:color w:val="auto"/>
          <w:u w:val="none"/>
        </w:rPr>
        <w:tab/>
        <w:t>Public Utilities Commission of Ohio</w:t>
      </w:r>
    </w:p>
    <w:p w:rsidR="00140C11" w:rsidRPr="00140C11" w:rsidRDefault="00140C11" w:rsidP="00BC4B1F">
      <w:pPr>
        <w:jc w:val="both"/>
        <w:rPr>
          <w:rStyle w:val="Hyperlink"/>
          <w:rFonts w:ascii="Times New Roman" w:hAnsi="Times New Roman" w:cs="Times New Roman"/>
          <w:color w:val="auto"/>
          <w:u w:val="none"/>
        </w:rPr>
      </w:pPr>
      <w:r w:rsidRPr="00140C11">
        <w:rPr>
          <w:rStyle w:val="Hyperlink"/>
          <w:rFonts w:ascii="Times New Roman" w:hAnsi="Times New Roman" w:cs="Times New Roman"/>
          <w:color w:val="auto"/>
          <w:u w:val="none"/>
        </w:rPr>
        <w:tab/>
        <w:t>180 East Broad Street</w:t>
      </w:r>
    </w:p>
    <w:p w:rsidR="00140C11" w:rsidRPr="00140C11" w:rsidRDefault="00140C11" w:rsidP="00BC4B1F">
      <w:pPr>
        <w:jc w:val="both"/>
        <w:rPr>
          <w:rStyle w:val="Hyperlink"/>
          <w:rFonts w:ascii="Times New Roman" w:hAnsi="Times New Roman" w:cs="Times New Roman"/>
          <w:color w:val="auto"/>
          <w:u w:val="none"/>
        </w:rPr>
      </w:pPr>
      <w:r w:rsidRPr="00140C11">
        <w:rPr>
          <w:rStyle w:val="Hyperlink"/>
          <w:rFonts w:ascii="Times New Roman" w:hAnsi="Times New Roman" w:cs="Times New Roman"/>
          <w:color w:val="auto"/>
          <w:u w:val="none"/>
        </w:rPr>
        <w:tab/>
        <w:t>Columbus, OH 43231</w:t>
      </w:r>
    </w:p>
    <w:p w:rsidR="00140C11" w:rsidRPr="00140C11" w:rsidRDefault="00140C11" w:rsidP="00BC4B1F">
      <w:pPr>
        <w:jc w:val="both"/>
        <w:rPr>
          <w:rStyle w:val="Hyperlink"/>
          <w:rFonts w:ascii="Times New Roman" w:hAnsi="Times New Roman" w:cs="Times New Roman"/>
          <w:color w:val="auto"/>
          <w:u w:val="none"/>
        </w:rPr>
      </w:pPr>
      <w:r w:rsidRPr="00140C11">
        <w:rPr>
          <w:rStyle w:val="Hyperlink"/>
          <w:rFonts w:ascii="Times New Roman" w:hAnsi="Times New Roman" w:cs="Times New Roman"/>
          <w:color w:val="auto"/>
          <w:u w:val="none"/>
        </w:rPr>
        <w:tab/>
      </w:r>
      <w:hyperlink r:id="rId11" w:history="1">
        <w:r w:rsidRPr="00140C11">
          <w:rPr>
            <w:rStyle w:val="Hyperlink"/>
            <w:rFonts w:ascii="Times New Roman" w:hAnsi="Times New Roman" w:cs="Times New Roman"/>
          </w:rPr>
          <w:t>Doug.jennings@puco.ohio.gov</w:t>
        </w:r>
      </w:hyperlink>
    </w:p>
    <w:p w:rsidR="00140C11" w:rsidRPr="00140C11" w:rsidRDefault="00140C11" w:rsidP="00BC4B1F">
      <w:pPr>
        <w:jc w:val="both"/>
        <w:rPr>
          <w:rStyle w:val="Hyperlink"/>
          <w:rFonts w:ascii="Times New Roman" w:hAnsi="Times New Roman" w:cs="Times New Roman"/>
          <w:color w:val="auto"/>
          <w:u w:val="none"/>
        </w:rPr>
      </w:pPr>
    </w:p>
    <w:p w:rsidR="00140C11" w:rsidRPr="00140C11" w:rsidRDefault="00140C11" w:rsidP="00BC4B1F">
      <w:pPr>
        <w:jc w:val="both"/>
        <w:rPr>
          <w:rStyle w:val="Hyperlink"/>
          <w:rFonts w:ascii="Times New Roman" w:hAnsi="Times New Roman" w:cs="Times New Roman"/>
          <w:u w:val="none"/>
        </w:rPr>
      </w:pPr>
    </w:p>
    <w:p w:rsidR="00BC4B1F" w:rsidRPr="00BC4B1F" w:rsidRDefault="00BC4B1F" w:rsidP="00BC4B1F">
      <w:pPr>
        <w:jc w:val="both"/>
        <w:rPr>
          <w:rStyle w:val="Hyperlink"/>
        </w:rPr>
      </w:pPr>
    </w:p>
    <w:p w:rsidR="00BC4B1F" w:rsidRPr="00BC4B1F" w:rsidRDefault="00BC4B1F" w:rsidP="00BC4B1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52088">
        <w:rPr>
          <w:rFonts w:ascii="Times New Roman" w:hAnsi="Times New Roman" w:cs="Times New Roman"/>
          <w:i/>
          <w:u w:val="single"/>
        </w:rPr>
        <w:t>/s/ William A. Adams</w:t>
      </w:r>
      <w:bookmarkStart w:id="0" w:name="_GoBack"/>
      <w:bookmarkEnd w:id="0"/>
      <w:r w:rsidRPr="00BC4B1F">
        <w:rPr>
          <w:rFonts w:ascii="Times New Roman" w:hAnsi="Times New Roman" w:cs="Times New Roman"/>
          <w:u w:val="single"/>
        </w:rPr>
        <w:tab/>
      </w:r>
      <w:r w:rsidRPr="00BC4B1F">
        <w:rPr>
          <w:rFonts w:ascii="Times New Roman" w:hAnsi="Times New Roman" w:cs="Times New Roman"/>
          <w:u w:val="single"/>
        </w:rPr>
        <w:tab/>
      </w:r>
      <w:r w:rsidRPr="00BC4B1F">
        <w:rPr>
          <w:rFonts w:ascii="Times New Roman" w:hAnsi="Times New Roman" w:cs="Times New Roman"/>
          <w:u w:val="single"/>
        </w:rPr>
        <w:tab/>
      </w:r>
      <w:r w:rsidRPr="00BC4B1F">
        <w:rPr>
          <w:rFonts w:ascii="Times New Roman" w:hAnsi="Times New Roman" w:cs="Times New Roman"/>
          <w:u w:val="single"/>
        </w:rPr>
        <w:tab/>
      </w:r>
      <w:r w:rsidRPr="00BC4B1F">
        <w:rPr>
          <w:rFonts w:ascii="Times New Roman" w:hAnsi="Times New Roman" w:cs="Times New Roman"/>
          <w:u w:val="single"/>
        </w:rPr>
        <w:tab/>
      </w:r>
    </w:p>
    <w:p w:rsidR="00093321" w:rsidRPr="00093321" w:rsidRDefault="00BC4B1F" w:rsidP="006839FA">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4B1F">
        <w:rPr>
          <w:rFonts w:ascii="Times New Roman" w:hAnsi="Times New Roman" w:cs="Times New Roman"/>
        </w:rPr>
        <w:t>William A. Adams, Counsel of Record</w:t>
      </w:r>
    </w:p>
    <w:sectPr w:rsidR="00093321" w:rsidRPr="00093321" w:rsidSect="008C519A">
      <w:footerReference w:type="default" r:id="rId12"/>
      <w:footerReference w:type="first" r:id="rId13"/>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46C" w:rsidRDefault="00E2446C" w:rsidP="00E2446C">
      <w:r>
        <w:separator/>
      </w:r>
    </w:p>
  </w:endnote>
  <w:endnote w:type="continuationSeparator" w:id="0">
    <w:p w:rsidR="00E2446C" w:rsidRDefault="00E2446C" w:rsidP="00E2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266285"/>
      <w:docPartObj>
        <w:docPartGallery w:val="Page Numbers (Bottom of Page)"/>
        <w:docPartUnique/>
      </w:docPartObj>
    </w:sdtPr>
    <w:sdtEndPr>
      <w:rPr>
        <w:rFonts w:ascii="Times New Roman" w:hAnsi="Times New Roman" w:cs="Times New Roman"/>
        <w:noProof/>
      </w:rPr>
    </w:sdtEndPr>
    <w:sdtContent>
      <w:p w:rsidR="00E2446C" w:rsidRPr="00E2446C" w:rsidRDefault="00E2446C">
        <w:pPr>
          <w:pStyle w:val="Footer"/>
          <w:jc w:val="center"/>
          <w:rPr>
            <w:rFonts w:ascii="Times New Roman" w:hAnsi="Times New Roman" w:cs="Times New Roman"/>
          </w:rPr>
        </w:pPr>
        <w:r w:rsidRPr="00E2446C">
          <w:rPr>
            <w:rFonts w:ascii="Times New Roman" w:hAnsi="Times New Roman" w:cs="Times New Roman"/>
          </w:rPr>
          <w:fldChar w:fldCharType="begin"/>
        </w:r>
        <w:r w:rsidRPr="00E2446C">
          <w:rPr>
            <w:rFonts w:ascii="Times New Roman" w:hAnsi="Times New Roman" w:cs="Times New Roman"/>
          </w:rPr>
          <w:instrText xml:space="preserve"> PAGE   \* MERGEFORMAT </w:instrText>
        </w:r>
        <w:r w:rsidRPr="00E2446C">
          <w:rPr>
            <w:rFonts w:ascii="Times New Roman" w:hAnsi="Times New Roman" w:cs="Times New Roman"/>
          </w:rPr>
          <w:fldChar w:fldCharType="separate"/>
        </w:r>
        <w:r w:rsidR="00852088">
          <w:rPr>
            <w:rFonts w:ascii="Times New Roman" w:hAnsi="Times New Roman" w:cs="Times New Roman"/>
            <w:noProof/>
          </w:rPr>
          <w:t>7</w:t>
        </w:r>
        <w:r w:rsidRPr="00E2446C">
          <w:rPr>
            <w:rFonts w:ascii="Times New Roman" w:hAnsi="Times New Roman" w:cs="Times New Roman"/>
            <w:noProof/>
          </w:rPr>
          <w:fldChar w:fldCharType="end"/>
        </w:r>
      </w:p>
    </w:sdtContent>
  </w:sdt>
  <w:p w:rsidR="00DD1E43" w:rsidRPr="00E2446C" w:rsidRDefault="00DD1E43" w:rsidP="00DD1E43">
    <w:pPr>
      <w:pStyle w:val="Footer"/>
      <w:rPr>
        <w:rFonts w:ascii="Times New Roman" w:hAnsi="Times New Roman" w:cs="Times New Roman"/>
        <w:sz w:val="16"/>
      </w:rPr>
    </w:pPr>
    <w:r>
      <w:rPr>
        <w:rFonts w:ascii="Times New Roman" w:hAnsi="Times New Roman" w:cs="Times New Roman"/>
        <w:sz w:val="16"/>
      </w:rPr>
      <w:t>#876743</w:t>
    </w:r>
    <w:r w:rsidRPr="00E2446C">
      <w:rPr>
        <w:rFonts w:ascii="Times New Roman" w:hAnsi="Times New Roman" w:cs="Times New Roman"/>
        <w:sz w:val="16"/>
      </w:rPr>
      <w:t>v1</w:t>
    </w:r>
  </w:p>
  <w:p w:rsidR="00E2446C" w:rsidRPr="00E2446C" w:rsidRDefault="00E2446C" w:rsidP="00DD1E43">
    <w:pPr>
      <w:pStyle w:val="Footer"/>
      <w:rPr>
        <w:rFonts w:ascii="Times New Roman" w:hAnsi="Times New Roman" w:cs="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FA4" w:rsidRPr="00E2446C" w:rsidRDefault="00DD1E43" w:rsidP="00FD4FA4">
    <w:pPr>
      <w:pStyle w:val="Footer"/>
      <w:rPr>
        <w:rFonts w:ascii="Times New Roman" w:hAnsi="Times New Roman" w:cs="Times New Roman"/>
        <w:sz w:val="16"/>
      </w:rPr>
    </w:pPr>
    <w:r>
      <w:rPr>
        <w:rFonts w:ascii="Times New Roman" w:hAnsi="Times New Roman" w:cs="Times New Roman"/>
        <w:sz w:val="16"/>
      </w:rPr>
      <w:t>#876743</w:t>
    </w:r>
    <w:r w:rsidR="003F71A7">
      <w:rPr>
        <w:rFonts w:ascii="Times New Roman" w:hAnsi="Times New Roman" w:cs="Times New Roman"/>
        <w:sz w:val="16"/>
      </w:rPr>
      <w:t>v2</w:t>
    </w:r>
  </w:p>
  <w:p w:rsidR="00E2446C" w:rsidRDefault="00E24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46C" w:rsidRDefault="00E2446C" w:rsidP="00E2446C">
      <w:r>
        <w:separator/>
      </w:r>
    </w:p>
  </w:footnote>
  <w:footnote w:type="continuationSeparator" w:id="0">
    <w:p w:rsidR="00E2446C" w:rsidRDefault="00E2446C" w:rsidP="00E24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C57AF"/>
    <w:multiLevelType w:val="hybridMultilevel"/>
    <w:tmpl w:val="501463CE"/>
    <w:lvl w:ilvl="0" w:tplc="710076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8E3AC0"/>
    <w:multiLevelType w:val="hybridMultilevel"/>
    <w:tmpl w:val="501463CE"/>
    <w:lvl w:ilvl="0" w:tplc="710076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47061D"/>
    <w:multiLevelType w:val="hybridMultilevel"/>
    <w:tmpl w:val="501463CE"/>
    <w:lvl w:ilvl="0" w:tplc="710076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6676DF"/>
    <w:multiLevelType w:val="hybridMultilevel"/>
    <w:tmpl w:val="501463CE"/>
    <w:lvl w:ilvl="0" w:tplc="71007664">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ABC7965"/>
    <w:multiLevelType w:val="hybridMultilevel"/>
    <w:tmpl w:val="501463CE"/>
    <w:lvl w:ilvl="0" w:tplc="710076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233C5A"/>
    <w:multiLevelType w:val="hybridMultilevel"/>
    <w:tmpl w:val="501463CE"/>
    <w:lvl w:ilvl="0" w:tplc="710076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F8"/>
    <w:rsid w:val="0000010F"/>
    <w:rsid w:val="00002F16"/>
    <w:rsid w:val="0000315C"/>
    <w:rsid w:val="00043ADE"/>
    <w:rsid w:val="000568CD"/>
    <w:rsid w:val="00070000"/>
    <w:rsid w:val="00082130"/>
    <w:rsid w:val="00087CBC"/>
    <w:rsid w:val="00093321"/>
    <w:rsid w:val="000B125C"/>
    <w:rsid w:val="000D0B73"/>
    <w:rsid w:val="000D5811"/>
    <w:rsid w:val="000E13EE"/>
    <w:rsid w:val="000F50A7"/>
    <w:rsid w:val="00105A47"/>
    <w:rsid w:val="00121013"/>
    <w:rsid w:val="001404A3"/>
    <w:rsid w:val="00140C11"/>
    <w:rsid w:val="001513B6"/>
    <w:rsid w:val="001641E2"/>
    <w:rsid w:val="001B4ACF"/>
    <w:rsid w:val="001B7AA6"/>
    <w:rsid w:val="001D14AF"/>
    <w:rsid w:val="001D1A21"/>
    <w:rsid w:val="00232F86"/>
    <w:rsid w:val="00243AB9"/>
    <w:rsid w:val="00261FC2"/>
    <w:rsid w:val="00273141"/>
    <w:rsid w:val="00273F86"/>
    <w:rsid w:val="00287BBF"/>
    <w:rsid w:val="00293309"/>
    <w:rsid w:val="00294E80"/>
    <w:rsid w:val="002F24C2"/>
    <w:rsid w:val="002F57CC"/>
    <w:rsid w:val="003531C0"/>
    <w:rsid w:val="00380325"/>
    <w:rsid w:val="00382C5C"/>
    <w:rsid w:val="00393B5F"/>
    <w:rsid w:val="003946A1"/>
    <w:rsid w:val="003B72D2"/>
    <w:rsid w:val="003B7443"/>
    <w:rsid w:val="003F71A7"/>
    <w:rsid w:val="004157FE"/>
    <w:rsid w:val="004226DB"/>
    <w:rsid w:val="004316F8"/>
    <w:rsid w:val="004428D5"/>
    <w:rsid w:val="004B06EE"/>
    <w:rsid w:val="004D0A96"/>
    <w:rsid w:val="00536A06"/>
    <w:rsid w:val="00552D97"/>
    <w:rsid w:val="00554800"/>
    <w:rsid w:val="00584B2E"/>
    <w:rsid w:val="005B6E62"/>
    <w:rsid w:val="005C2874"/>
    <w:rsid w:val="006148BE"/>
    <w:rsid w:val="006207C3"/>
    <w:rsid w:val="006208BC"/>
    <w:rsid w:val="006439F2"/>
    <w:rsid w:val="006618C6"/>
    <w:rsid w:val="00665B3F"/>
    <w:rsid w:val="006839FA"/>
    <w:rsid w:val="006B559E"/>
    <w:rsid w:val="0071623A"/>
    <w:rsid w:val="00732A54"/>
    <w:rsid w:val="0073668E"/>
    <w:rsid w:val="007374C4"/>
    <w:rsid w:val="0075436F"/>
    <w:rsid w:val="00785A3D"/>
    <w:rsid w:val="00790F4E"/>
    <w:rsid w:val="007B26D6"/>
    <w:rsid w:val="007B3DED"/>
    <w:rsid w:val="007D3185"/>
    <w:rsid w:val="007E32B1"/>
    <w:rsid w:val="007E5735"/>
    <w:rsid w:val="007E6070"/>
    <w:rsid w:val="00852088"/>
    <w:rsid w:val="00870CFF"/>
    <w:rsid w:val="008868E9"/>
    <w:rsid w:val="008C519A"/>
    <w:rsid w:val="008C676A"/>
    <w:rsid w:val="008E0F11"/>
    <w:rsid w:val="008E6AF0"/>
    <w:rsid w:val="00901EFD"/>
    <w:rsid w:val="0090314A"/>
    <w:rsid w:val="00913169"/>
    <w:rsid w:val="00936EE2"/>
    <w:rsid w:val="009A4B7F"/>
    <w:rsid w:val="009E2613"/>
    <w:rsid w:val="009E349D"/>
    <w:rsid w:val="00A16FC3"/>
    <w:rsid w:val="00A511C6"/>
    <w:rsid w:val="00A60F36"/>
    <w:rsid w:val="00A7527D"/>
    <w:rsid w:val="00A85C73"/>
    <w:rsid w:val="00AC621B"/>
    <w:rsid w:val="00AD07CA"/>
    <w:rsid w:val="00B02F29"/>
    <w:rsid w:val="00B30174"/>
    <w:rsid w:val="00B40580"/>
    <w:rsid w:val="00B50A5D"/>
    <w:rsid w:val="00B70741"/>
    <w:rsid w:val="00BB2B31"/>
    <w:rsid w:val="00BB48D3"/>
    <w:rsid w:val="00BC4B1F"/>
    <w:rsid w:val="00BE3DA8"/>
    <w:rsid w:val="00C16B09"/>
    <w:rsid w:val="00C203D5"/>
    <w:rsid w:val="00C3369F"/>
    <w:rsid w:val="00C37641"/>
    <w:rsid w:val="00C67D34"/>
    <w:rsid w:val="00C7387A"/>
    <w:rsid w:val="00CA3A98"/>
    <w:rsid w:val="00CA40E6"/>
    <w:rsid w:val="00CB0EF0"/>
    <w:rsid w:val="00CE48FF"/>
    <w:rsid w:val="00CE5313"/>
    <w:rsid w:val="00CF4826"/>
    <w:rsid w:val="00D109C0"/>
    <w:rsid w:val="00D30AC7"/>
    <w:rsid w:val="00D3498F"/>
    <w:rsid w:val="00D378ED"/>
    <w:rsid w:val="00D60A56"/>
    <w:rsid w:val="00D64D94"/>
    <w:rsid w:val="00D71784"/>
    <w:rsid w:val="00D80864"/>
    <w:rsid w:val="00D84A5E"/>
    <w:rsid w:val="00DB6AC6"/>
    <w:rsid w:val="00DB6B3A"/>
    <w:rsid w:val="00DB6E41"/>
    <w:rsid w:val="00DD1E43"/>
    <w:rsid w:val="00DE40C8"/>
    <w:rsid w:val="00DF0B6B"/>
    <w:rsid w:val="00E149DC"/>
    <w:rsid w:val="00E2446C"/>
    <w:rsid w:val="00E37478"/>
    <w:rsid w:val="00E418BB"/>
    <w:rsid w:val="00E53DEB"/>
    <w:rsid w:val="00E7532B"/>
    <w:rsid w:val="00EB43EC"/>
    <w:rsid w:val="00EC125A"/>
    <w:rsid w:val="00EE2DAC"/>
    <w:rsid w:val="00F13A42"/>
    <w:rsid w:val="00F20D9C"/>
    <w:rsid w:val="00F2236D"/>
    <w:rsid w:val="00F24F64"/>
    <w:rsid w:val="00F26660"/>
    <w:rsid w:val="00F277DA"/>
    <w:rsid w:val="00F32A0C"/>
    <w:rsid w:val="00F43526"/>
    <w:rsid w:val="00F515CD"/>
    <w:rsid w:val="00F621CF"/>
    <w:rsid w:val="00F70AD8"/>
    <w:rsid w:val="00F72866"/>
    <w:rsid w:val="00FD4FA4"/>
    <w:rsid w:val="00FF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socialsecuritynumber"/>
  <w:shapeDefaults>
    <o:shapedefaults v:ext="edit" spidmax="30721"/>
    <o:shapelayout v:ext="edit">
      <o:idmap v:ext="edit" data="1"/>
    </o:shapelayout>
  </w:shapeDefaults>
  <w:decimalSymbol w:val="."/>
  <w:listSeparator w:val=","/>
  <w14:docId w14:val="3758C46D"/>
  <w15:docId w15:val="{852D89E0-9712-4455-A60F-93F50D43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316F8"/>
    <w:pPr>
      <w:widowControl w:val="0"/>
      <w:autoSpaceDE w:val="0"/>
      <w:autoSpaceDN w:val="0"/>
      <w:adjustRightInd w:val="0"/>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46C"/>
    <w:pPr>
      <w:tabs>
        <w:tab w:val="center" w:pos="4680"/>
        <w:tab w:val="right" w:pos="9360"/>
      </w:tabs>
    </w:pPr>
  </w:style>
  <w:style w:type="character" w:customStyle="1" w:styleId="HeaderChar">
    <w:name w:val="Header Char"/>
    <w:basedOn w:val="DefaultParagraphFont"/>
    <w:link w:val="Header"/>
    <w:uiPriority w:val="99"/>
    <w:rsid w:val="00E2446C"/>
    <w:rPr>
      <w:rFonts w:ascii="Arial" w:eastAsiaTheme="minorEastAsia" w:hAnsi="Arial" w:cs="Arial"/>
      <w:sz w:val="24"/>
      <w:szCs w:val="24"/>
    </w:rPr>
  </w:style>
  <w:style w:type="paragraph" w:styleId="Footer">
    <w:name w:val="footer"/>
    <w:basedOn w:val="Normal"/>
    <w:link w:val="FooterChar"/>
    <w:uiPriority w:val="99"/>
    <w:unhideWhenUsed/>
    <w:rsid w:val="00E2446C"/>
    <w:pPr>
      <w:tabs>
        <w:tab w:val="center" w:pos="4680"/>
        <w:tab w:val="right" w:pos="9360"/>
      </w:tabs>
    </w:pPr>
  </w:style>
  <w:style w:type="character" w:customStyle="1" w:styleId="FooterChar">
    <w:name w:val="Footer Char"/>
    <w:basedOn w:val="DefaultParagraphFont"/>
    <w:link w:val="Footer"/>
    <w:uiPriority w:val="99"/>
    <w:rsid w:val="00E2446C"/>
    <w:rPr>
      <w:rFonts w:ascii="Arial" w:eastAsiaTheme="minorEastAsia" w:hAnsi="Arial" w:cs="Arial"/>
      <w:sz w:val="24"/>
      <w:szCs w:val="24"/>
    </w:rPr>
  </w:style>
  <w:style w:type="paragraph" w:styleId="BodyText">
    <w:name w:val="Body Text"/>
    <w:basedOn w:val="Normal"/>
    <w:link w:val="BodyTextChar"/>
    <w:rsid w:val="00093321"/>
    <w:pPr>
      <w:widowControl/>
      <w:autoSpaceDE/>
      <w:autoSpaceDN/>
      <w:adjustRightInd/>
      <w:spacing w:line="48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3321"/>
    <w:rPr>
      <w:rFonts w:ascii="Times New Roman" w:eastAsia="Times New Roman" w:hAnsi="Times New Roman" w:cs="Times New Roman"/>
      <w:sz w:val="24"/>
      <w:szCs w:val="20"/>
    </w:rPr>
  </w:style>
  <w:style w:type="character" w:styleId="Hyperlink">
    <w:name w:val="Hyperlink"/>
    <w:rsid w:val="00093321"/>
    <w:rPr>
      <w:color w:val="0000FF"/>
      <w:u w:val="single"/>
    </w:rPr>
  </w:style>
  <w:style w:type="character" w:customStyle="1" w:styleId="Bodytext0">
    <w:name w:val="Body text_"/>
    <w:basedOn w:val="DefaultParagraphFont"/>
    <w:link w:val="BodyText1"/>
    <w:rsid w:val="00393B5F"/>
    <w:rPr>
      <w:rFonts w:ascii="Times New Roman" w:eastAsia="Times New Roman" w:hAnsi="Times New Roman" w:cs="Times New Roman"/>
      <w:shd w:val="clear" w:color="auto" w:fill="FFFFFF"/>
    </w:rPr>
  </w:style>
  <w:style w:type="paragraph" w:customStyle="1" w:styleId="BodyText1">
    <w:name w:val="Body Text1"/>
    <w:basedOn w:val="Normal"/>
    <w:link w:val="Bodytext0"/>
    <w:rsid w:val="00393B5F"/>
    <w:pPr>
      <w:shd w:val="clear" w:color="auto" w:fill="FFFFFF"/>
      <w:autoSpaceDE/>
      <w:autoSpaceDN/>
      <w:adjustRightInd/>
      <w:spacing w:after="240" w:line="277" w:lineRule="exact"/>
      <w:jc w:val="both"/>
    </w:pPr>
    <w:rPr>
      <w:rFonts w:ascii="Times New Roman" w:eastAsia="Times New Roman" w:hAnsi="Times New Roman" w:cs="Times New Roman"/>
      <w:sz w:val="22"/>
      <w:szCs w:val="22"/>
    </w:rPr>
  </w:style>
  <w:style w:type="character" w:customStyle="1" w:styleId="BodytextItalic">
    <w:name w:val="Body text + Italic"/>
    <w:basedOn w:val="Bodytext0"/>
    <w:rsid w:val="00393B5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rPr>
  </w:style>
  <w:style w:type="character" w:customStyle="1" w:styleId="Bodytext2">
    <w:name w:val="Body text (2)_"/>
    <w:basedOn w:val="DefaultParagraphFont"/>
    <w:link w:val="Bodytext20"/>
    <w:rsid w:val="00393B5F"/>
    <w:rPr>
      <w:rFonts w:ascii="MS Gothic" w:eastAsia="MS Gothic" w:hAnsi="MS Gothic" w:cs="MS Gothic"/>
      <w:sz w:val="17"/>
      <w:szCs w:val="17"/>
      <w:shd w:val="clear" w:color="auto" w:fill="FFFFFF"/>
    </w:rPr>
  </w:style>
  <w:style w:type="paragraph" w:customStyle="1" w:styleId="Bodytext20">
    <w:name w:val="Body text (2)"/>
    <w:basedOn w:val="Normal"/>
    <w:link w:val="Bodytext2"/>
    <w:rsid w:val="00393B5F"/>
    <w:pPr>
      <w:shd w:val="clear" w:color="auto" w:fill="FFFFFF"/>
      <w:autoSpaceDE/>
      <w:autoSpaceDN/>
      <w:adjustRightInd/>
      <w:spacing w:before="180" w:after="360" w:line="0" w:lineRule="atLeast"/>
      <w:jc w:val="center"/>
    </w:pPr>
    <w:rPr>
      <w:rFonts w:ascii="MS Gothic" w:eastAsia="MS Gothic" w:hAnsi="MS Gothic" w:cs="MS Gothic"/>
      <w:sz w:val="17"/>
      <w:szCs w:val="17"/>
    </w:rPr>
  </w:style>
  <w:style w:type="paragraph" w:styleId="BalloonText">
    <w:name w:val="Balloon Text"/>
    <w:basedOn w:val="Normal"/>
    <w:link w:val="BalloonTextChar"/>
    <w:uiPriority w:val="99"/>
    <w:semiHidden/>
    <w:unhideWhenUsed/>
    <w:rsid w:val="007B2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6D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dams@baileycav.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ug.jennings@puco.ohio.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friedman@mayerbrown.com" TargetMode="External"/><Relationship Id="rId4" Type="http://schemas.openxmlformats.org/officeDocument/2006/relationships/settings" Target="settings.xml"/><Relationship Id="rId9" Type="http://schemas.openxmlformats.org/officeDocument/2006/relationships/hyperlink" Target="mailto:mo2753@at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F6C6-8879-45F5-9EDB-514F0493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Gerber</dc:creator>
  <cp:keywords/>
  <dc:description/>
  <cp:lastModifiedBy>Sherry Gerber</cp:lastModifiedBy>
  <cp:revision>2</cp:revision>
  <cp:lastPrinted>2016-07-20T13:54:00Z</cp:lastPrinted>
  <dcterms:created xsi:type="dcterms:W3CDTF">2016-07-20T13:54:00Z</dcterms:created>
  <dcterms:modified xsi:type="dcterms:W3CDTF">2016-07-20T13:54:00Z</dcterms:modified>
</cp:coreProperties>
</file>