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2C9" w:rsidRDefault="009E752A" w:rsidP="005C66BD">
      <w:pPr>
        <w:jc w:val="right"/>
        <w:rPr>
          <w:b/>
          <w:bCs/>
          <w:i/>
          <w:iCs/>
        </w:rPr>
      </w:pPr>
      <w:bookmarkStart w:id="0" w:name="_GoBack"/>
      <w:bookmarkEnd w:id="0"/>
      <w:r>
        <w:rPr>
          <w:b/>
          <w:bCs/>
          <w:i/>
          <w:iCs/>
        </w:rPr>
        <w:t>OCC EXHIBIT_______</w:t>
      </w:r>
    </w:p>
    <w:p w:rsidR="004552C9" w:rsidRDefault="004552C9"/>
    <w:p w:rsidR="004552C9" w:rsidRDefault="004552C9">
      <w:pPr>
        <w:jc w:val="center"/>
      </w:pPr>
    </w:p>
    <w:p w:rsidR="004552C9" w:rsidRDefault="009E752A">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BEFORE</w:t>
      </w:r>
    </w:p>
    <w:p w:rsidR="004552C9" w:rsidRDefault="009E752A">
      <w:pPr>
        <w:pStyle w:val="HTMLPreformatted"/>
        <w:jc w:val="center"/>
        <w:rPr>
          <w:rFonts w:ascii="Times New Roman" w:hAnsi="Times New Roman" w:cs="Times New Roman"/>
          <w:sz w:val="24"/>
          <w:szCs w:val="24"/>
        </w:rPr>
      </w:pPr>
      <w:r>
        <w:rPr>
          <w:rFonts w:ascii="Times New Roman" w:hAnsi="Times New Roman" w:cs="Times New Roman"/>
          <w:b/>
          <w:bCs/>
          <w:sz w:val="24"/>
          <w:szCs w:val="24"/>
        </w:rPr>
        <w:t>THE PUBLIC UTILITIES COMMISSION OF OHIO</w:t>
      </w:r>
    </w:p>
    <w:p w:rsidR="004552C9" w:rsidRDefault="004552C9">
      <w:pPr>
        <w:pStyle w:val="HTMLPreformatted"/>
        <w:jc w:val="center"/>
        <w:rPr>
          <w:rFonts w:ascii="Times New Roman" w:hAnsi="Times New Roman" w:cs="Times New Roman"/>
          <w:sz w:val="24"/>
          <w:szCs w:val="24"/>
        </w:rPr>
      </w:pPr>
    </w:p>
    <w:tbl>
      <w:tblPr>
        <w:tblW w:w="9092" w:type="dxa"/>
        <w:tblInd w:w="-106" w:type="dxa"/>
        <w:tblLook w:val="01E0" w:firstRow="1" w:lastRow="1" w:firstColumn="1" w:lastColumn="1" w:noHBand="0" w:noVBand="0"/>
      </w:tblPr>
      <w:tblGrid>
        <w:gridCol w:w="4326"/>
        <w:gridCol w:w="376"/>
        <w:gridCol w:w="4390"/>
      </w:tblGrid>
      <w:tr w:rsidR="004552C9">
        <w:trPr>
          <w:trHeight w:val="807"/>
        </w:trPr>
        <w:tc>
          <w:tcPr>
            <w:tcW w:w="4326" w:type="dxa"/>
          </w:tcPr>
          <w:p w:rsidR="004552C9" w:rsidRDefault="009E752A">
            <w:pPr>
              <w:autoSpaceDE w:val="0"/>
              <w:autoSpaceDN w:val="0"/>
              <w:adjustRightInd w:val="0"/>
            </w:pPr>
            <w:r>
              <w:t>In the Matter of the Application of</w:t>
            </w:r>
          </w:p>
          <w:p w:rsidR="004552C9" w:rsidRDefault="009E752A">
            <w:pPr>
              <w:pStyle w:val="HTMLPreformatted"/>
              <w:rPr>
                <w:rFonts w:ascii="Times New Roman" w:hAnsi="Times New Roman" w:cs="Times New Roman"/>
                <w:sz w:val="24"/>
                <w:szCs w:val="24"/>
              </w:rPr>
            </w:pPr>
            <w:r>
              <w:rPr>
                <w:rFonts w:ascii="Times New Roman" w:hAnsi="Times New Roman" w:cs="Times New Roman"/>
                <w:sz w:val="24"/>
                <w:szCs w:val="24"/>
              </w:rPr>
              <w:t>Ohio Power Company for Authority to Establish a Standard Service Offer Pursuant to Section 4928.143, Ohio Rev. Code, in the Form of an Electric Security Plan.</w:t>
            </w:r>
          </w:p>
        </w:tc>
        <w:tc>
          <w:tcPr>
            <w:tcW w:w="376" w:type="dxa"/>
          </w:tcPr>
          <w:p w:rsidR="004552C9" w:rsidRDefault="009E752A">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552C9" w:rsidRDefault="009E752A">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552C9" w:rsidRDefault="009E752A">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552C9" w:rsidRDefault="009E752A">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552C9" w:rsidRDefault="009E752A">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552C9" w:rsidRDefault="009E752A" w:rsidP="00B42FA8">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tc>
        <w:tc>
          <w:tcPr>
            <w:tcW w:w="4390" w:type="dxa"/>
          </w:tcPr>
          <w:p w:rsidR="004552C9" w:rsidRDefault="004552C9">
            <w:pPr>
              <w:pStyle w:val="HTMLPreformatted"/>
              <w:jc w:val="center"/>
              <w:rPr>
                <w:rFonts w:ascii="Times New Roman" w:hAnsi="Times New Roman" w:cs="Times New Roman"/>
              </w:rPr>
            </w:pPr>
          </w:p>
          <w:p w:rsidR="00B42FA8" w:rsidRDefault="00B42FA8" w:rsidP="00B42FA8">
            <w:pPr>
              <w:pStyle w:val="HTMLPreformatted"/>
              <w:rPr>
                <w:rFonts w:ascii="Times New Roman" w:hAnsi="Times New Roman" w:cs="Times New Roman"/>
                <w:sz w:val="24"/>
                <w:szCs w:val="24"/>
              </w:rPr>
            </w:pPr>
          </w:p>
          <w:p w:rsidR="004552C9" w:rsidRDefault="009E752A" w:rsidP="00B42FA8">
            <w:pPr>
              <w:pStyle w:val="HTMLPreformatted"/>
              <w:rPr>
                <w:rFonts w:ascii="Times New Roman" w:hAnsi="Times New Roman" w:cs="Times New Roman"/>
                <w:sz w:val="24"/>
                <w:szCs w:val="24"/>
              </w:rPr>
            </w:pPr>
            <w:r>
              <w:rPr>
                <w:rFonts w:ascii="Times New Roman" w:hAnsi="Times New Roman" w:cs="Times New Roman"/>
                <w:sz w:val="24"/>
                <w:szCs w:val="24"/>
              </w:rPr>
              <w:t>Case No. 13-2385-EL-SSO</w:t>
            </w:r>
          </w:p>
          <w:p w:rsidR="004552C9" w:rsidRDefault="004552C9">
            <w:pPr>
              <w:pStyle w:val="HTMLPreformatted"/>
              <w:jc w:val="center"/>
              <w:rPr>
                <w:rFonts w:ascii="Times New Roman" w:hAnsi="Times New Roman" w:cs="Times New Roman"/>
                <w:sz w:val="24"/>
                <w:szCs w:val="24"/>
              </w:rPr>
            </w:pPr>
          </w:p>
          <w:p w:rsidR="004552C9" w:rsidRDefault="004552C9">
            <w:pPr>
              <w:pStyle w:val="HTMLPreformatted"/>
              <w:jc w:val="center"/>
              <w:rPr>
                <w:rFonts w:ascii="Times New Roman" w:hAnsi="Times New Roman" w:cs="Times New Roman"/>
              </w:rPr>
            </w:pPr>
          </w:p>
        </w:tc>
      </w:tr>
    </w:tbl>
    <w:p w:rsidR="004552C9" w:rsidRDefault="004552C9">
      <w:pPr>
        <w:pStyle w:val="HTMLPreformatted"/>
        <w:jc w:val="center"/>
        <w:rPr>
          <w:rFonts w:ascii="Times New Roman" w:hAnsi="Times New Roman" w:cs="Times New Roman"/>
          <w:b/>
          <w:bCs/>
          <w:sz w:val="24"/>
          <w:szCs w:val="24"/>
        </w:rPr>
      </w:pPr>
    </w:p>
    <w:tbl>
      <w:tblPr>
        <w:tblW w:w="9092" w:type="dxa"/>
        <w:tblInd w:w="-106" w:type="dxa"/>
        <w:tblLook w:val="01E0" w:firstRow="1" w:lastRow="1" w:firstColumn="1" w:lastColumn="1" w:noHBand="0" w:noVBand="0"/>
      </w:tblPr>
      <w:tblGrid>
        <w:gridCol w:w="4326"/>
        <w:gridCol w:w="376"/>
        <w:gridCol w:w="4390"/>
      </w:tblGrid>
      <w:tr w:rsidR="004552C9">
        <w:trPr>
          <w:trHeight w:val="807"/>
        </w:trPr>
        <w:tc>
          <w:tcPr>
            <w:tcW w:w="4326" w:type="dxa"/>
          </w:tcPr>
          <w:p w:rsidR="004552C9" w:rsidRDefault="009E752A">
            <w:pPr>
              <w:autoSpaceDE w:val="0"/>
              <w:autoSpaceDN w:val="0"/>
              <w:adjustRightInd w:val="0"/>
            </w:pPr>
            <w:r>
              <w:t>In the Matter of the Application of</w:t>
            </w:r>
          </w:p>
          <w:p w:rsidR="004552C9" w:rsidRDefault="009E752A">
            <w:pPr>
              <w:pStyle w:val="HTMLPreformatted"/>
              <w:rPr>
                <w:rFonts w:ascii="Times New Roman" w:hAnsi="Times New Roman" w:cs="Times New Roman"/>
                <w:sz w:val="24"/>
                <w:szCs w:val="24"/>
              </w:rPr>
            </w:pPr>
            <w:r>
              <w:rPr>
                <w:rFonts w:ascii="Times New Roman" w:hAnsi="Times New Roman" w:cs="Times New Roman"/>
                <w:sz w:val="24"/>
                <w:szCs w:val="24"/>
              </w:rPr>
              <w:t>Ohio Power Company for Approval of Certain Accounting Authority.</w:t>
            </w:r>
          </w:p>
        </w:tc>
        <w:tc>
          <w:tcPr>
            <w:tcW w:w="376" w:type="dxa"/>
          </w:tcPr>
          <w:p w:rsidR="004552C9" w:rsidRDefault="009E752A">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552C9" w:rsidRDefault="009E752A">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4552C9" w:rsidRDefault="009E752A" w:rsidP="00B42FA8">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tc>
        <w:tc>
          <w:tcPr>
            <w:tcW w:w="4390" w:type="dxa"/>
          </w:tcPr>
          <w:p w:rsidR="004552C9" w:rsidRDefault="004552C9">
            <w:pPr>
              <w:pStyle w:val="HTMLPreformatted"/>
              <w:jc w:val="center"/>
              <w:rPr>
                <w:rFonts w:ascii="Times New Roman" w:hAnsi="Times New Roman" w:cs="Times New Roman"/>
              </w:rPr>
            </w:pPr>
          </w:p>
          <w:p w:rsidR="004552C9" w:rsidRDefault="009E752A" w:rsidP="00B42FA8">
            <w:pPr>
              <w:pStyle w:val="HTMLPreformatted"/>
              <w:rPr>
                <w:rFonts w:ascii="Times New Roman" w:hAnsi="Times New Roman" w:cs="Times New Roman"/>
                <w:sz w:val="24"/>
                <w:szCs w:val="24"/>
              </w:rPr>
            </w:pPr>
            <w:r>
              <w:rPr>
                <w:rFonts w:ascii="Times New Roman" w:hAnsi="Times New Roman" w:cs="Times New Roman"/>
                <w:sz w:val="24"/>
                <w:szCs w:val="24"/>
              </w:rPr>
              <w:t>Case No. 13-2386-EL-AAM</w:t>
            </w:r>
          </w:p>
          <w:p w:rsidR="004552C9" w:rsidRDefault="004552C9">
            <w:pPr>
              <w:pStyle w:val="HTMLPreformatted"/>
              <w:jc w:val="center"/>
              <w:rPr>
                <w:rFonts w:ascii="Times New Roman" w:hAnsi="Times New Roman" w:cs="Times New Roman"/>
              </w:rPr>
            </w:pPr>
          </w:p>
        </w:tc>
      </w:tr>
    </w:tbl>
    <w:p w:rsidR="004552C9" w:rsidRDefault="004552C9">
      <w:pPr>
        <w:pStyle w:val="HTMLPreformatted"/>
        <w:jc w:val="center"/>
        <w:rPr>
          <w:rFonts w:ascii="Times New Roman" w:hAnsi="Times New Roman" w:cs="Times New Roman"/>
          <w:b/>
          <w:bCs/>
          <w:sz w:val="24"/>
          <w:szCs w:val="24"/>
        </w:rPr>
      </w:pPr>
    </w:p>
    <w:p w:rsidR="004552C9" w:rsidRDefault="004552C9">
      <w:pPr>
        <w:pStyle w:val="HTMLPreformatted"/>
        <w:jc w:val="center"/>
        <w:rPr>
          <w:rFonts w:ascii="Times New Roman" w:hAnsi="Times New Roman" w:cs="Times New Roman"/>
          <w:b/>
          <w:bCs/>
          <w:sz w:val="24"/>
          <w:szCs w:val="24"/>
        </w:rPr>
      </w:pPr>
    </w:p>
    <w:p w:rsidR="004552C9" w:rsidRDefault="004552C9">
      <w:pPr>
        <w:pStyle w:val="HTMLPreformatted"/>
        <w:jc w:val="center"/>
        <w:rPr>
          <w:rFonts w:ascii="Times New Roman" w:hAnsi="Times New Roman" w:cs="Times New Roman"/>
          <w:b/>
          <w:bCs/>
          <w:sz w:val="24"/>
          <w:szCs w:val="24"/>
        </w:rPr>
      </w:pPr>
    </w:p>
    <w:p w:rsidR="004552C9" w:rsidRDefault="004552C9">
      <w:pPr>
        <w:pStyle w:val="HTMLPreformatted"/>
        <w:jc w:val="center"/>
        <w:rPr>
          <w:rFonts w:ascii="Times New Roman" w:hAnsi="Times New Roman" w:cs="Times New Roman"/>
          <w:b/>
          <w:bCs/>
          <w:sz w:val="24"/>
          <w:szCs w:val="24"/>
        </w:rPr>
      </w:pPr>
    </w:p>
    <w:p w:rsidR="004552C9" w:rsidRDefault="004552C9">
      <w:pPr>
        <w:pStyle w:val="HTMLPreformatted"/>
        <w:jc w:val="center"/>
        <w:rPr>
          <w:rFonts w:ascii="Times New Roman" w:hAnsi="Times New Roman" w:cs="Times New Roman"/>
          <w:b/>
          <w:bCs/>
          <w:sz w:val="24"/>
          <w:szCs w:val="24"/>
        </w:rPr>
      </w:pPr>
    </w:p>
    <w:p w:rsidR="004552C9" w:rsidRDefault="004552C9">
      <w:pPr>
        <w:pStyle w:val="HTMLPreformatted"/>
        <w:jc w:val="center"/>
        <w:rPr>
          <w:rFonts w:ascii="Times New Roman" w:hAnsi="Times New Roman" w:cs="Times New Roman"/>
          <w:b/>
          <w:bCs/>
          <w:sz w:val="24"/>
          <w:szCs w:val="24"/>
        </w:rPr>
      </w:pPr>
    </w:p>
    <w:p w:rsidR="004552C9" w:rsidRDefault="004552C9">
      <w:pPr>
        <w:pStyle w:val="HTMLPreformatted"/>
        <w:jc w:val="center"/>
        <w:rPr>
          <w:rFonts w:ascii="Times New Roman" w:hAnsi="Times New Roman" w:cs="Times New Roman"/>
          <w:b/>
          <w:bCs/>
          <w:sz w:val="24"/>
          <w:szCs w:val="24"/>
        </w:rPr>
      </w:pPr>
    </w:p>
    <w:p w:rsidR="004552C9" w:rsidRDefault="004552C9">
      <w:pPr>
        <w:pStyle w:val="HTMLPreformatted"/>
        <w:jc w:val="center"/>
        <w:rPr>
          <w:rFonts w:ascii="Times New Roman" w:hAnsi="Times New Roman" w:cs="Times New Roman"/>
          <w:b/>
          <w:bCs/>
          <w:sz w:val="24"/>
          <w:szCs w:val="24"/>
        </w:rPr>
      </w:pPr>
    </w:p>
    <w:p w:rsidR="004552C9" w:rsidRDefault="009E752A">
      <w:pPr>
        <w:jc w:val="center"/>
        <w:rPr>
          <w:b/>
          <w:bCs/>
        </w:rPr>
      </w:pPr>
      <w:r>
        <w:rPr>
          <w:b/>
          <w:bCs/>
        </w:rPr>
        <w:t>DIRECT TESTIMONY</w:t>
      </w:r>
    </w:p>
    <w:p w:rsidR="004552C9" w:rsidRDefault="009E752A">
      <w:pPr>
        <w:jc w:val="center"/>
      </w:pPr>
      <w:r>
        <w:t>of</w:t>
      </w:r>
    </w:p>
    <w:p w:rsidR="004552C9" w:rsidRDefault="009E752A">
      <w:pPr>
        <w:jc w:val="center"/>
        <w:rPr>
          <w:b/>
          <w:bCs/>
        </w:rPr>
      </w:pPr>
      <w:r>
        <w:rPr>
          <w:b/>
          <w:bCs/>
        </w:rPr>
        <w:t>JAMES D. WILLIAMS</w:t>
      </w:r>
    </w:p>
    <w:p w:rsidR="004552C9" w:rsidRDefault="004552C9">
      <w:pPr>
        <w:jc w:val="center"/>
        <w:rPr>
          <w:b/>
          <w:bCs/>
        </w:rPr>
      </w:pPr>
    </w:p>
    <w:p w:rsidR="004552C9" w:rsidRDefault="004552C9">
      <w:pPr>
        <w:jc w:val="center"/>
        <w:rPr>
          <w:b/>
          <w:bCs/>
        </w:rPr>
      </w:pPr>
    </w:p>
    <w:p w:rsidR="004552C9" w:rsidRDefault="004552C9"/>
    <w:p w:rsidR="004552C9" w:rsidRDefault="009E752A">
      <w:pPr>
        <w:jc w:val="center"/>
        <w:rPr>
          <w:b/>
          <w:bCs/>
        </w:rPr>
      </w:pPr>
      <w:r>
        <w:rPr>
          <w:b/>
          <w:bCs/>
        </w:rPr>
        <w:t>On Behalf of</w:t>
      </w:r>
    </w:p>
    <w:p w:rsidR="004552C9" w:rsidRDefault="009E752A">
      <w:pPr>
        <w:jc w:val="center"/>
        <w:rPr>
          <w:b/>
          <w:bCs/>
          <w:caps/>
        </w:rPr>
      </w:pPr>
      <w:r>
        <w:rPr>
          <w:b/>
          <w:bCs/>
        </w:rPr>
        <w:t>The Office of the Ohio Consumers' Counsel</w:t>
      </w:r>
    </w:p>
    <w:p w:rsidR="004552C9" w:rsidRDefault="009E752A">
      <w:pPr>
        <w:jc w:val="center"/>
        <w:rPr>
          <w:i/>
          <w:iCs/>
        </w:rPr>
      </w:pPr>
      <w:r>
        <w:rPr>
          <w:i/>
          <w:iCs/>
        </w:rPr>
        <w:t>10 West Broad Street, Suite 1800</w:t>
      </w:r>
    </w:p>
    <w:p w:rsidR="004552C9" w:rsidRDefault="009E752A">
      <w:pPr>
        <w:jc w:val="center"/>
        <w:rPr>
          <w:i/>
          <w:iCs/>
        </w:rPr>
      </w:pPr>
      <w:r>
        <w:rPr>
          <w:i/>
          <w:iCs/>
        </w:rPr>
        <w:t>Columbus, Ohio 43215-3485</w:t>
      </w:r>
    </w:p>
    <w:p w:rsidR="004552C9" w:rsidRDefault="004552C9">
      <w:pPr>
        <w:jc w:val="center"/>
      </w:pPr>
    </w:p>
    <w:p w:rsidR="004552C9" w:rsidRDefault="004552C9">
      <w:pPr>
        <w:jc w:val="center"/>
      </w:pPr>
    </w:p>
    <w:p w:rsidR="004552C9" w:rsidRDefault="004552C9">
      <w:pPr>
        <w:jc w:val="center"/>
      </w:pPr>
    </w:p>
    <w:p w:rsidR="004552C9" w:rsidRDefault="004552C9">
      <w:pPr>
        <w:jc w:val="center"/>
      </w:pPr>
    </w:p>
    <w:p w:rsidR="004552C9" w:rsidRDefault="009E752A">
      <w:pPr>
        <w:jc w:val="center"/>
        <w:rPr>
          <w:b/>
          <w:bCs/>
          <w:i/>
          <w:iCs/>
        </w:rPr>
        <w:sectPr w:rsidR="004552C9" w:rsidSect="00F95936">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pPr>
      <w:r>
        <w:rPr>
          <w:b/>
          <w:bCs/>
          <w:i/>
          <w:iCs/>
        </w:rPr>
        <w:t>May 6, 2014</w:t>
      </w:r>
    </w:p>
    <w:p w:rsidR="004552C9" w:rsidRDefault="009E752A">
      <w:pPr>
        <w:jc w:val="center"/>
        <w:rPr>
          <w:b/>
          <w:bCs/>
          <w:u w:val="single"/>
        </w:rPr>
      </w:pPr>
      <w:r>
        <w:rPr>
          <w:b/>
          <w:bCs/>
          <w:u w:val="single"/>
        </w:rPr>
        <w:lastRenderedPageBreak/>
        <w:t>TABLE OF CONTENTS</w:t>
      </w:r>
    </w:p>
    <w:p w:rsidR="004552C9" w:rsidRDefault="004552C9"/>
    <w:p w:rsidR="004552C9" w:rsidRDefault="009E752A">
      <w:pPr>
        <w:jc w:val="right"/>
      </w:pPr>
      <w:r>
        <w:t>Page</w:t>
      </w:r>
    </w:p>
    <w:p w:rsidR="004552C9" w:rsidRDefault="004552C9">
      <w:pPr>
        <w:tabs>
          <w:tab w:val="left" w:pos="720"/>
          <w:tab w:val="left" w:pos="1440"/>
          <w:tab w:val="left" w:leader="dot" w:pos="8640"/>
        </w:tabs>
      </w:pPr>
    </w:p>
    <w:p w:rsidR="00CC6188" w:rsidRDefault="00495AB7">
      <w:pPr>
        <w:pStyle w:val="TOC1"/>
        <w:rPr>
          <w:rFonts w:asciiTheme="minorHAnsi" w:eastAsiaTheme="minorEastAsia" w:hAnsiTheme="minorHAnsi" w:cstheme="minorBidi"/>
          <w:caps w:val="0"/>
          <w:sz w:val="22"/>
          <w:szCs w:val="22"/>
          <w:lang w:bidi="he-IL"/>
        </w:rPr>
      </w:pPr>
      <w:r>
        <w:fldChar w:fldCharType="begin"/>
      </w:r>
      <w:r>
        <w:instrText xml:space="preserve"> TOC \o "1-2" \h \z \u </w:instrText>
      </w:r>
      <w:r>
        <w:fldChar w:fldCharType="separate"/>
      </w:r>
      <w:hyperlink w:anchor="_Toc387132029" w:history="1">
        <w:r w:rsidR="00CC6188" w:rsidRPr="00F62F37">
          <w:rPr>
            <w:rStyle w:val="Hyperlink"/>
          </w:rPr>
          <w:t>I.</w:t>
        </w:r>
        <w:r w:rsidR="00CC6188">
          <w:rPr>
            <w:rFonts w:asciiTheme="minorHAnsi" w:eastAsiaTheme="minorEastAsia" w:hAnsiTheme="minorHAnsi" w:cstheme="minorBidi"/>
            <w:caps w:val="0"/>
            <w:sz w:val="22"/>
            <w:szCs w:val="22"/>
            <w:lang w:bidi="he-IL"/>
          </w:rPr>
          <w:tab/>
        </w:r>
        <w:r w:rsidR="00CC6188" w:rsidRPr="00F62F37">
          <w:rPr>
            <w:rStyle w:val="Hyperlink"/>
          </w:rPr>
          <w:t>INTRODUCTION</w:t>
        </w:r>
        <w:r w:rsidR="00CC6188">
          <w:rPr>
            <w:webHidden/>
          </w:rPr>
          <w:tab/>
        </w:r>
        <w:r w:rsidR="00CC6188">
          <w:rPr>
            <w:webHidden/>
          </w:rPr>
          <w:fldChar w:fldCharType="begin"/>
        </w:r>
        <w:r w:rsidR="00CC6188">
          <w:rPr>
            <w:webHidden/>
          </w:rPr>
          <w:instrText xml:space="preserve"> PAGEREF _Toc387132029 \h </w:instrText>
        </w:r>
        <w:r w:rsidR="00CC6188">
          <w:rPr>
            <w:webHidden/>
          </w:rPr>
        </w:r>
        <w:r w:rsidR="00CC6188">
          <w:rPr>
            <w:webHidden/>
          </w:rPr>
          <w:fldChar w:fldCharType="separate"/>
        </w:r>
        <w:r w:rsidR="00FB038B">
          <w:rPr>
            <w:webHidden/>
          </w:rPr>
          <w:t>1</w:t>
        </w:r>
        <w:r w:rsidR="00CC6188">
          <w:rPr>
            <w:webHidden/>
          </w:rPr>
          <w:fldChar w:fldCharType="end"/>
        </w:r>
      </w:hyperlink>
    </w:p>
    <w:p w:rsidR="00CC6188" w:rsidRDefault="00A73821">
      <w:pPr>
        <w:pStyle w:val="TOC1"/>
        <w:rPr>
          <w:rFonts w:asciiTheme="minorHAnsi" w:eastAsiaTheme="minorEastAsia" w:hAnsiTheme="minorHAnsi" w:cstheme="minorBidi"/>
          <w:caps w:val="0"/>
          <w:sz w:val="22"/>
          <w:szCs w:val="22"/>
          <w:lang w:bidi="he-IL"/>
        </w:rPr>
      </w:pPr>
      <w:hyperlink w:anchor="_Toc387132030" w:history="1">
        <w:r w:rsidR="00CC6188" w:rsidRPr="00F62F37">
          <w:rPr>
            <w:rStyle w:val="Hyperlink"/>
          </w:rPr>
          <w:t>II.</w:t>
        </w:r>
        <w:r w:rsidR="00CC6188">
          <w:rPr>
            <w:rFonts w:asciiTheme="minorHAnsi" w:eastAsiaTheme="minorEastAsia" w:hAnsiTheme="minorHAnsi" w:cstheme="minorBidi"/>
            <w:caps w:val="0"/>
            <w:sz w:val="22"/>
            <w:szCs w:val="22"/>
            <w:lang w:bidi="he-IL"/>
          </w:rPr>
          <w:tab/>
        </w:r>
        <w:r w:rsidR="00CC6188" w:rsidRPr="00F62F37">
          <w:rPr>
            <w:rStyle w:val="Hyperlink"/>
          </w:rPr>
          <w:t>PURPOSE OF MY TESTIMONY</w:t>
        </w:r>
        <w:r w:rsidR="00CC6188">
          <w:rPr>
            <w:webHidden/>
          </w:rPr>
          <w:tab/>
        </w:r>
        <w:r w:rsidR="00CC6188">
          <w:rPr>
            <w:webHidden/>
          </w:rPr>
          <w:fldChar w:fldCharType="begin"/>
        </w:r>
        <w:r w:rsidR="00CC6188">
          <w:rPr>
            <w:webHidden/>
          </w:rPr>
          <w:instrText xml:space="preserve"> PAGEREF _Toc387132030 \h </w:instrText>
        </w:r>
        <w:r w:rsidR="00CC6188">
          <w:rPr>
            <w:webHidden/>
          </w:rPr>
        </w:r>
        <w:r w:rsidR="00CC6188">
          <w:rPr>
            <w:webHidden/>
          </w:rPr>
          <w:fldChar w:fldCharType="separate"/>
        </w:r>
        <w:r w:rsidR="00FB038B">
          <w:rPr>
            <w:webHidden/>
          </w:rPr>
          <w:t>3</w:t>
        </w:r>
        <w:r w:rsidR="00CC6188">
          <w:rPr>
            <w:webHidden/>
          </w:rPr>
          <w:fldChar w:fldCharType="end"/>
        </w:r>
      </w:hyperlink>
    </w:p>
    <w:p w:rsidR="00CC6188" w:rsidRDefault="00A73821">
      <w:pPr>
        <w:pStyle w:val="TOC1"/>
        <w:rPr>
          <w:rFonts w:asciiTheme="minorHAnsi" w:eastAsiaTheme="minorEastAsia" w:hAnsiTheme="minorHAnsi" w:cstheme="minorBidi"/>
          <w:caps w:val="0"/>
          <w:sz w:val="22"/>
          <w:szCs w:val="22"/>
          <w:lang w:bidi="he-IL"/>
        </w:rPr>
      </w:pPr>
      <w:hyperlink w:anchor="_Toc387132031" w:history="1">
        <w:r w:rsidR="00CC6188" w:rsidRPr="00F62F37">
          <w:rPr>
            <w:rStyle w:val="Hyperlink"/>
          </w:rPr>
          <w:t>iii.</w:t>
        </w:r>
        <w:r w:rsidR="00CC6188">
          <w:rPr>
            <w:rFonts w:asciiTheme="minorHAnsi" w:eastAsiaTheme="minorEastAsia" w:hAnsiTheme="minorHAnsi" w:cstheme="minorBidi"/>
            <w:caps w:val="0"/>
            <w:sz w:val="22"/>
            <w:szCs w:val="22"/>
            <w:lang w:bidi="he-IL"/>
          </w:rPr>
          <w:tab/>
        </w:r>
        <w:r w:rsidR="00CC6188" w:rsidRPr="00F62F37">
          <w:rPr>
            <w:rStyle w:val="Hyperlink"/>
          </w:rPr>
          <w:t>AFFORDABILITY OF RETAIL ELECTRIC SERVICE</w:t>
        </w:r>
        <w:r w:rsidR="00CC6188">
          <w:rPr>
            <w:webHidden/>
          </w:rPr>
          <w:tab/>
        </w:r>
        <w:r w:rsidR="00CC6188">
          <w:rPr>
            <w:webHidden/>
          </w:rPr>
          <w:fldChar w:fldCharType="begin"/>
        </w:r>
        <w:r w:rsidR="00CC6188">
          <w:rPr>
            <w:webHidden/>
          </w:rPr>
          <w:instrText xml:space="preserve"> PAGEREF _Toc387132031 \h </w:instrText>
        </w:r>
        <w:r w:rsidR="00CC6188">
          <w:rPr>
            <w:webHidden/>
          </w:rPr>
        </w:r>
        <w:r w:rsidR="00CC6188">
          <w:rPr>
            <w:webHidden/>
          </w:rPr>
          <w:fldChar w:fldCharType="separate"/>
        </w:r>
        <w:r w:rsidR="00FB038B">
          <w:rPr>
            <w:webHidden/>
          </w:rPr>
          <w:t>4</w:t>
        </w:r>
        <w:r w:rsidR="00CC6188">
          <w:rPr>
            <w:webHidden/>
          </w:rPr>
          <w:fldChar w:fldCharType="end"/>
        </w:r>
      </w:hyperlink>
    </w:p>
    <w:p w:rsidR="00CC6188" w:rsidRDefault="00A73821">
      <w:pPr>
        <w:pStyle w:val="TOC1"/>
        <w:rPr>
          <w:rFonts w:asciiTheme="minorHAnsi" w:eastAsiaTheme="minorEastAsia" w:hAnsiTheme="minorHAnsi" w:cstheme="minorBidi"/>
          <w:caps w:val="0"/>
          <w:sz w:val="22"/>
          <w:szCs w:val="22"/>
          <w:lang w:bidi="he-IL"/>
        </w:rPr>
      </w:pPr>
      <w:hyperlink w:anchor="_Toc387132032" w:history="1">
        <w:r w:rsidR="00CC6188" w:rsidRPr="00F62F37">
          <w:rPr>
            <w:rStyle w:val="Hyperlink"/>
          </w:rPr>
          <w:t>IV.</w:t>
        </w:r>
        <w:r w:rsidR="00CC6188">
          <w:rPr>
            <w:rFonts w:asciiTheme="minorHAnsi" w:eastAsiaTheme="minorEastAsia" w:hAnsiTheme="minorHAnsi" w:cstheme="minorBidi"/>
            <w:caps w:val="0"/>
            <w:sz w:val="22"/>
            <w:szCs w:val="22"/>
            <w:lang w:bidi="he-IL"/>
          </w:rPr>
          <w:tab/>
        </w:r>
        <w:r w:rsidR="00CC6188" w:rsidRPr="00F62F37">
          <w:rPr>
            <w:rStyle w:val="Hyperlink"/>
          </w:rPr>
          <w:t>RECOMMENDATIONS TO ENSURE THE AVAILABILITY OF ADEQUATE AND REASONABLY PRICED ELECTRIC SERVICE</w:t>
        </w:r>
        <w:r w:rsidR="00CC6188">
          <w:rPr>
            <w:webHidden/>
          </w:rPr>
          <w:tab/>
        </w:r>
        <w:r w:rsidR="00CC6188">
          <w:rPr>
            <w:webHidden/>
          </w:rPr>
          <w:fldChar w:fldCharType="begin"/>
        </w:r>
        <w:r w:rsidR="00CC6188">
          <w:rPr>
            <w:webHidden/>
          </w:rPr>
          <w:instrText xml:space="preserve"> PAGEREF _Toc387132032 \h </w:instrText>
        </w:r>
        <w:r w:rsidR="00CC6188">
          <w:rPr>
            <w:webHidden/>
          </w:rPr>
        </w:r>
        <w:r w:rsidR="00CC6188">
          <w:rPr>
            <w:webHidden/>
          </w:rPr>
          <w:fldChar w:fldCharType="separate"/>
        </w:r>
        <w:r w:rsidR="00FB038B">
          <w:rPr>
            <w:webHidden/>
          </w:rPr>
          <w:t>20</w:t>
        </w:r>
        <w:r w:rsidR="00CC6188">
          <w:rPr>
            <w:webHidden/>
          </w:rPr>
          <w:fldChar w:fldCharType="end"/>
        </w:r>
      </w:hyperlink>
    </w:p>
    <w:p w:rsidR="00CC6188" w:rsidRDefault="00A73821">
      <w:pPr>
        <w:pStyle w:val="TOC2"/>
        <w:tabs>
          <w:tab w:val="left" w:pos="1440"/>
        </w:tabs>
        <w:rPr>
          <w:rFonts w:asciiTheme="minorHAnsi" w:eastAsiaTheme="minorEastAsia" w:hAnsiTheme="minorHAnsi" w:cstheme="minorBidi"/>
          <w:noProof/>
          <w:sz w:val="22"/>
          <w:szCs w:val="22"/>
          <w:lang w:bidi="he-IL"/>
        </w:rPr>
      </w:pPr>
      <w:hyperlink w:anchor="_Toc387132033" w:history="1">
        <w:r w:rsidR="00CC6188" w:rsidRPr="00F62F37">
          <w:rPr>
            <w:rStyle w:val="Hyperlink"/>
            <w:noProof/>
          </w:rPr>
          <w:t>A.</w:t>
        </w:r>
        <w:r w:rsidR="00CC6188">
          <w:rPr>
            <w:rFonts w:asciiTheme="minorHAnsi" w:eastAsiaTheme="minorEastAsia" w:hAnsiTheme="minorHAnsi" w:cstheme="minorBidi"/>
            <w:noProof/>
            <w:sz w:val="22"/>
            <w:szCs w:val="22"/>
            <w:lang w:bidi="he-IL"/>
          </w:rPr>
          <w:tab/>
        </w:r>
        <w:r w:rsidR="00CC6188" w:rsidRPr="00F62F37">
          <w:rPr>
            <w:rStyle w:val="Hyperlink"/>
            <w:noProof/>
          </w:rPr>
          <w:t>Waiver of Disconnection Rules</w:t>
        </w:r>
        <w:r w:rsidR="00CC6188">
          <w:rPr>
            <w:noProof/>
            <w:webHidden/>
          </w:rPr>
          <w:tab/>
        </w:r>
        <w:r w:rsidR="00CC6188">
          <w:rPr>
            <w:noProof/>
            <w:webHidden/>
          </w:rPr>
          <w:fldChar w:fldCharType="begin"/>
        </w:r>
        <w:r w:rsidR="00CC6188">
          <w:rPr>
            <w:noProof/>
            <w:webHidden/>
          </w:rPr>
          <w:instrText xml:space="preserve"> PAGEREF _Toc387132033 \h </w:instrText>
        </w:r>
        <w:r w:rsidR="00CC6188">
          <w:rPr>
            <w:noProof/>
            <w:webHidden/>
          </w:rPr>
        </w:r>
        <w:r w:rsidR="00CC6188">
          <w:rPr>
            <w:noProof/>
            <w:webHidden/>
          </w:rPr>
          <w:fldChar w:fldCharType="separate"/>
        </w:r>
        <w:r w:rsidR="00FB038B">
          <w:rPr>
            <w:noProof/>
            <w:webHidden/>
          </w:rPr>
          <w:t>22</w:t>
        </w:r>
        <w:r w:rsidR="00CC6188">
          <w:rPr>
            <w:noProof/>
            <w:webHidden/>
          </w:rPr>
          <w:fldChar w:fldCharType="end"/>
        </w:r>
      </w:hyperlink>
    </w:p>
    <w:p w:rsidR="00CC6188" w:rsidRDefault="00A73821">
      <w:pPr>
        <w:pStyle w:val="TOC2"/>
        <w:tabs>
          <w:tab w:val="left" w:pos="1440"/>
        </w:tabs>
        <w:rPr>
          <w:rFonts w:asciiTheme="minorHAnsi" w:eastAsiaTheme="minorEastAsia" w:hAnsiTheme="minorHAnsi" w:cstheme="minorBidi"/>
          <w:noProof/>
          <w:sz w:val="22"/>
          <w:szCs w:val="22"/>
          <w:lang w:bidi="he-IL"/>
        </w:rPr>
      </w:pPr>
      <w:hyperlink w:anchor="_Toc387132034" w:history="1">
        <w:r w:rsidR="00CC6188" w:rsidRPr="00F62F37">
          <w:rPr>
            <w:rStyle w:val="Hyperlink"/>
            <w:noProof/>
          </w:rPr>
          <w:t>B.</w:t>
        </w:r>
        <w:r w:rsidR="00CC6188">
          <w:rPr>
            <w:rFonts w:asciiTheme="minorHAnsi" w:eastAsiaTheme="minorEastAsia" w:hAnsiTheme="minorHAnsi" w:cstheme="minorBidi"/>
            <w:noProof/>
            <w:sz w:val="22"/>
            <w:szCs w:val="22"/>
            <w:lang w:bidi="he-IL"/>
          </w:rPr>
          <w:tab/>
        </w:r>
        <w:r w:rsidR="00CC6188" w:rsidRPr="00F62F37">
          <w:rPr>
            <w:rStyle w:val="Hyperlink"/>
            <w:noProof/>
          </w:rPr>
          <w:t>Additional Deposits for CRES Service</w:t>
        </w:r>
        <w:r w:rsidR="00CC6188">
          <w:rPr>
            <w:noProof/>
            <w:webHidden/>
          </w:rPr>
          <w:tab/>
        </w:r>
        <w:r w:rsidR="00CC6188">
          <w:rPr>
            <w:noProof/>
            <w:webHidden/>
          </w:rPr>
          <w:fldChar w:fldCharType="begin"/>
        </w:r>
        <w:r w:rsidR="00CC6188">
          <w:rPr>
            <w:noProof/>
            <w:webHidden/>
          </w:rPr>
          <w:instrText xml:space="preserve"> PAGEREF _Toc387132034 \h </w:instrText>
        </w:r>
        <w:r w:rsidR="00CC6188">
          <w:rPr>
            <w:noProof/>
            <w:webHidden/>
          </w:rPr>
        </w:r>
        <w:r w:rsidR="00CC6188">
          <w:rPr>
            <w:noProof/>
            <w:webHidden/>
          </w:rPr>
          <w:fldChar w:fldCharType="separate"/>
        </w:r>
        <w:r w:rsidR="00FB038B">
          <w:rPr>
            <w:noProof/>
            <w:webHidden/>
          </w:rPr>
          <w:t>24</w:t>
        </w:r>
        <w:r w:rsidR="00CC6188">
          <w:rPr>
            <w:noProof/>
            <w:webHidden/>
          </w:rPr>
          <w:fldChar w:fldCharType="end"/>
        </w:r>
      </w:hyperlink>
    </w:p>
    <w:p w:rsidR="00CC6188" w:rsidRDefault="00A73821">
      <w:pPr>
        <w:pStyle w:val="TOC2"/>
        <w:tabs>
          <w:tab w:val="left" w:pos="1440"/>
        </w:tabs>
        <w:rPr>
          <w:rFonts w:asciiTheme="minorHAnsi" w:eastAsiaTheme="minorEastAsia" w:hAnsiTheme="minorHAnsi" w:cstheme="minorBidi"/>
          <w:noProof/>
          <w:sz w:val="22"/>
          <w:szCs w:val="22"/>
          <w:lang w:bidi="he-IL"/>
        </w:rPr>
      </w:pPr>
      <w:hyperlink w:anchor="_Toc387132035" w:history="1">
        <w:r w:rsidR="00CC6188" w:rsidRPr="00F62F37">
          <w:rPr>
            <w:rStyle w:val="Hyperlink"/>
            <w:noProof/>
          </w:rPr>
          <w:t>D.</w:t>
        </w:r>
        <w:r w:rsidR="00CC6188">
          <w:rPr>
            <w:rFonts w:asciiTheme="minorHAnsi" w:eastAsiaTheme="minorEastAsia" w:hAnsiTheme="minorHAnsi" w:cstheme="minorBidi"/>
            <w:noProof/>
            <w:sz w:val="22"/>
            <w:szCs w:val="22"/>
            <w:lang w:bidi="he-IL"/>
          </w:rPr>
          <w:tab/>
        </w:r>
        <w:r w:rsidR="00CC6188" w:rsidRPr="00F62F37">
          <w:rPr>
            <w:rStyle w:val="Hyperlink"/>
            <w:noProof/>
          </w:rPr>
          <w:t>Late Payment Charge</w:t>
        </w:r>
        <w:r w:rsidR="00CC6188">
          <w:rPr>
            <w:noProof/>
            <w:webHidden/>
          </w:rPr>
          <w:tab/>
        </w:r>
        <w:r w:rsidR="00CC6188">
          <w:rPr>
            <w:noProof/>
            <w:webHidden/>
          </w:rPr>
          <w:fldChar w:fldCharType="begin"/>
        </w:r>
        <w:r w:rsidR="00CC6188">
          <w:rPr>
            <w:noProof/>
            <w:webHidden/>
          </w:rPr>
          <w:instrText xml:space="preserve"> PAGEREF _Toc387132035 \h </w:instrText>
        </w:r>
        <w:r w:rsidR="00CC6188">
          <w:rPr>
            <w:noProof/>
            <w:webHidden/>
          </w:rPr>
        </w:r>
        <w:r w:rsidR="00CC6188">
          <w:rPr>
            <w:noProof/>
            <w:webHidden/>
          </w:rPr>
          <w:fldChar w:fldCharType="separate"/>
        </w:r>
        <w:r w:rsidR="00FB038B">
          <w:rPr>
            <w:noProof/>
            <w:webHidden/>
          </w:rPr>
          <w:t>27</w:t>
        </w:r>
        <w:r w:rsidR="00CC6188">
          <w:rPr>
            <w:noProof/>
            <w:webHidden/>
          </w:rPr>
          <w:fldChar w:fldCharType="end"/>
        </w:r>
      </w:hyperlink>
    </w:p>
    <w:p w:rsidR="00CC6188" w:rsidRDefault="00A73821">
      <w:pPr>
        <w:pStyle w:val="TOC2"/>
        <w:tabs>
          <w:tab w:val="left" w:pos="1440"/>
        </w:tabs>
        <w:rPr>
          <w:rFonts w:asciiTheme="minorHAnsi" w:eastAsiaTheme="minorEastAsia" w:hAnsiTheme="minorHAnsi" w:cstheme="minorBidi"/>
          <w:noProof/>
          <w:sz w:val="22"/>
          <w:szCs w:val="22"/>
          <w:lang w:bidi="he-IL"/>
        </w:rPr>
      </w:pPr>
      <w:hyperlink w:anchor="_Toc387132036" w:history="1">
        <w:r w:rsidR="00CC6188" w:rsidRPr="00F62F37">
          <w:rPr>
            <w:rStyle w:val="Hyperlink"/>
            <w:noProof/>
          </w:rPr>
          <w:t>E.</w:t>
        </w:r>
        <w:r w:rsidR="00CC6188">
          <w:rPr>
            <w:rFonts w:asciiTheme="minorHAnsi" w:eastAsiaTheme="minorEastAsia" w:hAnsiTheme="minorHAnsi" w:cstheme="minorBidi"/>
            <w:noProof/>
            <w:sz w:val="22"/>
            <w:szCs w:val="22"/>
            <w:lang w:bidi="he-IL"/>
          </w:rPr>
          <w:tab/>
        </w:r>
        <w:r w:rsidR="00CC6188" w:rsidRPr="00F62F37">
          <w:rPr>
            <w:rStyle w:val="Hyperlink"/>
            <w:noProof/>
          </w:rPr>
          <w:t>DIR and ESRR Riders</w:t>
        </w:r>
        <w:r w:rsidR="00CC6188">
          <w:rPr>
            <w:noProof/>
            <w:webHidden/>
          </w:rPr>
          <w:tab/>
        </w:r>
        <w:r w:rsidR="00CC6188">
          <w:rPr>
            <w:noProof/>
            <w:webHidden/>
          </w:rPr>
          <w:fldChar w:fldCharType="begin"/>
        </w:r>
        <w:r w:rsidR="00CC6188">
          <w:rPr>
            <w:noProof/>
            <w:webHidden/>
          </w:rPr>
          <w:instrText xml:space="preserve"> PAGEREF _Toc387132036 \h </w:instrText>
        </w:r>
        <w:r w:rsidR="00CC6188">
          <w:rPr>
            <w:noProof/>
            <w:webHidden/>
          </w:rPr>
        </w:r>
        <w:r w:rsidR="00CC6188">
          <w:rPr>
            <w:noProof/>
            <w:webHidden/>
          </w:rPr>
          <w:fldChar w:fldCharType="separate"/>
        </w:r>
        <w:r w:rsidR="00FB038B">
          <w:rPr>
            <w:noProof/>
            <w:webHidden/>
          </w:rPr>
          <w:t>29</w:t>
        </w:r>
        <w:r w:rsidR="00CC6188">
          <w:rPr>
            <w:noProof/>
            <w:webHidden/>
          </w:rPr>
          <w:fldChar w:fldCharType="end"/>
        </w:r>
      </w:hyperlink>
    </w:p>
    <w:p w:rsidR="00CC6188" w:rsidRDefault="00A73821">
      <w:pPr>
        <w:pStyle w:val="TOC2"/>
        <w:tabs>
          <w:tab w:val="left" w:pos="1440"/>
        </w:tabs>
        <w:rPr>
          <w:rFonts w:asciiTheme="minorHAnsi" w:eastAsiaTheme="minorEastAsia" w:hAnsiTheme="minorHAnsi" w:cstheme="minorBidi"/>
          <w:noProof/>
          <w:sz w:val="22"/>
          <w:szCs w:val="22"/>
          <w:lang w:bidi="he-IL"/>
        </w:rPr>
      </w:pPr>
      <w:hyperlink w:anchor="_Toc387132037" w:history="1">
        <w:r w:rsidR="00CC6188" w:rsidRPr="00F62F37">
          <w:rPr>
            <w:rStyle w:val="Hyperlink"/>
            <w:noProof/>
          </w:rPr>
          <w:t>F.</w:t>
        </w:r>
        <w:r w:rsidR="00CC6188">
          <w:rPr>
            <w:rFonts w:asciiTheme="minorHAnsi" w:eastAsiaTheme="minorEastAsia" w:hAnsiTheme="minorHAnsi" w:cstheme="minorBidi"/>
            <w:noProof/>
            <w:sz w:val="22"/>
            <w:szCs w:val="22"/>
            <w:lang w:bidi="he-IL"/>
          </w:rPr>
          <w:tab/>
        </w:r>
        <w:r w:rsidR="00CC6188" w:rsidRPr="00F62F37">
          <w:rPr>
            <w:rStyle w:val="Hyperlink"/>
            <w:noProof/>
          </w:rPr>
          <w:t>Elimination of the Standard Time of Use Tariffs</w:t>
        </w:r>
        <w:r w:rsidR="00CC6188">
          <w:rPr>
            <w:noProof/>
            <w:webHidden/>
          </w:rPr>
          <w:tab/>
        </w:r>
        <w:r w:rsidR="00CC6188">
          <w:rPr>
            <w:noProof/>
            <w:webHidden/>
          </w:rPr>
          <w:fldChar w:fldCharType="begin"/>
        </w:r>
        <w:r w:rsidR="00CC6188">
          <w:rPr>
            <w:noProof/>
            <w:webHidden/>
          </w:rPr>
          <w:instrText xml:space="preserve"> PAGEREF _Toc387132037 \h </w:instrText>
        </w:r>
        <w:r w:rsidR="00CC6188">
          <w:rPr>
            <w:noProof/>
            <w:webHidden/>
          </w:rPr>
        </w:r>
        <w:r w:rsidR="00CC6188">
          <w:rPr>
            <w:noProof/>
            <w:webHidden/>
          </w:rPr>
          <w:fldChar w:fldCharType="separate"/>
        </w:r>
        <w:r w:rsidR="00FB038B">
          <w:rPr>
            <w:noProof/>
            <w:webHidden/>
          </w:rPr>
          <w:t>33</w:t>
        </w:r>
        <w:r w:rsidR="00CC6188">
          <w:rPr>
            <w:noProof/>
            <w:webHidden/>
          </w:rPr>
          <w:fldChar w:fldCharType="end"/>
        </w:r>
      </w:hyperlink>
    </w:p>
    <w:p w:rsidR="00CC6188" w:rsidRDefault="00A73821">
      <w:pPr>
        <w:pStyle w:val="TOC2"/>
        <w:tabs>
          <w:tab w:val="left" w:pos="1440"/>
        </w:tabs>
        <w:rPr>
          <w:rFonts w:asciiTheme="minorHAnsi" w:eastAsiaTheme="minorEastAsia" w:hAnsiTheme="minorHAnsi" w:cstheme="minorBidi"/>
          <w:noProof/>
          <w:sz w:val="22"/>
          <w:szCs w:val="22"/>
          <w:lang w:bidi="he-IL"/>
        </w:rPr>
      </w:pPr>
      <w:hyperlink w:anchor="_Toc387132038" w:history="1">
        <w:r w:rsidR="00CC6188" w:rsidRPr="00F62F37">
          <w:rPr>
            <w:rStyle w:val="Hyperlink"/>
            <w:noProof/>
          </w:rPr>
          <w:t>G.</w:t>
        </w:r>
        <w:r w:rsidR="00CC6188">
          <w:rPr>
            <w:rFonts w:asciiTheme="minorHAnsi" w:eastAsiaTheme="minorEastAsia" w:hAnsiTheme="minorHAnsi" w:cstheme="minorBidi"/>
            <w:noProof/>
            <w:sz w:val="22"/>
            <w:szCs w:val="22"/>
            <w:lang w:bidi="he-IL"/>
          </w:rPr>
          <w:tab/>
        </w:r>
        <w:r w:rsidR="00CC6188" w:rsidRPr="00F62F37">
          <w:rPr>
            <w:rStyle w:val="Hyperlink"/>
            <w:noProof/>
          </w:rPr>
          <w:t>GridSMART Phase II</w:t>
        </w:r>
        <w:r w:rsidR="00CC6188">
          <w:rPr>
            <w:noProof/>
            <w:webHidden/>
          </w:rPr>
          <w:tab/>
        </w:r>
        <w:r w:rsidR="00CC6188">
          <w:rPr>
            <w:noProof/>
            <w:webHidden/>
          </w:rPr>
          <w:fldChar w:fldCharType="begin"/>
        </w:r>
        <w:r w:rsidR="00CC6188">
          <w:rPr>
            <w:noProof/>
            <w:webHidden/>
          </w:rPr>
          <w:instrText xml:space="preserve"> PAGEREF _Toc387132038 \h </w:instrText>
        </w:r>
        <w:r w:rsidR="00CC6188">
          <w:rPr>
            <w:noProof/>
            <w:webHidden/>
          </w:rPr>
        </w:r>
        <w:r w:rsidR="00CC6188">
          <w:rPr>
            <w:noProof/>
            <w:webHidden/>
          </w:rPr>
          <w:fldChar w:fldCharType="separate"/>
        </w:r>
        <w:r w:rsidR="00FB038B">
          <w:rPr>
            <w:noProof/>
            <w:webHidden/>
          </w:rPr>
          <w:t>36</w:t>
        </w:r>
        <w:r w:rsidR="00CC6188">
          <w:rPr>
            <w:noProof/>
            <w:webHidden/>
          </w:rPr>
          <w:fldChar w:fldCharType="end"/>
        </w:r>
      </w:hyperlink>
    </w:p>
    <w:p w:rsidR="00CC6188" w:rsidRDefault="00A73821">
      <w:pPr>
        <w:pStyle w:val="TOC2"/>
        <w:tabs>
          <w:tab w:val="left" w:pos="1440"/>
        </w:tabs>
        <w:rPr>
          <w:rFonts w:asciiTheme="minorHAnsi" w:eastAsiaTheme="minorEastAsia" w:hAnsiTheme="minorHAnsi" w:cstheme="minorBidi"/>
          <w:noProof/>
          <w:sz w:val="22"/>
          <w:szCs w:val="22"/>
          <w:lang w:bidi="he-IL"/>
        </w:rPr>
      </w:pPr>
      <w:hyperlink w:anchor="_Toc387132039" w:history="1">
        <w:r w:rsidR="00CC6188" w:rsidRPr="00F62F37">
          <w:rPr>
            <w:rStyle w:val="Hyperlink"/>
            <w:noProof/>
          </w:rPr>
          <w:t>H.</w:t>
        </w:r>
        <w:r w:rsidR="00CC6188">
          <w:rPr>
            <w:rFonts w:asciiTheme="minorHAnsi" w:eastAsiaTheme="minorEastAsia" w:hAnsiTheme="minorHAnsi" w:cstheme="minorBidi"/>
            <w:noProof/>
            <w:sz w:val="22"/>
            <w:szCs w:val="22"/>
            <w:lang w:bidi="he-IL"/>
          </w:rPr>
          <w:tab/>
        </w:r>
        <w:r w:rsidR="00CC6188" w:rsidRPr="00F62F37">
          <w:rPr>
            <w:rStyle w:val="Hyperlink"/>
            <w:noProof/>
          </w:rPr>
          <w:t>Pilot Throughput Balancing Adjustment Rider</w:t>
        </w:r>
        <w:r w:rsidR="00CC6188">
          <w:rPr>
            <w:noProof/>
            <w:webHidden/>
          </w:rPr>
          <w:tab/>
        </w:r>
        <w:r w:rsidR="00CC6188">
          <w:rPr>
            <w:noProof/>
            <w:webHidden/>
          </w:rPr>
          <w:fldChar w:fldCharType="begin"/>
        </w:r>
        <w:r w:rsidR="00CC6188">
          <w:rPr>
            <w:noProof/>
            <w:webHidden/>
          </w:rPr>
          <w:instrText xml:space="preserve"> PAGEREF _Toc387132039 \h </w:instrText>
        </w:r>
        <w:r w:rsidR="00CC6188">
          <w:rPr>
            <w:noProof/>
            <w:webHidden/>
          </w:rPr>
        </w:r>
        <w:r w:rsidR="00CC6188">
          <w:rPr>
            <w:noProof/>
            <w:webHidden/>
          </w:rPr>
          <w:fldChar w:fldCharType="separate"/>
        </w:r>
        <w:r w:rsidR="00FB038B">
          <w:rPr>
            <w:noProof/>
            <w:webHidden/>
          </w:rPr>
          <w:t>37</w:t>
        </w:r>
        <w:r w:rsidR="00CC6188">
          <w:rPr>
            <w:noProof/>
            <w:webHidden/>
          </w:rPr>
          <w:fldChar w:fldCharType="end"/>
        </w:r>
      </w:hyperlink>
    </w:p>
    <w:p w:rsidR="00CC6188" w:rsidRDefault="00A73821">
      <w:pPr>
        <w:pStyle w:val="TOC1"/>
        <w:rPr>
          <w:rFonts w:asciiTheme="minorHAnsi" w:eastAsiaTheme="minorEastAsia" w:hAnsiTheme="minorHAnsi" w:cstheme="minorBidi"/>
          <w:caps w:val="0"/>
          <w:sz w:val="22"/>
          <w:szCs w:val="22"/>
          <w:lang w:bidi="he-IL"/>
        </w:rPr>
      </w:pPr>
      <w:hyperlink w:anchor="_Toc387132040" w:history="1">
        <w:r w:rsidR="00CC6188" w:rsidRPr="00F62F37">
          <w:rPr>
            <w:rStyle w:val="Hyperlink"/>
          </w:rPr>
          <w:t>v.</w:t>
        </w:r>
        <w:r w:rsidR="00CC6188">
          <w:rPr>
            <w:rFonts w:asciiTheme="minorHAnsi" w:eastAsiaTheme="minorEastAsia" w:hAnsiTheme="minorHAnsi" w:cstheme="minorBidi"/>
            <w:caps w:val="0"/>
            <w:sz w:val="22"/>
            <w:szCs w:val="22"/>
            <w:lang w:bidi="he-IL"/>
          </w:rPr>
          <w:tab/>
        </w:r>
        <w:r w:rsidR="00CC6188" w:rsidRPr="00F62F37">
          <w:rPr>
            <w:rStyle w:val="Hyperlink"/>
          </w:rPr>
          <w:t>CONCLUSION</w:t>
        </w:r>
        <w:r w:rsidR="00CC6188">
          <w:rPr>
            <w:webHidden/>
          </w:rPr>
          <w:tab/>
        </w:r>
        <w:r w:rsidR="00CC6188">
          <w:rPr>
            <w:webHidden/>
          </w:rPr>
          <w:fldChar w:fldCharType="begin"/>
        </w:r>
        <w:r w:rsidR="00CC6188">
          <w:rPr>
            <w:webHidden/>
          </w:rPr>
          <w:instrText xml:space="preserve"> PAGEREF _Toc387132040 \h </w:instrText>
        </w:r>
        <w:r w:rsidR="00CC6188">
          <w:rPr>
            <w:webHidden/>
          </w:rPr>
        </w:r>
        <w:r w:rsidR="00CC6188">
          <w:rPr>
            <w:webHidden/>
          </w:rPr>
          <w:fldChar w:fldCharType="separate"/>
        </w:r>
        <w:r w:rsidR="00FB038B">
          <w:rPr>
            <w:webHidden/>
          </w:rPr>
          <w:t>38</w:t>
        </w:r>
        <w:r w:rsidR="00CC6188">
          <w:rPr>
            <w:webHidden/>
          </w:rPr>
          <w:fldChar w:fldCharType="end"/>
        </w:r>
      </w:hyperlink>
    </w:p>
    <w:p w:rsidR="00AA3E3B" w:rsidRDefault="00495AB7" w:rsidP="009E1D7D">
      <w:pPr>
        <w:pStyle w:val="TOC1"/>
      </w:pPr>
      <w:r>
        <w:fldChar w:fldCharType="end"/>
      </w:r>
    </w:p>
    <w:p w:rsidR="004552C9" w:rsidRPr="009E1D7D" w:rsidRDefault="009E752A" w:rsidP="009E1D7D">
      <w:pPr>
        <w:pStyle w:val="TOC1"/>
        <w:rPr>
          <w:b/>
        </w:rPr>
      </w:pPr>
      <w:r w:rsidRPr="009E1D7D">
        <w:rPr>
          <w:b/>
        </w:rPr>
        <w:t>ATTACHMENTS</w:t>
      </w:r>
    </w:p>
    <w:p w:rsidR="004552C9" w:rsidRDefault="009E752A" w:rsidP="00E92FBC">
      <w:pPr>
        <w:tabs>
          <w:tab w:val="left" w:pos="1080"/>
          <w:tab w:val="left" w:leader="dot" w:pos="8640"/>
        </w:tabs>
        <w:ind w:left="1080" w:hanging="1080"/>
      </w:pPr>
      <w:r>
        <w:t>JDW-1</w:t>
      </w:r>
      <w:r>
        <w:tab/>
        <w:t>List of Previous Testimony Filed at the PUCO by James Williams</w:t>
      </w:r>
    </w:p>
    <w:p w:rsidR="004552C9" w:rsidRDefault="004552C9" w:rsidP="00E92FBC">
      <w:pPr>
        <w:tabs>
          <w:tab w:val="left" w:pos="1080"/>
          <w:tab w:val="left" w:leader="dot" w:pos="8640"/>
        </w:tabs>
        <w:ind w:left="1080" w:hanging="1080"/>
      </w:pPr>
    </w:p>
    <w:p w:rsidR="004552C9" w:rsidRDefault="009E752A" w:rsidP="002F00B8">
      <w:pPr>
        <w:tabs>
          <w:tab w:val="left" w:pos="1080"/>
          <w:tab w:val="left" w:leader="dot" w:pos="8640"/>
        </w:tabs>
        <w:ind w:left="1080" w:hanging="1080"/>
      </w:pPr>
      <w:r>
        <w:t>JDW-2</w:t>
      </w:r>
      <w:r>
        <w:tab/>
        <w:t>The Ohio Poverty Report, O</w:t>
      </w:r>
      <w:r w:rsidR="002F00B8">
        <w:t>hio Development Services Agency (</w:t>
      </w:r>
      <w:r>
        <w:t>February 2014</w:t>
      </w:r>
      <w:r w:rsidR="002F00B8">
        <w:t>)</w:t>
      </w:r>
    </w:p>
    <w:p w:rsidR="004552C9" w:rsidRDefault="004552C9" w:rsidP="00E92FBC">
      <w:pPr>
        <w:tabs>
          <w:tab w:val="left" w:pos="1080"/>
          <w:tab w:val="left" w:leader="dot" w:pos="8640"/>
        </w:tabs>
        <w:ind w:left="1080" w:hanging="1080"/>
      </w:pPr>
    </w:p>
    <w:p w:rsidR="004552C9" w:rsidRDefault="009E752A" w:rsidP="002F00B8">
      <w:pPr>
        <w:tabs>
          <w:tab w:val="left" w:pos="1080"/>
          <w:tab w:val="left" w:leader="dot" w:pos="8640"/>
        </w:tabs>
        <w:ind w:left="1080" w:hanging="1080"/>
      </w:pPr>
      <w:r>
        <w:t>JDW-3</w:t>
      </w:r>
      <w:r>
        <w:tab/>
        <w:t>Ohio Utility Rate Survey, Publi</w:t>
      </w:r>
      <w:r w:rsidR="002F00B8">
        <w:t>c Utilities Commission of Ohio (</w:t>
      </w:r>
      <w:r w:rsidR="005B4DE7">
        <w:t>April 15</w:t>
      </w:r>
      <w:r w:rsidR="002F00B8">
        <w:t xml:space="preserve">, </w:t>
      </w:r>
      <w:r>
        <w:t xml:space="preserve"> 2014</w:t>
      </w:r>
      <w:r w:rsidR="002F00B8">
        <w:t>)</w:t>
      </w:r>
    </w:p>
    <w:p w:rsidR="00B42FA8" w:rsidRDefault="00B42FA8" w:rsidP="00E92FBC">
      <w:pPr>
        <w:tabs>
          <w:tab w:val="left" w:pos="1080"/>
          <w:tab w:val="left" w:leader="dot" w:pos="8640"/>
        </w:tabs>
        <w:ind w:left="1080" w:hanging="1080"/>
      </w:pPr>
    </w:p>
    <w:p w:rsidR="005B4DE7" w:rsidRDefault="005B4DE7" w:rsidP="00E92FBC">
      <w:pPr>
        <w:tabs>
          <w:tab w:val="left" w:pos="1080"/>
          <w:tab w:val="left" w:leader="dot" w:pos="8640"/>
        </w:tabs>
        <w:ind w:left="1080" w:hanging="1080"/>
      </w:pPr>
      <w:r>
        <w:t>JDW-4</w:t>
      </w:r>
      <w:r>
        <w:tab/>
        <w:t>April 2004 – April 2014 Ohio Utility Rate Survey Summary</w:t>
      </w:r>
    </w:p>
    <w:p w:rsidR="004552C9" w:rsidRDefault="004552C9" w:rsidP="00E92FBC">
      <w:pPr>
        <w:tabs>
          <w:tab w:val="left" w:pos="1080"/>
          <w:tab w:val="left" w:leader="dot" w:pos="8640"/>
        </w:tabs>
        <w:ind w:left="1080" w:hanging="1080"/>
      </w:pPr>
    </w:p>
    <w:p w:rsidR="005B4DE7" w:rsidRDefault="005B4DE7" w:rsidP="002F00B8">
      <w:pPr>
        <w:tabs>
          <w:tab w:val="left" w:pos="1080"/>
          <w:tab w:val="left" w:leader="dot" w:pos="8640"/>
        </w:tabs>
        <w:ind w:left="1080" w:hanging="1080"/>
        <w:rPr>
          <w:bCs/>
        </w:rPr>
      </w:pPr>
      <w:r>
        <w:t>JDW-5</w:t>
      </w:r>
      <w:r>
        <w:tab/>
      </w:r>
      <w:r>
        <w:rPr>
          <w:bCs/>
        </w:rPr>
        <w:t>Energy Choice Ohio Website CRES Offers (</w:t>
      </w:r>
      <w:r w:rsidR="002F00B8">
        <w:rPr>
          <w:bCs/>
        </w:rPr>
        <w:t>May 5</w:t>
      </w:r>
      <w:r>
        <w:rPr>
          <w:bCs/>
        </w:rPr>
        <w:t>, 2014)</w:t>
      </w:r>
    </w:p>
    <w:p w:rsidR="005B4DE7" w:rsidRDefault="005B4DE7" w:rsidP="00E92FBC">
      <w:pPr>
        <w:tabs>
          <w:tab w:val="left" w:pos="1080"/>
          <w:tab w:val="left" w:leader="dot" w:pos="8640"/>
        </w:tabs>
        <w:ind w:left="1080" w:hanging="1080"/>
        <w:rPr>
          <w:bCs/>
        </w:rPr>
      </w:pPr>
    </w:p>
    <w:p w:rsidR="005B4DE7" w:rsidRDefault="005B4DE7" w:rsidP="005C66BD">
      <w:pPr>
        <w:tabs>
          <w:tab w:val="left" w:pos="1080"/>
          <w:tab w:val="left" w:leader="dot" w:pos="8640"/>
        </w:tabs>
        <w:ind w:left="1080" w:hanging="1080"/>
        <w:rPr>
          <w:bCs/>
        </w:rPr>
      </w:pPr>
      <w:r>
        <w:rPr>
          <w:bCs/>
        </w:rPr>
        <w:t>JDW-6</w:t>
      </w:r>
      <w:r>
        <w:rPr>
          <w:bCs/>
        </w:rPr>
        <w:tab/>
        <w:t>AEP Ohio Response to OCC</w:t>
      </w:r>
      <w:r w:rsidR="005C66BD">
        <w:rPr>
          <w:bCs/>
        </w:rPr>
        <w:t>-</w:t>
      </w:r>
      <w:r>
        <w:rPr>
          <w:bCs/>
        </w:rPr>
        <w:t>INT-4-035</w:t>
      </w:r>
    </w:p>
    <w:p w:rsidR="00B42FA8" w:rsidRDefault="00B42FA8" w:rsidP="00E92FBC">
      <w:pPr>
        <w:tabs>
          <w:tab w:val="left" w:pos="1080"/>
          <w:tab w:val="left" w:leader="dot" w:pos="8640"/>
        </w:tabs>
        <w:ind w:left="1080" w:hanging="1080"/>
        <w:rPr>
          <w:bCs/>
        </w:rPr>
      </w:pPr>
    </w:p>
    <w:p w:rsidR="00B42FA8" w:rsidRDefault="00B42FA8" w:rsidP="00E92FBC">
      <w:pPr>
        <w:tabs>
          <w:tab w:val="left" w:pos="1080"/>
          <w:tab w:val="left" w:leader="dot" w:pos="8640"/>
        </w:tabs>
        <w:ind w:left="1080" w:hanging="1080"/>
        <w:rPr>
          <w:bCs/>
        </w:rPr>
      </w:pPr>
      <w:r>
        <w:lastRenderedPageBreak/>
        <w:t>JDW-7</w:t>
      </w:r>
      <w:r>
        <w:tab/>
      </w:r>
      <w:r>
        <w:rPr>
          <w:bCs/>
        </w:rPr>
        <w:t>Summary of Switch Rates from EDUs to CRES Providers in Terms of Sales f</w:t>
      </w:r>
      <w:r w:rsidRPr="00B42FA8">
        <w:rPr>
          <w:bCs/>
        </w:rPr>
        <w:t>or the Month Ending December 31, 2013</w:t>
      </w:r>
    </w:p>
    <w:p w:rsidR="00B42FA8" w:rsidRDefault="00B42FA8" w:rsidP="00E92FBC">
      <w:pPr>
        <w:tabs>
          <w:tab w:val="left" w:pos="1080"/>
          <w:tab w:val="left" w:leader="dot" w:pos="8640"/>
        </w:tabs>
        <w:ind w:left="1080" w:hanging="1080"/>
        <w:rPr>
          <w:bCs/>
        </w:rPr>
      </w:pPr>
    </w:p>
    <w:p w:rsidR="00B42FA8" w:rsidRDefault="00B42FA8" w:rsidP="00E92FBC">
      <w:pPr>
        <w:pStyle w:val="Default"/>
        <w:tabs>
          <w:tab w:val="left" w:pos="1080"/>
        </w:tabs>
        <w:ind w:left="1080" w:hanging="1080"/>
        <w:rPr>
          <w:rFonts w:ascii="Times New Roman" w:hAnsi="Times New Roman" w:cs="Times New Roman"/>
          <w:bCs/>
        </w:rPr>
      </w:pPr>
      <w:r>
        <w:rPr>
          <w:rFonts w:ascii="Times New Roman" w:hAnsi="Times New Roman" w:cs="Times New Roman"/>
          <w:bCs/>
        </w:rPr>
        <w:t>JDW-8</w:t>
      </w:r>
      <w:r>
        <w:rPr>
          <w:rFonts w:ascii="Times New Roman" w:hAnsi="Times New Roman" w:cs="Times New Roman"/>
          <w:bCs/>
        </w:rPr>
        <w:tab/>
        <w:t>AEP Ohio Response to OCC-INT-10-242</w:t>
      </w:r>
    </w:p>
    <w:p w:rsidR="00B42FA8" w:rsidRDefault="00B42FA8" w:rsidP="00E92FBC">
      <w:pPr>
        <w:pStyle w:val="Default"/>
        <w:tabs>
          <w:tab w:val="left" w:pos="1080"/>
        </w:tabs>
        <w:ind w:left="1080" w:hanging="1080"/>
        <w:rPr>
          <w:rFonts w:ascii="Times New Roman" w:hAnsi="Times New Roman" w:cs="Times New Roman"/>
          <w:bCs/>
        </w:rPr>
      </w:pPr>
    </w:p>
    <w:p w:rsidR="00B42FA8" w:rsidRDefault="00B42FA8" w:rsidP="00E92FBC">
      <w:pPr>
        <w:pStyle w:val="Default"/>
        <w:tabs>
          <w:tab w:val="left" w:pos="1080"/>
        </w:tabs>
        <w:ind w:left="1080" w:hanging="1080"/>
        <w:rPr>
          <w:rFonts w:ascii="Times New Roman" w:hAnsi="Times New Roman" w:cs="Times New Roman"/>
          <w:bCs/>
        </w:rPr>
      </w:pPr>
      <w:r>
        <w:rPr>
          <w:rFonts w:ascii="Times New Roman" w:hAnsi="Times New Roman" w:cs="Times New Roman"/>
          <w:bCs/>
        </w:rPr>
        <w:t>JDW-9</w:t>
      </w:r>
      <w:r>
        <w:rPr>
          <w:rFonts w:ascii="Times New Roman" w:hAnsi="Times New Roman" w:cs="Times New Roman"/>
          <w:bCs/>
        </w:rPr>
        <w:tab/>
        <w:t>AEP Ohio Response to OCC-INT-10-250</w:t>
      </w:r>
    </w:p>
    <w:p w:rsidR="00B42FA8" w:rsidRDefault="00B42FA8" w:rsidP="00E92FBC">
      <w:pPr>
        <w:pStyle w:val="Default"/>
        <w:tabs>
          <w:tab w:val="left" w:pos="1080"/>
        </w:tabs>
        <w:ind w:left="1080" w:hanging="1080"/>
        <w:rPr>
          <w:rFonts w:ascii="Times New Roman" w:hAnsi="Times New Roman" w:cs="Times New Roman"/>
          <w:bCs/>
        </w:rPr>
      </w:pPr>
    </w:p>
    <w:p w:rsidR="00B42FA8" w:rsidRDefault="00B42FA8" w:rsidP="00E92FBC">
      <w:pPr>
        <w:pStyle w:val="Default"/>
        <w:tabs>
          <w:tab w:val="left" w:pos="1080"/>
        </w:tabs>
        <w:ind w:left="1080" w:hanging="1080"/>
        <w:rPr>
          <w:rFonts w:ascii="Times New Roman" w:hAnsi="Times New Roman" w:cs="Times New Roman"/>
          <w:bCs/>
        </w:rPr>
      </w:pPr>
      <w:r>
        <w:rPr>
          <w:rFonts w:ascii="Times New Roman" w:hAnsi="Times New Roman" w:cs="Times New Roman"/>
          <w:bCs/>
        </w:rPr>
        <w:t>JDW-10</w:t>
      </w:r>
      <w:r>
        <w:rPr>
          <w:rFonts w:ascii="Times New Roman" w:hAnsi="Times New Roman" w:cs="Times New Roman"/>
          <w:bCs/>
        </w:rPr>
        <w:tab/>
        <w:t>AEP Ohio Response to OCC-INT-4-066</w:t>
      </w:r>
    </w:p>
    <w:p w:rsidR="00B42FA8" w:rsidRDefault="00B42FA8" w:rsidP="00E92FBC">
      <w:pPr>
        <w:pStyle w:val="Default"/>
        <w:tabs>
          <w:tab w:val="left" w:pos="1080"/>
        </w:tabs>
        <w:ind w:left="1080" w:hanging="1080"/>
        <w:rPr>
          <w:rFonts w:ascii="Times New Roman" w:hAnsi="Times New Roman" w:cs="Times New Roman"/>
          <w:bCs/>
        </w:rPr>
      </w:pPr>
    </w:p>
    <w:p w:rsidR="00B42FA8" w:rsidRDefault="00B42FA8" w:rsidP="00E92FBC">
      <w:pPr>
        <w:pStyle w:val="Default"/>
        <w:tabs>
          <w:tab w:val="left" w:pos="1080"/>
        </w:tabs>
        <w:ind w:left="1080" w:hanging="1080"/>
        <w:rPr>
          <w:rFonts w:ascii="Times New Roman" w:hAnsi="Times New Roman" w:cs="Times New Roman"/>
          <w:bCs/>
        </w:rPr>
      </w:pPr>
      <w:r>
        <w:rPr>
          <w:rFonts w:ascii="Times New Roman" w:hAnsi="Times New Roman" w:cs="Times New Roman"/>
          <w:bCs/>
        </w:rPr>
        <w:t>JDW-11</w:t>
      </w:r>
      <w:r>
        <w:rPr>
          <w:rFonts w:ascii="Times New Roman" w:hAnsi="Times New Roman" w:cs="Times New Roman"/>
          <w:bCs/>
        </w:rPr>
        <w:tab/>
        <w:t>AEP Ohio Response to OCC-INT-13-317</w:t>
      </w:r>
    </w:p>
    <w:p w:rsidR="00B42FA8" w:rsidRDefault="00B42FA8" w:rsidP="00E92FBC">
      <w:pPr>
        <w:pStyle w:val="Default"/>
        <w:tabs>
          <w:tab w:val="left" w:pos="1080"/>
        </w:tabs>
        <w:ind w:left="1080" w:hanging="1080"/>
        <w:rPr>
          <w:rFonts w:ascii="Times New Roman" w:hAnsi="Times New Roman" w:cs="Times New Roman"/>
          <w:bCs/>
        </w:rPr>
      </w:pPr>
    </w:p>
    <w:p w:rsidR="00B42FA8" w:rsidRDefault="00B42FA8" w:rsidP="00E92FBC">
      <w:pPr>
        <w:pStyle w:val="Default"/>
        <w:tabs>
          <w:tab w:val="left" w:pos="1080"/>
        </w:tabs>
        <w:ind w:left="1080" w:hanging="1080"/>
        <w:rPr>
          <w:rFonts w:ascii="Times New Roman" w:hAnsi="Times New Roman" w:cs="Times New Roman"/>
          <w:bCs/>
        </w:rPr>
      </w:pPr>
      <w:r>
        <w:rPr>
          <w:rFonts w:ascii="Times New Roman" w:hAnsi="Times New Roman" w:cs="Times New Roman"/>
          <w:bCs/>
        </w:rPr>
        <w:t>JDW-12</w:t>
      </w:r>
      <w:r>
        <w:rPr>
          <w:rFonts w:ascii="Times New Roman" w:hAnsi="Times New Roman" w:cs="Times New Roman"/>
          <w:bCs/>
        </w:rPr>
        <w:tab/>
        <w:t>AEP Ohio Response to OCC-INT-4-045</w:t>
      </w:r>
    </w:p>
    <w:p w:rsidR="00B42FA8" w:rsidRDefault="00B42FA8" w:rsidP="00E92FBC">
      <w:pPr>
        <w:pStyle w:val="Default"/>
        <w:tabs>
          <w:tab w:val="left" w:pos="1080"/>
        </w:tabs>
        <w:ind w:left="1080" w:hanging="1080"/>
        <w:rPr>
          <w:rFonts w:ascii="Times New Roman" w:hAnsi="Times New Roman" w:cs="Times New Roman"/>
          <w:bCs/>
        </w:rPr>
      </w:pPr>
    </w:p>
    <w:p w:rsidR="00B42FA8" w:rsidRDefault="00B42FA8" w:rsidP="00E92FBC">
      <w:pPr>
        <w:pStyle w:val="Default"/>
        <w:tabs>
          <w:tab w:val="left" w:pos="1080"/>
        </w:tabs>
        <w:ind w:left="1080" w:hanging="1080"/>
        <w:rPr>
          <w:rFonts w:ascii="Times New Roman" w:hAnsi="Times New Roman" w:cs="Times New Roman"/>
          <w:bCs/>
        </w:rPr>
      </w:pPr>
      <w:r>
        <w:rPr>
          <w:rFonts w:ascii="Times New Roman" w:hAnsi="Times New Roman" w:cs="Times New Roman"/>
          <w:bCs/>
        </w:rPr>
        <w:t>JDW-13</w:t>
      </w:r>
      <w:r>
        <w:rPr>
          <w:rFonts w:ascii="Times New Roman" w:hAnsi="Times New Roman" w:cs="Times New Roman"/>
          <w:bCs/>
        </w:rPr>
        <w:tab/>
        <w:t>AEP Outages</w:t>
      </w:r>
      <w:r w:rsidR="002F00B8">
        <w:rPr>
          <w:rFonts w:ascii="Times New Roman" w:hAnsi="Times New Roman" w:cs="Times New Roman"/>
          <w:bCs/>
        </w:rPr>
        <w:t xml:space="preserve"> Annual Reports</w:t>
      </w:r>
      <w:r>
        <w:rPr>
          <w:rFonts w:ascii="Times New Roman" w:hAnsi="Times New Roman" w:cs="Times New Roman"/>
          <w:bCs/>
        </w:rPr>
        <w:t xml:space="preserve"> 2012-2013</w:t>
      </w:r>
    </w:p>
    <w:p w:rsidR="00B42FA8" w:rsidRDefault="00B42FA8" w:rsidP="00E92FBC">
      <w:pPr>
        <w:pStyle w:val="Default"/>
        <w:tabs>
          <w:tab w:val="left" w:pos="1080"/>
        </w:tabs>
        <w:ind w:left="1080" w:hanging="1080"/>
        <w:rPr>
          <w:rFonts w:ascii="Times New Roman" w:hAnsi="Times New Roman" w:cs="Times New Roman"/>
          <w:bCs/>
        </w:rPr>
      </w:pPr>
    </w:p>
    <w:p w:rsidR="00B42FA8" w:rsidRDefault="00B42FA8" w:rsidP="00E92FBC">
      <w:pPr>
        <w:pStyle w:val="Default"/>
        <w:tabs>
          <w:tab w:val="left" w:pos="1080"/>
        </w:tabs>
        <w:ind w:left="1080" w:hanging="1080"/>
        <w:rPr>
          <w:rFonts w:ascii="Times New Roman" w:hAnsi="Times New Roman" w:cs="Times New Roman"/>
          <w:bCs/>
        </w:rPr>
      </w:pPr>
      <w:r>
        <w:rPr>
          <w:rFonts w:ascii="Times New Roman" w:hAnsi="Times New Roman" w:cs="Times New Roman"/>
          <w:bCs/>
        </w:rPr>
        <w:t>JDW-14</w:t>
      </w:r>
      <w:r>
        <w:rPr>
          <w:rFonts w:ascii="Times New Roman" w:hAnsi="Times New Roman" w:cs="Times New Roman"/>
          <w:bCs/>
        </w:rPr>
        <w:tab/>
        <w:t>AEP Ohio Response to OCC-INT-13-310</w:t>
      </w:r>
    </w:p>
    <w:p w:rsidR="00B42FA8" w:rsidRDefault="00B42FA8" w:rsidP="00E92FBC">
      <w:pPr>
        <w:pStyle w:val="Default"/>
        <w:tabs>
          <w:tab w:val="left" w:pos="1080"/>
        </w:tabs>
        <w:ind w:left="1080" w:hanging="1080"/>
        <w:rPr>
          <w:rFonts w:ascii="Times New Roman" w:hAnsi="Times New Roman" w:cs="Times New Roman"/>
          <w:bCs/>
        </w:rPr>
      </w:pPr>
    </w:p>
    <w:p w:rsidR="00B42FA8" w:rsidRDefault="00B42FA8" w:rsidP="00E92FBC">
      <w:pPr>
        <w:tabs>
          <w:tab w:val="left" w:pos="1080"/>
          <w:tab w:val="left" w:leader="dot" w:pos="8640"/>
        </w:tabs>
        <w:ind w:left="1080" w:hanging="1080"/>
        <w:rPr>
          <w:bCs/>
        </w:rPr>
      </w:pPr>
      <w:r>
        <w:rPr>
          <w:bCs/>
        </w:rPr>
        <w:t>JDW-15</w:t>
      </w:r>
      <w:r>
        <w:rPr>
          <w:bCs/>
        </w:rPr>
        <w:tab/>
        <w:t xml:space="preserve">AEP </w:t>
      </w:r>
      <w:r w:rsidR="002F2D51">
        <w:rPr>
          <w:bCs/>
        </w:rPr>
        <w:t>Ohio Response to OCC-INT-19-350</w:t>
      </w:r>
    </w:p>
    <w:p w:rsidR="00B42FA8" w:rsidRDefault="00B42FA8" w:rsidP="00B42FA8">
      <w:pPr>
        <w:tabs>
          <w:tab w:val="left" w:pos="720"/>
          <w:tab w:val="left" w:pos="900"/>
          <w:tab w:val="left" w:leader="dot" w:pos="8640"/>
        </w:tabs>
        <w:ind w:left="1440" w:hanging="1440"/>
        <w:rPr>
          <w:bCs/>
        </w:rPr>
      </w:pPr>
    </w:p>
    <w:p w:rsidR="005B4DE7" w:rsidRDefault="005B4DE7">
      <w:pPr>
        <w:tabs>
          <w:tab w:val="left" w:pos="720"/>
          <w:tab w:val="left" w:pos="1440"/>
          <w:tab w:val="left" w:leader="dot" w:pos="8640"/>
        </w:tabs>
        <w:ind w:left="1440" w:hanging="1440"/>
      </w:pPr>
    </w:p>
    <w:p w:rsidR="004552C9" w:rsidRDefault="004552C9" w:rsidP="00783A02">
      <w:pPr>
        <w:tabs>
          <w:tab w:val="left" w:pos="720"/>
          <w:tab w:val="left" w:pos="1440"/>
          <w:tab w:val="left" w:leader="dot" w:pos="8640"/>
        </w:tabs>
        <w:sectPr w:rsidR="004552C9" w:rsidSect="00F95936">
          <w:headerReference w:type="even" r:id="rId14"/>
          <w:headerReference w:type="default" r:id="rId15"/>
          <w:footerReference w:type="default" r:id="rId16"/>
          <w:headerReference w:type="first" r:id="rId17"/>
          <w:pgSz w:w="12240" w:h="15840" w:code="1"/>
          <w:pgMar w:top="1440" w:right="1800" w:bottom="1440" w:left="1800" w:header="720" w:footer="720" w:gutter="0"/>
          <w:pgNumType w:fmt="lowerRoman" w:start="1"/>
          <w:cols w:space="720"/>
          <w:docGrid w:linePitch="360"/>
        </w:sectPr>
      </w:pPr>
    </w:p>
    <w:p w:rsidR="004552C9" w:rsidRDefault="009E752A" w:rsidP="00EA7607">
      <w:pPr>
        <w:pStyle w:val="Heading1"/>
        <w:ind w:left="0" w:firstLine="0"/>
      </w:pPr>
      <w:bookmarkStart w:id="1" w:name="_Toc317859570"/>
      <w:bookmarkStart w:id="2" w:name="_Toc386462073"/>
      <w:bookmarkStart w:id="3" w:name="_Toc387132029"/>
      <w:r>
        <w:lastRenderedPageBreak/>
        <w:t>I.</w:t>
      </w:r>
      <w:r>
        <w:tab/>
        <w:t>INTRODUCTION</w:t>
      </w:r>
      <w:bookmarkEnd w:id="1"/>
      <w:bookmarkEnd w:id="2"/>
      <w:bookmarkEnd w:id="3"/>
    </w:p>
    <w:p w:rsidR="004552C9" w:rsidRDefault="004552C9">
      <w:pPr>
        <w:spacing w:line="480" w:lineRule="auto"/>
      </w:pPr>
    </w:p>
    <w:p w:rsidR="004552C9" w:rsidRDefault="009E752A">
      <w:pPr>
        <w:tabs>
          <w:tab w:val="left" w:pos="720"/>
          <w:tab w:val="left" w:pos="1440"/>
          <w:tab w:val="left" w:leader="dot" w:pos="8640"/>
        </w:tabs>
        <w:spacing w:line="480" w:lineRule="auto"/>
        <w:rPr>
          <w:b/>
          <w:bCs/>
          <w:i/>
          <w:iCs/>
        </w:rPr>
      </w:pPr>
      <w:r w:rsidRPr="00F95936">
        <w:rPr>
          <w:b/>
          <w:bCs/>
          <w:i/>
          <w:iCs/>
        </w:rPr>
        <w:t>Q1.</w:t>
      </w:r>
      <w:r>
        <w:rPr>
          <w:b/>
          <w:bCs/>
          <w:i/>
          <w:iCs/>
        </w:rPr>
        <w:tab/>
        <w:t>PLEASE STATE YOUR NAME, BUSINESS ADDRESS, AND POSITION.</w:t>
      </w:r>
    </w:p>
    <w:p w:rsidR="004552C9" w:rsidRDefault="009E752A">
      <w:pPr>
        <w:tabs>
          <w:tab w:val="left" w:pos="720"/>
          <w:tab w:val="left" w:pos="1440"/>
          <w:tab w:val="left" w:leader="dot" w:pos="8640"/>
        </w:tabs>
        <w:spacing w:line="480" w:lineRule="auto"/>
        <w:ind w:left="720" w:hanging="720"/>
      </w:pPr>
      <w:r w:rsidRPr="00F95936">
        <w:rPr>
          <w:b/>
          <w:bCs/>
          <w:i/>
          <w:iCs/>
        </w:rPr>
        <w:t>A1</w:t>
      </w:r>
      <w:r>
        <w:rPr>
          <w:b/>
          <w:bCs/>
          <w:iCs/>
        </w:rPr>
        <w:t>.</w:t>
      </w:r>
      <w:r>
        <w:tab/>
        <w:t>My name is James D. Williams.  My business address is 10 West Broad Street, 18</w:t>
      </w:r>
      <w:r>
        <w:rPr>
          <w:vertAlign w:val="superscript"/>
        </w:rPr>
        <w:t>th</w:t>
      </w:r>
      <w:r w:rsidR="00470F27">
        <w:t xml:space="preserve"> Floor, Columbus,</w:t>
      </w:r>
      <w:r>
        <w:t xml:space="preserve"> Ohio</w:t>
      </w:r>
      <w:r w:rsidR="00F2078A">
        <w:t>,</w:t>
      </w:r>
      <w:r>
        <w:t xml:space="preserve"> 43215-3485.  I am employed by the Office of the Ohio Consumers’ Counsel (“OCC”) as a Senior Consumer Protection Research Analyst.</w:t>
      </w:r>
    </w:p>
    <w:p w:rsidR="004552C9" w:rsidRDefault="004552C9">
      <w:pPr>
        <w:tabs>
          <w:tab w:val="left" w:pos="720"/>
          <w:tab w:val="left" w:pos="1440"/>
          <w:tab w:val="left" w:leader="dot" w:pos="8640"/>
        </w:tabs>
        <w:spacing w:line="480" w:lineRule="auto"/>
      </w:pPr>
    </w:p>
    <w:p w:rsidR="004552C9" w:rsidRDefault="009E752A">
      <w:pPr>
        <w:tabs>
          <w:tab w:val="left" w:pos="720"/>
          <w:tab w:val="left" w:pos="1440"/>
          <w:tab w:val="left" w:leader="dot" w:pos="8640"/>
        </w:tabs>
        <w:spacing w:line="480" w:lineRule="auto"/>
        <w:ind w:left="720" w:hanging="720"/>
        <w:rPr>
          <w:b/>
          <w:bCs/>
          <w:i/>
          <w:iCs/>
        </w:rPr>
      </w:pPr>
      <w:r w:rsidRPr="00F95936">
        <w:rPr>
          <w:b/>
          <w:bCs/>
          <w:i/>
          <w:iCs/>
        </w:rPr>
        <w:t>Q2.</w:t>
      </w:r>
      <w:r>
        <w:rPr>
          <w:b/>
          <w:bCs/>
          <w:i/>
          <w:iCs/>
        </w:rPr>
        <w:tab/>
        <w:t>PLEASE BRIEFLY SUMMARIZE YOUR EDUCATION AND PROFESSIONAL EXPERIENCE</w:t>
      </w:r>
    </w:p>
    <w:p w:rsidR="004552C9" w:rsidRDefault="009E752A" w:rsidP="000842BD">
      <w:pPr>
        <w:tabs>
          <w:tab w:val="left" w:pos="720"/>
          <w:tab w:val="left" w:pos="1440"/>
          <w:tab w:val="left" w:leader="dot" w:pos="8640"/>
        </w:tabs>
        <w:spacing w:line="480" w:lineRule="auto"/>
        <w:ind w:left="720" w:hanging="720"/>
      </w:pPr>
      <w:r w:rsidRPr="00F95936">
        <w:rPr>
          <w:b/>
          <w:bCs/>
          <w:i/>
          <w:iCs/>
        </w:rPr>
        <w:t>A2.</w:t>
      </w:r>
      <w:r>
        <w:tab/>
        <w:t>I am a 1994 graduate of Webster University, in St. Louis, Missouri, with a Master in Business Administration, and a 1978 graduate of Franklin University, in Columbus, Ohio, with a Bachelor of Science, Engineering Technology.  My professional experience includes a career in the Air Force and over 18 years of utility regu</w:t>
      </w:r>
      <w:r w:rsidR="002F2D51">
        <w:t>latory experience with the OCC.</w:t>
      </w:r>
    </w:p>
    <w:p w:rsidR="005500F6" w:rsidRDefault="005500F6" w:rsidP="000842BD">
      <w:pPr>
        <w:tabs>
          <w:tab w:val="left" w:pos="720"/>
          <w:tab w:val="left" w:pos="1440"/>
          <w:tab w:val="left" w:leader="dot" w:pos="8640"/>
        </w:tabs>
        <w:spacing w:line="480" w:lineRule="auto"/>
        <w:ind w:left="720" w:hanging="720"/>
      </w:pPr>
    </w:p>
    <w:p w:rsidR="004552C9" w:rsidRDefault="009E752A" w:rsidP="002F2D51">
      <w:pPr>
        <w:tabs>
          <w:tab w:val="left" w:pos="720"/>
          <w:tab w:val="left" w:pos="1440"/>
          <w:tab w:val="left" w:leader="dot" w:pos="8640"/>
        </w:tabs>
        <w:spacing w:line="480" w:lineRule="auto"/>
        <w:ind w:left="720"/>
      </w:pPr>
      <w:r>
        <w:t>Initially, I served as a compliance specialist with the OCC and my duties included the development of compliance programs for electric, natural gas</w:t>
      </w:r>
      <w:r w:rsidR="009B04BF">
        <w:t>,</w:t>
      </w:r>
      <w:r>
        <w:t xml:space="preserve"> and water industries.  Later, I was appointed to manage all of the agency compliance specialists who were developing compliance programs in each of the utility industries.  My role evolved into the management of the OCC consumer hotline, the direct service provided to consumers to resolve complaints and inquiries that involve Ohio utilities.  More recently as a Senior Consumer Protection Research Analyst, I am responsible for </w:t>
      </w:r>
      <w:r w:rsidR="009B04BF">
        <w:t>investigating</w:t>
      </w:r>
      <w:r w:rsidR="009B04BF" w:rsidDel="009B04BF">
        <w:t xml:space="preserve"> </w:t>
      </w:r>
      <w:r>
        <w:t xml:space="preserve">and recommending policy positions on issues that affect residential consumers.  I have been directly involved in the development of comments in various rulemaking proceedings at the Public Utilities Commission of Ohio (“PUCO”) and the Ohio Development </w:t>
      </w:r>
      <w:r w:rsidR="00010099">
        <w:t xml:space="preserve">Services Agency (“ODSA”) </w:t>
      </w:r>
      <w:r>
        <w:t>advocating consumer protections, utility affordability, and the provision of reasonable access to essential utility services for residential consumers.</w:t>
      </w:r>
    </w:p>
    <w:p w:rsidR="00F95936" w:rsidRDefault="00F95936" w:rsidP="00F2078A">
      <w:pPr>
        <w:tabs>
          <w:tab w:val="left" w:pos="720"/>
          <w:tab w:val="left" w:pos="1440"/>
          <w:tab w:val="left" w:leader="dot" w:pos="8640"/>
        </w:tabs>
        <w:spacing w:line="480" w:lineRule="auto"/>
        <w:ind w:left="720" w:hanging="720"/>
      </w:pPr>
    </w:p>
    <w:p w:rsidR="00F2078A" w:rsidRDefault="009E752A" w:rsidP="002F2D51">
      <w:pPr>
        <w:tabs>
          <w:tab w:val="left" w:pos="720"/>
          <w:tab w:val="left" w:pos="1440"/>
          <w:tab w:val="left" w:leader="dot" w:pos="8640"/>
        </w:tabs>
        <w:spacing w:line="480" w:lineRule="auto"/>
        <w:ind w:left="720"/>
      </w:pPr>
      <w:r>
        <w:t>Specifically related to this proceeding, my experience has involved helping formulate OCC positions in rulemakings such as the Electric Service Safety Standards,</w:t>
      </w:r>
      <w:r>
        <w:rPr>
          <w:rStyle w:val="FootnoteReference"/>
        </w:rPr>
        <w:footnoteReference w:id="1"/>
      </w:r>
      <w:r>
        <w:t xml:space="preserve"> set forth in Ohio Admin. Code 4901:1-10</w:t>
      </w:r>
      <w:r w:rsidR="009B04BF">
        <w:t>,</w:t>
      </w:r>
      <w:r>
        <w:t xml:space="preserve"> and </w:t>
      </w:r>
      <w:r w:rsidR="00BD5085">
        <w:t>Meter</w:t>
      </w:r>
      <w:r w:rsidR="000C7826">
        <w:t>ing Options,</w:t>
      </w:r>
      <w:r w:rsidR="000C7826">
        <w:rPr>
          <w:rStyle w:val="FootnoteReference"/>
        </w:rPr>
        <w:footnoteReference w:id="2"/>
      </w:r>
      <w:r w:rsidR="000C7826">
        <w:t xml:space="preserve"> set forth in Ohio Admin. Code 4901:1-9.  Additionally, I have helped formulate OCC positions in the Establishment of Credit Rules and </w:t>
      </w:r>
      <w:r>
        <w:t>the Disconnection of Gas, Natural Gas, or Electric Service for Residential Customers</w:t>
      </w:r>
      <w:r w:rsidR="009B04BF">
        <w:t>,</w:t>
      </w:r>
      <w:r>
        <w:rPr>
          <w:rStyle w:val="FootnoteReference"/>
        </w:rPr>
        <w:footnoteReference w:id="3"/>
      </w:r>
      <w:r>
        <w:t xml:space="preserve"> set forth in Ohio Admin. Code 4901:1-</w:t>
      </w:r>
      <w:r w:rsidR="000C7826">
        <w:t>17 and 4901:1-</w:t>
      </w:r>
      <w:r>
        <w:t xml:space="preserve">18.  I have </w:t>
      </w:r>
      <w:r w:rsidR="000C7826">
        <w:t xml:space="preserve">also </w:t>
      </w:r>
      <w:r>
        <w:t>participated in OCC case team</w:t>
      </w:r>
      <w:r w:rsidR="000C7826">
        <w:t>s</w:t>
      </w:r>
      <w:r>
        <w:t xml:space="preserve"> assigned to review the reasonableness of reliability performance standards proposed by AEP Ohio.</w:t>
      </w:r>
      <w:r>
        <w:rPr>
          <w:rStyle w:val="FootnoteReference"/>
        </w:rPr>
        <w:footnoteReference w:id="4"/>
      </w:r>
      <w:r w:rsidR="002F2D51">
        <w:t xml:space="preserve"> </w:t>
      </w:r>
    </w:p>
    <w:p w:rsidR="005500F6" w:rsidRDefault="005500F6" w:rsidP="000842BD">
      <w:pPr>
        <w:tabs>
          <w:tab w:val="left" w:pos="720"/>
          <w:tab w:val="left" w:pos="1440"/>
          <w:tab w:val="left" w:leader="dot" w:pos="8640"/>
        </w:tabs>
        <w:spacing w:line="480" w:lineRule="auto"/>
        <w:ind w:left="720" w:hanging="720"/>
      </w:pPr>
    </w:p>
    <w:p w:rsidR="004552C9" w:rsidRDefault="009E752A">
      <w:pPr>
        <w:tabs>
          <w:tab w:val="left" w:pos="720"/>
          <w:tab w:val="left" w:pos="1440"/>
          <w:tab w:val="left" w:leader="dot" w:pos="8640"/>
        </w:tabs>
        <w:spacing w:line="480" w:lineRule="auto"/>
        <w:ind w:left="720" w:hanging="720"/>
        <w:rPr>
          <w:b/>
          <w:bCs/>
          <w:i/>
          <w:iCs/>
        </w:rPr>
      </w:pPr>
      <w:r w:rsidRPr="00F95936">
        <w:rPr>
          <w:b/>
          <w:bCs/>
          <w:i/>
          <w:iCs/>
        </w:rPr>
        <w:t>Q3.</w:t>
      </w:r>
      <w:r>
        <w:rPr>
          <w:b/>
          <w:bCs/>
          <w:i/>
          <w:iCs/>
        </w:rPr>
        <w:tab/>
        <w:t>HAVE YOU PREVIOUSLY SUBMITTED TESTIMONY OR TESTIFIED BEFORE THIS COMMISSION?</w:t>
      </w:r>
    </w:p>
    <w:p w:rsidR="004552C9" w:rsidRDefault="009E752A" w:rsidP="00E17D65">
      <w:pPr>
        <w:autoSpaceDE w:val="0"/>
        <w:autoSpaceDN w:val="0"/>
        <w:adjustRightInd w:val="0"/>
        <w:spacing w:line="480" w:lineRule="auto"/>
        <w:ind w:left="720" w:hanging="720"/>
        <w:rPr>
          <w:i/>
          <w:iCs/>
        </w:rPr>
      </w:pPr>
      <w:r w:rsidRPr="00F95936">
        <w:rPr>
          <w:b/>
          <w:bCs/>
          <w:i/>
          <w:iCs/>
        </w:rPr>
        <w:t>A3</w:t>
      </w:r>
      <w:r>
        <w:rPr>
          <w:b/>
          <w:bCs/>
          <w:iCs/>
        </w:rPr>
        <w:t>.</w:t>
      </w:r>
      <w:r>
        <w:tab/>
        <w:t xml:space="preserve">Yes.  The cases in which I have submitted testimony and/or have testified before the </w:t>
      </w:r>
      <w:r w:rsidR="00E17D65">
        <w:t>PUCO</w:t>
      </w:r>
      <w:r>
        <w:t xml:space="preserve"> can be found in attachment JDW-1.</w:t>
      </w:r>
    </w:p>
    <w:p w:rsidR="004552C9" w:rsidRDefault="004552C9" w:rsidP="005500F6">
      <w:pPr>
        <w:spacing w:line="480" w:lineRule="auto"/>
      </w:pPr>
      <w:bookmarkStart w:id="4" w:name="_Toc317859571"/>
    </w:p>
    <w:p w:rsidR="004552C9" w:rsidRDefault="009E752A" w:rsidP="00EA7607">
      <w:pPr>
        <w:pStyle w:val="Heading1"/>
        <w:ind w:left="0" w:firstLine="0"/>
      </w:pPr>
      <w:bookmarkStart w:id="5" w:name="_Toc386462074"/>
      <w:bookmarkStart w:id="6" w:name="_Toc387132030"/>
      <w:r>
        <w:t>II.</w:t>
      </w:r>
      <w:r>
        <w:tab/>
        <w:t>PURPOSE</w:t>
      </w:r>
      <w:bookmarkEnd w:id="4"/>
      <w:r>
        <w:t xml:space="preserve"> OF MY TESTIMONY</w:t>
      </w:r>
      <w:bookmarkEnd w:id="5"/>
      <w:bookmarkEnd w:id="6"/>
    </w:p>
    <w:p w:rsidR="004552C9" w:rsidRDefault="004552C9" w:rsidP="005500F6">
      <w:pPr>
        <w:spacing w:line="480" w:lineRule="auto"/>
      </w:pPr>
    </w:p>
    <w:p w:rsidR="004552C9" w:rsidRDefault="009E752A">
      <w:pPr>
        <w:tabs>
          <w:tab w:val="left" w:pos="720"/>
          <w:tab w:val="left" w:pos="1440"/>
          <w:tab w:val="left" w:leader="dot" w:pos="8640"/>
        </w:tabs>
        <w:spacing w:line="480" w:lineRule="auto"/>
        <w:ind w:left="720" w:hanging="720"/>
        <w:rPr>
          <w:b/>
          <w:bCs/>
          <w:i/>
          <w:iCs/>
        </w:rPr>
      </w:pPr>
      <w:r w:rsidRPr="00F95936">
        <w:rPr>
          <w:b/>
          <w:bCs/>
          <w:i/>
          <w:iCs/>
        </w:rPr>
        <w:t>Q4</w:t>
      </w:r>
      <w:r>
        <w:rPr>
          <w:b/>
          <w:bCs/>
          <w:iCs/>
        </w:rPr>
        <w:t>.</w:t>
      </w:r>
      <w:r>
        <w:rPr>
          <w:b/>
          <w:bCs/>
          <w:i/>
          <w:iCs/>
        </w:rPr>
        <w:tab/>
        <w:t>WHAT IS THE PURPOSE OF YOUR TESTIMONY IN THIS PROCEEDING?</w:t>
      </w:r>
    </w:p>
    <w:p w:rsidR="006C0E0E" w:rsidRDefault="009E752A">
      <w:pPr>
        <w:tabs>
          <w:tab w:val="left" w:pos="720"/>
        </w:tabs>
        <w:spacing w:line="480" w:lineRule="auto"/>
        <w:ind w:left="720" w:right="720" w:hanging="720"/>
      </w:pPr>
      <w:r w:rsidRPr="00F95936">
        <w:rPr>
          <w:b/>
          <w:bCs/>
          <w:i/>
          <w:iCs/>
        </w:rPr>
        <w:t>A4</w:t>
      </w:r>
      <w:r w:rsidRPr="00F95936">
        <w:rPr>
          <w:i/>
          <w:iCs/>
        </w:rPr>
        <w:t>.</w:t>
      </w:r>
      <w:r>
        <w:rPr>
          <w:i/>
          <w:iCs/>
        </w:rPr>
        <w:tab/>
      </w:r>
      <w:r>
        <w:t xml:space="preserve">I am providing testimony on behalf of OCC to recommend that the PUCO consider customer affordability and the impact on at-risk populations prior to approving any aspect of the Utility’s proposed electric security plan (“ESP III”) that will increase the costs of electric service for customers.  </w:t>
      </w:r>
      <w:r w:rsidR="00780811">
        <w:t xml:space="preserve">More specifically, I recommend that </w:t>
      </w:r>
      <w:r w:rsidR="00F947BC">
        <w:t xml:space="preserve">the </w:t>
      </w:r>
      <w:r w:rsidR="006C0E0E">
        <w:t>PUCO:</w:t>
      </w:r>
    </w:p>
    <w:p w:rsidR="00F947BC" w:rsidRDefault="00780811" w:rsidP="004742BF">
      <w:pPr>
        <w:pStyle w:val="ListParagraph"/>
        <w:numPr>
          <w:ilvl w:val="0"/>
          <w:numId w:val="28"/>
        </w:numPr>
        <w:spacing w:line="480" w:lineRule="auto"/>
        <w:ind w:left="2160" w:right="720" w:hanging="720"/>
      </w:pPr>
      <w:r>
        <w:t xml:space="preserve">Reject the AEP Ohio proposed purchase of receivables (“POR”) program that </w:t>
      </w:r>
      <w:r w:rsidR="009B04BF">
        <w:t xml:space="preserve">would </w:t>
      </w:r>
      <w:r>
        <w:t xml:space="preserve">enable AEP Ohio to </w:t>
      </w:r>
      <w:r w:rsidR="006C0E0E">
        <w:t>disconnect</w:t>
      </w:r>
      <w:r>
        <w:t xml:space="preserve"> r</w:t>
      </w:r>
      <w:r w:rsidR="006C0E0E">
        <w:t>esidential customers</w:t>
      </w:r>
      <w:r w:rsidR="00F947BC">
        <w:t xml:space="preserve"> for the non-payment of unregulated CRES charges</w:t>
      </w:r>
      <w:r>
        <w:t xml:space="preserve"> and to impose additional deposits</w:t>
      </w:r>
      <w:r w:rsidR="00F947BC">
        <w:t>;</w:t>
      </w:r>
    </w:p>
    <w:p w:rsidR="00780811" w:rsidRDefault="00780811" w:rsidP="004742BF">
      <w:pPr>
        <w:pStyle w:val="ListParagraph"/>
        <w:numPr>
          <w:ilvl w:val="0"/>
          <w:numId w:val="28"/>
        </w:numPr>
        <w:spacing w:line="480" w:lineRule="auto"/>
        <w:ind w:left="2160" w:right="720" w:hanging="720"/>
      </w:pPr>
      <w:r>
        <w:t xml:space="preserve">Not authorize the proposed Bad Debt Rider and </w:t>
      </w:r>
      <w:r w:rsidR="00A634CD">
        <w:t xml:space="preserve">the imposition of </w:t>
      </w:r>
      <w:r>
        <w:t>stringent late payment charges;</w:t>
      </w:r>
    </w:p>
    <w:p w:rsidR="00A634CD" w:rsidRDefault="001E6E5C" w:rsidP="004742BF">
      <w:pPr>
        <w:pStyle w:val="ListParagraph"/>
        <w:numPr>
          <w:ilvl w:val="0"/>
          <w:numId w:val="28"/>
        </w:numPr>
        <w:spacing w:line="480" w:lineRule="auto"/>
        <w:ind w:left="2160" w:right="720" w:hanging="720"/>
      </w:pPr>
      <w:r>
        <w:t>N</w:t>
      </w:r>
      <w:r w:rsidR="00A634CD">
        <w:t>ot continue the Distribution Investment Rider (“DIR”)</w:t>
      </w:r>
      <w:r w:rsidR="006B665F">
        <w:t xml:space="preserve"> or the Enhanced Service Reliability Rider (“ESRR”)</w:t>
      </w:r>
      <w:r w:rsidR="00A634CD">
        <w:t>;</w:t>
      </w:r>
    </w:p>
    <w:p w:rsidR="0076396A" w:rsidRDefault="00A634CD" w:rsidP="004742BF">
      <w:pPr>
        <w:pStyle w:val="ListParagraph"/>
        <w:numPr>
          <w:ilvl w:val="0"/>
          <w:numId w:val="28"/>
        </w:numPr>
        <w:spacing w:line="480" w:lineRule="auto"/>
        <w:ind w:left="2160" w:right="720" w:hanging="720"/>
      </w:pPr>
      <w:r>
        <w:t>Reject the AEP Ohio proposal to eliminate the standard time of use (“TOU”) tariff</w:t>
      </w:r>
      <w:r w:rsidR="007F53F0">
        <w:t xml:space="preserve"> as a standard offer service</w:t>
      </w:r>
      <w:r w:rsidR="0076396A">
        <w:t>;</w:t>
      </w:r>
    </w:p>
    <w:p w:rsidR="004552C9" w:rsidRDefault="007F53F0" w:rsidP="004742BF">
      <w:pPr>
        <w:pStyle w:val="ListParagraph"/>
        <w:numPr>
          <w:ilvl w:val="0"/>
          <w:numId w:val="28"/>
        </w:numPr>
        <w:spacing w:line="480" w:lineRule="auto"/>
        <w:ind w:left="2160" w:right="720" w:hanging="720"/>
      </w:pPr>
      <w:r>
        <w:t xml:space="preserve"> </w:t>
      </w:r>
      <w:r w:rsidR="00F2078A">
        <w:t>N</w:t>
      </w:r>
      <w:r w:rsidR="00A634CD">
        <w:t xml:space="preserve">ot authorize AEP Ohio to recover costs associated with gridSMART Phase II until </w:t>
      </w:r>
      <w:r>
        <w:t xml:space="preserve">a sufficient analysis has been completed to ensure the benefits </w:t>
      </w:r>
      <w:r w:rsidR="000842BD">
        <w:t xml:space="preserve">of the program </w:t>
      </w:r>
      <w:r>
        <w:t xml:space="preserve">exceed </w:t>
      </w:r>
      <w:r w:rsidR="000842BD">
        <w:t>its</w:t>
      </w:r>
      <w:r>
        <w:t xml:space="preserve"> costs.</w:t>
      </w:r>
      <w:bookmarkStart w:id="7" w:name="_Toc317859572"/>
    </w:p>
    <w:p w:rsidR="00F95936" w:rsidRDefault="00F95936" w:rsidP="00F95936">
      <w:pPr>
        <w:pStyle w:val="ListParagraph"/>
        <w:spacing w:line="480" w:lineRule="auto"/>
        <w:ind w:left="1440" w:right="720"/>
      </w:pPr>
    </w:p>
    <w:p w:rsidR="004552C9" w:rsidRDefault="009E752A" w:rsidP="00EA7607">
      <w:pPr>
        <w:pStyle w:val="Heading1"/>
        <w:ind w:left="0" w:firstLine="0"/>
      </w:pPr>
      <w:bookmarkStart w:id="8" w:name="_Toc386462075"/>
      <w:bookmarkStart w:id="9" w:name="_Toc387132031"/>
      <w:r>
        <w:t>iii.</w:t>
      </w:r>
      <w:r>
        <w:tab/>
        <w:t>AFFORDABILITY</w:t>
      </w:r>
      <w:bookmarkEnd w:id="7"/>
      <w:r>
        <w:t xml:space="preserve"> OF RETAIL ELECTRIC SERVICE</w:t>
      </w:r>
      <w:bookmarkEnd w:id="8"/>
      <w:bookmarkEnd w:id="9"/>
    </w:p>
    <w:p w:rsidR="004552C9" w:rsidRDefault="009E752A">
      <w:pPr>
        <w:spacing w:line="480" w:lineRule="auto"/>
        <w:ind w:left="720"/>
      </w:pPr>
      <w:r>
        <w:t xml:space="preserve"> </w:t>
      </w:r>
    </w:p>
    <w:p w:rsidR="004552C9" w:rsidRDefault="009E752A">
      <w:pPr>
        <w:spacing w:line="480" w:lineRule="auto"/>
        <w:ind w:left="720" w:hanging="720"/>
        <w:rPr>
          <w:b/>
          <w:bCs/>
          <w:i/>
          <w:iCs/>
        </w:rPr>
      </w:pPr>
      <w:r w:rsidRPr="00F95936">
        <w:rPr>
          <w:b/>
          <w:bCs/>
          <w:i/>
          <w:iCs/>
        </w:rPr>
        <w:t>Q</w:t>
      </w:r>
      <w:r w:rsidR="007F53F0" w:rsidRPr="00F95936">
        <w:rPr>
          <w:b/>
          <w:bCs/>
          <w:i/>
          <w:iCs/>
        </w:rPr>
        <w:t>5</w:t>
      </w:r>
      <w:r w:rsidRPr="00F95936">
        <w:rPr>
          <w:b/>
          <w:bCs/>
          <w:i/>
          <w:iCs/>
        </w:rPr>
        <w:t>.</w:t>
      </w:r>
      <w:r>
        <w:rPr>
          <w:b/>
          <w:bCs/>
          <w:i/>
          <w:iCs/>
        </w:rPr>
        <w:tab/>
        <w:t>DO THE STATE</w:t>
      </w:r>
      <w:r w:rsidR="001E6E5C">
        <w:rPr>
          <w:b/>
          <w:bCs/>
          <w:i/>
          <w:iCs/>
        </w:rPr>
        <w:t>’S</w:t>
      </w:r>
      <w:r>
        <w:rPr>
          <w:b/>
          <w:bCs/>
          <w:i/>
          <w:iCs/>
        </w:rPr>
        <w:t xml:space="preserve"> ELECTRIC SERVICE POLICIES REQUIRE THE PUCO TO CONSIDER CUSTOMER AFFORDABILITY IN APPROVING AN ESP?</w:t>
      </w:r>
    </w:p>
    <w:p w:rsidR="004552C9" w:rsidRDefault="009E752A">
      <w:pPr>
        <w:spacing w:line="480" w:lineRule="auto"/>
        <w:ind w:left="720" w:hanging="720"/>
      </w:pPr>
      <w:r w:rsidRPr="00F95936">
        <w:rPr>
          <w:b/>
          <w:bCs/>
          <w:i/>
          <w:iCs/>
        </w:rPr>
        <w:t>A</w:t>
      </w:r>
      <w:r w:rsidR="007F53F0" w:rsidRPr="00F95936">
        <w:rPr>
          <w:b/>
          <w:bCs/>
          <w:i/>
          <w:iCs/>
        </w:rPr>
        <w:t>5</w:t>
      </w:r>
      <w:r w:rsidRPr="00F95936">
        <w:rPr>
          <w:b/>
          <w:bCs/>
          <w:i/>
          <w:iCs/>
        </w:rPr>
        <w:t>.</w:t>
      </w:r>
      <w:r>
        <w:rPr>
          <w:b/>
          <w:bCs/>
          <w:i/>
          <w:iCs/>
        </w:rPr>
        <w:tab/>
      </w:r>
      <w:r w:rsidRPr="007F53F0">
        <w:rPr>
          <w:bCs/>
          <w:iCs/>
        </w:rPr>
        <w:t>Yes.</w:t>
      </w:r>
      <w:r w:rsidR="00E17D65">
        <w:rPr>
          <w:bCs/>
          <w:iCs/>
        </w:rPr>
        <w:t xml:space="preserve"> </w:t>
      </w:r>
      <w:r w:rsidRPr="007F53F0">
        <w:rPr>
          <w:bCs/>
          <w:iCs/>
        </w:rPr>
        <w:t xml:space="preserve"> </w:t>
      </w:r>
      <w:r>
        <w:t>It is my understanding that</w:t>
      </w:r>
      <w:r>
        <w:rPr>
          <w:b/>
          <w:bCs/>
          <w:i/>
          <w:iCs/>
        </w:rPr>
        <w:t xml:space="preserve"> </w:t>
      </w:r>
      <w:r>
        <w:t>R.C. 4928.02(A) and (L) set forth the State policy concerning reasonably price retail electric service:</w:t>
      </w:r>
    </w:p>
    <w:p w:rsidR="004552C9" w:rsidRDefault="004742BF" w:rsidP="004742BF">
      <w:pPr>
        <w:spacing w:line="480" w:lineRule="auto"/>
        <w:ind w:left="2160" w:right="720" w:hanging="720"/>
        <w:rPr>
          <w:i/>
          <w:iCs/>
        </w:rPr>
      </w:pPr>
      <w:r>
        <w:rPr>
          <w:i/>
          <w:iCs/>
        </w:rPr>
        <w:t>(A)</w:t>
      </w:r>
      <w:r>
        <w:rPr>
          <w:i/>
          <w:iCs/>
        </w:rPr>
        <w:tab/>
      </w:r>
      <w:r w:rsidR="009E752A">
        <w:rPr>
          <w:i/>
          <w:iCs/>
        </w:rPr>
        <w:t xml:space="preserve">* * * the availability to consumers of adequate, reliable, safe, efficient, nondiscriminatory, and </w:t>
      </w:r>
      <w:r w:rsidR="009E752A" w:rsidRPr="007F53F0">
        <w:rPr>
          <w:b/>
          <w:i/>
          <w:iCs/>
        </w:rPr>
        <w:t>reasonably priced</w:t>
      </w:r>
      <w:r>
        <w:rPr>
          <w:i/>
          <w:iCs/>
        </w:rPr>
        <w:t xml:space="preserve"> retail electric service;</w:t>
      </w:r>
    </w:p>
    <w:p w:rsidR="004552C9" w:rsidRDefault="009B04BF" w:rsidP="004742BF">
      <w:pPr>
        <w:spacing w:line="480" w:lineRule="auto"/>
        <w:ind w:left="2160" w:hanging="720"/>
      </w:pPr>
      <w:r>
        <w:t>a</w:t>
      </w:r>
      <w:r w:rsidR="004742BF">
        <w:t>nd</w:t>
      </w:r>
    </w:p>
    <w:p w:rsidR="004552C9" w:rsidRDefault="004742BF" w:rsidP="004742BF">
      <w:pPr>
        <w:spacing w:line="480" w:lineRule="auto"/>
        <w:ind w:left="2160" w:hanging="720"/>
        <w:rPr>
          <w:i/>
          <w:iCs/>
        </w:rPr>
      </w:pPr>
      <w:r w:rsidRPr="004742BF">
        <w:rPr>
          <w:i/>
          <w:iCs/>
        </w:rPr>
        <w:t>(L)</w:t>
      </w:r>
      <w:r w:rsidRPr="004742BF">
        <w:rPr>
          <w:i/>
          <w:iCs/>
        </w:rPr>
        <w:tab/>
      </w:r>
      <w:r w:rsidR="009E752A">
        <w:rPr>
          <w:b/>
          <w:bCs/>
          <w:i/>
          <w:iCs/>
        </w:rPr>
        <w:t>Protect[ing] at-risk populations</w:t>
      </w:r>
      <w:r w:rsidR="009E752A">
        <w:rPr>
          <w:i/>
          <w:iCs/>
        </w:rPr>
        <w:t>, including, but not limited to, when considering implementation of any new advanced energy or renewable energy resources;</w:t>
      </w:r>
      <w:r>
        <w:rPr>
          <w:i/>
          <w:iCs/>
        </w:rPr>
        <w:t xml:space="preserve"> (E</w:t>
      </w:r>
      <w:r w:rsidR="009E752A">
        <w:rPr>
          <w:i/>
          <w:iCs/>
        </w:rPr>
        <w:t>mphasis added</w:t>
      </w:r>
      <w:r>
        <w:rPr>
          <w:i/>
          <w:iCs/>
        </w:rPr>
        <w:t>.</w:t>
      </w:r>
      <w:r w:rsidR="009E752A">
        <w:rPr>
          <w:i/>
          <w:iCs/>
        </w:rPr>
        <w:t>)</w:t>
      </w:r>
    </w:p>
    <w:p w:rsidR="004552C9" w:rsidRDefault="004552C9" w:rsidP="004742BF">
      <w:pPr>
        <w:spacing w:line="480" w:lineRule="auto"/>
        <w:ind w:left="720" w:hanging="720"/>
      </w:pPr>
    </w:p>
    <w:p w:rsidR="00E96FA6" w:rsidRDefault="009E752A" w:rsidP="004742BF">
      <w:pPr>
        <w:spacing w:line="480" w:lineRule="auto"/>
        <w:ind w:left="720"/>
      </w:pPr>
      <w:r>
        <w:t xml:space="preserve">From this, I conclude that the PUCO has a duty to ensure that the policies specified under this section of the </w:t>
      </w:r>
      <w:r w:rsidR="000842BD">
        <w:t xml:space="preserve">Revised </w:t>
      </w:r>
      <w:r>
        <w:t>Code are being implemented through the proposed ESP.  My understanding has been confirmed by counsel.</w:t>
      </w:r>
    </w:p>
    <w:p w:rsidR="005500F6" w:rsidRDefault="005500F6" w:rsidP="000842BD">
      <w:pPr>
        <w:spacing w:line="480" w:lineRule="auto"/>
        <w:ind w:left="720"/>
      </w:pPr>
    </w:p>
    <w:p w:rsidR="004552C9" w:rsidRPr="005500F6" w:rsidRDefault="009E752A">
      <w:pPr>
        <w:spacing w:line="480" w:lineRule="auto"/>
        <w:ind w:left="720" w:hanging="720"/>
        <w:rPr>
          <w:b/>
          <w:i/>
        </w:rPr>
      </w:pPr>
      <w:r w:rsidRPr="00F95936">
        <w:rPr>
          <w:b/>
          <w:i/>
        </w:rPr>
        <w:t>Q</w:t>
      </w:r>
      <w:r w:rsidR="00BD5085" w:rsidRPr="00F95936">
        <w:rPr>
          <w:b/>
          <w:i/>
        </w:rPr>
        <w:t>6</w:t>
      </w:r>
      <w:r w:rsidRPr="00F95936">
        <w:rPr>
          <w:b/>
          <w:i/>
        </w:rPr>
        <w:t>.</w:t>
      </w:r>
      <w:r>
        <w:rPr>
          <w:b/>
        </w:rPr>
        <w:tab/>
      </w:r>
      <w:r w:rsidRPr="005500F6">
        <w:rPr>
          <w:b/>
          <w:i/>
        </w:rPr>
        <w:t>HAS AEP OHIO DEMONSTRATED THAT ITS PROPOSED ESP WILL COMPLY WITH STATE POLICIES OF PROMOTING AFFORDABLE ELECTRIC SERVICE AND PROTECTING AT-RISK POPULATIONS?</w:t>
      </w:r>
    </w:p>
    <w:p w:rsidR="004552C9" w:rsidRDefault="009E752A" w:rsidP="004742BF">
      <w:pPr>
        <w:spacing w:line="480" w:lineRule="auto"/>
        <w:ind w:left="720" w:hanging="720"/>
      </w:pPr>
      <w:r w:rsidRPr="00F95936">
        <w:rPr>
          <w:b/>
          <w:i/>
        </w:rPr>
        <w:t>A</w:t>
      </w:r>
      <w:r w:rsidR="00BD5085" w:rsidRPr="00F95936">
        <w:rPr>
          <w:b/>
          <w:i/>
        </w:rPr>
        <w:t>6</w:t>
      </w:r>
      <w:r>
        <w:t>.</w:t>
      </w:r>
      <w:r>
        <w:tab/>
        <w:t xml:space="preserve">No.  Nothing in the AEP Ohio ESP III Application addresses the affordability of rates issue.  To the contrary, AEP Ohio appears to be using the ESP III Application as a “catch all” for advancing other initiatives that will ultimately increase the cost of electricity for </w:t>
      </w:r>
      <w:r w:rsidR="00AC5DE7">
        <w:t xml:space="preserve">all residential </w:t>
      </w:r>
      <w:r>
        <w:t xml:space="preserve">consumers </w:t>
      </w:r>
      <w:r w:rsidR="00AC5DE7">
        <w:t xml:space="preserve">and </w:t>
      </w:r>
      <w:r>
        <w:t xml:space="preserve">without considering the impact on </w:t>
      </w:r>
      <w:r w:rsidR="00B631BC">
        <w:t xml:space="preserve">all consumers, including </w:t>
      </w:r>
      <w:r>
        <w:t>at-risk populations.</w:t>
      </w:r>
    </w:p>
    <w:p w:rsidR="00F95936" w:rsidRDefault="00F95936" w:rsidP="00E96FA6">
      <w:pPr>
        <w:spacing w:line="480" w:lineRule="auto"/>
        <w:ind w:left="720" w:hanging="720"/>
      </w:pPr>
    </w:p>
    <w:p w:rsidR="004552C9" w:rsidRPr="005500F6" w:rsidRDefault="009E752A">
      <w:pPr>
        <w:spacing w:line="480" w:lineRule="auto"/>
        <w:ind w:left="720" w:hanging="720"/>
        <w:rPr>
          <w:b/>
          <w:i/>
        </w:rPr>
      </w:pPr>
      <w:r w:rsidRPr="00F95936">
        <w:rPr>
          <w:b/>
          <w:i/>
        </w:rPr>
        <w:t>Q</w:t>
      </w:r>
      <w:r w:rsidR="00BD5085" w:rsidRPr="00F95936">
        <w:rPr>
          <w:b/>
          <w:i/>
        </w:rPr>
        <w:t>7</w:t>
      </w:r>
      <w:r>
        <w:rPr>
          <w:b/>
        </w:rPr>
        <w:t>.</w:t>
      </w:r>
      <w:r>
        <w:rPr>
          <w:b/>
        </w:rPr>
        <w:tab/>
      </w:r>
      <w:r w:rsidRPr="005500F6">
        <w:rPr>
          <w:b/>
          <w:i/>
        </w:rPr>
        <w:t xml:space="preserve">WHAT ARE SOME EXAMPLES OF PROPOSALS IN THE ESP III APPLICATION THAT </w:t>
      </w:r>
      <w:r w:rsidR="00783A02" w:rsidRPr="005500F6">
        <w:rPr>
          <w:b/>
          <w:i/>
        </w:rPr>
        <w:t>WILL</w:t>
      </w:r>
      <w:r w:rsidRPr="005500F6">
        <w:rPr>
          <w:b/>
          <w:i/>
        </w:rPr>
        <w:t xml:space="preserve"> HAVE A NEGATIVE IM</w:t>
      </w:r>
      <w:r w:rsidR="004742BF">
        <w:rPr>
          <w:b/>
          <w:i/>
        </w:rPr>
        <w:t>PACT ON CUSTOMER AFFORDABILITY?</w:t>
      </w:r>
    </w:p>
    <w:p w:rsidR="000842BD" w:rsidRDefault="009E752A">
      <w:pPr>
        <w:spacing w:line="480" w:lineRule="auto"/>
        <w:ind w:left="720" w:hanging="720"/>
      </w:pPr>
      <w:r w:rsidRPr="00F95936">
        <w:rPr>
          <w:b/>
          <w:i/>
        </w:rPr>
        <w:t>A</w:t>
      </w:r>
      <w:r w:rsidR="00BD5085" w:rsidRPr="00F95936">
        <w:rPr>
          <w:b/>
          <w:i/>
        </w:rPr>
        <w:t>7</w:t>
      </w:r>
      <w:r w:rsidRPr="00F95936">
        <w:rPr>
          <w:b/>
          <w:i/>
        </w:rPr>
        <w:t>.</w:t>
      </w:r>
      <w:r>
        <w:tab/>
        <w:t xml:space="preserve">There are several new or expanded riders in the proposed ESP that </w:t>
      </w:r>
      <w:r w:rsidR="00783A02">
        <w:t>will</w:t>
      </w:r>
      <w:r>
        <w:t xml:space="preserve"> significantly increase the cost of electric services and make electric services less affordable </w:t>
      </w:r>
      <w:r w:rsidR="009B04BF">
        <w:t xml:space="preserve">and </w:t>
      </w:r>
      <w:r>
        <w:t xml:space="preserve">further </w:t>
      </w:r>
      <w:r w:rsidR="00AC5DE7">
        <w:t xml:space="preserve">impact </w:t>
      </w:r>
      <w:r>
        <w:t>the at-risk population.  Specifically, AEP Ohio proposed</w:t>
      </w:r>
      <w:r w:rsidR="005A1EB4">
        <w:t>,</w:t>
      </w:r>
      <w:r>
        <w:t xml:space="preserve"> a</w:t>
      </w:r>
      <w:r w:rsidR="00126EAE">
        <w:t xml:space="preserve">s part of the </w:t>
      </w:r>
      <w:r>
        <w:t>Purchase of Receivables (“POR”) program</w:t>
      </w:r>
      <w:r w:rsidR="00126EAE">
        <w:t xml:space="preserve">, a waiver </w:t>
      </w:r>
      <w:r w:rsidR="005A1EB4">
        <w:t>of</w:t>
      </w:r>
      <w:r w:rsidR="00126EAE">
        <w:t xml:space="preserve"> PUCO rules </w:t>
      </w:r>
      <w:r>
        <w:t xml:space="preserve">that </w:t>
      </w:r>
      <w:r w:rsidR="005A1EB4">
        <w:t xml:space="preserve">would </w:t>
      </w:r>
      <w:r>
        <w:t>enable the Utility to disconnect the electric service for at-risk customers for non-payment of unregulated Certified Electric Service (“CRES”) providers’ debt.</w:t>
      </w:r>
      <w:r>
        <w:rPr>
          <w:rStyle w:val="FootnoteReference"/>
        </w:rPr>
        <w:footnoteReference w:id="5"/>
      </w:r>
      <w:r>
        <w:t xml:space="preserve">  </w:t>
      </w:r>
      <w:r w:rsidR="00126EAE">
        <w:t xml:space="preserve">Ohio Admin. Code 4901:1-10-19(A) specifically prohibits AEP Ohio from disconnecting residential electric service for customers who do not pay for non-tariff services, including CRES charges.  </w:t>
      </w:r>
      <w:r>
        <w:t>In addition, the proposed POR program will result in more customers having to pay an additional security deposit.</w:t>
      </w:r>
      <w:r>
        <w:rPr>
          <w:rStyle w:val="FootnoteReference"/>
        </w:rPr>
        <w:footnoteReference w:id="6"/>
      </w:r>
    </w:p>
    <w:p w:rsidR="00F95936" w:rsidRDefault="00F95936">
      <w:pPr>
        <w:spacing w:line="480" w:lineRule="auto"/>
        <w:ind w:left="720" w:hanging="720"/>
      </w:pPr>
    </w:p>
    <w:p w:rsidR="004552C9" w:rsidRDefault="009E752A" w:rsidP="000842BD">
      <w:pPr>
        <w:spacing w:line="480" w:lineRule="auto"/>
        <w:ind w:left="720"/>
      </w:pPr>
      <w:r>
        <w:t>AEP Ohio proposed a bad debt rider that shifts the collection risks for bad debt for CRES receivables from the CRES providers to customers.</w:t>
      </w:r>
      <w:r>
        <w:rPr>
          <w:rStyle w:val="FootnoteReference"/>
        </w:rPr>
        <w:footnoteReference w:id="7"/>
      </w:r>
      <w:r>
        <w:t xml:space="preserve">  In addition, AEP Ohio has proposed to implemen</w:t>
      </w:r>
      <w:r w:rsidR="000842BD">
        <w:t>t a late</w:t>
      </w:r>
      <w:r w:rsidR="00C07387">
        <w:t xml:space="preserve"> payment penalty</w:t>
      </w:r>
      <w:r>
        <w:t xml:space="preserve"> without </w:t>
      </w:r>
      <w:r w:rsidR="009B04BF">
        <w:t>performing</w:t>
      </w:r>
      <w:r>
        <w:t xml:space="preserve"> any studies or analysis to demonstrate a need for such a charge.  This charge </w:t>
      </w:r>
      <w:r w:rsidR="009B04BF">
        <w:t>will</w:t>
      </w:r>
      <w:r>
        <w:t xml:space="preserve"> increase the cost of electric service for </w:t>
      </w:r>
      <w:r w:rsidR="00126EAE">
        <w:t xml:space="preserve">any </w:t>
      </w:r>
      <w:r w:rsidR="006B665F">
        <w:t xml:space="preserve">residential </w:t>
      </w:r>
      <w:r w:rsidR="00126EAE">
        <w:t xml:space="preserve">customer who </w:t>
      </w:r>
      <w:r w:rsidR="000842BD">
        <w:t>makes</w:t>
      </w:r>
      <w:r w:rsidR="00126EAE">
        <w:t xml:space="preserve"> a late payment including </w:t>
      </w:r>
      <w:r>
        <w:t>at-risk</w:t>
      </w:r>
      <w:r w:rsidR="00126EAE">
        <w:t xml:space="preserve"> </w:t>
      </w:r>
      <w:r>
        <w:t>customers.</w:t>
      </w:r>
      <w:r>
        <w:rPr>
          <w:rStyle w:val="FootnoteReference"/>
        </w:rPr>
        <w:footnoteReference w:id="8"/>
      </w:r>
    </w:p>
    <w:p w:rsidR="00F95936" w:rsidRDefault="00F95936" w:rsidP="000842BD">
      <w:pPr>
        <w:spacing w:line="480" w:lineRule="auto"/>
        <w:ind w:left="720"/>
      </w:pPr>
    </w:p>
    <w:p w:rsidR="004552C9" w:rsidRDefault="009E752A">
      <w:pPr>
        <w:spacing w:line="480" w:lineRule="auto"/>
        <w:ind w:left="720"/>
      </w:pPr>
      <w:r>
        <w:t xml:space="preserve">Second, related to the distribution system, AEP Ohio proposes to continue and expand the Distribution Investment Rider (“DIR”) program without considering the affordability impact or </w:t>
      </w:r>
      <w:r w:rsidR="009B04BF">
        <w:t>making a demonstration</w:t>
      </w:r>
      <w:r>
        <w:t xml:space="preserve"> </w:t>
      </w:r>
      <w:r w:rsidR="00C07387">
        <w:t xml:space="preserve">of </w:t>
      </w:r>
      <w:r>
        <w:t>quantifiable reliability benefits.</w:t>
      </w:r>
      <w:r>
        <w:rPr>
          <w:rStyle w:val="FootnoteReference"/>
        </w:rPr>
        <w:footnoteReference w:id="9"/>
      </w:r>
      <w:r>
        <w:t xml:space="preserve">  Another OCC witness, David Effron has identified a significant amount of DIR costs that should not be included or collected from customers.</w:t>
      </w:r>
      <w:r>
        <w:rPr>
          <w:rStyle w:val="FootnoteReference"/>
        </w:rPr>
        <w:footnoteReference w:id="10"/>
      </w:r>
      <w:r>
        <w:t xml:space="preserve">  AEP Ohio also proposed to continue and expand its Enhanced Service Reliability Rider without regard to </w:t>
      </w:r>
      <w:r w:rsidR="009B04BF">
        <w:t xml:space="preserve">taking into consideration </w:t>
      </w:r>
      <w:r>
        <w:t>the impact of collecting from customers an extra $25 million in “enhanced” vegetation management</w:t>
      </w:r>
      <w:r w:rsidR="000842BD">
        <w:t xml:space="preserve"> charges</w:t>
      </w:r>
      <w:r>
        <w:t>.</w:t>
      </w:r>
      <w:r>
        <w:rPr>
          <w:rStyle w:val="FootnoteReference"/>
        </w:rPr>
        <w:footnoteReference w:id="11"/>
      </w:r>
    </w:p>
    <w:p w:rsidR="005500F6" w:rsidRDefault="005500F6">
      <w:pPr>
        <w:spacing w:line="480" w:lineRule="auto"/>
        <w:ind w:left="720"/>
      </w:pPr>
    </w:p>
    <w:p w:rsidR="00E92FBC" w:rsidRDefault="000842BD" w:rsidP="00E92FBC">
      <w:pPr>
        <w:spacing w:line="480" w:lineRule="auto"/>
        <w:ind w:left="720"/>
        <w:rPr>
          <w:b/>
          <w:i/>
        </w:rPr>
      </w:pPr>
      <w:r w:rsidRPr="00AC5DE7">
        <w:t>Third</w:t>
      </w:r>
      <w:r w:rsidR="009E752A" w:rsidRPr="00AC5DE7">
        <w:t>, the proposed Purchase Po</w:t>
      </w:r>
      <w:r w:rsidR="009E752A" w:rsidRPr="006E0733">
        <w:t>wer Rider (</w:t>
      </w:r>
      <w:r w:rsidRPr="006E0733">
        <w:t>“</w:t>
      </w:r>
      <w:r w:rsidR="009E752A" w:rsidRPr="006E0733">
        <w:t>PPA</w:t>
      </w:r>
      <w:r w:rsidRPr="006E0733">
        <w:t>”</w:t>
      </w:r>
      <w:r w:rsidR="009E752A" w:rsidRPr="006E0733">
        <w:t>) will significantly increase the cost of electric services to all customers (SSO and shopping) without demonstrating any benefits</w:t>
      </w:r>
      <w:r w:rsidR="005A1EB4" w:rsidRPr="009E489E">
        <w:t xml:space="preserve"> to customers</w:t>
      </w:r>
      <w:r w:rsidR="009B04BF" w:rsidRPr="00890C2D">
        <w:t>.</w:t>
      </w:r>
      <w:r w:rsidR="009E752A" w:rsidRPr="00890C2D">
        <w:t xml:space="preserve">  Another OCC witness, James Wilson, has estimated that</w:t>
      </w:r>
      <w:r w:rsidR="009E752A" w:rsidRPr="00D02ECB">
        <w:t xml:space="preserve"> the proposed PPA</w:t>
      </w:r>
      <w:r w:rsidR="009E752A" w:rsidRPr="006C72A5">
        <w:t xml:space="preserve"> is likely to increase costs to customers by approximately </w:t>
      </w:r>
      <w:r w:rsidR="009E752A" w:rsidRPr="00AC5DE7">
        <w:t>$1</w:t>
      </w:r>
      <w:r w:rsidR="006C72A5">
        <w:t>40</w:t>
      </w:r>
      <w:r w:rsidR="009E752A" w:rsidRPr="00AC5DE7">
        <w:t xml:space="preserve"> million over three years, based on very conservative assumptions.</w:t>
      </w:r>
      <w:r w:rsidR="009E752A" w:rsidRPr="00AC5DE7">
        <w:rPr>
          <w:rStyle w:val="FootnoteReference"/>
        </w:rPr>
        <w:footnoteReference w:id="12"/>
      </w:r>
      <w:r w:rsidR="009E752A" w:rsidRPr="00AC5DE7">
        <w:t xml:space="preserve">  He indicated that the actual cost of the proposed PPA can be much higher.</w:t>
      </w:r>
      <w:r w:rsidR="009E752A" w:rsidRPr="00AC5DE7">
        <w:rPr>
          <w:rStyle w:val="FootnoteReference"/>
        </w:rPr>
        <w:footnoteReference w:id="13"/>
      </w:r>
      <w:r w:rsidR="00E92FBC">
        <w:rPr>
          <w:b/>
          <w:i/>
        </w:rPr>
        <w:br w:type="page"/>
      </w:r>
    </w:p>
    <w:p w:rsidR="004552C9" w:rsidRPr="005500F6" w:rsidRDefault="009E752A">
      <w:pPr>
        <w:spacing w:line="480" w:lineRule="auto"/>
        <w:ind w:left="720" w:hanging="720"/>
        <w:rPr>
          <w:b/>
          <w:i/>
        </w:rPr>
      </w:pPr>
      <w:r w:rsidRPr="00F95936">
        <w:rPr>
          <w:b/>
          <w:i/>
        </w:rPr>
        <w:t>Q</w:t>
      </w:r>
      <w:r w:rsidR="00757D57" w:rsidRPr="00F95936">
        <w:rPr>
          <w:b/>
          <w:i/>
        </w:rPr>
        <w:t>8</w:t>
      </w:r>
      <w:r>
        <w:rPr>
          <w:b/>
        </w:rPr>
        <w:t>.</w:t>
      </w:r>
      <w:r>
        <w:rPr>
          <w:b/>
        </w:rPr>
        <w:tab/>
      </w:r>
      <w:r w:rsidRPr="005500F6">
        <w:rPr>
          <w:b/>
          <w:i/>
        </w:rPr>
        <w:t xml:space="preserve">SHOULD THIS ESP III APPLICATION BE REVIEWED IN CONJUNCTION WITH AEP OHIO’S OTHER PENDING PROCEEDINGS THAT </w:t>
      </w:r>
      <w:r w:rsidR="00B61A41" w:rsidRPr="005500F6">
        <w:rPr>
          <w:b/>
          <w:i/>
        </w:rPr>
        <w:t xml:space="preserve">CAN </w:t>
      </w:r>
      <w:r w:rsidRPr="005500F6">
        <w:rPr>
          <w:b/>
          <w:i/>
        </w:rPr>
        <w:t>ALSO AFFECT AFFORDABILITY OF ELECTRIC SERVICE AND THE PROTECTION OF AT-RISK CONSUMERS?</w:t>
      </w:r>
    </w:p>
    <w:p w:rsidR="0051494A" w:rsidRDefault="009E752A" w:rsidP="009F4BBC">
      <w:pPr>
        <w:spacing w:line="480" w:lineRule="auto"/>
        <w:ind w:left="720" w:hanging="720"/>
      </w:pPr>
      <w:r w:rsidRPr="00F95936">
        <w:rPr>
          <w:b/>
          <w:i/>
        </w:rPr>
        <w:t>A</w:t>
      </w:r>
      <w:r w:rsidR="00757D57" w:rsidRPr="00F95936">
        <w:rPr>
          <w:b/>
          <w:i/>
        </w:rPr>
        <w:t>8</w:t>
      </w:r>
      <w:r w:rsidRPr="00F95936">
        <w:rPr>
          <w:b/>
          <w:i/>
        </w:rPr>
        <w:t>.</w:t>
      </w:r>
      <w:r>
        <w:tab/>
      </w:r>
      <w:r w:rsidR="00B271BF">
        <w:t>Yes.</w:t>
      </w:r>
      <w:r>
        <w:t xml:space="preserve">  Affordability reviews must necessarily examine the impact that the outcome from other cases will have on the total electricity bill paid by the customer.</w:t>
      </w:r>
      <w:r w:rsidR="006D495F">
        <w:t xml:space="preserve">  </w:t>
      </w:r>
      <w:r>
        <w:t xml:space="preserve">For example, AEP Ohio has filed an Application for approval of </w:t>
      </w:r>
      <w:r w:rsidR="00B271BF">
        <w:t xml:space="preserve">its </w:t>
      </w:r>
      <w:r w:rsidR="00A8700C">
        <w:t>gridSMART</w:t>
      </w:r>
      <w:r>
        <w:t xml:space="preserve"> Phase II program.</w:t>
      </w:r>
      <w:r>
        <w:rPr>
          <w:rStyle w:val="FootnoteReference"/>
        </w:rPr>
        <w:footnoteReference w:id="14"/>
      </w:r>
      <w:r w:rsidR="007B7714">
        <w:t xml:space="preserve">  The Utility evaluation of the </w:t>
      </w:r>
      <w:r w:rsidR="00A8700C">
        <w:t>gridSMART</w:t>
      </w:r>
      <w:r w:rsidR="007B7714">
        <w:t xml:space="preserve"> Phase I program was expected to be submitted to the PUCO around March 31, 2014.</w:t>
      </w:r>
      <w:r w:rsidR="00757D57">
        <w:rPr>
          <w:rStyle w:val="FootnoteReference"/>
        </w:rPr>
        <w:footnoteReference w:id="15"/>
      </w:r>
      <w:r w:rsidR="007B7714">
        <w:t xml:space="preserve">  Yet, t</w:t>
      </w:r>
      <w:r>
        <w:t xml:space="preserve">he Utility claims that it expects to receive approval </w:t>
      </w:r>
      <w:r w:rsidR="00B271BF">
        <w:t xml:space="preserve">to collect </w:t>
      </w:r>
      <w:r>
        <w:t>gridSMART Phase II costs prior to receiving an Order for the ESP III.</w:t>
      </w:r>
      <w:r>
        <w:rPr>
          <w:rStyle w:val="FootnoteReference"/>
        </w:rPr>
        <w:footnoteReference w:id="16"/>
      </w:r>
      <w:r>
        <w:t xml:space="preserve">  The Utility further proposes that the current gridSMART Rider be used to recover gridSMART Phase II costs and that remaining gridSMART Phase I costs be rolled into the </w:t>
      </w:r>
      <w:r w:rsidR="00B271BF">
        <w:t>distribution investment rider</w:t>
      </w:r>
      <w:r>
        <w:t>.</w:t>
      </w:r>
      <w:r>
        <w:rPr>
          <w:rStyle w:val="FootnoteReference"/>
        </w:rPr>
        <w:footnoteReference w:id="17"/>
      </w:r>
      <w:r>
        <w:t xml:space="preserve">  Despite these expectation</w:t>
      </w:r>
      <w:r w:rsidR="00B271BF">
        <w:t>s</w:t>
      </w:r>
      <w:r>
        <w:t xml:space="preserve">, the Utility did not </w:t>
      </w:r>
      <w:r w:rsidR="00B271BF">
        <w:t xml:space="preserve">offer </w:t>
      </w:r>
      <w:r>
        <w:t xml:space="preserve">any analysis of the impact </w:t>
      </w:r>
      <w:r w:rsidR="00B271BF">
        <w:t xml:space="preserve">of such rate increases </w:t>
      </w:r>
      <w:r>
        <w:t>on the affordability of service for custome</w:t>
      </w:r>
      <w:r w:rsidR="0051494A">
        <w:t>rs</w:t>
      </w:r>
      <w:r>
        <w:t>.</w:t>
      </w:r>
    </w:p>
    <w:p w:rsidR="0029250E" w:rsidRDefault="0029250E">
      <w:pPr>
        <w:spacing w:line="480" w:lineRule="auto"/>
        <w:ind w:left="720"/>
      </w:pPr>
    </w:p>
    <w:p w:rsidR="00F95936" w:rsidRDefault="007B7714" w:rsidP="009F4BBC">
      <w:pPr>
        <w:spacing w:line="480" w:lineRule="auto"/>
        <w:ind w:left="720"/>
      </w:pPr>
      <w:r>
        <w:t xml:space="preserve">Considering that </w:t>
      </w:r>
      <w:r w:rsidR="006D495F">
        <w:t xml:space="preserve">an analysis of AEP Ohio’s evaluation of the </w:t>
      </w:r>
      <w:r w:rsidR="00A8700C">
        <w:t>gridSMART</w:t>
      </w:r>
      <w:r w:rsidR="006D495F">
        <w:t xml:space="preserve"> Phase I program </w:t>
      </w:r>
      <w:r>
        <w:t xml:space="preserve">is crucial in </w:t>
      </w:r>
      <w:r w:rsidR="006D495F">
        <w:t>determin</w:t>
      </w:r>
      <w:r>
        <w:t>ing if the</w:t>
      </w:r>
      <w:r w:rsidR="00757D57">
        <w:t xml:space="preserve">re are sufficient </w:t>
      </w:r>
      <w:r>
        <w:t>benefits</w:t>
      </w:r>
      <w:r w:rsidR="0029250E">
        <w:t xml:space="preserve"> for customers</w:t>
      </w:r>
      <w:r>
        <w:t xml:space="preserve"> </w:t>
      </w:r>
      <w:r w:rsidR="00757D57">
        <w:t xml:space="preserve">in </w:t>
      </w:r>
      <w:r w:rsidR="00A8700C">
        <w:t>gridSMART</w:t>
      </w:r>
      <w:r>
        <w:t xml:space="preserve"> </w:t>
      </w:r>
      <w:r w:rsidR="00757D57">
        <w:t xml:space="preserve">to support </w:t>
      </w:r>
      <w:r>
        <w:t xml:space="preserve">the </w:t>
      </w:r>
      <w:r w:rsidR="00757D57">
        <w:t xml:space="preserve">additional </w:t>
      </w:r>
      <w:r w:rsidR="006D495F">
        <w:t>cost</w:t>
      </w:r>
      <w:r>
        <w:t xml:space="preserve">s, </w:t>
      </w:r>
      <w:r w:rsidR="00757D57">
        <w:t xml:space="preserve">proposals addressing the mechanism to guarantee cost recovery are premature at best. </w:t>
      </w:r>
      <w:r w:rsidR="00F2078A">
        <w:t xml:space="preserve"> </w:t>
      </w:r>
      <w:r w:rsidR="0051494A">
        <w:t>A</w:t>
      </w:r>
      <w:r w:rsidR="009E752A">
        <w:t xml:space="preserve">ffordability must be considered by the PUCO </w:t>
      </w:r>
      <w:r w:rsidR="0051494A">
        <w:t xml:space="preserve">in reviewing the Utility’s ESP. </w:t>
      </w:r>
      <w:r w:rsidR="009E752A">
        <w:t xml:space="preserve"> </w:t>
      </w:r>
      <w:r w:rsidR="00C07387">
        <w:t>Moreover</w:t>
      </w:r>
      <w:r w:rsidR="0087461C">
        <w:t xml:space="preserve">, the </w:t>
      </w:r>
      <w:r w:rsidR="00C07387">
        <w:t>Utility</w:t>
      </w:r>
      <w:r w:rsidR="0087461C">
        <w:t xml:space="preserve"> should be require</w:t>
      </w:r>
      <w:r w:rsidR="00C07387">
        <w:t>d</w:t>
      </w:r>
      <w:r w:rsidR="0087461C">
        <w:t xml:space="preserve"> to demonstrate whether customers are </w:t>
      </w:r>
      <w:r w:rsidR="00C07387">
        <w:t>furnished</w:t>
      </w:r>
      <w:r w:rsidR="0087461C">
        <w:t xml:space="preserve"> tangible quantifiable benefits through previous gridSMART </w:t>
      </w:r>
      <w:r w:rsidR="006E0733">
        <w:t>charges.</w:t>
      </w:r>
    </w:p>
    <w:p w:rsidR="004552C9" w:rsidRDefault="009E752A">
      <w:pPr>
        <w:spacing w:line="480" w:lineRule="auto"/>
        <w:ind w:left="720"/>
      </w:pPr>
      <w:r>
        <w:t xml:space="preserve"> </w:t>
      </w:r>
    </w:p>
    <w:p w:rsidR="004552C9" w:rsidRPr="005500F6" w:rsidRDefault="009E752A">
      <w:pPr>
        <w:spacing w:line="480" w:lineRule="auto"/>
        <w:ind w:left="720" w:hanging="720"/>
        <w:rPr>
          <w:b/>
          <w:bCs/>
          <w:i/>
        </w:rPr>
      </w:pPr>
      <w:r w:rsidRPr="00F95936">
        <w:rPr>
          <w:b/>
          <w:bCs/>
          <w:i/>
        </w:rPr>
        <w:t>Q</w:t>
      </w:r>
      <w:r w:rsidR="007C4305" w:rsidRPr="00F95936">
        <w:rPr>
          <w:b/>
          <w:bCs/>
          <w:i/>
        </w:rPr>
        <w:t>9</w:t>
      </w:r>
      <w:r w:rsidRPr="00F95936">
        <w:rPr>
          <w:b/>
          <w:bCs/>
          <w:i/>
        </w:rPr>
        <w:t>.</w:t>
      </w:r>
      <w:r>
        <w:rPr>
          <w:b/>
          <w:bCs/>
        </w:rPr>
        <w:tab/>
      </w:r>
      <w:r w:rsidRPr="005500F6">
        <w:rPr>
          <w:b/>
          <w:bCs/>
          <w:i/>
        </w:rPr>
        <w:t>CAN YOU BRIEFLY DESCRIBE THE AT-RISK POPULATIONS</w:t>
      </w:r>
      <w:r w:rsidR="00C628BE">
        <w:rPr>
          <w:b/>
          <w:bCs/>
          <w:i/>
        </w:rPr>
        <w:t xml:space="preserve"> OF OHIO CUSTOMERS</w:t>
      </w:r>
      <w:r w:rsidRPr="005500F6">
        <w:rPr>
          <w:b/>
          <w:bCs/>
          <w:i/>
        </w:rPr>
        <w:t xml:space="preserve"> THAT ARE AFFECTED BY THE ESP III?</w:t>
      </w:r>
    </w:p>
    <w:p w:rsidR="004552C9" w:rsidRDefault="009E752A">
      <w:pPr>
        <w:spacing w:line="480" w:lineRule="auto"/>
        <w:ind w:left="720" w:hanging="720"/>
        <w:rPr>
          <w:bCs/>
        </w:rPr>
      </w:pPr>
      <w:r w:rsidRPr="00F95936">
        <w:rPr>
          <w:b/>
          <w:bCs/>
          <w:i/>
        </w:rPr>
        <w:t>A</w:t>
      </w:r>
      <w:r w:rsidR="007C4305" w:rsidRPr="00F95936">
        <w:rPr>
          <w:b/>
          <w:bCs/>
          <w:i/>
        </w:rPr>
        <w:t>9</w:t>
      </w:r>
      <w:r w:rsidRPr="00F95936">
        <w:rPr>
          <w:b/>
          <w:bCs/>
          <w:i/>
        </w:rPr>
        <w:t>.</w:t>
      </w:r>
      <w:r>
        <w:rPr>
          <w:bCs/>
        </w:rPr>
        <w:tab/>
        <w:t>Yes.  The at-risk population</w:t>
      </w:r>
      <w:r w:rsidR="0087461C">
        <w:rPr>
          <w:bCs/>
        </w:rPr>
        <w:t>s</w:t>
      </w:r>
      <w:r>
        <w:rPr>
          <w:bCs/>
        </w:rPr>
        <w:t xml:space="preserve"> that </w:t>
      </w:r>
      <w:r w:rsidR="00C07387">
        <w:rPr>
          <w:bCs/>
        </w:rPr>
        <w:t xml:space="preserve">are </w:t>
      </w:r>
      <w:r>
        <w:rPr>
          <w:bCs/>
        </w:rPr>
        <w:t>affected by the proposed ESP III are Ohioans living in the AEP Ohio service territory with incomes that are at or below the federal poverty guidelines (“FPL”).  A single-person household with a gross annual income of $11,</w:t>
      </w:r>
      <w:r w:rsidR="00CE7D60">
        <w:rPr>
          <w:bCs/>
        </w:rPr>
        <w:t>670</w:t>
      </w:r>
      <w:r>
        <w:rPr>
          <w:bCs/>
        </w:rPr>
        <w:t xml:space="preserve"> would qualify at 100 percent of the FPL.</w:t>
      </w:r>
      <w:r>
        <w:rPr>
          <w:rStyle w:val="FootnoteReference"/>
          <w:bCs/>
        </w:rPr>
        <w:footnoteReference w:id="18"/>
      </w:r>
      <w:r>
        <w:rPr>
          <w:bCs/>
        </w:rPr>
        <w:t xml:space="preserve">  A household of three persons with a gross annual household income of $19,</w:t>
      </w:r>
      <w:r w:rsidR="00CE7D60">
        <w:rPr>
          <w:bCs/>
        </w:rPr>
        <w:t>790</w:t>
      </w:r>
      <w:r>
        <w:rPr>
          <w:bCs/>
        </w:rPr>
        <w:t xml:space="preserve"> would qualify at 100 percent of the FPL.</w:t>
      </w:r>
      <w:r>
        <w:rPr>
          <w:rStyle w:val="FootnoteReference"/>
          <w:bCs/>
        </w:rPr>
        <w:footnoteReference w:id="19"/>
      </w:r>
    </w:p>
    <w:p w:rsidR="005500F6" w:rsidRDefault="005500F6">
      <w:pPr>
        <w:spacing w:line="480" w:lineRule="auto"/>
        <w:ind w:left="720" w:hanging="720"/>
        <w:rPr>
          <w:bCs/>
        </w:rPr>
      </w:pPr>
    </w:p>
    <w:p w:rsidR="004552C9" w:rsidRDefault="006E0733" w:rsidP="009F4BBC">
      <w:pPr>
        <w:spacing w:line="480" w:lineRule="auto"/>
        <w:ind w:left="720"/>
        <w:rPr>
          <w:bCs/>
        </w:rPr>
      </w:pPr>
      <w:r>
        <w:rPr>
          <w:bCs/>
        </w:rPr>
        <w:t>A</w:t>
      </w:r>
      <w:r w:rsidR="009E752A">
        <w:rPr>
          <w:bCs/>
        </w:rPr>
        <w:t xml:space="preserve"> review of The </w:t>
      </w:r>
      <w:r w:rsidR="00CE7D60">
        <w:rPr>
          <w:bCs/>
        </w:rPr>
        <w:t xml:space="preserve">2014 </w:t>
      </w:r>
      <w:r w:rsidR="009E752A">
        <w:rPr>
          <w:bCs/>
        </w:rPr>
        <w:t>Ohio Poverty Report</w:t>
      </w:r>
      <w:r w:rsidR="00CE7D60">
        <w:rPr>
          <w:rStyle w:val="FootnoteReference"/>
          <w:bCs/>
        </w:rPr>
        <w:footnoteReference w:id="20"/>
      </w:r>
      <w:r w:rsidR="009E752A">
        <w:rPr>
          <w:bCs/>
        </w:rPr>
        <w:t xml:space="preserve"> (attached herein as JDW-2), indicates that there are significant number of individuals and Ohio families who are living in poverty.  The number of Ohio families living in poverty is also higher than the national average.  </w:t>
      </w:r>
      <w:r w:rsidR="0087461C">
        <w:rPr>
          <w:bCs/>
        </w:rPr>
        <w:t>Specifically, a</w:t>
      </w:r>
      <w:r w:rsidR="00E96FA6">
        <w:rPr>
          <w:bCs/>
        </w:rPr>
        <w:t>pproximatel</w:t>
      </w:r>
      <w:r w:rsidR="00470F27">
        <w:rPr>
          <w:bCs/>
        </w:rPr>
        <w:t>y</w:t>
      </w:r>
      <w:r w:rsidR="009E752A">
        <w:rPr>
          <w:bCs/>
        </w:rPr>
        <w:t xml:space="preserve"> 16.3 percent of Ohioans were in poverty compared with a 15.9 percent nationwide.</w:t>
      </w:r>
      <w:r w:rsidR="009E752A">
        <w:rPr>
          <w:rStyle w:val="FootnoteReference"/>
          <w:bCs/>
        </w:rPr>
        <w:footnoteReference w:id="21"/>
      </w:r>
      <w:r w:rsidR="009E752A">
        <w:rPr>
          <w:bCs/>
        </w:rPr>
        <w:t xml:space="preserve">  Even more alarming, the at-risk population of Ohioans living in poverty has increased from 10.6 percent since 1999.</w:t>
      </w:r>
      <w:r w:rsidR="009E752A">
        <w:rPr>
          <w:rStyle w:val="FootnoteReference"/>
          <w:bCs/>
        </w:rPr>
        <w:footnoteReference w:id="22"/>
      </w:r>
      <w:r w:rsidR="009E752A">
        <w:rPr>
          <w:bCs/>
        </w:rPr>
        <w:t xml:space="preserve">  Family poverty has also increased dramatically from </w:t>
      </w:r>
      <w:r w:rsidR="002128EA">
        <w:rPr>
          <w:bCs/>
        </w:rPr>
        <w:t>8.3</w:t>
      </w:r>
      <w:r w:rsidR="009E752A">
        <w:rPr>
          <w:bCs/>
        </w:rPr>
        <w:t xml:space="preserve"> percent in 1999 to 12.0 percent in 2012.</w:t>
      </w:r>
      <w:r w:rsidR="009E752A">
        <w:rPr>
          <w:rStyle w:val="FootnoteReference"/>
          <w:bCs/>
        </w:rPr>
        <w:footnoteReference w:id="23"/>
      </w:r>
    </w:p>
    <w:p w:rsidR="00F95936" w:rsidRDefault="00F95936">
      <w:pPr>
        <w:spacing w:line="480" w:lineRule="auto"/>
        <w:ind w:left="720" w:hanging="720"/>
        <w:rPr>
          <w:bCs/>
        </w:rPr>
      </w:pPr>
    </w:p>
    <w:p w:rsidR="004552C9" w:rsidRDefault="009E752A" w:rsidP="009F4BBC">
      <w:pPr>
        <w:spacing w:line="480" w:lineRule="auto"/>
        <w:ind w:left="720"/>
        <w:rPr>
          <w:bCs/>
        </w:rPr>
      </w:pPr>
      <w:r>
        <w:rPr>
          <w:bCs/>
        </w:rPr>
        <w:t xml:space="preserve">The at-risk population of AEP Ohio customers who live in counties where the poverty levels exceed the state average </w:t>
      </w:r>
      <w:r w:rsidR="0051494A">
        <w:rPr>
          <w:bCs/>
        </w:rPr>
        <w:t>should be a</w:t>
      </w:r>
      <w:r>
        <w:rPr>
          <w:bCs/>
        </w:rPr>
        <w:t xml:space="preserve"> concern</w:t>
      </w:r>
      <w:r w:rsidR="0051494A">
        <w:rPr>
          <w:bCs/>
        </w:rPr>
        <w:t xml:space="preserve"> for the PUCO</w:t>
      </w:r>
      <w:r>
        <w:rPr>
          <w:bCs/>
        </w:rPr>
        <w:t xml:space="preserve">.  </w:t>
      </w:r>
      <w:r w:rsidR="0087461C">
        <w:rPr>
          <w:bCs/>
        </w:rPr>
        <w:t>P</w:t>
      </w:r>
      <w:r>
        <w:rPr>
          <w:bCs/>
        </w:rPr>
        <w:t>overty levels in many of the Southeastern counties in Ohio have poverty levels well in excess of the statewide poverty level.  For example, Athens County has the highest poverty rate in the state with a 32.2 percent level.</w:t>
      </w:r>
      <w:r>
        <w:rPr>
          <w:rStyle w:val="FootnoteReference"/>
          <w:bCs/>
        </w:rPr>
        <w:footnoteReference w:id="24"/>
      </w:r>
      <w:r>
        <w:rPr>
          <w:bCs/>
        </w:rPr>
        <w:t xml:space="preserve">  Poverty in Vinton, Meigs, Pike, Scioto, Adams, and Jackson counties are close behind with poverty levels between 22.0 and 24.8 percent.</w:t>
      </w:r>
      <w:r>
        <w:rPr>
          <w:rStyle w:val="FootnoteReference"/>
          <w:bCs/>
        </w:rPr>
        <w:footnoteReference w:id="25"/>
      </w:r>
      <w:r>
        <w:rPr>
          <w:bCs/>
        </w:rPr>
        <w:t xml:space="preserve">  However, significant poverty is not limited to the counties in the Southeastern region of the state.  In fact, the poverty level in Allen, Franklin, Hardin, Highland, and Ross counties are also well in excess of the statewide poverty level.</w:t>
      </w:r>
      <w:r>
        <w:rPr>
          <w:rStyle w:val="FootnoteReference"/>
          <w:bCs/>
        </w:rPr>
        <w:footnoteReference w:id="26"/>
      </w:r>
    </w:p>
    <w:p w:rsidR="005500F6" w:rsidRDefault="005500F6">
      <w:pPr>
        <w:spacing w:line="480" w:lineRule="auto"/>
        <w:ind w:left="720"/>
        <w:rPr>
          <w:bCs/>
        </w:rPr>
      </w:pPr>
    </w:p>
    <w:p w:rsidR="004552C9" w:rsidRDefault="009E752A" w:rsidP="003E1FAD">
      <w:pPr>
        <w:spacing w:line="480" w:lineRule="auto"/>
        <w:ind w:left="720"/>
        <w:rPr>
          <w:bCs/>
        </w:rPr>
      </w:pPr>
      <w:r>
        <w:rPr>
          <w:bCs/>
        </w:rPr>
        <w:t>The at-risk population</w:t>
      </w:r>
      <w:r w:rsidR="0087461C">
        <w:rPr>
          <w:bCs/>
        </w:rPr>
        <w:t>s</w:t>
      </w:r>
      <w:r>
        <w:rPr>
          <w:bCs/>
        </w:rPr>
        <w:t xml:space="preserve"> of AEP Ohio customers who live in cities </w:t>
      </w:r>
      <w:r w:rsidR="001578D1">
        <w:rPr>
          <w:bCs/>
        </w:rPr>
        <w:t>should also be</w:t>
      </w:r>
      <w:r>
        <w:rPr>
          <w:bCs/>
        </w:rPr>
        <w:t xml:space="preserve"> of concern </w:t>
      </w:r>
      <w:r w:rsidR="001578D1">
        <w:rPr>
          <w:bCs/>
        </w:rPr>
        <w:t xml:space="preserve">to the PUCO </w:t>
      </w:r>
      <w:r>
        <w:rPr>
          <w:bCs/>
        </w:rPr>
        <w:t>because the level of poverty in urban areas has increased over the last 15 years in Ohio.  For example, one of the largest cities served by AEP Ohio (Columbus) has a population of 771,624 residents and a poverty level of 22.0 percent in 2012</w:t>
      </w:r>
      <w:r w:rsidR="0087461C">
        <w:rPr>
          <w:bCs/>
        </w:rPr>
        <w:t>,</w:t>
      </w:r>
      <w:r>
        <w:rPr>
          <w:bCs/>
        </w:rPr>
        <w:t xml:space="preserve"> compared </w:t>
      </w:r>
      <w:r w:rsidR="0087461C">
        <w:rPr>
          <w:bCs/>
        </w:rPr>
        <w:t xml:space="preserve">to </w:t>
      </w:r>
      <w:r>
        <w:rPr>
          <w:bCs/>
        </w:rPr>
        <w:t>14.8 percent in 1999.</w:t>
      </w:r>
      <w:r>
        <w:rPr>
          <w:rStyle w:val="FootnoteReference"/>
          <w:bCs/>
        </w:rPr>
        <w:footnoteReference w:id="27"/>
      </w:r>
      <w:r>
        <w:rPr>
          <w:bCs/>
        </w:rPr>
        <w:t xml:space="preserve">  Canton has a population of 70,725 and a poverty level of 30.8 percent in 2012 compared </w:t>
      </w:r>
      <w:r w:rsidR="0087461C">
        <w:rPr>
          <w:bCs/>
        </w:rPr>
        <w:t xml:space="preserve">to </w:t>
      </w:r>
      <w:r>
        <w:rPr>
          <w:bCs/>
        </w:rPr>
        <w:t xml:space="preserve">19.2 percent </w:t>
      </w:r>
      <w:r w:rsidR="001578D1">
        <w:rPr>
          <w:bCs/>
        </w:rPr>
        <w:t xml:space="preserve">poverty level reflected </w:t>
      </w:r>
      <w:r>
        <w:rPr>
          <w:bCs/>
        </w:rPr>
        <w:t>in 1999.</w:t>
      </w:r>
      <w:r>
        <w:rPr>
          <w:rStyle w:val="FootnoteReference"/>
          <w:bCs/>
        </w:rPr>
        <w:footnoteReference w:id="28"/>
      </w:r>
      <w:r>
        <w:rPr>
          <w:bCs/>
        </w:rPr>
        <w:t xml:space="preserve">  Lima is a third example of a city served by AEP Ohio that has a population of 35,712 and a poverty level of 35.9 percent compared </w:t>
      </w:r>
      <w:r w:rsidR="0087461C">
        <w:rPr>
          <w:bCs/>
        </w:rPr>
        <w:t xml:space="preserve">to </w:t>
      </w:r>
      <w:r>
        <w:rPr>
          <w:bCs/>
        </w:rPr>
        <w:t>22.7 percent in 1999.</w:t>
      </w:r>
      <w:r>
        <w:rPr>
          <w:rStyle w:val="FootnoteReference"/>
          <w:bCs/>
        </w:rPr>
        <w:footnoteReference w:id="29"/>
      </w:r>
      <w:r w:rsidR="003E1FAD">
        <w:rPr>
          <w:bCs/>
        </w:rPr>
        <w:t xml:space="preserve">  </w:t>
      </w:r>
      <w:r>
        <w:rPr>
          <w:bCs/>
        </w:rPr>
        <w:t>These are just a few examples of the high poverty rates in cities and counties served by AEP Ohio.  The current extreme financial hardship of the many customers in these cities and counties</w:t>
      </w:r>
      <w:r w:rsidR="007C4305">
        <w:rPr>
          <w:bCs/>
        </w:rPr>
        <w:t xml:space="preserve"> </w:t>
      </w:r>
      <w:r>
        <w:rPr>
          <w:bCs/>
        </w:rPr>
        <w:t xml:space="preserve">must be considered by the PUCO prior to allowing AEP Ohio to </w:t>
      </w:r>
      <w:r w:rsidR="001578D1">
        <w:rPr>
          <w:bCs/>
        </w:rPr>
        <w:t>impose even more increases on</w:t>
      </w:r>
      <w:r>
        <w:rPr>
          <w:bCs/>
        </w:rPr>
        <w:t xml:space="preserve"> these at-risk population</w:t>
      </w:r>
      <w:r w:rsidR="001578D1">
        <w:rPr>
          <w:bCs/>
        </w:rPr>
        <w:t>s.</w:t>
      </w:r>
      <w:r>
        <w:rPr>
          <w:bCs/>
        </w:rPr>
        <w:t xml:space="preserve">  </w:t>
      </w:r>
      <w:r w:rsidR="001578D1">
        <w:rPr>
          <w:bCs/>
        </w:rPr>
        <w:t>But t</w:t>
      </w:r>
      <w:r>
        <w:rPr>
          <w:bCs/>
        </w:rPr>
        <w:t>here is simply no indica</w:t>
      </w:r>
      <w:r w:rsidR="00470F27">
        <w:rPr>
          <w:bCs/>
        </w:rPr>
        <w:t>tion in the ESP III Application</w:t>
      </w:r>
      <w:r>
        <w:rPr>
          <w:bCs/>
        </w:rPr>
        <w:t xml:space="preserve"> that AEP Ohio </w:t>
      </w:r>
      <w:r w:rsidR="00BE548A">
        <w:rPr>
          <w:bCs/>
        </w:rPr>
        <w:t xml:space="preserve">is </w:t>
      </w:r>
      <w:r>
        <w:rPr>
          <w:bCs/>
        </w:rPr>
        <w:t>moderat</w:t>
      </w:r>
      <w:r w:rsidR="00BE548A">
        <w:rPr>
          <w:bCs/>
        </w:rPr>
        <w:t xml:space="preserve">ing </w:t>
      </w:r>
      <w:r>
        <w:rPr>
          <w:bCs/>
        </w:rPr>
        <w:t>the financial impact of the proposed ESP</w:t>
      </w:r>
      <w:r w:rsidR="0087461C">
        <w:rPr>
          <w:bCs/>
        </w:rPr>
        <w:t xml:space="preserve"> III</w:t>
      </w:r>
      <w:r>
        <w:rPr>
          <w:bCs/>
        </w:rPr>
        <w:t xml:space="preserve"> on these at-risk populations.</w:t>
      </w:r>
    </w:p>
    <w:p w:rsidR="005500F6" w:rsidRDefault="005500F6" w:rsidP="00F2078A">
      <w:pPr>
        <w:spacing w:line="480" w:lineRule="auto"/>
        <w:ind w:left="720"/>
        <w:rPr>
          <w:bCs/>
        </w:rPr>
      </w:pPr>
    </w:p>
    <w:p w:rsidR="004552C9" w:rsidRPr="005500F6" w:rsidRDefault="009E752A">
      <w:pPr>
        <w:spacing w:line="480" w:lineRule="auto"/>
        <w:ind w:left="720" w:hanging="720"/>
        <w:rPr>
          <w:b/>
          <w:bCs/>
          <w:i/>
        </w:rPr>
      </w:pPr>
      <w:r w:rsidRPr="00F95936">
        <w:rPr>
          <w:b/>
          <w:bCs/>
          <w:i/>
        </w:rPr>
        <w:t>Q1</w:t>
      </w:r>
      <w:r w:rsidR="007C4305" w:rsidRPr="00F95936">
        <w:rPr>
          <w:b/>
          <w:bCs/>
          <w:i/>
        </w:rPr>
        <w:t>0</w:t>
      </w:r>
      <w:r>
        <w:rPr>
          <w:b/>
          <w:bCs/>
        </w:rPr>
        <w:t>.</w:t>
      </w:r>
      <w:r>
        <w:rPr>
          <w:b/>
          <w:bCs/>
        </w:rPr>
        <w:tab/>
      </w:r>
      <w:r w:rsidRPr="005500F6">
        <w:rPr>
          <w:b/>
          <w:bCs/>
          <w:i/>
        </w:rPr>
        <w:t>ARE THERE OTHER AT-RISK POPULATION CONCERNS THAT THE PUCO SHOULD CONSIDER PRIOR TO APPROVING THE PROPOSED ESP?</w:t>
      </w:r>
    </w:p>
    <w:p w:rsidR="003E1FAD" w:rsidRDefault="009E752A" w:rsidP="003E1FAD">
      <w:pPr>
        <w:spacing w:line="480" w:lineRule="auto"/>
        <w:ind w:left="720" w:hanging="720"/>
        <w:rPr>
          <w:bCs/>
        </w:rPr>
      </w:pPr>
      <w:r w:rsidRPr="00F95936">
        <w:rPr>
          <w:b/>
          <w:bCs/>
          <w:i/>
        </w:rPr>
        <w:t>A1</w:t>
      </w:r>
      <w:r w:rsidR="007C4305" w:rsidRPr="00F95936">
        <w:rPr>
          <w:b/>
          <w:bCs/>
          <w:i/>
        </w:rPr>
        <w:t>0</w:t>
      </w:r>
      <w:r w:rsidRPr="00F95936">
        <w:rPr>
          <w:b/>
          <w:bCs/>
          <w:i/>
        </w:rPr>
        <w:t>.</w:t>
      </w:r>
      <w:r>
        <w:rPr>
          <w:bCs/>
        </w:rPr>
        <w:tab/>
        <w:t xml:space="preserve">Yes.  While high poverty rates throughout the AEP Ohio service territory raise serious concerns regarding the viability of additional rate increases, the PUCO should also consider the affordability </w:t>
      </w:r>
      <w:r w:rsidR="001578D1">
        <w:rPr>
          <w:bCs/>
        </w:rPr>
        <w:t>in a broader sense.  For instance</w:t>
      </w:r>
      <w:r w:rsidR="0087461C">
        <w:rPr>
          <w:bCs/>
        </w:rPr>
        <w:t>,</w:t>
      </w:r>
      <w:r w:rsidR="001578D1">
        <w:rPr>
          <w:bCs/>
        </w:rPr>
        <w:t xml:space="preserve"> the PUCO should also consider the effect of the</w:t>
      </w:r>
      <w:r w:rsidR="00470F27">
        <w:rPr>
          <w:bCs/>
        </w:rPr>
        <w:t xml:space="preserve"> proposed</w:t>
      </w:r>
      <w:r>
        <w:rPr>
          <w:bCs/>
        </w:rPr>
        <w:t xml:space="preserve"> ESP III </w:t>
      </w:r>
      <w:r w:rsidR="001578D1">
        <w:rPr>
          <w:bCs/>
        </w:rPr>
        <w:t>on those customers whose</w:t>
      </w:r>
      <w:r>
        <w:rPr>
          <w:bCs/>
        </w:rPr>
        <w:t xml:space="preserve"> </w:t>
      </w:r>
      <w:r w:rsidR="00A8700C">
        <w:rPr>
          <w:bCs/>
        </w:rPr>
        <w:t>incomes are</w:t>
      </w:r>
      <w:r w:rsidR="001578D1">
        <w:rPr>
          <w:bCs/>
        </w:rPr>
        <w:t xml:space="preserve"> </w:t>
      </w:r>
      <w:r>
        <w:rPr>
          <w:bCs/>
        </w:rPr>
        <w:t xml:space="preserve">close and slightly above the federal poverty level.  </w:t>
      </w:r>
      <w:r w:rsidR="001578D1">
        <w:rPr>
          <w:bCs/>
        </w:rPr>
        <w:t xml:space="preserve">This is also an at-risk population.  </w:t>
      </w:r>
      <w:r>
        <w:rPr>
          <w:bCs/>
        </w:rPr>
        <w:t>I refer to this at-risk population as the “working poor</w:t>
      </w:r>
      <w:r w:rsidR="0087461C">
        <w:rPr>
          <w:bCs/>
        </w:rPr>
        <w:t>.</w:t>
      </w:r>
      <w:r>
        <w:rPr>
          <w:bCs/>
        </w:rPr>
        <w:t>”  This population of working poor can be especially adversely</w:t>
      </w:r>
      <w:r w:rsidR="001578D1">
        <w:rPr>
          <w:bCs/>
        </w:rPr>
        <w:t xml:space="preserve"> a</w:t>
      </w:r>
      <w:r>
        <w:rPr>
          <w:bCs/>
        </w:rPr>
        <w:t>ffected by the high costs of electric services (i.e. the lack of affordability for electric service) because they may not qualify for income-based assistance programs as explained later in this testimon</w:t>
      </w:r>
      <w:r w:rsidR="001578D1">
        <w:rPr>
          <w:bCs/>
        </w:rPr>
        <w:t>y</w:t>
      </w:r>
      <w:r>
        <w:rPr>
          <w:bCs/>
        </w:rPr>
        <w:t>.  Table 1 provides a summary of the number of Ohioans with incomes close to the poverty level living in several high poverty level counties served by AEP Ohio.</w:t>
      </w:r>
    </w:p>
    <w:p w:rsidR="009F4BBC" w:rsidRDefault="009F4BBC" w:rsidP="009F4BBC">
      <w:pPr>
        <w:spacing w:line="480" w:lineRule="auto"/>
        <w:ind w:left="720"/>
        <w:jc w:val="center"/>
        <w:rPr>
          <w:b/>
          <w:bCs/>
        </w:rPr>
      </w:pPr>
      <w:r>
        <w:rPr>
          <w:b/>
          <w:bCs/>
        </w:rPr>
        <w:t>Table 1:</w:t>
      </w:r>
    </w:p>
    <w:p w:rsidR="004552C9" w:rsidRDefault="009E752A" w:rsidP="009F4BBC">
      <w:pPr>
        <w:spacing w:line="480" w:lineRule="auto"/>
        <w:ind w:left="720"/>
        <w:jc w:val="center"/>
        <w:rPr>
          <w:bCs/>
        </w:rPr>
      </w:pPr>
      <w:r w:rsidRPr="00EB5472">
        <w:rPr>
          <w:b/>
          <w:bCs/>
        </w:rPr>
        <w:t>Ratio of Income to Po</w:t>
      </w:r>
      <w:r w:rsidR="009F4BBC">
        <w:rPr>
          <w:b/>
          <w:bCs/>
        </w:rPr>
        <w:t xml:space="preserve">verty Level for Select Counties </w:t>
      </w:r>
      <w:r w:rsidRPr="00EB5472">
        <w:rPr>
          <w:b/>
          <w:bCs/>
        </w:rPr>
        <w:t>Served by AEP Ohio</w:t>
      </w:r>
      <w:r>
        <w:rPr>
          <w:rStyle w:val="FootnoteReference"/>
          <w:bCs/>
        </w:rPr>
        <w:footnoteReference w:id="30"/>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498"/>
        <w:gridCol w:w="1104"/>
        <w:gridCol w:w="1104"/>
        <w:gridCol w:w="1103"/>
        <w:gridCol w:w="1103"/>
        <w:gridCol w:w="1103"/>
      </w:tblGrid>
      <w:tr w:rsidR="004552C9" w:rsidTr="00E92FBC">
        <w:tc>
          <w:tcPr>
            <w:tcW w:w="1124" w:type="dxa"/>
            <w:shd w:val="clear" w:color="auto" w:fill="auto"/>
            <w:vAlign w:val="center"/>
          </w:tcPr>
          <w:p w:rsidR="004552C9" w:rsidRPr="00E92FBC" w:rsidRDefault="009E752A" w:rsidP="00E92FBC">
            <w:pPr>
              <w:jc w:val="center"/>
              <w:rPr>
                <w:b/>
              </w:rPr>
            </w:pPr>
            <w:r w:rsidRPr="00E92FBC">
              <w:rPr>
                <w:b/>
              </w:rPr>
              <w:t>Ohio County</w:t>
            </w:r>
          </w:p>
        </w:tc>
        <w:tc>
          <w:tcPr>
            <w:tcW w:w="1134" w:type="dxa"/>
            <w:shd w:val="clear" w:color="auto" w:fill="auto"/>
            <w:vAlign w:val="center"/>
          </w:tcPr>
          <w:p w:rsidR="004552C9" w:rsidRPr="00E92FBC" w:rsidRDefault="009E752A" w:rsidP="00E92FBC">
            <w:pPr>
              <w:jc w:val="center"/>
              <w:rPr>
                <w:b/>
              </w:rPr>
            </w:pPr>
            <w:r w:rsidRPr="00E92FBC">
              <w:rPr>
                <w:b/>
              </w:rPr>
              <w:t>Population</w:t>
            </w:r>
            <w:r w:rsidRPr="00E92FBC">
              <w:rPr>
                <w:rStyle w:val="FootnoteReference"/>
                <w:b/>
              </w:rPr>
              <w:footnoteReference w:id="31"/>
            </w:r>
          </w:p>
        </w:tc>
        <w:tc>
          <w:tcPr>
            <w:tcW w:w="1134" w:type="dxa"/>
            <w:shd w:val="clear" w:color="auto" w:fill="auto"/>
            <w:vAlign w:val="center"/>
          </w:tcPr>
          <w:p w:rsidR="004552C9" w:rsidRPr="00E92FBC" w:rsidRDefault="009E752A" w:rsidP="00E92FBC">
            <w:pPr>
              <w:jc w:val="center"/>
              <w:rPr>
                <w:b/>
              </w:rPr>
            </w:pPr>
            <w:r w:rsidRPr="00E92FBC">
              <w:rPr>
                <w:b/>
              </w:rPr>
              <w:t>100% Poverty</w:t>
            </w:r>
          </w:p>
        </w:tc>
        <w:tc>
          <w:tcPr>
            <w:tcW w:w="1134" w:type="dxa"/>
            <w:shd w:val="clear" w:color="auto" w:fill="auto"/>
            <w:vAlign w:val="center"/>
          </w:tcPr>
          <w:p w:rsidR="004552C9" w:rsidRPr="00E92FBC" w:rsidRDefault="009E752A" w:rsidP="00E92FBC">
            <w:pPr>
              <w:jc w:val="center"/>
              <w:rPr>
                <w:b/>
              </w:rPr>
            </w:pPr>
            <w:r w:rsidRPr="00E92FBC">
              <w:rPr>
                <w:b/>
              </w:rPr>
              <w:t>125% Poverty</w:t>
            </w:r>
          </w:p>
        </w:tc>
        <w:tc>
          <w:tcPr>
            <w:tcW w:w="1133" w:type="dxa"/>
            <w:shd w:val="clear" w:color="auto" w:fill="auto"/>
            <w:vAlign w:val="center"/>
          </w:tcPr>
          <w:p w:rsidR="004552C9" w:rsidRPr="00E92FBC" w:rsidRDefault="009E752A" w:rsidP="00E92FBC">
            <w:pPr>
              <w:jc w:val="center"/>
              <w:rPr>
                <w:b/>
              </w:rPr>
            </w:pPr>
            <w:r w:rsidRPr="00E92FBC">
              <w:rPr>
                <w:b/>
              </w:rPr>
              <w:t>150% Poverty</w:t>
            </w:r>
          </w:p>
        </w:tc>
        <w:tc>
          <w:tcPr>
            <w:tcW w:w="1133" w:type="dxa"/>
            <w:shd w:val="clear" w:color="auto" w:fill="auto"/>
            <w:vAlign w:val="center"/>
          </w:tcPr>
          <w:p w:rsidR="004552C9" w:rsidRPr="00E92FBC" w:rsidRDefault="009E752A" w:rsidP="00E92FBC">
            <w:pPr>
              <w:jc w:val="center"/>
              <w:rPr>
                <w:b/>
              </w:rPr>
            </w:pPr>
            <w:r w:rsidRPr="00E92FBC">
              <w:rPr>
                <w:b/>
              </w:rPr>
              <w:t>185% Poverty</w:t>
            </w:r>
          </w:p>
        </w:tc>
        <w:tc>
          <w:tcPr>
            <w:tcW w:w="1133" w:type="dxa"/>
            <w:shd w:val="clear" w:color="auto" w:fill="auto"/>
            <w:vAlign w:val="center"/>
          </w:tcPr>
          <w:p w:rsidR="004552C9" w:rsidRPr="00E92FBC" w:rsidRDefault="009E752A" w:rsidP="00E92FBC">
            <w:pPr>
              <w:jc w:val="center"/>
              <w:rPr>
                <w:b/>
              </w:rPr>
            </w:pPr>
            <w:r w:rsidRPr="00E92FBC">
              <w:rPr>
                <w:b/>
              </w:rPr>
              <w:t>200% Poverty</w:t>
            </w:r>
          </w:p>
        </w:tc>
      </w:tr>
      <w:tr w:rsidR="004552C9" w:rsidTr="00E92FBC">
        <w:tc>
          <w:tcPr>
            <w:tcW w:w="1124" w:type="dxa"/>
            <w:shd w:val="clear" w:color="auto" w:fill="auto"/>
            <w:vAlign w:val="center"/>
          </w:tcPr>
          <w:p w:rsidR="004552C9" w:rsidRDefault="009E752A" w:rsidP="00E92FBC">
            <w:pPr>
              <w:jc w:val="center"/>
              <w:rPr>
                <w:bCs/>
              </w:rPr>
            </w:pPr>
            <w:r>
              <w:rPr>
                <w:bCs/>
              </w:rPr>
              <w:t>Athens</w:t>
            </w:r>
          </w:p>
        </w:tc>
        <w:tc>
          <w:tcPr>
            <w:tcW w:w="1134" w:type="dxa"/>
            <w:shd w:val="clear" w:color="auto" w:fill="auto"/>
            <w:vAlign w:val="center"/>
          </w:tcPr>
          <w:p w:rsidR="004552C9" w:rsidRDefault="009E752A" w:rsidP="00E92FBC">
            <w:pPr>
              <w:jc w:val="center"/>
              <w:rPr>
                <w:bCs/>
              </w:rPr>
            </w:pPr>
            <w:r>
              <w:rPr>
                <w:bCs/>
              </w:rPr>
              <w:t>55,609</w:t>
            </w:r>
          </w:p>
        </w:tc>
        <w:tc>
          <w:tcPr>
            <w:tcW w:w="1134" w:type="dxa"/>
            <w:shd w:val="clear" w:color="auto" w:fill="auto"/>
            <w:vAlign w:val="center"/>
          </w:tcPr>
          <w:p w:rsidR="004552C9" w:rsidRDefault="009E752A" w:rsidP="00E92FBC">
            <w:pPr>
              <w:jc w:val="center"/>
              <w:rPr>
                <w:bCs/>
              </w:rPr>
            </w:pPr>
            <w:r>
              <w:rPr>
                <w:bCs/>
              </w:rPr>
              <w:t>32.2%</w:t>
            </w:r>
          </w:p>
        </w:tc>
        <w:tc>
          <w:tcPr>
            <w:tcW w:w="1134" w:type="dxa"/>
            <w:shd w:val="clear" w:color="auto" w:fill="auto"/>
            <w:vAlign w:val="center"/>
          </w:tcPr>
          <w:p w:rsidR="004552C9" w:rsidRDefault="009E752A" w:rsidP="00E92FBC">
            <w:pPr>
              <w:jc w:val="center"/>
              <w:rPr>
                <w:bCs/>
              </w:rPr>
            </w:pPr>
            <w:r>
              <w:rPr>
                <w:bCs/>
              </w:rPr>
              <w:t>35.5%</w:t>
            </w:r>
          </w:p>
        </w:tc>
        <w:tc>
          <w:tcPr>
            <w:tcW w:w="1133" w:type="dxa"/>
            <w:shd w:val="clear" w:color="auto" w:fill="auto"/>
            <w:vAlign w:val="center"/>
          </w:tcPr>
          <w:p w:rsidR="004552C9" w:rsidRDefault="009E752A" w:rsidP="00E92FBC">
            <w:pPr>
              <w:jc w:val="center"/>
              <w:rPr>
                <w:bCs/>
              </w:rPr>
            </w:pPr>
            <w:r>
              <w:rPr>
                <w:bCs/>
              </w:rPr>
              <w:t>41.7%</w:t>
            </w:r>
          </w:p>
        </w:tc>
        <w:tc>
          <w:tcPr>
            <w:tcW w:w="1133" w:type="dxa"/>
            <w:shd w:val="clear" w:color="auto" w:fill="auto"/>
            <w:vAlign w:val="center"/>
          </w:tcPr>
          <w:p w:rsidR="004552C9" w:rsidRDefault="009E752A" w:rsidP="00E92FBC">
            <w:pPr>
              <w:jc w:val="center"/>
              <w:rPr>
                <w:bCs/>
              </w:rPr>
            </w:pPr>
            <w:r>
              <w:rPr>
                <w:bCs/>
              </w:rPr>
              <w:t>48.7%</w:t>
            </w:r>
          </w:p>
        </w:tc>
        <w:tc>
          <w:tcPr>
            <w:tcW w:w="1133" w:type="dxa"/>
            <w:shd w:val="clear" w:color="auto" w:fill="auto"/>
            <w:vAlign w:val="center"/>
          </w:tcPr>
          <w:p w:rsidR="004552C9" w:rsidRDefault="009E752A" w:rsidP="00E92FBC">
            <w:pPr>
              <w:jc w:val="center"/>
              <w:rPr>
                <w:bCs/>
              </w:rPr>
            </w:pPr>
            <w:r>
              <w:rPr>
                <w:bCs/>
              </w:rPr>
              <w:t>50.2%</w:t>
            </w:r>
          </w:p>
        </w:tc>
      </w:tr>
      <w:tr w:rsidR="004552C9" w:rsidTr="00E92FBC">
        <w:tc>
          <w:tcPr>
            <w:tcW w:w="1124" w:type="dxa"/>
            <w:shd w:val="clear" w:color="auto" w:fill="auto"/>
            <w:vAlign w:val="center"/>
          </w:tcPr>
          <w:p w:rsidR="004552C9" w:rsidRDefault="009E752A" w:rsidP="00E92FBC">
            <w:pPr>
              <w:jc w:val="center"/>
              <w:rPr>
                <w:bCs/>
              </w:rPr>
            </w:pPr>
            <w:r>
              <w:rPr>
                <w:bCs/>
              </w:rPr>
              <w:t>Adams</w:t>
            </w:r>
          </w:p>
        </w:tc>
        <w:tc>
          <w:tcPr>
            <w:tcW w:w="1134" w:type="dxa"/>
            <w:shd w:val="clear" w:color="auto" w:fill="auto"/>
            <w:vAlign w:val="center"/>
          </w:tcPr>
          <w:p w:rsidR="004552C9" w:rsidRDefault="009E752A" w:rsidP="00E92FBC">
            <w:pPr>
              <w:jc w:val="center"/>
              <w:rPr>
                <w:bCs/>
              </w:rPr>
            </w:pPr>
            <w:r>
              <w:rPr>
                <w:bCs/>
              </w:rPr>
              <w:t>28,204</w:t>
            </w:r>
          </w:p>
        </w:tc>
        <w:tc>
          <w:tcPr>
            <w:tcW w:w="1134" w:type="dxa"/>
            <w:shd w:val="clear" w:color="auto" w:fill="auto"/>
            <w:vAlign w:val="center"/>
          </w:tcPr>
          <w:p w:rsidR="004552C9" w:rsidRDefault="009E752A" w:rsidP="00E92FBC">
            <w:pPr>
              <w:jc w:val="center"/>
              <w:rPr>
                <w:bCs/>
              </w:rPr>
            </w:pPr>
            <w:r>
              <w:rPr>
                <w:bCs/>
              </w:rPr>
              <w:t>23.1%</w:t>
            </w:r>
          </w:p>
        </w:tc>
        <w:tc>
          <w:tcPr>
            <w:tcW w:w="1134" w:type="dxa"/>
            <w:shd w:val="clear" w:color="auto" w:fill="auto"/>
            <w:vAlign w:val="center"/>
          </w:tcPr>
          <w:p w:rsidR="004552C9" w:rsidRDefault="009E752A" w:rsidP="00E92FBC">
            <w:pPr>
              <w:jc w:val="center"/>
              <w:rPr>
                <w:bCs/>
              </w:rPr>
            </w:pPr>
            <w:r>
              <w:rPr>
                <w:bCs/>
              </w:rPr>
              <w:t>30.9%</w:t>
            </w:r>
          </w:p>
        </w:tc>
        <w:tc>
          <w:tcPr>
            <w:tcW w:w="1133" w:type="dxa"/>
            <w:shd w:val="clear" w:color="auto" w:fill="auto"/>
            <w:vAlign w:val="center"/>
          </w:tcPr>
          <w:p w:rsidR="004552C9" w:rsidRDefault="009E752A" w:rsidP="00E92FBC">
            <w:pPr>
              <w:jc w:val="center"/>
              <w:rPr>
                <w:bCs/>
              </w:rPr>
            </w:pPr>
            <w:r>
              <w:rPr>
                <w:bCs/>
              </w:rPr>
              <w:t>37.5%</w:t>
            </w:r>
          </w:p>
        </w:tc>
        <w:tc>
          <w:tcPr>
            <w:tcW w:w="1133" w:type="dxa"/>
            <w:shd w:val="clear" w:color="auto" w:fill="auto"/>
            <w:vAlign w:val="center"/>
          </w:tcPr>
          <w:p w:rsidR="004552C9" w:rsidRDefault="009E752A" w:rsidP="00E92FBC">
            <w:pPr>
              <w:jc w:val="center"/>
              <w:rPr>
                <w:bCs/>
              </w:rPr>
            </w:pPr>
            <w:r>
              <w:rPr>
                <w:bCs/>
              </w:rPr>
              <w:t>44.2%</w:t>
            </w:r>
          </w:p>
        </w:tc>
        <w:tc>
          <w:tcPr>
            <w:tcW w:w="1133" w:type="dxa"/>
            <w:shd w:val="clear" w:color="auto" w:fill="auto"/>
            <w:vAlign w:val="center"/>
          </w:tcPr>
          <w:p w:rsidR="004552C9" w:rsidRDefault="009E752A" w:rsidP="00E92FBC">
            <w:pPr>
              <w:jc w:val="center"/>
              <w:rPr>
                <w:bCs/>
              </w:rPr>
            </w:pPr>
            <w:r>
              <w:rPr>
                <w:bCs/>
              </w:rPr>
              <w:t>49.1%</w:t>
            </w:r>
          </w:p>
        </w:tc>
      </w:tr>
      <w:tr w:rsidR="004552C9" w:rsidTr="00E92FBC">
        <w:tc>
          <w:tcPr>
            <w:tcW w:w="1124" w:type="dxa"/>
            <w:shd w:val="clear" w:color="auto" w:fill="auto"/>
            <w:vAlign w:val="center"/>
          </w:tcPr>
          <w:p w:rsidR="004552C9" w:rsidRDefault="009E752A" w:rsidP="00E92FBC">
            <w:pPr>
              <w:jc w:val="center"/>
              <w:rPr>
                <w:bCs/>
              </w:rPr>
            </w:pPr>
            <w:r>
              <w:rPr>
                <w:bCs/>
              </w:rPr>
              <w:t>Allen</w:t>
            </w:r>
          </w:p>
        </w:tc>
        <w:tc>
          <w:tcPr>
            <w:tcW w:w="1134" w:type="dxa"/>
            <w:shd w:val="clear" w:color="auto" w:fill="auto"/>
            <w:vAlign w:val="center"/>
          </w:tcPr>
          <w:p w:rsidR="004552C9" w:rsidRDefault="009E752A" w:rsidP="00E92FBC">
            <w:pPr>
              <w:jc w:val="center"/>
              <w:rPr>
                <w:bCs/>
              </w:rPr>
            </w:pPr>
            <w:r>
              <w:rPr>
                <w:bCs/>
              </w:rPr>
              <w:t>101,754</w:t>
            </w:r>
          </w:p>
        </w:tc>
        <w:tc>
          <w:tcPr>
            <w:tcW w:w="1134" w:type="dxa"/>
            <w:shd w:val="clear" w:color="auto" w:fill="auto"/>
            <w:vAlign w:val="center"/>
          </w:tcPr>
          <w:p w:rsidR="004552C9" w:rsidRDefault="009E752A" w:rsidP="00E92FBC">
            <w:pPr>
              <w:jc w:val="center"/>
              <w:rPr>
                <w:bCs/>
              </w:rPr>
            </w:pPr>
            <w:r>
              <w:rPr>
                <w:bCs/>
              </w:rPr>
              <w:t>18.8%</w:t>
            </w:r>
          </w:p>
        </w:tc>
        <w:tc>
          <w:tcPr>
            <w:tcW w:w="1134" w:type="dxa"/>
            <w:shd w:val="clear" w:color="auto" w:fill="auto"/>
            <w:vAlign w:val="center"/>
          </w:tcPr>
          <w:p w:rsidR="004552C9" w:rsidRDefault="009E752A" w:rsidP="00E92FBC">
            <w:pPr>
              <w:jc w:val="center"/>
              <w:rPr>
                <w:bCs/>
              </w:rPr>
            </w:pPr>
            <w:r>
              <w:rPr>
                <w:bCs/>
              </w:rPr>
              <w:t>23.3%</w:t>
            </w:r>
          </w:p>
        </w:tc>
        <w:tc>
          <w:tcPr>
            <w:tcW w:w="1133" w:type="dxa"/>
            <w:shd w:val="clear" w:color="auto" w:fill="auto"/>
            <w:vAlign w:val="center"/>
          </w:tcPr>
          <w:p w:rsidR="004552C9" w:rsidRDefault="009E752A" w:rsidP="00E92FBC">
            <w:pPr>
              <w:jc w:val="center"/>
              <w:rPr>
                <w:bCs/>
              </w:rPr>
            </w:pPr>
            <w:r>
              <w:rPr>
                <w:bCs/>
              </w:rPr>
              <w:t>27.9%</w:t>
            </w:r>
          </w:p>
        </w:tc>
        <w:tc>
          <w:tcPr>
            <w:tcW w:w="1133" w:type="dxa"/>
            <w:shd w:val="clear" w:color="auto" w:fill="auto"/>
            <w:vAlign w:val="center"/>
          </w:tcPr>
          <w:p w:rsidR="004552C9" w:rsidRDefault="009E752A" w:rsidP="00E92FBC">
            <w:pPr>
              <w:jc w:val="center"/>
              <w:rPr>
                <w:bCs/>
              </w:rPr>
            </w:pPr>
            <w:r>
              <w:rPr>
                <w:bCs/>
              </w:rPr>
              <w:t>35.1%</w:t>
            </w:r>
          </w:p>
        </w:tc>
        <w:tc>
          <w:tcPr>
            <w:tcW w:w="1133" w:type="dxa"/>
            <w:shd w:val="clear" w:color="auto" w:fill="auto"/>
            <w:vAlign w:val="center"/>
          </w:tcPr>
          <w:p w:rsidR="004552C9" w:rsidRDefault="009E752A" w:rsidP="00E92FBC">
            <w:pPr>
              <w:jc w:val="center"/>
              <w:rPr>
                <w:bCs/>
              </w:rPr>
            </w:pPr>
            <w:r>
              <w:rPr>
                <w:bCs/>
              </w:rPr>
              <w:t>38.0%</w:t>
            </w:r>
          </w:p>
        </w:tc>
      </w:tr>
      <w:tr w:rsidR="004552C9" w:rsidTr="00E92FBC">
        <w:tc>
          <w:tcPr>
            <w:tcW w:w="1124" w:type="dxa"/>
            <w:shd w:val="clear" w:color="auto" w:fill="auto"/>
            <w:vAlign w:val="center"/>
          </w:tcPr>
          <w:p w:rsidR="004552C9" w:rsidRDefault="009E752A" w:rsidP="00E92FBC">
            <w:pPr>
              <w:jc w:val="center"/>
              <w:rPr>
                <w:bCs/>
              </w:rPr>
            </w:pPr>
            <w:r>
              <w:rPr>
                <w:bCs/>
              </w:rPr>
              <w:t>Franklin</w:t>
            </w:r>
          </w:p>
        </w:tc>
        <w:tc>
          <w:tcPr>
            <w:tcW w:w="1134" w:type="dxa"/>
            <w:shd w:val="clear" w:color="auto" w:fill="auto"/>
            <w:vAlign w:val="center"/>
          </w:tcPr>
          <w:p w:rsidR="004552C9" w:rsidRDefault="009E752A" w:rsidP="00E92FBC">
            <w:pPr>
              <w:jc w:val="center"/>
              <w:rPr>
                <w:bCs/>
              </w:rPr>
            </w:pPr>
            <w:r>
              <w:rPr>
                <w:bCs/>
              </w:rPr>
              <w:t>1,143,075</w:t>
            </w:r>
          </w:p>
        </w:tc>
        <w:tc>
          <w:tcPr>
            <w:tcW w:w="1134" w:type="dxa"/>
            <w:shd w:val="clear" w:color="auto" w:fill="auto"/>
            <w:vAlign w:val="center"/>
          </w:tcPr>
          <w:p w:rsidR="004552C9" w:rsidRDefault="009E752A" w:rsidP="00E92FBC">
            <w:pPr>
              <w:jc w:val="center"/>
              <w:rPr>
                <w:bCs/>
              </w:rPr>
            </w:pPr>
            <w:r>
              <w:rPr>
                <w:bCs/>
              </w:rPr>
              <w:t>17.7%</w:t>
            </w:r>
          </w:p>
        </w:tc>
        <w:tc>
          <w:tcPr>
            <w:tcW w:w="1134" w:type="dxa"/>
            <w:shd w:val="clear" w:color="auto" w:fill="auto"/>
            <w:vAlign w:val="center"/>
          </w:tcPr>
          <w:p w:rsidR="004552C9" w:rsidRDefault="009E752A" w:rsidP="00E92FBC">
            <w:pPr>
              <w:jc w:val="center"/>
              <w:rPr>
                <w:bCs/>
              </w:rPr>
            </w:pPr>
            <w:r>
              <w:rPr>
                <w:bCs/>
              </w:rPr>
              <w:t>22.0%</w:t>
            </w:r>
          </w:p>
        </w:tc>
        <w:tc>
          <w:tcPr>
            <w:tcW w:w="1133" w:type="dxa"/>
            <w:shd w:val="clear" w:color="auto" w:fill="auto"/>
            <w:vAlign w:val="center"/>
          </w:tcPr>
          <w:p w:rsidR="004552C9" w:rsidRDefault="009E752A" w:rsidP="00E92FBC">
            <w:pPr>
              <w:jc w:val="center"/>
              <w:rPr>
                <w:bCs/>
              </w:rPr>
            </w:pPr>
            <w:r>
              <w:rPr>
                <w:bCs/>
              </w:rPr>
              <w:t>26.2%</w:t>
            </w:r>
          </w:p>
        </w:tc>
        <w:tc>
          <w:tcPr>
            <w:tcW w:w="1133" w:type="dxa"/>
            <w:shd w:val="clear" w:color="auto" w:fill="auto"/>
            <w:vAlign w:val="center"/>
          </w:tcPr>
          <w:p w:rsidR="004552C9" w:rsidRDefault="009E752A" w:rsidP="00E92FBC">
            <w:pPr>
              <w:jc w:val="center"/>
              <w:rPr>
                <w:bCs/>
              </w:rPr>
            </w:pPr>
            <w:r>
              <w:rPr>
                <w:bCs/>
              </w:rPr>
              <w:t>32.3%</w:t>
            </w:r>
          </w:p>
        </w:tc>
        <w:tc>
          <w:tcPr>
            <w:tcW w:w="1133" w:type="dxa"/>
            <w:shd w:val="clear" w:color="auto" w:fill="auto"/>
            <w:vAlign w:val="center"/>
          </w:tcPr>
          <w:p w:rsidR="004552C9" w:rsidRDefault="009E752A" w:rsidP="00E92FBC">
            <w:pPr>
              <w:jc w:val="center"/>
              <w:rPr>
                <w:bCs/>
              </w:rPr>
            </w:pPr>
            <w:r>
              <w:rPr>
                <w:bCs/>
              </w:rPr>
              <w:t>34.7%</w:t>
            </w:r>
          </w:p>
        </w:tc>
      </w:tr>
      <w:tr w:rsidR="004552C9" w:rsidTr="00E92FBC">
        <w:tc>
          <w:tcPr>
            <w:tcW w:w="1124" w:type="dxa"/>
            <w:shd w:val="clear" w:color="auto" w:fill="auto"/>
            <w:vAlign w:val="center"/>
          </w:tcPr>
          <w:p w:rsidR="004552C9" w:rsidRDefault="009E752A" w:rsidP="00E92FBC">
            <w:pPr>
              <w:jc w:val="center"/>
              <w:rPr>
                <w:bCs/>
              </w:rPr>
            </w:pPr>
            <w:r>
              <w:rPr>
                <w:bCs/>
              </w:rPr>
              <w:t>Hardin</w:t>
            </w:r>
          </w:p>
        </w:tc>
        <w:tc>
          <w:tcPr>
            <w:tcW w:w="1134" w:type="dxa"/>
            <w:shd w:val="clear" w:color="auto" w:fill="auto"/>
            <w:vAlign w:val="center"/>
          </w:tcPr>
          <w:p w:rsidR="004552C9" w:rsidRDefault="009E752A" w:rsidP="00E92FBC">
            <w:pPr>
              <w:jc w:val="center"/>
              <w:rPr>
                <w:bCs/>
              </w:rPr>
            </w:pPr>
            <w:r>
              <w:rPr>
                <w:bCs/>
              </w:rPr>
              <w:t>29,761</w:t>
            </w:r>
          </w:p>
        </w:tc>
        <w:tc>
          <w:tcPr>
            <w:tcW w:w="1134" w:type="dxa"/>
            <w:shd w:val="clear" w:color="auto" w:fill="auto"/>
            <w:vAlign w:val="center"/>
          </w:tcPr>
          <w:p w:rsidR="004552C9" w:rsidRDefault="009E752A" w:rsidP="00E92FBC">
            <w:pPr>
              <w:jc w:val="center"/>
              <w:rPr>
                <w:bCs/>
              </w:rPr>
            </w:pPr>
            <w:r>
              <w:rPr>
                <w:bCs/>
              </w:rPr>
              <w:t>18.0%</w:t>
            </w:r>
          </w:p>
        </w:tc>
        <w:tc>
          <w:tcPr>
            <w:tcW w:w="1134" w:type="dxa"/>
            <w:shd w:val="clear" w:color="auto" w:fill="auto"/>
            <w:vAlign w:val="center"/>
          </w:tcPr>
          <w:p w:rsidR="004552C9" w:rsidRDefault="009E752A" w:rsidP="00E92FBC">
            <w:pPr>
              <w:jc w:val="center"/>
              <w:rPr>
                <w:bCs/>
              </w:rPr>
            </w:pPr>
            <w:r>
              <w:rPr>
                <w:bCs/>
              </w:rPr>
              <w:t>24.2%</w:t>
            </w:r>
          </w:p>
        </w:tc>
        <w:tc>
          <w:tcPr>
            <w:tcW w:w="1133" w:type="dxa"/>
            <w:shd w:val="clear" w:color="auto" w:fill="auto"/>
            <w:vAlign w:val="center"/>
          </w:tcPr>
          <w:p w:rsidR="004552C9" w:rsidRDefault="009E752A" w:rsidP="00E92FBC">
            <w:pPr>
              <w:jc w:val="center"/>
              <w:rPr>
                <w:bCs/>
              </w:rPr>
            </w:pPr>
            <w:r>
              <w:rPr>
                <w:bCs/>
              </w:rPr>
              <w:t>28.9%</w:t>
            </w:r>
          </w:p>
        </w:tc>
        <w:tc>
          <w:tcPr>
            <w:tcW w:w="1133" w:type="dxa"/>
            <w:shd w:val="clear" w:color="auto" w:fill="auto"/>
            <w:vAlign w:val="center"/>
          </w:tcPr>
          <w:p w:rsidR="004552C9" w:rsidRDefault="009E752A" w:rsidP="00E92FBC">
            <w:pPr>
              <w:jc w:val="center"/>
              <w:rPr>
                <w:bCs/>
              </w:rPr>
            </w:pPr>
            <w:r>
              <w:rPr>
                <w:bCs/>
              </w:rPr>
              <w:t>36.7%</w:t>
            </w:r>
          </w:p>
        </w:tc>
        <w:tc>
          <w:tcPr>
            <w:tcW w:w="1133" w:type="dxa"/>
            <w:shd w:val="clear" w:color="auto" w:fill="auto"/>
            <w:vAlign w:val="center"/>
          </w:tcPr>
          <w:p w:rsidR="004552C9" w:rsidRDefault="009E752A" w:rsidP="00E92FBC">
            <w:pPr>
              <w:jc w:val="center"/>
              <w:rPr>
                <w:bCs/>
              </w:rPr>
            </w:pPr>
            <w:r>
              <w:rPr>
                <w:bCs/>
              </w:rPr>
              <w:t>39.4%</w:t>
            </w:r>
          </w:p>
        </w:tc>
      </w:tr>
      <w:tr w:rsidR="004552C9" w:rsidTr="00E92FBC">
        <w:tc>
          <w:tcPr>
            <w:tcW w:w="1124" w:type="dxa"/>
            <w:shd w:val="clear" w:color="auto" w:fill="auto"/>
            <w:vAlign w:val="center"/>
          </w:tcPr>
          <w:p w:rsidR="004552C9" w:rsidRDefault="009E752A" w:rsidP="00E92FBC">
            <w:pPr>
              <w:jc w:val="center"/>
              <w:rPr>
                <w:bCs/>
              </w:rPr>
            </w:pPr>
            <w:r>
              <w:rPr>
                <w:bCs/>
              </w:rPr>
              <w:t>Highland</w:t>
            </w:r>
          </w:p>
        </w:tc>
        <w:tc>
          <w:tcPr>
            <w:tcW w:w="1134" w:type="dxa"/>
            <w:shd w:val="clear" w:color="auto" w:fill="auto"/>
            <w:vAlign w:val="center"/>
          </w:tcPr>
          <w:p w:rsidR="004552C9" w:rsidRDefault="009E752A" w:rsidP="00E92FBC">
            <w:pPr>
              <w:jc w:val="center"/>
              <w:rPr>
                <w:bCs/>
              </w:rPr>
            </w:pPr>
            <w:r>
              <w:rPr>
                <w:bCs/>
              </w:rPr>
              <w:t>42,859</w:t>
            </w:r>
          </w:p>
        </w:tc>
        <w:tc>
          <w:tcPr>
            <w:tcW w:w="1134" w:type="dxa"/>
            <w:shd w:val="clear" w:color="auto" w:fill="auto"/>
            <w:vAlign w:val="center"/>
          </w:tcPr>
          <w:p w:rsidR="004552C9" w:rsidRDefault="009E752A" w:rsidP="00E92FBC">
            <w:pPr>
              <w:jc w:val="center"/>
              <w:rPr>
                <w:bCs/>
              </w:rPr>
            </w:pPr>
            <w:r>
              <w:rPr>
                <w:bCs/>
              </w:rPr>
              <w:t>17.6%</w:t>
            </w:r>
          </w:p>
        </w:tc>
        <w:tc>
          <w:tcPr>
            <w:tcW w:w="1134" w:type="dxa"/>
            <w:shd w:val="clear" w:color="auto" w:fill="auto"/>
            <w:vAlign w:val="center"/>
          </w:tcPr>
          <w:p w:rsidR="004552C9" w:rsidRDefault="009E752A" w:rsidP="00E92FBC">
            <w:pPr>
              <w:jc w:val="center"/>
              <w:rPr>
                <w:bCs/>
              </w:rPr>
            </w:pPr>
            <w:r>
              <w:rPr>
                <w:bCs/>
              </w:rPr>
              <w:t>24.7%</w:t>
            </w:r>
          </w:p>
        </w:tc>
        <w:tc>
          <w:tcPr>
            <w:tcW w:w="1133" w:type="dxa"/>
            <w:shd w:val="clear" w:color="auto" w:fill="auto"/>
            <w:vAlign w:val="center"/>
          </w:tcPr>
          <w:p w:rsidR="004552C9" w:rsidRDefault="009E752A" w:rsidP="00E92FBC">
            <w:pPr>
              <w:jc w:val="center"/>
              <w:rPr>
                <w:bCs/>
              </w:rPr>
            </w:pPr>
            <w:r>
              <w:rPr>
                <w:bCs/>
              </w:rPr>
              <w:t>31.9%</w:t>
            </w:r>
          </w:p>
        </w:tc>
        <w:tc>
          <w:tcPr>
            <w:tcW w:w="1133" w:type="dxa"/>
            <w:shd w:val="clear" w:color="auto" w:fill="auto"/>
            <w:vAlign w:val="center"/>
          </w:tcPr>
          <w:p w:rsidR="004552C9" w:rsidRDefault="009E752A" w:rsidP="00E92FBC">
            <w:pPr>
              <w:jc w:val="center"/>
              <w:rPr>
                <w:bCs/>
              </w:rPr>
            </w:pPr>
            <w:r>
              <w:rPr>
                <w:bCs/>
              </w:rPr>
              <w:t>41.5%</w:t>
            </w:r>
          </w:p>
        </w:tc>
        <w:tc>
          <w:tcPr>
            <w:tcW w:w="1133" w:type="dxa"/>
            <w:shd w:val="clear" w:color="auto" w:fill="auto"/>
            <w:vAlign w:val="center"/>
          </w:tcPr>
          <w:p w:rsidR="004552C9" w:rsidRDefault="009E752A" w:rsidP="00E92FBC">
            <w:pPr>
              <w:jc w:val="center"/>
              <w:rPr>
                <w:bCs/>
              </w:rPr>
            </w:pPr>
            <w:r>
              <w:rPr>
                <w:bCs/>
              </w:rPr>
              <w:t>44.2%</w:t>
            </w:r>
          </w:p>
        </w:tc>
      </w:tr>
      <w:tr w:rsidR="004552C9" w:rsidTr="00E92FBC">
        <w:tc>
          <w:tcPr>
            <w:tcW w:w="1124" w:type="dxa"/>
            <w:shd w:val="clear" w:color="auto" w:fill="auto"/>
            <w:vAlign w:val="center"/>
          </w:tcPr>
          <w:p w:rsidR="004552C9" w:rsidRDefault="009E752A" w:rsidP="00E92FBC">
            <w:pPr>
              <w:jc w:val="center"/>
              <w:rPr>
                <w:bCs/>
              </w:rPr>
            </w:pPr>
            <w:r>
              <w:rPr>
                <w:bCs/>
              </w:rPr>
              <w:t>Jackson</w:t>
            </w:r>
          </w:p>
        </w:tc>
        <w:tc>
          <w:tcPr>
            <w:tcW w:w="1134" w:type="dxa"/>
            <w:shd w:val="clear" w:color="auto" w:fill="auto"/>
            <w:vAlign w:val="center"/>
          </w:tcPr>
          <w:p w:rsidR="004552C9" w:rsidRDefault="009E752A" w:rsidP="00E92FBC">
            <w:pPr>
              <w:jc w:val="center"/>
              <w:rPr>
                <w:bCs/>
              </w:rPr>
            </w:pPr>
            <w:r>
              <w:rPr>
                <w:bCs/>
              </w:rPr>
              <w:t>32,793</w:t>
            </w:r>
          </w:p>
        </w:tc>
        <w:tc>
          <w:tcPr>
            <w:tcW w:w="1134" w:type="dxa"/>
            <w:shd w:val="clear" w:color="auto" w:fill="auto"/>
            <w:vAlign w:val="center"/>
          </w:tcPr>
          <w:p w:rsidR="004552C9" w:rsidRDefault="009E752A" w:rsidP="00E92FBC">
            <w:pPr>
              <w:jc w:val="center"/>
              <w:rPr>
                <w:bCs/>
              </w:rPr>
            </w:pPr>
            <w:r>
              <w:rPr>
                <w:bCs/>
              </w:rPr>
              <w:t>24.8%</w:t>
            </w:r>
          </w:p>
        </w:tc>
        <w:tc>
          <w:tcPr>
            <w:tcW w:w="1134" w:type="dxa"/>
            <w:shd w:val="clear" w:color="auto" w:fill="auto"/>
            <w:vAlign w:val="center"/>
          </w:tcPr>
          <w:p w:rsidR="004552C9" w:rsidRDefault="009E752A" w:rsidP="00E92FBC">
            <w:pPr>
              <w:jc w:val="center"/>
              <w:rPr>
                <w:bCs/>
              </w:rPr>
            </w:pPr>
            <w:r>
              <w:rPr>
                <w:bCs/>
              </w:rPr>
              <w:t>31.3%</w:t>
            </w:r>
          </w:p>
        </w:tc>
        <w:tc>
          <w:tcPr>
            <w:tcW w:w="1133" w:type="dxa"/>
            <w:shd w:val="clear" w:color="auto" w:fill="auto"/>
            <w:vAlign w:val="center"/>
          </w:tcPr>
          <w:p w:rsidR="004552C9" w:rsidRDefault="009E752A" w:rsidP="00E92FBC">
            <w:pPr>
              <w:jc w:val="center"/>
              <w:rPr>
                <w:bCs/>
              </w:rPr>
            </w:pPr>
            <w:r>
              <w:rPr>
                <w:bCs/>
              </w:rPr>
              <w:t>36.0%</w:t>
            </w:r>
          </w:p>
        </w:tc>
        <w:tc>
          <w:tcPr>
            <w:tcW w:w="1133" w:type="dxa"/>
            <w:shd w:val="clear" w:color="auto" w:fill="auto"/>
            <w:vAlign w:val="center"/>
          </w:tcPr>
          <w:p w:rsidR="004552C9" w:rsidRDefault="009E752A" w:rsidP="00E92FBC">
            <w:pPr>
              <w:jc w:val="center"/>
              <w:rPr>
                <w:bCs/>
              </w:rPr>
            </w:pPr>
            <w:r>
              <w:rPr>
                <w:bCs/>
              </w:rPr>
              <w:t>45.8%</w:t>
            </w:r>
          </w:p>
        </w:tc>
        <w:tc>
          <w:tcPr>
            <w:tcW w:w="1133" w:type="dxa"/>
            <w:shd w:val="clear" w:color="auto" w:fill="auto"/>
            <w:vAlign w:val="center"/>
          </w:tcPr>
          <w:p w:rsidR="004552C9" w:rsidRDefault="009E752A" w:rsidP="00E92FBC">
            <w:pPr>
              <w:jc w:val="center"/>
              <w:rPr>
                <w:bCs/>
              </w:rPr>
            </w:pPr>
            <w:r>
              <w:rPr>
                <w:bCs/>
              </w:rPr>
              <w:t>49.2%</w:t>
            </w:r>
          </w:p>
        </w:tc>
      </w:tr>
      <w:tr w:rsidR="004552C9" w:rsidTr="00E92FBC">
        <w:tc>
          <w:tcPr>
            <w:tcW w:w="1124" w:type="dxa"/>
            <w:shd w:val="clear" w:color="auto" w:fill="auto"/>
            <w:vAlign w:val="center"/>
          </w:tcPr>
          <w:p w:rsidR="004552C9" w:rsidRDefault="009E752A" w:rsidP="00E92FBC">
            <w:pPr>
              <w:jc w:val="center"/>
              <w:rPr>
                <w:bCs/>
              </w:rPr>
            </w:pPr>
            <w:r>
              <w:rPr>
                <w:bCs/>
              </w:rPr>
              <w:t>Meigs</w:t>
            </w:r>
          </w:p>
        </w:tc>
        <w:tc>
          <w:tcPr>
            <w:tcW w:w="1134" w:type="dxa"/>
            <w:shd w:val="clear" w:color="auto" w:fill="auto"/>
            <w:vAlign w:val="center"/>
          </w:tcPr>
          <w:p w:rsidR="004552C9" w:rsidRDefault="009E752A" w:rsidP="00E92FBC">
            <w:pPr>
              <w:jc w:val="center"/>
              <w:rPr>
                <w:bCs/>
              </w:rPr>
            </w:pPr>
            <w:r>
              <w:rPr>
                <w:bCs/>
              </w:rPr>
              <w:t>23,340</w:t>
            </w:r>
          </w:p>
        </w:tc>
        <w:tc>
          <w:tcPr>
            <w:tcW w:w="1134" w:type="dxa"/>
            <w:shd w:val="clear" w:color="auto" w:fill="auto"/>
            <w:vAlign w:val="center"/>
          </w:tcPr>
          <w:p w:rsidR="004552C9" w:rsidRDefault="009E752A" w:rsidP="00E92FBC">
            <w:pPr>
              <w:jc w:val="center"/>
              <w:rPr>
                <w:bCs/>
              </w:rPr>
            </w:pPr>
            <w:r>
              <w:rPr>
                <w:bCs/>
              </w:rPr>
              <w:t>21.6%</w:t>
            </w:r>
          </w:p>
        </w:tc>
        <w:tc>
          <w:tcPr>
            <w:tcW w:w="1134" w:type="dxa"/>
            <w:shd w:val="clear" w:color="auto" w:fill="auto"/>
            <w:vAlign w:val="center"/>
          </w:tcPr>
          <w:p w:rsidR="004552C9" w:rsidRDefault="009E752A" w:rsidP="00E92FBC">
            <w:pPr>
              <w:jc w:val="center"/>
              <w:rPr>
                <w:bCs/>
              </w:rPr>
            </w:pPr>
            <w:r>
              <w:rPr>
                <w:bCs/>
              </w:rPr>
              <w:t>27.4%</w:t>
            </w:r>
          </w:p>
        </w:tc>
        <w:tc>
          <w:tcPr>
            <w:tcW w:w="1133" w:type="dxa"/>
            <w:shd w:val="clear" w:color="auto" w:fill="auto"/>
            <w:vAlign w:val="center"/>
          </w:tcPr>
          <w:p w:rsidR="004552C9" w:rsidRDefault="009E752A" w:rsidP="00E92FBC">
            <w:pPr>
              <w:jc w:val="center"/>
              <w:rPr>
                <w:bCs/>
              </w:rPr>
            </w:pPr>
            <w:r>
              <w:rPr>
                <w:bCs/>
              </w:rPr>
              <w:t>34.5%</w:t>
            </w:r>
          </w:p>
        </w:tc>
        <w:tc>
          <w:tcPr>
            <w:tcW w:w="1133" w:type="dxa"/>
            <w:shd w:val="clear" w:color="auto" w:fill="auto"/>
            <w:vAlign w:val="center"/>
          </w:tcPr>
          <w:p w:rsidR="004552C9" w:rsidRDefault="009E752A" w:rsidP="00E92FBC">
            <w:pPr>
              <w:jc w:val="center"/>
              <w:rPr>
                <w:bCs/>
              </w:rPr>
            </w:pPr>
            <w:r>
              <w:rPr>
                <w:bCs/>
              </w:rPr>
              <w:t>42.4%</w:t>
            </w:r>
          </w:p>
        </w:tc>
        <w:tc>
          <w:tcPr>
            <w:tcW w:w="1133" w:type="dxa"/>
            <w:shd w:val="clear" w:color="auto" w:fill="auto"/>
            <w:vAlign w:val="center"/>
          </w:tcPr>
          <w:p w:rsidR="004552C9" w:rsidRDefault="009E752A" w:rsidP="00E92FBC">
            <w:pPr>
              <w:jc w:val="center"/>
              <w:rPr>
                <w:bCs/>
              </w:rPr>
            </w:pPr>
            <w:r>
              <w:rPr>
                <w:bCs/>
              </w:rPr>
              <w:t>45.9%</w:t>
            </w:r>
          </w:p>
        </w:tc>
      </w:tr>
      <w:tr w:rsidR="004552C9" w:rsidTr="00E92FBC">
        <w:tc>
          <w:tcPr>
            <w:tcW w:w="1124" w:type="dxa"/>
            <w:shd w:val="clear" w:color="auto" w:fill="auto"/>
            <w:vAlign w:val="center"/>
          </w:tcPr>
          <w:p w:rsidR="004552C9" w:rsidRDefault="009E752A" w:rsidP="00E92FBC">
            <w:pPr>
              <w:jc w:val="center"/>
              <w:rPr>
                <w:bCs/>
              </w:rPr>
            </w:pPr>
            <w:r>
              <w:rPr>
                <w:bCs/>
              </w:rPr>
              <w:t>Pike</w:t>
            </w:r>
          </w:p>
        </w:tc>
        <w:tc>
          <w:tcPr>
            <w:tcW w:w="1134" w:type="dxa"/>
            <w:shd w:val="clear" w:color="auto" w:fill="auto"/>
            <w:vAlign w:val="center"/>
          </w:tcPr>
          <w:p w:rsidR="004552C9" w:rsidRDefault="009E752A" w:rsidP="00E92FBC">
            <w:pPr>
              <w:jc w:val="center"/>
              <w:rPr>
                <w:bCs/>
              </w:rPr>
            </w:pPr>
            <w:r>
              <w:rPr>
                <w:bCs/>
              </w:rPr>
              <w:t>28,191</w:t>
            </w:r>
          </w:p>
        </w:tc>
        <w:tc>
          <w:tcPr>
            <w:tcW w:w="1134" w:type="dxa"/>
            <w:shd w:val="clear" w:color="auto" w:fill="auto"/>
            <w:vAlign w:val="center"/>
          </w:tcPr>
          <w:p w:rsidR="004552C9" w:rsidRDefault="009E752A" w:rsidP="00E92FBC">
            <w:pPr>
              <w:jc w:val="center"/>
              <w:rPr>
                <w:bCs/>
              </w:rPr>
            </w:pPr>
            <w:r>
              <w:rPr>
                <w:bCs/>
              </w:rPr>
              <w:t>22.0%</w:t>
            </w:r>
          </w:p>
        </w:tc>
        <w:tc>
          <w:tcPr>
            <w:tcW w:w="1134" w:type="dxa"/>
            <w:shd w:val="clear" w:color="auto" w:fill="auto"/>
            <w:vAlign w:val="center"/>
          </w:tcPr>
          <w:p w:rsidR="004552C9" w:rsidRDefault="009E752A" w:rsidP="00E92FBC">
            <w:pPr>
              <w:jc w:val="center"/>
              <w:rPr>
                <w:bCs/>
              </w:rPr>
            </w:pPr>
            <w:r>
              <w:rPr>
                <w:bCs/>
              </w:rPr>
              <w:t>30.4%</w:t>
            </w:r>
          </w:p>
        </w:tc>
        <w:tc>
          <w:tcPr>
            <w:tcW w:w="1133" w:type="dxa"/>
            <w:shd w:val="clear" w:color="auto" w:fill="auto"/>
            <w:vAlign w:val="center"/>
          </w:tcPr>
          <w:p w:rsidR="004552C9" w:rsidRDefault="009E752A" w:rsidP="00E92FBC">
            <w:pPr>
              <w:jc w:val="center"/>
              <w:rPr>
                <w:bCs/>
              </w:rPr>
            </w:pPr>
            <w:r>
              <w:rPr>
                <w:bCs/>
              </w:rPr>
              <w:t>36.0%</w:t>
            </w:r>
          </w:p>
        </w:tc>
        <w:tc>
          <w:tcPr>
            <w:tcW w:w="1133" w:type="dxa"/>
            <w:shd w:val="clear" w:color="auto" w:fill="auto"/>
            <w:vAlign w:val="center"/>
          </w:tcPr>
          <w:p w:rsidR="004552C9" w:rsidRDefault="009E752A" w:rsidP="00E92FBC">
            <w:pPr>
              <w:jc w:val="center"/>
              <w:rPr>
                <w:bCs/>
              </w:rPr>
            </w:pPr>
            <w:r>
              <w:rPr>
                <w:bCs/>
              </w:rPr>
              <w:t>43.5%</w:t>
            </w:r>
          </w:p>
        </w:tc>
        <w:tc>
          <w:tcPr>
            <w:tcW w:w="1133" w:type="dxa"/>
            <w:shd w:val="clear" w:color="auto" w:fill="auto"/>
            <w:vAlign w:val="center"/>
          </w:tcPr>
          <w:p w:rsidR="004552C9" w:rsidRDefault="009E752A" w:rsidP="00E92FBC">
            <w:pPr>
              <w:jc w:val="center"/>
              <w:rPr>
                <w:bCs/>
              </w:rPr>
            </w:pPr>
            <w:r>
              <w:rPr>
                <w:bCs/>
              </w:rPr>
              <w:t>45.8%</w:t>
            </w:r>
          </w:p>
        </w:tc>
      </w:tr>
      <w:tr w:rsidR="004552C9" w:rsidTr="00E92FBC">
        <w:tc>
          <w:tcPr>
            <w:tcW w:w="1124" w:type="dxa"/>
            <w:shd w:val="clear" w:color="auto" w:fill="auto"/>
            <w:vAlign w:val="center"/>
          </w:tcPr>
          <w:p w:rsidR="004552C9" w:rsidRDefault="009E752A" w:rsidP="00E92FBC">
            <w:pPr>
              <w:jc w:val="center"/>
              <w:rPr>
                <w:bCs/>
              </w:rPr>
            </w:pPr>
            <w:r>
              <w:rPr>
                <w:bCs/>
              </w:rPr>
              <w:t>Ross</w:t>
            </w:r>
          </w:p>
        </w:tc>
        <w:tc>
          <w:tcPr>
            <w:tcW w:w="1134" w:type="dxa"/>
            <w:shd w:val="clear" w:color="auto" w:fill="auto"/>
            <w:vAlign w:val="center"/>
          </w:tcPr>
          <w:p w:rsidR="004552C9" w:rsidRDefault="009E752A" w:rsidP="00E92FBC">
            <w:pPr>
              <w:jc w:val="center"/>
              <w:rPr>
                <w:bCs/>
              </w:rPr>
            </w:pPr>
            <w:r>
              <w:rPr>
                <w:bCs/>
              </w:rPr>
              <w:t>71,418</w:t>
            </w:r>
          </w:p>
        </w:tc>
        <w:tc>
          <w:tcPr>
            <w:tcW w:w="1134" w:type="dxa"/>
            <w:shd w:val="clear" w:color="auto" w:fill="auto"/>
            <w:vAlign w:val="center"/>
          </w:tcPr>
          <w:p w:rsidR="004552C9" w:rsidRDefault="009E752A" w:rsidP="00E92FBC">
            <w:pPr>
              <w:jc w:val="center"/>
              <w:rPr>
                <w:bCs/>
              </w:rPr>
            </w:pPr>
            <w:r>
              <w:rPr>
                <w:bCs/>
              </w:rPr>
              <w:t>19.1%</w:t>
            </w:r>
          </w:p>
        </w:tc>
        <w:tc>
          <w:tcPr>
            <w:tcW w:w="1134" w:type="dxa"/>
            <w:shd w:val="clear" w:color="auto" w:fill="auto"/>
            <w:vAlign w:val="center"/>
          </w:tcPr>
          <w:p w:rsidR="004552C9" w:rsidRDefault="009E752A" w:rsidP="00E92FBC">
            <w:pPr>
              <w:jc w:val="center"/>
              <w:rPr>
                <w:bCs/>
              </w:rPr>
            </w:pPr>
            <w:r>
              <w:rPr>
                <w:bCs/>
              </w:rPr>
              <w:t>23.7%</w:t>
            </w:r>
          </w:p>
        </w:tc>
        <w:tc>
          <w:tcPr>
            <w:tcW w:w="1133" w:type="dxa"/>
            <w:shd w:val="clear" w:color="auto" w:fill="auto"/>
            <w:vAlign w:val="center"/>
          </w:tcPr>
          <w:p w:rsidR="004552C9" w:rsidRDefault="009E752A" w:rsidP="00E92FBC">
            <w:pPr>
              <w:jc w:val="center"/>
              <w:rPr>
                <w:bCs/>
              </w:rPr>
            </w:pPr>
            <w:r>
              <w:rPr>
                <w:bCs/>
              </w:rPr>
              <w:t>28.6%</w:t>
            </w:r>
          </w:p>
        </w:tc>
        <w:tc>
          <w:tcPr>
            <w:tcW w:w="1133" w:type="dxa"/>
            <w:shd w:val="clear" w:color="auto" w:fill="auto"/>
            <w:vAlign w:val="center"/>
          </w:tcPr>
          <w:p w:rsidR="004552C9" w:rsidRDefault="009E752A" w:rsidP="00E92FBC">
            <w:pPr>
              <w:jc w:val="center"/>
              <w:rPr>
                <w:bCs/>
              </w:rPr>
            </w:pPr>
            <w:r>
              <w:rPr>
                <w:bCs/>
              </w:rPr>
              <w:t>36.9%</w:t>
            </w:r>
          </w:p>
        </w:tc>
        <w:tc>
          <w:tcPr>
            <w:tcW w:w="1133" w:type="dxa"/>
            <w:shd w:val="clear" w:color="auto" w:fill="auto"/>
            <w:vAlign w:val="center"/>
          </w:tcPr>
          <w:p w:rsidR="004552C9" w:rsidRDefault="009E752A" w:rsidP="00E92FBC">
            <w:pPr>
              <w:jc w:val="center"/>
              <w:rPr>
                <w:bCs/>
              </w:rPr>
            </w:pPr>
            <w:r>
              <w:rPr>
                <w:bCs/>
              </w:rPr>
              <w:t>39.4%</w:t>
            </w:r>
          </w:p>
        </w:tc>
      </w:tr>
      <w:tr w:rsidR="004552C9" w:rsidTr="00E92FBC">
        <w:tc>
          <w:tcPr>
            <w:tcW w:w="1124" w:type="dxa"/>
            <w:shd w:val="clear" w:color="auto" w:fill="auto"/>
            <w:vAlign w:val="center"/>
          </w:tcPr>
          <w:p w:rsidR="004552C9" w:rsidRDefault="009E752A" w:rsidP="00E92FBC">
            <w:pPr>
              <w:jc w:val="center"/>
              <w:rPr>
                <w:bCs/>
              </w:rPr>
            </w:pPr>
            <w:r>
              <w:rPr>
                <w:bCs/>
              </w:rPr>
              <w:t>Scioto</w:t>
            </w:r>
          </w:p>
        </w:tc>
        <w:tc>
          <w:tcPr>
            <w:tcW w:w="1134" w:type="dxa"/>
            <w:shd w:val="clear" w:color="auto" w:fill="auto"/>
            <w:vAlign w:val="center"/>
          </w:tcPr>
          <w:p w:rsidR="004552C9" w:rsidRDefault="009E752A" w:rsidP="00E92FBC">
            <w:pPr>
              <w:jc w:val="center"/>
              <w:rPr>
                <w:bCs/>
              </w:rPr>
            </w:pPr>
            <w:r>
              <w:rPr>
                <w:bCs/>
              </w:rPr>
              <w:t>75,634</w:t>
            </w:r>
          </w:p>
        </w:tc>
        <w:tc>
          <w:tcPr>
            <w:tcW w:w="1134" w:type="dxa"/>
            <w:shd w:val="clear" w:color="auto" w:fill="auto"/>
            <w:vAlign w:val="center"/>
          </w:tcPr>
          <w:p w:rsidR="004552C9" w:rsidRDefault="009E752A" w:rsidP="00E92FBC">
            <w:pPr>
              <w:jc w:val="center"/>
              <w:rPr>
                <w:bCs/>
              </w:rPr>
            </w:pPr>
            <w:r>
              <w:rPr>
                <w:bCs/>
              </w:rPr>
              <w:t>23.0%</w:t>
            </w:r>
          </w:p>
        </w:tc>
        <w:tc>
          <w:tcPr>
            <w:tcW w:w="1134" w:type="dxa"/>
            <w:shd w:val="clear" w:color="auto" w:fill="auto"/>
            <w:vAlign w:val="center"/>
          </w:tcPr>
          <w:p w:rsidR="004552C9" w:rsidRDefault="009E752A" w:rsidP="00E92FBC">
            <w:pPr>
              <w:jc w:val="center"/>
              <w:rPr>
                <w:bCs/>
              </w:rPr>
            </w:pPr>
            <w:r>
              <w:rPr>
                <w:bCs/>
              </w:rPr>
              <w:t>30.1%</w:t>
            </w:r>
          </w:p>
        </w:tc>
        <w:tc>
          <w:tcPr>
            <w:tcW w:w="1133" w:type="dxa"/>
            <w:shd w:val="clear" w:color="auto" w:fill="auto"/>
            <w:vAlign w:val="center"/>
          </w:tcPr>
          <w:p w:rsidR="004552C9" w:rsidRDefault="009E752A" w:rsidP="00E92FBC">
            <w:pPr>
              <w:jc w:val="center"/>
              <w:rPr>
                <w:bCs/>
              </w:rPr>
            </w:pPr>
            <w:r>
              <w:rPr>
                <w:bCs/>
              </w:rPr>
              <w:t>35.0%</w:t>
            </w:r>
          </w:p>
        </w:tc>
        <w:tc>
          <w:tcPr>
            <w:tcW w:w="1133" w:type="dxa"/>
            <w:shd w:val="clear" w:color="auto" w:fill="auto"/>
            <w:vAlign w:val="center"/>
          </w:tcPr>
          <w:p w:rsidR="004552C9" w:rsidRDefault="009E752A" w:rsidP="00E92FBC">
            <w:pPr>
              <w:jc w:val="center"/>
              <w:rPr>
                <w:bCs/>
              </w:rPr>
            </w:pPr>
            <w:r>
              <w:rPr>
                <w:bCs/>
              </w:rPr>
              <w:t>44.5%</w:t>
            </w:r>
          </w:p>
        </w:tc>
        <w:tc>
          <w:tcPr>
            <w:tcW w:w="1133" w:type="dxa"/>
            <w:shd w:val="clear" w:color="auto" w:fill="auto"/>
            <w:vAlign w:val="center"/>
          </w:tcPr>
          <w:p w:rsidR="004552C9" w:rsidRDefault="009E752A" w:rsidP="00E92FBC">
            <w:pPr>
              <w:jc w:val="center"/>
              <w:rPr>
                <w:bCs/>
              </w:rPr>
            </w:pPr>
            <w:r>
              <w:rPr>
                <w:bCs/>
              </w:rPr>
              <w:t>46.5%</w:t>
            </w:r>
          </w:p>
        </w:tc>
      </w:tr>
    </w:tbl>
    <w:p w:rsidR="004552C9" w:rsidRDefault="004552C9" w:rsidP="009F4BBC">
      <w:pPr>
        <w:spacing w:line="480" w:lineRule="auto"/>
        <w:ind w:left="720" w:hanging="720"/>
        <w:rPr>
          <w:bCs/>
        </w:rPr>
      </w:pPr>
    </w:p>
    <w:p w:rsidR="00F95936" w:rsidRDefault="009E752A" w:rsidP="009F4BBC">
      <w:pPr>
        <w:spacing w:line="480" w:lineRule="auto"/>
        <w:ind w:left="720"/>
        <w:rPr>
          <w:bCs/>
        </w:rPr>
      </w:pPr>
      <w:r>
        <w:rPr>
          <w:bCs/>
        </w:rPr>
        <w:t>As can be seen in Table 1, a significant number of Ohioans living in counties that are served by AEP Ohio have incomes that are close to the poverty level.  While the incomes of these Ohioans may be slightly above the federal poverty level, these people are already facing significant drains on their incomes for basic living expenses such as shelter, food, transportation, health and safety.  Increases in the cost of electric service have to be absorbed in budgets that are already stretched thin.  There is no indica</w:t>
      </w:r>
      <w:r w:rsidR="00470F27">
        <w:rPr>
          <w:bCs/>
        </w:rPr>
        <w:t>tion in the ESP III Application</w:t>
      </w:r>
      <w:r>
        <w:rPr>
          <w:bCs/>
        </w:rPr>
        <w:t xml:space="preserve"> that AEP Ohio moderate</w:t>
      </w:r>
      <w:r w:rsidR="00A17EFD">
        <w:rPr>
          <w:bCs/>
        </w:rPr>
        <w:t>d</w:t>
      </w:r>
      <w:r>
        <w:rPr>
          <w:bCs/>
        </w:rPr>
        <w:t xml:space="preserve"> the financial impact of the proposed ESP on this at-risk population.</w:t>
      </w:r>
    </w:p>
    <w:p w:rsidR="009F4BBC" w:rsidRDefault="009F4BBC" w:rsidP="009F4BBC">
      <w:pPr>
        <w:spacing w:line="480" w:lineRule="auto"/>
        <w:ind w:left="720"/>
        <w:rPr>
          <w:bCs/>
        </w:rPr>
      </w:pPr>
    </w:p>
    <w:p w:rsidR="004552C9" w:rsidRPr="005500F6" w:rsidRDefault="009E752A" w:rsidP="009F4BBC">
      <w:pPr>
        <w:spacing w:line="480" w:lineRule="auto"/>
        <w:ind w:left="720" w:hanging="720"/>
        <w:rPr>
          <w:b/>
          <w:bCs/>
          <w:i/>
        </w:rPr>
      </w:pPr>
      <w:r w:rsidRPr="00F95936">
        <w:rPr>
          <w:b/>
          <w:bCs/>
          <w:i/>
        </w:rPr>
        <w:t>Q1</w:t>
      </w:r>
      <w:r w:rsidR="00982052" w:rsidRPr="00F95936">
        <w:rPr>
          <w:b/>
          <w:bCs/>
          <w:i/>
        </w:rPr>
        <w:t>1</w:t>
      </w:r>
      <w:r w:rsidRPr="00F95936">
        <w:rPr>
          <w:b/>
          <w:bCs/>
          <w:i/>
        </w:rPr>
        <w:t>.</w:t>
      </w:r>
      <w:r>
        <w:rPr>
          <w:b/>
          <w:bCs/>
        </w:rPr>
        <w:tab/>
      </w:r>
      <w:r w:rsidRPr="005500F6">
        <w:rPr>
          <w:b/>
          <w:bCs/>
          <w:i/>
        </w:rPr>
        <w:t>HOW DOES AEP OHIO’S TOTAL MONTHLY BILL FOR ELECTRIC SERVICE FOR TYPICAL RESIDENTIAL CUSTOMERS COMPARE WITH THE TOTAL MONTHLY BILLS FOR ELECTRIC SERVICE IN OTHER OHIO CITIES SERVED BY OTHER UTILITIES?</w:t>
      </w:r>
    </w:p>
    <w:p w:rsidR="00E92FBC" w:rsidRDefault="009E752A" w:rsidP="00E92FBC">
      <w:pPr>
        <w:spacing w:line="480" w:lineRule="auto"/>
        <w:ind w:left="720" w:hanging="720"/>
        <w:rPr>
          <w:bCs/>
        </w:rPr>
      </w:pPr>
      <w:r w:rsidRPr="00F95936">
        <w:rPr>
          <w:b/>
          <w:bCs/>
          <w:i/>
        </w:rPr>
        <w:t>A1</w:t>
      </w:r>
      <w:r w:rsidR="00982052" w:rsidRPr="00F95936">
        <w:rPr>
          <w:b/>
          <w:bCs/>
          <w:i/>
        </w:rPr>
        <w:t>1</w:t>
      </w:r>
      <w:r w:rsidRPr="00F95936">
        <w:rPr>
          <w:b/>
          <w:bCs/>
          <w:i/>
        </w:rPr>
        <w:t>.</w:t>
      </w:r>
      <w:r>
        <w:rPr>
          <w:bCs/>
        </w:rPr>
        <w:tab/>
        <w:t xml:space="preserve">Currently, AEP Ohio (as shown in the electric bills of the cities of Canton and Columbus) has the highest cost electricity of any other electric utility in the state based on the </w:t>
      </w:r>
      <w:r w:rsidR="00F91B1C">
        <w:rPr>
          <w:bCs/>
        </w:rPr>
        <w:t xml:space="preserve">April </w:t>
      </w:r>
      <w:r w:rsidR="00907A4C">
        <w:rPr>
          <w:bCs/>
        </w:rPr>
        <w:t xml:space="preserve">2014 </w:t>
      </w:r>
      <w:r>
        <w:rPr>
          <w:bCs/>
        </w:rPr>
        <w:t>Ohio Utility Rate Survey compiled by the PUCO.  Table 2 provides a comparison of electric bills for several major Ohio cities combined with relevant poverty information.  The electric bill is for a residential customer with a monthly usage of 750 k</w:t>
      </w:r>
      <w:r w:rsidR="00B465D5">
        <w:rPr>
          <w:bCs/>
        </w:rPr>
        <w:t>W</w:t>
      </w:r>
      <w:r>
        <w:rPr>
          <w:bCs/>
        </w:rPr>
        <w:t>h.</w:t>
      </w:r>
      <w:r w:rsidR="00E92FBC">
        <w:rPr>
          <w:bCs/>
        </w:rPr>
        <w:br w:type="page"/>
      </w:r>
    </w:p>
    <w:p w:rsidR="004552C9" w:rsidRPr="00EB5472" w:rsidRDefault="009E752A">
      <w:pPr>
        <w:spacing w:line="480" w:lineRule="auto"/>
        <w:ind w:left="720" w:hanging="720"/>
        <w:jc w:val="center"/>
        <w:rPr>
          <w:b/>
          <w:bCs/>
        </w:rPr>
      </w:pPr>
      <w:r w:rsidRPr="00EB5472">
        <w:rPr>
          <w:b/>
          <w:bCs/>
        </w:rPr>
        <w:t xml:space="preserve">Table 2: </w:t>
      </w:r>
      <w:r w:rsidR="009F4BBC">
        <w:rPr>
          <w:b/>
          <w:bCs/>
        </w:rPr>
        <w:t xml:space="preserve"> </w:t>
      </w:r>
      <w:r w:rsidRPr="00EB5472">
        <w:rPr>
          <w:b/>
          <w:bCs/>
        </w:rPr>
        <w:t>Electric Bills and Poverty Levels in Ohio Cities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48"/>
        <w:gridCol w:w="1557"/>
        <w:gridCol w:w="1557"/>
        <w:gridCol w:w="1547"/>
      </w:tblGrid>
      <w:tr w:rsidR="004552C9" w:rsidTr="009F4BBC">
        <w:tc>
          <w:tcPr>
            <w:tcW w:w="1915" w:type="dxa"/>
            <w:shd w:val="clear" w:color="auto" w:fill="auto"/>
            <w:vAlign w:val="center"/>
          </w:tcPr>
          <w:p w:rsidR="004552C9" w:rsidRPr="009F4BBC" w:rsidRDefault="009E752A" w:rsidP="009F4BBC">
            <w:pPr>
              <w:jc w:val="center"/>
              <w:rPr>
                <w:b/>
              </w:rPr>
            </w:pPr>
            <w:r w:rsidRPr="009F4BBC">
              <w:rPr>
                <w:b/>
              </w:rPr>
              <w:t>City</w:t>
            </w:r>
            <w:r w:rsidRPr="009F4BBC">
              <w:rPr>
                <w:rStyle w:val="FootnoteReference"/>
                <w:b/>
              </w:rPr>
              <w:footnoteReference w:id="32"/>
            </w:r>
          </w:p>
        </w:tc>
        <w:tc>
          <w:tcPr>
            <w:tcW w:w="1915" w:type="dxa"/>
            <w:shd w:val="clear" w:color="auto" w:fill="auto"/>
            <w:vAlign w:val="center"/>
          </w:tcPr>
          <w:p w:rsidR="004552C9" w:rsidRPr="009F4BBC" w:rsidRDefault="009E752A" w:rsidP="009F4BBC">
            <w:pPr>
              <w:jc w:val="center"/>
              <w:rPr>
                <w:b/>
              </w:rPr>
            </w:pPr>
            <w:r w:rsidRPr="009F4BBC">
              <w:rPr>
                <w:b/>
              </w:rPr>
              <w:t>Population</w:t>
            </w:r>
            <w:r w:rsidRPr="009F4BBC">
              <w:rPr>
                <w:rStyle w:val="FootnoteReference"/>
                <w:b/>
              </w:rPr>
              <w:footnoteReference w:id="33"/>
            </w:r>
          </w:p>
        </w:tc>
        <w:tc>
          <w:tcPr>
            <w:tcW w:w="1915" w:type="dxa"/>
            <w:shd w:val="clear" w:color="auto" w:fill="auto"/>
            <w:vAlign w:val="center"/>
          </w:tcPr>
          <w:p w:rsidR="004552C9" w:rsidRPr="009F4BBC" w:rsidRDefault="009E752A" w:rsidP="009F4BBC">
            <w:pPr>
              <w:jc w:val="center"/>
              <w:rPr>
                <w:b/>
              </w:rPr>
            </w:pPr>
            <w:r w:rsidRPr="009F4BBC">
              <w:rPr>
                <w:b/>
              </w:rPr>
              <w:t>Poverty Level</w:t>
            </w:r>
            <w:r w:rsidRPr="009F4BBC">
              <w:rPr>
                <w:rStyle w:val="FootnoteReference"/>
                <w:b/>
              </w:rPr>
              <w:footnoteReference w:id="34"/>
            </w:r>
          </w:p>
        </w:tc>
        <w:tc>
          <w:tcPr>
            <w:tcW w:w="1915" w:type="dxa"/>
            <w:shd w:val="clear" w:color="auto" w:fill="auto"/>
            <w:vAlign w:val="center"/>
          </w:tcPr>
          <w:p w:rsidR="004552C9" w:rsidRPr="009F4BBC" w:rsidRDefault="009E752A" w:rsidP="009F4BBC">
            <w:pPr>
              <w:jc w:val="center"/>
              <w:rPr>
                <w:b/>
              </w:rPr>
            </w:pPr>
            <w:r w:rsidRPr="009F4BBC">
              <w:rPr>
                <w:b/>
              </w:rPr>
              <w:t>Electric Bill</w:t>
            </w:r>
            <w:r w:rsidRPr="009F4BBC">
              <w:rPr>
                <w:rStyle w:val="FootnoteReference"/>
                <w:b/>
              </w:rPr>
              <w:footnoteReference w:id="35"/>
            </w:r>
          </w:p>
        </w:tc>
        <w:tc>
          <w:tcPr>
            <w:tcW w:w="1916" w:type="dxa"/>
            <w:shd w:val="clear" w:color="auto" w:fill="auto"/>
            <w:vAlign w:val="center"/>
          </w:tcPr>
          <w:p w:rsidR="004552C9" w:rsidRPr="009F4BBC" w:rsidRDefault="009E752A" w:rsidP="009F4BBC">
            <w:pPr>
              <w:jc w:val="center"/>
              <w:rPr>
                <w:b/>
              </w:rPr>
            </w:pPr>
            <w:r w:rsidRPr="009F4BBC">
              <w:rPr>
                <w:b/>
              </w:rPr>
              <w:t>Rate per KWH</w:t>
            </w:r>
            <w:r w:rsidR="00B465D5" w:rsidRPr="009F4BBC">
              <w:rPr>
                <w:rStyle w:val="FootnoteReference"/>
                <w:b/>
              </w:rPr>
              <w:footnoteReference w:id="36"/>
            </w:r>
          </w:p>
        </w:tc>
      </w:tr>
      <w:tr w:rsidR="004552C9" w:rsidTr="009F4BBC">
        <w:tc>
          <w:tcPr>
            <w:tcW w:w="1915" w:type="dxa"/>
            <w:shd w:val="clear" w:color="auto" w:fill="auto"/>
            <w:vAlign w:val="center"/>
          </w:tcPr>
          <w:p w:rsidR="004552C9" w:rsidRDefault="009E752A" w:rsidP="009F4BBC">
            <w:pPr>
              <w:jc w:val="center"/>
              <w:rPr>
                <w:bCs/>
              </w:rPr>
            </w:pPr>
            <w:r>
              <w:rPr>
                <w:bCs/>
              </w:rPr>
              <w:t>Akron</w:t>
            </w:r>
          </w:p>
        </w:tc>
        <w:tc>
          <w:tcPr>
            <w:tcW w:w="1915" w:type="dxa"/>
            <w:shd w:val="clear" w:color="auto" w:fill="auto"/>
            <w:vAlign w:val="center"/>
          </w:tcPr>
          <w:p w:rsidR="004552C9" w:rsidRDefault="009E752A" w:rsidP="009F4BBC">
            <w:pPr>
              <w:jc w:val="center"/>
              <w:rPr>
                <w:bCs/>
              </w:rPr>
            </w:pPr>
            <w:r>
              <w:rPr>
                <w:bCs/>
              </w:rPr>
              <w:t>195,182</w:t>
            </w:r>
          </w:p>
        </w:tc>
        <w:tc>
          <w:tcPr>
            <w:tcW w:w="1915" w:type="dxa"/>
            <w:shd w:val="clear" w:color="auto" w:fill="auto"/>
            <w:vAlign w:val="center"/>
          </w:tcPr>
          <w:p w:rsidR="004552C9" w:rsidRDefault="009E752A" w:rsidP="009F4BBC">
            <w:pPr>
              <w:jc w:val="center"/>
              <w:rPr>
                <w:bCs/>
              </w:rPr>
            </w:pPr>
            <w:r>
              <w:rPr>
                <w:bCs/>
              </w:rPr>
              <w:t>26.8%</w:t>
            </w:r>
          </w:p>
        </w:tc>
        <w:tc>
          <w:tcPr>
            <w:tcW w:w="1915" w:type="dxa"/>
            <w:shd w:val="clear" w:color="auto" w:fill="auto"/>
            <w:vAlign w:val="center"/>
          </w:tcPr>
          <w:p w:rsidR="004552C9" w:rsidRDefault="009E752A" w:rsidP="009F4BBC">
            <w:pPr>
              <w:jc w:val="center"/>
              <w:rPr>
                <w:bCs/>
              </w:rPr>
            </w:pPr>
            <w:r>
              <w:rPr>
                <w:bCs/>
              </w:rPr>
              <w:t>$9</w:t>
            </w:r>
            <w:r w:rsidR="00F91B1C">
              <w:rPr>
                <w:bCs/>
              </w:rPr>
              <w:t>8.33</w:t>
            </w:r>
          </w:p>
        </w:tc>
        <w:tc>
          <w:tcPr>
            <w:tcW w:w="1916" w:type="dxa"/>
            <w:shd w:val="clear" w:color="auto" w:fill="auto"/>
            <w:vAlign w:val="center"/>
          </w:tcPr>
          <w:p w:rsidR="004552C9" w:rsidRDefault="009E752A" w:rsidP="009F4BBC">
            <w:pPr>
              <w:jc w:val="center"/>
              <w:rPr>
                <w:bCs/>
              </w:rPr>
            </w:pPr>
            <w:r>
              <w:rPr>
                <w:bCs/>
              </w:rPr>
              <w:t>$0.13</w:t>
            </w:r>
          </w:p>
        </w:tc>
      </w:tr>
      <w:tr w:rsidR="004552C9" w:rsidTr="009F4BBC">
        <w:tc>
          <w:tcPr>
            <w:tcW w:w="1915" w:type="dxa"/>
            <w:shd w:val="clear" w:color="auto" w:fill="auto"/>
            <w:vAlign w:val="center"/>
          </w:tcPr>
          <w:p w:rsidR="004552C9" w:rsidRDefault="009E752A" w:rsidP="009F4BBC">
            <w:pPr>
              <w:jc w:val="center"/>
              <w:rPr>
                <w:bCs/>
              </w:rPr>
            </w:pPr>
            <w:r>
              <w:rPr>
                <w:bCs/>
              </w:rPr>
              <w:t>Canton</w:t>
            </w:r>
          </w:p>
        </w:tc>
        <w:tc>
          <w:tcPr>
            <w:tcW w:w="1915" w:type="dxa"/>
            <w:shd w:val="clear" w:color="auto" w:fill="auto"/>
            <w:vAlign w:val="center"/>
          </w:tcPr>
          <w:p w:rsidR="004552C9" w:rsidRDefault="009E752A" w:rsidP="009F4BBC">
            <w:pPr>
              <w:jc w:val="center"/>
              <w:rPr>
                <w:bCs/>
              </w:rPr>
            </w:pPr>
            <w:r>
              <w:rPr>
                <w:bCs/>
              </w:rPr>
              <w:t>70,725</w:t>
            </w:r>
          </w:p>
        </w:tc>
        <w:tc>
          <w:tcPr>
            <w:tcW w:w="1915" w:type="dxa"/>
            <w:shd w:val="clear" w:color="auto" w:fill="auto"/>
            <w:vAlign w:val="center"/>
          </w:tcPr>
          <w:p w:rsidR="004552C9" w:rsidRDefault="009E752A" w:rsidP="009F4BBC">
            <w:pPr>
              <w:jc w:val="center"/>
              <w:rPr>
                <w:bCs/>
              </w:rPr>
            </w:pPr>
            <w:r>
              <w:rPr>
                <w:bCs/>
              </w:rPr>
              <w:t>30.8%</w:t>
            </w:r>
          </w:p>
        </w:tc>
        <w:tc>
          <w:tcPr>
            <w:tcW w:w="1915" w:type="dxa"/>
            <w:shd w:val="clear" w:color="auto" w:fill="auto"/>
            <w:vAlign w:val="center"/>
          </w:tcPr>
          <w:p w:rsidR="004552C9" w:rsidRDefault="009F4BBC" w:rsidP="009F4BBC">
            <w:pPr>
              <w:jc w:val="center"/>
              <w:rPr>
                <w:bCs/>
              </w:rPr>
            </w:pPr>
            <w:r>
              <w:rPr>
                <w:bCs/>
              </w:rPr>
              <w:t>$</w:t>
            </w:r>
            <w:r w:rsidR="009E752A">
              <w:rPr>
                <w:bCs/>
              </w:rPr>
              <w:t>1</w:t>
            </w:r>
            <w:r w:rsidR="00F91B1C">
              <w:rPr>
                <w:bCs/>
              </w:rPr>
              <w:t>14.06</w:t>
            </w:r>
          </w:p>
        </w:tc>
        <w:tc>
          <w:tcPr>
            <w:tcW w:w="1916" w:type="dxa"/>
            <w:shd w:val="clear" w:color="auto" w:fill="auto"/>
            <w:vAlign w:val="center"/>
          </w:tcPr>
          <w:p w:rsidR="004552C9" w:rsidRDefault="009F4BBC" w:rsidP="009F4BBC">
            <w:pPr>
              <w:jc w:val="center"/>
              <w:rPr>
                <w:bCs/>
              </w:rPr>
            </w:pPr>
            <w:r>
              <w:rPr>
                <w:bCs/>
              </w:rPr>
              <w:t>$</w:t>
            </w:r>
            <w:r w:rsidR="009E752A">
              <w:rPr>
                <w:bCs/>
              </w:rPr>
              <w:t>0.1</w:t>
            </w:r>
            <w:r w:rsidR="00F91B1C">
              <w:rPr>
                <w:bCs/>
              </w:rPr>
              <w:t>5</w:t>
            </w:r>
          </w:p>
        </w:tc>
      </w:tr>
      <w:tr w:rsidR="004552C9" w:rsidTr="009F4BBC">
        <w:tc>
          <w:tcPr>
            <w:tcW w:w="1915" w:type="dxa"/>
            <w:shd w:val="clear" w:color="auto" w:fill="auto"/>
            <w:vAlign w:val="center"/>
          </w:tcPr>
          <w:p w:rsidR="004552C9" w:rsidRDefault="009E752A" w:rsidP="009F4BBC">
            <w:pPr>
              <w:jc w:val="center"/>
              <w:rPr>
                <w:bCs/>
              </w:rPr>
            </w:pPr>
            <w:r>
              <w:rPr>
                <w:bCs/>
              </w:rPr>
              <w:t>Cincinnati</w:t>
            </w:r>
          </w:p>
        </w:tc>
        <w:tc>
          <w:tcPr>
            <w:tcW w:w="1915" w:type="dxa"/>
            <w:shd w:val="clear" w:color="auto" w:fill="auto"/>
            <w:vAlign w:val="center"/>
          </w:tcPr>
          <w:p w:rsidR="004552C9" w:rsidRDefault="009E752A" w:rsidP="009F4BBC">
            <w:pPr>
              <w:jc w:val="center"/>
              <w:rPr>
                <w:bCs/>
              </w:rPr>
            </w:pPr>
            <w:r>
              <w:rPr>
                <w:bCs/>
              </w:rPr>
              <w:t>285,778</w:t>
            </w:r>
          </w:p>
        </w:tc>
        <w:tc>
          <w:tcPr>
            <w:tcW w:w="1915" w:type="dxa"/>
            <w:shd w:val="clear" w:color="auto" w:fill="auto"/>
            <w:vAlign w:val="center"/>
          </w:tcPr>
          <w:p w:rsidR="004552C9" w:rsidRDefault="009E752A" w:rsidP="009F4BBC">
            <w:pPr>
              <w:jc w:val="center"/>
              <w:rPr>
                <w:bCs/>
              </w:rPr>
            </w:pPr>
            <w:r>
              <w:rPr>
                <w:bCs/>
              </w:rPr>
              <w:t>29.4%</w:t>
            </w:r>
          </w:p>
        </w:tc>
        <w:tc>
          <w:tcPr>
            <w:tcW w:w="1915" w:type="dxa"/>
            <w:shd w:val="clear" w:color="auto" w:fill="auto"/>
            <w:vAlign w:val="center"/>
          </w:tcPr>
          <w:p w:rsidR="004552C9" w:rsidRDefault="009F4BBC" w:rsidP="009F4BBC">
            <w:pPr>
              <w:jc w:val="center"/>
              <w:rPr>
                <w:bCs/>
              </w:rPr>
            </w:pPr>
            <w:r>
              <w:rPr>
                <w:bCs/>
              </w:rPr>
              <w:t>$</w:t>
            </w:r>
            <w:r w:rsidR="00F91B1C">
              <w:rPr>
                <w:bCs/>
              </w:rPr>
              <w:t>91.27</w:t>
            </w:r>
          </w:p>
        </w:tc>
        <w:tc>
          <w:tcPr>
            <w:tcW w:w="1916" w:type="dxa"/>
            <w:shd w:val="clear" w:color="auto" w:fill="auto"/>
            <w:vAlign w:val="center"/>
          </w:tcPr>
          <w:p w:rsidR="004552C9" w:rsidRDefault="009F4BBC" w:rsidP="009F4BBC">
            <w:pPr>
              <w:jc w:val="center"/>
              <w:rPr>
                <w:bCs/>
              </w:rPr>
            </w:pPr>
            <w:r>
              <w:rPr>
                <w:bCs/>
              </w:rPr>
              <w:t>$</w:t>
            </w:r>
            <w:r w:rsidR="009E752A">
              <w:rPr>
                <w:bCs/>
              </w:rPr>
              <w:t>0.12</w:t>
            </w:r>
          </w:p>
        </w:tc>
      </w:tr>
      <w:tr w:rsidR="004552C9" w:rsidTr="009F4BBC">
        <w:tc>
          <w:tcPr>
            <w:tcW w:w="1915" w:type="dxa"/>
            <w:shd w:val="clear" w:color="auto" w:fill="auto"/>
            <w:vAlign w:val="center"/>
          </w:tcPr>
          <w:p w:rsidR="004552C9" w:rsidRDefault="009E752A" w:rsidP="009F4BBC">
            <w:pPr>
              <w:jc w:val="center"/>
              <w:rPr>
                <w:bCs/>
              </w:rPr>
            </w:pPr>
            <w:r>
              <w:rPr>
                <w:bCs/>
              </w:rPr>
              <w:t>Cleveland</w:t>
            </w:r>
          </w:p>
        </w:tc>
        <w:tc>
          <w:tcPr>
            <w:tcW w:w="1915" w:type="dxa"/>
            <w:shd w:val="clear" w:color="auto" w:fill="auto"/>
            <w:vAlign w:val="center"/>
          </w:tcPr>
          <w:p w:rsidR="004552C9" w:rsidRDefault="009E752A" w:rsidP="009F4BBC">
            <w:pPr>
              <w:jc w:val="center"/>
              <w:rPr>
                <w:bCs/>
              </w:rPr>
            </w:pPr>
            <w:r>
              <w:rPr>
                <w:bCs/>
              </w:rPr>
              <w:t>388,144</w:t>
            </w:r>
          </w:p>
        </w:tc>
        <w:tc>
          <w:tcPr>
            <w:tcW w:w="1915" w:type="dxa"/>
            <w:shd w:val="clear" w:color="auto" w:fill="auto"/>
            <w:vAlign w:val="center"/>
          </w:tcPr>
          <w:p w:rsidR="004552C9" w:rsidRDefault="009E752A" w:rsidP="009F4BBC">
            <w:pPr>
              <w:jc w:val="center"/>
              <w:rPr>
                <w:bCs/>
              </w:rPr>
            </w:pPr>
            <w:r>
              <w:rPr>
                <w:bCs/>
              </w:rPr>
              <w:t>34.2%</w:t>
            </w:r>
          </w:p>
        </w:tc>
        <w:tc>
          <w:tcPr>
            <w:tcW w:w="1915" w:type="dxa"/>
            <w:shd w:val="clear" w:color="auto" w:fill="auto"/>
            <w:vAlign w:val="center"/>
          </w:tcPr>
          <w:p w:rsidR="004552C9" w:rsidRDefault="009F4BBC" w:rsidP="009F4BBC">
            <w:pPr>
              <w:jc w:val="center"/>
              <w:rPr>
                <w:bCs/>
              </w:rPr>
            </w:pPr>
            <w:r>
              <w:rPr>
                <w:bCs/>
              </w:rPr>
              <w:t>$</w:t>
            </w:r>
            <w:r w:rsidR="00F91B1C">
              <w:rPr>
                <w:bCs/>
              </w:rPr>
              <w:t>94.65</w:t>
            </w:r>
          </w:p>
        </w:tc>
        <w:tc>
          <w:tcPr>
            <w:tcW w:w="1916" w:type="dxa"/>
            <w:shd w:val="clear" w:color="auto" w:fill="auto"/>
            <w:vAlign w:val="center"/>
          </w:tcPr>
          <w:p w:rsidR="004552C9" w:rsidRDefault="009F4BBC" w:rsidP="009F4BBC">
            <w:pPr>
              <w:jc w:val="center"/>
              <w:rPr>
                <w:bCs/>
              </w:rPr>
            </w:pPr>
            <w:r>
              <w:rPr>
                <w:bCs/>
              </w:rPr>
              <w:t>$</w:t>
            </w:r>
            <w:r w:rsidR="009E752A">
              <w:rPr>
                <w:bCs/>
              </w:rPr>
              <w:t>0.13</w:t>
            </w:r>
          </w:p>
        </w:tc>
      </w:tr>
      <w:tr w:rsidR="004552C9" w:rsidTr="009F4BBC">
        <w:tc>
          <w:tcPr>
            <w:tcW w:w="1915" w:type="dxa"/>
            <w:shd w:val="clear" w:color="auto" w:fill="auto"/>
            <w:vAlign w:val="center"/>
          </w:tcPr>
          <w:p w:rsidR="004552C9" w:rsidRDefault="009E752A" w:rsidP="009F4BBC">
            <w:pPr>
              <w:jc w:val="center"/>
              <w:rPr>
                <w:bCs/>
              </w:rPr>
            </w:pPr>
            <w:r>
              <w:rPr>
                <w:bCs/>
              </w:rPr>
              <w:t>Columbus</w:t>
            </w:r>
          </w:p>
        </w:tc>
        <w:tc>
          <w:tcPr>
            <w:tcW w:w="1915" w:type="dxa"/>
            <w:shd w:val="clear" w:color="auto" w:fill="auto"/>
            <w:vAlign w:val="center"/>
          </w:tcPr>
          <w:p w:rsidR="004552C9" w:rsidRDefault="009E752A" w:rsidP="009F4BBC">
            <w:pPr>
              <w:jc w:val="center"/>
              <w:rPr>
                <w:bCs/>
              </w:rPr>
            </w:pPr>
            <w:r>
              <w:rPr>
                <w:bCs/>
              </w:rPr>
              <w:t>771,624</w:t>
            </w:r>
          </w:p>
        </w:tc>
        <w:tc>
          <w:tcPr>
            <w:tcW w:w="1915" w:type="dxa"/>
            <w:shd w:val="clear" w:color="auto" w:fill="auto"/>
            <w:vAlign w:val="center"/>
          </w:tcPr>
          <w:p w:rsidR="004552C9" w:rsidRDefault="009E752A" w:rsidP="009F4BBC">
            <w:pPr>
              <w:jc w:val="center"/>
              <w:rPr>
                <w:bCs/>
              </w:rPr>
            </w:pPr>
            <w:r>
              <w:rPr>
                <w:bCs/>
              </w:rPr>
              <w:t>22.0%</w:t>
            </w:r>
          </w:p>
        </w:tc>
        <w:tc>
          <w:tcPr>
            <w:tcW w:w="1915" w:type="dxa"/>
            <w:shd w:val="clear" w:color="auto" w:fill="auto"/>
            <w:vAlign w:val="center"/>
          </w:tcPr>
          <w:p w:rsidR="004552C9" w:rsidRDefault="009F4BBC" w:rsidP="009F4BBC">
            <w:pPr>
              <w:jc w:val="center"/>
              <w:rPr>
                <w:bCs/>
              </w:rPr>
            </w:pPr>
            <w:r>
              <w:rPr>
                <w:bCs/>
              </w:rPr>
              <w:t>$</w:t>
            </w:r>
            <w:r w:rsidR="009E752A">
              <w:rPr>
                <w:bCs/>
              </w:rPr>
              <w:t>1</w:t>
            </w:r>
            <w:r w:rsidR="00F91B1C">
              <w:rPr>
                <w:bCs/>
              </w:rPr>
              <w:t>23.10</w:t>
            </w:r>
          </w:p>
        </w:tc>
        <w:tc>
          <w:tcPr>
            <w:tcW w:w="1916" w:type="dxa"/>
            <w:shd w:val="clear" w:color="auto" w:fill="auto"/>
            <w:vAlign w:val="center"/>
          </w:tcPr>
          <w:p w:rsidR="004552C9" w:rsidRDefault="009F4BBC" w:rsidP="009F4BBC">
            <w:pPr>
              <w:jc w:val="center"/>
              <w:rPr>
                <w:bCs/>
              </w:rPr>
            </w:pPr>
            <w:r>
              <w:rPr>
                <w:bCs/>
              </w:rPr>
              <w:t>$</w:t>
            </w:r>
            <w:r w:rsidR="009E752A">
              <w:rPr>
                <w:bCs/>
              </w:rPr>
              <w:t>0.1</w:t>
            </w:r>
            <w:r w:rsidR="00F91B1C">
              <w:rPr>
                <w:bCs/>
              </w:rPr>
              <w:t>6</w:t>
            </w:r>
          </w:p>
        </w:tc>
      </w:tr>
      <w:tr w:rsidR="004552C9" w:rsidTr="009F4BBC">
        <w:tc>
          <w:tcPr>
            <w:tcW w:w="1915" w:type="dxa"/>
            <w:shd w:val="clear" w:color="auto" w:fill="auto"/>
            <w:vAlign w:val="center"/>
          </w:tcPr>
          <w:p w:rsidR="004552C9" w:rsidRDefault="009E752A" w:rsidP="009F4BBC">
            <w:pPr>
              <w:jc w:val="center"/>
              <w:rPr>
                <w:bCs/>
              </w:rPr>
            </w:pPr>
            <w:r>
              <w:rPr>
                <w:bCs/>
              </w:rPr>
              <w:t>Dayton</w:t>
            </w:r>
          </w:p>
        </w:tc>
        <w:tc>
          <w:tcPr>
            <w:tcW w:w="1915" w:type="dxa"/>
            <w:shd w:val="clear" w:color="auto" w:fill="auto"/>
            <w:vAlign w:val="center"/>
          </w:tcPr>
          <w:p w:rsidR="004552C9" w:rsidRDefault="009E752A" w:rsidP="009F4BBC">
            <w:pPr>
              <w:jc w:val="center"/>
              <w:rPr>
                <w:bCs/>
              </w:rPr>
            </w:pPr>
            <w:r>
              <w:rPr>
                <w:bCs/>
              </w:rPr>
              <w:t>128,003</w:t>
            </w:r>
          </w:p>
        </w:tc>
        <w:tc>
          <w:tcPr>
            <w:tcW w:w="1915" w:type="dxa"/>
            <w:shd w:val="clear" w:color="auto" w:fill="auto"/>
            <w:vAlign w:val="center"/>
          </w:tcPr>
          <w:p w:rsidR="004552C9" w:rsidRDefault="009E752A" w:rsidP="009F4BBC">
            <w:pPr>
              <w:jc w:val="center"/>
              <w:rPr>
                <w:bCs/>
              </w:rPr>
            </w:pPr>
            <w:r>
              <w:rPr>
                <w:bCs/>
              </w:rPr>
              <w:t>33.8%</w:t>
            </w:r>
          </w:p>
        </w:tc>
        <w:tc>
          <w:tcPr>
            <w:tcW w:w="1915" w:type="dxa"/>
            <w:shd w:val="clear" w:color="auto" w:fill="auto"/>
            <w:vAlign w:val="center"/>
          </w:tcPr>
          <w:p w:rsidR="004552C9" w:rsidRDefault="009F4BBC" w:rsidP="009F4BBC">
            <w:pPr>
              <w:jc w:val="center"/>
              <w:rPr>
                <w:bCs/>
              </w:rPr>
            </w:pPr>
            <w:r>
              <w:rPr>
                <w:bCs/>
              </w:rPr>
              <w:t>$</w:t>
            </w:r>
            <w:r w:rsidR="009E752A">
              <w:rPr>
                <w:bCs/>
              </w:rPr>
              <w:t>107.36</w:t>
            </w:r>
          </w:p>
        </w:tc>
        <w:tc>
          <w:tcPr>
            <w:tcW w:w="1916" w:type="dxa"/>
            <w:shd w:val="clear" w:color="auto" w:fill="auto"/>
            <w:vAlign w:val="center"/>
          </w:tcPr>
          <w:p w:rsidR="004552C9" w:rsidRDefault="009F4BBC" w:rsidP="009F4BBC">
            <w:pPr>
              <w:jc w:val="center"/>
              <w:rPr>
                <w:bCs/>
              </w:rPr>
            </w:pPr>
            <w:r>
              <w:rPr>
                <w:bCs/>
              </w:rPr>
              <w:t>$</w:t>
            </w:r>
            <w:r w:rsidR="009E752A">
              <w:rPr>
                <w:bCs/>
              </w:rPr>
              <w:t>0.14</w:t>
            </w:r>
          </w:p>
        </w:tc>
      </w:tr>
      <w:tr w:rsidR="004552C9" w:rsidTr="009F4BBC">
        <w:tc>
          <w:tcPr>
            <w:tcW w:w="1915" w:type="dxa"/>
            <w:shd w:val="clear" w:color="auto" w:fill="auto"/>
            <w:vAlign w:val="center"/>
          </w:tcPr>
          <w:p w:rsidR="004552C9" w:rsidRDefault="009E752A" w:rsidP="009F4BBC">
            <w:pPr>
              <w:jc w:val="center"/>
              <w:rPr>
                <w:bCs/>
              </w:rPr>
            </w:pPr>
            <w:r>
              <w:rPr>
                <w:bCs/>
              </w:rPr>
              <w:t>Toledo</w:t>
            </w:r>
          </w:p>
        </w:tc>
        <w:tc>
          <w:tcPr>
            <w:tcW w:w="1915" w:type="dxa"/>
            <w:shd w:val="clear" w:color="auto" w:fill="auto"/>
            <w:vAlign w:val="center"/>
          </w:tcPr>
          <w:p w:rsidR="004552C9" w:rsidRDefault="009E752A" w:rsidP="009F4BBC">
            <w:pPr>
              <w:jc w:val="center"/>
              <w:rPr>
                <w:bCs/>
              </w:rPr>
            </w:pPr>
            <w:r>
              <w:rPr>
                <w:bCs/>
              </w:rPr>
              <w:t>280,082</w:t>
            </w:r>
          </w:p>
        </w:tc>
        <w:tc>
          <w:tcPr>
            <w:tcW w:w="1915" w:type="dxa"/>
            <w:shd w:val="clear" w:color="auto" w:fill="auto"/>
            <w:vAlign w:val="center"/>
          </w:tcPr>
          <w:p w:rsidR="004552C9" w:rsidRDefault="009E752A" w:rsidP="009F4BBC">
            <w:pPr>
              <w:jc w:val="center"/>
              <w:rPr>
                <w:bCs/>
              </w:rPr>
            </w:pPr>
            <w:r>
              <w:rPr>
                <w:bCs/>
              </w:rPr>
              <w:t>26.8%</w:t>
            </w:r>
          </w:p>
        </w:tc>
        <w:tc>
          <w:tcPr>
            <w:tcW w:w="1915" w:type="dxa"/>
            <w:shd w:val="clear" w:color="auto" w:fill="auto"/>
            <w:vAlign w:val="center"/>
          </w:tcPr>
          <w:p w:rsidR="004552C9" w:rsidRDefault="009F4BBC" w:rsidP="009F4BBC">
            <w:pPr>
              <w:jc w:val="center"/>
              <w:rPr>
                <w:bCs/>
              </w:rPr>
            </w:pPr>
            <w:r>
              <w:rPr>
                <w:bCs/>
              </w:rPr>
              <w:t>$</w:t>
            </w:r>
            <w:r w:rsidR="009E752A">
              <w:rPr>
                <w:bCs/>
              </w:rPr>
              <w:t>96.</w:t>
            </w:r>
            <w:r w:rsidR="00F91B1C">
              <w:rPr>
                <w:bCs/>
              </w:rPr>
              <w:t>97</w:t>
            </w:r>
          </w:p>
        </w:tc>
        <w:tc>
          <w:tcPr>
            <w:tcW w:w="1916" w:type="dxa"/>
            <w:shd w:val="clear" w:color="auto" w:fill="auto"/>
            <w:vAlign w:val="center"/>
          </w:tcPr>
          <w:p w:rsidR="004552C9" w:rsidRDefault="009F4BBC" w:rsidP="009F4BBC">
            <w:pPr>
              <w:jc w:val="center"/>
              <w:rPr>
                <w:bCs/>
              </w:rPr>
            </w:pPr>
            <w:r>
              <w:rPr>
                <w:bCs/>
              </w:rPr>
              <w:t>$</w:t>
            </w:r>
            <w:r w:rsidR="009E752A">
              <w:rPr>
                <w:bCs/>
              </w:rPr>
              <w:t>0.13</w:t>
            </w:r>
          </w:p>
        </w:tc>
      </w:tr>
      <w:tr w:rsidR="004552C9" w:rsidTr="009F4BBC">
        <w:tc>
          <w:tcPr>
            <w:tcW w:w="1915" w:type="dxa"/>
            <w:shd w:val="clear" w:color="auto" w:fill="auto"/>
            <w:vAlign w:val="center"/>
          </w:tcPr>
          <w:p w:rsidR="004552C9" w:rsidRDefault="009E752A" w:rsidP="009F4BBC">
            <w:pPr>
              <w:jc w:val="center"/>
              <w:rPr>
                <w:bCs/>
              </w:rPr>
            </w:pPr>
            <w:r>
              <w:rPr>
                <w:bCs/>
              </w:rPr>
              <w:t>Youngstown</w:t>
            </w:r>
          </w:p>
        </w:tc>
        <w:tc>
          <w:tcPr>
            <w:tcW w:w="1915" w:type="dxa"/>
            <w:shd w:val="clear" w:color="auto" w:fill="auto"/>
            <w:vAlign w:val="center"/>
          </w:tcPr>
          <w:p w:rsidR="004552C9" w:rsidRDefault="009E752A" w:rsidP="009F4BBC">
            <w:pPr>
              <w:jc w:val="center"/>
              <w:rPr>
                <w:bCs/>
              </w:rPr>
            </w:pPr>
            <w:r>
              <w:rPr>
                <w:bCs/>
              </w:rPr>
              <w:t>61,943</w:t>
            </w:r>
          </w:p>
        </w:tc>
        <w:tc>
          <w:tcPr>
            <w:tcW w:w="1915" w:type="dxa"/>
            <w:shd w:val="clear" w:color="auto" w:fill="auto"/>
            <w:vAlign w:val="center"/>
          </w:tcPr>
          <w:p w:rsidR="004552C9" w:rsidRDefault="009E752A" w:rsidP="009F4BBC">
            <w:pPr>
              <w:jc w:val="center"/>
              <w:rPr>
                <w:bCs/>
              </w:rPr>
            </w:pPr>
            <w:r>
              <w:rPr>
                <w:bCs/>
              </w:rPr>
              <w:t>35.6%</w:t>
            </w:r>
          </w:p>
        </w:tc>
        <w:tc>
          <w:tcPr>
            <w:tcW w:w="1915" w:type="dxa"/>
            <w:shd w:val="clear" w:color="auto" w:fill="auto"/>
            <w:vAlign w:val="center"/>
          </w:tcPr>
          <w:p w:rsidR="004552C9" w:rsidRDefault="009E752A" w:rsidP="009F4BBC">
            <w:pPr>
              <w:jc w:val="center"/>
              <w:rPr>
                <w:bCs/>
              </w:rPr>
            </w:pPr>
            <w:r>
              <w:rPr>
                <w:bCs/>
              </w:rPr>
              <w:t>$9</w:t>
            </w:r>
            <w:r w:rsidR="00F91B1C">
              <w:rPr>
                <w:bCs/>
              </w:rPr>
              <w:t>8.33</w:t>
            </w:r>
          </w:p>
        </w:tc>
        <w:tc>
          <w:tcPr>
            <w:tcW w:w="1916" w:type="dxa"/>
            <w:shd w:val="clear" w:color="auto" w:fill="auto"/>
            <w:vAlign w:val="center"/>
          </w:tcPr>
          <w:p w:rsidR="004552C9" w:rsidRDefault="009E752A" w:rsidP="009F4BBC">
            <w:pPr>
              <w:jc w:val="center"/>
              <w:rPr>
                <w:bCs/>
              </w:rPr>
            </w:pPr>
            <w:r>
              <w:rPr>
                <w:bCs/>
              </w:rPr>
              <w:t>$0.13</w:t>
            </w:r>
          </w:p>
        </w:tc>
      </w:tr>
      <w:tr w:rsidR="004552C9" w:rsidTr="009F4BBC">
        <w:trPr>
          <w:trHeight w:val="485"/>
        </w:trPr>
        <w:tc>
          <w:tcPr>
            <w:tcW w:w="1915" w:type="dxa"/>
            <w:shd w:val="clear" w:color="auto" w:fill="auto"/>
            <w:vAlign w:val="center"/>
          </w:tcPr>
          <w:p w:rsidR="004552C9" w:rsidRPr="009F4BBC" w:rsidRDefault="009E752A" w:rsidP="009F4BBC">
            <w:pPr>
              <w:jc w:val="center"/>
              <w:rPr>
                <w:b/>
              </w:rPr>
            </w:pPr>
            <w:r w:rsidRPr="009F4BBC">
              <w:rPr>
                <w:b/>
              </w:rPr>
              <w:t>Average</w:t>
            </w:r>
          </w:p>
        </w:tc>
        <w:tc>
          <w:tcPr>
            <w:tcW w:w="1915" w:type="dxa"/>
            <w:shd w:val="clear" w:color="auto" w:fill="auto"/>
            <w:vAlign w:val="center"/>
          </w:tcPr>
          <w:p w:rsidR="004552C9" w:rsidRPr="009F4BBC" w:rsidRDefault="004552C9" w:rsidP="009F4BBC">
            <w:pPr>
              <w:jc w:val="center"/>
              <w:rPr>
                <w:b/>
              </w:rPr>
            </w:pPr>
          </w:p>
        </w:tc>
        <w:tc>
          <w:tcPr>
            <w:tcW w:w="1915" w:type="dxa"/>
            <w:shd w:val="clear" w:color="auto" w:fill="auto"/>
            <w:vAlign w:val="center"/>
          </w:tcPr>
          <w:p w:rsidR="004552C9" w:rsidRPr="009F4BBC" w:rsidRDefault="004552C9" w:rsidP="009F4BBC">
            <w:pPr>
              <w:jc w:val="center"/>
              <w:rPr>
                <w:b/>
              </w:rPr>
            </w:pPr>
          </w:p>
        </w:tc>
        <w:tc>
          <w:tcPr>
            <w:tcW w:w="1915" w:type="dxa"/>
            <w:shd w:val="clear" w:color="auto" w:fill="auto"/>
            <w:vAlign w:val="center"/>
          </w:tcPr>
          <w:p w:rsidR="004552C9" w:rsidRPr="009F4BBC" w:rsidRDefault="009E752A" w:rsidP="009F4BBC">
            <w:pPr>
              <w:jc w:val="center"/>
              <w:rPr>
                <w:b/>
              </w:rPr>
            </w:pPr>
            <w:r w:rsidRPr="009F4BBC">
              <w:rPr>
                <w:b/>
              </w:rPr>
              <w:t>$10</w:t>
            </w:r>
            <w:r w:rsidR="00F91B1C" w:rsidRPr="009F4BBC">
              <w:rPr>
                <w:b/>
              </w:rPr>
              <w:t>3</w:t>
            </w:r>
            <w:r w:rsidRPr="009F4BBC">
              <w:rPr>
                <w:b/>
              </w:rPr>
              <w:t>.</w:t>
            </w:r>
            <w:r w:rsidR="00F91B1C" w:rsidRPr="009F4BBC">
              <w:rPr>
                <w:b/>
              </w:rPr>
              <w:t>01</w:t>
            </w:r>
          </w:p>
        </w:tc>
        <w:tc>
          <w:tcPr>
            <w:tcW w:w="1916" w:type="dxa"/>
            <w:shd w:val="clear" w:color="auto" w:fill="auto"/>
            <w:vAlign w:val="center"/>
          </w:tcPr>
          <w:p w:rsidR="004552C9" w:rsidRPr="009F4BBC" w:rsidRDefault="009E752A" w:rsidP="009F4BBC">
            <w:pPr>
              <w:jc w:val="center"/>
              <w:rPr>
                <w:b/>
              </w:rPr>
            </w:pPr>
            <w:r w:rsidRPr="009F4BBC">
              <w:rPr>
                <w:b/>
              </w:rPr>
              <w:t>$0.1</w:t>
            </w:r>
            <w:r w:rsidR="00F91B1C" w:rsidRPr="009F4BBC">
              <w:rPr>
                <w:b/>
              </w:rPr>
              <w:t>4</w:t>
            </w:r>
          </w:p>
        </w:tc>
      </w:tr>
    </w:tbl>
    <w:p w:rsidR="004552C9" w:rsidRDefault="004552C9">
      <w:pPr>
        <w:spacing w:line="480" w:lineRule="auto"/>
        <w:ind w:left="720"/>
        <w:rPr>
          <w:bCs/>
        </w:rPr>
      </w:pPr>
    </w:p>
    <w:p w:rsidR="00F95936" w:rsidRDefault="009E752A" w:rsidP="00C36B60">
      <w:pPr>
        <w:spacing w:line="480" w:lineRule="auto"/>
        <w:ind w:left="720"/>
        <w:rPr>
          <w:bCs/>
        </w:rPr>
      </w:pPr>
      <w:r>
        <w:rPr>
          <w:bCs/>
        </w:rPr>
        <w:t>Table 2 demonstrates that AEP Ohio</w:t>
      </w:r>
      <w:r w:rsidR="00B01162">
        <w:rPr>
          <w:bCs/>
        </w:rPr>
        <w:t>’s</w:t>
      </w:r>
      <w:r>
        <w:rPr>
          <w:bCs/>
        </w:rPr>
        <w:t xml:space="preserve"> customers in the Columbus area have the highest monthly total electric bills in the State.  Bills for Columbus customers are already 1</w:t>
      </w:r>
      <w:r w:rsidR="00F91B1C">
        <w:rPr>
          <w:bCs/>
        </w:rPr>
        <w:t>9</w:t>
      </w:r>
      <w:r>
        <w:rPr>
          <w:bCs/>
        </w:rPr>
        <w:t>.</w:t>
      </w:r>
      <w:r w:rsidR="00F91B1C">
        <w:rPr>
          <w:bCs/>
        </w:rPr>
        <w:t>5</w:t>
      </w:r>
      <w:r>
        <w:rPr>
          <w:bCs/>
        </w:rPr>
        <w:t xml:space="preserve"> percent higher than the average electric bill in other major Ohio cities.  Comparing bills for Columbus and Cincinnati residential customers, the AEP Ohio Columbus customers are paying bills that are </w:t>
      </w:r>
      <w:r w:rsidR="00C36B60">
        <w:rPr>
          <w:bCs/>
        </w:rPr>
        <w:t>34.8</w:t>
      </w:r>
      <w:r>
        <w:rPr>
          <w:bCs/>
        </w:rPr>
        <w:t xml:space="preserve"> percent higher.  </w:t>
      </w:r>
      <w:r w:rsidR="00BE548A">
        <w:rPr>
          <w:bCs/>
        </w:rPr>
        <w:t>Residential c</w:t>
      </w:r>
      <w:r>
        <w:rPr>
          <w:bCs/>
        </w:rPr>
        <w:t xml:space="preserve">ustomers in the AEP Ohio service territory in Canton have bills that are </w:t>
      </w:r>
      <w:r w:rsidR="00F91B1C">
        <w:rPr>
          <w:bCs/>
        </w:rPr>
        <w:t>10.7</w:t>
      </w:r>
      <w:r>
        <w:rPr>
          <w:bCs/>
        </w:rPr>
        <w:t xml:space="preserve"> percent higher than the state average electric bill.  Comparing electric bills for AEP Ohio Canton customers with the</w:t>
      </w:r>
      <w:r w:rsidR="00791EE5">
        <w:rPr>
          <w:bCs/>
        </w:rPr>
        <w:t xml:space="preserve"> </w:t>
      </w:r>
      <w:r>
        <w:rPr>
          <w:bCs/>
        </w:rPr>
        <w:t xml:space="preserve">Ohio Edison served Akron residential customers, the Canton customer bills are </w:t>
      </w:r>
      <w:r w:rsidR="00F91B1C">
        <w:rPr>
          <w:bCs/>
        </w:rPr>
        <w:t>15.9</w:t>
      </w:r>
      <w:r w:rsidR="008B16FF">
        <w:rPr>
          <w:bCs/>
        </w:rPr>
        <w:t xml:space="preserve"> </w:t>
      </w:r>
      <w:r w:rsidR="00B102BC">
        <w:rPr>
          <w:bCs/>
        </w:rPr>
        <w:t>percent higher.</w:t>
      </w:r>
    </w:p>
    <w:p w:rsidR="004552C9" w:rsidRDefault="009E752A" w:rsidP="00B102BC">
      <w:pPr>
        <w:spacing w:line="480" w:lineRule="auto"/>
        <w:ind w:left="720"/>
        <w:rPr>
          <w:bCs/>
        </w:rPr>
      </w:pPr>
      <w:r>
        <w:rPr>
          <w:bCs/>
        </w:rPr>
        <w:t>The disparity in total electric bills for residential custom</w:t>
      </w:r>
      <w:r w:rsidR="001578D1">
        <w:rPr>
          <w:bCs/>
        </w:rPr>
        <w:t>e</w:t>
      </w:r>
      <w:r>
        <w:rPr>
          <w:bCs/>
        </w:rPr>
        <w:t>rs across the state get</w:t>
      </w:r>
      <w:r w:rsidR="00B01162">
        <w:rPr>
          <w:bCs/>
        </w:rPr>
        <w:t>s</w:t>
      </w:r>
      <w:r>
        <w:rPr>
          <w:bCs/>
        </w:rPr>
        <w:t xml:space="preserve"> even worse considering the recent PUCO approval of an additional $2.38 per month charge for </w:t>
      </w:r>
      <w:r w:rsidR="000842BD">
        <w:rPr>
          <w:bCs/>
        </w:rPr>
        <w:t xml:space="preserve">AEP Ohio’s </w:t>
      </w:r>
      <w:r>
        <w:rPr>
          <w:bCs/>
        </w:rPr>
        <w:t xml:space="preserve">residential customers </w:t>
      </w:r>
      <w:r w:rsidR="001578D1">
        <w:rPr>
          <w:bCs/>
        </w:rPr>
        <w:t xml:space="preserve">for </w:t>
      </w:r>
      <w:r>
        <w:rPr>
          <w:bCs/>
        </w:rPr>
        <w:t>Storm Damage Recovery Rider</w:t>
      </w:r>
      <w:r w:rsidR="001578D1">
        <w:rPr>
          <w:bCs/>
        </w:rPr>
        <w:t xml:space="preserve"> costs</w:t>
      </w:r>
      <w:r>
        <w:rPr>
          <w:bCs/>
        </w:rPr>
        <w:t>.</w:t>
      </w:r>
      <w:r w:rsidR="00B9430C">
        <w:rPr>
          <w:rStyle w:val="FootnoteReference"/>
          <w:bCs/>
        </w:rPr>
        <w:footnoteReference w:id="37"/>
      </w:r>
      <w:r>
        <w:rPr>
          <w:bCs/>
        </w:rPr>
        <w:t xml:space="preserve">  With these additional charges, AEP Oh</w:t>
      </w:r>
      <w:r w:rsidR="00783A02">
        <w:rPr>
          <w:bCs/>
        </w:rPr>
        <w:t>io</w:t>
      </w:r>
      <w:r w:rsidR="00B01162">
        <w:rPr>
          <w:bCs/>
        </w:rPr>
        <w:t>’s</w:t>
      </w:r>
      <w:r w:rsidR="00783A02">
        <w:rPr>
          <w:bCs/>
        </w:rPr>
        <w:t xml:space="preserve"> Columbus customers </w:t>
      </w:r>
      <w:r w:rsidR="00A8700C">
        <w:rPr>
          <w:bCs/>
        </w:rPr>
        <w:t xml:space="preserve">are paying </w:t>
      </w:r>
      <w:r>
        <w:rPr>
          <w:bCs/>
        </w:rPr>
        <w:t xml:space="preserve">bills that are </w:t>
      </w:r>
      <w:r w:rsidR="007C458D">
        <w:rPr>
          <w:bCs/>
        </w:rPr>
        <w:t>21.8</w:t>
      </w:r>
      <w:r>
        <w:rPr>
          <w:bCs/>
        </w:rPr>
        <w:t xml:space="preserve"> percent higher than the average electric bill</w:t>
      </w:r>
      <w:r w:rsidR="009E61ED">
        <w:rPr>
          <w:bCs/>
        </w:rPr>
        <w:t xml:space="preserve"> in Ohio for the same consumption</w:t>
      </w:r>
      <w:r>
        <w:rPr>
          <w:bCs/>
        </w:rPr>
        <w:t>.  AEP Ohio</w:t>
      </w:r>
      <w:r w:rsidR="00B01162">
        <w:rPr>
          <w:bCs/>
        </w:rPr>
        <w:t>’s</w:t>
      </w:r>
      <w:r>
        <w:rPr>
          <w:bCs/>
        </w:rPr>
        <w:t xml:space="preserve"> Canton customers are now paying bills that are </w:t>
      </w:r>
      <w:r w:rsidR="00F81231">
        <w:rPr>
          <w:bCs/>
        </w:rPr>
        <w:t>13.0</w:t>
      </w:r>
      <w:r>
        <w:rPr>
          <w:bCs/>
        </w:rPr>
        <w:t xml:space="preserve"> percent higher than the average electric bill.  Yet the poverty level in Columbus is 22.0 percent and the number of people with incomes near the poverty level for Franklin County is 34.7 percent.  The poverty level for Canton is 30.8 percent and the number of persons with incomes near the poverty level for </w:t>
      </w:r>
      <w:r w:rsidR="000842BD">
        <w:rPr>
          <w:bCs/>
        </w:rPr>
        <w:t xml:space="preserve">Stark County is 33.7 percent. </w:t>
      </w:r>
      <w:r w:rsidR="001578D1">
        <w:rPr>
          <w:bCs/>
        </w:rPr>
        <w:t xml:space="preserve"> The </w:t>
      </w:r>
      <w:r>
        <w:rPr>
          <w:bCs/>
        </w:rPr>
        <w:t>approval of the ESP II</w:t>
      </w:r>
      <w:r w:rsidR="00982052">
        <w:rPr>
          <w:bCs/>
        </w:rPr>
        <w:t>I</w:t>
      </w:r>
      <w:r>
        <w:rPr>
          <w:bCs/>
        </w:rPr>
        <w:t xml:space="preserve"> with the significant additional costs being passed on to AEP Ohio</w:t>
      </w:r>
      <w:r w:rsidR="00B01162">
        <w:rPr>
          <w:bCs/>
        </w:rPr>
        <w:t>’s</w:t>
      </w:r>
      <w:r>
        <w:rPr>
          <w:bCs/>
        </w:rPr>
        <w:t xml:space="preserve"> customers is ill advised, especially during these challenging economic times.  </w:t>
      </w:r>
      <w:r w:rsidR="0076396A">
        <w:rPr>
          <w:bCs/>
        </w:rPr>
        <w:t xml:space="preserve">In fact, </w:t>
      </w:r>
      <w:r w:rsidR="00C36B60">
        <w:rPr>
          <w:bCs/>
        </w:rPr>
        <w:t>e</w:t>
      </w:r>
      <w:r w:rsidR="00A60823">
        <w:rPr>
          <w:bCs/>
        </w:rPr>
        <w:t>lectric prices in Ohio are among the highest in the nation.</w:t>
      </w:r>
      <w:r w:rsidR="00A60823">
        <w:rPr>
          <w:rStyle w:val="FootnoteReference"/>
          <w:bCs/>
        </w:rPr>
        <w:footnoteReference w:id="38"/>
      </w:r>
    </w:p>
    <w:p w:rsidR="00F95936" w:rsidRDefault="00F95936">
      <w:pPr>
        <w:spacing w:line="480" w:lineRule="auto"/>
        <w:ind w:left="720" w:hanging="720"/>
        <w:rPr>
          <w:bCs/>
        </w:rPr>
      </w:pPr>
    </w:p>
    <w:p w:rsidR="004552C9" w:rsidRPr="005500F6" w:rsidRDefault="009E752A">
      <w:pPr>
        <w:spacing w:line="480" w:lineRule="auto"/>
        <w:ind w:left="720" w:hanging="720"/>
        <w:rPr>
          <w:b/>
          <w:bCs/>
          <w:i/>
        </w:rPr>
      </w:pPr>
      <w:r w:rsidRPr="00F95936">
        <w:rPr>
          <w:b/>
          <w:bCs/>
          <w:i/>
        </w:rPr>
        <w:t>Q1</w:t>
      </w:r>
      <w:r w:rsidR="00982052" w:rsidRPr="00F95936">
        <w:rPr>
          <w:b/>
          <w:bCs/>
          <w:i/>
        </w:rPr>
        <w:t>2</w:t>
      </w:r>
      <w:r w:rsidRPr="00F95936">
        <w:rPr>
          <w:b/>
          <w:bCs/>
          <w:i/>
        </w:rPr>
        <w:t>.</w:t>
      </w:r>
      <w:r>
        <w:rPr>
          <w:b/>
          <w:bCs/>
        </w:rPr>
        <w:tab/>
      </w:r>
      <w:r w:rsidRPr="005500F6">
        <w:rPr>
          <w:b/>
          <w:bCs/>
          <w:i/>
        </w:rPr>
        <w:t>HOW DO THE ELECTRIC BILLS FOR AEP OHIO</w:t>
      </w:r>
      <w:r w:rsidR="00B01162">
        <w:rPr>
          <w:b/>
          <w:bCs/>
          <w:i/>
        </w:rPr>
        <w:t>’S</w:t>
      </w:r>
      <w:r w:rsidRPr="005500F6">
        <w:rPr>
          <w:b/>
          <w:bCs/>
          <w:i/>
        </w:rPr>
        <w:t xml:space="preserve"> CUSTOMERS COMPARE WITH OTHER ELECTRIC UTILI</w:t>
      </w:r>
      <w:r w:rsidR="00B102BC">
        <w:rPr>
          <w:b/>
          <w:bCs/>
          <w:i/>
        </w:rPr>
        <w:t>TIES OVER THE LAST DECADE?</w:t>
      </w:r>
    </w:p>
    <w:p w:rsidR="00F95936" w:rsidRDefault="009E752A" w:rsidP="00EA7607">
      <w:pPr>
        <w:spacing w:line="480" w:lineRule="auto"/>
        <w:ind w:left="720" w:hanging="720"/>
        <w:rPr>
          <w:bCs/>
        </w:rPr>
      </w:pPr>
      <w:r w:rsidRPr="00F95936">
        <w:rPr>
          <w:b/>
          <w:bCs/>
          <w:i/>
        </w:rPr>
        <w:t>A1</w:t>
      </w:r>
      <w:r w:rsidR="00982052" w:rsidRPr="00F95936">
        <w:rPr>
          <w:b/>
          <w:bCs/>
          <w:i/>
        </w:rPr>
        <w:t>2</w:t>
      </w:r>
      <w:r w:rsidRPr="00F95936">
        <w:rPr>
          <w:bCs/>
          <w:i/>
        </w:rPr>
        <w:t>.</w:t>
      </w:r>
      <w:r>
        <w:rPr>
          <w:bCs/>
        </w:rPr>
        <w:tab/>
        <w:t>Over the last ten years, AEP Ohio has changed from being one of the lowest-cost utilities a decade ago to the highest</w:t>
      </w:r>
      <w:r w:rsidR="001578D1">
        <w:rPr>
          <w:bCs/>
        </w:rPr>
        <w:t xml:space="preserve"> </w:t>
      </w:r>
      <w:r>
        <w:rPr>
          <w:bCs/>
        </w:rPr>
        <w:t xml:space="preserve">cost electric utility today in the state of Ohio.  Chart 1 provides a graphical comparison of the yearly </w:t>
      </w:r>
      <w:r w:rsidR="00F016EB">
        <w:rPr>
          <w:bCs/>
        </w:rPr>
        <w:t xml:space="preserve">April </w:t>
      </w:r>
      <w:r>
        <w:rPr>
          <w:bCs/>
        </w:rPr>
        <w:t>bill for customers in different locations (and served by different utilities) across Ohio over the last ten years.</w:t>
      </w:r>
      <w:r w:rsidR="00CB3D4F">
        <w:rPr>
          <w:rStyle w:val="FootnoteReference"/>
          <w:bCs/>
        </w:rPr>
        <w:footnoteReference w:id="39"/>
      </w:r>
    </w:p>
    <w:p w:rsidR="004552C9" w:rsidRPr="00EB5472" w:rsidRDefault="009E752A">
      <w:pPr>
        <w:spacing w:line="480" w:lineRule="auto"/>
        <w:ind w:left="720" w:hanging="720"/>
        <w:jc w:val="center"/>
        <w:rPr>
          <w:b/>
          <w:bCs/>
        </w:rPr>
      </w:pPr>
      <w:r w:rsidRPr="00EB5472">
        <w:rPr>
          <w:b/>
          <w:bCs/>
        </w:rPr>
        <w:t xml:space="preserve">Chart 1: </w:t>
      </w:r>
      <w:r w:rsidR="005304BB">
        <w:rPr>
          <w:b/>
          <w:bCs/>
        </w:rPr>
        <w:t xml:space="preserve"> </w:t>
      </w:r>
      <w:r w:rsidRPr="00EB5472">
        <w:rPr>
          <w:b/>
          <w:bCs/>
        </w:rPr>
        <w:t xml:space="preserve">Comparison of Electric Bills </w:t>
      </w:r>
      <w:r w:rsidR="00F016EB" w:rsidRPr="00EB5472">
        <w:rPr>
          <w:b/>
          <w:bCs/>
        </w:rPr>
        <w:t xml:space="preserve">April </w:t>
      </w:r>
      <w:r w:rsidRPr="00EB5472">
        <w:rPr>
          <w:b/>
          <w:bCs/>
        </w:rPr>
        <w:t xml:space="preserve">2004 – </w:t>
      </w:r>
      <w:r w:rsidR="00F016EB" w:rsidRPr="00EB5472">
        <w:rPr>
          <w:b/>
          <w:bCs/>
        </w:rPr>
        <w:t xml:space="preserve">April </w:t>
      </w:r>
      <w:r w:rsidRPr="00EB5472">
        <w:rPr>
          <w:b/>
          <w:bCs/>
        </w:rPr>
        <w:t>2014</w:t>
      </w:r>
    </w:p>
    <w:p w:rsidR="004552C9" w:rsidRDefault="00060F82">
      <w:pPr>
        <w:spacing w:line="480" w:lineRule="auto"/>
        <w:ind w:left="720" w:hanging="720"/>
        <w:jc w:val="center"/>
      </w:pPr>
      <w:r>
        <w:rPr>
          <w:noProof/>
          <w:lang w:bidi="he-IL"/>
        </w:rPr>
        <w:drawing>
          <wp:inline distT="0" distB="0" distL="0" distR="0" wp14:anchorId="4B4E3E49" wp14:editId="13B84A84">
            <wp:extent cx="5943600" cy="3879850"/>
            <wp:effectExtent l="0" t="0" r="1905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52C9" w:rsidRDefault="009E752A" w:rsidP="00F2078A">
      <w:pPr>
        <w:spacing w:line="480" w:lineRule="auto"/>
        <w:ind w:left="720"/>
        <w:rPr>
          <w:bCs/>
        </w:rPr>
      </w:pPr>
      <w:r>
        <w:rPr>
          <w:bCs/>
        </w:rPr>
        <w:t>As seen in Chart 1, AEP Ohio</w:t>
      </w:r>
      <w:r w:rsidR="00B01162">
        <w:rPr>
          <w:bCs/>
        </w:rPr>
        <w:t>’s</w:t>
      </w:r>
      <w:r>
        <w:rPr>
          <w:bCs/>
        </w:rPr>
        <w:t xml:space="preserve"> monthly bills in the Columbus Southern Power and Ohio Power service territories went from being the lowest cost to the highest cost bills in the last ten years.  Columbus Southern Power</w:t>
      </w:r>
      <w:r w:rsidR="00B01162">
        <w:rPr>
          <w:bCs/>
        </w:rPr>
        <w:t>’s</w:t>
      </w:r>
      <w:r>
        <w:rPr>
          <w:bCs/>
        </w:rPr>
        <w:t xml:space="preserve"> bills have increased </w:t>
      </w:r>
      <w:r w:rsidR="00F016EB">
        <w:rPr>
          <w:bCs/>
        </w:rPr>
        <w:t>88.</w:t>
      </w:r>
      <w:r>
        <w:rPr>
          <w:bCs/>
        </w:rPr>
        <w:t>7 percent (from $</w:t>
      </w:r>
      <w:r w:rsidR="00F016EB">
        <w:rPr>
          <w:bCs/>
        </w:rPr>
        <w:t>65.22</w:t>
      </w:r>
      <w:r>
        <w:rPr>
          <w:bCs/>
        </w:rPr>
        <w:t xml:space="preserve"> to $</w:t>
      </w:r>
      <w:r w:rsidR="00F016EB">
        <w:rPr>
          <w:bCs/>
        </w:rPr>
        <w:t>123.10</w:t>
      </w:r>
      <w:r>
        <w:rPr>
          <w:bCs/>
        </w:rPr>
        <w:t>) and Ohio Power</w:t>
      </w:r>
      <w:r w:rsidR="00B01162">
        <w:rPr>
          <w:bCs/>
        </w:rPr>
        <w:t>’s</w:t>
      </w:r>
      <w:r>
        <w:rPr>
          <w:bCs/>
        </w:rPr>
        <w:t xml:space="preserve"> bills have increased </w:t>
      </w:r>
      <w:r w:rsidR="00F016EB">
        <w:rPr>
          <w:bCs/>
        </w:rPr>
        <w:t>112.8</w:t>
      </w:r>
      <w:r>
        <w:rPr>
          <w:bCs/>
        </w:rPr>
        <w:t xml:space="preserve"> percent (from $</w:t>
      </w:r>
      <w:r w:rsidR="00F016EB">
        <w:rPr>
          <w:bCs/>
        </w:rPr>
        <w:t>53.60</w:t>
      </w:r>
      <w:r>
        <w:rPr>
          <w:bCs/>
        </w:rPr>
        <w:t xml:space="preserve"> to $</w:t>
      </w:r>
      <w:r w:rsidR="00F016EB">
        <w:rPr>
          <w:bCs/>
        </w:rPr>
        <w:t>114.06</w:t>
      </w:r>
      <w:r>
        <w:rPr>
          <w:bCs/>
        </w:rPr>
        <w:t>).  For Duke Energy of Ohio</w:t>
      </w:r>
      <w:r w:rsidR="00A61131">
        <w:rPr>
          <w:bCs/>
        </w:rPr>
        <w:t xml:space="preserve"> customers</w:t>
      </w:r>
      <w:r>
        <w:rPr>
          <w:bCs/>
        </w:rPr>
        <w:t xml:space="preserve">, the monthly electric bill increased </w:t>
      </w:r>
      <w:r w:rsidR="00F016EB">
        <w:rPr>
          <w:bCs/>
        </w:rPr>
        <w:t>50.3</w:t>
      </w:r>
      <w:r>
        <w:rPr>
          <w:bCs/>
        </w:rPr>
        <w:t>% (from $</w:t>
      </w:r>
      <w:r w:rsidR="00F016EB">
        <w:rPr>
          <w:bCs/>
        </w:rPr>
        <w:t>60.71</w:t>
      </w:r>
      <w:r>
        <w:rPr>
          <w:bCs/>
        </w:rPr>
        <w:t xml:space="preserve"> to $</w:t>
      </w:r>
      <w:r w:rsidR="00F016EB">
        <w:rPr>
          <w:bCs/>
        </w:rPr>
        <w:t>91.27</w:t>
      </w:r>
      <w:r>
        <w:rPr>
          <w:bCs/>
        </w:rPr>
        <w:t xml:space="preserve">).  </w:t>
      </w:r>
      <w:r w:rsidR="00A61131">
        <w:rPr>
          <w:bCs/>
        </w:rPr>
        <w:t>F</w:t>
      </w:r>
      <w:r>
        <w:rPr>
          <w:bCs/>
        </w:rPr>
        <w:t>or CEI</w:t>
      </w:r>
      <w:r w:rsidR="00A61131">
        <w:rPr>
          <w:bCs/>
        </w:rPr>
        <w:t xml:space="preserve"> customers</w:t>
      </w:r>
      <w:r>
        <w:rPr>
          <w:bCs/>
        </w:rPr>
        <w:t>, the monthly electric bill increased</w:t>
      </w:r>
      <w:r w:rsidR="009E61ED">
        <w:rPr>
          <w:bCs/>
        </w:rPr>
        <w:t xml:space="preserve"> </w:t>
      </w:r>
      <w:r w:rsidR="00F016EB">
        <w:rPr>
          <w:bCs/>
        </w:rPr>
        <w:t>18.2</w:t>
      </w:r>
      <w:r>
        <w:rPr>
          <w:bCs/>
        </w:rPr>
        <w:t>% (from $</w:t>
      </w:r>
      <w:r w:rsidR="00F016EB">
        <w:rPr>
          <w:bCs/>
        </w:rPr>
        <w:t>80.08</w:t>
      </w:r>
      <w:r>
        <w:rPr>
          <w:bCs/>
        </w:rPr>
        <w:t xml:space="preserve"> to $</w:t>
      </w:r>
      <w:r w:rsidR="00F016EB">
        <w:rPr>
          <w:bCs/>
        </w:rPr>
        <w:t>94.65</w:t>
      </w:r>
      <w:r>
        <w:rPr>
          <w:bCs/>
        </w:rPr>
        <w:t xml:space="preserve">).  </w:t>
      </w:r>
      <w:r w:rsidR="00A61131">
        <w:rPr>
          <w:bCs/>
        </w:rPr>
        <w:t>For Ohio Edison and Toledo Edison customers, increases of 15.0% and 15.9% respectively occurred over the last decade.</w:t>
      </w:r>
    </w:p>
    <w:p w:rsidR="00EA7607" w:rsidRDefault="00EA7607" w:rsidP="00F2078A">
      <w:pPr>
        <w:spacing w:line="480" w:lineRule="auto"/>
        <w:ind w:left="720"/>
        <w:rPr>
          <w:bCs/>
        </w:rPr>
      </w:pPr>
    </w:p>
    <w:p w:rsidR="004552C9" w:rsidRDefault="009E752A">
      <w:pPr>
        <w:spacing w:line="480" w:lineRule="auto"/>
        <w:ind w:left="720" w:hanging="720"/>
        <w:rPr>
          <w:b/>
          <w:bCs/>
        </w:rPr>
      </w:pPr>
      <w:r w:rsidRPr="00F95936">
        <w:rPr>
          <w:b/>
          <w:bCs/>
          <w:i/>
        </w:rPr>
        <w:t>Q1</w:t>
      </w:r>
      <w:r w:rsidR="009C72DE" w:rsidRPr="00F95936">
        <w:rPr>
          <w:b/>
          <w:bCs/>
          <w:i/>
        </w:rPr>
        <w:t>3</w:t>
      </w:r>
      <w:r w:rsidRPr="00F95936">
        <w:rPr>
          <w:b/>
          <w:bCs/>
          <w:i/>
        </w:rPr>
        <w:t>.</w:t>
      </w:r>
      <w:r>
        <w:rPr>
          <w:b/>
          <w:bCs/>
        </w:rPr>
        <w:tab/>
      </w:r>
      <w:r w:rsidRPr="005500F6">
        <w:rPr>
          <w:b/>
          <w:bCs/>
          <w:i/>
        </w:rPr>
        <w:t>ARE THERE OTHER INDICATIONS THAT AFFORDABILITY OF RETAIL ELECTRIC SERVICE FOR RESIDENTIAL CUSTOMERS IN AEP OHIO’S SERVICE TERRITORY IS AN ISSUE THAT</w:t>
      </w:r>
      <w:r w:rsidR="0076396A">
        <w:rPr>
          <w:b/>
          <w:bCs/>
          <w:i/>
        </w:rPr>
        <w:t xml:space="preserve"> </w:t>
      </w:r>
      <w:r w:rsidR="00A17EFD">
        <w:rPr>
          <w:b/>
          <w:bCs/>
          <w:i/>
        </w:rPr>
        <w:t>SHOULD BE ADDRESSED</w:t>
      </w:r>
      <w:r w:rsidR="0076396A">
        <w:rPr>
          <w:b/>
          <w:bCs/>
          <w:i/>
        </w:rPr>
        <w:t xml:space="preserve"> IN DETERMINING RATES IN THIS CASE</w:t>
      </w:r>
      <w:r w:rsidRPr="005500F6">
        <w:rPr>
          <w:b/>
          <w:bCs/>
          <w:i/>
        </w:rPr>
        <w:t>?</w:t>
      </w:r>
    </w:p>
    <w:p w:rsidR="00EA7607" w:rsidRDefault="009E752A" w:rsidP="00EA7607">
      <w:pPr>
        <w:spacing w:line="480" w:lineRule="auto"/>
        <w:ind w:left="720" w:hanging="720"/>
      </w:pPr>
      <w:r w:rsidRPr="00F95936">
        <w:rPr>
          <w:b/>
          <w:i/>
        </w:rPr>
        <w:t>A1</w:t>
      </w:r>
      <w:r w:rsidR="009C72DE" w:rsidRPr="00F95936">
        <w:rPr>
          <w:b/>
          <w:i/>
        </w:rPr>
        <w:t>3</w:t>
      </w:r>
      <w:r w:rsidRPr="00F95936">
        <w:rPr>
          <w:b/>
          <w:i/>
        </w:rPr>
        <w:t>.</w:t>
      </w:r>
      <w:r w:rsidRPr="00F95936">
        <w:rPr>
          <w:i/>
        </w:rPr>
        <w:tab/>
      </w:r>
      <w:r>
        <w:t>Yes.  As can be seen on Table 3 below, a significant number of AEP Ohio</w:t>
      </w:r>
      <w:r w:rsidR="00B01162">
        <w:t>’s</w:t>
      </w:r>
      <w:r>
        <w:t xml:space="preserve"> residential customers are already struggling to afford electric service under existing Modified ESP II rates.  The proposed </w:t>
      </w:r>
      <w:r w:rsidR="004718B7">
        <w:t xml:space="preserve">rates under </w:t>
      </w:r>
      <w:r>
        <w:t>AEP Ohio</w:t>
      </w:r>
      <w:r w:rsidR="00B01162">
        <w:t>’s</w:t>
      </w:r>
      <w:r>
        <w:t xml:space="preserve"> ESP III Application will cause customers’ rates to increase even more.  Table 3 provides a summary based on 2013 data of the number of AEP Ohio customers who were disconnected for non-payment, customers on the low-income Percentage Income Payment Plan (“PIPP”) Plus, </w:t>
      </w:r>
      <w:r w:rsidR="009E61ED">
        <w:t xml:space="preserve">and </w:t>
      </w:r>
      <w:r>
        <w:t>the average number of customers on a monthly basis who were on another payment plan compared with 2011.  I define these customers as part of the at-risk population that the statute</w:t>
      </w:r>
      <w:r w:rsidR="00B01162">
        <w:t xml:space="preserve">, </w:t>
      </w:r>
      <w:r w:rsidR="004C38A7">
        <w:t>R.</w:t>
      </w:r>
      <w:r w:rsidR="003341F0">
        <w:t>C</w:t>
      </w:r>
      <w:r w:rsidR="004C38A7">
        <w:t>.</w:t>
      </w:r>
      <w:r w:rsidR="003341F0">
        <w:t xml:space="preserve"> 4928.02(L)</w:t>
      </w:r>
      <w:r w:rsidR="00B01162">
        <w:t>,</w:t>
      </w:r>
      <w:r w:rsidR="003341F0">
        <w:t xml:space="preserve"> </w:t>
      </w:r>
      <w:r>
        <w:t>refers t</w:t>
      </w:r>
      <w:r w:rsidRPr="00A17EFD">
        <w:t>o</w:t>
      </w:r>
      <w:r w:rsidR="008A1B0C">
        <w:t>.</w:t>
      </w:r>
      <w:r w:rsidR="00EA7607">
        <w:br w:type="page"/>
      </w:r>
    </w:p>
    <w:p w:rsidR="004552C9" w:rsidRDefault="003341F0" w:rsidP="008A1B0C">
      <w:pPr>
        <w:spacing w:line="480" w:lineRule="auto"/>
        <w:ind w:left="720"/>
      </w:pPr>
      <w:r>
        <w:t xml:space="preserve">To </w:t>
      </w:r>
      <w:r w:rsidR="009E752A">
        <w:t>qualify for PIPP Plus, customers must have a household income not exceeding 150 percent of the Federal Poverty Guidelines.</w:t>
      </w:r>
      <w:r w:rsidR="009E752A">
        <w:rPr>
          <w:rStyle w:val="FootnoteReference"/>
        </w:rPr>
        <w:footnoteReference w:id="40"/>
      </w:r>
      <w:r w:rsidR="009E752A">
        <w:t xml:space="preserve">  Rather than paying the actual bill, PIPP Plus customers </w:t>
      </w:r>
      <w:r w:rsidR="00A34485">
        <w:t xml:space="preserve">are billed </w:t>
      </w:r>
      <w:r w:rsidR="009E61ED">
        <w:t xml:space="preserve">six </w:t>
      </w:r>
      <w:r w:rsidR="009E752A">
        <w:t>percent of their monthly household income for electric</w:t>
      </w:r>
      <w:r w:rsidR="00A94AFC">
        <w:t>ity</w:t>
      </w:r>
      <w:r w:rsidR="009E752A">
        <w:t xml:space="preserve"> (ten percent if all-electric), and the difference from the actual bill accrues as an arrearage.</w:t>
      </w:r>
      <w:r w:rsidR="009E752A">
        <w:rPr>
          <w:rStyle w:val="FootnoteReference"/>
        </w:rPr>
        <w:footnoteReference w:id="41"/>
      </w:r>
      <w:r w:rsidR="009E752A">
        <w:t xml:space="preserve">  Customers who have household incomes that exceed the PIPP guidelines can apply for another payment plan such as the one-ninth, one-sixth, and one-third payment plans set forth in Ohi</w:t>
      </w:r>
      <w:r w:rsidR="008A1B0C">
        <w:t>o Admin. Code 4901:1-18-05(B).</w:t>
      </w:r>
    </w:p>
    <w:p w:rsidR="004552C9" w:rsidRDefault="009E752A" w:rsidP="008A1B0C">
      <w:pPr>
        <w:spacing w:line="480" w:lineRule="auto"/>
        <w:ind w:left="720" w:hanging="720"/>
        <w:jc w:val="center"/>
        <w:rPr>
          <w:b/>
          <w:bCs/>
        </w:rPr>
      </w:pPr>
      <w:r>
        <w:rPr>
          <w:b/>
          <w:bCs/>
        </w:rPr>
        <w:t xml:space="preserve">Table 3: </w:t>
      </w:r>
      <w:r w:rsidR="008A1B0C">
        <w:rPr>
          <w:b/>
          <w:bCs/>
        </w:rPr>
        <w:t xml:space="preserve"> </w:t>
      </w:r>
      <w:r>
        <w:rPr>
          <w:b/>
          <w:bCs/>
        </w:rPr>
        <w:t>Disconnections, PIPP Plus, Payment Plans</w:t>
      </w:r>
      <w:r>
        <w:rPr>
          <w:rStyle w:val="FootnoteReference"/>
          <w:b/>
          <w:bCs/>
        </w:rPr>
        <w:footnoteReference w:id="42"/>
      </w:r>
      <w:r>
        <w:rPr>
          <w:b/>
          <w:bCs/>
        </w:rPr>
        <w:t xml:space="preserve"> (2011 - 2013)</w:t>
      </w:r>
    </w:p>
    <w:tbl>
      <w:tblPr>
        <w:tblW w:w="7945" w:type="dxa"/>
        <w:jc w:val="center"/>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582"/>
        <w:gridCol w:w="1335"/>
        <w:gridCol w:w="1349"/>
        <w:gridCol w:w="1483"/>
      </w:tblGrid>
      <w:tr w:rsidR="004552C9" w:rsidTr="008A1B0C">
        <w:trPr>
          <w:jc w:val="center"/>
        </w:trPr>
        <w:tc>
          <w:tcPr>
            <w:tcW w:w="2196" w:type="dxa"/>
            <w:vAlign w:val="center"/>
          </w:tcPr>
          <w:p w:rsidR="004552C9" w:rsidRPr="008A1B0C" w:rsidRDefault="009E752A" w:rsidP="008A1B0C">
            <w:pPr>
              <w:jc w:val="center"/>
              <w:rPr>
                <w:b/>
                <w:bCs/>
              </w:rPr>
            </w:pPr>
            <w:r w:rsidRPr="008A1B0C">
              <w:rPr>
                <w:b/>
                <w:bCs/>
              </w:rPr>
              <w:t>Metrics</w:t>
            </w:r>
          </w:p>
        </w:tc>
        <w:tc>
          <w:tcPr>
            <w:tcW w:w="1582" w:type="dxa"/>
            <w:vAlign w:val="center"/>
          </w:tcPr>
          <w:p w:rsidR="004552C9" w:rsidRPr="008A1B0C" w:rsidRDefault="009E752A" w:rsidP="008A1B0C">
            <w:pPr>
              <w:jc w:val="center"/>
              <w:rPr>
                <w:b/>
                <w:bCs/>
              </w:rPr>
            </w:pPr>
            <w:r w:rsidRPr="008A1B0C">
              <w:rPr>
                <w:b/>
                <w:bCs/>
              </w:rPr>
              <w:t>2011</w:t>
            </w:r>
          </w:p>
        </w:tc>
        <w:tc>
          <w:tcPr>
            <w:tcW w:w="1335" w:type="dxa"/>
            <w:vAlign w:val="center"/>
          </w:tcPr>
          <w:p w:rsidR="004552C9" w:rsidRPr="008A1B0C" w:rsidRDefault="009E752A" w:rsidP="008A1B0C">
            <w:pPr>
              <w:jc w:val="center"/>
              <w:rPr>
                <w:b/>
                <w:bCs/>
              </w:rPr>
            </w:pPr>
            <w:r w:rsidRPr="008A1B0C">
              <w:rPr>
                <w:b/>
                <w:bCs/>
              </w:rPr>
              <w:t>2013</w:t>
            </w:r>
          </w:p>
        </w:tc>
        <w:tc>
          <w:tcPr>
            <w:tcW w:w="1349" w:type="dxa"/>
            <w:vAlign w:val="center"/>
          </w:tcPr>
          <w:p w:rsidR="004552C9" w:rsidRPr="008A1B0C" w:rsidRDefault="009E752A" w:rsidP="008A1B0C">
            <w:pPr>
              <w:jc w:val="center"/>
              <w:rPr>
                <w:b/>
                <w:bCs/>
              </w:rPr>
            </w:pPr>
            <w:r w:rsidRPr="008A1B0C">
              <w:rPr>
                <w:b/>
                <w:bCs/>
              </w:rPr>
              <w:t>Percentage Change</w:t>
            </w:r>
          </w:p>
        </w:tc>
        <w:tc>
          <w:tcPr>
            <w:tcW w:w="1483" w:type="dxa"/>
            <w:vAlign w:val="center"/>
          </w:tcPr>
          <w:p w:rsidR="004552C9" w:rsidRPr="008A1B0C" w:rsidRDefault="009E752A" w:rsidP="008A1B0C">
            <w:pPr>
              <w:jc w:val="center"/>
              <w:rPr>
                <w:b/>
                <w:bCs/>
              </w:rPr>
            </w:pPr>
            <w:r w:rsidRPr="008A1B0C">
              <w:rPr>
                <w:b/>
                <w:bCs/>
              </w:rPr>
              <w:t>Percentage of Total Customers</w:t>
            </w:r>
            <w:r w:rsidRPr="008A1B0C">
              <w:rPr>
                <w:rStyle w:val="FootnoteReference"/>
                <w:b/>
                <w:bCs/>
              </w:rPr>
              <w:footnoteReference w:id="43"/>
            </w:r>
          </w:p>
        </w:tc>
      </w:tr>
      <w:tr w:rsidR="004552C9" w:rsidTr="008A1B0C">
        <w:trPr>
          <w:jc w:val="center"/>
        </w:trPr>
        <w:tc>
          <w:tcPr>
            <w:tcW w:w="2196" w:type="dxa"/>
            <w:vAlign w:val="center"/>
          </w:tcPr>
          <w:p w:rsidR="004552C9" w:rsidRDefault="009E752A" w:rsidP="008A1B0C">
            <w:pPr>
              <w:jc w:val="center"/>
            </w:pPr>
            <w:r>
              <w:t>Disconnections for Non-payment</w:t>
            </w:r>
          </w:p>
        </w:tc>
        <w:tc>
          <w:tcPr>
            <w:tcW w:w="1582" w:type="dxa"/>
            <w:vAlign w:val="center"/>
          </w:tcPr>
          <w:p w:rsidR="004552C9" w:rsidRDefault="00517F61" w:rsidP="008A1B0C">
            <w:pPr>
              <w:jc w:val="center"/>
            </w:pPr>
            <w:r>
              <w:t>68,526</w:t>
            </w:r>
            <w:r>
              <w:rPr>
                <w:rStyle w:val="FootnoteReference"/>
              </w:rPr>
              <w:footnoteReference w:id="44"/>
            </w:r>
          </w:p>
        </w:tc>
        <w:tc>
          <w:tcPr>
            <w:tcW w:w="1335" w:type="dxa"/>
            <w:vAlign w:val="center"/>
          </w:tcPr>
          <w:p w:rsidR="004552C9" w:rsidRDefault="009E752A" w:rsidP="008A1B0C">
            <w:pPr>
              <w:jc w:val="center"/>
            </w:pPr>
            <w:r>
              <w:t>98,91</w:t>
            </w:r>
            <w:r w:rsidR="00517F61">
              <w:t>7</w:t>
            </w:r>
            <w:r w:rsidR="00517F61">
              <w:rPr>
                <w:rStyle w:val="FootnoteReference"/>
              </w:rPr>
              <w:footnoteReference w:id="45"/>
            </w:r>
          </w:p>
        </w:tc>
        <w:tc>
          <w:tcPr>
            <w:tcW w:w="1349" w:type="dxa"/>
            <w:vAlign w:val="center"/>
          </w:tcPr>
          <w:p w:rsidR="004552C9" w:rsidRDefault="009E752A" w:rsidP="008A1B0C">
            <w:pPr>
              <w:jc w:val="center"/>
            </w:pPr>
            <w:r>
              <w:t>36.1%</w:t>
            </w:r>
          </w:p>
        </w:tc>
        <w:tc>
          <w:tcPr>
            <w:tcW w:w="1483" w:type="dxa"/>
            <w:vAlign w:val="center"/>
          </w:tcPr>
          <w:p w:rsidR="004552C9" w:rsidRDefault="009E752A" w:rsidP="008A1B0C">
            <w:pPr>
              <w:jc w:val="center"/>
            </w:pPr>
            <w:r>
              <w:t>7.6%</w:t>
            </w:r>
          </w:p>
        </w:tc>
      </w:tr>
      <w:tr w:rsidR="004552C9" w:rsidTr="008A1B0C">
        <w:trPr>
          <w:jc w:val="center"/>
        </w:trPr>
        <w:tc>
          <w:tcPr>
            <w:tcW w:w="2196" w:type="dxa"/>
            <w:vAlign w:val="center"/>
          </w:tcPr>
          <w:p w:rsidR="004552C9" w:rsidRDefault="009E752A" w:rsidP="008A1B0C">
            <w:pPr>
              <w:jc w:val="center"/>
            </w:pPr>
            <w:r>
              <w:t>Average Number on PIPP Plus</w:t>
            </w:r>
          </w:p>
        </w:tc>
        <w:tc>
          <w:tcPr>
            <w:tcW w:w="1582" w:type="dxa"/>
            <w:vAlign w:val="center"/>
          </w:tcPr>
          <w:p w:rsidR="004552C9" w:rsidRDefault="009E752A" w:rsidP="008A1B0C">
            <w:pPr>
              <w:jc w:val="center"/>
            </w:pPr>
            <w:r>
              <w:t>112,395</w:t>
            </w:r>
          </w:p>
        </w:tc>
        <w:tc>
          <w:tcPr>
            <w:tcW w:w="1335" w:type="dxa"/>
            <w:vAlign w:val="center"/>
          </w:tcPr>
          <w:p w:rsidR="004552C9" w:rsidRDefault="009E752A" w:rsidP="008A1B0C">
            <w:pPr>
              <w:jc w:val="center"/>
            </w:pPr>
            <w:r>
              <w:t>13</w:t>
            </w:r>
            <w:r w:rsidR="00723C97">
              <w:t>6</w:t>
            </w:r>
            <w:r>
              <w:t>,</w:t>
            </w:r>
            <w:r w:rsidR="00723C97">
              <w:t>085</w:t>
            </w:r>
          </w:p>
        </w:tc>
        <w:tc>
          <w:tcPr>
            <w:tcW w:w="1349" w:type="dxa"/>
            <w:vAlign w:val="center"/>
          </w:tcPr>
          <w:p w:rsidR="004552C9" w:rsidRDefault="009E752A" w:rsidP="008A1B0C">
            <w:pPr>
              <w:jc w:val="center"/>
            </w:pPr>
            <w:r>
              <w:t>21.</w:t>
            </w:r>
            <w:r w:rsidR="00723C97">
              <w:t>1</w:t>
            </w:r>
            <w:r>
              <w:t>%</w:t>
            </w:r>
          </w:p>
        </w:tc>
        <w:tc>
          <w:tcPr>
            <w:tcW w:w="1483" w:type="dxa"/>
            <w:vAlign w:val="center"/>
          </w:tcPr>
          <w:p w:rsidR="004552C9" w:rsidRDefault="009E752A" w:rsidP="008A1B0C">
            <w:pPr>
              <w:jc w:val="center"/>
            </w:pPr>
            <w:r>
              <w:t>10.</w:t>
            </w:r>
            <w:r w:rsidR="00723C97">
              <w:t>6</w:t>
            </w:r>
            <w:r>
              <w:t>%</w:t>
            </w:r>
          </w:p>
        </w:tc>
      </w:tr>
      <w:tr w:rsidR="004552C9" w:rsidTr="008A1B0C">
        <w:trPr>
          <w:jc w:val="center"/>
        </w:trPr>
        <w:tc>
          <w:tcPr>
            <w:tcW w:w="2196" w:type="dxa"/>
            <w:vAlign w:val="center"/>
          </w:tcPr>
          <w:p w:rsidR="004552C9" w:rsidRDefault="009E752A" w:rsidP="008A1B0C">
            <w:pPr>
              <w:jc w:val="center"/>
            </w:pPr>
            <w:r>
              <w:t>Average Number of Customers on Payment Plans</w:t>
            </w:r>
          </w:p>
        </w:tc>
        <w:tc>
          <w:tcPr>
            <w:tcW w:w="1582" w:type="dxa"/>
            <w:vAlign w:val="center"/>
          </w:tcPr>
          <w:p w:rsidR="004552C9" w:rsidRDefault="009E752A" w:rsidP="008A1B0C">
            <w:pPr>
              <w:jc w:val="center"/>
            </w:pPr>
            <w:r>
              <w:t>51,270</w:t>
            </w:r>
          </w:p>
        </w:tc>
        <w:tc>
          <w:tcPr>
            <w:tcW w:w="1335" w:type="dxa"/>
            <w:vAlign w:val="center"/>
          </w:tcPr>
          <w:p w:rsidR="004552C9" w:rsidRDefault="009C72DE" w:rsidP="008A1B0C">
            <w:pPr>
              <w:jc w:val="center"/>
            </w:pPr>
            <w:r>
              <w:t>47,245</w:t>
            </w:r>
          </w:p>
        </w:tc>
        <w:tc>
          <w:tcPr>
            <w:tcW w:w="1349" w:type="dxa"/>
            <w:vAlign w:val="center"/>
          </w:tcPr>
          <w:p w:rsidR="004552C9" w:rsidRDefault="009C72DE" w:rsidP="008A1B0C">
            <w:pPr>
              <w:jc w:val="center"/>
            </w:pPr>
            <w:r>
              <w:t>(7.8%)</w:t>
            </w:r>
          </w:p>
        </w:tc>
        <w:tc>
          <w:tcPr>
            <w:tcW w:w="1483" w:type="dxa"/>
            <w:vAlign w:val="center"/>
          </w:tcPr>
          <w:p w:rsidR="004552C9" w:rsidRDefault="009C72DE" w:rsidP="008A1B0C">
            <w:pPr>
              <w:jc w:val="center"/>
            </w:pPr>
            <w:r>
              <w:t>3.</w:t>
            </w:r>
            <w:r w:rsidR="00A34485">
              <w:t>7</w:t>
            </w:r>
            <w:r w:rsidR="009E752A">
              <w:t>%</w:t>
            </w:r>
          </w:p>
        </w:tc>
      </w:tr>
    </w:tbl>
    <w:p w:rsidR="004552C9" w:rsidRDefault="004552C9">
      <w:pPr>
        <w:spacing w:line="480" w:lineRule="auto"/>
        <w:ind w:left="720" w:hanging="720"/>
        <w:jc w:val="center"/>
      </w:pPr>
    </w:p>
    <w:p w:rsidR="004552C9" w:rsidRDefault="009E752A" w:rsidP="008A1B0C">
      <w:pPr>
        <w:spacing w:line="480" w:lineRule="auto"/>
        <w:ind w:left="720"/>
      </w:pPr>
      <w:r>
        <w:t>Table 3 demonstrates that approximately 98,918 (7.6%) of AEP Ohio customers were disconnected for non-payment in 2013.  This is a 36.1 percent increase from the number of disconnections in 2011.  This is a strong indicator that AEP Ohio customers are experiencing increasing difficulty paying their electric bills.  In addition, approximately 136,</w:t>
      </w:r>
      <w:r w:rsidR="00723C97">
        <w:t>085</w:t>
      </w:r>
      <w:r>
        <w:t xml:space="preserve"> (10.</w:t>
      </w:r>
      <w:r w:rsidR="00723C97">
        <w:t>6</w:t>
      </w:r>
      <w:r>
        <w:t>%) of low-income AEP Ohio customers were on the specialized PIPP Plus payment programs to avoid loss of service.</w:t>
      </w:r>
      <w:r>
        <w:rPr>
          <w:rStyle w:val="FootnoteReference"/>
        </w:rPr>
        <w:footnoteReference w:id="46"/>
      </w:r>
      <w:r>
        <w:t xml:space="preserve">  This is another strong indicator of the magnitude of AEP Ohio customers who need special assistance to maintain electric service.  Another 4</w:t>
      </w:r>
      <w:r w:rsidR="009C72DE">
        <w:t>7</w:t>
      </w:r>
      <w:r>
        <w:t>,</w:t>
      </w:r>
      <w:r w:rsidR="00723C97">
        <w:t>2</w:t>
      </w:r>
      <w:r w:rsidR="009C72DE">
        <w:t>45</w:t>
      </w:r>
      <w:r>
        <w:t xml:space="preserve"> (3.</w:t>
      </w:r>
      <w:r w:rsidR="00723C97">
        <w:t>7</w:t>
      </w:r>
      <w:r>
        <w:t>%) of AEP Ohio customers were on other payment plans during an average month in an attempt to avoid disconnection of service.</w:t>
      </w:r>
      <w:r>
        <w:rPr>
          <w:rStyle w:val="FootnoteReference"/>
        </w:rPr>
        <w:footnoteReference w:id="47"/>
      </w:r>
    </w:p>
    <w:p w:rsidR="00F95936" w:rsidRDefault="00F95936">
      <w:pPr>
        <w:spacing w:line="480" w:lineRule="auto"/>
        <w:ind w:left="720" w:hanging="720"/>
      </w:pPr>
    </w:p>
    <w:p w:rsidR="008A1B0C" w:rsidRDefault="009E752A" w:rsidP="008A1B0C">
      <w:pPr>
        <w:spacing w:line="480" w:lineRule="auto"/>
        <w:ind w:left="720"/>
        <w:rPr>
          <w:rFonts w:ascii="Times New Roman Bold" w:hAnsi="Times New Roman Bold" w:cs="Times New Roman Bold"/>
          <w:b/>
          <w:bCs/>
          <w:caps/>
          <w:kern w:val="32"/>
        </w:rPr>
      </w:pPr>
      <w:r>
        <w:t>Thus, in total approximately 28</w:t>
      </w:r>
      <w:r w:rsidR="009C72DE">
        <w:t>3</w:t>
      </w:r>
      <w:r>
        <w:t>,000 of AEP Ohio’s approximate 1,300,000 residential customers are struggling to pay their current electric bills.  This represents approximately 21.</w:t>
      </w:r>
      <w:r w:rsidR="009C72DE">
        <w:t>8</w:t>
      </w:r>
      <w:r>
        <w:t xml:space="preserve"> percent of the total residential customers.  These numbers </w:t>
      </w:r>
      <w:r w:rsidR="001578D1">
        <w:t>show that</w:t>
      </w:r>
      <w:r>
        <w:t xml:space="preserve"> affordability is a serious issue that the PUCO must address as it determines whether to accept or modify the proposed ESP III.  The proposed ESP III will raise rates even higher and may make electric service unaffordable for many AEP Ohio customers.  Such a result would be inconsistent with the policies</w:t>
      </w:r>
      <w:r w:rsidR="008A1B0C">
        <w:t xml:space="preserve"> of the state, discussed above.</w:t>
      </w:r>
      <w:r w:rsidR="008A1B0C">
        <w:br w:type="page"/>
      </w:r>
    </w:p>
    <w:p w:rsidR="00553695" w:rsidRPr="00AA3E3B" w:rsidRDefault="00AA3E3B" w:rsidP="00EE3070">
      <w:pPr>
        <w:pStyle w:val="Heading1"/>
        <w:spacing w:line="240" w:lineRule="auto"/>
      </w:pPr>
      <w:bookmarkStart w:id="10" w:name="_Toc387132032"/>
      <w:r w:rsidRPr="00AA3E3B">
        <w:t>IV.</w:t>
      </w:r>
      <w:r w:rsidRPr="00AA3E3B">
        <w:tab/>
      </w:r>
      <w:r w:rsidR="0027799D" w:rsidRPr="00AA3E3B">
        <w:t>RECOMMENDATIONS TO ENSURE THE AVAILABILITY OF ADEQUATE AND REASONABLY PRICED ELECTRIC SERVICE</w:t>
      </w:r>
      <w:bookmarkEnd w:id="10"/>
    </w:p>
    <w:p w:rsidR="009F4202" w:rsidRDefault="009F4202" w:rsidP="009E1D7D">
      <w:pPr>
        <w:spacing w:line="480" w:lineRule="auto"/>
        <w:ind w:left="720" w:hanging="720"/>
        <w:rPr>
          <w:b/>
        </w:rPr>
      </w:pPr>
    </w:p>
    <w:p w:rsidR="009F4202" w:rsidRDefault="009F4202" w:rsidP="00297D4E">
      <w:pPr>
        <w:spacing w:line="480" w:lineRule="auto"/>
        <w:ind w:left="720" w:hanging="720"/>
        <w:rPr>
          <w:b/>
        </w:rPr>
      </w:pPr>
      <w:r w:rsidRPr="00F95936">
        <w:rPr>
          <w:b/>
          <w:i/>
        </w:rPr>
        <w:t>Q14.</w:t>
      </w:r>
      <w:r>
        <w:rPr>
          <w:b/>
        </w:rPr>
        <w:tab/>
      </w:r>
      <w:r w:rsidRPr="005500F6">
        <w:rPr>
          <w:b/>
          <w:i/>
        </w:rPr>
        <w:t>DO YOU RECOMMEND</w:t>
      </w:r>
      <w:r w:rsidR="00297D4E" w:rsidRPr="005500F6">
        <w:rPr>
          <w:b/>
          <w:i/>
        </w:rPr>
        <w:t xml:space="preserve"> MODIFICATIONS OF AEP OHIO</w:t>
      </w:r>
      <w:r w:rsidR="005768CD">
        <w:rPr>
          <w:b/>
          <w:i/>
        </w:rPr>
        <w:t>’S</w:t>
      </w:r>
      <w:r w:rsidR="00297D4E" w:rsidRPr="005500F6">
        <w:rPr>
          <w:b/>
          <w:i/>
        </w:rPr>
        <w:t xml:space="preserve"> ESP III APPLICATION </w:t>
      </w:r>
      <w:r w:rsidRPr="005500F6">
        <w:rPr>
          <w:b/>
          <w:i/>
        </w:rPr>
        <w:t>THAT W</w:t>
      </w:r>
      <w:r w:rsidR="00297D4E" w:rsidRPr="005500F6">
        <w:rPr>
          <w:b/>
          <w:i/>
        </w:rPr>
        <w:t>ILL H</w:t>
      </w:r>
      <w:r w:rsidRPr="005500F6">
        <w:rPr>
          <w:b/>
          <w:i/>
        </w:rPr>
        <w:t>ELP ENSURE</w:t>
      </w:r>
      <w:r w:rsidR="001848F5">
        <w:rPr>
          <w:b/>
          <w:i/>
        </w:rPr>
        <w:t xml:space="preserve"> FOR OHIOANS</w:t>
      </w:r>
      <w:r w:rsidRPr="005500F6">
        <w:rPr>
          <w:b/>
          <w:i/>
        </w:rPr>
        <w:t xml:space="preserve"> THE AVAILABILITY OF ADEQUATE AND REASONABLY PRICED ELECTRIC SERVICE?</w:t>
      </w:r>
    </w:p>
    <w:p w:rsidR="00EE3070" w:rsidRDefault="00297D4E" w:rsidP="00EE3070">
      <w:pPr>
        <w:spacing w:line="480" w:lineRule="auto"/>
        <w:ind w:left="720" w:hanging="720"/>
        <w:rPr>
          <w:b/>
          <w:i/>
        </w:rPr>
      </w:pPr>
      <w:r w:rsidRPr="00F95936">
        <w:rPr>
          <w:b/>
          <w:i/>
        </w:rPr>
        <w:t>A14</w:t>
      </w:r>
      <w:r w:rsidRPr="00F95936">
        <w:rPr>
          <w:i/>
        </w:rPr>
        <w:t>.</w:t>
      </w:r>
      <w:r>
        <w:tab/>
        <w:t xml:space="preserve">Yes.  </w:t>
      </w:r>
      <w:r w:rsidR="00D15B3F">
        <w:t xml:space="preserve">I </w:t>
      </w:r>
      <w:r w:rsidR="00723C97">
        <w:t xml:space="preserve">make </w:t>
      </w:r>
      <w:r w:rsidR="00D15B3F">
        <w:t>recommend</w:t>
      </w:r>
      <w:r w:rsidR="00FB7C2D">
        <w:t xml:space="preserve">ations </w:t>
      </w:r>
      <w:r w:rsidR="00723C97">
        <w:t xml:space="preserve">in addition to the recommendations made by </w:t>
      </w:r>
      <w:r w:rsidR="00EE3070">
        <w:t>OCC Witness</w:t>
      </w:r>
      <w:r w:rsidR="00D15B3F">
        <w:t xml:space="preserve"> Kah</w:t>
      </w:r>
      <w:r w:rsidR="00D002CE">
        <w:t>a</w:t>
      </w:r>
      <w:r w:rsidR="00D15B3F">
        <w:t>l</w:t>
      </w:r>
      <w:r w:rsidR="00FB7C2D">
        <w:t xml:space="preserve"> that the PUCO should not approve the proposed POR and Bad Debt Rider</w:t>
      </w:r>
      <w:r w:rsidR="00E0679C">
        <w:t xml:space="preserve"> that AEP Ohio wants customers to pay</w:t>
      </w:r>
      <w:r w:rsidR="00FB7C2D">
        <w:t xml:space="preserve">.  In addition to the reasons cited in their testimony for disapproving these initiatives, the </w:t>
      </w:r>
      <w:r w:rsidR="00D15B3F">
        <w:t xml:space="preserve">PUCO </w:t>
      </w:r>
      <w:r w:rsidR="005930EC">
        <w:t xml:space="preserve">should </w:t>
      </w:r>
      <w:r w:rsidR="00FB7C2D">
        <w:t xml:space="preserve">also </w:t>
      </w:r>
      <w:r w:rsidR="00D15B3F">
        <w:t xml:space="preserve">not authorize a </w:t>
      </w:r>
      <w:r>
        <w:t xml:space="preserve">waiver of </w:t>
      </w:r>
      <w:r w:rsidR="005930EC">
        <w:t>PUCO rules t</w:t>
      </w:r>
      <w:r>
        <w:t xml:space="preserve">hat </w:t>
      </w:r>
      <w:r w:rsidR="005930EC">
        <w:t xml:space="preserve">prohibit </w:t>
      </w:r>
      <w:r>
        <w:t xml:space="preserve">AEP Ohio </w:t>
      </w:r>
      <w:r w:rsidR="005930EC">
        <w:t xml:space="preserve">from </w:t>
      </w:r>
      <w:r>
        <w:t>disconnect</w:t>
      </w:r>
      <w:r w:rsidR="005930EC">
        <w:t xml:space="preserve">ing </w:t>
      </w:r>
      <w:r>
        <w:t>electric service</w:t>
      </w:r>
      <w:r w:rsidR="00E0679C">
        <w:t xml:space="preserve"> customers</w:t>
      </w:r>
      <w:r>
        <w:t xml:space="preserve"> for non-payment of unregulated CRES charges.  </w:t>
      </w:r>
      <w:r w:rsidR="005930EC">
        <w:t xml:space="preserve">Furthermore, the </w:t>
      </w:r>
      <w:r w:rsidR="00D15B3F">
        <w:t xml:space="preserve">PUCO </w:t>
      </w:r>
      <w:r w:rsidR="005930EC">
        <w:t xml:space="preserve">should </w:t>
      </w:r>
      <w:r w:rsidR="00D15B3F">
        <w:t xml:space="preserve">prohibit </w:t>
      </w:r>
      <w:r w:rsidR="005930EC">
        <w:t xml:space="preserve">AEP Ohio from </w:t>
      </w:r>
      <w:r w:rsidR="00D15B3F">
        <w:t>collect</w:t>
      </w:r>
      <w:r w:rsidR="005930EC">
        <w:t xml:space="preserve">ing </w:t>
      </w:r>
      <w:r w:rsidR="00D15B3F">
        <w:t>additional deposits from CRES customers</w:t>
      </w:r>
      <w:r w:rsidR="005930EC">
        <w:t xml:space="preserve"> and </w:t>
      </w:r>
      <w:r w:rsidR="00723C97">
        <w:t xml:space="preserve">from imposing </w:t>
      </w:r>
      <w:r w:rsidR="005930EC">
        <w:t>stringent late payment charges</w:t>
      </w:r>
      <w:r w:rsidR="00D15B3F">
        <w:t xml:space="preserve">.  </w:t>
      </w:r>
      <w:r w:rsidR="005930EC">
        <w:t>The PUCO should discontinue the current D</w:t>
      </w:r>
      <w:r w:rsidR="00723C97">
        <w:t xml:space="preserve">istribution </w:t>
      </w:r>
      <w:r w:rsidR="005930EC">
        <w:t>I</w:t>
      </w:r>
      <w:r w:rsidR="00723C97">
        <w:t xml:space="preserve">nvestment </w:t>
      </w:r>
      <w:r w:rsidR="005930EC">
        <w:t>R</w:t>
      </w:r>
      <w:r w:rsidR="00723C97">
        <w:t xml:space="preserve">ider </w:t>
      </w:r>
      <w:r w:rsidR="003E1FAD">
        <w:t xml:space="preserve">(“DIR”) </w:t>
      </w:r>
      <w:r w:rsidR="005930EC">
        <w:t>and the E</w:t>
      </w:r>
      <w:r w:rsidR="00723C97">
        <w:t xml:space="preserve">nhanced </w:t>
      </w:r>
      <w:r w:rsidR="005930EC">
        <w:t>S</w:t>
      </w:r>
      <w:r w:rsidR="00723C97">
        <w:t xml:space="preserve">ervice </w:t>
      </w:r>
      <w:r w:rsidR="005930EC">
        <w:t>R</w:t>
      </w:r>
      <w:r w:rsidR="00723C97">
        <w:t xml:space="preserve">eliability </w:t>
      </w:r>
      <w:r w:rsidR="005930EC">
        <w:t>R</w:t>
      </w:r>
      <w:r w:rsidR="00723C97">
        <w:t>iders</w:t>
      </w:r>
      <w:r w:rsidR="005930EC">
        <w:t xml:space="preserve"> </w:t>
      </w:r>
      <w:r w:rsidR="003E1FAD">
        <w:t xml:space="preserve">(“ESRR”) </w:t>
      </w:r>
      <w:r w:rsidR="00C654AB">
        <w:t>that are charged to customers</w:t>
      </w:r>
      <w:r w:rsidR="005930EC">
        <w:t xml:space="preserve">. </w:t>
      </w:r>
      <w:r w:rsidR="008A1B0C">
        <w:t xml:space="preserve"> </w:t>
      </w:r>
      <w:r w:rsidR="00D15B3F">
        <w:t>Furthermore</w:t>
      </w:r>
      <w:r w:rsidR="00FB7C2D">
        <w:t xml:space="preserve">, the </w:t>
      </w:r>
      <w:r w:rsidR="00D15B3F">
        <w:t xml:space="preserve">PUCO </w:t>
      </w:r>
      <w:r w:rsidR="00FB7C2D">
        <w:t>should not approve the Utility</w:t>
      </w:r>
      <w:r w:rsidR="00C654AB">
        <w:t>’s</w:t>
      </w:r>
      <w:r w:rsidR="00FB7C2D">
        <w:t xml:space="preserve"> proposal to eliminate </w:t>
      </w:r>
      <w:r w:rsidR="00A61C15">
        <w:t xml:space="preserve">its </w:t>
      </w:r>
      <w:r w:rsidR="00FB7C2D">
        <w:t>standard Time of Use (“TOU</w:t>
      </w:r>
      <w:r w:rsidR="008A1B0C">
        <w:t>”</w:t>
      </w:r>
      <w:r w:rsidR="00FB7C2D">
        <w:t>) tariffs</w:t>
      </w:r>
      <w:r w:rsidR="001848F5">
        <w:t xml:space="preserve"> that some customers are using</w:t>
      </w:r>
      <w:r w:rsidR="000A1E6A">
        <w:t xml:space="preserve"> to purchase electricity</w:t>
      </w:r>
      <w:r w:rsidR="00FB7C2D">
        <w:t xml:space="preserve">.  Finally, the PUCO should consider </w:t>
      </w:r>
      <w:r w:rsidR="00E95E91">
        <w:t>affordability</w:t>
      </w:r>
      <w:r w:rsidR="00D12BD2">
        <w:t xml:space="preserve"> to customers</w:t>
      </w:r>
      <w:r w:rsidR="00E95E91">
        <w:t xml:space="preserve"> prior to </w:t>
      </w:r>
      <w:r w:rsidR="00723C97">
        <w:t xml:space="preserve">deciding whether to </w:t>
      </w:r>
      <w:r w:rsidR="00E95E91">
        <w:t>approv</w:t>
      </w:r>
      <w:r w:rsidR="00723C97">
        <w:t xml:space="preserve">e </w:t>
      </w:r>
      <w:r w:rsidR="00212232">
        <w:t xml:space="preserve">any part of </w:t>
      </w:r>
      <w:r w:rsidR="00E95E91">
        <w:t xml:space="preserve">the AEP Ohio </w:t>
      </w:r>
      <w:r w:rsidR="00A8700C">
        <w:t>gridSMART</w:t>
      </w:r>
      <w:r w:rsidR="00E95E91">
        <w:t xml:space="preserve"> Phase II</w:t>
      </w:r>
      <w:r w:rsidR="00690198">
        <w:t>,</w:t>
      </w:r>
      <w:r w:rsidR="004718B7">
        <w:t xml:space="preserve"> for the reasons discussed below</w:t>
      </w:r>
      <w:r w:rsidR="00E95E91">
        <w:t>.</w:t>
      </w:r>
      <w:r w:rsidR="00EE3070">
        <w:rPr>
          <w:b/>
          <w:i/>
        </w:rPr>
        <w:br w:type="page"/>
      </w:r>
    </w:p>
    <w:p w:rsidR="00CE6E28" w:rsidRDefault="00CE6E28" w:rsidP="00CE6E28">
      <w:pPr>
        <w:spacing w:line="480" w:lineRule="auto"/>
        <w:ind w:left="720" w:hanging="720"/>
        <w:rPr>
          <w:b/>
          <w:i/>
        </w:rPr>
      </w:pPr>
      <w:r>
        <w:rPr>
          <w:b/>
          <w:i/>
        </w:rPr>
        <w:t>Q15.</w:t>
      </w:r>
      <w:r>
        <w:rPr>
          <w:b/>
          <w:i/>
        </w:rPr>
        <w:tab/>
      </w:r>
      <w:r w:rsidRPr="009C6CE5">
        <w:rPr>
          <w:b/>
          <w:i/>
        </w:rPr>
        <w:t>DO YOU HAVE GENERAL CONCERNS WI</w:t>
      </w:r>
      <w:r>
        <w:rPr>
          <w:b/>
          <w:i/>
        </w:rPr>
        <w:t>TH THE PROPOSED PURCHASE OF REC</w:t>
      </w:r>
      <w:r w:rsidRPr="009C6CE5">
        <w:rPr>
          <w:b/>
          <w:i/>
        </w:rPr>
        <w:t>I</w:t>
      </w:r>
      <w:r>
        <w:rPr>
          <w:b/>
          <w:i/>
        </w:rPr>
        <w:t>E</w:t>
      </w:r>
      <w:r w:rsidRPr="009C6CE5">
        <w:rPr>
          <w:b/>
          <w:i/>
        </w:rPr>
        <w:t>VABLES PROGRAM?</w:t>
      </w:r>
    </w:p>
    <w:p w:rsidR="00CE6E28" w:rsidRDefault="008A1B0C" w:rsidP="00CE6E28">
      <w:pPr>
        <w:spacing w:line="480" w:lineRule="auto"/>
        <w:ind w:left="720" w:hanging="720"/>
      </w:pPr>
      <w:r>
        <w:rPr>
          <w:b/>
          <w:i/>
        </w:rPr>
        <w:t>A</w:t>
      </w:r>
      <w:r w:rsidR="00CE6E28">
        <w:rPr>
          <w:b/>
          <w:i/>
        </w:rPr>
        <w:t>15</w:t>
      </w:r>
      <w:r>
        <w:rPr>
          <w:b/>
          <w:i/>
        </w:rPr>
        <w:t>.</w:t>
      </w:r>
      <w:r w:rsidR="00CE6E28">
        <w:rPr>
          <w:b/>
          <w:i/>
        </w:rPr>
        <w:tab/>
      </w:r>
      <w:r w:rsidR="00CE6E28">
        <w:t>Yes</w:t>
      </w:r>
      <w:r w:rsidR="00CE6E28" w:rsidRPr="004D48FB">
        <w:t xml:space="preserve">.  </w:t>
      </w:r>
      <w:r w:rsidR="00CE6E28">
        <w:t>As noted in the OCC Comments in the 12-3151-EL-COI docket, OCC is opposed to the POR program proposed by AEP Ohio for a number of reasons.  First, the POR would impose significant costs</w:t>
      </w:r>
      <w:r w:rsidR="00CE6E28">
        <w:rPr>
          <w:rStyle w:val="FootnoteReference"/>
        </w:rPr>
        <w:footnoteReference w:id="48"/>
      </w:r>
      <w:r w:rsidR="00CE6E28">
        <w:t xml:space="preserve"> on customers without any quantifiable benefits.  Second, AEP Ohio failed to include any specific support for the POR program.  Instead the Utility relied on general anecdotal evidence to support the proposal.  </w:t>
      </w:r>
      <w:r w:rsidR="00CE6E28" w:rsidRPr="004D48FB">
        <w:t xml:space="preserve">AEP Ohio </w:t>
      </w:r>
      <w:r w:rsidR="00CE6E28">
        <w:t>failed to provide</w:t>
      </w:r>
      <w:r w:rsidR="00CE6E28" w:rsidRPr="004D48FB">
        <w:t xml:space="preserve"> any cost-benefit analysis to demonstrate if the increased costs are supported with quanti</w:t>
      </w:r>
      <w:r>
        <w:t>fiable benefits for customers.</w:t>
      </w:r>
    </w:p>
    <w:p w:rsidR="00CE6E28" w:rsidRDefault="00CE6E28" w:rsidP="00CE6E28">
      <w:pPr>
        <w:spacing w:line="480" w:lineRule="auto"/>
        <w:ind w:left="720" w:hanging="720"/>
      </w:pPr>
    </w:p>
    <w:p w:rsidR="00CE6E28" w:rsidRDefault="00CE6E28" w:rsidP="00CE6E28">
      <w:pPr>
        <w:spacing w:line="480" w:lineRule="auto"/>
        <w:ind w:left="720"/>
      </w:pPr>
      <w:r w:rsidRPr="004D48FB">
        <w:t>Th</w:t>
      </w:r>
      <w:r>
        <w:t>ird, there is no need to jump start competition in the AEP Ohio service territory based on the large number of CRES providers that are currently competing to sign up customers.  Fourth, th</w:t>
      </w:r>
      <w:r w:rsidRPr="004D48FB">
        <w:t xml:space="preserve">e proposed POR provides regulatory certainty in guaranteeing cost recovery for CRES providers in the collection of their unregulated bad debt and uncollectible expenses.  This regulatory certainty in the collection of unregulated bad debt is an anti-competitive subsidy that is contrary to </w:t>
      </w:r>
      <w:r>
        <w:t xml:space="preserve">my understanding of the </w:t>
      </w:r>
      <w:r w:rsidRPr="004D48FB">
        <w:t>state policy in R</w:t>
      </w:r>
      <w:r>
        <w:t>.</w:t>
      </w:r>
      <w:r w:rsidRPr="004D48FB">
        <w:t xml:space="preserve"> C</w:t>
      </w:r>
      <w:r>
        <w:t>.</w:t>
      </w:r>
      <w:r w:rsidRPr="004D48FB">
        <w:t xml:space="preserve"> 4928.02(H).  </w:t>
      </w:r>
      <w:r>
        <w:t>Charges to d</w:t>
      </w:r>
      <w:r w:rsidRPr="004D48FB">
        <w:t>istribution c</w:t>
      </w:r>
      <w:r>
        <w:t xml:space="preserve">ustomers </w:t>
      </w:r>
      <w:r w:rsidRPr="004D48FB">
        <w:t xml:space="preserve">should not be used to subsidize deregulated generation </w:t>
      </w:r>
      <w:r>
        <w:t>functions.</w:t>
      </w:r>
    </w:p>
    <w:p w:rsidR="00E95E91" w:rsidRPr="005500F6" w:rsidRDefault="005500F6" w:rsidP="005500F6">
      <w:pPr>
        <w:pStyle w:val="Heading2"/>
      </w:pPr>
      <w:bookmarkStart w:id="11" w:name="_Toc387132033"/>
      <w:r w:rsidRPr="005500F6">
        <w:t>A.</w:t>
      </w:r>
      <w:r w:rsidRPr="005500F6">
        <w:tab/>
      </w:r>
      <w:r w:rsidR="00E71983" w:rsidRPr="005500F6">
        <w:t xml:space="preserve">Waiver </w:t>
      </w:r>
      <w:r w:rsidR="00C654AB">
        <w:t>of</w:t>
      </w:r>
      <w:r w:rsidR="00E71983" w:rsidRPr="005500F6">
        <w:t xml:space="preserve"> Disconnection Rules</w:t>
      </w:r>
      <w:bookmarkEnd w:id="11"/>
      <w:r w:rsidR="00E95E91" w:rsidRPr="005500F6">
        <w:t xml:space="preserve"> </w:t>
      </w:r>
    </w:p>
    <w:p w:rsidR="00F95936" w:rsidRPr="00E95E91" w:rsidRDefault="00F95936" w:rsidP="00F95936">
      <w:pPr>
        <w:pStyle w:val="ListParagraph"/>
        <w:spacing w:line="480" w:lineRule="auto"/>
        <w:ind w:left="1440"/>
        <w:rPr>
          <w:b/>
        </w:rPr>
      </w:pPr>
    </w:p>
    <w:p w:rsidR="004552C9" w:rsidRDefault="00CE6E28" w:rsidP="00F95936">
      <w:pPr>
        <w:spacing w:line="480" w:lineRule="auto"/>
        <w:ind w:left="720" w:hanging="720"/>
        <w:rPr>
          <w:b/>
          <w:bCs/>
          <w:i/>
          <w:iCs/>
        </w:rPr>
      </w:pPr>
      <w:r>
        <w:rPr>
          <w:b/>
          <w:bCs/>
          <w:i/>
          <w:iCs/>
        </w:rPr>
        <w:t>Q16</w:t>
      </w:r>
      <w:r w:rsidR="009E752A" w:rsidRPr="00F95936">
        <w:rPr>
          <w:b/>
          <w:bCs/>
          <w:i/>
          <w:iCs/>
        </w:rPr>
        <w:t>.</w:t>
      </w:r>
      <w:r w:rsidR="009E752A">
        <w:rPr>
          <w:b/>
          <w:bCs/>
          <w:i/>
          <w:iCs/>
        </w:rPr>
        <w:tab/>
        <w:t xml:space="preserve">CAN YOU BRIEFLY DISCUSS </w:t>
      </w:r>
      <w:r w:rsidR="00992602">
        <w:rPr>
          <w:b/>
          <w:bCs/>
          <w:i/>
          <w:iCs/>
        </w:rPr>
        <w:t xml:space="preserve">CUSTOMER </w:t>
      </w:r>
      <w:r w:rsidR="009E752A">
        <w:rPr>
          <w:b/>
          <w:bCs/>
          <w:i/>
          <w:iCs/>
        </w:rPr>
        <w:t>AFFORDABILITY CONCERNS WITH THE AEP OHIO PROPOSAL TO ESTABLISH A PURCHASE OF RECEIVABLES PROGRAM?</w:t>
      </w:r>
    </w:p>
    <w:p w:rsidR="00CF5D05" w:rsidRDefault="00CE6E28">
      <w:pPr>
        <w:spacing w:line="480" w:lineRule="auto"/>
        <w:ind w:left="720" w:hanging="720"/>
        <w:rPr>
          <w:bCs/>
          <w:iCs/>
        </w:rPr>
      </w:pPr>
      <w:r>
        <w:rPr>
          <w:b/>
          <w:bCs/>
          <w:i/>
          <w:iCs/>
        </w:rPr>
        <w:t>A16</w:t>
      </w:r>
      <w:r w:rsidR="009E752A" w:rsidRPr="00F95936">
        <w:rPr>
          <w:b/>
          <w:bCs/>
          <w:i/>
          <w:iCs/>
        </w:rPr>
        <w:t>.</w:t>
      </w:r>
      <w:r w:rsidR="009E752A">
        <w:rPr>
          <w:bCs/>
          <w:iCs/>
        </w:rPr>
        <w:tab/>
        <w:t xml:space="preserve">Yes.  </w:t>
      </w:r>
      <w:r w:rsidR="009E752A" w:rsidRPr="00783A02">
        <w:rPr>
          <w:bCs/>
          <w:iCs/>
        </w:rPr>
        <w:t>In addition</w:t>
      </w:r>
      <w:r w:rsidR="009E752A">
        <w:rPr>
          <w:bCs/>
          <w:iCs/>
        </w:rPr>
        <w:t xml:space="preserve"> to the discount rate issue discussed in the Testimony of OCC Witness Kahal, the Utility intends to seek a waiver to </w:t>
      </w:r>
      <w:r w:rsidR="00D002CE">
        <w:rPr>
          <w:bCs/>
          <w:iCs/>
        </w:rPr>
        <w:t xml:space="preserve">PUCO rules that </w:t>
      </w:r>
      <w:r w:rsidR="009E752A">
        <w:rPr>
          <w:bCs/>
          <w:iCs/>
        </w:rPr>
        <w:t xml:space="preserve">would enable disconnection of </w:t>
      </w:r>
      <w:r w:rsidR="002E1197">
        <w:rPr>
          <w:bCs/>
          <w:iCs/>
        </w:rPr>
        <w:t xml:space="preserve">customers’ </w:t>
      </w:r>
      <w:r w:rsidR="009E752A">
        <w:rPr>
          <w:bCs/>
          <w:iCs/>
        </w:rPr>
        <w:t>electric service by AEP Ohio for non-payment of unregulated CRES charges.</w:t>
      </w:r>
      <w:r w:rsidR="009E752A">
        <w:rPr>
          <w:rStyle w:val="FootnoteReference"/>
          <w:bCs/>
          <w:iCs/>
        </w:rPr>
        <w:footnoteReference w:id="49"/>
      </w:r>
      <w:r w:rsidR="009E752A">
        <w:rPr>
          <w:bCs/>
          <w:iCs/>
        </w:rPr>
        <w:t xml:space="preserve"> </w:t>
      </w:r>
      <w:r w:rsidR="008A1B0C">
        <w:rPr>
          <w:bCs/>
          <w:iCs/>
        </w:rPr>
        <w:t xml:space="preserve"> </w:t>
      </w:r>
      <w:r w:rsidR="009E752A">
        <w:rPr>
          <w:bCs/>
          <w:iCs/>
        </w:rPr>
        <w:t xml:space="preserve">Currently, </w:t>
      </w:r>
      <w:r w:rsidR="00B12887">
        <w:rPr>
          <w:bCs/>
          <w:iCs/>
        </w:rPr>
        <w:t>AEP Ohio render</w:t>
      </w:r>
      <w:r w:rsidR="009317B0">
        <w:rPr>
          <w:bCs/>
          <w:iCs/>
        </w:rPr>
        <w:t>s</w:t>
      </w:r>
      <w:r w:rsidR="00B12887">
        <w:rPr>
          <w:bCs/>
          <w:iCs/>
        </w:rPr>
        <w:t xml:space="preserve"> consolidated bills including both regulated and unregulated charges</w:t>
      </w:r>
      <w:r w:rsidR="00686951">
        <w:rPr>
          <w:bCs/>
          <w:iCs/>
        </w:rPr>
        <w:t xml:space="preserve">. </w:t>
      </w:r>
      <w:r w:rsidR="00B12887">
        <w:rPr>
          <w:bCs/>
          <w:iCs/>
        </w:rPr>
        <w:t xml:space="preserve"> </w:t>
      </w:r>
      <w:r w:rsidR="00D002CE">
        <w:rPr>
          <w:bCs/>
          <w:iCs/>
        </w:rPr>
        <w:t>Ohio Admin. Code 4901:1-10-19 prohibit</w:t>
      </w:r>
      <w:r w:rsidR="00C4552E">
        <w:rPr>
          <w:bCs/>
          <w:iCs/>
        </w:rPr>
        <w:t>s</w:t>
      </w:r>
      <w:r w:rsidR="00D002CE">
        <w:rPr>
          <w:bCs/>
          <w:iCs/>
        </w:rPr>
        <w:t xml:space="preserve"> </w:t>
      </w:r>
      <w:r w:rsidR="00B12887">
        <w:rPr>
          <w:bCs/>
          <w:iCs/>
        </w:rPr>
        <w:t xml:space="preserve">the Utility </w:t>
      </w:r>
      <w:r w:rsidR="00D002CE">
        <w:rPr>
          <w:bCs/>
          <w:iCs/>
        </w:rPr>
        <w:t xml:space="preserve">from </w:t>
      </w:r>
      <w:r w:rsidR="009E752A">
        <w:rPr>
          <w:bCs/>
          <w:iCs/>
        </w:rPr>
        <w:t>disconnect</w:t>
      </w:r>
      <w:r w:rsidR="00D002CE">
        <w:rPr>
          <w:bCs/>
          <w:iCs/>
        </w:rPr>
        <w:t xml:space="preserve">ing </w:t>
      </w:r>
      <w:r w:rsidR="009E752A">
        <w:rPr>
          <w:bCs/>
          <w:iCs/>
        </w:rPr>
        <w:t xml:space="preserve">service for non-payment of </w:t>
      </w:r>
      <w:r w:rsidR="00D002CE">
        <w:rPr>
          <w:bCs/>
          <w:iCs/>
        </w:rPr>
        <w:t xml:space="preserve">non-tariff services, including CRES charges.  </w:t>
      </w:r>
      <w:r w:rsidR="009903B5">
        <w:rPr>
          <w:bCs/>
          <w:iCs/>
        </w:rPr>
        <w:t>To the extent that customers do not pay the unregulated charges, the</w:t>
      </w:r>
      <w:r w:rsidR="00E71983">
        <w:rPr>
          <w:bCs/>
          <w:iCs/>
        </w:rPr>
        <w:t xml:space="preserve">ir CRES contract </w:t>
      </w:r>
      <w:r w:rsidR="009903B5">
        <w:rPr>
          <w:bCs/>
          <w:iCs/>
        </w:rPr>
        <w:t xml:space="preserve">can be </w:t>
      </w:r>
      <w:r w:rsidR="00E71983">
        <w:rPr>
          <w:bCs/>
          <w:iCs/>
        </w:rPr>
        <w:t xml:space="preserve">cancelled and they can be </w:t>
      </w:r>
      <w:r w:rsidR="009903B5">
        <w:rPr>
          <w:bCs/>
          <w:iCs/>
        </w:rPr>
        <w:t>returned to the Utility standard offer service</w:t>
      </w:r>
      <w:r w:rsidR="00E71983">
        <w:rPr>
          <w:bCs/>
          <w:iCs/>
        </w:rPr>
        <w:t>.</w:t>
      </w:r>
      <w:r w:rsidR="00E71983">
        <w:rPr>
          <w:rStyle w:val="FootnoteReference"/>
          <w:bCs/>
          <w:iCs/>
        </w:rPr>
        <w:footnoteReference w:id="50"/>
      </w:r>
    </w:p>
    <w:p w:rsidR="00F95936" w:rsidRDefault="00F95936">
      <w:pPr>
        <w:spacing w:line="480" w:lineRule="auto"/>
        <w:ind w:left="720" w:hanging="720"/>
        <w:rPr>
          <w:bCs/>
          <w:iCs/>
        </w:rPr>
      </w:pPr>
    </w:p>
    <w:p w:rsidR="0079615A" w:rsidRDefault="00CF5D05" w:rsidP="008A1B0C">
      <w:pPr>
        <w:spacing w:line="480" w:lineRule="auto"/>
        <w:ind w:left="720"/>
        <w:rPr>
          <w:bCs/>
          <w:iCs/>
        </w:rPr>
      </w:pPr>
      <w:r>
        <w:rPr>
          <w:bCs/>
          <w:iCs/>
        </w:rPr>
        <w:t>Even though electric choice has been available in Ohio since January 1, 2001 and 27.2</w:t>
      </w:r>
      <w:r w:rsidR="009317B0">
        <w:rPr>
          <w:bCs/>
          <w:iCs/>
        </w:rPr>
        <w:t xml:space="preserve"> percent of the residential electric load is shopping</w:t>
      </w:r>
      <w:r w:rsidR="009317B0">
        <w:rPr>
          <w:rStyle w:val="FootnoteReference"/>
          <w:bCs/>
          <w:iCs/>
        </w:rPr>
        <w:footnoteReference w:id="51"/>
      </w:r>
      <w:r w:rsidR="009317B0">
        <w:rPr>
          <w:bCs/>
          <w:iCs/>
        </w:rPr>
        <w:t xml:space="preserve"> with a CRES provider, </w:t>
      </w:r>
      <w:r>
        <w:rPr>
          <w:bCs/>
          <w:iCs/>
        </w:rPr>
        <w:t xml:space="preserve">AEP Ohio </w:t>
      </w:r>
      <w:r w:rsidR="009317B0">
        <w:rPr>
          <w:bCs/>
          <w:iCs/>
        </w:rPr>
        <w:t xml:space="preserve">now </w:t>
      </w:r>
      <w:r>
        <w:rPr>
          <w:bCs/>
          <w:iCs/>
        </w:rPr>
        <w:t xml:space="preserve">claims that it </w:t>
      </w:r>
      <w:r w:rsidR="009317B0">
        <w:rPr>
          <w:bCs/>
          <w:iCs/>
        </w:rPr>
        <w:t>n</w:t>
      </w:r>
      <w:r>
        <w:rPr>
          <w:bCs/>
          <w:iCs/>
        </w:rPr>
        <w:t>eeds the additional leverage that is associated with disconnecting customers for non-payment of unregulated charges to make sure customers pay the</w:t>
      </w:r>
      <w:r w:rsidR="00D00BFE">
        <w:rPr>
          <w:bCs/>
          <w:iCs/>
        </w:rPr>
        <w:t xml:space="preserve">ir </w:t>
      </w:r>
      <w:r>
        <w:rPr>
          <w:bCs/>
          <w:iCs/>
        </w:rPr>
        <w:t>bills.</w:t>
      </w:r>
      <w:r>
        <w:rPr>
          <w:rStyle w:val="FootnoteReference"/>
          <w:bCs/>
          <w:iCs/>
        </w:rPr>
        <w:footnoteReference w:id="52"/>
      </w:r>
      <w:r>
        <w:rPr>
          <w:bCs/>
          <w:iCs/>
        </w:rPr>
        <w:t xml:space="preserve">  </w:t>
      </w:r>
      <w:r w:rsidR="009317B0">
        <w:rPr>
          <w:bCs/>
          <w:iCs/>
        </w:rPr>
        <w:t xml:space="preserve">However, </w:t>
      </w:r>
      <w:r w:rsidR="00D00BFE">
        <w:rPr>
          <w:bCs/>
          <w:iCs/>
        </w:rPr>
        <w:t>the non-payment of CRES charges does not appear to be an issue when</w:t>
      </w:r>
      <w:r w:rsidR="002E1197">
        <w:rPr>
          <w:bCs/>
          <w:iCs/>
        </w:rPr>
        <w:t>,</w:t>
      </w:r>
      <w:r w:rsidR="00D00BFE">
        <w:rPr>
          <w:bCs/>
          <w:iCs/>
        </w:rPr>
        <w:t xml:space="preserve"> ac</w:t>
      </w:r>
      <w:r w:rsidR="009317B0">
        <w:rPr>
          <w:bCs/>
          <w:iCs/>
        </w:rPr>
        <w:t>cording the PUCO Energy Choice Ohio website</w:t>
      </w:r>
      <w:r w:rsidR="00D00BFE">
        <w:rPr>
          <w:bCs/>
          <w:iCs/>
        </w:rPr>
        <w:t xml:space="preserve"> (attached herein as JDW-5)</w:t>
      </w:r>
      <w:r w:rsidR="009317B0">
        <w:rPr>
          <w:bCs/>
          <w:iCs/>
        </w:rPr>
        <w:t>, there are currently fifty-one different competitive offers being made by twenty CRES providers that are available for customers who are considering shopping</w:t>
      </w:r>
      <w:r w:rsidR="00D00BFE">
        <w:rPr>
          <w:bCs/>
          <w:iCs/>
        </w:rPr>
        <w:t>.</w:t>
      </w:r>
      <w:r w:rsidR="009317B0">
        <w:rPr>
          <w:bCs/>
          <w:iCs/>
        </w:rPr>
        <w:t xml:space="preserve"> </w:t>
      </w:r>
      <w:r w:rsidR="008A1B0C">
        <w:rPr>
          <w:bCs/>
          <w:iCs/>
        </w:rPr>
        <w:t xml:space="preserve"> </w:t>
      </w:r>
      <w:r w:rsidR="00EF1FEF">
        <w:rPr>
          <w:bCs/>
          <w:iCs/>
        </w:rPr>
        <w:t xml:space="preserve">Given that </w:t>
      </w:r>
      <w:r w:rsidR="00CA6EBF">
        <w:rPr>
          <w:bCs/>
          <w:iCs/>
        </w:rPr>
        <w:t xml:space="preserve">AEP Ohio performed no analysis of the number of additional CRES providers who might enter the Ohio market </w:t>
      </w:r>
      <w:r w:rsidR="00EF1FEF">
        <w:rPr>
          <w:bCs/>
          <w:iCs/>
        </w:rPr>
        <w:t xml:space="preserve">with a POR program, there is no </w:t>
      </w:r>
      <w:r w:rsidR="003E1FAD">
        <w:rPr>
          <w:bCs/>
          <w:iCs/>
        </w:rPr>
        <w:t>basis</w:t>
      </w:r>
      <w:r w:rsidR="00EF1FEF">
        <w:rPr>
          <w:bCs/>
          <w:iCs/>
        </w:rPr>
        <w:t xml:space="preserve"> for the </w:t>
      </w:r>
      <w:r w:rsidR="00CA6EBF">
        <w:rPr>
          <w:bCs/>
          <w:iCs/>
        </w:rPr>
        <w:t>PUCO to approve the proposed POR.</w:t>
      </w:r>
      <w:r w:rsidR="00CA6EBF">
        <w:rPr>
          <w:rStyle w:val="FootnoteReference"/>
          <w:bCs/>
          <w:iCs/>
        </w:rPr>
        <w:footnoteReference w:id="53"/>
      </w:r>
      <w:r w:rsidR="00CA6EBF">
        <w:rPr>
          <w:bCs/>
          <w:iCs/>
        </w:rPr>
        <w:t xml:space="preserve">  Yet, t</w:t>
      </w:r>
      <w:r w:rsidR="009E752A">
        <w:rPr>
          <w:bCs/>
          <w:iCs/>
        </w:rPr>
        <w:t>h</w:t>
      </w:r>
      <w:r w:rsidR="005A77D8">
        <w:rPr>
          <w:bCs/>
          <w:iCs/>
        </w:rPr>
        <w:t xml:space="preserve">e change proposed by the Utility </w:t>
      </w:r>
      <w:r w:rsidR="009E752A">
        <w:rPr>
          <w:bCs/>
          <w:iCs/>
        </w:rPr>
        <w:t>can increase the number of service disconnections and also the amount of delinquency (reconnection charge</w:t>
      </w:r>
      <w:r w:rsidR="00E71983">
        <w:rPr>
          <w:bCs/>
          <w:iCs/>
        </w:rPr>
        <w:t>s</w:t>
      </w:r>
      <w:r w:rsidR="009E752A">
        <w:rPr>
          <w:bCs/>
          <w:iCs/>
        </w:rPr>
        <w:t xml:space="preserve"> and prior balance</w:t>
      </w:r>
      <w:r w:rsidR="00C4552E">
        <w:rPr>
          <w:bCs/>
          <w:iCs/>
        </w:rPr>
        <w:t>s</w:t>
      </w:r>
      <w:r w:rsidR="009E752A">
        <w:rPr>
          <w:bCs/>
          <w:iCs/>
        </w:rPr>
        <w:t>) that customers must pay in order to have services reconnected.</w:t>
      </w:r>
    </w:p>
    <w:p w:rsidR="004552C9" w:rsidRDefault="009E752A" w:rsidP="00CF5D05">
      <w:pPr>
        <w:spacing w:line="480" w:lineRule="auto"/>
        <w:ind w:left="720"/>
        <w:rPr>
          <w:bCs/>
          <w:iCs/>
        </w:rPr>
      </w:pPr>
      <w:r>
        <w:rPr>
          <w:bCs/>
          <w:iCs/>
        </w:rPr>
        <w:t xml:space="preserve"> </w:t>
      </w:r>
    </w:p>
    <w:p w:rsidR="00EA7607" w:rsidRDefault="009E752A" w:rsidP="00EA7607">
      <w:pPr>
        <w:spacing w:line="480" w:lineRule="auto"/>
        <w:ind w:left="720"/>
        <w:rPr>
          <w:rFonts w:ascii="Times New Roman Bold" w:hAnsi="Times New Roman Bold" w:cs="Cambria"/>
          <w:b/>
          <w:bCs/>
          <w:iCs/>
          <w:szCs w:val="28"/>
        </w:rPr>
      </w:pPr>
      <w:r>
        <w:rPr>
          <w:bCs/>
          <w:iCs/>
        </w:rPr>
        <w:t xml:space="preserve">To the extent that the delinquent amounts are not </w:t>
      </w:r>
      <w:r w:rsidR="00E71983">
        <w:rPr>
          <w:bCs/>
          <w:iCs/>
        </w:rPr>
        <w:t xml:space="preserve">ultimately </w:t>
      </w:r>
      <w:r>
        <w:rPr>
          <w:bCs/>
          <w:iCs/>
        </w:rPr>
        <w:t xml:space="preserve">paid, the debt will be included in the Bad Debt Rider paid by all customers as proposed by AEP Ohio and discussed later in this testimony. </w:t>
      </w:r>
      <w:r w:rsidR="00686951">
        <w:rPr>
          <w:bCs/>
          <w:iCs/>
        </w:rPr>
        <w:t xml:space="preserve"> </w:t>
      </w:r>
      <w:r w:rsidR="0079615A">
        <w:rPr>
          <w:bCs/>
          <w:iCs/>
        </w:rPr>
        <w:t xml:space="preserve">It is inappropriate that </w:t>
      </w:r>
      <w:r w:rsidR="00686951">
        <w:rPr>
          <w:bCs/>
          <w:iCs/>
        </w:rPr>
        <w:t>AEP is requesting authority to disconnect</w:t>
      </w:r>
      <w:r w:rsidR="0079615A">
        <w:rPr>
          <w:bCs/>
          <w:iCs/>
        </w:rPr>
        <w:t xml:space="preserve"> customers of</w:t>
      </w:r>
      <w:r w:rsidR="00686951">
        <w:rPr>
          <w:bCs/>
          <w:iCs/>
        </w:rPr>
        <w:t xml:space="preserve"> its rate-of-return regulated electric distribution </w:t>
      </w:r>
      <w:r w:rsidR="00C07387">
        <w:rPr>
          <w:bCs/>
          <w:iCs/>
        </w:rPr>
        <w:t xml:space="preserve">utility </w:t>
      </w:r>
      <w:r w:rsidR="00686951">
        <w:rPr>
          <w:bCs/>
          <w:iCs/>
        </w:rPr>
        <w:t xml:space="preserve">service for </w:t>
      </w:r>
      <w:r w:rsidR="00B92EB2">
        <w:rPr>
          <w:bCs/>
          <w:iCs/>
        </w:rPr>
        <w:t>the</w:t>
      </w:r>
      <w:r w:rsidR="00EC67F4">
        <w:rPr>
          <w:bCs/>
          <w:iCs/>
        </w:rPr>
        <w:t>ir</w:t>
      </w:r>
      <w:r w:rsidR="00B92EB2">
        <w:rPr>
          <w:bCs/>
          <w:iCs/>
        </w:rPr>
        <w:t xml:space="preserve"> </w:t>
      </w:r>
      <w:r w:rsidR="00686951">
        <w:rPr>
          <w:bCs/>
          <w:iCs/>
        </w:rPr>
        <w:t xml:space="preserve">nonpayment of </w:t>
      </w:r>
      <w:r w:rsidR="0079615A">
        <w:rPr>
          <w:bCs/>
          <w:iCs/>
        </w:rPr>
        <w:t>a separate</w:t>
      </w:r>
      <w:r w:rsidR="00686951">
        <w:rPr>
          <w:bCs/>
          <w:iCs/>
        </w:rPr>
        <w:t xml:space="preserve"> company’s non-tariffed charges.</w:t>
      </w:r>
      <w:r>
        <w:rPr>
          <w:bCs/>
          <w:iCs/>
        </w:rPr>
        <w:t xml:space="preserve"> </w:t>
      </w:r>
      <w:r w:rsidR="00B92EB2">
        <w:rPr>
          <w:bCs/>
          <w:iCs/>
        </w:rPr>
        <w:t xml:space="preserve"> </w:t>
      </w:r>
      <w:r w:rsidR="0006573C">
        <w:rPr>
          <w:bCs/>
          <w:iCs/>
        </w:rPr>
        <w:t xml:space="preserve">A waiver </w:t>
      </w:r>
      <w:r w:rsidR="00806A8E">
        <w:rPr>
          <w:bCs/>
          <w:iCs/>
        </w:rPr>
        <w:t>of</w:t>
      </w:r>
      <w:r w:rsidR="0006573C">
        <w:rPr>
          <w:bCs/>
          <w:iCs/>
        </w:rPr>
        <w:t xml:space="preserve"> Ohio Admin. Code 4901:1-10-19 circumvents important</w:t>
      </w:r>
      <w:r w:rsidR="00603CAC">
        <w:rPr>
          <w:bCs/>
          <w:iCs/>
        </w:rPr>
        <w:t xml:space="preserve"> consumer protections designed to prevent customers from being disconnected for non-payment of charges that are not </w:t>
      </w:r>
      <w:r w:rsidR="00B92EB2">
        <w:rPr>
          <w:bCs/>
          <w:iCs/>
        </w:rPr>
        <w:t>rate</w:t>
      </w:r>
      <w:r w:rsidR="00A756F9">
        <w:rPr>
          <w:bCs/>
          <w:iCs/>
        </w:rPr>
        <w:t>-</w:t>
      </w:r>
      <w:r w:rsidR="00603CAC">
        <w:rPr>
          <w:bCs/>
          <w:iCs/>
        </w:rPr>
        <w:t>regulated by the PUCO.</w:t>
      </w:r>
      <w:r w:rsidR="00EA7607">
        <w:br w:type="page"/>
      </w:r>
    </w:p>
    <w:p w:rsidR="00553695" w:rsidRDefault="00495AB7" w:rsidP="00495AB7">
      <w:pPr>
        <w:pStyle w:val="Heading2"/>
      </w:pPr>
      <w:bookmarkStart w:id="12" w:name="_Toc387132034"/>
      <w:r>
        <w:t>B.</w:t>
      </w:r>
      <w:r>
        <w:tab/>
      </w:r>
      <w:r w:rsidR="00D00BFE" w:rsidRPr="004C38A7">
        <w:t>Additional Deposits for CRES Service</w:t>
      </w:r>
      <w:bookmarkEnd w:id="12"/>
    </w:p>
    <w:p w:rsidR="00F95936" w:rsidRPr="004C38A7" w:rsidRDefault="00F95936" w:rsidP="00F95936">
      <w:pPr>
        <w:pStyle w:val="ListParagraph"/>
        <w:spacing w:line="480" w:lineRule="auto"/>
        <w:rPr>
          <w:b/>
          <w:bCs/>
          <w:iCs/>
        </w:rPr>
      </w:pPr>
    </w:p>
    <w:p w:rsidR="009D13CA" w:rsidRDefault="004718B7" w:rsidP="00BC75C1">
      <w:pPr>
        <w:spacing w:line="480" w:lineRule="auto"/>
        <w:ind w:left="720"/>
        <w:rPr>
          <w:bCs/>
          <w:iCs/>
        </w:rPr>
      </w:pPr>
      <w:r>
        <w:rPr>
          <w:bCs/>
          <w:iCs/>
        </w:rPr>
        <w:t>AEP Ohio intends to require</w:t>
      </w:r>
      <w:r w:rsidR="009E752A">
        <w:rPr>
          <w:bCs/>
          <w:iCs/>
        </w:rPr>
        <w:t xml:space="preserve"> deposits from customers who have previously switched to a CRES provider</w:t>
      </w:r>
      <w:r w:rsidR="00EC67F4">
        <w:rPr>
          <w:bCs/>
          <w:iCs/>
        </w:rPr>
        <w:t>,</w:t>
      </w:r>
      <w:r w:rsidR="009E752A">
        <w:rPr>
          <w:bCs/>
          <w:iCs/>
        </w:rPr>
        <w:t xml:space="preserve"> </w:t>
      </w:r>
      <w:r w:rsidR="00EC67F4">
        <w:rPr>
          <w:bCs/>
          <w:iCs/>
        </w:rPr>
        <w:t xml:space="preserve">if its </w:t>
      </w:r>
      <w:r w:rsidR="009D13CA">
        <w:rPr>
          <w:bCs/>
          <w:iCs/>
        </w:rPr>
        <w:t>propos</w:t>
      </w:r>
      <w:r w:rsidR="00EC67F4">
        <w:rPr>
          <w:bCs/>
          <w:iCs/>
        </w:rPr>
        <w:t>al for</w:t>
      </w:r>
      <w:r w:rsidR="009D13CA">
        <w:rPr>
          <w:bCs/>
          <w:iCs/>
        </w:rPr>
        <w:t xml:space="preserve"> </w:t>
      </w:r>
      <w:r w:rsidR="00EC67F4">
        <w:rPr>
          <w:bCs/>
          <w:iCs/>
        </w:rPr>
        <w:t xml:space="preserve">purchase of CRES receivables </w:t>
      </w:r>
      <w:r w:rsidR="009E752A">
        <w:rPr>
          <w:bCs/>
          <w:iCs/>
        </w:rPr>
        <w:t xml:space="preserve">is </w:t>
      </w:r>
      <w:r w:rsidR="009D13CA">
        <w:rPr>
          <w:bCs/>
          <w:iCs/>
        </w:rPr>
        <w:t>approved.</w:t>
      </w:r>
      <w:r w:rsidR="009E752A">
        <w:rPr>
          <w:rStyle w:val="FootnoteReference"/>
          <w:bCs/>
          <w:iCs/>
        </w:rPr>
        <w:footnoteReference w:id="54"/>
      </w:r>
      <w:r w:rsidR="009E752A">
        <w:rPr>
          <w:bCs/>
          <w:iCs/>
        </w:rPr>
        <w:t xml:space="preserve">  Currently, AEP Ohio collects deposits</w:t>
      </w:r>
      <w:r w:rsidR="00EC67F4">
        <w:rPr>
          <w:bCs/>
          <w:iCs/>
        </w:rPr>
        <w:t>,</w:t>
      </w:r>
      <w:r w:rsidR="009E752A">
        <w:rPr>
          <w:bCs/>
          <w:iCs/>
        </w:rPr>
        <w:t xml:space="preserve"> when required</w:t>
      </w:r>
      <w:r w:rsidR="00EC67F4">
        <w:rPr>
          <w:bCs/>
          <w:iCs/>
        </w:rPr>
        <w:t>,</w:t>
      </w:r>
      <w:r w:rsidR="009E752A">
        <w:rPr>
          <w:bCs/>
          <w:iCs/>
        </w:rPr>
        <w:t xml:space="preserve"> on </w:t>
      </w:r>
      <w:r w:rsidR="009D13CA">
        <w:rPr>
          <w:bCs/>
          <w:iCs/>
        </w:rPr>
        <w:t xml:space="preserve">only </w:t>
      </w:r>
      <w:r w:rsidR="00EC67F4">
        <w:rPr>
          <w:bCs/>
          <w:iCs/>
        </w:rPr>
        <w:t xml:space="preserve">its </w:t>
      </w:r>
      <w:r w:rsidR="009E752A">
        <w:rPr>
          <w:bCs/>
          <w:iCs/>
        </w:rPr>
        <w:t xml:space="preserve">distribution portion of the bill </w:t>
      </w:r>
      <w:r w:rsidR="009D13CA">
        <w:rPr>
          <w:bCs/>
          <w:iCs/>
        </w:rPr>
        <w:t xml:space="preserve">when the customer is also served by a </w:t>
      </w:r>
      <w:r w:rsidR="009E752A">
        <w:rPr>
          <w:bCs/>
          <w:iCs/>
        </w:rPr>
        <w:t xml:space="preserve">CRES </w:t>
      </w:r>
      <w:r w:rsidR="009D13CA">
        <w:rPr>
          <w:bCs/>
          <w:iCs/>
        </w:rPr>
        <w:t>provider.</w:t>
      </w:r>
      <w:r w:rsidR="009E752A">
        <w:rPr>
          <w:rStyle w:val="FootnoteReference"/>
          <w:bCs/>
          <w:iCs/>
        </w:rPr>
        <w:footnoteReference w:id="55"/>
      </w:r>
      <w:r w:rsidR="009E752A">
        <w:rPr>
          <w:bCs/>
          <w:iCs/>
        </w:rPr>
        <w:t xml:space="preserve"> </w:t>
      </w:r>
      <w:r w:rsidR="004C38A7">
        <w:rPr>
          <w:bCs/>
          <w:iCs/>
        </w:rPr>
        <w:t xml:space="preserve"> </w:t>
      </w:r>
      <w:r w:rsidR="009E752A">
        <w:rPr>
          <w:bCs/>
          <w:iCs/>
        </w:rPr>
        <w:t xml:space="preserve">For residential customers served on the standard service offer, AEP Ohio collects deposits on </w:t>
      </w:r>
      <w:r w:rsidR="00EC67F4">
        <w:rPr>
          <w:bCs/>
          <w:iCs/>
        </w:rPr>
        <w:t xml:space="preserve">its </w:t>
      </w:r>
      <w:r w:rsidR="009E752A">
        <w:rPr>
          <w:bCs/>
          <w:iCs/>
        </w:rPr>
        <w:t xml:space="preserve">entire service. </w:t>
      </w:r>
      <w:r w:rsidR="004C38A7">
        <w:rPr>
          <w:bCs/>
          <w:iCs/>
        </w:rPr>
        <w:t xml:space="preserve"> </w:t>
      </w:r>
      <w:r w:rsidR="009E752A">
        <w:rPr>
          <w:bCs/>
          <w:iCs/>
        </w:rPr>
        <w:t>Last year, AEP Ohio collected deposits from a total of 383,516 residential customers and an average deposit amount was $65.50.</w:t>
      </w:r>
      <w:r w:rsidR="009E752A">
        <w:rPr>
          <w:rStyle w:val="FootnoteReference"/>
          <w:bCs/>
          <w:iCs/>
        </w:rPr>
        <w:footnoteReference w:id="56"/>
      </w:r>
      <w:r w:rsidR="009E752A">
        <w:rPr>
          <w:bCs/>
          <w:iCs/>
        </w:rPr>
        <w:t xml:space="preserve">  Since many of these customers have also likely switched to CRES provider</w:t>
      </w:r>
      <w:r w:rsidR="00EC67F4">
        <w:rPr>
          <w:bCs/>
          <w:iCs/>
        </w:rPr>
        <w:t>s</w:t>
      </w:r>
      <w:r w:rsidR="009E752A">
        <w:rPr>
          <w:bCs/>
          <w:iCs/>
        </w:rPr>
        <w:t>,</w:t>
      </w:r>
      <w:r w:rsidR="009E752A">
        <w:rPr>
          <w:rStyle w:val="FootnoteReference"/>
          <w:bCs/>
          <w:iCs/>
        </w:rPr>
        <w:footnoteReference w:id="57"/>
      </w:r>
      <w:r w:rsidR="009E752A">
        <w:rPr>
          <w:bCs/>
          <w:iCs/>
        </w:rPr>
        <w:t xml:space="preserve"> the portion of the deposit that AEP Ohio is currently holding applies only to the distribution charges.  An additional deposit will now be required for the CRES charges if the PUCO were to approve the proposed POR.</w:t>
      </w:r>
    </w:p>
    <w:p w:rsidR="00F95936" w:rsidRDefault="00F95936">
      <w:pPr>
        <w:spacing w:line="480" w:lineRule="auto"/>
        <w:ind w:left="720"/>
        <w:rPr>
          <w:bCs/>
          <w:iCs/>
        </w:rPr>
      </w:pPr>
    </w:p>
    <w:p w:rsidR="003E1FAD" w:rsidRDefault="009E752A" w:rsidP="003E1FAD">
      <w:pPr>
        <w:spacing w:line="480" w:lineRule="auto"/>
        <w:ind w:left="720"/>
        <w:rPr>
          <w:bCs/>
          <w:iCs/>
        </w:rPr>
      </w:pPr>
      <w:r>
        <w:rPr>
          <w:bCs/>
          <w:iCs/>
        </w:rPr>
        <w:t xml:space="preserve">This proposal is troublesome because many of these customers may have already secured their service with a deposit through the CRES provider, or the CRES provider determined that a deposit was unnecessary.  </w:t>
      </w:r>
      <w:r w:rsidR="009D13CA">
        <w:rPr>
          <w:bCs/>
          <w:iCs/>
        </w:rPr>
        <w:t>CRES providers are required to establish reasonable and nondiscriminatory creditworthiness standards that may require a deposit or other reasonable demonstration of creditworthiness as a condition for serving customers.</w:t>
      </w:r>
      <w:r w:rsidR="009D13CA">
        <w:rPr>
          <w:rStyle w:val="FootnoteReference"/>
          <w:bCs/>
          <w:iCs/>
        </w:rPr>
        <w:footnoteReference w:id="58"/>
      </w:r>
      <w:r w:rsidR="009D13CA">
        <w:rPr>
          <w:bCs/>
          <w:iCs/>
        </w:rPr>
        <w:t xml:space="preserve">  </w:t>
      </w:r>
      <w:r>
        <w:rPr>
          <w:bCs/>
          <w:iCs/>
        </w:rPr>
        <w:t xml:space="preserve">CRES providers may </w:t>
      </w:r>
      <w:r w:rsidR="00453466">
        <w:rPr>
          <w:bCs/>
          <w:iCs/>
        </w:rPr>
        <w:t xml:space="preserve">consider creditworthiness and bad debt risk in their determination of the rates that customers are being charged for service.  </w:t>
      </w:r>
      <w:r w:rsidR="004718B7">
        <w:rPr>
          <w:bCs/>
          <w:iCs/>
        </w:rPr>
        <w:t>I</w:t>
      </w:r>
      <w:r>
        <w:rPr>
          <w:bCs/>
          <w:iCs/>
        </w:rPr>
        <w:t>t is fundamentally unfair to require customers to pay multipl</w:t>
      </w:r>
      <w:r w:rsidR="004718B7">
        <w:rPr>
          <w:bCs/>
          <w:iCs/>
        </w:rPr>
        <w:t>e deposits for the same service.  T</w:t>
      </w:r>
      <w:r>
        <w:rPr>
          <w:bCs/>
          <w:iCs/>
        </w:rPr>
        <w:t>he AEP Ohio additional deposit for CRES charges is just another charge that contributes to the overall unaffordability of service.  Finally, the imposition of additional deposits or security for service is not supported by Ohio law to the extent that the request for security is not made within 30 days after the customer initiates service.</w:t>
      </w:r>
      <w:r>
        <w:rPr>
          <w:rStyle w:val="FootnoteReference"/>
          <w:bCs/>
          <w:iCs/>
        </w:rPr>
        <w:footnoteReference w:id="59"/>
      </w:r>
    </w:p>
    <w:p w:rsidR="003E1FAD" w:rsidRDefault="003E1FAD" w:rsidP="003E1FAD">
      <w:pPr>
        <w:spacing w:line="480" w:lineRule="auto"/>
        <w:ind w:left="720"/>
        <w:rPr>
          <w:bCs/>
          <w:iCs/>
        </w:rPr>
      </w:pPr>
    </w:p>
    <w:p w:rsidR="00F7323F" w:rsidRPr="003E1FAD" w:rsidRDefault="00495AB7" w:rsidP="003E1FAD">
      <w:pPr>
        <w:spacing w:line="480" w:lineRule="auto"/>
        <w:ind w:left="720"/>
        <w:rPr>
          <w:b/>
          <w:bCs/>
          <w:iCs/>
        </w:rPr>
      </w:pPr>
      <w:r w:rsidRPr="003E1FAD">
        <w:rPr>
          <w:b/>
        </w:rPr>
        <w:t>C.</w:t>
      </w:r>
      <w:r w:rsidRPr="003E1FAD">
        <w:rPr>
          <w:b/>
        </w:rPr>
        <w:tab/>
      </w:r>
      <w:r w:rsidR="00F7323F" w:rsidRPr="003E1FAD">
        <w:rPr>
          <w:b/>
        </w:rPr>
        <w:t>Bad Debt Rider</w:t>
      </w:r>
    </w:p>
    <w:p w:rsidR="00F95936" w:rsidRPr="00F95936" w:rsidRDefault="00F95936" w:rsidP="00F95936">
      <w:pPr>
        <w:pStyle w:val="ListParagraph"/>
        <w:spacing w:line="480" w:lineRule="auto"/>
        <w:rPr>
          <w:b/>
          <w:bCs/>
          <w:iCs/>
        </w:rPr>
      </w:pPr>
    </w:p>
    <w:p w:rsidR="004552C9" w:rsidRDefault="00CE6E28">
      <w:pPr>
        <w:spacing w:line="480" w:lineRule="auto"/>
        <w:ind w:left="720" w:hanging="720"/>
        <w:rPr>
          <w:bCs/>
          <w:iCs/>
        </w:rPr>
      </w:pPr>
      <w:r>
        <w:rPr>
          <w:b/>
          <w:bCs/>
          <w:i/>
          <w:iCs/>
        </w:rPr>
        <w:t>Q17</w:t>
      </w:r>
      <w:r w:rsidR="009E752A" w:rsidRPr="00F95936">
        <w:rPr>
          <w:b/>
          <w:bCs/>
          <w:i/>
          <w:iCs/>
        </w:rPr>
        <w:t>.</w:t>
      </w:r>
      <w:r w:rsidR="009E752A">
        <w:rPr>
          <w:b/>
          <w:bCs/>
          <w:iCs/>
        </w:rPr>
        <w:tab/>
      </w:r>
      <w:r w:rsidR="009E752A">
        <w:rPr>
          <w:b/>
          <w:bCs/>
          <w:i/>
          <w:iCs/>
        </w:rPr>
        <w:t>CAN YOU BRIEFLY DISCUSS AFFORDABILITY CONCERNS WITH THE AEP OHIO PROPOSAL TO ESTABLISH A BAD DEBT RIDER</w:t>
      </w:r>
      <w:r w:rsidR="00EC67F4">
        <w:rPr>
          <w:b/>
          <w:bCs/>
          <w:i/>
          <w:iCs/>
        </w:rPr>
        <w:t xml:space="preserve"> TO CHARGE CUSTOMERS</w:t>
      </w:r>
      <w:r w:rsidR="009E752A">
        <w:rPr>
          <w:b/>
          <w:bCs/>
          <w:i/>
          <w:iCs/>
        </w:rPr>
        <w:t>?</w:t>
      </w:r>
    </w:p>
    <w:p w:rsidR="004552C9" w:rsidRDefault="00CE6E28" w:rsidP="005C66BD">
      <w:pPr>
        <w:spacing w:line="480" w:lineRule="auto"/>
        <w:ind w:left="720" w:hanging="720"/>
        <w:rPr>
          <w:bCs/>
          <w:iCs/>
        </w:rPr>
      </w:pPr>
      <w:r>
        <w:rPr>
          <w:b/>
          <w:bCs/>
          <w:i/>
          <w:iCs/>
        </w:rPr>
        <w:t>A17</w:t>
      </w:r>
      <w:r w:rsidR="009E752A" w:rsidRPr="00F95936">
        <w:rPr>
          <w:b/>
          <w:bCs/>
          <w:i/>
          <w:iCs/>
        </w:rPr>
        <w:t>.</w:t>
      </w:r>
      <w:r w:rsidR="009E752A">
        <w:rPr>
          <w:bCs/>
          <w:iCs/>
        </w:rPr>
        <w:tab/>
        <w:t>Yes.  AEP Ohio proposed the establishment of a Bad Debt Rider concurrent with the POR program without consider</w:t>
      </w:r>
      <w:r w:rsidR="005A77D8">
        <w:rPr>
          <w:bCs/>
          <w:iCs/>
        </w:rPr>
        <w:t xml:space="preserve">ing </w:t>
      </w:r>
      <w:r w:rsidR="009E752A">
        <w:rPr>
          <w:bCs/>
          <w:iCs/>
        </w:rPr>
        <w:t>the financial impact that a Bad Debt Rider can have on consumers.</w:t>
      </w:r>
      <w:r w:rsidR="009E752A">
        <w:rPr>
          <w:rStyle w:val="FootnoteReference"/>
          <w:bCs/>
          <w:iCs/>
        </w:rPr>
        <w:footnoteReference w:id="60"/>
      </w:r>
      <w:r w:rsidR="009E752A">
        <w:rPr>
          <w:bCs/>
          <w:iCs/>
        </w:rPr>
        <w:t xml:space="preserve">  Because the Bad Debt Rider is being implemented with an initial discount rate of zero for the POR program,</w:t>
      </w:r>
      <w:r w:rsidR="009E752A">
        <w:rPr>
          <w:rStyle w:val="FootnoteReference"/>
          <w:bCs/>
          <w:iCs/>
        </w:rPr>
        <w:footnoteReference w:id="61"/>
      </w:r>
      <w:r w:rsidR="009E752A">
        <w:rPr>
          <w:bCs/>
          <w:iCs/>
        </w:rPr>
        <w:t xml:space="preserve"> the collection risk for unregulated debt is being shifted from the CRES providers to customers in violation of Ohio law.  It is my understanding and as advised by counsel, that R.C. 4928.02(H) prohibits subsidies between competitive and noncompetitive services including recovery of generation-related charges through distribution rates.  Since the PUCO has no regulatory authority concerning the prices that CRES providers charge for service, the </w:t>
      </w:r>
      <w:r w:rsidR="00562644">
        <w:rPr>
          <w:bCs/>
          <w:iCs/>
        </w:rPr>
        <w:t xml:space="preserve">Bad Debt Rider </w:t>
      </w:r>
      <w:r w:rsidR="009E752A">
        <w:rPr>
          <w:bCs/>
          <w:iCs/>
        </w:rPr>
        <w:t xml:space="preserve">could be used to recover unregulated charges that exceed the AEP Ohio </w:t>
      </w:r>
      <w:r w:rsidR="007E062D">
        <w:rPr>
          <w:bCs/>
          <w:iCs/>
        </w:rPr>
        <w:t xml:space="preserve">charges </w:t>
      </w:r>
      <w:r w:rsidR="009E752A">
        <w:rPr>
          <w:bCs/>
          <w:iCs/>
        </w:rPr>
        <w:t xml:space="preserve">for the </w:t>
      </w:r>
      <w:r w:rsidR="004718B7">
        <w:rPr>
          <w:bCs/>
          <w:iCs/>
        </w:rPr>
        <w:t xml:space="preserve">alternative regulated </w:t>
      </w:r>
      <w:r w:rsidR="009E752A">
        <w:rPr>
          <w:bCs/>
          <w:iCs/>
        </w:rPr>
        <w:t>standard offer service.</w:t>
      </w:r>
      <w:r w:rsidR="00EE3070">
        <w:rPr>
          <w:bCs/>
          <w:iCs/>
        </w:rPr>
        <w:t xml:space="preserve">  The AEP Ohio response to OCC</w:t>
      </w:r>
      <w:r w:rsidR="005C66BD">
        <w:rPr>
          <w:bCs/>
          <w:iCs/>
        </w:rPr>
        <w:t>-</w:t>
      </w:r>
      <w:r w:rsidR="007E062D">
        <w:rPr>
          <w:bCs/>
          <w:iCs/>
        </w:rPr>
        <w:t>INT-10-242 (attached herein as JDW-</w:t>
      </w:r>
      <w:r w:rsidR="009F2D7B">
        <w:rPr>
          <w:bCs/>
          <w:iCs/>
        </w:rPr>
        <w:t>8</w:t>
      </w:r>
      <w:r w:rsidR="007E062D">
        <w:rPr>
          <w:bCs/>
          <w:iCs/>
        </w:rPr>
        <w:t xml:space="preserve">) confirmed that regardless of the rate the CRES provider charges for generation service, the Bad Debt Rider can ultimately be used to recover </w:t>
      </w:r>
      <w:r w:rsidR="00B92EB2">
        <w:rPr>
          <w:bCs/>
          <w:iCs/>
        </w:rPr>
        <w:t>uncollectable</w:t>
      </w:r>
      <w:r w:rsidR="007E062D">
        <w:rPr>
          <w:bCs/>
          <w:iCs/>
        </w:rPr>
        <w:t xml:space="preserve"> costs.</w:t>
      </w:r>
    </w:p>
    <w:p w:rsidR="003E1FAD" w:rsidRDefault="003E1FAD">
      <w:pPr>
        <w:spacing w:line="480" w:lineRule="auto"/>
        <w:ind w:left="720" w:hanging="720"/>
        <w:rPr>
          <w:bCs/>
          <w:iCs/>
        </w:rPr>
      </w:pPr>
    </w:p>
    <w:p w:rsidR="00EA7607" w:rsidRDefault="009E752A" w:rsidP="00EA7607">
      <w:pPr>
        <w:spacing w:line="480" w:lineRule="auto"/>
        <w:ind w:left="720"/>
        <w:rPr>
          <w:bCs/>
          <w:iCs/>
        </w:rPr>
      </w:pPr>
      <w:r>
        <w:rPr>
          <w:bCs/>
          <w:iCs/>
        </w:rPr>
        <w:t>AEP Ohio currently collects approximately $12,221,000 in regulated bad debt expenses that are included in the distribution rates.</w:t>
      </w:r>
      <w:r>
        <w:rPr>
          <w:rStyle w:val="FootnoteReference"/>
          <w:bCs/>
          <w:iCs/>
        </w:rPr>
        <w:footnoteReference w:id="62"/>
      </w:r>
      <w:r>
        <w:rPr>
          <w:bCs/>
          <w:iCs/>
        </w:rPr>
        <w:t xml:space="preserve"> </w:t>
      </w:r>
      <w:r w:rsidR="00562644">
        <w:rPr>
          <w:bCs/>
          <w:iCs/>
        </w:rPr>
        <w:t xml:space="preserve"> </w:t>
      </w:r>
      <w:r>
        <w:rPr>
          <w:bCs/>
          <w:iCs/>
        </w:rPr>
        <w:t>The Utility proposes to establish an annual true-up where the level of the rider would be based upon under or over-recoveries from the previous year of the baseline bad debt expense.  However, the AEP Ohi</w:t>
      </w:r>
      <w:r w:rsidR="005C66BD">
        <w:rPr>
          <w:bCs/>
          <w:iCs/>
        </w:rPr>
        <w:t>o response to OCC-INT-</w:t>
      </w:r>
      <w:r>
        <w:rPr>
          <w:bCs/>
          <w:iCs/>
        </w:rPr>
        <w:t>10-250 (attached herein as JDW-</w:t>
      </w:r>
      <w:r w:rsidR="00C55976">
        <w:rPr>
          <w:bCs/>
          <w:iCs/>
        </w:rPr>
        <w:t>9</w:t>
      </w:r>
      <w:r>
        <w:rPr>
          <w:bCs/>
          <w:iCs/>
        </w:rPr>
        <w:t>), claims that the amount of CRES bad debt on consolidated bills that was not collected by AEP Ohio, and was therefore returned to CRES providers for standard collection practices</w:t>
      </w:r>
      <w:r w:rsidR="00314EA1">
        <w:rPr>
          <w:bCs/>
          <w:iCs/>
        </w:rPr>
        <w:t>,</w:t>
      </w:r>
      <w:r>
        <w:rPr>
          <w:bCs/>
          <w:iCs/>
        </w:rPr>
        <w:t xml:space="preserve"> was approximately $3,500,000 in 2013.</w:t>
      </w:r>
      <w:r w:rsidR="00EA7607">
        <w:rPr>
          <w:bCs/>
          <w:iCs/>
        </w:rPr>
        <w:br w:type="page"/>
      </w:r>
    </w:p>
    <w:p w:rsidR="004048C9" w:rsidRDefault="009E752A" w:rsidP="00EA7607">
      <w:pPr>
        <w:spacing w:line="480" w:lineRule="auto"/>
        <w:ind w:left="720"/>
        <w:rPr>
          <w:bCs/>
          <w:iCs/>
        </w:rPr>
      </w:pPr>
      <w:r>
        <w:rPr>
          <w:bCs/>
          <w:iCs/>
        </w:rPr>
        <w:t xml:space="preserve">Had the proposed </w:t>
      </w:r>
      <w:r w:rsidR="00562644">
        <w:rPr>
          <w:bCs/>
          <w:iCs/>
        </w:rPr>
        <w:t>Bad Debt Rider</w:t>
      </w:r>
      <w:r>
        <w:rPr>
          <w:bCs/>
          <w:iCs/>
        </w:rPr>
        <w:t xml:space="preserve"> been in effect in 2013 and AEP Ohio’s level of current bad debt expense without CRES receivables remained at the $12,221,000 level, the $3,500,000 of CRES bad debt would be an </w:t>
      </w:r>
      <w:r w:rsidR="00553695">
        <w:rPr>
          <w:bCs/>
          <w:iCs/>
        </w:rPr>
        <w:t>added</w:t>
      </w:r>
      <w:r>
        <w:rPr>
          <w:bCs/>
          <w:iCs/>
        </w:rPr>
        <w:t xml:space="preserve"> expense to the bad debt rider -- meaning increases in electric bills for customers.  </w:t>
      </w:r>
      <w:r w:rsidR="00B92EB2">
        <w:rPr>
          <w:bCs/>
          <w:iCs/>
        </w:rPr>
        <w:t xml:space="preserve">AEP should not be permitted to render a charge to </w:t>
      </w:r>
      <w:r w:rsidR="00314EA1">
        <w:rPr>
          <w:bCs/>
          <w:iCs/>
        </w:rPr>
        <w:t>its</w:t>
      </w:r>
      <w:r w:rsidR="009A719F">
        <w:rPr>
          <w:bCs/>
          <w:iCs/>
        </w:rPr>
        <w:t xml:space="preserve"> distribution</w:t>
      </w:r>
      <w:r w:rsidR="00B92EB2">
        <w:rPr>
          <w:bCs/>
          <w:iCs/>
        </w:rPr>
        <w:t xml:space="preserve"> customers for </w:t>
      </w:r>
      <w:r w:rsidR="004048C9">
        <w:rPr>
          <w:bCs/>
          <w:iCs/>
        </w:rPr>
        <w:t>CRES provider</w:t>
      </w:r>
      <w:r w:rsidR="003E1FAD">
        <w:rPr>
          <w:bCs/>
          <w:iCs/>
        </w:rPr>
        <w:t>s’</w:t>
      </w:r>
      <w:r w:rsidR="004048C9">
        <w:rPr>
          <w:bCs/>
          <w:iCs/>
        </w:rPr>
        <w:t xml:space="preserve"> </w:t>
      </w:r>
      <w:r w:rsidR="0026565E">
        <w:rPr>
          <w:bCs/>
          <w:iCs/>
        </w:rPr>
        <w:t>uncollectable</w:t>
      </w:r>
      <w:r w:rsidR="004048C9">
        <w:rPr>
          <w:bCs/>
          <w:iCs/>
        </w:rPr>
        <w:t xml:space="preserve"> charges </w:t>
      </w:r>
      <w:r w:rsidR="0026565E">
        <w:rPr>
          <w:bCs/>
          <w:iCs/>
        </w:rPr>
        <w:t xml:space="preserve">and </w:t>
      </w:r>
      <w:r w:rsidR="00B92EB2">
        <w:rPr>
          <w:bCs/>
          <w:iCs/>
        </w:rPr>
        <w:t>bad debt</w:t>
      </w:r>
      <w:r w:rsidR="00A54F62">
        <w:rPr>
          <w:bCs/>
          <w:iCs/>
        </w:rPr>
        <w:t xml:space="preserve"> costs</w:t>
      </w:r>
      <w:r w:rsidR="004048C9">
        <w:rPr>
          <w:bCs/>
          <w:iCs/>
        </w:rPr>
        <w:t>.</w:t>
      </w:r>
      <w:r w:rsidR="003E1FAD">
        <w:rPr>
          <w:bCs/>
          <w:iCs/>
        </w:rPr>
        <w:t xml:space="preserve"> </w:t>
      </w:r>
      <w:r w:rsidR="004048C9">
        <w:rPr>
          <w:bCs/>
          <w:iCs/>
        </w:rPr>
        <w:t xml:space="preserve"> </w:t>
      </w:r>
      <w:r w:rsidR="00497CDE">
        <w:rPr>
          <w:bCs/>
          <w:iCs/>
        </w:rPr>
        <w:t xml:space="preserve">CRES providers should be responsible </w:t>
      </w:r>
      <w:r w:rsidR="009C30B2">
        <w:rPr>
          <w:bCs/>
          <w:iCs/>
        </w:rPr>
        <w:t>for their own bad debt expenses.</w:t>
      </w:r>
    </w:p>
    <w:p w:rsidR="0076396A" w:rsidRDefault="0076396A" w:rsidP="00EA7607">
      <w:pPr>
        <w:spacing w:line="480" w:lineRule="auto"/>
        <w:ind w:left="720"/>
        <w:rPr>
          <w:bCs/>
          <w:iCs/>
        </w:rPr>
      </w:pPr>
    </w:p>
    <w:p w:rsidR="00F95936" w:rsidRDefault="00495AB7" w:rsidP="00EA7607">
      <w:pPr>
        <w:pStyle w:val="Heading2"/>
        <w:spacing w:after="0" w:line="480" w:lineRule="auto"/>
      </w:pPr>
      <w:bookmarkStart w:id="13" w:name="_Toc387132035"/>
      <w:r>
        <w:t>D.</w:t>
      </w:r>
      <w:r>
        <w:tab/>
      </w:r>
      <w:r w:rsidR="002B61B2" w:rsidRPr="00F95936">
        <w:t>Late Payment Charge</w:t>
      </w:r>
      <w:bookmarkEnd w:id="13"/>
    </w:p>
    <w:p w:rsidR="0076396A" w:rsidRPr="0076396A" w:rsidRDefault="0076396A" w:rsidP="00EA7607">
      <w:pPr>
        <w:spacing w:line="480" w:lineRule="auto"/>
      </w:pPr>
    </w:p>
    <w:p w:rsidR="00EA7607" w:rsidRDefault="00553695" w:rsidP="00EA7607">
      <w:pPr>
        <w:spacing w:line="480" w:lineRule="auto"/>
        <w:ind w:left="720"/>
        <w:rPr>
          <w:rFonts w:ascii="Times New Roman Bold" w:hAnsi="Times New Roman Bold" w:cs="Cambria"/>
          <w:b/>
          <w:bCs/>
          <w:iCs/>
          <w:szCs w:val="28"/>
        </w:rPr>
      </w:pPr>
      <w:r>
        <w:rPr>
          <w:bCs/>
          <w:iCs/>
        </w:rPr>
        <w:t>A</w:t>
      </w:r>
      <w:r w:rsidR="009E752A">
        <w:rPr>
          <w:bCs/>
          <w:iCs/>
        </w:rPr>
        <w:t>n</w:t>
      </w:r>
      <w:r w:rsidR="002B61B2">
        <w:rPr>
          <w:bCs/>
          <w:iCs/>
        </w:rPr>
        <w:t xml:space="preserve"> </w:t>
      </w:r>
      <w:r w:rsidR="009E752A">
        <w:rPr>
          <w:bCs/>
          <w:iCs/>
        </w:rPr>
        <w:t>additional affordability concern with the Bad Debt Rider is the AEP Ohio proposal to establish a Late Payment Charge.  The Utility is proposing a Late Payment Charge of 1.5 percent for all residential service tarif</w:t>
      </w:r>
      <w:r w:rsidR="005A77D8">
        <w:rPr>
          <w:bCs/>
          <w:iCs/>
        </w:rPr>
        <w:t>f</w:t>
      </w:r>
      <w:r w:rsidR="009E752A">
        <w:rPr>
          <w:bCs/>
          <w:iCs/>
        </w:rPr>
        <w:t>s, including CRES receivables that are not paid within five days of the due date.</w:t>
      </w:r>
      <w:r w:rsidR="009E752A">
        <w:rPr>
          <w:rStyle w:val="FootnoteReference"/>
          <w:bCs/>
          <w:iCs/>
        </w:rPr>
        <w:footnoteReference w:id="63"/>
      </w:r>
      <w:r w:rsidR="009E752A">
        <w:rPr>
          <w:bCs/>
          <w:iCs/>
        </w:rPr>
        <w:t xml:space="preserve">  The Utility provided no justification for the need for a Late Payment Charge other than the fact that other utilities have late payment charges.</w:t>
      </w:r>
      <w:r w:rsidR="009E752A">
        <w:rPr>
          <w:rStyle w:val="FootnoteReference"/>
          <w:bCs/>
          <w:iCs/>
        </w:rPr>
        <w:footnoteReference w:id="64"/>
      </w:r>
      <w:r w:rsidR="009E752A">
        <w:rPr>
          <w:bCs/>
          <w:iCs/>
        </w:rPr>
        <w:t xml:space="preserve">  The </w:t>
      </w:r>
      <w:r w:rsidR="002B61B2">
        <w:rPr>
          <w:bCs/>
          <w:iCs/>
        </w:rPr>
        <w:t>U</w:t>
      </w:r>
      <w:r w:rsidR="009E752A">
        <w:rPr>
          <w:bCs/>
          <w:iCs/>
        </w:rPr>
        <w:t xml:space="preserve">tility included no studies or analysis that </w:t>
      </w:r>
      <w:r w:rsidR="002B61B2">
        <w:rPr>
          <w:bCs/>
          <w:iCs/>
        </w:rPr>
        <w:t xml:space="preserve">can be used to determine if the number of payments that are not timely paid on a monthly basis has any </w:t>
      </w:r>
      <w:r w:rsidR="004718B7">
        <w:rPr>
          <w:bCs/>
          <w:iCs/>
        </w:rPr>
        <w:t xml:space="preserve">negative </w:t>
      </w:r>
      <w:r w:rsidR="002B61B2">
        <w:rPr>
          <w:bCs/>
          <w:iCs/>
        </w:rPr>
        <w:t xml:space="preserve">financial impact </w:t>
      </w:r>
      <w:r w:rsidR="004718B7">
        <w:rPr>
          <w:bCs/>
          <w:iCs/>
        </w:rPr>
        <w:t>on the Utilit</w:t>
      </w:r>
      <w:r w:rsidR="002B61B2">
        <w:rPr>
          <w:bCs/>
          <w:iCs/>
        </w:rPr>
        <w:t>y.</w:t>
      </w:r>
      <w:r w:rsidR="009E752A">
        <w:rPr>
          <w:rStyle w:val="FootnoteReference"/>
          <w:bCs/>
          <w:iCs/>
        </w:rPr>
        <w:footnoteReference w:id="65"/>
      </w:r>
      <w:r w:rsidR="009E752A">
        <w:rPr>
          <w:bCs/>
          <w:iCs/>
        </w:rPr>
        <w:t xml:space="preserve">  AEP Ohio did not consider the impact of high electric bills and the effect on consumers’ ability to pay the bill.</w:t>
      </w:r>
      <w:r w:rsidR="009E752A">
        <w:rPr>
          <w:rStyle w:val="FootnoteReference"/>
          <w:bCs/>
          <w:iCs/>
        </w:rPr>
        <w:footnoteReference w:id="66"/>
      </w:r>
      <w:r w:rsidR="009E752A">
        <w:rPr>
          <w:bCs/>
          <w:iCs/>
        </w:rPr>
        <w:t xml:space="preserve">  The imposition of an additional 1.5% on the unpaid balance just adds to the overall unaffordability of the bill.  In addition, AEP Ohio</w:t>
      </w:r>
      <w:r w:rsidR="004718B7">
        <w:rPr>
          <w:bCs/>
          <w:iCs/>
        </w:rPr>
        <w:t>’s</w:t>
      </w:r>
      <w:r w:rsidR="009E752A">
        <w:rPr>
          <w:bCs/>
          <w:iCs/>
        </w:rPr>
        <w:t xml:space="preserve"> proposed late payment charge</w:t>
      </w:r>
      <w:r w:rsidR="004718B7">
        <w:rPr>
          <w:bCs/>
          <w:iCs/>
        </w:rPr>
        <w:t xml:space="preserve"> is significant</w:t>
      </w:r>
      <w:r w:rsidR="002B61B2">
        <w:rPr>
          <w:bCs/>
          <w:iCs/>
        </w:rPr>
        <w:t xml:space="preserve"> in terms of the number of customers who could be negatively affected</w:t>
      </w:r>
      <w:r w:rsidR="004718B7">
        <w:rPr>
          <w:bCs/>
          <w:iCs/>
        </w:rPr>
        <w:t>, and would go beyond the late payment charges that other Ohio electric utilities have</w:t>
      </w:r>
      <w:r w:rsidR="00562644">
        <w:rPr>
          <w:bCs/>
          <w:iCs/>
        </w:rPr>
        <w:t xml:space="preserve">.  For example, </w:t>
      </w:r>
      <w:r w:rsidR="009E752A">
        <w:rPr>
          <w:bCs/>
          <w:iCs/>
        </w:rPr>
        <w:t>Duke Energy does not charge</w:t>
      </w:r>
      <w:r w:rsidR="00A2409E">
        <w:rPr>
          <w:bCs/>
          <w:iCs/>
        </w:rPr>
        <w:t xml:space="preserve"> for</w:t>
      </w:r>
      <w:r w:rsidR="009E752A">
        <w:rPr>
          <w:bCs/>
          <w:iCs/>
        </w:rPr>
        <w:t xml:space="preserve"> late payment</w:t>
      </w:r>
      <w:r w:rsidR="00A2409E">
        <w:rPr>
          <w:bCs/>
          <w:iCs/>
        </w:rPr>
        <w:t>s</w:t>
      </w:r>
      <w:r w:rsidR="009E752A">
        <w:rPr>
          <w:bCs/>
          <w:iCs/>
        </w:rPr>
        <w:t xml:space="preserve"> on the unpaid account balances for CRES charges.</w:t>
      </w:r>
      <w:r w:rsidR="009E752A">
        <w:rPr>
          <w:rStyle w:val="FootnoteReference"/>
          <w:bCs/>
          <w:iCs/>
        </w:rPr>
        <w:footnoteReference w:id="67"/>
      </w:r>
      <w:r w:rsidR="009E752A">
        <w:rPr>
          <w:bCs/>
          <w:iCs/>
        </w:rPr>
        <w:t xml:space="preserve">  FirstEnergy </w:t>
      </w:r>
      <w:r w:rsidR="00FE604F">
        <w:rPr>
          <w:bCs/>
          <w:iCs/>
        </w:rPr>
        <w:t xml:space="preserve">only </w:t>
      </w:r>
      <w:r w:rsidR="009E752A">
        <w:rPr>
          <w:bCs/>
          <w:iCs/>
        </w:rPr>
        <w:t>impose</w:t>
      </w:r>
      <w:r w:rsidR="00562644">
        <w:rPr>
          <w:bCs/>
          <w:iCs/>
        </w:rPr>
        <w:t>s</w:t>
      </w:r>
      <w:r w:rsidR="009E752A">
        <w:rPr>
          <w:bCs/>
          <w:iCs/>
        </w:rPr>
        <w:t xml:space="preserve"> late payment charges on customers </w:t>
      </w:r>
      <w:r w:rsidR="00FE604F">
        <w:rPr>
          <w:bCs/>
          <w:iCs/>
        </w:rPr>
        <w:t xml:space="preserve">if the bill is not paid five days after the due date </w:t>
      </w:r>
      <w:r w:rsidR="00783A02">
        <w:rPr>
          <w:bCs/>
          <w:iCs/>
        </w:rPr>
        <w:t>as noted in its tariff.</w:t>
      </w:r>
      <w:r w:rsidR="00783A02">
        <w:rPr>
          <w:rStyle w:val="FootnoteReference"/>
          <w:bCs/>
          <w:iCs/>
        </w:rPr>
        <w:footnoteReference w:id="68"/>
      </w:r>
      <w:r w:rsidR="009E752A">
        <w:rPr>
          <w:bCs/>
          <w:iCs/>
        </w:rPr>
        <w:t xml:space="preserve">  The major natural gas utilities in Ohio only bill late payment charges if there are unpaid balances owed when the</w:t>
      </w:r>
      <w:r w:rsidR="00A2409E">
        <w:rPr>
          <w:bCs/>
          <w:iCs/>
        </w:rPr>
        <w:t>y</w:t>
      </w:r>
      <w:r w:rsidR="009E752A">
        <w:rPr>
          <w:bCs/>
          <w:iCs/>
        </w:rPr>
        <w:t xml:space="preserve"> generate the next bill</w:t>
      </w:r>
      <w:r w:rsidR="00FE604F">
        <w:rPr>
          <w:bCs/>
          <w:iCs/>
        </w:rPr>
        <w:t>.</w:t>
      </w:r>
      <w:r w:rsidR="009E752A">
        <w:rPr>
          <w:rStyle w:val="FootnoteReference"/>
          <w:bCs/>
          <w:iCs/>
        </w:rPr>
        <w:footnoteReference w:id="69"/>
      </w:r>
      <w:r w:rsidR="009E752A">
        <w:rPr>
          <w:bCs/>
          <w:iCs/>
        </w:rPr>
        <w:t xml:space="preserve">  By comparison, the AEP Ohio proposed Late Payment Charge is assessed much sooner in the collection cycle.</w:t>
      </w:r>
      <w:r w:rsidR="00EA7607">
        <w:br w:type="page"/>
      </w:r>
    </w:p>
    <w:p w:rsidR="001F0424" w:rsidRDefault="00495AB7" w:rsidP="00495AB7">
      <w:pPr>
        <w:pStyle w:val="Heading2"/>
      </w:pPr>
      <w:bookmarkStart w:id="14" w:name="_Toc387132036"/>
      <w:r>
        <w:t>E.</w:t>
      </w:r>
      <w:r>
        <w:tab/>
      </w:r>
      <w:r w:rsidR="001F0424" w:rsidRPr="00170542">
        <w:t>DIR and ESRR Riders</w:t>
      </w:r>
      <w:bookmarkEnd w:id="14"/>
    </w:p>
    <w:p w:rsidR="00F95936" w:rsidRPr="00170542" w:rsidRDefault="00F95936" w:rsidP="00F95936">
      <w:pPr>
        <w:pStyle w:val="ListParagraph"/>
        <w:spacing w:line="480" w:lineRule="auto"/>
        <w:ind w:left="1440"/>
        <w:rPr>
          <w:b/>
          <w:bCs/>
          <w:iCs/>
        </w:rPr>
      </w:pPr>
    </w:p>
    <w:p w:rsidR="004552C9" w:rsidRDefault="00434C57">
      <w:pPr>
        <w:spacing w:line="480" w:lineRule="auto"/>
        <w:ind w:left="720" w:hanging="720"/>
        <w:rPr>
          <w:bCs/>
          <w:iCs/>
        </w:rPr>
      </w:pPr>
      <w:r>
        <w:rPr>
          <w:b/>
          <w:i/>
        </w:rPr>
        <w:t>Q18</w:t>
      </w:r>
      <w:r w:rsidR="009E752A" w:rsidRPr="00F95936">
        <w:rPr>
          <w:b/>
          <w:i/>
        </w:rPr>
        <w:t>.</w:t>
      </w:r>
      <w:r w:rsidR="009E752A">
        <w:tab/>
      </w:r>
      <w:r w:rsidR="009E752A">
        <w:rPr>
          <w:b/>
          <w:bCs/>
          <w:i/>
          <w:iCs/>
        </w:rPr>
        <w:t>CAN YOU BRIEFLY DISCUSS AFFORDABILITY AND OTHER CONCERNS WITH THE AEP OHIO PROPOSAL TO CONTINUE AND EXPAND THE DIR AND ESRR RIDERS</w:t>
      </w:r>
      <w:r w:rsidR="00710BFF">
        <w:rPr>
          <w:b/>
          <w:bCs/>
          <w:i/>
          <w:iCs/>
        </w:rPr>
        <w:t xml:space="preserve"> THAT IT CHARGES TO CUSTOMERS</w:t>
      </w:r>
      <w:r w:rsidR="009E752A">
        <w:rPr>
          <w:b/>
          <w:bCs/>
          <w:i/>
          <w:iCs/>
        </w:rPr>
        <w:t>?</w:t>
      </w:r>
    </w:p>
    <w:p w:rsidR="00F95936" w:rsidRDefault="00434C57" w:rsidP="00EE3070">
      <w:pPr>
        <w:spacing w:line="480" w:lineRule="auto"/>
        <w:ind w:left="720" w:hanging="720"/>
      </w:pPr>
      <w:r>
        <w:rPr>
          <w:b/>
          <w:i/>
        </w:rPr>
        <w:t>A18</w:t>
      </w:r>
      <w:r w:rsidR="009E752A" w:rsidRPr="00F95936">
        <w:rPr>
          <w:b/>
          <w:i/>
        </w:rPr>
        <w:t>.</w:t>
      </w:r>
      <w:r w:rsidR="009E752A">
        <w:tab/>
        <w:t>AEP Ohio proposed the continuance and expansion of the expensive DIR Rider without considering the affordability impact or committing to any quantifiable reliability benefits.</w:t>
      </w:r>
      <w:r w:rsidR="009E752A">
        <w:rPr>
          <w:rStyle w:val="FootnoteReference"/>
        </w:rPr>
        <w:footnoteReference w:id="70"/>
      </w:r>
      <w:r w:rsidR="009E752A">
        <w:t xml:space="preserve">  The PUCO approved the DIR in the Modified ESP II for the purpose of expedited recovery of distribution investments that were expected to maintain or improve reliability.</w:t>
      </w:r>
      <w:r w:rsidR="009E752A">
        <w:rPr>
          <w:rStyle w:val="FootnoteReference"/>
        </w:rPr>
        <w:footnoteReference w:id="71"/>
      </w:r>
      <w:r w:rsidR="009E752A">
        <w:t xml:space="preserve">  The level of the DIR was capped at $86 million in 2012, $104 million in 2013, $124 milli</w:t>
      </w:r>
      <w:r w:rsidR="00EB6D90">
        <w:t xml:space="preserve">on in 2014, and $51.7 million for </w:t>
      </w:r>
      <w:r w:rsidR="00783A02">
        <w:t xml:space="preserve">5 </w:t>
      </w:r>
      <w:r w:rsidR="00EB6D90">
        <w:t>months in</w:t>
      </w:r>
      <w:r w:rsidR="009E752A">
        <w:t xml:space="preserve"> 2015.</w:t>
      </w:r>
      <w:r w:rsidR="009E752A">
        <w:rPr>
          <w:rStyle w:val="FootnoteReference"/>
        </w:rPr>
        <w:footnoteReference w:id="72"/>
      </w:r>
      <w:r w:rsidR="009E752A">
        <w:t xml:space="preserve">  AEP Ohio has now requested </w:t>
      </w:r>
      <w:r w:rsidR="006E3AF0">
        <w:t xml:space="preserve">to </w:t>
      </w:r>
      <w:r w:rsidR="009E752A">
        <w:t>expan</w:t>
      </w:r>
      <w:r w:rsidR="006E3AF0">
        <w:t>d</w:t>
      </w:r>
      <w:r w:rsidR="009E752A">
        <w:t xml:space="preserve"> the </w:t>
      </w:r>
      <w:r w:rsidR="006C72A5">
        <w:t xml:space="preserve">expedited recovery of </w:t>
      </w:r>
      <w:r w:rsidR="009E752A">
        <w:t>DIR</w:t>
      </w:r>
      <w:r w:rsidR="00E57FAA">
        <w:t xml:space="preserve"> charges </w:t>
      </w:r>
      <w:r w:rsidR="006E3AF0">
        <w:t>to</w:t>
      </w:r>
      <w:r w:rsidR="009E752A">
        <w:t xml:space="preserve"> $241.9 million in 2015, $214.8 million in 2016, $235 million in 2017, and 239.2 million in 2018.</w:t>
      </w:r>
      <w:r w:rsidR="009E752A">
        <w:rPr>
          <w:rStyle w:val="FootnoteReference"/>
        </w:rPr>
        <w:footnoteReference w:id="73"/>
      </w:r>
      <w:r w:rsidR="009E752A">
        <w:t xml:space="preserve">  But the original purpose of DIR was to modernize distribution infrastructure where there were quantifiable reliability improvements</w:t>
      </w:r>
      <w:r w:rsidR="0043560C">
        <w:t xml:space="preserve"> for customers</w:t>
      </w:r>
      <w:r w:rsidR="009E752A">
        <w:t>.</w:t>
      </w:r>
      <w:r w:rsidR="009E752A">
        <w:rPr>
          <w:rStyle w:val="FootnoteReference"/>
        </w:rPr>
        <w:footnoteReference w:id="74"/>
      </w:r>
      <w:r w:rsidR="009E752A">
        <w:t xml:space="preserve">  OCC Witness Effron recommends that if the PUCO approves the continuation of the DIR, it should not be expanded to include additions to general plant.</w:t>
      </w:r>
      <w:r w:rsidR="009E489E">
        <w:rPr>
          <w:rStyle w:val="FootnoteReference"/>
        </w:rPr>
        <w:footnoteReference w:id="75"/>
      </w:r>
      <w:r w:rsidR="009E752A">
        <w:t xml:space="preserve">  I recommend that the PUCO not approve continuation of the DIR. </w:t>
      </w:r>
      <w:r w:rsidR="00030965">
        <w:t xml:space="preserve"> </w:t>
      </w:r>
      <w:r w:rsidR="009E752A">
        <w:t xml:space="preserve">The </w:t>
      </w:r>
      <w:r w:rsidR="00EB6D90">
        <w:t>current DIR is</w:t>
      </w:r>
      <w:r w:rsidR="009E752A">
        <w:t xml:space="preserve"> 17.15692% of custom</w:t>
      </w:r>
      <w:r w:rsidR="00EB6D90">
        <w:t>er’s distribution charges.</w:t>
      </w:r>
      <w:r w:rsidR="00890C2D">
        <w:rPr>
          <w:rStyle w:val="FootnoteReference"/>
        </w:rPr>
        <w:footnoteReference w:id="76"/>
      </w:r>
      <w:r w:rsidR="00EB6D90">
        <w:t xml:space="preserve">  The DIR </w:t>
      </w:r>
      <w:r w:rsidR="00890C2D">
        <w:t xml:space="preserve">currently costs </w:t>
      </w:r>
      <w:r w:rsidR="009E752A">
        <w:t>$4.</w:t>
      </w:r>
      <w:r w:rsidR="00890C2D">
        <w:t>62</w:t>
      </w:r>
      <w:r w:rsidR="009E752A">
        <w:t xml:space="preserve"> per month for a residential consumer using 750kWh.</w:t>
      </w:r>
      <w:r w:rsidR="00890C2D">
        <w:rPr>
          <w:rStyle w:val="FootnoteReference"/>
        </w:rPr>
        <w:footnoteReference w:id="77"/>
      </w:r>
      <w:r w:rsidR="009E752A">
        <w:t xml:space="preserve"> </w:t>
      </w:r>
    </w:p>
    <w:p w:rsidR="00F2078A" w:rsidRDefault="00F2078A" w:rsidP="00EB6D90">
      <w:pPr>
        <w:spacing w:line="480" w:lineRule="auto"/>
        <w:ind w:left="720" w:hanging="720"/>
      </w:pPr>
    </w:p>
    <w:p w:rsidR="00DF56B2" w:rsidRPr="00F95936" w:rsidRDefault="00553695" w:rsidP="00170542">
      <w:pPr>
        <w:spacing w:line="480" w:lineRule="auto"/>
        <w:ind w:left="720" w:hanging="720"/>
        <w:rPr>
          <w:i/>
        </w:rPr>
      </w:pPr>
      <w:r w:rsidRPr="00F95936">
        <w:rPr>
          <w:b/>
          <w:i/>
        </w:rPr>
        <w:t>Q</w:t>
      </w:r>
      <w:r w:rsidR="00434C57">
        <w:rPr>
          <w:b/>
          <w:i/>
        </w:rPr>
        <w:t>19</w:t>
      </w:r>
      <w:r w:rsidR="00562644">
        <w:rPr>
          <w:i/>
        </w:rPr>
        <w:t>.</w:t>
      </w:r>
      <w:r w:rsidR="00562644">
        <w:rPr>
          <w:i/>
        </w:rPr>
        <w:tab/>
      </w:r>
      <w:r w:rsidRPr="00F95936">
        <w:rPr>
          <w:b/>
          <w:i/>
        </w:rPr>
        <w:t>B</w:t>
      </w:r>
      <w:r w:rsidR="00EA7E51" w:rsidRPr="00F95936">
        <w:rPr>
          <w:b/>
          <w:i/>
        </w:rPr>
        <w:t xml:space="preserve">EYOND THE IMPACT OF THE </w:t>
      </w:r>
      <w:r w:rsidRPr="00F95936">
        <w:rPr>
          <w:b/>
          <w:i/>
        </w:rPr>
        <w:t xml:space="preserve">DIR </w:t>
      </w:r>
      <w:r w:rsidR="00EA7E51" w:rsidRPr="00F95936">
        <w:rPr>
          <w:b/>
          <w:i/>
        </w:rPr>
        <w:t>INCREASE ON CUSTOMERS</w:t>
      </w:r>
      <w:r w:rsidR="006E5376">
        <w:rPr>
          <w:b/>
          <w:i/>
        </w:rPr>
        <w:t>’</w:t>
      </w:r>
      <w:r w:rsidR="00EA7E51" w:rsidRPr="00F95936">
        <w:rPr>
          <w:b/>
          <w:i/>
        </w:rPr>
        <w:t xml:space="preserve"> BILLS, DO YOU HAVE CONCERNS IN GENERAL WITH THE DIR?</w:t>
      </w:r>
    </w:p>
    <w:p w:rsidR="004552C9" w:rsidRDefault="00DF56B2" w:rsidP="00170542">
      <w:pPr>
        <w:spacing w:line="480" w:lineRule="auto"/>
        <w:ind w:left="720" w:hanging="720"/>
      </w:pPr>
      <w:r w:rsidRPr="00F95936">
        <w:rPr>
          <w:b/>
          <w:i/>
        </w:rPr>
        <w:t>A</w:t>
      </w:r>
      <w:r w:rsidR="00434C57">
        <w:rPr>
          <w:b/>
          <w:i/>
        </w:rPr>
        <w:t>19</w:t>
      </w:r>
      <w:r w:rsidRPr="00F95936">
        <w:rPr>
          <w:b/>
          <w:i/>
        </w:rPr>
        <w:t>.</w:t>
      </w:r>
      <w:r w:rsidR="00170542">
        <w:tab/>
      </w:r>
      <w:r>
        <w:t xml:space="preserve">Yes.  </w:t>
      </w:r>
      <w:r w:rsidR="009E752A">
        <w:t xml:space="preserve">Despite the expedited recovery of distribution investments through the DIR, </w:t>
      </w:r>
      <w:r w:rsidR="00EB6D90">
        <w:t xml:space="preserve">and a requirement to quantify reliability improvements, </w:t>
      </w:r>
      <w:r w:rsidR="009E752A">
        <w:t>t</w:t>
      </w:r>
      <w:r w:rsidR="00170542">
        <w:t xml:space="preserve">he Utility </w:t>
      </w:r>
      <w:r w:rsidR="00EB6D90">
        <w:t>has not</w:t>
      </w:r>
      <w:r w:rsidR="00170542">
        <w:t xml:space="preserve"> assure</w:t>
      </w:r>
      <w:r w:rsidR="00EB6D90">
        <w:t>d</w:t>
      </w:r>
      <w:r w:rsidR="00170542">
        <w:t xml:space="preserve"> </w:t>
      </w:r>
      <w:r w:rsidR="009E752A">
        <w:t>improved reliability</w:t>
      </w:r>
      <w:r w:rsidR="006E5376">
        <w:t xml:space="preserve"> for customers</w:t>
      </w:r>
      <w:r w:rsidR="009E752A">
        <w:t>.</w:t>
      </w:r>
      <w:r w:rsidR="009E752A">
        <w:rPr>
          <w:rStyle w:val="FootnoteReference"/>
        </w:rPr>
        <w:footnoteReference w:id="78"/>
      </w:r>
      <w:r w:rsidR="009E752A">
        <w:t xml:space="preserve">  The Utility is unable or unwilling to commit to any </w:t>
      </w:r>
      <w:r w:rsidR="00384D3F">
        <w:t>additional</w:t>
      </w:r>
      <w:r w:rsidR="009E752A">
        <w:t xml:space="preserve"> reliability improvements that customers should expect to receive as a result of paying for the DIR.</w:t>
      </w:r>
      <w:r w:rsidR="009E752A">
        <w:rPr>
          <w:rStyle w:val="FootnoteReference"/>
        </w:rPr>
        <w:footnoteReference w:id="79"/>
      </w:r>
      <w:r w:rsidR="009E752A">
        <w:t xml:space="preserve">  The PUCO required AEP Ohio to quantify the reliability improvements</w:t>
      </w:r>
      <w:r w:rsidR="00FB56A8">
        <w:t xml:space="preserve"> for customers</w:t>
      </w:r>
      <w:r w:rsidR="009E752A">
        <w:t xml:space="preserve"> that are expected through the DIR </w:t>
      </w:r>
      <w:r w:rsidR="00890C2D">
        <w:t xml:space="preserve">in </w:t>
      </w:r>
      <w:r w:rsidR="009E752A">
        <w:t>plans that are filed with the PUCO.</w:t>
      </w:r>
      <w:r w:rsidR="009E752A">
        <w:rPr>
          <w:rStyle w:val="FootnoteReference"/>
        </w:rPr>
        <w:footnoteReference w:id="80"/>
      </w:r>
    </w:p>
    <w:p w:rsidR="00F95936" w:rsidRDefault="00F95936" w:rsidP="00170542">
      <w:pPr>
        <w:spacing w:line="480" w:lineRule="auto"/>
        <w:ind w:left="720" w:hanging="720"/>
      </w:pPr>
    </w:p>
    <w:p w:rsidR="004552C9" w:rsidRDefault="009E752A" w:rsidP="00562644">
      <w:pPr>
        <w:spacing w:line="480" w:lineRule="auto"/>
        <w:ind w:left="720"/>
      </w:pPr>
      <w:r>
        <w:t>Yet, while the DIR work plans filed in cases 12-3029-EL-UNC and 13-</w:t>
      </w:r>
      <w:r w:rsidR="00D4685D">
        <w:t>2394</w:t>
      </w:r>
      <w:r>
        <w:t>-EL-UNC reflect the DIR investments that the Utility intends to make the following year</w:t>
      </w:r>
      <w:r w:rsidR="00C53A7A">
        <w:t xml:space="preserve"> (and charge to customers)</w:t>
      </w:r>
      <w:r>
        <w:t>, there is no quantification</w:t>
      </w:r>
      <w:r w:rsidR="006E3AF0">
        <w:t xml:space="preserve"> or analysis demonstrating</w:t>
      </w:r>
      <w:r>
        <w:t xml:space="preserve"> improved reliability included in the plans. </w:t>
      </w:r>
      <w:r w:rsidR="00EB6D90">
        <w:t xml:space="preserve"> </w:t>
      </w:r>
      <w:r>
        <w:t>In response to OCC discovery, AEP Ohio provided information reflecting modest reductions in outages associated with a few components of the DIR work plan.</w:t>
      </w:r>
      <w:r>
        <w:rPr>
          <w:rStyle w:val="FootnoteReference"/>
        </w:rPr>
        <w:footnoteReference w:id="81"/>
      </w:r>
      <w:r>
        <w:t xml:space="preserve">  However, as seen in </w:t>
      </w:r>
      <w:r w:rsidR="008652DA">
        <w:t xml:space="preserve">Chart 2, </w:t>
      </w:r>
      <w:r>
        <w:t>there has not been a reduction in the overall number of outages</w:t>
      </w:r>
      <w:r w:rsidR="00093AB7">
        <w:t>, number of customers interrupted</w:t>
      </w:r>
      <w:r w:rsidR="006E3AF0">
        <w:t xml:space="preserve">, and </w:t>
      </w:r>
      <w:r w:rsidR="00093AB7">
        <w:t>customer minutes interrupted (“CMI”).</w:t>
      </w:r>
    </w:p>
    <w:p w:rsidR="00563F85" w:rsidRDefault="00563F85" w:rsidP="00EB6D90">
      <w:pPr>
        <w:spacing w:line="480" w:lineRule="auto"/>
      </w:pPr>
    </w:p>
    <w:p w:rsidR="004552C9" w:rsidRDefault="008A1317">
      <w:pPr>
        <w:spacing w:line="480" w:lineRule="auto"/>
        <w:ind w:left="720"/>
        <w:jc w:val="center"/>
      </w:pPr>
      <w:r w:rsidRPr="00AA3E3B">
        <w:rPr>
          <w:b/>
          <w:bCs/>
          <w:noProof/>
          <w:lang w:bidi="he-IL"/>
        </w:rPr>
        <mc:AlternateContent>
          <mc:Choice Requires="wpg">
            <w:drawing>
              <wp:anchor distT="0" distB="0" distL="114300" distR="114300" simplePos="0" relativeHeight="251659264" behindDoc="1" locked="0" layoutInCell="1" allowOverlap="1" wp14:anchorId="0C0451F7" wp14:editId="1CC92D33">
                <wp:simplePos x="0" y="0"/>
                <wp:positionH relativeFrom="column">
                  <wp:posOffset>-18415</wp:posOffset>
                </wp:positionH>
                <wp:positionV relativeFrom="paragraph">
                  <wp:posOffset>372110</wp:posOffset>
                </wp:positionV>
                <wp:extent cx="5836920" cy="2519680"/>
                <wp:effectExtent l="0" t="0" r="11430" b="13970"/>
                <wp:wrapTight wrapText="bothSides">
                  <wp:wrapPolygon edited="0">
                    <wp:start x="0" y="0"/>
                    <wp:lineTo x="0" y="21556"/>
                    <wp:lineTo x="21572" y="21556"/>
                    <wp:lineTo x="21572" y="0"/>
                    <wp:lineTo x="0" y="0"/>
                  </wp:wrapPolygon>
                </wp:wrapTight>
                <wp:docPr id="2" name="Group 7"/>
                <wp:cNvGraphicFramePr/>
                <a:graphic xmlns:a="http://schemas.openxmlformats.org/drawingml/2006/main">
                  <a:graphicData uri="http://schemas.microsoft.com/office/word/2010/wordprocessingGroup">
                    <wpg:wgp>
                      <wpg:cNvGrpSpPr/>
                      <wpg:grpSpPr>
                        <a:xfrm>
                          <a:off x="0" y="0"/>
                          <a:ext cx="5836920" cy="2519680"/>
                          <a:chOff x="0" y="0"/>
                          <a:chExt cx="6964680" cy="2743200"/>
                        </a:xfrm>
                      </wpg:grpSpPr>
                      <wpg:graphicFrame>
                        <wpg:cNvPr id="3" name="Chart 3"/>
                        <wpg:cNvFrPr>
                          <a:graphicFrameLocks/>
                        </wpg:cNvFrPr>
                        <wpg:xfrm>
                          <a:off x="0" y="0"/>
                          <a:ext cx="2258568" cy="2743200"/>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4" name="Chart 4"/>
                        <wpg:cNvFrPr>
                          <a:graphicFrameLocks/>
                        </wpg:cNvFrPr>
                        <wpg:xfrm>
                          <a:off x="2354580" y="0"/>
                          <a:ext cx="2258568" cy="2743200"/>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5" name="Chart 5"/>
                        <wpg:cNvFrPr>
                          <a:graphicFrameLocks/>
                        </wpg:cNvFrPr>
                        <wpg:xfrm>
                          <a:off x="4709160" y="0"/>
                          <a:ext cx="2255520" cy="2743200"/>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45pt;margin-top:29.3pt;width:459.6pt;height:198.4pt;z-index:-251657216;mso-width-relative:margin;mso-height-relative:margin" coordsize="69646,27432" o:gfxdata="UEsDBBQABgAIAAAAIQAS89NFKgEAAFgDAAATAAAAW0NvbnRlbnRfVHlwZXNdLnhtbMSTTU7DMBCF&#10;90jcwfIWxW6DhBBq2gUpS0CoHMCyJ01E/COPm7a3Z5KmiyKKygZWlj3z5nt6I88WO9uyDiI23hV8&#10;KiacgdPeNG5d8PfVU3bPGSbljGq9g4LvAflifn01W+0DICO1w4LXKYUHKVHXYBUKH8BRpfLRqkTX&#10;uJZB6Q+1BplPJndSe5fApSz1M/h8VkKlNm1iyx09H5xEaJGzx0Njzyq4CqFttErkVHbOfKFkI0GQ&#10;cujBugl4Qza4/JbQV84DRt0LRRMbA+xVxfSsLNmQJqKE3Jdei59n9CYtZr6qGg2ijLgcVEdP52br&#10;mlgoh2N6AeI07RFnvN5YyliYqLa0TNuKYeBv4Pl/wm//Gm781kXoLsCe7LQk2Rt0x1zl8C/mnwA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KNz586hBAAA2QsA&#10;ABUAAABkcnMvY2hhcnRzL2NoYXJ0Mi54bWy8VktzIjcQvqcq/4GMXbWX2DDA2njKsOXFscsVe035&#10;sanKTWgaUKyRJpIGw/76dEsCBvzIZg+5gB7dra+7v+6e00+LQjbmYKzQqp+kh62kAYrrXKhpP3l8&#10;uDjoJQ3rmMqZ1Ar6yRJs8mnw80+nPOMzZtx9yTg00IiyGe8nM+fKrNm0fAYFs4e6BIV3E20K5nBr&#10;ps3csGc0Xshmu9U6anojSTTAfsBAwYRa6Zvv0deTieBwrnlVgHIBhQHJHEbAzkRpkwE6lzMH6Umr&#10;25gz2U9aSZMOJVPTcADq4PE+HBpdqRzyoTYKw1iTL3h2Jh0YhaaGWjl8LfpZfFekCmaeqvKA66JE&#10;cGMhhVt6uAgQbQ9nGv1o3MHflTBg+wlPu6tA4PJFKArBjbZ64g7RYjNEYZUNMnvc7DXbMR/obNrN&#10;rFtKCA6lrTZ521y/6yFcMCnHjD9RbGrCa9HNPSnuBoO0fPpp4YST4BcL+jWCzwanLBvrfDky+DLL&#10;pHX3BMhvSjopR4b+cpjcjUzDfkP+tlo+Vc31pZcweE256ychb1uyLHODYWWdLih9EvNkTFU6yE/R&#10;ikOfWYZGyCL+rpDhwnmgki115Tw7NJYRbmsMIKmVX6xy+oE25yABrdfEeFZK7c4MMHK9ZnHMzJCK&#10;jI5xfS5M0OJaBu5NkXwlVlM8lugGGMjD5ZyZ5VBLvUVKTBSgOzwT+WILgjY5RPOR7cFB68wdTEhj&#10;MvjwwMbIiPTDL/u/7Xez/cv9LoXE36LckGHZk2TphlgULthPA5rSNfBJKiWSmL8VcroimyVFnli1&#10;sho2HgouAzahMOTuavIFplgh88jVCJ8zHzdVFa/hv9j/SPg/rvGj3Bp/6FdDncPgErCqmfRivov5&#10;010fPeMJ9LaP7VbaJs2NSxuZNMYBZTrbMqiwARM2K7ejT9iTKIhvutbxvnX+1bm9X/f2Wj/mWtpt&#10;t3udk23kL71Luye9dmcnCO846D3D+0jS/HosLblqZ/r5Gqag8t+hXmHh5ivDGVbr0yQ9ZO4LK7Yp&#10;Qef3YF49H4Hh1KF37Xyuxsj5e/GtbgoRrqFNWfmHyN0saLZ7ge5scRVL/LibdjtH6dHL8/ZRq9sL&#10;/crX97rWMc1nvru8ZcVyJrHsKTLaCITtp1dAUAh1wxb0GsVxI5j7vrPlH1uMdJxY4wAPKXVRuMam&#10;APpJrAD8DNAVhuhaqCfIsdUGhYL9pc2D4E83OK2CceyH8U6o3TuFHxHh0qEOZncNQMHCPehwR4PK&#10;nsX+dNzdxAkHBl1BBE099U8wUYt2AUHEJsfyTE5VOOPOBON4ejuZWFi1pzAxsJr0TSWduJ5LhFUL&#10;E0ZxnQ8kx8vE1OHV4v1OYniGSdp+oqb4fqJi5/dxvzQiRx6A9fPnldz5Av8/M+cWYSb/x7nd2x3b&#10;WOgjZhjN9frgJlKvBnF4KjJiQ5Z6sb1DFn/1GdwzQMzEOGyIJJjymGlc1Wczrb8Ke6tkbEKRabmw&#10;5WcE+mTPIjWxKwS6Uc85R0bZW5xVWJjbaV9//yD76UtRnjPHGgancz8xV3kYEkTsx5K+SLeV6zoe&#10;tLfmv8gH/wAAAP//AwBQSwMEFAAGAAgAAAAhAFcWQ2MSAQAAkAEAACAAAABkcnMvY2hhcnRzL19y&#10;ZWxzL2NoYXJ0My54bWwucmVsc4SQUUvDMBSF3wX/Qwj4uKatICJth7Ju9qGrdBMR8hLb2zaaJiWJ&#10;0v177xiCA8GXe+4lud9JTrKcR0W+wDppdEqjIKQEdGNaqfuUPu/Xi1tKnBe6FcpoSOkBHF1mlxdJ&#10;DUp4XHKDnBxBinYpHbyf7hhzzQCjcIGZQONJZ+woPI62Z5NoPkQPLA7DG2Z/M2h2xiRFm1JbtBEl&#10;+8OEzv+zTdfJBlam+RxB+z8smFFQvb1D4xEqbA8+pZ1UgE9mnJf3xZbvXnf8sSpz/lAXm21e8ydr&#10;jgvuKg5XmADK2lislR8wNf4ilZJidHxjxTQcb8VhFKMsTu11MCs3/9iVpsWf5LMHq4WiLEvYWY7Z&#10;NwAAAP//AwBQSwMEFAAGAAgAAAAhAFcWQ2MSAQAAkAEAACAAAABkcnMvY2hhcnRzL19yZWxzL2No&#10;YXJ0Mi54bWwucmVsc4SQUUvDMBSF3wX/Qwj4uKatICJth7Ju9qGrdBMR8hLb2zaaJiWJ0v177xiC&#10;A8GXe+4lud9JTrKcR0W+wDppdEqjIKQEdGNaqfuUPu/Xi1tKnBe6FcpoSOkBHF1mlxdJDUp4XHKD&#10;nBxBinYpHbyf7hhzzQCjcIGZQONJZ+woPI62Z5NoPkQPLA7DG2Z/M2h2xiRFm1JbtBEl+8OEzv+z&#10;TdfJBlam+RxB+z8smFFQvb1D4xEqbA8+pZ1UgE9mnJf3xZbvXnf8sSpz/lAXm21e8ydrjgvuKg5X&#10;mADK2lislR8wNf4ilZJidHxjxTQcb8VhFKMsTu11MCs3/9iVpsWf5LMHq4WiLEvYWY7ZNwAAAP//&#10;AwBQSwMEFAAGAAgAAAAhAFcWQ2MSAQAAkAEAACAAAABkcnMvY2hhcnRzL19yZWxzL2NoYXJ0MS54&#10;bWwucmVsc4SQUUvDMBSF3wX/Qwj4uKatICJth7Ju9qGrdBMR8hLb2zaaJiWJ0v177xiCA8GXe+4l&#10;ud9JTrKcR0W+wDppdEqjIKQEdGNaqfuUPu/Xi1tKnBe6FcpoSOkBHF1mlxdJDUp4XHKDnBxBinYp&#10;Hbyf7hhzzQCjcIGZQONJZ+woPI62Z5NoPkQPLA7DG2Z/M2h2xiRFm1JbtBEl+8OEzv+zTdfJBlam&#10;+RxB+z8smFFQvb1D4xEqbA8+pZ1UgE9mnJf3xZbvXnf8sSpz/lAXm21e8ydrjgvuKg5XmADK2lis&#10;lR8wNf4ilZJidHxjxTQcb8VhFKMsTu11MCs3/9iVpsWf5LMHq4WiLEvYWY7ZNwAAAP//AwBQSwME&#10;FAAGAAgAAAAhAFfDbrXJAAAALAIAABkAAABkcnMvX3JlbHMvZTJvRG9jLnhtbC5yZWxzvJHLCsIw&#10;EEX3gv8QZm/TVhARUzciuJX6AUM6fWCbhEwU+/cGRVAQ3bm8M8y5B2a9uQ69uJDnzhoFWZKCIKNt&#10;1ZlGwbHczZYgOKCpsLeGFIzEsCmmk/WBegzxiNvOsYgUwwraENxKStYtDciJdWTiprZ+wBCjb6RD&#10;fcKGZJ6mC+lfGVC8McW+UuD31RxEObrY/Jtt67rTtLX6PJAJHyqkbtGHCETfUFBwj/yYzpNoCvKz&#10;RP4nifybRPYniewpId9+XNwAAAD//wMAUEsDBBQABgAIAAAAIQA7/X3pKQIAAF0IAAAOAAAAZHJz&#10;L2Uyb0RvYy54bWzsVstu2zAQvBfoPxC617JlSbYFyznUdVCgaA20/QCWoh6oJBJLOnL+vkuKURQ/&#10;0DRIb7nQ5mt2Z2eW9vrm2NTkjoOqRJt6s8nUI7xlIqvaIvV+/th9WHpEadpmtBYtT717rrybzft3&#10;604mPBClqDMOBEFalXQy9UqtZeL7ipW8oWoiJG9xMxfQUI1TKPwMaIfoTe0H02nsdwIyCYJxpXB1&#10;2296G4uf55zpb3muuCZ16mFu2o5gx19m9DdrmhRAZVkxlwZ9QRYNrVoMOkBtqabkANUZVFMxEErk&#10;esJE44s8rxi3HJDNbHrC5hbEQVouRdIVcigTlvakTi+GZV/v9kCqLPUCj7S0QYlsVLIwpelkkeCJ&#10;W5Df5R7cQtHPDNtjDo35RB7kaIt6PxSVHzVhuBgt5/EqwNoz3Aui2SpeurKzErU5u8fKT+5mvIpD&#10;c7i/uQjnKLjJyn8I7Jv8hnT6iVVyB8hkSN8RnD8Q/FhS0GQ+IriDPYzUs9e/CPZbmWiuCP0ZM3kO&#10;6yCIllGM5resR7mPAZzvRpGv+ubvjcAMKzQLS+w3ZxZ2ZpXnIjkA7JUTr10A6H28FezQ8Fb3jQm8&#10;phpfBVVWUnkEEmMy+JzNnISOvGFsJR2K4VQ9FdLtX5Q2fCpt+FrSBvMojIwDz239JvA1gYP/IHD0&#10;VODotQQOF9PVLL4mcBQN79ZbBz92sH058RH+lw62TY2/YeNWv9j6j/8KNn8AAAD//wMAUEsDBBQA&#10;BgAIAAAAIQCreEp44AAAAAkBAAAPAAAAZHJzL2Rvd25yZXYueG1sTI9Ba8JAFITvhf6H5Qm96SZq&#10;gsZsRKTtSQrVQuntmTyTYPZtyK5J/PfdnupxmGHmm3Q76kb01NnasIJwFoAgzk1Rc6ng6/Q2XYGw&#10;DrnAxjApuJOFbfb8lGJSmIE/qT+6UvgStgkqqJxrEyltXpFGOzMtsfcuptPovOxKWXQ4+HLdyHkQ&#10;xFJjzX6hwpb2FeXX400reB9w2C3C1/5wvezvP6fo4/sQklIvk3G3AeFodP9h+MP36JB5prO5cWFF&#10;o2A6X/ukgmgVg/D+OowXIM4KllG0BJml8vFB9gsAAP//AwBQSwMEFAAGAAgAAAAhALqOAvCsBAAA&#10;7wsAABUAAABkcnMvY2hhcnRzL2NoYXJ0My54bWy8VltT4zYUfu9M/4NrmNmXgu2QhcRDshPCsKWF&#10;JcNlO9M3RVYSFVlyJTkk++t7jqQkNrDsdh/6kkjnpvOdq08/rEoRLZk2XMlBnB2mccQkVQWX80H8&#10;cH9x0IsjY4ksiFCSDeI1M/GH4c8/ndKcLoi2dxWhLAIj0uR0EC+srfIkMXTBSmIOVcUk8GZKl8TC&#10;Vc+TQpMnMF6KpJOmx4kzEgcD5AcMlITLjb7+Hn01m3HKzhWtSyat90IzQSxEwCx4ZeIhgCuIZVk/&#10;7UZLIgZxGidIFETOPYHJg4c7T9SqlgUrxkpLCGNDvqT5SFimJZgaK2nhtYCz/K5IlUQ/1tUBVWUF&#10;zk254Hbt3AUHwfZ4oQBHdMv+qblmZhDTrLsJBBxfhKLkVCujZvYQLCY+CptsoNmTpJd0Qj4AbNbN&#10;jV0L5gFlaQfRJtt3nQsXRIgpoY8Ym4bwVnTHR8XnwUAtl348WG4Fc4cV/mpOF8NTkk9VsZ5oeJnk&#10;wtg7dMhdKqRUE41/BZvdTnRkvgzifuoylWx5TkADF1M3iH3amqIkt8NxbawqmY6uuawtM5GAZGld&#10;V5YVp2DLAnCSgym0C78b9+BgnbeCrFVtXYko6CW4NsoApTbgSG3VPV7OmWBgvSFG80ooO9KMIP6G&#10;xSnRY+w0JMP5nGuvRZXwBTiHCqygpQJZABqmWeGZS6LXYyVUqzIhWwzg0JwXq5YLShcQhmbJe4DG&#10;6ls2Q43Z8N09mUJZZO9+2f9tv5vv/77fxZA4LsiNCfQ+SlZ2DJ1hvbXMe1PZCJ7EfkKJ5TcijxJo&#10;usIEYIVtjPuL8wiO3kUuIfL2cvaJzaFblqFuQ+NS4sIn6/I1GJf77xHG+y0MkNvC8LNrrAo2/Mig&#10;w4lwYm6iOepzqK760ek21E6adVBzB2knk4VwgMxRWwYUds74ywZ2wATJwlh+FdqRw3b0TXB7v+7t&#10;pT8K7Tjtn/T6x23fX8GXZZ0s7fedM7tAvAHSoQN+qNfiaioMwjUL9XTF5kwWf7Bms3nOZwI7rTG3&#10;UXpM7CdStssC6XdMv0qfME1xYj+3c1ZPofzv+JemKfBw69qcVH/ywi68ZqfnK5+sLkO3Z51jCNVR&#10;r/uS0e9nJ0eZH5+u2beND8keuVHzVTuGEgFDAIOjNAfP3ULzTpRcXpMVvoeh3AkWbgq1IJLVRIUl&#10;NvUOQmVdlDba9cEgDo0AXwaqhihdcfnICvh68Aol+Vvpe04fr2GBeeMwHQOPy+c8Cd8VnmlBBxK8&#10;dUCylb1Xnoe7y4zCtMo6jUjBEkEejG2XKhyxfzEd1PDm6cE5MRUjMZeeRq321oF6M5sZtplWfo1A&#10;V6nrWlh+tRTgl9fxCwYe3WQEXn2ZmpZ/jYi/kRqaQ5rabzQU305V2AQu8h81L6ASmHH76JXsuU7/&#10;P3NnV35R/8dl3nu+zKHbJ0QTXPbNdY5lvVnM/qlQErtyaXXcG+XiWGfMPjEWUjH1FywT6J2Qazg1&#10;lzWeP3NzI0UYRaHWCm6qM/D00YxCccJs8AWHk+ccasrcwNaC3mznfftVBA2A34/inFgSaVjXg1hf&#10;Fn5dYGk/VPid2lZu6jinnTX3nT78FwAA//8DAFBLAwQUAAYACAAAACEAqJtjcZAEAAC3CwAAFQAA&#10;AGRycy9jaGFydHMvY2hhcnQxLnhtbLxWS28jNwy+F+h/cCcB9tLEzyTuIPbCsZtF0GRj5LEFepM1&#10;tK1GI00l2bH315eU5PFMmmbTPfRi60FSH8mP5Jx/3OSysQZjhVaDpH3cShqguM6EWgySx4fLo37S&#10;sI6pjEmtYJBswSYfhz/+cM5TvmTG3ReMQwONKJvyQbJ0rkibTcuXkDN7rAtQeDfXJmcOt2bRzAx7&#10;RuO5bHZardOmN5JEA+w7DORMqJ2+eY++ns8Fh4nmqxyUCygMSOYwAnYpCpsM0bmMOWj/0uo11kwO&#10;klbSpEPJ1CIcgDp6vA+HRq9UBtlYG4VhrMjnPB1JB0ahqbFWDl+LfubvilTOzNOqOOI6LxDcTEjh&#10;th4uAkTb46VGPxp38NdKGLCDhLd7u0Dg8h+hyAU32uq5O0aLzRCFXTbI7Fmz3+zEfKCz7V5q3VZC&#10;cKjd6pC3zfJdD+GSSTlj/IliUxEuRff3pPgyGKTl008LJ5wEv9jQrxF8OTxn6Uxn26nBl1kqrbsn&#10;QH5T0EkxNfSXwfxuahr2K/K31fKpapaXXsLgNeVukIS81WRZ6oa/rjE59hzVHDrJUtQiE/i7g4IL&#10;55FJttUr5+mgsW5wW0k5Se0cYSunH2gzAQkOsooYTwup3cgAI18rFmfMjKmq6BjXE2GCFtcykG2B&#10;bCuwfOKxXFkkGGThcs3MdqylrrEQMwPoDk9FtqlB0CaDaD7SOzhonbmDOWnMhx8e2Awp0P7w0+HF&#10;YS89nBz2KCT+FuXGDOucJAs3xipwwX47oClcA5+k2iGJdRljWpORgkJNvNmZCRv/Ni4DGKEwxu5q&#10;/hkWWAPryMaIlzMfKLXKXwM8PjwhwCclYJQrAYeONNYZDD8B1i2TXsz3KX/60inPaQJdd6rTandI&#10;c+/SXqYdHUeZbl0GFfZgwmbndvQJuw5F7V9d63rfut907uDng4PW97nW7Xb63/St2++c9t/tnPcK&#10;/Y2MzK5n0pKbdqmfr2EBKvsNquUUbr4wnFCVLkzSY+Y+s7xOBzq/B/Pq+RQMp/770s7FaoYEvxdf&#10;q6YQYQltwYrfReaWQbPTD9xmm6tYz2fdk1bvtBcZWTs/63RPQiv0xVwWNqZ45FtJTbpixXImscYp&#10;MtoIhO1nU0CQC3XDNoSC4rgXzHyTqfnHNlMd59EswEY6XeausSf/IInsxyGvVxiia6GeIMNGGhRy&#10;9qc2D4I/3eAsCsax+cU7oV7eKfxECJcOdTC7JQAFG/egwx2NITuKzQjjV8YJxwFdQQRNDfQPMFGL&#10;dgFBxCZnciQXKpxxZ4JxPL2dzy3selGYB1hJ+mYlnbheS4RVCRNGscwHkuOVxFTgVeL9RmJ4ikmq&#10;P1FRfDtRsc37uH8yIkMegPXD5pXc+eL+PzPnNmHi/sep3H85lLHQp8wwmtrVsUyk3k3d8FRkRIUs&#10;lTJ5gyz+6gLcM0DMxCxsiCSY8phpXFUHMa2/CHurZGxCkWmZsMUFAn2yo0hN7AqBbtRzJsgoe4tz&#10;Cguznvby6wbZT9+BcsIcaxgcxYPEXGVhQBCxHwv63qwrV3U8aG/Nf28P/wYAAP//AwBQSwECLQAU&#10;AAYACAAAACEAEvPTRSoBAABYAwAAEwAAAAAAAAAAAAAAAAAAAAAAW0NvbnRlbnRfVHlwZXNdLnht&#10;bFBLAQItABQABgAIAAAAIQA4/SH/1gAAAJQBAAALAAAAAAAAAAAAAAAAAFsBAABfcmVscy8ucmVs&#10;c1BLAQItABQABgAIAAAAIQCjc+fOoQQAANkLAAAVAAAAAAAAAAAAAAAAAFoCAABkcnMvY2hhcnRz&#10;L2NoYXJ0Mi54bWxQSwECLQAUAAYACAAAACEAVxZDYxIBAACQAQAAIAAAAAAAAAAAAAAAAAAuBwAA&#10;ZHJzL2NoYXJ0cy9fcmVscy9jaGFydDMueG1sLnJlbHNQSwECLQAUAAYACAAAACEAVxZDYxIBAACQ&#10;AQAAIAAAAAAAAAAAAAAAAAB+CAAAZHJzL2NoYXJ0cy9fcmVscy9jaGFydDIueG1sLnJlbHNQSwEC&#10;LQAUAAYACAAAACEAVxZDYxIBAACQAQAAIAAAAAAAAAAAAAAAAADOCQAAZHJzL2NoYXJ0cy9fcmVs&#10;cy9jaGFydDEueG1sLnJlbHNQSwECLQAUAAYACAAAACEAV8NutckAAAAsAgAAGQAAAAAAAAAAAAAA&#10;AAAeCwAAZHJzL19yZWxzL2Uyb0RvYy54bWwucmVsc1BLAQItABQABgAIAAAAIQA7/X3pKQIAAF0I&#10;AAAOAAAAAAAAAAAAAAAAAB4MAABkcnMvZTJvRG9jLnhtbFBLAQItABQABgAIAAAAIQCreEp44AAA&#10;AAkBAAAPAAAAAAAAAAAAAAAAAHMOAABkcnMvZG93bnJldi54bWxQSwECLQAUAAYACAAAACEAuo4C&#10;8KwEAADvCwAAFQAAAAAAAAAAAAAAAACADwAAZHJzL2NoYXJ0cy9jaGFydDMueG1sUEsBAi0AFAAG&#10;AAgAAAAhAKibY3GQBAAAtwsAABUAAAAAAAAAAAAAAAAAXxQAAGRycy9jaGFydHMvY2hhcnQxLnht&#10;bFBLBQYAAAAACwALAO0CAAAi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s1027" type="#_x0000_t75" style="position:absolute;left:-72;top:-66;width:22766;height:275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sc7&#10;CMQAAADaAAAADwAAAGRycy9kb3ducmV2LnhtbESPQWvCQBSE70L/w/IK3nQTBZHoGkqp0F5q1cbz&#10;M/tMQrNv4+6qaX99tyD0OMzMN8wy700rruR8Y1lBOk5AEJdWN1wp+NyvR3MQPiBrbC2Tgm/ykK8e&#10;BkvMtL3xlq67UIkIYZ+hgjqELpPSlzUZ9GPbEUfvZJ3BEKWrpHZ4i3DTykmSzKTBhuNCjR0911R+&#10;7S5Gwdvs5V2eg9lcPg5Ht9n/pOeiKJQaPvZPCxCB+vAfvrdftYIp/F2JN0CufgEAAP//AwBQSwEC&#10;LQAUAAYACAAAACEAtoM4kv4AAADhAQAAEwAAAAAAAAAAAAAAAAAAAAAAW0NvbnRlbnRfVHlwZXNd&#10;LnhtbFBLAQItABQABgAIAAAAIQA4/SH/1gAAAJQBAAALAAAAAAAAAAAAAAAAAC8BAABfcmVscy8u&#10;cmVsc1BLAQItABQABgAIAAAAIQAzLwWeQQAAADkAAAAOAAAAAAAAAAAAAAAAAC4CAABkcnMvZTJv&#10;RG9jLnhtbFBLAQItABQABgAIAAAAIQCWxzsIxAAAANoAAAAPAAAAAAAAAAAAAAAAAJsCAABkcnMv&#10;ZG93bnJldi54bWxQSwUGAAAAAAQABADzAAAAjAMAAAAA&#10;">
                  <v:imagedata r:id="rId22" o:title=""/>
                  <o:lock v:ext="edit" aspectratio="f"/>
                </v:shape>
                <v:shape id="Chart 4" o:spid="_x0000_s1028" type="#_x0000_t75" style="position:absolute;left:23494;top:-66;width:22694;height:275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60a&#10;2cEAAADaAAAADwAAAGRycy9kb3ducmV2LnhtbESP0YrCMBRE34X9h3AXfNPURVSqaekuKD6J1v2A&#10;u821LTY3pclq9euNIPg4zMwZZpX2phEX6lxtWcFkHIEgLqyuuVTwe1yPFiCcR9bYWCYFN3KQJh+D&#10;FcbaXvlAl9yXIkDYxaig8r6NpXRFRQbd2LbEwTvZzqAPsiul7vAa4KaRX1E0kwZrDgsVtvRTUXHO&#10;/42C71n2t2vr6X2eb/a6mMvsVmKm1PCzz5YgPPX+HX61t1rBFJ5Xwg2QyQMAAP//AwBQSwECLQAU&#10;AAYACAAAACEAtoM4kv4AAADhAQAAEwAAAAAAAAAAAAAAAAAAAAAAW0NvbnRlbnRfVHlwZXNdLnht&#10;bFBLAQItABQABgAIAAAAIQA4/SH/1gAAAJQBAAALAAAAAAAAAAAAAAAAAC8BAABfcmVscy8ucmVs&#10;c1BLAQItABQABgAIAAAAIQAzLwWeQQAAADkAAAAOAAAAAAAAAAAAAAAAAC4CAABkcnMvZTJvRG9j&#10;LnhtbFBLAQItABQABgAIAAAAIQDfrRrZwQAAANoAAAAPAAAAAAAAAAAAAAAAAJsCAABkcnMvZG93&#10;bnJldi54bWxQSwUGAAAAAAQABADzAAAAiQMAAAAA&#10;">
                  <v:imagedata r:id="rId23" o:title=""/>
                  <o:lock v:ext="edit" aspectratio="f"/>
                </v:shape>
                <v:shape id="Chart 5" o:spid="_x0000_s1029" type="#_x0000_t75" style="position:absolute;left:46988;top:-66;width:22695;height:275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hBT&#10;4cUAAADaAAAADwAAAGRycy9kb3ducmV2LnhtbESPQWvCQBSE74X+h+UVems2tUZK6iq1KuTQi7Gi&#10;x0f2maRm34bs1sR/3xUEj8PMfMNM54NpxJk6V1tW8BrFIIgLq2suFfxs1y/vIJxH1thYJgUXcjCf&#10;PT5MMdW25w2dc1+KAGGXooLK+zaV0hUVGXSRbYmDd7SdQR9kV0rdYR/gppGjOJ5IgzWHhQpb+qqo&#10;OOV/RsHhlG3GyeLbXt4OTbzfHZd29btU6vlp+PwA4Wnw9/CtnWkFCVyvhBsgZ/8AAAD//wMAUEsB&#10;Ai0AFAAGAAgAAAAhALaDOJL+AAAA4QEAABMAAAAAAAAAAAAAAAAAAAAAAFtDb250ZW50X1R5cGVz&#10;XS54bWxQSwECLQAUAAYACAAAACEAOP0h/9YAAACUAQAACwAAAAAAAAAAAAAAAAAvAQAAX3JlbHMv&#10;LnJlbHNQSwECLQAUAAYACAAAACEAMy8FnkEAAAA5AAAADgAAAAAAAAAAAAAAAAAuAgAAZHJzL2Uy&#10;b0RvYy54bWxQSwECLQAUAAYACAAAACEAhhBT4cUAAADaAAAADwAAAAAAAAAAAAAAAACbAgAAZHJz&#10;L2Rvd25yZXYueG1sUEsFBgAAAAAEAAQA8wAAAI0DAAAAAA==&#10;">
                  <v:imagedata r:id="rId24" o:title=""/>
                  <o:lock v:ext="edit" aspectratio="f"/>
                </v:shape>
                <w10:wrap type="tight"/>
              </v:group>
            </w:pict>
          </mc:Fallback>
        </mc:AlternateContent>
      </w:r>
      <w:r w:rsidR="008652DA" w:rsidRPr="00AA3E3B">
        <w:rPr>
          <w:b/>
          <w:bCs/>
        </w:rPr>
        <w:t>Chart 2</w:t>
      </w:r>
      <w:r w:rsidR="009E752A" w:rsidRPr="00AA3E3B">
        <w:rPr>
          <w:b/>
          <w:bCs/>
        </w:rPr>
        <w:t>:</w:t>
      </w:r>
      <w:r w:rsidR="00AA3E3B">
        <w:rPr>
          <w:b/>
          <w:bCs/>
        </w:rPr>
        <w:t xml:space="preserve"> </w:t>
      </w:r>
      <w:r w:rsidR="009E752A" w:rsidRPr="00AA3E3B">
        <w:rPr>
          <w:b/>
          <w:bCs/>
        </w:rPr>
        <w:t xml:space="preserve"> AEP Ohio Outages 201</w:t>
      </w:r>
      <w:r w:rsidRPr="00AA3E3B">
        <w:rPr>
          <w:b/>
          <w:bCs/>
        </w:rPr>
        <w:t>2</w:t>
      </w:r>
      <w:r w:rsidR="009E752A" w:rsidRPr="00AA3E3B">
        <w:rPr>
          <w:b/>
          <w:bCs/>
        </w:rPr>
        <w:t xml:space="preserve"> - 2013</w:t>
      </w:r>
      <w:r w:rsidR="00D02ECB">
        <w:rPr>
          <w:rStyle w:val="FootnoteReference"/>
        </w:rPr>
        <w:footnoteReference w:id="82"/>
      </w:r>
    </w:p>
    <w:p w:rsidR="0076396A" w:rsidRDefault="0076396A" w:rsidP="005500F6">
      <w:pPr>
        <w:spacing w:line="480" w:lineRule="auto"/>
        <w:ind w:left="720"/>
      </w:pPr>
    </w:p>
    <w:p w:rsidR="005500F6" w:rsidRDefault="00093AB7" w:rsidP="005500F6">
      <w:pPr>
        <w:spacing w:line="480" w:lineRule="auto"/>
        <w:ind w:left="720"/>
      </w:pPr>
      <w:r>
        <w:t>Even with the DIR in 2013, the reliability of the distribution system as measured by number of outages, customer interruptions, and CMI did not significantly change between 2012 and 2013.  In fact, there was a</w:t>
      </w:r>
      <w:r w:rsidR="006C72A5">
        <w:t>n approximate 15</w:t>
      </w:r>
      <w:r w:rsidR="00562644">
        <w:t xml:space="preserve"> </w:t>
      </w:r>
      <w:r>
        <w:t>percent increase in the number of outages, a 5.03 percent increase in the number of customers interrupted and a 2.4 percent increase in CMI.</w:t>
      </w:r>
      <w:r w:rsidR="005500F6">
        <w:br w:type="page"/>
      </w:r>
    </w:p>
    <w:p w:rsidR="004552C9" w:rsidRDefault="009E752A">
      <w:pPr>
        <w:spacing w:line="480" w:lineRule="auto"/>
        <w:ind w:left="720"/>
      </w:pPr>
      <w:r>
        <w:t>Since AEP Ohio has not and will not quantify the</w:t>
      </w:r>
      <w:r w:rsidR="00C53A7A">
        <w:t xml:space="preserve"> customers benefits of</w:t>
      </w:r>
      <w:r>
        <w:t xml:space="preserve"> </w:t>
      </w:r>
      <w:r w:rsidR="00EB6D90">
        <w:t xml:space="preserve">reliability improvements </w:t>
      </w:r>
      <w:r>
        <w:t>associated with the DIR, the PUCO is unable to assess the priority of continuing the DIR given the more apparent and immediate need of reducing AEP Ohio</w:t>
      </w:r>
      <w:r w:rsidR="00C53A7A">
        <w:t>’s</w:t>
      </w:r>
      <w:r>
        <w:t xml:space="preserve"> bills.  AEP Ohio even acknowledges that there needs to be a balance </w:t>
      </w:r>
      <w:r w:rsidR="00C53A7A">
        <w:t xml:space="preserve">for customers </w:t>
      </w:r>
      <w:r>
        <w:t>between low costs and acceptable levels of reliability.</w:t>
      </w:r>
      <w:r>
        <w:rPr>
          <w:rStyle w:val="FootnoteReference"/>
        </w:rPr>
        <w:footnoteReference w:id="83"/>
      </w:r>
    </w:p>
    <w:p w:rsidR="00F95936" w:rsidRDefault="00F95936">
      <w:pPr>
        <w:spacing w:line="480" w:lineRule="auto"/>
        <w:ind w:left="720"/>
      </w:pPr>
    </w:p>
    <w:p w:rsidR="004552C9" w:rsidRDefault="009E752A" w:rsidP="009F2D7B">
      <w:pPr>
        <w:spacing w:line="480" w:lineRule="auto"/>
        <w:ind w:left="720"/>
      </w:pPr>
      <w:r>
        <w:t>There is no indication in the AEP Ohio ESP III Application that the Utility is unable to continue meeting its reliability service standards if the DIR is not continued and expanded to include General Plant Accounts.  In addition, accord</w:t>
      </w:r>
      <w:r w:rsidR="00E96FA6">
        <w:t>ing to the Utility</w:t>
      </w:r>
      <w:r>
        <w:t xml:space="preserve"> response to OCC-INT-13-310 (attached herein as JDW-</w:t>
      </w:r>
      <w:r w:rsidR="00783A02">
        <w:t>1</w:t>
      </w:r>
      <w:r w:rsidR="006C72A5">
        <w:t>4</w:t>
      </w:r>
      <w:r>
        <w:t>), AEP Ohio is not claiming that reliability will declin</w:t>
      </w:r>
      <w:r w:rsidR="00562644">
        <w:t>e if the DIR is not continued.</w:t>
      </w:r>
    </w:p>
    <w:p w:rsidR="00F95936" w:rsidRDefault="00F95936" w:rsidP="009F2D7B">
      <w:pPr>
        <w:spacing w:line="480" w:lineRule="auto"/>
        <w:ind w:left="720"/>
      </w:pPr>
    </w:p>
    <w:p w:rsidR="005500F6" w:rsidRDefault="009E752A" w:rsidP="005500F6">
      <w:pPr>
        <w:spacing w:line="480" w:lineRule="auto"/>
        <w:ind w:left="720"/>
      </w:pPr>
      <w:r>
        <w:t>One final issue is that AEP Ohio proposed the continuance and expansion of the Enhanced Service Reliability Rid</w:t>
      </w:r>
      <w:r w:rsidR="00030965">
        <w:t xml:space="preserve">er </w:t>
      </w:r>
      <w:r>
        <w:t>without regard to the impact that an incremental $25 million in “enhanced” vegetation management will have on customers.</w:t>
      </w:r>
      <w:r>
        <w:rPr>
          <w:rStyle w:val="FootnoteReference"/>
        </w:rPr>
        <w:footnoteReference w:id="84"/>
      </w:r>
      <w:r>
        <w:t xml:space="preserve">  The PUCO has authorized and approved sufficient funding for the Utility to transition to a four-year cycle based vegetation management program.</w:t>
      </w:r>
      <w:r>
        <w:rPr>
          <w:rStyle w:val="FootnoteReference"/>
        </w:rPr>
        <w:footnoteReference w:id="85"/>
      </w:r>
      <w:r>
        <w:t xml:space="preserve">  Continued recovery of both Operation</w:t>
      </w:r>
      <w:r w:rsidR="00497CDE">
        <w:t>s</w:t>
      </w:r>
      <w:r>
        <w:t xml:space="preserve"> and Maintenance (“O&amp;M”) and capital costs related to tree-trimming should be included in the distribution base rates </w:t>
      </w:r>
      <w:r w:rsidR="00030965">
        <w:t>where all</w:t>
      </w:r>
      <w:r w:rsidR="00497CDE">
        <w:t xml:space="preserve"> AEP Ohio expenses and capital costs can be reviewed.</w:t>
      </w:r>
    </w:p>
    <w:p w:rsidR="005500F6" w:rsidRDefault="005500F6" w:rsidP="005500F6">
      <w:pPr>
        <w:spacing w:line="480" w:lineRule="auto"/>
        <w:ind w:left="720"/>
      </w:pPr>
    </w:p>
    <w:p w:rsidR="004552C9" w:rsidRPr="005500F6" w:rsidRDefault="00495AB7" w:rsidP="00495AB7">
      <w:pPr>
        <w:pStyle w:val="Heading2"/>
      </w:pPr>
      <w:bookmarkStart w:id="15" w:name="_Toc387132037"/>
      <w:r>
        <w:t>F.</w:t>
      </w:r>
      <w:r>
        <w:tab/>
      </w:r>
      <w:r w:rsidR="00A75466" w:rsidRPr="005500F6">
        <w:t>Elimination of the Standard T</w:t>
      </w:r>
      <w:r w:rsidR="00773080">
        <w:t>ime of Use</w:t>
      </w:r>
      <w:r w:rsidR="00A75466" w:rsidRPr="005500F6">
        <w:t xml:space="preserve"> Tariffs</w:t>
      </w:r>
      <w:bookmarkEnd w:id="15"/>
      <w:r w:rsidR="009E752A" w:rsidRPr="005500F6">
        <w:t xml:space="preserve">  </w:t>
      </w:r>
    </w:p>
    <w:p w:rsidR="005500F6" w:rsidRPr="00170542" w:rsidRDefault="005500F6" w:rsidP="005500F6">
      <w:pPr>
        <w:pStyle w:val="ListParagraph"/>
        <w:spacing w:line="480" w:lineRule="auto"/>
        <w:ind w:left="1440"/>
        <w:rPr>
          <w:b/>
        </w:rPr>
      </w:pPr>
    </w:p>
    <w:p w:rsidR="004552C9" w:rsidRPr="005500F6" w:rsidRDefault="00434C57" w:rsidP="005500F6">
      <w:pPr>
        <w:spacing w:line="480" w:lineRule="auto"/>
        <w:ind w:left="720" w:hanging="720"/>
        <w:rPr>
          <w:b/>
          <w:i/>
        </w:rPr>
      </w:pPr>
      <w:r>
        <w:rPr>
          <w:b/>
          <w:i/>
        </w:rPr>
        <w:t>Q20</w:t>
      </w:r>
      <w:r w:rsidR="009E752A" w:rsidRPr="005500F6">
        <w:rPr>
          <w:b/>
          <w:i/>
        </w:rPr>
        <w:t>.</w:t>
      </w:r>
      <w:r w:rsidR="009E752A" w:rsidRPr="005500F6">
        <w:rPr>
          <w:b/>
          <w:i/>
        </w:rPr>
        <w:tab/>
        <w:t xml:space="preserve">DO YOU HAVE </w:t>
      </w:r>
      <w:r w:rsidR="00260E33">
        <w:rPr>
          <w:b/>
          <w:i/>
        </w:rPr>
        <w:t xml:space="preserve">CUSTOMER </w:t>
      </w:r>
      <w:r w:rsidR="009E752A" w:rsidRPr="005500F6">
        <w:rPr>
          <w:b/>
          <w:i/>
        </w:rPr>
        <w:t>AFFORDABILITY CONCERNS WITH THE AEP OHIO PROPOSAL TO ELLIMINATE THE STANDARD TOU TARIFF?</w:t>
      </w:r>
    </w:p>
    <w:p w:rsidR="00DF56B2" w:rsidRDefault="00434C57" w:rsidP="002F2D51">
      <w:pPr>
        <w:spacing w:line="480" w:lineRule="auto"/>
        <w:ind w:left="720" w:hanging="720"/>
      </w:pPr>
      <w:r>
        <w:rPr>
          <w:b/>
          <w:i/>
        </w:rPr>
        <w:t>A20</w:t>
      </w:r>
      <w:r w:rsidR="009E752A">
        <w:rPr>
          <w:b/>
        </w:rPr>
        <w:t>.</w:t>
      </w:r>
      <w:r w:rsidR="009E752A">
        <w:tab/>
        <w:t>Yes.  AEP Ohio proposed</w:t>
      </w:r>
      <w:r w:rsidR="00DF56B2">
        <w:t xml:space="preserve"> to </w:t>
      </w:r>
      <w:r w:rsidR="009E752A">
        <w:t>eliminat</w:t>
      </w:r>
      <w:r w:rsidR="00DF56B2">
        <w:t xml:space="preserve">e </w:t>
      </w:r>
      <w:r w:rsidR="009E752A">
        <w:t>the standard Time of Use (“TOU”) tariffs</w:t>
      </w:r>
      <w:r w:rsidR="00EB6D90">
        <w:t xml:space="preserve">.  </w:t>
      </w:r>
      <w:r w:rsidR="00DF56B2">
        <w:t xml:space="preserve">TOU rates are a tool that </w:t>
      </w:r>
      <w:r w:rsidR="00EB0823">
        <w:t xml:space="preserve">can </w:t>
      </w:r>
      <w:r w:rsidR="00DF56B2">
        <w:t xml:space="preserve">enable </w:t>
      </w:r>
      <w:r w:rsidR="009E752A">
        <w:t>customers to better manage their electric usage to reduce their electric bill.</w:t>
      </w:r>
      <w:r w:rsidR="009E752A">
        <w:rPr>
          <w:rStyle w:val="FootnoteReference"/>
        </w:rPr>
        <w:footnoteReference w:id="86"/>
      </w:r>
      <w:r w:rsidR="009E752A">
        <w:t xml:space="preserve">  </w:t>
      </w:r>
      <w:r w:rsidR="00260E33">
        <w:t>But</w:t>
      </w:r>
      <w:r w:rsidR="00DF56B2">
        <w:t xml:space="preserve"> AEP recommends taking away a means for customers to control their electric bills.</w:t>
      </w:r>
    </w:p>
    <w:p w:rsidR="002F2D51" w:rsidRDefault="002F2D51" w:rsidP="002F2D51">
      <w:pPr>
        <w:spacing w:line="480" w:lineRule="auto"/>
        <w:ind w:left="720" w:hanging="720"/>
      </w:pPr>
    </w:p>
    <w:p w:rsidR="005500F6" w:rsidRDefault="009E752A" w:rsidP="003653FC">
      <w:pPr>
        <w:spacing w:line="480" w:lineRule="auto"/>
        <w:ind w:left="720"/>
      </w:pPr>
      <w:r>
        <w:t>AEP Ohio claims that TOU service is more appropriately obtained in the market from CRES providers.  However, based upon a review of the PUCO O</w:t>
      </w:r>
      <w:r w:rsidR="00C7626A">
        <w:t>hio Energy Choice W</w:t>
      </w:r>
      <w:r w:rsidR="00562644">
        <w:t>ebsite (JDW-</w:t>
      </w:r>
      <w:r w:rsidR="002F0220">
        <w:t>5</w:t>
      </w:r>
      <w:r>
        <w:t>), there are no readily available TOU offers for these customers to enroll in.  Upwards of 915 customers who have been on TOU rates for substantial periods of time could be impacted if the PUCO approves the elimination of these tariff offers.</w:t>
      </w:r>
      <w:r>
        <w:rPr>
          <w:rStyle w:val="FootnoteReference"/>
        </w:rPr>
        <w:footnoteReference w:id="87"/>
      </w:r>
      <w:r w:rsidR="00030965">
        <w:t xml:space="preserve"> </w:t>
      </w:r>
      <w:r>
        <w:t xml:space="preserve"> </w:t>
      </w:r>
      <w:r w:rsidR="009C30B2">
        <w:t>Furthermore, AEP Ohio acknowledges being unaware of any CRES offers for residential TOU service.</w:t>
      </w:r>
      <w:r w:rsidR="009C30B2">
        <w:rPr>
          <w:rStyle w:val="FootnoteReference"/>
        </w:rPr>
        <w:footnoteReference w:id="88"/>
      </w:r>
    </w:p>
    <w:p w:rsidR="004552C9" w:rsidRDefault="009E752A">
      <w:pPr>
        <w:spacing w:line="480" w:lineRule="auto"/>
        <w:ind w:left="720"/>
      </w:pPr>
      <w:r>
        <w:t>OCC has recommended that the Electric Distribution Utilities retain demand, load, or time</w:t>
      </w:r>
      <w:r w:rsidR="00260E33">
        <w:t>-</w:t>
      </w:r>
      <w:r>
        <w:t>differentiated pricing as a tariff</w:t>
      </w:r>
      <w:r w:rsidR="00260E33">
        <w:t>-</w:t>
      </w:r>
      <w:r>
        <w:t>based option to the standard service offer.</w:t>
      </w:r>
      <w:r>
        <w:rPr>
          <w:rStyle w:val="FootnoteReference"/>
        </w:rPr>
        <w:footnoteReference w:id="89"/>
      </w:r>
      <w:r>
        <w:t xml:space="preserve">  Time</w:t>
      </w:r>
      <w:r w:rsidR="00260E33">
        <w:t>-</w:t>
      </w:r>
      <w:r>
        <w:t>differentiated pricing by the utilities</w:t>
      </w:r>
      <w:r w:rsidR="00260E33">
        <w:t>,</w:t>
      </w:r>
      <w:r>
        <w:t xml:space="preserve"> with a level of PUCO oversight that accompanies a tariffed program</w:t>
      </w:r>
      <w:r w:rsidR="00260E33">
        <w:t>,</w:t>
      </w:r>
      <w:r>
        <w:t xml:space="preserve"> is necessary as the market emerges for these more specialized types of offers.  </w:t>
      </w:r>
      <w:r w:rsidR="009C30B2">
        <w:t>Customers could be harmed by elimination of the utility’s TOU tariff, as the utility’s TOU tariff provides the benefit of PUCO review of a service offering that has the potential for customer confusion.  T</w:t>
      </w:r>
      <w:r>
        <w:t>he majority of the electric utilities in the state continue to have tariff</w:t>
      </w:r>
      <w:r w:rsidR="008541B9">
        <w:t>-</w:t>
      </w:r>
      <w:r w:rsidR="00E92FBC">
        <w:t>based TOU offers.</w:t>
      </w:r>
    </w:p>
    <w:p w:rsidR="005500F6" w:rsidRDefault="005500F6">
      <w:pPr>
        <w:spacing w:line="480" w:lineRule="auto"/>
        <w:ind w:left="720"/>
      </w:pPr>
    </w:p>
    <w:p w:rsidR="005500F6" w:rsidRDefault="009E752A" w:rsidP="00E92FBC">
      <w:pPr>
        <w:spacing w:line="480" w:lineRule="auto"/>
        <w:ind w:left="720"/>
      </w:pPr>
      <w:r>
        <w:t>AEP Ohio previously sought PUCO approval to end the opportunity for residential customers to voluntarily participate in the experimental dynamic and time-differentiated pricing options that are available through the gridSMART Phase I initiative.</w:t>
      </w:r>
      <w:r>
        <w:rPr>
          <w:rStyle w:val="FootnoteReference"/>
        </w:rPr>
        <w:footnoteReference w:id="90"/>
      </w:r>
      <w:r>
        <w:t xml:space="preserve">  </w:t>
      </w:r>
      <w:r w:rsidR="00DF56B2">
        <w:t>Elimination of the experimental pricing options can have an immediate impact on the 9,000 customers who are participating in the programs.</w:t>
      </w:r>
      <w:r w:rsidR="00DF56B2">
        <w:rPr>
          <w:rStyle w:val="FootnoteReference"/>
        </w:rPr>
        <w:footnoteReference w:id="91"/>
      </w:r>
      <w:r w:rsidR="00DF56B2">
        <w:t xml:space="preserve">  </w:t>
      </w:r>
      <w:r>
        <w:t xml:space="preserve">I am concerned about the elimination of these pricing options </w:t>
      </w:r>
      <w:r w:rsidR="00E8339E">
        <w:t>when</w:t>
      </w:r>
      <w:r>
        <w:t xml:space="preserve"> AEP Ohio</w:t>
      </w:r>
      <w:r w:rsidR="007B22E0">
        <w:t>’s</w:t>
      </w:r>
      <w:r>
        <w:t xml:space="preserve"> bills are so high and customers have few options to reduce their bills.  </w:t>
      </w:r>
      <w:r w:rsidR="009C30B2">
        <w:t>TOU rates a</w:t>
      </w:r>
      <w:r w:rsidR="008B0B33">
        <w:t xml:space="preserve">re supposed </w:t>
      </w:r>
      <w:r w:rsidR="009C30B2">
        <w:t>to be an alleged benefit of the grid</w:t>
      </w:r>
      <w:r w:rsidR="00030965">
        <w:t>SMART</w:t>
      </w:r>
      <w:r w:rsidR="009C30B2">
        <w:t xml:space="preserve">/meter costs that customers </w:t>
      </w:r>
      <w:r w:rsidR="008B0B33">
        <w:t xml:space="preserve">are </w:t>
      </w:r>
      <w:r w:rsidR="009C30B2">
        <w:t>pay</w:t>
      </w:r>
      <w:r w:rsidR="008B0B33">
        <w:t>ing for.</w:t>
      </w:r>
      <w:r w:rsidR="0076396A">
        <w:rPr>
          <w:rStyle w:val="FootnoteReference"/>
        </w:rPr>
        <w:footnoteReference w:id="92"/>
      </w:r>
      <w:r w:rsidR="008B0B33">
        <w:t xml:space="preserve">  </w:t>
      </w:r>
      <w:r>
        <w:t>OCC filed comments opposing this waiver on the basis that customers should be obtaining the benefits from the time</w:t>
      </w:r>
      <w:r w:rsidR="002106FA">
        <w:t>-</w:t>
      </w:r>
      <w:r>
        <w:t>differentiated pricing capabilities available from the advanced meters installed as part of the gridSMART Phase I program.</w:t>
      </w:r>
      <w:r>
        <w:rPr>
          <w:rStyle w:val="FootnoteReference"/>
        </w:rPr>
        <w:footnoteReference w:id="93"/>
      </w:r>
    </w:p>
    <w:p w:rsidR="00030965" w:rsidRDefault="00030965" w:rsidP="00170542">
      <w:pPr>
        <w:spacing w:line="480" w:lineRule="auto"/>
        <w:ind w:left="720"/>
      </w:pPr>
    </w:p>
    <w:p w:rsidR="004552C9" w:rsidRDefault="00DF56B2">
      <w:pPr>
        <w:spacing w:line="480" w:lineRule="auto"/>
        <w:ind w:left="720"/>
      </w:pPr>
      <w:r>
        <w:t xml:space="preserve">Additionally, </w:t>
      </w:r>
      <w:r w:rsidR="009E752A">
        <w:t>eliminati</w:t>
      </w:r>
      <w:r>
        <w:t xml:space="preserve">ng </w:t>
      </w:r>
      <w:r w:rsidR="009E752A">
        <w:t>the experimental pricing option may thwart the development of these types of competitive pricing options in the future.  The Commission should evaluate the experimental pricing programs that were made available to customers in the gridSMART Phase I program to determine the benefits and level of savings (if any) that customers can obtain through time</w:t>
      </w:r>
      <w:r w:rsidR="00712F71">
        <w:t>-</w:t>
      </w:r>
      <w:r w:rsidR="009E752A">
        <w:t>differentiated offers.</w:t>
      </w:r>
    </w:p>
    <w:p w:rsidR="005500F6" w:rsidRDefault="005500F6">
      <w:pPr>
        <w:spacing w:line="480" w:lineRule="auto"/>
        <w:ind w:left="720"/>
      </w:pPr>
    </w:p>
    <w:p w:rsidR="005500F6" w:rsidRDefault="009E752A" w:rsidP="005500F6">
      <w:pPr>
        <w:spacing w:line="480" w:lineRule="auto"/>
        <w:ind w:left="720"/>
      </w:pPr>
      <w:r>
        <w:t xml:space="preserve">Part of this evaluation </w:t>
      </w:r>
      <w:r w:rsidR="00A75466">
        <w:t xml:space="preserve">involving data exchange protocols should </w:t>
      </w:r>
      <w:r>
        <w:t>occur in the ensuing dialogue between the PUCO Staff, EDU’s, CRES providers, and consumer representatives in the Market Development Working Group that was recently established by the PUCO.</w:t>
      </w:r>
      <w:r w:rsidR="00A75466">
        <w:rPr>
          <w:rStyle w:val="FootnoteReference"/>
        </w:rPr>
        <w:footnoteReference w:id="94"/>
      </w:r>
      <w:r w:rsidR="005500F6">
        <w:br w:type="page"/>
      </w:r>
    </w:p>
    <w:p w:rsidR="002F3AFA" w:rsidRDefault="00495AB7" w:rsidP="00AA3E3B">
      <w:pPr>
        <w:pStyle w:val="Heading2"/>
      </w:pPr>
      <w:bookmarkStart w:id="16" w:name="_Toc387132038"/>
      <w:r>
        <w:t>G.</w:t>
      </w:r>
      <w:r>
        <w:tab/>
      </w:r>
      <w:r w:rsidR="002F3AFA" w:rsidRPr="00E96FA6">
        <w:t>GridSMART P</w:t>
      </w:r>
      <w:r w:rsidR="00AA3E3B">
        <w:t>hase</w:t>
      </w:r>
      <w:r w:rsidR="002F3AFA" w:rsidRPr="00E96FA6">
        <w:t xml:space="preserve"> II</w:t>
      </w:r>
      <w:bookmarkEnd w:id="16"/>
    </w:p>
    <w:p w:rsidR="005500F6" w:rsidRPr="00E96FA6" w:rsidRDefault="005500F6" w:rsidP="005500F6">
      <w:pPr>
        <w:pStyle w:val="ListParagraph"/>
        <w:spacing w:line="480" w:lineRule="auto"/>
        <w:ind w:left="1440"/>
        <w:rPr>
          <w:b/>
        </w:rPr>
      </w:pPr>
    </w:p>
    <w:p w:rsidR="004552C9" w:rsidRPr="005500F6" w:rsidRDefault="009E752A" w:rsidP="002F3AFA">
      <w:pPr>
        <w:spacing w:line="480" w:lineRule="auto"/>
        <w:ind w:left="720" w:hanging="720"/>
        <w:rPr>
          <w:b/>
          <w:i/>
        </w:rPr>
      </w:pPr>
      <w:r w:rsidRPr="005500F6">
        <w:rPr>
          <w:b/>
          <w:i/>
        </w:rPr>
        <w:t>Q</w:t>
      </w:r>
      <w:r w:rsidR="00434C57">
        <w:rPr>
          <w:b/>
          <w:i/>
        </w:rPr>
        <w:t>21</w:t>
      </w:r>
      <w:r w:rsidRPr="005500F6">
        <w:rPr>
          <w:b/>
          <w:i/>
        </w:rPr>
        <w:t>.</w:t>
      </w:r>
      <w:r w:rsidRPr="005500F6">
        <w:rPr>
          <w:b/>
          <w:i/>
        </w:rPr>
        <w:tab/>
        <w:t xml:space="preserve">DO YOU HAVE ANY OTHER </w:t>
      </w:r>
      <w:r w:rsidR="009B2342">
        <w:rPr>
          <w:b/>
          <w:i/>
        </w:rPr>
        <w:t xml:space="preserve">CUSTOMER </w:t>
      </w:r>
      <w:r w:rsidRPr="005500F6">
        <w:rPr>
          <w:b/>
          <w:i/>
        </w:rPr>
        <w:t xml:space="preserve">AFFORDABILITY CONCERNS? </w:t>
      </w:r>
    </w:p>
    <w:p w:rsidR="00DF56B2" w:rsidRDefault="009E752A" w:rsidP="00E96FA6">
      <w:pPr>
        <w:spacing w:line="480" w:lineRule="auto"/>
        <w:ind w:left="720" w:hanging="720"/>
      </w:pPr>
      <w:r w:rsidRPr="005500F6">
        <w:rPr>
          <w:b/>
          <w:i/>
        </w:rPr>
        <w:t>A</w:t>
      </w:r>
      <w:r w:rsidR="00434C57">
        <w:rPr>
          <w:b/>
          <w:i/>
        </w:rPr>
        <w:t>21</w:t>
      </w:r>
      <w:r>
        <w:rPr>
          <w:b/>
        </w:rPr>
        <w:t>.</w:t>
      </w:r>
      <w:r>
        <w:tab/>
      </w:r>
      <w:r w:rsidR="002F3AFA">
        <w:t xml:space="preserve">Yes.  </w:t>
      </w:r>
      <w:r>
        <w:t xml:space="preserve">AEP Ohio filed an Application for approval of the </w:t>
      </w:r>
      <w:r w:rsidR="00A8700C">
        <w:t>gridSMART</w:t>
      </w:r>
      <w:r>
        <w:t xml:space="preserve"> Phase II program.</w:t>
      </w:r>
      <w:r>
        <w:rPr>
          <w:rStyle w:val="FootnoteReference"/>
        </w:rPr>
        <w:footnoteReference w:id="95"/>
      </w:r>
      <w:r>
        <w:t xml:space="preserve">  The Utility claims that it expects to receive approval </w:t>
      </w:r>
      <w:r w:rsidR="000301A1">
        <w:t>to charge customers for</w:t>
      </w:r>
      <w:r>
        <w:t xml:space="preserve"> gridSMART Phase II costs prior to receiving an Order for the ESP III.</w:t>
      </w:r>
      <w:r>
        <w:rPr>
          <w:rStyle w:val="FootnoteReference"/>
        </w:rPr>
        <w:footnoteReference w:id="96"/>
      </w:r>
      <w:r>
        <w:t xml:space="preserve">  The Utility further proposes that the current gridSMART Rider be used to </w:t>
      </w:r>
      <w:r w:rsidR="00DA0F09">
        <w:t xml:space="preserve">charge customers for </w:t>
      </w:r>
      <w:r>
        <w:t>gridSMART Phase II costs and that remaining gridSMART Phase I costs be rolled into the DIR</w:t>
      </w:r>
      <w:r w:rsidR="00DA0F09">
        <w:t xml:space="preserve"> for customers to pay</w:t>
      </w:r>
      <w:r>
        <w:t>.</w:t>
      </w:r>
      <w:r>
        <w:rPr>
          <w:rStyle w:val="FootnoteReference"/>
        </w:rPr>
        <w:footnoteReference w:id="97"/>
      </w:r>
    </w:p>
    <w:p w:rsidR="00E92FBC" w:rsidRDefault="00E92FBC" w:rsidP="00E96FA6">
      <w:pPr>
        <w:spacing w:line="480" w:lineRule="auto"/>
        <w:ind w:left="720" w:hanging="720"/>
      </w:pPr>
    </w:p>
    <w:p w:rsidR="005500F6" w:rsidRDefault="009E752A" w:rsidP="00E92FBC">
      <w:pPr>
        <w:spacing w:line="480" w:lineRule="auto"/>
        <w:ind w:left="720"/>
      </w:pPr>
      <w:r>
        <w:t xml:space="preserve">I am concerned that </w:t>
      </w:r>
      <w:r w:rsidR="00DF56B2">
        <w:t xml:space="preserve">charging </w:t>
      </w:r>
      <w:r>
        <w:t>residential customers several more dollars on a monthly basis to pay for gridSMART Phase II program exa</w:t>
      </w:r>
      <w:r w:rsidR="00384D3F">
        <w:t>cerbates</w:t>
      </w:r>
      <w:r>
        <w:t xml:space="preserve"> the affordability issues that are addressed in this testimony.</w:t>
      </w:r>
      <w:r>
        <w:rPr>
          <w:rStyle w:val="FootnoteReference"/>
        </w:rPr>
        <w:footnoteReference w:id="98"/>
      </w:r>
      <w:r>
        <w:t xml:space="preserve"> </w:t>
      </w:r>
      <w:r w:rsidR="00E92FBC">
        <w:t xml:space="preserve"> </w:t>
      </w:r>
      <w:r>
        <w:t>The evaluation of the gridSMART Phase I program was completed and submitted to the PUCO in March 2014.</w:t>
      </w:r>
      <w:r w:rsidR="00E92FBC">
        <w:t xml:space="preserve"> </w:t>
      </w:r>
      <w:r>
        <w:t xml:space="preserve"> Until there has been a complete review of the Phase I program</w:t>
      </w:r>
      <w:r w:rsidR="00384D3F">
        <w:t>,</w:t>
      </w:r>
      <w:r w:rsidR="002F3AFA">
        <w:t xml:space="preserve"> </w:t>
      </w:r>
      <w:r w:rsidR="00384D3F">
        <w:t>t</w:t>
      </w:r>
      <w:r>
        <w:t>he PUCO should not authorize AEP Ohio to begin gridSMART Phase II</w:t>
      </w:r>
      <w:r w:rsidR="00384D3F">
        <w:t>.</w:t>
      </w:r>
      <w:r w:rsidR="009F2D7B">
        <w:t xml:space="preserve">  </w:t>
      </w:r>
      <w:r w:rsidR="00DF56B2">
        <w:t>Additio</w:t>
      </w:r>
      <w:r w:rsidR="004627AE">
        <w:t xml:space="preserve">nally, </w:t>
      </w:r>
      <w:r>
        <w:t>there</w:t>
      </w:r>
      <w:r w:rsidR="004627AE">
        <w:t xml:space="preserve"> </w:t>
      </w:r>
      <w:r w:rsidR="00DF56B2">
        <w:t xml:space="preserve">should be </w:t>
      </w:r>
      <w:r>
        <w:t>an opportunity for full vetting of the issues by stakeholders</w:t>
      </w:r>
      <w:r w:rsidR="00D57F4A">
        <w:t>, including by representatives of the customers that would pay the costs</w:t>
      </w:r>
      <w:r>
        <w:t>.</w:t>
      </w:r>
    </w:p>
    <w:p w:rsidR="00E92FBC" w:rsidRDefault="00E92FBC" w:rsidP="00E92FBC">
      <w:pPr>
        <w:spacing w:line="480" w:lineRule="auto"/>
        <w:ind w:left="720"/>
      </w:pPr>
    </w:p>
    <w:p w:rsidR="002D4FB4" w:rsidRDefault="002D4FB4" w:rsidP="00AA3E3B">
      <w:pPr>
        <w:pStyle w:val="Heading2"/>
      </w:pPr>
      <w:bookmarkStart w:id="17" w:name="_Toc387132039"/>
      <w:bookmarkStart w:id="18" w:name="_Toc200862193"/>
      <w:bookmarkStart w:id="19" w:name="_Toc200862239"/>
      <w:bookmarkStart w:id="20" w:name="_Toc200862280"/>
      <w:bookmarkStart w:id="21" w:name="_Toc250355738"/>
      <w:bookmarkStart w:id="22" w:name="_Toc264032016"/>
      <w:bookmarkStart w:id="23" w:name="_Toc317859577"/>
      <w:bookmarkStart w:id="24" w:name="_Toc317859765"/>
      <w:bookmarkStart w:id="25" w:name="_Toc386462076"/>
      <w:r w:rsidRPr="002D4FB4">
        <w:t>H.</w:t>
      </w:r>
      <w:r w:rsidRPr="002D4FB4">
        <w:tab/>
      </w:r>
      <w:r w:rsidR="00AA3E3B">
        <w:t xml:space="preserve">Pilot Throughput </w:t>
      </w:r>
      <w:r w:rsidR="00AA3E3B" w:rsidRPr="002D4FB4">
        <w:t>Balancing Adjustment Rider</w:t>
      </w:r>
      <w:bookmarkEnd w:id="17"/>
    </w:p>
    <w:p w:rsidR="00E11E2F" w:rsidRDefault="00E11E2F" w:rsidP="002D4FB4">
      <w:pPr>
        <w:spacing w:line="480" w:lineRule="auto"/>
        <w:ind w:left="720"/>
        <w:rPr>
          <w:b/>
          <w:i/>
        </w:rPr>
      </w:pPr>
    </w:p>
    <w:p w:rsidR="002D4FB4" w:rsidRDefault="00434C57" w:rsidP="002D4FB4">
      <w:pPr>
        <w:spacing w:line="480" w:lineRule="auto"/>
        <w:ind w:left="720" w:hanging="720"/>
        <w:rPr>
          <w:b/>
          <w:i/>
        </w:rPr>
      </w:pPr>
      <w:r>
        <w:rPr>
          <w:b/>
          <w:i/>
        </w:rPr>
        <w:t>Q22</w:t>
      </w:r>
      <w:r w:rsidR="002D4FB4">
        <w:rPr>
          <w:b/>
          <w:i/>
        </w:rPr>
        <w:t>.</w:t>
      </w:r>
      <w:r w:rsidR="002D4FB4">
        <w:rPr>
          <w:b/>
          <w:i/>
        </w:rPr>
        <w:tab/>
        <w:t>DO YOU HAVE ANY CONCERNS WITH THE PILOT THROUGHPUT BALANCING ADJUSTMENT RIDER?</w:t>
      </w:r>
    </w:p>
    <w:p w:rsidR="002D4FB4" w:rsidRDefault="00434C57" w:rsidP="002D4FB4">
      <w:pPr>
        <w:spacing w:line="480" w:lineRule="auto"/>
        <w:ind w:left="720" w:hanging="720"/>
      </w:pPr>
      <w:r>
        <w:rPr>
          <w:b/>
          <w:i/>
        </w:rPr>
        <w:t>A22</w:t>
      </w:r>
      <w:r w:rsidR="002D4FB4" w:rsidRPr="00E11E2F">
        <w:rPr>
          <w:b/>
          <w:i/>
        </w:rPr>
        <w:t>.</w:t>
      </w:r>
      <w:r w:rsidR="002D4FB4" w:rsidRPr="002D4FB4">
        <w:rPr>
          <w:i/>
        </w:rPr>
        <w:tab/>
      </w:r>
      <w:r w:rsidR="002D4FB4" w:rsidRPr="00E11E2F">
        <w:t>Yes.  AEP Witness Moore proposed continuation of the pilot throughput balancing adjustment through the term of the ESP III.</w:t>
      </w:r>
      <w:r w:rsidR="00EE43E2" w:rsidRPr="00E11E2F">
        <w:rPr>
          <w:rStyle w:val="FootnoteReference"/>
        </w:rPr>
        <w:footnoteReference w:id="99"/>
      </w:r>
    </w:p>
    <w:p w:rsidR="00E11E2F" w:rsidRPr="00E11E2F" w:rsidRDefault="00E11E2F" w:rsidP="002D4FB4">
      <w:pPr>
        <w:spacing w:line="480" w:lineRule="auto"/>
        <w:ind w:left="720" w:hanging="720"/>
      </w:pPr>
    </w:p>
    <w:p w:rsidR="002D4FB4" w:rsidRDefault="002D4FB4" w:rsidP="002D4FB4">
      <w:pPr>
        <w:spacing w:line="480" w:lineRule="auto"/>
        <w:ind w:left="720" w:hanging="720"/>
        <w:rPr>
          <w:b/>
          <w:i/>
        </w:rPr>
      </w:pPr>
      <w:r w:rsidRPr="00AD2CAD">
        <w:rPr>
          <w:b/>
          <w:i/>
        </w:rPr>
        <w:t>Q</w:t>
      </w:r>
      <w:r w:rsidR="00434C57">
        <w:rPr>
          <w:b/>
          <w:i/>
        </w:rPr>
        <w:t>23</w:t>
      </w:r>
      <w:r w:rsidRPr="00AD2CAD">
        <w:rPr>
          <w:b/>
          <w:i/>
        </w:rPr>
        <w:t>.</w:t>
      </w:r>
      <w:r w:rsidRPr="00AD2CAD">
        <w:rPr>
          <w:b/>
          <w:i/>
        </w:rPr>
        <w:tab/>
      </w:r>
      <w:r>
        <w:rPr>
          <w:b/>
          <w:i/>
        </w:rPr>
        <w:t>DO YOU AGREE WITH THIS PROPOSAL?</w:t>
      </w:r>
    </w:p>
    <w:p w:rsidR="00AA3E3B" w:rsidRDefault="002D4FB4" w:rsidP="00AA3E3B">
      <w:pPr>
        <w:spacing w:line="480" w:lineRule="auto"/>
        <w:ind w:left="720" w:hanging="720"/>
        <w:rPr>
          <w:rFonts w:ascii="Times New Roman Bold" w:hAnsi="Times New Roman Bold" w:cs="Times New Roman Bold"/>
          <w:b/>
          <w:bCs/>
          <w:caps/>
          <w:kern w:val="32"/>
        </w:rPr>
      </w:pPr>
      <w:r w:rsidRPr="00E11E2F">
        <w:rPr>
          <w:b/>
          <w:i/>
        </w:rPr>
        <w:t>A</w:t>
      </w:r>
      <w:r w:rsidR="00434C57">
        <w:rPr>
          <w:b/>
          <w:i/>
        </w:rPr>
        <w:t>23</w:t>
      </w:r>
      <w:r>
        <w:t>.</w:t>
      </w:r>
      <w:r>
        <w:tab/>
        <w:t>No.  This rider was created as part of a Stipulation in AEP’s last distribution rate case.</w:t>
      </w:r>
      <w:r w:rsidR="00D925F1">
        <w:rPr>
          <w:rStyle w:val="FootnoteReference"/>
        </w:rPr>
        <w:footnoteReference w:id="100"/>
      </w:r>
      <w:r>
        <w:t xml:space="preserve">  It was established on a pilot basis for further evaluation in connection with AEP’s Energy Efficiency/Peak Demand Reduction plan.  Since it was designed to be assessed as part of AEP’s EE/PDR plan, any extension of the pilot should be addressed in connection with extension of AEP’s EE/PDR plan.</w:t>
      </w:r>
      <w:r w:rsidR="00AA3E3B">
        <w:br w:type="page"/>
      </w:r>
    </w:p>
    <w:p w:rsidR="004552C9" w:rsidRDefault="0027799D" w:rsidP="00EA7607">
      <w:pPr>
        <w:pStyle w:val="Heading1"/>
        <w:ind w:left="0" w:firstLine="0"/>
      </w:pPr>
      <w:bookmarkStart w:id="26" w:name="_Toc387132040"/>
      <w:r>
        <w:t>v</w:t>
      </w:r>
      <w:r w:rsidR="009E752A">
        <w:t>.</w:t>
      </w:r>
      <w:r w:rsidR="009E752A">
        <w:tab/>
        <w:t>CONCLUSION</w:t>
      </w:r>
      <w:bookmarkEnd w:id="18"/>
      <w:bookmarkEnd w:id="19"/>
      <w:bookmarkEnd w:id="20"/>
      <w:bookmarkEnd w:id="21"/>
      <w:bookmarkEnd w:id="22"/>
      <w:bookmarkEnd w:id="23"/>
      <w:bookmarkEnd w:id="24"/>
      <w:bookmarkEnd w:id="25"/>
      <w:bookmarkEnd w:id="26"/>
    </w:p>
    <w:p w:rsidR="005500F6" w:rsidRPr="005500F6" w:rsidRDefault="005500F6" w:rsidP="005500F6">
      <w:pPr>
        <w:spacing w:line="480" w:lineRule="auto"/>
      </w:pPr>
    </w:p>
    <w:p w:rsidR="004552C9" w:rsidRPr="005500F6" w:rsidRDefault="009E752A" w:rsidP="005500F6">
      <w:pPr>
        <w:pStyle w:val="ANSWER"/>
        <w:ind w:left="720"/>
        <w:rPr>
          <w:b/>
          <w:bCs/>
          <w:i/>
          <w:iCs/>
        </w:rPr>
      </w:pPr>
      <w:r w:rsidRPr="005500F6">
        <w:rPr>
          <w:b/>
          <w:bCs/>
          <w:i/>
          <w:iCs/>
        </w:rPr>
        <w:t>Q2</w:t>
      </w:r>
      <w:r w:rsidR="00434C57">
        <w:rPr>
          <w:b/>
          <w:bCs/>
          <w:i/>
          <w:iCs/>
        </w:rPr>
        <w:t>4</w:t>
      </w:r>
      <w:r w:rsidRPr="005500F6">
        <w:rPr>
          <w:b/>
          <w:bCs/>
          <w:i/>
          <w:iCs/>
        </w:rPr>
        <w:t>.</w:t>
      </w:r>
      <w:r w:rsidRPr="005500F6">
        <w:rPr>
          <w:b/>
          <w:bCs/>
          <w:i/>
          <w:iCs/>
        </w:rPr>
        <w:tab/>
        <w:t>DOES THIS CONCLUDE YOUR TESTIMONY?</w:t>
      </w:r>
      <w:r w:rsidRPr="005500F6">
        <w:rPr>
          <w:b/>
          <w:bCs/>
          <w:i/>
          <w:iCs/>
        </w:rPr>
        <w:tab/>
      </w:r>
    </w:p>
    <w:p w:rsidR="004552C9" w:rsidRDefault="009E752A" w:rsidP="00E92FBC">
      <w:pPr>
        <w:pStyle w:val="BodyTextIndent3"/>
        <w:ind w:left="720" w:hanging="720"/>
        <w:sectPr w:rsidR="004552C9" w:rsidSect="00F95936">
          <w:headerReference w:type="even" r:id="rId25"/>
          <w:headerReference w:type="default" r:id="rId26"/>
          <w:footerReference w:type="default" r:id="rId27"/>
          <w:headerReference w:type="first" r:id="rId28"/>
          <w:pgSz w:w="12240" w:h="15840" w:code="1"/>
          <w:pgMar w:top="1440" w:right="1800" w:bottom="1440" w:left="1800" w:header="720" w:footer="720" w:gutter="0"/>
          <w:lnNumType w:countBy="1"/>
          <w:pgNumType w:start="1"/>
          <w:cols w:space="720"/>
        </w:sectPr>
      </w:pPr>
      <w:r w:rsidRPr="005500F6">
        <w:rPr>
          <w:b/>
          <w:bCs/>
          <w:i/>
          <w:iCs/>
        </w:rPr>
        <w:t>A2</w:t>
      </w:r>
      <w:r w:rsidR="00434C57">
        <w:rPr>
          <w:b/>
          <w:bCs/>
          <w:i/>
          <w:iCs/>
        </w:rPr>
        <w:t>4</w:t>
      </w:r>
      <w:r w:rsidRPr="005500F6">
        <w:rPr>
          <w:b/>
          <w:bCs/>
          <w:i/>
          <w:iCs/>
        </w:rPr>
        <w:t>.</w:t>
      </w:r>
      <w:r>
        <w:rPr>
          <w:b/>
          <w:bCs/>
          <w:i/>
          <w:iCs/>
        </w:rPr>
        <w:tab/>
      </w:r>
      <w:r>
        <w:t>Yes.  However, I reserve the right to incorporate new information that may subsequently become available through outstanding discovery or otherwise.</w:t>
      </w:r>
    </w:p>
    <w:p w:rsidR="004552C9" w:rsidRDefault="009E752A">
      <w:pPr>
        <w:spacing w:line="480" w:lineRule="auto"/>
        <w:jc w:val="center"/>
      </w:pPr>
      <w:r>
        <w:rPr>
          <w:b/>
          <w:bCs/>
          <w:u w:val="single"/>
        </w:rPr>
        <w:t>CERTIFICATE OF SERVICE</w:t>
      </w:r>
    </w:p>
    <w:p w:rsidR="004552C9" w:rsidRDefault="009E752A">
      <w:pPr>
        <w:suppressAutoHyphens/>
        <w:spacing w:line="480" w:lineRule="auto"/>
        <w:ind w:firstLine="720"/>
        <w:rPr>
          <w:spacing w:val="-3"/>
        </w:rPr>
      </w:pPr>
      <w:r>
        <w:rPr>
          <w:spacing w:val="-3"/>
        </w:rPr>
        <w:t xml:space="preserve">It is hereby certified that a true copy of the foregoing </w:t>
      </w:r>
      <w:r>
        <w:rPr>
          <w:i/>
          <w:iCs/>
          <w:spacing w:val="-3"/>
        </w:rPr>
        <w:t xml:space="preserve">Testimony of James D. Williams on Behalf of the Office of the Ohio Consumers’ Counsel </w:t>
      </w:r>
      <w:r>
        <w:rPr>
          <w:spacing w:val="-3"/>
        </w:rPr>
        <w:t xml:space="preserve">has been served via </w:t>
      </w:r>
      <w:r w:rsidR="005500F6">
        <w:rPr>
          <w:spacing w:val="-3"/>
        </w:rPr>
        <w:t xml:space="preserve">electronic transmission </w:t>
      </w:r>
      <w:r>
        <w:rPr>
          <w:spacing w:val="-3"/>
        </w:rPr>
        <w:t>this 6th day of May 2014.</w:t>
      </w:r>
    </w:p>
    <w:p w:rsidR="004552C9" w:rsidRDefault="004552C9">
      <w:pPr>
        <w:pStyle w:val="EndnoteText"/>
        <w:widowControl/>
        <w:tabs>
          <w:tab w:val="left" w:pos="-720"/>
        </w:tabs>
        <w:suppressAutoHyphens/>
        <w:rPr>
          <w:spacing w:val="-3"/>
        </w:rPr>
      </w:pPr>
    </w:p>
    <w:p w:rsidR="004552C9" w:rsidRDefault="004552C9">
      <w:pPr>
        <w:pStyle w:val="EndnoteText"/>
        <w:widowControl/>
        <w:tabs>
          <w:tab w:val="left" w:pos="-720"/>
        </w:tabs>
        <w:suppressAutoHyphens/>
        <w:rPr>
          <w:spacing w:val="-3"/>
        </w:rPr>
      </w:pPr>
    </w:p>
    <w:p w:rsidR="004552C9" w:rsidRPr="005500F6" w:rsidRDefault="009E752A">
      <w:pPr>
        <w:pStyle w:val="EndnoteText"/>
        <w:widowControl/>
        <w:rPr>
          <w:sz w:val="24"/>
          <w:szCs w:val="24"/>
          <w:u w:val="single"/>
        </w:rPr>
      </w:pPr>
      <w:r>
        <w:tab/>
      </w:r>
      <w:r>
        <w:tab/>
      </w:r>
      <w:r>
        <w:tab/>
      </w:r>
      <w:r>
        <w:tab/>
      </w:r>
      <w:r>
        <w:tab/>
      </w:r>
      <w:r w:rsidRPr="005500F6">
        <w:rPr>
          <w:sz w:val="24"/>
          <w:szCs w:val="24"/>
        </w:rPr>
        <w:tab/>
      </w:r>
      <w:r w:rsidR="005500F6" w:rsidRPr="005500F6">
        <w:rPr>
          <w:i/>
          <w:sz w:val="24"/>
          <w:szCs w:val="24"/>
          <w:u w:val="single"/>
        </w:rPr>
        <w:t>/s/ Maureen R. Grady</w:t>
      </w:r>
      <w:r w:rsidRPr="005500F6">
        <w:rPr>
          <w:sz w:val="24"/>
          <w:szCs w:val="24"/>
        </w:rPr>
        <w:t>________________</w:t>
      </w:r>
    </w:p>
    <w:p w:rsidR="004552C9" w:rsidRDefault="009E752A">
      <w:pPr>
        <w:pStyle w:val="EndnoteText"/>
        <w:widowControl/>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Maureen </w:t>
      </w:r>
      <w:r w:rsidR="005500F6">
        <w:rPr>
          <w:sz w:val="24"/>
          <w:szCs w:val="24"/>
        </w:rPr>
        <w:t xml:space="preserve">R. </w:t>
      </w:r>
      <w:r>
        <w:rPr>
          <w:sz w:val="24"/>
          <w:szCs w:val="24"/>
        </w:rPr>
        <w:t>Grady</w:t>
      </w:r>
    </w:p>
    <w:p w:rsidR="004552C9" w:rsidRDefault="009E752A">
      <w:pPr>
        <w:pStyle w:val="EndnoteText"/>
        <w:widowControl/>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Assistant Consumers’ Counsel</w:t>
      </w:r>
    </w:p>
    <w:p w:rsidR="004552C9" w:rsidRDefault="004552C9">
      <w:pPr>
        <w:pStyle w:val="EndnoteText"/>
        <w:widowControl/>
      </w:pPr>
    </w:p>
    <w:p w:rsidR="004552C9" w:rsidRDefault="009E752A">
      <w:pPr>
        <w:tabs>
          <w:tab w:val="left" w:pos="4320"/>
        </w:tabs>
        <w:jc w:val="center"/>
        <w:rPr>
          <w:b/>
          <w:bCs/>
          <w:u w:val="single"/>
        </w:rPr>
      </w:pPr>
      <w:r>
        <w:rPr>
          <w:b/>
          <w:bCs/>
          <w:u w:val="single"/>
        </w:rPr>
        <w:t>SERVICE LIST</w:t>
      </w:r>
    </w:p>
    <w:p w:rsidR="003B13E3" w:rsidRDefault="003B13E3" w:rsidP="003B13E3">
      <w:pPr>
        <w:widowControl w:val="0"/>
        <w:jc w:val="center"/>
        <w:rPr>
          <w:rFonts w:eastAsia="Calibri"/>
          <w:b/>
          <w:u w:val="single"/>
        </w:rPr>
      </w:pPr>
    </w:p>
    <w:tbl>
      <w:tblPr>
        <w:tblW w:w="0" w:type="auto"/>
        <w:jc w:val="center"/>
        <w:tblLook w:val="01E0" w:firstRow="1" w:lastRow="1" w:firstColumn="1" w:lastColumn="1" w:noHBand="0" w:noVBand="0"/>
      </w:tblPr>
      <w:tblGrid>
        <w:gridCol w:w="4428"/>
        <w:gridCol w:w="4428"/>
      </w:tblGrid>
      <w:tr w:rsidR="00B42FA8" w:rsidRPr="00B671C0" w:rsidTr="00B42FA8">
        <w:trPr>
          <w:jc w:val="center"/>
        </w:trPr>
        <w:tc>
          <w:tcPr>
            <w:tcW w:w="4428" w:type="dxa"/>
          </w:tcPr>
          <w:p w:rsidR="00B42FA8" w:rsidRPr="00B671C0" w:rsidRDefault="00B42FA8" w:rsidP="002F2D51">
            <w:pPr>
              <w:autoSpaceDE w:val="0"/>
              <w:autoSpaceDN w:val="0"/>
              <w:adjustRightInd w:val="0"/>
              <w:rPr>
                <w:rFonts w:eastAsia="Calibri"/>
                <w:bCs/>
              </w:rPr>
            </w:pPr>
            <w:r w:rsidRPr="00B671C0">
              <w:rPr>
                <w:rFonts w:eastAsia="Calibri"/>
                <w:bCs/>
                <w:color w:val="0000FF"/>
                <w:u w:val="single"/>
              </w:rPr>
              <w:t>Devin.parram@puc.state.oh.us</w:t>
            </w:r>
          </w:p>
          <w:p w:rsidR="00B42FA8" w:rsidRPr="00B671C0" w:rsidRDefault="00B42FA8" w:rsidP="002F2D51">
            <w:pPr>
              <w:autoSpaceDE w:val="0"/>
              <w:autoSpaceDN w:val="0"/>
              <w:adjustRightInd w:val="0"/>
              <w:rPr>
                <w:rFonts w:eastAsia="Calibri"/>
                <w:bCs/>
              </w:rPr>
            </w:pPr>
            <w:r w:rsidRPr="00B671C0">
              <w:rPr>
                <w:rFonts w:eastAsia="Calibri"/>
                <w:bCs/>
                <w:color w:val="0000FF"/>
                <w:u w:val="single"/>
              </w:rPr>
              <w:t>Katie.johnson@puc.state.oh.us</w:t>
            </w:r>
          </w:p>
          <w:p w:rsidR="00B42FA8" w:rsidRPr="00B671C0" w:rsidRDefault="00B42FA8" w:rsidP="002F2D51">
            <w:pPr>
              <w:autoSpaceDE w:val="0"/>
              <w:autoSpaceDN w:val="0"/>
              <w:adjustRightInd w:val="0"/>
              <w:rPr>
                <w:rFonts w:eastAsia="Calibri"/>
                <w:bCs/>
              </w:rPr>
            </w:pPr>
            <w:r w:rsidRPr="00B671C0">
              <w:rPr>
                <w:rFonts w:eastAsia="Calibri"/>
                <w:bCs/>
                <w:color w:val="0000FF"/>
                <w:u w:val="single"/>
              </w:rPr>
              <w:t>Werner.margard@puc.state.oh.us</w:t>
            </w:r>
          </w:p>
          <w:p w:rsidR="00B42FA8" w:rsidRPr="00B671C0" w:rsidRDefault="00B42FA8" w:rsidP="002F2D51">
            <w:pPr>
              <w:autoSpaceDE w:val="0"/>
              <w:autoSpaceDN w:val="0"/>
              <w:adjustRightInd w:val="0"/>
              <w:rPr>
                <w:rFonts w:eastAsia="Calibri"/>
              </w:rPr>
            </w:pPr>
            <w:r w:rsidRPr="00B671C0">
              <w:rPr>
                <w:rFonts w:eastAsia="Calibri"/>
                <w:color w:val="0000FF"/>
                <w:u w:val="single"/>
              </w:rPr>
              <w:t>sam@mwncmh.com</w:t>
            </w:r>
          </w:p>
          <w:p w:rsidR="00B42FA8" w:rsidRPr="00B671C0" w:rsidRDefault="00B42FA8" w:rsidP="002F2D51">
            <w:pPr>
              <w:autoSpaceDE w:val="0"/>
              <w:autoSpaceDN w:val="0"/>
              <w:adjustRightInd w:val="0"/>
              <w:rPr>
                <w:rFonts w:eastAsia="Calibri"/>
              </w:rPr>
            </w:pPr>
            <w:r w:rsidRPr="00B671C0">
              <w:rPr>
                <w:rFonts w:eastAsia="Calibri"/>
                <w:color w:val="0000FF"/>
                <w:u w:val="single"/>
              </w:rPr>
              <w:t>fdarr@mwncmh.com</w:t>
            </w:r>
          </w:p>
          <w:p w:rsidR="00B42FA8" w:rsidRPr="00B671C0" w:rsidRDefault="00B42FA8" w:rsidP="002F2D51">
            <w:pPr>
              <w:autoSpaceDE w:val="0"/>
              <w:autoSpaceDN w:val="0"/>
              <w:adjustRightInd w:val="0"/>
              <w:rPr>
                <w:rFonts w:eastAsia="Calibri"/>
              </w:rPr>
            </w:pPr>
            <w:r w:rsidRPr="00B671C0">
              <w:rPr>
                <w:rFonts w:eastAsia="Calibri"/>
                <w:color w:val="0000FF"/>
                <w:u w:val="single"/>
              </w:rPr>
              <w:t>mpritchard@mwncmh.com</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Philip.Sineneng@ThompsonHine.com</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ricks@ohanet.org</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tobrien@bricker.com</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dborchers@bricker.com</w:t>
            </w:r>
          </w:p>
          <w:p w:rsidR="00B42FA8" w:rsidRDefault="00B42FA8" w:rsidP="002F2D51">
            <w:pPr>
              <w:autoSpaceDE w:val="0"/>
              <w:autoSpaceDN w:val="0"/>
              <w:adjustRightInd w:val="0"/>
              <w:rPr>
                <w:rFonts w:eastAsia="Calibri"/>
                <w:color w:val="0000FF"/>
                <w:u w:val="single"/>
              </w:rPr>
            </w:pPr>
            <w:r w:rsidRPr="00FB038B">
              <w:rPr>
                <w:rFonts w:eastAsia="Calibri"/>
              </w:rPr>
              <w:t>Rocco.dascenzo@duke-energy.com</w:t>
            </w:r>
          </w:p>
          <w:p w:rsidR="00B42FA8" w:rsidRDefault="00B42FA8" w:rsidP="002F2D51">
            <w:pPr>
              <w:autoSpaceDE w:val="0"/>
              <w:autoSpaceDN w:val="0"/>
              <w:adjustRightInd w:val="0"/>
              <w:rPr>
                <w:rFonts w:eastAsia="Calibri"/>
                <w:color w:val="0000FF"/>
                <w:u w:val="single"/>
              </w:rPr>
            </w:pPr>
            <w:r w:rsidRPr="00FB038B">
              <w:rPr>
                <w:rFonts w:eastAsia="Calibri"/>
              </w:rPr>
              <w:t>Elizabeth.watts@duke-energy.com</w:t>
            </w:r>
          </w:p>
          <w:p w:rsidR="00B42FA8" w:rsidRPr="00B671C0" w:rsidRDefault="00B42FA8" w:rsidP="002F2D51">
            <w:pPr>
              <w:autoSpaceDE w:val="0"/>
              <w:autoSpaceDN w:val="0"/>
              <w:adjustRightInd w:val="0"/>
              <w:rPr>
                <w:rFonts w:eastAsia="Calibri"/>
              </w:rPr>
            </w:pPr>
            <w:r w:rsidRPr="00B671C0">
              <w:rPr>
                <w:rFonts w:eastAsia="Calibri"/>
                <w:color w:val="0000FF"/>
                <w:u w:val="single"/>
              </w:rPr>
              <w:t>BarthRoyer@aol.com</w:t>
            </w:r>
          </w:p>
          <w:p w:rsidR="00B42FA8" w:rsidRPr="00B671C0" w:rsidRDefault="00B42FA8" w:rsidP="002F2D51">
            <w:pPr>
              <w:autoSpaceDE w:val="0"/>
              <w:autoSpaceDN w:val="0"/>
              <w:adjustRightInd w:val="0"/>
              <w:rPr>
                <w:rFonts w:eastAsia="Calibri"/>
              </w:rPr>
            </w:pPr>
            <w:r w:rsidRPr="00B671C0">
              <w:rPr>
                <w:rFonts w:eastAsia="Calibri"/>
                <w:color w:val="0000FF"/>
                <w:u w:val="single"/>
              </w:rPr>
              <w:t>dboehm@BKLlawfirm.com</w:t>
            </w:r>
          </w:p>
          <w:p w:rsidR="00B42FA8" w:rsidRPr="00B671C0" w:rsidRDefault="00B42FA8" w:rsidP="002F2D51">
            <w:pPr>
              <w:autoSpaceDE w:val="0"/>
              <w:autoSpaceDN w:val="0"/>
              <w:adjustRightInd w:val="0"/>
              <w:rPr>
                <w:rFonts w:eastAsia="Calibri"/>
              </w:rPr>
            </w:pPr>
            <w:r w:rsidRPr="00B671C0">
              <w:rPr>
                <w:rFonts w:eastAsia="Calibri"/>
                <w:color w:val="0000FF"/>
                <w:u w:val="single"/>
              </w:rPr>
              <w:t>mkurtz@BKLlawfirm.com</w:t>
            </w:r>
          </w:p>
          <w:p w:rsidR="00B42FA8" w:rsidRPr="00B671C0" w:rsidRDefault="00B42FA8" w:rsidP="002F2D51">
            <w:pPr>
              <w:autoSpaceDE w:val="0"/>
              <w:autoSpaceDN w:val="0"/>
              <w:adjustRightInd w:val="0"/>
              <w:rPr>
                <w:rFonts w:eastAsia="Calibri"/>
              </w:rPr>
            </w:pPr>
            <w:r w:rsidRPr="00B671C0">
              <w:rPr>
                <w:rFonts w:eastAsia="Calibri"/>
                <w:color w:val="0000FF"/>
                <w:u w:val="single"/>
              </w:rPr>
              <w:t>jkylercohn@BKLlawfirm.com</w:t>
            </w:r>
          </w:p>
          <w:p w:rsidR="00B42FA8" w:rsidRPr="00B671C0" w:rsidRDefault="00B42FA8" w:rsidP="002F2D51">
            <w:pPr>
              <w:autoSpaceDE w:val="0"/>
              <w:autoSpaceDN w:val="0"/>
              <w:adjustRightInd w:val="0"/>
              <w:rPr>
                <w:rFonts w:eastAsia="Calibri"/>
              </w:rPr>
            </w:pPr>
            <w:r w:rsidRPr="00B671C0">
              <w:rPr>
                <w:rFonts w:eastAsia="Calibri"/>
                <w:color w:val="0000FF"/>
                <w:u w:val="single"/>
              </w:rPr>
              <w:t>myurick@taftlaw.com</w:t>
            </w:r>
          </w:p>
          <w:p w:rsidR="00B42FA8" w:rsidRPr="00B671C0" w:rsidRDefault="00B42FA8" w:rsidP="002F2D51">
            <w:pPr>
              <w:autoSpaceDE w:val="0"/>
              <w:autoSpaceDN w:val="0"/>
              <w:adjustRightInd w:val="0"/>
              <w:rPr>
                <w:rFonts w:eastAsia="Calibri"/>
              </w:rPr>
            </w:pPr>
            <w:r w:rsidRPr="00B671C0">
              <w:rPr>
                <w:rFonts w:eastAsia="Calibri"/>
                <w:color w:val="0000FF"/>
                <w:u w:val="single"/>
              </w:rPr>
              <w:t>zkravitz@taftlaw.com</w:t>
            </w:r>
          </w:p>
          <w:p w:rsidR="00B42FA8" w:rsidRPr="00B671C0" w:rsidRDefault="00B42FA8" w:rsidP="002F2D51">
            <w:pPr>
              <w:autoSpaceDE w:val="0"/>
              <w:autoSpaceDN w:val="0"/>
              <w:adjustRightInd w:val="0"/>
              <w:rPr>
                <w:rFonts w:eastAsia="Calibri"/>
                <w:color w:val="0000FF"/>
                <w:u w:val="single"/>
              </w:rPr>
            </w:pPr>
            <w:r w:rsidRPr="00B671C0">
              <w:rPr>
                <w:rFonts w:eastAsia="Calibri"/>
                <w:color w:val="0000FF"/>
                <w:u w:val="single"/>
              </w:rPr>
              <w:t>tdougherty@theOEC.org</w:t>
            </w:r>
          </w:p>
          <w:p w:rsidR="00B42FA8" w:rsidRPr="00B671C0" w:rsidRDefault="00B42FA8" w:rsidP="002F2D51">
            <w:pPr>
              <w:autoSpaceDE w:val="0"/>
              <w:autoSpaceDN w:val="0"/>
              <w:adjustRightInd w:val="0"/>
              <w:rPr>
                <w:rFonts w:eastAsia="Calibri"/>
                <w:color w:val="0000FF"/>
                <w:u w:val="single"/>
              </w:rPr>
            </w:pPr>
            <w:r w:rsidRPr="00B671C0">
              <w:rPr>
                <w:rFonts w:eastAsia="Calibri"/>
                <w:color w:val="0000FF"/>
                <w:u w:val="single"/>
              </w:rPr>
              <w:t>msmalz@ohiopovertylaw.org</w:t>
            </w:r>
          </w:p>
          <w:p w:rsidR="00B42FA8" w:rsidRPr="00B671C0" w:rsidRDefault="00B42FA8" w:rsidP="002F2D51">
            <w:pPr>
              <w:autoSpaceDE w:val="0"/>
              <w:autoSpaceDN w:val="0"/>
              <w:adjustRightInd w:val="0"/>
              <w:rPr>
                <w:rFonts w:eastAsia="Calibri"/>
                <w:color w:val="0000FF"/>
                <w:u w:val="single"/>
              </w:rPr>
            </w:pPr>
            <w:r w:rsidRPr="00B671C0">
              <w:rPr>
                <w:rFonts w:eastAsia="Calibri"/>
                <w:color w:val="0000FF"/>
                <w:u w:val="single"/>
              </w:rPr>
              <w:t>mhpetricoff@vorys.com</w:t>
            </w:r>
          </w:p>
          <w:p w:rsidR="00B42FA8" w:rsidRPr="00B671C0" w:rsidRDefault="00B42FA8" w:rsidP="002F2D51">
            <w:pPr>
              <w:autoSpaceDE w:val="0"/>
              <w:autoSpaceDN w:val="0"/>
              <w:adjustRightInd w:val="0"/>
            </w:pPr>
            <w:r w:rsidRPr="00B671C0">
              <w:rPr>
                <w:rFonts w:eastAsia="Calibri"/>
                <w:color w:val="0000FF"/>
                <w:u w:val="single"/>
              </w:rPr>
              <w:t>glpetrucci@vorys.com</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Stephanie.Chmiel@ThompsonHine.com</w:t>
            </w:r>
          </w:p>
          <w:p w:rsidR="00B42FA8" w:rsidRPr="00B671C0" w:rsidRDefault="00B42FA8" w:rsidP="002F2D51">
            <w:pPr>
              <w:autoSpaceDE w:val="0"/>
              <w:autoSpaceDN w:val="0"/>
              <w:adjustRightInd w:val="0"/>
              <w:rPr>
                <w:rFonts w:eastAsia="Calibri"/>
                <w:color w:val="0000FF"/>
                <w:u w:val="single"/>
              </w:rPr>
            </w:pPr>
            <w:r w:rsidRPr="00B671C0">
              <w:rPr>
                <w:rFonts w:eastAsia="Calibri"/>
                <w:color w:val="0000FF"/>
                <w:u w:val="single"/>
              </w:rPr>
              <w:t>swilliams@nrdc.org</w:t>
            </w:r>
          </w:p>
          <w:p w:rsidR="00B42FA8" w:rsidRDefault="00B42FA8" w:rsidP="002F2D51">
            <w:pPr>
              <w:autoSpaceDE w:val="0"/>
              <w:autoSpaceDN w:val="0"/>
              <w:adjustRightInd w:val="0"/>
              <w:rPr>
                <w:rFonts w:eastAsia="Calibri"/>
                <w:color w:val="0000FF"/>
                <w:u w:val="single"/>
              </w:rPr>
            </w:pPr>
            <w:r w:rsidRPr="00FB038B">
              <w:rPr>
                <w:rFonts w:eastAsia="Calibri"/>
              </w:rPr>
              <w:t>tsiwo@bricker.com</w:t>
            </w:r>
          </w:p>
          <w:p w:rsidR="00B42FA8" w:rsidRDefault="00B42FA8" w:rsidP="002F2D51">
            <w:pPr>
              <w:autoSpaceDE w:val="0"/>
              <w:autoSpaceDN w:val="0"/>
              <w:adjustRightInd w:val="0"/>
              <w:rPr>
                <w:rFonts w:eastAsia="Calibri"/>
                <w:color w:val="0000FF"/>
                <w:u w:val="single"/>
              </w:rPr>
            </w:pPr>
          </w:p>
          <w:p w:rsidR="00B42FA8" w:rsidRPr="00477EEA" w:rsidRDefault="00B42FA8" w:rsidP="002F2D51">
            <w:pPr>
              <w:autoSpaceDE w:val="0"/>
              <w:autoSpaceDN w:val="0"/>
              <w:adjustRightInd w:val="0"/>
              <w:rPr>
                <w:rFonts w:eastAsia="Calibri"/>
              </w:rPr>
            </w:pPr>
            <w:r w:rsidRPr="00477EEA">
              <w:rPr>
                <w:rFonts w:eastAsia="Calibri"/>
              </w:rPr>
              <w:t>Attorney Examiner:</w:t>
            </w:r>
          </w:p>
          <w:p w:rsidR="00B42FA8" w:rsidRDefault="00B42FA8" w:rsidP="002F2D51">
            <w:pPr>
              <w:autoSpaceDE w:val="0"/>
              <w:autoSpaceDN w:val="0"/>
              <w:adjustRightInd w:val="0"/>
              <w:rPr>
                <w:rFonts w:eastAsia="Calibri"/>
                <w:color w:val="0000FF"/>
                <w:u w:val="single"/>
              </w:rPr>
            </w:pPr>
          </w:p>
          <w:p w:rsidR="00B42FA8" w:rsidRDefault="00B42FA8" w:rsidP="002F2D51">
            <w:pPr>
              <w:autoSpaceDE w:val="0"/>
              <w:autoSpaceDN w:val="0"/>
              <w:adjustRightInd w:val="0"/>
              <w:rPr>
                <w:rFonts w:eastAsia="Calibri"/>
                <w:color w:val="0000FF"/>
                <w:u w:val="single"/>
              </w:rPr>
            </w:pPr>
            <w:r w:rsidRPr="00FB038B">
              <w:rPr>
                <w:rFonts w:eastAsia="Calibri"/>
              </w:rPr>
              <w:t>Sarah.parrot@puc.state.oh.us</w:t>
            </w:r>
          </w:p>
          <w:p w:rsidR="00B42FA8" w:rsidRPr="00B671C0" w:rsidRDefault="00B42FA8" w:rsidP="002F2D51">
            <w:pPr>
              <w:autoSpaceDE w:val="0"/>
              <w:autoSpaceDN w:val="0"/>
              <w:adjustRightInd w:val="0"/>
              <w:rPr>
                <w:rFonts w:eastAsia="Calibri"/>
                <w:bCs/>
              </w:rPr>
            </w:pPr>
          </w:p>
        </w:tc>
        <w:tc>
          <w:tcPr>
            <w:tcW w:w="4428" w:type="dxa"/>
          </w:tcPr>
          <w:p w:rsidR="00B42FA8" w:rsidRPr="00B671C0" w:rsidRDefault="00B42FA8" w:rsidP="002F2D51">
            <w:pPr>
              <w:autoSpaceDE w:val="0"/>
              <w:autoSpaceDN w:val="0"/>
              <w:adjustRightInd w:val="0"/>
              <w:rPr>
                <w:rFonts w:eastAsia="Calibri"/>
              </w:rPr>
            </w:pPr>
            <w:r w:rsidRPr="00B671C0">
              <w:rPr>
                <w:rFonts w:eastAsia="Calibri"/>
                <w:color w:val="0000FF"/>
                <w:u w:val="single"/>
              </w:rPr>
              <w:t>stnourse@aep.com</w:t>
            </w:r>
          </w:p>
          <w:p w:rsidR="00B42FA8" w:rsidRPr="00B671C0" w:rsidRDefault="00B42FA8" w:rsidP="002F2D51">
            <w:pPr>
              <w:autoSpaceDE w:val="0"/>
              <w:autoSpaceDN w:val="0"/>
              <w:adjustRightInd w:val="0"/>
              <w:rPr>
                <w:rFonts w:eastAsia="Calibri"/>
              </w:rPr>
            </w:pPr>
            <w:r w:rsidRPr="00B671C0">
              <w:rPr>
                <w:rFonts w:eastAsia="Calibri"/>
                <w:color w:val="0000FF"/>
                <w:u w:val="single"/>
              </w:rPr>
              <w:t>mjsatterwhite@aep.com</w:t>
            </w:r>
          </w:p>
          <w:p w:rsidR="00B42FA8" w:rsidRPr="00B671C0" w:rsidRDefault="00B42FA8" w:rsidP="002F2D51">
            <w:pPr>
              <w:autoSpaceDE w:val="0"/>
              <w:autoSpaceDN w:val="0"/>
              <w:adjustRightInd w:val="0"/>
              <w:rPr>
                <w:rFonts w:eastAsia="Calibri"/>
              </w:rPr>
            </w:pPr>
            <w:r w:rsidRPr="00B671C0">
              <w:rPr>
                <w:rFonts w:eastAsia="Calibri"/>
                <w:color w:val="0000FF"/>
                <w:u w:val="single"/>
              </w:rPr>
              <w:t>dconway@porterwright.com</w:t>
            </w:r>
          </w:p>
          <w:p w:rsidR="00B42FA8" w:rsidRPr="00B671C0" w:rsidRDefault="00B42FA8" w:rsidP="002F2D51">
            <w:pPr>
              <w:autoSpaceDE w:val="0"/>
              <w:autoSpaceDN w:val="0"/>
              <w:adjustRightInd w:val="0"/>
              <w:rPr>
                <w:rFonts w:eastAsia="Calibri"/>
              </w:rPr>
            </w:pPr>
            <w:r w:rsidRPr="00B671C0">
              <w:rPr>
                <w:rFonts w:eastAsia="Calibri"/>
                <w:color w:val="0000FF"/>
                <w:u w:val="single"/>
              </w:rPr>
              <w:t>Bojko@carpenterlipps.com</w:t>
            </w:r>
          </w:p>
          <w:p w:rsidR="00B42FA8" w:rsidRPr="00B671C0" w:rsidRDefault="00B42FA8" w:rsidP="002F2D51">
            <w:pPr>
              <w:rPr>
                <w:color w:val="0000FF"/>
                <w:u w:val="single"/>
              </w:rPr>
            </w:pPr>
            <w:r w:rsidRPr="00B671C0">
              <w:rPr>
                <w:rFonts w:eastAsia="Calibri"/>
                <w:color w:val="0000FF"/>
                <w:u w:val="single"/>
              </w:rPr>
              <w:t>Mohler@carpenterlipps.com</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haydenm@firstenergycorp.com</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jmcdermott@firstenergycorp.com</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scasto@firstenergycorp.com</w:t>
            </w:r>
          </w:p>
          <w:p w:rsidR="00B42FA8" w:rsidRPr="00B671C0" w:rsidRDefault="00B42FA8" w:rsidP="002F2D51">
            <w:pPr>
              <w:autoSpaceDE w:val="0"/>
              <w:autoSpaceDN w:val="0"/>
              <w:adjustRightInd w:val="0"/>
              <w:rPr>
                <w:rFonts w:eastAsia="Calibri"/>
              </w:rPr>
            </w:pPr>
            <w:r w:rsidRPr="00B671C0">
              <w:rPr>
                <w:rFonts w:eastAsia="Calibri"/>
                <w:color w:val="0000FF"/>
                <w:u w:val="single"/>
              </w:rPr>
              <w:t>whitt@whitt-sturtevant.com</w:t>
            </w:r>
          </w:p>
          <w:p w:rsidR="00B42FA8" w:rsidRPr="00B671C0" w:rsidRDefault="00B42FA8" w:rsidP="002F2D51">
            <w:pPr>
              <w:autoSpaceDE w:val="0"/>
              <w:autoSpaceDN w:val="0"/>
              <w:adjustRightInd w:val="0"/>
              <w:rPr>
                <w:rFonts w:eastAsia="Calibri"/>
              </w:rPr>
            </w:pPr>
            <w:r w:rsidRPr="00B671C0">
              <w:rPr>
                <w:rFonts w:eastAsia="Calibri"/>
                <w:color w:val="0000FF"/>
                <w:u w:val="single"/>
              </w:rPr>
              <w:t>campbell@whitt-sturtevant.com</w:t>
            </w:r>
          </w:p>
          <w:p w:rsidR="00B42FA8" w:rsidRPr="00B671C0" w:rsidRDefault="00B42FA8" w:rsidP="002F2D51">
            <w:pPr>
              <w:rPr>
                <w:color w:val="0000FF"/>
                <w:u w:val="single"/>
              </w:rPr>
            </w:pPr>
            <w:r w:rsidRPr="00B671C0">
              <w:rPr>
                <w:rFonts w:eastAsia="Calibri"/>
                <w:color w:val="0000FF"/>
                <w:u w:val="single"/>
              </w:rPr>
              <w:t>williams@whitt-sturtevant.com</w:t>
            </w:r>
          </w:p>
          <w:p w:rsidR="00B42FA8" w:rsidRPr="00B671C0" w:rsidRDefault="00B42FA8" w:rsidP="002F2D51">
            <w:pPr>
              <w:autoSpaceDE w:val="0"/>
              <w:autoSpaceDN w:val="0"/>
              <w:adjustRightInd w:val="0"/>
              <w:rPr>
                <w:rFonts w:eastAsia="Calibri"/>
              </w:rPr>
            </w:pPr>
            <w:r w:rsidRPr="00B671C0">
              <w:rPr>
                <w:rFonts w:eastAsia="Calibri"/>
                <w:color w:val="0000FF"/>
                <w:u w:val="single"/>
              </w:rPr>
              <w:t>vparisi@igsenergy.com</w:t>
            </w:r>
          </w:p>
          <w:p w:rsidR="00B42FA8" w:rsidRPr="00B671C0" w:rsidRDefault="00B42FA8" w:rsidP="002F2D51">
            <w:pPr>
              <w:autoSpaceDE w:val="0"/>
              <w:autoSpaceDN w:val="0"/>
              <w:adjustRightInd w:val="0"/>
              <w:rPr>
                <w:rFonts w:eastAsia="Calibri"/>
              </w:rPr>
            </w:pPr>
            <w:r w:rsidRPr="00B671C0">
              <w:rPr>
                <w:rFonts w:eastAsia="Calibri"/>
                <w:color w:val="0000FF"/>
                <w:u w:val="single"/>
              </w:rPr>
              <w:t>lfriedeman@igsenergy.com</w:t>
            </w:r>
          </w:p>
          <w:p w:rsidR="00B42FA8" w:rsidRPr="00B671C0" w:rsidRDefault="00B42FA8" w:rsidP="002F2D51">
            <w:pPr>
              <w:rPr>
                <w:color w:val="0000FF"/>
                <w:u w:val="single"/>
              </w:rPr>
            </w:pPr>
            <w:r w:rsidRPr="00B671C0">
              <w:rPr>
                <w:rFonts w:eastAsia="Calibri"/>
                <w:color w:val="0000FF"/>
                <w:u w:val="single"/>
              </w:rPr>
              <w:t>mswhite@igsenergy.com</w:t>
            </w:r>
          </w:p>
          <w:p w:rsidR="00B42FA8" w:rsidRPr="00B671C0" w:rsidRDefault="00B42FA8" w:rsidP="002F2D51">
            <w:pPr>
              <w:autoSpaceDE w:val="0"/>
              <w:autoSpaceDN w:val="0"/>
              <w:adjustRightInd w:val="0"/>
              <w:rPr>
                <w:rFonts w:eastAsia="Calibri"/>
              </w:rPr>
            </w:pPr>
            <w:r w:rsidRPr="00B671C0">
              <w:rPr>
                <w:rFonts w:eastAsia="Calibri"/>
                <w:color w:val="0000FF"/>
                <w:u w:val="single"/>
              </w:rPr>
              <w:t>Gary.A.Jeffries@dom.com</w:t>
            </w:r>
          </w:p>
          <w:p w:rsidR="00B42FA8" w:rsidRPr="00B671C0" w:rsidRDefault="00B42FA8" w:rsidP="002F2D51">
            <w:pPr>
              <w:autoSpaceDE w:val="0"/>
              <w:autoSpaceDN w:val="0"/>
              <w:adjustRightInd w:val="0"/>
              <w:rPr>
                <w:rFonts w:eastAsia="Calibri"/>
              </w:rPr>
            </w:pPr>
            <w:r w:rsidRPr="00B671C0">
              <w:rPr>
                <w:rFonts w:eastAsia="Calibri"/>
                <w:color w:val="0000FF"/>
                <w:u w:val="single"/>
              </w:rPr>
              <w:t>Judi.sobecki@aes.com</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cmooney@ohiopartners.org</w:t>
            </w:r>
          </w:p>
          <w:p w:rsidR="00B42FA8" w:rsidRPr="00B671C0" w:rsidRDefault="00B42FA8" w:rsidP="002F2D51">
            <w:pPr>
              <w:autoSpaceDE w:val="0"/>
              <w:autoSpaceDN w:val="0"/>
              <w:adjustRightInd w:val="0"/>
              <w:rPr>
                <w:rFonts w:eastAsia="Calibri"/>
                <w:color w:val="0000FF"/>
              </w:rPr>
            </w:pPr>
            <w:r w:rsidRPr="00B671C0">
              <w:rPr>
                <w:rFonts w:eastAsia="Calibri"/>
                <w:color w:val="0000FF"/>
                <w:u w:val="single"/>
              </w:rPr>
              <w:t>cloucas@ohiopartners.org</w:t>
            </w:r>
          </w:p>
          <w:p w:rsidR="00B42FA8" w:rsidRPr="00B671C0" w:rsidRDefault="00B42FA8" w:rsidP="002F2D51">
            <w:pPr>
              <w:rPr>
                <w:color w:val="0000FF"/>
                <w:u w:val="single"/>
              </w:rPr>
            </w:pPr>
            <w:r w:rsidRPr="00B671C0">
              <w:rPr>
                <w:rFonts w:eastAsia="Calibri"/>
                <w:color w:val="0000FF"/>
                <w:u w:val="single"/>
              </w:rPr>
              <w:t>jfinnigan@edf.org</w:t>
            </w:r>
          </w:p>
          <w:p w:rsidR="00B42FA8" w:rsidRPr="00B671C0" w:rsidRDefault="00B42FA8" w:rsidP="002F2D51">
            <w:pPr>
              <w:rPr>
                <w:rFonts w:eastAsia="Calibri"/>
                <w:color w:val="0000FF"/>
              </w:rPr>
            </w:pPr>
            <w:r w:rsidRPr="00B671C0">
              <w:rPr>
                <w:rFonts w:eastAsia="Calibri"/>
                <w:color w:val="0000FF"/>
                <w:u w:val="single"/>
              </w:rPr>
              <w:t>joseph.clark@directenergy.com</w:t>
            </w:r>
          </w:p>
          <w:p w:rsidR="00B42FA8" w:rsidRPr="00B671C0" w:rsidRDefault="00B42FA8" w:rsidP="002F2D51">
            <w:pPr>
              <w:rPr>
                <w:rFonts w:eastAsia="Calibri"/>
              </w:rPr>
            </w:pPr>
            <w:r w:rsidRPr="00B671C0">
              <w:rPr>
                <w:rFonts w:eastAsia="Calibri"/>
                <w:color w:val="0000FF"/>
                <w:u w:val="single"/>
              </w:rPr>
              <w:t>NMcDaniel@elpc.org</w:t>
            </w:r>
          </w:p>
          <w:p w:rsidR="00B42FA8" w:rsidRPr="00B671C0" w:rsidRDefault="00B42FA8" w:rsidP="002F2D51">
            <w:pPr>
              <w:rPr>
                <w:rFonts w:eastAsia="Calibri"/>
              </w:rPr>
            </w:pPr>
            <w:r w:rsidRPr="00B671C0">
              <w:rPr>
                <w:rFonts w:eastAsia="Calibri"/>
                <w:color w:val="0000FF"/>
                <w:u w:val="single"/>
              </w:rPr>
              <w:t>lhawrot@spilmanlaw.com</w:t>
            </w:r>
          </w:p>
          <w:p w:rsidR="00B42FA8" w:rsidRDefault="00B42FA8" w:rsidP="002F2D51">
            <w:pPr>
              <w:rPr>
                <w:rFonts w:eastAsia="Calibri"/>
                <w:color w:val="0000FF"/>
                <w:u w:val="single"/>
              </w:rPr>
            </w:pPr>
            <w:r w:rsidRPr="00FB038B">
              <w:rPr>
                <w:rFonts w:eastAsia="Calibri"/>
              </w:rPr>
              <w:t>dwilliamson@spilmanlaw.com</w:t>
            </w:r>
          </w:p>
          <w:p w:rsidR="00B42FA8" w:rsidRPr="00B671C0" w:rsidRDefault="00B42FA8" w:rsidP="002F2D51">
            <w:r w:rsidRPr="00FB038B">
              <w:t>tshadrick@spilmanlaw.com</w:t>
            </w:r>
          </w:p>
          <w:p w:rsidR="00B42FA8" w:rsidRDefault="00B42FA8" w:rsidP="002F2D51">
            <w:pPr>
              <w:rPr>
                <w:rFonts w:eastAsia="Calibri"/>
                <w:bCs/>
                <w:color w:val="0000FF"/>
                <w:u w:val="single"/>
              </w:rPr>
            </w:pPr>
            <w:r w:rsidRPr="00FB038B">
              <w:rPr>
                <w:rFonts w:eastAsia="Calibri"/>
                <w:bCs/>
              </w:rPr>
              <w:t>gpoulos@enernoc.com</w:t>
            </w:r>
          </w:p>
          <w:p w:rsidR="00B42FA8" w:rsidRDefault="00B42FA8" w:rsidP="002F2D51">
            <w:pPr>
              <w:rPr>
                <w:rFonts w:eastAsia="Calibri"/>
                <w:bCs/>
                <w:color w:val="0000FF"/>
                <w:u w:val="single"/>
              </w:rPr>
            </w:pPr>
            <w:r w:rsidRPr="00FB038B">
              <w:rPr>
                <w:rFonts w:eastAsia="Calibri"/>
                <w:bCs/>
              </w:rPr>
              <w:t>Schmidt@sppgrp.com</w:t>
            </w:r>
          </w:p>
          <w:p w:rsidR="00B42FA8" w:rsidRPr="00B671C0" w:rsidRDefault="00B42FA8" w:rsidP="002F2D51">
            <w:pPr>
              <w:rPr>
                <w:rFonts w:eastAsia="Calibri"/>
                <w:bCs/>
              </w:rPr>
            </w:pPr>
          </w:p>
        </w:tc>
      </w:tr>
    </w:tbl>
    <w:p w:rsidR="004552C9" w:rsidRDefault="004552C9" w:rsidP="00B42FA8">
      <w:pPr>
        <w:tabs>
          <w:tab w:val="left" w:pos="4320"/>
        </w:tabs>
        <w:rPr>
          <w:b/>
          <w:bCs/>
          <w:u w:val="single"/>
        </w:rPr>
      </w:pPr>
    </w:p>
    <w:sectPr w:rsidR="004552C9" w:rsidSect="00F95936">
      <w:headerReference w:type="even" r:id="rId29"/>
      <w:headerReference w:type="default" r:id="rId30"/>
      <w:headerReference w:type="first" r:id="rId3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51" w:rsidRDefault="002F2D51">
      <w:r>
        <w:separator/>
      </w:r>
    </w:p>
  </w:endnote>
  <w:endnote w:type="continuationSeparator" w:id="0">
    <w:p w:rsidR="002F2D51" w:rsidRDefault="002F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B" w:rsidRDefault="00FB0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B" w:rsidRDefault="00FB0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B" w:rsidRDefault="00FB03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2F2D5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3821">
      <w:rPr>
        <w:rStyle w:val="PageNumber"/>
        <w:noProof/>
      </w:rPr>
      <w:t>i</w:t>
    </w:r>
    <w:r>
      <w:rPr>
        <w:rStyle w:val="PageNumber"/>
      </w:rPr>
      <w:fldChar w:fldCharType="end"/>
    </w:r>
  </w:p>
  <w:p w:rsidR="002F2D51" w:rsidRDefault="002F2D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2F2D5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038B">
      <w:rPr>
        <w:rStyle w:val="PageNumber"/>
        <w:noProof/>
      </w:rPr>
      <w:t>39</w:t>
    </w:r>
    <w:r>
      <w:rPr>
        <w:rStyle w:val="PageNumber"/>
      </w:rPr>
      <w:fldChar w:fldCharType="end"/>
    </w:r>
  </w:p>
  <w:p w:rsidR="002F2D51" w:rsidRDefault="002F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51" w:rsidRDefault="002F2D51">
      <w:r>
        <w:separator/>
      </w:r>
    </w:p>
  </w:footnote>
  <w:footnote w:type="continuationSeparator" w:id="0">
    <w:p w:rsidR="002F2D51" w:rsidRDefault="002F2D51">
      <w:r>
        <w:continuationSeparator/>
      </w:r>
    </w:p>
  </w:footnote>
  <w:footnote w:id="1">
    <w:p w:rsidR="002F2D51" w:rsidRPr="002F2D51" w:rsidRDefault="002F2D51" w:rsidP="002F2D51">
      <w:pPr>
        <w:pStyle w:val="FootnoteText"/>
        <w:spacing w:after="120"/>
      </w:pPr>
      <w:r w:rsidRPr="002F2D51">
        <w:rPr>
          <w:rStyle w:val="FootnoteReference"/>
        </w:rPr>
        <w:footnoteRef/>
      </w:r>
      <w:r w:rsidRPr="002F2D51">
        <w:t xml:space="preserve"> </w:t>
      </w:r>
      <w:r w:rsidRPr="002F2D51">
        <w:rPr>
          <w:i/>
          <w:iCs/>
        </w:rPr>
        <w:t xml:space="preserve">In the Matter of the Commission’s Review of Chapters 4901:1-10  of the Ohio Administrative Code, </w:t>
      </w:r>
      <w:r w:rsidRPr="002F2D51">
        <w:t>Case No. 12-2050-EL-ORD.</w:t>
      </w:r>
    </w:p>
  </w:footnote>
  <w:footnote w:id="2">
    <w:p w:rsidR="002F2D51" w:rsidRPr="002F2D51" w:rsidRDefault="002F2D51" w:rsidP="002F2D51">
      <w:pPr>
        <w:pStyle w:val="FootnoteText"/>
        <w:spacing w:after="120"/>
        <w:rPr>
          <w:i/>
        </w:rPr>
      </w:pPr>
      <w:r w:rsidRPr="002F2D51">
        <w:rPr>
          <w:rStyle w:val="FootnoteReference"/>
        </w:rPr>
        <w:footnoteRef/>
      </w:r>
      <w:r w:rsidRPr="002F2D51">
        <w:t xml:space="preserve"> </w:t>
      </w:r>
      <w:r w:rsidRPr="002F2D51">
        <w:rPr>
          <w:i/>
        </w:rPr>
        <w:t xml:space="preserve">In the Matter of the Commission’s Review of Chapter 4901:1-9 Ohio Administrative Code Regarding Metering Options, </w:t>
      </w:r>
      <w:r w:rsidRPr="002F2D51">
        <w:t>Case No. 12-2049-EL-ORD.</w:t>
      </w:r>
    </w:p>
  </w:footnote>
  <w:footnote w:id="3">
    <w:p w:rsidR="002F2D51" w:rsidRPr="002F2D51" w:rsidRDefault="002F2D51" w:rsidP="002F2D51">
      <w:pPr>
        <w:autoSpaceDE w:val="0"/>
        <w:autoSpaceDN w:val="0"/>
        <w:adjustRightInd w:val="0"/>
        <w:spacing w:after="120"/>
        <w:rPr>
          <w:sz w:val="20"/>
          <w:szCs w:val="20"/>
        </w:rPr>
      </w:pPr>
      <w:r w:rsidRPr="002F2D51">
        <w:rPr>
          <w:rStyle w:val="FootnoteReference"/>
          <w:i/>
          <w:sz w:val="20"/>
          <w:szCs w:val="20"/>
        </w:rPr>
        <w:footnoteRef/>
      </w:r>
      <w:r w:rsidRPr="002F2D51">
        <w:rPr>
          <w:i/>
          <w:sz w:val="20"/>
          <w:szCs w:val="20"/>
        </w:rPr>
        <w:t xml:space="preserve"> In the Matter of the Commission’s Review of Its Rules for the Establishment of Credit for Residential Utility Services and the Disconnection of Gas, Natural Gas or Electric Services to Residential Customers Contained in Chapters 4901:1-17 and 4901:1-18 of the Ohio Administrative Code, </w:t>
      </w:r>
      <w:r w:rsidRPr="002F2D51">
        <w:rPr>
          <w:sz w:val="20"/>
          <w:szCs w:val="20"/>
        </w:rPr>
        <w:t>Case No. 13-274-AU-ORD.</w:t>
      </w:r>
    </w:p>
  </w:footnote>
  <w:footnote w:id="4">
    <w:p w:rsidR="002F2D51" w:rsidRPr="002F2D51" w:rsidRDefault="002F2D51" w:rsidP="00E17D65">
      <w:pPr>
        <w:pStyle w:val="FootnoteText"/>
        <w:spacing w:after="120"/>
      </w:pPr>
      <w:r w:rsidRPr="002F2D51">
        <w:rPr>
          <w:rStyle w:val="FootnoteReference"/>
        </w:rPr>
        <w:footnoteRef/>
      </w:r>
      <w:r w:rsidRPr="002F2D51">
        <w:t xml:space="preserve"> </w:t>
      </w:r>
      <w:r w:rsidRPr="002F2D51">
        <w:rPr>
          <w:i/>
          <w:iCs/>
        </w:rPr>
        <w:t xml:space="preserve">In the Matter of the Establishment of 4901:1-10-10(B) Minimum Reliability Performance Standards for Columbus Southern Power Company and Ohio Power Company, </w:t>
      </w:r>
      <w:r w:rsidRPr="002F2D51">
        <w:t>Case No</w:t>
      </w:r>
      <w:r w:rsidR="00E17D65">
        <w:t>s</w:t>
      </w:r>
      <w:r w:rsidRPr="002F2D51">
        <w:t xml:space="preserve">. 09-756-EL-ESS and </w:t>
      </w:r>
      <w:r w:rsidR="00E17D65">
        <w:t>1</w:t>
      </w:r>
      <w:r w:rsidRPr="002F2D51">
        <w:t>2-1945-EL-ESS.</w:t>
      </w:r>
    </w:p>
  </w:footnote>
  <w:footnote w:id="5">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Stacy Gabbard at 17.</w:t>
      </w:r>
    </w:p>
  </w:footnote>
  <w:footnote w:id="6">
    <w:p w:rsidR="002F2D51" w:rsidRPr="002F2D51" w:rsidRDefault="002F2D51" w:rsidP="002F2D51">
      <w:pPr>
        <w:pStyle w:val="FootnoteText"/>
        <w:spacing w:after="120"/>
      </w:pPr>
      <w:r w:rsidRPr="002F2D51">
        <w:rPr>
          <w:rStyle w:val="FootnoteReference"/>
        </w:rPr>
        <w:footnoteRef/>
      </w:r>
      <w:r w:rsidRPr="002F2D51">
        <w:t xml:space="preserve"> Id. at 16.</w:t>
      </w:r>
    </w:p>
  </w:footnote>
  <w:footnote w:id="7">
    <w:p w:rsidR="002F2D51" w:rsidRPr="002F2D51" w:rsidRDefault="002F2D51" w:rsidP="002F2D51">
      <w:pPr>
        <w:pStyle w:val="FootnoteText"/>
        <w:spacing w:after="120"/>
      </w:pPr>
      <w:r w:rsidRPr="002F2D51">
        <w:rPr>
          <w:rStyle w:val="FootnoteReference"/>
        </w:rPr>
        <w:footnoteRef/>
      </w:r>
      <w:r w:rsidRPr="002F2D51">
        <w:t xml:space="preserve"> Id. at 8.</w:t>
      </w:r>
    </w:p>
  </w:footnote>
  <w:footnote w:id="8">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Gary Spitznogle at 10.</w:t>
      </w:r>
    </w:p>
  </w:footnote>
  <w:footnote w:id="9">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Selwyn Dias at 16.</w:t>
      </w:r>
    </w:p>
  </w:footnote>
  <w:footnote w:id="10">
    <w:p w:rsidR="002F2D51" w:rsidRPr="002F2D51" w:rsidRDefault="002F2D51" w:rsidP="002F2D51">
      <w:pPr>
        <w:pStyle w:val="FootnoteText"/>
        <w:spacing w:after="120"/>
      </w:pPr>
      <w:r w:rsidRPr="002F2D51">
        <w:rPr>
          <w:rStyle w:val="FootnoteReference"/>
        </w:rPr>
        <w:footnoteRef/>
      </w:r>
      <w:r w:rsidRPr="002F2D51">
        <w:t xml:space="preserve"> Direct Testimony of Mr. David Effron at 15.</w:t>
      </w:r>
    </w:p>
  </w:footnote>
  <w:footnote w:id="11">
    <w:p w:rsidR="002F2D51" w:rsidRPr="002F2D51" w:rsidRDefault="002F2D51" w:rsidP="002F2D51">
      <w:pPr>
        <w:pStyle w:val="FootnoteText"/>
        <w:spacing w:after="120"/>
      </w:pPr>
      <w:r w:rsidRPr="002F2D51">
        <w:rPr>
          <w:rStyle w:val="FootnoteReference"/>
        </w:rPr>
        <w:footnoteRef/>
      </w:r>
      <w:r w:rsidRPr="002F2D51">
        <w:t xml:space="preserve"> Id. at 19-20</w:t>
      </w:r>
    </w:p>
  </w:footnote>
  <w:footnote w:id="12">
    <w:p w:rsidR="002F2D51" w:rsidRPr="002F2D51" w:rsidRDefault="002F2D51" w:rsidP="002F2D51">
      <w:pPr>
        <w:pStyle w:val="FootnoteText"/>
        <w:spacing w:after="120"/>
      </w:pPr>
      <w:r w:rsidRPr="002F2D51">
        <w:rPr>
          <w:rStyle w:val="FootnoteReference"/>
        </w:rPr>
        <w:footnoteRef/>
      </w:r>
      <w:r w:rsidRPr="002F2D51">
        <w:t xml:space="preserve"> Direct Testimony of Mr. James Wilson at 6.</w:t>
      </w:r>
    </w:p>
  </w:footnote>
  <w:footnote w:id="13">
    <w:p w:rsidR="002F2D51" w:rsidRPr="002F2D51" w:rsidRDefault="002F2D51" w:rsidP="002F2D51">
      <w:pPr>
        <w:pStyle w:val="FootnoteText"/>
        <w:spacing w:after="120"/>
      </w:pPr>
      <w:r w:rsidRPr="002F2D51">
        <w:rPr>
          <w:rStyle w:val="FootnoteReference"/>
        </w:rPr>
        <w:footnoteRef/>
      </w:r>
      <w:r w:rsidR="00E17D65">
        <w:t xml:space="preserve"> AEP Ohio ESP III Application, Direct Testimony of Selwyn Dian at 19-20</w:t>
      </w:r>
      <w:r w:rsidRPr="002F2D51">
        <w:t>.</w:t>
      </w:r>
    </w:p>
  </w:footnote>
  <w:footnote w:id="14">
    <w:p w:rsidR="002F2D51" w:rsidRPr="002F2D51" w:rsidRDefault="002F2D51" w:rsidP="00E60135">
      <w:pPr>
        <w:pStyle w:val="FootnoteText"/>
        <w:spacing w:after="120"/>
      </w:pPr>
      <w:r w:rsidRPr="002F2D51">
        <w:rPr>
          <w:rStyle w:val="FootnoteReference"/>
        </w:rPr>
        <w:footnoteRef/>
      </w:r>
      <w:r w:rsidRPr="002F2D51">
        <w:t xml:space="preserve"> </w:t>
      </w:r>
      <w:r w:rsidRPr="002F2D51">
        <w:rPr>
          <w:i/>
        </w:rPr>
        <w:t>In the Matter of the Application of Ohio Power Company to Initiate Phase 2 of Its gridSMART Project and to Establish the gridSMART Phase 2 Rider</w:t>
      </w:r>
      <w:r w:rsidRPr="002F2D51">
        <w:t>, Case No. 13-1939-EL-RDR, Application (September 13, 2013).</w:t>
      </w:r>
    </w:p>
  </w:footnote>
  <w:footnote w:id="15">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Selwyn Dias at 10-11.</w:t>
      </w:r>
    </w:p>
  </w:footnote>
  <w:footnote w:id="16">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Selwyn Dias at 11.</w:t>
      </w:r>
    </w:p>
  </w:footnote>
  <w:footnote w:id="17">
    <w:p w:rsidR="002F2D51" w:rsidRPr="002F2D51" w:rsidRDefault="002F2D51" w:rsidP="002F2D51">
      <w:pPr>
        <w:pStyle w:val="FootnoteText"/>
        <w:spacing w:after="120"/>
      </w:pPr>
      <w:r w:rsidRPr="002F2D51">
        <w:rPr>
          <w:rStyle w:val="FootnoteReference"/>
        </w:rPr>
        <w:footnoteRef/>
      </w:r>
      <w:r w:rsidRPr="002F2D51">
        <w:t xml:space="preserve"> Id.</w:t>
      </w:r>
    </w:p>
  </w:footnote>
  <w:footnote w:id="18">
    <w:p w:rsidR="002F2D51" w:rsidRPr="002F2D51" w:rsidRDefault="002F2D51" w:rsidP="00E60135">
      <w:pPr>
        <w:pStyle w:val="FootnoteText"/>
        <w:spacing w:after="120"/>
      </w:pPr>
      <w:r w:rsidRPr="002F2D51">
        <w:rPr>
          <w:rStyle w:val="FootnoteReference"/>
        </w:rPr>
        <w:footnoteRef/>
      </w:r>
      <w:r w:rsidRPr="002F2D51">
        <w:t xml:space="preserve"> http://aspe.hhs.gov/poverty/14poverty.cfm</w:t>
      </w:r>
    </w:p>
  </w:footnote>
  <w:footnote w:id="19">
    <w:p w:rsidR="002F2D51" w:rsidRPr="002F2D51" w:rsidRDefault="002F2D51" w:rsidP="002F2D51">
      <w:pPr>
        <w:pStyle w:val="FootnoteText"/>
        <w:spacing w:after="120"/>
      </w:pPr>
      <w:r w:rsidRPr="002F2D51">
        <w:rPr>
          <w:rStyle w:val="FootnoteReference"/>
        </w:rPr>
        <w:footnoteRef/>
      </w:r>
      <w:r w:rsidRPr="002F2D51">
        <w:t xml:space="preserve"> Id.</w:t>
      </w:r>
    </w:p>
  </w:footnote>
  <w:footnote w:id="20">
    <w:p w:rsidR="002F2D51" w:rsidRPr="00DF5C84" w:rsidRDefault="002F2D51" w:rsidP="00E60135">
      <w:pPr>
        <w:pStyle w:val="FootnoteText"/>
        <w:spacing w:after="120"/>
      </w:pPr>
      <w:r w:rsidRPr="00DF5C84">
        <w:rPr>
          <w:rStyle w:val="FootnoteReference"/>
          <w:color w:val="000000" w:themeColor="text1"/>
        </w:rPr>
        <w:footnoteRef/>
      </w:r>
      <w:r w:rsidRPr="00DF5C84">
        <w:rPr>
          <w:color w:val="000000" w:themeColor="text1"/>
        </w:rPr>
        <w:t xml:space="preserve"> </w:t>
      </w:r>
      <w:r w:rsidRPr="00FB038B">
        <w:t>http://www.development.ohio.gov/files/research/P7005.pdf</w:t>
      </w:r>
    </w:p>
  </w:footnote>
  <w:footnote w:id="21">
    <w:p w:rsidR="002F2D51" w:rsidRPr="002F2D51" w:rsidRDefault="002F2D51" w:rsidP="00181C62">
      <w:pPr>
        <w:pStyle w:val="FootnoteText"/>
        <w:spacing w:after="120"/>
      </w:pPr>
      <w:r w:rsidRPr="002F2D51">
        <w:rPr>
          <w:rStyle w:val="FootnoteReference"/>
        </w:rPr>
        <w:footnoteRef/>
      </w:r>
      <w:r w:rsidRPr="002F2D51">
        <w:t xml:space="preserve"> </w:t>
      </w:r>
      <w:r w:rsidR="00181C62">
        <w:t xml:space="preserve">Id at </w:t>
      </w:r>
      <w:r w:rsidRPr="002F2D51">
        <w:t>Table A1.</w:t>
      </w:r>
    </w:p>
  </w:footnote>
  <w:footnote w:id="22">
    <w:p w:rsidR="002F2D51" w:rsidRPr="002F2D51" w:rsidRDefault="002F2D51" w:rsidP="00181C62">
      <w:pPr>
        <w:pStyle w:val="FootnoteText"/>
        <w:spacing w:after="120"/>
      </w:pPr>
      <w:r w:rsidRPr="002F2D51">
        <w:rPr>
          <w:rStyle w:val="FootnoteReference"/>
        </w:rPr>
        <w:footnoteRef/>
      </w:r>
      <w:r w:rsidRPr="002F2D51">
        <w:t xml:space="preserve"> </w:t>
      </w:r>
      <w:r w:rsidR="00181C62">
        <w:t>Id</w:t>
      </w:r>
      <w:r w:rsidRPr="002F2D51">
        <w:t xml:space="preserve"> at 6.</w:t>
      </w:r>
    </w:p>
  </w:footnote>
  <w:footnote w:id="23">
    <w:p w:rsidR="002F2D51" w:rsidRPr="002F2D51" w:rsidRDefault="002F2D51" w:rsidP="00181C62">
      <w:pPr>
        <w:pStyle w:val="FootnoteText"/>
        <w:spacing w:after="120"/>
      </w:pPr>
      <w:r w:rsidRPr="002F2D51">
        <w:rPr>
          <w:rStyle w:val="FootnoteReference"/>
        </w:rPr>
        <w:footnoteRef/>
      </w:r>
      <w:r w:rsidRPr="002F2D51">
        <w:t xml:space="preserve"> </w:t>
      </w:r>
      <w:r w:rsidR="00181C62">
        <w:t>Id</w:t>
      </w:r>
      <w:r w:rsidRPr="002F2D51">
        <w:t xml:space="preserve"> at 8.</w:t>
      </w:r>
    </w:p>
  </w:footnote>
  <w:footnote w:id="24">
    <w:p w:rsidR="002F2D51" w:rsidRPr="002F2D51" w:rsidRDefault="002F2D51" w:rsidP="00103FAB">
      <w:pPr>
        <w:pStyle w:val="FootnoteText"/>
        <w:spacing w:after="120"/>
      </w:pPr>
      <w:r w:rsidRPr="002F2D51">
        <w:rPr>
          <w:rStyle w:val="FootnoteReference"/>
        </w:rPr>
        <w:footnoteRef/>
      </w:r>
      <w:r w:rsidRPr="002F2D51">
        <w:t xml:space="preserve"> </w:t>
      </w:r>
      <w:r w:rsidR="00103FAB">
        <w:t>Id</w:t>
      </w:r>
      <w:r w:rsidRPr="002F2D51">
        <w:t xml:space="preserve"> at 14.</w:t>
      </w:r>
    </w:p>
  </w:footnote>
  <w:footnote w:id="25">
    <w:p w:rsidR="002F2D51" w:rsidRPr="002F2D51" w:rsidRDefault="002F2D51" w:rsidP="002F2D51">
      <w:pPr>
        <w:pStyle w:val="FootnoteText"/>
        <w:spacing w:after="120"/>
      </w:pPr>
      <w:r w:rsidRPr="002F2D51">
        <w:rPr>
          <w:rStyle w:val="FootnoteReference"/>
        </w:rPr>
        <w:footnoteRef/>
      </w:r>
      <w:r w:rsidRPr="002F2D51">
        <w:t xml:space="preserve"> Id.</w:t>
      </w:r>
    </w:p>
  </w:footnote>
  <w:footnote w:id="26">
    <w:p w:rsidR="002F2D51" w:rsidRPr="002F2D51" w:rsidRDefault="002F2D51" w:rsidP="002F2D51">
      <w:pPr>
        <w:pStyle w:val="FootnoteText"/>
        <w:spacing w:after="120"/>
      </w:pPr>
      <w:r w:rsidRPr="002F2D51">
        <w:rPr>
          <w:rStyle w:val="FootnoteReference"/>
        </w:rPr>
        <w:footnoteRef/>
      </w:r>
      <w:r w:rsidRPr="002F2D51">
        <w:t xml:space="preserve"> Id.</w:t>
      </w:r>
    </w:p>
  </w:footnote>
  <w:footnote w:id="27">
    <w:p w:rsidR="002F2D51" w:rsidRPr="002F2D51" w:rsidRDefault="002F2D51" w:rsidP="00103FAB">
      <w:pPr>
        <w:pStyle w:val="FootnoteText"/>
        <w:spacing w:after="120"/>
      </w:pPr>
      <w:r w:rsidRPr="002F2D51">
        <w:rPr>
          <w:rStyle w:val="FootnoteReference"/>
        </w:rPr>
        <w:footnoteRef/>
      </w:r>
      <w:r w:rsidRPr="002F2D51">
        <w:t xml:space="preserve"> </w:t>
      </w:r>
      <w:r w:rsidR="00103FAB">
        <w:t>Id</w:t>
      </w:r>
      <w:r w:rsidRPr="002F2D51">
        <w:t xml:space="preserve"> at Table A6.</w:t>
      </w:r>
    </w:p>
  </w:footnote>
  <w:footnote w:id="28">
    <w:p w:rsidR="002F2D51" w:rsidRPr="002F2D51" w:rsidRDefault="002F2D51" w:rsidP="002F2D51">
      <w:pPr>
        <w:pStyle w:val="FootnoteText"/>
        <w:spacing w:after="120"/>
      </w:pPr>
      <w:r w:rsidRPr="002F2D51">
        <w:rPr>
          <w:rStyle w:val="FootnoteReference"/>
        </w:rPr>
        <w:footnoteRef/>
      </w:r>
      <w:r w:rsidRPr="002F2D51">
        <w:t xml:space="preserve"> Id.</w:t>
      </w:r>
    </w:p>
  </w:footnote>
  <w:footnote w:id="29">
    <w:p w:rsidR="002F2D51" w:rsidRPr="002F2D51" w:rsidRDefault="002F2D51" w:rsidP="002F2D51">
      <w:pPr>
        <w:pStyle w:val="FootnoteText"/>
        <w:spacing w:after="120"/>
      </w:pPr>
      <w:r w:rsidRPr="002F2D51">
        <w:rPr>
          <w:rStyle w:val="FootnoteReference"/>
        </w:rPr>
        <w:footnoteRef/>
      </w:r>
      <w:r w:rsidRPr="002F2D51">
        <w:t xml:space="preserve"> Id.</w:t>
      </w:r>
    </w:p>
  </w:footnote>
  <w:footnote w:id="30">
    <w:p w:rsidR="002F2D51" w:rsidRPr="002F2D51" w:rsidRDefault="002F2D51" w:rsidP="00C36B60">
      <w:pPr>
        <w:pStyle w:val="FootnoteText"/>
        <w:spacing w:after="120"/>
      </w:pPr>
      <w:r w:rsidRPr="002F2D51">
        <w:rPr>
          <w:rStyle w:val="FootnoteReference"/>
        </w:rPr>
        <w:footnoteRef/>
      </w:r>
      <w:r w:rsidRPr="002F2D51">
        <w:t xml:space="preserve"> </w:t>
      </w:r>
      <w:r w:rsidR="00C36B60">
        <w:t>Id</w:t>
      </w:r>
      <w:r w:rsidRPr="002F2D51">
        <w:t xml:space="preserve"> at Table A7.</w:t>
      </w:r>
    </w:p>
  </w:footnote>
  <w:footnote w:id="31">
    <w:p w:rsidR="002F2D51" w:rsidRPr="002F2D51" w:rsidRDefault="002F2D51" w:rsidP="002F2D51">
      <w:pPr>
        <w:pStyle w:val="FootnoteText"/>
        <w:spacing w:after="120"/>
      </w:pPr>
      <w:r w:rsidRPr="002F2D51">
        <w:rPr>
          <w:rStyle w:val="FootnoteReference"/>
        </w:rPr>
        <w:footnoteRef/>
      </w:r>
      <w:r w:rsidRPr="002F2D51">
        <w:t xml:space="preserve"> Persons for Whom Poverty Status was Determined.</w:t>
      </w:r>
    </w:p>
  </w:footnote>
  <w:footnote w:id="32">
    <w:p w:rsidR="002F2D51" w:rsidRPr="002F2D51" w:rsidRDefault="002F2D51" w:rsidP="00C36B60">
      <w:pPr>
        <w:pStyle w:val="FootnoteText"/>
        <w:spacing w:after="120"/>
      </w:pPr>
      <w:r w:rsidRPr="002F2D51">
        <w:rPr>
          <w:rStyle w:val="FootnoteReference"/>
        </w:rPr>
        <w:footnoteRef/>
      </w:r>
      <w:r w:rsidRPr="002F2D51">
        <w:t xml:space="preserve"> Ohio Utility Rate Survey </w:t>
      </w:r>
      <w:r w:rsidR="00C36B60">
        <w:t>(</w:t>
      </w:r>
      <w:r w:rsidRPr="002F2D51">
        <w:t>April 15, 2014</w:t>
      </w:r>
      <w:r w:rsidR="00C36B60">
        <w:t>)</w:t>
      </w:r>
      <w:r w:rsidRPr="002F2D51">
        <w:t xml:space="preserve"> (Attached herein as JDW-3).  Please note that Akron is served by the Ohio Edison Company, Canton by AEP Ohio, Cincinnati by Duke Energy Ohio, Cleveland by Cleveland Electric Illuminating Company, Columbus by AEP Ohio, Dayton by Dayton Power and Light, Toledo by Toledo Edison, and Youngstown by Ohio Edison.</w:t>
      </w:r>
    </w:p>
  </w:footnote>
  <w:footnote w:id="33">
    <w:p w:rsidR="002F2D51" w:rsidRPr="002F2D51" w:rsidRDefault="002F2D51" w:rsidP="002F2D51">
      <w:pPr>
        <w:pStyle w:val="FootnoteText"/>
        <w:spacing w:after="120"/>
      </w:pPr>
      <w:r w:rsidRPr="002F2D51">
        <w:rPr>
          <w:rStyle w:val="FootnoteReference"/>
        </w:rPr>
        <w:footnoteRef/>
      </w:r>
      <w:r w:rsidRPr="002F2D51">
        <w:t xml:space="preserve"> Ohio Poverty Report at A6.</w:t>
      </w:r>
    </w:p>
  </w:footnote>
  <w:footnote w:id="34">
    <w:p w:rsidR="002F2D51" w:rsidRPr="002F2D51" w:rsidRDefault="002F2D51" w:rsidP="002F2D51">
      <w:pPr>
        <w:pStyle w:val="FootnoteText"/>
        <w:spacing w:after="120"/>
      </w:pPr>
      <w:r w:rsidRPr="002F2D51">
        <w:rPr>
          <w:rStyle w:val="FootnoteReference"/>
        </w:rPr>
        <w:footnoteRef/>
      </w:r>
      <w:r w:rsidRPr="002F2D51">
        <w:t xml:space="preserve"> Id.</w:t>
      </w:r>
    </w:p>
  </w:footnote>
  <w:footnote w:id="35">
    <w:p w:rsidR="002F2D51" w:rsidRPr="002F2D51" w:rsidRDefault="002F2D51" w:rsidP="00C36B60">
      <w:pPr>
        <w:pStyle w:val="FootnoteText"/>
        <w:spacing w:after="120"/>
      </w:pPr>
      <w:r w:rsidRPr="002F2D51">
        <w:rPr>
          <w:rStyle w:val="FootnoteReference"/>
        </w:rPr>
        <w:footnoteRef/>
      </w:r>
      <w:r w:rsidRPr="002F2D51">
        <w:t xml:space="preserve"> Ohio Utility Rate Survey</w:t>
      </w:r>
      <w:r w:rsidR="00C36B60">
        <w:t xml:space="preserve"> (</w:t>
      </w:r>
      <w:r w:rsidRPr="002F2D51">
        <w:t>April 15, 2014</w:t>
      </w:r>
      <w:r w:rsidR="00C36B60">
        <w:t>)</w:t>
      </w:r>
      <w:r w:rsidRPr="002F2D51">
        <w:t xml:space="preserve"> (Attached herein as JDW-3).</w:t>
      </w:r>
    </w:p>
  </w:footnote>
  <w:footnote w:id="36">
    <w:p w:rsidR="002F2D51" w:rsidRPr="002F2D51" w:rsidRDefault="002F2D51" w:rsidP="002F2D51">
      <w:pPr>
        <w:pStyle w:val="FootnoteText"/>
        <w:spacing w:after="120"/>
      </w:pPr>
      <w:r w:rsidRPr="002F2D51">
        <w:rPr>
          <w:rStyle w:val="FootnoteReference"/>
        </w:rPr>
        <w:footnoteRef/>
      </w:r>
      <w:r w:rsidRPr="002F2D51">
        <w:t xml:space="preserve"> Id.</w:t>
      </w:r>
    </w:p>
  </w:footnote>
  <w:footnote w:id="37">
    <w:p w:rsidR="002F2D51" w:rsidRPr="002F2D51" w:rsidRDefault="002F2D51" w:rsidP="002F2D51">
      <w:pPr>
        <w:autoSpaceDE w:val="0"/>
        <w:autoSpaceDN w:val="0"/>
        <w:adjustRightInd w:val="0"/>
        <w:spacing w:after="120"/>
        <w:rPr>
          <w:sz w:val="20"/>
          <w:szCs w:val="20"/>
        </w:rPr>
      </w:pPr>
      <w:r w:rsidRPr="002F2D51">
        <w:rPr>
          <w:rStyle w:val="FootnoteReference"/>
          <w:sz w:val="20"/>
          <w:szCs w:val="20"/>
        </w:rPr>
        <w:footnoteRef/>
      </w:r>
      <w:r w:rsidRPr="002F2D51">
        <w:rPr>
          <w:sz w:val="20"/>
          <w:szCs w:val="20"/>
        </w:rPr>
        <w:t xml:space="preserve"> </w:t>
      </w:r>
      <w:r w:rsidRPr="002F2D51">
        <w:rPr>
          <w:i/>
          <w:sz w:val="20"/>
          <w:szCs w:val="20"/>
        </w:rPr>
        <w:t>In the Matter of the Application of Ohio Power Company to Establish Initial Storm Damage Recovery Rider Rates,</w:t>
      </w:r>
      <w:r w:rsidRPr="002F2D51">
        <w:rPr>
          <w:sz w:val="20"/>
          <w:szCs w:val="20"/>
        </w:rPr>
        <w:t xml:space="preserve"> Case No. 12-3255-EL-RDR, Revised Tariff Pages PUCO Tariff No. 20 (April 16, 2014).</w:t>
      </w:r>
    </w:p>
  </w:footnote>
  <w:footnote w:id="38">
    <w:p w:rsidR="002F2D51" w:rsidRPr="002F2D51" w:rsidRDefault="002F2D51" w:rsidP="002F2D51">
      <w:pPr>
        <w:pStyle w:val="FootnoteText"/>
        <w:spacing w:after="120"/>
      </w:pPr>
      <w:r w:rsidRPr="002F2D51">
        <w:rPr>
          <w:rStyle w:val="FootnoteReference"/>
        </w:rPr>
        <w:footnoteRef/>
      </w:r>
      <w:r w:rsidRPr="002F2D51">
        <w:t xml:space="preserve"> </w:t>
      </w:r>
      <w:r w:rsidRPr="00DF5C84">
        <w:t>http://www.eia.gov/electricity/monthly/current_year/february2014.pdf</w:t>
      </w:r>
    </w:p>
  </w:footnote>
  <w:footnote w:id="39">
    <w:p w:rsidR="002F2D51" w:rsidRPr="002F2D51" w:rsidRDefault="002F2D51" w:rsidP="002F2D51">
      <w:pPr>
        <w:pStyle w:val="FootnoteText"/>
        <w:spacing w:after="120"/>
      </w:pPr>
      <w:r w:rsidRPr="002F2D51">
        <w:rPr>
          <w:rStyle w:val="FootnoteReference"/>
        </w:rPr>
        <w:footnoteRef/>
      </w:r>
      <w:r w:rsidRPr="002F2D51">
        <w:t xml:space="preserve"> </w:t>
      </w:r>
      <w:r w:rsidR="00C36B60">
        <w:t xml:space="preserve">Summary of </w:t>
      </w:r>
      <w:r w:rsidRPr="002F2D51">
        <w:t xml:space="preserve">April 2004 through April 2014 </w:t>
      </w:r>
      <w:r w:rsidR="00C36B60">
        <w:t xml:space="preserve">Residential </w:t>
      </w:r>
      <w:r w:rsidRPr="002F2D51">
        <w:t>Bills as Reflected in the PUCO Ohio Utility Rate Survey Reports (Attached herein as JDW-4).</w:t>
      </w:r>
    </w:p>
  </w:footnote>
  <w:footnote w:id="40">
    <w:p w:rsidR="002F2D51" w:rsidRPr="002F2D51" w:rsidRDefault="002F2D51" w:rsidP="002F2D51">
      <w:pPr>
        <w:pStyle w:val="FootnoteText"/>
        <w:spacing w:after="120"/>
      </w:pPr>
      <w:r w:rsidRPr="002F2D51">
        <w:rPr>
          <w:rStyle w:val="FootnoteReference"/>
        </w:rPr>
        <w:footnoteRef/>
      </w:r>
      <w:r w:rsidRPr="002F2D51">
        <w:t xml:space="preserve"> Ohio Admin. Code 122:5-3-02(B)(1).</w:t>
      </w:r>
    </w:p>
  </w:footnote>
  <w:footnote w:id="41">
    <w:p w:rsidR="002F2D51" w:rsidRPr="002F2D51" w:rsidRDefault="002F2D51" w:rsidP="00E60135">
      <w:pPr>
        <w:pStyle w:val="FootnoteText"/>
        <w:spacing w:after="120"/>
      </w:pPr>
      <w:r w:rsidRPr="002F2D51">
        <w:rPr>
          <w:rStyle w:val="FootnoteReference"/>
        </w:rPr>
        <w:footnoteRef/>
      </w:r>
      <w:r w:rsidRPr="002F2D51">
        <w:t xml:space="preserve"> Ohio Admin. Code 122:5-3-04.</w:t>
      </w:r>
    </w:p>
  </w:footnote>
  <w:footnote w:id="42">
    <w:p w:rsidR="002F2D51" w:rsidRPr="002F2D51" w:rsidRDefault="002F2D51" w:rsidP="00E60135">
      <w:pPr>
        <w:pStyle w:val="FootnoteText"/>
        <w:spacing w:after="120"/>
      </w:pPr>
      <w:r w:rsidRPr="002F2D51">
        <w:rPr>
          <w:rStyle w:val="FootnoteReference"/>
        </w:rPr>
        <w:footnoteRef/>
      </w:r>
      <w:r w:rsidRPr="002F2D51">
        <w:t xml:space="preserve"> </w:t>
      </w:r>
      <w:r w:rsidRPr="002F2D51">
        <w:rPr>
          <w:i/>
        </w:rPr>
        <w:t>In the Matter of the Commission’s Review of Chapters 4901-1-17 and 4901:1-18, and Rules 4901:1-5-07, 4901:1-10-22, 4901:1-13-11, 4901:1-15-17, 4901:1-21-14, and 4901:1-29-12 of the Ohio Administrative Code</w:t>
      </w:r>
      <w:r w:rsidRPr="002F2D51">
        <w:t>, Case No. 08-723-AU-ORD, PIPP Plus Metrics Data reported to the PUCO Staff.</w:t>
      </w:r>
    </w:p>
  </w:footnote>
  <w:footnote w:id="43">
    <w:p w:rsidR="002F2D51" w:rsidRPr="002F2D51" w:rsidRDefault="002F2D51" w:rsidP="002F2D51">
      <w:pPr>
        <w:pStyle w:val="FootnoteText"/>
        <w:spacing w:after="120"/>
      </w:pPr>
      <w:r w:rsidRPr="002F2D51">
        <w:rPr>
          <w:rStyle w:val="FootnoteReference"/>
        </w:rPr>
        <w:footnoteRef/>
      </w:r>
      <w:r w:rsidRPr="002F2D51">
        <w:t xml:space="preserve"> According to the PIPP Plus Metrics data, the average number of res</w:t>
      </w:r>
      <w:r w:rsidR="00E60135">
        <w:t>idential customer is 1,287,000.</w:t>
      </w:r>
    </w:p>
  </w:footnote>
  <w:footnote w:id="44">
    <w:p w:rsidR="002F2D51" w:rsidRPr="002F2D51" w:rsidRDefault="002F2D51" w:rsidP="002F2D51">
      <w:pPr>
        <w:pStyle w:val="FootnoteText"/>
        <w:spacing w:after="120"/>
      </w:pPr>
      <w:r w:rsidRPr="002F2D51">
        <w:rPr>
          <w:rStyle w:val="FootnoteReference"/>
        </w:rPr>
        <w:footnoteRef/>
      </w:r>
      <w:r w:rsidRPr="002F2D51">
        <w:t xml:space="preserve"> </w:t>
      </w:r>
      <w:r w:rsidRPr="002F2D51">
        <w:rPr>
          <w:i/>
        </w:rPr>
        <w:t>In the Matter of the Annual Report of Service Disconnections for Nonpayment Required by Section 4933.123, Ohio Revised Code</w:t>
      </w:r>
      <w:r w:rsidRPr="002F2D51">
        <w:t>, Case No. 11-2682-GE-UNC, Columbus Southern Power Company’s and Ohio Power Company’s Notice of Filing Service Disconnection for Nonpayment Report at 3 (June 30, 2011).</w:t>
      </w:r>
    </w:p>
  </w:footnote>
  <w:footnote w:id="45">
    <w:p w:rsidR="002F2D51" w:rsidRPr="002F2D51" w:rsidRDefault="002F2D51" w:rsidP="002F2D51">
      <w:pPr>
        <w:pStyle w:val="FootnoteText"/>
        <w:spacing w:after="120"/>
      </w:pPr>
      <w:r w:rsidRPr="002F2D51">
        <w:rPr>
          <w:rStyle w:val="FootnoteReference"/>
        </w:rPr>
        <w:footnoteRef/>
      </w:r>
      <w:r w:rsidRPr="002F2D51">
        <w:t xml:space="preserve"> </w:t>
      </w:r>
      <w:r w:rsidRPr="002F2D51">
        <w:rPr>
          <w:i/>
        </w:rPr>
        <w:t>In the Matter of the Annual Report of Service Disconnections for Nonpayment Required by Section 4933.123, ORC</w:t>
      </w:r>
      <w:r w:rsidRPr="002F2D51">
        <w:t>, Case No. 13-1245-GE-UNC, Ohio Power Company’s Service Disconnection for Nonpayment Report at 2 (June 25, 2013).</w:t>
      </w:r>
    </w:p>
  </w:footnote>
  <w:footnote w:id="46">
    <w:p w:rsidR="002F2D51" w:rsidRPr="002F2D51" w:rsidRDefault="002F2D51" w:rsidP="002F2D51">
      <w:pPr>
        <w:pStyle w:val="FootnoteText"/>
        <w:spacing w:after="120"/>
      </w:pPr>
      <w:r w:rsidRPr="002F2D51">
        <w:rPr>
          <w:rStyle w:val="FootnoteReference"/>
        </w:rPr>
        <w:footnoteRef/>
      </w:r>
      <w:r w:rsidRPr="002F2D51">
        <w:t xml:space="preserve"> Ohio Development Services Agency, Percentage of Income Payment Plan Plus Presentation made to the Public Benefits Advisory Board (April 17, 2014).</w:t>
      </w:r>
    </w:p>
  </w:footnote>
  <w:footnote w:id="47">
    <w:p w:rsidR="002F2D51" w:rsidRPr="002F2D51" w:rsidRDefault="002F2D51" w:rsidP="002F2D51">
      <w:pPr>
        <w:pStyle w:val="FootnoteText"/>
        <w:spacing w:after="120"/>
      </w:pPr>
      <w:r w:rsidRPr="002F2D51">
        <w:rPr>
          <w:rStyle w:val="FootnoteReference"/>
        </w:rPr>
        <w:footnoteRef/>
      </w:r>
      <w:r w:rsidRPr="002F2D51">
        <w:t xml:space="preserve"> PIPP Plus Metrics Data provided by the PUCO.</w:t>
      </w:r>
    </w:p>
  </w:footnote>
  <w:footnote w:id="48">
    <w:p w:rsidR="002F2D51" w:rsidRPr="002F2D51" w:rsidRDefault="002F2D51" w:rsidP="00EE3070">
      <w:pPr>
        <w:pStyle w:val="FootnoteText"/>
        <w:spacing w:after="120"/>
      </w:pPr>
      <w:r w:rsidRPr="002F2D51">
        <w:rPr>
          <w:rStyle w:val="FootnoteReference"/>
        </w:rPr>
        <w:footnoteRef/>
      </w:r>
      <w:r w:rsidRPr="002F2D51">
        <w:t xml:space="preserve"> See </w:t>
      </w:r>
      <w:r w:rsidRPr="002F2D51">
        <w:rPr>
          <w:i/>
        </w:rPr>
        <w:t xml:space="preserve">In the Matter of the Application of Columbus Southern Power Company and Ohio Power Company, Individually and, if Their Proposed Merger is Approved, as a Merged </w:t>
      </w:r>
      <w:r w:rsidR="00E60135">
        <w:rPr>
          <w:i/>
        </w:rPr>
        <w:t xml:space="preserve">Company (collectively, AEP Ohio) </w:t>
      </w:r>
      <w:r w:rsidRPr="002F2D51">
        <w:rPr>
          <w:i/>
        </w:rPr>
        <w:t>for an Increase in Electric Distribution Rates</w:t>
      </w:r>
      <w:r w:rsidRPr="002F2D51">
        <w:t>, Case No. 1</w:t>
      </w:r>
      <w:r w:rsidR="00EE3070">
        <w:t>2</w:t>
      </w:r>
      <w:r w:rsidRPr="002F2D51">
        <w:t>-351-EL-COI, Application for Rehearing of Ohio Power Company at 3 (December 14, 2011).</w:t>
      </w:r>
    </w:p>
  </w:footnote>
  <w:footnote w:id="49">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Stacy Gabbard at 17.</w:t>
      </w:r>
    </w:p>
  </w:footnote>
  <w:footnote w:id="50">
    <w:p w:rsidR="002F2D51" w:rsidRPr="002F2D51" w:rsidRDefault="002F2D51" w:rsidP="002F2D51">
      <w:pPr>
        <w:pStyle w:val="FootnoteText"/>
        <w:spacing w:after="120"/>
      </w:pPr>
      <w:r w:rsidRPr="002F2D51">
        <w:rPr>
          <w:rStyle w:val="FootnoteReference"/>
        </w:rPr>
        <w:footnoteRef/>
      </w:r>
      <w:r w:rsidRPr="002F2D51">
        <w:t xml:space="preserve"> Ohio Admin. Code 4901:1-10-19(E)(2).</w:t>
      </w:r>
    </w:p>
  </w:footnote>
  <w:footnote w:id="51">
    <w:p w:rsidR="002F2D51" w:rsidRPr="002F2D51" w:rsidRDefault="002F2D51" w:rsidP="002F2D51">
      <w:pPr>
        <w:pStyle w:val="FootnoteText"/>
        <w:spacing w:after="120"/>
      </w:pPr>
      <w:r w:rsidRPr="00F82BD0">
        <w:rPr>
          <w:rStyle w:val="FootnoteReference"/>
          <w:color w:val="000000" w:themeColor="text1"/>
        </w:rPr>
        <w:footnoteRef/>
      </w:r>
      <w:r w:rsidRPr="00F82BD0">
        <w:rPr>
          <w:color w:val="000000" w:themeColor="text1"/>
        </w:rPr>
        <w:t xml:space="preserve"> </w:t>
      </w:r>
      <w:r w:rsidR="00F82BD0" w:rsidRPr="00FB038B">
        <w:t>http://www.puco.ohio.gov/emplibrary/files/util/MktMonitoringElecCustSwitchRates/</w:t>
      </w:r>
      <w:r w:rsidRPr="00DF5C84">
        <w:t>SWITCH</w:t>
      </w:r>
      <w:r w:rsidR="00F82BD0">
        <w:t xml:space="preserve"> </w:t>
      </w:r>
      <w:r w:rsidRPr="00DF5C84">
        <w:t>%</w:t>
      </w:r>
      <w:r w:rsidR="00F82BD0">
        <w:t xml:space="preserve"> </w:t>
      </w:r>
      <w:r w:rsidRPr="00DF5C84">
        <w:t>20RATES%20SALES/2013/4Q2013.pdf</w:t>
      </w:r>
      <w:r w:rsidRPr="002F2D51">
        <w:t xml:space="preserve"> (attached herein as JDW-5).</w:t>
      </w:r>
    </w:p>
  </w:footnote>
  <w:footnote w:id="52">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Stacy Gabbard at 13.</w:t>
      </w:r>
    </w:p>
  </w:footnote>
  <w:footnote w:id="53">
    <w:p w:rsidR="002F2D51" w:rsidRPr="002F2D51" w:rsidRDefault="002F2D51" w:rsidP="002F2D51">
      <w:pPr>
        <w:pStyle w:val="FootnoteText"/>
        <w:spacing w:after="120"/>
      </w:pPr>
      <w:r w:rsidRPr="002F2D51">
        <w:rPr>
          <w:rStyle w:val="FootnoteReference"/>
        </w:rPr>
        <w:footnoteRef/>
      </w:r>
      <w:r w:rsidRPr="002F2D51">
        <w:t xml:space="preserve"> AEP Ohi</w:t>
      </w:r>
      <w:r w:rsidR="005C66BD">
        <w:t>o Response to OCC-INT-</w:t>
      </w:r>
      <w:r w:rsidRPr="002F2D51">
        <w:t>4-035 (attached herein as JDW-6).</w:t>
      </w:r>
    </w:p>
  </w:footnote>
  <w:footnote w:id="54">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Stacy Gabbard at 16.</w:t>
      </w:r>
    </w:p>
  </w:footnote>
  <w:footnote w:id="55">
    <w:p w:rsidR="002F2D51" w:rsidRPr="002F2D51" w:rsidRDefault="002F2D51" w:rsidP="002F2D51">
      <w:pPr>
        <w:pStyle w:val="FootnoteText"/>
        <w:spacing w:after="120"/>
      </w:pPr>
      <w:r w:rsidRPr="002F2D51">
        <w:rPr>
          <w:rStyle w:val="FootnoteReference"/>
        </w:rPr>
        <w:footnoteRef/>
      </w:r>
      <w:r w:rsidRPr="002F2D51">
        <w:t xml:space="preserve"> Id.</w:t>
      </w:r>
    </w:p>
  </w:footnote>
  <w:footnote w:id="56">
    <w:p w:rsidR="002F2D51" w:rsidRPr="002F2D51" w:rsidRDefault="002F2D51" w:rsidP="002F2D51">
      <w:pPr>
        <w:autoSpaceDE w:val="0"/>
        <w:autoSpaceDN w:val="0"/>
        <w:adjustRightInd w:val="0"/>
        <w:spacing w:after="120"/>
        <w:rPr>
          <w:bCs/>
          <w:sz w:val="20"/>
          <w:szCs w:val="20"/>
        </w:rPr>
      </w:pPr>
      <w:r w:rsidRPr="002F2D51">
        <w:rPr>
          <w:rStyle w:val="FootnoteReference"/>
          <w:i/>
          <w:sz w:val="20"/>
          <w:szCs w:val="20"/>
        </w:rPr>
        <w:footnoteRef/>
      </w:r>
      <w:r w:rsidRPr="002F2D51">
        <w:rPr>
          <w:i/>
          <w:sz w:val="20"/>
          <w:szCs w:val="20"/>
        </w:rPr>
        <w:t xml:space="preserve"> </w:t>
      </w:r>
      <w:r w:rsidRPr="002F2D51">
        <w:rPr>
          <w:bCs/>
          <w:i/>
          <w:sz w:val="20"/>
          <w:szCs w:val="20"/>
        </w:rPr>
        <w:t>In the Matter of the Annual Report of Service Disconnections for Nonpayment Required by Section 4933.123, ORC</w:t>
      </w:r>
      <w:r w:rsidRPr="002F2D51">
        <w:rPr>
          <w:bCs/>
          <w:sz w:val="20"/>
          <w:szCs w:val="20"/>
        </w:rPr>
        <w:t>, Case No. 13-1245-GE-UNC, Ohio Power Company’s Service Disconnection for Nonpayment Report at 3 (June 5, 2013).</w:t>
      </w:r>
    </w:p>
  </w:footnote>
  <w:footnote w:id="57">
    <w:p w:rsidR="002F2D51" w:rsidRPr="002F2D51" w:rsidRDefault="002F2D51" w:rsidP="002F2D51">
      <w:pPr>
        <w:pStyle w:val="FootnoteText"/>
        <w:spacing w:after="120"/>
      </w:pPr>
      <w:r w:rsidRPr="002F2D51">
        <w:rPr>
          <w:rStyle w:val="FootnoteReference"/>
        </w:rPr>
        <w:footnoteRef/>
      </w:r>
      <w:r w:rsidRPr="002F2D51">
        <w:t xml:space="preserve"> According to the PUCO Summary of Switch Rates to CRES Providers in Terms of Sales for the Month Ending December 31, 2013 (Attached Herein as JDW-7), approximately 27.2% of the residential load is served by CRES providers.</w:t>
      </w:r>
    </w:p>
  </w:footnote>
  <w:footnote w:id="58">
    <w:p w:rsidR="002F2D51" w:rsidRPr="002F2D51" w:rsidRDefault="002F2D51" w:rsidP="002F2D51">
      <w:pPr>
        <w:pStyle w:val="FootnoteText"/>
        <w:spacing w:after="120"/>
      </w:pPr>
      <w:r w:rsidRPr="002F2D51">
        <w:rPr>
          <w:rStyle w:val="FootnoteReference"/>
        </w:rPr>
        <w:footnoteRef/>
      </w:r>
      <w:r w:rsidRPr="002F2D51">
        <w:t xml:space="preserve"> Ohio Admin. Code 4901:1-21-07(A).</w:t>
      </w:r>
    </w:p>
  </w:footnote>
  <w:footnote w:id="59">
    <w:p w:rsidR="002F2D51" w:rsidRPr="002F2D51" w:rsidRDefault="002F2D51" w:rsidP="002F2D51">
      <w:pPr>
        <w:pStyle w:val="FootnoteText"/>
        <w:spacing w:after="120"/>
      </w:pPr>
      <w:r w:rsidRPr="002F2D51">
        <w:rPr>
          <w:rStyle w:val="FootnoteReference"/>
        </w:rPr>
        <w:footnoteRef/>
      </w:r>
      <w:r w:rsidRPr="002F2D51">
        <w:t xml:space="preserve"> R.C. 4933.17(B).</w:t>
      </w:r>
    </w:p>
  </w:footnote>
  <w:footnote w:id="60">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Mr. Gabbard at 7.</w:t>
      </w:r>
    </w:p>
  </w:footnote>
  <w:footnote w:id="61">
    <w:p w:rsidR="002F2D51" w:rsidRPr="002F2D51" w:rsidRDefault="002F2D51" w:rsidP="002F2D51">
      <w:pPr>
        <w:pStyle w:val="FootnoteText"/>
        <w:spacing w:after="120"/>
      </w:pPr>
      <w:r w:rsidRPr="002F2D51">
        <w:rPr>
          <w:rStyle w:val="FootnoteReference"/>
        </w:rPr>
        <w:footnoteRef/>
      </w:r>
      <w:r w:rsidRPr="002F2D51">
        <w:t xml:space="preserve"> Id.</w:t>
      </w:r>
    </w:p>
  </w:footnote>
  <w:footnote w:id="62">
    <w:p w:rsidR="002F2D51" w:rsidRPr="002F2D51" w:rsidRDefault="002F2D51" w:rsidP="002F2D51">
      <w:pPr>
        <w:pStyle w:val="FootnoteText"/>
        <w:spacing w:after="120"/>
      </w:pPr>
      <w:r w:rsidRPr="002F2D51">
        <w:rPr>
          <w:rStyle w:val="FootnoteReference"/>
        </w:rPr>
        <w:footnoteRef/>
      </w:r>
      <w:r w:rsidRPr="002F2D51">
        <w:t xml:space="preserve"> Id. at 9.</w:t>
      </w:r>
    </w:p>
  </w:footnote>
  <w:footnote w:id="63">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Gary Spitznogle at 10.</w:t>
      </w:r>
    </w:p>
  </w:footnote>
  <w:footnote w:id="64">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Gary Spitznogle at 11.</w:t>
      </w:r>
    </w:p>
  </w:footnote>
  <w:footnote w:id="65">
    <w:p w:rsidR="002F2D51" w:rsidRPr="002F2D51" w:rsidRDefault="002F2D51" w:rsidP="005C66BD">
      <w:pPr>
        <w:pStyle w:val="FootnoteText"/>
        <w:spacing w:after="120"/>
      </w:pPr>
      <w:r w:rsidRPr="002F2D51">
        <w:rPr>
          <w:rStyle w:val="FootnoteReference"/>
        </w:rPr>
        <w:footnoteRef/>
      </w:r>
      <w:r w:rsidR="005C66BD">
        <w:t xml:space="preserve"> OCC-</w:t>
      </w:r>
      <w:r w:rsidRPr="002F2D51">
        <w:t>INT-4-066 (Attached herein as JDW-10)</w:t>
      </w:r>
      <w:r w:rsidR="00E60135">
        <w:t>.</w:t>
      </w:r>
    </w:p>
  </w:footnote>
  <w:footnote w:id="66">
    <w:p w:rsidR="002F2D51" w:rsidRPr="002F2D51" w:rsidRDefault="002F2D51" w:rsidP="005C66BD">
      <w:pPr>
        <w:pStyle w:val="FootnoteText"/>
        <w:spacing w:after="120"/>
      </w:pPr>
      <w:r w:rsidRPr="002F2D51">
        <w:rPr>
          <w:rStyle w:val="FootnoteReference"/>
        </w:rPr>
        <w:footnoteRef/>
      </w:r>
      <w:r w:rsidRPr="002F2D51">
        <w:t xml:space="preserve"> OCC</w:t>
      </w:r>
      <w:r w:rsidR="005C66BD">
        <w:t>-</w:t>
      </w:r>
      <w:r w:rsidRPr="002F2D51">
        <w:t>INT-13-317 (Attached herein as JDW-11).</w:t>
      </w:r>
    </w:p>
  </w:footnote>
  <w:footnote w:id="67">
    <w:p w:rsidR="002F2D51" w:rsidRPr="002F2D51" w:rsidRDefault="002F2D51" w:rsidP="002F2D51">
      <w:pPr>
        <w:pStyle w:val="FootnoteText"/>
        <w:spacing w:after="120"/>
      </w:pPr>
      <w:r w:rsidRPr="002F2D51">
        <w:rPr>
          <w:rStyle w:val="FootnoteReference"/>
        </w:rPr>
        <w:footnoteRef/>
      </w:r>
      <w:r w:rsidRPr="002F2D51">
        <w:t xml:space="preserve"> Duke Energy Ohio Tariff, P.U.C.O. Electric No. 19, Sheet No. 30.14, Page 2 of 2.</w:t>
      </w:r>
    </w:p>
  </w:footnote>
  <w:footnote w:id="68">
    <w:p w:rsidR="002F2D51" w:rsidRPr="002F2D51" w:rsidRDefault="002F2D51" w:rsidP="002F2D51">
      <w:pPr>
        <w:pStyle w:val="FootnoteText"/>
        <w:spacing w:after="120"/>
      </w:pPr>
      <w:r w:rsidRPr="002F2D51">
        <w:rPr>
          <w:rStyle w:val="FootnoteReference"/>
        </w:rPr>
        <w:footnoteRef/>
      </w:r>
      <w:r w:rsidRPr="002F2D51">
        <w:t xml:space="preserve"> Ohio Edison Company Tariff, Original Sheet 4, page 5 of 24.</w:t>
      </w:r>
    </w:p>
  </w:footnote>
  <w:footnote w:id="69">
    <w:p w:rsidR="002F2D51" w:rsidRPr="002F2D51" w:rsidRDefault="002F2D51" w:rsidP="002F2D51">
      <w:pPr>
        <w:pStyle w:val="FootnoteText"/>
        <w:spacing w:after="120"/>
      </w:pPr>
      <w:r w:rsidRPr="002F2D51">
        <w:rPr>
          <w:rStyle w:val="FootnoteReference"/>
        </w:rPr>
        <w:footnoteRef/>
      </w:r>
      <w:r w:rsidRPr="002F2D51">
        <w:t xml:space="preserve"> Columbia Gas of Ohio Tariff, Second Revised Sheet No. 13. </w:t>
      </w:r>
      <w:r w:rsidR="00E60135">
        <w:t xml:space="preserve"> </w:t>
      </w:r>
      <w:r w:rsidRPr="002F2D51">
        <w:t>The East Ohio Gas Company Tariff, Fourth Revised Sheet No. K4.</w:t>
      </w:r>
    </w:p>
  </w:footnote>
  <w:footnote w:id="70">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Selwyn Dias at 16.</w:t>
      </w:r>
    </w:p>
  </w:footnote>
  <w:footnote w:id="71">
    <w:p w:rsidR="002F2D51" w:rsidRPr="002F2D51" w:rsidRDefault="002F2D51" w:rsidP="00EE3070">
      <w:pPr>
        <w:autoSpaceDE w:val="0"/>
        <w:autoSpaceDN w:val="0"/>
        <w:adjustRightInd w:val="0"/>
        <w:spacing w:after="120"/>
        <w:rPr>
          <w:sz w:val="20"/>
          <w:szCs w:val="20"/>
        </w:rPr>
      </w:pPr>
      <w:r w:rsidRPr="002F2D51">
        <w:rPr>
          <w:rStyle w:val="FootnoteReference"/>
          <w:sz w:val="20"/>
          <w:szCs w:val="20"/>
        </w:rPr>
        <w:footnoteRef/>
      </w:r>
      <w:r w:rsidRPr="002F2D51">
        <w:rPr>
          <w:sz w:val="20"/>
          <w:szCs w:val="20"/>
        </w:rPr>
        <w:t xml:space="preserve"> </w:t>
      </w:r>
      <w:r w:rsidRPr="002F2D51">
        <w:rPr>
          <w:i/>
          <w:sz w:val="20"/>
          <w:szCs w:val="20"/>
        </w:rPr>
        <w:t>In the Matter of the Application of Columbus Southern Power Company and Ohio Power Company for Authority to Establish a Standard Service Offer Pursuant to Section 4928.143, Revised Code, in the Form of an Electric Security Plan</w:t>
      </w:r>
      <w:r w:rsidRPr="002F2D51">
        <w:rPr>
          <w:sz w:val="20"/>
          <w:szCs w:val="20"/>
        </w:rPr>
        <w:t>, Case No. 12-346-EL-SSO, Opinion and Order at 47</w:t>
      </w:r>
      <w:r w:rsidR="00EE3070">
        <w:rPr>
          <w:sz w:val="20"/>
          <w:szCs w:val="20"/>
        </w:rPr>
        <w:t xml:space="preserve"> (“Modified ESP II Order”)</w:t>
      </w:r>
      <w:r w:rsidRPr="002F2D51">
        <w:rPr>
          <w:sz w:val="20"/>
          <w:szCs w:val="20"/>
        </w:rPr>
        <w:t xml:space="preserve"> (August 8, 2012).</w:t>
      </w:r>
    </w:p>
  </w:footnote>
  <w:footnote w:id="72">
    <w:p w:rsidR="002F2D51" w:rsidRPr="002F2D51" w:rsidRDefault="002F2D51" w:rsidP="002F2D51">
      <w:pPr>
        <w:pStyle w:val="FootnoteText"/>
        <w:spacing w:after="120"/>
      </w:pPr>
      <w:r w:rsidRPr="002F2D51">
        <w:rPr>
          <w:rStyle w:val="FootnoteReference"/>
        </w:rPr>
        <w:footnoteRef/>
      </w:r>
      <w:r w:rsidRPr="002F2D51">
        <w:t xml:space="preserve"> Id. at 42</w:t>
      </w:r>
      <w:r w:rsidR="00E60135">
        <w:t>.</w:t>
      </w:r>
    </w:p>
  </w:footnote>
  <w:footnote w:id="73">
    <w:p w:rsidR="002F2D51" w:rsidRPr="002F2D51" w:rsidRDefault="002F2D51" w:rsidP="002F2D51">
      <w:pPr>
        <w:pStyle w:val="FootnoteText"/>
        <w:spacing w:after="120"/>
      </w:pPr>
      <w:r w:rsidRPr="002F2D51">
        <w:rPr>
          <w:rStyle w:val="FootnoteReference"/>
        </w:rPr>
        <w:footnoteRef/>
      </w:r>
      <w:r w:rsidRPr="002F2D51">
        <w:t xml:space="preserve"> AEP Ohio ESP III Ap</w:t>
      </w:r>
      <w:r w:rsidR="00EE3070">
        <w:t xml:space="preserve">plication, Direct Testimony of </w:t>
      </w:r>
      <w:r w:rsidRPr="002F2D51">
        <w:t>Selwyn Dias at 16.</w:t>
      </w:r>
    </w:p>
  </w:footnote>
  <w:footnote w:id="74">
    <w:p w:rsidR="002F2D51" w:rsidRPr="002F2D51" w:rsidRDefault="002F2D51" w:rsidP="002F2D51">
      <w:pPr>
        <w:pStyle w:val="FootnoteText"/>
        <w:spacing w:after="120"/>
      </w:pPr>
      <w:r w:rsidRPr="002F2D51">
        <w:rPr>
          <w:rStyle w:val="FootnoteReference"/>
        </w:rPr>
        <w:footnoteRef/>
      </w:r>
      <w:r w:rsidRPr="002F2D51">
        <w:t xml:space="preserve"> Modified ESP II Order 11-346 at 47.</w:t>
      </w:r>
    </w:p>
  </w:footnote>
  <w:footnote w:id="75">
    <w:p w:rsidR="002F2D51" w:rsidRPr="002F2D51" w:rsidRDefault="002F2D51" w:rsidP="002F2D51">
      <w:pPr>
        <w:pStyle w:val="FootnoteText"/>
        <w:spacing w:after="120"/>
      </w:pPr>
      <w:r w:rsidRPr="002F2D51">
        <w:rPr>
          <w:rStyle w:val="FootnoteReference"/>
        </w:rPr>
        <w:footnoteRef/>
      </w:r>
      <w:r w:rsidRPr="002F2D51">
        <w:t xml:space="preserve"> Direct Testimony of OCC Witness David Effron at 18.</w:t>
      </w:r>
    </w:p>
  </w:footnote>
  <w:footnote w:id="76">
    <w:p w:rsidR="002F2D51" w:rsidRPr="002F2D51" w:rsidRDefault="002F2D51" w:rsidP="002F2D51">
      <w:pPr>
        <w:pStyle w:val="FootnoteText"/>
        <w:spacing w:after="120"/>
      </w:pPr>
      <w:r w:rsidRPr="002F2D51">
        <w:rPr>
          <w:rStyle w:val="FootnoteReference"/>
        </w:rPr>
        <w:footnoteRef/>
      </w:r>
      <w:r w:rsidRPr="002F2D51">
        <w:t xml:space="preserve"> Ohio Power Company Tariff, 7</w:t>
      </w:r>
      <w:r w:rsidRPr="002F2D51">
        <w:rPr>
          <w:vertAlign w:val="superscript"/>
        </w:rPr>
        <w:t>th</w:t>
      </w:r>
      <w:r w:rsidRPr="002F2D51">
        <w:t xml:space="preserve"> Revised Sheet No. 489-1.</w:t>
      </w:r>
    </w:p>
  </w:footnote>
  <w:footnote w:id="77">
    <w:p w:rsidR="002F2D51" w:rsidRPr="002F2D51" w:rsidRDefault="002F2D51" w:rsidP="002F2D51">
      <w:pPr>
        <w:pStyle w:val="FootnoteText"/>
        <w:spacing w:after="120"/>
      </w:pPr>
      <w:r w:rsidRPr="002F2D51">
        <w:rPr>
          <w:rStyle w:val="FootnoteReference"/>
        </w:rPr>
        <w:footnoteRef/>
      </w:r>
      <w:r w:rsidRPr="002F2D51">
        <w:t xml:space="preserve"> https://www.aepohio.com/account/bills/rates/AEPOhioRatesTariffsOH.aspx</w:t>
      </w:r>
    </w:p>
  </w:footnote>
  <w:footnote w:id="78">
    <w:p w:rsidR="002F2D51" w:rsidRPr="002F2D51" w:rsidRDefault="002F2D51" w:rsidP="002F2D51">
      <w:pPr>
        <w:pStyle w:val="FootnoteText"/>
        <w:spacing w:after="120"/>
      </w:pPr>
      <w:r w:rsidRPr="002F2D51">
        <w:rPr>
          <w:rStyle w:val="FootnoteReference"/>
        </w:rPr>
        <w:footnoteRef/>
      </w:r>
      <w:r w:rsidRPr="002F2D51">
        <w:t xml:space="preserve"> AEP Ohio ESP III Ap</w:t>
      </w:r>
      <w:r w:rsidR="00EE3070">
        <w:t xml:space="preserve">plication, Direct Testimony of </w:t>
      </w:r>
      <w:r w:rsidRPr="002F2D51">
        <w:t>Selwyn Dias at 8.</w:t>
      </w:r>
    </w:p>
  </w:footnote>
  <w:footnote w:id="79">
    <w:p w:rsidR="002F2D51" w:rsidRPr="002F2D51" w:rsidRDefault="002F2D51" w:rsidP="002F2D51">
      <w:pPr>
        <w:pStyle w:val="FootnoteText"/>
        <w:spacing w:after="120"/>
      </w:pPr>
      <w:r w:rsidRPr="002F2D51">
        <w:rPr>
          <w:rStyle w:val="FootnoteReference"/>
        </w:rPr>
        <w:footnoteRef/>
      </w:r>
      <w:r w:rsidRPr="002F2D51">
        <w:t xml:space="preserve"> Case 11-346-EL-SSO, Modified ESP II Order at 47.</w:t>
      </w:r>
    </w:p>
  </w:footnote>
  <w:footnote w:id="80">
    <w:p w:rsidR="002F2D51" w:rsidRPr="002F2D51" w:rsidRDefault="002F2D51" w:rsidP="002F2D51">
      <w:pPr>
        <w:pStyle w:val="FootnoteText"/>
        <w:spacing w:after="120"/>
      </w:pPr>
      <w:r w:rsidRPr="002F2D51">
        <w:rPr>
          <w:rStyle w:val="FootnoteReference"/>
        </w:rPr>
        <w:footnoteRef/>
      </w:r>
      <w:r w:rsidR="00E60135">
        <w:t xml:space="preserve"> Id.</w:t>
      </w:r>
    </w:p>
  </w:footnote>
  <w:footnote w:id="81">
    <w:p w:rsidR="002F2D51" w:rsidRPr="002F2D51" w:rsidRDefault="002F2D51" w:rsidP="002F2D51">
      <w:pPr>
        <w:pStyle w:val="FootnoteText"/>
        <w:spacing w:after="120"/>
      </w:pPr>
      <w:r w:rsidRPr="002F2D51">
        <w:rPr>
          <w:rStyle w:val="FootnoteReference"/>
        </w:rPr>
        <w:footnoteRef/>
      </w:r>
      <w:r w:rsidRPr="002F2D51">
        <w:t xml:space="preserve"> AEP Ohio response to OCC INT-4-045 (attached herein as JDW-12).</w:t>
      </w:r>
    </w:p>
  </w:footnote>
  <w:footnote w:id="82">
    <w:p w:rsidR="002F2D51" w:rsidRPr="002F2D51" w:rsidRDefault="002F2D51" w:rsidP="002F2D51">
      <w:pPr>
        <w:pStyle w:val="FootnoteText"/>
        <w:spacing w:after="120"/>
      </w:pPr>
      <w:r w:rsidRPr="002F2D51">
        <w:rPr>
          <w:rStyle w:val="FootnoteReference"/>
        </w:rPr>
        <w:footnoteRef/>
      </w:r>
      <w:r w:rsidRPr="002F2D51">
        <w:t xml:space="preserve"> Annual Reports filed by AEP Ohio pursuant to Ohio Admin. Code 4901:1-10-10(C)(3)(a) for 2012 and 2013 (attached herein as JDW-13).</w:t>
      </w:r>
    </w:p>
  </w:footnote>
  <w:footnote w:id="83">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Selwyn Dias at 6.</w:t>
      </w:r>
    </w:p>
  </w:footnote>
  <w:footnote w:id="84">
    <w:p w:rsidR="002F2D51" w:rsidRPr="002F2D51" w:rsidRDefault="002F2D51" w:rsidP="002F2D51">
      <w:pPr>
        <w:pStyle w:val="FootnoteText"/>
        <w:spacing w:after="120"/>
      </w:pPr>
      <w:r w:rsidRPr="002F2D51">
        <w:rPr>
          <w:rStyle w:val="FootnoteReference"/>
        </w:rPr>
        <w:footnoteRef/>
      </w:r>
      <w:r w:rsidRPr="002F2D51">
        <w:t xml:space="preserve"> Id. at 19-20.</w:t>
      </w:r>
    </w:p>
  </w:footnote>
  <w:footnote w:id="85">
    <w:p w:rsidR="002F2D51" w:rsidRPr="002F2D51" w:rsidRDefault="002F2D51" w:rsidP="002F2D51">
      <w:pPr>
        <w:pStyle w:val="FootnoteText"/>
        <w:spacing w:after="120"/>
      </w:pPr>
      <w:r w:rsidRPr="002F2D51">
        <w:rPr>
          <w:rStyle w:val="FootnoteReference"/>
        </w:rPr>
        <w:footnoteRef/>
      </w:r>
      <w:r w:rsidRPr="002F2D51">
        <w:t xml:space="preserve"> Modified ESP II Order at 64-65.</w:t>
      </w:r>
    </w:p>
  </w:footnote>
  <w:footnote w:id="86">
    <w:p w:rsidR="002F2D51" w:rsidRPr="002F2D51" w:rsidRDefault="002F2D51" w:rsidP="002F2D51">
      <w:pPr>
        <w:pStyle w:val="FootnoteText"/>
        <w:spacing w:after="120"/>
      </w:pPr>
      <w:r w:rsidRPr="002F2D51">
        <w:rPr>
          <w:rStyle w:val="FootnoteReference"/>
        </w:rPr>
        <w:footnoteRef/>
      </w:r>
      <w:r w:rsidR="00E60135">
        <w:t xml:space="preserve"> </w:t>
      </w:r>
      <w:r w:rsidRPr="002F2D51">
        <w:t>AEP Ohio ESP III Application, Direct Testimony of Gary Spitznogle at 12-13.</w:t>
      </w:r>
    </w:p>
  </w:footnote>
  <w:footnote w:id="87">
    <w:p w:rsidR="002F2D51" w:rsidRPr="002F2D51" w:rsidRDefault="002F2D51" w:rsidP="002F2D51">
      <w:pPr>
        <w:pStyle w:val="FootnoteText"/>
        <w:spacing w:after="120"/>
      </w:pPr>
      <w:r w:rsidRPr="002F2D51">
        <w:rPr>
          <w:rStyle w:val="FootnoteReference"/>
        </w:rPr>
        <w:footnoteRef/>
      </w:r>
      <w:r w:rsidRPr="002F2D51">
        <w:t xml:space="preserve"> Id. at 13.</w:t>
      </w:r>
    </w:p>
  </w:footnote>
  <w:footnote w:id="88">
    <w:p w:rsidR="002F2D51" w:rsidRPr="002F2D51" w:rsidRDefault="002F2D51" w:rsidP="005C66BD">
      <w:pPr>
        <w:pStyle w:val="FootnoteText"/>
        <w:spacing w:after="120"/>
      </w:pPr>
      <w:r w:rsidRPr="002F2D51">
        <w:rPr>
          <w:rStyle w:val="FootnoteReference"/>
        </w:rPr>
        <w:footnoteRef/>
      </w:r>
      <w:r w:rsidR="005C66BD">
        <w:t xml:space="preserve"> AEP Ohio Response to OCC-</w:t>
      </w:r>
      <w:r w:rsidRPr="002F2D51">
        <w:t>INT-19-350 (attached herein as JDW-15)</w:t>
      </w:r>
      <w:r w:rsidR="00E60135">
        <w:t>.</w:t>
      </w:r>
    </w:p>
  </w:footnote>
  <w:footnote w:id="89">
    <w:p w:rsidR="002F2D51" w:rsidRPr="002F2D51" w:rsidRDefault="002F2D51" w:rsidP="002F2D51">
      <w:pPr>
        <w:autoSpaceDE w:val="0"/>
        <w:autoSpaceDN w:val="0"/>
        <w:adjustRightInd w:val="0"/>
        <w:spacing w:after="120"/>
        <w:rPr>
          <w:sz w:val="20"/>
          <w:szCs w:val="20"/>
        </w:rPr>
      </w:pPr>
      <w:r w:rsidRPr="002F2D51">
        <w:rPr>
          <w:rStyle w:val="FootnoteReference"/>
          <w:sz w:val="20"/>
          <w:szCs w:val="20"/>
        </w:rPr>
        <w:footnoteRef/>
      </w:r>
      <w:r w:rsidRPr="002F2D51">
        <w:rPr>
          <w:sz w:val="20"/>
          <w:szCs w:val="20"/>
        </w:rPr>
        <w:t xml:space="preserve"> </w:t>
      </w:r>
      <w:r w:rsidRPr="002F2D51">
        <w:rPr>
          <w:i/>
          <w:sz w:val="20"/>
          <w:szCs w:val="20"/>
        </w:rPr>
        <w:t>In the Matter of the Commission’s Review of Chapter 4901:1-9, Ohio Administrative Code, Regarding Metering Options</w:t>
      </w:r>
      <w:r w:rsidRPr="002F2D51">
        <w:rPr>
          <w:sz w:val="20"/>
          <w:szCs w:val="20"/>
        </w:rPr>
        <w:t>, Case No. 12-2049-EL-ORD, OCC Reply Comments at 2-4 (January 2014).</w:t>
      </w:r>
    </w:p>
  </w:footnote>
  <w:footnote w:id="90">
    <w:p w:rsidR="002F2D51" w:rsidRPr="002F2D51" w:rsidRDefault="002F2D51" w:rsidP="002F2D51">
      <w:pPr>
        <w:pStyle w:val="FootnoteText"/>
        <w:spacing w:after="120"/>
      </w:pPr>
      <w:r w:rsidRPr="002F2D51">
        <w:rPr>
          <w:rStyle w:val="FootnoteReference"/>
        </w:rPr>
        <w:footnoteRef/>
      </w:r>
      <w:r w:rsidRPr="002F2D51">
        <w:t xml:space="preserve"> </w:t>
      </w:r>
      <w:r w:rsidRPr="002F2D51">
        <w:rPr>
          <w:i/>
        </w:rPr>
        <w:t>In the Matter of the Application Not for an Increase in Rates Pursuant to Section 4909:18, Revised Code, of Ohio Power Company to Establish an Expiration for its gridSMART Experimental Tariffs</w:t>
      </w:r>
      <w:r w:rsidRPr="002F2D51">
        <w:t>, Case No. 13-1937-EL-ATA, Application at 1 (September 13, 2013).</w:t>
      </w:r>
    </w:p>
  </w:footnote>
  <w:footnote w:id="91">
    <w:p w:rsidR="002F2D51" w:rsidRPr="002F2D51" w:rsidRDefault="002F2D51" w:rsidP="002F2D51">
      <w:pPr>
        <w:pStyle w:val="FootnoteText"/>
        <w:spacing w:after="120"/>
      </w:pPr>
      <w:r w:rsidRPr="002F2D51">
        <w:rPr>
          <w:rStyle w:val="FootnoteReference"/>
        </w:rPr>
        <w:footnoteRef/>
      </w:r>
      <w:r w:rsidRPr="002F2D51">
        <w:t xml:space="preserve"> Id. at 4.</w:t>
      </w:r>
    </w:p>
  </w:footnote>
  <w:footnote w:id="92">
    <w:p w:rsidR="002F2D51" w:rsidRPr="002F2D51" w:rsidRDefault="002F2D51" w:rsidP="00E60135">
      <w:pPr>
        <w:autoSpaceDE w:val="0"/>
        <w:autoSpaceDN w:val="0"/>
        <w:adjustRightInd w:val="0"/>
        <w:spacing w:after="120"/>
        <w:rPr>
          <w:sz w:val="20"/>
          <w:szCs w:val="20"/>
        </w:rPr>
      </w:pPr>
      <w:r w:rsidRPr="002F2D51">
        <w:rPr>
          <w:rStyle w:val="FootnoteReference"/>
          <w:sz w:val="20"/>
          <w:szCs w:val="20"/>
        </w:rPr>
        <w:footnoteRef/>
      </w:r>
      <w:r w:rsidRPr="002F2D51">
        <w:rPr>
          <w:sz w:val="20"/>
          <w:szCs w:val="20"/>
        </w:rPr>
        <w:t xml:space="preserve"> </w:t>
      </w:r>
      <w:r w:rsidRPr="002F2D51">
        <w:rPr>
          <w:i/>
          <w:sz w:val="20"/>
          <w:szCs w:val="20"/>
        </w:rPr>
        <w:t>In the Matter of the Application of Columbus Southern Power Company for Approval of</w:t>
      </w:r>
      <w:r w:rsidR="00E60135">
        <w:rPr>
          <w:i/>
          <w:sz w:val="20"/>
          <w:szCs w:val="20"/>
        </w:rPr>
        <w:t xml:space="preserve"> </w:t>
      </w:r>
      <w:r w:rsidRPr="002F2D51">
        <w:rPr>
          <w:i/>
          <w:sz w:val="20"/>
          <w:szCs w:val="20"/>
        </w:rPr>
        <w:t xml:space="preserve">an Electric Security Plan; an Amendment to its Corporate </w:t>
      </w:r>
      <w:r w:rsidR="00E60135">
        <w:rPr>
          <w:i/>
          <w:sz w:val="20"/>
          <w:szCs w:val="20"/>
        </w:rPr>
        <w:t xml:space="preserve">Separation Plan; and the Sale or </w:t>
      </w:r>
      <w:r w:rsidRPr="002F2D51">
        <w:rPr>
          <w:i/>
          <w:sz w:val="20"/>
          <w:szCs w:val="20"/>
        </w:rPr>
        <w:t>Transfer of Certain Generating Assets</w:t>
      </w:r>
      <w:r w:rsidRPr="002F2D51">
        <w:rPr>
          <w:sz w:val="20"/>
          <w:szCs w:val="20"/>
        </w:rPr>
        <w:t>, Case No. 08-917-EL-SSO, Opinion and Order at 35-37 (March 18, 2009).</w:t>
      </w:r>
    </w:p>
  </w:footnote>
  <w:footnote w:id="93">
    <w:p w:rsidR="002F2D51" w:rsidRPr="002F2D51" w:rsidRDefault="002F2D51" w:rsidP="002F2D51">
      <w:pPr>
        <w:autoSpaceDE w:val="0"/>
        <w:autoSpaceDN w:val="0"/>
        <w:adjustRightInd w:val="0"/>
        <w:spacing w:after="120"/>
        <w:rPr>
          <w:sz w:val="20"/>
          <w:szCs w:val="20"/>
        </w:rPr>
      </w:pPr>
      <w:r w:rsidRPr="002F2D51">
        <w:rPr>
          <w:rStyle w:val="FootnoteReference"/>
          <w:sz w:val="20"/>
          <w:szCs w:val="20"/>
        </w:rPr>
        <w:footnoteRef/>
      </w:r>
      <w:r w:rsidRPr="002F2D51">
        <w:rPr>
          <w:sz w:val="20"/>
          <w:szCs w:val="20"/>
        </w:rPr>
        <w:t xml:space="preserve"> </w:t>
      </w:r>
      <w:r w:rsidRPr="002F2D51">
        <w:rPr>
          <w:i/>
          <w:sz w:val="20"/>
          <w:szCs w:val="20"/>
        </w:rPr>
        <w:t>In the Matter of the Application Not for an Increase in Rates Pursuant to Section 4908.18, Revised Code, of  Ohio Power Company to Establish an Expiration for its gridSMART  Experimental Tariffs</w:t>
      </w:r>
      <w:r w:rsidRPr="002F2D51">
        <w:rPr>
          <w:sz w:val="20"/>
          <w:szCs w:val="20"/>
        </w:rPr>
        <w:t>, Case No. 13-1937-EL-ATA, Motion to Intervene and Objections to the Application by the OCC (November 14, 2013).</w:t>
      </w:r>
    </w:p>
  </w:footnote>
  <w:footnote w:id="94">
    <w:p w:rsidR="002F2D51" w:rsidRPr="002F2D51" w:rsidRDefault="002F2D51" w:rsidP="002F2D51">
      <w:pPr>
        <w:autoSpaceDE w:val="0"/>
        <w:autoSpaceDN w:val="0"/>
        <w:adjustRightInd w:val="0"/>
        <w:spacing w:after="120"/>
        <w:rPr>
          <w:sz w:val="20"/>
          <w:szCs w:val="20"/>
        </w:rPr>
      </w:pPr>
      <w:r w:rsidRPr="002F2D51">
        <w:rPr>
          <w:rStyle w:val="FootnoteReference"/>
          <w:sz w:val="20"/>
          <w:szCs w:val="20"/>
        </w:rPr>
        <w:footnoteRef/>
      </w:r>
      <w:r w:rsidRPr="002F2D51">
        <w:rPr>
          <w:sz w:val="20"/>
          <w:szCs w:val="20"/>
        </w:rPr>
        <w:t xml:space="preserve"> </w:t>
      </w:r>
      <w:r w:rsidRPr="002F2D51">
        <w:rPr>
          <w:i/>
          <w:sz w:val="20"/>
          <w:szCs w:val="20"/>
        </w:rPr>
        <w:t>In the Matter of the Commission's Investigation of Ohio's Retail Electric Service Market,</w:t>
      </w:r>
      <w:r w:rsidRPr="002F2D51">
        <w:rPr>
          <w:sz w:val="20"/>
          <w:szCs w:val="20"/>
        </w:rPr>
        <w:t xml:space="preserve"> Case No. 12-3151-EL-COI, Finding and Order at 38 (March 28, 2014).</w:t>
      </w:r>
    </w:p>
  </w:footnote>
  <w:footnote w:id="95">
    <w:p w:rsidR="002F2D51" w:rsidRPr="002F2D51" w:rsidRDefault="002F2D51" w:rsidP="00E60135">
      <w:pPr>
        <w:pStyle w:val="FootnoteText"/>
        <w:spacing w:after="120"/>
      </w:pPr>
      <w:r w:rsidRPr="002F2D51">
        <w:rPr>
          <w:rStyle w:val="FootnoteReference"/>
        </w:rPr>
        <w:footnoteRef/>
      </w:r>
      <w:r w:rsidRPr="002F2D51">
        <w:t xml:space="preserve"> </w:t>
      </w:r>
      <w:r w:rsidRPr="002F2D51">
        <w:rPr>
          <w:i/>
        </w:rPr>
        <w:t>In the Matter of the Application of Ohio Power Company to Initiate Phase 2 of Its gridSMART Project and to Establish the gridSMART Phase 2 Rider</w:t>
      </w:r>
      <w:r w:rsidRPr="002F2D51">
        <w:t>, Case No. 13-1939-EL-RDR, Application (September 13, 2013).</w:t>
      </w:r>
    </w:p>
  </w:footnote>
  <w:footnote w:id="96">
    <w:p w:rsidR="002F2D51" w:rsidRPr="002F2D51" w:rsidRDefault="002F2D51" w:rsidP="002F2D51">
      <w:pPr>
        <w:pStyle w:val="FootnoteText"/>
        <w:spacing w:after="120"/>
      </w:pPr>
      <w:r w:rsidRPr="002F2D51">
        <w:rPr>
          <w:rStyle w:val="FootnoteReference"/>
        </w:rPr>
        <w:footnoteRef/>
      </w:r>
      <w:r w:rsidRPr="002F2D51">
        <w:t xml:space="preserve"> AEP Ohio ESP III Application, Direct Testimony of Selwyn Dias at 11.</w:t>
      </w:r>
    </w:p>
  </w:footnote>
  <w:footnote w:id="97">
    <w:p w:rsidR="002F2D51" w:rsidRPr="002F2D51" w:rsidRDefault="002F2D51" w:rsidP="002F2D51">
      <w:pPr>
        <w:pStyle w:val="FootnoteText"/>
        <w:spacing w:after="120"/>
      </w:pPr>
      <w:r w:rsidRPr="002F2D51">
        <w:rPr>
          <w:rStyle w:val="FootnoteReference"/>
        </w:rPr>
        <w:footnoteRef/>
      </w:r>
      <w:r w:rsidRPr="002F2D51">
        <w:t xml:space="preserve"> Id.</w:t>
      </w:r>
    </w:p>
  </w:footnote>
  <w:footnote w:id="98">
    <w:p w:rsidR="002F2D51" w:rsidRPr="002F2D51" w:rsidRDefault="002F2D51" w:rsidP="00E60135">
      <w:pPr>
        <w:pStyle w:val="FootnoteText"/>
        <w:spacing w:after="120"/>
      </w:pPr>
      <w:r w:rsidRPr="002F2D51">
        <w:rPr>
          <w:rStyle w:val="FootnoteReference"/>
        </w:rPr>
        <w:footnoteRef/>
      </w:r>
      <w:r w:rsidRPr="002F2D51">
        <w:t xml:space="preserve"> According to the </w:t>
      </w:r>
      <w:r w:rsidR="00C7626A">
        <w:t xml:space="preserve">AEP Ohio ESP III </w:t>
      </w:r>
      <w:r w:rsidRPr="002F2D51">
        <w:t>Application, Attachment B, Year 5, the projected residential bill impact is approximately $3.00 per month.</w:t>
      </w:r>
    </w:p>
  </w:footnote>
  <w:footnote w:id="99">
    <w:p w:rsidR="002F2D51" w:rsidRPr="002F2D51" w:rsidRDefault="002F2D51" w:rsidP="00E60135">
      <w:pPr>
        <w:pStyle w:val="FootnoteText"/>
        <w:spacing w:after="120"/>
      </w:pPr>
      <w:r w:rsidRPr="002F2D51">
        <w:rPr>
          <w:rStyle w:val="FootnoteReference"/>
        </w:rPr>
        <w:footnoteRef/>
      </w:r>
      <w:r w:rsidRPr="002F2D51">
        <w:t xml:space="preserve"> AEP Ohio ESP III Application, Direct Testimony of Andrea Moore at 3.</w:t>
      </w:r>
    </w:p>
  </w:footnote>
  <w:footnote w:id="100">
    <w:p w:rsidR="002F2D51" w:rsidRPr="002F2D51" w:rsidRDefault="002F2D51" w:rsidP="00E60135">
      <w:pPr>
        <w:pStyle w:val="FootnoteText"/>
        <w:spacing w:after="120"/>
      </w:pPr>
      <w:r w:rsidRPr="002F2D51">
        <w:rPr>
          <w:rStyle w:val="FootnoteReference"/>
        </w:rPr>
        <w:footnoteRef/>
      </w:r>
      <w:r w:rsidRPr="002F2D51">
        <w:t xml:space="preserve"> </w:t>
      </w:r>
      <w:r w:rsidRPr="002F2D51">
        <w:rPr>
          <w:i/>
        </w:rPr>
        <w:t>In the Matter of the Application of Columbus Southern Power Company and Ohio Power Company, Individually and, if Their Proposed Merger is Approved, as a Merged Company (collectively, AEP Ohio)</w:t>
      </w:r>
      <w:r w:rsidR="00E60135">
        <w:rPr>
          <w:i/>
        </w:rPr>
        <w:t xml:space="preserve"> </w:t>
      </w:r>
      <w:r w:rsidRPr="002F2D51">
        <w:rPr>
          <w:i/>
        </w:rPr>
        <w:t>for an Increase in Electric Distribution Rates</w:t>
      </w:r>
      <w:r w:rsidRPr="002F2D51">
        <w:t>, Case No. 11-351-EL-AIR, Opinion and Order at 7 (December 14,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B" w:rsidRDefault="00FB03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2F2D5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2F2D5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A73821">
    <w:pPr>
      <w:pStyle w:val="Header"/>
    </w:pPr>
    <w:r>
      <w:rPr>
        <w:noProof/>
      </w:rPr>
      <w:pict w14:anchorId="7AC03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431.95pt;height:61.7pt;z-index:-251633152;mso-wrap-edited:f;mso-position-horizontal:center;mso-position-horizontal-relative:margin;mso-position-vertical:center;mso-position-vertical-relative:margin" wrapcoords="712 4214 450 5004 75 7375 37 12907 375 16595 562 17121 21450 17121 21562 13697 21450 13434 20437 12643 20437 8429 20737 4478 20662 4214 18825 4214 712 4214" fillcolor="#7f7f7f [1612]" stroked="f">
          <v:textpath style="font-family:&quot;Times New Roman&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B" w:rsidRDefault="00FB03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B" w:rsidRDefault="00FB03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2F2D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2F2D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A73821">
    <w:pPr>
      <w:pStyle w:val="Header"/>
    </w:pPr>
    <w:r>
      <w:rPr>
        <w:noProof/>
      </w:rPr>
      <w:pict w14:anchorId="334A4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31.95pt;height:61.7pt;z-index:-251645440;mso-wrap-edited:f;mso-position-horizontal:center;mso-position-horizontal-relative:margin;mso-position-vertical:center;mso-position-vertical-relative:margin" wrapcoords="712 4214 450 5004 75 7375 37 12907 375 16595 562 17121 21450 17121 21562 13697 21450 13434 20437 12643 20437 8429 20737 4478 20662 4214 18825 4214 712 4214" fillcolor="#7f7f7f [1612]" stroked="f">
          <v:textpath style="font-family:&quot;Times New Roman&quot;;font-size:1pt" string="CONFIDENTIAL"/>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2F2D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2F2D51">
    <w:pPr>
      <w:pStyle w:val="Header"/>
      <w:jc w:val="center"/>
      <w:rPr>
        <w:i/>
        <w:iCs/>
        <w:sz w:val="20"/>
        <w:szCs w:val="20"/>
      </w:rPr>
    </w:pPr>
    <w:r>
      <w:rPr>
        <w:i/>
        <w:iCs/>
        <w:sz w:val="20"/>
        <w:szCs w:val="20"/>
      </w:rPr>
      <w:t>Testimony of James D. Williams</w:t>
    </w:r>
  </w:p>
  <w:p w:rsidR="002F2D51" w:rsidRDefault="002F2D51">
    <w:pPr>
      <w:pStyle w:val="Header"/>
      <w:jc w:val="center"/>
      <w:rPr>
        <w:i/>
        <w:iCs/>
        <w:sz w:val="20"/>
        <w:szCs w:val="20"/>
      </w:rPr>
    </w:pPr>
    <w:r>
      <w:rPr>
        <w:i/>
        <w:iCs/>
        <w:sz w:val="20"/>
        <w:szCs w:val="20"/>
      </w:rPr>
      <w:t>On Behalf of the Office of the Ohio Consumers’ Counsel</w:t>
    </w:r>
  </w:p>
  <w:p w:rsidR="002F2D51" w:rsidRDefault="002F2D51">
    <w:pPr>
      <w:pStyle w:val="Header"/>
      <w:jc w:val="center"/>
      <w:rPr>
        <w:i/>
        <w:iCs/>
        <w:sz w:val="20"/>
        <w:szCs w:val="20"/>
      </w:rPr>
    </w:pPr>
    <w:r>
      <w:rPr>
        <w:i/>
        <w:iCs/>
        <w:sz w:val="20"/>
        <w:szCs w:val="20"/>
      </w:rPr>
      <w:t xml:space="preserve">PUCO Case No’s. 13-2385-EL-SSO, et al. </w:t>
    </w:r>
  </w:p>
  <w:p w:rsidR="002F2D51" w:rsidRDefault="002F2D51">
    <w:pPr>
      <w:pStyle w:val="Header"/>
      <w:rPr>
        <w:i/>
        <w:iCs/>
        <w:sz w:val="20"/>
        <w:szCs w:val="20"/>
      </w:rPr>
    </w:pPr>
  </w:p>
  <w:p w:rsidR="002F2D51" w:rsidRDefault="002F2D51">
    <w:pPr>
      <w:pStyle w:val="Header"/>
      <w:jc w:val="center"/>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1" w:rsidRDefault="00A73821">
    <w:pPr>
      <w:pStyle w:val="Header"/>
    </w:pPr>
    <w:r>
      <w:rPr>
        <w:noProof/>
      </w:rPr>
      <w:pict w14:anchorId="17600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31.95pt;height:61.7pt;z-index:-251639296;mso-wrap-edited:f;mso-position-horizontal:center;mso-position-horizontal-relative:margin;mso-position-vertical:center;mso-position-vertical-relative:margin" wrapcoords="712 4214 450 5004 75 7375 37 12907 375 16595 562 17121 21450 17121 21562 13697 21450 13434 20437 12643 20437 8429 20737 4478 20662 4214 18825 4214 712 4214" fillcolor="#7f7f7f [1612]" stroked="f">
          <v:textpath style="font-family:&quot;Times New Roman&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928670"/>
    <w:lvl w:ilvl="0">
      <w:start w:val="1"/>
      <w:numFmt w:val="decimal"/>
      <w:lvlText w:val="%1."/>
      <w:lvlJc w:val="left"/>
      <w:pPr>
        <w:tabs>
          <w:tab w:val="num" w:pos="1800"/>
        </w:tabs>
        <w:ind w:left="1800" w:hanging="360"/>
      </w:pPr>
    </w:lvl>
  </w:abstractNum>
  <w:abstractNum w:abstractNumId="1">
    <w:nsid w:val="FFFFFF7D"/>
    <w:multiLevelType w:val="singleLevel"/>
    <w:tmpl w:val="ECA629EC"/>
    <w:lvl w:ilvl="0">
      <w:start w:val="1"/>
      <w:numFmt w:val="decimal"/>
      <w:lvlText w:val="%1."/>
      <w:lvlJc w:val="left"/>
      <w:pPr>
        <w:tabs>
          <w:tab w:val="num" w:pos="1440"/>
        </w:tabs>
        <w:ind w:left="1440" w:hanging="360"/>
      </w:pPr>
    </w:lvl>
  </w:abstractNum>
  <w:abstractNum w:abstractNumId="2">
    <w:nsid w:val="FFFFFF7E"/>
    <w:multiLevelType w:val="singleLevel"/>
    <w:tmpl w:val="3D80A8D8"/>
    <w:lvl w:ilvl="0">
      <w:start w:val="1"/>
      <w:numFmt w:val="decimal"/>
      <w:lvlText w:val="%1."/>
      <w:lvlJc w:val="left"/>
      <w:pPr>
        <w:tabs>
          <w:tab w:val="num" w:pos="1080"/>
        </w:tabs>
        <w:ind w:left="1080" w:hanging="360"/>
      </w:pPr>
    </w:lvl>
  </w:abstractNum>
  <w:abstractNum w:abstractNumId="3">
    <w:nsid w:val="FFFFFF7F"/>
    <w:multiLevelType w:val="singleLevel"/>
    <w:tmpl w:val="BE6EF500"/>
    <w:lvl w:ilvl="0">
      <w:start w:val="1"/>
      <w:numFmt w:val="decimal"/>
      <w:lvlText w:val="%1."/>
      <w:lvlJc w:val="left"/>
      <w:pPr>
        <w:tabs>
          <w:tab w:val="num" w:pos="720"/>
        </w:tabs>
        <w:ind w:left="720" w:hanging="360"/>
      </w:pPr>
    </w:lvl>
  </w:abstractNum>
  <w:abstractNum w:abstractNumId="4">
    <w:nsid w:val="FFFFFF80"/>
    <w:multiLevelType w:val="singleLevel"/>
    <w:tmpl w:val="A432845A"/>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D24ADF3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26C422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8CC4B038"/>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D66470E6"/>
    <w:lvl w:ilvl="0">
      <w:start w:val="1"/>
      <w:numFmt w:val="decimal"/>
      <w:lvlText w:val="%1."/>
      <w:lvlJc w:val="left"/>
      <w:pPr>
        <w:tabs>
          <w:tab w:val="num" w:pos="360"/>
        </w:tabs>
        <w:ind w:left="360" w:hanging="360"/>
      </w:pPr>
    </w:lvl>
  </w:abstractNum>
  <w:abstractNum w:abstractNumId="9">
    <w:nsid w:val="FFFFFF89"/>
    <w:multiLevelType w:val="singleLevel"/>
    <w:tmpl w:val="F42CD478"/>
    <w:lvl w:ilvl="0">
      <w:start w:val="1"/>
      <w:numFmt w:val="bullet"/>
      <w:lvlText w:val=""/>
      <w:lvlJc w:val="left"/>
      <w:pPr>
        <w:tabs>
          <w:tab w:val="num" w:pos="360"/>
        </w:tabs>
        <w:ind w:left="360" w:hanging="360"/>
      </w:pPr>
      <w:rPr>
        <w:rFonts w:ascii="Symbol" w:hAnsi="Symbol" w:cs="Symbol" w:hint="default"/>
      </w:rPr>
    </w:lvl>
  </w:abstractNum>
  <w:abstractNum w:abstractNumId="10">
    <w:nsid w:val="00F90398"/>
    <w:multiLevelType w:val="hybridMultilevel"/>
    <w:tmpl w:val="C1FEAD48"/>
    <w:lvl w:ilvl="0" w:tplc="2026C784">
      <w:start w:val="7"/>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6C0229E"/>
    <w:multiLevelType w:val="hybridMultilevel"/>
    <w:tmpl w:val="7F8A68BA"/>
    <w:lvl w:ilvl="0" w:tplc="1B7242FE">
      <w:start w:val="4"/>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08AA0496"/>
    <w:multiLevelType w:val="hybridMultilevel"/>
    <w:tmpl w:val="396091A8"/>
    <w:lvl w:ilvl="0" w:tplc="4F246CB6">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02B71B1"/>
    <w:multiLevelType w:val="hybridMultilevel"/>
    <w:tmpl w:val="3364F58A"/>
    <w:lvl w:ilvl="0" w:tplc="7C5066D4">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45820A8"/>
    <w:multiLevelType w:val="hybridMultilevel"/>
    <w:tmpl w:val="45761A88"/>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nsid w:val="15A75306"/>
    <w:multiLevelType w:val="hybridMultilevel"/>
    <w:tmpl w:val="0D164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7B5324C"/>
    <w:multiLevelType w:val="hybridMultilevel"/>
    <w:tmpl w:val="3AF07226"/>
    <w:lvl w:ilvl="0" w:tplc="B3B8230E">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9B13E33"/>
    <w:multiLevelType w:val="hybridMultilevel"/>
    <w:tmpl w:val="AE0EDD1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6D7A32"/>
    <w:multiLevelType w:val="hybridMultilevel"/>
    <w:tmpl w:val="A984AA98"/>
    <w:lvl w:ilvl="0" w:tplc="105ABB6C">
      <w:start w:val="12"/>
      <w:numFmt w:val="upperLetter"/>
      <w:lvlText w:val="(%1)"/>
      <w:lvlJc w:val="left"/>
      <w:pPr>
        <w:tabs>
          <w:tab w:val="num" w:pos="1845"/>
        </w:tabs>
        <w:ind w:left="1845" w:hanging="405"/>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nsid w:val="1C425748"/>
    <w:multiLevelType w:val="hybridMultilevel"/>
    <w:tmpl w:val="B3A8DB6C"/>
    <w:lvl w:ilvl="0" w:tplc="48F2FC42">
      <w:start w:val="5"/>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1DF90EA8"/>
    <w:multiLevelType w:val="hybridMultilevel"/>
    <w:tmpl w:val="0BDAEB14"/>
    <w:lvl w:ilvl="0" w:tplc="9CC22612">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200637B8"/>
    <w:multiLevelType w:val="hybridMultilevel"/>
    <w:tmpl w:val="D5641D2E"/>
    <w:lvl w:ilvl="0" w:tplc="46047382">
      <w:start w:val="8"/>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5DB7E0D"/>
    <w:multiLevelType w:val="hybridMultilevel"/>
    <w:tmpl w:val="F774CD22"/>
    <w:lvl w:ilvl="0" w:tplc="572A3BF0">
      <w:start w:val="8"/>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24D6462"/>
    <w:multiLevelType w:val="hybridMultilevel"/>
    <w:tmpl w:val="504624B8"/>
    <w:lvl w:ilvl="0" w:tplc="537E7E1A">
      <w:start w:val="4"/>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35BC3C18"/>
    <w:multiLevelType w:val="hybridMultilevel"/>
    <w:tmpl w:val="566CE64E"/>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5">
    <w:nsid w:val="38610EA8"/>
    <w:multiLevelType w:val="multilevel"/>
    <w:tmpl w:val="DB96C7D4"/>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cs="Wingdings" w:hint="default"/>
        <w:sz w:val="20"/>
        <w:szCs w:val="20"/>
      </w:rPr>
    </w:lvl>
    <w:lvl w:ilvl="3">
      <w:start w:val="1"/>
      <w:numFmt w:val="bullet"/>
      <w:lvlText w:val=""/>
      <w:lvlJc w:val="left"/>
      <w:pPr>
        <w:tabs>
          <w:tab w:val="num" w:pos="3240"/>
        </w:tabs>
        <w:ind w:left="3240" w:hanging="360"/>
      </w:pPr>
      <w:rPr>
        <w:rFonts w:ascii="Wingdings" w:hAnsi="Wingdings" w:cs="Wingdings" w:hint="default"/>
        <w:sz w:val="20"/>
        <w:szCs w:val="20"/>
      </w:rPr>
    </w:lvl>
    <w:lvl w:ilvl="4">
      <w:start w:val="1"/>
      <w:numFmt w:val="bullet"/>
      <w:lvlText w:val=""/>
      <w:lvlJc w:val="left"/>
      <w:pPr>
        <w:tabs>
          <w:tab w:val="num" w:pos="3960"/>
        </w:tabs>
        <w:ind w:left="3960" w:hanging="360"/>
      </w:pPr>
      <w:rPr>
        <w:rFonts w:ascii="Wingdings" w:hAnsi="Wingdings" w:cs="Wingdings" w:hint="default"/>
        <w:sz w:val="20"/>
        <w:szCs w:val="20"/>
      </w:rPr>
    </w:lvl>
    <w:lvl w:ilvl="5">
      <w:start w:val="1"/>
      <w:numFmt w:val="bullet"/>
      <w:lvlText w:val=""/>
      <w:lvlJc w:val="left"/>
      <w:pPr>
        <w:tabs>
          <w:tab w:val="num" w:pos="4680"/>
        </w:tabs>
        <w:ind w:left="4680" w:hanging="360"/>
      </w:pPr>
      <w:rPr>
        <w:rFonts w:ascii="Wingdings" w:hAnsi="Wingdings" w:cs="Wingdings" w:hint="default"/>
        <w:sz w:val="20"/>
        <w:szCs w:val="20"/>
      </w:rPr>
    </w:lvl>
    <w:lvl w:ilvl="6">
      <w:start w:val="1"/>
      <w:numFmt w:val="bullet"/>
      <w:lvlText w:val=""/>
      <w:lvlJc w:val="left"/>
      <w:pPr>
        <w:tabs>
          <w:tab w:val="num" w:pos="5400"/>
        </w:tabs>
        <w:ind w:left="5400" w:hanging="360"/>
      </w:pPr>
      <w:rPr>
        <w:rFonts w:ascii="Wingdings" w:hAnsi="Wingdings" w:cs="Wingdings" w:hint="default"/>
        <w:sz w:val="20"/>
        <w:szCs w:val="20"/>
      </w:rPr>
    </w:lvl>
    <w:lvl w:ilvl="7">
      <w:start w:val="1"/>
      <w:numFmt w:val="bullet"/>
      <w:lvlText w:val=""/>
      <w:lvlJc w:val="left"/>
      <w:pPr>
        <w:tabs>
          <w:tab w:val="num" w:pos="6120"/>
        </w:tabs>
        <w:ind w:left="6120" w:hanging="360"/>
      </w:pPr>
      <w:rPr>
        <w:rFonts w:ascii="Wingdings" w:hAnsi="Wingdings" w:cs="Wingdings" w:hint="default"/>
        <w:sz w:val="20"/>
        <w:szCs w:val="20"/>
      </w:rPr>
    </w:lvl>
    <w:lvl w:ilvl="8">
      <w:start w:val="1"/>
      <w:numFmt w:val="bullet"/>
      <w:lvlText w:val=""/>
      <w:lvlJc w:val="left"/>
      <w:pPr>
        <w:tabs>
          <w:tab w:val="num" w:pos="6840"/>
        </w:tabs>
        <w:ind w:left="6840" w:hanging="360"/>
      </w:pPr>
      <w:rPr>
        <w:rFonts w:ascii="Wingdings" w:hAnsi="Wingdings" w:cs="Wingdings" w:hint="default"/>
        <w:sz w:val="20"/>
        <w:szCs w:val="20"/>
      </w:rPr>
    </w:lvl>
  </w:abstractNum>
  <w:abstractNum w:abstractNumId="26">
    <w:nsid w:val="42126EDE"/>
    <w:multiLevelType w:val="hybridMultilevel"/>
    <w:tmpl w:val="8F5C4C28"/>
    <w:lvl w:ilvl="0" w:tplc="D4D81388">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0D670FE"/>
    <w:multiLevelType w:val="hybridMultilevel"/>
    <w:tmpl w:val="203E47E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5B883BB6"/>
    <w:multiLevelType w:val="hybridMultilevel"/>
    <w:tmpl w:val="6ECAC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503415"/>
    <w:multiLevelType w:val="hybridMultilevel"/>
    <w:tmpl w:val="FC5012A0"/>
    <w:lvl w:ilvl="0" w:tplc="EE0C00D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55B6F"/>
    <w:multiLevelType w:val="hybridMultilevel"/>
    <w:tmpl w:val="79AC3D82"/>
    <w:lvl w:ilvl="0" w:tplc="09B83A0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4"/>
  </w:num>
  <w:num w:numId="14">
    <w:abstractNumId w:val="25"/>
  </w:num>
  <w:num w:numId="15">
    <w:abstractNumId w:val="23"/>
  </w:num>
  <w:num w:numId="16">
    <w:abstractNumId w:val="12"/>
  </w:num>
  <w:num w:numId="17">
    <w:abstractNumId w:val="27"/>
  </w:num>
  <w:num w:numId="18">
    <w:abstractNumId w:val="22"/>
  </w:num>
  <w:num w:numId="19">
    <w:abstractNumId w:val="21"/>
  </w:num>
  <w:num w:numId="20">
    <w:abstractNumId w:val="16"/>
  </w:num>
  <w:num w:numId="21">
    <w:abstractNumId w:val="19"/>
  </w:num>
  <w:num w:numId="22">
    <w:abstractNumId w:val="13"/>
  </w:num>
  <w:num w:numId="23">
    <w:abstractNumId w:val="26"/>
  </w:num>
  <w:num w:numId="24">
    <w:abstractNumId w:val="10"/>
  </w:num>
  <w:num w:numId="25">
    <w:abstractNumId w:val="18"/>
  </w:num>
  <w:num w:numId="26">
    <w:abstractNumId w:val="20"/>
  </w:num>
  <w:num w:numId="27">
    <w:abstractNumId w:val="11"/>
  </w:num>
  <w:num w:numId="28">
    <w:abstractNumId w:val="15"/>
  </w:num>
  <w:num w:numId="29">
    <w:abstractNumId w:val="29"/>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C9"/>
    <w:rsid w:val="00010099"/>
    <w:rsid w:val="00024ABD"/>
    <w:rsid w:val="000301A1"/>
    <w:rsid w:val="00030965"/>
    <w:rsid w:val="00035D15"/>
    <w:rsid w:val="00060F82"/>
    <w:rsid w:val="0006573C"/>
    <w:rsid w:val="00080B7D"/>
    <w:rsid w:val="000842BD"/>
    <w:rsid w:val="00093AB7"/>
    <w:rsid w:val="000A1E6A"/>
    <w:rsid w:val="000C7826"/>
    <w:rsid w:val="000D00D8"/>
    <w:rsid w:val="000E18B6"/>
    <w:rsid w:val="000E7003"/>
    <w:rsid w:val="00103FAB"/>
    <w:rsid w:val="00126EAE"/>
    <w:rsid w:val="001578D1"/>
    <w:rsid w:val="00170542"/>
    <w:rsid w:val="001779B1"/>
    <w:rsid w:val="00181C62"/>
    <w:rsid w:val="001848F5"/>
    <w:rsid w:val="001B2651"/>
    <w:rsid w:val="001E6E5C"/>
    <w:rsid w:val="001F0424"/>
    <w:rsid w:val="002106FA"/>
    <w:rsid w:val="00212232"/>
    <w:rsid w:val="002128EA"/>
    <w:rsid w:val="00251202"/>
    <w:rsid w:val="002548E1"/>
    <w:rsid w:val="00260E33"/>
    <w:rsid w:val="0026565E"/>
    <w:rsid w:val="002714F4"/>
    <w:rsid w:val="00271DAD"/>
    <w:rsid w:val="002773BB"/>
    <w:rsid w:val="0027799D"/>
    <w:rsid w:val="002821EE"/>
    <w:rsid w:val="0029250E"/>
    <w:rsid w:val="00297D4E"/>
    <w:rsid w:val="002A0A32"/>
    <w:rsid w:val="002A28E2"/>
    <w:rsid w:val="002B61B2"/>
    <w:rsid w:val="002D4FB4"/>
    <w:rsid w:val="002E1197"/>
    <w:rsid w:val="002F00B8"/>
    <w:rsid w:val="002F0220"/>
    <w:rsid w:val="002F2722"/>
    <w:rsid w:val="002F2D51"/>
    <w:rsid w:val="002F3AFA"/>
    <w:rsid w:val="00301854"/>
    <w:rsid w:val="00305874"/>
    <w:rsid w:val="00314EA1"/>
    <w:rsid w:val="00331287"/>
    <w:rsid w:val="003341F0"/>
    <w:rsid w:val="00341BF1"/>
    <w:rsid w:val="00352FC1"/>
    <w:rsid w:val="00353D3E"/>
    <w:rsid w:val="003653FC"/>
    <w:rsid w:val="00384D3F"/>
    <w:rsid w:val="00394CA9"/>
    <w:rsid w:val="003B13E3"/>
    <w:rsid w:val="003B25A0"/>
    <w:rsid w:val="003E1FAD"/>
    <w:rsid w:val="004048C9"/>
    <w:rsid w:val="00434C57"/>
    <w:rsid w:val="0043560C"/>
    <w:rsid w:val="00453466"/>
    <w:rsid w:val="004552C9"/>
    <w:rsid w:val="004627AE"/>
    <w:rsid w:val="00470F27"/>
    <w:rsid w:val="004718B7"/>
    <w:rsid w:val="004742BF"/>
    <w:rsid w:val="00495AB7"/>
    <w:rsid w:val="00497CDE"/>
    <w:rsid w:val="004B0DA1"/>
    <w:rsid w:val="004C38A7"/>
    <w:rsid w:val="00502874"/>
    <w:rsid w:val="00507AFA"/>
    <w:rsid w:val="00512481"/>
    <w:rsid w:val="0051494A"/>
    <w:rsid w:val="00517F61"/>
    <w:rsid w:val="00521E1B"/>
    <w:rsid w:val="00523387"/>
    <w:rsid w:val="005304BB"/>
    <w:rsid w:val="005500F6"/>
    <w:rsid w:val="00553695"/>
    <w:rsid w:val="005536EA"/>
    <w:rsid w:val="00562644"/>
    <w:rsid w:val="00563F85"/>
    <w:rsid w:val="005754F2"/>
    <w:rsid w:val="00575C48"/>
    <w:rsid w:val="005768CD"/>
    <w:rsid w:val="005821C6"/>
    <w:rsid w:val="005930EC"/>
    <w:rsid w:val="005A1EB4"/>
    <w:rsid w:val="005A77D8"/>
    <w:rsid w:val="005B4752"/>
    <w:rsid w:val="005B4DE7"/>
    <w:rsid w:val="005C66BD"/>
    <w:rsid w:val="005C7F30"/>
    <w:rsid w:val="005D1005"/>
    <w:rsid w:val="00603CAC"/>
    <w:rsid w:val="00624AB1"/>
    <w:rsid w:val="0068419D"/>
    <w:rsid w:val="00686951"/>
    <w:rsid w:val="00690198"/>
    <w:rsid w:val="006A40E6"/>
    <w:rsid w:val="006B665F"/>
    <w:rsid w:val="006C0E0E"/>
    <w:rsid w:val="006C72A5"/>
    <w:rsid w:val="006D495F"/>
    <w:rsid w:val="006E0733"/>
    <w:rsid w:val="006E3AF0"/>
    <w:rsid w:val="006E5376"/>
    <w:rsid w:val="00710BFF"/>
    <w:rsid w:val="00712F71"/>
    <w:rsid w:val="00717E53"/>
    <w:rsid w:val="00723C97"/>
    <w:rsid w:val="00740D3B"/>
    <w:rsid w:val="00750C61"/>
    <w:rsid w:val="00757D57"/>
    <w:rsid w:val="0076396A"/>
    <w:rsid w:val="00773080"/>
    <w:rsid w:val="00780811"/>
    <w:rsid w:val="00781751"/>
    <w:rsid w:val="00783A02"/>
    <w:rsid w:val="00791EE5"/>
    <w:rsid w:val="0079615A"/>
    <w:rsid w:val="007B113D"/>
    <w:rsid w:val="007B22E0"/>
    <w:rsid w:val="007B3DE1"/>
    <w:rsid w:val="007B7714"/>
    <w:rsid w:val="007C4305"/>
    <w:rsid w:val="007C458D"/>
    <w:rsid w:val="007E062D"/>
    <w:rsid w:val="007F53F0"/>
    <w:rsid w:val="00806A8E"/>
    <w:rsid w:val="00820ADF"/>
    <w:rsid w:val="0083207E"/>
    <w:rsid w:val="008541B9"/>
    <w:rsid w:val="008652DA"/>
    <w:rsid w:val="008666B6"/>
    <w:rsid w:val="0087461C"/>
    <w:rsid w:val="00890C2D"/>
    <w:rsid w:val="008A1317"/>
    <w:rsid w:val="008A1B0C"/>
    <w:rsid w:val="008B0B33"/>
    <w:rsid w:val="008B16FF"/>
    <w:rsid w:val="008F0805"/>
    <w:rsid w:val="00907A4C"/>
    <w:rsid w:val="0092149D"/>
    <w:rsid w:val="009317B0"/>
    <w:rsid w:val="0096405A"/>
    <w:rsid w:val="00972C7B"/>
    <w:rsid w:val="0097394E"/>
    <w:rsid w:val="00982052"/>
    <w:rsid w:val="009903B5"/>
    <w:rsid w:val="00992602"/>
    <w:rsid w:val="009A719F"/>
    <w:rsid w:val="009B04BF"/>
    <w:rsid w:val="009B2342"/>
    <w:rsid w:val="009C30B2"/>
    <w:rsid w:val="009C72DE"/>
    <w:rsid w:val="009D13CA"/>
    <w:rsid w:val="009E1D7D"/>
    <w:rsid w:val="009E489E"/>
    <w:rsid w:val="009E5617"/>
    <w:rsid w:val="009E61ED"/>
    <w:rsid w:val="009E752A"/>
    <w:rsid w:val="009F2D7B"/>
    <w:rsid w:val="009F4202"/>
    <w:rsid w:val="009F4BBC"/>
    <w:rsid w:val="00A17764"/>
    <w:rsid w:val="00A17EFD"/>
    <w:rsid w:val="00A2409E"/>
    <w:rsid w:val="00A34485"/>
    <w:rsid w:val="00A54F62"/>
    <w:rsid w:val="00A60823"/>
    <w:rsid w:val="00A61131"/>
    <w:rsid w:val="00A61C15"/>
    <w:rsid w:val="00A634CD"/>
    <w:rsid w:val="00A73821"/>
    <w:rsid w:val="00A748DB"/>
    <w:rsid w:val="00A75466"/>
    <w:rsid w:val="00A756F9"/>
    <w:rsid w:val="00A8700C"/>
    <w:rsid w:val="00A94AFC"/>
    <w:rsid w:val="00AA3E3B"/>
    <w:rsid w:val="00AC2B61"/>
    <w:rsid w:val="00AC5DE7"/>
    <w:rsid w:val="00AC6E3D"/>
    <w:rsid w:val="00B01162"/>
    <w:rsid w:val="00B102BC"/>
    <w:rsid w:val="00B12887"/>
    <w:rsid w:val="00B21CFD"/>
    <w:rsid w:val="00B271BF"/>
    <w:rsid w:val="00B42FA8"/>
    <w:rsid w:val="00B45F7C"/>
    <w:rsid w:val="00B465D5"/>
    <w:rsid w:val="00B60C1F"/>
    <w:rsid w:val="00B61A41"/>
    <w:rsid w:val="00B631BC"/>
    <w:rsid w:val="00B77313"/>
    <w:rsid w:val="00B92EB2"/>
    <w:rsid w:val="00B9430C"/>
    <w:rsid w:val="00B95970"/>
    <w:rsid w:val="00BA099E"/>
    <w:rsid w:val="00BC75C1"/>
    <w:rsid w:val="00BD5085"/>
    <w:rsid w:val="00BE548A"/>
    <w:rsid w:val="00C07387"/>
    <w:rsid w:val="00C36B60"/>
    <w:rsid w:val="00C4552E"/>
    <w:rsid w:val="00C53A7A"/>
    <w:rsid w:val="00C55976"/>
    <w:rsid w:val="00C628BE"/>
    <w:rsid w:val="00C654AB"/>
    <w:rsid w:val="00C7626A"/>
    <w:rsid w:val="00CA6EBF"/>
    <w:rsid w:val="00CA6F03"/>
    <w:rsid w:val="00CB3D4F"/>
    <w:rsid w:val="00CC6188"/>
    <w:rsid w:val="00CE6E28"/>
    <w:rsid w:val="00CE7D60"/>
    <w:rsid w:val="00CF5D05"/>
    <w:rsid w:val="00D002CE"/>
    <w:rsid w:val="00D00BFE"/>
    <w:rsid w:val="00D02ECB"/>
    <w:rsid w:val="00D0377A"/>
    <w:rsid w:val="00D0685C"/>
    <w:rsid w:val="00D12BD2"/>
    <w:rsid w:val="00D15B3F"/>
    <w:rsid w:val="00D17333"/>
    <w:rsid w:val="00D23138"/>
    <w:rsid w:val="00D4685D"/>
    <w:rsid w:val="00D54FE2"/>
    <w:rsid w:val="00D57F4A"/>
    <w:rsid w:val="00D60DE2"/>
    <w:rsid w:val="00D91119"/>
    <w:rsid w:val="00D925F1"/>
    <w:rsid w:val="00DA0F09"/>
    <w:rsid w:val="00DA2B17"/>
    <w:rsid w:val="00DF56B2"/>
    <w:rsid w:val="00DF5C84"/>
    <w:rsid w:val="00E0679C"/>
    <w:rsid w:val="00E11E2F"/>
    <w:rsid w:val="00E17D65"/>
    <w:rsid w:val="00E5010C"/>
    <w:rsid w:val="00E55FD4"/>
    <w:rsid w:val="00E57ACE"/>
    <w:rsid w:val="00E57FAA"/>
    <w:rsid w:val="00E60135"/>
    <w:rsid w:val="00E71983"/>
    <w:rsid w:val="00E7318D"/>
    <w:rsid w:val="00E75AB1"/>
    <w:rsid w:val="00E8339E"/>
    <w:rsid w:val="00E86DAE"/>
    <w:rsid w:val="00E92FBC"/>
    <w:rsid w:val="00E95E91"/>
    <w:rsid w:val="00E96FA6"/>
    <w:rsid w:val="00EA7607"/>
    <w:rsid w:val="00EA7E51"/>
    <w:rsid w:val="00EB0823"/>
    <w:rsid w:val="00EB5472"/>
    <w:rsid w:val="00EB6D90"/>
    <w:rsid w:val="00EC67F4"/>
    <w:rsid w:val="00EE1E4A"/>
    <w:rsid w:val="00EE3070"/>
    <w:rsid w:val="00EE3D47"/>
    <w:rsid w:val="00EE43E2"/>
    <w:rsid w:val="00EF1FEF"/>
    <w:rsid w:val="00F016EB"/>
    <w:rsid w:val="00F033F0"/>
    <w:rsid w:val="00F0349B"/>
    <w:rsid w:val="00F16EA7"/>
    <w:rsid w:val="00F2078A"/>
    <w:rsid w:val="00F62B36"/>
    <w:rsid w:val="00F7323F"/>
    <w:rsid w:val="00F81231"/>
    <w:rsid w:val="00F82BD0"/>
    <w:rsid w:val="00F91B1C"/>
    <w:rsid w:val="00F947BC"/>
    <w:rsid w:val="00F95936"/>
    <w:rsid w:val="00F969D5"/>
    <w:rsid w:val="00FB038B"/>
    <w:rsid w:val="00FB56A8"/>
    <w:rsid w:val="00FB7C2D"/>
    <w:rsid w:val="00FE604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rsid w:val="00AA3E3B"/>
    <w:pPr>
      <w:keepNext/>
      <w:overflowPunct w:val="0"/>
      <w:autoSpaceDE w:val="0"/>
      <w:autoSpaceDN w:val="0"/>
      <w:adjustRightInd w:val="0"/>
      <w:spacing w:line="480" w:lineRule="auto"/>
      <w:ind w:left="720" w:hanging="720"/>
      <w:textAlignment w:val="baseline"/>
      <w:outlineLvl w:val="0"/>
    </w:pPr>
    <w:rPr>
      <w:rFonts w:ascii="Times New Roman Bold" w:hAnsi="Times New Roman Bold" w:cs="Times New Roman Bold"/>
      <w:b/>
      <w:bCs/>
      <w:caps/>
      <w:kern w:val="32"/>
    </w:rPr>
  </w:style>
  <w:style w:type="paragraph" w:styleId="Heading2">
    <w:name w:val="heading 2"/>
    <w:basedOn w:val="Normal"/>
    <w:next w:val="Normal"/>
    <w:link w:val="Heading2Char"/>
    <w:autoRedefine/>
    <w:uiPriority w:val="99"/>
    <w:qFormat/>
    <w:rsid w:val="005500F6"/>
    <w:pPr>
      <w:keepNext/>
      <w:overflowPunct w:val="0"/>
      <w:autoSpaceDE w:val="0"/>
      <w:autoSpaceDN w:val="0"/>
      <w:adjustRightInd w:val="0"/>
      <w:spacing w:after="240"/>
      <w:ind w:left="1440" w:hanging="720"/>
      <w:textAlignment w:val="baseline"/>
      <w:outlineLvl w:val="1"/>
    </w:pPr>
    <w:rPr>
      <w:rFonts w:ascii="Times New Roman Bold" w:hAnsi="Times New Roman Bold" w:cs="Cambria"/>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A3E3B"/>
    <w:rPr>
      <w:rFonts w:ascii="Times New Roman Bold" w:hAnsi="Times New Roman Bold" w:cs="Times New Roman Bold"/>
      <w:b/>
      <w:bCs/>
      <w:caps/>
      <w:kern w:val="32"/>
      <w:sz w:val="24"/>
      <w:szCs w:val="24"/>
    </w:rPr>
  </w:style>
  <w:style w:type="character" w:customStyle="1" w:styleId="Heading2Char">
    <w:name w:val="Heading 2 Char"/>
    <w:link w:val="Heading2"/>
    <w:uiPriority w:val="99"/>
    <w:locked/>
    <w:rsid w:val="005500F6"/>
    <w:rPr>
      <w:rFonts w:ascii="Times New Roman Bold" w:hAnsi="Times New Roman Bold" w:cs="Cambria"/>
      <w:b/>
      <w:bCs/>
      <w:iCs/>
      <w:sz w:val="24"/>
      <w:szCs w:val="28"/>
    </w:rPr>
  </w:style>
  <w:style w:type="paragraph" w:styleId="BalloonText">
    <w:name w:val="Balloon Text"/>
    <w:basedOn w:val="Normal"/>
    <w:link w:val="BalloonTextChar"/>
    <w:uiPriority w:val="99"/>
    <w:semiHidden/>
    <w:rPr>
      <w:sz w:val="20"/>
      <w:szCs w:val="2"/>
    </w:rPr>
  </w:style>
  <w:style w:type="character" w:customStyle="1" w:styleId="BalloonTextChar">
    <w:name w:val="Balloon Text Char"/>
    <w:link w:val="BalloonText"/>
    <w:uiPriority w:val="99"/>
    <w:semiHidden/>
    <w:locked/>
    <w:rPr>
      <w:sz w:val="20"/>
      <w:szCs w:val="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sz w:val="24"/>
      <w:szCs w:val="24"/>
    </w:rPr>
  </w:style>
  <w:style w:type="paragraph" w:customStyle="1" w:styleId="ANSWER">
    <w:name w:val="ANSWER"/>
    <w:basedOn w:val="Normal"/>
    <w:uiPriority w:val="99"/>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style>
  <w:style w:type="paragraph" w:styleId="FootnoteText">
    <w:name w:val="footnote text"/>
    <w:basedOn w:val="Normal"/>
    <w:link w:val="FootnoteTextChar"/>
    <w:uiPriority w:val="99"/>
    <w:semiHidden/>
    <w:pPr>
      <w:overflowPunct w:val="0"/>
      <w:autoSpaceDE w:val="0"/>
      <w:autoSpaceDN w:val="0"/>
      <w:adjustRightInd w:val="0"/>
      <w:textAlignment w:val="baseline"/>
    </w:pPr>
    <w:rPr>
      <w:sz w:val="20"/>
      <w:szCs w:val="20"/>
    </w:rPr>
  </w:style>
  <w:style w:type="character" w:customStyle="1" w:styleId="FootnoteTextChar">
    <w:name w:val="Footnote Text Char"/>
    <w:link w:val="FootnoteText"/>
    <w:uiPriority w:val="99"/>
    <w:semiHidden/>
    <w:locked/>
    <w:rPr>
      <w:sz w:val="20"/>
      <w:szCs w:val="20"/>
    </w:rPr>
  </w:style>
  <w:style w:type="character" w:styleId="FootnoteReference">
    <w:name w:val="footnote reference"/>
    <w:uiPriority w:val="99"/>
    <w:semiHidden/>
    <w:rPr>
      <w:vertAlign w:val="superscript"/>
    </w:rPr>
  </w:style>
  <w:style w:type="paragraph" w:styleId="EndnoteText">
    <w:name w:val="endnote text"/>
    <w:basedOn w:val="Normal"/>
    <w:link w:val="EndnoteTextChar"/>
    <w:uiPriority w:val="99"/>
    <w:semiHidden/>
    <w:pPr>
      <w:widowControl w:val="0"/>
    </w:pPr>
    <w:rPr>
      <w:sz w:val="20"/>
      <w:szCs w:val="20"/>
    </w:rPr>
  </w:style>
  <w:style w:type="character" w:customStyle="1" w:styleId="EndnoteTextChar">
    <w:name w:val="Endnote Text Char"/>
    <w:link w:val="EndnoteText"/>
    <w:uiPriority w:val="99"/>
    <w:semiHidden/>
    <w:locked/>
    <w:rPr>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rsid w:val="009E1D7D"/>
    <w:pPr>
      <w:tabs>
        <w:tab w:val="left" w:pos="720"/>
        <w:tab w:val="decimal" w:leader="dot" w:pos="8640"/>
      </w:tabs>
      <w:spacing w:after="240"/>
      <w:ind w:left="720" w:hanging="720"/>
      <w:jc w:val="center"/>
    </w:pPr>
    <w:rPr>
      <w:caps/>
      <w:noProof/>
    </w:rPr>
  </w:style>
  <w:style w:type="paragraph" w:styleId="NormalWeb">
    <w:name w:val="Normal (Web)"/>
    <w:basedOn w:val="Normal"/>
    <w:uiPriority w:val="99"/>
    <w:pPr>
      <w:spacing w:before="100" w:beforeAutospacing="1" w:after="100" w:afterAutospacing="1"/>
    </w:pPr>
  </w:style>
  <w:style w:type="paragraph" w:styleId="BodyTextIndent3">
    <w:name w:val="Body Text Indent 3"/>
    <w:basedOn w:val="Normal"/>
    <w:link w:val="BodyTextIndent3Char1"/>
    <w:uiPriority w:val="99"/>
    <w:pPr>
      <w:spacing w:line="480" w:lineRule="auto"/>
      <w:ind w:left="360"/>
    </w:pPr>
  </w:style>
  <w:style w:type="character" w:customStyle="1" w:styleId="BodyTextIndent3Char">
    <w:name w:val="Body Text Indent 3 Char"/>
    <w:uiPriority w:val="99"/>
    <w:semiHidden/>
    <w:locked/>
    <w:rPr>
      <w:sz w:val="16"/>
      <w:szCs w:val="16"/>
    </w:rPr>
  </w:style>
  <w:style w:type="character" w:customStyle="1" w:styleId="BodyTextIndent3Char1">
    <w:name w:val="Body Text Indent 3 Char1"/>
    <w:link w:val="BodyTextIndent3"/>
    <w:uiPriority w:val="99"/>
    <w:semiHidden/>
    <w:locked/>
    <w:rPr>
      <w:sz w:val="24"/>
      <w:szCs w:val="24"/>
      <w:lang w:val="en-US"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sz w:val="24"/>
      <w:szCs w:val="24"/>
    </w:rPr>
  </w:style>
  <w:style w:type="paragraph" w:customStyle="1" w:styleId="ColorfulShading-Accent11">
    <w:name w:val="Colorful Shading - Accent 11"/>
    <w:hidden/>
    <w:uiPriority w:val="99"/>
    <w:semiHidden/>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C0E0E"/>
    <w:pPr>
      <w:ind w:left="720"/>
      <w:contextualSpacing/>
    </w:pPr>
  </w:style>
  <w:style w:type="paragraph" w:styleId="TOC2">
    <w:name w:val="toc 2"/>
    <w:basedOn w:val="Normal"/>
    <w:next w:val="Normal"/>
    <w:autoRedefine/>
    <w:uiPriority w:val="39"/>
    <w:qFormat/>
    <w:locked/>
    <w:rsid w:val="00495AB7"/>
    <w:pPr>
      <w:tabs>
        <w:tab w:val="left" w:pos="720"/>
        <w:tab w:val="decimal" w:leader="dot" w:pos="8640"/>
      </w:tabs>
      <w:spacing w:after="240"/>
      <w:ind w:left="1440" w:hanging="720"/>
    </w:pPr>
  </w:style>
  <w:style w:type="paragraph" w:styleId="Revision">
    <w:name w:val="Revision"/>
    <w:hidden/>
    <w:uiPriority w:val="99"/>
    <w:semiHidden/>
    <w:rsid w:val="007639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rsid w:val="00AA3E3B"/>
    <w:pPr>
      <w:keepNext/>
      <w:overflowPunct w:val="0"/>
      <w:autoSpaceDE w:val="0"/>
      <w:autoSpaceDN w:val="0"/>
      <w:adjustRightInd w:val="0"/>
      <w:spacing w:line="480" w:lineRule="auto"/>
      <w:ind w:left="720" w:hanging="720"/>
      <w:textAlignment w:val="baseline"/>
      <w:outlineLvl w:val="0"/>
    </w:pPr>
    <w:rPr>
      <w:rFonts w:ascii="Times New Roman Bold" w:hAnsi="Times New Roman Bold" w:cs="Times New Roman Bold"/>
      <w:b/>
      <w:bCs/>
      <w:caps/>
      <w:kern w:val="32"/>
    </w:rPr>
  </w:style>
  <w:style w:type="paragraph" w:styleId="Heading2">
    <w:name w:val="heading 2"/>
    <w:basedOn w:val="Normal"/>
    <w:next w:val="Normal"/>
    <w:link w:val="Heading2Char"/>
    <w:autoRedefine/>
    <w:uiPriority w:val="99"/>
    <w:qFormat/>
    <w:rsid w:val="005500F6"/>
    <w:pPr>
      <w:keepNext/>
      <w:overflowPunct w:val="0"/>
      <w:autoSpaceDE w:val="0"/>
      <w:autoSpaceDN w:val="0"/>
      <w:adjustRightInd w:val="0"/>
      <w:spacing w:after="240"/>
      <w:ind w:left="1440" w:hanging="720"/>
      <w:textAlignment w:val="baseline"/>
      <w:outlineLvl w:val="1"/>
    </w:pPr>
    <w:rPr>
      <w:rFonts w:ascii="Times New Roman Bold" w:hAnsi="Times New Roman Bold" w:cs="Cambria"/>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A3E3B"/>
    <w:rPr>
      <w:rFonts w:ascii="Times New Roman Bold" w:hAnsi="Times New Roman Bold" w:cs="Times New Roman Bold"/>
      <w:b/>
      <w:bCs/>
      <w:caps/>
      <w:kern w:val="32"/>
      <w:sz w:val="24"/>
      <w:szCs w:val="24"/>
    </w:rPr>
  </w:style>
  <w:style w:type="character" w:customStyle="1" w:styleId="Heading2Char">
    <w:name w:val="Heading 2 Char"/>
    <w:link w:val="Heading2"/>
    <w:uiPriority w:val="99"/>
    <w:locked/>
    <w:rsid w:val="005500F6"/>
    <w:rPr>
      <w:rFonts w:ascii="Times New Roman Bold" w:hAnsi="Times New Roman Bold" w:cs="Cambria"/>
      <w:b/>
      <w:bCs/>
      <w:iCs/>
      <w:sz w:val="24"/>
      <w:szCs w:val="28"/>
    </w:rPr>
  </w:style>
  <w:style w:type="paragraph" w:styleId="BalloonText">
    <w:name w:val="Balloon Text"/>
    <w:basedOn w:val="Normal"/>
    <w:link w:val="BalloonTextChar"/>
    <w:uiPriority w:val="99"/>
    <w:semiHidden/>
    <w:rPr>
      <w:sz w:val="20"/>
      <w:szCs w:val="2"/>
    </w:rPr>
  </w:style>
  <w:style w:type="character" w:customStyle="1" w:styleId="BalloonTextChar">
    <w:name w:val="Balloon Text Char"/>
    <w:link w:val="BalloonText"/>
    <w:uiPriority w:val="99"/>
    <w:semiHidden/>
    <w:locked/>
    <w:rPr>
      <w:sz w:val="20"/>
      <w:szCs w:val="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sz w:val="24"/>
      <w:szCs w:val="24"/>
    </w:rPr>
  </w:style>
  <w:style w:type="paragraph" w:customStyle="1" w:styleId="ANSWER">
    <w:name w:val="ANSWER"/>
    <w:basedOn w:val="Normal"/>
    <w:uiPriority w:val="99"/>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style>
  <w:style w:type="paragraph" w:styleId="FootnoteText">
    <w:name w:val="footnote text"/>
    <w:basedOn w:val="Normal"/>
    <w:link w:val="FootnoteTextChar"/>
    <w:uiPriority w:val="99"/>
    <w:semiHidden/>
    <w:pPr>
      <w:overflowPunct w:val="0"/>
      <w:autoSpaceDE w:val="0"/>
      <w:autoSpaceDN w:val="0"/>
      <w:adjustRightInd w:val="0"/>
      <w:textAlignment w:val="baseline"/>
    </w:pPr>
    <w:rPr>
      <w:sz w:val="20"/>
      <w:szCs w:val="20"/>
    </w:rPr>
  </w:style>
  <w:style w:type="character" w:customStyle="1" w:styleId="FootnoteTextChar">
    <w:name w:val="Footnote Text Char"/>
    <w:link w:val="FootnoteText"/>
    <w:uiPriority w:val="99"/>
    <w:semiHidden/>
    <w:locked/>
    <w:rPr>
      <w:sz w:val="20"/>
      <w:szCs w:val="20"/>
    </w:rPr>
  </w:style>
  <w:style w:type="character" w:styleId="FootnoteReference">
    <w:name w:val="footnote reference"/>
    <w:uiPriority w:val="99"/>
    <w:semiHidden/>
    <w:rPr>
      <w:vertAlign w:val="superscript"/>
    </w:rPr>
  </w:style>
  <w:style w:type="paragraph" w:styleId="EndnoteText">
    <w:name w:val="endnote text"/>
    <w:basedOn w:val="Normal"/>
    <w:link w:val="EndnoteTextChar"/>
    <w:uiPriority w:val="99"/>
    <w:semiHidden/>
    <w:pPr>
      <w:widowControl w:val="0"/>
    </w:pPr>
    <w:rPr>
      <w:sz w:val="20"/>
      <w:szCs w:val="20"/>
    </w:rPr>
  </w:style>
  <w:style w:type="character" w:customStyle="1" w:styleId="EndnoteTextChar">
    <w:name w:val="Endnote Text Char"/>
    <w:link w:val="EndnoteText"/>
    <w:uiPriority w:val="99"/>
    <w:semiHidden/>
    <w:locked/>
    <w:rPr>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rsid w:val="009E1D7D"/>
    <w:pPr>
      <w:tabs>
        <w:tab w:val="left" w:pos="720"/>
        <w:tab w:val="decimal" w:leader="dot" w:pos="8640"/>
      </w:tabs>
      <w:spacing w:after="240"/>
      <w:ind w:left="720" w:hanging="720"/>
      <w:jc w:val="center"/>
    </w:pPr>
    <w:rPr>
      <w:caps/>
      <w:noProof/>
    </w:rPr>
  </w:style>
  <w:style w:type="paragraph" w:styleId="NormalWeb">
    <w:name w:val="Normal (Web)"/>
    <w:basedOn w:val="Normal"/>
    <w:uiPriority w:val="99"/>
    <w:pPr>
      <w:spacing w:before="100" w:beforeAutospacing="1" w:after="100" w:afterAutospacing="1"/>
    </w:pPr>
  </w:style>
  <w:style w:type="paragraph" w:styleId="BodyTextIndent3">
    <w:name w:val="Body Text Indent 3"/>
    <w:basedOn w:val="Normal"/>
    <w:link w:val="BodyTextIndent3Char1"/>
    <w:uiPriority w:val="99"/>
    <w:pPr>
      <w:spacing w:line="480" w:lineRule="auto"/>
      <w:ind w:left="360"/>
    </w:pPr>
  </w:style>
  <w:style w:type="character" w:customStyle="1" w:styleId="BodyTextIndent3Char">
    <w:name w:val="Body Text Indent 3 Char"/>
    <w:uiPriority w:val="99"/>
    <w:semiHidden/>
    <w:locked/>
    <w:rPr>
      <w:sz w:val="16"/>
      <w:szCs w:val="16"/>
    </w:rPr>
  </w:style>
  <w:style w:type="character" w:customStyle="1" w:styleId="BodyTextIndent3Char1">
    <w:name w:val="Body Text Indent 3 Char1"/>
    <w:link w:val="BodyTextIndent3"/>
    <w:uiPriority w:val="99"/>
    <w:semiHidden/>
    <w:locked/>
    <w:rPr>
      <w:sz w:val="24"/>
      <w:szCs w:val="24"/>
      <w:lang w:val="en-US"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sz w:val="24"/>
      <w:szCs w:val="24"/>
    </w:rPr>
  </w:style>
  <w:style w:type="paragraph" w:customStyle="1" w:styleId="ColorfulShading-Accent11">
    <w:name w:val="Colorful Shading - Accent 11"/>
    <w:hidden/>
    <w:uiPriority w:val="99"/>
    <w:semiHidden/>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C0E0E"/>
    <w:pPr>
      <w:ind w:left="720"/>
      <w:contextualSpacing/>
    </w:pPr>
  </w:style>
  <w:style w:type="paragraph" w:styleId="TOC2">
    <w:name w:val="toc 2"/>
    <w:basedOn w:val="Normal"/>
    <w:next w:val="Normal"/>
    <w:autoRedefine/>
    <w:uiPriority w:val="39"/>
    <w:qFormat/>
    <w:locked/>
    <w:rsid w:val="00495AB7"/>
    <w:pPr>
      <w:tabs>
        <w:tab w:val="left" w:pos="720"/>
        <w:tab w:val="decimal" w:leader="dot" w:pos="8640"/>
      </w:tabs>
      <w:spacing w:after="240"/>
      <w:ind w:left="1440" w:hanging="720"/>
    </w:pPr>
  </w:style>
  <w:style w:type="paragraph" w:styleId="Revision">
    <w:name w:val="Revision"/>
    <w:hidden/>
    <w:uiPriority w:val="99"/>
    <w:semiHidden/>
    <w:rsid w:val="007639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9520">
      <w:bodyDiv w:val="1"/>
      <w:marLeft w:val="0"/>
      <w:marRight w:val="0"/>
      <w:marTop w:val="0"/>
      <w:marBottom w:val="0"/>
      <w:divBdr>
        <w:top w:val="none" w:sz="0" w:space="0" w:color="auto"/>
        <w:left w:val="none" w:sz="0" w:space="0" w:color="auto"/>
        <w:bottom w:val="none" w:sz="0" w:space="0" w:color="auto"/>
        <w:right w:val="none" w:sz="0" w:space="0" w:color="auto"/>
      </w:divBdr>
      <w:divsChild>
        <w:div w:id="1309364381">
          <w:marLeft w:val="0"/>
          <w:marRight w:val="-5040"/>
          <w:marTop w:val="0"/>
          <w:marBottom w:val="0"/>
          <w:divBdr>
            <w:top w:val="none" w:sz="0" w:space="0" w:color="auto"/>
            <w:left w:val="none" w:sz="0" w:space="0" w:color="auto"/>
            <w:bottom w:val="none" w:sz="0" w:space="0" w:color="auto"/>
            <w:right w:val="none" w:sz="0" w:space="0" w:color="auto"/>
          </w:divBdr>
          <w:divsChild>
            <w:div w:id="1526601695">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2062895754">
      <w:marLeft w:val="0"/>
      <w:marRight w:val="0"/>
      <w:marTop w:val="0"/>
      <w:marBottom w:val="0"/>
      <w:divBdr>
        <w:top w:val="none" w:sz="0" w:space="0" w:color="auto"/>
        <w:left w:val="none" w:sz="0" w:space="0" w:color="auto"/>
        <w:bottom w:val="none" w:sz="0" w:space="0" w:color="auto"/>
        <w:right w:val="none" w:sz="0" w:space="0" w:color="auto"/>
      </w:divBdr>
    </w:div>
    <w:div w:id="2062895755">
      <w:marLeft w:val="0"/>
      <w:marRight w:val="0"/>
      <w:marTop w:val="0"/>
      <w:marBottom w:val="0"/>
      <w:divBdr>
        <w:top w:val="none" w:sz="0" w:space="0" w:color="auto"/>
        <w:left w:val="none" w:sz="0" w:space="0" w:color="auto"/>
        <w:bottom w:val="none" w:sz="0" w:space="0" w:color="auto"/>
        <w:right w:val="none" w:sz="0" w:space="0" w:color="auto"/>
      </w:divBdr>
    </w:div>
    <w:div w:id="2062895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hart" Target="charts/chart3.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footer" Target="footer5.xml"/><Relationship Id="rId30" Type="http://schemas.openxmlformats.org/officeDocument/2006/relationships/header" Target="header1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MAIN\SYS\HOME\BRIGNER\Projects%20Done%20For%20Others\Williams\Graphs%202012%20-%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AIN\SYS\HOME\BRIGNER\Projects%20Done%20For%20Others\Williams\Graphs%202012%20-%20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AIN\SYS\HOME\BRIGNER\Projects%20Done%20For%20Others\Williams\Graphs%202012%20-%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Ohio Residential Electric Bill Charge</a:t>
            </a:r>
          </a:p>
          <a:p>
            <a:pPr>
              <a:defRPr/>
            </a:pPr>
            <a:r>
              <a:rPr lang="en-US" sz="1000" b="0"/>
              <a:t>Based on Usage of 750KWH</a:t>
            </a:r>
          </a:p>
        </c:rich>
      </c:tx>
      <c:overlay val="0"/>
    </c:title>
    <c:autoTitleDeleted val="0"/>
    <c:plotArea>
      <c:layout/>
      <c:lineChart>
        <c:grouping val="standard"/>
        <c:varyColors val="0"/>
        <c:ser>
          <c:idx val="0"/>
          <c:order val="0"/>
          <c:tx>
            <c:strRef>
              <c:f>'Electric Bill Data and Graph'!$A$7</c:f>
              <c:strCache>
                <c:ptCount val="1"/>
                <c:pt idx="0">
                  <c:v>Akron            ( Ohio Edison )</c:v>
                </c:pt>
              </c:strCache>
            </c:strRef>
          </c:tx>
          <c:spPr>
            <a:ln>
              <a:solidFill>
                <a:schemeClr val="accent1">
                  <a:lumMod val="40000"/>
                  <a:lumOff val="60000"/>
                </a:schemeClr>
              </a:solidFill>
            </a:ln>
          </c:spPr>
          <c:marker>
            <c:symbol val="none"/>
          </c:marker>
          <c:cat>
            <c:numRef>
              <c:f>'Electric Bill Data and Graph'!$B$6:$L$6</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'Electric Bill Data and Graph'!$B$7:$L$7</c:f>
              <c:numCache>
                <c:formatCode>#,##0.00</c:formatCode>
                <c:ptCount val="11"/>
                <c:pt idx="0">
                  <c:v>85.48</c:v>
                </c:pt>
                <c:pt idx="1">
                  <c:v>85.78</c:v>
                </c:pt>
                <c:pt idx="2">
                  <c:v>88.5</c:v>
                </c:pt>
                <c:pt idx="3">
                  <c:v>88.72</c:v>
                </c:pt>
                <c:pt idx="4">
                  <c:v>92.4</c:v>
                </c:pt>
                <c:pt idx="5">
                  <c:v>100.69</c:v>
                </c:pt>
                <c:pt idx="6">
                  <c:v>86.83</c:v>
                </c:pt>
                <c:pt idx="7">
                  <c:v>83.76</c:v>
                </c:pt>
                <c:pt idx="8">
                  <c:v>92.38</c:v>
                </c:pt>
                <c:pt idx="9">
                  <c:v>94.179999999999978</c:v>
                </c:pt>
                <c:pt idx="10">
                  <c:v>98.33</c:v>
                </c:pt>
              </c:numCache>
            </c:numRef>
          </c:val>
          <c:smooth val="0"/>
        </c:ser>
        <c:ser>
          <c:idx val="1"/>
          <c:order val="1"/>
          <c:tx>
            <c:strRef>
              <c:f>'Electric Bill Data and Graph'!$A$8</c:f>
              <c:strCache>
                <c:ptCount val="1"/>
                <c:pt idx="0">
                  <c:v>Canton          ( AEP Ohio )</c:v>
                </c:pt>
              </c:strCache>
            </c:strRef>
          </c:tx>
          <c:spPr>
            <a:ln>
              <a:solidFill>
                <a:srgbClr val="C89058"/>
              </a:solidFill>
            </a:ln>
          </c:spPr>
          <c:marker>
            <c:symbol val="none"/>
          </c:marker>
          <c:cat>
            <c:numRef>
              <c:f>'Electric Bill Data and Graph'!$B$6:$L$6</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'Electric Bill Data and Graph'!$B$8:$L$8</c:f>
              <c:numCache>
                <c:formatCode>#,##0.00</c:formatCode>
                <c:ptCount val="11"/>
                <c:pt idx="0">
                  <c:v>53.6</c:v>
                </c:pt>
                <c:pt idx="1">
                  <c:v>56.55</c:v>
                </c:pt>
                <c:pt idx="2">
                  <c:v>58.33</c:v>
                </c:pt>
                <c:pt idx="3">
                  <c:v>62.58</c:v>
                </c:pt>
                <c:pt idx="4">
                  <c:v>64.179999999999978</c:v>
                </c:pt>
                <c:pt idx="5">
                  <c:v>72.34</c:v>
                </c:pt>
                <c:pt idx="6">
                  <c:v>76.39</c:v>
                </c:pt>
                <c:pt idx="7">
                  <c:v>84.13</c:v>
                </c:pt>
                <c:pt idx="8">
                  <c:v>88.19</c:v>
                </c:pt>
                <c:pt idx="9">
                  <c:v>92.33</c:v>
                </c:pt>
                <c:pt idx="10">
                  <c:v>114.06</c:v>
                </c:pt>
              </c:numCache>
            </c:numRef>
          </c:val>
          <c:smooth val="0"/>
        </c:ser>
        <c:ser>
          <c:idx val="2"/>
          <c:order val="2"/>
          <c:tx>
            <c:strRef>
              <c:f>'Electric Bill Data and Graph'!$A$9</c:f>
              <c:strCache>
                <c:ptCount val="1"/>
                <c:pt idx="0">
                  <c:v>Cincinnati     ( Duke Energy )</c:v>
                </c:pt>
              </c:strCache>
            </c:strRef>
          </c:tx>
          <c:marker>
            <c:symbol val="none"/>
          </c:marker>
          <c:cat>
            <c:numRef>
              <c:f>'Electric Bill Data and Graph'!$B$6:$L$6</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'Electric Bill Data and Graph'!$B$9:$L$9</c:f>
              <c:numCache>
                <c:formatCode>#,##0.00</c:formatCode>
                <c:ptCount val="11"/>
                <c:pt idx="0">
                  <c:v>60.71</c:v>
                </c:pt>
                <c:pt idx="1">
                  <c:v>60.73</c:v>
                </c:pt>
                <c:pt idx="2">
                  <c:v>77.09</c:v>
                </c:pt>
                <c:pt idx="3">
                  <c:v>75.930000000000007</c:v>
                </c:pt>
                <c:pt idx="4">
                  <c:v>84.53</c:v>
                </c:pt>
                <c:pt idx="5">
                  <c:v>83.86</c:v>
                </c:pt>
                <c:pt idx="6">
                  <c:v>102.33</c:v>
                </c:pt>
                <c:pt idx="7">
                  <c:v>97.46</c:v>
                </c:pt>
                <c:pt idx="8">
                  <c:v>83.63</c:v>
                </c:pt>
                <c:pt idx="9">
                  <c:v>87.92</c:v>
                </c:pt>
                <c:pt idx="10">
                  <c:v>91.27</c:v>
                </c:pt>
              </c:numCache>
            </c:numRef>
          </c:val>
          <c:smooth val="0"/>
        </c:ser>
        <c:ser>
          <c:idx val="3"/>
          <c:order val="3"/>
          <c:tx>
            <c:strRef>
              <c:f>'Electric Bill Data and Graph'!$A$10</c:f>
              <c:strCache>
                <c:ptCount val="1"/>
                <c:pt idx="0">
                  <c:v>Cleveland     ( CEI )</c:v>
                </c:pt>
              </c:strCache>
            </c:strRef>
          </c:tx>
          <c:spPr>
            <a:ln>
              <a:solidFill>
                <a:srgbClr val="49C7BB"/>
              </a:solidFill>
            </a:ln>
          </c:spPr>
          <c:marker>
            <c:symbol val="none"/>
          </c:marker>
          <c:cat>
            <c:numRef>
              <c:f>'Electric Bill Data and Graph'!$B$6:$L$6</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'Electric Bill Data and Graph'!$B$10:$L$10</c:f>
              <c:numCache>
                <c:formatCode>#,##0.00</c:formatCode>
                <c:ptCount val="11"/>
                <c:pt idx="0">
                  <c:v>80.08</c:v>
                </c:pt>
                <c:pt idx="1">
                  <c:v>80.41</c:v>
                </c:pt>
                <c:pt idx="2">
                  <c:v>82.93</c:v>
                </c:pt>
                <c:pt idx="3">
                  <c:v>83.03</c:v>
                </c:pt>
                <c:pt idx="4">
                  <c:v>87.39</c:v>
                </c:pt>
                <c:pt idx="5">
                  <c:v>88.9</c:v>
                </c:pt>
                <c:pt idx="6">
                  <c:v>97.6</c:v>
                </c:pt>
                <c:pt idx="7">
                  <c:v>98.31</c:v>
                </c:pt>
                <c:pt idx="8">
                  <c:v>95.54</c:v>
                </c:pt>
                <c:pt idx="9">
                  <c:v>92.02</c:v>
                </c:pt>
                <c:pt idx="10">
                  <c:v>94.65</c:v>
                </c:pt>
              </c:numCache>
            </c:numRef>
          </c:val>
          <c:smooth val="0"/>
        </c:ser>
        <c:ser>
          <c:idx val="4"/>
          <c:order val="4"/>
          <c:tx>
            <c:strRef>
              <c:f>'Electric Bill Data and Graph'!$A$11</c:f>
              <c:strCache>
                <c:ptCount val="1"/>
                <c:pt idx="0">
                  <c:v>Columbus     ( AEP Ohio )</c:v>
                </c:pt>
              </c:strCache>
            </c:strRef>
          </c:tx>
          <c:spPr>
            <a:ln>
              <a:solidFill>
                <a:srgbClr val="355E8F"/>
              </a:solidFill>
            </a:ln>
          </c:spPr>
          <c:marker>
            <c:symbol val="none"/>
          </c:marker>
          <c:cat>
            <c:numRef>
              <c:f>'Electric Bill Data and Graph'!$B$6:$L$6</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'Electric Bill Data and Graph'!$B$11:$L$11</c:f>
              <c:numCache>
                <c:formatCode>#,##0.00</c:formatCode>
                <c:ptCount val="11"/>
                <c:pt idx="0">
                  <c:v>65.22</c:v>
                </c:pt>
                <c:pt idx="1">
                  <c:v>65.099999999999994</c:v>
                </c:pt>
                <c:pt idx="2">
                  <c:v>71.209999999999994</c:v>
                </c:pt>
                <c:pt idx="3">
                  <c:v>76.03</c:v>
                </c:pt>
                <c:pt idx="4">
                  <c:v>78.56</c:v>
                </c:pt>
                <c:pt idx="5">
                  <c:v>91.41</c:v>
                </c:pt>
                <c:pt idx="6">
                  <c:v>95</c:v>
                </c:pt>
                <c:pt idx="7">
                  <c:v>96.27</c:v>
                </c:pt>
                <c:pt idx="8">
                  <c:v>100.74</c:v>
                </c:pt>
                <c:pt idx="9">
                  <c:v>114.01</c:v>
                </c:pt>
                <c:pt idx="10">
                  <c:v>123.1</c:v>
                </c:pt>
              </c:numCache>
            </c:numRef>
          </c:val>
          <c:smooth val="0"/>
        </c:ser>
        <c:ser>
          <c:idx val="5"/>
          <c:order val="5"/>
          <c:tx>
            <c:strRef>
              <c:f>'Electric Bill Data and Graph'!$A$12</c:f>
              <c:strCache>
                <c:ptCount val="1"/>
                <c:pt idx="0">
                  <c:v>Dayton          ( DP&amp;L )</c:v>
                </c:pt>
              </c:strCache>
            </c:strRef>
          </c:tx>
          <c:spPr>
            <a:ln>
              <a:solidFill>
                <a:srgbClr val="DBB691"/>
              </a:solidFill>
            </a:ln>
          </c:spPr>
          <c:marker>
            <c:symbol val="none"/>
          </c:marker>
          <c:cat>
            <c:numRef>
              <c:f>'Electric Bill Data and Graph'!$B$6:$L$6</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'Electric Bill Data and Graph'!$B$12:$L$12</c:f>
              <c:numCache>
                <c:formatCode>#,##0.00</c:formatCode>
                <c:ptCount val="11"/>
                <c:pt idx="0">
                  <c:v>71.540000000000006</c:v>
                </c:pt>
                <c:pt idx="1">
                  <c:v>71.44</c:v>
                </c:pt>
                <c:pt idx="2">
                  <c:v>75.69</c:v>
                </c:pt>
                <c:pt idx="3">
                  <c:v>79.38</c:v>
                </c:pt>
                <c:pt idx="4">
                  <c:v>79.38</c:v>
                </c:pt>
                <c:pt idx="5">
                  <c:v>87.48</c:v>
                </c:pt>
                <c:pt idx="6">
                  <c:v>98.48</c:v>
                </c:pt>
                <c:pt idx="7">
                  <c:v>105.47</c:v>
                </c:pt>
                <c:pt idx="8">
                  <c:v>110.71</c:v>
                </c:pt>
                <c:pt idx="9">
                  <c:v>107.08</c:v>
                </c:pt>
                <c:pt idx="10">
                  <c:v>107.36</c:v>
                </c:pt>
              </c:numCache>
            </c:numRef>
          </c:val>
          <c:smooth val="0"/>
        </c:ser>
        <c:ser>
          <c:idx val="6"/>
          <c:order val="6"/>
          <c:tx>
            <c:strRef>
              <c:f>'Electric Bill Data and Graph'!$A$13</c:f>
              <c:strCache>
                <c:ptCount val="1"/>
                <c:pt idx="0">
                  <c:v>Toledo           ( Toledo Edison )</c:v>
                </c:pt>
              </c:strCache>
            </c:strRef>
          </c:tx>
          <c:spPr>
            <a:ln>
              <a:solidFill>
                <a:srgbClr val="679CAD"/>
              </a:solidFill>
            </a:ln>
          </c:spPr>
          <c:marker>
            <c:symbol val="none"/>
          </c:marker>
          <c:cat>
            <c:numRef>
              <c:f>'Electric Bill Data and Graph'!$B$6:$L$6</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'Electric Bill Data and Graph'!$B$13:$L$13</c:f>
              <c:numCache>
                <c:formatCode>#,##0.00</c:formatCode>
                <c:ptCount val="11"/>
                <c:pt idx="0">
                  <c:v>83.64</c:v>
                </c:pt>
                <c:pt idx="1">
                  <c:v>83.15</c:v>
                </c:pt>
                <c:pt idx="2">
                  <c:v>85.16</c:v>
                </c:pt>
                <c:pt idx="3">
                  <c:v>85.63</c:v>
                </c:pt>
                <c:pt idx="4">
                  <c:v>92.15</c:v>
                </c:pt>
                <c:pt idx="5">
                  <c:v>94.88</c:v>
                </c:pt>
                <c:pt idx="6">
                  <c:v>90.53</c:v>
                </c:pt>
                <c:pt idx="7">
                  <c:v>90.32</c:v>
                </c:pt>
                <c:pt idx="8">
                  <c:v>96.45</c:v>
                </c:pt>
                <c:pt idx="9">
                  <c:v>93.09</c:v>
                </c:pt>
                <c:pt idx="10">
                  <c:v>96.97</c:v>
                </c:pt>
              </c:numCache>
            </c:numRef>
          </c:val>
          <c:smooth val="0"/>
        </c:ser>
        <c:ser>
          <c:idx val="7"/>
          <c:order val="7"/>
          <c:tx>
            <c:strRef>
              <c:f>'Electric Bill Data and Graph'!$A$14</c:f>
              <c:strCache>
                <c:ptCount val="1"/>
                <c:pt idx="0">
                  <c:v>Youngstown ( Ohio Edison )</c:v>
                </c:pt>
              </c:strCache>
            </c:strRef>
          </c:tx>
          <c:spPr>
            <a:ln>
              <a:solidFill>
                <a:srgbClr val="C6B9D5"/>
              </a:solidFill>
            </a:ln>
          </c:spPr>
          <c:marker>
            <c:symbol val="none"/>
          </c:marker>
          <c:cat>
            <c:numRef>
              <c:f>'Electric Bill Data and Graph'!$B$6:$L$6</c:f>
              <c:numCache>
                <c:formatCode>0</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'Electric Bill Data and Graph'!$B$14:$L$14</c:f>
              <c:numCache>
                <c:formatCode>#,##0.00</c:formatCode>
                <c:ptCount val="11"/>
                <c:pt idx="0">
                  <c:v>85.48</c:v>
                </c:pt>
                <c:pt idx="1">
                  <c:v>85.78</c:v>
                </c:pt>
                <c:pt idx="2">
                  <c:v>88.5</c:v>
                </c:pt>
                <c:pt idx="3">
                  <c:v>88.72</c:v>
                </c:pt>
                <c:pt idx="4">
                  <c:v>92.4</c:v>
                </c:pt>
                <c:pt idx="5">
                  <c:v>100.69</c:v>
                </c:pt>
                <c:pt idx="6">
                  <c:v>86.83</c:v>
                </c:pt>
                <c:pt idx="7">
                  <c:v>83.76</c:v>
                </c:pt>
                <c:pt idx="8">
                  <c:v>92.38</c:v>
                </c:pt>
                <c:pt idx="9">
                  <c:v>94.179999999999978</c:v>
                </c:pt>
                <c:pt idx="10">
                  <c:v>98.33</c:v>
                </c:pt>
              </c:numCache>
            </c:numRef>
          </c:val>
          <c:smooth val="0"/>
        </c:ser>
        <c:dLbls>
          <c:showLegendKey val="0"/>
          <c:showVal val="0"/>
          <c:showCatName val="0"/>
          <c:showSerName val="0"/>
          <c:showPercent val="0"/>
          <c:showBubbleSize val="0"/>
        </c:dLbls>
        <c:marker val="1"/>
        <c:smooth val="0"/>
        <c:axId val="46481408"/>
        <c:axId val="46483328"/>
      </c:lineChart>
      <c:catAx>
        <c:axId val="46481408"/>
        <c:scaling>
          <c:orientation val="minMax"/>
        </c:scaling>
        <c:delete val="0"/>
        <c:axPos val="b"/>
        <c:title>
          <c:tx>
            <c:rich>
              <a:bodyPr/>
              <a:lstStyle/>
              <a:p>
                <a:pPr>
                  <a:defRPr/>
                </a:pPr>
                <a:r>
                  <a:rPr lang="en-US" sz="900" b="0" i="0" baseline="0">
                    <a:effectLst/>
                  </a:rPr>
                  <a:t>As of mid-April of Each Year</a:t>
                </a:r>
                <a:endParaRPr lang="en-US" sz="900">
                  <a:effectLst/>
                </a:endParaRPr>
              </a:p>
            </c:rich>
          </c:tx>
          <c:overlay val="0"/>
        </c:title>
        <c:numFmt formatCode="0" sourceLinked="1"/>
        <c:majorTickMark val="out"/>
        <c:minorTickMark val="none"/>
        <c:tickLblPos val="nextTo"/>
        <c:crossAx val="46483328"/>
        <c:crosses val="autoZero"/>
        <c:auto val="1"/>
        <c:lblAlgn val="ctr"/>
        <c:lblOffset val="100"/>
        <c:noMultiLvlLbl val="0"/>
      </c:catAx>
      <c:valAx>
        <c:axId val="46483328"/>
        <c:scaling>
          <c:orientation val="minMax"/>
          <c:max val="130"/>
          <c:min val="0"/>
        </c:scaling>
        <c:delete val="0"/>
        <c:axPos val="l"/>
        <c:majorGridlines/>
        <c:title>
          <c:tx>
            <c:rich>
              <a:bodyPr rot="0" vert="horz"/>
              <a:lstStyle/>
              <a:p>
                <a:pPr>
                  <a:defRPr/>
                </a:pPr>
                <a:r>
                  <a:rPr lang="en-US"/>
                  <a:t>$</a:t>
                </a:r>
              </a:p>
            </c:rich>
          </c:tx>
          <c:layout>
            <c:manualLayout>
              <c:xMode val="edge"/>
              <c:yMode val="edge"/>
              <c:x val="5.6058645968089703E-2"/>
              <c:y val="0.105908657821882"/>
            </c:manualLayout>
          </c:layout>
          <c:overlay val="0"/>
        </c:title>
        <c:numFmt formatCode="#,##0" sourceLinked="0"/>
        <c:majorTickMark val="out"/>
        <c:minorTickMark val="none"/>
        <c:tickLblPos val="nextTo"/>
        <c:crossAx val="4648140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Events</a:t>
            </a:r>
          </a:p>
        </c:rich>
      </c:tx>
      <c:overlay val="0"/>
    </c:title>
    <c:autoTitleDeleted val="0"/>
    <c:plotArea>
      <c:layout/>
      <c:barChart>
        <c:barDir val="col"/>
        <c:grouping val="clustered"/>
        <c:varyColors val="0"/>
        <c:ser>
          <c:idx val="0"/>
          <c:order val="0"/>
          <c:tx>
            <c:strRef>
              <c:f>'Table 1'!$B$4:$D$4</c:f>
              <c:strCache>
                <c:ptCount val="1"/>
                <c:pt idx="0">
                  <c:v>Events</c:v>
                </c:pt>
              </c:strCache>
            </c:strRef>
          </c:tx>
          <c:invertIfNegative val="0"/>
          <c:cat>
            <c:numRef>
              <c:f>'Table 1'!$C$5:$D$5</c:f>
              <c:numCache>
                <c:formatCode>General</c:formatCode>
                <c:ptCount val="2"/>
                <c:pt idx="0">
                  <c:v>2012</c:v>
                </c:pt>
                <c:pt idx="1">
                  <c:v>2013</c:v>
                </c:pt>
              </c:numCache>
            </c:numRef>
          </c:cat>
          <c:val>
            <c:numRef>
              <c:f>'Table 1'!$C$35:$D$35</c:f>
              <c:numCache>
                <c:formatCode>#,##0</c:formatCode>
                <c:ptCount val="2"/>
                <c:pt idx="0">
                  <c:v>33282</c:v>
                </c:pt>
                <c:pt idx="1">
                  <c:v>38268</c:v>
                </c:pt>
              </c:numCache>
            </c:numRef>
          </c:val>
        </c:ser>
        <c:dLbls>
          <c:showLegendKey val="0"/>
          <c:showVal val="0"/>
          <c:showCatName val="0"/>
          <c:showSerName val="0"/>
          <c:showPercent val="0"/>
          <c:showBubbleSize val="0"/>
        </c:dLbls>
        <c:gapWidth val="28"/>
        <c:axId val="47984000"/>
        <c:axId val="47985792"/>
      </c:barChart>
      <c:catAx>
        <c:axId val="47984000"/>
        <c:scaling>
          <c:orientation val="minMax"/>
        </c:scaling>
        <c:delete val="0"/>
        <c:axPos val="b"/>
        <c:numFmt formatCode="General" sourceLinked="1"/>
        <c:majorTickMark val="out"/>
        <c:minorTickMark val="none"/>
        <c:tickLblPos val="nextTo"/>
        <c:crossAx val="47985792"/>
        <c:crosses val="autoZero"/>
        <c:auto val="1"/>
        <c:lblAlgn val="ctr"/>
        <c:lblOffset val="100"/>
        <c:noMultiLvlLbl val="0"/>
      </c:catAx>
      <c:valAx>
        <c:axId val="47985792"/>
        <c:scaling>
          <c:orientation val="minMax"/>
          <c:min val="0"/>
        </c:scaling>
        <c:delete val="0"/>
        <c:axPos val="l"/>
        <c:majorGridlines/>
        <c:numFmt formatCode="#,##0" sourceLinked="1"/>
        <c:majorTickMark val="out"/>
        <c:minorTickMark val="none"/>
        <c:tickLblPos val="nextTo"/>
        <c:txPr>
          <a:bodyPr/>
          <a:lstStyle/>
          <a:p>
            <a:pPr>
              <a:defRPr sz="800"/>
            </a:pPr>
            <a:endParaRPr lang="en-US"/>
          </a:p>
        </c:txPr>
        <c:crossAx val="479840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Customers lnterrupted</a:t>
            </a:r>
          </a:p>
        </c:rich>
      </c:tx>
      <c:overlay val="0"/>
    </c:title>
    <c:autoTitleDeleted val="0"/>
    <c:plotArea>
      <c:layout/>
      <c:barChart>
        <c:barDir val="col"/>
        <c:grouping val="clustered"/>
        <c:varyColors val="0"/>
        <c:ser>
          <c:idx val="0"/>
          <c:order val="0"/>
          <c:tx>
            <c:strRef>
              <c:f>'Table 1'!$E$4:$G$4</c:f>
              <c:strCache>
                <c:ptCount val="1"/>
                <c:pt idx="0">
                  <c:v>Customers lnterrupted</c:v>
                </c:pt>
              </c:strCache>
            </c:strRef>
          </c:tx>
          <c:invertIfNegative val="0"/>
          <c:cat>
            <c:numRef>
              <c:f>'Table 1'!$F$5:$G$5</c:f>
              <c:numCache>
                <c:formatCode>General</c:formatCode>
                <c:ptCount val="2"/>
                <c:pt idx="0">
                  <c:v>2012</c:v>
                </c:pt>
                <c:pt idx="1">
                  <c:v>2013</c:v>
                </c:pt>
              </c:numCache>
            </c:numRef>
          </c:cat>
          <c:val>
            <c:numRef>
              <c:f>'Table 1'!$F$35:$G$35</c:f>
              <c:numCache>
                <c:formatCode>#,##0</c:formatCode>
                <c:ptCount val="2"/>
                <c:pt idx="0">
                  <c:v>1422839</c:v>
                </c:pt>
                <c:pt idx="1">
                  <c:v>1498232</c:v>
                </c:pt>
              </c:numCache>
            </c:numRef>
          </c:val>
        </c:ser>
        <c:dLbls>
          <c:showLegendKey val="0"/>
          <c:showVal val="0"/>
          <c:showCatName val="0"/>
          <c:showSerName val="0"/>
          <c:showPercent val="0"/>
          <c:showBubbleSize val="0"/>
        </c:dLbls>
        <c:gapWidth val="28"/>
        <c:axId val="47997696"/>
        <c:axId val="47999232"/>
      </c:barChart>
      <c:catAx>
        <c:axId val="47997696"/>
        <c:scaling>
          <c:orientation val="minMax"/>
        </c:scaling>
        <c:delete val="0"/>
        <c:axPos val="b"/>
        <c:numFmt formatCode="General" sourceLinked="1"/>
        <c:majorTickMark val="out"/>
        <c:minorTickMark val="none"/>
        <c:tickLblPos val="nextTo"/>
        <c:crossAx val="47999232"/>
        <c:crosses val="autoZero"/>
        <c:auto val="1"/>
        <c:lblAlgn val="ctr"/>
        <c:lblOffset val="100"/>
        <c:noMultiLvlLbl val="0"/>
      </c:catAx>
      <c:valAx>
        <c:axId val="47999232"/>
        <c:scaling>
          <c:orientation val="minMax"/>
          <c:min val="0"/>
        </c:scaling>
        <c:delete val="0"/>
        <c:axPos val="l"/>
        <c:majorGridlines/>
        <c:numFmt formatCode="#,##0" sourceLinked="1"/>
        <c:majorTickMark val="out"/>
        <c:minorTickMark val="none"/>
        <c:tickLblPos val="nextTo"/>
        <c:txPr>
          <a:bodyPr/>
          <a:lstStyle/>
          <a:p>
            <a:pPr>
              <a:defRPr sz="800"/>
            </a:pPr>
            <a:endParaRPr lang="en-US"/>
          </a:p>
        </c:txPr>
        <c:crossAx val="479976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Customer Minutes lnterrupted</a:t>
            </a:r>
          </a:p>
        </c:rich>
      </c:tx>
      <c:overlay val="0"/>
    </c:title>
    <c:autoTitleDeleted val="0"/>
    <c:plotArea>
      <c:layout/>
      <c:barChart>
        <c:barDir val="col"/>
        <c:grouping val="clustered"/>
        <c:varyColors val="0"/>
        <c:ser>
          <c:idx val="0"/>
          <c:order val="0"/>
          <c:tx>
            <c:strRef>
              <c:f>'Table 1'!$H$4:$J$4</c:f>
              <c:strCache>
                <c:ptCount val="1"/>
                <c:pt idx="0">
                  <c:v>Customer Minutes lnterrupted</c:v>
                </c:pt>
              </c:strCache>
            </c:strRef>
          </c:tx>
          <c:invertIfNegative val="0"/>
          <c:cat>
            <c:numRef>
              <c:f>'Table 1'!$I$5:$J$5</c:f>
              <c:numCache>
                <c:formatCode>General</c:formatCode>
                <c:ptCount val="2"/>
                <c:pt idx="0">
                  <c:v>2012</c:v>
                </c:pt>
                <c:pt idx="1">
                  <c:v>2013</c:v>
                </c:pt>
              </c:numCache>
            </c:numRef>
          </c:cat>
          <c:val>
            <c:numRef>
              <c:f>'Table 1'!$I$35:$J$35</c:f>
              <c:numCache>
                <c:formatCode>#,##0</c:formatCode>
                <c:ptCount val="2"/>
                <c:pt idx="0">
                  <c:v>206097896</c:v>
                </c:pt>
                <c:pt idx="1">
                  <c:v>211210995</c:v>
                </c:pt>
              </c:numCache>
            </c:numRef>
          </c:val>
        </c:ser>
        <c:dLbls>
          <c:showLegendKey val="0"/>
          <c:showVal val="0"/>
          <c:showCatName val="0"/>
          <c:showSerName val="0"/>
          <c:showPercent val="0"/>
          <c:showBubbleSize val="0"/>
        </c:dLbls>
        <c:gapWidth val="28"/>
        <c:axId val="48015232"/>
        <c:axId val="48016768"/>
      </c:barChart>
      <c:catAx>
        <c:axId val="48015232"/>
        <c:scaling>
          <c:orientation val="minMax"/>
        </c:scaling>
        <c:delete val="0"/>
        <c:axPos val="b"/>
        <c:numFmt formatCode="General" sourceLinked="1"/>
        <c:majorTickMark val="out"/>
        <c:minorTickMark val="none"/>
        <c:tickLblPos val="nextTo"/>
        <c:crossAx val="48016768"/>
        <c:crosses val="autoZero"/>
        <c:auto val="1"/>
        <c:lblAlgn val="ctr"/>
        <c:lblOffset val="100"/>
        <c:noMultiLvlLbl val="0"/>
      </c:catAx>
      <c:valAx>
        <c:axId val="48016768"/>
        <c:scaling>
          <c:orientation val="minMax"/>
          <c:min val="0"/>
        </c:scaling>
        <c:delete val="0"/>
        <c:axPos val="l"/>
        <c:majorGridlines/>
        <c:numFmt formatCode="#,##0" sourceLinked="1"/>
        <c:majorTickMark val="out"/>
        <c:minorTickMark val="none"/>
        <c:tickLblPos val="nextTo"/>
        <c:txPr>
          <a:bodyPr/>
          <a:lstStyle/>
          <a:p>
            <a:pPr>
              <a:defRPr sz="800"/>
            </a:pPr>
            <a:endParaRPr lang="en-US"/>
          </a:p>
        </c:txPr>
        <c:crossAx val="4801523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0.00364</cdr:x>
      <cdr:y>0.95377</cdr:y>
    </cdr:from>
    <cdr:to>
      <cdr:x>0.38592</cdr:x>
      <cdr:y>1</cdr:y>
    </cdr:to>
    <cdr:sp macro="" textlink="">
      <cdr:nvSpPr>
        <cdr:cNvPr id="2" name="TextBox 1"/>
        <cdr:cNvSpPr txBox="1"/>
      </cdr:nvSpPr>
      <cdr:spPr>
        <a:xfrm xmlns:a="http://schemas.openxmlformats.org/drawingml/2006/main">
          <a:off x="22860" y="4244340"/>
          <a:ext cx="2400300" cy="2057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i="1"/>
            <a:t>Source:  PUCO Ohio Utility Rate Survey Reports</a:t>
          </a:r>
        </a:p>
      </cdr:txBody>
    </cdr:sp>
  </cdr:relSizeAnchor>
  <cdr:relSizeAnchor xmlns:cdr="http://schemas.openxmlformats.org/drawingml/2006/chartDrawing">
    <cdr:from>
      <cdr:x>0.72899</cdr:x>
      <cdr:y>0.80312</cdr:y>
    </cdr:from>
    <cdr:to>
      <cdr:x>0.99574</cdr:x>
      <cdr:y>0.90827</cdr:y>
    </cdr:to>
    <cdr:sp macro="" textlink="">
      <cdr:nvSpPr>
        <cdr:cNvPr id="3" name="TextBox 1"/>
        <cdr:cNvSpPr txBox="1"/>
      </cdr:nvSpPr>
      <cdr:spPr>
        <a:xfrm xmlns:a="http://schemas.openxmlformats.org/drawingml/2006/main">
          <a:off x="4332849" y="3115994"/>
          <a:ext cx="1585431" cy="4079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effectLst/>
              <a:latin typeface="+mn-lt"/>
              <a:ea typeface="+mn-ea"/>
              <a:cs typeface="+mn-cs"/>
            </a:rPr>
            <a:t>Note:  Akron and Youngstown charges are the </a:t>
          </a:r>
          <a:r>
            <a:rPr lang="en-US" sz="800" baseline="0">
              <a:effectLst/>
              <a:latin typeface="+mn-lt"/>
              <a:ea typeface="+mn-ea"/>
              <a:cs typeface="+mn-cs"/>
            </a:rPr>
            <a:t>same.      </a:t>
          </a:r>
          <a:endParaRPr lang="en-US" sz="800">
            <a:effectLs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7095</Words>
  <Characters>38856</Characters>
  <Application>Microsoft Office Word</Application>
  <DocSecurity>0</DocSecurity>
  <Lines>1009</Lines>
  <Paragraphs>378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45797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2014-05-06T13:31:00Z</cp:lastPrinted>
  <dcterms:created xsi:type="dcterms:W3CDTF">2014-05-06T14:12:00Z</dcterms:created>
  <dcterms:modified xsi:type="dcterms:W3CDTF">2014-05-06T14:12:00Z</dcterms:modified>
  <cp:category> </cp:category>
  <cp:contentStatus> </cp:contentStatus>
</cp:coreProperties>
</file>