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496468" w:rsidRPr="005118F2" w:rsidP="00496468" w14:paraId="086764E7" w14:textId="77777777">
      <w:pPr>
        <w:pStyle w:val="Title"/>
        <w:rPr>
          <w:sz w:val="24"/>
          <w:szCs w:val="24"/>
        </w:rPr>
      </w:pPr>
      <w:r w:rsidRPr="005118F2">
        <w:rPr>
          <w:sz w:val="24"/>
          <w:szCs w:val="24"/>
        </w:rPr>
        <w:t>BEFORE</w:t>
      </w:r>
    </w:p>
    <w:p w:rsidR="00496468" w:rsidRPr="005118F2" w:rsidP="00326C85" w14:paraId="0196A506" w14:textId="77777777">
      <w:pPr>
        <w:spacing w:after="0"/>
        <w:jc w:val="center"/>
        <w:rPr>
          <w:b/>
          <w:szCs w:val="24"/>
        </w:rPr>
      </w:pPr>
      <w:r w:rsidRPr="005118F2">
        <w:rPr>
          <w:b/>
          <w:szCs w:val="24"/>
        </w:rPr>
        <w:t>THE PUBLIC UTILITIES COMMISSION OF OHIO</w:t>
      </w:r>
    </w:p>
    <w:p w:rsidR="00496468" w:rsidRPr="005118F2" w:rsidP="00496468" w14:paraId="0B458603" w14:textId="77777777">
      <w:pPr>
        <w:pStyle w:val="HTMLPreformatted"/>
        <w:rPr>
          <w:rFonts w:ascii="Times New Roman" w:hAnsi="Times New Roman" w:cs="Times New Roman"/>
          <w:sz w:val="24"/>
          <w:szCs w:val="24"/>
        </w:rPr>
      </w:pPr>
    </w:p>
    <w:tbl>
      <w:tblPr>
        <w:tblW w:w="8820" w:type="dxa"/>
        <w:tblLook w:val="01E0"/>
      </w:tblPr>
      <w:tblGrid>
        <w:gridCol w:w="4829"/>
        <w:gridCol w:w="301"/>
        <w:gridCol w:w="3690"/>
      </w:tblGrid>
      <w:tr w14:paraId="74D0C0BF" w14:textId="77777777" w:rsidTr="00E16426">
        <w:tblPrEx>
          <w:tblW w:w="8820" w:type="dxa"/>
          <w:tblLook w:val="01E0"/>
        </w:tblPrEx>
        <w:trPr>
          <w:trHeight w:val="807"/>
        </w:trPr>
        <w:tc>
          <w:tcPr>
            <w:tcW w:w="4829" w:type="dxa"/>
            <w:shd w:val="clear" w:color="auto" w:fill="auto"/>
          </w:tcPr>
          <w:p w:rsidR="00496468" w:rsidRPr="005118F2" w:rsidP="00887A04" w14:paraId="0532E8BA"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In the Matter of the Application of Columbia Gas of Ohio, Inc. for Authority to Amend its Filed Tariffs to Increase the Rates and Charges for Gas Services and Related Matters.</w:t>
            </w:r>
          </w:p>
          <w:p w:rsidR="00496468" w:rsidRPr="005118F2" w:rsidP="00887A04" w14:paraId="0D16D910" w14:textId="77777777">
            <w:pPr>
              <w:pStyle w:val="HTMLPreformatted"/>
              <w:rPr>
                <w:rFonts w:ascii="Times New Roman" w:hAnsi="Times New Roman" w:cs="Times New Roman"/>
                <w:sz w:val="24"/>
                <w:szCs w:val="24"/>
              </w:rPr>
            </w:pPr>
          </w:p>
          <w:p w:rsidR="00496468" w:rsidRPr="005118F2" w:rsidP="00887A04" w14:paraId="40920075"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In the Matter of the Application of Columbia Gas of Ohio, Inc. for Approval of an Alternative Form of Regulation.</w:t>
            </w:r>
          </w:p>
          <w:p w:rsidR="00496468" w:rsidRPr="005118F2" w:rsidP="00887A04" w14:paraId="3C286F32" w14:textId="77777777">
            <w:pPr>
              <w:pStyle w:val="HTMLPreformatted"/>
              <w:rPr>
                <w:rFonts w:ascii="Times New Roman" w:hAnsi="Times New Roman" w:cs="Times New Roman"/>
                <w:sz w:val="24"/>
                <w:szCs w:val="24"/>
              </w:rPr>
            </w:pPr>
          </w:p>
          <w:p w:rsidR="00496468" w:rsidRPr="005118F2" w:rsidP="00887A04" w14:paraId="763E957F"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In the Matter of the Application of Columbia Gas of Ohio, Inc. for Approval of a Demand Side Management Program for its Residential and Commercial Customers.</w:t>
            </w:r>
          </w:p>
          <w:p w:rsidR="00496468" w:rsidRPr="005118F2" w:rsidP="00887A04" w14:paraId="59FA1C27" w14:textId="77777777">
            <w:pPr>
              <w:pStyle w:val="HTMLPreformatted"/>
              <w:rPr>
                <w:rFonts w:ascii="Times New Roman" w:hAnsi="Times New Roman" w:cs="Times New Roman"/>
                <w:sz w:val="24"/>
                <w:szCs w:val="24"/>
              </w:rPr>
            </w:pPr>
          </w:p>
          <w:p w:rsidR="00496468" w:rsidRPr="005118F2" w:rsidP="00887A04" w14:paraId="6B16D71C"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In the Matter of the Application of Columbia Gas of Ohio, Inc. for Approval to Change Accounting Methods.</w:t>
            </w:r>
          </w:p>
        </w:tc>
        <w:tc>
          <w:tcPr>
            <w:tcW w:w="301" w:type="dxa"/>
            <w:shd w:val="clear" w:color="auto" w:fill="auto"/>
          </w:tcPr>
          <w:p w:rsidR="00496468" w:rsidRPr="005118F2" w:rsidP="00887A04" w14:paraId="6647504B"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58E048A7"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2F500EBA"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35C589DF"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7646F6F7" w14:textId="77777777">
            <w:pPr>
              <w:pStyle w:val="HTMLPreformatted"/>
              <w:rPr>
                <w:rFonts w:ascii="Times New Roman" w:hAnsi="Times New Roman" w:cs="Times New Roman"/>
                <w:sz w:val="24"/>
                <w:szCs w:val="24"/>
              </w:rPr>
            </w:pPr>
          </w:p>
          <w:p w:rsidR="00496468" w:rsidRPr="005118F2" w:rsidP="00887A04" w14:paraId="1B7D6276"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3436FEBE"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3CD78981"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33C2E278" w14:textId="77777777">
            <w:pPr>
              <w:pStyle w:val="HTMLPreformatted"/>
              <w:rPr>
                <w:rFonts w:ascii="Times New Roman" w:hAnsi="Times New Roman" w:cs="Times New Roman"/>
                <w:sz w:val="24"/>
                <w:szCs w:val="24"/>
              </w:rPr>
            </w:pPr>
          </w:p>
          <w:p w:rsidR="00496468" w:rsidRPr="005118F2" w:rsidP="00887A04" w14:paraId="5676EFCE"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2BDAA65A"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7E2C8F7A"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0E8931C9"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17C1512C" w14:textId="77777777">
            <w:pPr>
              <w:pStyle w:val="HTMLPreformatted"/>
              <w:rPr>
                <w:rFonts w:ascii="Times New Roman" w:hAnsi="Times New Roman" w:cs="Times New Roman"/>
                <w:sz w:val="24"/>
                <w:szCs w:val="24"/>
              </w:rPr>
            </w:pPr>
          </w:p>
          <w:p w:rsidR="00496468" w:rsidRPr="005118F2" w:rsidP="00887A04" w14:paraId="6E53C4BF"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1EAFC355"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57E555BD"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tc>
        <w:tc>
          <w:tcPr>
            <w:tcW w:w="3690" w:type="dxa"/>
            <w:shd w:val="clear" w:color="auto" w:fill="auto"/>
          </w:tcPr>
          <w:p w:rsidR="00496468" w:rsidRPr="005118F2" w:rsidP="00887A04" w14:paraId="3AA3DF4F"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Case No. 21-637-GA-AIR</w:t>
            </w:r>
          </w:p>
          <w:p w:rsidR="00496468" w:rsidRPr="005118F2" w:rsidP="00887A04" w14:paraId="3BBAB3D7" w14:textId="77777777">
            <w:pPr>
              <w:pStyle w:val="HTMLPreformatted"/>
              <w:rPr>
                <w:rFonts w:ascii="Times New Roman" w:hAnsi="Times New Roman" w:cs="Times New Roman"/>
                <w:sz w:val="24"/>
                <w:szCs w:val="24"/>
              </w:rPr>
            </w:pPr>
          </w:p>
          <w:p w:rsidR="00496468" w:rsidP="00887A04" w14:paraId="5D05CE1B" w14:textId="2F52E554">
            <w:pPr>
              <w:pStyle w:val="HTMLPreformatted"/>
              <w:rPr>
                <w:rFonts w:ascii="Times New Roman" w:hAnsi="Times New Roman" w:cs="Times New Roman"/>
                <w:sz w:val="24"/>
                <w:szCs w:val="24"/>
              </w:rPr>
            </w:pPr>
          </w:p>
          <w:p w:rsidR="00E16426" w:rsidP="00887A04" w14:paraId="1A34A1F5" w14:textId="7035F0B1">
            <w:pPr>
              <w:pStyle w:val="HTMLPreformatted"/>
              <w:rPr>
                <w:rFonts w:ascii="Times New Roman" w:hAnsi="Times New Roman" w:cs="Times New Roman"/>
                <w:sz w:val="24"/>
                <w:szCs w:val="24"/>
              </w:rPr>
            </w:pPr>
          </w:p>
          <w:p w:rsidR="00E16426" w:rsidRPr="005118F2" w:rsidP="00887A04" w14:paraId="605FBB72" w14:textId="77777777">
            <w:pPr>
              <w:pStyle w:val="HTMLPreformatted"/>
              <w:rPr>
                <w:rFonts w:ascii="Times New Roman" w:hAnsi="Times New Roman" w:cs="Times New Roman"/>
                <w:sz w:val="24"/>
                <w:szCs w:val="24"/>
              </w:rPr>
            </w:pPr>
          </w:p>
          <w:p w:rsidR="00496468" w:rsidRPr="005118F2" w:rsidP="00887A04" w14:paraId="42C0C5D7"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Case No. 21-638-GA-ALT</w:t>
            </w:r>
          </w:p>
          <w:p w:rsidR="00496468" w:rsidP="00887A04" w14:paraId="78728F63" w14:textId="31A80443">
            <w:pPr>
              <w:pStyle w:val="HTMLPreformatted"/>
              <w:rPr>
                <w:rFonts w:ascii="Times New Roman" w:hAnsi="Times New Roman" w:cs="Times New Roman"/>
                <w:sz w:val="24"/>
                <w:szCs w:val="24"/>
              </w:rPr>
            </w:pPr>
          </w:p>
          <w:p w:rsidR="00E16426" w:rsidP="00887A04" w14:paraId="15B85E67" w14:textId="5D0A43A6">
            <w:pPr>
              <w:pStyle w:val="HTMLPreformatted"/>
              <w:rPr>
                <w:rFonts w:ascii="Times New Roman" w:hAnsi="Times New Roman" w:cs="Times New Roman"/>
                <w:sz w:val="24"/>
                <w:szCs w:val="24"/>
              </w:rPr>
            </w:pPr>
          </w:p>
          <w:p w:rsidR="00E16426" w:rsidRPr="005118F2" w:rsidP="00887A04" w14:paraId="6DD213EA" w14:textId="77777777">
            <w:pPr>
              <w:pStyle w:val="HTMLPreformatted"/>
              <w:rPr>
                <w:rFonts w:ascii="Times New Roman" w:hAnsi="Times New Roman" w:cs="Times New Roman"/>
                <w:sz w:val="24"/>
                <w:szCs w:val="24"/>
              </w:rPr>
            </w:pPr>
          </w:p>
          <w:p w:rsidR="00496468" w:rsidRPr="005118F2" w:rsidP="00887A04" w14:paraId="49058ADA"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Case No. 21-639-GA-UNC</w:t>
            </w:r>
          </w:p>
          <w:p w:rsidR="00496468" w:rsidP="00887A04" w14:paraId="74ACA0AA" w14:textId="0825A04D">
            <w:pPr>
              <w:pStyle w:val="HTMLPreformatted"/>
              <w:rPr>
                <w:rFonts w:ascii="Times New Roman" w:hAnsi="Times New Roman" w:cs="Times New Roman"/>
                <w:sz w:val="24"/>
                <w:szCs w:val="24"/>
              </w:rPr>
            </w:pPr>
          </w:p>
          <w:p w:rsidR="00E16426" w:rsidP="00887A04" w14:paraId="268350DD" w14:textId="16C1EC2E">
            <w:pPr>
              <w:pStyle w:val="HTMLPreformatted"/>
              <w:rPr>
                <w:rFonts w:ascii="Times New Roman" w:hAnsi="Times New Roman" w:cs="Times New Roman"/>
                <w:sz w:val="24"/>
                <w:szCs w:val="24"/>
              </w:rPr>
            </w:pPr>
          </w:p>
          <w:p w:rsidR="00E16426" w:rsidP="00887A04" w14:paraId="288E558A" w14:textId="777444C7">
            <w:pPr>
              <w:pStyle w:val="HTMLPreformatted"/>
              <w:rPr>
                <w:rFonts w:ascii="Times New Roman" w:hAnsi="Times New Roman" w:cs="Times New Roman"/>
                <w:sz w:val="24"/>
                <w:szCs w:val="24"/>
              </w:rPr>
            </w:pPr>
          </w:p>
          <w:p w:rsidR="00E16426" w:rsidRPr="005118F2" w:rsidP="00887A04" w14:paraId="427F8898" w14:textId="77777777">
            <w:pPr>
              <w:pStyle w:val="HTMLPreformatted"/>
              <w:rPr>
                <w:rFonts w:ascii="Times New Roman" w:hAnsi="Times New Roman" w:cs="Times New Roman"/>
                <w:sz w:val="24"/>
                <w:szCs w:val="24"/>
              </w:rPr>
            </w:pPr>
          </w:p>
          <w:p w:rsidR="00496468" w:rsidRPr="005118F2" w:rsidP="00887A04" w14:paraId="50FC3392"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Case No. 21-640-GA-AAM</w:t>
            </w:r>
          </w:p>
          <w:p w:rsidR="00496468" w:rsidRPr="005118F2" w:rsidP="00887A04" w14:paraId="76534D7E" w14:textId="77777777">
            <w:pPr>
              <w:pStyle w:val="HTMLPreformatted"/>
              <w:rPr>
                <w:rFonts w:ascii="Times New Roman" w:hAnsi="Times New Roman" w:cs="Times New Roman"/>
                <w:sz w:val="24"/>
                <w:szCs w:val="24"/>
              </w:rPr>
            </w:pPr>
          </w:p>
        </w:tc>
      </w:tr>
    </w:tbl>
    <w:p w:rsidR="00496468" w:rsidRPr="005118F2" w:rsidP="00E16426" w14:paraId="077F67D6" w14:textId="77777777">
      <w:pPr>
        <w:spacing w:after="0"/>
        <w:rPr>
          <w:szCs w:val="24"/>
        </w:rPr>
      </w:pPr>
    </w:p>
    <w:p w:rsidR="00496468" w:rsidRPr="005118F2" w:rsidP="00E16426" w14:paraId="3DBF2760" w14:textId="77777777">
      <w:pPr>
        <w:pBdr>
          <w:top w:val="single" w:sz="12" w:space="1" w:color="auto"/>
        </w:pBdr>
        <w:spacing w:after="0" w:line="240" w:lineRule="auto"/>
        <w:rPr>
          <w:szCs w:val="24"/>
        </w:rPr>
      </w:pPr>
    </w:p>
    <w:p w:rsidR="00496468" w:rsidRPr="005118F2" w:rsidP="00496468" w14:paraId="69567546" w14:textId="7C1BE38B">
      <w:pPr>
        <w:spacing w:after="0"/>
        <w:jc w:val="center"/>
        <w:rPr>
          <w:b/>
          <w:szCs w:val="24"/>
        </w:rPr>
      </w:pPr>
      <w:r>
        <w:rPr>
          <w:b/>
          <w:szCs w:val="24"/>
        </w:rPr>
        <w:t>INITIAL BRIEF</w:t>
      </w:r>
    </w:p>
    <w:p w:rsidR="00496468" w:rsidRPr="005118F2" w:rsidP="00496468" w14:paraId="34DDF1BF" w14:textId="77777777">
      <w:pPr>
        <w:spacing w:after="0"/>
        <w:jc w:val="center"/>
        <w:rPr>
          <w:b/>
          <w:szCs w:val="24"/>
        </w:rPr>
      </w:pPr>
      <w:r w:rsidRPr="005118F2">
        <w:rPr>
          <w:b/>
          <w:szCs w:val="24"/>
        </w:rPr>
        <w:t>BY</w:t>
      </w:r>
    </w:p>
    <w:p w:rsidR="00496468" w:rsidRPr="005118F2" w:rsidP="00496468" w14:paraId="418FF4C5" w14:textId="77777777">
      <w:pPr>
        <w:spacing w:after="0"/>
        <w:jc w:val="center"/>
        <w:rPr>
          <w:b/>
          <w:szCs w:val="24"/>
        </w:rPr>
      </w:pPr>
      <w:r w:rsidRPr="005118F2">
        <w:rPr>
          <w:b/>
          <w:szCs w:val="24"/>
        </w:rPr>
        <w:t>OFFICE OF THE OHIO CONSUMERS’ COUNSEL</w:t>
      </w:r>
    </w:p>
    <w:p w:rsidR="00496468" w:rsidRPr="005118F2" w:rsidP="00496468" w14:paraId="4AADEEE0" w14:textId="77777777">
      <w:pPr>
        <w:pBdr>
          <w:bottom w:val="single" w:sz="12" w:space="1" w:color="auto"/>
        </w:pBdr>
        <w:rPr>
          <w:szCs w:val="24"/>
        </w:rPr>
      </w:pPr>
    </w:p>
    <w:p w:rsidR="00326C85" w:rsidRPr="004D46E5" w:rsidP="00326C85" w14:paraId="41700742" w14:textId="77777777">
      <w:pPr>
        <w:tabs>
          <w:tab w:val="right" w:pos="8640"/>
        </w:tabs>
        <w:spacing w:after="0" w:line="240" w:lineRule="auto"/>
        <w:ind w:left="4320"/>
        <w:rPr>
          <w:szCs w:val="24"/>
        </w:rPr>
      </w:pPr>
      <w:r w:rsidRPr="004D46E5">
        <w:rPr>
          <w:szCs w:val="24"/>
        </w:rPr>
        <w:t>Bruce Weston (0016973)</w:t>
      </w:r>
    </w:p>
    <w:p w:rsidR="00326C85" w:rsidRPr="004D46E5" w:rsidP="00326C85" w14:paraId="01D339FC" w14:textId="77777777">
      <w:pPr>
        <w:spacing w:after="0" w:line="240" w:lineRule="auto"/>
        <w:ind w:left="4320"/>
        <w:contextualSpacing/>
        <w:rPr>
          <w:rFonts w:eastAsia="Calibri"/>
          <w:szCs w:val="24"/>
        </w:rPr>
      </w:pPr>
      <w:r w:rsidRPr="004D46E5">
        <w:rPr>
          <w:rFonts w:eastAsia="Calibri"/>
          <w:szCs w:val="24"/>
        </w:rPr>
        <w:t>Ohio Consumers’ Counsel</w:t>
      </w:r>
    </w:p>
    <w:p w:rsidR="00326C85" w:rsidRPr="004D46E5" w:rsidP="00326C85" w14:paraId="1F642535" w14:textId="77777777">
      <w:pPr>
        <w:spacing w:after="0" w:line="240" w:lineRule="auto"/>
        <w:ind w:left="4320"/>
        <w:contextualSpacing/>
        <w:rPr>
          <w:rFonts w:eastAsia="Calibri"/>
          <w:szCs w:val="24"/>
        </w:rPr>
      </w:pPr>
    </w:p>
    <w:p w:rsidR="00326C85" w:rsidRPr="004D46E5" w:rsidP="00326C85" w14:paraId="336DFE8A" w14:textId="77777777">
      <w:pPr>
        <w:spacing w:after="0" w:line="240" w:lineRule="auto"/>
        <w:ind w:left="4320"/>
        <w:rPr>
          <w:szCs w:val="24"/>
        </w:rPr>
      </w:pPr>
      <w:r w:rsidRPr="004D46E5">
        <w:rPr>
          <w:szCs w:val="24"/>
        </w:rPr>
        <w:t>Angela D. O’Brien (0097579)</w:t>
      </w:r>
    </w:p>
    <w:p w:rsidR="00326C85" w:rsidRPr="004D46E5" w:rsidP="00326C85" w14:paraId="1DCABD91" w14:textId="77777777">
      <w:pPr>
        <w:spacing w:after="0" w:line="240" w:lineRule="auto"/>
        <w:ind w:left="4320"/>
        <w:rPr>
          <w:szCs w:val="24"/>
        </w:rPr>
      </w:pPr>
      <w:r w:rsidRPr="004D46E5">
        <w:rPr>
          <w:szCs w:val="24"/>
        </w:rPr>
        <w:t xml:space="preserve">Counsel of Record </w:t>
      </w:r>
    </w:p>
    <w:p w:rsidR="00326C85" w:rsidRPr="004D46E5" w:rsidP="00326C85" w14:paraId="05D71775" w14:textId="77777777">
      <w:pPr>
        <w:tabs>
          <w:tab w:val="left" w:pos="4320"/>
        </w:tabs>
        <w:spacing w:after="0" w:line="240" w:lineRule="auto"/>
        <w:ind w:left="4320"/>
        <w:rPr>
          <w:szCs w:val="24"/>
        </w:rPr>
      </w:pPr>
      <w:r w:rsidRPr="004D46E5">
        <w:rPr>
          <w:szCs w:val="24"/>
        </w:rPr>
        <w:t>William J. Michael (0070921)</w:t>
      </w:r>
    </w:p>
    <w:p w:rsidR="00326C85" w:rsidRPr="004D46E5" w:rsidP="00326C85" w14:paraId="27AB8453" w14:textId="77777777">
      <w:pPr>
        <w:tabs>
          <w:tab w:val="left" w:pos="4320"/>
        </w:tabs>
        <w:spacing w:after="0" w:line="240" w:lineRule="auto"/>
        <w:ind w:left="4320"/>
        <w:rPr>
          <w:szCs w:val="24"/>
        </w:rPr>
      </w:pPr>
      <w:r w:rsidRPr="004D46E5">
        <w:rPr>
          <w:szCs w:val="24"/>
        </w:rPr>
        <w:t>Connor D. Semple (0101102)</w:t>
      </w:r>
    </w:p>
    <w:p w:rsidR="00326C85" w:rsidP="00326C85" w14:paraId="7A002D0E" w14:textId="02CB99C2">
      <w:pPr>
        <w:spacing w:after="0" w:line="240" w:lineRule="auto"/>
        <w:ind w:left="4320"/>
        <w:rPr>
          <w:szCs w:val="24"/>
        </w:rPr>
      </w:pPr>
      <w:r w:rsidRPr="004D46E5">
        <w:rPr>
          <w:szCs w:val="24"/>
        </w:rPr>
        <w:t>Assistant Consumers’ Counsel</w:t>
      </w:r>
    </w:p>
    <w:p w:rsidR="00326C85" w:rsidRPr="004D46E5" w:rsidP="00326C85" w14:paraId="2A224404" w14:textId="77777777">
      <w:pPr>
        <w:spacing w:after="0" w:line="240" w:lineRule="auto"/>
        <w:ind w:left="4320"/>
        <w:rPr>
          <w:b/>
          <w:szCs w:val="24"/>
        </w:rPr>
      </w:pPr>
      <w:r w:rsidRPr="004D46E5">
        <w:rPr>
          <w:b/>
          <w:szCs w:val="24"/>
        </w:rPr>
        <w:t>Office of the Ohio Consumers’ Counsel</w:t>
      </w:r>
    </w:p>
    <w:p w:rsidR="00326C85" w:rsidRPr="004D46E5" w:rsidP="00326C85" w14:paraId="7F9813CF" w14:textId="77777777">
      <w:pPr>
        <w:spacing w:after="0" w:line="240" w:lineRule="auto"/>
        <w:ind w:left="4320"/>
        <w:rPr>
          <w:szCs w:val="24"/>
        </w:rPr>
      </w:pPr>
      <w:r w:rsidRPr="004D46E5">
        <w:rPr>
          <w:szCs w:val="24"/>
        </w:rPr>
        <w:t>65 East State Street, Suite 700</w:t>
      </w:r>
    </w:p>
    <w:p w:rsidR="00326C85" w:rsidRPr="004D46E5" w:rsidP="00326C85" w14:paraId="083CDB8C" w14:textId="77777777">
      <w:pPr>
        <w:spacing w:after="0" w:line="240" w:lineRule="auto"/>
        <w:ind w:left="4320"/>
        <w:rPr>
          <w:szCs w:val="24"/>
        </w:rPr>
      </w:pPr>
      <w:r w:rsidRPr="004D46E5">
        <w:rPr>
          <w:szCs w:val="24"/>
        </w:rPr>
        <w:t>Columbus, Ohio 43215</w:t>
      </w:r>
    </w:p>
    <w:p w:rsidR="00326C85" w:rsidRPr="004D46E5" w:rsidP="00326C85" w14:paraId="21BF3A57" w14:textId="77777777">
      <w:pPr>
        <w:spacing w:after="0" w:line="240" w:lineRule="auto"/>
        <w:ind w:left="4320"/>
        <w:rPr>
          <w:szCs w:val="24"/>
        </w:rPr>
      </w:pPr>
      <w:r w:rsidRPr="004D46E5">
        <w:rPr>
          <w:color w:val="000000"/>
          <w:szCs w:val="24"/>
        </w:rPr>
        <w:t>Telephone [O’Brien]: (614) 499-9531</w:t>
      </w:r>
      <w:r w:rsidRPr="004D46E5">
        <w:rPr>
          <w:szCs w:val="24"/>
        </w:rPr>
        <w:tab/>
      </w:r>
    </w:p>
    <w:p w:rsidR="00326C85" w:rsidRPr="004D46E5" w:rsidP="00326C85" w14:paraId="402DE316" w14:textId="77777777">
      <w:pPr>
        <w:spacing w:after="0" w:line="240" w:lineRule="auto"/>
        <w:ind w:left="4320"/>
        <w:rPr>
          <w:color w:val="000000"/>
          <w:szCs w:val="24"/>
        </w:rPr>
      </w:pPr>
      <w:r w:rsidRPr="004D46E5">
        <w:rPr>
          <w:szCs w:val="24"/>
        </w:rPr>
        <w:t>Telephone [Michael]: (</w:t>
      </w:r>
      <w:r w:rsidRPr="004D46E5">
        <w:rPr>
          <w:color w:val="000000"/>
          <w:szCs w:val="24"/>
        </w:rPr>
        <w:t>614) 466-1291</w:t>
      </w:r>
    </w:p>
    <w:p w:rsidR="00326C85" w:rsidRPr="004D46E5" w:rsidP="00326C85" w14:paraId="3B6DA7C5" w14:textId="77777777">
      <w:pPr>
        <w:spacing w:after="0" w:line="240" w:lineRule="auto"/>
        <w:ind w:left="4320"/>
        <w:rPr>
          <w:color w:val="000000"/>
          <w:szCs w:val="24"/>
        </w:rPr>
      </w:pPr>
      <w:r w:rsidRPr="004D46E5">
        <w:rPr>
          <w:color w:val="000000"/>
          <w:szCs w:val="24"/>
        </w:rPr>
        <w:t>Telephone [Semple]:</w:t>
      </w:r>
      <w:r w:rsidRPr="004D46E5">
        <w:rPr>
          <w:color w:val="000000"/>
          <w:szCs w:val="24"/>
        </w:rPr>
        <w:tab/>
        <w:t>(614) 466-9565</w:t>
      </w:r>
    </w:p>
    <w:p w:rsidR="00326C85" w:rsidRPr="004D46E5" w:rsidP="00326C85" w14:paraId="78CA162B" w14:textId="77777777">
      <w:pPr>
        <w:spacing w:after="0" w:line="240" w:lineRule="auto"/>
        <w:ind w:left="4320"/>
        <w:rPr>
          <w:szCs w:val="24"/>
        </w:rPr>
      </w:pPr>
      <w:hyperlink r:id="rId6" w:history="1">
        <w:r w:rsidRPr="004D46E5" w:rsidR="00B26C7F">
          <w:rPr>
            <w:rStyle w:val="Hyperlink"/>
            <w:szCs w:val="24"/>
          </w:rPr>
          <w:t>angela.obrien@occ.ohio.gov</w:t>
        </w:r>
      </w:hyperlink>
    </w:p>
    <w:p w:rsidR="00326C85" w:rsidRPr="004D46E5" w:rsidP="00326C85" w14:paraId="7BC15525" w14:textId="77777777">
      <w:pPr>
        <w:spacing w:after="0" w:line="240" w:lineRule="auto"/>
        <w:ind w:left="4320"/>
        <w:rPr>
          <w:rStyle w:val="Hyperlink"/>
          <w:rFonts w:eastAsia="Courier New"/>
          <w:szCs w:val="24"/>
        </w:rPr>
      </w:pPr>
      <w:hyperlink r:id="rId7" w:history="1">
        <w:r w:rsidRPr="004D46E5" w:rsidR="00B26C7F">
          <w:rPr>
            <w:rStyle w:val="Hyperlink"/>
            <w:rFonts w:eastAsia="Courier New"/>
            <w:szCs w:val="24"/>
          </w:rPr>
          <w:t>william.michael@occ.ohio.gov</w:t>
        </w:r>
      </w:hyperlink>
    </w:p>
    <w:p w:rsidR="00326C85" w:rsidRPr="004D46E5" w:rsidP="00326C85" w14:paraId="42EC7170" w14:textId="77777777">
      <w:pPr>
        <w:spacing w:after="0" w:line="240" w:lineRule="auto"/>
        <w:ind w:left="4320"/>
        <w:rPr>
          <w:rFonts w:eastAsia="Courier New"/>
          <w:szCs w:val="24"/>
        </w:rPr>
      </w:pPr>
      <w:r w:rsidRPr="004D46E5">
        <w:rPr>
          <w:rStyle w:val="Hyperlink"/>
          <w:rFonts w:eastAsia="Courier New"/>
          <w:szCs w:val="24"/>
        </w:rPr>
        <w:t>connor.semple@occ.ohio.gov</w:t>
      </w:r>
    </w:p>
    <w:p w:rsidR="00746981" w:rsidRPr="00260A3F" w:rsidP="00E16426" w14:paraId="3C5B4CB2" w14:textId="56A3796D">
      <w:pPr>
        <w:spacing w:after="0" w:line="240" w:lineRule="auto"/>
        <w:rPr>
          <w:rFonts w:cs="Times New Roman"/>
          <w:bCs/>
          <w:szCs w:val="24"/>
        </w:rPr>
      </w:pPr>
      <w:r>
        <w:rPr>
          <w:szCs w:val="24"/>
        </w:rPr>
        <w:t xml:space="preserve">December </w:t>
      </w:r>
      <w:r w:rsidR="00E16426">
        <w:rPr>
          <w:szCs w:val="24"/>
        </w:rPr>
        <w:t>9</w:t>
      </w:r>
      <w:r>
        <w:rPr>
          <w:szCs w:val="24"/>
        </w:rPr>
        <w:t>, 2022</w:t>
      </w:r>
      <w:r>
        <w:rPr>
          <w:szCs w:val="24"/>
        </w:rPr>
        <w:tab/>
      </w:r>
      <w:r>
        <w:rPr>
          <w:szCs w:val="24"/>
        </w:rPr>
        <w:tab/>
      </w:r>
      <w:r>
        <w:rPr>
          <w:szCs w:val="24"/>
        </w:rPr>
        <w:tab/>
      </w:r>
      <w:r>
        <w:rPr>
          <w:szCs w:val="24"/>
        </w:rPr>
        <w:tab/>
      </w:r>
      <w:r w:rsidRPr="004D46E5">
        <w:rPr>
          <w:szCs w:val="24"/>
        </w:rPr>
        <w:t>(willing to accept service by e-mail)</w:t>
      </w:r>
    </w:p>
    <w:p w:rsidR="00746981" w:rsidRPr="00260A3F" w:rsidP="000C76D8" w14:paraId="542D8BEA" w14:textId="77777777">
      <w:pPr>
        <w:spacing w:after="0" w:line="240" w:lineRule="auto"/>
        <w:jc w:val="center"/>
        <w:rPr>
          <w:rFonts w:cs="Times New Roman"/>
          <w:bCs/>
          <w:szCs w:val="24"/>
        </w:rPr>
        <w:sectPr w:rsidSect="009B419A">
          <w:footerReference w:type="default" r:id="rId8"/>
          <w:pgSz w:w="12240" w:h="15840"/>
          <w:pgMar w:top="1440" w:right="1800" w:bottom="1440" w:left="1800" w:header="720" w:footer="720" w:gutter="0"/>
          <w:pgNumType w:start="2"/>
          <w:cols w:space="720"/>
          <w:docGrid w:linePitch="360"/>
        </w:sectPr>
      </w:pPr>
    </w:p>
    <w:p w:rsidR="00746981" w:rsidRPr="00260A3F" w:rsidP="00746981" w14:paraId="0B68C5D6" w14:textId="54B11CAB">
      <w:pPr>
        <w:spacing w:after="0" w:line="240" w:lineRule="auto"/>
        <w:jc w:val="center"/>
        <w:rPr>
          <w:rFonts w:cs="Times New Roman"/>
          <w:b/>
          <w:szCs w:val="24"/>
          <w:u w:val="single"/>
        </w:rPr>
      </w:pPr>
      <w:r w:rsidRPr="00260A3F">
        <w:rPr>
          <w:rFonts w:cs="Times New Roman"/>
          <w:b/>
          <w:szCs w:val="24"/>
          <w:u w:val="single"/>
        </w:rPr>
        <w:t>TABLE OF CONTENTS</w:t>
      </w:r>
    </w:p>
    <w:p w:rsidR="00746981" w:rsidRPr="00260A3F" w:rsidP="00746981" w14:paraId="29A5B399" w14:textId="289E6D8A">
      <w:pPr>
        <w:spacing w:after="0" w:line="240" w:lineRule="auto"/>
        <w:jc w:val="center"/>
        <w:rPr>
          <w:rFonts w:cs="Times New Roman"/>
          <w:b/>
          <w:szCs w:val="24"/>
        </w:rPr>
      </w:pPr>
      <w:r w:rsidRPr="00260A3F">
        <w:rPr>
          <w:rFonts w:cs="Times New Roman"/>
          <w:b/>
          <w:szCs w:val="24"/>
        </w:rPr>
        <w:tab/>
      </w:r>
      <w:r w:rsidRPr="00260A3F">
        <w:rPr>
          <w:rFonts w:cs="Times New Roman"/>
          <w:b/>
          <w:szCs w:val="24"/>
        </w:rPr>
        <w:tab/>
      </w:r>
      <w:r w:rsidRPr="00260A3F">
        <w:rPr>
          <w:rFonts w:cs="Times New Roman"/>
          <w:b/>
          <w:szCs w:val="24"/>
        </w:rPr>
        <w:tab/>
      </w:r>
      <w:r w:rsidRPr="00260A3F">
        <w:rPr>
          <w:rFonts w:cs="Times New Roman"/>
          <w:b/>
          <w:szCs w:val="24"/>
        </w:rPr>
        <w:tab/>
      </w:r>
      <w:r w:rsidRPr="00260A3F">
        <w:rPr>
          <w:rFonts w:cs="Times New Roman"/>
          <w:b/>
          <w:szCs w:val="24"/>
        </w:rPr>
        <w:tab/>
      </w:r>
      <w:r w:rsidRPr="00260A3F">
        <w:rPr>
          <w:rFonts w:cs="Times New Roman"/>
          <w:b/>
          <w:szCs w:val="24"/>
        </w:rPr>
        <w:tab/>
      </w:r>
      <w:r w:rsidRPr="00260A3F">
        <w:rPr>
          <w:rFonts w:cs="Times New Roman"/>
          <w:b/>
          <w:szCs w:val="24"/>
        </w:rPr>
        <w:tab/>
      </w:r>
      <w:r w:rsidRPr="00260A3F">
        <w:rPr>
          <w:rFonts w:cs="Times New Roman"/>
          <w:b/>
          <w:szCs w:val="24"/>
        </w:rPr>
        <w:tab/>
      </w:r>
      <w:r w:rsidRPr="00260A3F">
        <w:rPr>
          <w:rFonts w:cs="Times New Roman"/>
          <w:b/>
          <w:szCs w:val="24"/>
        </w:rPr>
        <w:tab/>
      </w:r>
      <w:r w:rsidRPr="00260A3F">
        <w:rPr>
          <w:rFonts w:cs="Times New Roman"/>
          <w:b/>
          <w:szCs w:val="24"/>
        </w:rPr>
        <w:tab/>
      </w:r>
      <w:r w:rsidRPr="00260A3F">
        <w:rPr>
          <w:rFonts w:cs="Times New Roman"/>
          <w:b/>
          <w:szCs w:val="24"/>
        </w:rPr>
        <w:tab/>
        <w:t>PAGE</w:t>
      </w:r>
    </w:p>
    <w:p w:rsidR="00746981" w:rsidRPr="00260A3F" w:rsidP="00746981" w14:paraId="60DD0CE4" w14:textId="1B4464CA">
      <w:pPr>
        <w:spacing w:after="0" w:line="240" w:lineRule="auto"/>
        <w:jc w:val="center"/>
        <w:rPr>
          <w:rFonts w:cs="Times New Roman"/>
          <w:b/>
          <w:szCs w:val="24"/>
        </w:rPr>
      </w:pPr>
    </w:p>
    <w:p w:rsidR="00616EF9" w14:paraId="6ED41A54" w14:textId="3825B15F">
      <w:pPr>
        <w:pStyle w:val="TOC1"/>
        <w:rPr>
          <w:rFonts w:asciiTheme="minorHAnsi" w:eastAsiaTheme="minorEastAsia" w:hAnsiTheme="minorHAnsi"/>
          <w:caps w:val="0"/>
          <w:noProof/>
          <w:sz w:val="22"/>
        </w:rPr>
      </w:pPr>
      <w:r>
        <w:rPr>
          <w:rFonts w:cs="Times New Roman"/>
          <w:b/>
          <w:caps w:val="0"/>
          <w:szCs w:val="24"/>
        </w:rPr>
        <w:fldChar w:fldCharType="begin"/>
      </w:r>
      <w:r>
        <w:rPr>
          <w:rFonts w:cs="Times New Roman"/>
          <w:b/>
          <w:caps w:val="0"/>
          <w:szCs w:val="24"/>
        </w:rPr>
        <w:instrText xml:space="preserve"> TOC \o "1-2" \h \z \u </w:instrText>
      </w:r>
      <w:r>
        <w:rPr>
          <w:rFonts w:cs="Times New Roman"/>
          <w:b/>
          <w:caps w:val="0"/>
          <w:szCs w:val="24"/>
        </w:rPr>
        <w:fldChar w:fldCharType="separate"/>
      </w:r>
      <w:hyperlink w:anchor="_Toc121484986" w:history="1">
        <w:r w:rsidRPr="007E38C1">
          <w:rPr>
            <w:rStyle w:val="Hyperlink"/>
            <w:noProof/>
          </w:rPr>
          <w:t>I.</w:t>
        </w:r>
        <w:r>
          <w:rPr>
            <w:rFonts w:asciiTheme="minorHAnsi" w:eastAsiaTheme="minorEastAsia" w:hAnsiTheme="minorHAnsi"/>
            <w:caps w:val="0"/>
            <w:noProof/>
            <w:sz w:val="22"/>
          </w:rPr>
          <w:tab/>
        </w:r>
        <w:r w:rsidRPr="007E38C1">
          <w:rPr>
            <w:rStyle w:val="Hyperlink"/>
            <w:noProof/>
          </w:rPr>
          <w:t>INTRODUCTION</w:t>
        </w:r>
        <w:r>
          <w:rPr>
            <w:noProof/>
            <w:webHidden/>
          </w:rPr>
          <w:tab/>
        </w:r>
        <w:r>
          <w:rPr>
            <w:noProof/>
            <w:webHidden/>
          </w:rPr>
          <w:fldChar w:fldCharType="begin"/>
        </w:r>
        <w:r>
          <w:rPr>
            <w:noProof/>
            <w:webHidden/>
          </w:rPr>
          <w:instrText xml:space="preserve"> PAGEREF _Toc121484986 \h </w:instrText>
        </w:r>
        <w:r>
          <w:rPr>
            <w:noProof/>
            <w:webHidden/>
          </w:rPr>
          <w:fldChar w:fldCharType="separate"/>
        </w:r>
        <w:r>
          <w:rPr>
            <w:noProof/>
            <w:webHidden/>
          </w:rPr>
          <w:t>1</w:t>
        </w:r>
        <w:r>
          <w:rPr>
            <w:noProof/>
            <w:webHidden/>
          </w:rPr>
          <w:fldChar w:fldCharType="end"/>
        </w:r>
      </w:hyperlink>
    </w:p>
    <w:p w:rsidR="00616EF9" w14:paraId="5A03051F" w14:textId="7CE91ED0">
      <w:pPr>
        <w:pStyle w:val="TOC1"/>
        <w:rPr>
          <w:rFonts w:asciiTheme="minorHAnsi" w:eastAsiaTheme="minorEastAsia" w:hAnsiTheme="minorHAnsi"/>
          <w:caps w:val="0"/>
          <w:noProof/>
          <w:sz w:val="22"/>
        </w:rPr>
      </w:pPr>
      <w:hyperlink w:anchor="_Toc121484987" w:history="1">
        <w:r w:rsidRPr="007E38C1" w:rsidR="00B26C7F">
          <w:rPr>
            <w:rStyle w:val="Hyperlink"/>
            <w:noProof/>
          </w:rPr>
          <w:t>II.</w:t>
        </w:r>
        <w:r w:rsidR="00B26C7F">
          <w:rPr>
            <w:rFonts w:asciiTheme="minorHAnsi" w:eastAsiaTheme="minorEastAsia" w:hAnsiTheme="minorHAnsi"/>
            <w:caps w:val="0"/>
            <w:noProof/>
            <w:sz w:val="22"/>
          </w:rPr>
          <w:tab/>
        </w:r>
        <w:r w:rsidRPr="007E38C1" w:rsidR="00B26C7F">
          <w:rPr>
            <w:rStyle w:val="Hyperlink"/>
            <w:noProof/>
          </w:rPr>
          <w:t>STANDARD OF REVIEW</w:t>
        </w:r>
        <w:r w:rsidR="00B26C7F">
          <w:rPr>
            <w:noProof/>
            <w:webHidden/>
          </w:rPr>
          <w:tab/>
        </w:r>
        <w:r w:rsidR="00B26C7F">
          <w:rPr>
            <w:noProof/>
            <w:webHidden/>
          </w:rPr>
          <w:fldChar w:fldCharType="begin"/>
        </w:r>
        <w:r w:rsidR="00B26C7F">
          <w:rPr>
            <w:noProof/>
            <w:webHidden/>
          </w:rPr>
          <w:instrText xml:space="preserve"> PAGEREF _Toc121484987 \h </w:instrText>
        </w:r>
        <w:r w:rsidR="00B26C7F">
          <w:rPr>
            <w:noProof/>
            <w:webHidden/>
          </w:rPr>
          <w:fldChar w:fldCharType="separate"/>
        </w:r>
        <w:r w:rsidR="00B26C7F">
          <w:rPr>
            <w:noProof/>
            <w:webHidden/>
          </w:rPr>
          <w:t>4</w:t>
        </w:r>
        <w:r w:rsidR="00B26C7F">
          <w:rPr>
            <w:noProof/>
            <w:webHidden/>
          </w:rPr>
          <w:fldChar w:fldCharType="end"/>
        </w:r>
      </w:hyperlink>
    </w:p>
    <w:p w:rsidR="00616EF9" w14:paraId="40E852CC" w14:textId="163384C7">
      <w:pPr>
        <w:pStyle w:val="TOC1"/>
        <w:rPr>
          <w:rFonts w:asciiTheme="minorHAnsi" w:eastAsiaTheme="minorEastAsia" w:hAnsiTheme="minorHAnsi"/>
          <w:caps w:val="0"/>
          <w:noProof/>
          <w:sz w:val="22"/>
        </w:rPr>
      </w:pPr>
      <w:hyperlink w:anchor="_Toc121484988" w:history="1">
        <w:r w:rsidRPr="007E38C1" w:rsidR="00B26C7F">
          <w:rPr>
            <w:rStyle w:val="Hyperlink"/>
            <w:noProof/>
          </w:rPr>
          <w:t>III.</w:t>
        </w:r>
        <w:r w:rsidR="00B26C7F">
          <w:rPr>
            <w:rFonts w:asciiTheme="minorHAnsi" w:eastAsiaTheme="minorEastAsia" w:hAnsiTheme="minorHAnsi"/>
            <w:caps w:val="0"/>
            <w:noProof/>
            <w:sz w:val="22"/>
          </w:rPr>
          <w:tab/>
        </w:r>
        <w:r w:rsidRPr="007E38C1" w:rsidR="00B26C7F">
          <w:rPr>
            <w:rStyle w:val="Hyperlink"/>
            <w:noProof/>
          </w:rPr>
          <w:t xml:space="preserve">THE SETTLEMENT SATISFIES THE PUCO’S THREE-PRONG TEST </w:t>
        </w:r>
        <w:r w:rsidR="00B26C7F">
          <w:rPr>
            <w:rStyle w:val="Hyperlink"/>
            <w:noProof/>
          </w:rPr>
          <w:br/>
        </w:r>
        <w:r w:rsidRPr="007E38C1" w:rsidR="00B26C7F">
          <w:rPr>
            <w:rStyle w:val="Hyperlink"/>
            <w:noProof/>
          </w:rPr>
          <w:t>AND IT SHOULD BE APPROVED WITHOUT MODIFICATION.</w:t>
        </w:r>
        <w:r w:rsidR="00B26C7F">
          <w:rPr>
            <w:noProof/>
            <w:webHidden/>
          </w:rPr>
          <w:tab/>
        </w:r>
        <w:r w:rsidR="00B26C7F">
          <w:rPr>
            <w:noProof/>
            <w:webHidden/>
          </w:rPr>
          <w:fldChar w:fldCharType="begin"/>
        </w:r>
        <w:r w:rsidR="00B26C7F">
          <w:rPr>
            <w:noProof/>
            <w:webHidden/>
          </w:rPr>
          <w:instrText xml:space="preserve"> PAGEREF _Toc121484988 \h </w:instrText>
        </w:r>
        <w:r w:rsidR="00B26C7F">
          <w:rPr>
            <w:noProof/>
            <w:webHidden/>
          </w:rPr>
          <w:fldChar w:fldCharType="separate"/>
        </w:r>
        <w:r w:rsidR="00B26C7F">
          <w:rPr>
            <w:noProof/>
            <w:webHidden/>
          </w:rPr>
          <w:t>5</w:t>
        </w:r>
        <w:r w:rsidR="00B26C7F">
          <w:rPr>
            <w:noProof/>
            <w:webHidden/>
          </w:rPr>
          <w:fldChar w:fldCharType="end"/>
        </w:r>
      </w:hyperlink>
    </w:p>
    <w:p w:rsidR="00616EF9" w14:paraId="2BBD4277" w14:textId="517989A7">
      <w:pPr>
        <w:pStyle w:val="TOC2"/>
        <w:tabs>
          <w:tab w:val="left" w:pos="1440"/>
        </w:tabs>
        <w:rPr>
          <w:rFonts w:asciiTheme="minorHAnsi" w:eastAsiaTheme="minorEastAsia" w:hAnsiTheme="minorHAnsi"/>
          <w:noProof/>
          <w:sz w:val="22"/>
        </w:rPr>
      </w:pPr>
      <w:hyperlink w:anchor="_Toc121484989" w:history="1">
        <w:r w:rsidRPr="007E38C1" w:rsidR="00B26C7F">
          <w:rPr>
            <w:rStyle w:val="Hyperlink"/>
            <w:noProof/>
          </w:rPr>
          <w:t>A.</w:t>
        </w:r>
        <w:r w:rsidR="00B26C7F">
          <w:rPr>
            <w:rFonts w:asciiTheme="minorHAnsi" w:eastAsiaTheme="minorEastAsia" w:hAnsiTheme="minorHAnsi"/>
            <w:noProof/>
            <w:sz w:val="22"/>
          </w:rPr>
          <w:tab/>
        </w:r>
        <w:r w:rsidRPr="007E38C1" w:rsidR="00B26C7F">
          <w:rPr>
            <w:rStyle w:val="Hyperlink"/>
            <w:noProof/>
          </w:rPr>
          <w:t xml:space="preserve">Parties engaged in serious negotiations for over five months to reach </w:t>
        </w:r>
        <w:r w:rsidR="00B26C7F">
          <w:rPr>
            <w:rStyle w:val="Hyperlink"/>
            <w:noProof/>
          </w:rPr>
          <w:br/>
        </w:r>
        <w:r w:rsidRPr="007E38C1" w:rsidR="00B26C7F">
          <w:rPr>
            <w:rStyle w:val="Hyperlink"/>
            <w:noProof/>
          </w:rPr>
          <w:t>the Settlement. The serious bargaining for the Settlement was among capable, knowledgeable parties with diverse interests.</w:t>
        </w:r>
        <w:r w:rsidR="00B26C7F">
          <w:rPr>
            <w:noProof/>
            <w:webHidden/>
          </w:rPr>
          <w:tab/>
        </w:r>
        <w:r w:rsidR="00B26C7F">
          <w:rPr>
            <w:noProof/>
            <w:webHidden/>
          </w:rPr>
          <w:fldChar w:fldCharType="begin"/>
        </w:r>
        <w:r w:rsidR="00B26C7F">
          <w:rPr>
            <w:noProof/>
            <w:webHidden/>
          </w:rPr>
          <w:instrText xml:space="preserve"> PAGEREF _Toc121484989 \h </w:instrText>
        </w:r>
        <w:r w:rsidR="00B26C7F">
          <w:rPr>
            <w:noProof/>
            <w:webHidden/>
          </w:rPr>
          <w:fldChar w:fldCharType="separate"/>
        </w:r>
        <w:r w:rsidR="00B26C7F">
          <w:rPr>
            <w:noProof/>
            <w:webHidden/>
          </w:rPr>
          <w:t>5</w:t>
        </w:r>
        <w:r w:rsidR="00B26C7F">
          <w:rPr>
            <w:noProof/>
            <w:webHidden/>
          </w:rPr>
          <w:fldChar w:fldCharType="end"/>
        </w:r>
      </w:hyperlink>
    </w:p>
    <w:p w:rsidR="00616EF9" w14:paraId="16AB875B" w14:textId="3EA2B0D2">
      <w:pPr>
        <w:pStyle w:val="TOC2"/>
        <w:tabs>
          <w:tab w:val="left" w:pos="1440"/>
        </w:tabs>
        <w:rPr>
          <w:rFonts w:asciiTheme="minorHAnsi" w:eastAsiaTheme="minorEastAsia" w:hAnsiTheme="minorHAnsi"/>
          <w:noProof/>
          <w:sz w:val="22"/>
        </w:rPr>
      </w:pPr>
      <w:hyperlink w:anchor="_Toc121484990" w:history="1">
        <w:r w:rsidRPr="007E38C1" w:rsidR="00B26C7F">
          <w:rPr>
            <w:rStyle w:val="Hyperlink"/>
            <w:noProof/>
          </w:rPr>
          <w:t>B.</w:t>
        </w:r>
        <w:r w:rsidR="00B26C7F">
          <w:rPr>
            <w:rFonts w:asciiTheme="minorHAnsi" w:eastAsiaTheme="minorEastAsia" w:hAnsiTheme="minorHAnsi"/>
            <w:noProof/>
            <w:sz w:val="22"/>
          </w:rPr>
          <w:tab/>
        </w:r>
        <w:r w:rsidRPr="007E38C1" w:rsidR="00B26C7F">
          <w:rPr>
            <w:rStyle w:val="Hyperlink"/>
            <w:noProof/>
          </w:rPr>
          <w:t xml:space="preserve">The Settlement as a package benefits consumers and the public </w:t>
        </w:r>
        <w:r w:rsidR="00B26C7F">
          <w:rPr>
            <w:rStyle w:val="Hyperlink"/>
            <w:noProof/>
          </w:rPr>
          <w:br/>
        </w:r>
        <w:r w:rsidRPr="007E38C1" w:rsidR="00B26C7F">
          <w:rPr>
            <w:rStyle w:val="Hyperlink"/>
            <w:noProof/>
          </w:rPr>
          <w:t>interest. The PUCO should approve the Settlement without modification.</w:t>
        </w:r>
        <w:r w:rsidR="00B26C7F">
          <w:rPr>
            <w:noProof/>
            <w:webHidden/>
          </w:rPr>
          <w:tab/>
        </w:r>
        <w:r w:rsidR="00B26C7F">
          <w:rPr>
            <w:noProof/>
            <w:webHidden/>
          </w:rPr>
          <w:fldChar w:fldCharType="begin"/>
        </w:r>
        <w:r w:rsidR="00B26C7F">
          <w:rPr>
            <w:noProof/>
            <w:webHidden/>
          </w:rPr>
          <w:instrText xml:space="preserve"> PAGEREF _Toc121484990 \h </w:instrText>
        </w:r>
        <w:r w:rsidR="00B26C7F">
          <w:rPr>
            <w:noProof/>
            <w:webHidden/>
          </w:rPr>
          <w:fldChar w:fldCharType="separate"/>
        </w:r>
        <w:r w:rsidR="00B26C7F">
          <w:rPr>
            <w:noProof/>
            <w:webHidden/>
          </w:rPr>
          <w:t>7</w:t>
        </w:r>
        <w:r w:rsidR="00B26C7F">
          <w:rPr>
            <w:noProof/>
            <w:webHidden/>
          </w:rPr>
          <w:fldChar w:fldCharType="end"/>
        </w:r>
      </w:hyperlink>
    </w:p>
    <w:p w:rsidR="00616EF9" w14:paraId="4D746368" w14:textId="02664A60">
      <w:pPr>
        <w:pStyle w:val="TOC2"/>
        <w:tabs>
          <w:tab w:val="left" w:pos="1440"/>
        </w:tabs>
        <w:rPr>
          <w:rFonts w:asciiTheme="minorHAnsi" w:eastAsiaTheme="minorEastAsia" w:hAnsiTheme="minorHAnsi"/>
          <w:noProof/>
          <w:sz w:val="22"/>
        </w:rPr>
      </w:pPr>
      <w:hyperlink w:anchor="_Toc121484991" w:history="1">
        <w:r w:rsidRPr="007E38C1" w:rsidR="00B26C7F">
          <w:rPr>
            <w:rStyle w:val="Hyperlink"/>
            <w:noProof/>
          </w:rPr>
          <w:t>C.</w:t>
        </w:r>
        <w:r w:rsidR="00B26C7F">
          <w:rPr>
            <w:rFonts w:asciiTheme="minorHAnsi" w:eastAsiaTheme="minorEastAsia" w:hAnsiTheme="minorHAnsi"/>
            <w:noProof/>
            <w:sz w:val="22"/>
          </w:rPr>
          <w:tab/>
        </w:r>
        <w:r w:rsidRPr="007E38C1" w:rsidR="00B26C7F">
          <w:rPr>
            <w:rStyle w:val="Hyperlink"/>
            <w:noProof/>
          </w:rPr>
          <w:t xml:space="preserve">The Settlement as a package does not violate any regulatory </w:t>
        </w:r>
        <w:r w:rsidR="00B26C7F">
          <w:rPr>
            <w:rStyle w:val="Hyperlink"/>
            <w:noProof/>
          </w:rPr>
          <w:br/>
        </w:r>
        <w:r w:rsidRPr="007E38C1" w:rsidR="00B26C7F">
          <w:rPr>
            <w:rStyle w:val="Hyperlink"/>
            <w:noProof/>
          </w:rPr>
          <w:t>principles or practices.</w:t>
        </w:r>
        <w:r w:rsidR="00B26C7F">
          <w:rPr>
            <w:noProof/>
            <w:webHidden/>
          </w:rPr>
          <w:tab/>
        </w:r>
        <w:r w:rsidR="00B26C7F">
          <w:rPr>
            <w:noProof/>
            <w:webHidden/>
          </w:rPr>
          <w:fldChar w:fldCharType="begin"/>
        </w:r>
        <w:r w:rsidR="00B26C7F">
          <w:rPr>
            <w:noProof/>
            <w:webHidden/>
          </w:rPr>
          <w:instrText xml:space="preserve"> PAGEREF _Toc121484991 \h </w:instrText>
        </w:r>
        <w:r w:rsidR="00B26C7F">
          <w:rPr>
            <w:noProof/>
            <w:webHidden/>
          </w:rPr>
          <w:fldChar w:fldCharType="separate"/>
        </w:r>
        <w:r w:rsidR="00B26C7F">
          <w:rPr>
            <w:noProof/>
            <w:webHidden/>
          </w:rPr>
          <w:t>13</w:t>
        </w:r>
        <w:r w:rsidR="00B26C7F">
          <w:rPr>
            <w:noProof/>
            <w:webHidden/>
          </w:rPr>
          <w:fldChar w:fldCharType="end"/>
        </w:r>
      </w:hyperlink>
    </w:p>
    <w:p w:rsidR="00616EF9" w14:paraId="05167336" w14:textId="2F1B1754">
      <w:pPr>
        <w:pStyle w:val="TOC1"/>
        <w:rPr>
          <w:rFonts w:asciiTheme="minorHAnsi" w:eastAsiaTheme="minorEastAsia" w:hAnsiTheme="minorHAnsi"/>
          <w:caps w:val="0"/>
          <w:noProof/>
          <w:sz w:val="22"/>
        </w:rPr>
      </w:pPr>
      <w:hyperlink w:anchor="_Toc121484992" w:history="1">
        <w:r w:rsidRPr="007E38C1" w:rsidR="00B26C7F">
          <w:rPr>
            <w:rStyle w:val="Hyperlink"/>
            <w:noProof/>
          </w:rPr>
          <w:t>IV.</w:t>
        </w:r>
        <w:r w:rsidR="00B26C7F">
          <w:rPr>
            <w:rFonts w:asciiTheme="minorHAnsi" w:eastAsiaTheme="minorEastAsia" w:hAnsiTheme="minorHAnsi"/>
            <w:caps w:val="0"/>
            <w:noProof/>
            <w:sz w:val="22"/>
          </w:rPr>
          <w:tab/>
        </w:r>
        <w:r w:rsidRPr="007E38C1" w:rsidR="00B26C7F">
          <w:rPr>
            <w:rStyle w:val="Hyperlink"/>
            <w:noProof/>
          </w:rPr>
          <w:t>CONCLUSION</w:t>
        </w:r>
        <w:r w:rsidR="00B26C7F">
          <w:rPr>
            <w:noProof/>
            <w:webHidden/>
          </w:rPr>
          <w:tab/>
        </w:r>
        <w:r w:rsidR="00B26C7F">
          <w:rPr>
            <w:noProof/>
            <w:webHidden/>
          </w:rPr>
          <w:fldChar w:fldCharType="begin"/>
        </w:r>
        <w:r w:rsidR="00B26C7F">
          <w:rPr>
            <w:noProof/>
            <w:webHidden/>
          </w:rPr>
          <w:instrText xml:space="preserve"> PAGEREF _Toc121484992 \h </w:instrText>
        </w:r>
        <w:r w:rsidR="00B26C7F">
          <w:rPr>
            <w:noProof/>
            <w:webHidden/>
          </w:rPr>
          <w:fldChar w:fldCharType="separate"/>
        </w:r>
        <w:r w:rsidR="00B26C7F">
          <w:rPr>
            <w:noProof/>
            <w:webHidden/>
          </w:rPr>
          <w:t>15</w:t>
        </w:r>
        <w:r w:rsidR="00B26C7F">
          <w:rPr>
            <w:noProof/>
            <w:webHidden/>
          </w:rPr>
          <w:fldChar w:fldCharType="end"/>
        </w:r>
      </w:hyperlink>
    </w:p>
    <w:p w:rsidR="00746981" w:rsidRPr="00260A3F" w:rsidP="00746981" w14:paraId="29DB6AAF" w14:textId="494E9DB5">
      <w:pPr>
        <w:spacing w:after="0" w:line="240" w:lineRule="auto"/>
        <w:jc w:val="center"/>
        <w:rPr>
          <w:rFonts w:cs="Times New Roman"/>
          <w:b/>
          <w:szCs w:val="24"/>
        </w:rPr>
      </w:pPr>
      <w:r>
        <w:rPr>
          <w:rFonts w:cs="Times New Roman"/>
          <w:b/>
          <w:caps/>
          <w:szCs w:val="24"/>
        </w:rPr>
        <w:fldChar w:fldCharType="end"/>
      </w:r>
    </w:p>
    <w:p w:rsidR="00746981" w:rsidRPr="00260A3F" w:rsidP="00746981" w14:paraId="68E5D88A" w14:textId="77777777">
      <w:pPr>
        <w:spacing w:after="0" w:line="240" w:lineRule="auto"/>
        <w:rPr>
          <w:rFonts w:cs="Times New Roman"/>
          <w:bCs/>
          <w:szCs w:val="24"/>
        </w:rPr>
      </w:pPr>
    </w:p>
    <w:p w:rsidR="00746981" w:rsidRPr="00260A3F" w:rsidP="00746981" w14:paraId="16DEED49" w14:textId="77777777">
      <w:pPr>
        <w:spacing w:after="0" w:line="240" w:lineRule="auto"/>
        <w:rPr>
          <w:rFonts w:cs="Times New Roman"/>
          <w:bCs/>
          <w:szCs w:val="24"/>
        </w:rPr>
      </w:pPr>
    </w:p>
    <w:p w:rsidR="00746981" w:rsidRPr="00260A3F" w:rsidP="00746981" w14:paraId="51D6F5FD" w14:textId="77777777">
      <w:pPr>
        <w:spacing w:after="0" w:line="240" w:lineRule="auto"/>
        <w:rPr>
          <w:rFonts w:cs="Times New Roman"/>
          <w:bCs/>
          <w:szCs w:val="24"/>
        </w:rPr>
      </w:pPr>
    </w:p>
    <w:p w:rsidR="00746981" w:rsidRPr="00260A3F" w:rsidP="00746981" w14:paraId="476A1D69" w14:textId="77777777">
      <w:pPr>
        <w:spacing w:after="0" w:line="240" w:lineRule="auto"/>
        <w:rPr>
          <w:rFonts w:cs="Times New Roman"/>
          <w:bCs/>
          <w:szCs w:val="24"/>
        </w:rPr>
      </w:pPr>
    </w:p>
    <w:p w:rsidR="00746981" w:rsidRPr="00260A3F" w:rsidP="00746981" w14:paraId="3A7C4EC8" w14:textId="77777777">
      <w:pPr>
        <w:spacing w:after="0" w:line="240" w:lineRule="auto"/>
        <w:rPr>
          <w:rFonts w:cs="Times New Roman"/>
          <w:bCs/>
          <w:szCs w:val="24"/>
        </w:rPr>
        <w:sectPr w:rsidSect="00746981">
          <w:footerReference w:type="default" r:id="rId9"/>
          <w:pgSz w:w="12240" w:h="15840"/>
          <w:pgMar w:top="1440" w:right="1800" w:bottom="1440" w:left="1800" w:header="720" w:footer="720" w:gutter="0"/>
          <w:pgNumType w:fmt="lowerRoman" w:start="1"/>
          <w:cols w:space="720"/>
          <w:docGrid w:linePitch="360"/>
        </w:sectPr>
      </w:pPr>
    </w:p>
    <w:p w:rsidR="00496468" w:rsidRPr="005118F2" w:rsidP="00496468" w14:paraId="6DD4C409" w14:textId="77777777">
      <w:pPr>
        <w:pStyle w:val="Title"/>
        <w:rPr>
          <w:sz w:val="24"/>
          <w:szCs w:val="24"/>
        </w:rPr>
      </w:pPr>
      <w:r w:rsidRPr="005118F2">
        <w:rPr>
          <w:sz w:val="24"/>
          <w:szCs w:val="24"/>
        </w:rPr>
        <w:t>BEFORE</w:t>
      </w:r>
    </w:p>
    <w:p w:rsidR="00496468" w:rsidRPr="005118F2" w:rsidP="00E16426" w14:paraId="16718036" w14:textId="77777777">
      <w:pPr>
        <w:spacing w:after="0"/>
        <w:jc w:val="center"/>
        <w:rPr>
          <w:b/>
          <w:szCs w:val="24"/>
        </w:rPr>
      </w:pPr>
      <w:r w:rsidRPr="005118F2">
        <w:rPr>
          <w:b/>
          <w:szCs w:val="24"/>
        </w:rPr>
        <w:t>THE PUBLIC UTILITIES COMMISSION OF OHIO</w:t>
      </w:r>
    </w:p>
    <w:p w:rsidR="00496468" w:rsidRPr="005118F2" w:rsidP="00496468" w14:paraId="1B5063AC" w14:textId="77777777">
      <w:pPr>
        <w:pStyle w:val="HTMLPreformatted"/>
        <w:rPr>
          <w:rFonts w:ascii="Times New Roman" w:hAnsi="Times New Roman" w:cs="Times New Roman"/>
          <w:sz w:val="24"/>
          <w:szCs w:val="24"/>
        </w:rPr>
      </w:pPr>
    </w:p>
    <w:tbl>
      <w:tblPr>
        <w:tblW w:w="9092" w:type="dxa"/>
        <w:tblLook w:val="01E0"/>
      </w:tblPr>
      <w:tblGrid>
        <w:gridCol w:w="4332"/>
        <w:gridCol w:w="360"/>
        <w:gridCol w:w="4400"/>
      </w:tblGrid>
      <w:tr w14:paraId="3AD33358" w14:textId="77777777" w:rsidTr="00887A04">
        <w:tblPrEx>
          <w:tblW w:w="9092" w:type="dxa"/>
          <w:tblLook w:val="01E0"/>
        </w:tblPrEx>
        <w:trPr>
          <w:trHeight w:val="807"/>
        </w:trPr>
        <w:tc>
          <w:tcPr>
            <w:tcW w:w="4332" w:type="dxa"/>
            <w:shd w:val="clear" w:color="auto" w:fill="auto"/>
          </w:tcPr>
          <w:p w:rsidR="00496468" w:rsidRPr="005118F2" w:rsidP="00887A04" w14:paraId="760C7EF8"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In the Matter of the Application of Columbia Gas of Ohio, Inc. for Authority to Amend its Filed Tariffs to Increase the Rates and Charges for Gas Services and Related Matters.</w:t>
            </w:r>
          </w:p>
          <w:p w:rsidR="00496468" w:rsidRPr="005118F2" w:rsidP="00887A04" w14:paraId="586FE6DB" w14:textId="77777777">
            <w:pPr>
              <w:pStyle w:val="HTMLPreformatted"/>
              <w:rPr>
                <w:rFonts w:ascii="Times New Roman" w:hAnsi="Times New Roman" w:cs="Times New Roman"/>
                <w:sz w:val="24"/>
                <w:szCs w:val="24"/>
              </w:rPr>
            </w:pPr>
          </w:p>
          <w:p w:rsidR="00496468" w:rsidRPr="005118F2" w:rsidP="00887A04" w14:paraId="57F835A6"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In the Matter of the Application of Columbia Gas of Ohio, Inc. for Approval of an Alternative Form of Regulation.</w:t>
            </w:r>
          </w:p>
          <w:p w:rsidR="00496468" w:rsidRPr="005118F2" w:rsidP="00887A04" w14:paraId="682F1631" w14:textId="77777777">
            <w:pPr>
              <w:pStyle w:val="HTMLPreformatted"/>
              <w:rPr>
                <w:rFonts w:ascii="Times New Roman" w:hAnsi="Times New Roman" w:cs="Times New Roman"/>
                <w:sz w:val="24"/>
                <w:szCs w:val="24"/>
              </w:rPr>
            </w:pPr>
          </w:p>
          <w:p w:rsidR="00496468" w:rsidRPr="005118F2" w:rsidP="00887A04" w14:paraId="71733D6D"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In the Matter of the Application of Columbia Gas of Ohio, Inc. for Approval of a Demand Side Management Program for its Residential and Commercial Customers.</w:t>
            </w:r>
          </w:p>
          <w:p w:rsidR="00496468" w:rsidRPr="005118F2" w:rsidP="00887A04" w14:paraId="6D086074" w14:textId="77777777">
            <w:pPr>
              <w:pStyle w:val="HTMLPreformatted"/>
              <w:rPr>
                <w:rFonts w:ascii="Times New Roman" w:hAnsi="Times New Roman" w:cs="Times New Roman"/>
                <w:sz w:val="24"/>
                <w:szCs w:val="24"/>
              </w:rPr>
            </w:pPr>
          </w:p>
          <w:p w:rsidR="00496468" w:rsidRPr="005118F2" w:rsidP="00887A04" w14:paraId="756924AB"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In the Matter of the Application of Columbia Gas of Ohio, Inc. for Approval to Change Accounting Methods.</w:t>
            </w:r>
          </w:p>
        </w:tc>
        <w:tc>
          <w:tcPr>
            <w:tcW w:w="360" w:type="dxa"/>
            <w:shd w:val="clear" w:color="auto" w:fill="auto"/>
          </w:tcPr>
          <w:p w:rsidR="00496468" w:rsidRPr="005118F2" w:rsidP="00887A04" w14:paraId="5DB0AEED"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5E33AF36"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7FD580C8"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3CBA7483"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5814A92B"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2BAABFD2" w14:textId="77777777">
            <w:pPr>
              <w:pStyle w:val="HTMLPreformatted"/>
              <w:rPr>
                <w:rFonts w:ascii="Times New Roman" w:hAnsi="Times New Roman" w:cs="Times New Roman"/>
                <w:sz w:val="24"/>
                <w:szCs w:val="24"/>
              </w:rPr>
            </w:pPr>
          </w:p>
          <w:p w:rsidR="00496468" w:rsidRPr="005118F2" w:rsidP="00887A04" w14:paraId="508DB607"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678D031B"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27BD1779"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1C3A4FAE" w14:textId="77777777">
            <w:pPr>
              <w:pStyle w:val="HTMLPreformatted"/>
              <w:rPr>
                <w:rFonts w:ascii="Times New Roman" w:hAnsi="Times New Roman" w:cs="Times New Roman"/>
                <w:sz w:val="24"/>
                <w:szCs w:val="24"/>
              </w:rPr>
            </w:pPr>
          </w:p>
          <w:p w:rsidR="00496468" w:rsidRPr="005118F2" w:rsidP="00887A04" w14:paraId="040F8E12"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63CA036E"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57F28A52"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0EB15332"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43D14BC1"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4F53F37E" w14:textId="77777777">
            <w:pPr>
              <w:pStyle w:val="HTMLPreformatted"/>
              <w:rPr>
                <w:rFonts w:ascii="Times New Roman" w:hAnsi="Times New Roman" w:cs="Times New Roman"/>
                <w:sz w:val="24"/>
                <w:szCs w:val="24"/>
              </w:rPr>
            </w:pPr>
          </w:p>
          <w:p w:rsidR="00496468" w:rsidRPr="005118F2" w:rsidP="00887A04" w14:paraId="62B11472"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3E6A33EE"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p w:rsidR="00496468" w:rsidRPr="005118F2" w:rsidP="00887A04" w14:paraId="0B56F520"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w:t>
            </w:r>
          </w:p>
        </w:tc>
        <w:tc>
          <w:tcPr>
            <w:tcW w:w="4400" w:type="dxa"/>
            <w:shd w:val="clear" w:color="auto" w:fill="auto"/>
          </w:tcPr>
          <w:p w:rsidR="00496468" w:rsidRPr="005118F2" w:rsidP="00887A04" w14:paraId="220680ED" w14:textId="77777777">
            <w:pPr>
              <w:pStyle w:val="HTMLPreformatted"/>
              <w:rPr>
                <w:rFonts w:ascii="Times New Roman" w:hAnsi="Times New Roman" w:cs="Times New Roman"/>
                <w:sz w:val="24"/>
                <w:szCs w:val="24"/>
              </w:rPr>
            </w:pPr>
          </w:p>
          <w:p w:rsidR="00496468" w:rsidRPr="005118F2" w:rsidP="00887A04" w14:paraId="6E8CD5B1" w14:textId="77777777">
            <w:pPr>
              <w:pStyle w:val="HTMLPreformatted"/>
              <w:rPr>
                <w:rFonts w:ascii="Times New Roman" w:hAnsi="Times New Roman" w:cs="Times New Roman"/>
                <w:sz w:val="24"/>
                <w:szCs w:val="24"/>
              </w:rPr>
            </w:pPr>
          </w:p>
          <w:p w:rsidR="00496468" w:rsidRPr="005118F2" w:rsidP="00887A04" w14:paraId="2BEEE016"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Case No. 21-637-GA-AIR</w:t>
            </w:r>
          </w:p>
          <w:p w:rsidR="00496468" w:rsidRPr="005118F2" w:rsidP="00887A04" w14:paraId="06177E58" w14:textId="77777777">
            <w:pPr>
              <w:pStyle w:val="HTMLPreformatted"/>
              <w:rPr>
                <w:rFonts w:ascii="Times New Roman" w:hAnsi="Times New Roman" w:cs="Times New Roman"/>
                <w:sz w:val="24"/>
                <w:szCs w:val="24"/>
              </w:rPr>
            </w:pPr>
          </w:p>
          <w:p w:rsidR="00496468" w:rsidRPr="005118F2" w:rsidP="00887A04" w14:paraId="4E569AFC" w14:textId="77777777">
            <w:pPr>
              <w:pStyle w:val="HTMLPreformatted"/>
              <w:rPr>
                <w:rFonts w:ascii="Times New Roman" w:hAnsi="Times New Roman" w:cs="Times New Roman"/>
                <w:sz w:val="24"/>
                <w:szCs w:val="24"/>
              </w:rPr>
            </w:pPr>
          </w:p>
          <w:p w:rsidR="00496468" w:rsidRPr="005118F2" w:rsidP="00887A04" w14:paraId="6B84850B" w14:textId="77777777">
            <w:pPr>
              <w:pStyle w:val="HTMLPreformatted"/>
              <w:rPr>
                <w:rFonts w:ascii="Times New Roman" w:hAnsi="Times New Roman" w:cs="Times New Roman"/>
                <w:sz w:val="24"/>
                <w:szCs w:val="24"/>
              </w:rPr>
            </w:pPr>
          </w:p>
          <w:p w:rsidR="00496468" w:rsidRPr="005118F2" w:rsidP="00887A04" w14:paraId="55F0EC7C" w14:textId="77777777">
            <w:pPr>
              <w:pStyle w:val="HTMLPreformatted"/>
              <w:rPr>
                <w:rFonts w:ascii="Times New Roman" w:hAnsi="Times New Roman" w:cs="Times New Roman"/>
                <w:sz w:val="24"/>
                <w:szCs w:val="24"/>
              </w:rPr>
            </w:pPr>
          </w:p>
          <w:p w:rsidR="00496468" w:rsidRPr="005118F2" w:rsidP="00887A04" w14:paraId="16AD23B2"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Case No. 21-638-GA-ALT</w:t>
            </w:r>
          </w:p>
          <w:p w:rsidR="00496468" w:rsidRPr="005118F2" w:rsidP="00887A04" w14:paraId="0B3F248E" w14:textId="77777777">
            <w:pPr>
              <w:pStyle w:val="HTMLPreformatted"/>
              <w:rPr>
                <w:rFonts w:ascii="Times New Roman" w:hAnsi="Times New Roman" w:cs="Times New Roman"/>
                <w:sz w:val="24"/>
                <w:szCs w:val="24"/>
              </w:rPr>
            </w:pPr>
          </w:p>
          <w:p w:rsidR="00496468" w:rsidRPr="005118F2" w:rsidP="00887A04" w14:paraId="106A1A9B" w14:textId="77777777">
            <w:pPr>
              <w:pStyle w:val="HTMLPreformatted"/>
              <w:rPr>
                <w:rFonts w:ascii="Times New Roman" w:hAnsi="Times New Roman" w:cs="Times New Roman"/>
                <w:sz w:val="24"/>
                <w:szCs w:val="24"/>
              </w:rPr>
            </w:pPr>
          </w:p>
          <w:p w:rsidR="00496468" w:rsidRPr="005118F2" w:rsidP="00887A04" w14:paraId="518B5691" w14:textId="77777777">
            <w:pPr>
              <w:pStyle w:val="HTMLPreformatted"/>
              <w:rPr>
                <w:rFonts w:ascii="Times New Roman" w:hAnsi="Times New Roman" w:cs="Times New Roman"/>
                <w:sz w:val="24"/>
                <w:szCs w:val="24"/>
              </w:rPr>
            </w:pPr>
          </w:p>
          <w:p w:rsidR="00496468" w:rsidRPr="005118F2" w:rsidP="00887A04" w14:paraId="6984E399" w14:textId="77777777">
            <w:pPr>
              <w:pStyle w:val="HTMLPreformatted"/>
              <w:rPr>
                <w:rFonts w:ascii="Times New Roman" w:hAnsi="Times New Roman" w:cs="Times New Roman"/>
                <w:sz w:val="24"/>
                <w:szCs w:val="24"/>
              </w:rPr>
            </w:pPr>
          </w:p>
          <w:p w:rsidR="00496468" w:rsidRPr="005118F2" w:rsidP="00887A04" w14:paraId="2A1C4624"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Case No. 21-639-GA-UNC</w:t>
            </w:r>
          </w:p>
          <w:p w:rsidR="00496468" w:rsidRPr="005118F2" w:rsidP="00887A04" w14:paraId="19BB9997" w14:textId="77777777">
            <w:pPr>
              <w:pStyle w:val="HTMLPreformatted"/>
              <w:rPr>
                <w:rFonts w:ascii="Times New Roman" w:hAnsi="Times New Roman" w:cs="Times New Roman"/>
                <w:sz w:val="24"/>
                <w:szCs w:val="24"/>
              </w:rPr>
            </w:pPr>
          </w:p>
          <w:p w:rsidR="00496468" w:rsidRPr="005118F2" w:rsidP="00887A04" w14:paraId="4CFFE669" w14:textId="77777777">
            <w:pPr>
              <w:pStyle w:val="HTMLPreformatted"/>
              <w:rPr>
                <w:rFonts w:ascii="Times New Roman" w:hAnsi="Times New Roman" w:cs="Times New Roman"/>
                <w:sz w:val="24"/>
                <w:szCs w:val="24"/>
              </w:rPr>
            </w:pPr>
          </w:p>
          <w:p w:rsidR="00496468" w:rsidRPr="005118F2" w:rsidP="00887A04" w14:paraId="10371899" w14:textId="77777777">
            <w:pPr>
              <w:pStyle w:val="HTMLPreformatted"/>
              <w:rPr>
                <w:rFonts w:ascii="Times New Roman" w:hAnsi="Times New Roman" w:cs="Times New Roman"/>
                <w:sz w:val="24"/>
                <w:szCs w:val="24"/>
              </w:rPr>
            </w:pPr>
          </w:p>
          <w:p w:rsidR="00496468" w:rsidRPr="005118F2" w:rsidP="00887A04" w14:paraId="2CB75FE1" w14:textId="77777777">
            <w:pPr>
              <w:pStyle w:val="HTMLPreformatted"/>
              <w:rPr>
                <w:rFonts w:ascii="Times New Roman" w:hAnsi="Times New Roman" w:cs="Times New Roman"/>
                <w:sz w:val="24"/>
                <w:szCs w:val="24"/>
              </w:rPr>
            </w:pPr>
          </w:p>
          <w:p w:rsidR="00496468" w:rsidRPr="005118F2" w:rsidP="00887A04" w14:paraId="11E5FA5B" w14:textId="77777777">
            <w:pPr>
              <w:pStyle w:val="HTMLPreformatted"/>
              <w:rPr>
                <w:rFonts w:ascii="Times New Roman" w:hAnsi="Times New Roman" w:cs="Times New Roman"/>
                <w:sz w:val="24"/>
                <w:szCs w:val="24"/>
              </w:rPr>
            </w:pPr>
            <w:r w:rsidRPr="005118F2">
              <w:rPr>
                <w:rFonts w:ascii="Times New Roman" w:hAnsi="Times New Roman" w:cs="Times New Roman"/>
                <w:sz w:val="24"/>
                <w:szCs w:val="24"/>
              </w:rPr>
              <w:t>Case No. 21-640-GA-AAM</w:t>
            </w:r>
          </w:p>
          <w:p w:rsidR="00496468" w:rsidRPr="005118F2" w:rsidP="00887A04" w14:paraId="3EC230B4" w14:textId="77777777">
            <w:pPr>
              <w:pStyle w:val="HTMLPreformatted"/>
              <w:rPr>
                <w:rFonts w:ascii="Times New Roman" w:hAnsi="Times New Roman" w:cs="Times New Roman"/>
                <w:sz w:val="24"/>
                <w:szCs w:val="24"/>
              </w:rPr>
            </w:pPr>
          </w:p>
        </w:tc>
      </w:tr>
    </w:tbl>
    <w:p w:rsidR="00496468" w:rsidRPr="005118F2" w:rsidP="00E16426" w14:paraId="53659B86" w14:textId="77777777">
      <w:pPr>
        <w:spacing w:after="0"/>
        <w:rPr>
          <w:szCs w:val="24"/>
        </w:rPr>
      </w:pPr>
    </w:p>
    <w:p w:rsidR="00496468" w:rsidRPr="005118F2" w:rsidP="00496468" w14:paraId="7C0C3460" w14:textId="77777777">
      <w:pPr>
        <w:pBdr>
          <w:top w:val="single" w:sz="12" w:space="1" w:color="auto"/>
        </w:pBdr>
        <w:spacing w:after="0"/>
        <w:rPr>
          <w:szCs w:val="24"/>
        </w:rPr>
      </w:pPr>
    </w:p>
    <w:p w:rsidR="00496468" w:rsidRPr="005118F2" w:rsidP="00496468" w14:paraId="7B4238C3" w14:textId="77777777">
      <w:pPr>
        <w:spacing w:after="0"/>
        <w:jc w:val="center"/>
        <w:rPr>
          <w:b/>
          <w:szCs w:val="24"/>
        </w:rPr>
      </w:pPr>
      <w:r>
        <w:rPr>
          <w:b/>
          <w:szCs w:val="24"/>
        </w:rPr>
        <w:t>INITIAL BRIEF</w:t>
      </w:r>
    </w:p>
    <w:p w:rsidR="00496468" w:rsidRPr="005118F2" w:rsidP="00496468" w14:paraId="368894A4" w14:textId="77777777">
      <w:pPr>
        <w:spacing w:after="0"/>
        <w:jc w:val="center"/>
        <w:rPr>
          <w:b/>
          <w:szCs w:val="24"/>
        </w:rPr>
      </w:pPr>
      <w:r w:rsidRPr="005118F2">
        <w:rPr>
          <w:b/>
          <w:szCs w:val="24"/>
        </w:rPr>
        <w:t>BY</w:t>
      </w:r>
    </w:p>
    <w:p w:rsidR="00496468" w:rsidRPr="005118F2" w:rsidP="00496468" w14:paraId="30BB1E89" w14:textId="77777777">
      <w:pPr>
        <w:spacing w:after="0"/>
        <w:jc w:val="center"/>
        <w:rPr>
          <w:b/>
          <w:szCs w:val="24"/>
        </w:rPr>
      </w:pPr>
      <w:r w:rsidRPr="005118F2">
        <w:rPr>
          <w:b/>
          <w:szCs w:val="24"/>
        </w:rPr>
        <w:t>OFFICE OF THE OHIO CONSUMERS’ COUNSEL</w:t>
      </w:r>
    </w:p>
    <w:p w:rsidR="00496468" w:rsidRPr="005118F2" w:rsidP="00496468" w14:paraId="158F4823" w14:textId="77777777">
      <w:pPr>
        <w:pBdr>
          <w:bottom w:val="single" w:sz="12" w:space="1" w:color="auto"/>
        </w:pBdr>
        <w:rPr>
          <w:szCs w:val="24"/>
        </w:rPr>
      </w:pPr>
    </w:p>
    <w:p w:rsidR="00CB0EBA" w:rsidRPr="00CB0EBA" w:rsidP="00531C18" w14:paraId="35414BB6" w14:textId="2602D144">
      <w:pPr>
        <w:pStyle w:val="Heading1"/>
        <w:rPr>
          <w:rStyle w:val="Heading1Char"/>
          <w:b/>
          <w:bCs/>
        </w:rPr>
      </w:pPr>
      <w:bookmarkStart w:id="0" w:name="_Toc121484986"/>
      <w:r w:rsidRPr="00CB0EBA">
        <w:rPr>
          <w:rStyle w:val="Heading1Char"/>
          <w:b/>
          <w:bCs/>
        </w:rPr>
        <w:t>INTRODUCTION</w:t>
      </w:r>
      <w:bookmarkEnd w:id="0"/>
    </w:p>
    <w:p w:rsidR="00CB0EBA" w:rsidP="00CB0EBA" w14:paraId="34E48968" w14:textId="77777777">
      <w:pPr>
        <w:spacing w:before="240" w:after="0" w:line="480" w:lineRule="auto"/>
        <w:ind w:firstLine="720"/>
        <w:rPr>
          <w:rFonts w:cs="Times New Roman"/>
          <w:szCs w:val="24"/>
        </w:rPr>
      </w:pPr>
      <w:r>
        <w:rPr>
          <w:rFonts w:cs="Times New Roman"/>
          <w:szCs w:val="24"/>
        </w:rPr>
        <w:t>A</w:t>
      </w:r>
      <w:r w:rsidRPr="00260A3F" w:rsidR="00F303B7">
        <w:rPr>
          <w:rFonts w:cs="Times New Roman"/>
          <w:szCs w:val="24"/>
        </w:rPr>
        <w:t xml:space="preserve"> Joint Stipulation and Recommendation (“Settlement”)</w:t>
      </w:r>
      <w:r>
        <w:rPr>
          <w:rStyle w:val="FootnoteReference"/>
          <w:rFonts w:cs="Times New Roman"/>
          <w:szCs w:val="24"/>
        </w:rPr>
        <w:footnoteReference w:id="2"/>
      </w:r>
      <w:r w:rsidRPr="00260A3F" w:rsidR="00F303B7">
        <w:rPr>
          <w:rFonts w:cs="Times New Roman"/>
          <w:szCs w:val="24"/>
        </w:rPr>
        <w:t xml:space="preserve"> </w:t>
      </w:r>
      <w:r w:rsidR="003B4A23">
        <w:rPr>
          <w:rFonts w:cs="Times New Roman"/>
          <w:szCs w:val="24"/>
        </w:rPr>
        <w:t xml:space="preserve">was </w:t>
      </w:r>
      <w:r w:rsidRPr="00260A3F" w:rsidR="00F303B7">
        <w:rPr>
          <w:rFonts w:cs="Times New Roman"/>
          <w:szCs w:val="24"/>
        </w:rPr>
        <w:t xml:space="preserve">negotiated </w:t>
      </w:r>
      <w:r w:rsidR="003B4A23">
        <w:rPr>
          <w:rFonts w:cs="Times New Roman"/>
          <w:szCs w:val="24"/>
        </w:rPr>
        <w:t xml:space="preserve">over </w:t>
      </w:r>
      <w:r w:rsidR="00D46864">
        <w:rPr>
          <w:rFonts w:cs="Times New Roman"/>
          <w:szCs w:val="24"/>
        </w:rPr>
        <w:t xml:space="preserve">five </w:t>
      </w:r>
      <w:r w:rsidR="003B4A23">
        <w:rPr>
          <w:rFonts w:cs="Times New Roman"/>
          <w:szCs w:val="24"/>
        </w:rPr>
        <w:t xml:space="preserve">months </w:t>
      </w:r>
      <w:r w:rsidRPr="00260A3F" w:rsidR="00F303B7">
        <w:rPr>
          <w:rFonts w:cs="Times New Roman"/>
          <w:szCs w:val="24"/>
        </w:rPr>
        <w:t xml:space="preserve">and signed </w:t>
      </w:r>
      <w:r w:rsidRPr="00260A3F" w:rsidR="00073D2C">
        <w:rPr>
          <w:rFonts w:cs="Times New Roman"/>
          <w:szCs w:val="24"/>
        </w:rPr>
        <w:t>by</w:t>
      </w:r>
      <w:r w:rsidRPr="00260A3F" w:rsidR="00F303B7">
        <w:rPr>
          <w:rFonts w:cs="Times New Roman"/>
          <w:szCs w:val="24"/>
        </w:rPr>
        <w:t xml:space="preserve"> the Office of the Ohio Consumers’ Counsel (“OCC”)</w:t>
      </w:r>
      <w:r w:rsidRPr="00260A3F" w:rsidR="00755C7C">
        <w:rPr>
          <w:rFonts w:cs="Times New Roman"/>
          <w:szCs w:val="24"/>
        </w:rPr>
        <w:t>,</w:t>
      </w:r>
      <w:r w:rsidRPr="00260A3F" w:rsidR="00E32694">
        <w:rPr>
          <w:rFonts w:cs="Times New Roman"/>
          <w:szCs w:val="24"/>
        </w:rPr>
        <w:t xml:space="preserve"> </w:t>
      </w:r>
      <w:r w:rsidR="00B4605C">
        <w:rPr>
          <w:rFonts w:cs="Times New Roman"/>
          <w:szCs w:val="24"/>
        </w:rPr>
        <w:t>Columbia Gas of Ohio, Inc. (“Columbia”)</w:t>
      </w:r>
      <w:r w:rsidRPr="00260A3F" w:rsidR="00E32694">
        <w:rPr>
          <w:rFonts w:cs="Times New Roman"/>
          <w:szCs w:val="24"/>
        </w:rPr>
        <w:t>,</w:t>
      </w:r>
      <w:r w:rsidRPr="00260A3F" w:rsidR="00755C7C">
        <w:rPr>
          <w:rFonts w:cs="Times New Roman"/>
          <w:szCs w:val="24"/>
        </w:rPr>
        <w:t xml:space="preserve"> Staff of t</w:t>
      </w:r>
      <w:r w:rsidRPr="00260A3F" w:rsidR="00F303B7">
        <w:rPr>
          <w:rFonts w:cs="Times New Roman"/>
          <w:szCs w:val="24"/>
        </w:rPr>
        <w:t>he Public Utilities Commission of Ohio (“PUCO</w:t>
      </w:r>
      <w:r w:rsidRPr="00260A3F" w:rsidR="00D67D06">
        <w:rPr>
          <w:rFonts w:cs="Times New Roman"/>
          <w:szCs w:val="24"/>
        </w:rPr>
        <w:t xml:space="preserve"> Staff</w:t>
      </w:r>
      <w:r w:rsidRPr="00260A3F" w:rsidR="00F303B7">
        <w:rPr>
          <w:rFonts w:cs="Times New Roman"/>
          <w:szCs w:val="24"/>
        </w:rPr>
        <w:t>”)</w:t>
      </w:r>
      <w:r w:rsidRPr="00260A3F" w:rsidR="00755C7C">
        <w:rPr>
          <w:rFonts w:cs="Times New Roman"/>
          <w:szCs w:val="24"/>
        </w:rPr>
        <w:t xml:space="preserve"> and many other </w:t>
      </w:r>
      <w:r w:rsidRPr="00260A3F" w:rsidR="000C77B9">
        <w:rPr>
          <w:rFonts w:cs="Times New Roman"/>
          <w:szCs w:val="24"/>
        </w:rPr>
        <w:t xml:space="preserve">diverse </w:t>
      </w:r>
      <w:r w:rsidRPr="00260A3F" w:rsidR="00755C7C">
        <w:rPr>
          <w:rFonts w:cs="Times New Roman"/>
          <w:szCs w:val="24"/>
        </w:rPr>
        <w:t>parties</w:t>
      </w:r>
      <w:r w:rsidR="003B4A23">
        <w:rPr>
          <w:rFonts w:cs="Times New Roman"/>
          <w:szCs w:val="24"/>
        </w:rPr>
        <w:t>. The Settlement</w:t>
      </w:r>
      <w:r w:rsidRPr="00260A3F" w:rsidR="00755C7C">
        <w:rPr>
          <w:rFonts w:cs="Times New Roman"/>
          <w:szCs w:val="24"/>
        </w:rPr>
        <w:t xml:space="preserve"> </w:t>
      </w:r>
      <w:r w:rsidRPr="00260A3F" w:rsidR="00F53C34">
        <w:rPr>
          <w:rFonts w:cs="Times New Roman"/>
          <w:szCs w:val="24"/>
        </w:rPr>
        <w:t>satisfies the PUCO’s three-</w:t>
      </w:r>
      <w:r w:rsidRPr="00260A3F" w:rsidR="003925DF">
        <w:rPr>
          <w:rFonts w:cs="Times New Roman"/>
          <w:szCs w:val="24"/>
        </w:rPr>
        <w:t>prong</w:t>
      </w:r>
      <w:r w:rsidRPr="00260A3F" w:rsidR="00F53C34">
        <w:rPr>
          <w:rFonts w:cs="Times New Roman"/>
          <w:szCs w:val="24"/>
        </w:rPr>
        <w:t xml:space="preserve"> test for evaluating settlements</w:t>
      </w:r>
      <w:r w:rsidRPr="00260A3F" w:rsidR="00D25580">
        <w:rPr>
          <w:rFonts w:cs="Times New Roman"/>
          <w:szCs w:val="24"/>
        </w:rPr>
        <w:t xml:space="preserve">. The PUCO should approve the Settlement </w:t>
      </w:r>
      <w:r w:rsidRPr="00260A3F" w:rsidR="00F53C34">
        <w:rPr>
          <w:rFonts w:cs="Times New Roman"/>
          <w:szCs w:val="24"/>
        </w:rPr>
        <w:t>without modification.</w:t>
      </w:r>
      <w:r w:rsidRPr="00260A3F" w:rsidR="00F303B7">
        <w:rPr>
          <w:rFonts w:cs="Times New Roman"/>
          <w:szCs w:val="24"/>
        </w:rPr>
        <w:t xml:space="preserve"> </w:t>
      </w:r>
    </w:p>
    <w:p w:rsidR="00F53C34" w:rsidRPr="00260A3F" w:rsidP="00CB0EBA" w14:paraId="24DCC617" w14:textId="64223FC0">
      <w:pPr>
        <w:spacing w:before="240" w:after="0" w:line="480" w:lineRule="auto"/>
        <w:ind w:firstLine="720"/>
        <w:rPr>
          <w:rFonts w:cs="Times New Roman"/>
          <w:szCs w:val="24"/>
        </w:rPr>
      </w:pPr>
      <w:r w:rsidRPr="00CB0EBA">
        <w:rPr>
          <w:rFonts w:eastAsia="Times New Roman" w:cs="Times New Roman"/>
          <w:color w:val="000000"/>
          <w:szCs w:val="24"/>
        </w:rPr>
        <w:t xml:space="preserve">The Settlement is a comprehensive resolution of a number of cases that Columbia filed, including a traditional rate case </w:t>
      </w:r>
      <w:r w:rsidR="005E32B3">
        <w:rPr>
          <w:rFonts w:eastAsia="Times New Roman" w:cs="Times New Roman"/>
          <w:color w:val="000000"/>
          <w:szCs w:val="24"/>
        </w:rPr>
        <w:t>– and</w:t>
      </w:r>
      <w:r w:rsidRPr="00CB0EBA">
        <w:rPr>
          <w:rFonts w:eastAsia="Times New Roman" w:cs="Times New Roman"/>
          <w:color w:val="000000"/>
          <w:szCs w:val="24"/>
        </w:rPr>
        <w:t xml:space="preserve"> the non-traditional alternative regulation cases that the Ohio legislature allowed for single-issue riders.</w:t>
      </w:r>
      <w:r>
        <w:rPr>
          <w:rStyle w:val="FootnoteReference"/>
          <w:rFonts w:cs="Times New Roman"/>
          <w:szCs w:val="24"/>
        </w:rPr>
        <w:footnoteReference w:id="3"/>
      </w:r>
      <w:r w:rsidRPr="00260A3F" w:rsidR="00F303B7">
        <w:rPr>
          <w:rFonts w:cs="Times New Roman"/>
          <w:szCs w:val="24"/>
        </w:rPr>
        <w:t xml:space="preserve"> </w:t>
      </w:r>
      <w:r w:rsidR="003B4A23">
        <w:rPr>
          <w:rFonts w:cs="Times New Roman"/>
          <w:szCs w:val="24"/>
        </w:rPr>
        <w:t>First, t</w:t>
      </w:r>
      <w:r w:rsidRPr="00260A3F" w:rsidR="00F303B7">
        <w:rPr>
          <w:rFonts w:cs="Times New Roman"/>
          <w:szCs w:val="24"/>
        </w:rPr>
        <w:t>he Settlement is the product of serious bargaining</w:t>
      </w:r>
      <w:r w:rsidR="00B4605C">
        <w:rPr>
          <w:rFonts w:cs="Times New Roman"/>
          <w:szCs w:val="24"/>
        </w:rPr>
        <w:t xml:space="preserve"> </w:t>
      </w:r>
      <w:r w:rsidRPr="00260A3F" w:rsidR="00F303B7">
        <w:rPr>
          <w:rFonts w:cs="Times New Roman"/>
          <w:szCs w:val="24"/>
        </w:rPr>
        <w:t>among capable, knowledgeable, and diverse parties.</w:t>
      </w:r>
      <w:r>
        <w:rPr>
          <w:rStyle w:val="FootnoteReference"/>
          <w:rFonts w:cs="Times New Roman"/>
          <w:szCs w:val="24"/>
        </w:rPr>
        <w:footnoteReference w:id="4"/>
      </w:r>
      <w:r w:rsidRPr="00260A3F" w:rsidR="00F303B7">
        <w:rPr>
          <w:rFonts w:cs="Times New Roman"/>
          <w:szCs w:val="24"/>
        </w:rPr>
        <w:t xml:space="preserve"> The Settlement’s signatory parties include</w:t>
      </w:r>
      <w:r w:rsidRPr="00260A3F" w:rsidR="00525283">
        <w:rPr>
          <w:rFonts w:cs="Times New Roman"/>
          <w:szCs w:val="24"/>
        </w:rPr>
        <w:t>, but are not limited to,</w:t>
      </w:r>
      <w:r w:rsidRPr="00260A3F" w:rsidR="00F303B7">
        <w:rPr>
          <w:rFonts w:cs="Times New Roman"/>
          <w:szCs w:val="24"/>
        </w:rPr>
        <w:t xml:space="preserve"> Ohio’s statutory advocate</w:t>
      </w:r>
      <w:r w:rsidRPr="00260A3F" w:rsidR="008E6B54">
        <w:rPr>
          <w:rFonts w:cs="Times New Roman"/>
          <w:szCs w:val="24"/>
        </w:rPr>
        <w:t xml:space="preserve"> (OCC)</w:t>
      </w:r>
      <w:r w:rsidRPr="00260A3F" w:rsidR="00F303B7">
        <w:rPr>
          <w:rFonts w:cs="Times New Roman"/>
          <w:szCs w:val="24"/>
        </w:rPr>
        <w:t xml:space="preserve"> for </w:t>
      </w:r>
      <w:r w:rsidR="00B4605C">
        <w:rPr>
          <w:rFonts w:cs="Times New Roman"/>
          <w:szCs w:val="24"/>
        </w:rPr>
        <w:t xml:space="preserve">Columbia’s 1.4 </w:t>
      </w:r>
      <w:r w:rsidRPr="00260A3F" w:rsidR="00F303B7">
        <w:rPr>
          <w:rFonts w:cs="Times New Roman"/>
          <w:szCs w:val="24"/>
        </w:rPr>
        <w:t>million residential consumers,</w:t>
      </w:r>
      <w:r w:rsidRPr="00260A3F" w:rsidR="008E6B54">
        <w:rPr>
          <w:rFonts w:cs="Times New Roman"/>
          <w:szCs w:val="24"/>
        </w:rPr>
        <w:t xml:space="preserve"> the utility (</w:t>
      </w:r>
      <w:r w:rsidR="00B4605C">
        <w:rPr>
          <w:rFonts w:cs="Times New Roman"/>
          <w:szCs w:val="24"/>
        </w:rPr>
        <w:t>Columbia</w:t>
      </w:r>
      <w:r w:rsidRPr="00260A3F" w:rsidR="008E6B54">
        <w:rPr>
          <w:rFonts w:cs="Times New Roman"/>
          <w:szCs w:val="24"/>
        </w:rPr>
        <w:t>),</w:t>
      </w:r>
      <w:r w:rsidRPr="00260A3F" w:rsidR="00F303B7">
        <w:rPr>
          <w:rFonts w:cs="Times New Roman"/>
          <w:szCs w:val="24"/>
        </w:rPr>
        <w:t xml:space="preserve"> the PUCO Staff, </w:t>
      </w:r>
      <w:r w:rsidR="00B4605C">
        <w:rPr>
          <w:rFonts w:cs="Times New Roman"/>
          <w:szCs w:val="24"/>
        </w:rPr>
        <w:t xml:space="preserve">the Northeast Ohio Public Energy Council (“NOPEC”), </w:t>
      </w:r>
      <w:r w:rsidR="00D445F7">
        <w:rPr>
          <w:rFonts w:cs="Times New Roman"/>
          <w:szCs w:val="24"/>
        </w:rPr>
        <w:t xml:space="preserve">Ohio Schools Council, </w:t>
      </w:r>
      <w:r w:rsidRPr="00260A3F" w:rsidR="00F303B7">
        <w:rPr>
          <w:rFonts w:cs="Times New Roman"/>
          <w:szCs w:val="24"/>
        </w:rPr>
        <w:t>organizations representing nonresidential customers,</w:t>
      </w:r>
      <w:r>
        <w:rPr>
          <w:rStyle w:val="FootnoteReference"/>
          <w:rFonts w:cs="Times New Roman"/>
          <w:szCs w:val="24"/>
        </w:rPr>
        <w:footnoteReference w:id="5"/>
      </w:r>
      <w:r w:rsidR="00C80354">
        <w:rPr>
          <w:rFonts w:cs="Times New Roman"/>
          <w:szCs w:val="24"/>
        </w:rPr>
        <w:t xml:space="preserve"> </w:t>
      </w:r>
      <w:r w:rsidR="00740526">
        <w:rPr>
          <w:rFonts w:cs="Times New Roman"/>
          <w:szCs w:val="24"/>
        </w:rPr>
        <w:t xml:space="preserve">and </w:t>
      </w:r>
      <w:r w:rsidR="00C80354">
        <w:rPr>
          <w:rFonts w:cs="Times New Roman"/>
          <w:szCs w:val="24"/>
        </w:rPr>
        <w:t>natural gas marketers</w:t>
      </w:r>
      <w:r w:rsidR="00740526">
        <w:rPr>
          <w:rFonts w:cs="Times New Roman"/>
          <w:szCs w:val="24"/>
        </w:rPr>
        <w:t>.</w:t>
      </w:r>
      <w:r>
        <w:rPr>
          <w:rStyle w:val="FootnoteReference"/>
          <w:rFonts w:cs="Times New Roman"/>
          <w:szCs w:val="24"/>
        </w:rPr>
        <w:footnoteReference w:id="6"/>
      </w:r>
      <w:r w:rsidRPr="00260A3F" w:rsidR="00755C7C">
        <w:rPr>
          <w:rFonts w:cs="Times New Roman"/>
          <w:szCs w:val="24"/>
        </w:rPr>
        <w:t xml:space="preserve"> </w:t>
      </w:r>
    </w:p>
    <w:p w:rsidR="0027435C" w:rsidRPr="00260A3F" w:rsidP="00D25580" w14:paraId="44CDEA07" w14:textId="4680A5F4">
      <w:pPr>
        <w:spacing w:after="0" w:line="480" w:lineRule="auto"/>
        <w:ind w:firstLine="720"/>
        <w:rPr>
          <w:rFonts w:cs="Times New Roman"/>
          <w:szCs w:val="24"/>
        </w:rPr>
      </w:pPr>
      <w:r>
        <w:rPr>
          <w:rFonts w:cs="Times New Roman"/>
          <w:szCs w:val="24"/>
        </w:rPr>
        <w:t>Second, t</w:t>
      </w:r>
      <w:r w:rsidRPr="00260A3F" w:rsidR="00F303B7">
        <w:rPr>
          <w:rFonts w:cs="Times New Roman"/>
          <w:szCs w:val="24"/>
        </w:rPr>
        <w:t>he Settlement benefits consumers</w:t>
      </w:r>
      <w:r w:rsidRPr="00260A3F" w:rsidR="00A37DD6">
        <w:rPr>
          <w:rFonts w:cs="Times New Roman"/>
          <w:szCs w:val="24"/>
        </w:rPr>
        <w:t xml:space="preserve"> and the public interest.</w:t>
      </w:r>
      <w:r w:rsidRPr="00260A3F" w:rsidR="001F600A">
        <w:rPr>
          <w:rFonts w:cs="Times New Roman"/>
          <w:szCs w:val="24"/>
        </w:rPr>
        <w:t xml:space="preserve"> Among other things, the Settlement reduces </w:t>
      </w:r>
      <w:r w:rsidRPr="00260A3F" w:rsidR="00EA7D2A">
        <w:rPr>
          <w:rFonts w:cs="Times New Roman"/>
          <w:szCs w:val="24"/>
        </w:rPr>
        <w:t>the overall annual base distribution revenue customers will pay by $</w:t>
      </w:r>
      <w:r w:rsidR="00740526">
        <w:rPr>
          <w:rFonts w:cs="Times New Roman"/>
          <w:szCs w:val="24"/>
        </w:rPr>
        <w:t>153.2</w:t>
      </w:r>
      <w:r w:rsidRPr="00260A3F" w:rsidR="00EA7D2A">
        <w:rPr>
          <w:rFonts w:cs="Times New Roman"/>
          <w:szCs w:val="24"/>
        </w:rPr>
        <w:t xml:space="preserve"> million from </w:t>
      </w:r>
      <w:r w:rsidR="00740526">
        <w:rPr>
          <w:rFonts w:cs="Times New Roman"/>
          <w:szCs w:val="24"/>
        </w:rPr>
        <w:t>Columbia’s</w:t>
      </w:r>
      <w:r w:rsidRPr="00260A3F" w:rsidR="00EA7D2A">
        <w:rPr>
          <w:rFonts w:cs="Times New Roman"/>
          <w:szCs w:val="24"/>
        </w:rPr>
        <w:t xml:space="preserve"> initial proposal</w:t>
      </w:r>
      <w:r w:rsidRPr="00260A3F" w:rsidR="001F600A">
        <w:rPr>
          <w:rFonts w:cs="Times New Roman"/>
          <w:szCs w:val="24"/>
        </w:rPr>
        <w:t xml:space="preserve"> of $</w:t>
      </w:r>
      <w:r w:rsidR="00740526">
        <w:rPr>
          <w:rFonts w:cs="Times New Roman"/>
          <w:szCs w:val="24"/>
        </w:rPr>
        <w:t>221.4 million.</w:t>
      </w:r>
      <w:r>
        <w:rPr>
          <w:rStyle w:val="FootnoteReference"/>
          <w:rFonts w:cs="Times New Roman"/>
          <w:szCs w:val="24"/>
        </w:rPr>
        <w:footnoteReference w:id="7"/>
      </w:r>
      <w:r w:rsidRPr="00260A3F" w:rsidR="001F600A">
        <w:rPr>
          <w:rFonts w:cs="Times New Roman"/>
          <w:szCs w:val="24"/>
        </w:rPr>
        <w:t xml:space="preserve"> </w:t>
      </w:r>
      <w:r w:rsidR="00740526">
        <w:rPr>
          <w:rFonts w:cs="Times New Roman"/>
          <w:szCs w:val="24"/>
        </w:rPr>
        <w:t xml:space="preserve">The Settlement </w:t>
      </w:r>
      <w:r w:rsidRPr="00260A3F" w:rsidR="001F600A">
        <w:rPr>
          <w:rFonts w:cs="Times New Roman"/>
          <w:szCs w:val="24"/>
        </w:rPr>
        <w:t>reduc</w:t>
      </w:r>
      <w:r w:rsidRPr="00260A3F" w:rsidR="00FA7B1A">
        <w:rPr>
          <w:rFonts w:cs="Times New Roman"/>
          <w:szCs w:val="24"/>
        </w:rPr>
        <w:t>es</w:t>
      </w:r>
      <w:r w:rsidRPr="00260A3F" w:rsidR="001F600A">
        <w:rPr>
          <w:rFonts w:cs="Times New Roman"/>
          <w:szCs w:val="24"/>
        </w:rPr>
        <w:t xml:space="preserve"> the overall rate of return</w:t>
      </w:r>
      <w:r w:rsidR="00B74D9D">
        <w:rPr>
          <w:rFonts w:cs="Times New Roman"/>
          <w:szCs w:val="24"/>
        </w:rPr>
        <w:t xml:space="preserve"> (that includes profit)</w:t>
      </w:r>
      <w:r w:rsidRPr="00260A3F" w:rsidR="001F600A">
        <w:rPr>
          <w:rFonts w:cs="Times New Roman"/>
          <w:szCs w:val="24"/>
        </w:rPr>
        <w:t xml:space="preserve"> customers will pay</w:t>
      </w:r>
      <w:r w:rsidR="00A211F8">
        <w:rPr>
          <w:rFonts w:cs="Times New Roman"/>
          <w:szCs w:val="24"/>
        </w:rPr>
        <w:t xml:space="preserve"> </w:t>
      </w:r>
      <w:r w:rsidRPr="000E0C3F" w:rsidR="00A211F8">
        <w:t>from Columbia’s proposed 7.85% to 7.08%</w:t>
      </w:r>
      <w:r w:rsidRPr="00260A3F" w:rsidR="001F600A">
        <w:rPr>
          <w:rFonts w:cs="Times New Roman"/>
          <w:szCs w:val="24"/>
        </w:rPr>
        <w:t>.</w:t>
      </w:r>
      <w:r>
        <w:rPr>
          <w:rStyle w:val="FootnoteReference"/>
          <w:rFonts w:cs="Times New Roman"/>
          <w:szCs w:val="24"/>
        </w:rPr>
        <w:footnoteReference w:id="8"/>
      </w:r>
      <w:r w:rsidRPr="00260A3F" w:rsidR="00FA7B1A">
        <w:rPr>
          <w:rFonts w:cs="Times New Roman"/>
          <w:szCs w:val="24"/>
        </w:rPr>
        <w:t xml:space="preserve"> Under the Settlement, residential customers </w:t>
      </w:r>
      <w:r w:rsidRPr="000E0C3F" w:rsidR="00894E08">
        <w:t>will be responsible for $64,507,241 of Columbia’s base rate increase</w:t>
      </w:r>
      <w:r w:rsidR="00894E08">
        <w:t xml:space="preserve">, which </w:t>
      </w:r>
      <w:r w:rsidRPr="000E0C3F" w:rsidR="00894E08">
        <w:t xml:space="preserve">is $138,181,471 less than </w:t>
      </w:r>
      <w:r w:rsidR="00894E08">
        <w:t xml:space="preserve">what </w:t>
      </w:r>
      <w:r w:rsidRPr="000E0C3F" w:rsidR="00894E08">
        <w:t>Columbia</w:t>
      </w:r>
      <w:r w:rsidR="00894E08">
        <w:t xml:space="preserve"> initially</w:t>
      </w:r>
      <w:r w:rsidRPr="000E0C3F" w:rsidR="00894E08">
        <w:t xml:space="preserve"> proposed</w:t>
      </w:r>
      <w:r w:rsidR="00627D8A">
        <w:t xml:space="preserve"> to charge residential consumers</w:t>
      </w:r>
      <w:r w:rsidRPr="000E0C3F" w:rsidR="00894E08">
        <w:t>.</w:t>
      </w:r>
      <w:r>
        <w:rPr>
          <w:rStyle w:val="FootnoteReference"/>
        </w:rPr>
        <w:footnoteReference w:id="9"/>
      </w:r>
      <w:r w:rsidR="00894E08">
        <w:t xml:space="preserve"> </w:t>
      </w:r>
    </w:p>
    <w:p w:rsidR="00F72888" w:rsidP="00AF67A8" w14:paraId="3AB82527" w14:textId="53F2F3AD">
      <w:pPr>
        <w:spacing w:after="0" w:line="480" w:lineRule="auto"/>
        <w:ind w:firstLine="720"/>
        <w:rPr>
          <w:iCs/>
        </w:rPr>
      </w:pPr>
      <w:r>
        <w:rPr>
          <w:rFonts w:cs="Times New Roman"/>
          <w:szCs w:val="24"/>
        </w:rPr>
        <w:t>Third, i</w:t>
      </w:r>
      <w:r w:rsidRPr="00260A3F" w:rsidR="00F303B7">
        <w:rPr>
          <w:rFonts w:cs="Times New Roman"/>
          <w:szCs w:val="24"/>
        </w:rPr>
        <w:t>n addition to providing benefits to consumers, the Settlement</w:t>
      </w:r>
      <w:r w:rsidRPr="00260A3F" w:rsidR="0027435C">
        <w:rPr>
          <w:rFonts w:cs="Times New Roman"/>
          <w:szCs w:val="24"/>
        </w:rPr>
        <w:t xml:space="preserve"> is consistent with </w:t>
      </w:r>
      <w:r w:rsidRPr="00260A3F" w:rsidR="00F303B7">
        <w:rPr>
          <w:rFonts w:cs="Times New Roman"/>
          <w:szCs w:val="24"/>
        </w:rPr>
        <w:t>regulatory principle</w:t>
      </w:r>
      <w:r w:rsidRPr="00260A3F" w:rsidR="0027435C">
        <w:rPr>
          <w:rFonts w:cs="Times New Roman"/>
          <w:szCs w:val="24"/>
        </w:rPr>
        <w:t>s and practices</w:t>
      </w:r>
      <w:r w:rsidRPr="00260A3F" w:rsidR="00DD4B64">
        <w:rPr>
          <w:rFonts w:cs="Times New Roman"/>
          <w:szCs w:val="24"/>
        </w:rPr>
        <w:t xml:space="preserve">. </w:t>
      </w:r>
      <w:r w:rsidR="00AB5D56">
        <w:rPr>
          <w:rFonts w:cs="Times New Roman"/>
          <w:szCs w:val="24"/>
        </w:rPr>
        <w:t>T</w:t>
      </w:r>
      <w:r w:rsidR="00AB5D56">
        <w:rPr>
          <w:iCs/>
        </w:rPr>
        <w:t xml:space="preserve">he </w:t>
      </w:r>
      <w:r w:rsidR="00AC5492">
        <w:rPr>
          <w:iCs/>
        </w:rPr>
        <w:t>evidence demonstrates that the S</w:t>
      </w:r>
      <w:r w:rsidR="00AB5D56">
        <w:rPr>
          <w:iCs/>
        </w:rPr>
        <w:t xml:space="preserve">ettlement reflects nearly $1.7 billion in </w:t>
      </w:r>
      <w:r>
        <w:rPr>
          <w:iCs/>
        </w:rPr>
        <w:t>reductions</w:t>
      </w:r>
      <w:r w:rsidR="00AB5D56">
        <w:rPr>
          <w:iCs/>
        </w:rPr>
        <w:t xml:space="preserve"> from Columbia’s </w:t>
      </w:r>
      <w:r w:rsidR="00AC5492">
        <w:rPr>
          <w:iCs/>
        </w:rPr>
        <w:t xml:space="preserve">initial proposal for </w:t>
      </w:r>
      <w:r>
        <w:rPr>
          <w:iCs/>
        </w:rPr>
        <w:t xml:space="preserve">charges to consumers in </w:t>
      </w:r>
      <w:r w:rsidR="00AC5492">
        <w:rPr>
          <w:iCs/>
        </w:rPr>
        <w:t>base rates</w:t>
      </w:r>
      <w:r w:rsidR="00AB5D56">
        <w:rPr>
          <w:iCs/>
        </w:rPr>
        <w:t>, fixed charges</w:t>
      </w:r>
      <w:r w:rsidR="00AC5492">
        <w:rPr>
          <w:iCs/>
        </w:rPr>
        <w:t>,</w:t>
      </w:r>
      <w:r w:rsidR="00AB5D56">
        <w:rPr>
          <w:iCs/>
        </w:rPr>
        <w:t xml:space="preserve"> </w:t>
      </w:r>
      <w:r w:rsidRPr="00191741" w:rsidR="00CB0EBA">
        <w:rPr>
          <w:iCs/>
        </w:rPr>
        <w:t>riders</w:t>
      </w:r>
      <w:r w:rsidR="00CB0EBA">
        <w:rPr>
          <w:iCs/>
        </w:rPr>
        <w:t xml:space="preserve">, </w:t>
      </w:r>
      <w:r w:rsidR="00AB5D56">
        <w:rPr>
          <w:iCs/>
        </w:rPr>
        <w:t xml:space="preserve">and </w:t>
      </w:r>
      <w:r w:rsidR="00AC5492">
        <w:rPr>
          <w:iCs/>
        </w:rPr>
        <w:t>demand side management (“</w:t>
      </w:r>
      <w:r w:rsidR="00AB5D56">
        <w:rPr>
          <w:iCs/>
        </w:rPr>
        <w:t>DSM</w:t>
      </w:r>
      <w:r w:rsidR="00AC5492">
        <w:rPr>
          <w:iCs/>
        </w:rPr>
        <w:t>”)</w:t>
      </w:r>
      <w:r w:rsidR="00AB5D56">
        <w:rPr>
          <w:iCs/>
        </w:rPr>
        <w:t xml:space="preserve"> charges.</w:t>
      </w:r>
      <w:r>
        <w:rPr>
          <w:rStyle w:val="FootnoteReference"/>
          <w:iCs/>
        </w:rPr>
        <w:footnoteReference w:id="10"/>
      </w:r>
      <w:r w:rsidR="00AB5D56">
        <w:rPr>
          <w:iCs/>
        </w:rPr>
        <w:t xml:space="preserve"> </w:t>
      </w:r>
    </w:p>
    <w:p w:rsidR="00D07FED" w:rsidP="00AF67A8" w14:paraId="09EB6C54" w14:textId="22385E8E">
      <w:pPr>
        <w:spacing w:after="0" w:line="480" w:lineRule="auto"/>
        <w:ind w:firstLine="720"/>
        <w:rPr>
          <w:iCs/>
        </w:rPr>
      </w:pPr>
      <w:r>
        <w:rPr>
          <w:iCs/>
        </w:rPr>
        <w:t>The Settlement also preserves over $70 million for weatherization services for low-income consumers. And it provides $3.5 million for bill-payment assistance for Columbia’s low-income consumers including at-risk populations</w:t>
      </w:r>
      <w:r w:rsidR="00A01B5C">
        <w:rPr>
          <w:iCs/>
        </w:rPr>
        <w:t xml:space="preserve"> (</w:t>
      </w:r>
      <w:r w:rsidR="0024726A">
        <w:rPr>
          <w:iCs/>
        </w:rPr>
        <w:t>mostly at shareholder expense</w:t>
      </w:r>
      <w:r w:rsidR="00A01B5C">
        <w:rPr>
          <w:iCs/>
        </w:rPr>
        <w:t xml:space="preserve">) </w:t>
      </w:r>
      <w:r w:rsidRPr="00191741" w:rsidR="00D93E6A">
        <w:rPr>
          <w:iCs/>
        </w:rPr>
        <w:t>consistent with policy set forth in</w:t>
      </w:r>
      <w:r w:rsidR="00A01B5C">
        <w:rPr>
          <w:iCs/>
        </w:rPr>
        <w:t xml:space="preserve"> R.C. 4928.02(L)</w:t>
      </w:r>
      <w:r>
        <w:rPr>
          <w:iCs/>
        </w:rPr>
        <w:t>.</w:t>
      </w:r>
      <w:r>
        <w:rPr>
          <w:rStyle w:val="FootnoteReference"/>
          <w:iCs/>
        </w:rPr>
        <w:footnoteReference w:id="11"/>
      </w:r>
    </w:p>
    <w:p w:rsidR="00F53C34" w:rsidRPr="00260A3F" w:rsidP="00AF67A8" w14:paraId="6FB8543A" w14:textId="30A3D09C">
      <w:pPr>
        <w:spacing w:after="0" w:line="480" w:lineRule="auto"/>
        <w:ind w:firstLine="720"/>
        <w:rPr>
          <w:rFonts w:cs="Times New Roman"/>
          <w:szCs w:val="24"/>
        </w:rPr>
      </w:pPr>
      <w:r>
        <w:rPr>
          <w:iCs/>
        </w:rPr>
        <w:t xml:space="preserve">Thus, the resulting charges to consumers </w:t>
      </w:r>
      <w:r w:rsidR="00A01B5C">
        <w:rPr>
          <w:rFonts w:cs="Times New Roman"/>
          <w:szCs w:val="24"/>
        </w:rPr>
        <w:t xml:space="preserve">as a package do not violate regulatory principles and practices </w:t>
      </w:r>
      <w:r>
        <w:rPr>
          <w:iCs/>
        </w:rPr>
        <w:t xml:space="preserve">under R.C. 4905.22, R.C. 4909.15, R.C. 4909.19, </w:t>
      </w:r>
      <w:r w:rsidR="00F4775D">
        <w:rPr>
          <w:iCs/>
        </w:rPr>
        <w:t xml:space="preserve">R.C. 4929.02(A)(1), and </w:t>
      </w:r>
      <w:r>
        <w:rPr>
          <w:iCs/>
        </w:rPr>
        <w:t>R.C. 4929.05</w:t>
      </w:r>
      <w:r w:rsidR="00D07FED">
        <w:rPr>
          <w:iCs/>
        </w:rPr>
        <w:t>, among other law</w:t>
      </w:r>
      <w:r w:rsidR="006B6204">
        <w:rPr>
          <w:iCs/>
        </w:rPr>
        <w:t xml:space="preserve"> and PUCO precedent</w:t>
      </w:r>
      <w:r>
        <w:rPr>
          <w:iCs/>
        </w:rPr>
        <w:t xml:space="preserve">. </w:t>
      </w:r>
    </w:p>
    <w:p w:rsidR="00EA1410" w:rsidP="00EC50A9" w14:paraId="02361C8B" w14:textId="71880DB4">
      <w:pPr>
        <w:spacing w:after="0" w:line="480" w:lineRule="auto"/>
        <w:ind w:firstLine="720"/>
        <w:rPr>
          <w:rFonts w:cs="Times New Roman"/>
          <w:szCs w:val="24"/>
        </w:rPr>
      </w:pPr>
      <w:r w:rsidRPr="00260A3F">
        <w:rPr>
          <w:rFonts w:cs="Times New Roman"/>
          <w:szCs w:val="24"/>
        </w:rPr>
        <w:t>The evidence p</w:t>
      </w:r>
      <w:r w:rsidR="006E28E1">
        <w:rPr>
          <w:rFonts w:cs="Times New Roman"/>
          <w:szCs w:val="24"/>
        </w:rPr>
        <w:t xml:space="preserve">resented by OCC, the PUCO Staff, and Columbia shows </w:t>
      </w:r>
      <w:r w:rsidRPr="00260A3F">
        <w:rPr>
          <w:rFonts w:cs="Times New Roman"/>
          <w:szCs w:val="24"/>
        </w:rPr>
        <w:t xml:space="preserve">that </w:t>
      </w:r>
      <w:r w:rsidRPr="00260A3F" w:rsidR="00AF67A8">
        <w:rPr>
          <w:rFonts w:cs="Times New Roman"/>
          <w:szCs w:val="24"/>
        </w:rPr>
        <w:t xml:space="preserve">the </w:t>
      </w:r>
      <w:r w:rsidRPr="00260A3F" w:rsidR="00026627">
        <w:rPr>
          <w:rFonts w:cs="Times New Roman"/>
          <w:szCs w:val="24"/>
        </w:rPr>
        <w:t>Settlement</w:t>
      </w:r>
      <w:r w:rsidRPr="00260A3F" w:rsidR="009D25E5">
        <w:rPr>
          <w:rFonts w:cs="Times New Roman"/>
          <w:szCs w:val="24"/>
        </w:rPr>
        <w:t xml:space="preserve"> </w:t>
      </w:r>
      <w:r w:rsidRPr="00260A3F" w:rsidR="00AF67A8">
        <w:rPr>
          <w:rFonts w:cs="Times New Roman"/>
          <w:szCs w:val="24"/>
        </w:rPr>
        <w:t>as a package</w:t>
      </w:r>
      <w:r w:rsidRPr="00260A3F" w:rsidR="00A37DD6">
        <w:rPr>
          <w:rFonts w:cs="Times New Roman"/>
          <w:szCs w:val="24"/>
        </w:rPr>
        <w:t xml:space="preserve"> </w:t>
      </w:r>
      <w:r w:rsidRPr="00260A3F" w:rsidR="009D25E5">
        <w:rPr>
          <w:rFonts w:cs="Times New Roman"/>
          <w:szCs w:val="24"/>
        </w:rPr>
        <w:t>passes the PUCO’s three-prong test for</w:t>
      </w:r>
      <w:r w:rsidRPr="00260A3F" w:rsidR="00026627">
        <w:rPr>
          <w:rFonts w:cs="Times New Roman"/>
          <w:szCs w:val="24"/>
        </w:rPr>
        <w:t xml:space="preserve"> evaluating</w:t>
      </w:r>
      <w:r w:rsidRPr="00260A3F" w:rsidR="009D25E5">
        <w:rPr>
          <w:rFonts w:cs="Times New Roman"/>
          <w:szCs w:val="24"/>
        </w:rPr>
        <w:t xml:space="preserve"> settlement</w:t>
      </w:r>
      <w:r w:rsidRPr="00260A3F" w:rsidR="00AF67A8">
        <w:rPr>
          <w:rFonts w:cs="Times New Roman"/>
          <w:szCs w:val="24"/>
        </w:rPr>
        <w:t xml:space="preserve">s. </w:t>
      </w:r>
      <w:r w:rsidRPr="00260A3F" w:rsidR="00AE2105">
        <w:rPr>
          <w:rFonts w:cs="Times New Roman"/>
          <w:szCs w:val="24"/>
        </w:rPr>
        <w:t xml:space="preserve">For </w:t>
      </w:r>
      <w:r w:rsidR="00BB470E">
        <w:rPr>
          <w:rFonts w:cs="Times New Roman"/>
          <w:szCs w:val="24"/>
        </w:rPr>
        <w:t>Columbia</w:t>
      </w:r>
      <w:r w:rsidRPr="00260A3F" w:rsidR="00645D20">
        <w:rPr>
          <w:rFonts w:cs="Times New Roman"/>
          <w:szCs w:val="24"/>
        </w:rPr>
        <w:t>’s</w:t>
      </w:r>
      <w:r w:rsidRPr="00260A3F">
        <w:rPr>
          <w:rFonts w:cs="Times New Roman"/>
          <w:szCs w:val="24"/>
        </w:rPr>
        <w:t xml:space="preserve"> consumers, the PUCO should</w:t>
      </w:r>
      <w:r w:rsidRPr="00260A3F" w:rsidR="00026627">
        <w:rPr>
          <w:rFonts w:cs="Times New Roman"/>
          <w:szCs w:val="24"/>
        </w:rPr>
        <w:t xml:space="preserve"> approve</w:t>
      </w:r>
      <w:r w:rsidRPr="00260A3F" w:rsidR="00AF67A8">
        <w:rPr>
          <w:rFonts w:cs="Times New Roman"/>
          <w:szCs w:val="24"/>
        </w:rPr>
        <w:t xml:space="preserve"> the Settlement in its entirety</w:t>
      </w:r>
      <w:r w:rsidRPr="00260A3F" w:rsidR="009D25E5">
        <w:rPr>
          <w:rFonts w:cs="Times New Roman"/>
          <w:szCs w:val="24"/>
        </w:rPr>
        <w:t xml:space="preserve"> without modification.</w:t>
      </w:r>
    </w:p>
    <w:p w:rsidR="00531C18" w14:paraId="0B82B885" w14:textId="0FBA121F">
      <w:pPr>
        <w:rPr>
          <w:rFonts w:cs="Times New Roman"/>
          <w:szCs w:val="24"/>
        </w:rPr>
      </w:pPr>
      <w:r>
        <w:rPr>
          <w:rFonts w:cs="Times New Roman"/>
          <w:szCs w:val="24"/>
        </w:rPr>
        <w:br w:type="page"/>
      </w:r>
    </w:p>
    <w:p w:rsidR="009B419A" w:rsidRPr="00260A3F" w:rsidP="00531C18" w14:paraId="01CBFD92" w14:textId="6380CDB9">
      <w:pPr>
        <w:pStyle w:val="Heading1"/>
        <w:rPr>
          <w:rStyle w:val="Heading1Char"/>
          <w:b/>
          <w:bCs/>
        </w:rPr>
      </w:pPr>
      <w:bookmarkStart w:id="1" w:name="_Toc522277278"/>
      <w:bookmarkStart w:id="2" w:name="_Toc522278748"/>
      <w:bookmarkStart w:id="3" w:name="_Toc74300284"/>
      <w:bookmarkStart w:id="4" w:name="_Toc74578027"/>
      <w:bookmarkStart w:id="5" w:name="_Toc121484987"/>
      <w:r w:rsidRPr="00260A3F">
        <w:rPr>
          <w:rStyle w:val="Heading1Char"/>
          <w:b/>
          <w:bCs/>
        </w:rPr>
        <w:t>STANDARD OF REVIEW</w:t>
      </w:r>
      <w:bookmarkEnd w:id="1"/>
      <w:bookmarkEnd w:id="2"/>
      <w:bookmarkEnd w:id="3"/>
      <w:bookmarkEnd w:id="4"/>
      <w:bookmarkEnd w:id="5"/>
    </w:p>
    <w:p w:rsidR="00B70392" w:rsidRPr="00260A3F" w:rsidP="00B70392" w14:paraId="09CB6CBC" w14:textId="4C8C79C1">
      <w:pPr>
        <w:autoSpaceDE w:val="0"/>
        <w:autoSpaceDN w:val="0"/>
        <w:adjustRightInd w:val="0"/>
        <w:spacing w:after="0" w:line="480" w:lineRule="auto"/>
        <w:ind w:firstLine="720"/>
        <w:rPr>
          <w:rFonts w:cs="Times New Roman"/>
          <w:szCs w:val="24"/>
        </w:rPr>
      </w:pPr>
      <w:r w:rsidRPr="00260A3F">
        <w:rPr>
          <w:rFonts w:cs="Times New Roman"/>
          <w:szCs w:val="24"/>
        </w:rPr>
        <w:t>In PUCO proceedings, the applicant bears the burden of proof.</w:t>
      </w:r>
      <w:r>
        <w:rPr>
          <w:rStyle w:val="FootnoteReference"/>
          <w:rFonts w:cs="Times New Roman"/>
          <w:szCs w:val="24"/>
        </w:rPr>
        <w:footnoteReference w:id="12"/>
      </w:r>
      <w:r w:rsidRPr="00260A3F">
        <w:rPr>
          <w:rFonts w:cs="Times New Roman"/>
          <w:szCs w:val="24"/>
        </w:rPr>
        <w:t xml:space="preserve"> In the context of a </w:t>
      </w:r>
      <w:r w:rsidRPr="00260A3F" w:rsidR="003925DF">
        <w:rPr>
          <w:rFonts w:cs="Times New Roman"/>
          <w:szCs w:val="24"/>
        </w:rPr>
        <w:t>settlement</w:t>
      </w:r>
      <w:r w:rsidRPr="00260A3F">
        <w:rPr>
          <w:rFonts w:cs="Times New Roman"/>
          <w:szCs w:val="24"/>
        </w:rPr>
        <w:t>, the signatory parties “bear the burden to support the stipulation” and must “demonstrate that the stipulation is reasonable and satisfies the</w:t>
      </w:r>
      <w:r w:rsidRPr="00260A3F" w:rsidR="005D034D">
        <w:rPr>
          <w:rFonts w:cs="Times New Roman"/>
          <w:szCs w:val="24"/>
        </w:rPr>
        <w:t xml:space="preserve"> [PUCO’s]</w:t>
      </w:r>
      <w:r w:rsidRPr="00260A3F">
        <w:rPr>
          <w:rFonts w:cs="Times New Roman"/>
          <w:szCs w:val="24"/>
        </w:rPr>
        <w:t xml:space="preserve"> three-part test.”</w:t>
      </w:r>
      <w:r>
        <w:rPr>
          <w:rStyle w:val="FootnoteReference"/>
          <w:rFonts w:cs="Times New Roman"/>
          <w:szCs w:val="24"/>
        </w:rPr>
        <w:footnoteReference w:id="13"/>
      </w:r>
      <w:r w:rsidRPr="00260A3F">
        <w:rPr>
          <w:rFonts w:cs="Times New Roman"/>
          <w:szCs w:val="24"/>
        </w:rPr>
        <w:t xml:space="preserve"> A settlement is a recommendation to the PUCO on behalf of the settling parties.</w:t>
      </w:r>
      <w:r>
        <w:rPr>
          <w:rStyle w:val="FootnoteReference"/>
          <w:rFonts w:cs="Times New Roman"/>
          <w:szCs w:val="24"/>
        </w:rPr>
        <w:footnoteReference w:id="14"/>
      </w:r>
      <w:r w:rsidRPr="00260A3F">
        <w:rPr>
          <w:rFonts w:cs="Times New Roman"/>
          <w:szCs w:val="24"/>
        </w:rPr>
        <w:t xml:space="preserve"> It is not binding on the PUCO,</w:t>
      </w:r>
      <w:r>
        <w:rPr>
          <w:rStyle w:val="FootnoteReference"/>
          <w:rFonts w:cs="Times New Roman"/>
          <w:szCs w:val="24"/>
        </w:rPr>
        <w:footnoteReference w:id="15"/>
      </w:r>
      <w:r w:rsidRPr="00260A3F">
        <w:rPr>
          <w:rFonts w:cs="Times New Roman"/>
          <w:szCs w:val="24"/>
        </w:rPr>
        <w:t xml:space="preserve"> and </w:t>
      </w:r>
      <w:r w:rsidRPr="00260A3F" w:rsidR="00252A82">
        <w:rPr>
          <w:rFonts w:cs="Times New Roman"/>
          <w:szCs w:val="24"/>
        </w:rPr>
        <w:t xml:space="preserve">ultimately, </w:t>
      </w:r>
      <w:r w:rsidRPr="00260A3F">
        <w:rPr>
          <w:rFonts w:cs="Times New Roman"/>
          <w:szCs w:val="24"/>
        </w:rPr>
        <w:t>the PUCO must “determine what is just and reasonable from the evidence presented at the hearing.”</w:t>
      </w:r>
      <w:r>
        <w:rPr>
          <w:rStyle w:val="FootnoteReference"/>
          <w:rFonts w:cs="Times New Roman"/>
          <w:szCs w:val="24"/>
        </w:rPr>
        <w:footnoteReference w:id="16"/>
      </w:r>
    </w:p>
    <w:p w:rsidR="00B70392" w:rsidRPr="00260A3F" w:rsidP="00B70392" w14:paraId="5C171F98" w14:textId="75683444">
      <w:pPr>
        <w:autoSpaceDE w:val="0"/>
        <w:autoSpaceDN w:val="0"/>
        <w:adjustRightInd w:val="0"/>
        <w:spacing w:after="0" w:line="480" w:lineRule="auto"/>
        <w:ind w:firstLine="720"/>
        <w:rPr>
          <w:rFonts w:cs="Times New Roman"/>
          <w:szCs w:val="24"/>
        </w:rPr>
      </w:pPr>
      <w:r w:rsidRPr="00260A3F">
        <w:rPr>
          <w:rFonts w:cs="Times New Roman"/>
          <w:szCs w:val="24"/>
        </w:rPr>
        <w:t xml:space="preserve">To answer </w:t>
      </w:r>
      <w:r w:rsidRPr="00260A3F" w:rsidR="009D25E5">
        <w:rPr>
          <w:rFonts w:cs="Times New Roman"/>
          <w:szCs w:val="24"/>
        </w:rPr>
        <w:t>this question, the PUCO has adopted the following three-prong test:</w:t>
      </w:r>
      <w:r>
        <w:rPr>
          <w:rFonts w:cs="Times New Roman"/>
          <w:szCs w:val="24"/>
          <w:vertAlign w:val="superscript"/>
        </w:rPr>
        <w:footnoteReference w:id="17"/>
      </w:r>
    </w:p>
    <w:p w:rsidR="00B70392" w:rsidRPr="00260A3F" w:rsidP="000C76D8" w14:paraId="7E23FCFF" w14:textId="77777777">
      <w:pPr>
        <w:numPr>
          <w:ilvl w:val="0"/>
          <w:numId w:val="13"/>
        </w:numPr>
        <w:autoSpaceDE w:val="0"/>
        <w:autoSpaceDN w:val="0"/>
        <w:adjustRightInd w:val="0"/>
        <w:spacing w:after="240" w:line="240" w:lineRule="auto"/>
        <w:ind w:left="1440" w:hanging="720"/>
        <w:rPr>
          <w:rFonts w:cs="Times New Roman"/>
          <w:szCs w:val="24"/>
        </w:rPr>
      </w:pPr>
      <w:r w:rsidRPr="00260A3F">
        <w:rPr>
          <w:rFonts w:cs="Times New Roman"/>
          <w:szCs w:val="24"/>
        </w:rPr>
        <w:t>Is the settlement a product of serious bargaining among capable, knowledgeable parties?</w:t>
      </w:r>
    </w:p>
    <w:p w:rsidR="00B70392" w:rsidRPr="00260A3F" w:rsidP="000C76D8" w14:paraId="45ADBE0B" w14:textId="77777777">
      <w:pPr>
        <w:numPr>
          <w:ilvl w:val="0"/>
          <w:numId w:val="13"/>
        </w:numPr>
        <w:autoSpaceDE w:val="0"/>
        <w:autoSpaceDN w:val="0"/>
        <w:adjustRightInd w:val="0"/>
        <w:spacing w:after="240" w:line="240" w:lineRule="auto"/>
        <w:ind w:left="1440" w:hanging="720"/>
        <w:rPr>
          <w:rFonts w:cs="Times New Roman"/>
          <w:szCs w:val="24"/>
        </w:rPr>
      </w:pPr>
      <w:r w:rsidRPr="00260A3F">
        <w:rPr>
          <w:rFonts w:cs="Times New Roman"/>
          <w:szCs w:val="24"/>
        </w:rPr>
        <w:t>Does the settlement, as a package, benefit customers and the public interest?</w:t>
      </w:r>
    </w:p>
    <w:p w:rsidR="00531C18" w:rsidP="00531C18" w14:paraId="27BC7AB1" w14:textId="1891D38B">
      <w:pPr>
        <w:numPr>
          <w:ilvl w:val="0"/>
          <w:numId w:val="13"/>
        </w:numPr>
        <w:spacing w:after="0" w:line="480" w:lineRule="auto"/>
        <w:ind w:left="1440" w:hanging="720"/>
        <w:rPr>
          <w:rFonts w:cs="Times New Roman"/>
          <w:szCs w:val="24"/>
        </w:rPr>
      </w:pPr>
      <w:r w:rsidRPr="00260A3F">
        <w:rPr>
          <w:rFonts w:cs="Times New Roman"/>
          <w:szCs w:val="24"/>
        </w:rPr>
        <w:t>Does the settlement violate any important regulatory principle or practice?</w:t>
      </w:r>
    </w:p>
    <w:p w:rsidR="00531C18" w14:paraId="2D6D3AD0" w14:textId="77777777">
      <w:pPr>
        <w:rPr>
          <w:rFonts w:cs="Times New Roman"/>
          <w:szCs w:val="24"/>
        </w:rPr>
      </w:pPr>
      <w:r>
        <w:rPr>
          <w:rFonts w:cs="Times New Roman"/>
          <w:szCs w:val="24"/>
        </w:rPr>
        <w:br w:type="page"/>
      </w:r>
    </w:p>
    <w:p w:rsidR="00314CCD" w:rsidP="00531C18" w14:paraId="53ECA98D" w14:textId="72562E7F">
      <w:pPr>
        <w:spacing w:after="0" w:line="480" w:lineRule="auto"/>
        <w:ind w:firstLine="720"/>
        <w:rPr>
          <w:rFonts w:cs="Times New Roman"/>
          <w:szCs w:val="24"/>
        </w:rPr>
      </w:pPr>
      <w:r w:rsidRPr="00260A3F">
        <w:rPr>
          <w:rFonts w:cs="Times New Roman"/>
          <w:szCs w:val="24"/>
        </w:rPr>
        <w:t xml:space="preserve">In considering the first prong, the PUCO </w:t>
      </w:r>
      <w:r w:rsidRPr="00260A3F" w:rsidR="007740C9">
        <w:rPr>
          <w:rFonts w:cs="Times New Roman"/>
          <w:szCs w:val="24"/>
        </w:rPr>
        <w:t xml:space="preserve">may also </w:t>
      </w:r>
      <w:r w:rsidRPr="00260A3F">
        <w:rPr>
          <w:rFonts w:cs="Times New Roman"/>
          <w:szCs w:val="24"/>
        </w:rPr>
        <w:t>evaluate the diversity of the signatory parties.</w:t>
      </w:r>
      <w:r>
        <w:rPr>
          <w:rStyle w:val="FootnoteReference"/>
          <w:rFonts w:cs="Times New Roman"/>
          <w:szCs w:val="24"/>
        </w:rPr>
        <w:footnoteReference w:id="18"/>
      </w:r>
    </w:p>
    <w:p w:rsidR="00531C18" w:rsidRPr="00260A3F" w:rsidP="00531C18" w14:paraId="6F42C348" w14:textId="77777777">
      <w:pPr>
        <w:spacing w:after="0" w:line="240" w:lineRule="auto"/>
        <w:ind w:firstLine="720"/>
        <w:rPr>
          <w:rFonts w:cs="Times New Roman"/>
          <w:szCs w:val="24"/>
        </w:rPr>
      </w:pPr>
    </w:p>
    <w:p w:rsidR="006C1EAB" w:rsidRPr="00260A3F" w:rsidP="00531C18" w14:paraId="3B9C1897" w14:textId="7964E5B6">
      <w:pPr>
        <w:pStyle w:val="Heading1"/>
      </w:pPr>
      <w:bookmarkStart w:id="6" w:name="_Toc74300285"/>
      <w:bookmarkStart w:id="7" w:name="_Toc74578028"/>
      <w:bookmarkStart w:id="8" w:name="_Toc121484988"/>
      <w:r w:rsidRPr="00260A3F">
        <w:t>THE SETTLEMENT SATISFIE</w:t>
      </w:r>
      <w:r w:rsidRPr="00260A3F" w:rsidR="007B4F88">
        <w:t>S</w:t>
      </w:r>
      <w:r w:rsidRPr="00260A3F">
        <w:t xml:space="preserve"> THE PUCO’S THREE-PRONG TEST AND IT SHOULD BE APPROVED WITHOUT MODIFICATION.</w:t>
      </w:r>
      <w:bookmarkEnd w:id="6"/>
      <w:bookmarkEnd w:id="7"/>
      <w:bookmarkEnd w:id="8"/>
    </w:p>
    <w:p w:rsidR="006C1EAB" w:rsidRPr="00260A3F" w:rsidP="00672E11" w14:paraId="261E068D" w14:textId="5074BD4D">
      <w:pPr>
        <w:pStyle w:val="Heading2"/>
      </w:pPr>
      <w:bookmarkStart w:id="9" w:name="_Toc74300286"/>
      <w:bookmarkStart w:id="10" w:name="_Toc74578029"/>
      <w:bookmarkStart w:id="11" w:name="_Toc121484989"/>
      <w:r>
        <w:t xml:space="preserve">Parties engaged in </w:t>
      </w:r>
      <w:r w:rsidR="00D36C9C">
        <w:t xml:space="preserve">serious </w:t>
      </w:r>
      <w:r>
        <w:t xml:space="preserve">negotiations for over five months to reach the Settlement. </w:t>
      </w:r>
      <w:r w:rsidRPr="00260A3F" w:rsidR="00F303B7">
        <w:t>The serious bargaining</w:t>
      </w:r>
      <w:r w:rsidR="00DB08F3">
        <w:t xml:space="preserve"> for the Settlement was</w:t>
      </w:r>
      <w:r w:rsidRPr="00260A3F" w:rsidR="00F303B7">
        <w:t xml:space="preserve"> among capable, knowledgeable parties with diverse interests.</w:t>
      </w:r>
      <w:bookmarkEnd w:id="9"/>
      <w:bookmarkEnd w:id="10"/>
      <w:bookmarkEnd w:id="11"/>
      <w:r w:rsidR="00326C85">
        <w:t xml:space="preserve"> </w:t>
      </w:r>
    </w:p>
    <w:p w:rsidR="006E28E1" w:rsidP="006E28E1" w14:paraId="0006EE4F" w14:textId="0E4D82A1">
      <w:pPr>
        <w:spacing w:after="0" w:line="480" w:lineRule="auto"/>
        <w:ind w:firstLine="720"/>
        <w:rPr>
          <w:rFonts w:cs="Times New Roman"/>
          <w:szCs w:val="24"/>
        </w:rPr>
      </w:pPr>
      <w:r w:rsidRPr="00260A3F">
        <w:rPr>
          <w:rFonts w:cs="Times New Roman"/>
          <w:szCs w:val="24"/>
        </w:rPr>
        <w:t>The evidence demonstrates that</w:t>
      </w:r>
      <w:r w:rsidRPr="00260A3F" w:rsidR="009D25E5">
        <w:rPr>
          <w:rFonts w:cs="Times New Roman"/>
          <w:szCs w:val="24"/>
        </w:rPr>
        <w:t xml:space="preserve"> </w:t>
      </w:r>
      <w:r w:rsidRPr="00260A3F">
        <w:rPr>
          <w:rFonts w:cs="Times New Roman"/>
          <w:szCs w:val="24"/>
        </w:rPr>
        <w:t>the</w:t>
      </w:r>
      <w:r w:rsidRPr="00260A3F" w:rsidR="00956129">
        <w:rPr>
          <w:rFonts w:cs="Times New Roman"/>
          <w:szCs w:val="24"/>
        </w:rPr>
        <w:t xml:space="preserve"> </w:t>
      </w:r>
      <w:r w:rsidRPr="00260A3F" w:rsidR="00E545EC">
        <w:rPr>
          <w:rFonts w:cs="Times New Roman"/>
          <w:szCs w:val="24"/>
        </w:rPr>
        <w:t>S</w:t>
      </w:r>
      <w:r w:rsidRPr="00260A3F" w:rsidR="00956129">
        <w:rPr>
          <w:rFonts w:cs="Times New Roman"/>
          <w:szCs w:val="24"/>
        </w:rPr>
        <w:t>ettlement satisfies the</w:t>
      </w:r>
      <w:r w:rsidRPr="00260A3F">
        <w:rPr>
          <w:rFonts w:cs="Times New Roman"/>
          <w:szCs w:val="24"/>
        </w:rPr>
        <w:t xml:space="preserve"> </w:t>
      </w:r>
      <w:r w:rsidRPr="00260A3F" w:rsidR="009D25E5">
        <w:rPr>
          <w:rFonts w:cs="Times New Roman"/>
          <w:szCs w:val="24"/>
        </w:rPr>
        <w:t>first prong of the</w:t>
      </w:r>
      <w:r w:rsidRPr="00260A3F">
        <w:rPr>
          <w:rFonts w:cs="Times New Roman"/>
          <w:szCs w:val="24"/>
        </w:rPr>
        <w:t xml:space="preserve"> PUCO’s</w:t>
      </w:r>
      <w:r w:rsidRPr="00260A3F" w:rsidR="009D25E5">
        <w:rPr>
          <w:rFonts w:cs="Times New Roman"/>
          <w:szCs w:val="24"/>
        </w:rPr>
        <w:t xml:space="preserve"> test</w:t>
      </w:r>
      <w:r w:rsidRPr="00260A3F">
        <w:rPr>
          <w:rFonts w:cs="Times New Roman"/>
          <w:szCs w:val="24"/>
        </w:rPr>
        <w:t xml:space="preserve"> for evaluating settlement</w:t>
      </w:r>
      <w:r w:rsidRPr="00260A3F" w:rsidR="00956129">
        <w:rPr>
          <w:rFonts w:cs="Times New Roman"/>
          <w:szCs w:val="24"/>
        </w:rPr>
        <w:t>s</w:t>
      </w:r>
      <w:r w:rsidR="00627D8A">
        <w:rPr>
          <w:rFonts w:cs="Times New Roman"/>
          <w:szCs w:val="24"/>
        </w:rPr>
        <w:t xml:space="preserve">. That test </w:t>
      </w:r>
      <w:r w:rsidRPr="00260A3F" w:rsidR="00357F68">
        <w:rPr>
          <w:rFonts w:cs="Times New Roman"/>
          <w:szCs w:val="24"/>
        </w:rPr>
        <w:t>considers</w:t>
      </w:r>
      <w:r w:rsidRPr="00260A3F" w:rsidR="00F4726E">
        <w:rPr>
          <w:rFonts w:cs="Times New Roman"/>
          <w:szCs w:val="24"/>
        </w:rPr>
        <w:t xml:space="preserve"> whether the Settlement is the product of serious bargaining among capable, knowledgeable parties</w:t>
      </w:r>
      <w:r w:rsidRPr="00260A3F" w:rsidR="009D25E5">
        <w:rPr>
          <w:rFonts w:cs="Times New Roman"/>
          <w:szCs w:val="24"/>
        </w:rPr>
        <w:t>.</w:t>
      </w:r>
      <w:r w:rsidR="000A182D">
        <w:rPr>
          <w:rFonts w:cs="Times New Roman"/>
          <w:szCs w:val="24"/>
        </w:rPr>
        <w:t xml:space="preserve"> </w:t>
      </w:r>
    </w:p>
    <w:p w:rsidR="00247C76" w:rsidRPr="00260A3F" w:rsidP="006E28E1" w14:paraId="67302A9C" w14:textId="665F66FD">
      <w:pPr>
        <w:spacing w:after="0" w:line="480" w:lineRule="auto"/>
        <w:ind w:firstLine="720"/>
        <w:rPr>
          <w:rFonts w:cs="Times New Roman"/>
          <w:szCs w:val="24"/>
        </w:rPr>
      </w:pPr>
      <w:r>
        <w:rPr>
          <w:rFonts w:cs="Times New Roman"/>
          <w:szCs w:val="24"/>
        </w:rPr>
        <w:t>Serious bargaining is reflected by the</w:t>
      </w:r>
      <w:r w:rsidRPr="00260A3F" w:rsidR="006E28E1">
        <w:rPr>
          <w:rFonts w:cs="Times New Roman"/>
          <w:szCs w:val="24"/>
        </w:rPr>
        <w:t xml:space="preserve"> signatory parties to the Settlement represent</w:t>
      </w:r>
      <w:r>
        <w:rPr>
          <w:rFonts w:cs="Times New Roman"/>
          <w:szCs w:val="24"/>
        </w:rPr>
        <w:t>ing</w:t>
      </w:r>
      <w:r w:rsidRPr="00260A3F" w:rsidR="006E28E1">
        <w:rPr>
          <w:rFonts w:cs="Times New Roman"/>
          <w:szCs w:val="24"/>
        </w:rPr>
        <w:t xml:space="preserve"> diverse interests. The signatory parties include: OCC; </w:t>
      </w:r>
      <w:r w:rsidR="006E28E1">
        <w:rPr>
          <w:rFonts w:cs="Times New Roman"/>
          <w:szCs w:val="24"/>
        </w:rPr>
        <w:t>Columbia</w:t>
      </w:r>
      <w:r w:rsidRPr="00260A3F" w:rsidR="006E28E1">
        <w:rPr>
          <w:rFonts w:cs="Times New Roman"/>
          <w:szCs w:val="24"/>
        </w:rPr>
        <w:t>; the PUCO Staff;</w:t>
      </w:r>
      <w:r w:rsidR="006E28E1">
        <w:rPr>
          <w:rFonts w:cs="Times New Roman"/>
          <w:szCs w:val="24"/>
        </w:rPr>
        <w:t xml:space="preserve"> NOPEC; Ohio Schools Council</w:t>
      </w:r>
      <w:r w:rsidRPr="00260A3F" w:rsidR="006E28E1">
        <w:rPr>
          <w:rFonts w:cs="Times New Roman"/>
          <w:szCs w:val="24"/>
        </w:rPr>
        <w:t>; Industrial Energy Users – Ohio; Ohio Manufacturers’ Association Energy Group; The Kroger Co</w:t>
      </w:r>
      <w:r w:rsidR="006E28E1">
        <w:rPr>
          <w:rFonts w:cs="Times New Roman"/>
          <w:szCs w:val="24"/>
        </w:rPr>
        <w:t>.</w:t>
      </w:r>
      <w:r w:rsidRPr="00260A3F" w:rsidR="006E28E1">
        <w:rPr>
          <w:rFonts w:cs="Times New Roman"/>
          <w:szCs w:val="24"/>
        </w:rPr>
        <w:t>;</w:t>
      </w:r>
      <w:r w:rsidR="006E28E1">
        <w:rPr>
          <w:rFonts w:cs="Times New Roman"/>
          <w:szCs w:val="24"/>
        </w:rPr>
        <w:t xml:space="preserve"> Ohio Energy Group; the Retail Energy Supply Association; and Interstate Gas Supply, Inc</w:t>
      </w:r>
      <w:r w:rsidRPr="00260A3F" w:rsidR="006E28E1">
        <w:rPr>
          <w:rFonts w:cs="Times New Roman"/>
          <w:szCs w:val="24"/>
        </w:rPr>
        <w:t>.</w:t>
      </w:r>
      <w:r>
        <w:rPr>
          <w:rStyle w:val="FootnoteReference"/>
          <w:rFonts w:cs="Times New Roman"/>
          <w:szCs w:val="24"/>
        </w:rPr>
        <w:footnoteReference w:id="19"/>
      </w:r>
      <w:r w:rsidRPr="00260A3F" w:rsidR="006E28E1">
        <w:rPr>
          <w:rFonts w:cs="Times New Roman"/>
          <w:szCs w:val="24"/>
        </w:rPr>
        <w:t xml:space="preserve"> Together, these parties represent the interests of the utility, </w:t>
      </w:r>
      <w:r w:rsidR="006E28E1">
        <w:rPr>
          <w:rFonts w:cs="Times New Roman"/>
          <w:szCs w:val="24"/>
        </w:rPr>
        <w:t>Columbia’s</w:t>
      </w:r>
      <w:r w:rsidRPr="00260A3F" w:rsidR="006E28E1">
        <w:rPr>
          <w:rFonts w:cs="Times New Roman"/>
          <w:szCs w:val="24"/>
        </w:rPr>
        <w:t xml:space="preserve"> residential and nonresidential consumers,</w:t>
      </w:r>
      <w:r w:rsidR="006E28E1">
        <w:rPr>
          <w:rFonts w:cs="Times New Roman"/>
          <w:szCs w:val="24"/>
        </w:rPr>
        <w:t xml:space="preserve"> governmental aggregators, Ohio schools served by Columbia,</w:t>
      </w:r>
      <w:r w:rsidRPr="00260A3F" w:rsidR="006E28E1">
        <w:rPr>
          <w:rFonts w:cs="Times New Roman"/>
          <w:szCs w:val="24"/>
        </w:rPr>
        <w:t xml:space="preserve"> </w:t>
      </w:r>
      <w:r w:rsidR="006E28E1">
        <w:rPr>
          <w:rFonts w:cs="Times New Roman"/>
          <w:szCs w:val="24"/>
        </w:rPr>
        <w:t>a</w:t>
      </w:r>
      <w:r w:rsidRPr="00260A3F" w:rsidR="006E28E1">
        <w:rPr>
          <w:rFonts w:cs="Times New Roman"/>
          <w:szCs w:val="24"/>
        </w:rPr>
        <w:t xml:space="preserve"> large supermarket chain,</w:t>
      </w:r>
      <w:r w:rsidR="006E28E1">
        <w:rPr>
          <w:rFonts w:cs="Times New Roman"/>
          <w:szCs w:val="24"/>
        </w:rPr>
        <w:t xml:space="preserve"> and natural gas marketers</w:t>
      </w:r>
      <w:r w:rsidRPr="00260A3F" w:rsidR="006E28E1">
        <w:rPr>
          <w:rFonts w:cs="Times New Roman"/>
          <w:szCs w:val="24"/>
        </w:rPr>
        <w:t>.</w:t>
      </w:r>
    </w:p>
    <w:p w:rsidR="00B023DD" w:rsidRPr="00260A3F" w:rsidP="0091059B" w14:paraId="1325BD67" w14:textId="5F674323">
      <w:pPr>
        <w:spacing w:after="0" w:line="480" w:lineRule="auto"/>
        <w:ind w:firstLine="720"/>
        <w:rPr>
          <w:rFonts w:cs="Times New Roman"/>
          <w:szCs w:val="24"/>
        </w:rPr>
      </w:pPr>
      <w:r w:rsidRPr="00260A3F">
        <w:rPr>
          <w:rFonts w:cs="Times New Roman"/>
          <w:szCs w:val="24"/>
        </w:rPr>
        <w:t xml:space="preserve">OCC witness </w:t>
      </w:r>
      <w:r w:rsidR="00AA734A">
        <w:rPr>
          <w:rFonts w:cs="Times New Roman"/>
          <w:szCs w:val="24"/>
        </w:rPr>
        <w:t xml:space="preserve">Kerry </w:t>
      </w:r>
      <w:r w:rsidR="00BB470E">
        <w:rPr>
          <w:rFonts w:cs="Times New Roman"/>
          <w:szCs w:val="24"/>
        </w:rPr>
        <w:t>Adkins</w:t>
      </w:r>
      <w:r w:rsidRPr="00260A3F">
        <w:rPr>
          <w:rFonts w:cs="Times New Roman"/>
          <w:szCs w:val="24"/>
        </w:rPr>
        <w:t xml:space="preserve"> testified </w:t>
      </w:r>
      <w:r w:rsidRPr="00260A3F" w:rsidR="002D1B6C">
        <w:rPr>
          <w:rFonts w:cs="Times New Roman"/>
          <w:szCs w:val="24"/>
        </w:rPr>
        <w:t>that</w:t>
      </w:r>
      <w:r w:rsidR="00BB470E">
        <w:rPr>
          <w:rFonts w:cs="Times New Roman"/>
          <w:szCs w:val="24"/>
        </w:rPr>
        <w:t xml:space="preserve"> he part</w:t>
      </w:r>
      <w:r w:rsidR="0056327C">
        <w:rPr>
          <w:rFonts w:cs="Times New Roman"/>
          <w:szCs w:val="24"/>
        </w:rPr>
        <w:t xml:space="preserve">icipated in </w:t>
      </w:r>
      <w:r w:rsidR="00BB470E">
        <w:rPr>
          <w:rFonts w:cs="Times New Roman"/>
          <w:szCs w:val="24"/>
        </w:rPr>
        <w:t xml:space="preserve">the settlement negotiations </w:t>
      </w:r>
      <w:r w:rsidR="0056327C">
        <w:rPr>
          <w:rFonts w:cs="Times New Roman"/>
          <w:szCs w:val="24"/>
        </w:rPr>
        <w:t>on behalf of OCC</w:t>
      </w:r>
      <w:r w:rsidR="00BB470E">
        <w:rPr>
          <w:rFonts w:cs="Times New Roman"/>
          <w:szCs w:val="24"/>
        </w:rPr>
        <w:t>.</w:t>
      </w:r>
      <w:r>
        <w:rPr>
          <w:rStyle w:val="FootnoteReference"/>
          <w:rFonts w:cs="Times New Roman"/>
          <w:szCs w:val="24"/>
        </w:rPr>
        <w:footnoteReference w:id="20"/>
      </w:r>
      <w:r w:rsidRPr="00260A3F" w:rsidR="002D1B6C">
        <w:rPr>
          <w:rFonts w:cs="Times New Roman"/>
          <w:szCs w:val="24"/>
        </w:rPr>
        <w:t xml:space="preserve"> </w:t>
      </w:r>
      <w:r w:rsidR="00BB470E">
        <w:rPr>
          <w:rFonts w:cs="Times New Roman"/>
          <w:szCs w:val="24"/>
        </w:rPr>
        <w:t xml:space="preserve">Mr. Adkins testified that </w:t>
      </w:r>
      <w:r w:rsidRPr="00260A3F" w:rsidR="002D1B6C">
        <w:rPr>
          <w:rFonts w:cs="Times New Roman"/>
          <w:szCs w:val="24"/>
        </w:rPr>
        <w:t>parties spent significant time</w:t>
      </w:r>
      <w:r w:rsidRPr="00260A3F" w:rsidR="00444919">
        <w:rPr>
          <w:rFonts w:cs="Times New Roman"/>
          <w:szCs w:val="24"/>
        </w:rPr>
        <w:t xml:space="preserve"> over the course of </w:t>
      </w:r>
      <w:r w:rsidR="00BB470E">
        <w:rPr>
          <w:rFonts w:cs="Times New Roman"/>
          <w:szCs w:val="24"/>
        </w:rPr>
        <w:t>about</w:t>
      </w:r>
      <w:r w:rsidRPr="00260A3F" w:rsidR="00444919">
        <w:rPr>
          <w:rFonts w:cs="Times New Roman"/>
          <w:szCs w:val="24"/>
        </w:rPr>
        <w:t xml:space="preserve"> </w:t>
      </w:r>
      <w:r w:rsidR="00BB470E">
        <w:rPr>
          <w:rFonts w:cs="Times New Roman"/>
          <w:szCs w:val="24"/>
        </w:rPr>
        <w:t>five</w:t>
      </w:r>
      <w:r w:rsidRPr="00260A3F" w:rsidR="00444919">
        <w:rPr>
          <w:rFonts w:cs="Times New Roman"/>
          <w:szCs w:val="24"/>
        </w:rPr>
        <w:t xml:space="preserve"> months negotiating the </w:t>
      </w:r>
      <w:r w:rsidRPr="00260A3F" w:rsidR="00E545EC">
        <w:rPr>
          <w:rFonts w:cs="Times New Roman"/>
          <w:szCs w:val="24"/>
        </w:rPr>
        <w:t>S</w:t>
      </w:r>
      <w:r w:rsidRPr="00260A3F" w:rsidR="00444919">
        <w:rPr>
          <w:rFonts w:cs="Times New Roman"/>
          <w:szCs w:val="24"/>
        </w:rPr>
        <w:t>ettlement.</w:t>
      </w:r>
      <w:r>
        <w:rPr>
          <w:rStyle w:val="FootnoteReference"/>
          <w:rFonts w:cs="Times New Roman"/>
          <w:szCs w:val="24"/>
        </w:rPr>
        <w:footnoteReference w:id="21"/>
      </w:r>
      <w:r w:rsidR="00BB470E">
        <w:rPr>
          <w:rFonts w:cs="Times New Roman"/>
          <w:szCs w:val="24"/>
        </w:rPr>
        <w:t xml:space="preserve"> A</w:t>
      </w:r>
      <w:r w:rsidR="0056327C">
        <w:rPr>
          <w:rFonts w:cs="Times New Roman"/>
          <w:szCs w:val="24"/>
        </w:rPr>
        <w:t>ccording to</w:t>
      </w:r>
      <w:r w:rsidRPr="00260A3F" w:rsidR="00444919">
        <w:rPr>
          <w:rFonts w:cs="Times New Roman"/>
          <w:szCs w:val="24"/>
        </w:rPr>
        <w:t xml:space="preserve"> Mr. </w:t>
      </w:r>
      <w:r w:rsidR="00BB470E">
        <w:rPr>
          <w:rFonts w:cs="Times New Roman"/>
          <w:szCs w:val="24"/>
        </w:rPr>
        <w:t>Adkins</w:t>
      </w:r>
      <w:r w:rsidR="0056327C">
        <w:rPr>
          <w:rFonts w:cs="Times New Roman"/>
          <w:szCs w:val="24"/>
        </w:rPr>
        <w:t>, there were many hours of virtual and in-person meetings where parties were invited to attend and participate.</w:t>
      </w:r>
      <w:r>
        <w:rPr>
          <w:rStyle w:val="FootnoteReference"/>
          <w:rFonts w:cs="Times New Roman"/>
          <w:szCs w:val="24"/>
        </w:rPr>
        <w:footnoteReference w:id="22"/>
      </w:r>
      <w:r w:rsidR="0056327C">
        <w:rPr>
          <w:rFonts w:cs="Times New Roman"/>
          <w:szCs w:val="24"/>
        </w:rPr>
        <w:t xml:space="preserve"> Mr. Adkins</w:t>
      </w:r>
      <w:r w:rsidRPr="00260A3F" w:rsidR="00444919">
        <w:rPr>
          <w:rFonts w:cs="Times New Roman"/>
          <w:szCs w:val="24"/>
        </w:rPr>
        <w:t xml:space="preserve"> testified that</w:t>
      </w:r>
      <w:r w:rsidRPr="00260A3F" w:rsidR="009D25E5">
        <w:rPr>
          <w:rFonts w:cs="Times New Roman"/>
          <w:szCs w:val="24"/>
        </w:rPr>
        <w:t> the</w:t>
      </w:r>
      <w:r w:rsidRPr="00260A3F" w:rsidR="00F4726E">
        <w:rPr>
          <w:rFonts w:cs="Times New Roman"/>
          <w:szCs w:val="24"/>
        </w:rPr>
        <w:t xml:space="preserve"> signatory</w:t>
      </w:r>
      <w:r w:rsidRPr="00260A3F" w:rsidR="009D25E5">
        <w:rPr>
          <w:rFonts w:cs="Times New Roman"/>
          <w:szCs w:val="24"/>
        </w:rPr>
        <w:t xml:space="preserve"> parties</w:t>
      </w:r>
      <w:r w:rsidRPr="00260A3F" w:rsidR="00BF6E90">
        <w:rPr>
          <w:rFonts w:cs="Times New Roman"/>
          <w:szCs w:val="24"/>
        </w:rPr>
        <w:t xml:space="preserve"> have a history of active participation in proceedings before the PUCO and</w:t>
      </w:r>
      <w:r w:rsidRPr="00260A3F" w:rsidR="009D25E5">
        <w:rPr>
          <w:rFonts w:cs="Times New Roman"/>
          <w:szCs w:val="24"/>
        </w:rPr>
        <w:t xml:space="preserve"> were represented by experienced and competent counsel</w:t>
      </w:r>
      <w:r w:rsidRPr="00260A3F" w:rsidR="00BF6E90">
        <w:rPr>
          <w:rFonts w:cs="Times New Roman"/>
          <w:szCs w:val="24"/>
        </w:rPr>
        <w:t>.</w:t>
      </w:r>
      <w:r>
        <w:rPr>
          <w:rStyle w:val="FootnoteReference"/>
          <w:rFonts w:cs="Times New Roman"/>
          <w:szCs w:val="24"/>
        </w:rPr>
        <w:footnoteReference w:id="23"/>
      </w:r>
      <w:r w:rsidRPr="00260A3F" w:rsidR="009D25E5">
        <w:rPr>
          <w:rFonts w:cs="Times New Roman"/>
          <w:szCs w:val="24"/>
        </w:rPr>
        <w:t xml:space="preserve"> </w:t>
      </w:r>
    </w:p>
    <w:p w:rsidR="00394858" w:rsidRPr="00260A3F" w:rsidP="00FC5CBA" w14:paraId="5652AF3E" w14:textId="47CFC5C5">
      <w:pPr>
        <w:spacing w:after="0" w:line="480" w:lineRule="auto"/>
        <w:ind w:firstLine="720"/>
        <w:rPr>
          <w:rFonts w:cs="Times New Roman"/>
          <w:szCs w:val="24"/>
        </w:rPr>
      </w:pPr>
      <w:r>
        <w:t>I</w:t>
      </w:r>
      <w:r w:rsidR="00AE1E60">
        <w:rPr>
          <w:rFonts w:cs="Times New Roman"/>
          <w:szCs w:val="24"/>
        </w:rPr>
        <w:t>n addition to OCC witness Adkins</w:t>
      </w:r>
      <w:r w:rsidR="00695107">
        <w:rPr>
          <w:rFonts w:cs="Times New Roman"/>
          <w:szCs w:val="24"/>
        </w:rPr>
        <w:t>’ testimony</w:t>
      </w:r>
      <w:r>
        <w:rPr>
          <w:rFonts w:cs="Times New Roman"/>
          <w:szCs w:val="24"/>
        </w:rPr>
        <w:t>,</w:t>
      </w:r>
      <w:r w:rsidR="00AE1E60">
        <w:rPr>
          <w:rFonts w:cs="Times New Roman"/>
          <w:szCs w:val="24"/>
        </w:rPr>
        <w:t xml:space="preserve"> </w:t>
      </w:r>
      <w:r w:rsidR="00807924">
        <w:rPr>
          <w:rFonts w:cs="Times New Roman"/>
          <w:szCs w:val="24"/>
        </w:rPr>
        <w:t>Columbia</w:t>
      </w:r>
      <w:r w:rsidRPr="00260A3F" w:rsidR="009D25E5">
        <w:rPr>
          <w:rFonts w:cs="Times New Roman"/>
          <w:szCs w:val="24"/>
        </w:rPr>
        <w:t xml:space="preserve"> witness </w:t>
      </w:r>
      <w:r w:rsidR="00807924">
        <w:rPr>
          <w:rFonts w:cs="Times New Roman"/>
          <w:szCs w:val="24"/>
        </w:rPr>
        <w:t>Thompson</w:t>
      </w:r>
      <w:r w:rsidRPr="00260A3F" w:rsidR="009D25E5">
        <w:rPr>
          <w:rFonts w:cs="Times New Roman"/>
          <w:szCs w:val="24"/>
        </w:rPr>
        <w:t xml:space="preserve"> </w:t>
      </w:r>
      <w:r w:rsidRPr="00260A3F" w:rsidR="002D0A99">
        <w:rPr>
          <w:rFonts w:cs="Times New Roman"/>
          <w:szCs w:val="24"/>
        </w:rPr>
        <w:t xml:space="preserve">and PUCO Staff witness Lipthratt </w:t>
      </w:r>
      <w:r w:rsidRPr="00260A3F" w:rsidR="009D25E5">
        <w:rPr>
          <w:rFonts w:cs="Times New Roman"/>
          <w:szCs w:val="24"/>
        </w:rPr>
        <w:t>testified that the Settlement meets the first prong of the PUCO’s settlement test.</w:t>
      </w:r>
      <w:r>
        <w:rPr>
          <w:rStyle w:val="FootnoteReference"/>
          <w:rFonts w:cs="Times New Roman"/>
          <w:szCs w:val="24"/>
        </w:rPr>
        <w:footnoteReference w:id="24"/>
      </w:r>
      <w:r w:rsidRPr="00260A3F" w:rsidR="00A838AA">
        <w:rPr>
          <w:rFonts w:cs="Times New Roman"/>
          <w:szCs w:val="24"/>
        </w:rPr>
        <w:t xml:space="preserve"> </w:t>
      </w:r>
      <w:r w:rsidR="00C6417A">
        <w:rPr>
          <w:rFonts w:cs="Times New Roman"/>
          <w:szCs w:val="24"/>
        </w:rPr>
        <w:t xml:space="preserve">Ms. Thompson testified that there were </w:t>
      </w:r>
      <w:r w:rsidRPr="00593C6B" w:rsidR="00C6417A">
        <w:rPr>
          <w:rFonts w:cs="Times New Roman"/>
          <w:i/>
          <w:iCs/>
          <w:szCs w:val="24"/>
        </w:rPr>
        <w:t>over 40</w:t>
      </w:r>
      <w:r w:rsidR="00C6417A">
        <w:rPr>
          <w:rFonts w:cs="Times New Roman"/>
          <w:szCs w:val="24"/>
        </w:rPr>
        <w:t xml:space="preserve"> settlement meetings </w:t>
      </w:r>
      <w:r>
        <w:rPr>
          <w:rFonts w:cs="Times New Roman"/>
          <w:szCs w:val="24"/>
        </w:rPr>
        <w:t xml:space="preserve">over five and a half months </w:t>
      </w:r>
      <w:r w:rsidR="00C6417A">
        <w:rPr>
          <w:rFonts w:cs="Times New Roman"/>
          <w:szCs w:val="24"/>
        </w:rPr>
        <w:t xml:space="preserve">that resulted in the </w:t>
      </w:r>
      <w:r w:rsidR="004A29CE">
        <w:rPr>
          <w:rFonts w:cs="Times New Roman"/>
          <w:szCs w:val="24"/>
        </w:rPr>
        <w:t>S</w:t>
      </w:r>
      <w:r w:rsidR="00C6417A">
        <w:rPr>
          <w:rFonts w:cs="Times New Roman"/>
          <w:szCs w:val="24"/>
        </w:rPr>
        <w:t>ettlement.</w:t>
      </w:r>
      <w:r>
        <w:rPr>
          <w:rStyle w:val="FootnoteReference"/>
          <w:rFonts w:cs="Times New Roman"/>
          <w:szCs w:val="24"/>
        </w:rPr>
        <w:footnoteReference w:id="25"/>
      </w:r>
      <w:r w:rsidR="00C6417A">
        <w:rPr>
          <w:rFonts w:cs="Times New Roman"/>
          <w:szCs w:val="24"/>
        </w:rPr>
        <w:t xml:space="preserve"> According to Ms. Thompson, Columbia schedule</w:t>
      </w:r>
      <w:r>
        <w:rPr>
          <w:rFonts w:cs="Times New Roman"/>
          <w:szCs w:val="24"/>
        </w:rPr>
        <w:t>d</w:t>
      </w:r>
      <w:r w:rsidR="00C6417A">
        <w:rPr>
          <w:rFonts w:cs="Times New Roman"/>
          <w:szCs w:val="24"/>
        </w:rPr>
        <w:t xml:space="preserve"> settlement negotiation meetings </w:t>
      </w:r>
      <w:r w:rsidR="004A29CE">
        <w:rPr>
          <w:rFonts w:cs="Times New Roman"/>
          <w:szCs w:val="24"/>
        </w:rPr>
        <w:t xml:space="preserve">to occur </w:t>
      </w:r>
      <w:r w:rsidR="00C6417A">
        <w:rPr>
          <w:rFonts w:cs="Times New Roman"/>
          <w:szCs w:val="24"/>
        </w:rPr>
        <w:t>twice weekly beginning on May 16, 2022 until the settlement was filed on October 31, 2022.</w:t>
      </w:r>
      <w:r>
        <w:rPr>
          <w:rStyle w:val="FootnoteReference"/>
          <w:rFonts w:cs="Times New Roman"/>
          <w:szCs w:val="24"/>
        </w:rPr>
        <w:footnoteReference w:id="26"/>
      </w:r>
      <w:r w:rsidR="00C6417A">
        <w:rPr>
          <w:rFonts w:cs="Times New Roman"/>
          <w:szCs w:val="24"/>
        </w:rPr>
        <w:t xml:space="preserve"> </w:t>
      </w:r>
      <w:r w:rsidR="00A4135E">
        <w:rPr>
          <w:rFonts w:cs="Times New Roman"/>
          <w:szCs w:val="24"/>
        </w:rPr>
        <w:t>PUCO Staff witness Lipthratt</w:t>
      </w:r>
      <w:r w:rsidR="00706978">
        <w:rPr>
          <w:rFonts w:cs="Times New Roman"/>
          <w:szCs w:val="24"/>
        </w:rPr>
        <w:t xml:space="preserve"> testified that the “</w:t>
      </w:r>
      <w:r w:rsidR="000D13AF">
        <w:rPr>
          <w:rFonts w:cs="Times New Roman"/>
          <w:szCs w:val="24"/>
        </w:rPr>
        <w:t>extensive negotiations among the parties and the Stipulation represents a comprehensive compromise of the issues raised by parties with diverse interests.”</w:t>
      </w:r>
      <w:r>
        <w:rPr>
          <w:rStyle w:val="FootnoteReference"/>
          <w:rFonts w:cs="Times New Roman"/>
          <w:szCs w:val="24"/>
        </w:rPr>
        <w:footnoteReference w:id="27"/>
      </w:r>
      <w:r w:rsidR="004009C1">
        <w:rPr>
          <w:rFonts w:cs="Times New Roman"/>
          <w:szCs w:val="24"/>
        </w:rPr>
        <w:t xml:space="preserve"> </w:t>
      </w:r>
      <w:r w:rsidR="00A06963">
        <w:rPr>
          <w:rFonts w:cs="Times New Roman"/>
          <w:szCs w:val="24"/>
        </w:rPr>
        <w:t xml:space="preserve">The major changes from the Application to the final Settlement are the result of these serious negotiations. </w:t>
      </w:r>
    </w:p>
    <w:p w:rsidR="00A84C6A" w:rsidP="00376E35" w14:paraId="10A7C966" w14:textId="77777777">
      <w:pPr>
        <w:spacing w:after="0" w:line="480" w:lineRule="auto"/>
        <w:ind w:firstLine="720"/>
      </w:pPr>
      <w:r>
        <w:t xml:space="preserve">Ohio Partners for Affordable Energy (“OPAE”) and Citizens Utility Board of Ohio (“CUB Ohio”) oppose the Settlement. However, </w:t>
      </w:r>
      <w:r w:rsidR="00751A5A">
        <w:t xml:space="preserve">neither </w:t>
      </w:r>
      <w:r>
        <w:t xml:space="preserve">OPAE </w:t>
      </w:r>
      <w:r w:rsidR="00751A5A">
        <w:t>nor</w:t>
      </w:r>
      <w:r>
        <w:t xml:space="preserve"> CUB Ohio presented evidence to challenge the Settlement under prong one of the PUCO’s three-part test.</w:t>
      </w:r>
      <w:r>
        <w:rPr>
          <w:rStyle w:val="FootnoteReference"/>
        </w:rPr>
        <w:footnoteReference w:id="28"/>
      </w:r>
      <w:r>
        <w:t xml:space="preserve"> </w:t>
      </w:r>
    </w:p>
    <w:p w:rsidR="00376E35" w:rsidRPr="00260A3F" w:rsidP="00376E35" w14:paraId="6B8BEF39" w14:textId="6906B0A3">
      <w:pPr>
        <w:spacing w:after="0" w:line="480" w:lineRule="auto"/>
        <w:ind w:firstLine="720"/>
        <w:rPr>
          <w:rFonts w:cs="Times New Roman"/>
          <w:szCs w:val="24"/>
        </w:rPr>
      </w:pPr>
      <w:r>
        <w:rPr>
          <w:rFonts w:cs="Times New Roman"/>
          <w:szCs w:val="24"/>
        </w:rPr>
        <w:t xml:space="preserve">The Environmental Law and Policy Center (“ELPC”) </w:t>
      </w:r>
      <w:r w:rsidR="00751A5A">
        <w:rPr>
          <w:rFonts w:cs="Times New Roman"/>
          <w:szCs w:val="24"/>
        </w:rPr>
        <w:t>also</w:t>
      </w:r>
      <w:r>
        <w:rPr>
          <w:rFonts w:cs="Times New Roman"/>
          <w:szCs w:val="24"/>
        </w:rPr>
        <w:t xml:space="preserve"> opposes the Settlement.</w:t>
      </w:r>
      <w:r w:rsidR="00E36793">
        <w:rPr>
          <w:rFonts w:cs="Times New Roman"/>
          <w:szCs w:val="24"/>
        </w:rPr>
        <w:t xml:space="preserve"> ELPC presented </w:t>
      </w:r>
      <w:r w:rsidR="00BE0A58">
        <w:rPr>
          <w:rFonts w:cs="Times New Roman"/>
          <w:szCs w:val="24"/>
        </w:rPr>
        <w:t xml:space="preserve">the </w:t>
      </w:r>
      <w:r w:rsidR="00E36793">
        <w:rPr>
          <w:rFonts w:cs="Times New Roman"/>
          <w:szCs w:val="24"/>
        </w:rPr>
        <w:t xml:space="preserve">testimony </w:t>
      </w:r>
      <w:r w:rsidR="00BE0A58">
        <w:rPr>
          <w:rFonts w:cs="Times New Roman"/>
          <w:szCs w:val="24"/>
        </w:rPr>
        <w:t>of Karl R</w:t>
      </w:r>
      <w:r w:rsidR="00A84C6A">
        <w:rPr>
          <w:rFonts w:cs="Times New Roman"/>
          <w:szCs w:val="24"/>
        </w:rPr>
        <w:t>á</w:t>
      </w:r>
      <w:r w:rsidR="00BE0A58">
        <w:rPr>
          <w:rFonts w:cs="Times New Roman"/>
          <w:szCs w:val="24"/>
        </w:rPr>
        <w:t>bago</w:t>
      </w:r>
      <w:r w:rsidR="00A84C6A">
        <w:rPr>
          <w:rFonts w:cs="Times New Roman"/>
          <w:szCs w:val="24"/>
        </w:rPr>
        <w:t>,</w:t>
      </w:r>
      <w:r w:rsidR="00BE0A58">
        <w:rPr>
          <w:rFonts w:cs="Times New Roman"/>
          <w:szCs w:val="24"/>
        </w:rPr>
        <w:t xml:space="preserve"> who </w:t>
      </w:r>
      <w:r w:rsidR="00A84C6A">
        <w:rPr>
          <w:rFonts w:cs="Times New Roman"/>
          <w:szCs w:val="24"/>
        </w:rPr>
        <w:t>claims</w:t>
      </w:r>
      <w:r w:rsidR="00BE0A58">
        <w:rPr>
          <w:rFonts w:cs="Times New Roman"/>
          <w:szCs w:val="24"/>
        </w:rPr>
        <w:t xml:space="preserve"> “there is no objective and verifiable eviden</w:t>
      </w:r>
      <w:r w:rsidR="00A84C6A">
        <w:rPr>
          <w:rFonts w:cs="Times New Roman"/>
          <w:szCs w:val="24"/>
        </w:rPr>
        <w:t>ce that the proposed settlement is the result of serious bargaining</w:t>
      </w:r>
      <w:r>
        <w:rPr>
          <w:rFonts w:cs="Times New Roman"/>
          <w:szCs w:val="24"/>
        </w:rPr>
        <w:t>.</w:t>
      </w:r>
      <w:r w:rsidR="00A84C6A">
        <w:rPr>
          <w:rFonts w:cs="Times New Roman"/>
          <w:szCs w:val="24"/>
        </w:rPr>
        <w:t>”</w:t>
      </w:r>
      <w:r>
        <w:rPr>
          <w:rStyle w:val="FootnoteReference"/>
          <w:rFonts w:cs="Times New Roman"/>
          <w:szCs w:val="24"/>
        </w:rPr>
        <w:footnoteReference w:id="29"/>
      </w:r>
      <w:r w:rsidR="00A84C6A">
        <w:rPr>
          <w:rFonts w:cs="Times New Roman"/>
          <w:szCs w:val="24"/>
        </w:rPr>
        <w:t xml:space="preserve"> That is </w:t>
      </w:r>
      <w:r w:rsidR="006E28E1">
        <w:rPr>
          <w:rFonts w:cs="Times New Roman"/>
          <w:szCs w:val="24"/>
        </w:rPr>
        <w:t>not accurate</w:t>
      </w:r>
      <w:r w:rsidR="00A84C6A">
        <w:rPr>
          <w:rFonts w:cs="Times New Roman"/>
          <w:szCs w:val="24"/>
        </w:rPr>
        <w:t>.</w:t>
      </w:r>
      <w:r>
        <w:rPr>
          <w:rFonts w:cs="Times New Roman"/>
          <w:szCs w:val="24"/>
        </w:rPr>
        <w:t xml:space="preserve"> </w:t>
      </w:r>
      <w:r w:rsidR="006E28E1">
        <w:rPr>
          <w:rFonts w:cs="Times New Roman"/>
          <w:szCs w:val="24"/>
        </w:rPr>
        <w:t>As described above, t</w:t>
      </w:r>
      <w:r>
        <w:rPr>
          <w:rFonts w:cs="Times New Roman"/>
          <w:szCs w:val="24"/>
        </w:rPr>
        <w:t xml:space="preserve">he evidence presented by OCC, Columbia, and the PUCO Staff demonstrates that the </w:t>
      </w:r>
      <w:r w:rsidRPr="00260A3F">
        <w:rPr>
          <w:rFonts w:cs="Times New Roman"/>
          <w:szCs w:val="24"/>
        </w:rPr>
        <w:t>Settlement is the product of serious negotiations among knowledgeable, capable parties</w:t>
      </w:r>
      <w:r w:rsidR="000D79AC">
        <w:rPr>
          <w:rFonts w:cs="Times New Roman"/>
          <w:szCs w:val="24"/>
        </w:rPr>
        <w:t>, who have diverse interests</w:t>
      </w:r>
      <w:r w:rsidRPr="00260A3F">
        <w:rPr>
          <w:rFonts w:cs="Times New Roman"/>
          <w:szCs w:val="24"/>
        </w:rPr>
        <w:t>.</w:t>
      </w:r>
      <w:r>
        <w:rPr>
          <w:rFonts w:cs="Times New Roman"/>
          <w:szCs w:val="24"/>
        </w:rPr>
        <w:t xml:space="preserve"> </w:t>
      </w:r>
      <w:r w:rsidR="00A84C6A">
        <w:rPr>
          <w:rFonts w:cs="Times New Roman"/>
          <w:szCs w:val="24"/>
        </w:rPr>
        <w:t>Accordingly</w:t>
      </w:r>
      <w:r w:rsidRPr="00260A3F" w:rsidR="0009240C">
        <w:rPr>
          <w:rFonts w:cs="Times New Roman"/>
          <w:szCs w:val="24"/>
        </w:rPr>
        <w:t xml:space="preserve">, </w:t>
      </w:r>
      <w:r w:rsidRPr="00260A3F" w:rsidR="009D25E5">
        <w:rPr>
          <w:rFonts w:cs="Times New Roman"/>
          <w:szCs w:val="24"/>
        </w:rPr>
        <w:t>the PUCO should find that the Settlement meets the first prong of the PUCO’s test.</w:t>
      </w:r>
      <w:bookmarkStart w:id="12" w:name="_Toc522278751"/>
    </w:p>
    <w:p w:rsidR="00376E35" w:rsidRPr="00260A3F" w:rsidP="00376E35" w14:paraId="7A56EAAD" w14:textId="37AB104D">
      <w:pPr>
        <w:pStyle w:val="Heading2"/>
      </w:pPr>
      <w:bookmarkStart w:id="13" w:name="_Toc74300287"/>
      <w:bookmarkStart w:id="14" w:name="_Toc74578030"/>
      <w:bookmarkStart w:id="15" w:name="_Toc121484990"/>
      <w:r w:rsidRPr="00260A3F">
        <w:t>The Settlement as a package benefits consumers and the public interest.</w:t>
      </w:r>
      <w:bookmarkEnd w:id="13"/>
      <w:bookmarkEnd w:id="14"/>
      <w:r w:rsidR="00075DF7">
        <w:t xml:space="preserve"> The PUCO should approve the Settlement without modification.</w:t>
      </w:r>
      <w:bookmarkEnd w:id="15"/>
    </w:p>
    <w:p w:rsidR="00EA3CD6" w:rsidRPr="00260A3F" w:rsidP="00376E35" w14:paraId="3B6F34DD" w14:textId="68BFB3DA">
      <w:pPr>
        <w:spacing w:after="0" w:line="480" w:lineRule="auto"/>
        <w:ind w:firstLine="720"/>
        <w:rPr>
          <w:rFonts w:cs="Times New Roman"/>
          <w:szCs w:val="24"/>
        </w:rPr>
      </w:pPr>
      <w:r w:rsidRPr="00260A3F">
        <w:rPr>
          <w:rFonts w:cs="Times New Roman"/>
          <w:szCs w:val="24"/>
        </w:rPr>
        <w:t xml:space="preserve">There is ample evidence to satisfy the second prong of the PUCO’s test for evaluating settlements, which considers whether the Settlement </w:t>
      </w:r>
      <w:r w:rsidR="00B0472A">
        <w:rPr>
          <w:rFonts w:cs="Times New Roman"/>
          <w:szCs w:val="24"/>
        </w:rPr>
        <w:t xml:space="preserve">as a package </w:t>
      </w:r>
      <w:r w:rsidRPr="00260A3F">
        <w:rPr>
          <w:rFonts w:cs="Times New Roman"/>
          <w:szCs w:val="24"/>
        </w:rPr>
        <w:t>benefits c</w:t>
      </w:r>
      <w:r w:rsidRPr="00260A3F" w:rsidR="007B4F88">
        <w:rPr>
          <w:rFonts w:cs="Times New Roman"/>
          <w:szCs w:val="24"/>
        </w:rPr>
        <w:t>onsumers</w:t>
      </w:r>
      <w:r w:rsidRPr="00260A3F">
        <w:rPr>
          <w:rFonts w:cs="Times New Roman"/>
          <w:szCs w:val="24"/>
        </w:rPr>
        <w:t xml:space="preserve"> and the public interest. </w:t>
      </w:r>
      <w:r w:rsidR="00A84C6A">
        <w:rPr>
          <w:rFonts w:cs="Times New Roman"/>
          <w:szCs w:val="24"/>
        </w:rPr>
        <w:t xml:space="preserve">OCC witness Mr. Adkins testified </w:t>
      </w:r>
      <w:r w:rsidR="00E213C0">
        <w:rPr>
          <w:rFonts w:cs="Times New Roman"/>
          <w:szCs w:val="24"/>
        </w:rPr>
        <w:t>that the Settlement benefits consumers in the following ways:</w:t>
      </w:r>
      <w:r w:rsidRPr="00260A3F">
        <w:rPr>
          <w:rStyle w:val="Heading2Char"/>
          <w:b w:val="0"/>
          <w:bCs w:val="0"/>
        </w:rPr>
        <w:t xml:space="preserve"> </w:t>
      </w:r>
      <w:bookmarkEnd w:id="12"/>
    </w:p>
    <w:p w:rsidR="00C147BE" w:rsidRPr="00260A3F" w:rsidP="00531C18" w14:paraId="7D3C211F" w14:textId="61A14F5D">
      <w:pPr>
        <w:pStyle w:val="ListParagraph"/>
        <w:keepLines/>
        <w:numPr>
          <w:ilvl w:val="0"/>
          <w:numId w:val="17"/>
        </w:numPr>
        <w:spacing w:after="0" w:line="480" w:lineRule="auto"/>
        <w:ind w:hanging="720"/>
        <w:contextualSpacing w:val="0"/>
        <w:rPr>
          <w:rFonts w:ascii="Times New Roman" w:hAnsi="Times New Roman" w:cs="Times New Roman"/>
          <w:sz w:val="24"/>
          <w:szCs w:val="24"/>
        </w:rPr>
      </w:pPr>
      <w:r w:rsidRPr="00E213C0">
        <w:rPr>
          <w:rFonts w:ascii="Times New Roman" w:hAnsi="Times New Roman" w:cs="Times New Roman"/>
          <w:sz w:val="24"/>
          <w:szCs w:val="24"/>
        </w:rPr>
        <w:t>The Settlement’s base distribution annual revenue increase of approximately $68.2 million is approximately $153.2 million less than the $221.4 million revenue increase that Columbia initially requested.</w:t>
      </w:r>
      <w:r>
        <w:rPr>
          <w:rStyle w:val="FootnoteReference"/>
          <w:rFonts w:ascii="Times New Roman" w:hAnsi="Times New Roman" w:cs="Times New Roman"/>
          <w:sz w:val="24"/>
          <w:szCs w:val="24"/>
        </w:rPr>
        <w:footnoteReference w:id="30"/>
      </w:r>
      <w:r w:rsidRPr="00E213C0">
        <w:rPr>
          <w:rFonts w:ascii="Times New Roman" w:hAnsi="Times New Roman" w:cs="Times New Roman"/>
          <w:sz w:val="24"/>
          <w:szCs w:val="24"/>
        </w:rPr>
        <w:t xml:space="preserve"> This</w:t>
      </w:r>
      <w:r w:rsidR="00CC4ED0">
        <w:rPr>
          <w:rFonts w:ascii="Times New Roman" w:hAnsi="Times New Roman" w:cs="Times New Roman"/>
          <w:sz w:val="24"/>
          <w:szCs w:val="24"/>
        </w:rPr>
        <w:t xml:space="preserve"> </w:t>
      </w:r>
      <w:r w:rsidRPr="00E213C0">
        <w:rPr>
          <w:rFonts w:ascii="Times New Roman" w:hAnsi="Times New Roman" w:cs="Times New Roman"/>
          <w:sz w:val="24"/>
          <w:szCs w:val="24"/>
        </w:rPr>
        <w:t xml:space="preserve">$153.2 million </w:t>
      </w:r>
      <w:r w:rsidR="000D79AC">
        <w:rPr>
          <w:rFonts w:ascii="Times New Roman" w:hAnsi="Times New Roman" w:cs="Times New Roman"/>
          <w:sz w:val="24"/>
          <w:szCs w:val="24"/>
        </w:rPr>
        <w:t xml:space="preserve">reduction </w:t>
      </w:r>
      <w:r w:rsidRPr="00E213C0">
        <w:rPr>
          <w:rFonts w:ascii="Times New Roman" w:hAnsi="Times New Roman" w:cs="Times New Roman"/>
          <w:sz w:val="24"/>
          <w:szCs w:val="24"/>
        </w:rPr>
        <w:t xml:space="preserve">will be applicable </w:t>
      </w:r>
      <w:r w:rsidR="00CC4ED0">
        <w:rPr>
          <w:rFonts w:ascii="Times New Roman" w:hAnsi="Times New Roman" w:cs="Times New Roman"/>
          <w:sz w:val="24"/>
          <w:szCs w:val="24"/>
        </w:rPr>
        <w:t>and will benefit</w:t>
      </w:r>
      <w:r w:rsidRPr="00E213C0">
        <w:rPr>
          <w:rFonts w:ascii="Times New Roman" w:hAnsi="Times New Roman" w:cs="Times New Roman"/>
          <w:sz w:val="24"/>
          <w:szCs w:val="24"/>
        </w:rPr>
        <w:t xml:space="preserve"> consumers every year until Columbia files and obtains new rates in its next distribution rate case.</w:t>
      </w:r>
      <w:r>
        <w:rPr>
          <w:rStyle w:val="FootnoteReference"/>
          <w:rFonts w:ascii="Times New Roman" w:hAnsi="Times New Roman" w:cs="Times New Roman"/>
          <w:sz w:val="24"/>
          <w:szCs w:val="24"/>
        </w:rPr>
        <w:footnoteReference w:id="31"/>
      </w:r>
      <w:r w:rsidRPr="00E213C0">
        <w:rPr>
          <w:rFonts w:ascii="Times New Roman" w:hAnsi="Times New Roman" w:cs="Times New Roman"/>
          <w:sz w:val="24"/>
          <w:szCs w:val="24"/>
        </w:rPr>
        <w:t xml:space="preserve"> If Columbia files its next rate case to take effect in five years, this benefit</w:t>
      </w:r>
      <w:r w:rsidR="00CC4ED0">
        <w:rPr>
          <w:rFonts w:ascii="Times New Roman" w:hAnsi="Times New Roman" w:cs="Times New Roman"/>
          <w:sz w:val="24"/>
          <w:szCs w:val="24"/>
        </w:rPr>
        <w:t xml:space="preserve"> to</w:t>
      </w:r>
      <w:r w:rsidRPr="00E213C0">
        <w:rPr>
          <w:rFonts w:ascii="Times New Roman" w:hAnsi="Times New Roman" w:cs="Times New Roman"/>
          <w:sz w:val="24"/>
          <w:szCs w:val="24"/>
        </w:rPr>
        <w:t xml:space="preserve"> consumers will total $766 million</w:t>
      </w:r>
      <w:r w:rsidR="000D79AC">
        <w:rPr>
          <w:rFonts w:ascii="Times New Roman" w:hAnsi="Times New Roman" w:cs="Times New Roman"/>
          <w:sz w:val="24"/>
          <w:szCs w:val="24"/>
        </w:rPr>
        <w:t xml:space="preserve"> in reductions from Columbia’s original request</w:t>
      </w:r>
      <w:r w:rsidRPr="00E213C0">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p>
    <w:p w:rsidR="003925DF" w:rsidRPr="00260A3F" w:rsidP="00531C18" w14:paraId="79C69E0F" w14:textId="0399CCFE">
      <w:pPr>
        <w:pStyle w:val="ListParagraph"/>
        <w:keepLines/>
        <w:numPr>
          <w:ilvl w:val="0"/>
          <w:numId w:val="17"/>
        </w:numPr>
        <w:spacing w:after="0" w:line="480" w:lineRule="auto"/>
        <w:ind w:hanging="720"/>
        <w:contextualSpacing w:val="0"/>
        <w:rPr>
          <w:rFonts w:ascii="Times New Roman" w:hAnsi="Times New Roman" w:cs="Times New Roman"/>
          <w:sz w:val="24"/>
          <w:szCs w:val="24"/>
        </w:rPr>
      </w:pPr>
      <w:r>
        <w:rPr>
          <w:rFonts w:ascii="Times New Roman" w:hAnsi="Times New Roman" w:cs="Times New Roman"/>
          <w:sz w:val="24"/>
          <w:szCs w:val="24"/>
        </w:rPr>
        <w:t>Columbia’s</w:t>
      </w:r>
      <w:r w:rsidRPr="00CC4ED0">
        <w:rPr>
          <w:rFonts w:ascii="Times New Roman" w:hAnsi="Times New Roman" w:cs="Times New Roman"/>
          <w:sz w:val="24"/>
          <w:szCs w:val="24"/>
        </w:rPr>
        <w:t xml:space="preserve"> overall annual rate base is reduced by approximately $55 million from Columbia’s proposed rate base of approximately 3.6 billion.</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This reduces the amount of profit charged to </w:t>
      </w:r>
      <w:r w:rsidR="00D648EC">
        <w:rPr>
          <w:rFonts w:ascii="Times New Roman" w:hAnsi="Times New Roman" w:cs="Times New Roman"/>
          <w:sz w:val="24"/>
          <w:szCs w:val="24"/>
        </w:rPr>
        <w:t xml:space="preserve">all of Columbia’s </w:t>
      </w:r>
      <w:r>
        <w:rPr>
          <w:rFonts w:ascii="Times New Roman" w:hAnsi="Times New Roman" w:cs="Times New Roman"/>
          <w:sz w:val="24"/>
          <w:szCs w:val="24"/>
        </w:rPr>
        <w:t>consumers.</w:t>
      </w:r>
    </w:p>
    <w:p w:rsidR="00D20AE3" w:rsidRPr="00260A3F" w:rsidP="008258CE" w14:paraId="5E201F99" w14:textId="160C34DA">
      <w:pPr>
        <w:pStyle w:val="ListParagraph"/>
        <w:keepLines/>
        <w:numPr>
          <w:ilvl w:val="0"/>
          <w:numId w:val="17"/>
        </w:numPr>
        <w:spacing w:after="240" w:line="480" w:lineRule="auto"/>
        <w:ind w:hanging="720"/>
        <w:contextualSpacing w:val="0"/>
        <w:rPr>
          <w:rFonts w:ascii="Times New Roman" w:hAnsi="Times New Roman" w:cs="Times New Roman"/>
          <w:sz w:val="24"/>
          <w:szCs w:val="24"/>
        </w:rPr>
      </w:pPr>
      <w:r w:rsidRPr="00955F52">
        <w:rPr>
          <w:rFonts w:ascii="Times New Roman" w:hAnsi="Times New Roman" w:cs="Times New Roman"/>
          <w:sz w:val="24"/>
          <w:szCs w:val="24"/>
        </w:rPr>
        <w:t xml:space="preserve">The </w:t>
      </w:r>
      <w:r>
        <w:rPr>
          <w:rFonts w:ascii="Times New Roman" w:hAnsi="Times New Roman" w:cs="Times New Roman"/>
          <w:sz w:val="24"/>
          <w:szCs w:val="24"/>
        </w:rPr>
        <w:t xml:space="preserve">Settlement reduces the </w:t>
      </w:r>
      <w:r w:rsidRPr="00955F52">
        <w:rPr>
          <w:rFonts w:ascii="Times New Roman" w:hAnsi="Times New Roman" w:cs="Times New Roman"/>
          <w:sz w:val="24"/>
          <w:szCs w:val="24"/>
        </w:rPr>
        <w:t>overall rate of return</w:t>
      </w:r>
      <w:r w:rsidR="00433BB8">
        <w:rPr>
          <w:rFonts w:ascii="Times New Roman" w:hAnsi="Times New Roman" w:cs="Times New Roman"/>
          <w:sz w:val="24"/>
          <w:szCs w:val="24"/>
        </w:rPr>
        <w:t xml:space="preserve"> (which includes profits)</w:t>
      </w:r>
      <w:r w:rsidRPr="00955F52">
        <w:rPr>
          <w:rFonts w:ascii="Times New Roman" w:hAnsi="Times New Roman" w:cs="Times New Roman"/>
          <w:sz w:val="24"/>
          <w:szCs w:val="24"/>
        </w:rPr>
        <w:t xml:space="preserve"> that consumers will be charged from Columbia’s proposed 7.85% to 7.08%.</w:t>
      </w:r>
      <w:r>
        <w:rPr>
          <w:rStyle w:val="FootnoteReference"/>
          <w:rFonts w:ascii="Times New Roman" w:hAnsi="Times New Roman" w:cs="Times New Roman"/>
          <w:sz w:val="24"/>
          <w:szCs w:val="24"/>
        </w:rPr>
        <w:footnoteReference w:id="34"/>
      </w:r>
    </w:p>
    <w:p w:rsidR="006A7A58" w:rsidRPr="00260A3F" w:rsidP="009B3238" w14:paraId="36032D55" w14:textId="7159CE3A">
      <w:pPr>
        <w:pStyle w:val="ListParagraph"/>
        <w:keepLines/>
        <w:numPr>
          <w:ilvl w:val="0"/>
          <w:numId w:val="17"/>
        </w:numPr>
        <w:spacing w:after="0" w:line="480" w:lineRule="auto"/>
        <w:ind w:hanging="720"/>
        <w:contextualSpacing w:val="0"/>
        <w:rPr>
          <w:rFonts w:ascii="Times New Roman" w:hAnsi="Times New Roman" w:cs="Times New Roman"/>
          <w:sz w:val="24"/>
          <w:szCs w:val="24"/>
        </w:rPr>
      </w:pPr>
      <w:r>
        <w:rPr>
          <w:rFonts w:ascii="Times New Roman" w:hAnsi="Times New Roman" w:cs="Times New Roman"/>
          <w:sz w:val="24"/>
          <w:szCs w:val="24"/>
        </w:rPr>
        <w:t>R</w:t>
      </w:r>
      <w:r w:rsidRPr="00CC5749" w:rsidR="00CC5749">
        <w:rPr>
          <w:rFonts w:ascii="Times New Roman" w:hAnsi="Times New Roman" w:cs="Times New Roman"/>
          <w:sz w:val="24"/>
          <w:szCs w:val="24"/>
        </w:rPr>
        <w:t>esidential and small business</w:t>
      </w:r>
      <w:r>
        <w:rPr>
          <w:rFonts w:ascii="Times New Roman" w:hAnsi="Times New Roman" w:cs="Times New Roman"/>
          <w:sz w:val="24"/>
          <w:szCs w:val="24"/>
        </w:rPr>
        <w:t xml:space="preserve"> consumers</w:t>
      </w:r>
      <w:r w:rsidR="00112614">
        <w:rPr>
          <w:rFonts w:ascii="Times New Roman" w:hAnsi="Times New Roman" w:cs="Times New Roman"/>
          <w:sz w:val="24"/>
          <w:szCs w:val="24"/>
        </w:rPr>
        <w:t xml:space="preserve"> </w:t>
      </w:r>
      <w:r w:rsidR="00E13038">
        <w:rPr>
          <w:rFonts w:ascii="Times New Roman" w:hAnsi="Times New Roman" w:cs="Times New Roman"/>
          <w:sz w:val="24"/>
          <w:szCs w:val="24"/>
        </w:rPr>
        <w:t xml:space="preserve">in </w:t>
      </w:r>
      <w:r w:rsidR="00112614">
        <w:rPr>
          <w:rFonts w:ascii="Times New Roman" w:hAnsi="Times New Roman" w:cs="Times New Roman"/>
          <w:sz w:val="24"/>
          <w:szCs w:val="24"/>
        </w:rPr>
        <w:t>the Small General Service (“SGS”) rate class</w:t>
      </w:r>
      <w:r w:rsidRPr="00CC5749" w:rsidR="00CC5749">
        <w:rPr>
          <w:rFonts w:ascii="Times New Roman" w:hAnsi="Times New Roman" w:cs="Times New Roman"/>
          <w:sz w:val="24"/>
          <w:szCs w:val="24"/>
        </w:rPr>
        <w:t xml:space="preserve"> will be responsible for $64,507,241 of Columbia’s base rate increase</w:t>
      </w:r>
      <w:r>
        <w:rPr>
          <w:rFonts w:ascii="Times New Roman" w:hAnsi="Times New Roman" w:cs="Times New Roman"/>
          <w:sz w:val="24"/>
          <w:szCs w:val="24"/>
        </w:rPr>
        <w:t>, which</w:t>
      </w:r>
      <w:r w:rsidRPr="00CC5749" w:rsidR="00CC5749">
        <w:rPr>
          <w:rFonts w:ascii="Times New Roman" w:hAnsi="Times New Roman" w:cs="Times New Roman"/>
          <w:sz w:val="24"/>
          <w:szCs w:val="24"/>
        </w:rPr>
        <w:t xml:space="preserve"> is $138,181,471 less than</w:t>
      </w:r>
      <w:r>
        <w:rPr>
          <w:rFonts w:ascii="Times New Roman" w:hAnsi="Times New Roman" w:cs="Times New Roman"/>
          <w:sz w:val="24"/>
          <w:szCs w:val="24"/>
        </w:rPr>
        <w:t xml:space="preserve"> what</w:t>
      </w:r>
      <w:r w:rsidRPr="00CC5749" w:rsidR="00CC5749">
        <w:rPr>
          <w:rFonts w:ascii="Times New Roman" w:hAnsi="Times New Roman" w:cs="Times New Roman"/>
          <w:sz w:val="24"/>
          <w:szCs w:val="24"/>
        </w:rPr>
        <w:t xml:space="preserve"> Columbia</w:t>
      </w:r>
      <w:r w:rsidR="00112614">
        <w:rPr>
          <w:rFonts w:ascii="Times New Roman" w:hAnsi="Times New Roman" w:cs="Times New Roman"/>
          <w:sz w:val="24"/>
          <w:szCs w:val="24"/>
        </w:rPr>
        <w:t xml:space="preserve"> initially</w:t>
      </w:r>
      <w:r w:rsidRPr="00CC5749" w:rsidR="00CC5749">
        <w:rPr>
          <w:rFonts w:ascii="Times New Roman" w:hAnsi="Times New Roman" w:cs="Times New Roman"/>
          <w:sz w:val="24"/>
          <w:szCs w:val="24"/>
        </w:rPr>
        <w:t xml:space="preserve"> proposed.</w:t>
      </w:r>
      <w:r>
        <w:rPr>
          <w:rStyle w:val="FootnoteReference"/>
          <w:rFonts w:ascii="Times New Roman" w:hAnsi="Times New Roman" w:cs="Times New Roman"/>
          <w:sz w:val="24"/>
          <w:szCs w:val="24"/>
        </w:rPr>
        <w:footnoteReference w:id="35"/>
      </w:r>
    </w:p>
    <w:p w:rsidR="00D20AE3" w:rsidRPr="00260A3F" w:rsidP="006F276E" w14:paraId="055D0770" w14:textId="4701A5F0">
      <w:pPr>
        <w:pStyle w:val="ListParagraph"/>
        <w:keepLines/>
        <w:numPr>
          <w:ilvl w:val="0"/>
          <w:numId w:val="17"/>
        </w:numPr>
        <w:spacing w:after="240" w:line="480" w:lineRule="auto"/>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Columbia initially proposed a </w:t>
      </w:r>
      <w:r w:rsidRPr="00A960A1" w:rsidR="00A960A1">
        <w:rPr>
          <w:rFonts w:ascii="Times New Roman" w:hAnsi="Times New Roman" w:cs="Times New Roman"/>
          <w:sz w:val="24"/>
          <w:szCs w:val="24"/>
        </w:rPr>
        <w:t>base residential fixed charge</w:t>
      </w:r>
      <w:r>
        <w:rPr>
          <w:rFonts w:ascii="Times New Roman" w:hAnsi="Times New Roman" w:cs="Times New Roman"/>
          <w:sz w:val="24"/>
          <w:szCs w:val="24"/>
        </w:rPr>
        <w:t xml:space="preserve">, that consumers would be charged monthly, of </w:t>
      </w:r>
      <w:r w:rsidRPr="00A960A1">
        <w:rPr>
          <w:rFonts w:ascii="Times New Roman" w:hAnsi="Times New Roman" w:cs="Times New Roman"/>
          <w:sz w:val="24"/>
          <w:szCs w:val="24"/>
        </w:rPr>
        <w:t>$46.31.</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The Settlement instead sets the monthly residential fixed charge at </w:t>
      </w:r>
      <w:r w:rsidRPr="00A960A1" w:rsidR="00A960A1">
        <w:rPr>
          <w:rFonts w:ascii="Times New Roman" w:hAnsi="Times New Roman" w:cs="Times New Roman"/>
          <w:sz w:val="24"/>
          <w:szCs w:val="24"/>
        </w:rPr>
        <w:t>$38.62 for 2023, $39.08 per for 2024, and $39.30 for 2025 and thereafter until reset in Columbia’s next base rate case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7"/>
      </w:r>
      <w:r w:rsidRPr="00A960A1" w:rsidR="00A960A1">
        <w:rPr>
          <w:rFonts w:ascii="Times New Roman" w:hAnsi="Times New Roman" w:cs="Times New Roman"/>
          <w:sz w:val="24"/>
          <w:szCs w:val="24"/>
        </w:rPr>
        <w:t xml:space="preserve"> </w:t>
      </w:r>
      <w:r w:rsidR="00A300AD">
        <w:rPr>
          <w:rFonts w:ascii="Times New Roman" w:hAnsi="Times New Roman" w:cs="Times New Roman"/>
          <w:sz w:val="24"/>
          <w:szCs w:val="24"/>
        </w:rPr>
        <w:t>T</w:t>
      </w:r>
      <w:r w:rsidRPr="00A960A1" w:rsidR="00A960A1">
        <w:rPr>
          <w:rFonts w:ascii="Times New Roman" w:hAnsi="Times New Roman" w:cs="Times New Roman"/>
          <w:sz w:val="24"/>
          <w:szCs w:val="24"/>
        </w:rPr>
        <w:t>his is an increase from the current</w:t>
      </w:r>
      <w:r w:rsidR="009D3992">
        <w:rPr>
          <w:rFonts w:ascii="Times New Roman" w:hAnsi="Times New Roman" w:cs="Times New Roman"/>
          <w:sz w:val="24"/>
          <w:szCs w:val="24"/>
        </w:rPr>
        <w:t xml:space="preserve"> monthly residential</w:t>
      </w:r>
      <w:r w:rsidRPr="00A960A1" w:rsidR="00A960A1">
        <w:rPr>
          <w:rFonts w:ascii="Times New Roman" w:hAnsi="Times New Roman" w:cs="Times New Roman"/>
          <w:sz w:val="24"/>
          <w:szCs w:val="24"/>
        </w:rPr>
        <w:t xml:space="preserve"> charge of $16.75</w:t>
      </w:r>
      <w:r w:rsidR="00A300AD">
        <w:rPr>
          <w:rFonts w:ascii="Times New Roman" w:hAnsi="Times New Roman" w:cs="Times New Roman"/>
          <w:sz w:val="24"/>
          <w:szCs w:val="24"/>
        </w:rPr>
        <w:t>.</w:t>
      </w:r>
      <w:r>
        <w:rPr>
          <w:rStyle w:val="FootnoteReference"/>
          <w:rFonts w:ascii="Times New Roman" w:hAnsi="Times New Roman" w:cs="Times New Roman"/>
          <w:sz w:val="24"/>
          <w:szCs w:val="24"/>
        </w:rPr>
        <w:footnoteReference w:id="38"/>
      </w:r>
      <w:r w:rsidRPr="00A960A1" w:rsidR="00A960A1">
        <w:rPr>
          <w:rFonts w:ascii="Times New Roman" w:hAnsi="Times New Roman" w:cs="Times New Roman"/>
          <w:sz w:val="24"/>
          <w:szCs w:val="24"/>
        </w:rPr>
        <w:t xml:space="preserve"> </w:t>
      </w:r>
      <w:r w:rsidR="009D3992">
        <w:rPr>
          <w:rFonts w:ascii="Times New Roman" w:hAnsi="Times New Roman" w:cs="Times New Roman"/>
          <w:sz w:val="24"/>
          <w:szCs w:val="24"/>
        </w:rPr>
        <w:t xml:space="preserve">However, </w:t>
      </w:r>
      <w:r w:rsidR="00A300AD">
        <w:rPr>
          <w:rFonts w:ascii="Times New Roman" w:hAnsi="Times New Roman" w:cs="Times New Roman"/>
          <w:sz w:val="24"/>
          <w:szCs w:val="24"/>
        </w:rPr>
        <w:t>Mr. Adkins explained that the</w:t>
      </w:r>
      <w:r>
        <w:rPr>
          <w:rFonts w:ascii="Times New Roman" w:hAnsi="Times New Roman" w:cs="Times New Roman"/>
          <w:sz w:val="24"/>
          <w:szCs w:val="24"/>
        </w:rPr>
        <w:t xml:space="preserve"> </w:t>
      </w:r>
      <w:r w:rsidRPr="00A960A1" w:rsidR="00A960A1">
        <w:rPr>
          <w:rFonts w:ascii="Times New Roman" w:hAnsi="Times New Roman" w:cs="Times New Roman"/>
          <w:sz w:val="24"/>
          <w:szCs w:val="24"/>
        </w:rPr>
        <w:t xml:space="preserve">base customer charge </w:t>
      </w:r>
      <w:r>
        <w:rPr>
          <w:rFonts w:ascii="Times New Roman" w:hAnsi="Times New Roman" w:cs="Times New Roman"/>
          <w:sz w:val="24"/>
          <w:szCs w:val="24"/>
        </w:rPr>
        <w:t>was expected to</w:t>
      </w:r>
      <w:r w:rsidRPr="00A960A1" w:rsidR="00A960A1">
        <w:rPr>
          <w:rFonts w:ascii="Times New Roman" w:hAnsi="Times New Roman" w:cs="Times New Roman"/>
          <w:sz w:val="24"/>
          <w:szCs w:val="24"/>
        </w:rPr>
        <w:t xml:space="preserve"> increase</w:t>
      </w:r>
      <w:r w:rsidR="00A300AD">
        <w:rPr>
          <w:rFonts w:ascii="Times New Roman" w:hAnsi="Times New Roman" w:cs="Times New Roman"/>
          <w:sz w:val="24"/>
          <w:szCs w:val="24"/>
        </w:rPr>
        <w:t xml:space="preserve"> because</w:t>
      </w:r>
      <w:r w:rsidRPr="00A960A1" w:rsidR="00A960A1">
        <w:rPr>
          <w:rFonts w:ascii="Times New Roman" w:hAnsi="Times New Roman" w:cs="Times New Roman"/>
          <w:sz w:val="24"/>
          <w:szCs w:val="24"/>
        </w:rPr>
        <w:t xml:space="preserve"> capital assets (</w:t>
      </w:r>
      <w:r w:rsidR="000428A5">
        <w:rPr>
          <w:rFonts w:ascii="Times New Roman" w:hAnsi="Times New Roman" w:cs="Times New Roman"/>
          <w:sz w:val="24"/>
          <w:szCs w:val="24"/>
        </w:rPr>
        <w:t xml:space="preserve">such as </w:t>
      </w:r>
      <w:r w:rsidRPr="00A960A1" w:rsidR="00A960A1">
        <w:rPr>
          <w:rFonts w:ascii="Times New Roman" w:hAnsi="Times New Roman" w:cs="Times New Roman"/>
          <w:sz w:val="24"/>
          <w:szCs w:val="24"/>
        </w:rPr>
        <w:t>pipe replacement</w:t>
      </w:r>
      <w:r w:rsidR="000428A5">
        <w:rPr>
          <w:rFonts w:ascii="Times New Roman" w:hAnsi="Times New Roman" w:cs="Times New Roman"/>
          <w:sz w:val="24"/>
          <w:szCs w:val="24"/>
        </w:rPr>
        <w:t>s</w:t>
      </w:r>
      <w:r w:rsidRPr="00A960A1" w:rsidR="00A960A1">
        <w:rPr>
          <w:rFonts w:ascii="Times New Roman" w:hAnsi="Times New Roman" w:cs="Times New Roman"/>
          <w:sz w:val="24"/>
          <w:szCs w:val="24"/>
        </w:rPr>
        <w:t>) from Columbia’s Infrastructure Replacement Program (“IRP”) rider and Capital Expenditure Program (“CEP”) rider</w:t>
      </w:r>
      <w:r w:rsidR="00A300AD">
        <w:rPr>
          <w:rFonts w:ascii="Times New Roman" w:hAnsi="Times New Roman" w:cs="Times New Roman"/>
          <w:sz w:val="24"/>
          <w:szCs w:val="24"/>
        </w:rPr>
        <w:t xml:space="preserve"> </w:t>
      </w:r>
      <w:r w:rsidR="0024726A">
        <w:rPr>
          <w:rFonts w:ascii="Times New Roman" w:hAnsi="Times New Roman" w:cs="Times New Roman"/>
          <w:sz w:val="24"/>
          <w:szCs w:val="24"/>
        </w:rPr>
        <w:t>are to be</w:t>
      </w:r>
      <w:r w:rsidRPr="00A960A1" w:rsidR="00A960A1">
        <w:rPr>
          <w:rFonts w:ascii="Times New Roman" w:hAnsi="Times New Roman" w:cs="Times New Roman"/>
          <w:sz w:val="24"/>
          <w:szCs w:val="24"/>
        </w:rPr>
        <w:t xml:space="preserve"> </w:t>
      </w:r>
      <w:r w:rsidR="0024726A">
        <w:rPr>
          <w:rFonts w:ascii="Times New Roman" w:hAnsi="Times New Roman" w:cs="Times New Roman"/>
          <w:sz w:val="24"/>
          <w:szCs w:val="24"/>
        </w:rPr>
        <w:t xml:space="preserve">converted from </w:t>
      </w:r>
      <w:r w:rsidRPr="00A960A1" w:rsidR="00A960A1">
        <w:rPr>
          <w:rFonts w:ascii="Times New Roman" w:hAnsi="Times New Roman" w:cs="Times New Roman"/>
          <w:sz w:val="24"/>
          <w:szCs w:val="24"/>
        </w:rPr>
        <w:t xml:space="preserve">the </w:t>
      </w:r>
      <w:r w:rsidR="0024726A">
        <w:rPr>
          <w:rFonts w:ascii="Times New Roman" w:hAnsi="Times New Roman" w:cs="Times New Roman"/>
          <w:sz w:val="24"/>
          <w:szCs w:val="24"/>
        </w:rPr>
        <w:t xml:space="preserve">current </w:t>
      </w:r>
      <w:r w:rsidRPr="00A960A1" w:rsidR="00A960A1">
        <w:rPr>
          <w:rFonts w:ascii="Times New Roman" w:hAnsi="Times New Roman" w:cs="Times New Roman"/>
          <w:sz w:val="24"/>
          <w:szCs w:val="24"/>
        </w:rPr>
        <w:t xml:space="preserve">rider charges </w:t>
      </w:r>
      <w:r w:rsidR="0024726A">
        <w:rPr>
          <w:rFonts w:ascii="Times New Roman" w:hAnsi="Times New Roman" w:cs="Times New Roman"/>
          <w:sz w:val="24"/>
          <w:szCs w:val="24"/>
        </w:rPr>
        <w:t xml:space="preserve">to </w:t>
      </w:r>
      <w:r w:rsidRPr="00A960A1" w:rsidR="00A960A1">
        <w:rPr>
          <w:rFonts w:ascii="Times New Roman" w:hAnsi="Times New Roman" w:cs="Times New Roman"/>
          <w:sz w:val="24"/>
          <w:szCs w:val="24"/>
        </w:rPr>
        <w:t xml:space="preserve">base rate charges. </w:t>
      </w:r>
      <w:r w:rsidR="009D3992">
        <w:rPr>
          <w:rFonts w:ascii="Times New Roman" w:hAnsi="Times New Roman" w:cs="Times New Roman"/>
          <w:sz w:val="24"/>
          <w:szCs w:val="24"/>
        </w:rPr>
        <w:t xml:space="preserve">The </w:t>
      </w:r>
      <w:r w:rsidRPr="00A960A1" w:rsidR="00A960A1">
        <w:rPr>
          <w:rFonts w:ascii="Times New Roman" w:hAnsi="Times New Roman" w:cs="Times New Roman"/>
          <w:sz w:val="24"/>
          <w:szCs w:val="24"/>
        </w:rPr>
        <w:t>base distribution charges</w:t>
      </w:r>
      <w:r w:rsidR="00A300AD">
        <w:rPr>
          <w:rFonts w:ascii="Times New Roman" w:hAnsi="Times New Roman" w:cs="Times New Roman"/>
          <w:sz w:val="24"/>
          <w:szCs w:val="24"/>
        </w:rPr>
        <w:t xml:space="preserve"> in the </w:t>
      </w:r>
      <w:r w:rsidR="009D3992">
        <w:rPr>
          <w:rFonts w:ascii="Times New Roman" w:hAnsi="Times New Roman" w:cs="Times New Roman"/>
          <w:sz w:val="24"/>
          <w:szCs w:val="24"/>
        </w:rPr>
        <w:t>S</w:t>
      </w:r>
      <w:r w:rsidR="00A300AD">
        <w:rPr>
          <w:rFonts w:ascii="Times New Roman" w:hAnsi="Times New Roman" w:cs="Times New Roman"/>
          <w:sz w:val="24"/>
          <w:szCs w:val="24"/>
        </w:rPr>
        <w:t>ettlement</w:t>
      </w:r>
      <w:r w:rsidRPr="00A960A1" w:rsidR="00A960A1">
        <w:rPr>
          <w:rFonts w:ascii="Times New Roman" w:hAnsi="Times New Roman" w:cs="Times New Roman"/>
          <w:sz w:val="24"/>
          <w:szCs w:val="24"/>
        </w:rPr>
        <w:t xml:space="preserve"> </w:t>
      </w:r>
      <w:r w:rsidR="00A06963">
        <w:rPr>
          <w:rFonts w:ascii="Times New Roman" w:hAnsi="Times New Roman" w:cs="Times New Roman"/>
          <w:sz w:val="24"/>
          <w:szCs w:val="24"/>
        </w:rPr>
        <w:t xml:space="preserve">still benefit consumers because they </w:t>
      </w:r>
      <w:r w:rsidRPr="00A960A1" w:rsidR="00A960A1">
        <w:rPr>
          <w:rFonts w:ascii="Times New Roman" w:hAnsi="Times New Roman" w:cs="Times New Roman"/>
          <w:sz w:val="24"/>
          <w:szCs w:val="24"/>
        </w:rPr>
        <w:t>are still lower than</w:t>
      </w:r>
      <w:r w:rsidR="00A300AD">
        <w:rPr>
          <w:rFonts w:ascii="Times New Roman" w:hAnsi="Times New Roman" w:cs="Times New Roman"/>
          <w:sz w:val="24"/>
          <w:szCs w:val="24"/>
        </w:rPr>
        <w:t xml:space="preserve"> what</w:t>
      </w:r>
      <w:r w:rsidRPr="00A960A1" w:rsidR="00A960A1">
        <w:rPr>
          <w:rFonts w:ascii="Times New Roman" w:hAnsi="Times New Roman" w:cs="Times New Roman"/>
          <w:sz w:val="24"/>
          <w:szCs w:val="24"/>
        </w:rPr>
        <w:t xml:space="preserve"> Columbia</w:t>
      </w:r>
      <w:r w:rsidR="00A300AD">
        <w:rPr>
          <w:rFonts w:ascii="Times New Roman" w:hAnsi="Times New Roman" w:cs="Times New Roman"/>
          <w:sz w:val="24"/>
          <w:szCs w:val="24"/>
        </w:rPr>
        <w:t xml:space="preserve"> initially</w:t>
      </w:r>
      <w:r w:rsidRPr="00A960A1" w:rsidR="00A960A1">
        <w:rPr>
          <w:rFonts w:ascii="Times New Roman" w:hAnsi="Times New Roman" w:cs="Times New Roman"/>
          <w:sz w:val="24"/>
          <w:szCs w:val="24"/>
        </w:rPr>
        <w:t xml:space="preserve"> propos</w:t>
      </w:r>
      <w:r w:rsidR="00A300AD">
        <w:rPr>
          <w:rFonts w:ascii="Times New Roman" w:hAnsi="Times New Roman" w:cs="Times New Roman"/>
          <w:sz w:val="24"/>
          <w:szCs w:val="24"/>
        </w:rPr>
        <w:t>ed</w:t>
      </w:r>
      <w:r w:rsidRPr="00A960A1" w:rsidR="00A960A1">
        <w:rPr>
          <w:rFonts w:ascii="Times New Roman" w:hAnsi="Times New Roman" w:cs="Times New Roman"/>
          <w:sz w:val="24"/>
          <w:szCs w:val="24"/>
        </w:rPr>
        <w:t>.</w:t>
      </w:r>
      <w:r>
        <w:rPr>
          <w:rStyle w:val="FootnoteReference"/>
          <w:rFonts w:ascii="Times New Roman" w:hAnsi="Times New Roman" w:cs="Times New Roman"/>
          <w:sz w:val="24"/>
          <w:szCs w:val="24"/>
        </w:rPr>
        <w:footnoteReference w:id="39"/>
      </w:r>
    </w:p>
    <w:p w:rsidR="009B3238" w:rsidP="009B3238" w14:paraId="53A4F4F2" w14:textId="77777777">
      <w:pPr>
        <w:pStyle w:val="ListParagraph"/>
        <w:keepLines/>
        <w:numPr>
          <w:ilvl w:val="0"/>
          <w:numId w:val="17"/>
        </w:numPr>
        <w:spacing w:after="0" w:line="480" w:lineRule="auto"/>
        <w:ind w:hanging="720"/>
        <w:contextualSpacing w:val="0"/>
        <w:rPr>
          <w:rFonts w:ascii="Times New Roman" w:hAnsi="Times New Roman" w:cs="Times New Roman"/>
          <w:sz w:val="24"/>
          <w:szCs w:val="24"/>
        </w:rPr>
      </w:pPr>
      <w:r w:rsidRPr="009B3238">
        <w:rPr>
          <w:rFonts w:ascii="Times New Roman" w:hAnsi="Times New Roman" w:cs="Times New Roman"/>
          <w:sz w:val="24"/>
          <w:szCs w:val="24"/>
        </w:rPr>
        <w:t>The Settlement</w:t>
      </w:r>
      <w:r w:rsidRPr="009B3238" w:rsidR="009D3992">
        <w:rPr>
          <w:rFonts w:ascii="Times New Roman" w:hAnsi="Times New Roman" w:cs="Times New Roman"/>
          <w:sz w:val="24"/>
          <w:szCs w:val="24"/>
        </w:rPr>
        <w:t xml:space="preserve"> also</w:t>
      </w:r>
      <w:r w:rsidRPr="009B3238">
        <w:rPr>
          <w:rFonts w:ascii="Times New Roman" w:hAnsi="Times New Roman" w:cs="Times New Roman"/>
          <w:sz w:val="24"/>
          <w:szCs w:val="24"/>
        </w:rPr>
        <w:t xml:space="preserve"> protects low-income consumers by preserv</w:t>
      </w:r>
      <w:r w:rsidRPr="009B3238" w:rsidR="00A94CE6">
        <w:rPr>
          <w:rFonts w:ascii="Times New Roman" w:hAnsi="Times New Roman" w:cs="Times New Roman"/>
          <w:sz w:val="24"/>
          <w:szCs w:val="24"/>
        </w:rPr>
        <w:t>ing</w:t>
      </w:r>
      <w:r w:rsidRPr="009B3238">
        <w:rPr>
          <w:rFonts w:ascii="Times New Roman" w:hAnsi="Times New Roman" w:cs="Times New Roman"/>
          <w:sz w:val="24"/>
          <w:szCs w:val="24"/>
        </w:rPr>
        <w:t xml:space="preserve"> over $70 million </w:t>
      </w:r>
      <w:r w:rsidRPr="009B3238" w:rsidR="00A94CE6">
        <w:rPr>
          <w:rFonts w:ascii="Times New Roman" w:hAnsi="Times New Roman" w:cs="Times New Roman"/>
          <w:sz w:val="24"/>
          <w:szCs w:val="24"/>
        </w:rPr>
        <w:t xml:space="preserve">for </w:t>
      </w:r>
      <w:r w:rsidRPr="009B3238">
        <w:rPr>
          <w:rFonts w:ascii="Times New Roman" w:hAnsi="Times New Roman" w:cs="Times New Roman"/>
          <w:sz w:val="24"/>
          <w:szCs w:val="24"/>
        </w:rPr>
        <w:t>weatherization services for low-income consumers</w:t>
      </w:r>
      <w:r w:rsidRPr="009B3238" w:rsidR="00A94CE6">
        <w:rPr>
          <w:rFonts w:ascii="Times New Roman" w:hAnsi="Times New Roman" w:cs="Times New Roman"/>
          <w:sz w:val="24"/>
          <w:szCs w:val="24"/>
        </w:rPr>
        <w:t xml:space="preserve"> through Columbia’s WarmChoice</w:t>
      </w:r>
      <w:r w:rsidRPr="009B3238" w:rsidR="000428A5">
        <w:rPr>
          <w:rFonts w:ascii="Times New Roman" w:hAnsi="Times New Roman" w:cs="Times New Roman"/>
          <w:sz w:val="24"/>
          <w:szCs w:val="24"/>
        </w:rPr>
        <w:t>®</w:t>
      </w:r>
      <w:r w:rsidRPr="009B3238" w:rsidR="00A94CE6">
        <w:rPr>
          <w:rFonts w:ascii="Times New Roman" w:hAnsi="Times New Roman" w:cs="Times New Roman"/>
          <w:sz w:val="24"/>
          <w:szCs w:val="24"/>
        </w:rPr>
        <w:t xml:space="preserve"> program</w:t>
      </w:r>
      <w:r w:rsidRPr="009B3238">
        <w:rPr>
          <w:rFonts w:ascii="Times New Roman" w:hAnsi="Times New Roman" w:cs="Times New Roman"/>
          <w:sz w:val="24"/>
          <w:szCs w:val="24"/>
        </w:rPr>
        <w:t>.</w:t>
      </w:r>
      <w:r>
        <w:rPr>
          <w:rStyle w:val="FootnoteReference"/>
          <w:rFonts w:ascii="Times New Roman" w:hAnsi="Times New Roman" w:cs="Times New Roman"/>
          <w:sz w:val="24"/>
          <w:szCs w:val="24"/>
        </w:rPr>
        <w:footnoteReference w:id="40"/>
      </w:r>
      <w:r w:rsidRPr="009B3238" w:rsidR="00A94CE6">
        <w:rPr>
          <w:rFonts w:ascii="Times New Roman" w:hAnsi="Times New Roman" w:cs="Times New Roman"/>
          <w:sz w:val="24"/>
          <w:szCs w:val="24"/>
        </w:rPr>
        <w:t xml:space="preserve"> WarmChoice</w:t>
      </w:r>
      <w:r w:rsidRPr="009B3238" w:rsidR="00291C59">
        <w:rPr>
          <w:rFonts w:ascii="Times New Roman" w:hAnsi="Times New Roman" w:cs="Times New Roman"/>
          <w:sz w:val="24"/>
          <w:szCs w:val="24"/>
        </w:rPr>
        <w:t>®</w:t>
      </w:r>
      <w:r w:rsidRPr="009B3238" w:rsidR="00A94CE6">
        <w:rPr>
          <w:rFonts w:ascii="Times New Roman" w:hAnsi="Times New Roman" w:cs="Times New Roman"/>
          <w:sz w:val="24"/>
          <w:szCs w:val="24"/>
        </w:rPr>
        <w:t xml:space="preserve"> is a demand-side management program</w:t>
      </w:r>
      <w:r w:rsidRPr="009B3238" w:rsidR="0024726A">
        <w:rPr>
          <w:rFonts w:ascii="Times New Roman" w:hAnsi="Times New Roman" w:cs="Times New Roman"/>
          <w:sz w:val="24"/>
          <w:szCs w:val="24"/>
        </w:rPr>
        <w:t>.</w:t>
      </w:r>
      <w:r w:rsidRPr="009B3238" w:rsidR="009D3992">
        <w:rPr>
          <w:rFonts w:ascii="Times New Roman" w:hAnsi="Times New Roman" w:cs="Times New Roman"/>
          <w:sz w:val="24"/>
          <w:szCs w:val="24"/>
        </w:rPr>
        <w:t xml:space="preserve"> </w:t>
      </w:r>
      <w:r w:rsidRPr="009B3238" w:rsidR="0024726A">
        <w:rPr>
          <w:rFonts w:ascii="Times New Roman" w:hAnsi="Times New Roman" w:cs="Times New Roman"/>
          <w:sz w:val="24"/>
          <w:szCs w:val="24"/>
        </w:rPr>
        <w:t>U</w:t>
      </w:r>
      <w:r w:rsidRPr="009B3238" w:rsidR="009D3992">
        <w:rPr>
          <w:rFonts w:ascii="Times New Roman" w:hAnsi="Times New Roman" w:cs="Times New Roman"/>
          <w:sz w:val="24"/>
          <w:szCs w:val="24"/>
        </w:rPr>
        <w:t xml:space="preserve">nder the Settlement, </w:t>
      </w:r>
      <w:r w:rsidRPr="009B3238" w:rsidR="00A94CE6">
        <w:rPr>
          <w:rFonts w:ascii="Times New Roman" w:hAnsi="Times New Roman" w:cs="Times New Roman"/>
          <w:sz w:val="24"/>
          <w:szCs w:val="24"/>
        </w:rPr>
        <w:t>annual funding for the program will be more than $14 million per year.</w:t>
      </w:r>
      <w:r>
        <w:rPr>
          <w:rStyle w:val="FootnoteReference"/>
          <w:rFonts w:ascii="Times New Roman" w:hAnsi="Times New Roman" w:cs="Times New Roman"/>
          <w:sz w:val="24"/>
          <w:szCs w:val="24"/>
        </w:rPr>
        <w:footnoteReference w:id="41"/>
      </w:r>
      <w:r w:rsidRPr="009B3238" w:rsidR="00A94CE6">
        <w:rPr>
          <w:rFonts w:ascii="Times New Roman" w:hAnsi="Times New Roman" w:cs="Times New Roman"/>
          <w:sz w:val="24"/>
          <w:szCs w:val="24"/>
        </w:rPr>
        <w:t xml:space="preserve"> The Settlement</w:t>
      </w:r>
      <w:r w:rsidRPr="009B3238" w:rsidR="009D3992">
        <w:rPr>
          <w:rFonts w:ascii="Times New Roman" w:hAnsi="Times New Roman" w:cs="Times New Roman"/>
          <w:sz w:val="24"/>
          <w:szCs w:val="24"/>
        </w:rPr>
        <w:t xml:space="preserve"> </w:t>
      </w:r>
      <w:r w:rsidRPr="009B3238" w:rsidR="00A94CE6">
        <w:rPr>
          <w:rFonts w:ascii="Times New Roman" w:hAnsi="Times New Roman" w:cs="Times New Roman"/>
          <w:sz w:val="24"/>
          <w:szCs w:val="24"/>
        </w:rPr>
        <w:t xml:space="preserve">requires </w:t>
      </w:r>
      <w:r w:rsidRPr="009B3238">
        <w:rPr>
          <w:rFonts w:ascii="Times New Roman" w:hAnsi="Times New Roman" w:cs="Times New Roman"/>
          <w:sz w:val="24"/>
          <w:szCs w:val="24"/>
        </w:rPr>
        <w:t xml:space="preserve">management audits of the program, </w:t>
      </w:r>
      <w:r w:rsidRPr="009B3238" w:rsidR="00A94CE6">
        <w:rPr>
          <w:rFonts w:ascii="Times New Roman" w:hAnsi="Times New Roman" w:cs="Times New Roman"/>
          <w:sz w:val="24"/>
          <w:szCs w:val="24"/>
        </w:rPr>
        <w:t>which will be</w:t>
      </w:r>
      <w:r w:rsidRPr="009B3238">
        <w:rPr>
          <w:rFonts w:ascii="Times New Roman" w:hAnsi="Times New Roman" w:cs="Times New Roman"/>
          <w:sz w:val="24"/>
          <w:szCs w:val="24"/>
        </w:rPr>
        <w:t xml:space="preserve"> conducted by an independent auditor.</w:t>
      </w:r>
      <w:r>
        <w:rPr>
          <w:rStyle w:val="FootnoteReference"/>
          <w:rFonts w:ascii="Times New Roman" w:hAnsi="Times New Roman" w:cs="Times New Roman"/>
          <w:sz w:val="24"/>
          <w:szCs w:val="24"/>
        </w:rPr>
        <w:footnoteReference w:id="42"/>
      </w:r>
      <w:r w:rsidRPr="009B3238">
        <w:rPr>
          <w:rFonts w:ascii="Times New Roman" w:hAnsi="Times New Roman" w:cs="Times New Roman"/>
          <w:sz w:val="24"/>
          <w:szCs w:val="24"/>
        </w:rPr>
        <w:t xml:space="preserve"> </w:t>
      </w:r>
      <w:r w:rsidRPr="009B3238" w:rsidR="009D3992">
        <w:rPr>
          <w:rFonts w:ascii="Times New Roman" w:hAnsi="Times New Roman" w:cs="Times New Roman"/>
          <w:sz w:val="24"/>
          <w:szCs w:val="24"/>
        </w:rPr>
        <w:t>Further, t</w:t>
      </w:r>
      <w:r w:rsidRPr="009B3238" w:rsidR="00274D04">
        <w:rPr>
          <w:rFonts w:ascii="Times New Roman" w:hAnsi="Times New Roman" w:cs="Times New Roman"/>
          <w:sz w:val="24"/>
          <w:szCs w:val="24"/>
        </w:rPr>
        <w:t>he Settlement maximizes the number of consumers served by WarmChoice</w:t>
      </w:r>
      <w:r w:rsidRPr="009B3238" w:rsidR="00291C59">
        <w:rPr>
          <w:rFonts w:ascii="Times New Roman" w:hAnsi="Times New Roman" w:cs="Times New Roman"/>
          <w:sz w:val="24"/>
          <w:szCs w:val="24"/>
        </w:rPr>
        <w:t>®</w:t>
      </w:r>
      <w:r w:rsidRPr="009B3238" w:rsidR="00274D04">
        <w:rPr>
          <w:rFonts w:ascii="Times New Roman" w:hAnsi="Times New Roman" w:cs="Times New Roman"/>
          <w:sz w:val="24"/>
          <w:szCs w:val="24"/>
        </w:rPr>
        <w:t xml:space="preserve"> by </w:t>
      </w:r>
      <w:r w:rsidRPr="009B3238">
        <w:rPr>
          <w:rFonts w:ascii="Times New Roman" w:hAnsi="Times New Roman" w:cs="Times New Roman"/>
          <w:sz w:val="24"/>
          <w:szCs w:val="24"/>
        </w:rPr>
        <w:t>limit</w:t>
      </w:r>
      <w:r w:rsidRPr="009B3238" w:rsidR="00274D04">
        <w:rPr>
          <w:rFonts w:ascii="Times New Roman" w:hAnsi="Times New Roman" w:cs="Times New Roman"/>
          <w:sz w:val="24"/>
          <w:szCs w:val="24"/>
        </w:rPr>
        <w:t>ing consumer</w:t>
      </w:r>
      <w:r w:rsidRPr="009B3238" w:rsidR="00D800F1">
        <w:rPr>
          <w:rFonts w:ascii="Times New Roman" w:hAnsi="Times New Roman" w:cs="Times New Roman"/>
          <w:sz w:val="24"/>
          <w:szCs w:val="24"/>
        </w:rPr>
        <w:t>s</w:t>
      </w:r>
      <w:r w:rsidRPr="009B3238">
        <w:rPr>
          <w:rFonts w:ascii="Times New Roman" w:hAnsi="Times New Roman" w:cs="Times New Roman"/>
          <w:sz w:val="24"/>
          <w:szCs w:val="24"/>
        </w:rPr>
        <w:t xml:space="preserve"> to one weatherization benefit per year. Columbia</w:t>
      </w:r>
      <w:r w:rsidRPr="009B3238" w:rsidR="00274D04">
        <w:rPr>
          <w:rFonts w:ascii="Times New Roman" w:hAnsi="Times New Roman" w:cs="Times New Roman"/>
          <w:sz w:val="24"/>
          <w:szCs w:val="24"/>
        </w:rPr>
        <w:t xml:space="preserve"> agreed in the Settlement </w:t>
      </w:r>
      <w:r w:rsidRPr="009B3238">
        <w:rPr>
          <w:rFonts w:ascii="Times New Roman" w:hAnsi="Times New Roman" w:cs="Times New Roman"/>
          <w:sz w:val="24"/>
          <w:szCs w:val="24"/>
        </w:rPr>
        <w:t xml:space="preserve">not </w:t>
      </w:r>
      <w:r w:rsidRPr="009B3238" w:rsidR="00274D04">
        <w:rPr>
          <w:rFonts w:ascii="Times New Roman" w:hAnsi="Times New Roman" w:cs="Times New Roman"/>
          <w:sz w:val="24"/>
          <w:szCs w:val="24"/>
        </w:rPr>
        <w:t xml:space="preserve">to </w:t>
      </w:r>
      <w:r w:rsidRPr="009B3238">
        <w:rPr>
          <w:rFonts w:ascii="Times New Roman" w:hAnsi="Times New Roman" w:cs="Times New Roman"/>
          <w:sz w:val="24"/>
          <w:szCs w:val="24"/>
        </w:rPr>
        <w:t>charge consumers for profits (shared savings) in the</w:t>
      </w:r>
      <w:r w:rsidRPr="009B3238" w:rsidR="00274D04">
        <w:rPr>
          <w:rFonts w:ascii="Times New Roman" w:hAnsi="Times New Roman" w:cs="Times New Roman"/>
          <w:sz w:val="24"/>
          <w:szCs w:val="24"/>
        </w:rPr>
        <w:t xml:space="preserve"> </w:t>
      </w:r>
      <w:r w:rsidRPr="009B3238">
        <w:rPr>
          <w:rFonts w:ascii="Times New Roman" w:hAnsi="Times New Roman" w:cs="Times New Roman"/>
          <w:sz w:val="24"/>
          <w:szCs w:val="24"/>
        </w:rPr>
        <w:t>funding of the program.</w:t>
      </w:r>
      <w:r>
        <w:rPr>
          <w:rStyle w:val="FootnoteReference"/>
          <w:rFonts w:ascii="Times New Roman" w:hAnsi="Times New Roman" w:cs="Times New Roman"/>
          <w:sz w:val="24"/>
          <w:szCs w:val="24"/>
        </w:rPr>
        <w:footnoteReference w:id="43"/>
      </w:r>
    </w:p>
    <w:p w:rsidR="00D20AE3" w:rsidRPr="009B3238" w:rsidP="009B3238" w14:paraId="70F3D89C" w14:textId="59CE1FC0">
      <w:pPr>
        <w:pStyle w:val="ListParagraph"/>
        <w:keepLines/>
        <w:numPr>
          <w:ilvl w:val="0"/>
          <w:numId w:val="17"/>
        </w:numPr>
        <w:spacing w:after="0" w:line="480" w:lineRule="auto"/>
        <w:ind w:hanging="720"/>
        <w:contextualSpacing w:val="0"/>
        <w:rPr>
          <w:rFonts w:ascii="Times New Roman" w:hAnsi="Times New Roman" w:cs="Times New Roman"/>
          <w:sz w:val="24"/>
          <w:szCs w:val="24"/>
        </w:rPr>
      </w:pPr>
      <w:r w:rsidRPr="009B3238">
        <w:rPr>
          <w:rFonts w:ascii="Times New Roman" w:hAnsi="Times New Roman" w:cs="Times New Roman"/>
          <w:sz w:val="24"/>
          <w:szCs w:val="24"/>
        </w:rPr>
        <w:t xml:space="preserve">The Settlement </w:t>
      </w:r>
      <w:r w:rsidRPr="009B3238" w:rsidR="006226DE">
        <w:rPr>
          <w:rFonts w:ascii="Times New Roman" w:hAnsi="Times New Roman" w:cs="Times New Roman"/>
          <w:sz w:val="24"/>
          <w:szCs w:val="24"/>
        </w:rPr>
        <w:t>lower</w:t>
      </w:r>
      <w:r w:rsidRPr="009B3238">
        <w:rPr>
          <w:rFonts w:ascii="Times New Roman" w:hAnsi="Times New Roman" w:cs="Times New Roman"/>
          <w:sz w:val="24"/>
          <w:szCs w:val="24"/>
        </w:rPr>
        <w:t>s</w:t>
      </w:r>
      <w:r w:rsidRPr="009B3238" w:rsidR="006226DE">
        <w:rPr>
          <w:rFonts w:ascii="Times New Roman" w:hAnsi="Times New Roman" w:cs="Times New Roman"/>
          <w:sz w:val="24"/>
          <w:szCs w:val="24"/>
        </w:rPr>
        <w:t xml:space="preserve"> the amount </w:t>
      </w:r>
      <w:r w:rsidRPr="009B3238" w:rsidR="00A11576">
        <w:rPr>
          <w:rFonts w:ascii="Times New Roman" w:hAnsi="Times New Roman" w:cs="Times New Roman"/>
          <w:sz w:val="24"/>
          <w:szCs w:val="24"/>
        </w:rPr>
        <w:t xml:space="preserve">that </w:t>
      </w:r>
      <w:r w:rsidRPr="009B3238">
        <w:rPr>
          <w:rFonts w:ascii="Times New Roman" w:hAnsi="Times New Roman" w:cs="Times New Roman"/>
          <w:sz w:val="24"/>
          <w:szCs w:val="24"/>
        </w:rPr>
        <w:t>Columbia</w:t>
      </w:r>
      <w:r w:rsidRPr="009B3238" w:rsidR="006226DE">
        <w:rPr>
          <w:rFonts w:ascii="Times New Roman" w:hAnsi="Times New Roman" w:cs="Times New Roman"/>
          <w:sz w:val="24"/>
          <w:szCs w:val="24"/>
        </w:rPr>
        <w:t xml:space="preserve"> can charge consumers </w:t>
      </w:r>
      <w:r w:rsidRPr="009B3238" w:rsidR="00A11576">
        <w:rPr>
          <w:rFonts w:ascii="Times New Roman" w:hAnsi="Times New Roman" w:cs="Times New Roman"/>
          <w:sz w:val="24"/>
          <w:szCs w:val="24"/>
        </w:rPr>
        <w:t xml:space="preserve">annually under </w:t>
      </w:r>
      <w:r w:rsidRPr="009B3238" w:rsidR="006226DE">
        <w:rPr>
          <w:rFonts w:ascii="Times New Roman" w:hAnsi="Times New Roman" w:cs="Times New Roman"/>
          <w:sz w:val="24"/>
          <w:szCs w:val="24"/>
        </w:rPr>
        <w:t>the IRP</w:t>
      </w:r>
      <w:r w:rsidRPr="009B3238" w:rsidR="00C55B18">
        <w:rPr>
          <w:rFonts w:ascii="Times New Roman" w:hAnsi="Times New Roman" w:cs="Times New Roman"/>
          <w:sz w:val="24"/>
          <w:szCs w:val="24"/>
        </w:rPr>
        <w:t xml:space="preserve"> (pipeline replacement)</w:t>
      </w:r>
      <w:r w:rsidRPr="009B3238" w:rsidR="006226DE">
        <w:rPr>
          <w:rFonts w:ascii="Times New Roman" w:hAnsi="Times New Roman" w:cs="Times New Roman"/>
          <w:sz w:val="24"/>
          <w:szCs w:val="24"/>
        </w:rPr>
        <w:t xml:space="preserve"> rider</w:t>
      </w:r>
      <w:r>
        <w:rPr>
          <w:rStyle w:val="FootnoteReference"/>
          <w:rFonts w:ascii="Times New Roman" w:hAnsi="Times New Roman" w:cs="Times New Roman"/>
          <w:sz w:val="24"/>
          <w:szCs w:val="24"/>
        </w:rPr>
        <w:footnoteReference w:id="44"/>
      </w:r>
      <w:r w:rsidRPr="009B3238" w:rsidR="00A11576">
        <w:rPr>
          <w:rFonts w:ascii="Times New Roman" w:hAnsi="Times New Roman" w:cs="Times New Roman"/>
          <w:sz w:val="24"/>
          <w:szCs w:val="24"/>
        </w:rPr>
        <w:t xml:space="preserve"> as compared to what Columbia initially proposed.</w:t>
      </w:r>
      <w:r w:rsidRPr="009B3238" w:rsidR="00C55B18">
        <w:rPr>
          <w:rFonts w:ascii="Times New Roman" w:hAnsi="Times New Roman" w:cs="Times New Roman"/>
          <w:sz w:val="24"/>
          <w:szCs w:val="24"/>
        </w:rPr>
        <w:t xml:space="preserve"> Note that Columbia filed two different types of rate increase cases, the base rate case</w:t>
      </w:r>
      <w:r w:rsidRPr="009B3238" w:rsidR="0086273C">
        <w:rPr>
          <w:rFonts w:ascii="Times New Roman" w:hAnsi="Times New Roman" w:cs="Times New Roman"/>
          <w:sz w:val="24"/>
          <w:szCs w:val="24"/>
        </w:rPr>
        <w:t xml:space="preserve"> under</w:t>
      </w:r>
      <w:r w:rsidRPr="009B3238" w:rsidR="00581990">
        <w:rPr>
          <w:rFonts w:ascii="Times New Roman" w:hAnsi="Times New Roman" w:cs="Times New Roman"/>
          <w:sz w:val="24"/>
          <w:szCs w:val="24"/>
        </w:rPr>
        <w:t xml:space="preserve"> R.C. 4909.18 and 4909.19</w:t>
      </w:r>
      <w:r w:rsidRPr="009B3238" w:rsidR="00C55B18">
        <w:rPr>
          <w:rFonts w:ascii="Times New Roman" w:hAnsi="Times New Roman" w:cs="Times New Roman"/>
          <w:sz w:val="24"/>
          <w:szCs w:val="24"/>
        </w:rPr>
        <w:t xml:space="preserve"> described above and </w:t>
      </w:r>
      <w:r w:rsidRPr="009B3238" w:rsidR="00581990">
        <w:rPr>
          <w:rFonts w:ascii="Times New Roman" w:hAnsi="Times New Roman" w:cs="Times New Roman"/>
          <w:sz w:val="24"/>
          <w:szCs w:val="24"/>
        </w:rPr>
        <w:t xml:space="preserve">the </w:t>
      </w:r>
      <w:r w:rsidRPr="009B3238" w:rsidR="00C55B18">
        <w:rPr>
          <w:rFonts w:ascii="Times New Roman" w:hAnsi="Times New Roman" w:cs="Times New Roman"/>
          <w:sz w:val="24"/>
          <w:szCs w:val="24"/>
        </w:rPr>
        <w:t>rider cases that the legislature allowed under R.C. Chapter 4929.</w:t>
      </w:r>
      <w:r w:rsidRPr="009B3238" w:rsidR="006226DE">
        <w:rPr>
          <w:rFonts w:ascii="Times New Roman" w:hAnsi="Times New Roman" w:cs="Times New Roman"/>
          <w:sz w:val="24"/>
          <w:szCs w:val="24"/>
        </w:rPr>
        <w:t xml:space="preserve"> This </w:t>
      </w:r>
      <w:r w:rsidRPr="009B3238" w:rsidR="00581990">
        <w:rPr>
          <w:rFonts w:ascii="Times New Roman" w:hAnsi="Times New Roman" w:cs="Times New Roman"/>
          <w:sz w:val="24"/>
          <w:szCs w:val="24"/>
        </w:rPr>
        <w:t xml:space="preserve">IRP rider settlement </w:t>
      </w:r>
      <w:r w:rsidRPr="009B3238" w:rsidR="006226DE">
        <w:rPr>
          <w:rFonts w:ascii="Times New Roman" w:hAnsi="Times New Roman" w:cs="Times New Roman"/>
          <w:sz w:val="24"/>
          <w:szCs w:val="24"/>
        </w:rPr>
        <w:t>can result in an estimated $125 million reduction in Columbia’s cumulative charges to consumers for the five years of 2023 – 2027</w:t>
      </w:r>
      <w:r w:rsidRPr="009B3238" w:rsidR="00581990">
        <w:rPr>
          <w:rFonts w:ascii="Times New Roman" w:hAnsi="Times New Roman" w:cs="Times New Roman"/>
          <w:sz w:val="24"/>
          <w:szCs w:val="24"/>
        </w:rPr>
        <w:t>, compared to Columbia’s original proposal</w:t>
      </w:r>
      <w:r w:rsidRPr="009B3238" w:rsidR="006226DE">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p>
    <w:p w:rsidR="00D20AE3" w:rsidRPr="00260A3F" w:rsidP="009B3238" w14:paraId="55C9D2F4" w14:textId="5532808A">
      <w:pPr>
        <w:pStyle w:val="ListParagraph"/>
        <w:keepLines/>
        <w:numPr>
          <w:ilvl w:val="0"/>
          <w:numId w:val="17"/>
        </w:numPr>
        <w:spacing w:after="0" w:line="480" w:lineRule="auto"/>
        <w:ind w:hanging="720"/>
        <w:contextualSpacing w:val="0"/>
        <w:rPr>
          <w:rFonts w:ascii="Times New Roman" w:hAnsi="Times New Roman" w:cs="Times New Roman"/>
          <w:sz w:val="24"/>
          <w:szCs w:val="24"/>
        </w:rPr>
      </w:pPr>
      <w:r>
        <w:rPr>
          <w:rFonts w:ascii="Times New Roman" w:hAnsi="Times New Roman" w:cs="Times New Roman"/>
          <w:sz w:val="24"/>
          <w:szCs w:val="24"/>
        </w:rPr>
        <w:t>Similarly, the Settlement</w:t>
      </w:r>
      <w:r w:rsidRPr="00A11576">
        <w:rPr>
          <w:rFonts w:ascii="Times New Roman" w:hAnsi="Times New Roman" w:cs="Times New Roman"/>
          <w:sz w:val="24"/>
          <w:szCs w:val="24"/>
        </w:rPr>
        <w:t xml:space="preserve"> lower</w:t>
      </w:r>
      <w:r>
        <w:rPr>
          <w:rFonts w:ascii="Times New Roman" w:hAnsi="Times New Roman" w:cs="Times New Roman"/>
          <w:sz w:val="24"/>
          <w:szCs w:val="24"/>
        </w:rPr>
        <w:t>s</w:t>
      </w:r>
      <w:r w:rsidRPr="00A11576">
        <w:rPr>
          <w:rFonts w:ascii="Times New Roman" w:hAnsi="Times New Roman" w:cs="Times New Roman"/>
          <w:sz w:val="24"/>
          <w:szCs w:val="24"/>
        </w:rPr>
        <w:t xml:space="preserve"> the amount </w:t>
      </w:r>
      <w:r>
        <w:rPr>
          <w:rFonts w:ascii="Times New Roman" w:hAnsi="Times New Roman" w:cs="Times New Roman"/>
          <w:sz w:val="24"/>
          <w:szCs w:val="24"/>
        </w:rPr>
        <w:t>Columbia</w:t>
      </w:r>
      <w:r w:rsidRPr="00A11576">
        <w:rPr>
          <w:rFonts w:ascii="Times New Roman" w:hAnsi="Times New Roman" w:cs="Times New Roman"/>
          <w:sz w:val="24"/>
          <w:szCs w:val="24"/>
        </w:rPr>
        <w:t xml:space="preserve"> can charge consumers</w:t>
      </w:r>
      <w:r>
        <w:rPr>
          <w:rFonts w:ascii="Times New Roman" w:hAnsi="Times New Roman" w:cs="Times New Roman"/>
          <w:sz w:val="24"/>
          <w:szCs w:val="24"/>
        </w:rPr>
        <w:t xml:space="preserve"> annually under</w:t>
      </w:r>
      <w:r w:rsidRPr="00A11576">
        <w:rPr>
          <w:rFonts w:ascii="Times New Roman" w:hAnsi="Times New Roman" w:cs="Times New Roman"/>
          <w:sz w:val="24"/>
          <w:szCs w:val="24"/>
        </w:rPr>
        <w:t xml:space="preserve"> the CEP rider</w:t>
      </w:r>
      <w:r>
        <w:rPr>
          <w:rStyle w:val="FootnoteReference"/>
          <w:rFonts w:ascii="Times New Roman" w:hAnsi="Times New Roman" w:cs="Times New Roman"/>
          <w:sz w:val="24"/>
          <w:szCs w:val="24"/>
        </w:rPr>
        <w:footnoteReference w:id="46"/>
      </w:r>
      <w:r w:rsidRPr="00A11576">
        <w:rPr>
          <w:rFonts w:ascii="Times New Roman" w:hAnsi="Times New Roman" w:cs="Times New Roman"/>
          <w:sz w:val="24"/>
          <w:szCs w:val="24"/>
        </w:rPr>
        <w:t xml:space="preserve"> </w:t>
      </w:r>
      <w:r w:rsidR="00581990">
        <w:rPr>
          <w:rFonts w:ascii="Times New Roman" w:hAnsi="Times New Roman" w:cs="Times New Roman"/>
          <w:sz w:val="24"/>
          <w:szCs w:val="24"/>
        </w:rPr>
        <w:t xml:space="preserve">(general capital expenditures) </w:t>
      </w:r>
      <w:r w:rsidR="00374B2C">
        <w:rPr>
          <w:rFonts w:ascii="Times New Roman" w:hAnsi="Times New Roman" w:cs="Times New Roman"/>
          <w:sz w:val="24"/>
          <w:szCs w:val="24"/>
        </w:rPr>
        <w:t>as compared to what Columbia initially proposed for the SGS class of consumers.</w:t>
      </w:r>
      <w:r w:rsidR="00DF17C4">
        <w:rPr>
          <w:rFonts w:ascii="Times New Roman" w:hAnsi="Times New Roman" w:cs="Times New Roman"/>
          <w:sz w:val="24"/>
          <w:szCs w:val="24"/>
        </w:rPr>
        <w:t xml:space="preserve"> </w:t>
      </w:r>
      <w:r w:rsidRPr="00A11576">
        <w:rPr>
          <w:rFonts w:ascii="Times New Roman" w:hAnsi="Times New Roman" w:cs="Times New Roman"/>
          <w:sz w:val="24"/>
          <w:szCs w:val="24"/>
        </w:rPr>
        <w:t>This can result in an estimated $357 million reduction in Columbia’s cumulative charges to consumers for the five years of 2023 – 2027</w:t>
      </w:r>
      <w:r w:rsidR="00581990">
        <w:rPr>
          <w:rFonts w:ascii="Times New Roman" w:hAnsi="Times New Roman" w:cs="Times New Roman"/>
          <w:sz w:val="24"/>
          <w:szCs w:val="24"/>
        </w:rPr>
        <w:t>, compared to Columbia’s original proposal</w:t>
      </w:r>
      <w:r w:rsidRPr="00A11576">
        <w:rPr>
          <w:rFonts w:ascii="Times New Roman" w:hAnsi="Times New Roman" w:cs="Times New Roman"/>
          <w:sz w:val="24"/>
          <w:szCs w:val="24"/>
        </w:rPr>
        <w:t>.</w:t>
      </w:r>
      <w:r>
        <w:rPr>
          <w:rStyle w:val="FootnoteReference"/>
          <w:rFonts w:ascii="Times New Roman" w:hAnsi="Times New Roman" w:cs="Times New Roman"/>
          <w:sz w:val="24"/>
          <w:szCs w:val="24"/>
        </w:rPr>
        <w:footnoteReference w:id="47"/>
      </w:r>
    </w:p>
    <w:p w:rsidR="00D20AE3" w:rsidRPr="00260A3F" w:rsidP="008258CE" w14:paraId="3AAEC544" w14:textId="35C5ECBE">
      <w:pPr>
        <w:pStyle w:val="ListParagraph"/>
        <w:keepLines/>
        <w:numPr>
          <w:ilvl w:val="0"/>
          <w:numId w:val="17"/>
        </w:numPr>
        <w:spacing w:after="240" w:line="480" w:lineRule="auto"/>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Mr. Adkins testified that </w:t>
      </w:r>
      <w:r w:rsidRPr="00374B2C">
        <w:rPr>
          <w:rFonts w:ascii="Times New Roman" w:hAnsi="Times New Roman" w:cs="Times New Roman"/>
          <w:sz w:val="24"/>
          <w:szCs w:val="24"/>
        </w:rPr>
        <w:t xml:space="preserve">Columbia agreed to withdraw its proposed Federally Mandated Investment Rider </w:t>
      </w:r>
      <w:r w:rsidR="00E140C7">
        <w:rPr>
          <w:rFonts w:ascii="Times New Roman" w:hAnsi="Times New Roman" w:cs="Times New Roman"/>
          <w:sz w:val="24"/>
          <w:szCs w:val="24"/>
        </w:rPr>
        <w:t>(“FMIR”) charge to consumers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Instead, the Settlement includes </w:t>
      </w:r>
      <w:r w:rsidRPr="00374B2C">
        <w:rPr>
          <w:rFonts w:ascii="Times New Roman" w:hAnsi="Times New Roman" w:cs="Times New Roman"/>
          <w:sz w:val="24"/>
          <w:szCs w:val="24"/>
        </w:rPr>
        <w:t>a more limited provision</w:t>
      </w:r>
      <w:r>
        <w:rPr>
          <w:rFonts w:ascii="Times New Roman" w:hAnsi="Times New Roman" w:cs="Times New Roman"/>
          <w:sz w:val="24"/>
          <w:szCs w:val="24"/>
        </w:rPr>
        <w:t xml:space="preserve"> that allows</w:t>
      </w:r>
      <w:r w:rsidRPr="00374B2C">
        <w:rPr>
          <w:rFonts w:ascii="Times New Roman" w:hAnsi="Times New Roman" w:cs="Times New Roman"/>
          <w:sz w:val="24"/>
          <w:szCs w:val="24"/>
        </w:rPr>
        <w:t xml:space="preserve"> Columbia to seek PUCO approval for recovery of capital expenditures required under the Mega Rule of the Pipeline and Hazardous Materials Safety Administration (“PHMSA”).</w:t>
      </w:r>
      <w:r>
        <w:rPr>
          <w:rStyle w:val="FootnoteReference"/>
          <w:rFonts w:ascii="Times New Roman" w:hAnsi="Times New Roman" w:cs="Times New Roman"/>
          <w:sz w:val="24"/>
          <w:szCs w:val="24"/>
        </w:rPr>
        <w:footnoteReference w:id="49"/>
      </w:r>
      <w:r w:rsidR="00326C85">
        <w:rPr>
          <w:rFonts w:ascii="Times New Roman" w:hAnsi="Times New Roman" w:cs="Times New Roman"/>
          <w:sz w:val="24"/>
          <w:szCs w:val="24"/>
        </w:rPr>
        <w:t xml:space="preserve"> </w:t>
      </w:r>
      <w:r w:rsidR="00E140C7">
        <w:rPr>
          <w:rFonts w:ascii="Times New Roman" w:hAnsi="Times New Roman" w:cs="Times New Roman"/>
          <w:sz w:val="24"/>
          <w:szCs w:val="24"/>
        </w:rPr>
        <w:t>Columbia’s withdrawal of the</w:t>
      </w:r>
      <w:r w:rsidRPr="00374B2C">
        <w:rPr>
          <w:rFonts w:ascii="Times New Roman" w:hAnsi="Times New Roman" w:cs="Times New Roman"/>
          <w:sz w:val="24"/>
          <w:szCs w:val="24"/>
        </w:rPr>
        <w:t xml:space="preserve"> FMIR </w:t>
      </w:r>
      <w:r w:rsidR="009630A8">
        <w:rPr>
          <w:rFonts w:ascii="Times New Roman" w:hAnsi="Times New Roman" w:cs="Times New Roman"/>
          <w:sz w:val="24"/>
          <w:szCs w:val="24"/>
        </w:rPr>
        <w:t>could</w:t>
      </w:r>
      <w:r w:rsidRPr="00374B2C" w:rsidR="009630A8">
        <w:rPr>
          <w:rFonts w:ascii="Times New Roman" w:hAnsi="Times New Roman" w:cs="Times New Roman"/>
          <w:sz w:val="24"/>
          <w:szCs w:val="24"/>
        </w:rPr>
        <w:t xml:space="preserve"> </w:t>
      </w:r>
      <w:r w:rsidRPr="00374B2C">
        <w:rPr>
          <w:rFonts w:ascii="Times New Roman" w:hAnsi="Times New Roman" w:cs="Times New Roman"/>
          <w:sz w:val="24"/>
          <w:szCs w:val="24"/>
        </w:rPr>
        <w:t>result in</w:t>
      </w:r>
      <w:r w:rsidR="00C77674">
        <w:rPr>
          <w:rFonts w:ascii="Times New Roman" w:hAnsi="Times New Roman" w:cs="Times New Roman"/>
          <w:sz w:val="24"/>
          <w:szCs w:val="24"/>
        </w:rPr>
        <w:t xml:space="preserve"> residential and small business</w:t>
      </w:r>
      <w:r w:rsidR="00DF17C4">
        <w:rPr>
          <w:rFonts w:ascii="Times New Roman" w:hAnsi="Times New Roman" w:cs="Times New Roman"/>
          <w:sz w:val="24"/>
          <w:szCs w:val="24"/>
        </w:rPr>
        <w:t xml:space="preserve"> </w:t>
      </w:r>
      <w:r w:rsidRPr="00374B2C">
        <w:rPr>
          <w:rFonts w:ascii="Times New Roman" w:hAnsi="Times New Roman" w:cs="Times New Roman"/>
          <w:sz w:val="24"/>
          <w:szCs w:val="24"/>
        </w:rPr>
        <w:t>consumers avoiding approximately $320 million in cumulative charges over the 2023 – 2027 period.</w:t>
      </w:r>
      <w:r>
        <w:rPr>
          <w:rStyle w:val="FootnoteReference"/>
          <w:rFonts w:ascii="Times New Roman" w:hAnsi="Times New Roman" w:cs="Times New Roman"/>
          <w:sz w:val="24"/>
          <w:szCs w:val="24"/>
        </w:rPr>
        <w:footnoteReference w:id="50"/>
      </w:r>
    </w:p>
    <w:p w:rsidR="00D20AE3" w:rsidRPr="00260A3F" w:rsidP="009B3238" w14:paraId="5DD28763" w14:textId="5C7451A2">
      <w:pPr>
        <w:pStyle w:val="ListParagraph"/>
        <w:keepLines/>
        <w:numPr>
          <w:ilvl w:val="0"/>
          <w:numId w:val="17"/>
        </w:numPr>
        <w:spacing w:after="0" w:line="480" w:lineRule="auto"/>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As a result of the </w:t>
      </w:r>
      <w:r w:rsidR="002346C4">
        <w:rPr>
          <w:rFonts w:ascii="Times New Roman" w:hAnsi="Times New Roman" w:cs="Times New Roman"/>
          <w:sz w:val="24"/>
          <w:szCs w:val="24"/>
        </w:rPr>
        <w:t>Settlement</w:t>
      </w:r>
      <w:r>
        <w:rPr>
          <w:rFonts w:ascii="Times New Roman" w:hAnsi="Times New Roman" w:cs="Times New Roman"/>
          <w:sz w:val="24"/>
          <w:szCs w:val="24"/>
        </w:rPr>
        <w:t xml:space="preserve"> negotiation</w:t>
      </w:r>
      <w:r w:rsidR="002346C4">
        <w:rPr>
          <w:rFonts w:ascii="Times New Roman" w:hAnsi="Times New Roman" w:cs="Times New Roman"/>
          <w:sz w:val="24"/>
          <w:szCs w:val="24"/>
        </w:rPr>
        <w:t xml:space="preserve">, Columbia will </w:t>
      </w:r>
      <w:r w:rsidR="005C121B">
        <w:rPr>
          <w:rFonts w:ascii="Times New Roman" w:hAnsi="Times New Roman" w:cs="Times New Roman"/>
          <w:sz w:val="24"/>
          <w:szCs w:val="24"/>
        </w:rPr>
        <w:t>provide</w:t>
      </w:r>
      <w:r w:rsidR="002346C4">
        <w:rPr>
          <w:rFonts w:ascii="Times New Roman" w:hAnsi="Times New Roman" w:cs="Times New Roman"/>
          <w:sz w:val="24"/>
          <w:szCs w:val="24"/>
        </w:rPr>
        <w:t xml:space="preserve"> $3.5 million </w:t>
      </w:r>
      <w:r w:rsidR="005C121B">
        <w:rPr>
          <w:rFonts w:ascii="Times New Roman" w:hAnsi="Times New Roman" w:cs="Times New Roman"/>
          <w:sz w:val="24"/>
          <w:szCs w:val="24"/>
        </w:rPr>
        <w:t xml:space="preserve">in </w:t>
      </w:r>
      <w:r w:rsidRPr="003437D1" w:rsidR="003437D1">
        <w:rPr>
          <w:rFonts w:ascii="Times New Roman" w:hAnsi="Times New Roman" w:cs="Times New Roman"/>
          <w:sz w:val="24"/>
          <w:szCs w:val="24"/>
        </w:rPr>
        <w:t xml:space="preserve">bill-payment assistance </w:t>
      </w:r>
      <w:r w:rsidR="005C121B">
        <w:rPr>
          <w:rFonts w:ascii="Times New Roman" w:hAnsi="Times New Roman" w:cs="Times New Roman"/>
          <w:sz w:val="24"/>
          <w:szCs w:val="24"/>
        </w:rPr>
        <w:t>to</w:t>
      </w:r>
      <w:r w:rsidRPr="003437D1" w:rsidR="003437D1">
        <w:rPr>
          <w:rFonts w:ascii="Times New Roman" w:hAnsi="Times New Roman" w:cs="Times New Roman"/>
          <w:sz w:val="24"/>
          <w:szCs w:val="24"/>
        </w:rPr>
        <w:t xml:space="preserve"> low-income consumers.</w:t>
      </w:r>
      <w:r>
        <w:rPr>
          <w:rFonts w:ascii="Times New Roman" w:hAnsi="Times New Roman" w:cs="Times New Roman"/>
          <w:sz w:val="24"/>
          <w:szCs w:val="24"/>
        </w:rPr>
        <w:t xml:space="preserve"> OCC originally proposed such an assistance program (albeit for a higher amount). </w:t>
      </w:r>
      <w:r w:rsidRPr="003437D1" w:rsidR="003437D1">
        <w:rPr>
          <w:rFonts w:ascii="Times New Roman" w:hAnsi="Times New Roman" w:cs="Times New Roman"/>
          <w:sz w:val="24"/>
          <w:szCs w:val="24"/>
        </w:rPr>
        <w:t>The program will be</w:t>
      </w:r>
      <w:r w:rsidR="005C121B">
        <w:rPr>
          <w:rFonts w:ascii="Times New Roman" w:hAnsi="Times New Roman" w:cs="Times New Roman"/>
          <w:sz w:val="24"/>
          <w:szCs w:val="24"/>
        </w:rPr>
        <w:t xml:space="preserve"> largely</w:t>
      </w:r>
      <w:r w:rsidRPr="003437D1" w:rsidR="003437D1">
        <w:rPr>
          <w:rFonts w:ascii="Times New Roman" w:hAnsi="Times New Roman" w:cs="Times New Roman"/>
          <w:sz w:val="24"/>
          <w:szCs w:val="24"/>
        </w:rPr>
        <w:t xml:space="preserve"> funded by Columbia’s shareholders.</w:t>
      </w:r>
      <w:r>
        <w:rPr>
          <w:rStyle w:val="FootnoteReference"/>
          <w:rFonts w:ascii="Times New Roman" w:hAnsi="Times New Roman" w:cs="Times New Roman"/>
          <w:sz w:val="24"/>
          <w:szCs w:val="24"/>
        </w:rPr>
        <w:footnoteReference w:id="51"/>
      </w:r>
      <w:r w:rsidRPr="003437D1" w:rsidR="003437D1">
        <w:rPr>
          <w:rFonts w:ascii="Times New Roman" w:hAnsi="Times New Roman" w:cs="Times New Roman"/>
          <w:sz w:val="24"/>
          <w:szCs w:val="24"/>
        </w:rPr>
        <w:t xml:space="preserve"> Under the</w:t>
      </w:r>
      <w:r w:rsidR="001707D9">
        <w:rPr>
          <w:rFonts w:ascii="Times New Roman" w:hAnsi="Times New Roman" w:cs="Times New Roman"/>
          <w:sz w:val="24"/>
          <w:szCs w:val="24"/>
        </w:rPr>
        <w:t xml:space="preserve"> </w:t>
      </w:r>
      <w:r w:rsidRPr="003437D1" w:rsidR="003437D1">
        <w:rPr>
          <w:rFonts w:ascii="Times New Roman" w:hAnsi="Times New Roman" w:cs="Times New Roman"/>
          <w:sz w:val="24"/>
          <w:szCs w:val="24"/>
        </w:rPr>
        <w:t>program, eligible consumers may receive up to $450 per year to avoid disconnection or to get service reconnected.</w:t>
      </w:r>
      <w:r>
        <w:rPr>
          <w:rStyle w:val="FootnoteReference"/>
          <w:rFonts w:ascii="Times New Roman" w:hAnsi="Times New Roman" w:cs="Times New Roman"/>
          <w:sz w:val="24"/>
          <w:szCs w:val="24"/>
        </w:rPr>
        <w:footnoteReference w:id="52"/>
      </w:r>
    </w:p>
    <w:p w:rsidR="00D20AE3" w:rsidRPr="00260A3F" w:rsidP="009B3238" w14:paraId="70A0B7F4" w14:textId="033E58CD">
      <w:pPr>
        <w:pStyle w:val="ListParagraph"/>
        <w:keepLines/>
        <w:numPr>
          <w:ilvl w:val="0"/>
          <w:numId w:val="17"/>
        </w:numPr>
        <w:spacing w:after="0" w:line="480" w:lineRule="auto"/>
        <w:ind w:hanging="720"/>
        <w:contextualSpacing w:val="0"/>
        <w:rPr>
          <w:rFonts w:ascii="Times New Roman" w:hAnsi="Times New Roman" w:cs="Times New Roman"/>
          <w:sz w:val="24"/>
          <w:szCs w:val="24"/>
        </w:rPr>
      </w:pPr>
      <w:r>
        <w:rPr>
          <w:rFonts w:ascii="Times New Roman" w:hAnsi="Times New Roman" w:cs="Times New Roman"/>
          <w:sz w:val="24"/>
          <w:szCs w:val="24"/>
        </w:rPr>
        <w:t>As part of the</w:t>
      </w:r>
      <w:r w:rsidRPr="005C121B">
        <w:rPr>
          <w:rFonts w:ascii="Times New Roman" w:hAnsi="Times New Roman" w:cs="Times New Roman"/>
          <w:sz w:val="24"/>
          <w:szCs w:val="24"/>
        </w:rPr>
        <w:t xml:space="preserve"> Settlement package, Columbia is withdrawing the proposal for a DSM p</w:t>
      </w:r>
      <w:r w:rsidR="005213C8">
        <w:rPr>
          <w:rFonts w:ascii="Times New Roman" w:hAnsi="Times New Roman" w:cs="Times New Roman"/>
          <w:sz w:val="24"/>
          <w:szCs w:val="24"/>
        </w:rPr>
        <w:t>rogram</w:t>
      </w:r>
      <w:r w:rsidR="00291C59">
        <w:rPr>
          <w:rFonts w:ascii="Times New Roman" w:hAnsi="Times New Roman" w:cs="Times New Roman"/>
          <w:sz w:val="24"/>
          <w:szCs w:val="24"/>
        </w:rPr>
        <w:t xml:space="preserve"> for non-low-income consumers</w:t>
      </w:r>
      <w:r w:rsidRPr="005C121B">
        <w:rPr>
          <w:rFonts w:ascii="Times New Roman" w:hAnsi="Times New Roman" w:cs="Times New Roman"/>
          <w:sz w:val="24"/>
          <w:szCs w:val="24"/>
        </w:rPr>
        <w:t>.</w:t>
      </w:r>
      <w:r>
        <w:rPr>
          <w:rStyle w:val="FootnoteReference"/>
          <w:rFonts w:ascii="Times New Roman" w:hAnsi="Times New Roman" w:cs="Times New Roman"/>
          <w:sz w:val="24"/>
          <w:szCs w:val="24"/>
        </w:rPr>
        <w:footnoteReference w:id="53"/>
      </w:r>
      <w:r w:rsidRPr="005C121B">
        <w:rPr>
          <w:rFonts w:ascii="Times New Roman" w:hAnsi="Times New Roman" w:cs="Times New Roman"/>
          <w:sz w:val="24"/>
          <w:szCs w:val="24"/>
        </w:rPr>
        <w:t xml:space="preserve"> </w:t>
      </w:r>
      <w:r w:rsidR="005213C8">
        <w:rPr>
          <w:rFonts w:ascii="Times New Roman" w:hAnsi="Times New Roman" w:cs="Times New Roman"/>
          <w:sz w:val="24"/>
          <w:szCs w:val="24"/>
        </w:rPr>
        <w:t>OCC witness</w:t>
      </w:r>
      <w:r w:rsidR="00E76D9E">
        <w:rPr>
          <w:rFonts w:ascii="Times New Roman" w:hAnsi="Times New Roman" w:cs="Times New Roman"/>
          <w:sz w:val="24"/>
          <w:szCs w:val="24"/>
        </w:rPr>
        <w:t xml:space="preserve"> </w:t>
      </w:r>
      <w:r w:rsidR="005213C8">
        <w:rPr>
          <w:rFonts w:ascii="Times New Roman" w:hAnsi="Times New Roman" w:cs="Times New Roman"/>
          <w:sz w:val="24"/>
          <w:szCs w:val="24"/>
        </w:rPr>
        <w:t>Adkins testified that withdrawing the</w:t>
      </w:r>
      <w:r w:rsidRPr="005C121B">
        <w:rPr>
          <w:rFonts w:ascii="Times New Roman" w:hAnsi="Times New Roman" w:cs="Times New Roman"/>
          <w:sz w:val="24"/>
          <w:szCs w:val="24"/>
        </w:rPr>
        <w:t xml:space="preserve"> non-low-income DSM program will result in eliminating approximately $119 million in Columbia charges (program costs and shared-savings profits) to </w:t>
      </w:r>
      <w:r w:rsidR="005213C8">
        <w:rPr>
          <w:rFonts w:ascii="Times New Roman" w:hAnsi="Times New Roman" w:cs="Times New Roman"/>
          <w:sz w:val="24"/>
          <w:szCs w:val="24"/>
        </w:rPr>
        <w:t xml:space="preserve">residential and small business </w:t>
      </w:r>
      <w:r w:rsidRPr="005C121B">
        <w:rPr>
          <w:rFonts w:ascii="Times New Roman" w:hAnsi="Times New Roman" w:cs="Times New Roman"/>
          <w:sz w:val="24"/>
          <w:szCs w:val="24"/>
        </w:rPr>
        <w:t>consumers for the 2023 - 2027 period.</w:t>
      </w:r>
      <w:r>
        <w:rPr>
          <w:rStyle w:val="FootnoteReference"/>
          <w:rFonts w:ascii="Times New Roman" w:hAnsi="Times New Roman" w:cs="Times New Roman"/>
          <w:sz w:val="24"/>
          <w:szCs w:val="24"/>
        </w:rPr>
        <w:footnoteReference w:id="54"/>
      </w:r>
      <w:r w:rsidR="00291C59">
        <w:rPr>
          <w:rFonts w:ascii="Times New Roman" w:hAnsi="Times New Roman" w:cs="Times New Roman"/>
          <w:sz w:val="24"/>
          <w:szCs w:val="24"/>
        </w:rPr>
        <w:t xml:space="preserve"> </w:t>
      </w:r>
    </w:p>
    <w:p w:rsidR="003C5507" w:rsidP="006C1EAB" w14:paraId="13D76051" w14:textId="0220F9B8">
      <w:pPr>
        <w:pStyle w:val="ListParagraph"/>
        <w:keepLines/>
        <w:numPr>
          <w:ilvl w:val="0"/>
          <w:numId w:val="17"/>
        </w:numPr>
        <w:spacing w:after="0" w:line="480" w:lineRule="auto"/>
        <w:ind w:hanging="720"/>
        <w:contextualSpacing w:val="0"/>
        <w:rPr>
          <w:rFonts w:ascii="Times New Roman" w:hAnsi="Times New Roman" w:cs="Times New Roman"/>
          <w:sz w:val="24"/>
          <w:szCs w:val="24"/>
        </w:rPr>
      </w:pPr>
      <w:r>
        <w:rPr>
          <w:rFonts w:ascii="Times New Roman" w:hAnsi="Times New Roman" w:cs="Times New Roman"/>
          <w:sz w:val="24"/>
          <w:szCs w:val="24"/>
        </w:rPr>
        <w:t xml:space="preserve">Under the Settlement, </w:t>
      </w:r>
      <w:r w:rsidRPr="00E76D9E" w:rsidR="00E76D9E">
        <w:rPr>
          <w:rFonts w:ascii="Times New Roman" w:hAnsi="Times New Roman" w:cs="Times New Roman"/>
          <w:sz w:val="24"/>
          <w:szCs w:val="24"/>
        </w:rPr>
        <w:t xml:space="preserve">Columbia </w:t>
      </w:r>
      <w:r>
        <w:rPr>
          <w:rFonts w:ascii="Times New Roman" w:hAnsi="Times New Roman" w:cs="Times New Roman"/>
          <w:sz w:val="24"/>
          <w:szCs w:val="24"/>
        </w:rPr>
        <w:t>will</w:t>
      </w:r>
      <w:r w:rsidRPr="00E76D9E" w:rsidR="00E76D9E">
        <w:rPr>
          <w:rFonts w:ascii="Times New Roman" w:hAnsi="Times New Roman" w:cs="Times New Roman"/>
          <w:sz w:val="24"/>
          <w:szCs w:val="24"/>
        </w:rPr>
        <w:t xml:space="preserve"> implement an </w:t>
      </w:r>
      <w:r w:rsidR="00E76D9E">
        <w:rPr>
          <w:rFonts w:ascii="Times New Roman" w:hAnsi="Times New Roman" w:cs="Times New Roman"/>
          <w:sz w:val="24"/>
          <w:szCs w:val="24"/>
        </w:rPr>
        <w:t xml:space="preserve">online </w:t>
      </w:r>
      <w:r w:rsidR="009630A8">
        <w:rPr>
          <w:rFonts w:ascii="Times New Roman" w:hAnsi="Times New Roman" w:cs="Times New Roman"/>
          <w:sz w:val="24"/>
          <w:szCs w:val="24"/>
        </w:rPr>
        <w:t xml:space="preserve">privacy feature </w:t>
      </w:r>
      <w:r w:rsidR="00E76D9E">
        <w:rPr>
          <w:rFonts w:ascii="Times New Roman" w:hAnsi="Times New Roman" w:cs="Times New Roman"/>
          <w:sz w:val="24"/>
          <w:szCs w:val="24"/>
        </w:rPr>
        <w:t xml:space="preserve">to </w:t>
      </w:r>
      <w:r w:rsidRPr="00E76D9E" w:rsidR="00E76D9E">
        <w:rPr>
          <w:rFonts w:ascii="Times New Roman" w:hAnsi="Times New Roman" w:cs="Times New Roman"/>
          <w:sz w:val="24"/>
          <w:szCs w:val="24"/>
        </w:rPr>
        <w:t>allow consumers to more easily opt out of having their personal contact information disclosed by Columbia to energy marketers.</w:t>
      </w:r>
      <w:r>
        <w:rPr>
          <w:rStyle w:val="FootnoteReference"/>
          <w:rFonts w:ascii="Times New Roman" w:hAnsi="Times New Roman" w:cs="Times New Roman"/>
          <w:sz w:val="24"/>
          <w:szCs w:val="24"/>
        </w:rPr>
        <w:footnoteReference w:id="55"/>
      </w:r>
      <w:r w:rsidRPr="00E76D9E" w:rsidR="00E76D9E">
        <w:rPr>
          <w:rFonts w:ascii="Times New Roman" w:hAnsi="Times New Roman" w:cs="Times New Roman"/>
          <w:sz w:val="24"/>
          <w:szCs w:val="24"/>
        </w:rPr>
        <w:t xml:space="preserve"> Th</w:t>
      </w:r>
      <w:r w:rsidR="00291C59">
        <w:rPr>
          <w:rFonts w:ascii="Times New Roman" w:hAnsi="Times New Roman" w:cs="Times New Roman"/>
          <w:sz w:val="24"/>
          <w:szCs w:val="24"/>
        </w:rPr>
        <w:t>e online opt out will</w:t>
      </w:r>
      <w:r w:rsidRPr="00E76D9E" w:rsidR="00E76D9E">
        <w:rPr>
          <w:rFonts w:ascii="Times New Roman" w:hAnsi="Times New Roman" w:cs="Times New Roman"/>
          <w:sz w:val="24"/>
          <w:szCs w:val="24"/>
        </w:rPr>
        <w:t xml:space="preserve"> </w:t>
      </w:r>
      <w:r>
        <w:rPr>
          <w:rFonts w:ascii="Times New Roman" w:hAnsi="Times New Roman" w:cs="Times New Roman"/>
          <w:sz w:val="24"/>
          <w:szCs w:val="24"/>
        </w:rPr>
        <w:t>benefit consumers by</w:t>
      </w:r>
      <w:r w:rsidRPr="00E76D9E" w:rsidR="00E76D9E">
        <w:rPr>
          <w:rFonts w:ascii="Times New Roman" w:hAnsi="Times New Roman" w:cs="Times New Roman"/>
          <w:sz w:val="24"/>
          <w:szCs w:val="24"/>
        </w:rPr>
        <w:t xml:space="preserve"> </w:t>
      </w:r>
      <w:r>
        <w:rPr>
          <w:rFonts w:ascii="Times New Roman" w:hAnsi="Times New Roman" w:cs="Times New Roman"/>
          <w:sz w:val="24"/>
          <w:szCs w:val="24"/>
        </w:rPr>
        <w:t xml:space="preserve">giving them more control over their personal information </w:t>
      </w:r>
      <w:r w:rsidR="00291C59">
        <w:rPr>
          <w:rFonts w:ascii="Times New Roman" w:hAnsi="Times New Roman" w:cs="Times New Roman"/>
          <w:sz w:val="24"/>
          <w:szCs w:val="24"/>
        </w:rPr>
        <w:t xml:space="preserve">and will </w:t>
      </w:r>
      <w:r>
        <w:rPr>
          <w:rFonts w:ascii="Times New Roman" w:hAnsi="Times New Roman" w:cs="Times New Roman"/>
          <w:sz w:val="24"/>
          <w:szCs w:val="24"/>
        </w:rPr>
        <w:t>allow consumers to</w:t>
      </w:r>
      <w:r w:rsidRPr="00E76D9E" w:rsidR="00E76D9E">
        <w:rPr>
          <w:rFonts w:ascii="Times New Roman" w:hAnsi="Times New Roman" w:cs="Times New Roman"/>
          <w:sz w:val="24"/>
          <w:szCs w:val="24"/>
        </w:rPr>
        <w:t xml:space="preserve"> avoid sales contacts by energy marketers if that is the</w:t>
      </w:r>
      <w:r>
        <w:rPr>
          <w:rFonts w:ascii="Times New Roman" w:hAnsi="Times New Roman" w:cs="Times New Roman"/>
          <w:sz w:val="24"/>
          <w:szCs w:val="24"/>
        </w:rPr>
        <w:t>ir preference</w:t>
      </w:r>
      <w:r w:rsidRPr="00E76D9E" w:rsidR="00E76D9E">
        <w:rPr>
          <w:rFonts w:ascii="Times New Roman" w:hAnsi="Times New Roman" w:cs="Times New Roman"/>
          <w:sz w:val="24"/>
          <w:szCs w:val="24"/>
        </w:rPr>
        <w:t>.</w:t>
      </w:r>
    </w:p>
    <w:p w:rsidR="00DA040E" w:rsidRPr="00DA040E" w:rsidP="00A96734" w14:paraId="45F7C48F" w14:textId="2D3F0325">
      <w:pPr>
        <w:pStyle w:val="pf0"/>
        <w:numPr>
          <w:ilvl w:val="0"/>
          <w:numId w:val="17"/>
        </w:numPr>
        <w:spacing w:after="0" w:afterAutospacing="0" w:line="480" w:lineRule="auto"/>
        <w:ind w:hanging="720"/>
        <w:rPr>
          <w:rStyle w:val="cf01"/>
          <w:rFonts w:ascii="Times New Roman" w:hAnsi="Times New Roman" w:cs="Times New Roman"/>
          <w:sz w:val="24"/>
          <w:szCs w:val="24"/>
        </w:rPr>
      </w:pPr>
      <w:r w:rsidRPr="00DA040E">
        <w:rPr>
          <w:rStyle w:val="cf01"/>
          <w:rFonts w:ascii="Times New Roman" w:hAnsi="Times New Roman" w:cs="Times New Roman"/>
          <w:sz w:val="24"/>
          <w:szCs w:val="24"/>
        </w:rPr>
        <w:t>The Settlement includes a provision that implements a discussion group to explore Columbia exiting the merchant function</w:t>
      </w:r>
      <w:r w:rsidR="009630A8">
        <w:rPr>
          <w:rStyle w:val="cf01"/>
          <w:rFonts w:ascii="Times New Roman" w:hAnsi="Times New Roman" w:cs="Times New Roman"/>
          <w:sz w:val="24"/>
          <w:szCs w:val="24"/>
        </w:rPr>
        <w:t xml:space="preserve"> (meaning an end to the Columbia standard offer)</w:t>
      </w:r>
      <w:r w:rsidRPr="00DA040E">
        <w:rPr>
          <w:rStyle w:val="cf01"/>
          <w:rFonts w:ascii="Times New Roman" w:hAnsi="Times New Roman" w:cs="Times New Roman"/>
          <w:sz w:val="24"/>
          <w:szCs w:val="24"/>
        </w:rPr>
        <w:t xml:space="preserve"> for non-residential consumers.</w:t>
      </w:r>
      <w:r w:rsidR="00326C85">
        <w:rPr>
          <w:rStyle w:val="cf01"/>
          <w:rFonts w:ascii="Times New Roman" w:hAnsi="Times New Roman" w:cs="Times New Roman"/>
          <w:sz w:val="24"/>
          <w:szCs w:val="24"/>
        </w:rPr>
        <w:t xml:space="preserve"> </w:t>
      </w:r>
      <w:r w:rsidRPr="00DA040E">
        <w:rPr>
          <w:rStyle w:val="cf01"/>
          <w:rFonts w:ascii="Times New Roman" w:hAnsi="Times New Roman" w:cs="Times New Roman"/>
          <w:sz w:val="24"/>
          <w:szCs w:val="24"/>
        </w:rPr>
        <w:t>However,</w:t>
      </w:r>
      <w:r>
        <w:rPr>
          <w:rStyle w:val="cf01"/>
          <w:rFonts w:ascii="Times New Roman" w:hAnsi="Times New Roman" w:cs="Times New Roman"/>
          <w:sz w:val="24"/>
          <w:szCs w:val="24"/>
        </w:rPr>
        <w:t xml:space="preserve"> Mr. Adkins explained that</w:t>
      </w:r>
      <w:r w:rsidRPr="00DA040E">
        <w:rPr>
          <w:rStyle w:val="cf01"/>
          <w:rFonts w:ascii="Times New Roman" w:hAnsi="Times New Roman" w:cs="Times New Roman"/>
          <w:sz w:val="24"/>
          <w:szCs w:val="24"/>
        </w:rPr>
        <w:t xml:space="preserve"> the Settlement precludes the discussion group from discussing the elimination of the standard choice offer for residential consumers.</w:t>
      </w:r>
      <w:r>
        <w:rPr>
          <w:rStyle w:val="FootnoteReference"/>
        </w:rPr>
        <w:footnoteReference w:id="56"/>
      </w:r>
      <w:r w:rsidRPr="00DA040E">
        <w:rPr>
          <w:rStyle w:val="cf01"/>
          <w:rFonts w:ascii="Times New Roman" w:hAnsi="Times New Roman" w:cs="Times New Roman"/>
          <w:sz w:val="24"/>
          <w:szCs w:val="24"/>
        </w:rPr>
        <w:t xml:space="preserve"> The </w:t>
      </w:r>
      <w:r>
        <w:rPr>
          <w:rStyle w:val="cf01"/>
          <w:rFonts w:ascii="Times New Roman" w:hAnsi="Times New Roman" w:cs="Times New Roman"/>
          <w:sz w:val="24"/>
          <w:szCs w:val="24"/>
        </w:rPr>
        <w:t xml:space="preserve">availability of </w:t>
      </w:r>
      <w:r w:rsidR="00B1069E">
        <w:rPr>
          <w:rStyle w:val="cf01"/>
          <w:rFonts w:ascii="Times New Roman" w:hAnsi="Times New Roman" w:cs="Times New Roman"/>
          <w:sz w:val="24"/>
          <w:szCs w:val="24"/>
        </w:rPr>
        <w:t>a</w:t>
      </w:r>
      <w:r w:rsidRPr="00DA040E">
        <w:rPr>
          <w:rStyle w:val="cf01"/>
          <w:rFonts w:ascii="Times New Roman" w:hAnsi="Times New Roman" w:cs="Times New Roman"/>
          <w:sz w:val="24"/>
          <w:szCs w:val="24"/>
        </w:rPr>
        <w:t xml:space="preserve"> competitive standard offer is a </w:t>
      </w:r>
      <w:r w:rsidR="009630A8">
        <w:rPr>
          <w:rStyle w:val="cf01"/>
          <w:rFonts w:ascii="Times New Roman" w:hAnsi="Times New Roman" w:cs="Times New Roman"/>
          <w:sz w:val="24"/>
          <w:szCs w:val="24"/>
        </w:rPr>
        <w:t>key</w:t>
      </w:r>
      <w:r w:rsidRPr="00DA040E" w:rsidR="009630A8">
        <w:rPr>
          <w:rStyle w:val="cf01"/>
          <w:rFonts w:ascii="Times New Roman" w:hAnsi="Times New Roman" w:cs="Times New Roman"/>
          <w:sz w:val="24"/>
          <w:szCs w:val="24"/>
        </w:rPr>
        <w:t xml:space="preserve"> </w:t>
      </w:r>
      <w:r w:rsidRPr="00DA040E">
        <w:rPr>
          <w:rStyle w:val="cf01"/>
          <w:rFonts w:ascii="Times New Roman" w:hAnsi="Times New Roman" w:cs="Times New Roman"/>
          <w:sz w:val="24"/>
          <w:szCs w:val="24"/>
        </w:rPr>
        <w:t xml:space="preserve">consumer protection for the residential consumers </w:t>
      </w:r>
      <w:r w:rsidR="00291C59">
        <w:rPr>
          <w:rStyle w:val="cf01"/>
          <w:rFonts w:ascii="Times New Roman" w:hAnsi="Times New Roman" w:cs="Times New Roman"/>
          <w:sz w:val="24"/>
          <w:szCs w:val="24"/>
        </w:rPr>
        <w:t>who</w:t>
      </w:r>
      <w:r w:rsidRPr="00DA040E">
        <w:rPr>
          <w:rStyle w:val="cf01"/>
          <w:rFonts w:ascii="Times New Roman" w:hAnsi="Times New Roman" w:cs="Times New Roman"/>
          <w:sz w:val="24"/>
          <w:szCs w:val="24"/>
        </w:rPr>
        <w:t xml:space="preserve"> OCC represents.</w:t>
      </w:r>
      <w:r>
        <w:rPr>
          <w:rStyle w:val="FootnoteReference"/>
        </w:rPr>
        <w:footnoteReference w:id="57"/>
      </w:r>
    </w:p>
    <w:p w:rsidR="00EA3CD6" w:rsidRPr="00260A3F" w:rsidP="00C825CC" w14:paraId="0FCAF447" w14:textId="2EFF2C42">
      <w:pPr>
        <w:spacing w:after="0" w:line="480" w:lineRule="auto"/>
        <w:ind w:firstLine="720"/>
        <w:rPr>
          <w:rFonts w:cs="Times New Roman"/>
          <w:szCs w:val="24"/>
        </w:rPr>
      </w:pPr>
      <w:r w:rsidRPr="00260A3F">
        <w:rPr>
          <w:rFonts w:cs="Times New Roman"/>
          <w:szCs w:val="24"/>
        </w:rPr>
        <w:t>The</w:t>
      </w:r>
      <w:r w:rsidRPr="00260A3F" w:rsidR="00BD40E8">
        <w:rPr>
          <w:rFonts w:cs="Times New Roman"/>
          <w:szCs w:val="24"/>
        </w:rPr>
        <w:t>se features</w:t>
      </w:r>
      <w:r w:rsidRPr="00260A3F">
        <w:rPr>
          <w:rFonts w:cs="Times New Roman"/>
          <w:szCs w:val="24"/>
        </w:rPr>
        <w:t xml:space="preserve"> of the Settlement</w:t>
      </w:r>
      <w:r w:rsidR="00A06963">
        <w:rPr>
          <w:rFonts w:cs="Times New Roman"/>
          <w:szCs w:val="24"/>
        </w:rPr>
        <w:t xml:space="preserve"> clearly</w:t>
      </w:r>
      <w:r w:rsidRPr="00260A3F" w:rsidR="00BD40E8">
        <w:rPr>
          <w:rFonts w:cs="Times New Roman"/>
          <w:szCs w:val="24"/>
        </w:rPr>
        <w:t xml:space="preserve"> </w:t>
      </w:r>
      <w:r w:rsidRPr="00260A3F" w:rsidR="009D25E5">
        <w:rPr>
          <w:rFonts w:cs="Times New Roman"/>
          <w:szCs w:val="24"/>
        </w:rPr>
        <w:t>benefit c</w:t>
      </w:r>
      <w:r w:rsidRPr="00260A3F">
        <w:rPr>
          <w:rFonts w:cs="Times New Roman"/>
          <w:szCs w:val="24"/>
        </w:rPr>
        <w:t>onsumers</w:t>
      </w:r>
      <w:r w:rsidRPr="00260A3F" w:rsidR="009D25E5">
        <w:rPr>
          <w:rFonts w:cs="Times New Roman"/>
          <w:szCs w:val="24"/>
        </w:rPr>
        <w:t xml:space="preserve"> and the public interest</w:t>
      </w:r>
      <w:r w:rsidRPr="00260A3F" w:rsidR="007A5C2C">
        <w:rPr>
          <w:rFonts w:cs="Times New Roman"/>
          <w:szCs w:val="24"/>
        </w:rPr>
        <w:t>. T</w:t>
      </w:r>
      <w:r w:rsidRPr="00260A3F" w:rsidR="00BD40E8">
        <w:rPr>
          <w:rFonts w:cs="Times New Roman"/>
          <w:szCs w:val="24"/>
        </w:rPr>
        <w:t>he overwhelming</w:t>
      </w:r>
      <w:r w:rsidRPr="00260A3F" w:rsidR="007A5C2C">
        <w:rPr>
          <w:rFonts w:cs="Times New Roman"/>
          <w:szCs w:val="24"/>
        </w:rPr>
        <w:t xml:space="preserve"> evidence</w:t>
      </w:r>
      <w:r w:rsidRPr="00260A3F" w:rsidR="00BD40E8">
        <w:rPr>
          <w:rFonts w:cs="Times New Roman"/>
          <w:szCs w:val="24"/>
        </w:rPr>
        <w:t xml:space="preserve"> establishes that the Settlement</w:t>
      </w:r>
      <w:r w:rsidRPr="00260A3F" w:rsidR="007A5C2C">
        <w:rPr>
          <w:rFonts w:cs="Times New Roman"/>
          <w:szCs w:val="24"/>
        </w:rPr>
        <w:t xml:space="preserve"> as a package</w:t>
      </w:r>
      <w:r w:rsidRPr="00260A3F" w:rsidR="00BD40E8">
        <w:rPr>
          <w:rFonts w:cs="Times New Roman"/>
          <w:szCs w:val="24"/>
        </w:rPr>
        <w:t xml:space="preserve"> satisfies the second prong of the PUCO’s test</w:t>
      </w:r>
      <w:r w:rsidRPr="00260A3F">
        <w:rPr>
          <w:rFonts w:cs="Times New Roman"/>
          <w:szCs w:val="24"/>
        </w:rPr>
        <w:t>.</w:t>
      </w:r>
      <w:r w:rsidRPr="00260A3F" w:rsidR="00BD40E8">
        <w:rPr>
          <w:rFonts w:cs="Times New Roman"/>
          <w:szCs w:val="24"/>
        </w:rPr>
        <w:t xml:space="preserve"> </w:t>
      </w:r>
    </w:p>
    <w:p w:rsidR="00EA3CD6" w:rsidRPr="00260A3F" w:rsidP="00672E11" w14:paraId="780A07A1" w14:textId="751244F3">
      <w:pPr>
        <w:pStyle w:val="Heading2"/>
        <w:rPr>
          <w:rStyle w:val="Heading2Char"/>
          <w:b/>
          <w:bCs/>
        </w:rPr>
      </w:pPr>
      <w:bookmarkStart w:id="16" w:name="_Toc522278752"/>
      <w:bookmarkStart w:id="17" w:name="_Toc74300288"/>
      <w:bookmarkStart w:id="18" w:name="_Toc74578031"/>
      <w:bookmarkStart w:id="19" w:name="_Toc121484991"/>
      <w:r w:rsidRPr="00260A3F">
        <w:rPr>
          <w:rStyle w:val="Heading2Char"/>
          <w:b/>
          <w:bCs/>
        </w:rPr>
        <w:t xml:space="preserve">The Settlement </w:t>
      </w:r>
      <w:r w:rsidR="00435F23">
        <w:rPr>
          <w:rStyle w:val="Heading2Char"/>
          <w:b/>
          <w:bCs/>
        </w:rPr>
        <w:t xml:space="preserve">as a package </w:t>
      </w:r>
      <w:r w:rsidRPr="00260A3F">
        <w:rPr>
          <w:rStyle w:val="Heading2Char"/>
          <w:b/>
          <w:bCs/>
        </w:rPr>
        <w:t>does not violate any regulatory principles or practices.</w:t>
      </w:r>
      <w:bookmarkEnd w:id="16"/>
      <w:bookmarkEnd w:id="17"/>
      <w:bookmarkEnd w:id="18"/>
      <w:bookmarkEnd w:id="19"/>
    </w:p>
    <w:p w:rsidR="008F2710" w:rsidP="00053C5E" w14:paraId="1FD6E059" w14:textId="7579CDEB">
      <w:pPr>
        <w:spacing w:after="0" w:line="480" w:lineRule="auto"/>
        <w:ind w:firstLine="720"/>
        <w:rPr>
          <w:rFonts w:cs="Times New Roman"/>
          <w:szCs w:val="24"/>
        </w:rPr>
      </w:pPr>
      <w:r w:rsidRPr="00260A3F">
        <w:rPr>
          <w:rFonts w:cs="Times New Roman"/>
          <w:szCs w:val="24"/>
        </w:rPr>
        <w:t xml:space="preserve">The </w:t>
      </w:r>
      <w:r w:rsidRPr="00260A3F" w:rsidR="00312335">
        <w:rPr>
          <w:rFonts w:cs="Times New Roman"/>
          <w:szCs w:val="24"/>
        </w:rPr>
        <w:t xml:space="preserve">Settlement satisfies the </w:t>
      </w:r>
      <w:r w:rsidRPr="00260A3F">
        <w:rPr>
          <w:rFonts w:cs="Times New Roman"/>
          <w:szCs w:val="24"/>
        </w:rPr>
        <w:t>third prong of the PUCO’s test for evaluating settlement</w:t>
      </w:r>
      <w:r w:rsidRPr="00260A3F" w:rsidR="00312335">
        <w:rPr>
          <w:rFonts w:cs="Times New Roman"/>
          <w:szCs w:val="24"/>
        </w:rPr>
        <w:t>s</w:t>
      </w:r>
      <w:r w:rsidRPr="00260A3F" w:rsidR="00D20897">
        <w:rPr>
          <w:rFonts w:cs="Times New Roman"/>
          <w:szCs w:val="24"/>
        </w:rPr>
        <w:t xml:space="preserve"> because</w:t>
      </w:r>
      <w:r w:rsidR="00260705">
        <w:rPr>
          <w:rFonts w:cs="Times New Roman"/>
          <w:szCs w:val="24"/>
        </w:rPr>
        <w:t xml:space="preserve"> as a package</w:t>
      </w:r>
      <w:r w:rsidRPr="00260A3F" w:rsidR="00D20897">
        <w:rPr>
          <w:rFonts w:cs="Times New Roman"/>
          <w:szCs w:val="24"/>
        </w:rPr>
        <w:t xml:space="preserve"> it is consistent with </w:t>
      </w:r>
      <w:r w:rsidRPr="00260A3F" w:rsidR="00D7674A">
        <w:rPr>
          <w:rFonts w:cs="Times New Roman"/>
          <w:szCs w:val="24"/>
        </w:rPr>
        <w:t xml:space="preserve">Ohio’s </w:t>
      </w:r>
      <w:r w:rsidRPr="00260A3F" w:rsidR="00D20897">
        <w:rPr>
          <w:rFonts w:cs="Times New Roman"/>
          <w:szCs w:val="24"/>
        </w:rPr>
        <w:t>regulatory principles and practices.</w:t>
      </w:r>
      <w:r>
        <w:rPr>
          <w:rStyle w:val="FootnoteReference"/>
          <w:rFonts w:cs="Times New Roman"/>
          <w:szCs w:val="24"/>
        </w:rPr>
        <w:footnoteReference w:id="58"/>
      </w:r>
      <w:r w:rsidRPr="00260A3F" w:rsidR="00D20897">
        <w:rPr>
          <w:rFonts w:cs="Times New Roman"/>
          <w:szCs w:val="24"/>
        </w:rPr>
        <w:t xml:space="preserve"> </w:t>
      </w:r>
    </w:p>
    <w:p w:rsidR="00926CFA" w:rsidP="00C14A9D" w14:paraId="023EF2FD" w14:textId="3AA139C2">
      <w:pPr>
        <w:spacing w:after="0" w:line="480" w:lineRule="auto"/>
        <w:ind w:firstLine="720"/>
        <w:rPr>
          <w:rFonts w:cs="Times New Roman"/>
          <w:szCs w:val="24"/>
        </w:rPr>
      </w:pPr>
      <w:r>
        <w:rPr>
          <w:rFonts w:cs="Times New Roman"/>
          <w:szCs w:val="24"/>
        </w:rPr>
        <w:t>The rates</w:t>
      </w:r>
      <w:r w:rsidRPr="00260A3F">
        <w:rPr>
          <w:rFonts w:cs="Times New Roman"/>
          <w:szCs w:val="24"/>
        </w:rPr>
        <w:t xml:space="preserve"> charged to consumers</w:t>
      </w:r>
      <w:r>
        <w:rPr>
          <w:rFonts w:cs="Times New Roman"/>
          <w:szCs w:val="24"/>
        </w:rPr>
        <w:t xml:space="preserve"> as a result of the Settlement package are just and reasonable, supporting the regulatory principles and practices under </w:t>
      </w:r>
      <w:r>
        <w:rPr>
          <w:iCs/>
        </w:rPr>
        <w:t>R.C. 4905.22, R.C. 4909.15, R.C. 4909.19, R.C. 4929.02(A)(1), and R.C. 4929.05</w:t>
      </w:r>
      <w:r w:rsidRPr="00260A3F">
        <w:rPr>
          <w:rFonts w:cs="Times New Roman"/>
          <w:szCs w:val="24"/>
        </w:rPr>
        <w:t>.</w:t>
      </w:r>
      <w:r>
        <w:rPr>
          <w:rFonts w:cs="Times New Roman"/>
          <w:szCs w:val="24"/>
        </w:rPr>
        <w:t xml:space="preserve"> </w:t>
      </w:r>
      <w:r w:rsidR="001A6E37">
        <w:rPr>
          <w:rFonts w:cs="Times New Roman"/>
          <w:szCs w:val="24"/>
        </w:rPr>
        <w:t>The rates agreed to in the Settlement will al</w:t>
      </w:r>
      <w:r w:rsidR="00D873FA">
        <w:rPr>
          <w:rFonts w:cs="Times New Roman"/>
          <w:szCs w:val="24"/>
        </w:rPr>
        <w:t>low Columbia to provide safe and adequate service to consumers</w:t>
      </w:r>
      <w:r>
        <w:rPr>
          <w:rStyle w:val="FootnoteReference"/>
          <w:rFonts w:cs="Times New Roman"/>
          <w:szCs w:val="24"/>
        </w:rPr>
        <w:footnoteReference w:id="59"/>
      </w:r>
      <w:r w:rsidR="00D873FA">
        <w:rPr>
          <w:rFonts w:cs="Times New Roman"/>
          <w:szCs w:val="24"/>
        </w:rPr>
        <w:t xml:space="preserve"> while allowing Columbia to earn a fair return on investment.</w:t>
      </w:r>
      <w:r>
        <w:rPr>
          <w:rStyle w:val="FootnoteReference"/>
          <w:rFonts w:cs="Times New Roman"/>
          <w:szCs w:val="24"/>
        </w:rPr>
        <w:footnoteReference w:id="60"/>
      </w:r>
      <w:r w:rsidR="00D873FA">
        <w:rPr>
          <w:rFonts w:cs="Times New Roman"/>
          <w:szCs w:val="24"/>
        </w:rPr>
        <w:t xml:space="preserve"> </w:t>
      </w:r>
      <w:r>
        <w:rPr>
          <w:rFonts w:cs="Times New Roman"/>
          <w:szCs w:val="24"/>
        </w:rPr>
        <w:t>T</w:t>
      </w:r>
      <w:r w:rsidRPr="00260A3F">
        <w:rPr>
          <w:rFonts w:cs="Times New Roman"/>
          <w:szCs w:val="24"/>
        </w:rPr>
        <w:t>he adjustments to the revenue requirement and other benefits under the Settlement are</w:t>
      </w:r>
      <w:r>
        <w:rPr>
          <w:rFonts w:cs="Times New Roman"/>
          <w:szCs w:val="24"/>
        </w:rPr>
        <w:t xml:space="preserve"> also</w:t>
      </w:r>
      <w:r w:rsidRPr="00260A3F">
        <w:rPr>
          <w:rFonts w:cs="Times New Roman"/>
          <w:szCs w:val="24"/>
        </w:rPr>
        <w:t xml:space="preserve"> the result of traditional rate setting polices</w:t>
      </w:r>
      <w:r>
        <w:rPr>
          <w:rFonts w:cs="Times New Roman"/>
          <w:szCs w:val="24"/>
        </w:rPr>
        <w:t xml:space="preserve"> </w:t>
      </w:r>
      <w:r w:rsidRPr="00F522F5">
        <w:rPr>
          <w:rFonts w:cs="Times New Roman"/>
          <w:szCs w:val="24"/>
        </w:rPr>
        <w:t xml:space="preserve">and </w:t>
      </w:r>
      <w:r w:rsidRPr="00F522F5" w:rsidR="00692043">
        <w:rPr>
          <w:rFonts w:cs="Times New Roman"/>
          <w:szCs w:val="24"/>
        </w:rPr>
        <w:t xml:space="preserve">the resulting rates from the </w:t>
      </w:r>
      <w:r w:rsidRPr="00F522F5">
        <w:rPr>
          <w:rFonts w:eastAsia="Times New Roman" w:cs="Times New Roman"/>
          <w:color w:val="000000"/>
          <w:szCs w:val="24"/>
        </w:rPr>
        <w:t>non-traditional alternative regulation</w:t>
      </w:r>
      <w:r w:rsidRPr="00F522F5" w:rsidR="00692043">
        <w:rPr>
          <w:rFonts w:eastAsia="Times New Roman" w:cs="Times New Roman"/>
          <w:color w:val="000000"/>
          <w:szCs w:val="24"/>
        </w:rPr>
        <w:t xml:space="preserve"> (riders)</w:t>
      </w:r>
      <w:r w:rsidRPr="00F522F5">
        <w:rPr>
          <w:rFonts w:eastAsia="Times New Roman" w:cs="Times New Roman"/>
          <w:color w:val="000000"/>
          <w:szCs w:val="24"/>
        </w:rPr>
        <w:t xml:space="preserve"> </w:t>
      </w:r>
      <w:r w:rsidRPr="00F522F5" w:rsidR="00692043">
        <w:rPr>
          <w:rFonts w:eastAsia="Times New Roman" w:cs="Times New Roman"/>
          <w:color w:val="000000"/>
          <w:szCs w:val="24"/>
        </w:rPr>
        <w:t>are just and reasonable as required under</w:t>
      </w:r>
      <w:r w:rsidRPr="00F522F5" w:rsidR="002A2023">
        <w:rPr>
          <w:rFonts w:eastAsia="Times New Roman" w:cs="Times New Roman"/>
          <w:color w:val="000000"/>
          <w:szCs w:val="24"/>
        </w:rPr>
        <w:t xml:space="preserve"> R.C. 4929.05(A)(3).</w:t>
      </w:r>
      <w:r>
        <w:rPr>
          <w:rFonts w:cs="Times New Roman"/>
          <w:szCs w:val="24"/>
        </w:rPr>
        <w:t xml:space="preserve"> </w:t>
      </w:r>
    </w:p>
    <w:p w:rsidR="001D56C1" w:rsidP="00053C5E" w14:paraId="15DD440C" w14:textId="20FB149A">
      <w:pPr>
        <w:spacing w:after="0" w:line="480" w:lineRule="auto"/>
        <w:ind w:firstLine="720"/>
        <w:rPr>
          <w:rFonts w:cs="Times New Roman"/>
          <w:szCs w:val="24"/>
        </w:rPr>
      </w:pPr>
      <w:r>
        <w:rPr>
          <w:rFonts w:cs="Times New Roman"/>
          <w:szCs w:val="24"/>
        </w:rPr>
        <w:t>Under ratemaking principles for base rate cases, t</w:t>
      </w:r>
      <w:r w:rsidRPr="00260A3F" w:rsidR="00247902">
        <w:rPr>
          <w:rFonts w:cs="Times New Roman"/>
          <w:szCs w:val="24"/>
        </w:rPr>
        <w:t xml:space="preserve">he Settlement </w:t>
      </w:r>
      <w:r>
        <w:rPr>
          <w:rFonts w:cs="Times New Roman"/>
          <w:szCs w:val="24"/>
        </w:rPr>
        <w:t xml:space="preserve">as a package </w:t>
      </w:r>
      <w:r w:rsidRPr="00260A3F" w:rsidR="00247902">
        <w:rPr>
          <w:rFonts w:cs="Times New Roman"/>
          <w:szCs w:val="24"/>
        </w:rPr>
        <w:t>ma</w:t>
      </w:r>
      <w:r w:rsidR="00247902">
        <w:rPr>
          <w:rFonts w:cs="Times New Roman"/>
          <w:szCs w:val="24"/>
        </w:rPr>
        <w:t xml:space="preserve">kes </w:t>
      </w:r>
      <w:r w:rsidRPr="00260A3F" w:rsidR="00247902">
        <w:rPr>
          <w:rFonts w:cs="Times New Roman"/>
          <w:szCs w:val="24"/>
        </w:rPr>
        <w:t xml:space="preserve">adjustments to significantly reduce the revenue requirement initially proposed in </w:t>
      </w:r>
      <w:r w:rsidR="00247902">
        <w:rPr>
          <w:rFonts w:cs="Times New Roman"/>
          <w:szCs w:val="24"/>
        </w:rPr>
        <w:t>Columbia’s</w:t>
      </w:r>
      <w:r w:rsidRPr="00260A3F" w:rsidR="00247902">
        <w:rPr>
          <w:rFonts w:cs="Times New Roman"/>
          <w:szCs w:val="24"/>
        </w:rPr>
        <w:t xml:space="preserve"> application</w:t>
      </w:r>
      <w:r w:rsidR="00814AB0">
        <w:rPr>
          <w:rFonts w:cs="Times New Roman"/>
          <w:szCs w:val="24"/>
        </w:rPr>
        <w:t>.</w:t>
      </w:r>
      <w:r w:rsidR="0082237C">
        <w:rPr>
          <w:rFonts w:cs="Times New Roman"/>
          <w:szCs w:val="24"/>
        </w:rPr>
        <w:t xml:space="preserve"> </w:t>
      </w:r>
      <w:r w:rsidR="00F576E9">
        <w:rPr>
          <w:rFonts w:cs="Times New Roman"/>
          <w:szCs w:val="24"/>
        </w:rPr>
        <w:t xml:space="preserve">OCC witness Adkins testified that </w:t>
      </w:r>
      <w:r w:rsidR="00F576E9">
        <w:rPr>
          <w:iCs/>
        </w:rPr>
        <w:t xml:space="preserve">the settlement reflects nearly $1.7 billion in </w:t>
      </w:r>
      <w:r w:rsidR="00E303AA">
        <w:rPr>
          <w:iCs/>
        </w:rPr>
        <w:t xml:space="preserve">reductions for </w:t>
      </w:r>
      <w:r w:rsidR="00F576E9">
        <w:rPr>
          <w:iCs/>
        </w:rPr>
        <w:t>consumer</w:t>
      </w:r>
      <w:r w:rsidR="00E303AA">
        <w:rPr>
          <w:iCs/>
        </w:rPr>
        <w:t>s</w:t>
      </w:r>
      <w:r w:rsidR="00F576E9">
        <w:rPr>
          <w:iCs/>
        </w:rPr>
        <w:t xml:space="preserve"> from Columbia’s proposed base rates, fixed charges</w:t>
      </w:r>
      <w:r w:rsidR="00CB0EBA">
        <w:rPr>
          <w:iCs/>
        </w:rPr>
        <w:t>, riders,</w:t>
      </w:r>
      <w:r w:rsidR="00F576E9">
        <w:rPr>
          <w:iCs/>
        </w:rPr>
        <w:t xml:space="preserve"> and DSM charges included in its Application.</w:t>
      </w:r>
      <w:r>
        <w:rPr>
          <w:rStyle w:val="FootnoteReference"/>
          <w:iCs/>
        </w:rPr>
        <w:footnoteReference w:id="61"/>
      </w:r>
      <w:r w:rsidR="00C14A9D">
        <w:rPr>
          <w:iCs/>
        </w:rPr>
        <w:t xml:space="preserve"> </w:t>
      </w:r>
      <w:r w:rsidR="00C14A9D">
        <w:rPr>
          <w:rFonts w:cs="Times New Roman"/>
          <w:szCs w:val="24"/>
        </w:rPr>
        <w:t>This results in just and reasonable rates for</w:t>
      </w:r>
      <w:r w:rsidRPr="00260A3F" w:rsidR="00C14A9D">
        <w:rPr>
          <w:rFonts w:cs="Times New Roman"/>
          <w:szCs w:val="24"/>
        </w:rPr>
        <w:t xml:space="preserve"> all consumers who pay for </w:t>
      </w:r>
      <w:r w:rsidR="00C14A9D">
        <w:rPr>
          <w:rFonts w:cs="Times New Roman"/>
          <w:szCs w:val="24"/>
        </w:rPr>
        <w:t xml:space="preserve">Columbia’s </w:t>
      </w:r>
      <w:r w:rsidRPr="00260A3F" w:rsidR="00C14A9D">
        <w:rPr>
          <w:rFonts w:cs="Times New Roman"/>
          <w:szCs w:val="24"/>
        </w:rPr>
        <w:t>distribution service.</w:t>
      </w:r>
      <w:r w:rsidRPr="00260A3F" w:rsidR="00FD4318">
        <w:rPr>
          <w:rFonts w:cs="Times New Roman"/>
          <w:szCs w:val="24"/>
        </w:rPr>
        <w:t xml:space="preserve"> </w:t>
      </w:r>
    </w:p>
    <w:p w:rsidR="001A6E37" w:rsidP="00BA5011" w14:paraId="362D364B" w14:textId="45603C21">
      <w:pPr>
        <w:spacing w:after="0" w:line="480" w:lineRule="auto"/>
        <w:ind w:firstLine="720"/>
        <w:rPr>
          <w:rFonts w:cs="Times New Roman"/>
          <w:szCs w:val="24"/>
        </w:rPr>
      </w:pPr>
      <w:r>
        <w:rPr>
          <w:rFonts w:cs="Times New Roman"/>
          <w:szCs w:val="24"/>
        </w:rPr>
        <w:t>W</w:t>
      </w:r>
      <w:r w:rsidR="009374D7">
        <w:rPr>
          <w:rFonts w:cs="Times New Roman"/>
          <w:szCs w:val="24"/>
        </w:rPr>
        <w:t xml:space="preserve">hile the base customer charge will increase for consumers, Mr. Adkins testified that the </w:t>
      </w:r>
      <w:r w:rsidRPr="00A960A1" w:rsidR="009374D7">
        <w:rPr>
          <w:rFonts w:cs="Times New Roman"/>
          <w:szCs w:val="24"/>
        </w:rPr>
        <w:t>increase</w:t>
      </w:r>
      <w:r w:rsidR="009374D7">
        <w:rPr>
          <w:rFonts w:cs="Times New Roman"/>
          <w:szCs w:val="24"/>
        </w:rPr>
        <w:t xml:space="preserve"> is expected because</w:t>
      </w:r>
      <w:r w:rsidRPr="00A960A1" w:rsidR="009374D7">
        <w:rPr>
          <w:rFonts w:cs="Times New Roman"/>
          <w:szCs w:val="24"/>
        </w:rPr>
        <w:t xml:space="preserve"> </w:t>
      </w:r>
      <w:r w:rsidR="009374D7">
        <w:rPr>
          <w:rFonts w:cs="Times New Roman"/>
          <w:szCs w:val="24"/>
        </w:rPr>
        <w:t xml:space="preserve">Columbia’s </w:t>
      </w:r>
      <w:r w:rsidR="004F18E8">
        <w:rPr>
          <w:rFonts w:cs="Times New Roman"/>
          <w:szCs w:val="24"/>
        </w:rPr>
        <w:t xml:space="preserve">investment in </w:t>
      </w:r>
      <w:r w:rsidRPr="00A960A1" w:rsidR="009374D7">
        <w:rPr>
          <w:rFonts w:cs="Times New Roman"/>
          <w:szCs w:val="24"/>
        </w:rPr>
        <w:t>capital assets</w:t>
      </w:r>
      <w:r w:rsidR="009374D7">
        <w:rPr>
          <w:rFonts w:cs="Times New Roman"/>
          <w:szCs w:val="24"/>
        </w:rPr>
        <w:t xml:space="preserve"> under IRP</w:t>
      </w:r>
      <w:r w:rsidRPr="00A960A1" w:rsidR="009374D7">
        <w:rPr>
          <w:rFonts w:cs="Times New Roman"/>
          <w:szCs w:val="24"/>
        </w:rPr>
        <w:t xml:space="preserve"> </w:t>
      </w:r>
      <w:r w:rsidR="009374D7">
        <w:rPr>
          <w:rFonts w:cs="Times New Roman"/>
          <w:szCs w:val="24"/>
        </w:rPr>
        <w:t xml:space="preserve">and CEP </w:t>
      </w:r>
      <w:r w:rsidR="00F522F5">
        <w:rPr>
          <w:rFonts w:cs="Times New Roman"/>
          <w:szCs w:val="24"/>
        </w:rPr>
        <w:t>r</w:t>
      </w:r>
      <w:r w:rsidRPr="00A960A1" w:rsidR="009374D7">
        <w:rPr>
          <w:rFonts w:cs="Times New Roman"/>
          <w:szCs w:val="24"/>
        </w:rPr>
        <w:t>ider</w:t>
      </w:r>
      <w:r w:rsidR="009374D7">
        <w:rPr>
          <w:rFonts w:cs="Times New Roman"/>
          <w:szCs w:val="24"/>
        </w:rPr>
        <w:t xml:space="preserve">s </w:t>
      </w:r>
      <w:r w:rsidR="000F1DA3">
        <w:rPr>
          <w:rFonts w:cs="Times New Roman"/>
          <w:szCs w:val="24"/>
        </w:rPr>
        <w:t>(</w:t>
      </w:r>
      <w:r w:rsidR="004F18E8">
        <w:rPr>
          <w:rFonts w:cs="Times New Roman"/>
          <w:szCs w:val="24"/>
        </w:rPr>
        <w:t xml:space="preserve">prior to </w:t>
      </w:r>
      <w:r w:rsidR="000F1DA3">
        <w:rPr>
          <w:rFonts w:cs="Times New Roman"/>
          <w:szCs w:val="24"/>
        </w:rPr>
        <w:t xml:space="preserve">its rate case filing) </w:t>
      </w:r>
      <w:r w:rsidR="009374D7">
        <w:rPr>
          <w:rFonts w:cs="Times New Roman"/>
          <w:szCs w:val="24"/>
        </w:rPr>
        <w:t xml:space="preserve">will now be included in </w:t>
      </w:r>
      <w:r w:rsidRPr="00A960A1" w:rsidR="009374D7">
        <w:rPr>
          <w:rFonts w:cs="Times New Roman"/>
          <w:szCs w:val="24"/>
        </w:rPr>
        <w:t>base rate charges</w:t>
      </w:r>
      <w:r w:rsidR="00C14A9D">
        <w:rPr>
          <w:rFonts w:cs="Times New Roman"/>
          <w:szCs w:val="24"/>
        </w:rPr>
        <w:t xml:space="preserve">, </w:t>
      </w:r>
      <w:r w:rsidR="009374D7">
        <w:rPr>
          <w:rFonts w:cs="Times New Roman"/>
          <w:szCs w:val="24"/>
        </w:rPr>
        <w:t xml:space="preserve">rather than </w:t>
      </w:r>
      <w:r w:rsidR="00C14A9D">
        <w:rPr>
          <w:rFonts w:cs="Times New Roman"/>
          <w:szCs w:val="24"/>
        </w:rPr>
        <w:t>in</w:t>
      </w:r>
      <w:r w:rsidR="00F91C69">
        <w:rPr>
          <w:rFonts w:cs="Times New Roman"/>
          <w:szCs w:val="24"/>
        </w:rPr>
        <w:t xml:space="preserve"> </w:t>
      </w:r>
      <w:r w:rsidR="009374D7">
        <w:rPr>
          <w:rFonts w:cs="Times New Roman"/>
          <w:szCs w:val="24"/>
        </w:rPr>
        <w:t>separate rider charges</w:t>
      </w:r>
      <w:r w:rsidRPr="00A960A1" w:rsidR="009374D7">
        <w:rPr>
          <w:rFonts w:cs="Times New Roman"/>
          <w:szCs w:val="24"/>
        </w:rPr>
        <w:t>.</w:t>
      </w:r>
      <w:r>
        <w:rPr>
          <w:rStyle w:val="FootnoteReference"/>
          <w:rFonts w:cs="Times New Roman"/>
          <w:szCs w:val="24"/>
        </w:rPr>
        <w:footnoteReference w:id="62"/>
      </w:r>
      <w:r>
        <w:rPr>
          <w:rFonts w:cs="Times New Roman"/>
          <w:szCs w:val="24"/>
        </w:rPr>
        <w:t xml:space="preserve"> Thus, the </w:t>
      </w:r>
      <w:r w:rsidRPr="00A960A1">
        <w:rPr>
          <w:rFonts w:cs="Times New Roman"/>
          <w:szCs w:val="24"/>
        </w:rPr>
        <w:t>base distribution charges</w:t>
      </w:r>
      <w:r>
        <w:rPr>
          <w:rFonts w:cs="Times New Roman"/>
          <w:szCs w:val="24"/>
        </w:rPr>
        <w:t xml:space="preserve"> in the Settlement are higher than what consumers currently pay, but they are nonetheless fair, reasonable, and</w:t>
      </w:r>
      <w:r w:rsidRPr="00A960A1">
        <w:rPr>
          <w:rFonts w:cs="Times New Roman"/>
          <w:szCs w:val="24"/>
        </w:rPr>
        <w:t xml:space="preserve"> lower than</w:t>
      </w:r>
      <w:r>
        <w:rPr>
          <w:rFonts w:cs="Times New Roman"/>
          <w:szCs w:val="24"/>
        </w:rPr>
        <w:t xml:space="preserve"> what consumers would have to pay under</w:t>
      </w:r>
      <w:r w:rsidRPr="00A960A1">
        <w:rPr>
          <w:rFonts w:cs="Times New Roman"/>
          <w:szCs w:val="24"/>
        </w:rPr>
        <w:t xml:space="preserve"> Columbia</w:t>
      </w:r>
      <w:r>
        <w:rPr>
          <w:rFonts w:cs="Times New Roman"/>
          <w:szCs w:val="24"/>
        </w:rPr>
        <w:t>’s application</w:t>
      </w:r>
      <w:r w:rsidRPr="00A960A1">
        <w:rPr>
          <w:rFonts w:cs="Times New Roman"/>
          <w:szCs w:val="24"/>
        </w:rPr>
        <w:t>.</w:t>
      </w:r>
      <w:r w:rsidRPr="00A960A1" w:rsidR="009374D7">
        <w:rPr>
          <w:rFonts w:cs="Times New Roman"/>
          <w:szCs w:val="24"/>
        </w:rPr>
        <w:t xml:space="preserve"> </w:t>
      </w:r>
    </w:p>
    <w:p w:rsidR="00EC7D53" w:rsidRPr="00260A3F" w:rsidP="00BA5011" w14:paraId="50BA6346" w14:textId="5D0DD848">
      <w:pPr>
        <w:spacing w:after="0" w:line="480" w:lineRule="auto"/>
        <w:ind w:firstLine="720"/>
        <w:rPr>
          <w:rFonts w:cs="Times New Roman"/>
          <w:szCs w:val="24"/>
        </w:rPr>
      </w:pPr>
      <w:r>
        <w:rPr>
          <w:rFonts w:cs="Times New Roman"/>
          <w:szCs w:val="24"/>
        </w:rPr>
        <w:t>Moreover</w:t>
      </w:r>
      <w:r w:rsidR="00C14A9D">
        <w:rPr>
          <w:rFonts w:cs="Times New Roman"/>
          <w:szCs w:val="24"/>
        </w:rPr>
        <w:t xml:space="preserve">, </w:t>
      </w:r>
      <w:r>
        <w:rPr>
          <w:rFonts w:cs="Times New Roman"/>
          <w:szCs w:val="24"/>
        </w:rPr>
        <w:t xml:space="preserve">as stated, </w:t>
      </w:r>
      <w:r w:rsidR="00C14A9D">
        <w:rPr>
          <w:rFonts w:cs="Times New Roman"/>
          <w:szCs w:val="24"/>
        </w:rPr>
        <w:t>t</w:t>
      </w:r>
      <w:r w:rsidR="00BA371A">
        <w:rPr>
          <w:rFonts w:cs="Times New Roman"/>
          <w:szCs w:val="24"/>
        </w:rPr>
        <w:t xml:space="preserve">he Settlement reduces the amount Columbia can charge consumers annually under the IRP and CEP </w:t>
      </w:r>
      <w:r w:rsidR="00F522F5">
        <w:rPr>
          <w:rFonts w:cs="Times New Roman"/>
          <w:szCs w:val="24"/>
        </w:rPr>
        <w:t>r</w:t>
      </w:r>
      <w:r w:rsidR="00BA371A">
        <w:rPr>
          <w:rFonts w:cs="Times New Roman"/>
          <w:szCs w:val="24"/>
        </w:rPr>
        <w:t>iders</w:t>
      </w:r>
      <w:r w:rsidR="00C14A9D">
        <w:rPr>
          <w:rFonts w:cs="Times New Roman"/>
          <w:szCs w:val="24"/>
        </w:rPr>
        <w:t xml:space="preserve"> as compared to what Columbia initially proposed to charge consumers under these riders</w:t>
      </w:r>
      <w:r w:rsidR="00BA371A">
        <w:rPr>
          <w:rFonts w:cs="Times New Roman"/>
          <w:szCs w:val="24"/>
        </w:rPr>
        <w:t>.</w:t>
      </w:r>
      <w:r w:rsidR="00BA5011">
        <w:rPr>
          <w:rFonts w:cs="Times New Roman"/>
          <w:szCs w:val="24"/>
        </w:rPr>
        <w:t xml:space="preserve"> Mr. Adkins testified the IRP rider settlement </w:t>
      </w:r>
      <w:r w:rsidRPr="006226DE" w:rsidR="00BA5011">
        <w:rPr>
          <w:rFonts w:cs="Times New Roman"/>
          <w:szCs w:val="24"/>
        </w:rPr>
        <w:t>can result in an estimated $125 million reduction in Columbia’s cumulative charges to consumers for the five years of 2023 – 2027</w:t>
      </w:r>
      <w:r w:rsidR="00BA5011">
        <w:rPr>
          <w:rFonts w:cs="Times New Roman"/>
          <w:szCs w:val="24"/>
        </w:rPr>
        <w:t>.</w:t>
      </w:r>
      <w:r>
        <w:rPr>
          <w:rStyle w:val="FootnoteReference"/>
          <w:rFonts w:cs="Times New Roman"/>
          <w:szCs w:val="24"/>
        </w:rPr>
        <w:footnoteReference w:id="63"/>
      </w:r>
      <w:r w:rsidR="00BA5011">
        <w:rPr>
          <w:rFonts w:cs="Times New Roman"/>
          <w:szCs w:val="24"/>
        </w:rPr>
        <w:t xml:space="preserve"> And he CEP rider settlement can result in an </w:t>
      </w:r>
      <w:r w:rsidRPr="00A11576" w:rsidR="00BA5011">
        <w:rPr>
          <w:rFonts w:cs="Times New Roman"/>
          <w:szCs w:val="24"/>
        </w:rPr>
        <w:t>estimated $357 million reduction in Columbia’s cumulative charges to consumers for the five years of 2023 – 2027.</w:t>
      </w:r>
      <w:r>
        <w:rPr>
          <w:rStyle w:val="FootnoteReference"/>
          <w:rFonts w:cs="Times New Roman"/>
          <w:szCs w:val="24"/>
        </w:rPr>
        <w:footnoteReference w:id="64"/>
      </w:r>
      <w:r w:rsidR="00BA371A">
        <w:rPr>
          <w:rFonts w:cs="Times New Roman"/>
          <w:szCs w:val="24"/>
        </w:rPr>
        <w:t xml:space="preserve"> </w:t>
      </w:r>
    </w:p>
    <w:p w:rsidR="00EC7D53" w:rsidP="00053C5E" w14:paraId="7C340B17" w14:textId="071BC4AB">
      <w:pPr>
        <w:spacing w:after="0" w:line="480" w:lineRule="auto"/>
        <w:ind w:firstLine="720"/>
        <w:rPr>
          <w:rFonts w:cs="Times New Roman"/>
          <w:szCs w:val="24"/>
        </w:rPr>
      </w:pPr>
      <w:r w:rsidRPr="00260A3F">
        <w:rPr>
          <w:rFonts w:cs="Times New Roman"/>
          <w:szCs w:val="24"/>
        </w:rPr>
        <w:t>In addition to reducing th</w:t>
      </w:r>
      <w:r w:rsidR="00F576E9">
        <w:rPr>
          <w:rFonts w:cs="Times New Roman"/>
          <w:szCs w:val="24"/>
        </w:rPr>
        <w:t>e charges to consumers</w:t>
      </w:r>
      <w:r w:rsidRPr="00260A3F">
        <w:rPr>
          <w:rFonts w:cs="Times New Roman"/>
          <w:szCs w:val="24"/>
        </w:rPr>
        <w:t xml:space="preserve">, the Settlement </w:t>
      </w:r>
      <w:r w:rsidR="001F3B89">
        <w:rPr>
          <w:rFonts w:cs="Times New Roman"/>
          <w:szCs w:val="24"/>
        </w:rPr>
        <w:t>is nondiscriminatory</w:t>
      </w:r>
      <w:r w:rsidR="00C14A9D">
        <w:rPr>
          <w:rFonts w:cs="Times New Roman"/>
          <w:szCs w:val="24"/>
        </w:rPr>
        <w:t>,</w:t>
      </w:r>
      <w:r w:rsidR="001F3B89">
        <w:rPr>
          <w:rFonts w:cs="Times New Roman"/>
          <w:szCs w:val="24"/>
        </w:rPr>
        <w:t xml:space="preserve"> consistent with </w:t>
      </w:r>
      <w:r w:rsidR="008F2710">
        <w:rPr>
          <w:rFonts w:cs="Times New Roman"/>
          <w:szCs w:val="24"/>
        </w:rPr>
        <w:t>regulatory principles</w:t>
      </w:r>
      <w:r w:rsidR="001F3B89">
        <w:rPr>
          <w:rFonts w:cs="Times New Roman"/>
          <w:szCs w:val="24"/>
        </w:rPr>
        <w:t xml:space="preserve"> in R.C. 4905.33 and R.C. 4928.02(A).</w:t>
      </w:r>
      <w:r w:rsidR="00B44099">
        <w:rPr>
          <w:rFonts w:cs="Times New Roman"/>
          <w:szCs w:val="24"/>
        </w:rPr>
        <w:t xml:space="preserve"> All consumers within their respective rate classes </w:t>
      </w:r>
      <w:r w:rsidR="009B1B05">
        <w:rPr>
          <w:rFonts w:cs="Times New Roman"/>
          <w:szCs w:val="24"/>
        </w:rPr>
        <w:t>pay the same rates for the same service.</w:t>
      </w:r>
      <w:r w:rsidR="001F3B89">
        <w:rPr>
          <w:rFonts w:cs="Times New Roman"/>
          <w:szCs w:val="24"/>
        </w:rPr>
        <w:t xml:space="preserve"> The Settlement also</w:t>
      </w:r>
      <w:r w:rsidR="008F2710">
        <w:rPr>
          <w:rFonts w:cs="Times New Roman"/>
          <w:szCs w:val="24"/>
        </w:rPr>
        <w:t xml:space="preserve"> </w:t>
      </w:r>
      <w:r w:rsidRPr="00260A3F">
        <w:rPr>
          <w:rFonts w:cs="Times New Roman"/>
          <w:szCs w:val="24"/>
        </w:rPr>
        <w:t xml:space="preserve">protects residential </w:t>
      </w:r>
      <w:r w:rsidR="00FE076C">
        <w:rPr>
          <w:rFonts w:cs="Times New Roman"/>
          <w:szCs w:val="24"/>
        </w:rPr>
        <w:t xml:space="preserve">and </w:t>
      </w:r>
      <w:r w:rsidR="00247902">
        <w:rPr>
          <w:rFonts w:cs="Times New Roman"/>
          <w:szCs w:val="24"/>
        </w:rPr>
        <w:t>low-income</w:t>
      </w:r>
      <w:r w:rsidR="00FE076C">
        <w:rPr>
          <w:rFonts w:cs="Times New Roman"/>
          <w:szCs w:val="24"/>
        </w:rPr>
        <w:t xml:space="preserve"> </w:t>
      </w:r>
      <w:r w:rsidR="00247902">
        <w:rPr>
          <w:rFonts w:cs="Times New Roman"/>
          <w:szCs w:val="24"/>
        </w:rPr>
        <w:t>consumers</w:t>
      </w:r>
      <w:r w:rsidR="006F5A3C">
        <w:rPr>
          <w:rFonts w:cs="Times New Roman"/>
          <w:szCs w:val="24"/>
        </w:rPr>
        <w:t xml:space="preserve"> </w:t>
      </w:r>
      <w:r w:rsidRPr="00F522F5" w:rsidR="001C3ECB">
        <w:rPr>
          <w:rFonts w:cs="Times New Roman"/>
          <w:szCs w:val="24"/>
        </w:rPr>
        <w:t>consistent with policy set forth in</w:t>
      </w:r>
      <w:r w:rsidR="006F5A3C">
        <w:rPr>
          <w:rFonts w:cs="Times New Roman"/>
          <w:szCs w:val="24"/>
        </w:rPr>
        <w:t xml:space="preserve"> R.C. 4928.02(L)</w:t>
      </w:r>
      <w:r w:rsidR="00FE076C">
        <w:rPr>
          <w:rFonts w:cs="Times New Roman"/>
          <w:szCs w:val="24"/>
        </w:rPr>
        <w:t xml:space="preserve"> by providing bill payment assistance</w:t>
      </w:r>
      <w:r w:rsidR="004A2403">
        <w:rPr>
          <w:rFonts w:cs="Times New Roman"/>
          <w:szCs w:val="24"/>
        </w:rPr>
        <w:t>.</w:t>
      </w:r>
      <w:r w:rsidR="00DF17C4">
        <w:rPr>
          <w:rFonts w:cs="Times New Roman"/>
          <w:szCs w:val="24"/>
        </w:rPr>
        <w:t xml:space="preserve"> </w:t>
      </w:r>
      <w:r w:rsidR="004A2403">
        <w:rPr>
          <w:rFonts w:cs="Times New Roman"/>
          <w:szCs w:val="24"/>
        </w:rPr>
        <w:t>A</w:t>
      </w:r>
      <w:r w:rsidR="00247902">
        <w:rPr>
          <w:rFonts w:cs="Times New Roman"/>
          <w:szCs w:val="24"/>
        </w:rPr>
        <w:t>nd</w:t>
      </w:r>
      <w:r w:rsidR="004A2403">
        <w:rPr>
          <w:rFonts w:cs="Times New Roman"/>
          <w:szCs w:val="24"/>
        </w:rPr>
        <w:t xml:space="preserve"> </w:t>
      </w:r>
      <w:r w:rsidR="00B44099">
        <w:rPr>
          <w:rFonts w:cs="Times New Roman"/>
          <w:szCs w:val="24"/>
        </w:rPr>
        <w:t>the Settlement</w:t>
      </w:r>
      <w:r w:rsidR="00247902">
        <w:rPr>
          <w:rFonts w:cs="Times New Roman"/>
          <w:szCs w:val="24"/>
        </w:rPr>
        <w:t xml:space="preserve"> </w:t>
      </w:r>
      <w:r w:rsidR="0082237C">
        <w:rPr>
          <w:rFonts w:cs="Times New Roman"/>
          <w:szCs w:val="24"/>
        </w:rPr>
        <w:t xml:space="preserve">separately </w:t>
      </w:r>
      <w:r w:rsidR="00B44099">
        <w:rPr>
          <w:rFonts w:cs="Times New Roman"/>
          <w:szCs w:val="24"/>
        </w:rPr>
        <w:t xml:space="preserve">protects at-risk populations by </w:t>
      </w:r>
      <w:r w:rsidR="0082237C">
        <w:rPr>
          <w:rFonts w:cs="Times New Roman"/>
          <w:szCs w:val="24"/>
        </w:rPr>
        <w:t>provid</w:t>
      </w:r>
      <w:r w:rsidR="00B44099">
        <w:rPr>
          <w:rFonts w:cs="Times New Roman"/>
          <w:szCs w:val="24"/>
        </w:rPr>
        <w:t>ing</w:t>
      </w:r>
      <w:r w:rsidR="0082237C">
        <w:rPr>
          <w:rFonts w:cs="Times New Roman"/>
          <w:szCs w:val="24"/>
        </w:rPr>
        <w:t xml:space="preserve"> a </w:t>
      </w:r>
      <w:r w:rsidR="00247902">
        <w:rPr>
          <w:rFonts w:cs="Times New Roman"/>
          <w:szCs w:val="24"/>
        </w:rPr>
        <w:t>weatherization</w:t>
      </w:r>
      <w:r w:rsidR="00DC6F42">
        <w:rPr>
          <w:rFonts w:cs="Times New Roman"/>
          <w:szCs w:val="24"/>
        </w:rPr>
        <w:t xml:space="preserve"> program</w:t>
      </w:r>
      <w:r w:rsidR="00E94922">
        <w:rPr>
          <w:rFonts w:cs="Times New Roman"/>
          <w:szCs w:val="24"/>
        </w:rPr>
        <w:t xml:space="preserve"> for low</w:t>
      </w:r>
      <w:r w:rsidR="00C428BA">
        <w:rPr>
          <w:rFonts w:cs="Times New Roman"/>
          <w:szCs w:val="24"/>
        </w:rPr>
        <w:t>-</w:t>
      </w:r>
      <w:r w:rsidR="00E94922">
        <w:rPr>
          <w:rFonts w:cs="Times New Roman"/>
          <w:szCs w:val="24"/>
        </w:rPr>
        <w:t xml:space="preserve">income consumers </w:t>
      </w:r>
      <w:r w:rsidR="0082237C">
        <w:rPr>
          <w:rFonts w:cs="Times New Roman"/>
          <w:szCs w:val="24"/>
        </w:rPr>
        <w:t>(</w:t>
      </w:r>
      <w:r w:rsidR="00E94922">
        <w:rPr>
          <w:rFonts w:cs="Times New Roman"/>
          <w:szCs w:val="24"/>
        </w:rPr>
        <w:t>through Columbia’s WarmChoice® program</w:t>
      </w:r>
      <w:r w:rsidR="0082237C">
        <w:rPr>
          <w:rFonts w:cs="Times New Roman"/>
          <w:szCs w:val="24"/>
        </w:rPr>
        <w:t>)</w:t>
      </w:r>
      <w:r w:rsidRPr="00260A3F">
        <w:rPr>
          <w:rFonts w:cs="Times New Roman"/>
          <w:szCs w:val="24"/>
        </w:rPr>
        <w:t>.</w:t>
      </w:r>
      <w:r>
        <w:rPr>
          <w:rStyle w:val="FootnoteReference"/>
          <w:rFonts w:cs="Times New Roman"/>
          <w:szCs w:val="24"/>
        </w:rPr>
        <w:footnoteReference w:id="65"/>
      </w:r>
      <w:r w:rsidR="004A500E">
        <w:rPr>
          <w:rFonts w:cs="Times New Roman"/>
          <w:szCs w:val="24"/>
        </w:rPr>
        <w:t xml:space="preserve"> </w:t>
      </w:r>
    </w:p>
    <w:p w:rsidR="005F2B7A" w:rsidP="00053C5E" w14:paraId="4E3BAFB9" w14:textId="04402C84">
      <w:pPr>
        <w:spacing w:after="0" w:line="480" w:lineRule="auto"/>
        <w:ind w:firstLine="720"/>
        <w:rPr>
          <w:rFonts w:cs="Times New Roman"/>
          <w:szCs w:val="24"/>
        </w:rPr>
      </w:pPr>
      <w:r>
        <w:rPr>
          <w:rFonts w:cs="Times New Roman"/>
          <w:szCs w:val="24"/>
        </w:rPr>
        <w:t>Accordingly</w:t>
      </w:r>
      <w:r w:rsidRPr="00260A3F" w:rsidR="009D25E5">
        <w:rPr>
          <w:rFonts w:cs="Times New Roman"/>
          <w:szCs w:val="24"/>
        </w:rPr>
        <w:t>, the Settlement</w:t>
      </w:r>
      <w:r w:rsidRPr="00260A3F" w:rsidR="00D7674A">
        <w:rPr>
          <w:rFonts w:cs="Times New Roman"/>
          <w:szCs w:val="24"/>
        </w:rPr>
        <w:t xml:space="preserve"> satisf</w:t>
      </w:r>
      <w:r w:rsidRPr="00260A3F" w:rsidR="00F8690A">
        <w:rPr>
          <w:rFonts w:cs="Times New Roman"/>
          <w:szCs w:val="24"/>
        </w:rPr>
        <w:t>ies</w:t>
      </w:r>
      <w:r w:rsidRPr="00260A3F" w:rsidR="00D7674A">
        <w:rPr>
          <w:rFonts w:cs="Times New Roman"/>
          <w:szCs w:val="24"/>
        </w:rPr>
        <w:t xml:space="preserve"> the third prong of the PUCO’s test to evaluate settlements</w:t>
      </w:r>
      <w:r w:rsidRPr="00260A3F" w:rsidR="009D25E5">
        <w:rPr>
          <w:rFonts w:cs="Times New Roman"/>
          <w:szCs w:val="24"/>
        </w:rPr>
        <w:t>.</w:t>
      </w:r>
    </w:p>
    <w:p w:rsidR="00A96734" w:rsidRPr="00260A3F" w:rsidP="00A96734" w14:paraId="2AE0B1E0" w14:textId="77777777">
      <w:pPr>
        <w:spacing w:after="0" w:line="240" w:lineRule="auto"/>
        <w:ind w:firstLine="720"/>
        <w:rPr>
          <w:rFonts w:cs="Times New Roman"/>
          <w:szCs w:val="24"/>
        </w:rPr>
      </w:pPr>
    </w:p>
    <w:p w:rsidR="009B419A" w:rsidRPr="00260A3F" w:rsidP="00531C18" w14:paraId="0E93362E" w14:textId="2A6674E0">
      <w:pPr>
        <w:pStyle w:val="Heading1"/>
        <w:rPr>
          <w:rStyle w:val="Heading1Char"/>
          <w:b/>
          <w:bCs/>
        </w:rPr>
      </w:pPr>
      <w:bookmarkStart w:id="20" w:name="_Toc496786176"/>
      <w:bookmarkStart w:id="21" w:name="_Toc511223240"/>
      <w:bookmarkStart w:id="22" w:name="_Toc522277280"/>
      <w:bookmarkStart w:id="23" w:name="_Toc522278753"/>
      <w:bookmarkStart w:id="24" w:name="_Toc74300289"/>
      <w:bookmarkStart w:id="25" w:name="_Toc74578032"/>
      <w:bookmarkStart w:id="26" w:name="_Toc121484992"/>
      <w:r w:rsidRPr="00260A3F">
        <w:rPr>
          <w:rStyle w:val="Heading1Char"/>
          <w:b/>
          <w:bCs/>
        </w:rPr>
        <w:t>CONCLUSION</w:t>
      </w:r>
      <w:bookmarkEnd w:id="20"/>
      <w:bookmarkEnd w:id="21"/>
      <w:bookmarkEnd w:id="22"/>
      <w:bookmarkEnd w:id="23"/>
      <w:bookmarkEnd w:id="24"/>
      <w:bookmarkEnd w:id="25"/>
      <w:bookmarkEnd w:id="26"/>
    </w:p>
    <w:p w:rsidR="009B419A" w:rsidRPr="00260A3F" w:rsidP="00EC50A9" w14:paraId="40922FD1" w14:textId="7025465A">
      <w:pPr>
        <w:spacing w:after="0" w:line="480" w:lineRule="auto"/>
        <w:ind w:firstLine="720"/>
        <w:rPr>
          <w:rFonts w:cs="Times New Roman"/>
          <w:szCs w:val="24"/>
        </w:rPr>
      </w:pPr>
      <w:r w:rsidRPr="00260A3F">
        <w:rPr>
          <w:rFonts w:cs="Times New Roman"/>
          <w:szCs w:val="24"/>
        </w:rPr>
        <w:t>The</w:t>
      </w:r>
      <w:r w:rsidRPr="00260A3F" w:rsidR="0072541D">
        <w:rPr>
          <w:rFonts w:cs="Times New Roman"/>
          <w:szCs w:val="24"/>
        </w:rPr>
        <w:t xml:space="preserve"> Settlement satisfies the PUCO’s three</w:t>
      </w:r>
      <w:r w:rsidRPr="00260A3F" w:rsidR="003245D4">
        <w:rPr>
          <w:rFonts w:cs="Times New Roman"/>
          <w:szCs w:val="24"/>
        </w:rPr>
        <w:t>-</w:t>
      </w:r>
      <w:r w:rsidRPr="00260A3F" w:rsidR="0072541D">
        <w:rPr>
          <w:rFonts w:cs="Times New Roman"/>
          <w:szCs w:val="24"/>
        </w:rPr>
        <w:t>prong test for evaluating settlements</w:t>
      </w:r>
      <w:r w:rsidRPr="00260A3F">
        <w:rPr>
          <w:rFonts w:cs="Times New Roman"/>
          <w:szCs w:val="24"/>
        </w:rPr>
        <w:t>.</w:t>
      </w:r>
      <w:r w:rsidRPr="00260A3F" w:rsidR="0072541D">
        <w:rPr>
          <w:rFonts w:cs="Times New Roman"/>
          <w:szCs w:val="24"/>
        </w:rPr>
        <w:t xml:space="preserve"> The Settlement is the product of serious bargaining among capable, knowledgeable parties with diverse interests.</w:t>
      </w:r>
      <w:r w:rsidRPr="00260A3F">
        <w:rPr>
          <w:rFonts w:cs="Times New Roman"/>
          <w:szCs w:val="24"/>
        </w:rPr>
        <w:t xml:space="preserve"> </w:t>
      </w:r>
      <w:r w:rsidRPr="00260A3F" w:rsidR="0072541D">
        <w:rPr>
          <w:rFonts w:cs="Times New Roman"/>
          <w:szCs w:val="24"/>
        </w:rPr>
        <w:t>As a package, t</w:t>
      </w:r>
      <w:r w:rsidRPr="00260A3F">
        <w:rPr>
          <w:rFonts w:cs="Times New Roman"/>
          <w:szCs w:val="24"/>
        </w:rPr>
        <w:t xml:space="preserve">he Settlement provides significant benefits to </w:t>
      </w:r>
      <w:r w:rsidR="004A500E">
        <w:rPr>
          <w:rFonts w:cs="Times New Roman"/>
          <w:szCs w:val="24"/>
        </w:rPr>
        <w:t>Columbia’s</w:t>
      </w:r>
      <w:r w:rsidRPr="00260A3F">
        <w:rPr>
          <w:rFonts w:cs="Times New Roman"/>
          <w:szCs w:val="24"/>
        </w:rPr>
        <w:t xml:space="preserve"> consumers</w:t>
      </w:r>
      <w:r w:rsidRPr="00260A3F" w:rsidR="0072541D">
        <w:rPr>
          <w:rFonts w:cs="Times New Roman"/>
          <w:szCs w:val="24"/>
        </w:rPr>
        <w:t xml:space="preserve"> and does not violate regulatory principles or practices. The PUCO should approve </w:t>
      </w:r>
      <w:r w:rsidR="004A2403">
        <w:rPr>
          <w:rFonts w:cs="Times New Roman"/>
          <w:szCs w:val="24"/>
        </w:rPr>
        <w:t>the Settlement</w:t>
      </w:r>
      <w:r w:rsidRPr="00260A3F" w:rsidR="0072541D">
        <w:rPr>
          <w:rFonts w:cs="Times New Roman"/>
          <w:szCs w:val="24"/>
        </w:rPr>
        <w:t xml:space="preserve"> without modification.</w:t>
      </w:r>
    </w:p>
    <w:p w:rsidR="009B3238" w14:paraId="0A0CE556" w14:textId="0474CF3C">
      <w:pPr>
        <w:rPr>
          <w:rFonts w:cs="Times New Roman"/>
          <w:szCs w:val="24"/>
        </w:rPr>
      </w:pPr>
      <w:r>
        <w:rPr>
          <w:rFonts w:cs="Times New Roman"/>
          <w:szCs w:val="24"/>
        </w:rPr>
        <w:br w:type="page"/>
      </w:r>
    </w:p>
    <w:p w:rsidR="009B419A" w:rsidRPr="00260A3F" w:rsidP="00BC1DD7" w14:paraId="2497294E" w14:textId="0A556B95">
      <w:pPr>
        <w:ind w:firstLine="4320"/>
        <w:rPr>
          <w:rFonts w:cs="Times New Roman"/>
          <w:szCs w:val="24"/>
        </w:rPr>
      </w:pPr>
      <w:r w:rsidRPr="00260A3F">
        <w:rPr>
          <w:rFonts w:cs="Times New Roman"/>
          <w:szCs w:val="24"/>
        </w:rPr>
        <w:t>Respectfully submitted,</w:t>
      </w:r>
    </w:p>
    <w:p w:rsidR="00326C85" w:rsidRPr="004D46E5" w:rsidP="00AB389A" w14:paraId="5ED22FF9" w14:textId="77777777">
      <w:pPr>
        <w:tabs>
          <w:tab w:val="right" w:pos="8640"/>
        </w:tabs>
        <w:spacing w:after="0" w:line="240" w:lineRule="auto"/>
        <w:ind w:left="4320"/>
        <w:rPr>
          <w:szCs w:val="24"/>
        </w:rPr>
      </w:pPr>
      <w:r w:rsidRPr="004D46E5">
        <w:rPr>
          <w:szCs w:val="24"/>
        </w:rPr>
        <w:t>Bruce Weston (0016973)</w:t>
      </w:r>
    </w:p>
    <w:p w:rsidR="00326C85" w:rsidRPr="004D46E5" w:rsidP="00AB389A" w14:paraId="4087477D" w14:textId="77777777">
      <w:pPr>
        <w:spacing w:after="0" w:line="240" w:lineRule="auto"/>
        <w:ind w:left="4320"/>
        <w:contextualSpacing/>
        <w:rPr>
          <w:rFonts w:eastAsia="Calibri"/>
          <w:szCs w:val="24"/>
        </w:rPr>
      </w:pPr>
      <w:r w:rsidRPr="004D46E5">
        <w:rPr>
          <w:rFonts w:eastAsia="Calibri"/>
          <w:szCs w:val="24"/>
        </w:rPr>
        <w:t>Ohio Consumers’ Counsel</w:t>
      </w:r>
    </w:p>
    <w:p w:rsidR="00326C85" w:rsidRPr="004D46E5" w:rsidP="00AB389A" w14:paraId="20CE4CB2" w14:textId="77777777">
      <w:pPr>
        <w:spacing w:line="240" w:lineRule="auto"/>
        <w:ind w:left="4320"/>
        <w:contextualSpacing/>
        <w:rPr>
          <w:rFonts w:eastAsia="Calibri"/>
          <w:szCs w:val="24"/>
        </w:rPr>
      </w:pPr>
    </w:p>
    <w:p w:rsidR="00326C85" w:rsidRPr="004D46E5" w:rsidP="00AB389A" w14:paraId="25610AAE" w14:textId="77777777">
      <w:pPr>
        <w:spacing w:line="240" w:lineRule="auto"/>
        <w:ind w:left="4320"/>
        <w:contextualSpacing/>
        <w:rPr>
          <w:rFonts w:eastAsia="Calibri"/>
          <w:szCs w:val="24"/>
        </w:rPr>
      </w:pPr>
      <w:r w:rsidRPr="004D46E5">
        <w:rPr>
          <w:rFonts w:eastAsia="Calibri"/>
          <w:i/>
          <w:iCs/>
          <w:szCs w:val="24"/>
          <w:u w:val="single"/>
        </w:rPr>
        <w:t>/s/ Angela D. O’Brien</w:t>
      </w:r>
      <w:r w:rsidRPr="004D46E5">
        <w:rPr>
          <w:rFonts w:eastAsia="Calibri"/>
          <w:i/>
          <w:iCs/>
          <w:szCs w:val="24"/>
          <w:u w:val="single"/>
        </w:rPr>
        <w:tab/>
      </w:r>
      <w:r w:rsidRPr="004D46E5">
        <w:rPr>
          <w:rFonts w:eastAsia="Calibri"/>
          <w:i/>
          <w:iCs/>
          <w:szCs w:val="24"/>
          <w:u w:val="single"/>
        </w:rPr>
        <w:tab/>
      </w:r>
      <w:r w:rsidRPr="004D46E5">
        <w:rPr>
          <w:rFonts w:eastAsia="Calibri"/>
          <w:szCs w:val="24"/>
        </w:rPr>
        <w:tab/>
      </w:r>
    </w:p>
    <w:p w:rsidR="00326C85" w:rsidRPr="004D46E5" w:rsidP="00AB389A" w14:paraId="16E369AA" w14:textId="77777777">
      <w:pPr>
        <w:spacing w:after="0" w:line="240" w:lineRule="auto"/>
        <w:ind w:left="4320"/>
        <w:rPr>
          <w:szCs w:val="24"/>
        </w:rPr>
      </w:pPr>
      <w:r w:rsidRPr="004D46E5">
        <w:rPr>
          <w:szCs w:val="24"/>
        </w:rPr>
        <w:t>Angela D. O’Brien (0097579)</w:t>
      </w:r>
    </w:p>
    <w:p w:rsidR="00326C85" w:rsidRPr="004D46E5" w:rsidP="00AB389A" w14:paraId="2D5957EE" w14:textId="77777777">
      <w:pPr>
        <w:spacing w:after="0" w:line="240" w:lineRule="auto"/>
        <w:ind w:left="4320"/>
        <w:rPr>
          <w:szCs w:val="24"/>
        </w:rPr>
      </w:pPr>
      <w:r w:rsidRPr="004D46E5">
        <w:rPr>
          <w:szCs w:val="24"/>
        </w:rPr>
        <w:t xml:space="preserve">Counsel of Record </w:t>
      </w:r>
    </w:p>
    <w:p w:rsidR="00326C85" w:rsidRPr="004D46E5" w:rsidP="00AB389A" w14:paraId="578F0FA4" w14:textId="77777777">
      <w:pPr>
        <w:tabs>
          <w:tab w:val="left" w:pos="4320"/>
        </w:tabs>
        <w:spacing w:after="0" w:line="240" w:lineRule="auto"/>
        <w:ind w:left="4320"/>
        <w:rPr>
          <w:szCs w:val="24"/>
        </w:rPr>
      </w:pPr>
      <w:r w:rsidRPr="004D46E5">
        <w:rPr>
          <w:szCs w:val="24"/>
        </w:rPr>
        <w:t>William J. Michael (0070921)</w:t>
      </w:r>
    </w:p>
    <w:p w:rsidR="00326C85" w:rsidRPr="004D46E5" w:rsidP="00AB389A" w14:paraId="2657D9AD" w14:textId="77777777">
      <w:pPr>
        <w:tabs>
          <w:tab w:val="left" w:pos="4320"/>
        </w:tabs>
        <w:spacing w:after="0" w:line="240" w:lineRule="auto"/>
        <w:ind w:left="4320"/>
        <w:rPr>
          <w:szCs w:val="24"/>
        </w:rPr>
      </w:pPr>
      <w:r w:rsidRPr="004D46E5">
        <w:rPr>
          <w:szCs w:val="24"/>
        </w:rPr>
        <w:t>Connor D. Semple (0101102)</w:t>
      </w:r>
    </w:p>
    <w:p w:rsidR="00A96734" w:rsidP="009B3238" w14:paraId="139685BB" w14:textId="60E4CB1F">
      <w:pPr>
        <w:spacing w:after="0" w:line="240" w:lineRule="auto"/>
        <w:ind w:left="4320"/>
        <w:rPr>
          <w:szCs w:val="24"/>
        </w:rPr>
      </w:pPr>
      <w:r w:rsidRPr="004D46E5">
        <w:rPr>
          <w:szCs w:val="24"/>
        </w:rPr>
        <w:t>Assistant Consumers’ Counsel</w:t>
      </w:r>
    </w:p>
    <w:p w:rsidR="009B3238" w:rsidP="009B3238" w14:paraId="44515C72" w14:textId="77777777">
      <w:pPr>
        <w:spacing w:after="0" w:line="240" w:lineRule="auto"/>
        <w:ind w:left="4320"/>
        <w:rPr>
          <w:szCs w:val="24"/>
        </w:rPr>
      </w:pPr>
    </w:p>
    <w:p w:rsidR="00326C85" w:rsidRPr="004D46E5" w:rsidP="00AB389A" w14:paraId="10950372" w14:textId="77777777">
      <w:pPr>
        <w:spacing w:after="0" w:line="240" w:lineRule="auto"/>
        <w:ind w:left="4320"/>
        <w:rPr>
          <w:b/>
          <w:szCs w:val="24"/>
        </w:rPr>
      </w:pPr>
      <w:r w:rsidRPr="004D46E5">
        <w:rPr>
          <w:b/>
          <w:szCs w:val="24"/>
        </w:rPr>
        <w:t>Office of the Ohio Consumers’ Counsel</w:t>
      </w:r>
    </w:p>
    <w:p w:rsidR="00326C85" w:rsidRPr="004D46E5" w:rsidP="00AB389A" w14:paraId="3FB1DBD8" w14:textId="77777777">
      <w:pPr>
        <w:spacing w:after="0" w:line="240" w:lineRule="auto"/>
        <w:ind w:left="4320"/>
        <w:rPr>
          <w:szCs w:val="24"/>
        </w:rPr>
      </w:pPr>
      <w:r w:rsidRPr="004D46E5">
        <w:rPr>
          <w:szCs w:val="24"/>
        </w:rPr>
        <w:t>65 East State Street, Suite 700</w:t>
      </w:r>
    </w:p>
    <w:p w:rsidR="00326C85" w:rsidRPr="004D46E5" w:rsidP="00AB389A" w14:paraId="254BC67C" w14:textId="77777777">
      <w:pPr>
        <w:spacing w:after="0" w:line="240" w:lineRule="auto"/>
        <w:ind w:left="4320"/>
        <w:rPr>
          <w:szCs w:val="24"/>
        </w:rPr>
      </w:pPr>
      <w:r w:rsidRPr="004D46E5">
        <w:rPr>
          <w:szCs w:val="24"/>
        </w:rPr>
        <w:t>Columbus, Ohio 43215</w:t>
      </w:r>
    </w:p>
    <w:p w:rsidR="00326C85" w:rsidRPr="004D46E5" w:rsidP="00AB389A" w14:paraId="670A54CB" w14:textId="77777777">
      <w:pPr>
        <w:spacing w:after="0" w:line="240" w:lineRule="auto"/>
        <w:ind w:left="4320"/>
        <w:rPr>
          <w:szCs w:val="24"/>
        </w:rPr>
      </w:pPr>
      <w:r w:rsidRPr="004D46E5">
        <w:rPr>
          <w:color w:val="000000"/>
          <w:szCs w:val="24"/>
        </w:rPr>
        <w:t>Telephone [O’Brien]: (614) 499-9531</w:t>
      </w:r>
      <w:r w:rsidRPr="004D46E5">
        <w:rPr>
          <w:szCs w:val="24"/>
        </w:rPr>
        <w:tab/>
      </w:r>
    </w:p>
    <w:p w:rsidR="00326C85" w:rsidRPr="004D46E5" w:rsidP="00AB389A" w14:paraId="1263D01B" w14:textId="77777777">
      <w:pPr>
        <w:spacing w:after="0" w:line="240" w:lineRule="auto"/>
        <w:ind w:left="4320"/>
        <w:rPr>
          <w:color w:val="000000"/>
          <w:szCs w:val="24"/>
        </w:rPr>
      </w:pPr>
      <w:r w:rsidRPr="004D46E5">
        <w:rPr>
          <w:szCs w:val="24"/>
        </w:rPr>
        <w:t>Telephone [Michael]: (</w:t>
      </w:r>
      <w:r w:rsidRPr="004D46E5">
        <w:rPr>
          <w:color w:val="000000"/>
          <w:szCs w:val="24"/>
        </w:rPr>
        <w:t>614) 466-1291</w:t>
      </w:r>
    </w:p>
    <w:p w:rsidR="00326C85" w:rsidRPr="004D46E5" w:rsidP="00AB389A" w14:paraId="1A3365EA" w14:textId="77777777">
      <w:pPr>
        <w:spacing w:after="0" w:line="240" w:lineRule="auto"/>
        <w:ind w:left="4320"/>
        <w:rPr>
          <w:color w:val="000000"/>
          <w:szCs w:val="24"/>
        </w:rPr>
      </w:pPr>
      <w:r w:rsidRPr="004D46E5">
        <w:rPr>
          <w:color w:val="000000"/>
          <w:szCs w:val="24"/>
        </w:rPr>
        <w:t>Telephone [Semple]:</w:t>
      </w:r>
      <w:r w:rsidRPr="004D46E5">
        <w:rPr>
          <w:color w:val="000000"/>
          <w:szCs w:val="24"/>
        </w:rPr>
        <w:tab/>
        <w:t>(614) 466-9565</w:t>
      </w:r>
    </w:p>
    <w:p w:rsidR="00326C85" w:rsidRPr="004D46E5" w:rsidP="00AB389A" w14:paraId="40D98E23" w14:textId="77777777">
      <w:pPr>
        <w:spacing w:after="0" w:line="240" w:lineRule="auto"/>
        <w:ind w:left="4320"/>
        <w:rPr>
          <w:szCs w:val="24"/>
        </w:rPr>
      </w:pPr>
      <w:hyperlink r:id="rId6" w:history="1">
        <w:r w:rsidRPr="004D46E5" w:rsidR="00B26C7F">
          <w:rPr>
            <w:rStyle w:val="Hyperlink"/>
            <w:szCs w:val="24"/>
          </w:rPr>
          <w:t>angela.obrien@occ.ohio.gov</w:t>
        </w:r>
      </w:hyperlink>
    </w:p>
    <w:p w:rsidR="00326C85" w:rsidRPr="004D46E5" w:rsidP="00AB389A" w14:paraId="752E9D2B" w14:textId="77777777">
      <w:pPr>
        <w:spacing w:after="0" w:line="240" w:lineRule="auto"/>
        <w:ind w:left="4320"/>
        <w:rPr>
          <w:rStyle w:val="Hyperlink"/>
          <w:rFonts w:eastAsia="Courier New"/>
          <w:szCs w:val="24"/>
        </w:rPr>
      </w:pPr>
      <w:hyperlink r:id="rId7" w:history="1">
        <w:r w:rsidRPr="004D46E5" w:rsidR="00B26C7F">
          <w:rPr>
            <w:rStyle w:val="Hyperlink"/>
            <w:rFonts w:eastAsia="Courier New"/>
            <w:szCs w:val="24"/>
          </w:rPr>
          <w:t>william.michael@occ.ohio.gov</w:t>
        </w:r>
      </w:hyperlink>
    </w:p>
    <w:p w:rsidR="00326C85" w:rsidRPr="004D46E5" w:rsidP="00AB389A" w14:paraId="18506D44" w14:textId="77777777">
      <w:pPr>
        <w:spacing w:after="0" w:line="240" w:lineRule="auto"/>
        <w:ind w:left="4320"/>
        <w:rPr>
          <w:rFonts w:eastAsia="Courier New"/>
          <w:szCs w:val="24"/>
        </w:rPr>
      </w:pPr>
      <w:r w:rsidRPr="004D46E5">
        <w:rPr>
          <w:rStyle w:val="Hyperlink"/>
          <w:rFonts w:eastAsia="Courier New"/>
          <w:szCs w:val="24"/>
        </w:rPr>
        <w:t>connor.semple@occ.ohio.gov</w:t>
      </w:r>
    </w:p>
    <w:p w:rsidR="00326C85" w:rsidRPr="004D46E5" w:rsidP="00AB389A" w14:paraId="607C79E1" w14:textId="77777777">
      <w:pPr>
        <w:spacing w:after="0" w:line="240" w:lineRule="auto"/>
        <w:ind w:left="4320"/>
        <w:rPr>
          <w:szCs w:val="24"/>
        </w:rPr>
      </w:pPr>
      <w:r w:rsidRPr="004D46E5">
        <w:rPr>
          <w:szCs w:val="24"/>
        </w:rPr>
        <w:t>(willing to accept service by e-mail)</w:t>
      </w:r>
    </w:p>
    <w:p w:rsidR="00075DF7" w:rsidP="00075DF7" w14:paraId="3CB91B35" w14:textId="76BB442D">
      <w:pPr>
        <w:ind w:left="4320"/>
      </w:pPr>
    </w:p>
    <w:p w:rsidR="00075DF7" w:rsidP="00075DF7" w14:paraId="24558A49" w14:textId="77777777">
      <w:pPr>
        <w:pStyle w:val="HTMLPreformatted"/>
        <w:jc w:val="center"/>
        <w:rPr>
          <w:rFonts w:ascii="Times New Roman" w:hAnsi="Times New Roman" w:cs="Times New Roman"/>
          <w:b/>
          <w:bCs/>
          <w:sz w:val="24"/>
          <w:szCs w:val="24"/>
        </w:rPr>
        <w:sectPr w:rsidSect="00531C18">
          <w:footerReference w:type="first" r:id="rId10"/>
          <w:pgSz w:w="12240" w:h="15840"/>
          <w:pgMar w:top="1440" w:right="1800" w:bottom="1440" w:left="1800" w:header="720" w:footer="720" w:gutter="0"/>
          <w:pgNumType w:start="1"/>
          <w:cols w:space="720"/>
          <w:titlePg/>
          <w:docGrid w:linePitch="326"/>
        </w:sectPr>
      </w:pPr>
    </w:p>
    <w:p w:rsidR="009B419A" w:rsidRPr="00260A3F" w:rsidP="00EC50A9" w14:paraId="1C484111" w14:textId="77777777">
      <w:pPr>
        <w:spacing w:after="0" w:line="480" w:lineRule="auto"/>
        <w:ind w:firstLine="720"/>
        <w:jc w:val="center"/>
        <w:rPr>
          <w:rFonts w:eastAsiaTheme="minorEastAsia" w:cs="Times New Roman"/>
          <w:b/>
          <w:szCs w:val="24"/>
          <w:u w:val="single"/>
        </w:rPr>
      </w:pPr>
      <w:r w:rsidRPr="00260A3F">
        <w:rPr>
          <w:rFonts w:eastAsiaTheme="minorEastAsia" w:cs="Times New Roman"/>
          <w:b/>
          <w:szCs w:val="24"/>
          <w:u w:val="single"/>
        </w:rPr>
        <w:t>CERTIFICATE OF SERVICE</w:t>
      </w:r>
    </w:p>
    <w:p w:rsidR="009B419A" w:rsidRPr="00260A3F" w:rsidP="00EC50A9" w14:paraId="1AF4F4A2" w14:textId="556D38B3">
      <w:pPr>
        <w:spacing w:after="0" w:line="480" w:lineRule="auto"/>
        <w:ind w:firstLine="720"/>
        <w:rPr>
          <w:rFonts w:eastAsiaTheme="minorEastAsia" w:cs="Times New Roman"/>
          <w:szCs w:val="24"/>
        </w:rPr>
      </w:pPr>
      <w:r w:rsidRPr="00260A3F">
        <w:rPr>
          <w:rFonts w:eastAsiaTheme="minorEastAsia" w:cs="Times New Roman"/>
          <w:szCs w:val="24"/>
        </w:rPr>
        <w:t xml:space="preserve">I hereby certify that a copy of this </w:t>
      </w:r>
      <w:r w:rsidRPr="00260A3F" w:rsidR="000C76D8">
        <w:rPr>
          <w:rFonts w:eastAsiaTheme="minorEastAsia" w:cs="Times New Roman"/>
          <w:szCs w:val="24"/>
        </w:rPr>
        <w:t xml:space="preserve">Initial </w:t>
      </w:r>
      <w:r w:rsidRPr="00260A3F">
        <w:rPr>
          <w:rFonts w:eastAsiaTheme="minorEastAsia" w:cs="Times New Roman"/>
          <w:szCs w:val="24"/>
        </w:rPr>
        <w:t xml:space="preserve">Brief was served on the persons stated below via electronic transmission, this </w:t>
      </w:r>
      <w:r w:rsidR="00075DF7">
        <w:rPr>
          <w:rFonts w:eastAsiaTheme="minorEastAsia" w:cs="Times New Roman"/>
          <w:szCs w:val="24"/>
        </w:rPr>
        <w:t>9</w:t>
      </w:r>
      <w:r w:rsidRPr="00260A3F">
        <w:rPr>
          <w:rFonts w:eastAsiaTheme="minorEastAsia" w:cs="Times New Roman"/>
          <w:szCs w:val="24"/>
        </w:rPr>
        <w:t xml:space="preserve">th day of </w:t>
      </w:r>
      <w:r w:rsidR="00075DF7">
        <w:rPr>
          <w:rFonts w:eastAsiaTheme="minorEastAsia" w:cs="Times New Roman"/>
          <w:szCs w:val="24"/>
        </w:rPr>
        <w:t>December</w:t>
      </w:r>
      <w:r w:rsidRPr="00260A3F">
        <w:rPr>
          <w:rFonts w:eastAsiaTheme="minorEastAsia" w:cs="Times New Roman"/>
          <w:szCs w:val="24"/>
        </w:rPr>
        <w:t xml:space="preserve"> 20</w:t>
      </w:r>
      <w:r w:rsidRPr="00260A3F" w:rsidR="0072541D">
        <w:rPr>
          <w:rFonts w:eastAsiaTheme="minorEastAsia" w:cs="Times New Roman"/>
          <w:szCs w:val="24"/>
        </w:rPr>
        <w:t>2</w:t>
      </w:r>
      <w:r w:rsidR="00075DF7">
        <w:rPr>
          <w:rFonts w:eastAsiaTheme="minorEastAsia" w:cs="Times New Roman"/>
          <w:szCs w:val="24"/>
        </w:rPr>
        <w:t>2</w:t>
      </w:r>
      <w:r w:rsidRPr="00260A3F">
        <w:rPr>
          <w:rFonts w:eastAsiaTheme="minorEastAsia" w:cs="Times New Roman"/>
          <w:szCs w:val="24"/>
        </w:rPr>
        <w:t>.</w:t>
      </w:r>
    </w:p>
    <w:p w:rsidR="009B419A" w:rsidRPr="00260A3F" w:rsidP="00EC50A9" w14:paraId="42599AF5" w14:textId="553CE97E">
      <w:pPr>
        <w:spacing w:after="0" w:line="240" w:lineRule="auto"/>
        <w:ind w:firstLine="720"/>
        <w:rPr>
          <w:rFonts w:eastAsiaTheme="minorEastAsia" w:cs="Times New Roman"/>
          <w:i/>
          <w:szCs w:val="24"/>
        </w:rPr>
      </w:pP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i/>
          <w:szCs w:val="24"/>
          <w:u w:val="single"/>
        </w:rPr>
        <w:t xml:space="preserve">/s/ </w:t>
      </w:r>
      <w:r w:rsidRPr="00260A3F" w:rsidR="0072541D">
        <w:rPr>
          <w:rFonts w:eastAsiaTheme="minorEastAsia" w:cs="Times New Roman"/>
          <w:i/>
          <w:szCs w:val="24"/>
          <w:u w:val="single"/>
        </w:rPr>
        <w:t>Angela D. O’Brien</w:t>
      </w:r>
      <w:r w:rsidRPr="00260A3F">
        <w:rPr>
          <w:rFonts w:eastAsiaTheme="minorEastAsia" w:cs="Times New Roman"/>
          <w:i/>
          <w:szCs w:val="24"/>
          <w:u w:val="single"/>
        </w:rPr>
        <w:tab/>
      </w:r>
    </w:p>
    <w:p w:rsidR="009B419A" w:rsidRPr="00260A3F" w:rsidP="00EC50A9" w14:paraId="029A7403" w14:textId="66F2475D">
      <w:pPr>
        <w:spacing w:after="0" w:line="240" w:lineRule="auto"/>
        <w:ind w:firstLine="720"/>
        <w:rPr>
          <w:rFonts w:eastAsiaTheme="minorEastAsia" w:cs="Times New Roman"/>
          <w:szCs w:val="24"/>
        </w:rPr>
      </w:pP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sidR="0072541D">
        <w:rPr>
          <w:rFonts w:eastAsiaTheme="minorEastAsia" w:cs="Times New Roman"/>
          <w:szCs w:val="24"/>
        </w:rPr>
        <w:t>Angela D. O’Brien</w:t>
      </w:r>
    </w:p>
    <w:p w:rsidR="009B419A" w:rsidRPr="00260A3F" w:rsidP="00EC50A9" w14:paraId="7A6143BE" w14:textId="53144400">
      <w:pPr>
        <w:spacing w:after="0" w:line="240" w:lineRule="auto"/>
        <w:ind w:firstLine="720"/>
        <w:rPr>
          <w:rFonts w:eastAsiaTheme="minorEastAsia" w:cs="Times New Roman"/>
          <w:szCs w:val="24"/>
        </w:rPr>
      </w:pP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r>
      <w:r w:rsidRPr="00260A3F">
        <w:rPr>
          <w:rFonts w:eastAsiaTheme="minorEastAsia" w:cs="Times New Roman"/>
          <w:szCs w:val="24"/>
        </w:rPr>
        <w:tab/>
        <w:t>Counsel of Record</w:t>
      </w:r>
    </w:p>
    <w:p w:rsidR="002938B2" w:rsidRPr="00260A3F" w:rsidP="002938B2" w14:paraId="77A8CC59" w14:textId="77777777">
      <w:pPr>
        <w:suppressLineNumbers/>
        <w:rPr>
          <w:rFonts w:cs="Times New Roman"/>
          <w:szCs w:val="24"/>
        </w:rPr>
      </w:pPr>
    </w:p>
    <w:p w:rsidR="009B419A" w:rsidRPr="00260A3F" w:rsidP="002938B2" w14:paraId="0070DA1F" w14:textId="1FC38450">
      <w:pPr>
        <w:suppressLineNumbers/>
        <w:rPr>
          <w:rFonts w:eastAsiaTheme="minorEastAsia" w:cs="Times New Roman"/>
          <w:szCs w:val="24"/>
        </w:rPr>
      </w:pPr>
      <w:r w:rsidRPr="00260A3F">
        <w:rPr>
          <w:rFonts w:cs="Times New Roman"/>
          <w:szCs w:val="24"/>
        </w:rPr>
        <w:t>The PUCO’s e-filing system will electronically serve notice of the filing of this document on the following parties:</w:t>
      </w:r>
    </w:p>
    <w:p w:rsidR="002938B2" w:rsidRPr="00260A3F" w:rsidP="002938B2" w14:paraId="0E0F8796" w14:textId="77777777">
      <w:pPr>
        <w:pStyle w:val="CommentText"/>
        <w:jc w:val="center"/>
        <w:rPr>
          <w:b/>
          <w:u w:val="single"/>
        </w:rPr>
      </w:pPr>
      <w:r w:rsidRPr="00260A3F">
        <w:rPr>
          <w:b/>
          <w:u w:val="single"/>
        </w:rPr>
        <w:t>SERVICE LIST</w:t>
      </w:r>
    </w:p>
    <w:p w:rsidR="002938B2" w:rsidRPr="00260A3F" w:rsidP="002938B2" w14:paraId="04D135AD" w14:textId="77777777">
      <w:pPr>
        <w:pStyle w:val="CommentText"/>
        <w:jc w:val="center"/>
        <w:rPr>
          <w:bCs/>
          <w:u w:val="single"/>
        </w:rPr>
      </w:pPr>
    </w:p>
    <w:tbl>
      <w:tblPr>
        <w:tblW w:w="0" w:type="auto"/>
        <w:tblLook w:val="01E0"/>
      </w:tblPr>
      <w:tblGrid>
        <w:gridCol w:w="4322"/>
        <w:gridCol w:w="4318"/>
      </w:tblGrid>
      <w:tr w14:paraId="2DB43FE9" w14:textId="77777777" w:rsidTr="00311DF4">
        <w:tblPrEx>
          <w:tblW w:w="0" w:type="auto"/>
          <w:tblLook w:val="01E0"/>
        </w:tblPrEx>
        <w:tc>
          <w:tcPr>
            <w:tcW w:w="4322" w:type="dxa"/>
            <w:shd w:val="clear" w:color="auto" w:fill="auto"/>
          </w:tcPr>
          <w:p w:rsidR="009E76F7" w:rsidRPr="004D46E5" w:rsidP="009E76F7" w14:paraId="6E30E0D6" w14:textId="77777777">
            <w:pPr>
              <w:spacing w:after="0" w:line="240" w:lineRule="auto"/>
              <w:rPr>
                <w:color w:val="0000FF"/>
                <w:szCs w:val="24"/>
                <w:u w:val="single"/>
              </w:rPr>
            </w:pPr>
            <w:hyperlink r:id="rId11" w:history="1">
              <w:r w:rsidRPr="004D46E5" w:rsidR="00B26C7F">
                <w:rPr>
                  <w:color w:val="0000FF"/>
                  <w:szCs w:val="24"/>
                  <w:u w:val="single"/>
                </w:rPr>
                <w:t>werner.margard@OhioAGO.gov</w:t>
              </w:r>
            </w:hyperlink>
          </w:p>
          <w:p w:rsidR="009E76F7" w:rsidRPr="004D46E5" w:rsidP="009E76F7" w14:paraId="642E5D7D" w14:textId="77777777">
            <w:pPr>
              <w:spacing w:after="0" w:line="240" w:lineRule="auto"/>
              <w:rPr>
                <w:szCs w:val="24"/>
              </w:rPr>
            </w:pPr>
            <w:r w:rsidRPr="004D46E5">
              <w:rPr>
                <w:color w:val="0000FF"/>
                <w:szCs w:val="24"/>
                <w:u w:val="single"/>
              </w:rPr>
              <w:t>shaun.lyons@OhioAGO.gov</w:t>
            </w:r>
          </w:p>
          <w:bookmarkStart w:id="27" w:name="_Hlk76570769"/>
          <w:p w:rsidR="009E76F7" w:rsidRPr="004D46E5" w:rsidP="009E76F7" w14:paraId="61C5660A" w14:textId="77777777">
            <w:pPr>
              <w:tabs>
                <w:tab w:val="left" w:pos="-720"/>
              </w:tabs>
              <w:suppressAutoHyphens/>
              <w:spacing w:after="0" w:line="240" w:lineRule="auto"/>
              <w:jc w:val="both"/>
              <w:rPr>
                <w:bCs/>
                <w:color w:val="0000FF"/>
                <w:szCs w:val="24"/>
                <w:u w:val="single"/>
              </w:rPr>
            </w:pPr>
            <w:hyperlink r:id="rId12" w:history="1">
              <w:r w:rsidRPr="004D46E5">
                <w:rPr>
                  <w:bCs/>
                  <w:color w:val="0000FF"/>
                  <w:szCs w:val="24"/>
                  <w:u w:val="single"/>
                </w:rPr>
                <w:t>mjsettineri@vorys.com</w:t>
              </w:r>
            </w:hyperlink>
          </w:p>
          <w:p w:rsidR="009E76F7" w:rsidRPr="004D46E5" w:rsidP="009E76F7" w14:paraId="6CE88178" w14:textId="77777777">
            <w:pPr>
              <w:tabs>
                <w:tab w:val="left" w:pos="-720"/>
              </w:tabs>
              <w:suppressAutoHyphens/>
              <w:spacing w:after="0" w:line="240" w:lineRule="auto"/>
              <w:jc w:val="both"/>
              <w:rPr>
                <w:color w:val="0000FF"/>
                <w:szCs w:val="24"/>
                <w:u w:val="single"/>
              </w:rPr>
            </w:pPr>
            <w:hyperlink r:id="rId13" w:history="1">
              <w:r w:rsidRPr="004D46E5" w:rsidR="00B26C7F">
                <w:rPr>
                  <w:color w:val="0000FF"/>
                  <w:szCs w:val="24"/>
                  <w:u w:val="single"/>
                </w:rPr>
                <w:t>glpetrucci@vorys.com</w:t>
              </w:r>
            </w:hyperlink>
          </w:p>
          <w:p w:rsidR="009E76F7" w:rsidRPr="004D46E5" w:rsidP="009E76F7" w14:paraId="2EBBD1C1" w14:textId="77777777">
            <w:pPr>
              <w:tabs>
                <w:tab w:val="left" w:pos="-720"/>
              </w:tabs>
              <w:suppressAutoHyphens/>
              <w:spacing w:after="0" w:line="240" w:lineRule="auto"/>
              <w:jc w:val="both"/>
              <w:rPr>
                <w:color w:val="0000FF"/>
                <w:szCs w:val="24"/>
                <w:u w:val="single"/>
              </w:rPr>
            </w:pPr>
            <w:r w:rsidRPr="004D46E5">
              <w:rPr>
                <w:color w:val="0000FF"/>
                <w:szCs w:val="24"/>
                <w:u w:val="single"/>
              </w:rPr>
              <w:t>stacie.cathcart@igs.com</w:t>
            </w:r>
          </w:p>
          <w:p w:rsidR="009E76F7" w:rsidRPr="004D46E5" w:rsidP="009E76F7" w14:paraId="766AA803" w14:textId="77777777">
            <w:pPr>
              <w:tabs>
                <w:tab w:val="left" w:pos="-720"/>
              </w:tabs>
              <w:suppressAutoHyphens/>
              <w:spacing w:after="0" w:line="240" w:lineRule="auto"/>
              <w:jc w:val="both"/>
              <w:rPr>
                <w:color w:val="0000FF"/>
                <w:szCs w:val="24"/>
                <w:u w:val="single"/>
              </w:rPr>
            </w:pPr>
            <w:hyperlink r:id="rId14" w:history="1">
              <w:r w:rsidRPr="004D46E5" w:rsidR="00B26C7F">
                <w:rPr>
                  <w:color w:val="0000FF"/>
                  <w:szCs w:val="24"/>
                  <w:u w:val="single"/>
                </w:rPr>
                <w:t>michael.nugent@igs.com</w:t>
              </w:r>
            </w:hyperlink>
          </w:p>
          <w:p w:rsidR="009E76F7" w:rsidRPr="004D46E5" w:rsidP="009E76F7" w14:paraId="74BC5F31" w14:textId="77777777">
            <w:pPr>
              <w:tabs>
                <w:tab w:val="left" w:pos="-720"/>
              </w:tabs>
              <w:suppressAutoHyphens/>
              <w:spacing w:after="0" w:line="240" w:lineRule="auto"/>
              <w:jc w:val="both"/>
              <w:rPr>
                <w:bCs/>
                <w:szCs w:val="24"/>
              </w:rPr>
            </w:pPr>
            <w:hyperlink r:id="rId15" w:history="1">
              <w:r w:rsidRPr="004D46E5" w:rsidR="00B26C7F">
                <w:rPr>
                  <w:bCs/>
                  <w:color w:val="0000FF"/>
                  <w:szCs w:val="24"/>
                  <w:u w:val="single"/>
                </w:rPr>
                <w:t>evan.betterton@igs.com</w:t>
              </w:r>
            </w:hyperlink>
          </w:p>
          <w:p w:rsidR="009E76F7" w:rsidRPr="004D46E5" w:rsidP="009E76F7" w14:paraId="799CCE69" w14:textId="77777777">
            <w:pPr>
              <w:tabs>
                <w:tab w:val="left" w:pos="-720"/>
              </w:tabs>
              <w:suppressAutoHyphens/>
              <w:spacing w:after="0" w:line="240" w:lineRule="auto"/>
              <w:jc w:val="both"/>
              <w:rPr>
                <w:bCs/>
                <w:szCs w:val="24"/>
              </w:rPr>
            </w:pPr>
            <w:hyperlink r:id="rId16" w:history="1">
              <w:r w:rsidRPr="004D46E5" w:rsidR="00B26C7F">
                <w:rPr>
                  <w:bCs/>
                  <w:color w:val="0000FF"/>
                  <w:szCs w:val="24"/>
                  <w:u w:val="single"/>
                </w:rPr>
                <w:t>joe.oliker@igs.com</w:t>
              </w:r>
            </w:hyperlink>
          </w:p>
          <w:p w:rsidR="009E76F7" w:rsidRPr="004D46E5" w:rsidP="009E76F7" w14:paraId="0FA79CD7" w14:textId="77777777">
            <w:pPr>
              <w:tabs>
                <w:tab w:val="left" w:pos="-720"/>
              </w:tabs>
              <w:suppressAutoHyphens/>
              <w:spacing w:after="0" w:line="240" w:lineRule="auto"/>
              <w:jc w:val="both"/>
              <w:rPr>
                <w:bCs/>
                <w:color w:val="0000FF"/>
                <w:szCs w:val="24"/>
                <w:u w:val="single"/>
              </w:rPr>
            </w:pPr>
            <w:hyperlink r:id="rId17" w:history="1">
              <w:r w:rsidRPr="004D46E5" w:rsidR="00B26C7F">
                <w:rPr>
                  <w:bCs/>
                  <w:color w:val="0000FF"/>
                  <w:szCs w:val="24"/>
                  <w:u w:val="single"/>
                </w:rPr>
                <w:t>rdove@keglerbrown.com</w:t>
              </w:r>
            </w:hyperlink>
          </w:p>
          <w:p w:rsidR="009E76F7" w:rsidRPr="004D46E5" w:rsidP="009E76F7" w14:paraId="2C389FFA" w14:textId="77777777">
            <w:pPr>
              <w:tabs>
                <w:tab w:val="left" w:pos="-720"/>
              </w:tabs>
              <w:suppressAutoHyphens/>
              <w:spacing w:after="0" w:line="240" w:lineRule="auto"/>
              <w:jc w:val="both"/>
              <w:rPr>
                <w:bCs/>
                <w:color w:val="0000FF"/>
                <w:szCs w:val="24"/>
                <w:u w:val="single"/>
              </w:rPr>
            </w:pPr>
            <w:r w:rsidRPr="004D46E5">
              <w:rPr>
                <w:bCs/>
                <w:color w:val="0000FF"/>
                <w:szCs w:val="24"/>
                <w:u w:val="single"/>
              </w:rPr>
              <w:t>jweber@elpc.org</w:t>
            </w:r>
          </w:p>
          <w:p w:rsidR="009E76F7" w:rsidRPr="004D46E5" w:rsidP="009E76F7" w14:paraId="135DF252" w14:textId="77777777">
            <w:pPr>
              <w:tabs>
                <w:tab w:val="left" w:pos="-720"/>
              </w:tabs>
              <w:suppressAutoHyphens/>
              <w:spacing w:after="0" w:line="240" w:lineRule="auto"/>
              <w:jc w:val="both"/>
              <w:rPr>
                <w:bCs/>
                <w:color w:val="0000FF"/>
                <w:szCs w:val="24"/>
                <w:u w:val="single"/>
              </w:rPr>
            </w:pPr>
            <w:hyperlink r:id="rId18" w:history="1">
              <w:r w:rsidRPr="004D46E5" w:rsidR="00B26C7F">
                <w:rPr>
                  <w:rStyle w:val="Hyperlink"/>
                  <w:bCs/>
                  <w:szCs w:val="24"/>
                </w:rPr>
                <w:t>mpritchard@mcneeslaw.com</w:t>
              </w:r>
            </w:hyperlink>
          </w:p>
          <w:p w:rsidR="009E76F7" w:rsidRPr="004D46E5" w:rsidP="009E76F7" w14:paraId="1625E59F" w14:textId="77777777">
            <w:pPr>
              <w:tabs>
                <w:tab w:val="left" w:pos="-720"/>
              </w:tabs>
              <w:suppressAutoHyphens/>
              <w:spacing w:after="0" w:line="240" w:lineRule="auto"/>
              <w:jc w:val="both"/>
              <w:rPr>
                <w:bCs/>
                <w:color w:val="0000FF"/>
                <w:szCs w:val="24"/>
                <w:u w:val="single"/>
              </w:rPr>
            </w:pPr>
            <w:r w:rsidRPr="004D46E5">
              <w:rPr>
                <w:bCs/>
                <w:color w:val="0000FF"/>
                <w:szCs w:val="24"/>
                <w:u w:val="single"/>
              </w:rPr>
              <w:t>bmckenney@mcneeslaw.com</w:t>
            </w:r>
          </w:p>
          <w:p w:rsidR="009E76F7" w:rsidRPr="004D46E5" w:rsidP="009E76F7" w14:paraId="46E6B038" w14:textId="77777777">
            <w:pPr>
              <w:tabs>
                <w:tab w:val="left" w:pos="-720"/>
              </w:tabs>
              <w:suppressAutoHyphens/>
              <w:spacing w:after="0" w:line="240" w:lineRule="auto"/>
              <w:jc w:val="both"/>
              <w:rPr>
                <w:bCs/>
                <w:color w:val="0000FF"/>
                <w:szCs w:val="24"/>
                <w:u w:val="single"/>
              </w:rPr>
            </w:pPr>
          </w:p>
          <w:p w:rsidR="009E76F7" w:rsidRPr="004D46E5" w:rsidP="009E76F7" w14:paraId="1B033BAC" w14:textId="77777777">
            <w:pPr>
              <w:tabs>
                <w:tab w:val="left" w:pos="-720"/>
              </w:tabs>
              <w:suppressAutoHyphens/>
              <w:spacing w:after="0" w:line="240" w:lineRule="auto"/>
              <w:jc w:val="both"/>
              <w:rPr>
                <w:bCs/>
                <w:szCs w:val="24"/>
              </w:rPr>
            </w:pPr>
            <w:r w:rsidRPr="004D46E5">
              <w:rPr>
                <w:bCs/>
                <w:szCs w:val="24"/>
              </w:rPr>
              <w:t>Attorney Examiners:</w:t>
            </w:r>
          </w:p>
          <w:p w:rsidR="009E76F7" w:rsidRPr="004D46E5" w:rsidP="009E76F7" w14:paraId="6614FB77" w14:textId="77777777">
            <w:pPr>
              <w:spacing w:after="0" w:line="240" w:lineRule="auto"/>
              <w:rPr>
                <w:color w:val="0000FF"/>
                <w:szCs w:val="24"/>
                <w:u w:val="single"/>
              </w:rPr>
            </w:pPr>
            <w:hyperlink r:id="rId19" w:history="1">
              <w:r w:rsidRPr="004D46E5" w:rsidR="00B26C7F">
                <w:rPr>
                  <w:color w:val="0000FF"/>
                  <w:szCs w:val="24"/>
                  <w:u w:val="single"/>
                </w:rPr>
                <w:t>jacqueline.st.john@puco.ohio.gov</w:t>
              </w:r>
            </w:hyperlink>
          </w:p>
          <w:p w:rsidR="009E76F7" w:rsidRPr="004D46E5" w:rsidP="009E76F7" w14:paraId="4DFFF718" w14:textId="77777777">
            <w:pPr>
              <w:adjustRightInd w:val="0"/>
              <w:spacing w:after="0" w:line="240" w:lineRule="auto"/>
              <w:rPr>
                <w:color w:val="0000FF"/>
                <w:szCs w:val="24"/>
                <w:u w:val="single"/>
              </w:rPr>
            </w:pPr>
            <w:hyperlink r:id="rId20" w:history="1">
              <w:r w:rsidRPr="004D46E5" w:rsidR="00B26C7F">
                <w:rPr>
                  <w:color w:val="0000FF"/>
                  <w:szCs w:val="24"/>
                  <w:u w:val="single"/>
                </w:rPr>
                <w:t>gregory.price@puco.ohio.gov</w:t>
              </w:r>
            </w:hyperlink>
          </w:p>
          <w:p w:rsidR="009E76F7" w:rsidRPr="004D46E5" w:rsidP="009E76F7" w14:paraId="6FB73F03" w14:textId="77777777">
            <w:pPr>
              <w:autoSpaceDE w:val="0"/>
              <w:autoSpaceDN w:val="0"/>
              <w:adjustRightInd w:val="0"/>
              <w:spacing w:after="0" w:line="240" w:lineRule="auto"/>
              <w:rPr>
                <w:bCs/>
                <w:szCs w:val="24"/>
              </w:rPr>
            </w:pPr>
          </w:p>
          <w:p w:rsidR="009E76F7" w:rsidRPr="004D46E5" w:rsidP="009E76F7" w14:paraId="63F95A7C" w14:textId="77777777">
            <w:pPr>
              <w:autoSpaceDE w:val="0"/>
              <w:autoSpaceDN w:val="0"/>
              <w:adjustRightInd w:val="0"/>
              <w:spacing w:after="0" w:line="240" w:lineRule="auto"/>
              <w:rPr>
                <w:bCs/>
                <w:szCs w:val="24"/>
              </w:rPr>
            </w:pPr>
          </w:p>
          <w:bookmarkEnd w:id="27"/>
          <w:p w:rsidR="009E76F7" w:rsidRPr="004D46E5" w:rsidP="009E76F7" w14:paraId="701145BF" w14:textId="77777777">
            <w:pPr>
              <w:autoSpaceDE w:val="0"/>
              <w:autoSpaceDN w:val="0"/>
              <w:adjustRightInd w:val="0"/>
              <w:spacing w:after="0" w:line="240" w:lineRule="auto"/>
              <w:rPr>
                <w:bCs/>
                <w:szCs w:val="24"/>
              </w:rPr>
            </w:pPr>
          </w:p>
        </w:tc>
        <w:tc>
          <w:tcPr>
            <w:tcW w:w="4318" w:type="dxa"/>
            <w:shd w:val="clear" w:color="auto" w:fill="auto"/>
          </w:tcPr>
          <w:p w:rsidR="009E76F7" w:rsidRPr="004D46E5" w:rsidP="009E76F7" w14:paraId="61ADB682" w14:textId="77777777">
            <w:pPr>
              <w:tabs>
                <w:tab w:val="left" w:pos="-720"/>
              </w:tabs>
              <w:suppressAutoHyphens/>
              <w:spacing w:after="0" w:line="240" w:lineRule="auto"/>
              <w:jc w:val="both"/>
              <w:rPr>
                <w:bCs/>
                <w:szCs w:val="24"/>
              </w:rPr>
            </w:pPr>
            <w:hyperlink r:id="rId21" w:history="1">
              <w:r w:rsidRPr="004D46E5" w:rsidR="00B26C7F">
                <w:rPr>
                  <w:bCs/>
                  <w:color w:val="0000FF"/>
                  <w:szCs w:val="24"/>
                  <w:u w:val="single"/>
                </w:rPr>
                <w:t>mkurtz@bkllawfirm.com</w:t>
              </w:r>
            </w:hyperlink>
          </w:p>
          <w:p w:rsidR="009E76F7" w:rsidRPr="004D46E5" w:rsidP="009E76F7" w14:paraId="603F7875" w14:textId="77777777">
            <w:pPr>
              <w:tabs>
                <w:tab w:val="left" w:pos="-720"/>
              </w:tabs>
              <w:suppressAutoHyphens/>
              <w:spacing w:after="0" w:line="240" w:lineRule="auto"/>
              <w:jc w:val="both"/>
              <w:rPr>
                <w:bCs/>
                <w:szCs w:val="24"/>
              </w:rPr>
            </w:pPr>
            <w:hyperlink r:id="rId22" w:history="1">
              <w:r w:rsidRPr="004D46E5" w:rsidR="00B26C7F">
                <w:rPr>
                  <w:bCs/>
                  <w:color w:val="0000FF"/>
                  <w:szCs w:val="24"/>
                  <w:u w:val="single"/>
                </w:rPr>
                <w:t>kboehm@bkllawfirm.com</w:t>
              </w:r>
            </w:hyperlink>
          </w:p>
          <w:p w:rsidR="009E76F7" w:rsidRPr="004D46E5" w:rsidP="009E76F7" w14:paraId="7DFD1B88" w14:textId="77777777">
            <w:pPr>
              <w:tabs>
                <w:tab w:val="left" w:pos="-720"/>
              </w:tabs>
              <w:suppressAutoHyphens/>
              <w:spacing w:after="0" w:line="240" w:lineRule="auto"/>
              <w:jc w:val="both"/>
              <w:rPr>
                <w:bCs/>
                <w:szCs w:val="24"/>
              </w:rPr>
            </w:pPr>
            <w:hyperlink r:id="rId23" w:history="1">
              <w:r w:rsidRPr="004D46E5" w:rsidR="00B26C7F">
                <w:rPr>
                  <w:bCs/>
                  <w:color w:val="0000FF"/>
                  <w:szCs w:val="24"/>
                  <w:u w:val="single"/>
                </w:rPr>
                <w:t>jkylercohn@bkllawfirm.com</w:t>
              </w:r>
            </w:hyperlink>
          </w:p>
          <w:p w:rsidR="009E76F7" w:rsidRPr="004D46E5" w:rsidP="009E76F7" w14:paraId="72163A59" w14:textId="77777777">
            <w:pPr>
              <w:tabs>
                <w:tab w:val="left" w:pos="-720"/>
              </w:tabs>
              <w:suppressAutoHyphens/>
              <w:spacing w:after="0" w:line="240" w:lineRule="auto"/>
              <w:jc w:val="both"/>
              <w:rPr>
                <w:bCs/>
                <w:szCs w:val="24"/>
              </w:rPr>
            </w:pPr>
            <w:hyperlink r:id="rId24" w:history="1">
              <w:r w:rsidRPr="004D46E5" w:rsidR="00B26C7F">
                <w:rPr>
                  <w:bCs/>
                  <w:color w:val="0000FF"/>
                  <w:szCs w:val="24"/>
                  <w:u w:val="single"/>
                </w:rPr>
                <w:t>josephclark@nisource.com</w:t>
              </w:r>
            </w:hyperlink>
          </w:p>
          <w:p w:rsidR="009E76F7" w:rsidRPr="004D46E5" w:rsidP="009E76F7" w14:paraId="59C9519B" w14:textId="77777777">
            <w:pPr>
              <w:tabs>
                <w:tab w:val="left" w:pos="-720"/>
              </w:tabs>
              <w:suppressAutoHyphens/>
              <w:spacing w:after="0" w:line="240" w:lineRule="auto"/>
              <w:jc w:val="both"/>
              <w:rPr>
                <w:bCs/>
                <w:szCs w:val="24"/>
              </w:rPr>
            </w:pPr>
            <w:hyperlink r:id="rId25" w:history="1">
              <w:r w:rsidRPr="004D46E5" w:rsidR="00B26C7F">
                <w:rPr>
                  <w:bCs/>
                  <w:color w:val="0000FF"/>
                  <w:szCs w:val="24"/>
                  <w:u w:val="single"/>
                </w:rPr>
                <w:t>mlthompson@nisource.com</w:t>
              </w:r>
            </w:hyperlink>
          </w:p>
          <w:p w:rsidR="009E76F7" w:rsidRPr="004D46E5" w:rsidP="009E76F7" w14:paraId="1B4C8918" w14:textId="77777777">
            <w:pPr>
              <w:tabs>
                <w:tab w:val="left" w:pos="-720"/>
              </w:tabs>
              <w:suppressAutoHyphens/>
              <w:spacing w:after="0" w:line="240" w:lineRule="auto"/>
              <w:jc w:val="both"/>
              <w:rPr>
                <w:bCs/>
                <w:szCs w:val="24"/>
              </w:rPr>
            </w:pPr>
            <w:hyperlink r:id="rId26" w:history="1">
              <w:r w:rsidRPr="004D46E5" w:rsidR="00B26C7F">
                <w:rPr>
                  <w:bCs/>
                  <w:color w:val="0000FF"/>
                  <w:szCs w:val="24"/>
                  <w:u w:val="single"/>
                </w:rPr>
                <w:t>johnryan@nisource.com</w:t>
              </w:r>
            </w:hyperlink>
          </w:p>
          <w:p w:rsidR="009E76F7" w:rsidRPr="004D46E5" w:rsidP="009E76F7" w14:paraId="623412C4" w14:textId="77777777">
            <w:pPr>
              <w:tabs>
                <w:tab w:val="left" w:pos="-720"/>
              </w:tabs>
              <w:suppressAutoHyphens/>
              <w:spacing w:after="0" w:line="240" w:lineRule="auto"/>
              <w:jc w:val="both"/>
              <w:rPr>
                <w:bCs/>
                <w:szCs w:val="24"/>
              </w:rPr>
            </w:pPr>
            <w:hyperlink r:id="rId27" w:history="1">
              <w:r w:rsidRPr="004D46E5" w:rsidR="00B26C7F">
                <w:rPr>
                  <w:bCs/>
                  <w:color w:val="0000FF"/>
                  <w:szCs w:val="24"/>
                  <w:u w:val="single"/>
                </w:rPr>
                <w:t>egallon@porterwright.com</w:t>
              </w:r>
            </w:hyperlink>
          </w:p>
          <w:p w:rsidR="009E76F7" w:rsidRPr="004D46E5" w:rsidP="009E76F7" w14:paraId="02C0DA20" w14:textId="77777777">
            <w:pPr>
              <w:tabs>
                <w:tab w:val="left" w:pos="-720"/>
              </w:tabs>
              <w:suppressAutoHyphens/>
              <w:spacing w:after="0" w:line="240" w:lineRule="auto"/>
              <w:jc w:val="both"/>
              <w:rPr>
                <w:bCs/>
                <w:szCs w:val="24"/>
              </w:rPr>
            </w:pPr>
            <w:hyperlink r:id="rId28" w:history="1">
              <w:r w:rsidRPr="004D46E5" w:rsidR="00B26C7F">
                <w:rPr>
                  <w:bCs/>
                  <w:color w:val="0000FF"/>
                  <w:szCs w:val="24"/>
                  <w:u w:val="single"/>
                </w:rPr>
                <w:t>mstemm@porterwright.com</w:t>
              </w:r>
            </w:hyperlink>
          </w:p>
          <w:p w:rsidR="009E76F7" w:rsidRPr="004D46E5" w:rsidP="009E76F7" w14:paraId="3B7CA6D6" w14:textId="77777777">
            <w:pPr>
              <w:tabs>
                <w:tab w:val="left" w:pos="-720"/>
              </w:tabs>
              <w:suppressAutoHyphens/>
              <w:spacing w:after="0" w:line="240" w:lineRule="auto"/>
              <w:jc w:val="both"/>
              <w:rPr>
                <w:bCs/>
                <w:szCs w:val="24"/>
              </w:rPr>
            </w:pPr>
            <w:hyperlink r:id="rId29" w:history="1">
              <w:r w:rsidRPr="004D46E5" w:rsidR="00B26C7F">
                <w:rPr>
                  <w:bCs/>
                  <w:color w:val="0000FF"/>
                  <w:szCs w:val="24"/>
                  <w:u w:val="single"/>
                </w:rPr>
                <w:t>bhughes@porterwright.com</w:t>
              </w:r>
            </w:hyperlink>
          </w:p>
          <w:p w:rsidR="009E76F7" w:rsidRPr="004D46E5" w:rsidP="009E76F7" w14:paraId="381935D7" w14:textId="77777777">
            <w:pPr>
              <w:tabs>
                <w:tab w:val="left" w:pos="-720"/>
              </w:tabs>
              <w:suppressAutoHyphens/>
              <w:spacing w:after="0" w:line="240" w:lineRule="auto"/>
              <w:jc w:val="both"/>
              <w:rPr>
                <w:bCs/>
                <w:color w:val="0000FF"/>
                <w:szCs w:val="24"/>
                <w:u w:val="single"/>
              </w:rPr>
            </w:pPr>
            <w:hyperlink r:id="rId30" w:history="1">
              <w:r w:rsidRPr="004D46E5" w:rsidR="00B26C7F">
                <w:rPr>
                  <w:bCs/>
                  <w:color w:val="0000FF"/>
                  <w:szCs w:val="24"/>
                  <w:u w:val="single"/>
                </w:rPr>
                <w:t>dflahive@porterwright.com</w:t>
              </w:r>
            </w:hyperlink>
          </w:p>
          <w:p w:rsidR="009E76F7" w:rsidRPr="004D46E5" w:rsidP="009E76F7" w14:paraId="3A333845" w14:textId="77777777">
            <w:pPr>
              <w:tabs>
                <w:tab w:val="left" w:pos="-720"/>
              </w:tabs>
              <w:suppressAutoHyphens/>
              <w:spacing w:after="0" w:line="240" w:lineRule="auto"/>
              <w:jc w:val="both"/>
              <w:rPr>
                <w:bCs/>
                <w:szCs w:val="24"/>
              </w:rPr>
            </w:pPr>
            <w:hyperlink r:id="rId31" w:history="1">
              <w:r w:rsidRPr="004D46E5" w:rsidR="00B26C7F">
                <w:rPr>
                  <w:bCs/>
                  <w:color w:val="0000FF"/>
                  <w:szCs w:val="24"/>
                  <w:u w:val="single"/>
                </w:rPr>
                <w:t>dparram@bricker.com</w:t>
              </w:r>
            </w:hyperlink>
          </w:p>
          <w:p w:rsidR="009E76F7" w:rsidRPr="004D46E5" w:rsidP="009E76F7" w14:paraId="5A028DA0" w14:textId="77777777">
            <w:pPr>
              <w:tabs>
                <w:tab w:val="left" w:pos="-720"/>
              </w:tabs>
              <w:suppressAutoHyphens/>
              <w:spacing w:after="0" w:line="240" w:lineRule="auto"/>
              <w:jc w:val="both"/>
              <w:rPr>
                <w:bCs/>
                <w:szCs w:val="24"/>
              </w:rPr>
            </w:pPr>
            <w:hyperlink r:id="rId32" w:history="1">
              <w:r w:rsidRPr="004D46E5" w:rsidR="00B26C7F">
                <w:rPr>
                  <w:bCs/>
                  <w:color w:val="0000FF"/>
                  <w:szCs w:val="24"/>
                  <w:u w:val="single"/>
                </w:rPr>
                <w:t>gkrassen@nopec.org</w:t>
              </w:r>
            </w:hyperlink>
          </w:p>
          <w:p w:rsidR="009E76F7" w:rsidRPr="004D46E5" w:rsidP="009E76F7" w14:paraId="2F0015CF" w14:textId="77777777">
            <w:pPr>
              <w:tabs>
                <w:tab w:val="left" w:pos="-720"/>
              </w:tabs>
              <w:suppressAutoHyphens/>
              <w:spacing w:after="0" w:line="240" w:lineRule="auto"/>
              <w:jc w:val="both"/>
              <w:rPr>
                <w:bCs/>
                <w:color w:val="0000FF"/>
                <w:szCs w:val="24"/>
                <w:u w:val="single"/>
              </w:rPr>
            </w:pPr>
            <w:hyperlink r:id="rId33" w:history="1">
              <w:r w:rsidRPr="004D46E5" w:rsidR="00B26C7F">
                <w:rPr>
                  <w:bCs/>
                  <w:color w:val="0000FF"/>
                  <w:szCs w:val="24"/>
                  <w:u w:val="single"/>
                </w:rPr>
                <w:t>dstinson@bricker.com</w:t>
              </w:r>
            </w:hyperlink>
          </w:p>
          <w:p w:rsidR="009E76F7" w:rsidRPr="004D46E5" w:rsidP="009E76F7" w14:paraId="31516225" w14:textId="77777777">
            <w:pPr>
              <w:tabs>
                <w:tab w:val="left" w:pos="-720"/>
              </w:tabs>
              <w:suppressAutoHyphens/>
              <w:spacing w:after="0" w:line="240" w:lineRule="auto"/>
              <w:jc w:val="both"/>
              <w:rPr>
                <w:bCs/>
                <w:szCs w:val="24"/>
              </w:rPr>
            </w:pPr>
            <w:r w:rsidRPr="004D46E5">
              <w:rPr>
                <w:bCs/>
                <w:color w:val="0000FF"/>
                <w:szCs w:val="24"/>
                <w:u w:val="single"/>
              </w:rPr>
              <w:t>rmains@bricker.com</w:t>
            </w:r>
          </w:p>
          <w:p w:rsidR="009E76F7" w:rsidRPr="004D46E5" w:rsidP="009E76F7" w14:paraId="1A2EE4E9" w14:textId="77777777">
            <w:pPr>
              <w:tabs>
                <w:tab w:val="left" w:pos="-720"/>
              </w:tabs>
              <w:suppressAutoHyphens/>
              <w:spacing w:after="0" w:line="240" w:lineRule="auto"/>
              <w:jc w:val="both"/>
              <w:rPr>
                <w:bCs/>
                <w:szCs w:val="24"/>
              </w:rPr>
            </w:pPr>
            <w:hyperlink r:id="rId32" w:history="1">
              <w:r w:rsidRPr="004D46E5" w:rsidR="00B26C7F">
                <w:rPr>
                  <w:rStyle w:val="Hyperlink"/>
                  <w:bCs/>
                  <w:szCs w:val="24"/>
                </w:rPr>
                <w:t>gkrassen@nopec.org</w:t>
              </w:r>
            </w:hyperlink>
          </w:p>
          <w:p w:rsidR="009E76F7" w:rsidRPr="004D46E5" w:rsidP="009E76F7" w14:paraId="14106C5B" w14:textId="77777777">
            <w:pPr>
              <w:tabs>
                <w:tab w:val="left" w:pos="-720"/>
              </w:tabs>
              <w:suppressAutoHyphens/>
              <w:spacing w:after="0" w:line="240" w:lineRule="auto"/>
              <w:jc w:val="both"/>
              <w:rPr>
                <w:bCs/>
                <w:color w:val="0000FF"/>
                <w:szCs w:val="24"/>
                <w:u w:val="single"/>
              </w:rPr>
            </w:pPr>
            <w:hyperlink r:id="rId34" w:history="1">
              <w:r w:rsidRPr="004D46E5" w:rsidR="00B26C7F">
                <w:rPr>
                  <w:bCs/>
                  <w:color w:val="0000FF"/>
                  <w:szCs w:val="24"/>
                  <w:u w:val="single"/>
                </w:rPr>
                <w:t>bojko@carpenterlipps.com</w:t>
              </w:r>
            </w:hyperlink>
          </w:p>
          <w:p w:rsidR="009E76F7" w:rsidP="009E76F7" w14:paraId="55198AE4" w14:textId="1EE33F20">
            <w:pPr>
              <w:tabs>
                <w:tab w:val="left" w:pos="-720"/>
              </w:tabs>
              <w:suppressAutoHyphens/>
              <w:spacing w:after="0" w:line="240" w:lineRule="auto"/>
              <w:jc w:val="both"/>
              <w:rPr>
                <w:rStyle w:val="Hyperlink"/>
                <w:bCs/>
                <w:szCs w:val="24"/>
              </w:rPr>
            </w:pPr>
            <w:hyperlink r:id="rId35" w:history="1">
              <w:r w:rsidRPr="004D46E5" w:rsidR="00B26C7F">
                <w:rPr>
                  <w:rStyle w:val="Hyperlink"/>
                  <w:bCs/>
                  <w:szCs w:val="24"/>
                </w:rPr>
                <w:t>paul@carpenterlipps.com</w:t>
              </w:r>
            </w:hyperlink>
          </w:p>
          <w:p w:rsidR="00616EF9" w:rsidRPr="004D46E5" w:rsidP="009E76F7" w14:paraId="0EF97F7A" w14:textId="64F2B4D3">
            <w:pPr>
              <w:tabs>
                <w:tab w:val="left" w:pos="-720"/>
              </w:tabs>
              <w:suppressAutoHyphens/>
              <w:spacing w:after="0" w:line="240" w:lineRule="auto"/>
              <w:jc w:val="both"/>
              <w:rPr>
                <w:bCs/>
                <w:szCs w:val="24"/>
              </w:rPr>
            </w:pPr>
            <w:r>
              <w:rPr>
                <w:rStyle w:val="Hyperlink"/>
                <w:bCs/>
              </w:rPr>
              <w:t>wilcox@carpenterlipps.com</w:t>
            </w:r>
          </w:p>
          <w:p w:rsidR="009E76F7" w:rsidRPr="004D46E5" w:rsidP="009E76F7" w14:paraId="4FF230A2" w14:textId="77777777">
            <w:pPr>
              <w:tabs>
                <w:tab w:val="left" w:pos="-720"/>
              </w:tabs>
              <w:suppressAutoHyphens/>
              <w:spacing w:after="0" w:line="240" w:lineRule="auto"/>
              <w:jc w:val="both"/>
              <w:rPr>
                <w:bCs/>
                <w:szCs w:val="24"/>
              </w:rPr>
            </w:pPr>
            <w:hyperlink r:id="rId36" w:history="1">
              <w:r w:rsidRPr="004D46E5" w:rsidR="00B26C7F">
                <w:rPr>
                  <w:bCs/>
                  <w:color w:val="0000FF"/>
                  <w:szCs w:val="24"/>
                  <w:u w:val="single"/>
                </w:rPr>
                <w:t>wygonski@carpenterlipps.com</w:t>
              </w:r>
            </w:hyperlink>
          </w:p>
          <w:p w:rsidR="009E76F7" w:rsidRPr="004D46E5" w:rsidP="009E76F7" w14:paraId="19408E98" w14:textId="77777777">
            <w:pPr>
              <w:tabs>
                <w:tab w:val="left" w:pos="-720"/>
              </w:tabs>
              <w:suppressAutoHyphens/>
              <w:spacing w:after="0" w:line="240" w:lineRule="auto"/>
              <w:jc w:val="both"/>
              <w:rPr>
                <w:bCs/>
                <w:szCs w:val="24"/>
              </w:rPr>
            </w:pPr>
            <w:hyperlink r:id="rId37" w:history="1">
              <w:r w:rsidRPr="004D46E5" w:rsidR="00B26C7F">
                <w:rPr>
                  <w:rStyle w:val="Hyperlink"/>
                  <w:bCs/>
                  <w:szCs w:val="24"/>
                </w:rPr>
                <w:t>trent@hubaydougherty.com</w:t>
              </w:r>
            </w:hyperlink>
          </w:p>
          <w:p w:rsidR="009E76F7" w:rsidRPr="004D46E5" w:rsidP="009E76F7" w14:paraId="5CAB2B98" w14:textId="77777777">
            <w:pPr>
              <w:tabs>
                <w:tab w:val="left" w:pos="-720"/>
              </w:tabs>
              <w:suppressAutoHyphens/>
              <w:spacing w:after="0" w:line="240" w:lineRule="auto"/>
              <w:jc w:val="both"/>
              <w:rPr>
                <w:bCs/>
                <w:szCs w:val="24"/>
              </w:rPr>
            </w:pPr>
          </w:p>
        </w:tc>
      </w:tr>
    </w:tbl>
    <w:p w:rsidR="002938B2" w:rsidRPr="00260A3F" w:rsidP="002938B2" w14:paraId="263D0229" w14:textId="77777777">
      <w:pPr>
        <w:jc w:val="center"/>
        <w:rPr>
          <w:rFonts w:cs="Times New Roman"/>
          <w:b/>
          <w:szCs w:val="24"/>
        </w:rPr>
      </w:pPr>
    </w:p>
    <w:sectPr w:rsidSect="002938B2">
      <w:footerReference w:type="default" r:id="rId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52416309"/>
      <w:docPartObj>
        <w:docPartGallery w:val="Page Numbers (Bottom of Page)"/>
        <w:docPartUnique/>
      </w:docPartObj>
    </w:sdtPr>
    <w:sdtEndPr>
      <w:rPr>
        <w:noProof/>
      </w:rPr>
    </w:sdtEndPr>
    <w:sdtContent>
      <w:p w:rsidR="00746981" w14:paraId="3AD92CD1" w14:textId="34158FE1">
        <w:pPr>
          <w:pStyle w:val="Footer"/>
          <w:jc w:val="center"/>
        </w:pPr>
      </w:p>
    </w:sdtContent>
  </w:sdt>
  <w:p w:rsidR="00746981" w14:paraId="1308C06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88317168"/>
      <w:docPartObj>
        <w:docPartGallery w:val="Page Numbers (Bottom of Page)"/>
        <w:docPartUnique/>
      </w:docPartObj>
    </w:sdtPr>
    <w:sdtEndPr>
      <w:rPr>
        <w:noProof/>
      </w:rPr>
    </w:sdtEndPr>
    <w:sdtContent>
      <w:p w:rsidR="00746981" w14:paraId="04FCAE31"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4973310"/>
      <w:docPartObj>
        <w:docPartGallery w:val="Page Numbers (Bottom of Page)"/>
        <w:docPartUnique/>
      </w:docPartObj>
    </w:sdtPr>
    <w:sdtEndPr>
      <w:rPr>
        <w:noProof/>
      </w:rPr>
    </w:sdtEndPr>
    <w:sdtContent>
      <w:p w:rsidR="00531C18" w14:paraId="767E0483" w14:textId="17DE4D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1364418"/>
      <w:docPartObj>
        <w:docPartGallery w:val="Page Numbers (Bottom of Page)"/>
        <w:docPartUnique/>
      </w:docPartObj>
    </w:sdtPr>
    <w:sdtEndPr>
      <w:rPr>
        <w:noProof/>
      </w:rPr>
    </w:sdtEndPr>
    <w:sdtContent>
      <w:p w:rsidR="002938B2" w14:paraId="56B023F2" w14:textId="7C49AF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4579B" w:rsidP="009B419A" w14:paraId="209BAEB9" w14:textId="77777777">
      <w:pPr>
        <w:spacing w:after="0" w:line="240" w:lineRule="auto"/>
      </w:pPr>
      <w:r>
        <w:separator/>
      </w:r>
    </w:p>
  </w:footnote>
  <w:footnote w:type="continuationSeparator" w:id="1">
    <w:p w:rsidR="0024579B" w:rsidP="009B419A" w14:paraId="55C37768" w14:textId="77777777">
      <w:pPr>
        <w:spacing w:after="0" w:line="240" w:lineRule="auto"/>
      </w:pPr>
      <w:r>
        <w:continuationSeparator/>
      </w:r>
    </w:p>
  </w:footnote>
  <w:footnote w:id="2">
    <w:p w:rsidR="00FD4318" w:rsidRPr="00DF17C4" w:rsidP="00DF17C4" w14:paraId="5AB0FBF4" w14:textId="642399F6">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Joint Ex. 1</w:t>
      </w:r>
      <w:r w:rsidRPr="00DF17C4" w:rsidR="00D2760B">
        <w:rPr>
          <w:rFonts w:ascii="Times New Roman" w:hAnsi="Times New Roman" w:cs="Times New Roman"/>
        </w:rPr>
        <w:t xml:space="preserve"> (Settlement)</w:t>
      </w:r>
      <w:r w:rsidRPr="00DF17C4">
        <w:rPr>
          <w:rFonts w:ascii="Times New Roman" w:hAnsi="Times New Roman" w:cs="Times New Roman"/>
        </w:rPr>
        <w:t>.</w:t>
      </w:r>
    </w:p>
  </w:footnote>
  <w:footnote w:id="3">
    <w:p w:rsidR="00C633DB" w:rsidRPr="00DF17C4" w:rsidP="00DF17C4" w14:paraId="4AEB9266" w14:textId="77777777">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Joint Ex. 1 (Settlement) at 1-2.</w:t>
      </w:r>
    </w:p>
  </w:footnote>
  <w:footnote w:id="4">
    <w:p w:rsidR="00C633DB" w:rsidRPr="00DF17C4" w:rsidP="00DF17C4" w14:paraId="4A5C30F1" w14:textId="77777777">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p>
  </w:footnote>
  <w:footnote w:id="5">
    <w:p w:rsidR="00D53190" w:rsidRPr="00DF17C4" w:rsidP="00DF17C4" w14:paraId="5E767988" w14:textId="2177F590">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Industrial Energy Users – Ohio (“IEU”), the Ohio Manufacturers’ Association Energy Group (“OMAEG”), and the Kroger Co. (“Kroger”).</w:t>
      </w:r>
    </w:p>
  </w:footnote>
  <w:footnote w:id="6">
    <w:p w:rsidR="00D445F7" w:rsidRPr="00DF17C4" w:rsidP="00DF17C4" w14:paraId="30201ADD" w14:textId="249B6998">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Interstate Gas Supply, Inc. (“IGS”) and the Retail Energy Supply Association (“RESA”)</w:t>
      </w:r>
      <w:r w:rsidRPr="00DF17C4" w:rsidR="00FD4AC2">
        <w:rPr>
          <w:rFonts w:ascii="Times New Roman" w:hAnsi="Times New Roman" w:cs="Times New Roman"/>
        </w:rPr>
        <w:t xml:space="preserve">. </w:t>
      </w:r>
    </w:p>
  </w:footnote>
  <w:footnote w:id="7">
    <w:p w:rsidR="00740526" w:rsidRPr="00DF17C4" w:rsidP="00DF17C4" w14:paraId="639C938A" w14:textId="1AECC5DA">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OCC Ex. 1 (Adkins Supplemental) at 6.</w:t>
      </w:r>
    </w:p>
  </w:footnote>
  <w:footnote w:id="8">
    <w:p w:rsidR="00FD4318" w:rsidRPr="00DF17C4" w:rsidP="00DF17C4" w14:paraId="7488DB8F" w14:textId="278A661D">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A211F8">
        <w:rPr>
          <w:rFonts w:ascii="Times New Roman" w:hAnsi="Times New Roman" w:cs="Times New Roman"/>
          <w:i/>
          <w:iCs/>
        </w:rPr>
        <w:t>Id.</w:t>
      </w:r>
    </w:p>
  </w:footnote>
  <w:footnote w:id="9">
    <w:p w:rsidR="00894E08" w:rsidRPr="00DF17C4" w:rsidP="00DF17C4" w14:paraId="765846BC" w14:textId="50D6CE6D">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p>
  </w:footnote>
  <w:footnote w:id="10">
    <w:p w:rsidR="00AB5D56" w:rsidRPr="00DF17C4" w:rsidP="00DF17C4" w14:paraId="13452F01" w14:textId="46451C4E">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 xml:space="preserve">Id. </w:t>
      </w:r>
      <w:r w:rsidRPr="00DF17C4">
        <w:rPr>
          <w:rFonts w:ascii="Times New Roman" w:hAnsi="Times New Roman" w:cs="Times New Roman"/>
        </w:rPr>
        <w:t>at 11.</w:t>
      </w:r>
    </w:p>
  </w:footnote>
  <w:footnote w:id="11">
    <w:p w:rsidR="00F72888" w:rsidRPr="00DF17C4" w:rsidP="00DF17C4" w14:paraId="5143B1EE" w14:textId="77777777">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p>
  </w:footnote>
  <w:footnote w:id="12">
    <w:p w:rsidR="00B70392" w:rsidRPr="00DF17C4" w:rsidP="00DF17C4" w14:paraId="65CA7552" w14:textId="426D7D50">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rPr>
        <w:t>In re Application of the Ottoville Mut. Tel. Co.</w:t>
      </w:r>
      <w:r w:rsidRPr="00DF17C4">
        <w:rPr>
          <w:rFonts w:ascii="Times New Roman" w:hAnsi="Times New Roman" w:cs="Times New Roman"/>
        </w:rPr>
        <w:t xml:space="preserve">, Case No. 73-356-Y, 1973 Ohio PUC LEXIS 3, at *4 (“the applicant must shoulder the burden of proof in every application proceeding before the Commission”); </w:t>
      </w:r>
      <w:r w:rsidRPr="00DF17C4">
        <w:rPr>
          <w:rFonts w:ascii="Times New Roman" w:hAnsi="Times New Roman" w:cs="Times New Roman"/>
          <w:i/>
        </w:rPr>
        <w:t>In re Application of the Ohio Bell Tel. Co.</w:t>
      </w:r>
      <w:r w:rsidRPr="00DF17C4">
        <w:rPr>
          <w:rFonts w:ascii="Times New Roman" w:hAnsi="Times New Roman" w:cs="Times New Roman"/>
        </w:rPr>
        <w:t>, No. 84-1435-TP-AIR, 1985 Ohio PUC LEXIS 7, at *79 (Dec</w:t>
      </w:r>
      <w:r w:rsidR="00523794">
        <w:rPr>
          <w:rFonts w:ascii="Times New Roman" w:hAnsi="Times New Roman" w:cs="Times New Roman"/>
        </w:rPr>
        <w:t>ember</w:t>
      </w:r>
      <w:r w:rsidRPr="00DF17C4">
        <w:rPr>
          <w:rFonts w:ascii="Times New Roman" w:hAnsi="Times New Roman" w:cs="Times New Roman"/>
        </w:rPr>
        <w:t xml:space="preserve"> 10, 1985) (“The applicant has the burden of establishing the reasonableness of its proposals.”).</w:t>
      </w:r>
    </w:p>
  </w:footnote>
  <w:footnote w:id="13">
    <w:p w:rsidR="00B70392" w:rsidRPr="00DF17C4" w:rsidP="00DF17C4" w14:paraId="2303A528" w14:textId="288D92A4">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rPr>
        <w:t>In re Application Seeking Approval of Ohio Power Co.'s Proposal to Enter into an Affiliate Power Purchase Agmt. for Inclusion in the Power Purchase Agmt. Rider</w:t>
      </w:r>
      <w:r w:rsidRPr="00DF17C4">
        <w:rPr>
          <w:rFonts w:ascii="Times New Roman" w:hAnsi="Times New Roman" w:cs="Times New Roman"/>
        </w:rPr>
        <w:t>, Case No. 14-1693-EL-SSO, Opinion &amp; Order at 18 (Mar</w:t>
      </w:r>
      <w:r w:rsidR="00523794">
        <w:rPr>
          <w:rFonts w:ascii="Times New Roman" w:hAnsi="Times New Roman" w:cs="Times New Roman"/>
        </w:rPr>
        <w:t>ch</w:t>
      </w:r>
      <w:r w:rsidRPr="00DF17C4">
        <w:rPr>
          <w:rFonts w:ascii="Times New Roman" w:hAnsi="Times New Roman" w:cs="Times New Roman"/>
        </w:rPr>
        <w:t xml:space="preserve"> 31, 2016).</w:t>
      </w:r>
    </w:p>
  </w:footnote>
  <w:footnote w:id="14">
    <w:p w:rsidR="00B70392" w:rsidRPr="00DF17C4" w:rsidP="00DF17C4" w14:paraId="5DE3A541" w14:textId="1214535B">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rPr>
        <w:t>Duff v. PUCO</w:t>
      </w:r>
      <w:r w:rsidRPr="00DF17C4">
        <w:rPr>
          <w:rFonts w:ascii="Times New Roman" w:hAnsi="Times New Roman" w:cs="Times New Roman"/>
        </w:rPr>
        <w:t>, 56 Ohio St.2d 367, 379 (1978).</w:t>
      </w:r>
    </w:p>
  </w:footnote>
  <w:footnote w:id="15">
    <w:p w:rsidR="00357F68" w:rsidRPr="00DF17C4" w:rsidP="00DF17C4" w14:paraId="6ED55385" w14:textId="39AA015A">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rPr>
        <w:t>Id. See also</w:t>
      </w:r>
      <w:r w:rsidRPr="00DF17C4">
        <w:rPr>
          <w:rFonts w:ascii="Times New Roman" w:hAnsi="Times New Roman" w:cs="Times New Roman"/>
        </w:rPr>
        <w:t xml:space="preserve"> Ohio Adm. Code 4901-1-30(E).</w:t>
      </w:r>
    </w:p>
  </w:footnote>
  <w:footnote w:id="16">
    <w:p w:rsidR="00B70392" w:rsidRPr="00DF17C4" w:rsidP="00DF17C4" w14:paraId="31A66C2A" w14:textId="30CE8CD2">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rPr>
        <w:t>Duff</w:t>
      </w:r>
      <w:r w:rsidRPr="00DF17C4">
        <w:rPr>
          <w:rFonts w:ascii="Times New Roman" w:hAnsi="Times New Roman" w:cs="Times New Roman"/>
        </w:rPr>
        <w:t>, 56 Ohio St.2d at 379.</w:t>
      </w:r>
    </w:p>
  </w:footnote>
  <w:footnote w:id="17">
    <w:p w:rsidR="00B70392" w:rsidRPr="00DF17C4" w:rsidP="00DF17C4" w14:paraId="35DB79E7" w14:textId="7EFD280E">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rPr>
        <w:t>Consumers' Counsel v. Pub. Util. Comm.</w:t>
      </w:r>
      <w:r w:rsidRPr="00DF17C4">
        <w:rPr>
          <w:rFonts w:ascii="Times New Roman" w:hAnsi="Times New Roman" w:cs="Times New Roman"/>
        </w:rPr>
        <w:t>, 64 Ohio St.3d 123, 126 (1992).</w:t>
      </w:r>
    </w:p>
  </w:footnote>
  <w:footnote w:id="18">
    <w:p w:rsidR="00314CCD" w:rsidRPr="00DF17C4" w:rsidP="00DF17C4" w14:paraId="3FE0693C" w14:textId="7725D988">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rPr>
        <w:t>See In re Application of the Dayton Power &amp; Light Co. to Establish a Standard Serv. Offer</w:t>
      </w:r>
      <w:r w:rsidRPr="00DF17C4">
        <w:rPr>
          <w:rFonts w:ascii="Times New Roman" w:hAnsi="Times New Roman" w:cs="Times New Roman"/>
        </w:rPr>
        <w:t>, Case No. 16-395-EL-SSO, Opinion &amp; Order ¶ 21 (Oct</w:t>
      </w:r>
      <w:r w:rsidR="00523794">
        <w:rPr>
          <w:rFonts w:ascii="Times New Roman" w:hAnsi="Times New Roman" w:cs="Times New Roman"/>
        </w:rPr>
        <w:t>ober</w:t>
      </w:r>
      <w:r w:rsidRPr="00DF17C4">
        <w:rPr>
          <w:rFonts w:ascii="Times New Roman" w:hAnsi="Times New Roman" w:cs="Times New Roman"/>
        </w:rPr>
        <w:t xml:space="preserve"> 20, 2017) (“Although diversity of interests among signatory parties is not </w:t>
      </w:r>
      <w:r w:rsidRPr="00DF17C4">
        <w:rPr>
          <w:rFonts w:ascii="Times New Roman" w:hAnsi="Times New Roman" w:cs="Times New Roman"/>
          <w:i/>
        </w:rPr>
        <w:t>necessary</w:t>
      </w:r>
      <w:r w:rsidRPr="00DF17C4">
        <w:rPr>
          <w:rFonts w:ascii="Times New Roman" w:hAnsi="Times New Roman" w:cs="Times New Roman"/>
        </w:rPr>
        <w:t xml:space="preserve"> for any stipulation to meet the first prong, it is </w:t>
      </w:r>
      <w:r w:rsidRPr="00DF17C4">
        <w:rPr>
          <w:rFonts w:ascii="Times New Roman" w:hAnsi="Times New Roman" w:cs="Times New Roman"/>
          <w:i/>
        </w:rPr>
        <w:t>helpful</w:t>
      </w:r>
      <w:r w:rsidRPr="00DF17C4">
        <w:rPr>
          <w:rFonts w:ascii="Times New Roman" w:hAnsi="Times New Roman" w:cs="Times New Roman"/>
        </w:rPr>
        <w:t xml:space="preserve"> if the signatory parties do represent a variety of interests.”) (emphasis in original); </w:t>
      </w:r>
      <w:r w:rsidRPr="00DF17C4">
        <w:rPr>
          <w:rFonts w:ascii="Times New Roman" w:hAnsi="Times New Roman" w:cs="Times New Roman"/>
          <w:i/>
        </w:rPr>
        <w:t>In re Application of [FirstEnergy] for Approval of [its] Energy Efficiency &amp; Peak Demand Reduction Program Portfolio Plans for 2017 through 2019</w:t>
      </w:r>
      <w:r w:rsidRPr="00DF17C4">
        <w:rPr>
          <w:rFonts w:ascii="Times New Roman" w:hAnsi="Times New Roman" w:cs="Times New Roman"/>
        </w:rPr>
        <w:t>, Case No. 16-743-EL-POR, Opinion &amp; Order ¶ 61 (Nov</w:t>
      </w:r>
      <w:r w:rsidR="00523794">
        <w:rPr>
          <w:rFonts w:ascii="Times New Roman" w:hAnsi="Times New Roman" w:cs="Times New Roman"/>
        </w:rPr>
        <w:t>ember</w:t>
      </w:r>
      <w:r w:rsidRPr="00DF17C4">
        <w:rPr>
          <w:rFonts w:ascii="Times New Roman" w:hAnsi="Times New Roman" w:cs="Times New Roman"/>
        </w:rPr>
        <w:t xml:space="preserve"> 21, 2017) (“While the diversity of the signatory parties may be a consideration in determining whether a settlement is a product of serious bargaining among capable, knowledgeable parties under the first prong of the Commission's test, there is no diversity requirement that the residential customers</w:t>
      </w:r>
      <w:r w:rsidRPr="00DF17C4" w:rsidR="00191741">
        <w:rPr>
          <w:rFonts w:ascii="Times New Roman" w:hAnsi="Times New Roman" w:cs="Times New Roman"/>
        </w:rPr>
        <w:t>’</w:t>
      </w:r>
      <w:r w:rsidRPr="00DF17C4">
        <w:rPr>
          <w:rFonts w:ascii="Times New Roman" w:hAnsi="Times New Roman" w:cs="Times New Roman"/>
        </w:rPr>
        <w:t xml:space="preserve"> statutory representative be a signatory party for agreements which may result in increased costs for the residential class.”); </w:t>
      </w:r>
      <w:r w:rsidRPr="00DF17C4">
        <w:rPr>
          <w:rFonts w:ascii="Times New Roman" w:hAnsi="Times New Roman" w:cs="Times New Roman"/>
          <w:i/>
        </w:rPr>
        <w:t>In re Application of Ohio Power Co. to Initiate Phase 2 of its gridsmart Project</w:t>
      </w:r>
      <w:r w:rsidRPr="00DF17C4">
        <w:rPr>
          <w:rFonts w:ascii="Times New Roman" w:hAnsi="Times New Roman" w:cs="Times New Roman"/>
        </w:rPr>
        <w:t>, Case No. 13-1939-EL-RDR, Opinion &amp; Order ¶ 50 (Feb</w:t>
      </w:r>
      <w:r w:rsidR="00523794">
        <w:rPr>
          <w:rFonts w:ascii="Times New Roman" w:hAnsi="Times New Roman" w:cs="Times New Roman"/>
        </w:rPr>
        <w:t>ruary</w:t>
      </w:r>
      <w:r w:rsidRPr="00DF17C4">
        <w:rPr>
          <w:rFonts w:ascii="Times New Roman" w:hAnsi="Times New Roman" w:cs="Times New Roman"/>
        </w:rPr>
        <w:t xml:space="preserve"> 1, 2017) (“In determining whether a settlement is the product of serious bargaining among capable, knowledgeable parties, we consider the extent of negotiations and the diversity of the negotiating parties, but there is no requirement that any particular party be a signatory to satisfy this first prong.”).</w:t>
      </w:r>
    </w:p>
  </w:footnote>
  <w:footnote w:id="19">
    <w:p w:rsidR="006E28E1" w:rsidRPr="00DF17C4" w:rsidP="00DF17C4" w14:paraId="45B56476" w14:textId="77777777">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Joint Ex. 1 (Settlement) at 24-25.</w:t>
      </w:r>
    </w:p>
  </w:footnote>
  <w:footnote w:id="20">
    <w:p w:rsidR="00BB470E" w:rsidRPr="00DF17C4" w:rsidP="00DF17C4" w14:paraId="631F11FB" w14:textId="6C397313">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OCC Ex. 1 (Adkins Supplemental) at 5.</w:t>
      </w:r>
    </w:p>
  </w:footnote>
  <w:footnote w:id="21">
    <w:p w:rsidR="00444919" w:rsidRPr="00DF17C4" w:rsidP="00DF17C4" w14:paraId="7C1CB3AC" w14:textId="74B0CE26">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BB470E">
        <w:rPr>
          <w:rFonts w:ascii="Times New Roman" w:hAnsi="Times New Roman" w:cs="Times New Roman"/>
          <w:i/>
          <w:iCs/>
        </w:rPr>
        <w:t>Id.</w:t>
      </w:r>
    </w:p>
  </w:footnote>
  <w:footnote w:id="22">
    <w:p w:rsidR="0056327C" w:rsidRPr="00DF17C4" w:rsidP="00DF17C4" w14:paraId="46F1D63B" w14:textId="50BD90EB">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p>
  </w:footnote>
  <w:footnote w:id="23">
    <w:p w:rsidR="00BF6E90" w:rsidRPr="00DF17C4" w:rsidP="00DF17C4" w14:paraId="452B927E" w14:textId="669968ED">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p>
  </w:footnote>
  <w:footnote w:id="24">
    <w:p w:rsidR="001C341E" w:rsidRPr="00DF17C4" w:rsidP="00DF17C4" w14:paraId="55795A7A" w14:textId="0F5D8372">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807924">
        <w:rPr>
          <w:rFonts w:ascii="Times New Roman" w:hAnsi="Times New Roman" w:cs="Times New Roman"/>
        </w:rPr>
        <w:t xml:space="preserve">Columbia </w:t>
      </w:r>
      <w:r w:rsidRPr="00DF17C4">
        <w:rPr>
          <w:rFonts w:ascii="Times New Roman" w:hAnsi="Times New Roman" w:cs="Times New Roman"/>
        </w:rPr>
        <w:t xml:space="preserve">Ex. </w:t>
      </w:r>
      <w:r w:rsidRPr="00DF17C4" w:rsidR="00807924">
        <w:rPr>
          <w:rFonts w:ascii="Times New Roman" w:hAnsi="Times New Roman" w:cs="Times New Roman"/>
        </w:rPr>
        <w:t>35</w:t>
      </w:r>
      <w:r w:rsidRPr="00DF17C4">
        <w:rPr>
          <w:rFonts w:ascii="Times New Roman" w:hAnsi="Times New Roman" w:cs="Times New Roman"/>
        </w:rPr>
        <w:t xml:space="preserve"> (</w:t>
      </w:r>
      <w:r w:rsidRPr="00DF17C4" w:rsidR="00807924">
        <w:rPr>
          <w:rFonts w:ascii="Times New Roman" w:hAnsi="Times New Roman" w:cs="Times New Roman"/>
        </w:rPr>
        <w:t>Thompson Supplemental</w:t>
      </w:r>
      <w:r w:rsidRPr="00DF17C4">
        <w:rPr>
          <w:rFonts w:ascii="Times New Roman" w:hAnsi="Times New Roman" w:cs="Times New Roman"/>
        </w:rPr>
        <w:t xml:space="preserve"> Direct</w:t>
      </w:r>
      <w:r w:rsidRPr="00DF17C4" w:rsidR="00807924">
        <w:rPr>
          <w:rFonts w:ascii="Times New Roman" w:hAnsi="Times New Roman" w:cs="Times New Roman"/>
        </w:rPr>
        <w:t xml:space="preserve"> (Oct</w:t>
      </w:r>
      <w:r w:rsidR="00523794">
        <w:rPr>
          <w:rFonts w:ascii="Times New Roman" w:hAnsi="Times New Roman" w:cs="Times New Roman"/>
        </w:rPr>
        <w:t>ober</w:t>
      </w:r>
      <w:r w:rsidRPr="00DF17C4" w:rsidR="00807924">
        <w:rPr>
          <w:rFonts w:ascii="Times New Roman" w:hAnsi="Times New Roman" w:cs="Times New Roman"/>
        </w:rPr>
        <w:t xml:space="preserve"> 31, 2022)</w:t>
      </w:r>
      <w:r w:rsidRPr="00DF17C4" w:rsidR="001C0DE2">
        <w:rPr>
          <w:rFonts w:ascii="Times New Roman" w:hAnsi="Times New Roman" w:cs="Times New Roman"/>
        </w:rPr>
        <w:t>)</w:t>
      </w:r>
      <w:r w:rsidRPr="00DF17C4">
        <w:rPr>
          <w:rFonts w:ascii="Times New Roman" w:hAnsi="Times New Roman" w:cs="Times New Roman"/>
        </w:rPr>
        <w:t xml:space="preserve"> at </w:t>
      </w:r>
      <w:r w:rsidRPr="00DF17C4" w:rsidR="007766A0">
        <w:rPr>
          <w:rFonts w:ascii="Times New Roman" w:hAnsi="Times New Roman" w:cs="Times New Roman"/>
        </w:rPr>
        <w:t>3</w:t>
      </w:r>
      <w:r w:rsidRPr="00DF17C4" w:rsidR="002D0A99">
        <w:rPr>
          <w:rFonts w:ascii="Times New Roman" w:hAnsi="Times New Roman" w:cs="Times New Roman"/>
        </w:rPr>
        <w:t xml:space="preserve">; PUCO Staff Ex. </w:t>
      </w:r>
      <w:r w:rsidRPr="00DF17C4" w:rsidR="007766A0">
        <w:rPr>
          <w:rFonts w:ascii="Times New Roman" w:hAnsi="Times New Roman" w:cs="Times New Roman"/>
        </w:rPr>
        <w:t>8</w:t>
      </w:r>
      <w:r w:rsidRPr="00DF17C4" w:rsidR="002D0A99">
        <w:rPr>
          <w:rFonts w:ascii="Times New Roman" w:hAnsi="Times New Roman" w:cs="Times New Roman"/>
        </w:rPr>
        <w:t xml:space="preserve"> (Lipthratt </w:t>
      </w:r>
      <w:r w:rsidRPr="00DF17C4" w:rsidR="00E75FA0">
        <w:rPr>
          <w:rFonts w:ascii="Times New Roman" w:hAnsi="Times New Roman" w:cs="Times New Roman"/>
        </w:rPr>
        <w:t>Settlement Testimony</w:t>
      </w:r>
      <w:r w:rsidRPr="00DF17C4" w:rsidR="002D0A99">
        <w:rPr>
          <w:rFonts w:ascii="Times New Roman" w:hAnsi="Times New Roman" w:cs="Times New Roman"/>
        </w:rPr>
        <w:t>) at 3</w:t>
      </w:r>
      <w:r w:rsidRPr="00DF17C4">
        <w:rPr>
          <w:rFonts w:ascii="Times New Roman" w:hAnsi="Times New Roman" w:cs="Times New Roman"/>
        </w:rPr>
        <w:t>.</w:t>
      </w:r>
    </w:p>
  </w:footnote>
  <w:footnote w:id="25">
    <w:p w:rsidR="00C6417A" w:rsidRPr="00DF17C4" w:rsidP="00DF17C4" w14:paraId="0D15A6FB" w14:textId="6D95D456">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Tr. Vol. I (Thompson Redirect) at 76. </w:t>
      </w:r>
    </w:p>
  </w:footnote>
  <w:footnote w:id="26">
    <w:p w:rsidR="00C6417A" w:rsidRPr="00DF17C4" w:rsidP="00DF17C4" w14:paraId="1C236B34" w14:textId="258CA509">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p>
  </w:footnote>
  <w:footnote w:id="27">
    <w:p w:rsidR="000D13AF" w:rsidRPr="00DF17C4" w:rsidP="00DF17C4" w14:paraId="637AE5AF" w14:textId="063D8EC1">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PUCO Staff Ex. 8 (Lipthratt Settlement Testimony) at 3.</w:t>
      </w:r>
    </w:p>
  </w:footnote>
  <w:footnote w:id="28">
    <w:p w:rsidR="00FC5CBA" w:rsidRPr="00DF17C4" w:rsidP="00DF17C4" w14:paraId="31E69B01" w14:textId="77777777">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Tr. Vol. I (Bullock Cross) at 1-6; Tr. Vol. I (Peoples Cross) at 115-16; and Tr. Vol. I (Sarver Cross) at 127:3-6. </w:t>
      </w:r>
    </w:p>
  </w:footnote>
  <w:footnote w:id="29">
    <w:p w:rsidR="00FC5CBA" w:rsidRPr="00DF17C4" w:rsidP="00DF17C4" w14:paraId="071C2FBE" w14:textId="13A923B9">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ELPC Ex. 1 (R</w:t>
      </w:r>
      <w:r w:rsidRPr="00DF17C4" w:rsidR="00A84C6A">
        <w:rPr>
          <w:rFonts w:ascii="Times New Roman" w:hAnsi="Times New Roman" w:cs="Times New Roman"/>
        </w:rPr>
        <w:t>á</w:t>
      </w:r>
      <w:r w:rsidRPr="00DF17C4">
        <w:rPr>
          <w:rFonts w:ascii="Times New Roman" w:hAnsi="Times New Roman" w:cs="Times New Roman"/>
        </w:rPr>
        <w:t>bago Supplemental Direct)</w:t>
      </w:r>
      <w:r w:rsidRPr="00DF17C4" w:rsidR="00A84C6A">
        <w:rPr>
          <w:rFonts w:ascii="Times New Roman" w:hAnsi="Times New Roman" w:cs="Times New Roman"/>
        </w:rPr>
        <w:t xml:space="preserve"> at 8</w:t>
      </w:r>
      <w:r w:rsidRPr="00DF17C4">
        <w:rPr>
          <w:rFonts w:ascii="Times New Roman" w:hAnsi="Times New Roman" w:cs="Times New Roman"/>
        </w:rPr>
        <w:t xml:space="preserve">. </w:t>
      </w:r>
    </w:p>
  </w:footnote>
  <w:footnote w:id="30">
    <w:p w:rsidR="00E213C0" w:rsidRPr="00DF17C4" w:rsidP="00DF17C4" w14:paraId="0DE1EC83" w14:textId="521E3606">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Joint Ex. 1 (Settlement) Appendix A, Schedule A-1.</w:t>
      </w:r>
    </w:p>
  </w:footnote>
  <w:footnote w:id="31">
    <w:p w:rsidR="00CC4ED0" w:rsidRPr="00DF17C4" w:rsidP="00DF17C4" w14:paraId="360EA7DE" w14:textId="2C19A65C">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OCC Ex. 1 (Adkins Supplemental) at 6.</w:t>
      </w:r>
    </w:p>
  </w:footnote>
  <w:footnote w:id="32">
    <w:p w:rsidR="00C147BE" w:rsidRPr="00DF17C4" w:rsidP="00DF17C4" w14:paraId="3742C711" w14:textId="5CACD8FC">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CC4ED0">
        <w:rPr>
          <w:rFonts w:ascii="Times New Roman" w:hAnsi="Times New Roman" w:cs="Times New Roman"/>
          <w:i/>
          <w:iCs/>
        </w:rPr>
        <w:t>Id.</w:t>
      </w:r>
    </w:p>
  </w:footnote>
  <w:footnote w:id="33">
    <w:p w:rsidR="00D81A4D" w:rsidRPr="00DF17C4" w:rsidP="00DF17C4" w14:paraId="676EECF0" w14:textId="36398C8B">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CC4ED0">
        <w:rPr>
          <w:rFonts w:ascii="Times New Roman" w:hAnsi="Times New Roman" w:cs="Times New Roman"/>
          <w:i/>
          <w:iCs/>
        </w:rPr>
        <w:t xml:space="preserve">Id. </w:t>
      </w:r>
    </w:p>
  </w:footnote>
  <w:footnote w:id="34">
    <w:p w:rsidR="00240AD7" w:rsidRPr="00DF17C4" w:rsidP="00DF17C4" w14:paraId="040837F0" w14:textId="45A52536">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D81A4D">
        <w:rPr>
          <w:rFonts w:ascii="Times New Roman" w:hAnsi="Times New Roman" w:cs="Times New Roman"/>
          <w:i/>
          <w:iCs/>
        </w:rPr>
        <w:t>Id.</w:t>
      </w:r>
    </w:p>
  </w:footnote>
  <w:footnote w:id="35">
    <w:p w:rsidR="00240AD7" w:rsidRPr="00DF17C4" w:rsidP="00DF17C4" w14:paraId="4A56A9EF" w14:textId="79DCB550">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sidR="00112614">
        <w:rPr>
          <w:rFonts w:ascii="Times New Roman" w:hAnsi="Times New Roman" w:cs="Times New Roman"/>
        </w:rPr>
        <w:t xml:space="preserve"> </w:t>
      </w:r>
      <w:r w:rsidRPr="00DF17C4" w:rsidR="00112614">
        <w:rPr>
          <w:rFonts w:ascii="Times New Roman" w:hAnsi="Times New Roman" w:cs="Times New Roman"/>
          <w:i/>
          <w:iCs/>
        </w:rPr>
        <w:t>Id.</w:t>
      </w:r>
      <w:r w:rsidRPr="00DF17C4" w:rsidR="00112614">
        <w:rPr>
          <w:rFonts w:ascii="Times New Roman" w:hAnsi="Times New Roman" w:cs="Times New Roman"/>
        </w:rPr>
        <w:t xml:space="preserve"> at 7</w:t>
      </w:r>
      <w:r w:rsidRPr="00DF17C4" w:rsidR="006A7A58">
        <w:rPr>
          <w:rFonts w:ascii="Times New Roman" w:hAnsi="Times New Roman" w:cs="Times New Roman"/>
        </w:rPr>
        <w:t xml:space="preserve">. </w:t>
      </w:r>
    </w:p>
  </w:footnote>
  <w:footnote w:id="36">
    <w:p w:rsidR="002936ED" w:rsidRPr="00DF17C4" w:rsidP="00DF17C4" w14:paraId="46B9A4DD" w14:textId="433A97DC">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i/>
          <w:iCs/>
        </w:rPr>
        <w:t xml:space="preserve"> </w:t>
      </w:r>
      <w:r w:rsidRPr="00DF17C4">
        <w:rPr>
          <w:rFonts w:ascii="Times New Roman" w:hAnsi="Times New Roman" w:cs="Times New Roman"/>
        </w:rPr>
        <w:t xml:space="preserve">PUCO Staff Ex. 1 (Staff Report) at 38. </w:t>
      </w:r>
    </w:p>
  </w:footnote>
  <w:footnote w:id="37">
    <w:p w:rsidR="00A960A1" w:rsidRPr="00DF17C4" w:rsidP="00DF17C4" w14:paraId="1F51C76A" w14:textId="3EF7B919">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A300AD">
        <w:rPr>
          <w:rFonts w:ascii="Times New Roman" w:hAnsi="Times New Roman" w:cs="Times New Roman"/>
        </w:rPr>
        <w:t>Joint Ex. 1 (</w:t>
      </w:r>
      <w:r w:rsidRPr="00DF17C4">
        <w:rPr>
          <w:rFonts w:ascii="Times New Roman" w:hAnsi="Times New Roman" w:cs="Times New Roman"/>
        </w:rPr>
        <w:t>S</w:t>
      </w:r>
      <w:r w:rsidRPr="00DF17C4" w:rsidR="00A300AD">
        <w:rPr>
          <w:rFonts w:ascii="Times New Roman" w:hAnsi="Times New Roman" w:cs="Times New Roman"/>
        </w:rPr>
        <w:t>ettlement)</w:t>
      </w:r>
      <w:r w:rsidRPr="00DF17C4">
        <w:rPr>
          <w:rFonts w:ascii="Times New Roman" w:hAnsi="Times New Roman" w:cs="Times New Roman"/>
        </w:rPr>
        <w:t xml:space="preserve"> Appendix C.</w:t>
      </w:r>
    </w:p>
  </w:footnote>
  <w:footnote w:id="38">
    <w:p w:rsidR="00A960A1" w:rsidRPr="00DF17C4" w:rsidP="00DF17C4" w14:paraId="2274197D" w14:textId="2263012B">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A300AD">
        <w:rPr>
          <w:rFonts w:ascii="Times New Roman" w:hAnsi="Times New Roman" w:cs="Times New Roman"/>
        </w:rPr>
        <w:t>OCC Ex. 1 (Adkins Supplemental) at 7.</w:t>
      </w:r>
    </w:p>
  </w:footnote>
  <w:footnote w:id="39">
    <w:p w:rsidR="00240AD7" w:rsidRPr="00DF17C4" w:rsidP="00DF17C4" w14:paraId="79C2150E" w14:textId="6D44BC8A">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sidR="00A300AD">
        <w:rPr>
          <w:rFonts w:ascii="Times New Roman" w:hAnsi="Times New Roman" w:cs="Times New Roman"/>
        </w:rPr>
        <w:t xml:space="preserve"> </w:t>
      </w:r>
      <w:r w:rsidRPr="00DF17C4" w:rsidR="00A300AD">
        <w:rPr>
          <w:rFonts w:ascii="Times New Roman" w:hAnsi="Times New Roman" w:cs="Times New Roman"/>
          <w:i/>
          <w:iCs/>
        </w:rPr>
        <w:t>Id</w:t>
      </w:r>
      <w:r w:rsidRPr="00DF17C4" w:rsidR="00E60FD4">
        <w:rPr>
          <w:rFonts w:ascii="Times New Roman" w:hAnsi="Times New Roman" w:cs="Times New Roman"/>
        </w:rPr>
        <w:t>.</w:t>
      </w:r>
    </w:p>
  </w:footnote>
  <w:footnote w:id="40">
    <w:p w:rsidR="00A94CE6" w:rsidRPr="00DF17C4" w:rsidP="00DF17C4" w14:paraId="5D90E237" w14:textId="629058B3">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 xml:space="preserve">Id. </w:t>
      </w:r>
      <w:r w:rsidRPr="00DF17C4">
        <w:rPr>
          <w:rFonts w:ascii="Times New Roman" w:hAnsi="Times New Roman" w:cs="Times New Roman"/>
        </w:rPr>
        <w:t>at 8.</w:t>
      </w:r>
    </w:p>
  </w:footnote>
  <w:footnote w:id="41">
    <w:p w:rsidR="00A94CE6" w:rsidRPr="00DF17C4" w:rsidP="00DF17C4" w14:paraId="2D5F03BD" w14:textId="028E31C2">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p>
  </w:footnote>
  <w:footnote w:id="42">
    <w:p w:rsidR="009316EB" w:rsidRPr="00DF17C4" w:rsidP="00DF17C4" w14:paraId="1310A710" w14:textId="5B7592B8">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A94CE6">
        <w:rPr>
          <w:rFonts w:ascii="Times New Roman" w:hAnsi="Times New Roman" w:cs="Times New Roman"/>
        </w:rPr>
        <w:t xml:space="preserve">Joint Ex. 1 (Settlement) </w:t>
      </w:r>
      <w:r w:rsidRPr="00DF17C4">
        <w:rPr>
          <w:rFonts w:ascii="Times New Roman" w:hAnsi="Times New Roman" w:cs="Times New Roman"/>
        </w:rPr>
        <w:t>at 11-14.</w:t>
      </w:r>
    </w:p>
  </w:footnote>
  <w:footnote w:id="43">
    <w:p w:rsidR="00240AD7" w:rsidRPr="00DF17C4" w:rsidP="00DF17C4" w14:paraId="25AEB51F" w14:textId="67A1819D">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626C6A">
        <w:rPr>
          <w:rFonts w:ascii="Times New Roman" w:hAnsi="Times New Roman" w:cs="Times New Roman"/>
        </w:rPr>
        <w:t>OCC Ex. 1 (</w:t>
      </w:r>
      <w:r w:rsidRPr="00DF17C4" w:rsidR="009D3992">
        <w:rPr>
          <w:rFonts w:ascii="Times New Roman" w:hAnsi="Times New Roman" w:cs="Times New Roman"/>
        </w:rPr>
        <w:t>Adkins Supplemental</w:t>
      </w:r>
      <w:r w:rsidRPr="00DF17C4" w:rsidR="00626C6A">
        <w:rPr>
          <w:rFonts w:ascii="Times New Roman" w:hAnsi="Times New Roman" w:cs="Times New Roman"/>
        </w:rPr>
        <w:t xml:space="preserve">) at </w:t>
      </w:r>
      <w:r w:rsidRPr="00DF17C4" w:rsidR="00A11576">
        <w:rPr>
          <w:rFonts w:ascii="Times New Roman" w:hAnsi="Times New Roman" w:cs="Times New Roman"/>
        </w:rPr>
        <w:t>8</w:t>
      </w:r>
      <w:r w:rsidRPr="00DF17C4" w:rsidR="00626C6A">
        <w:rPr>
          <w:rFonts w:ascii="Times New Roman" w:hAnsi="Times New Roman" w:cs="Times New Roman"/>
        </w:rPr>
        <w:t>.</w:t>
      </w:r>
    </w:p>
  </w:footnote>
  <w:footnote w:id="44">
    <w:p w:rsidR="00A11576" w:rsidRPr="00DF17C4" w:rsidP="00DF17C4" w14:paraId="3655A01E" w14:textId="77777777">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Joint Ex. 1 (Settlement) at 15.</w:t>
      </w:r>
    </w:p>
  </w:footnote>
  <w:footnote w:id="45">
    <w:p w:rsidR="00240AD7" w:rsidRPr="00DF17C4" w:rsidP="00DF17C4" w14:paraId="3A6723A1" w14:textId="5DDA7AFA">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sidR="00D040DE">
        <w:rPr>
          <w:rFonts w:ascii="Times New Roman" w:hAnsi="Times New Roman" w:cs="Times New Roman"/>
        </w:rPr>
        <w:t xml:space="preserve"> OCC Ex. 1 (</w:t>
      </w:r>
      <w:r w:rsidRPr="00DF17C4" w:rsidR="00A11576">
        <w:rPr>
          <w:rFonts w:ascii="Times New Roman" w:hAnsi="Times New Roman" w:cs="Times New Roman"/>
        </w:rPr>
        <w:t>Adkins Supplemental</w:t>
      </w:r>
      <w:r w:rsidRPr="00DF17C4" w:rsidR="00D040DE">
        <w:rPr>
          <w:rFonts w:ascii="Times New Roman" w:hAnsi="Times New Roman" w:cs="Times New Roman"/>
        </w:rPr>
        <w:t>) at 8</w:t>
      </w:r>
      <w:r w:rsidRPr="00DF17C4">
        <w:rPr>
          <w:rFonts w:ascii="Times New Roman" w:hAnsi="Times New Roman" w:cs="Times New Roman"/>
        </w:rPr>
        <w:t>.</w:t>
      </w:r>
    </w:p>
  </w:footnote>
  <w:footnote w:id="46">
    <w:p w:rsidR="00A11576" w:rsidRPr="00DF17C4" w:rsidP="00DF17C4" w14:paraId="14A57226" w14:textId="3FEB46C9">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374B2C">
        <w:rPr>
          <w:rFonts w:ascii="Times New Roman" w:hAnsi="Times New Roman" w:cs="Times New Roman"/>
        </w:rPr>
        <w:t>Joint Ex. 1 (Settlement)</w:t>
      </w:r>
      <w:r w:rsidRPr="00DF17C4">
        <w:rPr>
          <w:rFonts w:ascii="Times New Roman" w:hAnsi="Times New Roman" w:cs="Times New Roman"/>
        </w:rPr>
        <w:t xml:space="preserve"> at 17.</w:t>
      </w:r>
    </w:p>
  </w:footnote>
  <w:footnote w:id="47">
    <w:p w:rsidR="00240AD7" w:rsidRPr="00DF17C4" w:rsidP="00DF17C4" w14:paraId="21CEA843" w14:textId="18B8D358">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24025D">
        <w:rPr>
          <w:rFonts w:ascii="Times New Roman" w:hAnsi="Times New Roman" w:cs="Times New Roman"/>
        </w:rPr>
        <w:t>OCC Ex. 1 (</w:t>
      </w:r>
      <w:r w:rsidRPr="00DF17C4" w:rsidR="00374B2C">
        <w:rPr>
          <w:rFonts w:ascii="Times New Roman" w:hAnsi="Times New Roman" w:cs="Times New Roman"/>
        </w:rPr>
        <w:t>Adkins Supplemental</w:t>
      </w:r>
      <w:r w:rsidRPr="00DF17C4" w:rsidR="0024025D">
        <w:rPr>
          <w:rFonts w:ascii="Times New Roman" w:hAnsi="Times New Roman" w:cs="Times New Roman"/>
        </w:rPr>
        <w:t xml:space="preserve">) at </w:t>
      </w:r>
      <w:r w:rsidRPr="00DF17C4" w:rsidR="00374B2C">
        <w:rPr>
          <w:rFonts w:ascii="Times New Roman" w:hAnsi="Times New Roman" w:cs="Times New Roman"/>
        </w:rPr>
        <w:t>9</w:t>
      </w:r>
      <w:r w:rsidRPr="00DF17C4" w:rsidR="00496DD7">
        <w:rPr>
          <w:rFonts w:ascii="Times New Roman" w:hAnsi="Times New Roman" w:cs="Times New Roman"/>
        </w:rPr>
        <w:t>.</w:t>
      </w:r>
    </w:p>
  </w:footnote>
  <w:footnote w:id="48">
    <w:p w:rsidR="00374B2C" w:rsidRPr="00DF17C4" w:rsidP="00DF17C4" w14:paraId="6E3815D8" w14:textId="33B7504C">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p>
  </w:footnote>
  <w:footnote w:id="49">
    <w:p w:rsidR="00374B2C" w:rsidRPr="00DF17C4" w:rsidP="00DF17C4" w14:paraId="30E7E8FE" w14:textId="6307AC02">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Joint Ex. 1 (Settlement) at 8 and 19.</w:t>
      </w:r>
    </w:p>
  </w:footnote>
  <w:footnote w:id="50">
    <w:p w:rsidR="00F136CD" w:rsidRPr="00DF17C4" w:rsidP="00DF17C4" w14:paraId="4C6CBF0E" w14:textId="10ABF9ED">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254BAA">
        <w:rPr>
          <w:rFonts w:ascii="Times New Roman" w:hAnsi="Times New Roman" w:cs="Times New Roman"/>
        </w:rPr>
        <w:t>OCC Ex. 1 (</w:t>
      </w:r>
      <w:r w:rsidRPr="00DF17C4" w:rsidR="00E140C7">
        <w:rPr>
          <w:rFonts w:ascii="Times New Roman" w:hAnsi="Times New Roman" w:cs="Times New Roman"/>
        </w:rPr>
        <w:t>Adkins Supplemental</w:t>
      </w:r>
      <w:r w:rsidRPr="00DF17C4" w:rsidR="00254BAA">
        <w:rPr>
          <w:rFonts w:ascii="Times New Roman" w:hAnsi="Times New Roman" w:cs="Times New Roman"/>
        </w:rPr>
        <w:t xml:space="preserve">) at </w:t>
      </w:r>
      <w:r w:rsidRPr="00DF17C4" w:rsidR="00E140C7">
        <w:rPr>
          <w:rFonts w:ascii="Times New Roman" w:hAnsi="Times New Roman" w:cs="Times New Roman"/>
        </w:rPr>
        <w:t>9</w:t>
      </w:r>
      <w:r w:rsidRPr="00DF17C4" w:rsidR="00254BAA">
        <w:rPr>
          <w:rFonts w:ascii="Times New Roman" w:hAnsi="Times New Roman" w:cs="Times New Roman"/>
        </w:rPr>
        <w:t>.</w:t>
      </w:r>
    </w:p>
  </w:footnote>
  <w:footnote w:id="51">
    <w:p w:rsidR="003437D1" w:rsidRPr="00DF17C4" w:rsidP="00DF17C4" w14:paraId="1016E040" w14:textId="0B7DD392">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5C121B">
        <w:rPr>
          <w:rFonts w:ascii="Times New Roman" w:hAnsi="Times New Roman" w:cs="Times New Roman"/>
        </w:rPr>
        <w:t>Joint Ex. 1 (Settlement)</w:t>
      </w:r>
      <w:r w:rsidRPr="00DF17C4">
        <w:rPr>
          <w:rFonts w:ascii="Times New Roman" w:hAnsi="Times New Roman" w:cs="Times New Roman"/>
        </w:rPr>
        <w:t xml:space="preserve"> at 19.</w:t>
      </w:r>
    </w:p>
  </w:footnote>
  <w:footnote w:id="52">
    <w:p w:rsidR="003437D1" w:rsidRPr="00DF17C4" w:rsidP="00DF17C4" w14:paraId="58A5A255" w14:textId="77777777">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 xml:space="preserve">Id. </w:t>
      </w:r>
    </w:p>
  </w:footnote>
  <w:footnote w:id="53">
    <w:p w:rsidR="001707D9" w:rsidRPr="00DF17C4" w:rsidP="00DF17C4" w14:paraId="1E1CC17E" w14:textId="57FC3175">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 xml:space="preserve">Id. </w:t>
      </w:r>
      <w:r w:rsidRPr="00DF17C4">
        <w:rPr>
          <w:rFonts w:ascii="Times New Roman" w:hAnsi="Times New Roman" w:cs="Times New Roman"/>
        </w:rPr>
        <w:t xml:space="preserve">at 11-12. </w:t>
      </w:r>
    </w:p>
  </w:footnote>
  <w:footnote w:id="54">
    <w:p w:rsidR="00F136CD" w:rsidRPr="00DF17C4" w:rsidP="00DF17C4" w14:paraId="75E614A0" w14:textId="3B645860">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sidR="005213C8">
        <w:rPr>
          <w:rFonts w:ascii="Times New Roman" w:hAnsi="Times New Roman" w:cs="Times New Roman"/>
        </w:rPr>
        <w:t xml:space="preserve"> OCC Ex. 1 (Adkins Supplemental) at 10</w:t>
      </w:r>
      <w:r w:rsidRPr="00DF17C4" w:rsidR="001A12CF">
        <w:rPr>
          <w:rFonts w:ascii="Times New Roman" w:hAnsi="Times New Roman" w:cs="Times New Roman"/>
        </w:rPr>
        <w:t>.</w:t>
      </w:r>
    </w:p>
  </w:footnote>
  <w:footnote w:id="55">
    <w:p w:rsidR="00E76D9E" w:rsidRPr="00DF17C4" w:rsidP="00DF17C4" w14:paraId="6BE55EA7" w14:textId="0EE89347">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Joint Ex. 1 (Settlement) at 20. </w:t>
      </w:r>
    </w:p>
  </w:footnote>
  <w:footnote w:id="56">
    <w:p w:rsidR="00DA040E" w:rsidRPr="00DF17C4" w:rsidP="00DF17C4" w14:paraId="1DE0B358" w14:textId="30B98481">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OCC Ex. 1 (Adkins Supplemental) at 10. </w:t>
      </w:r>
    </w:p>
  </w:footnote>
  <w:footnote w:id="57">
    <w:p w:rsidR="00B1069E" w:rsidRPr="00DF17C4" w:rsidP="00DF17C4" w14:paraId="286E298D" w14:textId="0B5A7A2B">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p>
  </w:footnote>
  <w:footnote w:id="58">
    <w:p w:rsidR="00FD4318" w:rsidRPr="00DF17C4" w:rsidP="00DF17C4" w14:paraId="6145B1CE" w14:textId="4FF86904">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E562C3">
        <w:rPr>
          <w:rFonts w:ascii="Times New Roman" w:hAnsi="Times New Roman" w:cs="Times New Roman"/>
        </w:rPr>
        <w:t>OCC Ex. 1 (</w:t>
      </w:r>
      <w:r w:rsidRPr="00DF17C4" w:rsidR="004A2498">
        <w:rPr>
          <w:rFonts w:ascii="Times New Roman" w:hAnsi="Times New Roman" w:cs="Times New Roman"/>
        </w:rPr>
        <w:t>Adkins Supplemental</w:t>
      </w:r>
      <w:r w:rsidRPr="00DF17C4" w:rsidR="00E562C3">
        <w:rPr>
          <w:rFonts w:ascii="Times New Roman" w:hAnsi="Times New Roman" w:cs="Times New Roman"/>
        </w:rPr>
        <w:t>) at 1</w:t>
      </w:r>
      <w:r w:rsidRPr="00DF17C4" w:rsidR="004A2498">
        <w:rPr>
          <w:rFonts w:ascii="Times New Roman" w:hAnsi="Times New Roman" w:cs="Times New Roman"/>
        </w:rPr>
        <w:t>1</w:t>
      </w:r>
      <w:r w:rsidRPr="00DF17C4" w:rsidR="00E562C3">
        <w:rPr>
          <w:rFonts w:ascii="Times New Roman" w:hAnsi="Times New Roman" w:cs="Times New Roman"/>
        </w:rPr>
        <w:t xml:space="preserve">; </w:t>
      </w:r>
      <w:r w:rsidRPr="00DF17C4" w:rsidR="004A2498">
        <w:rPr>
          <w:rFonts w:ascii="Times New Roman" w:hAnsi="Times New Roman" w:cs="Times New Roman"/>
        </w:rPr>
        <w:t>Columbia</w:t>
      </w:r>
      <w:r w:rsidRPr="00DF17C4" w:rsidR="00E562C3">
        <w:rPr>
          <w:rFonts w:ascii="Times New Roman" w:hAnsi="Times New Roman" w:cs="Times New Roman"/>
        </w:rPr>
        <w:t xml:space="preserve"> Ex. </w:t>
      </w:r>
      <w:r w:rsidRPr="00DF17C4" w:rsidR="004A2498">
        <w:rPr>
          <w:rFonts w:ascii="Times New Roman" w:hAnsi="Times New Roman" w:cs="Times New Roman"/>
        </w:rPr>
        <w:t>35</w:t>
      </w:r>
      <w:r w:rsidRPr="00DF17C4" w:rsidR="00E562C3">
        <w:rPr>
          <w:rFonts w:ascii="Times New Roman" w:hAnsi="Times New Roman" w:cs="Times New Roman"/>
        </w:rPr>
        <w:t xml:space="preserve"> (</w:t>
      </w:r>
      <w:r w:rsidRPr="00DF17C4" w:rsidR="004A2498">
        <w:rPr>
          <w:rFonts w:ascii="Times New Roman" w:hAnsi="Times New Roman" w:cs="Times New Roman"/>
        </w:rPr>
        <w:t>Thompson</w:t>
      </w:r>
      <w:r w:rsidRPr="00DF17C4" w:rsidR="00E562C3">
        <w:rPr>
          <w:rFonts w:ascii="Times New Roman" w:hAnsi="Times New Roman" w:cs="Times New Roman"/>
        </w:rPr>
        <w:t xml:space="preserve"> </w:t>
      </w:r>
      <w:r w:rsidRPr="00DF17C4" w:rsidR="004A2498">
        <w:rPr>
          <w:rFonts w:ascii="Times New Roman" w:hAnsi="Times New Roman" w:cs="Times New Roman"/>
        </w:rPr>
        <w:t>Supplemental Direct (Oct</w:t>
      </w:r>
      <w:r w:rsidR="00523794">
        <w:rPr>
          <w:rFonts w:ascii="Times New Roman" w:hAnsi="Times New Roman" w:cs="Times New Roman"/>
        </w:rPr>
        <w:t>ober</w:t>
      </w:r>
      <w:r w:rsidRPr="00DF17C4" w:rsidR="004A2498">
        <w:rPr>
          <w:rFonts w:ascii="Times New Roman" w:hAnsi="Times New Roman" w:cs="Times New Roman"/>
        </w:rPr>
        <w:t xml:space="preserve"> 31, 2022)) at 5;</w:t>
      </w:r>
      <w:r w:rsidRPr="00DF17C4" w:rsidR="00E562C3">
        <w:rPr>
          <w:rFonts w:ascii="Times New Roman" w:hAnsi="Times New Roman" w:cs="Times New Roman"/>
        </w:rPr>
        <w:t xml:space="preserve"> PUCO Staff Ex. </w:t>
      </w:r>
      <w:r w:rsidRPr="00DF17C4" w:rsidR="004A2498">
        <w:rPr>
          <w:rFonts w:ascii="Times New Roman" w:hAnsi="Times New Roman" w:cs="Times New Roman"/>
        </w:rPr>
        <w:t>8</w:t>
      </w:r>
      <w:r w:rsidRPr="00DF17C4" w:rsidR="00E562C3">
        <w:rPr>
          <w:rFonts w:ascii="Times New Roman" w:hAnsi="Times New Roman" w:cs="Times New Roman"/>
        </w:rPr>
        <w:t xml:space="preserve"> (Lipthratt Settlement Testimony) at </w:t>
      </w:r>
      <w:r w:rsidRPr="00DF17C4" w:rsidR="004A2498">
        <w:rPr>
          <w:rFonts w:ascii="Times New Roman" w:hAnsi="Times New Roman" w:cs="Times New Roman"/>
        </w:rPr>
        <w:t>7</w:t>
      </w:r>
      <w:r w:rsidRPr="00DF17C4" w:rsidR="00E562C3">
        <w:rPr>
          <w:rFonts w:ascii="Times New Roman" w:hAnsi="Times New Roman" w:cs="Times New Roman"/>
        </w:rPr>
        <w:t>.</w:t>
      </w:r>
    </w:p>
  </w:footnote>
  <w:footnote w:id="59">
    <w:p w:rsidR="00A23239" w:rsidRPr="00DF17C4" w:rsidP="00DF17C4" w14:paraId="453F249F" w14:textId="07E1AA81">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R.C. 4905.22, </w:t>
      </w:r>
      <w:r w:rsidRPr="00523794">
        <w:rPr>
          <w:rFonts w:ascii="Times New Roman" w:hAnsi="Times New Roman" w:cs="Times New Roman"/>
          <w:i/>
          <w:iCs/>
        </w:rPr>
        <w:t>See</w:t>
      </w:r>
      <w:r w:rsidRPr="00DF17C4">
        <w:rPr>
          <w:rFonts w:ascii="Times New Roman" w:hAnsi="Times New Roman" w:cs="Times New Roman"/>
        </w:rPr>
        <w:t xml:space="preserve"> </w:t>
      </w:r>
      <w:r w:rsidRPr="00523794">
        <w:rPr>
          <w:rFonts w:ascii="Times New Roman" w:hAnsi="Times New Roman" w:cs="Times New Roman"/>
          <w:i/>
          <w:iCs/>
        </w:rPr>
        <w:t>also</w:t>
      </w:r>
      <w:r w:rsidRPr="00DF17C4">
        <w:rPr>
          <w:rFonts w:ascii="Times New Roman" w:hAnsi="Times New Roman" w:cs="Times New Roman"/>
        </w:rPr>
        <w:t xml:space="preserve"> </w:t>
      </w:r>
      <w:r w:rsidRPr="00B26C7F">
        <w:rPr>
          <w:rFonts w:ascii="Times New Roman" w:eastAsia="Times New Roman" w:hAnsi="Times New Roman" w:cs="Times New Roman"/>
          <w:i/>
          <w:iCs/>
          <w:color w:val="000000" w:themeColor="text1"/>
        </w:rPr>
        <w:t>Dayton Power &amp; Light Co. v. Pub. Util. Com.,</w:t>
      </w:r>
      <w:r w:rsidRPr="00DF17C4">
        <w:rPr>
          <w:rFonts w:ascii="Times New Roman" w:eastAsia="Times New Roman" w:hAnsi="Times New Roman" w:cs="Times New Roman"/>
          <w:color w:val="000000" w:themeColor="text1"/>
        </w:rPr>
        <w:t xml:space="preserve"> 4 Ohio St.3d 91, 100, 447 N.E.2d 733, 741 (1983).</w:t>
      </w:r>
    </w:p>
  </w:footnote>
  <w:footnote w:id="60">
    <w:p w:rsidR="0023163A" w:rsidRPr="00DF17C4" w:rsidP="00DF17C4" w14:paraId="6CC5D609" w14:textId="7756C77D">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R.C. 4909.15(A)(2)</w:t>
      </w:r>
      <w:r w:rsidR="00523794">
        <w:rPr>
          <w:rFonts w:ascii="Times New Roman" w:hAnsi="Times New Roman" w:cs="Times New Roman"/>
        </w:rPr>
        <w:t>.</w:t>
      </w:r>
    </w:p>
  </w:footnote>
  <w:footnote w:id="61">
    <w:p w:rsidR="00F576E9" w:rsidRPr="00DF17C4" w:rsidP="00DF17C4" w14:paraId="576621EE" w14:textId="63A5827F">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OCC Ex. 1 (Adkins Supplemental) at 11.</w:t>
      </w:r>
    </w:p>
  </w:footnote>
  <w:footnote w:id="62">
    <w:p w:rsidR="009374D7" w:rsidRPr="00DF17C4" w:rsidP="00DF17C4" w14:paraId="573FBC0A" w14:textId="2DEC3C09">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Id.</w:t>
      </w:r>
      <w:r w:rsidRPr="00DF17C4">
        <w:rPr>
          <w:rFonts w:ascii="Times New Roman" w:hAnsi="Times New Roman" w:cs="Times New Roman"/>
        </w:rPr>
        <w:t xml:space="preserve"> at 7.</w:t>
      </w:r>
    </w:p>
  </w:footnote>
  <w:footnote w:id="63">
    <w:p w:rsidR="00BA5011" w:rsidRPr="00DF17C4" w:rsidP="00DF17C4" w14:paraId="135A216D" w14:textId="7393D2D5">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 xml:space="preserve">Id. </w:t>
      </w:r>
      <w:r w:rsidRPr="00DF17C4">
        <w:rPr>
          <w:rFonts w:ascii="Times New Roman" w:hAnsi="Times New Roman" w:cs="Times New Roman"/>
        </w:rPr>
        <w:t xml:space="preserve">at </w:t>
      </w:r>
      <w:r w:rsidRPr="00DF17C4" w:rsidR="001A6E37">
        <w:rPr>
          <w:rFonts w:ascii="Times New Roman" w:hAnsi="Times New Roman" w:cs="Times New Roman"/>
        </w:rPr>
        <w:t>8</w:t>
      </w:r>
      <w:r w:rsidRPr="00DF17C4">
        <w:rPr>
          <w:rFonts w:ascii="Times New Roman" w:hAnsi="Times New Roman" w:cs="Times New Roman"/>
        </w:rPr>
        <w:t>.</w:t>
      </w:r>
    </w:p>
  </w:footnote>
  <w:footnote w:id="64">
    <w:p w:rsidR="00BA5011" w:rsidRPr="00DF17C4" w:rsidP="00DF17C4" w14:paraId="708D9E77" w14:textId="49D90433">
      <w:pPr>
        <w:pStyle w:val="FootnoteText"/>
        <w:spacing w:after="120"/>
        <w:rPr>
          <w:rFonts w:ascii="Times New Roman" w:hAnsi="Times New Roman" w:cs="Times New Roman"/>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Pr>
          <w:rFonts w:ascii="Times New Roman" w:hAnsi="Times New Roman" w:cs="Times New Roman"/>
          <w:i/>
          <w:iCs/>
        </w:rPr>
        <w:t xml:space="preserve">Id. </w:t>
      </w:r>
      <w:r w:rsidRPr="00DF17C4">
        <w:rPr>
          <w:rFonts w:ascii="Times New Roman" w:hAnsi="Times New Roman" w:cs="Times New Roman"/>
        </w:rPr>
        <w:t>at 9.</w:t>
      </w:r>
    </w:p>
  </w:footnote>
  <w:footnote w:id="65">
    <w:p w:rsidR="00D9288B" w:rsidRPr="00DF17C4" w:rsidP="00DF17C4" w14:paraId="3F98044C" w14:textId="66D74C13">
      <w:pPr>
        <w:pStyle w:val="FootnoteText"/>
        <w:spacing w:after="120"/>
        <w:rPr>
          <w:rFonts w:ascii="Times New Roman" w:hAnsi="Times New Roman" w:cs="Times New Roman"/>
          <w:i/>
          <w:iCs/>
        </w:rPr>
      </w:pPr>
      <w:r w:rsidRPr="00DF17C4">
        <w:rPr>
          <w:rStyle w:val="FootnoteReference"/>
          <w:rFonts w:ascii="Times New Roman" w:hAnsi="Times New Roman" w:cs="Times New Roman"/>
        </w:rPr>
        <w:footnoteRef/>
      </w:r>
      <w:r w:rsidRPr="00DF17C4">
        <w:rPr>
          <w:rFonts w:ascii="Times New Roman" w:hAnsi="Times New Roman" w:cs="Times New Roman"/>
        </w:rPr>
        <w:t xml:space="preserve"> </w:t>
      </w:r>
      <w:r w:rsidRPr="00DF17C4" w:rsidR="00247902">
        <w:rPr>
          <w:rFonts w:ascii="Times New Roman" w:hAnsi="Times New Roman" w:cs="Times New Roman"/>
          <w:i/>
          <w:iCs/>
        </w:rPr>
        <w:t>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6434D23"/>
    <w:multiLevelType w:val="hybridMultilevel"/>
    <w:tmpl w:val="4266BC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531888"/>
    <w:multiLevelType w:val="hybridMultilevel"/>
    <w:tmpl w:val="3E64036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6852F47"/>
    <w:multiLevelType w:val="hybridMultilevel"/>
    <w:tmpl w:val="D868950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CC94FCD"/>
    <w:multiLevelType w:val="hybridMultilevel"/>
    <w:tmpl w:val="49968B80"/>
    <w:lvl w:ilvl="0">
      <w:start w:val="1"/>
      <w:numFmt w:val="bullet"/>
      <w:lvlText w:val=""/>
      <w:lvlJc w:val="left"/>
      <w:pPr>
        <w:ind w:left="1530" w:hanging="360"/>
      </w:pPr>
      <w:rPr>
        <w:rFonts w:ascii="Symbol" w:hAnsi="Symbol" w:hint="default"/>
      </w:rPr>
    </w:lvl>
    <w:lvl w:ilvl="1" w:tentative="1">
      <w:start w:val="1"/>
      <w:numFmt w:val="bullet"/>
      <w:lvlText w:val="o"/>
      <w:lvlJc w:val="left"/>
      <w:pPr>
        <w:ind w:left="2250" w:hanging="360"/>
      </w:pPr>
      <w:rPr>
        <w:rFonts w:ascii="Courier New" w:hAnsi="Courier New" w:cs="Courier New" w:hint="default"/>
      </w:rPr>
    </w:lvl>
    <w:lvl w:ilvl="2" w:tentative="1">
      <w:start w:val="1"/>
      <w:numFmt w:val="bullet"/>
      <w:lvlText w:val=""/>
      <w:lvlJc w:val="left"/>
      <w:pPr>
        <w:ind w:left="2970" w:hanging="360"/>
      </w:pPr>
      <w:rPr>
        <w:rFonts w:ascii="Wingdings" w:hAnsi="Wingdings" w:hint="default"/>
      </w:rPr>
    </w:lvl>
    <w:lvl w:ilvl="3" w:tentative="1">
      <w:start w:val="1"/>
      <w:numFmt w:val="bullet"/>
      <w:lvlText w:val=""/>
      <w:lvlJc w:val="left"/>
      <w:pPr>
        <w:ind w:left="3690" w:hanging="360"/>
      </w:pPr>
      <w:rPr>
        <w:rFonts w:ascii="Symbol" w:hAnsi="Symbol" w:hint="default"/>
      </w:rPr>
    </w:lvl>
    <w:lvl w:ilvl="4" w:tentative="1">
      <w:start w:val="1"/>
      <w:numFmt w:val="bullet"/>
      <w:lvlText w:val="o"/>
      <w:lvlJc w:val="left"/>
      <w:pPr>
        <w:ind w:left="4410" w:hanging="360"/>
      </w:pPr>
      <w:rPr>
        <w:rFonts w:ascii="Courier New" w:hAnsi="Courier New" w:cs="Courier New" w:hint="default"/>
      </w:rPr>
    </w:lvl>
    <w:lvl w:ilvl="5" w:tentative="1">
      <w:start w:val="1"/>
      <w:numFmt w:val="bullet"/>
      <w:lvlText w:val=""/>
      <w:lvlJc w:val="left"/>
      <w:pPr>
        <w:ind w:left="5130" w:hanging="360"/>
      </w:pPr>
      <w:rPr>
        <w:rFonts w:ascii="Wingdings" w:hAnsi="Wingdings" w:hint="default"/>
      </w:rPr>
    </w:lvl>
    <w:lvl w:ilvl="6" w:tentative="1">
      <w:start w:val="1"/>
      <w:numFmt w:val="bullet"/>
      <w:lvlText w:val=""/>
      <w:lvlJc w:val="left"/>
      <w:pPr>
        <w:ind w:left="5850" w:hanging="360"/>
      </w:pPr>
      <w:rPr>
        <w:rFonts w:ascii="Symbol" w:hAnsi="Symbol" w:hint="default"/>
      </w:rPr>
    </w:lvl>
    <w:lvl w:ilvl="7" w:tentative="1">
      <w:start w:val="1"/>
      <w:numFmt w:val="bullet"/>
      <w:lvlText w:val="o"/>
      <w:lvlJc w:val="left"/>
      <w:pPr>
        <w:ind w:left="6570" w:hanging="360"/>
      </w:pPr>
      <w:rPr>
        <w:rFonts w:ascii="Courier New" w:hAnsi="Courier New" w:cs="Courier New" w:hint="default"/>
      </w:rPr>
    </w:lvl>
    <w:lvl w:ilvl="8" w:tentative="1">
      <w:start w:val="1"/>
      <w:numFmt w:val="bullet"/>
      <w:lvlText w:val=""/>
      <w:lvlJc w:val="left"/>
      <w:pPr>
        <w:ind w:left="7290" w:hanging="360"/>
      </w:pPr>
      <w:rPr>
        <w:rFonts w:ascii="Wingdings" w:hAnsi="Wingdings" w:hint="default"/>
      </w:rPr>
    </w:lvl>
  </w:abstractNum>
  <w:abstractNum w:abstractNumId="7">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8">
    <w:nsid w:val="341B351C"/>
    <w:multiLevelType w:val="hybridMultilevel"/>
    <w:tmpl w:val="66263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41C49C1"/>
    <w:multiLevelType w:val="hybridMultilevel"/>
    <w:tmpl w:val="80BC269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3E434FDA"/>
    <w:multiLevelType w:val="hybridMultilevel"/>
    <w:tmpl w:val="3B28E9A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F182D98"/>
    <w:multiLevelType w:val="hybridMultilevel"/>
    <w:tmpl w:val="C1DE054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FFD7D8A"/>
    <w:multiLevelType w:val="hybridMultilevel"/>
    <w:tmpl w:val="4050CA38"/>
    <w:lvl w:ilvl="0">
      <w:start w:val="1"/>
      <w:numFmt w:val="upperRoman"/>
      <w:pStyle w:val="Heading1"/>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0BD624C"/>
    <w:multiLevelType w:val="hybridMultilevel"/>
    <w:tmpl w:val="E87A5166"/>
    <w:lvl w:ilvl="0">
      <w:start w:val="1"/>
      <w:numFmt w:val="upperLetter"/>
      <w:pStyle w:val="Heading2"/>
      <w:lvlText w:val="%1."/>
      <w:lvlJc w:val="left"/>
      <w:pPr>
        <w:ind w:left="90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64E5E75"/>
    <w:multiLevelType w:val="hybridMultilevel"/>
    <w:tmpl w:val="570E21E2"/>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5AE83163"/>
    <w:multiLevelType w:val="hybridMultilevel"/>
    <w:tmpl w:val="CC30DCD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5D5378C3"/>
    <w:multiLevelType w:val="hybridMultilevel"/>
    <w:tmpl w:val="BA3AEF5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F74287D"/>
    <w:multiLevelType w:val="hybridMultilevel"/>
    <w:tmpl w:val="1760228A"/>
    <w:lvl w:ilvl="0">
      <w:start w:val="1"/>
      <w:numFmt w:val="decimal"/>
      <w:lvlText w:val="%1."/>
      <w:lvlJc w:val="left"/>
      <w:pPr>
        <w:ind w:left="990" w:hanging="360"/>
      </w:pPr>
      <w:rPr>
        <w:rFonts w:hint="default"/>
      </w:rPr>
    </w:lvl>
    <w:lvl w:ilvl="1" w:tentative="1">
      <w:start w:val="1"/>
      <w:numFmt w:val="lowerLetter"/>
      <w:lvlText w:val="%2."/>
      <w:lvlJc w:val="left"/>
      <w:pPr>
        <w:ind w:left="1710" w:hanging="360"/>
      </w:pPr>
    </w:lvl>
    <w:lvl w:ilvl="2" w:tentative="1">
      <w:start w:val="1"/>
      <w:numFmt w:val="lowerRoman"/>
      <w:lvlText w:val="%3."/>
      <w:lvlJc w:val="right"/>
      <w:pPr>
        <w:ind w:left="2430" w:hanging="180"/>
      </w:pPr>
    </w:lvl>
    <w:lvl w:ilvl="3" w:tentative="1">
      <w:start w:val="1"/>
      <w:numFmt w:val="decimal"/>
      <w:lvlText w:val="%4."/>
      <w:lvlJc w:val="left"/>
      <w:pPr>
        <w:ind w:left="3150" w:hanging="360"/>
      </w:pPr>
    </w:lvl>
    <w:lvl w:ilvl="4" w:tentative="1">
      <w:start w:val="1"/>
      <w:numFmt w:val="lowerLetter"/>
      <w:lvlText w:val="%5."/>
      <w:lvlJc w:val="left"/>
      <w:pPr>
        <w:ind w:left="3870" w:hanging="360"/>
      </w:pPr>
    </w:lvl>
    <w:lvl w:ilvl="5" w:tentative="1">
      <w:start w:val="1"/>
      <w:numFmt w:val="lowerRoman"/>
      <w:lvlText w:val="%6."/>
      <w:lvlJc w:val="right"/>
      <w:pPr>
        <w:ind w:left="4590" w:hanging="180"/>
      </w:pPr>
    </w:lvl>
    <w:lvl w:ilvl="6" w:tentative="1">
      <w:start w:val="1"/>
      <w:numFmt w:val="decimal"/>
      <w:lvlText w:val="%7."/>
      <w:lvlJc w:val="left"/>
      <w:pPr>
        <w:ind w:left="5310" w:hanging="360"/>
      </w:pPr>
    </w:lvl>
    <w:lvl w:ilvl="7" w:tentative="1">
      <w:start w:val="1"/>
      <w:numFmt w:val="lowerLetter"/>
      <w:lvlText w:val="%8."/>
      <w:lvlJc w:val="left"/>
      <w:pPr>
        <w:ind w:left="6030" w:hanging="360"/>
      </w:pPr>
    </w:lvl>
    <w:lvl w:ilvl="8" w:tentative="1">
      <w:start w:val="1"/>
      <w:numFmt w:val="lowerRoman"/>
      <w:lvlText w:val="%9."/>
      <w:lvlJc w:val="right"/>
      <w:pPr>
        <w:ind w:left="6750" w:hanging="180"/>
      </w:pPr>
    </w:lvl>
  </w:abstractNum>
  <w:abstractNum w:abstractNumId="19">
    <w:nsid w:val="6509486F"/>
    <w:multiLevelType w:val="hybridMultilevel"/>
    <w:tmpl w:val="CDE0B5A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7EDB64E8"/>
    <w:multiLevelType w:val="hybridMultilevel"/>
    <w:tmpl w:val="DAF81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2"/>
  </w:num>
  <w:num w:numId="4">
    <w:abstractNumId w:val="5"/>
  </w:num>
  <w:num w:numId="5">
    <w:abstractNumId w:val="7"/>
  </w:num>
  <w:num w:numId="6">
    <w:abstractNumId w:val="20"/>
  </w:num>
  <w:num w:numId="7">
    <w:abstractNumId w:val="21"/>
  </w:num>
  <w:num w:numId="8">
    <w:abstractNumId w:val="4"/>
  </w:num>
  <w:num w:numId="9">
    <w:abstractNumId w:val="9"/>
  </w:num>
  <w:num w:numId="10">
    <w:abstractNumId w:val="8"/>
  </w:num>
  <w:num w:numId="11">
    <w:abstractNumId w:val="2"/>
  </w:num>
  <w:num w:numId="12">
    <w:abstractNumId w:val="11"/>
  </w:num>
  <w:num w:numId="13">
    <w:abstractNumId w:val="18"/>
  </w:num>
  <w:num w:numId="14">
    <w:abstractNumId w:val="3"/>
  </w:num>
  <w:num w:numId="15">
    <w:abstractNumId w:val="16"/>
  </w:num>
  <w:num w:numId="16">
    <w:abstractNumId w:val="19"/>
  </w:num>
  <w:num w:numId="17">
    <w:abstractNumId w:val="10"/>
  </w:num>
  <w:num w:numId="18">
    <w:abstractNumId w:val="6"/>
  </w:num>
  <w:num w:numId="19">
    <w:abstractNumId w:val="17"/>
  </w:num>
  <w:num w:numId="20">
    <w:abstractNumId w:val="14"/>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B6A"/>
    <w:rsid w:val="000105C1"/>
    <w:rsid w:val="00026627"/>
    <w:rsid w:val="0003720E"/>
    <w:rsid w:val="0004015D"/>
    <w:rsid w:val="000428A5"/>
    <w:rsid w:val="000500F4"/>
    <w:rsid w:val="00053C5E"/>
    <w:rsid w:val="00073078"/>
    <w:rsid w:val="00073D2C"/>
    <w:rsid w:val="000747ED"/>
    <w:rsid w:val="00075DF7"/>
    <w:rsid w:val="0009240C"/>
    <w:rsid w:val="00094C34"/>
    <w:rsid w:val="000A0F6D"/>
    <w:rsid w:val="000A182D"/>
    <w:rsid w:val="000C76D8"/>
    <w:rsid w:val="000C77B9"/>
    <w:rsid w:val="000D13AF"/>
    <w:rsid w:val="000D79AC"/>
    <w:rsid w:val="000E0C3F"/>
    <w:rsid w:val="000F1DA3"/>
    <w:rsid w:val="000F61CD"/>
    <w:rsid w:val="00112614"/>
    <w:rsid w:val="001250ED"/>
    <w:rsid w:val="00136078"/>
    <w:rsid w:val="00142A48"/>
    <w:rsid w:val="0015192E"/>
    <w:rsid w:val="00167F83"/>
    <w:rsid w:val="001707D9"/>
    <w:rsid w:val="00191741"/>
    <w:rsid w:val="001A12CF"/>
    <w:rsid w:val="001A1E77"/>
    <w:rsid w:val="001A388C"/>
    <w:rsid w:val="001A6E37"/>
    <w:rsid w:val="001B746D"/>
    <w:rsid w:val="001C0DE2"/>
    <w:rsid w:val="001C341E"/>
    <w:rsid w:val="001C3ECB"/>
    <w:rsid w:val="001D56C1"/>
    <w:rsid w:val="001E064B"/>
    <w:rsid w:val="001E6F58"/>
    <w:rsid w:val="001F3B89"/>
    <w:rsid w:val="001F600A"/>
    <w:rsid w:val="0021069E"/>
    <w:rsid w:val="002241D1"/>
    <w:rsid w:val="0022500B"/>
    <w:rsid w:val="0023163A"/>
    <w:rsid w:val="002346C4"/>
    <w:rsid w:val="0024025D"/>
    <w:rsid w:val="00240AD7"/>
    <w:rsid w:val="00243E65"/>
    <w:rsid w:val="0024579B"/>
    <w:rsid w:val="0024726A"/>
    <w:rsid w:val="00247902"/>
    <w:rsid w:val="00247C76"/>
    <w:rsid w:val="00250D6C"/>
    <w:rsid w:val="00252A82"/>
    <w:rsid w:val="0025340E"/>
    <w:rsid w:val="00254BAA"/>
    <w:rsid w:val="0025547C"/>
    <w:rsid w:val="00260705"/>
    <w:rsid w:val="00260A3F"/>
    <w:rsid w:val="00264A2B"/>
    <w:rsid w:val="00266B99"/>
    <w:rsid w:val="0027435C"/>
    <w:rsid w:val="00274D04"/>
    <w:rsid w:val="00291C59"/>
    <w:rsid w:val="002936ED"/>
    <w:rsid w:val="002938B2"/>
    <w:rsid w:val="002A2023"/>
    <w:rsid w:val="002A4989"/>
    <w:rsid w:val="002B4A98"/>
    <w:rsid w:val="002B5DFD"/>
    <w:rsid w:val="002C3909"/>
    <w:rsid w:val="002C6664"/>
    <w:rsid w:val="002D00A2"/>
    <w:rsid w:val="002D0A99"/>
    <w:rsid w:val="002D1B6C"/>
    <w:rsid w:val="002E4589"/>
    <w:rsid w:val="002F5EC6"/>
    <w:rsid w:val="00300B47"/>
    <w:rsid w:val="003031B6"/>
    <w:rsid w:val="0031127C"/>
    <w:rsid w:val="00312335"/>
    <w:rsid w:val="00314CCD"/>
    <w:rsid w:val="0032118A"/>
    <w:rsid w:val="003245D4"/>
    <w:rsid w:val="00326C85"/>
    <w:rsid w:val="00334ED2"/>
    <w:rsid w:val="00336AA7"/>
    <w:rsid w:val="003437D1"/>
    <w:rsid w:val="003511B5"/>
    <w:rsid w:val="00357F68"/>
    <w:rsid w:val="00372312"/>
    <w:rsid w:val="00374B2C"/>
    <w:rsid w:val="00376E35"/>
    <w:rsid w:val="00385270"/>
    <w:rsid w:val="003925DF"/>
    <w:rsid w:val="00394858"/>
    <w:rsid w:val="003977E7"/>
    <w:rsid w:val="003A21A6"/>
    <w:rsid w:val="003B4A23"/>
    <w:rsid w:val="003C5507"/>
    <w:rsid w:val="003E4FF1"/>
    <w:rsid w:val="003E5EA4"/>
    <w:rsid w:val="004009C1"/>
    <w:rsid w:val="00432159"/>
    <w:rsid w:val="00433BB8"/>
    <w:rsid w:val="00435F23"/>
    <w:rsid w:val="00435F46"/>
    <w:rsid w:val="00444919"/>
    <w:rsid w:val="0049023C"/>
    <w:rsid w:val="00495379"/>
    <w:rsid w:val="00496468"/>
    <w:rsid w:val="00496DD7"/>
    <w:rsid w:val="004A2403"/>
    <w:rsid w:val="004A2498"/>
    <w:rsid w:val="004A29CE"/>
    <w:rsid w:val="004A2D75"/>
    <w:rsid w:val="004A500E"/>
    <w:rsid w:val="004D3D5E"/>
    <w:rsid w:val="004D46E5"/>
    <w:rsid w:val="004D70E8"/>
    <w:rsid w:val="004F18E8"/>
    <w:rsid w:val="004F5D4A"/>
    <w:rsid w:val="005118F2"/>
    <w:rsid w:val="00514E9F"/>
    <w:rsid w:val="005213C8"/>
    <w:rsid w:val="00521CD0"/>
    <w:rsid w:val="00523794"/>
    <w:rsid w:val="00525283"/>
    <w:rsid w:val="00525946"/>
    <w:rsid w:val="005303F2"/>
    <w:rsid w:val="00531C18"/>
    <w:rsid w:val="0056327C"/>
    <w:rsid w:val="0057061D"/>
    <w:rsid w:val="00573F0E"/>
    <w:rsid w:val="00581990"/>
    <w:rsid w:val="00593C6B"/>
    <w:rsid w:val="005A18A5"/>
    <w:rsid w:val="005B2BD7"/>
    <w:rsid w:val="005B3E57"/>
    <w:rsid w:val="005C121B"/>
    <w:rsid w:val="005C451D"/>
    <w:rsid w:val="005C781C"/>
    <w:rsid w:val="005D034D"/>
    <w:rsid w:val="005E2E52"/>
    <w:rsid w:val="005E32B3"/>
    <w:rsid w:val="005F2B7A"/>
    <w:rsid w:val="005F6D71"/>
    <w:rsid w:val="00604DF2"/>
    <w:rsid w:val="00616EF9"/>
    <w:rsid w:val="00620EB2"/>
    <w:rsid w:val="00620EF3"/>
    <w:rsid w:val="00622321"/>
    <w:rsid w:val="006226DE"/>
    <w:rsid w:val="006228C8"/>
    <w:rsid w:val="006268B9"/>
    <w:rsid w:val="00626C6A"/>
    <w:rsid w:val="00627D8A"/>
    <w:rsid w:val="00645D20"/>
    <w:rsid w:val="006621F6"/>
    <w:rsid w:val="00672E11"/>
    <w:rsid w:val="00683B3A"/>
    <w:rsid w:val="00685470"/>
    <w:rsid w:val="00685F0B"/>
    <w:rsid w:val="00686331"/>
    <w:rsid w:val="00692043"/>
    <w:rsid w:val="00695107"/>
    <w:rsid w:val="006A5DCF"/>
    <w:rsid w:val="006A7A58"/>
    <w:rsid w:val="006B6204"/>
    <w:rsid w:val="006C1EAB"/>
    <w:rsid w:val="006D4A7F"/>
    <w:rsid w:val="006D4E21"/>
    <w:rsid w:val="006E28E1"/>
    <w:rsid w:val="006E3277"/>
    <w:rsid w:val="006F276E"/>
    <w:rsid w:val="006F58FA"/>
    <w:rsid w:val="006F5A3C"/>
    <w:rsid w:val="00706978"/>
    <w:rsid w:val="00714AFE"/>
    <w:rsid w:val="0072541D"/>
    <w:rsid w:val="007358BD"/>
    <w:rsid w:val="00736557"/>
    <w:rsid w:val="00740526"/>
    <w:rsid w:val="00740A2A"/>
    <w:rsid w:val="00746981"/>
    <w:rsid w:val="00751A5A"/>
    <w:rsid w:val="00755C7C"/>
    <w:rsid w:val="007740C9"/>
    <w:rsid w:val="007766A0"/>
    <w:rsid w:val="00787FA5"/>
    <w:rsid w:val="007A5C2C"/>
    <w:rsid w:val="007A7078"/>
    <w:rsid w:val="007B4F88"/>
    <w:rsid w:val="007E38C1"/>
    <w:rsid w:val="00807924"/>
    <w:rsid w:val="00814AB0"/>
    <w:rsid w:val="0082237C"/>
    <w:rsid w:val="00822D23"/>
    <w:rsid w:val="008258CE"/>
    <w:rsid w:val="008404C6"/>
    <w:rsid w:val="0084398A"/>
    <w:rsid w:val="008445AA"/>
    <w:rsid w:val="008520A8"/>
    <w:rsid w:val="0086273C"/>
    <w:rsid w:val="008660EF"/>
    <w:rsid w:val="00887A04"/>
    <w:rsid w:val="00894E08"/>
    <w:rsid w:val="008D7414"/>
    <w:rsid w:val="008E1717"/>
    <w:rsid w:val="008E6B54"/>
    <w:rsid w:val="008F0BD8"/>
    <w:rsid w:val="008F2710"/>
    <w:rsid w:val="0091059B"/>
    <w:rsid w:val="0091114F"/>
    <w:rsid w:val="009130CA"/>
    <w:rsid w:val="00914982"/>
    <w:rsid w:val="00916305"/>
    <w:rsid w:val="00926CFA"/>
    <w:rsid w:val="009316EB"/>
    <w:rsid w:val="0093368A"/>
    <w:rsid w:val="009374D7"/>
    <w:rsid w:val="0095147B"/>
    <w:rsid w:val="00955952"/>
    <w:rsid w:val="00955F52"/>
    <w:rsid w:val="00956129"/>
    <w:rsid w:val="009630A8"/>
    <w:rsid w:val="00981489"/>
    <w:rsid w:val="009B1B05"/>
    <w:rsid w:val="009B3238"/>
    <w:rsid w:val="009B419A"/>
    <w:rsid w:val="009B41C9"/>
    <w:rsid w:val="009C5CD0"/>
    <w:rsid w:val="009D08E1"/>
    <w:rsid w:val="009D25E5"/>
    <w:rsid w:val="009D3992"/>
    <w:rsid w:val="009D599F"/>
    <w:rsid w:val="009E76F7"/>
    <w:rsid w:val="00A01B5C"/>
    <w:rsid w:val="00A0593B"/>
    <w:rsid w:val="00A05E27"/>
    <w:rsid w:val="00A06963"/>
    <w:rsid w:val="00A100EC"/>
    <w:rsid w:val="00A11576"/>
    <w:rsid w:val="00A211F8"/>
    <w:rsid w:val="00A21827"/>
    <w:rsid w:val="00A23239"/>
    <w:rsid w:val="00A300AD"/>
    <w:rsid w:val="00A36D7B"/>
    <w:rsid w:val="00A37DD6"/>
    <w:rsid w:val="00A4135E"/>
    <w:rsid w:val="00A54EA0"/>
    <w:rsid w:val="00A74FD1"/>
    <w:rsid w:val="00A76041"/>
    <w:rsid w:val="00A760B8"/>
    <w:rsid w:val="00A838AA"/>
    <w:rsid w:val="00A84C6A"/>
    <w:rsid w:val="00A94CE6"/>
    <w:rsid w:val="00A960A1"/>
    <w:rsid w:val="00A96734"/>
    <w:rsid w:val="00AA3DCE"/>
    <w:rsid w:val="00AA734A"/>
    <w:rsid w:val="00AB389A"/>
    <w:rsid w:val="00AB5D56"/>
    <w:rsid w:val="00AC5492"/>
    <w:rsid w:val="00AE1E60"/>
    <w:rsid w:val="00AE2105"/>
    <w:rsid w:val="00AF67A8"/>
    <w:rsid w:val="00B023DD"/>
    <w:rsid w:val="00B0472A"/>
    <w:rsid w:val="00B10540"/>
    <w:rsid w:val="00B1069E"/>
    <w:rsid w:val="00B26C7F"/>
    <w:rsid w:val="00B335DC"/>
    <w:rsid w:val="00B41517"/>
    <w:rsid w:val="00B44099"/>
    <w:rsid w:val="00B44DEF"/>
    <w:rsid w:val="00B4605C"/>
    <w:rsid w:val="00B56369"/>
    <w:rsid w:val="00B70392"/>
    <w:rsid w:val="00B74D9D"/>
    <w:rsid w:val="00B75111"/>
    <w:rsid w:val="00B76C04"/>
    <w:rsid w:val="00B83A11"/>
    <w:rsid w:val="00BA0CDD"/>
    <w:rsid w:val="00BA371A"/>
    <w:rsid w:val="00BA5011"/>
    <w:rsid w:val="00BB470E"/>
    <w:rsid w:val="00BB4D52"/>
    <w:rsid w:val="00BC1DD7"/>
    <w:rsid w:val="00BC66B0"/>
    <w:rsid w:val="00BD40E8"/>
    <w:rsid w:val="00BD6B6A"/>
    <w:rsid w:val="00BE0A58"/>
    <w:rsid w:val="00BE4DF2"/>
    <w:rsid w:val="00BF3AF5"/>
    <w:rsid w:val="00BF6E90"/>
    <w:rsid w:val="00C0066A"/>
    <w:rsid w:val="00C147BE"/>
    <w:rsid w:val="00C14A9D"/>
    <w:rsid w:val="00C20D73"/>
    <w:rsid w:val="00C304EF"/>
    <w:rsid w:val="00C3552B"/>
    <w:rsid w:val="00C428BA"/>
    <w:rsid w:val="00C55B18"/>
    <w:rsid w:val="00C633DB"/>
    <w:rsid w:val="00C6417A"/>
    <w:rsid w:val="00C7160E"/>
    <w:rsid w:val="00C77674"/>
    <w:rsid w:val="00C80354"/>
    <w:rsid w:val="00C816DE"/>
    <w:rsid w:val="00C825CC"/>
    <w:rsid w:val="00C82E8B"/>
    <w:rsid w:val="00C85768"/>
    <w:rsid w:val="00C9664A"/>
    <w:rsid w:val="00CA03E3"/>
    <w:rsid w:val="00CA7491"/>
    <w:rsid w:val="00CB0EBA"/>
    <w:rsid w:val="00CC0E9E"/>
    <w:rsid w:val="00CC4ED0"/>
    <w:rsid w:val="00CC5749"/>
    <w:rsid w:val="00CE4BF1"/>
    <w:rsid w:val="00D040DE"/>
    <w:rsid w:val="00D07FED"/>
    <w:rsid w:val="00D14433"/>
    <w:rsid w:val="00D20897"/>
    <w:rsid w:val="00D20AE3"/>
    <w:rsid w:val="00D25580"/>
    <w:rsid w:val="00D2760B"/>
    <w:rsid w:val="00D36C9C"/>
    <w:rsid w:val="00D445F7"/>
    <w:rsid w:val="00D46864"/>
    <w:rsid w:val="00D50291"/>
    <w:rsid w:val="00D53190"/>
    <w:rsid w:val="00D6019B"/>
    <w:rsid w:val="00D648EC"/>
    <w:rsid w:val="00D66A76"/>
    <w:rsid w:val="00D67D06"/>
    <w:rsid w:val="00D7674A"/>
    <w:rsid w:val="00D800F1"/>
    <w:rsid w:val="00D81A4D"/>
    <w:rsid w:val="00D83308"/>
    <w:rsid w:val="00D873FA"/>
    <w:rsid w:val="00D9288B"/>
    <w:rsid w:val="00D9345B"/>
    <w:rsid w:val="00D93D11"/>
    <w:rsid w:val="00D93E6A"/>
    <w:rsid w:val="00DA040E"/>
    <w:rsid w:val="00DA0764"/>
    <w:rsid w:val="00DA57BE"/>
    <w:rsid w:val="00DB08F3"/>
    <w:rsid w:val="00DC6F42"/>
    <w:rsid w:val="00DD4B64"/>
    <w:rsid w:val="00DE3723"/>
    <w:rsid w:val="00DF17C4"/>
    <w:rsid w:val="00E13038"/>
    <w:rsid w:val="00E140C7"/>
    <w:rsid w:val="00E14A78"/>
    <w:rsid w:val="00E16426"/>
    <w:rsid w:val="00E213C0"/>
    <w:rsid w:val="00E303AA"/>
    <w:rsid w:val="00E32694"/>
    <w:rsid w:val="00E348AE"/>
    <w:rsid w:val="00E36793"/>
    <w:rsid w:val="00E44316"/>
    <w:rsid w:val="00E5277E"/>
    <w:rsid w:val="00E52F84"/>
    <w:rsid w:val="00E545EC"/>
    <w:rsid w:val="00E562C3"/>
    <w:rsid w:val="00E60FD4"/>
    <w:rsid w:val="00E67842"/>
    <w:rsid w:val="00E75FA0"/>
    <w:rsid w:val="00E764C4"/>
    <w:rsid w:val="00E76D9E"/>
    <w:rsid w:val="00E8357E"/>
    <w:rsid w:val="00E94922"/>
    <w:rsid w:val="00EA1410"/>
    <w:rsid w:val="00EA3CD6"/>
    <w:rsid w:val="00EA7D2A"/>
    <w:rsid w:val="00EB0258"/>
    <w:rsid w:val="00EB2D3C"/>
    <w:rsid w:val="00EC2097"/>
    <w:rsid w:val="00EC50A9"/>
    <w:rsid w:val="00EC7D53"/>
    <w:rsid w:val="00F00906"/>
    <w:rsid w:val="00F02ECB"/>
    <w:rsid w:val="00F136CD"/>
    <w:rsid w:val="00F146B2"/>
    <w:rsid w:val="00F303B7"/>
    <w:rsid w:val="00F3774E"/>
    <w:rsid w:val="00F42FDF"/>
    <w:rsid w:val="00F4726E"/>
    <w:rsid w:val="00F4775D"/>
    <w:rsid w:val="00F522F5"/>
    <w:rsid w:val="00F53C34"/>
    <w:rsid w:val="00F576E9"/>
    <w:rsid w:val="00F67932"/>
    <w:rsid w:val="00F72888"/>
    <w:rsid w:val="00F8690A"/>
    <w:rsid w:val="00F91C69"/>
    <w:rsid w:val="00FA378C"/>
    <w:rsid w:val="00FA40FA"/>
    <w:rsid w:val="00FA7B1A"/>
    <w:rsid w:val="00FB0145"/>
    <w:rsid w:val="00FC1912"/>
    <w:rsid w:val="00FC5CBA"/>
    <w:rsid w:val="00FC7A59"/>
    <w:rsid w:val="00FD4318"/>
    <w:rsid w:val="00FD4AC2"/>
    <w:rsid w:val="00FE076C"/>
    <w:rsid w:val="00FE6F52"/>
    <w:rsid w:val="00FF1246"/>
    <w:rsid w:val="00FF7C2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C"/>
    <w:rPr>
      <w:rFonts w:ascii="Times New Roman" w:hAnsi="Times New Roman"/>
      <w:sz w:val="24"/>
    </w:rPr>
  </w:style>
  <w:style w:type="paragraph" w:styleId="Heading1">
    <w:name w:val="heading 1"/>
    <w:basedOn w:val="Normal"/>
    <w:next w:val="Normal"/>
    <w:link w:val="Heading1Char"/>
    <w:autoRedefine/>
    <w:uiPriority w:val="9"/>
    <w:qFormat/>
    <w:rsid w:val="00531C18"/>
    <w:pPr>
      <w:keepNext/>
      <w:keepLines/>
      <w:numPr>
        <w:numId w:val="22"/>
      </w:numPr>
      <w:spacing w:after="240" w:line="240" w:lineRule="auto"/>
      <w:ind w:left="720"/>
      <w:outlineLvl w:val="0"/>
    </w:pPr>
    <w:rPr>
      <w:rFonts w:eastAsiaTheme="majorEastAsia" w:cs="Times New Roman"/>
      <w:b/>
      <w:bCs/>
      <w:szCs w:val="24"/>
    </w:rPr>
  </w:style>
  <w:style w:type="paragraph" w:styleId="Heading2">
    <w:name w:val="heading 2"/>
    <w:basedOn w:val="Normal"/>
    <w:next w:val="Normal"/>
    <w:link w:val="Heading2Char"/>
    <w:autoRedefine/>
    <w:uiPriority w:val="9"/>
    <w:unhideWhenUsed/>
    <w:qFormat/>
    <w:rsid w:val="00672E11"/>
    <w:pPr>
      <w:keepNext/>
      <w:keepLines/>
      <w:numPr>
        <w:numId w:val="20"/>
      </w:numPr>
      <w:spacing w:after="240" w:line="240" w:lineRule="auto"/>
      <w:ind w:left="1440" w:hanging="720"/>
      <w:outlineLvl w:val="1"/>
    </w:pPr>
    <w:rPr>
      <w:rFonts w:eastAsiaTheme="majorEastAsia" w:cs="Times New Roman"/>
      <w:b/>
      <w:bCs/>
      <w:szCs w:val="24"/>
    </w:rPr>
  </w:style>
  <w:style w:type="paragraph" w:styleId="Heading3">
    <w:name w:val="heading 3"/>
    <w:basedOn w:val="Normal"/>
    <w:next w:val="Normal"/>
    <w:link w:val="Heading3Char"/>
    <w:autoRedefine/>
    <w:uiPriority w:val="9"/>
    <w:unhideWhenUsed/>
    <w:qFormat/>
    <w:rsid w:val="008277B2"/>
    <w:pPr>
      <w:keepNext/>
      <w:spacing w:after="240" w:line="240" w:lineRule="auto"/>
      <w:ind w:left="2160" w:hanging="720"/>
      <w:outlineLvl w:val="2"/>
    </w:pPr>
    <w:rPr>
      <w:rFonts w:eastAsiaTheme="majorEastAsia" w:cs="Times New Roman"/>
      <w:b/>
      <w:bCs/>
      <w:szCs w:val="24"/>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77B2"/>
    <w:rPr>
      <w:rFonts w:ascii="Times New Roman" w:hAnsi="Times New Roman" w:eastAsiaTheme="majorEastAsia" w:cs="Times New Roman"/>
      <w:b/>
      <w:bCs/>
      <w:sz w:val="24"/>
      <w:szCs w:val="24"/>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F040C"/>
    <w:rPr>
      <w:rFonts w:ascii="Courier New" w:eastAsia="Courier New" w:hAnsi="Courier New" w:cs="Courier New"/>
      <w:sz w:val="20"/>
      <w:szCs w:val="20"/>
    </w:rPr>
  </w:style>
  <w:style w:type="paragraph" w:styleId="FootnoteText">
    <w:name w:val="footnote text"/>
    <w:aliases w:val="Footnote Text Cha,Footnote Text Char Char4 Char,Footnote Text Char Char4 Char1 Char Char,Footnote Text Char2,Footnote Text Char4 Char,Footnote Text Char4 Char1 Char Char,Footnote Text Char5 Char1 Char Char Char Char Char"/>
    <w:basedOn w:val="Normal"/>
    <w:link w:val="FootnoteTextChar"/>
    <w:unhideWhenUsed/>
    <w:rsid w:val="00076C62"/>
    <w:pPr>
      <w:spacing w:after="0" w:line="240" w:lineRule="auto"/>
    </w:pPr>
    <w:rPr>
      <w:rFonts w:asciiTheme="minorHAnsi" w:hAnsiTheme="minorHAnsi"/>
      <w:sz w:val="20"/>
      <w:szCs w:val="20"/>
    </w:rPr>
  </w:style>
  <w:style w:type="character" w:customStyle="1" w:styleId="FootnoteTextChar">
    <w:name w:val="Footnote Text Char"/>
    <w:aliases w:val="Footnote Text Cha Char,Footnote Text Char Char4 Char Char,Footnote Text Char Char4 Char1 Char Char Char,Footnote Text Char2 Char,Footnote Text Char4 Char Char,Footnote Text Char4 Char1 Char Char Char"/>
    <w:basedOn w:val="DefaultParagraphFont"/>
    <w:link w:val="FootnoteText"/>
    <w:rsid w:val="00076C62"/>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5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531C18"/>
    <w:rPr>
      <w:rFonts w:ascii="Times New Roman" w:hAnsi="Times New Roman" w:eastAsiaTheme="majorEastAsia" w:cs="Times New Roman"/>
      <w:b/>
      <w:bCs/>
      <w:sz w:val="24"/>
      <w:szCs w:val="24"/>
    </w:rPr>
  </w:style>
  <w:style w:type="character" w:customStyle="1" w:styleId="Heading2Char">
    <w:name w:val="Heading 2 Char"/>
    <w:basedOn w:val="DefaultParagraphFont"/>
    <w:link w:val="Heading2"/>
    <w:uiPriority w:val="9"/>
    <w:rsid w:val="00672E11"/>
    <w:rPr>
      <w:rFonts w:ascii="Times New Roman" w:hAnsi="Times New Roman" w:eastAsiaTheme="majorEastAsia" w:cs="Times New Roman"/>
      <w:b/>
      <w:bCs/>
      <w:sz w:val="24"/>
      <w:szCs w:val="24"/>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uiPriority w:val="99"/>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uiPriority w:val="99"/>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A96734"/>
    <w:pPr>
      <w:tabs>
        <w:tab w:val="decimal" w:leader="dot" w:pos="9360"/>
      </w:tabs>
      <w:spacing w:after="240" w:line="240" w:lineRule="auto"/>
      <w:ind w:left="720" w:hanging="720"/>
      <w:outlineLvl w:val="0"/>
    </w:pPr>
    <w:rPr>
      <w:caps/>
    </w:rPr>
  </w:style>
  <w:style w:type="paragraph" w:styleId="TOC2">
    <w:name w:val="toc 2"/>
    <w:basedOn w:val="Normal"/>
    <w:next w:val="Normal"/>
    <w:autoRedefine/>
    <w:uiPriority w:val="39"/>
    <w:unhideWhenUsed/>
    <w:qFormat/>
    <w:rsid w:val="00CE4BF1"/>
    <w:pPr>
      <w:tabs>
        <w:tab w:val="decimal" w:leader="dot" w:pos="9360"/>
      </w:tabs>
      <w:spacing w:after="240" w:line="240" w:lineRule="auto"/>
      <w:ind w:left="1440" w:hanging="720"/>
      <w:outlineLvl w:val="1"/>
    </w:pPr>
  </w:style>
  <w:style w:type="paragraph" w:styleId="TOC3">
    <w:name w:val="toc 3"/>
    <w:basedOn w:val="Normal"/>
    <w:next w:val="Normal"/>
    <w:autoRedefine/>
    <w:uiPriority w:val="39"/>
    <w:unhideWhenUsed/>
    <w:qFormat/>
    <w:rsid w:val="001D547A"/>
    <w:pPr>
      <w:tabs>
        <w:tab w:val="decimal" w:leader="dot" w:pos="8640"/>
      </w:tabs>
      <w:spacing w:after="240" w:line="240" w:lineRule="auto"/>
      <w:ind w:left="144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paragraph" w:styleId="BodyTextIndent3">
    <w:name w:val="Body Text Indent 3"/>
    <w:basedOn w:val="Normal"/>
    <w:link w:val="BodyTextIndent3Char"/>
    <w:rsid w:val="00467AAD"/>
    <w:pPr>
      <w:spacing w:after="0" w:line="480" w:lineRule="atLeast"/>
      <w:ind w:firstLine="720"/>
    </w:pPr>
    <w:rPr>
      <w:rFonts w:eastAsia="Times New Roman" w:cs="Times New Roman"/>
      <w:szCs w:val="20"/>
    </w:rPr>
  </w:style>
  <w:style w:type="character" w:customStyle="1" w:styleId="BodyTextIndent3Char">
    <w:name w:val="Body Text Indent 3 Char"/>
    <w:basedOn w:val="DefaultParagraphFont"/>
    <w:link w:val="BodyTextIndent3"/>
    <w:rsid w:val="00467AAD"/>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EE19CA"/>
    <w:rPr>
      <w:color w:val="808080"/>
      <w:shd w:val="clear" w:color="auto" w:fill="E6E6E6"/>
    </w:rPr>
  </w:style>
  <w:style w:type="paragraph" w:styleId="NormalWeb">
    <w:name w:val="Normal (Web)"/>
    <w:basedOn w:val="Normal"/>
    <w:uiPriority w:val="99"/>
    <w:semiHidden/>
    <w:unhideWhenUsed/>
    <w:rsid w:val="00796DFB"/>
    <w:rPr>
      <w:rFonts w:cs="Times New Roman"/>
      <w:szCs w:val="24"/>
    </w:rPr>
  </w:style>
  <w:style w:type="character" w:customStyle="1" w:styleId="StyleCourier12pt">
    <w:name w:val="Style Courier 12 pt"/>
    <w:rsid w:val="002B4A98"/>
    <w:rPr>
      <w:rFonts w:ascii="Courier" w:hAnsi="Courier"/>
      <w:sz w:val="24"/>
    </w:rPr>
  </w:style>
  <w:style w:type="character" w:customStyle="1" w:styleId="UnresolvedMention2">
    <w:name w:val="Unresolved Mention2"/>
    <w:basedOn w:val="DefaultParagraphFont"/>
    <w:uiPriority w:val="99"/>
    <w:rsid w:val="002938B2"/>
    <w:rPr>
      <w:color w:val="605E5C"/>
      <w:shd w:val="clear" w:color="auto" w:fill="E1DFDD"/>
    </w:rPr>
  </w:style>
  <w:style w:type="paragraph" w:styleId="Title">
    <w:name w:val="Title"/>
    <w:basedOn w:val="Normal"/>
    <w:link w:val="TitleChar"/>
    <w:qFormat/>
    <w:rsid w:val="00496468"/>
    <w:pPr>
      <w:spacing w:after="0" w:line="240" w:lineRule="auto"/>
      <w:jc w:val="center"/>
    </w:pPr>
    <w:rPr>
      <w:rFonts w:eastAsia="Times New Roman" w:cs="Times New Roman"/>
      <w:b/>
      <w:sz w:val="22"/>
      <w:szCs w:val="20"/>
    </w:rPr>
  </w:style>
  <w:style w:type="character" w:customStyle="1" w:styleId="TitleChar">
    <w:name w:val="Title Char"/>
    <w:basedOn w:val="DefaultParagraphFont"/>
    <w:link w:val="Title"/>
    <w:rsid w:val="00496468"/>
    <w:rPr>
      <w:rFonts w:ascii="Times New Roman" w:eastAsia="Times New Roman" w:hAnsi="Times New Roman" w:cs="Times New Roman"/>
      <w:b/>
      <w:szCs w:val="20"/>
    </w:rPr>
  </w:style>
  <w:style w:type="paragraph" w:customStyle="1" w:styleId="pf0">
    <w:name w:val="pf0"/>
    <w:basedOn w:val="Normal"/>
    <w:rsid w:val="00DA040E"/>
    <w:pPr>
      <w:spacing w:before="100" w:beforeAutospacing="1" w:after="100" w:afterAutospacing="1" w:line="240" w:lineRule="auto"/>
    </w:pPr>
    <w:rPr>
      <w:rFonts w:eastAsia="Times New Roman" w:cs="Times New Roman"/>
      <w:szCs w:val="24"/>
    </w:rPr>
  </w:style>
  <w:style w:type="character" w:customStyle="1" w:styleId="cf01">
    <w:name w:val="cf01"/>
    <w:basedOn w:val="DefaultParagraphFont"/>
    <w:rsid w:val="00DA040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yperlink" Target="mailto:werner.margard@OhioAGO.gov" TargetMode="External" /><Relationship Id="rId12" Type="http://schemas.openxmlformats.org/officeDocument/2006/relationships/hyperlink" Target="mailto:mjsettineri@vorys.com" TargetMode="External" /><Relationship Id="rId13" Type="http://schemas.openxmlformats.org/officeDocument/2006/relationships/hyperlink" Target="mailto:glpetrucci@vorys.com" TargetMode="External" /><Relationship Id="rId14" Type="http://schemas.openxmlformats.org/officeDocument/2006/relationships/hyperlink" Target="mailto:michael.nugent@igs.com" TargetMode="External" /><Relationship Id="rId15" Type="http://schemas.openxmlformats.org/officeDocument/2006/relationships/hyperlink" Target="mailto:evan.betterton@igs.com" TargetMode="External" /><Relationship Id="rId16" Type="http://schemas.openxmlformats.org/officeDocument/2006/relationships/hyperlink" Target="mailto:joe.oliker@igs.com" TargetMode="External" /><Relationship Id="rId17" Type="http://schemas.openxmlformats.org/officeDocument/2006/relationships/hyperlink" Target="mailto:rdove@keglerbrown.com" TargetMode="External" /><Relationship Id="rId18" Type="http://schemas.openxmlformats.org/officeDocument/2006/relationships/hyperlink" Target="mailto:mpritchard@mcneeslaw.com" TargetMode="External" /><Relationship Id="rId19" Type="http://schemas.openxmlformats.org/officeDocument/2006/relationships/hyperlink" Target="mailto:jacqueline.st.john@puco.ohio.gov" TargetMode="External" /><Relationship Id="rId2" Type="http://schemas.openxmlformats.org/officeDocument/2006/relationships/settings" Target="settings.xml" /><Relationship Id="rId20" Type="http://schemas.openxmlformats.org/officeDocument/2006/relationships/hyperlink" Target="mailto:gregory.price@puco.ohio.gov" TargetMode="External" /><Relationship Id="rId21" Type="http://schemas.openxmlformats.org/officeDocument/2006/relationships/hyperlink" Target="mailto:mkurtz@bkllawfirm.com" TargetMode="External" /><Relationship Id="rId22" Type="http://schemas.openxmlformats.org/officeDocument/2006/relationships/hyperlink" Target="mailto:kboehm@bkllawfirm.com" TargetMode="External" /><Relationship Id="rId23" Type="http://schemas.openxmlformats.org/officeDocument/2006/relationships/hyperlink" Target="mailto:jkylercohn@bkllawfirm.com" TargetMode="External" /><Relationship Id="rId24" Type="http://schemas.openxmlformats.org/officeDocument/2006/relationships/hyperlink" Target="mailto:josephclark@nisource.com" TargetMode="External" /><Relationship Id="rId25" Type="http://schemas.openxmlformats.org/officeDocument/2006/relationships/hyperlink" Target="mailto:mlthompson@nisource.com" TargetMode="External" /><Relationship Id="rId26" Type="http://schemas.openxmlformats.org/officeDocument/2006/relationships/hyperlink" Target="mailto:johnryan@nisource.com" TargetMode="External" /><Relationship Id="rId27" Type="http://schemas.openxmlformats.org/officeDocument/2006/relationships/hyperlink" Target="mailto:egallon@porterwright.com" TargetMode="External" /><Relationship Id="rId28" Type="http://schemas.openxmlformats.org/officeDocument/2006/relationships/hyperlink" Target="mailto:mstemm@porterwright.com" TargetMode="External" /><Relationship Id="rId29" Type="http://schemas.openxmlformats.org/officeDocument/2006/relationships/hyperlink" Target="mailto:bhughes@porterwright.com" TargetMode="External" /><Relationship Id="rId3" Type="http://schemas.openxmlformats.org/officeDocument/2006/relationships/webSettings" Target="webSettings.xml" /><Relationship Id="rId30" Type="http://schemas.openxmlformats.org/officeDocument/2006/relationships/hyperlink" Target="mailto:dflahive@porterwright.com" TargetMode="External" /><Relationship Id="rId31" Type="http://schemas.openxmlformats.org/officeDocument/2006/relationships/hyperlink" Target="mailto:dparram@bricker.com" TargetMode="External" /><Relationship Id="rId32" Type="http://schemas.openxmlformats.org/officeDocument/2006/relationships/hyperlink" Target="mailto:gkrassen@nopec.org" TargetMode="External" /><Relationship Id="rId33" Type="http://schemas.openxmlformats.org/officeDocument/2006/relationships/hyperlink" Target="mailto:dstinson@bricker.com" TargetMode="External" /><Relationship Id="rId34" Type="http://schemas.openxmlformats.org/officeDocument/2006/relationships/hyperlink" Target="mailto:bojko@carpenterlipps.com" TargetMode="External" /><Relationship Id="rId35" Type="http://schemas.openxmlformats.org/officeDocument/2006/relationships/hyperlink" Target="mailto:paul@carpenterlipps.com" TargetMode="External" /><Relationship Id="rId36" Type="http://schemas.openxmlformats.org/officeDocument/2006/relationships/hyperlink" Target="mailto:wygonski@carpenterlipps.com" TargetMode="External" /><Relationship Id="rId37" Type="http://schemas.openxmlformats.org/officeDocument/2006/relationships/hyperlink" Target="mailto:trent@hubaydougherty.com" TargetMode="External" /><Relationship Id="rId38" Type="http://schemas.openxmlformats.org/officeDocument/2006/relationships/footer" Target="footer4.xml" /><Relationship Id="rId39" Type="http://schemas.openxmlformats.org/officeDocument/2006/relationships/theme" Target="theme/theme1.xml" /><Relationship Id="rId4" Type="http://schemas.openxmlformats.org/officeDocument/2006/relationships/fontTable" Target="fontTable.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william.michael@occ.ohio.gov"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B5F60-4AE1-4665-B0F5-599F4E5E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3543</Words>
  <Characters>20196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2022-12-09T18:53:32Z</dcterms:created>
  <dcterms:modified xsi:type="dcterms:W3CDTF">2022-12-09T18:53:32Z</dcterms:modified>
</cp:coreProperties>
</file>