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80" w:rsidRDefault="006E22CD">
      <w:pPr>
        <w:spacing w:line="240" w:lineRule="auto"/>
        <w:jc w:val="center"/>
        <w:rPr>
          <w:rFonts w:eastAsia="Times New Roman" w:cs="Arial"/>
          <w:b/>
          <w:smallCaps/>
          <w:sz w:val="32"/>
          <w:szCs w:val="32"/>
        </w:rPr>
      </w:pPr>
      <w:r>
        <w:rPr>
          <w:rFonts w:eastAsia="Times New Roman" w:cs="Arial"/>
          <w:b/>
          <w:smallCaps/>
          <w:sz w:val="32"/>
          <w:szCs w:val="32"/>
        </w:rPr>
        <w:t>Before</w:t>
      </w:r>
    </w:p>
    <w:p w:rsidR="00D94280" w:rsidRDefault="006E22CD">
      <w:pPr>
        <w:spacing w:line="240" w:lineRule="auto"/>
        <w:jc w:val="center"/>
        <w:rPr>
          <w:rFonts w:cs="Arial"/>
          <w:b/>
          <w:smallCaps/>
          <w:sz w:val="32"/>
          <w:szCs w:val="32"/>
        </w:rPr>
      </w:pPr>
      <w:r>
        <w:rPr>
          <w:rFonts w:cs="Arial"/>
          <w:b/>
          <w:smallCaps/>
          <w:sz w:val="32"/>
          <w:szCs w:val="32"/>
        </w:rPr>
        <w:t>The Public Utilities Commission of Ohio</w:t>
      </w:r>
    </w:p>
    <w:p w:rsidR="00D94280" w:rsidRDefault="00D94280">
      <w:pPr>
        <w:autoSpaceDE w:val="0"/>
        <w:autoSpaceDN w:val="0"/>
        <w:adjustRightInd w:val="0"/>
        <w:spacing w:line="240" w:lineRule="auto"/>
        <w:jc w:val="left"/>
        <w:rPr>
          <w:rFonts w:cs="Arial"/>
        </w:rPr>
      </w:pPr>
    </w:p>
    <w:p w:rsidR="00D94280" w:rsidRDefault="00D94280">
      <w:pPr>
        <w:autoSpaceDE w:val="0"/>
        <w:autoSpaceDN w:val="0"/>
        <w:adjustRightInd w:val="0"/>
        <w:spacing w:line="240" w:lineRule="auto"/>
        <w:jc w:val="left"/>
        <w:rPr>
          <w:rFonts w:cs="Arial"/>
        </w:rPr>
      </w:pPr>
    </w:p>
    <w:p w:rsidR="00D94280" w:rsidRDefault="006E22CD">
      <w:pPr>
        <w:tabs>
          <w:tab w:val="left" w:pos="4500"/>
        </w:tabs>
        <w:spacing w:line="240" w:lineRule="auto"/>
        <w:rPr>
          <w:rFonts w:eastAsia="Times New Roman" w:cs="Arial"/>
        </w:rPr>
      </w:pPr>
      <w:r>
        <w:rPr>
          <w:rFonts w:eastAsia="Times New Roman" w:cs="Arial"/>
        </w:rPr>
        <w:t>In the Matter of the Application of</w:t>
      </w:r>
      <w:r>
        <w:rPr>
          <w:rFonts w:eastAsia="Times New Roman" w:cs="Arial"/>
        </w:rPr>
        <w:tab/>
        <w:t>)</w:t>
      </w:r>
    </w:p>
    <w:p w:rsidR="00D94280" w:rsidRDefault="006E22CD">
      <w:pPr>
        <w:tabs>
          <w:tab w:val="left" w:pos="4500"/>
        </w:tabs>
        <w:spacing w:line="240" w:lineRule="auto"/>
        <w:rPr>
          <w:rFonts w:eastAsia="Times New Roman" w:cs="Arial"/>
        </w:rPr>
      </w:pPr>
      <w:r>
        <w:rPr>
          <w:rFonts w:eastAsia="Times New Roman" w:cs="Arial"/>
        </w:rPr>
        <w:t>Duke Energy Ohio, Inc. for Approval to</w:t>
      </w:r>
      <w:r>
        <w:rPr>
          <w:rFonts w:eastAsia="Times New Roman" w:cs="Arial"/>
        </w:rPr>
        <w:tab/>
        <w:t>)</w:t>
      </w:r>
    </w:p>
    <w:p w:rsidR="00D94280" w:rsidRDefault="006E22CD">
      <w:pPr>
        <w:tabs>
          <w:tab w:val="left" w:pos="4500"/>
        </w:tabs>
        <w:spacing w:line="240" w:lineRule="auto"/>
        <w:rPr>
          <w:rFonts w:eastAsia="Times New Roman" w:cs="Arial"/>
        </w:rPr>
      </w:pPr>
      <w:r>
        <w:rPr>
          <w:rFonts w:eastAsia="Times New Roman" w:cs="Arial"/>
        </w:rPr>
        <w:t>Continue its Cost Recovery Mechanism</w:t>
      </w:r>
      <w:r>
        <w:rPr>
          <w:rFonts w:eastAsia="Times New Roman" w:cs="Arial"/>
        </w:rPr>
        <w:tab/>
        <w:t>)</w:t>
      </w:r>
      <w:r>
        <w:rPr>
          <w:rFonts w:eastAsia="Times New Roman" w:cs="Arial"/>
        </w:rPr>
        <w:tab/>
        <w:t>Case No. 14-1580-EL-RDR</w:t>
      </w:r>
    </w:p>
    <w:p w:rsidR="00D94280" w:rsidRDefault="006E22CD">
      <w:pPr>
        <w:tabs>
          <w:tab w:val="left" w:pos="4500"/>
        </w:tabs>
        <w:spacing w:line="240" w:lineRule="auto"/>
        <w:rPr>
          <w:rFonts w:eastAsia="Times New Roman" w:cs="Arial"/>
        </w:rPr>
      </w:pPr>
      <w:proofErr w:type="gramStart"/>
      <w:r>
        <w:rPr>
          <w:rFonts w:eastAsia="Times New Roman" w:cs="Arial"/>
        </w:rPr>
        <w:t>for</w:t>
      </w:r>
      <w:proofErr w:type="gramEnd"/>
      <w:r>
        <w:rPr>
          <w:rFonts w:eastAsia="Times New Roman" w:cs="Arial"/>
        </w:rPr>
        <w:t xml:space="preserve"> Energy Efficiency Programs</w:t>
      </w:r>
      <w:r>
        <w:rPr>
          <w:rFonts w:eastAsia="Times New Roman" w:cs="Arial"/>
        </w:rPr>
        <w:tab/>
        <w:t>)</w:t>
      </w:r>
    </w:p>
    <w:p w:rsidR="00D94280" w:rsidRDefault="006E22CD">
      <w:pPr>
        <w:tabs>
          <w:tab w:val="left" w:pos="4500"/>
        </w:tabs>
        <w:spacing w:line="240" w:lineRule="auto"/>
        <w:rPr>
          <w:rFonts w:eastAsia="Times New Roman" w:cs="Arial"/>
        </w:rPr>
      </w:pPr>
      <w:proofErr w:type="gramStart"/>
      <w:r>
        <w:rPr>
          <w:rFonts w:eastAsia="Times New Roman" w:cs="Arial"/>
        </w:rPr>
        <w:t>Through 2016.</w:t>
      </w:r>
      <w:proofErr w:type="gramEnd"/>
      <w:r>
        <w:rPr>
          <w:rFonts w:eastAsia="Times New Roman" w:cs="Arial"/>
        </w:rPr>
        <w:tab/>
        <w:t>)</w:t>
      </w:r>
    </w:p>
    <w:p w:rsidR="00D94280" w:rsidRDefault="00D94280">
      <w:pPr>
        <w:spacing w:line="240" w:lineRule="auto"/>
        <w:jc w:val="left"/>
      </w:pPr>
    </w:p>
    <w:p w:rsidR="00D94280" w:rsidRDefault="006E22CD">
      <w:pPr>
        <w:spacing w:line="240" w:lineRule="auto"/>
        <w:jc w:val="left"/>
      </w:pPr>
      <w:r>
        <w:t>______________________________________________________________________</w:t>
      </w:r>
    </w:p>
    <w:p w:rsidR="00D94280" w:rsidRDefault="00D94280">
      <w:pPr>
        <w:spacing w:line="240" w:lineRule="auto"/>
        <w:jc w:val="left"/>
      </w:pPr>
    </w:p>
    <w:p w:rsidR="00D94280" w:rsidRDefault="006E22CD">
      <w:pPr>
        <w:spacing w:line="240" w:lineRule="auto"/>
        <w:jc w:val="center"/>
        <w:rPr>
          <w:rFonts w:ascii="Arial Bold" w:hAnsi="Arial Bold"/>
          <w:b/>
          <w:caps/>
          <w:smallCaps/>
          <w:sz w:val="32"/>
          <w:szCs w:val="28"/>
        </w:rPr>
      </w:pPr>
      <w:r>
        <w:rPr>
          <w:rFonts w:ascii="Arial Bold" w:hAnsi="Arial Bold"/>
          <w:b/>
          <w:smallCaps/>
          <w:sz w:val="32"/>
          <w:szCs w:val="28"/>
        </w:rPr>
        <w:t>Initial Brief of</w:t>
      </w:r>
    </w:p>
    <w:p w:rsidR="00D94280" w:rsidRDefault="006E22CD">
      <w:pPr>
        <w:spacing w:line="240" w:lineRule="auto"/>
        <w:jc w:val="center"/>
        <w:rPr>
          <w:rFonts w:ascii="Arial Bold" w:hAnsi="Arial Bold"/>
          <w:b/>
          <w:caps/>
          <w:smallCaps/>
          <w:sz w:val="32"/>
        </w:rPr>
      </w:pPr>
      <w:r>
        <w:rPr>
          <w:rFonts w:ascii="Arial Bold" w:hAnsi="Arial Bold"/>
          <w:b/>
          <w:smallCaps/>
          <w:sz w:val="32"/>
          <w:szCs w:val="28"/>
        </w:rPr>
        <w:t>Industrial Energy Users-Ohio</w:t>
      </w:r>
    </w:p>
    <w:p w:rsidR="00D94280" w:rsidRDefault="006E22CD">
      <w:pPr>
        <w:spacing w:line="240" w:lineRule="auto"/>
        <w:jc w:val="left"/>
      </w:pPr>
      <w:r>
        <w:t>______________________________________________________________________</w:t>
      </w:r>
    </w:p>
    <w:p w:rsidR="00D94280" w:rsidRDefault="00D94280">
      <w:pPr>
        <w:spacing w:line="240" w:lineRule="auto"/>
        <w:jc w:val="left"/>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9F6758" w:rsidRDefault="009F6758">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3F4F17" w:rsidRDefault="003F4F17">
      <w:pPr>
        <w:widowControl w:val="0"/>
        <w:spacing w:line="240" w:lineRule="auto"/>
        <w:ind w:left="4320"/>
        <w:jc w:val="left"/>
        <w:rPr>
          <w:rFonts w:eastAsia="Calibri" w:cs="Arial"/>
          <w:bCs/>
        </w:rPr>
      </w:pPr>
    </w:p>
    <w:p w:rsidR="00D94280" w:rsidRDefault="00D94280">
      <w:pPr>
        <w:widowControl w:val="0"/>
        <w:spacing w:line="240" w:lineRule="auto"/>
        <w:ind w:left="4320"/>
        <w:jc w:val="left"/>
        <w:rPr>
          <w:rFonts w:eastAsia="Calibri" w:cs="Arial"/>
          <w:bCs/>
        </w:rPr>
      </w:pPr>
    </w:p>
    <w:p w:rsidR="00D94280" w:rsidRDefault="006E22CD">
      <w:pPr>
        <w:widowControl w:val="0"/>
        <w:spacing w:line="240" w:lineRule="auto"/>
        <w:ind w:left="4320"/>
        <w:jc w:val="left"/>
        <w:rPr>
          <w:rFonts w:eastAsia="Calibri" w:cs="Arial"/>
          <w:bCs/>
        </w:rPr>
      </w:pPr>
      <w:r>
        <w:rPr>
          <w:rFonts w:eastAsia="Calibri" w:cs="Arial"/>
          <w:bCs/>
        </w:rPr>
        <w:t>Frank P. Darr (Reg. No. 0025469)</w:t>
      </w:r>
    </w:p>
    <w:p w:rsidR="00D94280" w:rsidRDefault="006E22CD">
      <w:pPr>
        <w:widowControl w:val="0"/>
        <w:spacing w:line="240" w:lineRule="auto"/>
        <w:ind w:left="4320"/>
        <w:jc w:val="left"/>
        <w:rPr>
          <w:rFonts w:eastAsia="Calibri" w:cs="Arial"/>
          <w:bCs/>
        </w:rPr>
      </w:pPr>
      <w:r>
        <w:rPr>
          <w:rFonts w:eastAsia="Calibri" w:cs="Arial"/>
          <w:bCs/>
        </w:rPr>
        <w:t>(Counsel of Record)</w:t>
      </w:r>
    </w:p>
    <w:p w:rsidR="00D94280" w:rsidRDefault="006E22CD">
      <w:pPr>
        <w:widowControl w:val="0"/>
        <w:spacing w:line="240" w:lineRule="auto"/>
        <w:ind w:left="4320"/>
        <w:jc w:val="left"/>
        <w:rPr>
          <w:rFonts w:eastAsia="Calibri" w:cs="Arial"/>
          <w:b/>
          <w:bCs/>
        </w:rPr>
      </w:pPr>
      <w:r>
        <w:rPr>
          <w:rFonts w:eastAsia="Calibri" w:cs="Arial"/>
          <w:bCs/>
        </w:rPr>
        <w:t>Matthew R. Pritchard (Reg. No. 0088070)</w:t>
      </w:r>
    </w:p>
    <w:p w:rsidR="00D94280" w:rsidRDefault="006E22CD">
      <w:pPr>
        <w:widowControl w:val="0"/>
        <w:spacing w:line="240" w:lineRule="auto"/>
        <w:ind w:left="4320"/>
        <w:jc w:val="left"/>
        <w:rPr>
          <w:rFonts w:eastAsia="Calibri" w:cs="Arial"/>
          <w:b/>
          <w:bCs/>
          <w:smallCaps/>
        </w:rPr>
      </w:pPr>
      <w:r>
        <w:rPr>
          <w:rFonts w:eastAsia="Calibri" w:cs="Arial"/>
          <w:bCs/>
          <w:smallCaps/>
        </w:rPr>
        <w:t>McNees Wallace &amp; Nurick LLC</w:t>
      </w:r>
    </w:p>
    <w:p w:rsidR="00D94280" w:rsidRDefault="006E22CD">
      <w:pPr>
        <w:widowControl w:val="0"/>
        <w:spacing w:line="240" w:lineRule="auto"/>
        <w:ind w:left="4320"/>
        <w:jc w:val="left"/>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rPr>
      </w:pPr>
      <w:r>
        <w:rPr>
          <w:rFonts w:eastAsia="Calibri" w:cs="Arial"/>
        </w:rPr>
        <w:t>Columbus, OH  43215</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rPr>
      </w:pPr>
      <w:r>
        <w:rPr>
          <w:rFonts w:eastAsia="Calibri" w:cs="Arial"/>
        </w:rPr>
        <w:t>Telephone:  (614) 469-8000</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color w:val="000000"/>
        </w:rPr>
      </w:pPr>
      <w:r>
        <w:rPr>
          <w:rFonts w:eastAsia="Calibri" w:cs="Arial"/>
          <w:color w:val="000000"/>
        </w:rPr>
        <w:t>Telecopier:  (614) 469-4653</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color w:val="000000"/>
        </w:rPr>
      </w:pPr>
      <w:r>
        <w:rPr>
          <w:rFonts w:eastAsia="Calibri" w:cs="Arial"/>
        </w:rPr>
        <w:t>fdarr@mwncmh.com</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smallCaps/>
          <w:color w:val="000000"/>
        </w:rPr>
      </w:pPr>
      <w:r>
        <w:rPr>
          <w:rFonts w:eastAsia="Calibri" w:cs="Arial"/>
          <w:color w:val="000000"/>
        </w:rPr>
        <w:t>mpritchard@mwncmh.com</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94280" w:rsidRDefault="00D94280">
      <w:pPr>
        <w:tabs>
          <w:tab w:val="left" w:pos="-1440"/>
          <w:tab w:val="left" w:pos="-720"/>
          <w:tab w:val="left" w:pos="5040"/>
          <w:tab w:val="center" w:pos="7200"/>
        </w:tabs>
        <w:overflowPunct w:val="0"/>
        <w:autoSpaceDE w:val="0"/>
        <w:autoSpaceDN w:val="0"/>
        <w:adjustRightInd w:val="0"/>
        <w:spacing w:line="240" w:lineRule="auto"/>
        <w:ind w:left="4320"/>
        <w:jc w:val="left"/>
        <w:rPr>
          <w:rFonts w:eastAsia="Calibri" w:cs="Arial"/>
          <w:color w:val="000000"/>
        </w:rPr>
      </w:pPr>
    </w:p>
    <w:p w:rsidR="00D94280" w:rsidRDefault="006E22CD">
      <w:pPr>
        <w:spacing w:line="240" w:lineRule="auto"/>
        <w:ind w:left="4320" w:hanging="4320"/>
        <w:jc w:val="left"/>
        <w:rPr>
          <w:rFonts w:cs="Arial"/>
          <w:b/>
          <w:bCs/>
        </w:rPr>
      </w:pPr>
      <w:r>
        <w:rPr>
          <w:rFonts w:cs="Arial"/>
          <w:b/>
          <w:smallCaps/>
          <w:color w:val="000000"/>
        </w:rPr>
        <w:t>August 21, 2015</w:t>
      </w:r>
      <w:r>
        <w:rPr>
          <w:rFonts w:cs="Arial"/>
          <w:b/>
          <w:smallCaps/>
          <w:color w:val="000000"/>
        </w:rPr>
        <w:tab/>
        <w:t>On Behalf of Industrial Energy Users-Ohio</w:t>
      </w:r>
    </w:p>
    <w:p w:rsidR="00D94280" w:rsidRDefault="00D94280">
      <w:pPr>
        <w:spacing w:line="240" w:lineRule="auto"/>
        <w:rPr>
          <w:rFonts w:asciiTheme="minorHAnsi" w:eastAsia="Times New Roman" w:hAnsiTheme="minorHAnsi" w:cs="Arial"/>
          <w:b/>
          <w:smallCaps/>
          <w:sz w:val="28"/>
          <w:szCs w:val="28"/>
        </w:rPr>
        <w:sectPr w:rsidR="00D94280" w:rsidSect="003F4F1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docGrid w:linePitch="360"/>
        </w:sectPr>
      </w:pPr>
    </w:p>
    <w:p w:rsidR="00D94280" w:rsidRDefault="006E22CD">
      <w:pPr>
        <w:spacing w:line="240" w:lineRule="auto"/>
        <w:jc w:val="center"/>
        <w:rPr>
          <w:rFonts w:eastAsia="Times New Roman" w:cs="Arial"/>
          <w:b/>
          <w:smallCaps/>
          <w:sz w:val="28"/>
          <w:szCs w:val="28"/>
        </w:rPr>
      </w:pPr>
      <w:r>
        <w:rPr>
          <w:rFonts w:eastAsia="Times New Roman" w:cs="Arial"/>
          <w:b/>
          <w:smallCaps/>
          <w:sz w:val="28"/>
          <w:szCs w:val="28"/>
        </w:rPr>
        <w:lastRenderedPageBreak/>
        <w:t>Before</w:t>
      </w:r>
    </w:p>
    <w:p w:rsidR="00D94280" w:rsidRDefault="006E22CD">
      <w:pPr>
        <w:spacing w:line="240" w:lineRule="auto"/>
        <w:jc w:val="center"/>
        <w:rPr>
          <w:rFonts w:cs="Arial"/>
          <w:b/>
          <w:smallCaps/>
          <w:sz w:val="28"/>
          <w:szCs w:val="28"/>
        </w:rPr>
      </w:pPr>
      <w:r>
        <w:rPr>
          <w:rFonts w:cs="Arial"/>
          <w:b/>
          <w:smallCaps/>
          <w:sz w:val="28"/>
          <w:szCs w:val="28"/>
        </w:rPr>
        <w:t>The Public Utilities Commission of Ohio</w:t>
      </w:r>
    </w:p>
    <w:p w:rsidR="00D94280" w:rsidRDefault="00D94280">
      <w:pPr>
        <w:autoSpaceDE w:val="0"/>
        <w:autoSpaceDN w:val="0"/>
        <w:adjustRightInd w:val="0"/>
        <w:spacing w:line="240" w:lineRule="auto"/>
        <w:jc w:val="left"/>
        <w:rPr>
          <w:rFonts w:cs="Arial"/>
        </w:rPr>
      </w:pPr>
    </w:p>
    <w:p w:rsidR="00D94280" w:rsidRDefault="006E22CD">
      <w:pPr>
        <w:tabs>
          <w:tab w:val="left" w:pos="4500"/>
        </w:tabs>
        <w:spacing w:line="240" w:lineRule="auto"/>
        <w:rPr>
          <w:rFonts w:eastAsia="Times New Roman" w:cs="Arial"/>
        </w:rPr>
      </w:pPr>
      <w:r>
        <w:rPr>
          <w:rFonts w:eastAsia="Times New Roman" w:cs="Arial"/>
        </w:rPr>
        <w:t>In the Matter of the Application of</w:t>
      </w:r>
      <w:r>
        <w:rPr>
          <w:rFonts w:eastAsia="Times New Roman" w:cs="Arial"/>
        </w:rPr>
        <w:tab/>
        <w:t>)</w:t>
      </w:r>
    </w:p>
    <w:p w:rsidR="00D94280" w:rsidRDefault="006E22CD">
      <w:pPr>
        <w:tabs>
          <w:tab w:val="left" w:pos="4500"/>
        </w:tabs>
        <w:spacing w:line="240" w:lineRule="auto"/>
        <w:rPr>
          <w:rFonts w:eastAsia="Times New Roman" w:cs="Arial"/>
        </w:rPr>
      </w:pPr>
      <w:r>
        <w:rPr>
          <w:rFonts w:eastAsia="Times New Roman" w:cs="Arial"/>
        </w:rPr>
        <w:t>Duke Energy Ohio, Inc. for Approval to</w:t>
      </w:r>
      <w:r>
        <w:rPr>
          <w:rFonts w:eastAsia="Times New Roman" w:cs="Arial"/>
        </w:rPr>
        <w:tab/>
        <w:t>)</w:t>
      </w:r>
    </w:p>
    <w:p w:rsidR="00D94280" w:rsidRDefault="006E22CD">
      <w:pPr>
        <w:tabs>
          <w:tab w:val="left" w:pos="4500"/>
        </w:tabs>
        <w:spacing w:line="240" w:lineRule="auto"/>
        <w:rPr>
          <w:rFonts w:eastAsia="Times New Roman" w:cs="Arial"/>
        </w:rPr>
      </w:pPr>
      <w:r>
        <w:rPr>
          <w:rFonts w:eastAsia="Times New Roman" w:cs="Arial"/>
        </w:rPr>
        <w:t>Continue its Cost Recovery Mechanism</w:t>
      </w:r>
      <w:r>
        <w:rPr>
          <w:rFonts w:eastAsia="Times New Roman" w:cs="Arial"/>
        </w:rPr>
        <w:tab/>
        <w:t>)</w:t>
      </w:r>
      <w:r>
        <w:rPr>
          <w:rFonts w:eastAsia="Times New Roman" w:cs="Arial"/>
        </w:rPr>
        <w:tab/>
        <w:t>Case No. 14-1580-EL-RDR</w:t>
      </w:r>
    </w:p>
    <w:p w:rsidR="00D94280" w:rsidRDefault="006E22CD">
      <w:pPr>
        <w:tabs>
          <w:tab w:val="left" w:pos="4500"/>
        </w:tabs>
        <w:spacing w:line="240" w:lineRule="auto"/>
        <w:rPr>
          <w:rFonts w:eastAsia="Times New Roman" w:cs="Arial"/>
        </w:rPr>
      </w:pPr>
      <w:proofErr w:type="gramStart"/>
      <w:r>
        <w:rPr>
          <w:rFonts w:eastAsia="Times New Roman" w:cs="Arial"/>
        </w:rPr>
        <w:t>for</w:t>
      </w:r>
      <w:proofErr w:type="gramEnd"/>
      <w:r>
        <w:rPr>
          <w:rFonts w:eastAsia="Times New Roman" w:cs="Arial"/>
        </w:rPr>
        <w:t xml:space="preserve"> Energy Efficiency Programs</w:t>
      </w:r>
      <w:r>
        <w:rPr>
          <w:rFonts w:eastAsia="Times New Roman" w:cs="Arial"/>
        </w:rPr>
        <w:tab/>
        <w:t>)</w:t>
      </w:r>
    </w:p>
    <w:p w:rsidR="00D94280" w:rsidRDefault="006E22CD">
      <w:pPr>
        <w:tabs>
          <w:tab w:val="left" w:pos="4500"/>
        </w:tabs>
        <w:spacing w:line="240" w:lineRule="auto"/>
        <w:rPr>
          <w:rFonts w:eastAsia="Times New Roman" w:cs="Arial"/>
        </w:rPr>
      </w:pPr>
      <w:proofErr w:type="gramStart"/>
      <w:r>
        <w:rPr>
          <w:rFonts w:eastAsia="Times New Roman" w:cs="Arial"/>
        </w:rPr>
        <w:t>Through 2016.</w:t>
      </w:r>
      <w:proofErr w:type="gramEnd"/>
      <w:r>
        <w:rPr>
          <w:rFonts w:eastAsia="Times New Roman" w:cs="Arial"/>
        </w:rPr>
        <w:tab/>
        <w:t>)</w:t>
      </w:r>
    </w:p>
    <w:p w:rsidR="00D94280" w:rsidRDefault="00D94280">
      <w:pPr>
        <w:spacing w:line="240" w:lineRule="auto"/>
        <w:jc w:val="left"/>
      </w:pPr>
    </w:p>
    <w:p w:rsidR="00D94280" w:rsidRDefault="006E22CD">
      <w:pPr>
        <w:spacing w:line="240" w:lineRule="auto"/>
        <w:jc w:val="left"/>
      </w:pPr>
      <w:r>
        <w:t>______________________________________________________________________</w:t>
      </w:r>
    </w:p>
    <w:p w:rsidR="00D94280" w:rsidRDefault="00D94280">
      <w:pPr>
        <w:spacing w:line="240" w:lineRule="auto"/>
        <w:jc w:val="left"/>
        <w:rPr>
          <w:sz w:val="16"/>
          <w:szCs w:val="16"/>
        </w:rPr>
      </w:pPr>
    </w:p>
    <w:p w:rsidR="00D94280" w:rsidRDefault="006E22CD">
      <w:pPr>
        <w:spacing w:line="240" w:lineRule="auto"/>
        <w:jc w:val="center"/>
        <w:rPr>
          <w:rFonts w:ascii="Arial Bold" w:hAnsi="Arial Bold"/>
          <w:b/>
          <w:caps/>
          <w:smallCaps/>
          <w:sz w:val="28"/>
          <w:szCs w:val="28"/>
        </w:rPr>
      </w:pPr>
      <w:r>
        <w:rPr>
          <w:rFonts w:ascii="Arial Bold" w:hAnsi="Arial Bold"/>
          <w:b/>
          <w:smallCaps/>
          <w:sz w:val="28"/>
          <w:szCs w:val="28"/>
        </w:rPr>
        <w:t>Initial Brief of</w:t>
      </w:r>
    </w:p>
    <w:p w:rsidR="00D94280" w:rsidRDefault="006E22CD">
      <w:pPr>
        <w:spacing w:line="240" w:lineRule="auto"/>
        <w:jc w:val="center"/>
        <w:rPr>
          <w:rFonts w:ascii="Arial Bold" w:hAnsi="Arial Bold"/>
          <w:b/>
          <w:caps/>
          <w:smallCaps/>
          <w:sz w:val="28"/>
          <w:szCs w:val="28"/>
        </w:rPr>
      </w:pPr>
      <w:r>
        <w:rPr>
          <w:rFonts w:ascii="Arial Bold" w:hAnsi="Arial Bold"/>
          <w:b/>
          <w:smallCaps/>
          <w:sz w:val="28"/>
          <w:szCs w:val="28"/>
        </w:rPr>
        <w:t>Industrial Energy Users-Ohio</w:t>
      </w:r>
    </w:p>
    <w:p w:rsidR="00D94280" w:rsidRDefault="006E22CD">
      <w:pPr>
        <w:spacing w:line="240" w:lineRule="auto"/>
        <w:jc w:val="left"/>
      </w:pPr>
      <w:r>
        <w:t>______________________________________________________________________</w:t>
      </w:r>
    </w:p>
    <w:p w:rsidR="00D94280" w:rsidRDefault="00D94280">
      <w:pPr>
        <w:spacing w:line="240" w:lineRule="auto"/>
        <w:jc w:val="left"/>
      </w:pPr>
    </w:p>
    <w:p w:rsidR="00176EEA" w:rsidRDefault="00176EEA">
      <w:pPr>
        <w:spacing w:line="240" w:lineRule="auto"/>
        <w:jc w:val="left"/>
      </w:pPr>
    </w:p>
    <w:p w:rsidR="00D94280" w:rsidRDefault="006E22CD">
      <w:pPr>
        <w:ind w:firstLine="720"/>
      </w:pPr>
      <w:r>
        <w:t>Duke Energy Ohio, Inc. (“Duke”) has an energy efficiency and peak demand reduction (“EE/PDR”) portfolio compliance plan (“portfolio plan”) approved by the Public Utilities Commission of Ohio (“Commission”) that extends through December 31, 2016.  Under its portfolio plan, however, Duke’s cost recovery mechanism is only authorized through December 31, 2015.  Duke’s portfolio plan also only authorizes Duke to collect lost distribution revenue and shared savings through December 31, 2015.</w:t>
      </w:r>
    </w:p>
    <w:p w:rsidR="00D94280" w:rsidRDefault="006E22CD">
      <w:pPr>
        <w:ind w:firstLine="720"/>
      </w:pPr>
      <w:r>
        <w:t xml:space="preserve">On September 9, 2014, Duke filed an application in the above-captioned matter seeking to amend its current portfolio plan (“Application to </w:t>
      </w:r>
      <w:proofErr w:type="gramStart"/>
      <w:r>
        <w:t>Amend</w:t>
      </w:r>
      <w:proofErr w:type="gramEnd"/>
      <w:r>
        <w:t xml:space="preserve"> its Portfolio Plan”). More specifically, the Application to </w:t>
      </w:r>
      <w:proofErr w:type="gramStart"/>
      <w:r>
        <w:t>Amend</w:t>
      </w:r>
      <w:proofErr w:type="gramEnd"/>
      <w:r>
        <w:t xml:space="preserve"> its Portfolio Plan seeks Commission authorization to extend the authorization of its recovery mechanism and the collection of lost distribution revenue and shared savings for an additional 12 months ending December 31, 2016.</w:t>
      </w:r>
      <w:r>
        <w:rPr>
          <w:vertAlign w:val="superscript"/>
        </w:rPr>
        <w:footnoteReference w:id="1"/>
      </w:r>
      <w:r>
        <w:t xml:space="preserve">  Comments and Reply Comments were filed on the Application to </w:t>
      </w:r>
      <w:proofErr w:type="gramStart"/>
      <w:r>
        <w:t>Amend</w:t>
      </w:r>
      <w:proofErr w:type="gramEnd"/>
      <w:r>
        <w:t xml:space="preserve"> its Portfolio Plan in December 2014 and January 2015, respectively.  A hearing was held in this matter on July 7, 2015.  Pursuant to the briefing schedule established </w:t>
      </w:r>
      <w:r>
        <w:lastRenderedPageBreak/>
        <w:t>by the Attorney Examiner at the conclusion of the hearing, Industrial Energy Users-Ohio (“IEU-Ohio”) submits this Initial Brief.</w:t>
      </w:r>
    </w:p>
    <w:p w:rsidR="00D94280" w:rsidRDefault="006E22CD">
      <w:pPr>
        <w:ind w:firstLine="720"/>
      </w:pPr>
      <w:r>
        <w:t xml:space="preserve">As provided by Substitute Senate Bill 310 (“SB 310”), the Commission should modify and approve Duke’s Application to </w:t>
      </w:r>
      <w:proofErr w:type="gramStart"/>
      <w:r>
        <w:t>Amend</w:t>
      </w:r>
      <w:proofErr w:type="gramEnd"/>
      <w:r>
        <w:t xml:space="preserve"> its Portfolio Plan and deny Duke’s request to extend its collection of shared savings through the end of 2016.  The Commission should also find that Duke’s Application to </w:t>
      </w:r>
      <w:proofErr w:type="gramStart"/>
      <w:r>
        <w:t>Amend</w:t>
      </w:r>
      <w:proofErr w:type="gramEnd"/>
      <w:r>
        <w:t xml:space="preserve"> its Portfolio Plan triggers the availability for Duke’s energy-intensive customers to opt out of Duke’s amended portfolio plan.</w:t>
      </w:r>
    </w:p>
    <w:p w:rsidR="00D94280" w:rsidRDefault="006E22CD">
      <w:pPr>
        <w:pStyle w:val="Heading1"/>
      </w:pPr>
      <w:r>
        <w:t>sb 310</w:t>
      </w:r>
    </w:p>
    <w:p w:rsidR="00D94280" w:rsidRDefault="006E22CD">
      <w:r>
        <w:tab/>
        <w:t>SB 310 became effective on September 12, 2014, and modified the law in Ohio regarding Ohio’s portfolio mandates.  SB 310 provides that if an electric distribution utility (“EDU”) has a portfolio plan in effect on the effective date of SB 310 (September 12, 2014), then the EDU must either continue its existing portfolio plan with no amendments through 2016, or seek an amendment within 30 days of the effective date of SB 310 (October 12, 2014).</w:t>
      </w:r>
      <w:r>
        <w:rPr>
          <w:rStyle w:val="FootnoteReference"/>
        </w:rPr>
        <w:footnoteReference w:id="2"/>
      </w:r>
      <w:r>
        <w:t xml:space="preserve">  Section 7(A) of SB 310 further provides that the Commission may neither review nor approve an application for a portfolio plan if the application is pending on September 12, 2014.  If an EDU did not file an application to amend the existing portfolio plan by October 12, 2014, the Commission may not “take any action” with regard to the existing plan except those “actions necessary to administer the implementation” of the EDU’s existing portfolio plan.</w:t>
      </w:r>
      <w:r>
        <w:rPr>
          <w:vertAlign w:val="superscript"/>
        </w:rPr>
        <w:footnoteReference w:id="3"/>
      </w:r>
      <w:r>
        <w:t xml:space="preserve">  </w:t>
      </w:r>
    </w:p>
    <w:p w:rsidR="00D94280" w:rsidRDefault="006E22CD">
      <w:r>
        <w:lastRenderedPageBreak/>
        <w:tab/>
        <w:t>If an EDU files an application seeking to amend its portfolio plan, SB 310 provides the EDU’s energy-intensive customers the ability to opt out of the amended plan.</w:t>
      </w:r>
      <w:r>
        <w:rPr>
          <w:rStyle w:val="FootnoteReference"/>
        </w:rPr>
        <w:footnoteReference w:id="4"/>
      </w:r>
    </w:p>
    <w:p w:rsidR="00D94280" w:rsidRDefault="006E22CD">
      <w:pPr>
        <w:pStyle w:val="Heading1"/>
      </w:pPr>
      <w:r>
        <w:t>argument</w:t>
      </w:r>
    </w:p>
    <w:p w:rsidR="00D94280" w:rsidRDefault="006E22CD">
      <w:pPr>
        <w:pStyle w:val="Heading2"/>
      </w:pPr>
      <w:r>
        <w:t>Duke seeks to amend its current portfolio plan</w:t>
      </w:r>
    </w:p>
    <w:p w:rsidR="00D94280" w:rsidRDefault="006E22CD">
      <w:r>
        <w:tab/>
        <w:t>Duke’s current portfolio plan was authorized on December 4, 2013, in Case No. 13-431-EL-POR.</w:t>
      </w:r>
      <w:r>
        <w:rPr>
          <w:rStyle w:val="FootnoteReference"/>
        </w:rPr>
        <w:footnoteReference w:id="5"/>
      </w:r>
      <w:r>
        <w:t xml:space="preserve">  The current portfolio plan extends through December 2016 but only provides for a cost recovery mechanism and authorization to collect lost distribution revenue and shared savings through the end of 2015.</w:t>
      </w:r>
      <w:r>
        <w:rPr>
          <w:rStyle w:val="FootnoteReference"/>
        </w:rPr>
        <w:footnoteReference w:id="6"/>
      </w:r>
      <w:r>
        <w:t xml:space="preserve">  Duke’s Application to </w:t>
      </w:r>
      <w:proofErr w:type="gramStart"/>
      <w:r>
        <w:t>Amend</w:t>
      </w:r>
      <w:proofErr w:type="gramEnd"/>
      <w:r>
        <w:t xml:space="preserve"> its Portfolio Plan demonstrates that Duke is seeking to amend its current portfolio plan to extend its cost recovery mechanism and its authorization to collect lost distribution revenue and shared savings for an additional 12 months through the end of December 2016.</w:t>
      </w:r>
      <w:r>
        <w:rPr>
          <w:rStyle w:val="FootnoteReference"/>
        </w:rPr>
        <w:footnoteReference w:id="7"/>
      </w:r>
      <w:r>
        <w:t xml:space="preserve">  Duke’s witness Duff further confirmed at the hearing that Duke’s Application to </w:t>
      </w:r>
      <w:proofErr w:type="gramStart"/>
      <w:r>
        <w:t>Amend</w:t>
      </w:r>
      <w:proofErr w:type="gramEnd"/>
      <w:r>
        <w:t xml:space="preserve"> its Portfolio Plan, if approved, would result in an amendment to its current portfolio plan.</w:t>
      </w:r>
      <w:r>
        <w:rPr>
          <w:rStyle w:val="FootnoteReference"/>
        </w:rPr>
        <w:footnoteReference w:id="8"/>
      </w:r>
      <w:r>
        <w:t xml:space="preserve">  Thus, it is beyond dispute that Duke seeks to amend the current terms of its portfolio plan.</w:t>
      </w:r>
    </w:p>
    <w:p w:rsidR="00176EEA" w:rsidRDefault="00176EEA">
      <w:pPr>
        <w:spacing w:after="120" w:line="240" w:lineRule="auto"/>
        <w:jc w:val="left"/>
        <w:rPr>
          <w:rFonts w:eastAsiaTheme="majorEastAsia" w:cs="Arial"/>
          <w:b/>
          <w:bCs/>
          <w:szCs w:val="26"/>
        </w:rPr>
      </w:pPr>
      <w:r>
        <w:br w:type="page"/>
      </w:r>
    </w:p>
    <w:p w:rsidR="00D94280" w:rsidRDefault="006E22CD">
      <w:pPr>
        <w:pStyle w:val="Heading2"/>
      </w:pPr>
      <w:r>
        <w:lastRenderedPageBreak/>
        <w:t xml:space="preserve">The Commission should modify and approve Duke’s Application to </w:t>
      </w:r>
      <w:proofErr w:type="gramStart"/>
      <w:r>
        <w:t>Amend</w:t>
      </w:r>
      <w:proofErr w:type="gramEnd"/>
      <w:r>
        <w:t xml:space="preserve"> its Portfolio Plan rather than dismiss it pursuant to Section 7(A) of SB 310</w:t>
      </w:r>
    </w:p>
    <w:p w:rsidR="00D94280" w:rsidRDefault="006E22CD">
      <w:r>
        <w:tab/>
        <w:t xml:space="preserve">By filing its Application to Amend Its Portfolio Plan on September 9, 2014, Duke has created a potential procedural problem because the provisions allowing for an amendment of the current portfolio plan were not effective until September 12, 2014.  As a matter of efficiency, the Commission should address the Application to </w:t>
      </w:r>
      <w:proofErr w:type="gramStart"/>
      <w:r>
        <w:t>Amend</w:t>
      </w:r>
      <w:proofErr w:type="gramEnd"/>
      <w:r>
        <w:t xml:space="preserve"> its Portfolio Plan as if Duke had properly sought an amendment to the current portfolio plan.  As a factual matter, the Application to </w:t>
      </w:r>
      <w:proofErr w:type="gramStart"/>
      <w:r>
        <w:t>Amend</w:t>
      </w:r>
      <w:proofErr w:type="gramEnd"/>
      <w:r>
        <w:t xml:space="preserve"> its Portfolio Plan was filed before October 12, 2014, thus meeting the filing deadline established by SB 310.  The alternative is a dismissal as required by Section 7(A) of SB 310.</w:t>
      </w:r>
      <w:r>
        <w:rPr>
          <w:rStyle w:val="FootnoteReference"/>
        </w:rPr>
        <w:footnoteReference w:id="9"/>
      </w:r>
    </w:p>
    <w:p w:rsidR="00D94280" w:rsidRDefault="006E22CD">
      <w:pPr>
        <w:pStyle w:val="Heading2"/>
      </w:pPr>
      <w:r>
        <w:t>The Commission should not authorize Duke to collect a shared savings incentive from customers in 2016</w:t>
      </w:r>
    </w:p>
    <w:p w:rsidR="00D94280" w:rsidRDefault="006E22CD">
      <w:r>
        <w:tab/>
        <w:t xml:space="preserve">If the Commission does not dismiss Duke’s Application to </w:t>
      </w:r>
      <w:proofErr w:type="gramStart"/>
      <w:r>
        <w:t>Amend</w:t>
      </w:r>
      <w:proofErr w:type="gramEnd"/>
      <w:r>
        <w:t xml:space="preserve"> its Portfolio Plan, the Commission may, and in this case should, modify the mechanism requested by Duke to remove the provision that would permit Duke to recover shared savings.  </w:t>
      </w:r>
    </w:p>
    <w:p w:rsidR="00D94280" w:rsidRDefault="006E22CD">
      <w:r>
        <w:tab/>
        <w:t xml:space="preserve">Initially, Duke acknowledges that its ability to collect shared savings in 2016 is a moot issue if the Commission upholds its Finding </w:t>
      </w:r>
      <w:r w:rsidR="00176EEA">
        <w:t>and Order in Case No. 14</w:t>
      </w:r>
      <w:r w:rsidR="00176EEA">
        <w:noBreakHyphen/>
        <w:t>457</w:t>
      </w:r>
      <w:r w:rsidR="00176EEA">
        <w:noBreakHyphen/>
        <w:t>EL</w:t>
      </w:r>
      <w:r w:rsidR="00176EEA">
        <w:noBreakHyphen/>
      </w:r>
      <w:r>
        <w:t>RDR (which is pending on rehearing).</w:t>
      </w:r>
      <w:r>
        <w:rPr>
          <w:rStyle w:val="FootnoteReference"/>
        </w:rPr>
        <w:footnoteReference w:id="10"/>
      </w:r>
      <w:r>
        <w:t xml:space="preserve">  In that decision, the Commission held that Duke could not rely on banked savings from prior years to claim a shared savings incentive in a subsequent year.</w:t>
      </w:r>
      <w:r>
        <w:rPr>
          <w:rStyle w:val="FootnoteReference"/>
        </w:rPr>
        <w:footnoteReference w:id="11"/>
      </w:r>
      <w:r>
        <w:t xml:space="preserve">  Duke’s witness Duff testified that it would not </w:t>
      </w:r>
      <w:r>
        <w:lastRenderedPageBreak/>
        <w:t>be able to meet or exceed the 2016 benchmark without reliance on banked savings.</w:t>
      </w:r>
      <w:r>
        <w:rPr>
          <w:rStyle w:val="FootnoteReference"/>
        </w:rPr>
        <w:footnoteReference w:id="12"/>
      </w:r>
      <w:r>
        <w:t xml:space="preserve">  Accordingly, unless the Commission reverses </w:t>
      </w:r>
      <w:r w:rsidR="00176EEA">
        <w:t xml:space="preserve">its </w:t>
      </w:r>
      <w:r>
        <w:t>Finding and Order i</w:t>
      </w:r>
      <w:r w:rsidR="00176EEA">
        <w:t>n Case No. 14</w:t>
      </w:r>
      <w:r w:rsidR="00176EEA">
        <w:noBreakHyphen/>
      </w:r>
      <w:r>
        <w:t>457</w:t>
      </w:r>
      <w:r w:rsidR="00176EEA">
        <w:noBreakHyphen/>
      </w:r>
      <w:r>
        <w:t>EL</w:t>
      </w:r>
      <w:r w:rsidR="00176EEA">
        <w:noBreakHyphen/>
      </w:r>
      <w:r>
        <w:t xml:space="preserve">RDR regarding the use of banked savings to calculate a shared savings incentive, Duke’s request to extend the recovery of shared savings into 2016 is a moot issue.  The Commission, therefore, should reject the provision of Duke’s Application to </w:t>
      </w:r>
      <w:proofErr w:type="gramStart"/>
      <w:r>
        <w:t>Amend</w:t>
      </w:r>
      <w:proofErr w:type="gramEnd"/>
      <w:r>
        <w:t xml:space="preserve"> its Portfolio Plan that seeks to extend its authorization to collect shared savings for an additional 12 months.</w:t>
      </w:r>
    </w:p>
    <w:p w:rsidR="00D94280" w:rsidRDefault="006E22CD">
      <w:r>
        <w:tab/>
        <w:t xml:space="preserve">Even if the Commission addresses the merits of Duke’s request, the Commission should still reject Duke’s request to extend the collection of shared savings through the end of 2016 because Duke’s request is unreasonable.  In the Application to </w:t>
      </w:r>
      <w:proofErr w:type="gramStart"/>
      <w:r>
        <w:t>Amend</w:t>
      </w:r>
      <w:proofErr w:type="gramEnd"/>
      <w:r>
        <w:t xml:space="preserve"> its Portfolio Plan, the only claim that Duke makes to support the continuation of the shared savings provision is that the net present value of the avoided costs associated with the energy and capacity achievements has been over 3.5 times the costs incurred to achieve those results.</w:t>
      </w:r>
      <w:r>
        <w:rPr>
          <w:rStyle w:val="FootnoteReference"/>
        </w:rPr>
        <w:footnoteReference w:id="13"/>
      </w:r>
      <w:r>
        <w:t xml:space="preserve">  By law, however, Duke is required to provide a cost-effective program.</w:t>
      </w:r>
      <w:r>
        <w:rPr>
          <w:rStyle w:val="FootnoteReference"/>
        </w:rPr>
        <w:footnoteReference w:id="14"/>
      </w:r>
      <w:r>
        <w:t xml:space="preserve">  </w:t>
      </w:r>
      <w:r>
        <w:rPr>
          <w:rFonts w:eastAsia="Calibri" w:cs="Times New Roman"/>
        </w:rPr>
        <w:t xml:space="preserve">The requirement to demonstrate prudent management of the compliance obligations should be an adequate “incentive” for Duke to reduce its portfolio compliance costs.  </w:t>
      </w:r>
      <w:r>
        <w:t xml:space="preserve">There is no reason for the Commission to find that a shared savings provision is necessary when Duke has demonstrated only that it is doing what the law requires it to do.  </w:t>
      </w:r>
    </w:p>
    <w:p w:rsidR="00D94280" w:rsidRDefault="006E22CD">
      <w:r>
        <w:tab/>
      </w:r>
      <w:r w:rsidRPr="00176EEA">
        <w:t xml:space="preserve">Additionally, Duke’s witness Duff testified that without authorization to rely on banked savings to calculate its shared savings incentive, Duke will operate its portfolio </w:t>
      </w:r>
      <w:r w:rsidRPr="00176EEA">
        <w:lastRenderedPageBreak/>
        <w:t>plan inefficiently in an effort to maximize its shared savings incentive.</w:t>
      </w:r>
      <w:r w:rsidRPr="00176EEA">
        <w:rPr>
          <w:vertAlign w:val="superscript"/>
        </w:rPr>
        <w:footnoteReference w:id="15"/>
      </w:r>
      <w:r w:rsidRPr="00176EEA">
        <w:t xml:space="preserve">  However, </w:t>
      </w:r>
      <w:r w:rsidR="00176EEA">
        <w:t>Mr. </w:t>
      </w:r>
      <w:r w:rsidRPr="00176EEA">
        <w:t>Duff also testified that operating its portfolio plan programs inefficiently in an effort to maximize its shared savings incentive would have the potential to create additional and imprudent costs for customers.</w:t>
      </w:r>
      <w:r w:rsidRPr="00176EEA">
        <w:rPr>
          <w:rStyle w:val="FootnoteReference"/>
        </w:rPr>
        <w:footnoteReference w:id="16"/>
      </w:r>
      <w:r>
        <w:t xml:space="preserve">  Under these circumstances, Duke’s testimony demonstrates that it would be unreasonable to authorize Duke to collect any shared savings in 2016.</w:t>
      </w:r>
    </w:p>
    <w:p w:rsidR="00D94280" w:rsidRDefault="006E22CD">
      <w:r>
        <w:rPr>
          <w:rFonts w:eastAsia="Calibri" w:cs="Times New Roman"/>
        </w:rPr>
        <w:tab/>
        <w:t>In sum, the Commission should reject Duke’s request to extend its authorization to collect shared savings through the end of 2016 because the issue is moot and because Duke has failed to demonstrate that extending the authorization is just and reasonable.</w:t>
      </w:r>
    </w:p>
    <w:p w:rsidR="00D94280" w:rsidRDefault="006E22CD">
      <w:pPr>
        <w:pStyle w:val="Heading2"/>
      </w:pPr>
      <w:r>
        <w:t xml:space="preserve">The Commission should find that Duke’s Application to </w:t>
      </w:r>
      <w:proofErr w:type="gramStart"/>
      <w:r>
        <w:t>Amend</w:t>
      </w:r>
      <w:proofErr w:type="gramEnd"/>
      <w:r>
        <w:t xml:space="preserve"> its Portfolio Plan triggers the availability under SB 310 for Duke’s energy-intensive customers to opt out of the amended plan</w:t>
      </w:r>
    </w:p>
    <w:p w:rsidR="00D94280" w:rsidRDefault="006E22CD">
      <w:pPr>
        <w:ind w:firstLine="720"/>
      </w:pPr>
      <w:r>
        <w:t xml:space="preserve">If an EDU files an application to amend its portfolio plan, the Commission </w:t>
      </w:r>
      <w:r>
        <w:rPr>
          <w:i/>
          <w:u w:val="single"/>
        </w:rPr>
        <w:t>must</w:t>
      </w:r>
      <w:r>
        <w:t xml:space="preserve"> either approve, or modify and approve, the application pursuant to Section 6(B) of SB 310.  Accordingly, if the Commission does not dismiss Duke’s Application to </w:t>
      </w:r>
      <w:proofErr w:type="gramStart"/>
      <w:r>
        <w:t>Amend</w:t>
      </w:r>
      <w:proofErr w:type="gramEnd"/>
      <w:r>
        <w:t xml:space="preserve"> its Portfolio Plan pursuant to Section 7(A) of SB 310, Duke’s portfolio plan will be amended under SB 310.</w:t>
      </w:r>
    </w:p>
    <w:p w:rsidR="00D94280" w:rsidRDefault="006E22CD">
      <w:pPr>
        <w:spacing w:after="240"/>
        <w:ind w:firstLine="720"/>
      </w:pPr>
      <w:r>
        <w:t xml:space="preserve">Section 8 of SB 310 further provides, “[b]eginning January 1, 2015, a customer of an electric distribution utility may opt out of the opportunity and ability to obtain direct benefits from the utility’s portfolio plan that is amended under division (B) of Section 6.”  For purposes of Section 8 of SB 310, “customer” is defined as a customer that takes service above primary voltage levels or a commercial or industrial customer that has </w:t>
      </w:r>
      <w:r>
        <w:lastRenderedPageBreak/>
        <w:t>made a written request for registration as a self-assessing purchaser pursuant to R.C. 5727.81 (</w:t>
      </w:r>
      <w:r>
        <w:rPr>
          <w:i/>
        </w:rPr>
        <w:t>i.e.,</w:t>
      </w:r>
      <w:r>
        <w:t xml:space="preserve"> the customer may self-assess the kilowatt-hour tax).</w:t>
      </w:r>
      <w:r>
        <w:rPr>
          <w:rStyle w:val="FootnoteReference"/>
        </w:rPr>
        <w:footnoteReference w:id="17"/>
      </w:r>
      <w:r>
        <w:t xml:space="preserve">  So that it is clear that the effect of Duke’s Application to </w:t>
      </w:r>
      <w:proofErr w:type="gramStart"/>
      <w:r>
        <w:t>Amend</w:t>
      </w:r>
      <w:proofErr w:type="gramEnd"/>
      <w:r>
        <w:t xml:space="preserve"> its Portfolio Plan triggers the customer’s right to accelerate the opportunity to opt out of the portfolio plan, the Commission should make an affirmative finding that eligible customers may opt out of the amended plan as provided by Section 8 of SB 310.</w:t>
      </w:r>
    </w:p>
    <w:p w:rsidR="00D94280" w:rsidRDefault="006E22CD">
      <w:pPr>
        <w:pStyle w:val="Heading1"/>
      </w:pPr>
      <w:r>
        <w:t>conclusion</w:t>
      </w:r>
    </w:p>
    <w:p w:rsidR="00D94280" w:rsidRDefault="006E22CD">
      <w:r>
        <w:tab/>
        <w:t>The Commission should conclude that Duke is seeking to amend its portfolio plan pursuant to Section 6 of SB 310.  The Commission should also modify Duke’s proposed amended plan and should reject Duke’s request to extend its authorization to collect shared savings through the end of 2016.  Because an application to amend a portfolio plan results in an amended portfolio plan (as the Commission must either approve, or modify and approve), the Commission should also confirm that eligible customers may opt out of Duke’s amended portfolio plan immediately pursuant to Section 8 of SB 310.</w:t>
      </w:r>
    </w:p>
    <w:p w:rsidR="00D94280" w:rsidRDefault="006E22CD">
      <w:pPr>
        <w:pStyle w:val="BodyTextIndent"/>
        <w:spacing w:after="0"/>
        <w:ind w:left="4320"/>
      </w:pPr>
      <w:r>
        <w:t>Respectfully submitted,</w:t>
      </w:r>
    </w:p>
    <w:p w:rsidR="00D94280" w:rsidRDefault="00D94280">
      <w:pPr>
        <w:pStyle w:val="BodyTextIndent"/>
        <w:spacing w:after="0"/>
        <w:ind w:left="4320"/>
      </w:pPr>
    </w:p>
    <w:p w:rsidR="00D94280" w:rsidRDefault="006E22CD">
      <w:pPr>
        <w:tabs>
          <w:tab w:val="left" w:pos="4320"/>
          <w:tab w:val="right" w:pos="8640"/>
        </w:tabs>
        <w:spacing w:line="240" w:lineRule="auto"/>
        <w:ind w:left="4320"/>
        <w:rPr>
          <w:rFonts w:cs="Arial"/>
          <w:i/>
        </w:rPr>
      </w:pPr>
      <w:r>
        <w:rPr>
          <w:rFonts w:cs="Arial"/>
          <w:i/>
          <w:u w:val="single"/>
        </w:rPr>
        <w:t>/s/ Matthew R. Pritchard</w:t>
      </w:r>
      <w:r>
        <w:rPr>
          <w:rFonts w:cs="Arial"/>
          <w:i/>
          <w:u w:val="single"/>
        </w:rPr>
        <w:tab/>
      </w:r>
      <w:r>
        <w:rPr>
          <w:rFonts w:cs="Arial"/>
          <w:i/>
        </w:rPr>
        <w:t xml:space="preserve"> </w:t>
      </w:r>
    </w:p>
    <w:p w:rsidR="00D94280" w:rsidRDefault="006E22CD">
      <w:pPr>
        <w:widowControl w:val="0"/>
        <w:spacing w:line="240" w:lineRule="auto"/>
        <w:ind w:left="4320"/>
        <w:rPr>
          <w:rFonts w:eastAsia="Calibri" w:cs="Arial"/>
          <w:bCs/>
        </w:rPr>
      </w:pPr>
      <w:r>
        <w:rPr>
          <w:rFonts w:eastAsia="Calibri" w:cs="Arial"/>
          <w:bCs/>
        </w:rPr>
        <w:t>Frank P. Darr (Reg. No. 0025469)</w:t>
      </w:r>
    </w:p>
    <w:p w:rsidR="00D94280" w:rsidRDefault="006E22CD">
      <w:pPr>
        <w:widowControl w:val="0"/>
        <w:spacing w:line="240" w:lineRule="auto"/>
        <w:ind w:left="4320"/>
        <w:rPr>
          <w:rFonts w:eastAsia="Calibri" w:cs="Arial"/>
          <w:bCs/>
        </w:rPr>
      </w:pPr>
      <w:r>
        <w:rPr>
          <w:rFonts w:eastAsia="Calibri" w:cs="Arial"/>
        </w:rPr>
        <w:t>(Counsel of Record)</w:t>
      </w:r>
    </w:p>
    <w:p w:rsidR="00D94280" w:rsidRDefault="006E22CD">
      <w:pPr>
        <w:widowControl w:val="0"/>
        <w:spacing w:line="240" w:lineRule="auto"/>
        <w:ind w:left="4320"/>
        <w:rPr>
          <w:rFonts w:eastAsia="Calibri" w:cs="Arial"/>
          <w:b/>
          <w:bCs/>
        </w:rPr>
      </w:pPr>
      <w:r>
        <w:rPr>
          <w:rFonts w:eastAsia="Calibri" w:cs="Arial"/>
          <w:bCs/>
        </w:rPr>
        <w:t>Matthew R. Pritchard (Reg. No. 0088070)</w:t>
      </w:r>
    </w:p>
    <w:p w:rsidR="00D94280" w:rsidRDefault="006E22CD">
      <w:pPr>
        <w:widowControl w:val="0"/>
        <w:spacing w:line="240" w:lineRule="auto"/>
        <w:ind w:left="4320"/>
        <w:rPr>
          <w:rFonts w:eastAsia="Calibri" w:cs="Arial"/>
          <w:b/>
          <w:bCs/>
          <w:smallCaps/>
        </w:rPr>
      </w:pPr>
      <w:r>
        <w:rPr>
          <w:rFonts w:eastAsia="Calibri" w:cs="Arial"/>
          <w:bCs/>
          <w:smallCaps/>
        </w:rPr>
        <w:t>McNees Wallace &amp; Nurick LLC</w:t>
      </w:r>
    </w:p>
    <w:p w:rsidR="00D94280" w:rsidRDefault="006E22CD">
      <w:pPr>
        <w:widowControl w:val="0"/>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D94280" w:rsidRDefault="006E22C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D94280" w:rsidRDefault="00D94280">
      <w:pPr>
        <w:tabs>
          <w:tab w:val="left" w:pos="-1440"/>
          <w:tab w:val="left" w:pos="-720"/>
          <w:tab w:val="left" w:pos="4680"/>
          <w:tab w:val="left" w:pos="5040"/>
        </w:tabs>
        <w:spacing w:line="240" w:lineRule="auto"/>
        <w:rPr>
          <w:rFonts w:cs="Arial"/>
        </w:rPr>
      </w:pPr>
    </w:p>
    <w:p w:rsidR="003F4F17" w:rsidRDefault="006E22CD">
      <w:pPr>
        <w:tabs>
          <w:tab w:val="left" w:pos="-1440"/>
          <w:tab w:val="left" w:pos="-720"/>
          <w:tab w:val="left" w:pos="4320"/>
        </w:tabs>
        <w:spacing w:line="240" w:lineRule="auto"/>
        <w:ind w:left="4320" w:hanging="4320"/>
        <w:rPr>
          <w:rFonts w:cs="Arial"/>
          <w:b/>
        </w:rPr>
        <w:sectPr w:rsidR="003F4F1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r>
        <w:rPr>
          <w:rFonts w:cs="Arial"/>
        </w:rPr>
        <w:tab/>
      </w:r>
      <w:r>
        <w:rPr>
          <w:rFonts w:cs="Arial"/>
          <w:b/>
        </w:rPr>
        <w:t>Attorneys for Industrial Energy Users-Ohio</w:t>
      </w:r>
    </w:p>
    <w:p w:rsidR="00D94280" w:rsidRDefault="00D94280">
      <w:pPr>
        <w:tabs>
          <w:tab w:val="left" w:pos="-1440"/>
          <w:tab w:val="left" w:pos="-720"/>
          <w:tab w:val="left" w:pos="4320"/>
        </w:tabs>
        <w:spacing w:line="240" w:lineRule="auto"/>
        <w:ind w:left="4320" w:hanging="4320"/>
      </w:pPr>
    </w:p>
    <w:p w:rsidR="00D94280" w:rsidRDefault="006E22CD">
      <w:pPr>
        <w:spacing w:line="240" w:lineRule="auto"/>
        <w:jc w:val="center"/>
        <w:rPr>
          <w:rFonts w:ascii="Arial Bold" w:hAnsi="Arial Bold" w:cs="Arial"/>
          <w:b/>
          <w:smallCaps/>
          <w:sz w:val="28"/>
          <w:szCs w:val="28"/>
          <w:u w:val="single"/>
        </w:rPr>
      </w:pPr>
      <w:r>
        <w:rPr>
          <w:rFonts w:ascii="Arial Bold" w:hAnsi="Arial Bold" w:cs="Arial"/>
          <w:b/>
          <w:smallCaps/>
          <w:sz w:val="28"/>
          <w:szCs w:val="28"/>
          <w:u w:val="single"/>
        </w:rPr>
        <w:t>Certificate Of Service</w:t>
      </w:r>
    </w:p>
    <w:p w:rsidR="00D94280" w:rsidRDefault="00D94280">
      <w:pPr>
        <w:pStyle w:val="BodyText"/>
        <w:spacing w:after="0" w:line="240" w:lineRule="auto"/>
        <w:ind w:firstLine="720"/>
      </w:pPr>
    </w:p>
    <w:p w:rsidR="00D94280" w:rsidRDefault="006E22CD">
      <w:pPr>
        <w:pStyle w:val="BodyText"/>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Initial Brief of Industrial Energy Users-Ohio </w:t>
      </w:r>
      <w:r>
        <w:t>was sent by, or on behalf of, the undersigned counsel for IEU-Ohio to the following parties of record this 21</w:t>
      </w:r>
      <w:r>
        <w:rPr>
          <w:vertAlign w:val="superscript"/>
        </w:rPr>
        <w:t>st</w:t>
      </w:r>
      <w:r>
        <w:t xml:space="preserve"> day of August 2015, </w:t>
      </w:r>
      <w:r>
        <w:rPr>
          <w:i/>
        </w:rPr>
        <w:t>via</w:t>
      </w:r>
      <w:r>
        <w:t xml:space="preserve"> electronic transmission. </w:t>
      </w:r>
    </w:p>
    <w:p w:rsidR="00D94280" w:rsidRDefault="006E22CD">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D94280" w:rsidRDefault="006E22CD">
      <w:pPr>
        <w:tabs>
          <w:tab w:val="left" w:pos="4320"/>
          <w:tab w:val="center" w:pos="6840"/>
        </w:tabs>
        <w:spacing w:line="240" w:lineRule="auto"/>
        <w:rPr>
          <w:rFonts w:cs="Arial"/>
        </w:rPr>
      </w:pPr>
      <w:r>
        <w:rPr>
          <w:rFonts w:cs="Arial"/>
        </w:rPr>
        <w:tab/>
      </w:r>
      <w:r>
        <w:rPr>
          <w:rFonts w:cs="Arial"/>
        </w:rPr>
        <w:tab/>
        <w:t>Matthew R. Pritchard</w:t>
      </w:r>
    </w:p>
    <w:p w:rsidR="00D94280" w:rsidRDefault="00D94280">
      <w:pPr>
        <w:spacing w:line="240" w:lineRule="auto"/>
        <w:rPr>
          <w:rFonts w:cs="Arial"/>
        </w:rPr>
      </w:pPr>
    </w:p>
    <w:p w:rsidR="00D94280" w:rsidRDefault="00D94280">
      <w:pPr>
        <w:spacing w:line="240" w:lineRule="auto"/>
        <w:rPr>
          <w:rFonts w:cs="Arial"/>
          <w:sz w:val="22"/>
          <w:szCs w:val="22"/>
        </w:rPr>
      </w:pPr>
    </w:p>
    <w:p w:rsidR="00D94280" w:rsidRDefault="00D94280">
      <w:pPr>
        <w:spacing w:line="240" w:lineRule="auto"/>
        <w:rPr>
          <w:rFonts w:cs="Arial"/>
          <w:sz w:val="22"/>
          <w:szCs w:val="22"/>
        </w:rPr>
        <w:sectPr w:rsidR="00D94280">
          <w:pgSz w:w="12240" w:h="15840" w:code="1"/>
          <w:pgMar w:top="1440" w:right="1440" w:bottom="1141" w:left="1440" w:header="720" w:footer="720" w:gutter="0"/>
          <w:pgNumType w:start="1"/>
          <w:cols w:space="720"/>
          <w:titlePg/>
          <w:docGrid w:linePitch="326"/>
        </w:sectPr>
      </w:pPr>
    </w:p>
    <w:p w:rsidR="00D94280" w:rsidRDefault="006E22CD" w:rsidP="00176EEA">
      <w:pPr>
        <w:spacing w:line="240" w:lineRule="auto"/>
        <w:jc w:val="left"/>
        <w:rPr>
          <w:rFonts w:cs="Arial"/>
          <w:sz w:val="22"/>
          <w:szCs w:val="22"/>
        </w:rPr>
      </w:pPr>
      <w:r>
        <w:rPr>
          <w:rFonts w:cs="Arial"/>
          <w:sz w:val="22"/>
          <w:szCs w:val="22"/>
        </w:rPr>
        <w:lastRenderedPageBreak/>
        <w:t>Amy B. Spiller (Reg. No. 0047277)</w:t>
      </w:r>
    </w:p>
    <w:p w:rsidR="00D94280" w:rsidRDefault="006E22CD" w:rsidP="00176EEA">
      <w:pPr>
        <w:spacing w:line="240" w:lineRule="auto"/>
        <w:jc w:val="left"/>
        <w:rPr>
          <w:rFonts w:cs="Arial"/>
          <w:sz w:val="22"/>
          <w:szCs w:val="22"/>
        </w:rPr>
      </w:pPr>
      <w:r>
        <w:rPr>
          <w:rFonts w:cs="Arial"/>
          <w:sz w:val="22"/>
          <w:szCs w:val="22"/>
        </w:rPr>
        <w:t>Deputy General Counsel</w:t>
      </w:r>
    </w:p>
    <w:p w:rsidR="00D94280" w:rsidRDefault="006E22CD" w:rsidP="00176EEA">
      <w:pPr>
        <w:spacing w:line="240" w:lineRule="auto"/>
        <w:jc w:val="left"/>
        <w:rPr>
          <w:rFonts w:cs="Arial"/>
          <w:sz w:val="22"/>
          <w:szCs w:val="22"/>
        </w:rPr>
      </w:pPr>
      <w:r>
        <w:rPr>
          <w:rFonts w:cs="Arial"/>
          <w:sz w:val="22"/>
          <w:szCs w:val="22"/>
        </w:rPr>
        <w:t>Elizabeth H. Watts (Reg. No. 0031092)</w:t>
      </w:r>
    </w:p>
    <w:p w:rsidR="00D94280" w:rsidRDefault="006E22CD" w:rsidP="00176EEA">
      <w:pPr>
        <w:spacing w:line="240" w:lineRule="auto"/>
        <w:jc w:val="left"/>
        <w:rPr>
          <w:rFonts w:cs="Arial"/>
          <w:sz w:val="22"/>
          <w:szCs w:val="22"/>
        </w:rPr>
      </w:pPr>
      <w:r>
        <w:rPr>
          <w:rFonts w:cs="Arial"/>
          <w:sz w:val="22"/>
          <w:szCs w:val="22"/>
        </w:rPr>
        <w:t>Counsel of Record</w:t>
      </w:r>
    </w:p>
    <w:p w:rsidR="00D94280" w:rsidRDefault="006E22CD" w:rsidP="00176EEA">
      <w:pPr>
        <w:spacing w:line="240" w:lineRule="auto"/>
        <w:jc w:val="left"/>
        <w:rPr>
          <w:rFonts w:cs="Arial"/>
          <w:sz w:val="22"/>
          <w:szCs w:val="22"/>
        </w:rPr>
      </w:pPr>
      <w:r>
        <w:rPr>
          <w:rFonts w:cs="Arial"/>
          <w:sz w:val="22"/>
          <w:szCs w:val="22"/>
        </w:rPr>
        <w:t>Associate General Counsel</w:t>
      </w:r>
    </w:p>
    <w:p w:rsidR="00D94280" w:rsidRDefault="006E22CD" w:rsidP="00176EEA">
      <w:pPr>
        <w:spacing w:line="240" w:lineRule="auto"/>
        <w:jc w:val="left"/>
        <w:rPr>
          <w:rFonts w:cs="Arial"/>
          <w:sz w:val="22"/>
          <w:szCs w:val="22"/>
        </w:rPr>
      </w:pPr>
      <w:r>
        <w:rPr>
          <w:rFonts w:cs="Arial"/>
          <w:sz w:val="22"/>
          <w:szCs w:val="22"/>
        </w:rPr>
        <w:t>Duke Energy Business Services LLC</w:t>
      </w:r>
    </w:p>
    <w:p w:rsidR="00D94280" w:rsidRDefault="006E22CD" w:rsidP="00176EEA">
      <w:pPr>
        <w:spacing w:line="240" w:lineRule="auto"/>
        <w:jc w:val="left"/>
        <w:rPr>
          <w:rFonts w:cs="Arial"/>
          <w:sz w:val="22"/>
          <w:szCs w:val="22"/>
        </w:rPr>
      </w:pPr>
      <w:r>
        <w:rPr>
          <w:rFonts w:cs="Arial"/>
          <w:sz w:val="22"/>
          <w:szCs w:val="22"/>
        </w:rPr>
        <w:t>139 East Fourth Street, 1303-Main</w:t>
      </w:r>
    </w:p>
    <w:p w:rsidR="00D94280" w:rsidRDefault="006E22CD" w:rsidP="00176EEA">
      <w:pPr>
        <w:spacing w:line="240" w:lineRule="auto"/>
        <w:jc w:val="left"/>
        <w:rPr>
          <w:rFonts w:cs="Arial"/>
          <w:sz w:val="22"/>
          <w:szCs w:val="22"/>
        </w:rPr>
      </w:pPr>
      <w:r>
        <w:rPr>
          <w:rFonts w:cs="Arial"/>
          <w:sz w:val="22"/>
          <w:szCs w:val="22"/>
        </w:rPr>
        <w:t>P.O. Box 960</w:t>
      </w:r>
    </w:p>
    <w:p w:rsidR="00D94280" w:rsidRDefault="006E22CD" w:rsidP="00176EEA">
      <w:pPr>
        <w:spacing w:line="240" w:lineRule="auto"/>
        <w:jc w:val="left"/>
        <w:rPr>
          <w:rFonts w:cs="Arial"/>
          <w:sz w:val="22"/>
          <w:szCs w:val="22"/>
        </w:rPr>
      </w:pPr>
      <w:r>
        <w:rPr>
          <w:rFonts w:cs="Arial"/>
          <w:sz w:val="22"/>
          <w:szCs w:val="22"/>
        </w:rPr>
        <w:t>Cincinnati, OH  45201-0960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Amy.Spiller@duke-energy.com</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Elizabeth.watts@duke-energy.com</w:t>
      </w:r>
      <w:bookmarkStart w:id="0" w:name="_GoBack"/>
      <w:bookmarkEnd w:id="0"/>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Duke Energy Ohio, Inc.</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David C. Rinebolt (Counsel of Record)</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Colleen L. Mooney</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Partners for Affordable Energy</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231 West Lima Street</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P.O. Box 1793</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Findlay, OH 45839-1793</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drinebolt@ohiopartners.org</w:t>
      </w:r>
    </w:p>
    <w:p w:rsidR="00D94280" w:rsidRDefault="006E22CD" w:rsidP="00176EEA">
      <w:pPr>
        <w:spacing w:line="240" w:lineRule="auto"/>
        <w:jc w:val="left"/>
        <w:rPr>
          <w:rFonts w:cs="Arial"/>
          <w:color w:val="000000" w:themeColor="text1"/>
          <w:sz w:val="22"/>
          <w:szCs w:val="22"/>
        </w:rPr>
      </w:pPr>
      <w:r>
        <w:rPr>
          <w:rFonts w:cs="Arial"/>
          <w:sz w:val="22"/>
          <w:szCs w:val="22"/>
        </w:rPr>
        <w:t>cmooney@ohiopartners.org</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Ohio Partners for Affordable Energy</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BRUCE J. WESTON</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CONSUMERS’ COUNSEL</w:t>
      </w:r>
    </w:p>
    <w:p w:rsidR="00D94280" w:rsidRDefault="00D94280" w:rsidP="00176EEA">
      <w:pPr>
        <w:autoSpaceDE w:val="0"/>
        <w:autoSpaceDN w:val="0"/>
        <w:adjustRightInd w:val="0"/>
        <w:spacing w:line="240" w:lineRule="auto"/>
        <w:jc w:val="left"/>
        <w:rPr>
          <w:rFonts w:cs="Arial"/>
          <w:i/>
          <w:iCs/>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 L. Kern (Counsel of Record) (Reg. No. 0084199)</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 J. Schuler (Reg. No. 0082390)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D94280" w:rsidRDefault="006E22CD" w:rsidP="00176EEA">
      <w:pPr>
        <w:autoSpaceDE w:val="0"/>
        <w:autoSpaceDN w:val="0"/>
        <w:adjustRightInd w:val="0"/>
        <w:spacing w:line="240" w:lineRule="auto"/>
        <w:jc w:val="left"/>
        <w:rPr>
          <w:rFonts w:cs="Arial"/>
          <w:bCs/>
          <w:color w:val="000000" w:themeColor="text1"/>
          <w:sz w:val="22"/>
          <w:szCs w:val="22"/>
        </w:rPr>
      </w:pPr>
      <w:r>
        <w:rPr>
          <w:rFonts w:cs="Arial"/>
          <w:bCs/>
          <w:color w:val="000000" w:themeColor="text1"/>
          <w:sz w:val="22"/>
          <w:szCs w:val="22"/>
        </w:rPr>
        <w:t>Office of the Ohio Consumers’ Counsel</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Ohio 43215-3485</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Kyle.kern@occ.ohio.gov</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Michael.schuler@occ.ohio.gov</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the Office of the Ohio Consumers’ Counsel</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Kimberly W. Bojko (Reg. No. 0069402)</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Joel E. Sechler (Reg. No. 0076320)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Carpenter Lipps &amp; Leland LLP</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280 North High Street, Suite 1300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Bojko@carpenterlipps.com</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sechler@carpenterlippps.com</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the Ohio Manufacturers’ Association</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D94280" w:rsidP="00176EEA">
      <w:pPr>
        <w:autoSpaceDE w:val="0"/>
        <w:autoSpaceDN w:val="0"/>
        <w:adjustRightInd w:val="0"/>
        <w:spacing w:line="240" w:lineRule="auto"/>
        <w:jc w:val="left"/>
        <w:rPr>
          <w:rFonts w:cs="Arial"/>
          <w:color w:val="000000" w:themeColor="text1"/>
          <w:sz w:val="22"/>
          <w:szCs w:val="22"/>
        </w:rPr>
        <w:sectPr w:rsidR="00D94280">
          <w:type w:val="continuous"/>
          <w:pgSz w:w="12240" w:h="15840" w:code="1"/>
          <w:pgMar w:top="1440" w:right="1440" w:bottom="1141" w:left="1440" w:header="720" w:footer="720" w:gutter="0"/>
          <w:pgNumType w:start="1"/>
          <w:cols w:num="2" w:space="720"/>
          <w:titlePg/>
          <w:docGrid w:linePitch="326"/>
        </w:sect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Christopher J. Allwein (Reg. No. 0084914)</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(Counsel of Record)</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Margeaux Kimbrough (Reg. No. 0085152)</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Kegler Brown Hill &amp; Ritter LPA</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Capitol Square, Suite 1800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65 East State Street</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43215-4294</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callwein@keglerbrown.com</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mkimbrough@keglerbrown.com</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People Working Cooperatively, Inc.</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David Boehm (Reg. No. 0021881)</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Michael Kurtz (Reg. No. 0033350)</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Jody Kyler Cohn (Reg. No. 0085402)</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Boehm, Kurtz &amp; Lowry</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36 East Seventh St., Suite 1510</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Cincinnati, OH  45202</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dboehm@BKLlawfirm.com</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mkurtz@BKLlawfirm.com</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jkylercohn@BKLlawfirm.com</w:t>
      </w:r>
    </w:p>
    <w:p w:rsidR="00D94280" w:rsidRDefault="00D94280" w:rsidP="00176EEA">
      <w:pPr>
        <w:tabs>
          <w:tab w:val="left" w:pos="2160"/>
          <w:tab w:val="left" w:pos="2280"/>
        </w:tabs>
        <w:spacing w:line="240" w:lineRule="auto"/>
        <w:jc w:val="left"/>
        <w:rPr>
          <w:rFonts w:cs="Arial"/>
          <w:sz w:val="22"/>
          <w:szCs w:val="22"/>
        </w:rPr>
      </w:pPr>
    </w:p>
    <w:p w:rsidR="00D94280" w:rsidRDefault="006E22CD" w:rsidP="00176EEA">
      <w:pPr>
        <w:tabs>
          <w:tab w:val="left" w:pos="2160"/>
          <w:tab w:val="left" w:pos="2280"/>
        </w:tabs>
        <w:spacing w:line="240" w:lineRule="auto"/>
        <w:jc w:val="left"/>
        <w:rPr>
          <w:rFonts w:cs="Arial"/>
          <w:b/>
          <w:smallCaps/>
          <w:sz w:val="22"/>
          <w:szCs w:val="22"/>
        </w:rPr>
      </w:pPr>
      <w:r>
        <w:rPr>
          <w:rFonts w:cs="Arial"/>
          <w:b/>
          <w:smallCaps/>
          <w:sz w:val="22"/>
          <w:szCs w:val="22"/>
        </w:rPr>
        <w:t>Counsel for the Ohio Energy Group</w:t>
      </w:r>
    </w:p>
    <w:p w:rsidR="00D94280" w:rsidRDefault="00D94280" w:rsidP="00176EEA">
      <w:pPr>
        <w:tabs>
          <w:tab w:val="left" w:pos="2160"/>
          <w:tab w:val="left" w:pos="2280"/>
        </w:tabs>
        <w:spacing w:line="240" w:lineRule="auto"/>
        <w:jc w:val="left"/>
        <w:rPr>
          <w:rFonts w:cs="Arial"/>
          <w:sz w:val="22"/>
          <w:szCs w:val="22"/>
        </w:rPr>
      </w:pP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Rebecca L. Hussey (Counsel of Record)</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(Reg. No. 0079444)</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Counsel of Record</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Carpenter Lipps &amp; Leland LLP</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 xml:space="preserve">280 </w:t>
      </w:r>
      <w:proofErr w:type="gramStart"/>
      <w:r>
        <w:rPr>
          <w:rFonts w:cs="Arial"/>
          <w:sz w:val="22"/>
          <w:szCs w:val="22"/>
        </w:rPr>
        <w:t>Plaza</w:t>
      </w:r>
      <w:proofErr w:type="gramEnd"/>
      <w:r>
        <w:rPr>
          <w:rFonts w:cs="Arial"/>
          <w:sz w:val="22"/>
          <w:szCs w:val="22"/>
        </w:rPr>
        <w:t>, Suite 1300</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280 North High Street</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Columbus, OH  43215</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Hussey@carpenterlipps.com</w:t>
      </w:r>
    </w:p>
    <w:p w:rsidR="00D94280" w:rsidRDefault="00D94280" w:rsidP="00176EEA">
      <w:pPr>
        <w:tabs>
          <w:tab w:val="left" w:pos="2160"/>
          <w:tab w:val="left" w:pos="2280"/>
        </w:tabs>
        <w:spacing w:line="240" w:lineRule="auto"/>
        <w:jc w:val="left"/>
        <w:rPr>
          <w:rFonts w:cs="Arial"/>
          <w:sz w:val="22"/>
          <w:szCs w:val="22"/>
        </w:rPr>
      </w:pPr>
    </w:p>
    <w:p w:rsidR="00D94280" w:rsidRDefault="006E22CD" w:rsidP="00176EEA">
      <w:pPr>
        <w:tabs>
          <w:tab w:val="left" w:pos="2160"/>
          <w:tab w:val="left" w:pos="2280"/>
        </w:tabs>
        <w:spacing w:line="240" w:lineRule="auto"/>
        <w:jc w:val="left"/>
        <w:rPr>
          <w:rFonts w:cs="Arial"/>
          <w:b/>
          <w:smallCaps/>
          <w:sz w:val="22"/>
          <w:szCs w:val="22"/>
        </w:rPr>
      </w:pPr>
      <w:r>
        <w:rPr>
          <w:rFonts w:cs="Arial"/>
          <w:b/>
          <w:smallCaps/>
          <w:sz w:val="22"/>
          <w:szCs w:val="22"/>
        </w:rPr>
        <w:t>Counsel for The Kroger Company</w:t>
      </w:r>
    </w:p>
    <w:p w:rsidR="00D94280" w:rsidRDefault="00D94280" w:rsidP="00176EEA">
      <w:pPr>
        <w:tabs>
          <w:tab w:val="left" w:pos="2160"/>
          <w:tab w:val="left" w:pos="2280"/>
        </w:tabs>
        <w:spacing w:line="240" w:lineRule="auto"/>
        <w:jc w:val="left"/>
        <w:rPr>
          <w:rFonts w:cs="Arial"/>
          <w:b/>
          <w:smallCaps/>
          <w:sz w:val="22"/>
          <w:szCs w:val="22"/>
        </w:rPr>
      </w:pP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Samantha Williams</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Staff Attorney</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Natural Resources Defense Council</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20 N. Wacker Drive, Suite 1600</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Chicago, IL  60606</w:t>
      </w:r>
    </w:p>
    <w:p w:rsidR="00D94280" w:rsidRDefault="006E22CD" w:rsidP="00176EEA">
      <w:pPr>
        <w:tabs>
          <w:tab w:val="left" w:pos="2160"/>
          <w:tab w:val="left" w:pos="2280"/>
        </w:tabs>
        <w:spacing w:line="240" w:lineRule="auto"/>
        <w:jc w:val="left"/>
        <w:rPr>
          <w:rFonts w:cs="Arial"/>
          <w:sz w:val="22"/>
          <w:szCs w:val="22"/>
        </w:rPr>
      </w:pPr>
      <w:r>
        <w:rPr>
          <w:rFonts w:cs="Arial"/>
          <w:sz w:val="22"/>
          <w:szCs w:val="22"/>
        </w:rPr>
        <w:t>swilliams@nrdc.org</w:t>
      </w:r>
    </w:p>
    <w:p w:rsidR="00D94280" w:rsidRDefault="00D94280" w:rsidP="00176EEA">
      <w:pPr>
        <w:tabs>
          <w:tab w:val="left" w:pos="2160"/>
          <w:tab w:val="left" w:pos="2280"/>
        </w:tabs>
        <w:spacing w:line="240" w:lineRule="auto"/>
        <w:jc w:val="left"/>
        <w:rPr>
          <w:rFonts w:cs="Arial"/>
          <w:sz w:val="22"/>
          <w:szCs w:val="22"/>
        </w:rPr>
      </w:pPr>
    </w:p>
    <w:p w:rsidR="00D94280" w:rsidRDefault="006E22CD" w:rsidP="00176EEA">
      <w:pPr>
        <w:tabs>
          <w:tab w:val="left" w:pos="2160"/>
          <w:tab w:val="left" w:pos="2280"/>
        </w:tabs>
        <w:spacing w:line="240" w:lineRule="auto"/>
        <w:jc w:val="left"/>
        <w:rPr>
          <w:rFonts w:cs="Arial"/>
          <w:b/>
          <w:smallCaps/>
          <w:sz w:val="22"/>
          <w:szCs w:val="22"/>
        </w:rPr>
      </w:pPr>
      <w:r>
        <w:rPr>
          <w:rFonts w:cs="Arial"/>
          <w:b/>
          <w:smallCaps/>
          <w:sz w:val="22"/>
          <w:szCs w:val="22"/>
        </w:rPr>
        <w:t>Counsel for Natural Resources Defense Council</w:t>
      </w:r>
    </w:p>
    <w:p w:rsidR="00D94280" w:rsidRDefault="00D94280" w:rsidP="00176EEA">
      <w:pPr>
        <w:tabs>
          <w:tab w:val="left" w:pos="2160"/>
          <w:tab w:val="left" w:pos="2280"/>
        </w:tabs>
        <w:spacing w:line="240" w:lineRule="auto"/>
        <w:jc w:val="left"/>
        <w:rPr>
          <w:rFonts w:cs="Arial"/>
          <w:b/>
          <w:smallCaps/>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Trent A. Dougherty (Reg. No. 0079817)</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(Counsel of Record)</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Managing Director of Legal Affairs</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1207 Grandview Avenue, Suite 201</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43212-3449</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TDougherty@theOEC.org</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the Ohio Environmental Council</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Justin Vickers</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Environmental Law &amp; Policy Center</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35 East Wacker Drive, Suite 1600</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Chicago, IL  60601</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jvickers@elpc.org</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Madeline Fleisher</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Staff Attorney</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Environmental Law &amp; Policy Center</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1207 Grandview Avenue, Suite 201</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43212</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mfleisher@elpc.org</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the Environmental Law &amp; Policy Center</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Katie Johnson</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John Jones</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 xml:space="preserve">Assistant Attorney General </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Public Utilities Section</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180 East Broad Street, 6th Floor</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D94280" w:rsidRDefault="006E22CD" w:rsidP="00176EEA">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Katie.johnson@puc.state.oh.us</w:t>
      </w:r>
      <w:r>
        <w:rPr>
          <w:rFonts w:cs="Arial"/>
          <w:color w:val="000000" w:themeColor="text1"/>
          <w:sz w:val="22"/>
          <w:szCs w:val="22"/>
        </w:rPr>
        <w:br/>
        <w:t>john.jones@puc.state.oh.us</w:t>
      </w:r>
    </w:p>
    <w:p w:rsidR="00D94280" w:rsidRDefault="00D94280" w:rsidP="00176EEA">
      <w:pPr>
        <w:tabs>
          <w:tab w:val="left" w:pos="2160"/>
          <w:tab w:val="left" w:pos="2280"/>
        </w:tabs>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the Staff of the Public Utilities Commission of Ohio</w:t>
      </w:r>
    </w:p>
    <w:p w:rsidR="00D94280" w:rsidRDefault="00D94280" w:rsidP="00176EEA">
      <w:pPr>
        <w:autoSpaceDE w:val="0"/>
        <w:autoSpaceDN w:val="0"/>
        <w:adjustRightInd w:val="0"/>
        <w:spacing w:line="240" w:lineRule="auto"/>
        <w:jc w:val="left"/>
        <w:rPr>
          <w:rFonts w:cs="Arial"/>
          <w:color w:val="000000" w:themeColor="text1"/>
          <w:sz w:val="22"/>
          <w:szCs w:val="22"/>
        </w:rPr>
      </w:pP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Christine Pirik</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Nicholas Walstra</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Attorney Examiners</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180 East Broad Street, 12</w:t>
      </w:r>
      <w:r>
        <w:rPr>
          <w:rFonts w:cs="Arial"/>
          <w:color w:val="000000" w:themeColor="text1"/>
          <w:sz w:val="22"/>
          <w:szCs w:val="22"/>
          <w:vertAlign w:val="superscript"/>
        </w:rPr>
        <w:t>th</w:t>
      </w:r>
      <w:r>
        <w:rPr>
          <w:rFonts w:cs="Arial"/>
          <w:color w:val="000000" w:themeColor="text1"/>
          <w:sz w:val="22"/>
          <w:szCs w:val="22"/>
        </w:rPr>
        <w:t xml:space="preserve"> Floor</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Christine.pirik@puc.state.oh.us</w:t>
      </w:r>
    </w:p>
    <w:p w:rsidR="00D94280" w:rsidRDefault="006E22CD" w:rsidP="00176EEA">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Nicholas.walstra@puc.state.oh.us</w:t>
      </w:r>
    </w:p>
    <w:p w:rsidR="00D94280" w:rsidRDefault="00D94280" w:rsidP="00176EEA">
      <w:pPr>
        <w:tabs>
          <w:tab w:val="left" w:pos="2160"/>
          <w:tab w:val="left" w:pos="2280"/>
        </w:tabs>
        <w:spacing w:line="240" w:lineRule="auto"/>
        <w:jc w:val="left"/>
        <w:rPr>
          <w:rFonts w:cs="Arial"/>
          <w:sz w:val="22"/>
          <w:szCs w:val="22"/>
        </w:rPr>
      </w:pPr>
    </w:p>
    <w:p w:rsidR="00D94280" w:rsidRPr="00840A26" w:rsidRDefault="006E22CD" w:rsidP="00840A26">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Attorney Examiners</w:t>
      </w:r>
    </w:p>
    <w:sectPr w:rsidR="00D94280" w:rsidRPr="00840A26">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80" w:rsidRDefault="006E22CD">
      <w:pPr>
        <w:spacing w:line="240" w:lineRule="auto"/>
      </w:pPr>
      <w:r>
        <w:separator/>
      </w:r>
    </w:p>
  </w:endnote>
  <w:endnote w:type="continuationSeparator" w:id="0">
    <w:p w:rsidR="00D94280" w:rsidRDefault="006E2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6E22CD">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32EF9">
    <w:pPr>
      <w:pStyle w:val="Footer"/>
      <w:jc w:val="center"/>
    </w:pPr>
    <w:r w:rsidRPr="00D32EF9">
      <w:rPr>
        <w:noProof/>
        <w:sz w:val="16"/>
      </w:rPr>
      <w:t>{C47732:2 }</w:t>
    </w:r>
    <w:r w:rsidR="006E22CD">
      <w:fldChar w:fldCharType="begin"/>
    </w:r>
    <w:r w:rsidR="006E22CD">
      <w:instrText xml:space="preserve"> PAGE   \* MERGEFORMAT </w:instrText>
    </w:r>
    <w:r w:rsidR="006E22CD">
      <w:fldChar w:fldCharType="separate"/>
    </w:r>
    <w:r w:rsidR="006E22CD">
      <w:rPr>
        <w:noProof/>
      </w:rPr>
      <w:t>1</w:t>
    </w:r>
    <w:r w:rsidR="006E22CD">
      <w:fldChar w:fldCharType="end"/>
    </w:r>
  </w:p>
  <w:p w:rsidR="00D94280" w:rsidRDefault="00D94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32EF9">
    <w:pPr>
      <w:pStyle w:val="Footer"/>
    </w:pPr>
    <w:r w:rsidRPr="00D32EF9">
      <w:rPr>
        <w:noProof/>
        <w:sz w:val="16"/>
      </w:rPr>
      <w:t>{C47732:2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942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32EF9">
    <w:pPr>
      <w:pStyle w:val="Footer"/>
      <w:rPr>
        <w:rFonts w:cs="Arial"/>
      </w:rPr>
    </w:pPr>
    <w:r w:rsidRPr="00D32EF9">
      <w:rPr>
        <w:rFonts w:cs="Arial"/>
        <w:noProof/>
        <w:sz w:val="16"/>
      </w:rPr>
      <w:t>{C47732:2 }</w:t>
    </w:r>
    <w:r w:rsidR="003F4F17">
      <w:rPr>
        <w:rFonts w:cs="Arial"/>
        <w:noProof/>
        <w:sz w:val="16"/>
      </w:rPr>
      <w:tab/>
    </w:r>
    <w:r w:rsidR="003F4F17" w:rsidRPr="003F4F17">
      <w:rPr>
        <w:rFonts w:cs="Arial"/>
        <w:noProof/>
        <w:sz w:val="22"/>
        <w:szCs w:val="22"/>
      </w:rPr>
      <w:fldChar w:fldCharType="begin"/>
    </w:r>
    <w:r w:rsidR="003F4F17" w:rsidRPr="003F4F17">
      <w:rPr>
        <w:rFonts w:cs="Arial"/>
        <w:noProof/>
        <w:sz w:val="22"/>
        <w:szCs w:val="22"/>
      </w:rPr>
      <w:instrText xml:space="preserve"> PAGE   \* MERGEFORMAT </w:instrText>
    </w:r>
    <w:r w:rsidR="003F4F17" w:rsidRPr="003F4F17">
      <w:rPr>
        <w:rFonts w:cs="Arial"/>
        <w:noProof/>
        <w:sz w:val="22"/>
        <w:szCs w:val="22"/>
      </w:rPr>
      <w:fldChar w:fldCharType="separate"/>
    </w:r>
    <w:r w:rsidR="00C104DC">
      <w:rPr>
        <w:rFonts w:cs="Arial"/>
        <w:noProof/>
        <w:sz w:val="22"/>
        <w:szCs w:val="22"/>
      </w:rPr>
      <w:t>7</w:t>
    </w:r>
    <w:r w:rsidR="003F4F17" w:rsidRPr="003F4F17">
      <w:rPr>
        <w:rFonts w:cs="Arial"/>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32EF9">
    <w:pPr>
      <w:pStyle w:val="Footer"/>
      <w:rPr>
        <w:rFonts w:cs="Arial"/>
      </w:rPr>
    </w:pPr>
    <w:r w:rsidRPr="00D32EF9">
      <w:rPr>
        <w:rFonts w:cs="Arial"/>
        <w:noProof/>
        <w:sz w:val="16"/>
      </w:rPr>
      <w:t>{C47732:2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80" w:rsidRDefault="006E22CD">
      <w:pPr>
        <w:spacing w:line="240" w:lineRule="auto"/>
        <w:rPr>
          <w:noProof/>
        </w:rPr>
      </w:pPr>
      <w:r>
        <w:rPr>
          <w:noProof/>
        </w:rPr>
        <w:separator/>
      </w:r>
    </w:p>
  </w:footnote>
  <w:footnote w:type="continuationSeparator" w:id="0">
    <w:p w:rsidR="00D94280" w:rsidRDefault="006E22CD">
      <w:pPr>
        <w:spacing w:line="240" w:lineRule="auto"/>
      </w:pPr>
      <w:r>
        <w:continuationSeparator/>
      </w:r>
    </w:p>
  </w:footnote>
  <w:footnote w:id="1">
    <w:p w:rsidR="00D94280" w:rsidRDefault="006E22CD">
      <w:pPr>
        <w:pStyle w:val="FootnoteText"/>
      </w:pPr>
      <w:r>
        <w:rPr>
          <w:rStyle w:val="FootnoteReference"/>
        </w:rPr>
        <w:footnoteRef/>
      </w:r>
      <w:r>
        <w:t xml:space="preserve"> Duke Ex. 1.</w:t>
      </w:r>
    </w:p>
  </w:footnote>
  <w:footnote w:id="2">
    <w:p w:rsidR="00D94280" w:rsidRDefault="006E22CD">
      <w:pPr>
        <w:pStyle w:val="FootnoteText"/>
      </w:pPr>
      <w:r>
        <w:rPr>
          <w:rStyle w:val="FootnoteReference"/>
        </w:rPr>
        <w:footnoteRef/>
      </w:r>
      <w:r>
        <w:t xml:space="preserve"> SB 310, Section 6.</w:t>
      </w:r>
    </w:p>
  </w:footnote>
  <w:footnote w:id="3">
    <w:p w:rsidR="00D94280" w:rsidRDefault="006E22CD">
      <w:pPr>
        <w:pStyle w:val="FootnoteText"/>
      </w:pPr>
      <w:r>
        <w:rPr>
          <w:rStyle w:val="FootnoteReference"/>
        </w:rPr>
        <w:footnoteRef/>
      </w:r>
      <w:r>
        <w:t xml:space="preserve"> SB 310, Section 7(B).</w:t>
      </w:r>
    </w:p>
  </w:footnote>
  <w:footnote w:id="4">
    <w:p w:rsidR="00D94280" w:rsidRDefault="006E22CD">
      <w:pPr>
        <w:pStyle w:val="FootnoteText"/>
      </w:pPr>
      <w:r>
        <w:rPr>
          <w:rStyle w:val="FootnoteReference"/>
        </w:rPr>
        <w:footnoteRef/>
      </w:r>
      <w:r>
        <w:t xml:space="preserve"> SB 310, Section 8.</w:t>
      </w:r>
    </w:p>
  </w:footnote>
  <w:footnote w:id="5">
    <w:p w:rsidR="00D94280" w:rsidRDefault="006E22CD">
      <w:pPr>
        <w:pStyle w:val="FootnoteText"/>
      </w:pPr>
      <w:r>
        <w:rPr>
          <w:rStyle w:val="FootnoteReference"/>
        </w:rPr>
        <w:footnoteRef/>
      </w:r>
      <w:r>
        <w:t xml:space="preserve"> </w:t>
      </w:r>
      <w:r>
        <w:rPr>
          <w:i/>
        </w:rPr>
        <w:t>In the Matter of the Application of Duke Energy Ohio, Inc. for Approval of its Energy Efficiency and Peak-Demand Reduction Portfolio Programs</w:t>
      </w:r>
      <w:r>
        <w:t>, Case No. 13-431-EL-POR, Opinion and Order (Dec. 4, 2013) (hereinafter “</w:t>
      </w:r>
      <w:r>
        <w:rPr>
          <w:i/>
        </w:rPr>
        <w:t>2013 Portfolio Plan Case</w:t>
      </w:r>
      <w:r>
        <w:t>” or “2013 Portfolio Plan Order,” where appropriate); Duke Ex. 1 at 2.</w:t>
      </w:r>
    </w:p>
  </w:footnote>
  <w:footnote w:id="6">
    <w:p w:rsidR="00D94280" w:rsidRDefault="006E22CD">
      <w:pPr>
        <w:pStyle w:val="FootnoteText"/>
      </w:pPr>
      <w:r>
        <w:rPr>
          <w:rStyle w:val="FootnoteReference"/>
        </w:rPr>
        <w:footnoteRef/>
      </w:r>
      <w:r>
        <w:t xml:space="preserve"> Duke Ex. 1 at 2; Tr. at 34-35.</w:t>
      </w:r>
    </w:p>
  </w:footnote>
  <w:footnote w:id="7">
    <w:p w:rsidR="00D94280" w:rsidRDefault="006E22CD">
      <w:pPr>
        <w:pStyle w:val="FootnoteText"/>
      </w:pPr>
      <w:r>
        <w:rPr>
          <w:rStyle w:val="FootnoteReference"/>
        </w:rPr>
        <w:footnoteRef/>
      </w:r>
      <w:r>
        <w:t xml:space="preserve"> Duke Ex. 1 at 4.</w:t>
      </w:r>
    </w:p>
  </w:footnote>
  <w:footnote w:id="8">
    <w:p w:rsidR="00D94280" w:rsidRDefault="006E22CD">
      <w:pPr>
        <w:pStyle w:val="FootnoteText"/>
      </w:pPr>
      <w:r>
        <w:rPr>
          <w:rStyle w:val="FootnoteReference"/>
        </w:rPr>
        <w:footnoteRef/>
      </w:r>
      <w:r>
        <w:t xml:space="preserve"> </w:t>
      </w:r>
      <w:proofErr w:type="gramStart"/>
      <w:r>
        <w:t>Tr. at 34-35, 43.</w:t>
      </w:r>
      <w:proofErr w:type="gramEnd"/>
    </w:p>
  </w:footnote>
  <w:footnote w:id="9">
    <w:p w:rsidR="00D94280" w:rsidRDefault="006E22CD">
      <w:pPr>
        <w:pStyle w:val="FootnoteText"/>
      </w:pPr>
      <w:r>
        <w:rPr>
          <w:rStyle w:val="FootnoteReference"/>
        </w:rPr>
        <w:footnoteRef/>
      </w:r>
      <w:r>
        <w:t xml:space="preserve"> </w:t>
      </w:r>
      <w:r>
        <w:rPr>
          <w:i/>
        </w:rPr>
        <w:t>See also</w:t>
      </w:r>
      <w:r>
        <w:t xml:space="preserve"> Ohio Partners for Affordable Energy’s Motion to Intervene and Motion to Dismiss and Memorandum in Support (Sep. 30, 2014).</w:t>
      </w:r>
    </w:p>
  </w:footnote>
  <w:footnote w:id="10">
    <w:p w:rsidR="00D94280" w:rsidRDefault="006E22CD">
      <w:pPr>
        <w:pStyle w:val="FootnoteText"/>
      </w:pPr>
      <w:r>
        <w:rPr>
          <w:rStyle w:val="FootnoteReference"/>
        </w:rPr>
        <w:footnoteRef/>
      </w:r>
      <w:r>
        <w:t xml:space="preserve"> Duke Ex. 3 at 9-10; Tr. at 40-41.</w:t>
      </w:r>
    </w:p>
  </w:footnote>
  <w:footnote w:id="11">
    <w:p w:rsidR="00D94280" w:rsidRDefault="006E22CD">
      <w:pPr>
        <w:pStyle w:val="FootnoteText"/>
      </w:pPr>
      <w:r>
        <w:rPr>
          <w:rStyle w:val="FootnoteReference"/>
        </w:rPr>
        <w:footnoteRef/>
      </w:r>
      <w:r>
        <w:t xml:space="preserve"> </w:t>
      </w:r>
      <w:r>
        <w:rPr>
          <w:i/>
        </w:rPr>
        <w:t>In the Matter of the Application of Duke Energy Ohio, Inc. for Recovery of Program Costs, Lost Distribution Revenue, and Performance Incentives Related to its Energy Efficiency and Demand Response Programs</w:t>
      </w:r>
      <w:r>
        <w:t>, Case No. 14-457-EL-RDR, Finding and Order at 5 (May 20, 2015).</w:t>
      </w:r>
    </w:p>
  </w:footnote>
  <w:footnote w:id="12">
    <w:p w:rsidR="00D94280" w:rsidRDefault="006E22CD">
      <w:pPr>
        <w:pStyle w:val="FootnoteText"/>
      </w:pPr>
      <w:r>
        <w:rPr>
          <w:rStyle w:val="FootnoteReference"/>
        </w:rPr>
        <w:footnoteRef/>
      </w:r>
      <w:r>
        <w:t xml:space="preserve"> Duke Ex. 3 at 9-10; Tr. at 40-41.</w:t>
      </w:r>
    </w:p>
  </w:footnote>
  <w:footnote w:id="13">
    <w:p w:rsidR="00D94280" w:rsidRDefault="006E22CD">
      <w:pPr>
        <w:pStyle w:val="FootnoteText"/>
      </w:pPr>
      <w:r>
        <w:rPr>
          <w:rStyle w:val="FootnoteReference"/>
        </w:rPr>
        <w:footnoteRef/>
      </w:r>
      <w:r>
        <w:t xml:space="preserve"> Duke Ex. 1 at 3.</w:t>
      </w:r>
    </w:p>
  </w:footnote>
  <w:footnote w:id="14">
    <w:p w:rsidR="00D94280" w:rsidRDefault="006E22CD">
      <w:pPr>
        <w:pStyle w:val="FootnoteText"/>
      </w:pPr>
      <w:r>
        <w:rPr>
          <w:rStyle w:val="FootnoteReference"/>
        </w:rPr>
        <w:footnoteRef/>
      </w:r>
      <w:r>
        <w:t xml:space="preserve"> </w:t>
      </w:r>
      <w:proofErr w:type="gramStart"/>
      <w:r>
        <w:t>Rule 4901:1-39-04(A), Ohio Administrative Code.</w:t>
      </w:r>
      <w:proofErr w:type="gramEnd"/>
    </w:p>
  </w:footnote>
  <w:footnote w:id="15">
    <w:p w:rsidR="00D94280" w:rsidRDefault="006E22CD">
      <w:pPr>
        <w:pStyle w:val="FootnoteText"/>
      </w:pPr>
      <w:r>
        <w:rPr>
          <w:rStyle w:val="FootnoteReference"/>
        </w:rPr>
        <w:footnoteRef/>
      </w:r>
      <w:r>
        <w:t xml:space="preserve"> Duke Ex. 3 at 9-10; Tr. at 36-38.</w:t>
      </w:r>
    </w:p>
  </w:footnote>
  <w:footnote w:id="16">
    <w:p w:rsidR="00D94280" w:rsidRPr="00176EEA" w:rsidRDefault="006E22CD">
      <w:pPr>
        <w:pStyle w:val="FootnoteText"/>
        <w:rPr>
          <w:i/>
        </w:rPr>
      </w:pPr>
      <w:r>
        <w:rPr>
          <w:rStyle w:val="FootnoteReference"/>
        </w:rPr>
        <w:footnoteRef/>
      </w:r>
      <w:r>
        <w:t xml:space="preserve"> </w:t>
      </w:r>
      <w:r w:rsidRPr="00176EEA">
        <w:t>Tr. at 36-38.</w:t>
      </w:r>
    </w:p>
  </w:footnote>
  <w:footnote w:id="17">
    <w:p w:rsidR="00D94280" w:rsidRDefault="006E22CD">
      <w:pPr>
        <w:pStyle w:val="FootnoteText"/>
      </w:pPr>
      <w:r>
        <w:rPr>
          <w:rStyle w:val="FootnoteReference"/>
        </w:rPr>
        <w:footnoteRef/>
      </w:r>
      <w:r>
        <w:t xml:space="preserve"> All customers meeting certain voltage or usage levels will have the right to opt out beginning January 1, 2017.  </w:t>
      </w:r>
      <w:proofErr w:type="gramStart"/>
      <w:r>
        <w:t>R.C. 4928.6611.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F9" w:rsidRDefault="00D32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F9" w:rsidRDefault="00D32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F9" w:rsidRDefault="00D32E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942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942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0" w:rsidRDefault="00D9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2893598A"/>
    <w:multiLevelType w:val="hybridMultilevel"/>
    <w:tmpl w:val="9EE2AA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71568"/>
    <w:multiLevelType w:val="multilevel"/>
    <w:tmpl w:val="7562BC30"/>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0"/>
  </w:num>
  <w:num w:numId="21">
    <w:abstractNumId w:val="4"/>
  </w:num>
  <w:num w:numId="22">
    <w:abstractNumId w:val="4"/>
  </w:num>
  <w:num w:numId="23">
    <w:abstractNumId w:val="4"/>
  </w:num>
  <w:num w:numId="24">
    <w:abstractNumId w:val="4"/>
  </w:num>
  <w:num w:numId="25">
    <w:abstractNumId w:val="4"/>
  </w:num>
  <w:num w:numId="26">
    <w:abstractNumId w:val="3"/>
  </w:num>
  <w:num w:numId="27">
    <w:abstractNumId w:val="0"/>
  </w:num>
  <w:num w:numId="28">
    <w:abstractNumId w:val="4"/>
  </w:num>
  <w:num w:numId="29">
    <w:abstractNumId w:val="4"/>
  </w:num>
  <w:num w:numId="30">
    <w:abstractNumId w:val="4"/>
  </w:num>
  <w:num w:numId="31">
    <w:abstractNumId w:val="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94280"/>
    <w:rsid w:val="00176EEA"/>
    <w:rsid w:val="00302A7A"/>
    <w:rsid w:val="003F4F17"/>
    <w:rsid w:val="006E22CD"/>
    <w:rsid w:val="00840A26"/>
    <w:rsid w:val="009F6758"/>
    <w:rsid w:val="00C104DC"/>
    <w:rsid w:val="00D32EF9"/>
    <w:rsid w:val="00D9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cstheme="minorBidi"/>
      <w:sz w:val="24"/>
      <w:szCs w:val="24"/>
    </w:rPr>
  </w:style>
  <w:style w:type="paragraph" w:styleId="Heading1">
    <w:name w:val="heading 1"/>
    <w:basedOn w:val="Normal"/>
    <w:next w:val="Normal"/>
    <w:link w:val="Heading1Char"/>
    <w:uiPriority w:val="9"/>
    <w:qFormat/>
    <w:pPr>
      <w:numPr>
        <w:numId w:val="30"/>
      </w:numPr>
      <w:spacing w:before="18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30"/>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30"/>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30"/>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30"/>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30"/>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30"/>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30"/>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30"/>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4"/>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jc w:val="left"/>
      <w:outlineLvl w:val="9"/>
    </w:pPr>
    <w:rPr>
      <w:rFonts w:ascii="Times New Roman" w:hAnsi="Times New Roman"/>
      <w:b w:val="0"/>
      <w:caps w:val="0"/>
      <w:u w:val="none"/>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cstheme="minorBidi"/>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cstheme="minorBidi"/>
      <w:sz w:val="24"/>
      <w:szCs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theme="minorBidi"/>
      <w:b/>
      <w:bCs/>
    </w:rPr>
  </w:style>
  <w:style w:type="paragraph" w:styleId="Revision">
    <w:name w:val="Revision"/>
    <w:hidden/>
    <w:uiPriority w:val="99"/>
    <w:semiHidden/>
    <w:pPr>
      <w:spacing w:after="0"/>
    </w:pPr>
    <w:rPr>
      <w:rFonts w:ascii="Arial" w:hAnsi="Arial" w:cstheme="minorBidi"/>
      <w:sz w:val="24"/>
      <w:szCs w:val="24"/>
    </w:rPr>
  </w:style>
  <w:style w:type="paragraph" w:styleId="BodyTextIndent">
    <w:name w:val="Body Text Indent"/>
    <w:basedOn w:val="Normal"/>
    <w:link w:val="BodyTextIndentChar"/>
    <w:pPr>
      <w:spacing w:after="120" w:line="240" w:lineRule="auto"/>
      <w:ind w:left="360"/>
      <w:jc w:val="left"/>
    </w:pPr>
    <w:rPr>
      <w:rFonts w:eastAsia="Times New Roman" w:cs="Times New Roman"/>
    </w:rPr>
  </w:style>
  <w:style w:type="character" w:customStyle="1" w:styleId="BodyTextIndentChar">
    <w:name w:val="Body Text Indent Char"/>
    <w:basedOn w:val="DefaultParagraphFont"/>
    <w:link w:val="BodyTextIndent"/>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EBFA-BCDC-4FE5-976C-8E716537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2245</Words>
  <Characters>12710</Characters>
  <Application>Microsoft Office Word</Application>
  <DocSecurity>0</DocSecurity>
  <PresentationFormat>12|.DOCX</PresentationFormat>
  <Lines>373</Lines>
  <Paragraphs>184</Paragraphs>
  <ScaleCrop>false</ScaleCrop>
  <HeadingPairs>
    <vt:vector size="2" baseType="variant">
      <vt:variant>
        <vt:lpstr>Title</vt:lpstr>
      </vt:variant>
      <vt:variant>
        <vt:i4>1</vt:i4>
      </vt:variant>
    </vt:vector>
  </HeadingPairs>
  <TitlesOfParts>
    <vt:vector size="1" baseType="lpstr">
      <vt:lpstr>IEU Initial Brief re: Duke EE/PDR (14-1580) (C47732-2).DOCX</vt:lpstr>
    </vt:vector>
  </TitlesOfParts>
  <Company>Some Company, Inc.</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Initial Brief re: Duke EE/PDR (14-1580) (C47732-2).DOCX</dc:title>
  <dc:subject>C47732:2 /font=8</dc:subject>
  <dc:creator>Debbie Ryan</dc:creator>
  <cp:lastModifiedBy>Debbie Ryan</cp:lastModifiedBy>
  <cp:revision>2</cp:revision>
  <dcterms:created xsi:type="dcterms:W3CDTF">2015-08-21T15:15:00Z</dcterms:created>
  <dcterms:modified xsi:type="dcterms:W3CDTF">2015-08-21T15:15:00Z</dcterms:modified>
</cp:coreProperties>
</file>