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CD4473" w:rsidRPr="008C6DDE" w:rsidP="00CD4473" w14:paraId="0543B96C" w14:textId="67E79701">
      <w:pPr>
        <w:jc w:val="center"/>
        <w:rPr>
          <w:b/>
          <w:bCs w:val="0"/>
          <w:szCs w:val="24"/>
        </w:rPr>
      </w:pPr>
      <w:r w:rsidRPr="008C6DDE">
        <w:rPr>
          <w:b/>
          <w:szCs w:val="24"/>
        </w:rPr>
        <w:t>BEFORE</w:t>
      </w:r>
    </w:p>
    <w:p w:rsidR="00CD4473" w:rsidRPr="008C6DDE" w:rsidP="00CD4473" w14:paraId="122D1E9B" w14:textId="77777777">
      <w:pPr>
        <w:jc w:val="center"/>
        <w:rPr>
          <w:b/>
          <w:szCs w:val="24"/>
        </w:rPr>
      </w:pPr>
      <w:r w:rsidRPr="008C6DDE">
        <w:rPr>
          <w:b/>
          <w:szCs w:val="24"/>
        </w:rPr>
        <w:t>THE</w:t>
      </w:r>
      <w:r w:rsidRPr="008C6DDE">
        <w:rPr>
          <w:b/>
          <w:spacing w:val="-10"/>
          <w:szCs w:val="24"/>
        </w:rPr>
        <w:t xml:space="preserve"> </w:t>
      </w:r>
      <w:r w:rsidRPr="008C6DDE">
        <w:rPr>
          <w:b/>
          <w:spacing w:val="-1"/>
          <w:szCs w:val="24"/>
        </w:rPr>
        <w:t>PUBLIC</w:t>
      </w:r>
      <w:r w:rsidRPr="008C6DDE">
        <w:rPr>
          <w:b/>
          <w:spacing w:val="-12"/>
          <w:szCs w:val="24"/>
        </w:rPr>
        <w:t xml:space="preserve"> </w:t>
      </w:r>
      <w:r w:rsidRPr="008C6DDE">
        <w:rPr>
          <w:b/>
          <w:szCs w:val="24"/>
        </w:rPr>
        <w:t>UTILITIES</w:t>
      </w:r>
      <w:r w:rsidRPr="008C6DDE">
        <w:rPr>
          <w:b/>
          <w:spacing w:val="-10"/>
          <w:szCs w:val="24"/>
        </w:rPr>
        <w:t xml:space="preserve"> </w:t>
      </w:r>
      <w:r w:rsidRPr="008C6DDE">
        <w:rPr>
          <w:b/>
          <w:spacing w:val="-1"/>
          <w:szCs w:val="24"/>
        </w:rPr>
        <w:t>COMMISSION</w:t>
      </w:r>
      <w:r w:rsidRPr="008C6DDE">
        <w:rPr>
          <w:b/>
          <w:spacing w:val="-11"/>
          <w:szCs w:val="24"/>
        </w:rPr>
        <w:t xml:space="preserve"> </w:t>
      </w:r>
      <w:r w:rsidRPr="008C6DDE">
        <w:rPr>
          <w:b/>
          <w:spacing w:val="-1"/>
          <w:szCs w:val="24"/>
        </w:rPr>
        <w:t>OF</w:t>
      </w:r>
      <w:r w:rsidRPr="008C6DDE">
        <w:rPr>
          <w:b/>
          <w:spacing w:val="-13"/>
          <w:szCs w:val="24"/>
        </w:rPr>
        <w:t xml:space="preserve"> O</w:t>
      </w:r>
      <w:r w:rsidRPr="008C6DDE">
        <w:rPr>
          <w:b/>
          <w:szCs w:val="24"/>
        </w:rPr>
        <w:t>HIO</w:t>
      </w:r>
    </w:p>
    <w:p w:rsidR="00CD4473" w:rsidRPr="008C6DDE" w:rsidP="00CD4473" w14:paraId="67FBE6E4" w14:textId="77777777">
      <w:pPr>
        <w:jc w:val="center"/>
        <w:rPr>
          <w:b/>
          <w:szCs w:val="24"/>
        </w:rPr>
      </w:pPr>
    </w:p>
    <w:tbl>
      <w:tblPr>
        <w:tblW w:w="8640" w:type="dxa"/>
        <w:tblLook w:val="01E0"/>
      </w:tblPr>
      <w:tblGrid>
        <w:gridCol w:w="4230"/>
        <w:gridCol w:w="630"/>
        <w:gridCol w:w="3780"/>
      </w:tblGrid>
      <w:tr w14:paraId="07785B97" w14:textId="77777777" w:rsidTr="00DE55F4">
        <w:tblPrEx>
          <w:tblW w:w="8640" w:type="dxa"/>
          <w:tblLook w:val="01E0"/>
        </w:tblPrEx>
        <w:trPr>
          <w:trHeight w:val="807"/>
        </w:trPr>
        <w:tc>
          <w:tcPr>
            <w:tcW w:w="4230" w:type="dxa"/>
            <w:shd w:val="clear" w:color="auto" w:fill="auto"/>
          </w:tcPr>
          <w:p w:rsidR="00CD4473" w:rsidRPr="008C6DDE" w:rsidP="009C1F39" w14:paraId="45D596B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8C6DDE">
              <w:rPr>
                <w:rFonts w:ascii="Times New Roman" w:hAnsi="Times New Roman" w:cs="Times New Roman"/>
                <w:sz w:val="24"/>
                <w:szCs w:val="24"/>
              </w:rPr>
              <w:t>In the Matter of the Review of the Political and Charitable Spending by Ohio Edison Company, The Cleveland Electric Illuminating Company, and the Toledo Edison Company.</w:t>
            </w:r>
          </w:p>
        </w:tc>
        <w:tc>
          <w:tcPr>
            <w:tcW w:w="630" w:type="dxa"/>
            <w:shd w:val="clear" w:color="auto" w:fill="auto"/>
          </w:tcPr>
          <w:p w:rsidR="00CD4473" w:rsidRPr="008C6DDE" w:rsidP="009C1F39" w14:paraId="2E03B4D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8C6DDE">
              <w:rPr>
                <w:rFonts w:ascii="Times New Roman" w:hAnsi="Times New Roman" w:cs="Times New Roman"/>
                <w:sz w:val="24"/>
                <w:szCs w:val="24"/>
              </w:rPr>
              <w:t>)</w:t>
            </w:r>
          </w:p>
          <w:p w:rsidR="00CD4473" w:rsidRPr="008C6DDE" w:rsidP="009C1F39" w14:paraId="5F3C4A3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8C6DDE">
              <w:rPr>
                <w:rFonts w:ascii="Times New Roman" w:hAnsi="Times New Roman" w:cs="Times New Roman"/>
                <w:sz w:val="24"/>
                <w:szCs w:val="24"/>
              </w:rPr>
              <w:t>)</w:t>
            </w:r>
          </w:p>
          <w:p w:rsidR="00CD4473" w:rsidRPr="008C6DDE" w:rsidP="009C1F39" w14:paraId="26F89BE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8C6DDE">
              <w:rPr>
                <w:rFonts w:ascii="Times New Roman" w:hAnsi="Times New Roman" w:cs="Times New Roman"/>
                <w:sz w:val="24"/>
                <w:szCs w:val="24"/>
              </w:rPr>
              <w:t>)</w:t>
            </w:r>
          </w:p>
          <w:p w:rsidR="00CD4473" w:rsidRPr="008C6DDE" w:rsidP="009C1F39" w14:paraId="2A81473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8C6DDE">
              <w:rPr>
                <w:rFonts w:ascii="Times New Roman" w:hAnsi="Times New Roman" w:cs="Times New Roman"/>
                <w:sz w:val="24"/>
                <w:szCs w:val="24"/>
              </w:rPr>
              <w:t>)</w:t>
            </w:r>
          </w:p>
          <w:p w:rsidR="008A716E" w:rsidRPr="008C6DDE" w:rsidP="00F2549D" w14:paraId="3C966E43" w14:textId="6DF3A0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8C6DDE">
              <w:rPr>
                <w:rFonts w:ascii="Times New Roman" w:hAnsi="Times New Roman" w:cs="Times New Roman"/>
                <w:sz w:val="24"/>
                <w:szCs w:val="24"/>
              </w:rPr>
              <w:t>)</w:t>
            </w:r>
          </w:p>
        </w:tc>
        <w:tc>
          <w:tcPr>
            <w:tcW w:w="3780" w:type="dxa"/>
            <w:shd w:val="clear" w:color="auto" w:fill="auto"/>
          </w:tcPr>
          <w:p w:rsidR="00CD4473" w:rsidRPr="008C6DDE" w:rsidP="009C1F39" w14:paraId="7210D34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CD4473" w:rsidRPr="008C6DDE" w:rsidP="009C1F39" w14:paraId="0A86744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8C6DDE">
              <w:rPr>
                <w:rFonts w:ascii="Times New Roman" w:hAnsi="Times New Roman" w:cs="Times New Roman"/>
                <w:sz w:val="24"/>
                <w:szCs w:val="24"/>
              </w:rPr>
              <w:t>Case No. 20-1502-EL-UNC</w:t>
            </w:r>
          </w:p>
          <w:p w:rsidR="00CD4473" w:rsidRPr="008C6DDE" w:rsidP="009C1F39" w14:paraId="6327C33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c>
      </w:tr>
    </w:tbl>
    <w:p w:rsidR="00F2549D" w:rsidRPr="008C6DDE" w:rsidP="00F2549D" w14:paraId="560F91C7" w14:textId="77777777">
      <w:pPr>
        <w:pBdr>
          <w:bottom w:val="single" w:sz="12" w:space="1" w:color="auto"/>
        </w:pBdr>
        <w:rPr>
          <w:szCs w:val="24"/>
        </w:rPr>
      </w:pPr>
    </w:p>
    <w:p w:rsidR="00F2549D" w:rsidRPr="008C6DDE" w:rsidP="00F2549D" w14:paraId="2E5853F7" w14:textId="77777777">
      <w:pPr>
        <w:rPr>
          <w:b/>
          <w:bCs w:val="0"/>
          <w:szCs w:val="24"/>
        </w:rPr>
      </w:pPr>
    </w:p>
    <w:p w:rsidR="0015337D" w:rsidRPr="008C6DDE" w:rsidP="00F2549D" w14:paraId="3B6294A6" w14:textId="5D9D5EB8">
      <w:pPr>
        <w:jc w:val="center"/>
        <w:rPr>
          <w:rFonts w:eastAsia="Times New Roman"/>
          <w:b/>
          <w:color w:val="auto"/>
          <w:szCs w:val="24"/>
        </w:rPr>
      </w:pPr>
      <w:bookmarkStart w:id="0" w:name="_Hlk94515806"/>
      <w:r w:rsidRPr="008C6DDE">
        <w:rPr>
          <w:rFonts w:eastAsia="Times New Roman"/>
          <w:b/>
          <w:color w:val="auto"/>
          <w:szCs w:val="24"/>
        </w:rPr>
        <w:t>REPLY MEMORANDUM IN SUPPORT OF</w:t>
      </w:r>
    </w:p>
    <w:p w:rsidR="00F2549D" w:rsidRPr="008C6DDE" w:rsidP="00F2549D" w14:paraId="67279C36" w14:textId="1B021EC1">
      <w:pPr>
        <w:jc w:val="center"/>
        <w:rPr>
          <w:rFonts w:eastAsia="Times New Roman"/>
          <w:b/>
          <w:color w:val="auto"/>
          <w:szCs w:val="24"/>
        </w:rPr>
      </w:pPr>
      <w:r w:rsidRPr="008C6DDE">
        <w:rPr>
          <w:rFonts w:eastAsia="Times New Roman"/>
          <w:b/>
          <w:color w:val="auto"/>
          <w:szCs w:val="24"/>
        </w:rPr>
        <w:t xml:space="preserve">MOTION TO ACCEPT STATEMENT OF ADDITIONAL AUTHORITY REGARDING </w:t>
      </w:r>
      <w:r w:rsidRPr="008C6DDE">
        <w:rPr>
          <w:rFonts w:eastAsia="Times New Roman"/>
          <w:b/>
          <w:color w:val="auto"/>
          <w:szCs w:val="24"/>
        </w:rPr>
        <w:br/>
        <w:t>OCC’S MOTION FOR AN INDEPENDENT AUDITOR, INSTANTER</w:t>
      </w:r>
      <w:bookmarkEnd w:id="0"/>
      <w:r w:rsidRPr="008C6DDE">
        <w:rPr>
          <w:rFonts w:eastAsia="Times New Roman"/>
          <w:b/>
          <w:color w:val="auto"/>
          <w:szCs w:val="24"/>
        </w:rPr>
        <w:br/>
        <w:t>BY</w:t>
      </w:r>
      <w:r w:rsidRPr="008C6DDE">
        <w:rPr>
          <w:rFonts w:eastAsia="Times New Roman"/>
          <w:b/>
          <w:color w:val="auto"/>
          <w:szCs w:val="24"/>
        </w:rPr>
        <w:br/>
        <w:t>OFFICE OF THE OHIO CONSUMERS' COUNSEL</w:t>
      </w:r>
    </w:p>
    <w:p w:rsidR="00F2549D" w:rsidRPr="008C6DDE" w:rsidP="00F2549D" w14:paraId="5A276916" w14:textId="77777777">
      <w:pPr>
        <w:pBdr>
          <w:bottom w:val="single" w:sz="12" w:space="1" w:color="auto"/>
        </w:pBdr>
        <w:jc w:val="center"/>
        <w:rPr>
          <w:b/>
          <w:bCs w:val="0"/>
          <w:szCs w:val="24"/>
        </w:rPr>
      </w:pPr>
    </w:p>
    <w:p w:rsidR="00F2549D" w:rsidRPr="008C6DDE" w:rsidP="00F2549D" w14:paraId="2F7D8CA7" w14:textId="77777777">
      <w:pPr>
        <w:ind w:firstLine="720"/>
        <w:rPr>
          <w:rFonts w:eastAsia="Times New Roman"/>
          <w:bCs w:val="0"/>
          <w:color w:val="auto"/>
          <w:szCs w:val="24"/>
        </w:rPr>
      </w:pPr>
    </w:p>
    <w:p w:rsidR="0015337D" w:rsidRPr="008C6DDE" w:rsidP="00505611" w14:paraId="191A6E06" w14:textId="2AD118F8">
      <w:pPr>
        <w:spacing w:line="480" w:lineRule="auto"/>
        <w:ind w:firstLine="720"/>
        <w:rPr>
          <w:szCs w:val="24"/>
        </w:rPr>
      </w:pPr>
      <w:r w:rsidRPr="008C6DDE">
        <w:rPr>
          <w:rFonts w:eastAsia="Times New Roman"/>
          <w:bCs w:val="0"/>
          <w:color w:val="auto"/>
          <w:szCs w:val="24"/>
        </w:rPr>
        <w:t xml:space="preserve">The </w:t>
      </w:r>
      <w:r w:rsidRPr="008C6DDE">
        <w:rPr>
          <w:rFonts w:eastAsia="Times New Roman"/>
          <w:bCs w:val="0"/>
          <w:color w:val="auto"/>
          <w:szCs w:val="24"/>
        </w:rPr>
        <w:t xml:space="preserve">FirstEnergy Utilities do not challenge the </w:t>
      </w:r>
      <w:r w:rsidRPr="008C6DDE">
        <w:rPr>
          <w:rFonts w:eastAsia="Times New Roman"/>
          <w:bCs w:val="0"/>
          <w:color w:val="auto"/>
          <w:szCs w:val="24"/>
        </w:rPr>
        <w:t>Office of the Ohio Consumers' Counsel</w:t>
      </w:r>
      <w:r w:rsidRPr="008C6DDE" w:rsidR="005F51F2">
        <w:rPr>
          <w:rFonts w:eastAsia="Times New Roman"/>
          <w:bCs w:val="0"/>
          <w:color w:val="auto"/>
          <w:szCs w:val="24"/>
        </w:rPr>
        <w:t>’s</w:t>
      </w:r>
      <w:r w:rsidRPr="008C6DDE">
        <w:rPr>
          <w:rFonts w:eastAsia="Times New Roman"/>
          <w:bCs w:val="0"/>
          <w:color w:val="auto"/>
          <w:szCs w:val="24"/>
        </w:rPr>
        <w:t xml:space="preserve"> ("OCC") </w:t>
      </w:r>
      <w:r w:rsidRPr="008C6DDE">
        <w:rPr>
          <w:rFonts w:eastAsia="Times New Roman"/>
          <w:bCs w:val="0"/>
          <w:color w:val="auto"/>
          <w:szCs w:val="24"/>
        </w:rPr>
        <w:t xml:space="preserve">request </w:t>
      </w:r>
      <w:r w:rsidRPr="008C6DDE">
        <w:rPr>
          <w:rFonts w:eastAsia="Times New Roman"/>
          <w:bCs w:val="0"/>
          <w:color w:val="auto"/>
          <w:szCs w:val="24"/>
        </w:rPr>
        <w:t xml:space="preserve">for the </w:t>
      </w:r>
      <w:r w:rsidRPr="008C6DDE">
        <w:rPr>
          <w:rFonts w:eastAsia="Times New Roman"/>
          <w:bCs w:val="0"/>
          <w:color w:val="auto"/>
          <w:szCs w:val="24"/>
        </w:rPr>
        <w:t>Public Utilities Commission of Ohio (“</w:t>
      </w:r>
      <w:r w:rsidRPr="008C6DDE">
        <w:rPr>
          <w:rFonts w:eastAsia="Times New Roman"/>
          <w:bCs w:val="0"/>
          <w:color w:val="auto"/>
          <w:szCs w:val="24"/>
        </w:rPr>
        <w:t>PUCO</w:t>
      </w:r>
      <w:r w:rsidRPr="008C6DDE">
        <w:rPr>
          <w:rFonts w:eastAsia="Times New Roman"/>
          <w:bCs w:val="0"/>
          <w:color w:val="auto"/>
          <w:szCs w:val="24"/>
        </w:rPr>
        <w:t>”)</w:t>
      </w:r>
      <w:r w:rsidRPr="008C6DDE">
        <w:rPr>
          <w:rFonts w:eastAsia="Times New Roman"/>
          <w:bCs w:val="0"/>
          <w:color w:val="auto"/>
          <w:szCs w:val="24"/>
        </w:rPr>
        <w:t xml:space="preserve"> to </w:t>
      </w:r>
      <w:r w:rsidRPr="008C6DDE">
        <w:rPr>
          <w:rFonts w:eastAsia="Times New Roman"/>
          <w:bCs w:val="0"/>
          <w:color w:val="auto"/>
          <w:szCs w:val="24"/>
        </w:rPr>
        <w:t xml:space="preserve">consider </w:t>
      </w:r>
      <w:r w:rsidRPr="008C6DDE">
        <w:rPr>
          <w:i/>
          <w:iCs/>
          <w:szCs w:val="24"/>
        </w:rPr>
        <w:t>Newman v. FERC</w:t>
      </w:r>
      <w:r>
        <w:rPr>
          <w:rStyle w:val="FootnoteReference"/>
          <w:i/>
          <w:iCs/>
          <w:szCs w:val="24"/>
        </w:rPr>
        <w:footnoteReference w:id="2"/>
      </w:r>
      <w:r w:rsidRPr="008C6DDE" w:rsidR="00446741">
        <w:rPr>
          <w:i/>
          <w:iCs/>
          <w:szCs w:val="24"/>
        </w:rPr>
        <w:t xml:space="preserve"> </w:t>
      </w:r>
      <w:r w:rsidRPr="008C6DDE" w:rsidR="00446741">
        <w:rPr>
          <w:szCs w:val="24"/>
        </w:rPr>
        <w:t>as additional authority</w:t>
      </w:r>
      <w:r w:rsidRPr="008C6DDE" w:rsidR="000F7300">
        <w:rPr>
          <w:szCs w:val="24"/>
        </w:rPr>
        <w:t>.</w:t>
      </w:r>
      <w:r w:rsidRPr="008C6DDE" w:rsidR="004006DC">
        <w:rPr>
          <w:szCs w:val="24"/>
        </w:rPr>
        <w:t xml:space="preserve"> </w:t>
      </w:r>
      <w:r w:rsidRPr="008C6DDE" w:rsidR="000F7300">
        <w:rPr>
          <w:szCs w:val="24"/>
        </w:rPr>
        <w:t>They</w:t>
      </w:r>
      <w:r w:rsidRPr="008C6DDE" w:rsidR="00446741">
        <w:rPr>
          <w:szCs w:val="24"/>
        </w:rPr>
        <w:t xml:space="preserve"> disagree </w:t>
      </w:r>
      <w:r w:rsidRPr="008C6DDE" w:rsidR="000F7300">
        <w:rPr>
          <w:szCs w:val="24"/>
        </w:rPr>
        <w:t>whether it applies</w:t>
      </w:r>
      <w:r w:rsidRPr="008C6DDE" w:rsidR="00446741">
        <w:rPr>
          <w:szCs w:val="24"/>
        </w:rPr>
        <w:t xml:space="preserve"> to this case.</w:t>
      </w:r>
      <w:r w:rsidRPr="008C6DDE" w:rsidR="004006DC">
        <w:rPr>
          <w:szCs w:val="24"/>
        </w:rPr>
        <w:t xml:space="preserve"> </w:t>
      </w:r>
      <w:r w:rsidRPr="008C6DDE" w:rsidR="00446741">
        <w:rPr>
          <w:szCs w:val="24"/>
        </w:rPr>
        <w:t xml:space="preserve">The FirstEnergy Utilities </w:t>
      </w:r>
      <w:r w:rsidRPr="008C6DDE" w:rsidR="004A2F7A">
        <w:rPr>
          <w:szCs w:val="24"/>
        </w:rPr>
        <w:t>contend</w:t>
      </w:r>
      <w:r w:rsidRPr="008C6DDE" w:rsidR="00446741">
        <w:rPr>
          <w:szCs w:val="24"/>
        </w:rPr>
        <w:t xml:space="preserve"> that</w:t>
      </w:r>
      <w:r w:rsidRPr="008C6DDE" w:rsidR="000F7300">
        <w:rPr>
          <w:szCs w:val="24"/>
        </w:rPr>
        <w:t xml:space="preserve"> it shouldn’t apply at all, because</w:t>
      </w:r>
      <w:r w:rsidRPr="008C6DDE" w:rsidR="00446741">
        <w:rPr>
          <w:szCs w:val="24"/>
        </w:rPr>
        <w:t xml:space="preserve"> “the court’s opinion centers on an</w:t>
      </w:r>
      <w:r w:rsidRPr="008C6DDE" w:rsidR="000F7300">
        <w:rPr>
          <w:szCs w:val="24"/>
        </w:rPr>
        <w:t xml:space="preserve"> </w:t>
      </w:r>
      <w:r w:rsidRPr="008C6DDE" w:rsidR="00446741">
        <w:rPr>
          <w:szCs w:val="24"/>
        </w:rPr>
        <w:t>accounting matter and does not—contrary to OCC’s view—dictate ratemaking.”</w:t>
      </w:r>
      <w:r>
        <w:rPr>
          <w:rStyle w:val="FootnoteReference"/>
          <w:szCs w:val="24"/>
        </w:rPr>
        <w:footnoteReference w:id="3"/>
      </w:r>
      <w:r w:rsidRPr="008C6DDE" w:rsidR="004006DC">
        <w:rPr>
          <w:szCs w:val="24"/>
        </w:rPr>
        <w:t xml:space="preserve"> </w:t>
      </w:r>
      <w:r w:rsidRPr="008C6DDE" w:rsidR="00446741">
        <w:rPr>
          <w:szCs w:val="24"/>
        </w:rPr>
        <w:t xml:space="preserve">They also </w:t>
      </w:r>
      <w:r w:rsidRPr="008C6DDE" w:rsidR="004A2F7A">
        <w:rPr>
          <w:szCs w:val="24"/>
        </w:rPr>
        <w:t>argue that “the Companies have already disclosed the rate impact, if any, of HB 6-related spending costs incurred by the Companies, regardless of where those costs were initially booked.”</w:t>
      </w:r>
      <w:r>
        <w:rPr>
          <w:rStyle w:val="FootnoteReference"/>
          <w:szCs w:val="24"/>
        </w:rPr>
        <w:footnoteReference w:id="4"/>
      </w:r>
    </w:p>
    <w:p w:rsidR="002D4323" w:rsidRPr="008C6DDE" w:rsidP="00505611" w14:paraId="67571EAA" w14:textId="77777777">
      <w:pPr>
        <w:spacing w:line="480" w:lineRule="auto"/>
        <w:ind w:firstLine="720"/>
        <w:rPr>
          <w:szCs w:val="24"/>
        </w:rPr>
        <w:sectPr w:rsidSect="00BE2402">
          <w:footerReference w:type="default" r:id="rId6"/>
          <w:pgSz w:w="12240" w:h="15840"/>
          <w:pgMar w:top="1440" w:right="1800" w:bottom="1440" w:left="1800" w:header="720" w:footer="720" w:gutter="0"/>
          <w:pgNumType w:start="1"/>
          <w:cols w:space="720"/>
          <w:docGrid w:linePitch="360"/>
        </w:sectPr>
      </w:pPr>
      <w:r w:rsidRPr="008C6DDE">
        <w:rPr>
          <w:szCs w:val="24"/>
        </w:rPr>
        <w:t>The FirstEnergy Utilities mis</w:t>
      </w:r>
      <w:r w:rsidRPr="008C6DDE" w:rsidR="000F7300">
        <w:rPr>
          <w:szCs w:val="24"/>
        </w:rPr>
        <w:t>apprehend</w:t>
      </w:r>
      <w:r w:rsidRPr="008C6DDE">
        <w:rPr>
          <w:szCs w:val="24"/>
        </w:rPr>
        <w:t xml:space="preserve"> how ratemaking works.</w:t>
      </w:r>
      <w:r w:rsidRPr="008C6DDE" w:rsidR="004006DC">
        <w:rPr>
          <w:szCs w:val="24"/>
        </w:rPr>
        <w:t xml:space="preserve"> </w:t>
      </w:r>
      <w:r w:rsidRPr="008C6DDE">
        <w:rPr>
          <w:szCs w:val="24"/>
        </w:rPr>
        <w:t>Regulatory accounting goes hand-in-hand with ratemaking.</w:t>
      </w:r>
      <w:r w:rsidRPr="008C6DDE" w:rsidR="004006DC">
        <w:rPr>
          <w:szCs w:val="24"/>
        </w:rPr>
        <w:t xml:space="preserve"> </w:t>
      </w:r>
      <w:r w:rsidRPr="008C6DDE">
        <w:rPr>
          <w:szCs w:val="24"/>
        </w:rPr>
        <w:t>The FirstEnergy Utilities must follow the Uniform System of Accounts (“USoA”).</w:t>
      </w:r>
      <w:r>
        <w:rPr>
          <w:rStyle w:val="FootnoteReference"/>
          <w:szCs w:val="24"/>
        </w:rPr>
        <w:footnoteReference w:id="5"/>
      </w:r>
      <w:r w:rsidRPr="008C6DDE" w:rsidR="004006DC">
        <w:rPr>
          <w:szCs w:val="24"/>
        </w:rPr>
        <w:t xml:space="preserve"> </w:t>
      </w:r>
      <w:r w:rsidRPr="008C6DDE">
        <w:rPr>
          <w:szCs w:val="24"/>
        </w:rPr>
        <w:t>The PUCO uses th</w:t>
      </w:r>
      <w:r w:rsidRPr="008C6DDE" w:rsidR="000F7300">
        <w:rPr>
          <w:szCs w:val="24"/>
        </w:rPr>
        <w:t>is system of</w:t>
      </w:r>
      <w:r w:rsidRPr="008C6DDE">
        <w:rPr>
          <w:szCs w:val="24"/>
        </w:rPr>
        <w:t xml:space="preserve"> regulatory </w:t>
      </w:r>
    </w:p>
    <w:p w:rsidR="00EA0541" w:rsidRPr="008C6DDE" w:rsidP="002D4323" w14:paraId="72EFEFC0" w14:textId="581E3E59">
      <w:pPr>
        <w:spacing w:line="480" w:lineRule="auto"/>
        <w:rPr>
          <w:rFonts w:eastAsia="Times New Roman"/>
          <w:bCs w:val="0"/>
          <w:color w:val="auto"/>
          <w:szCs w:val="24"/>
        </w:rPr>
      </w:pPr>
      <w:r w:rsidRPr="008C6DDE">
        <w:rPr>
          <w:szCs w:val="24"/>
        </w:rPr>
        <w:t>account</w:t>
      </w:r>
      <w:r w:rsidRPr="008C6DDE" w:rsidR="000F7300">
        <w:rPr>
          <w:szCs w:val="24"/>
        </w:rPr>
        <w:t>s</w:t>
      </w:r>
      <w:r w:rsidRPr="008C6DDE">
        <w:rPr>
          <w:szCs w:val="24"/>
        </w:rPr>
        <w:t xml:space="preserve"> established </w:t>
      </w:r>
      <w:r w:rsidRPr="008C6DDE" w:rsidR="00DE4186">
        <w:rPr>
          <w:szCs w:val="24"/>
        </w:rPr>
        <w:t xml:space="preserve">in </w:t>
      </w:r>
      <w:r w:rsidRPr="008C6DDE">
        <w:rPr>
          <w:szCs w:val="24"/>
        </w:rPr>
        <w:t xml:space="preserve">the USoA </w:t>
      </w:r>
      <w:r w:rsidRPr="008C6DDE" w:rsidR="00DE4186">
        <w:rPr>
          <w:szCs w:val="24"/>
        </w:rPr>
        <w:t xml:space="preserve">as basis in setting utility </w:t>
      </w:r>
      <w:r w:rsidRPr="008C6DDE">
        <w:rPr>
          <w:szCs w:val="24"/>
        </w:rPr>
        <w:t>rates.</w:t>
      </w:r>
      <w:r w:rsidRPr="008C6DDE" w:rsidR="004006DC">
        <w:rPr>
          <w:szCs w:val="24"/>
        </w:rPr>
        <w:t xml:space="preserve"> </w:t>
      </w:r>
      <w:r w:rsidRPr="008C6DDE">
        <w:rPr>
          <w:szCs w:val="24"/>
        </w:rPr>
        <w:t xml:space="preserve">The significance of </w:t>
      </w:r>
      <w:r w:rsidRPr="008C6DDE">
        <w:rPr>
          <w:i/>
          <w:iCs/>
          <w:szCs w:val="24"/>
        </w:rPr>
        <w:t>Newman v. FERC</w:t>
      </w:r>
      <w:r w:rsidRPr="008C6DDE">
        <w:rPr>
          <w:szCs w:val="24"/>
        </w:rPr>
        <w:t xml:space="preserve"> is that it broadens the definition of what is considered political spending and therefore </w:t>
      </w:r>
      <w:r w:rsidRPr="008C6DDE">
        <w:rPr>
          <w:szCs w:val="24"/>
        </w:rPr>
        <w:t>must</w:t>
      </w:r>
      <w:r w:rsidRPr="008C6DDE">
        <w:rPr>
          <w:szCs w:val="24"/>
        </w:rPr>
        <w:t xml:space="preserve"> be </w:t>
      </w:r>
      <w:r w:rsidRPr="008C6DDE" w:rsidR="00B74137">
        <w:rPr>
          <w:szCs w:val="24"/>
        </w:rPr>
        <w:t>excluded from rates</w:t>
      </w:r>
      <w:r w:rsidRPr="008C6DDE">
        <w:rPr>
          <w:szCs w:val="24"/>
        </w:rPr>
        <w:t>.</w:t>
      </w:r>
      <w:r w:rsidRPr="008C6DDE" w:rsidR="004006DC">
        <w:rPr>
          <w:szCs w:val="24"/>
        </w:rPr>
        <w:t xml:space="preserve"> </w:t>
      </w:r>
      <w:r w:rsidRPr="008C6DDE">
        <w:rPr>
          <w:szCs w:val="24"/>
        </w:rPr>
        <w:t xml:space="preserve">The ruling provides that </w:t>
      </w:r>
      <w:r w:rsidRPr="008C6DDE">
        <w:rPr>
          <w:rFonts w:eastAsia="Times New Roman"/>
          <w:bCs w:val="0"/>
          <w:color w:val="auto"/>
          <w:szCs w:val="24"/>
        </w:rPr>
        <w:t xml:space="preserve">spending on public relations, advertising, opinion polling and advocacy services in support of a </w:t>
      </w:r>
      <w:r w:rsidRPr="008C6DDE" w:rsidR="005F51F2">
        <w:rPr>
          <w:rFonts w:eastAsia="Times New Roman"/>
          <w:bCs w:val="0"/>
          <w:color w:val="auto"/>
          <w:szCs w:val="24"/>
        </w:rPr>
        <w:t xml:space="preserve">political, </w:t>
      </w:r>
      <w:r w:rsidRPr="008C6DDE">
        <w:rPr>
          <w:rFonts w:eastAsia="Times New Roman"/>
          <w:bCs w:val="0"/>
          <w:color w:val="auto"/>
          <w:szCs w:val="24"/>
        </w:rPr>
        <w:t>regulatory or legislative objectiv</w:t>
      </w:r>
      <w:r w:rsidRPr="008C6DDE" w:rsidR="00013515">
        <w:rPr>
          <w:rFonts w:eastAsia="Times New Roman"/>
          <w:bCs w:val="0"/>
          <w:color w:val="auto"/>
          <w:szCs w:val="24"/>
        </w:rPr>
        <w:t>e</w:t>
      </w:r>
      <w:r w:rsidRPr="008C6DDE">
        <w:rPr>
          <w:rFonts w:eastAsia="Times New Roman"/>
          <w:bCs w:val="0"/>
          <w:color w:val="auto"/>
          <w:szCs w:val="24"/>
        </w:rPr>
        <w:t xml:space="preserve"> must now be </w:t>
      </w:r>
      <w:r w:rsidRPr="008C6DDE" w:rsidR="00B74137">
        <w:rPr>
          <w:rFonts w:eastAsia="Times New Roman"/>
          <w:bCs w:val="0"/>
          <w:color w:val="auto"/>
          <w:szCs w:val="24"/>
        </w:rPr>
        <w:t xml:space="preserve">treated as </w:t>
      </w:r>
      <w:r w:rsidRPr="008C6DDE">
        <w:rPr>
          <w:rFonts w:eastAsia="Times New Roman"/>
          <w:bCs w:val="0"/>
          <w:color w:val="auto"/>
          <w:szCs w:val="24"/>
        </w:rPr>
        <w:t>below-the-line political spending</w:t>
      </w:r>
      <w:r w:rsidRPr="008C6DDE" w:rsidR="00DE4186">
        <w:rPr>
          <w:rFonts w:eastAsia="Times New Roman"/>
          <w:bCs w:val="0"/>
          <w:color w:val="auto"/>
          <w:szCs w:val="24"/>
        </w:rPr>
        <w:t xml:space="preserve"> by FERC</w:t>
      </w:r>
      <w:r w:rsidRPr="008C6DDE">
        <w:rPr>
          <w:rFonts w:eastAsia="Times New Roman"/>
          <w:bCs w:val="0"/>
          <w:color w:val="auto"/>
          <w:szCs w:val="24"/>
        </w:rPr>
        <w:t>.</w:t>
      </w:r>
      <w:r>
        <w:rPr>
          <w:rStyle w:val="FootnoteReference"/>
          <w:rFonts w:eastAsia="Times New Roman"/>
          <w:bCs w:val="0"/>
          <w:color w:val="auto"/>
          <w:szCs w:val="24"/>
        </w:rPr>
        <w:footnoteReference w:id="6"/>
      </w:r>
    </w:p>
    <w:p w:rsidR="00AB6726" w:rsidRPr="008C6DDE" w:rsidP="00AB6726" w14:paraId="27397119" w14:textId="66F5044C">
      <w:pPr>
        <w:spacing w:line="480" w:lineRule="auto"/>
        <w:ind w:firstLine="720"/>
        <w:rPr>
          <w:bCs w:val="0"/>
          <w:color w:val="auto"/>
          <w:szCs w:val="24"/>
        </w:rPr>
      </w:pPr>
      <w:r w:rsidRPr="008C6DDE">
        <w:rPr>
          <w:rFonts w:eastAsia="Times New Roman"/>
          <w:bCs w:val="0"/>
          <w:color w:val="auto"/>
          <w:szCs w:val="24"/>
        </w:rPr>
        <w:t xml:space="preserve">The FirstEnergy Utilities initially </w:t>
      </w:r>
      <w:r w:rsidRPr="008C6DDE">
        <w:rPr>
          <w:rFonts w:eastAsia="Times New Roman"/>
          <w:bCs w:val="0"/>
          <w:color w:val="auto"/>
          <w:szCs w:val="24"/>
        </w:rPr>
        <w:t xml:space="preserve">said </w:t>
      </w:r>
      <w:r w:rsidRPr="008C6DDE">
        <w:rPr>
          <w:rFonts w:eastAsia="Times New Roman"/>
          <w:bCs w:val="0"/>
          <w:color w:val="auto"/>
          <w:szCs w:val="24"/>
        </w:rPr>
        <w:t>that they had no political spending in support of H.B. 6.</w:t>
      </w:r>
      <w:r>
        <w:rPr>
          <w:rStyle w:val="FootnoteReference"/>
          <w:rFonts w:eastAsia="Times New Roman"/>
          <w:bCs w:val="0"/>
          <w:color w:val="auto"/>
          <w:szCs w:val="24"/>
        </w:rPr>
        <w:footnoteReference w:id="7"/>
      </w:r>
      <w:r w:rsidRPr="008C6DDE" w:rsidR="004006DC">
        <w:rPr>
          <w:rFonts w:eastAsia="Times New Roman"/>
          <w:bCs w:val="0"/>
          <w:color w:val="auto"/>
          <w:szCs w:val="24"/>
        </w:rPr>
        <w:t xml:space="preserve"> </w:t>
      </w:r>
      <w:r w:rsidRPr="008C6DDE">
        <w:rPr>
          <w:rFonts w:eastAsia="Times New Roman"/>
          <w:bCs w:val="0"/>
          <w:color w:val="auto"/>
          <w:szCs w:val="24"/>
        </w:rPr>
        <w:t>A</w:t>
      </w:r>
      <w:r w:rsidRPr="008C6DDE" w:rsidR="00C72F8C">
        <w:rPr>
          <w:rFonts w:eastAsia="Times New Roman"/>
          <w:bCs w:val="0"/>
          <w:color w:val="auto"/>
          <w:szCs w:val="24"/>
        </w:rPr>
        <w:t>bout one year later, a</w:t>
      </w:r>
      <w:r w:rsidRPr="008C6DDE">
        <w:rPr>
          <w:rFonts w:eastAsia="Times New Roman"/>
          <w:bCs w:val="0"/>
          <w:color w:val="auto"/>
          <w:szCs w:val="24"/>
        </w:rPr>
        <w:t xml:space="preserve">fter </w:t>
      </w:r>
      <w:r w:rsidRPr="008C6DDE">
        <w:rPr>
          <w:rFonts w:eastAsia="Times New Roman"/>
          <w:bCs w:val="0"/>
          <w:color w:val="auto"/>
          <w:szCs w:val="24"/>
        </w:rPr>
        <w:t>FirstEnergy Corp. entered into the Deferred Prosecution Agreement</w:t>
      </w:r>
      <w:r w:rsidRPr="008C6DDE" w:rsidR="006431B6">
        <w:rPr>
          <w:rFonts w:eastAsia="Times New Roman"/>
          <w:bCs w:val="0"/>
          <w:color w:val="auto"/>
          <w:szCs w:val="24"/>
        </w:rPr>
        <w:t xml:space="preserve"> (“DPA”)</w:t>
      </w:r>
      <w:r w:rsidRPr="008C6DDE">
        <w:rPr>
          <w:rFonts w:eastAsia="Times New Roman"/>
          <w:bCs w:val="0"/>
          <w:color w:val="auto"/>
          <w:szCs w:val="24"/>
        </w:rPr>
        <w:t xml:space="preserve">, the FirstEnergy Utilities </w:t>
      </w:r>
      <w:r w:rsidRPr="008C6DDE" w:rsidR="00B74137">
        <w:rPr>
          <w:rFonts w:eastAsia="Times New Roman"/>
          <w:bCs w:val="0"/>
          <w:color w:val="auto"/>
          <w:szCs w:val="24"/>
        </w:rPr>
        <w:t>admitted</w:t>
      </w:r>
      <w:r w:rsidRPr="008C6DDE">
        <w:rPr>
          <w:rFonts w:eastAsia="Times New Roman"/>
          <w:bCs w:val="0"/>
          <w:color w:val="auto"/>
          <w:szCs w:val="24"/>
        </w:rPr>
        <w:t xml:space="preserve"> they had some political spending in support of H.B. 6, but it was limited what was disclosed in the DPA (</w:t>
      </w:r>
      <w:r w:rsidRPr="008C6DDE">
        <w:rPr>
          <w:rFonts w:eastAsia="Times New Roman"/>
          <w:bCs w:val="0"/>
          <w:i/>
          <w:iCs/>
          <w:color w:val="auto"/>
          <w:szCs w:val="24"/>
        </w:rPr>
        <w:t xml:space="preserve">i.e., </w:t>
      </w:r>
      <w:r w:rsidRPr="008C6DDE">
        <w:rPr>
          <w:rFonts w:eastAsia="Times New Roman"/>
          <w:bCs w:val="0"/>
          <w:color w:val="auto"/>
          <w:szCs w:val="24"/>
        </w:rPr>
        <w:t xml:space="preserve">payments to </w:t>
      </w:r>
      <w:r w:rsidRPr="008C6DDE">
        <w:rPr>
          <w:bCs w:val="0"/>
          <w:color w:val="auto"/>
          <w:szCs w:val="24"/>
        </w:rPr>
        <w:t>payments to benefit “Public Official A” (described as “the Speaker of the Ohio House of Representatives from January 7, 2019 to July 30, 2020”) and “Public Official B” (described as “the Chairman of the Public Utilities Commission of Ohio (PUCO) from April 2019 until November 21, 2020, when he resigned”).</w:t>
      </w:r>
      <w:r>
        <w:rPr>
          <w:rStyle w:val="FootnoteReference"/>
          <w:bCs w:val="0"/>
          <w:color w:val="auto"/>
          <w:szCs w:val="24"/>
        </w:rPr>
        <w:footnoteReference w:id="8"/>
      </w:r>
      <w:r w:rsidR="008C6DDE">
        <w:rPr>
          <w:bCs w:val="0"/>
          <w:color w:val="auto"/>
          <w:szCs w:val="24"/>
        </w:rPr>
        <w:t xml:space="preserve"> </w:t>
      </w:r>
    </w:p>
    <w:p w:rsidR="00B74137" w:rsidRPr="008C6DDE" w:rsidP="00B74137" w14:paraId="7E05D5C7" w14:textId="6D621072">
      <w:pPr>
        <w:spacing w:line="480" w:lineRule="auto"/>
        <w:ind w:firstLine="720"/>
        <w:rPr>
          <w:szCs w:val="24"/>
        </w:rPr>
      </w:pPr>
      <w:r w:rsidRPr="008C6DDE">
        <w:rPr>
          <w:szCs w:val="24"/>
        </w:rPr>
        <w:t xml:space="preserve">Under </w:t>
      </w:r>
      <w:r w:rsidRPr="008C6DDE">
        <w:rPr>
          <w:i/>
          <w:iCs/>
          <w:szCs w:val="24"/>
        </w:rPr>
        <w:t xml:space="preserve">Newman v. FERC, </w:t>
      </w:r>
      <w:r w:rsidRPr="008C6DDE" w:rsidR="00EA0541">
        <w:rPr>
          <w:szCs w:val="24"/>
        </w:rPr>
        <w:t xml:space="preserve">the FirstEnergy Utilities </w:t>
      </w:r>
      <w:r w:rsidRPr="008C6DDE">
        <w:rPr>
          <w:szCs w:val="24"/>
        </w:rPr>
        <w:t xml:space="preserve">will now be required </w:t>
      </w:r>
      <w:r w:rsidRPr="008C6DDE" w:rsidR="00EA0541">
        <w:rPr>
          <w:szCs w:val="24"/>
        </w:rPr>
        <w:t xml:space="preserve">to </w:t>
      </w:r>
      <w:r w:rsidRPr="008C6DDE" w:rsidR="00C72F8C">
        <w:rPr>
          <w:szCs w:val="24"/>
        </w:rPr>
        <w:t xml:space="preserve">update their </w:t>
      </w:r>
      <w:r w:rsidRPr="008C6DDE" w:rsidR="00EA0541">
        <w:rPr>
          <w:szCs w:val="24"/>
        </w:rPr>
        <w:t>response to the PUCO’s show-cause order.</w:t>
      </w:r>
      <w:r w:rsidRPr="008C6DDE" w:rsidR="004006DC">
        <w:rPr>
          <w:szCs w:val="24"/>
        </w:rPr>
        <w:t xml:space="preserve"> </w:t>
      </w:r>
      <w:r w:rsidRPr="008C6DDE" w:rsidR="00C72F8C">
        <w:rPr>
          <w:szCs w:val="24"/>
        </w:rPr>
        <w:t xml:space="preserve">They must reveal </w:t>
      </w:r>
      <w:r w:rsidRPr="008C6DDE" w:rsidR="00EA0541">
        <w:rPr>
          <w:szCs w:val="24"/>
        </w:rPr>
        <w:t xml:space="preserve">their political and charitable spending to support H.B. 6, using the new definition of political spending provided by </w:t>
      </w:r>
      <w:r w:rsidRPr="008C6DDE" w:rsidR="00EA0541">
        <w:rPr>
          <w:i/>
          <w:iCs/>
          <w:szCs w:val="24"/>
        </w:rPr>
        <w:t>Newman v. FERC.</w:t>
      </w:r>
      <w:r w:rsidRPr="008C6DDE" w:rsidR="004006DC">
        <w:rPr>
          <w:i/>
          <w:iCs/>
          <w:szCs w:val="24"/>
        </w:rPr>
        <w:t xml:space="preserve"> </w:t>
      </w:r>
      <w:r w:rsidRPr="008C6DDE">
        <w:rPr>
          <w:szCs w:val="24"/>
        </w:rPr>
        <w:t>They should do so proactively and actually practice what they preach regarding transparency.</w:t>
      </w:r>
      <w:r w:rsidRPr="008C6DDE" w:rsidR="004006DC">
        <w:rPr>
          <w:szCs w:val="24"/>
        </w:rPr>
        <w:t xml:space="preserve"> </w:t>
      </w:r>
      <w:r w:rsidRPr="008C6DDE">
        <w:rPr>
          <w:szCs w:val="24"/>
        </w:rPr>
        <w:t xml:space="preserve">To date, they have talked the talk of </w:t>
      </w:r>
      <w:r w:rsidRPr="008C6DDE" w:rsidR="006C62E9">
        <w:rPr>
          <w:szCs w:val="24"/>
        </w:rPr>
        <w:t>transparency,</w:t>
      </w:r>
      <w:r w:rsidRPr="008C6DDE">
        <w:rPr>
          <w:szCs w:val="24"/>
        </w:rPr>
        <w:t xml:space="preserve"> but they certainly do not walk the walk.</w:t>
      </w:r>
    </w:p>
    <w:p w:rsidR="004604D7" w:rsidRPr="008C6DDE" w:rsidP="00505611" w14:paraId="646ADB3B" w14:textId="5EE1B711">
      <w:pPr>
        <w:spacing w:line="480" w:lineRule="auto"/>
        <w:ind w:firstLine="720"/>
        <w:rPr>
          <w:szCs w:val="24"/>
        </w:rPr>
      </w:pPr>
      <w:r w:rsidRPr="008C6DDE">
        <w:rPr>
          <w:szCs w:val="24"/>
        </w:rPr>
        <w:t>At this point in the FirstEnergy scandals (H</w:t>
      </w:r>
      <w:r w:rsidRPr="008C6DDE" w:rsidR="006431B6">
        <w:rPr>
          <w:szCs w:val="24"/>
        </w:rPr>
        <w:t>.B.</w:t>
      </w:r>
      <w:r w:rsidRPr="008C6DDE">
        <w:rPr>
          <w:szCs w:val="24"/>
        </w:rPr>
        <w:t xml:space="preserve"> 6 scandal, PUCO scandal, etc.), it should be all too obvious to the PUCO that FirstEnergy should not be trusted to police itself. </w:t>
      </w:r>
      <w:r w:rsidRPr="008C6DDE">
        <w:rPr>
          <w:szCs w:val="24"/>
        </w:rPr>
        <w:t xml:space="preserve">The FirstEnergy Utilities </w:t>
      </w:r>
      <w:r w:rsidRPr="008C6DDE" w:rsidR="00C72F8C">
        <w:rPr>
          <w:szCs w:val="24"/>
        </w:rPr>
        <w:t xml:space="preserve">didn’t </w:t>
      </w:r>
      <w:r w:rsidRPr="008C6DDE" w:rsidR="000F7300">
        <w:rPr>
          <w:szCs w:val="24"/>
        </w:rPr>
        <w:t>admit to any</w:t>
      </w:r>
      <w:r w:rsidRPr="008C6DDE">
        <w:rPr>
          <w:szCs w:val="24"/>
        </w:rPr>
        <w:t xml:space="preserve"> political spending </w:t>
      </w:r>
      <w:r w:rsidRPr="008C6DDE" w:rsidR="006431B6">
        <w:rPr>
          <w:szCs w:val="24"/>
        </w:rPr>
        <w:t>being</w:t>
      </w:r>
      <w:r w:rsidRPr="008C6DDE" w:rsidR="00DC211B">
        <w:rPr>
          <w:szCs w:val="24"/>
        </w:rPr>
        <w:t xml:space="preserve"> included in rates</w:t>
      </w:r>
      <w:r w:rsidRPr="008C6DDE" w:rsidR="00EF6A38">
        <w:rPr>
          <w:szCs w:val="24"/>
        </w:rPr>
        <w:t xml:space="preserve"> </w:t>
      </w:r>
      <w:r w:rsidRPr="008C6DDE" w:rsidR="00DC211B">
        <w:rPr>
          <w:szCs w:val="24"/>
        </w:rPr>
        <w:t>charged to consumers</w:t>
      </w:r>
      <w:r w:rsidRPr="008C6DDE" w:rsidR="002F621A">
        <w:rPr>
          <w:szCs w:val="24"/>
        </w:rPr>
        <w:t xml:space="preserve"> </w:t>
      </w:r>
      <w:r w:rsidRPr="008C6DDE" w:rsidR="000F7300">
        <w:rPr>
          <w:szCs w:val="24"/>
        </w:rPr>
        <w:t>until</w:t>
      </w:r>
      <w:r w:rsidRPr="008C6DDE" w:rsidR="00C72F8C">
        <w:rPr>
          <w:szCs w:val="24"/>
        </w:rPr>
        <w:t xml:space="preserve"> the </w:t>
      </w:r>
      <w:r w:rsidRPr="008C6DDE" w:rsidR="006431B6">
        <w:rPr>
          <w:szCs w:val="24"/>
        </w:rPr>
        <w:t>DPA</w:t>
      </w:r>
      <w:r w:rsidRPr="008C6DDE">
        <w:rPr>
          <w:szCs w:val="24"/>
        </w:rPr>
        <w:t xml:space="preserve"> showed</w:t>
      </w:r>
      <w:r w:rsidRPr="008C6DDE" w:rsidR="00B74137">
        <w:rPr>
          <w:szCs w:val="24"/>
        </w:rPr>
        <w:t xml:space="preserve"> </w:t>
      </w:r>
      <w:r w:rsidRPr="008C6DDE" w:rsidR="00C72F8C">
        <w:rPr>
          <w:szCs w:val="24"/>
        </w:rPr>
        <w:t>it had occurred</w:t>
      </w:r>
      <w:r w:rsidRPr="008C6DDE" w:rsidR="000F7300">
        <w:rPr>
          <w:szCs w:val="24"/>
        </w:rPr>
        <w:t>.</w:t>
      </w:r>
      <w:r w:rsidRPr="008C6DDE" w:rsidR="004006DC">
        <w:rPr>
          <w:szCs w:val="24"/>
        </w:rPr>
        <w:t xml:space="preserve"> </w:t>
      </w:r>
      <w:r w:rsidRPr="008C6DDE" w:rsidR="000F7300">
        <w:rPr>
          <w:szCs w:val="24"/>
        </w:rPr>
        <w:t xml:space="preserve">This </w:t>
      </w:r>
      <w:r w:rsidRPr="008C6DDE" w:rsidR="00574A88">
        <w:rPr>
          <w:szCs w:val="24"/>
        </w:rPr>
        <w:t xml:space="preserve">further </w:t>
      </w:r>
      <w:r w:rsidRPr="008C6DDE" w:rsidR="000F7300">
        <w:rPr>
          <w:szCs w:val="24"/>
        </w:rPr>
        <w:t xml:space="preserve">highlights the need for the PUCO to appoint an </w:t>
      </w:r>
      <w:r w:rsidRPr="008C6DDE" w:rsidR="00574A88">
        <w:rPr>
          <w:szCs w:val="24"/>
        </w:rPr>
        <w:t xml:space="preserve">independent </w:t>
      </w:r>
      <w:r w:rsidRPr="008C6DDE" w:rsidR="000F7300">
        <w:rPr>
          <w:szCs w:val="24"/>
        </w:rPr>
        <w:t>auditor who has full access to the books of the FirstEnergy Utilities and FirstEnergy Service Company</w:t>
      </w:r>
      <w:r w:rsidRPr="008C6DDE" w:rsidR="00B74137">
        <w:rPr>
          <w:szCs w:val="24"/>
        </w:rPr>
        <w:t>.</w:t>
      </w:r>
      <w:r w:rsidRPr="008C6DDE" w:rsidR="000F7300">
        <w:rPr>
          <w:szCs w:val="24"/>
        </w:rPr>
        <w:t xml:space="preserve"> </w:t>
      </w:r>
      <w:r w:rsidRPr="008C6DDE" w:rsidR="00C72F8C">
        <w:rPr>
          <w:szCs w:val="24"/>
        </w:rPr>
        <w:t xml:space="preserve">The </w:t>
      </w:r>
      <w:r w:rsidRPr="008C6DDE" w:rsidR="00EF6A38">
        <w:rPr>
          <w:szCs w:val="24"/>
        </w:rPr>
        <w:t xml:space="preserve">independent </w:t>
      </w:r>
      <w:r w:rsidRPr="008C6DDE" w:rsidR="00C72F8C">
        <w:rPr>
          <w:szCs w:val="24"/>
        </w:rPr>
        <w:t>audit</w:t>
      </w:r>
      <w:r w:rsidRPr="008C6DDE" w:rsidR="00EF6A38">
        <w:rPr>
          <w:szCs w:val="24"/>
        </w:rPr>
        <w:t>or</w:t>
      </w:r>
      <w:r w:rsidRPr="008C6DDE" w:rsidR="00C72F8C">
        <w:rPr>
          <w:szCs w:val="24"/>
        </w:rPr>
        <w:t xml:space="preserve"> should examine </w:t>
      </w:r>
      <w:r w:rsidRPr="008C6DDE" w:rsidR="00B74137">
        <w:rPr>
          <w:szCs w:val="24"/>
        </w:rPr>
        <w:t xml:space="preserve">political spending using the new definition established by </w:t>
      </w:r>
      <w:r w:rsidRPr="008C6DDE" w:rsidR="00B74137">
        <w:rPr>
          <w:i/>
          <w:iCs/>
          <w:szCs w:val="24"/>
        </w:rPr>
        <w:t>Newman v. FERC.</w:t>
      </w:r>
      <w:r w:rsidRPr="008C6DDE" w:rsidR="004006DC">
        <w:rPr>
          <w:i/>
          <w:iCs/>
          <w:szCs w:val="24"/>
        </w:rPr>
        <w:t xml:space="preserve"> </w:t>
      </w:r>
      <w:r w:rsidRPr="008C6DDE" w:rsidR="00B74137">
        <w:rPr>
          <w:szCs w:val="24"/>
        </w:rPr>
        <w:t>The auditor should also examine</w:t>
      </w:r>
      <w:r w:rsidRPr="008C6DDE" w:rsidR="00C72F8C">
        <w:rPr>
          <w:szCs w:val="24"/>
        </w:rPr>
        <w:t xml:space="preserve"> the amount of internal</w:t>
      </w:r>
      <w:r w:rsidRPr="008C6DDE" w:rsidR="00EF6A38">
        <w:rPr>
          <w:szCs w:val="24"/>
        </w:rPr>
        <w:t xml:space="preserve"> labor (and/or other)</w:t>
      </w:r>
      <w:r w:rsidRPr="008C6DDE" w:rsidR="00C72F8C">
        <w:rPr>
          <w:szCs w:val="24"/>
        </w:rPr>
        <w:t xml:space="preserve"> costs charged </w:t>
      </w:r>
      <w:r w:rsidRPr="008C6DDE" w:rsidR="00EF6A38">
        <w:rPr>
          <w:szCs w:val="24"/>
        </w:rPr>
        <w:t xml:space="preserve">to consumers </w:t>
      </w:r>
      <w:r w:rsidRPr="008C6DDE" w:rsidR="00C72F8C">
        <w:rPr>
          <w:szCs w:val="24"/>
        </w:rPr>
        <w:t>for passing tainted H.B. 6 and defeating the subsequent referendum.</w:t>
      </w:r>
    </w:p>
    <w:p w:rsidR="0068731A" w:rsidRPr="008C6DDE" w:rsidP="0068731A" w14:paraId="74D9468E" w14:textId="77777777">
      <w:pPr>
        <w:widowControl w:val="0"/>
        <w:ind w:left="3600" w:firstLine="720"/>
        <w:rPr>
          <w:szCs w:val="24"/>
        </w:rPr>
      </w:pPr>
      <w:r w:rsidRPr="008C6DDE">
        <w:rPr>
          <w:szCs w:val="24"/>
        </w:rPr>
        <w:t>Respectfully submitted,</w:t>
      </w:r>
    </w:p>
    <w:p w:rsidR="0068731A" w:rsidRPr="008C6DDE" w:rsidP="0068731A" w14:paraId="4E74B4F7" w14:textId="77777777">
      <w:pPr>
        <w:widowControl w:val="0"/>
        <w:ind w:left="3600" w:right="-672" w:firstLine="720"/>
        <w:rPr>
          <w:szCs w:val="24"/>
        </w:rPr>
      </w:pPr>
    </w:p>
    <w:p w:rsidR="0068731A" w:rsidRPr="008C6DDE" w:rsidP="0068731A" w14:paraId="6E4F397A" w14:textId="77777777">
      <w:pPr>
        <w:ind w:left="3600" w:firstLine="720"/>
        <w:rPr>
          <w:szCs w:val="24"/>
        </w:rPr>
      </w:pPr>
      <w:r w:rsidRPr="008C6DDE">
        <w:rPr>
          <w:szCs w:val="24"/>
        </w:rPr>
        <w:t>Bruce Weston (0016973)</w:t>
      </w:r>
    </w:p>
    <w:p w:rsidR="0068731A" w:rsidRPr="008C6DDE" w:rsidP="0068731A" w14:paraId="705CDDAD" w14:textId="77777777">
      <w:pPr>
        <w:ind w:firstLine="4320"/>
        <w:rPr>
          <w:szCs w:val="24"/>
        </w:rPr>
      </w:pPr>
      <w:r w:rsidRPr="008C6DDE">
        <w:rPr>
          <w:szCs w:val="24"/>
        </w:rPr>
        <w:t>Ohio Consumers’ Counsel</w:t>
      </w:r>
    </w:p>
    <w:p w:rsidR="0068731A" w:rsidRPr="008C6DDE" w:rsidP="0068731A" w14:paraId="35B12677" w14:textId="7A2724E5">
      <w:pPr>
        <w:ind w:firstLine="4320"/>
        <w:rPr>
          <w:szCs w:val="24"/>
        </w:rPr>
      </w:pPr>
      <w:r w:rsidRPr="008C6DDE">
        <w:rPr>
          <w:szCs w:val="24"/>
        </w:rPr>
        <w:t xml:space="preserve"> </w:t>
      </w:r>
    </w:p>
    <w:p w:rsidR="0068731A" w:rsidRPr="008C6DDE" w:rsidP="0068731A" w14:paraId="681D7D5E" w14:textId="36EA7DEC">
      <w:pPr>
        <w:suppressLineNumbers/>
        <w:ind w:left="4320"/>
        <w:rPr>
          <w:szCs w:val="24"/>
        </w:rPr>
      </w:pPr>
      <w:r w:rsidRPr="008C6DDE">
        <w:rPr>
          <w:i/>
          <w:iCs/>
          <w:szCs w:val="24"/>
          <w:u w:val="single"/>
        </w:rPr>
        <w:t>/s/ Maureen R. Willis</w:t>
      </w:r>
      <w:r w:rsidRPr="008C6DDE" w:rsidR="000039C1">
        <w:rPr>
          <w:i/>
          <w:iCs/>
          <w:szCs w:val="24"/>
          <w:u w:val="single"/>
        </w:rPr>
        <w:tab/>
      </w:r>
      <w:r w:rsidRPr="008C6DDE" w:rsidR="000039C1">
        <w:rPr>
          <w:i/>
          <w:iCs/>
          <w:szCs w:val="24"/>
          <w:u w:val="single"/>
        </w:rPr>
        <w:tab/>
      </w:r>
    </w:p>
    <w:p w:rsidR="0068731A" w:rsidRPr="008C6DDE" w:rsidP="0068731A" w14:paraId="4E5F6CB1" w14:textId="00E74012">
      <w:pPr>
        <w:suppressLineNumbers/>
        <w:ind w:left="4320"/>
        <w:rPr>
          <w:szCs w:val="24"/>
        </w:rPr>
      </w:pPr>
      <w:r w:rsidRPr="008C6DDE">
        <w:rPr>
          <w:szCs w:val="24"/>
        </w:rPr>
        <w:t>Maureen R. Willis</w:t>
      </w:r>
      <w:r w:rsidRPr="008C6DDE" w:rsidR="007C3122">
        <w:rPr>
          <w:szCs w:val="24"/>
        </w:rPr>
        <w:t xml:space="preserve"> (0020847)</w:t>
      </w:r>
    </w:p>
    <w:p w:rsidR="0068731A" w:rsidRPr="008C6DDE" w:rsidP="0068731A" w14:paraId="3DD9B192" w14:textId="5696EBC0">
      <w:pPr>
        <w:suppressLineNumbers/>
        <w:ind w:left="4320"/>
        <w:rPr>
          <w:szCs w:val="24"/>
        </w:rPr>
      </w:pPr>
      <w:r w:rsidRPr="008C6DDE">
        <w:rPr>
          <w:szCs w:val="24"/>
        </w:rPr>
        <w:t xml:space="preserve">Counsel of </w:t>
      </w:r>
      <w:r w:rsidRPr="008C6DDE" w:rsidR="007C3122">
        <w:rPr>
          <w:szCs w:val="24"/>
        </w:rPr>
        <w:t>Record</w:t>
      </w:r>
    </w:p>
    <w:p w:rsidR="0068731A" w:rsidRPr="008C6DDE" w:rsidP="0068731A" w14:paraId="637DFDC3" w14:textId="5D999F3B">
      <w:pPr>
        <w:suppressLineNumbers/>
        <w:ind w:left="4320"/>
        <w:rPr>
          <w:szCs w:val="24"/>
        </w:rPr>
      </w:pPr>
      <w:r w:rsidRPr="008C6DDE">
        <w:rPr>
          <w:szCs w:val="24"/>
        </w:rPr>
        <w:t>John Finnigan (0018689)</w:t>
      </w:r>
      <w:r w:rsidRPr="008C6DDE">
        <w:rPr>
          <w:szCs w:val="24"/>
        </w:rPr>
        <w:tab/>
      </w:r>
    </w:p>
    <w:p w:rsidR="0068731A" w:rsidRPr="008C6DDE" w:rsidP="0068731A" w14:paraId="737D05DE" w14:textId="77777777">
      <w:pPr>
        <w:suppressLineNumbers/>
        <w:ind w:left="4320"/>
        <w:rPr>
          <w:szCs w:val="24"/>
        </w:rPr>
      </w:pPr>
      <w:r w:rsidRPr="008C6DDE">
        <w:rPr>
          <w:szCs w:val="24"/>
        </w:rPr>
        <w:t>Assistant Consumers’ Counsel</w:t>
      </w:r>
    </w:p>
    <w:p w:rsidR="0068731A" w:rsidRPr="008C6DDE" w:rsidP="0068731A" w14:paraId="1E57024C" w14:textId="77777777">
      <w:pPr>
        <w:suppressLineNumbers/>
        <w:ind w:left="4320"/>
        <w:rPr>
          <w:szCs w:val="24"/>
        </w:rPr>
      </w:pPr>
      <w:r w:rsidRPr="008C6DDE">
        <w:rPr>
          <w:szCs w:val="24"/>
        </w:rPr>
        <w:tab/>
      </w:r>
    </w:p>
    <w:p w:rsidR="0068731A" w:rsidRPr="008C6DDE" w:rsidP="0068731A" w14:paraId="0AFFDFC6" w14:textId="77777777">
      <w:pPr>
        <w:suppressLineNumbers/>
        <w:ind w:left="4320"/>
        <w:rPr>
          <w:b/>
          <w:bCs w:val="0"/>
          <w:szCs w:val="24"/>
        </w:rPr>
      </w:pPr>
      <w:r w:rsidRPr="008C6DDE">
        <w:rPr>
          <w:b/>
          <w:szCs w:val="24"/>
        </w:rPr>
        <w:t>Office of the Ohio Consumers’ Counsel</w:t>
      </w:r>
    </w:p>
    <w:p w:rsidR="0068731A" w:rsidRPr="008C6DDE" w:rsidP="0068731A" w14:paraId="15387152" w14:textId="2A0204C9">
      <w:pPr>
        <w:suppressLineNumbers/>
        <w:ind w:left="4320"/>
        <w:rPr>
          <w:bCs w:val="0"/>
          <w:szCs w:val="24"/>
        </w:rPr>
      </w:pPr>
      <w:r w:rsidRPr="008C6DDE">
        <w:rPr>
          <w:szCs w:val="24"/>
        </w:rPr>
        <w:t xml:space="preserve">65 East State Street, </w:t>
      </w:r>
      <w:r w:rsidRPr="008C6DDE" w:rsidR="00F2549D">
        <w:rPr>
          <w:szCs w:val="24"/>
        </w:rPr>
        <w:t>Suite 700</w:t>
      </w:r>
    </w:p>
    <w:p w:rsidR="0068731A" w:rsidRPr="008C6DDE" w:rsidP="0068731A" w14:paraId="316007B8" w14:textId="77777777">
      <w:pPr>
        <w:suppressLineNumbers/>
        <w:ind w:left="4320"/>
        <w:rPr>
          <w:bCs w:val="0"/>
          <w:szCs w:val="24"/>
        </w:rPr>
      </w:pPr>
      <w:r w:rsidRPr="008C6DDE">
        <w:rPr>
          <w:szCs w:val="24"/>
        </w:rPr>
        <w:t>Columbus, Ohio 43215</w:t>
      </w:r>
    </w:p>
    <w:p w:rsidR="0068731A" w:rsidRPr="008C6DDE" w:rsidP="0068731A" w14:paraId="4C14E8C6" w14:textId="77777777">
      <w:pPr>
        <w:suppressLineNumbers/>
        <w:ind w:left="4320"/>
        <w:rPr>
          <w:szCs w:val="24"/>
        </w:rPr>
      </w:pPr>
      <w:r w:rsidRPr="008C6DDE">
        <w:rPr>
          <w:szCs w:val="24"/>
        </w:rPr>
        <w:t>Telephone [Willis]: (614) 466-9567</w:t>
      </w:r>
    </w:p>
    <w:p w:rsidR="0068731A" w:rsidRPr="008C6DDE" w:rsidP="0068731A" w14:paraId="5932BFFB" w14:textId="77777777">
      <w:pPr>
        <w:suppressLineNumbers/>
        <w:ind w:left="4320"/>
        <w:rPr>
          <w:szCs w:val="24"/>
        </w:rPr>
      </w:pPr>
      <w:r w:rsidRPr="008C6DDE">
        <w:rPr>
          <w:szCs w:val="24"/>
        </w:rPr>
        <w:t>Telephone [Finnigan]: (614) 466-9585</w:t>
      </w:r>
    </w:p>
    <w:p w:rsidR="0068731A" w:rsidRPr="008C6DDE" w:rsidP="0068731A" w14:paraId="0AFBE80A" w14:textId="22CED26C">
      <w:pPr>
        <w:suppressLineNumbers/>
        <w:ind w:left="4320"/>
        <w:rPr>
          <w:szCs w:val="24"/>
        </w:rPr>
      </w:pPr>
      <w:hyperlink r:id="rId7" w:history="1">
        <w:r w:rsidRPr="008C6DDE" w:rsidR="009A31D5">
          <w:rPr>
            <w:rStyle w:val="Hyperlink"/>
            <w:szCs w:val="24"/>
          </w:rPr>
          <w:t>maureen.willis@occ.ohio.gov</w:t>
        </w:r>
      </w:hyperlink>
    </w:p>
    <w:p w:rsidR="0068731A" w:rsidRPr="008C6DDE" w:rsidP="0068731A" w14:paraId="7D0171AA" w14:textId="26CAADDC">
      <w:pPr>
        <w:suppressLineNumbers/>
        <w:ind w:left="4320"/>
        <w:rPr>
          <w:szCs w:val="24"/>
        </w:rPr>
      </w:pPr>
      <w:hyperlink r:id="rId8" w:history="1">
        <w:r w:rsidRPr="008C6DDE" w:rsidR="00FD7FE2">
          <w:rPr>
            <w:rStyle w:val="Hyperlink"/>
            <w:szCs w:val="24"/>
          </w:rPr>
          <w:t>john.finnigan@occ.ohio.gov</w:t>
        </w:r>
      </w:hyperlink>
    </w:p>
    <w:p w:rsidR="0068731A" w:rsidRPr="008C6DDE" w:rsidP="0068731A" w14:paraId="3B728324" w14:textId="4CEF9EF1">
      <w:pPr>
        <w:suppressLineNumbers/>
        <w:ind w:left="4320"/>
        <w:rPr>
          <w:szCs w:val="24"/>
        </w:rPr>
      </w:pPr>
      <w:r w:rsidRPr="008C6DDE">
        <w:rPr>
          <w:szCs w:val="24"/>
        </w:rPr>
        <w:t>(</w:t>
      </w:r>
      <w:r w:rsidRPr="008C6DDE" w:rsidR="00F2549D">
        <w:rPr>
          <w:szCs w:val="24"/>
        </w:rPr>
        <w:t>w</w:t>
      </w:r>
      <w:r w:rsidRPr="008C6DDE">
        <w:rPr>
          <w:szCs w:val="24"/>
        </w:rPr>
        <w:t>illing to accept service by e-mail)</w:t>
      </w:r>
    </w:p>
    <w:p w:rsidR="00546FF0" w:rsidRPr="008C6DDE" w14:paraId="3A49CD15" w14:textId="77777777">
      <w:pPr>
        <w:rPr>
          <w:rFonts w:eastAsiaTheme="minorEastAsia"/>
          <w:b/>
          <w:szCs w:val="24"/>
          <w:u w:val="single"/>
        </w:rPr>
      </w:pPr>
      <w:r w:rsidRPr="008C6DDE">
        <w:rPr>
          <w:rFonts w:eastAsiaTheme="minorEastAsia"/>
          <w:b/>
          <w:szCs w:val="24"/>
          <w:u w:val="single"/>
        </w:rPr>
        <w:br w:type="page"/>
      </w:r>
    </w:p>
    <w:p w:rsidR="0068731A" w:rsidRPr="008C6DDE" w:rsidP="00EA325A" w14:paraId="15681411" w14:textId="47B65E3B">
      <w:pPr>
        <w:spacing w:line="480" w:lineRule="auto"/>
        <w:jc w:val="center"/>
        <w:rPr>
          <w:rFonts w:eastAsiaTheme="minorEastAsia"/>
          <w:b/>
          <w:szCs w:val="24"/>
          <w:u w:val="single"/>
        </w:rPr>
      </w:pPr>
      <w:r w:rsidRPr="008C6DDE">
        <w:rPr>
          <w:rFonts w:eastAsiaTheme="minorEastAsia"/>
          <w:b/>
          <w:szCs w:val="24"/>
          <w:u w:val="single"/>
        </w:rPr>
        <w:t>CERTIFICATE OF SERVICE</w:t>
      </w:r>
    </w:p>
    <w:p w:rsidR="0068731A" w:rsidRPr="008C6DDE" w:rsidP="0068731A" w14:paraId="54D68FB7" w14:textId="3F08D5CC">
      <w:pPr>
        <w:spacing w:line="480" w:lineRule="auto"/>
        <w:ind w:firstLine="720"/>
        <w:rPr>
          <w:rFonts w:eastAsiaTheme="minorEastAsia"/>
          <w:szCs w:val="24"/>
        </w:rPr>
      </w:pPr>
      <w:r w:rsidRPr="008C6DDE">
        <w:rPr>
          <w:rFonts w:eastAsiaTheme="minorEastAsia"/>
          <w:szCs w:val="24"/>
        </w:rPr>
        <w:t>I hereby certify that a copy of th</w:t>
      </w:r>
      <w:r w:rsidRPr="008C6DDE" w:rsidR="00ED4683">
        <w:rPr>
          <w:rFonts w:eastAsiaTheme="minorEastAsia"/>
          <w:szCs w:val="24"/>
        </w:rPr>
        <w:t xml:space="preserve">is </w:t>
      </w:r>
      <w:r w:rsidR="00C65B40">
        <w:t>Reply Memorandum in Support of Motion to Accept Statement of Additional Authority Regarding OCC’s Motion for an Independent Auditor, Instanter</w:t>
      </w:r>
      <w:r w:rsidRPr="008C6DDE" w:rsidR="00C65B40">
        <w:rPr>
          <w:rFonts w:eastAsiaTheme="minorEastAsia"/>
          <w:szCs w:val="24"/>
        </w:rPr>
        <w:t xml:space="preserve"> </w:t>
      </w:r>
      <w:r w:rsidRPr="008C6DDE" w:rsidR="00ED4683">
        <w:rPr>
          <w:rFonts w:eastAsiaTheme="minorEastAsia"/>
          <w:szCs w:val="24"/>
        </w:rPr>
        <w:t>was</w:t>
      </w:r>
      <w:r w:rsidRPr="008C6DDE">
        <w:rPr>
          <w:rFonts w:eastAsiaTheme="minorEastAsia"/>
          <w:szCs w:val="24"/>
        </w:rPr>
        <w:t xml:space="preserve"> served on the persons </w:t>
      </w:r>
      <w:r w:rsidRPr="008C6DDE" w:rsidR="00ED4683">
        <w:rPr>
          <w:rFonts w:eastAsiaTheme="minorEastAsia"/>
          <w:szCs w:val="24"/>
        </w:rPr>
        <w:t>listed</w:t>
      </w:r>
      <w:r w:rsidRPr="008C6DDE">
        <w:rPr>
          <w:rFonts w:eastAsiaTheme="minorEastAsia"/>
          <w:szCs w:val="24"/>
        </w:rPr>
        <w:t xml:space="preserve"> below via electronic transmission, this</w:t>
      </w:r>
      <w:r w:rsidRPr="008C6DDE" w:rsidR="00D21586">
        <w:rPr>
          <w:rFonts w:eastAsiaTheme="minorEastAsia"/>
          <w:szCs w:val="24"/>
        </w:rPr>
        <w:t xml:space="preserve"> 2nd</w:t>
      </w:r>
      <w:r w:rsidRPr="008C6DDE" w:rsidR="00F2549D">
        <w:rPr>
          <w:rFonts w:eastAsiaTheme="minorEastAsia"/>
          <w:szCs w:val="24"/>
        </w:rPr>
        <w:t xml:space="preserve"> </w:t>
      </w:r>
      <w:r w:rsidRPr="008C6DDE">
        <w:rPr>
          <w:rFonts w:eastAsiaTheme="minorEastAsia"/>
          <w:szCs w:val="24"/>
        </w:rPr>
        <w:t xml:space="preserve">day of </w:t>
      </w:r>
      <w:r w:rsidRPr="008C6DDE" w:rsidR="00D21586">
        <w:rPr>
          <w:rFonts w:eastAsiaTheme="minorEastAsia"/>
          <w:szCs w:val="24"/>
        </w:rPr>
        <w:t>February</w:t>
      </w:r>
      <w:r w:rsidRPr="008C6DDE">
        <w:rPr>
          <w:rFonts w:eastAsiaTheme="minorEastAsia"/>
          <w:szCs w:val="24"/>
        </w:rPr>
        <w:t xml:space="preserve"> 202</w:t>
      </w:r>
      <w:r w:rsidRPr="008C6DDE" w:rsidR="0046181B">
        <w:rPr>
          <w:rFonts w:eastAsiaTheme="minorEastAsia"/>
          <w:szCs w:val="24"/>
        </w:rPr>
        <w:t>2</w:t>
      </w:r>
      <w:r w:rsidRPr="008C6DDE">
        <w:rPr>
          <w:rFonts w:eastAsiaTheme="minorEastAsia"/>
          <w:szCs w:val="24"/>
        </w:rPr>
        <w:t>.</w:t>
      </w:r>
    </w:p>
    <w:p w:rsidR="009C3166" w:rsidRPr="008C6DDE" w:rsidP="008C6DDE" w14:paraId="36F6C94D" w14:textId="7CA4E884">
      <w:pPr>
        <w:tabs>
          <w:tab w:val="left" w:pos="4320"/>
        </w:tabs>
        <w:ind w:left="4230"/>
        <w:rPr>
          <w:szCs w:val="24"/>
        </w:rPr>
      </w:pPr>
      <w:r w:rsidRPr="008C6DDE">
        <w:rPr>
          <w:i/>
          <w:szCs w:val="24"/>
        </w:rPr>
        <w:tab/>
      </w:r>
      <w:r w:rsidRPr="008C6DDE">
        <w:rPr>
          <w:i/>
          <w:szCs w:val="24"/>
        </w:rPr>
        <w:tab/>
      </w:r>
      <w:r w:rsidRPr="008C6DDE">
        <w:rPr>
          <w:i/>
          <w:szCs w:val="24"/>
        </w:rPr>
        <w:tab/>
      </w:r>
      <w:r w:rsidRPr="008C6DDE">
        <w:rPr>
          <w:i/>
          <w:szCs w:val="24"/>
        </w:rPr>
        <w:tab/>
      </w:r>
      <w:r w:rsidRPr="008C6DDE">
        <w:rPr>
          <w:i/>
          <w:szCs w:val="24"/>
        </w:rPr>
        <w:tab/>
      </w:r>
      <w:r w:rsidRPr="008C6DDE">
        <w:rPr>
          <w:i/>
          <w:szCs w:val="24"/>
        </w:rPr>
        <w:tab/>
      </w:r>
      <w:r w:rsidRPr="008C6DDE">
        <w:rPr>
          <w:i/>
          <w:szCs w:val="24"/>
        </w:rPr>
        <w:tab/>
      </w:r>
      <w:r w:rsidRPr="008C6DDE">
        <w:rPr>
          <w:i/>
          <w:szCs w:val="24"/>
          <w:u w:val="single"/>
        </w:rPr>
        <w:t>/s/ Maureen R. Willis</w:t>
      </w:r>
      <w:r w:rsidRPr="008C6DDE" w:rsidR="001F50D7">
        <w:rPr>
          <w:i/>
          <w:szCs w:val="24"/>
          <w:u w:val="single"/>
        </w:rPr>
        <w:tab/>
      </w:r>
      <w:r w:rsidRPr="008C6DDE" w:rsidR="001F50D7">
        <w:rPr>
          <w:i/>
          <w:szCs w:val="24"/>
          <w:u w:val="single"/>
        </w:rPr>
        <w:tab/>
      </w:r>
      <w:r w:rsidRPr="008C6DDE">
        <w:rPr>
          <w:szCs w:val="24"/>
        </w:rPr>
        <w:tab/>
      </w:r>
      <w:r w:rsidRPr="008C6DDE">
        <w:rPr>
          <w:szCs w:val="24"/>
        </w:rPr>
        <w:tab/>
      </w:r>
      <w:r w:rsidRPr="008C6DDE">
        <w:rPr>
          <w:szCs w:val="24"/>
        </w:rPr>
        <w:tab/>
        <w:t>Maureen R. Willis</w:t>
      </w:r>
      <w:r w:rsidRPr="008C6DDE">
        <w:rPr>
          <w:szCs w:val="24"/>
        </w:rPr>
        <w:tab/>
      </w:r>
      <w:r w:rsidRPr="008C6DDE">
        <w:rPr>
          <w:szCs w:val="24"/>
        </w:rPr>
        <w:tab/>
      </w:r>
      <w:r w:rsidRPr="008C6DDE">
        <w:rPr>
          <w:szCs w:val="24"/>
        </w:rPr>
        <w:tab/>
      </w:r>
      <w:r w:rsidRPr="008C6DDE">
        <w:rPr>
          <w:szCs w:val="24"/>
        </w:rPr>
        <w:tab/>
      </w:r>
      <w:r w:rsidRPr="008C6DDE">
        <w:rPr>
          <w:szCs w:val="24"/>
        </w:rPr>
        <w:tab/>
      </w:r>
      <w:r w:rsidRPr="008C6DDE" w:rsidR="004211EC">
        <w:rPr>
          <w:szCs w:val="24"/>
        </w:rPr>
        <w:t>Assistant Consumers’ Counsel</w:t>
      </w:r>
    </w:p>
    <w:p w:rsidR="0068731A" w:rsidRPr="008C6DDE" w:rsidP="0068731A" w14:paraId="5B748E8C" w14:textId="77777777">
      <w:pPr>
        <w:rPr>
          <w:b/>
          <w:szCs w:val="24"/>
          <w:u w:val="single"/>
        </w:rPr>
      </w:pPr>
      <w:r w:rsidRPr="008C6DDE">
        <w:rPr>
          <w:szCs w:val="24"/>
        </w:rPr>
        <w:tab/>
      </w:r>
    </w:p>
    <w:p w:rsidR="0068731A" w:rsidRPr="008C6DDE" w:rsidP="0068731A" w14:paraId="218D6C6D" w14:textId="77777777">
      <w:pPr>
        <w:suppressLineNumbers/>
        <w:ind w:left="810"/>
        <w:rPr>
          <w:szCs w:val="24"/>
          <w:u w:val="single"/>
        </w:rPr>
      </w:pPr>
    </w:p>
    <w:p w:rsidR="0068731A" w:rsidRPr="008C6DDE" w:rsidP="0068731A" w14:paraId="498543B9" w14:textId="77777777">
      <w:pPr>
        <w:suppressLineNumbers/>
        <w:rPr>
          <w:szCs w:val="24"/>
        </w:rPr>
      </w:pPr>
      <w:r w:rsidRPr="008C6DDE">
        <w:rPr>
          <w:szCs w:val="24"/>
        </w:rPr>
        <w:t>The PUCO’s e-filing system will electronically serve notice of the filing of this document on the following parties:</w:t>
      </w:r>
    </w:p>
    <w:p w:rsidR="009B33FC" w:rsidRPr="008C6DDE" w:rsidP="009C3166" w14:paraId="3C09B9FF" w14:textId="77777777">
      <w:pPr>
        <w:pStyle w:val="CommentText"/>
        <w:suppressLineNumbers/>
        <w:jc w:val="center"/>
        <w:rPr>
          <w:b/>
          <w:u w:val="single"/>
        </w:rPr>
      </w:pPr>
    </w:p>
    <w:p w:rsidR="0068731A" w:rsidRPr="008C6DDE" w:rsidP="009C3166" w14:paraId="1883FDE8" w14:textId="14592C6B">
      <w:pPr>
        <w:pStyle w:val="CommentText"/>
        <w:suppressLineNumbers/>
        <w:jc w:val="center"/>
        <w:rPr>
          <w:b/>
          <w:u w:val="single"/>
        </w:rPr>
      </w:pPr>
      <w:r w:rsidRPr="008C6DDE">
        <w:rPr>
          <w:b/>
          <w:u w:val="single"/>
        </w:rPr>
        <w:t>SERVICE LIST</w:t>
      </w:r>
    </w:p>
    <w:p w:rsidR="0068731A" w:rsidRPr="008C6DDE" w:rsidP="0068731A" w14:paraId="1AB05DC3" w14:textId="77777777">
      <w:pPr>
        <w:pStyle w:val="CommentText"/>
        <w:suppressLineNumbers/>
        <w:ind w:left="810"/>
        <w:jc w:val="center"/>
        <w:rPr>
          <w:b/>
          <w:u w:val="single"/>
        </w:rPr>
      </w:pPr>
    </w:p>
    <w:tbl>
      <w:tblPr>
        <w:tblW w:w="0" w:type="auto"/>
        <w:tblLook w:val="04A0"/>
      </w:tblPr>
      <w:tblGrid>
        <w:gridCol w:w="4320"/>
        <w:gridCol w:w="540"/>
        <w:gridCol w:w="3780"/>
      </w:tblGrid>
      <w:tr w14:paraId="4EF89320" w14:textId="77777777" w:rsidTr="002F02EE">
        <w:tblPrEx>
          <w:tblW w:w="0" w:type="auto"/>
          <w:tblLook w:val="04A0"/>
        </w:tblPrEx>
        <w:tc>
          <w:tcPr>
            <w:tcW w:w="4860" w:type="dxa"/>
            <w:gridSpan w:val="2"/>
            <w:shd w:val="clear" w:color="auto" w:fill="auto"/>
          </w:tcPr>
          <w:p w:rsidR="008A2199" w:rsidRPr="008C6DDE" w:rsidP="002F02EE" w14:paraId="38332D14" w14:textId="77777777">
            <w:pPr>
              <w:pStyle w:val="CommentText"/>
              <w:rPr>
                <w:bCs/>
                <w:u w:val="single"/>
              </w:rPr>
            </w:pPr>
            <w:hyperlink r:id="rId9" w:history="1">
              <w:r w:rsidRPr="008C6DDE">
                <w:rPr>
                  <w:rStyle w:val="Hyperlink"/>
                  <w:bCs/>
                </w:rPr>
                <w:t>werner.margard@ohioAGO.gov</w:t>
              </w:r>
            </w:hyperlink>
          </w:p>
          <w:p w:rsidR="00635047" w:rsidRPr="008C6DDE" w:rsidP="002F02EE" w14:paraId="2AA937C0" w14:textId="3733D88A">
            <w:pPr>
              <w:pStyle w:val="CommentText"/>
              <w:rPr>
                <w:bCs/>
                <w:u w:val="single"/>
              </w:rPr>
            </w:pPr>
            <w:hyperlink r:id="rId10" w:history="1">
              <w:r w:rsidRPr="008C6DDE">
                <w:rPr>
                  <w:rStyle w:val="Hyperlink"/>
                </w:rPr>
                <w:t>s</w:t>
              </w:r>
              <w:r w:rsidRPr="008C6DDE">
                <w:rPr>
                  <w:rStyle w:val="Hyperlink"/>
                  <w:bCs/>
                </w:rPr>
                <w:t>arah.feldkamp@ohioAGO.gov</w:t>
              </w:r>
            </w:hyperlink>
          </w:p>
          <w:p w:rsidR="00635047" w:rsidRPr="008C6DDE" w:rsidP="002F02EE" w14:paraId="3EAB097F" w14:textId="32C3EE39">
            <w:pPr>
              <w:pStyle w:val="CommentText"/>
              <w:rPr>
                <w:bCs/>
                <w:u w:val="single"/>
              </w:rPr>
            </w:pPr>
            <w:hyperlink r:id="rId11" w:history="1">
              <w:r w:rsidRPr="008C6DDE" w:rsidR="002567BE">
                <w:rPr>
                  <w:rStyle w:val="Hyperlink"/>
                </w:rPr>
                <w:t>t</w:t>
              </w:r>
              <w:r w:rsidRPr="008C6DDE" w:rsidR="002567BE">
                <w:rPr>
                  <w:rStyle w:val="Hyperlink"/>
                  <w:bCs/>
                </w:rPr>
                <w:t>homas.lindgren@ohioAGO.gov</w:t>
              </w:r>
            </w:hyperlink>
          </w:p>
          <w:p w:rsidR="008A2199" w:rsidRPr="008C6DDE" w:rsidP="002F02EE" w14:paraId="3B57BBE0" w14:textId="77777777">
            <w:pPr>
              <w:pStyle w:val="CommentText"/>
              <w:rPr>
                <w:bCs/>
                <w:u w:val="single"/>
              </w:rPr>
            </w:pPr>
            <w:hyperlink r:id="rId12" w:history="1">
              <w:r w:rsidRPr="008C6DDE">
                <w:rPr>
                  <w:rStyle w:val="Hyperlink"/>
                  <w:bCs/>
                </w:rPr>
                <w:t>rlazer@elpc.org</w:t>
              </w:r>
            </w:hyperlink>
          </w:p>
          <w:p w:rsidR="008A2199" w:rsidRPr="008C6DDE" w:rsidP="002F02EE" w14:paraId="2FCF514D" w14:textId="5C313D28">
            <w:pPr>
              <w:pStyle w:val="CommentText"/>
              <w:rPr>
                <w:rStyle w:val="Hyperlink"/>
                <w:bCs/>
              </w:rPr>
            </w:pPr>
            <w:hyperlink r:id="rId13" w:history="1">
              <w:r w:rsidRPr="008C6DDE">
                <w:rPr>
                  <w:rStyle w:val="Hyperlink"/>
                  <w:bCs/>
                </w:rPr>
                <w:t>rkelter@elpc.org</w:t>
              </w:r>
            </w:hyperlink>
          </w:p>
          <w:p w:rsidR="009B33FC" w:rsidRPr="008C6DDE" w:rsidP="002F02EE" w14:paraId="29A08730" w14:textId="15A7EACF">
            <w:pPr>
              <w:pStyle w:val="CommentText"/>
              <w:rPr>
                <w:bCs/>
                <w:u w:val="single"/>
              </w:rPr>
            </w:pPr>
            <w:hyperlink r:id="rId14" w:history="1">
              <w:r w:rsidRPr="008C6DDE">
                <w:rPr>
                  <w:rStyle w:val="Hyperlink"/>
                  <w:bCs/>
                </w:rPr>
                <w:t>jweber@elpc.org</w:t>
              </w:r>
            </w:hyperlink>
          </w:p>
          <w:p w:rsidR="008A2199" w:rsidRPr="008C6DDE" w:rsidP="002F02EE" w14:paraId="3F6EB10B" w14:textId="77777777">
            <w:pPr>
              <w:pStyle w:val="CommentText"/>
              <w:rPr>
                <w:bCs/>
              </w:rPr>
            </w:pPr>
            <w:hyperlink r:id="rId15" w:history="1">
              <w:r w:rsidRPr="008C6DDE">
                <w:rPr>
                  <w:rStyle w:val="Hyperlink"/>
                  <w:bCs/>
                </w:rPr>
                <w:t>trhayslaw@gmail.com</w:t>
              </w:r>
            </w:hyperlink>
          </w:p>
          <w:p w:rsidR="008A2199" w:rsidRPr="008C6DDE" w:rsidP="002F02EE" w14:paraId="148AC412" w14:textId="77777777">
            <w:pPr>
              <w:pStyle w:val="CommentText"/>
              <w:rPr>
                <w:bCs/>
              </w:rPr>
            </w:pPr>
            <w:hyperlink r:id="rId16" w:history="1">
              <w:r w:rsidRPr="008C6DDE">
                <w:rPr>
                  <w:rStyle w:val="Hyperlink"/>
                  <w:bCs/>
                </w:rPr>
                <w:t>leslie.kovacik@toledo.oh.gov</w:t>
              </w:r>
            </w:hyperlink>
          </w:p>
          <w:p w:rsidR="008A2199" w:rsidRPr="008C6DDE" w:rsidP="002F02EE" w14:paraId="2A90AE8C" w14:textId="77777777">
            <w:pPr>
              <w:pStyle w:val="CommentText"/>
              <w:rPr>
                <w:bCs/>
                <w:u w:val="single"/>
              </w:rPr>
            </w:pPr>
            <w:hyperlink r:id="rId17" w:history="1">
              <w:r w:rsidRPr="008C6DDE">
                <w:rPr>
                  <w:rStyle w:val="Hyperlink"/>
                  <w:bCs/>
                </w:rPr>
                <w:t>evan.betterton@igs.com</w:t>
              </w:r>
            </w:hyperlink>
          </w:p>
          <w:p w:rsidR="008A2199" w:rsidRPr="008C6DDE" w:rsidP="002F02EE" w14:paraId="0B84F9B1" w14:textId="77777777">
            <w:pPr>
              <w:pStyle w:val="CommentText"/>
              <w:rPr>
                <w:bCs/>
              </w:rPr>
            </w:pPr>
            <w:hyperlink r:id="rId18" w:history="1">
              <w:r w:rsidRPr="008C6DDE">
                <w:rPr>
                  <w:rStyle w:val="Hyperlink"/>
                  <w:bCs/>
                </w:rPr>
                <w:t>joe.oliker@igs.com</w:t>
              </w:r>
            </w:hyperlink>
          </w:p>
          <w:p w:rsidR="008A2199" w:rsidRPr="008C6DDE" w:rsidP="002F02EE" w14:paraId="076BC40F" w14:textId="77777777">
            <w:pPr>
              <w:pStyle w:val="CommentText"/>
              <w:rPr>
                <w:bCs/>
              </w:rPr>
            </w:pPr>
            <w:hyperlink r:id="rId19" w:history="1">
              <w:r w:rsidRPr="008C6DDE">
                <w:rPr>
                  <w:rStyle w:val="Hyperlink"/>
                  <w:bCs/>
                </w:rPr>
                <w:t>michael.nugent@igs.com</w:t>
              </w:r>
            </w:hyperlink>
          </w:p>
          <w:p w:rsidR="008A2199" w:rsidRPr="008C6DDE" w:rsidP="002F02EE" w14:paraId="4C4D353C" w14:textId="77777777">
            <w:pPr>
              <w:pStyle w:val="CommentText"/>
              <w:rPr>
                <w:bCs/>
              </w:rPr>
            </w:pPr>
            <w:hyperlink r:id="rId20" w:history="1">
              <w:r w:rsidRPr="008C6DDE">
                <w:rPr>
                  <w:rStyle w:val="Hyperlink"/>
                  <w:bCs/>
                </w:rPr>
                <w:t>mkurtz@BKLlawfirm.com</w:t>
              </w:r>
            </w:hyperlink>
          </w:p>
          <w:p w:rsidR="008A2199" w:rsidRPr="008C6DDE" w:rsidP="002F02EE" w14:paraId="49002B11" w14:textId="77777777">
            <w:pPr>
              <w:pStyle w:val="CommentText"/>
              <w:rPr>
                <w:bCs/>
                <w:u w:val="single"/>
              </w:rPr>
            </w:pPr>
            <w:hyperlink r:id="rId21" w:history="1">
              <w:r w:rsidRPr="008C6DDE">
                <w:rPr>
                  <w:rStyle w:val="Hyperlink"/>
                  <w:bCs/>
                </w:rPr>
                <w:t>kboehm@BKLlawfirm.com</w:t>
              </w:r>
            </w:hyperlink>
          </w:p>
          <w:p w:rsidR="008A2199" w:rsidRPr="008C6DDE" w:rsidP="002F02EE" w14:paraId="26811713" w14:textId="77777777">
            <w:pPr>
              <w:pStyle w:val="CommentText"/>
              <w:rPr>
                <w:bCs/>
                <w:u w:val="single"/>
              </w:rPr>
            </w:pPr>
            <w:hyperlink r:id="rId22" w:history="1">
              <w:r w:rsidRPr="008C6DDE">
                <w:rPr>
                  <w:rStyle w:val="Hyperlink"/>
                  <w:bCs/>
                </w:rPr>
                <w:t>jkylercohn@BKLlawfirm.com</w:t>
              </w:r>
            </w:hyperlink>
          </w:p>
          <w:p w:rsidR="008A2199" w:rsidRPr="008C6DDE" w:rsidP="002F02EE" w14:paraId="415EFCF5" w14:textId="77777777">
            <w:pPr>
              <w:pStyle w:val="CommentText"/>
              <w:rPr>
                <w:bCs/>
                <w:u w:val="single"/>
              </w:rPr>
            </w:pPr>
            <w:hyperlink r:id="rId23" w:history="1">
              <w:r w:rsidRPr="008C6DDE">
                <w:rPr>
                  <w:rStyle w:val="Hyperlink"/>
                  <w:bCs/>
                </w:rPr>
                <w:t>mwise@mcdonaldhopkins.com</w:t>
              </w:r>
            </w:hyperlink>
          </w:p>
          <w:p w:rsidR="008A2199" w:rsidRPr="008C6DDE" w:rsidP="002F02EE" w14:paraId="741B20A9" w14:textId="77777777">
            <w:pPr>
              <w:pStyle w:val="CommentText"/>
              <w:rPr>
                <w:bCs/>
                <w:u w:val="single"/>
              </w:rPr>
            </w:pPr>
            <w:hyperlink r:id="rId24" w:history="1">
              <w:r w:rsidRPr="008C6DDE">
                <w:rPr>
                  <w:rStyle w:val="Hyperlink"/>
                  <w:bCs/>
                </w:rPr>
                <w:t>trent@hubaydougherty.com</w:t>
              </w:r>
            </w:hyperlink>
          </w:p>
          <w:p w:rsidR="008A2199" w:rsidRPr="008C6DDE" w:rsidP="002F02EE" w14:paraId="4FC0F58B" w14:textId="77777777">
            <w:pPr>
              <w:pStyle w:val="CommentText"/>
              <w:rPr>
                <w:bCs/>
                <w:u w:val="single"/>
              </w:rPr>
            </w:pPr>
          </w:p>
          <w:p w:rsidR="008A2199" w:rsidRPr="008C6DDE" w:rsidP="002F02EE" w14:paraId="3898C2F8" w14:textId="77777777">
            <w:pPr>
              <w:pStyle w:val="CommentText"/>
              <w:rPr>
                <w:bCs/>
                <w:u w:val="single"/>
              </w:rPr>
            </w:pPr>
          </w:p>
          <w:p w:rsidR="008A2199" w:rsidRPr="008C6DDE" w:rsidP="002F02EE" w14:paraId="577C6608" w14:textId="77777777">
            <w:pPr>
              <w:pStyle w:val="CommentText"/>
              <w:rPr>
                <w:bCs/>
              </w:rPr>
            </w:pPr>
            <w:r w:rsidRPr="008C6DDE">
              <w:rPr>
                <w:bCs/>
              </w:rPr>
              <w:t>Attorney Examiners:</w:t>
            </w:r>
          </w:p>
          <w:p w:rsidR="00C65B40" w:rsidP="00C65B40" w14:paraId="7C3F5091" w14:textId="38989BD2">
            <w:pPr>
              <w:pStyle w:val="CommentText"/>
              <w:rPr>
                <w:rStyle w:val="Hyperlink"/>
                <w:bCs/>
              </w:rPr>
            </w:pPr>
            <w:hyperlink r:id="rId25" w:history="1">
              <w:r w:rsidRPr="004C6331">
                <w:rPr>
                  <w:rStyle w:val="Hyperlink"/>
                </w:rPr>
                <w:t>m</w:t>
              </w:r>
              <w:r w:rsidRPr="004C6331">
                <w:rPr>
                  <w:rStyle w:val="Hyperlink"/>
                  <w:bCs/>
                </w:rPr>
                <w:t>egan.addison@puco.ohio.gov</w:t>
              </w:r>
            </w:hyperlink>
          </w:p>
          <w:p w:rsidR="008A2199" w:rsidP="002F02EE" w14:paraId="5A6314C0" w14:textId="215B7985">
            <w:pPr>
              <w:pStyle w:val="CommentText"/>
              <w:rPr>
                <w:bCs/>
              </w:rPr>
            </w:pPr>
            <w:hyperlink r:id="rId26" w:history="1">
              <w:r w:rsidRPr="004C6331" w:rsidR="00C65B40">
                <w:rPr>
                  <w:rStyle w:val="Hyperlink"/>
                  <w:bCs/>
                </w:rPr>
                <w:t>gregory.price@puco.ohio.gov</w:t>
              </w:r>
            </w:hyperlink>
          </w:p>
          <w:p w:rsidR="00C65B40" w:rsidRPr="008761FF" w:rsidP="002F02EE" w14:paraId="31E37896" w14:textId="5A1EE3E8">
            <w:pPr>
              <w:pStyle w:val="CommentText"/>
              <w:rPr>
                <w:color w:val="0000FF"/>
                <w:u w:val="single"/>
              </w:rPr>
            </w:pPr>
            <w:hyperlink r:id="rId27" w:history="1">
              <w:r w:rsidRPr="004C6331">
                <w:rPr>
                  <w:rStyle w:val="Hyperlink"/>
                  <w:bCs/>
                </w:rPr>
                <w:t>jacqueline.st.john@puco.ohio.gov</w:t>
              </w:r>
            </w:hyperlink>
          </w:p>
        </w:tc>
        <w:tc>
          <w:tcPr>
            <w:tcW w:w="3780" w:type="dxa"/>
            <w:shd w:val="clear" w:color="auto" w:fill="auto"/>
          </w:tcPr>
          <w:p w:rsidR="008A2199" w:rsidRPr="008C6DDE" w:rsidP="002F02EE" w14:paraId="7E95E91B" w14:textId="77777777">
            <w:pPr>
              <w:pStyle w:val="CommentText"/>
              <w:rPr>
                <w:bCs/>
                <w:u w:val="single"/>
              </w:rPr>
            </w:pPr>
            <w:hyperlink r:id="rId28" w:history="1">
              <w:r w:rsidRPr="008C6DDE">
                <w:rPr>
                  <w:rStyle w:val="Hyperlink"/>
                  <w:bCs/>
                </w:rPr>
                <w:t>bknipe@firstenergycorp.com</w:t>
              </w:r>
            </w:hyperlink>
          </w:p>
          <w:p w:rsidR="008A2199" w:rsidRPr="008C6DDE" w:rsidP="002F02EE" w14:paraId="581CB01C" w14:textId="77777777">
            <w:pPr>
              <w:pStyle w:val="CommentText"/>
              <w:rPr>
                <w:bCs/>
              </w:rPr>
            </w:pPr>
            <w:hyperlink r:id="rId29" w:history="1">
              <w:r w:rsidRPr="008C6DDE">
                <w:rPr>
                  <w:rStyle w:val="Hyperlink"/>
                  <w:bCs/>
                </w:rPr>
                <w:t>mrgladman@jonesday.com</w:t>
              </w:r>
            </w:hyperlink>
          </w:p>
          <w:p w:rsidR="008A2199" w:rsidRPr="008C6DDE" w:rsidP="002F02EE" w14:paraId="5F9D1363" w14:textId="77777777">
            <w:pPr>
              <w:pStyle w:val="CommentText"/>
              <w:rPr>
                <w:bCs/>
              </w:rPr>
            </w:pPr>
            <w:hyperlink r:id="rId30" w:history="1">
              <w:r w:rsidRPr="008C6DDE">
                <w:rPr>
                  <w:rStyle w:val="Hyperlink"/>
                  <w:bCs/>
                </w:rPr>
                <w:t>mdengler@jonesday.com</w:t>
              </w:r>
            </w:hyperlink>
          </w:p>
          <w:p w:rsidR="008A2199" w:rsidRPr="008C6DDE" w:rsidP="002F02EE" w14:paraId="27FDA86A" w14:textId="77777777">
            <w:pPr>
              <w:pStyle w:val="CommentText"/>
              <w:rPr>
                <w:bCs/>
                <w:u w:val="single"/>
              </w:rPr>
            </w:pPr>
            <w:hyperlink r:id="rId31" w:history="1">
              <w:r w:rsidRPr="008C6DDE">
                <w:rPr>
                  <w:rStyle w:val="Hyperlink"/>
                  <w:bCs/>
                </w:rPr>
                <w:t>radoringo@jonesday.com</w:t>
              </w:r>
            </w:hyperlink>
          </w:p>
          <w:p w:rsidR="008A2199" w:rsidRPr="008C6DDE" w:rsidP="002F02EE" w14:paraId="4932B01E" w14:textId="77777777">
            <w:pPr>
              <w:pStyle w:val="CommentText"/>
              <w:rPr>
                <w:bCs/>
              </w:rPr>
            </w:pPr>
            <w:hyperlink r:id="rId32" w:history="1">
              <w:r w:rsidRPr="008C6DDE">
                <w:rPr>
                  <w:rStyle w:val="Hyperlink"/>
                  <w:bCs/>
                </w:rPr>
                <w:t>sgoyal@jonesday.com</w:t>
              </w:r>
            </w:hyperlink>
          </w:p>
          <w:p w:rsidR="008A2199" w:rsidRPr="008C6DDE" w:rsidP="002F02EE" w14:paraId="389B3EEC" w14:textId="77777777">
            <w:pPr>
              <w:pStyle w:val="CommentText"/>
              <w:rPr>
                <w:bCs/>
              </w:rPr>
            </w:pPr>
            <w:hyperlink r:id="rId33" w:history="1">
              <w:r w:rsidRPr="008C6DDE">
                <w:rPr>
                  <w:rStyle w:val="Hyperlink"/>
                  <w:bCs/>
                </w:rPr>
                <w:t>dborchers@bricker.com</w:t>
              </w:r>
            </w:hyperlink>
          </w:p>
          <w:p w:rsidR="008A2199" w:rsidRPr="008C6DDE" w:rsidP="002F02EE" w14:paraId="36C9BD46" w14:textId="77777777">
            <w:pPr>
              <w:pStyle w:val="CommentText"/>
              <w:rPr>
                <w:bCs/>
                <w:u w:val="single"/>
              </w:rPr>
            </w:pPr>
            <w:hyperlink r:id="rId34" w:history="1">
              <w:r w:rsidRPr="008C6DDE">
                <w:rPr>
                  <w:rStyle w:val="Hyperlink"/>
                  <w:bCs/>
                </w:rPr>
                <w:t>dparram@bricker.com</w:t>
              </w:r>
            </w:hyperlink>
          </w:p>
          <w:p w:rsidR="008A2199" w:rsidRPr="008C6DDE" w:rsidP="002F02EE" w14:paraId="746F0297" w14:textId="77777777">
            <w:pPr>
              <w:pStyle w:val="CommentText"/>
              <w:rPr>
                <w:bCs/>
              </w:rPr>
            </w:pPr>
            <w:hyperlink r:id="rId35" w:history="1">
              <w:r w:rsidRPr="008C6DDE">
                <w:rPr>
                  <w:rStyle w:val="Hyperlink"/>
                  <w:bCs/>
                </w:rPr>
                <w:t>rmains@bricker.com</w:t>
              </w:r>
            </w:hyperlink>
          </w:p>
          <w:p w:rsidR="008A2199" w:rsidRPr="008C6DDE" w:rsidP="002F02EE" w14:paraId="61C344BA" w14:textId="77777777">
            <w:pPr>
              <w:pStyle w:val="CommentText"/>
              <w:rPr>
                <w:bCs/>
              </w:rPr>
            </w:pPr>
            <w:hyperlink r:id="rId36" w:history="1">
              <w:r w:rsidRPr="008C6DDE">
                <w:rPr>
                  <w:rStyle w:val="Hyperlink"/>
                  <w:bCs/>
                </w:rPr>
                <w:t>ctavenor@theOEC.org</w:t>
              </w:r>
            </w:hyperlink>
          </w:p>
          <w:p w:rsidR="008A2199" w:rsidRPr="008C6DDE" w:rsidP="002F02EE" w14:paraId="1B3086BD" w14:textId="77777777">
            <w:pPr>
              <w:pStyle w:val="CommentText"/>
              <w:rPr>
                <w:bCs/>
                <w:u w:val="single"/>
              </w:rPr>
            </w:pPr>
            <w:hyperlink r:id="rId37" w:history="1">
              <w:r w:rsidRPr="008C6DDE">
                <w:rPr>
                  <w:rStyle w:val="Hyperlink"/>
                  <w:bCs/>
                </w:rPr>
                <w:t>rdove@keglerbrown.com</w:t>
              </w:r>
            </w:hyperlink>
          </w:p>
          <w:p w:rsidR="008A2199" w:rsidRPr="008C6DDE" w:rsidP="002F02EE" w14:paraId="2FADBB1B" w14:textId="77777777">
            <w:pPr>
              <w:pStyle w:val="CommentText"/>
              <w:rPr>
                <w:bCs/>
                <w:u w:val="single"/>
              </w:rPr>
            </w:pPr>
            <w:hyperlink r:id="rId38" w:history="1">
              <w:r w:rsidRPr="008C6DDE">
                <w:rPr>
                  <w:rStyle w:val="Hyperlink"/>
                  <w:bCs/>
                </w:rPr>
                <w:t>mpritchard@mcneeslaw.com</w:t>
              </w:r>
            </w:hyperlink>
          </w:p>
          <w:p w:rsidR="008A2199" w:rsidRPr="008C6DDE" w:rsidP="002F02EE" w14:paraId="36EFC85C" w14:textId="77777777">
            <w:pPr>
              <w:pStyle w:val="CommentText"/>
              <w:rPr>
                <w:bCs/>
                <w:u w:val="single"/>
              </w:rPr>
            </w:pPr>
            <w:hyperlink r:id="rId39" w:history="1">
              <w:r w:rsidRPr="008C6DDE">
                <w:rPr>
                  <w:rStyle w:val="Hyperlink"/>
                  <w:bCs/>
                </w:rPr>
                <w:t>bmckenney@mcneeslaw.com</w:t>
              </w:r>
            </w:hyperlink>
          </w:p>
          <w:p w:rsidR="008A2199" w:rsidRPr="008C6DDE" w:rsidP="002F02EE" w14:paraId="27E64B30" w14:textId="77777777">
            <w:pPr>
              <w:pStyle w:val="CommentText"/>
              <w:rPr>
                <w:bCs/>
              </w:rPr>
            </w:pPr>
            <w:hyperlink r:id="rId40" w:history="1">
              <w:r w:rsidRPr="008C6DDE">
                <w:rPr>
                  <w:rStyle w:val="Hyperlink"/>
                  <w:bCs/>
                </w:rPr>
                <w:t>Bojko@carpenterlipps.com</w:t>
              </w:r>
            </w:hyperlink>
          </w:p>
          <w:p w:rsidR="008A2199" w:rsidRPr="008C6DDE" w:rsidP="002F02EE" w14:paraId="48DF3B24" w14:textId="77777777">
            <w:pPr>
              <w:pStyle w:val="CommentText"/>
              <w:rPr>
                <w:bCs/>
              </w:rPr>
            </w:pPr>
            <w:hyperlink r:id="rId41" w:history="1">
              <w:r w:rsidRPr="008C6DDE">
                <w:rPr>
                  <w:rStyle w:val="Hyperlink"/>
                  <w:bCs/>
                </w:rPr>
                <w:t>Donadio@carpenterlipps.com</w:t>
              </w:r>
            </w:hyperlink>
          </w:p>
          <w:p w:rsidR="008A2199" w:rsidRPr="008C6DDE" w:rsidP="002F02EE" w14:paraId="36ECB197" w14:textId="77777777">
            <w:pPr>
              <w:pStyle w:val="CommentText"/>
              <w:rPr>
                <w:bCs/>
                <w:u w:val="single"/>
              </w:rPr>
            </w:pPr>
          </w:p>
          <w:p w:rsidR="008A2199" w:rsidRPr="008C6DDE" w:rsidP="002F02EE" w14:paraId="3165BBB5" w14:textId="77777777">
            <w:pPr>
              <w:pStyle w:val="CommentText"/>
              <w:rPr>
                <w:bCs/>
              </w:rPr>
            </w:pPr>
          </w:p>
          <w:p w:rsidR="008A2199" w:rsidRPr="008C6DDE" w:rsidP="002F02EE" w14:paraId="26DEDE08" w14:textId="77777777">
            <w:pPr>
              <w:pStyle w:val="CommentText"/>
              <w:rPr>
                <w:b/>
              </w:rPr>
            </w:pPr>
          </w:p>
        </w:tc>
      </w:tr>
      <w:tr w14:paraId="52DDAAE6" w14:textId="77777777" w:rsidTr="008A2199">
        <w:tblPrEx>
          <w:tblW w:w="0" w:type="auto"/>
          <w:tblLook w:val="04A0"/>
        </w:tblPrEx>
        <w:tc>
          <w:tcPr>
            <w:tcW w:w="4320" w:type="dxa"/>
            <w:shd w:val="clear" w:color="auto" w:fill="auto"/>
          </w:tcPr>
          <w:p w:rsidR="009C3166" w:rsidRPr="008C6DDE" w:rsidP="00AC747B" w14:paraId="59F6AE93" w14:textId="77777777">
            <w:pPr>
              <w:pStyle w:val="BodyText"/>
              <w:suppressLineNumbers/>
              <w:spacing w:after="0"/>
              <w:rPr>
                <w:szCs w:val="24"/>
              </w:rPr>
            </w:pPr>
          </w:p>
        </w:tc>
        <w:tc>
          <w:tcPr>
            <w:tcW w:w="4320" w:type="dxa"/>
            <w:gridSpan w:val="2"/>
            <w:shd w:val="clear" w:color="auto" w:fill="auto"/>
          </w:tcPr>
          <w:p w:rsidR="009C3166" w:rsidRPr="008C6DDE" w:rsidP="00AC747B" w14:paraId="6BDB306D" w14:textId="77777777">
            <w:pPr>
              <w:pStyle w:val="BodyText"/>
              <w:suppressLineNumbers/>
              <w:spacing w:after="0"/>
              <w:rPr>
                <w:b/>
                <w:bCs w:val="0"/>
                <w:szCs w:val="24"/>
              </w:rPr>
            </w:pPr>
          </w:p>
        </w:tc>
      </w:tr>
    </w:tbl>
    <w:p w:rsidR="0068731A" w:rsidRPr="008C6DDE" w:rsidP="0068731A" w14:paraId="01A1EA4E" w14:textId="77777777">
      <w:pPr>
        <w:rPr>
          <w:b/>
          <w:bCs w:val="0"/>
          <w:szCs w:val="24"/>
        </w:rPr>
      </w:pPr>
    </w:p>
    <w:sectPr w:rsidSect="002D4323">
      <w:footerReference w:type="default" r:id="rId42"/>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402" w14:paraId="298FE7D3" w14:textId="755FB9D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152232"/>
      <w:docPartObj>
        <w:docPartGallery w:val="Page Numbers (Bottom of Page)"/>
        <w:docPartUnique/>
      </w:docPartObj>
    </w:sdtPr>
    <w:sdtEndPr>
      <w:rPr>
        <w:noProof/>
      </w:rPr>
    </w:sdtEndPr>
    <w:sdtContent>
      <w:p w:rsidR="002D4323" w14:paraId="0F51B10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2DC4" w:rsidP="00783F17" w14:paraId="68322BA0" w14:textId="77777777">
      <w:r>
        <w:separator/>
      </w:r>
    </w:p>
  </w:footnote>
  <w:footnote w:type="continuationSeparator" w:id="1">
    <w:p w:rsidR="00892DC4" w:rsidP="00783F17" w14:paraId="5F490568" w14:textId="77777777">
      <w:r>
        <w:continuationSeparator/>
      </w:r>
    </w:p>
  </w:footnote>
  <w:footnote w:id="2">
    <w:p w:rsidR="0015337D" w:rsidP="008A2199" w14:paraId="6241A99D" w14:textId="338DDAFC">
      <w:pPr>
        <w:pStyle w:val="FootnoteText"/>
        <w:spacing w:after="120"/>
      </w:pPr>
      <w:r>
        <w:rPr>
          <w:rStyle w:val="FootnoteReference"/>
        </w:rPr>
        <w:footnoteRef/>
      </w:r>
      <w:r>
        <w:t xml:space="preserve"> </w:t>
      </w:r>
      <w:r w:rsidRPr="009C3166">
        <w:t xml:space="preserve">No. 20-1324, 2021 U.S.App.LEXIS 38373 (D.C. Cir. Dec. 28, 2021). </w:t>
      </w:r>
    </w:p>
  </w:footnote>
  <w:footnote w:id="3">
    <w:p w:rsidR="004A2F7A" w:rsidP="008A2199" w14:paraId="69D945BD" w14:textId="394349C0">
      <w:pPr>
        <w:pStyle w:val="FootnoteText"/>
        <w:spacing w:after="120"/>
      </w:pPr>
      <w:r>
        <w:rPr>
          <w:rStyle w:val="FootnoteReference"/>
        </w:rPr>
        <w:footnoteRef/>
      </w:r>
      <w:r>
        <w:t xml:space="preserve"> FirstEnergy Memorandum Contra at 1 (Jan. 26, 2022).</w:t>
      </w:r>
    </w:p>
  </w:footnote>
  <w:footnote w:id="4">
    <w:p w:rsidR="004A2F7A" w:rsidRPr="004A2F7A" w:rsidP="008A2199" w14:paraId="7E0E77A6" w14:textId="1D01A1CC">
      <w:pPr>
        <w:pStyle w:val="FootnoteText"/>
        <w:spacing w:after="120"/>
      </w:pPr>
      <w:r>
        <w:rPr>
          <w:rStyle w:val="FootnoteReference"/>
        </w:rPr>
        <w:footnoteRef/>
      </w:r>
      <w:r>
        <w:t xml:space="preserve"> </w:t>
      </w:r>
      <w:r>
        <w:rPr>
          <w:i/>
          <w:iCs/>
        </w:rPr>
        <w:t xml:space="preserve">Id. </w:t>
      </w:r>
      <w:r>
        <w:t>at 1-2.</w:t>
      </w:r>
    </w:p>
  </w:footnote>
  <w:footnote w:id="5">
    <w:p w:rsidR="00F36A9D" w:rsidP="008A2199" w14:paraId="7081E488" w14:textId="15030A14">
      <w:pPr>
        <w:pStyle w:val="FootnoteText"/>
        <w:spacing w:after="120"/>
      </w:pPr>
      <w:r>
        <w:rPr>
          <w:rStyle w:val="FootnoteReference"/>
        </w:rPr>
        <w:footnoteRef/>
      </w:r>
      <w:r>
        <w:t xml:space="preserve"> R.C. 4905.13; O.A.C. 4901:1-9-05.</w:t>
      </w:r>
    </w:p>
  </w:footnote>
  <w:footnote w:id="6">
    <w:p w:rsidR="00F36A9D" w:rsidRPr="000F7300" w:rsidP="008A2199" w14:paraId="1AF3D1B1" w14:textId="32DED225">
      <w:pPr>
        <w:pStyle w:val="FootnoteText"/>
        <w:spacing w:after="120"/>
      </w:pPr>
      <w:r>
        <w:rPr>
          <w:rStyle w:val="FootnoteReference"/>
        </w:rPr>
        <w:footnoteRef/>
      </w:r>
      <w:r>
        <w:t xml:space="preserve"> </w:t>
      </w:r>
      <w:r w:rsidR="000F7300">
        <w:rPr>
          <w:i/>
          <w:iCs/>
        </w:rPr>
        <w:t xml:space="preserve">Newman v. FERC, </w:t>
      </w:r>
      <w:r w:rsidRPr="009C3166" w:rsidR="000F7300">
        <w:t>No. 20-1324, 2021 U.S.App.LEXIS 38373 (D.C. Cir. Dec. 28, 2021).</w:t>
      </w:r>
    </w:p>
  </w:footnote>
  <w:footnote w:id="7">
    <w:p w:rsidR="00EA0541" w:rsidP="008A2199" w14:paraId="5DC31D26" w14:textId="6FA6BFDC">
      <w:pPr>
        <w:pStyle w:val="FootnoteText"/>
        <w:spacing w:after="120"/>
      </w:pPr>
      <w:r>
        <w:rPr>
          <w:rStyle w:val="FootnoteReference"/>
        </w:rPr>
        <w:footnoteRef/>
      </w:r>
      <w:r>
        <w:t xml:space="preserve"> </w:t>
      </w:r>
      <w:r w:rsidR="00C72F8C">
        <w:t>FirstEnergy Response to Show Cause Entry (Sept. 30, 2020).</w:t>
      </w:r>
    </w:p>
  </w:footnote>
  <w:footnote w:id="8">
    <w:p w:rsidR="00AB6726" w:rsidRPr="00C72F8C" w:rsidP="008A2199" w14:paraId="67F27B90" w14:textId="698EFC55">
      <w:pPr>
        <w:pStyle w:val="FootnoteText"/>
        <w:spacing w:after="120"/>
      </w:pPr>
      <w:r>
        <w:rPr>
          <w:rStyle w:val="FootnoteReference"/>
        </w:rPr>
        <w:footnoteRef/>
      </w:r>
      <w:r>
        <w:t xml:space="preserve"> </w:t>
      </w:r>
      <w:r w:rsidR="00C72F8C">
        <w:t>Motion to Leave to File a Supplemental Response to the September 15, 2020 Show Cause Entry (Aug. 6,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746BA8"/>
    <w:multiLevelType w:val="hybridMultilevel"/>
    <w:tmpl w:val="6416344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E7A118E"/>
    <w:multiLevelType w:val="hybridMultilevel"/>
    <w:tmpl w:val="5E9E2AC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5755FD8"/>
    <w:multiLevelType w:val="hybridMultilevel"/>
    <w:tmpl w:val="B7B89864"/>
    <w:lvl w:ilvl="0">
      <w:start w:val="1"/>
      <w:numFmt w:val="upperRoman"/>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D6D0B0B"/>
    <w:multiLevelType w:val="hybridMultilevel"/>
    <w:tmpl w:val="1B028286"/>
    <w:lvl w:ilvl="0">
      <w:start w:val="3"/>
      <w:numFmt w:val="upperLetter"/>
      <w:lvlText w:val="%1."/>
      <w:lvlJc w:val="left"/>
      <w:pPr>
        <w:ind w:left="720" w:hanging="360"/>
      </w:pPr>
      <w:rPr>
        <w:rFonts w:eastAsiaTheme="minorHAnsi"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2BC4121"/>
    <w:multiLevelType w:val="hybridMultilevel"/>
    <w:tmpl w:val="362ECB9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76B6D71"/>
    <w:multiLevelType w:val="hybridMultilevel"/>
    <w:tmpl w:val="9750618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9822C7F"/>
    <w:multiLevelType w:val="hybridMultilevel"/>
    <w:tmpl w:val="68E817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ABC21E5"/>
    <w:multiLevelType w:val="hybridMultilevel"/>
    <w:tmpl w:val="CACA2B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B683931"/>
    <w:multiLevelType w:val="multilevel"/>
    <w:tmpl w:val="82A8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EF3901"/>
    <w:multiLevelType w:val="hybridMultilevel"/>
    <w:tmpl w:val="A2041BD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0C67179"/>
    <w:multiLevelType w:val="hybridMultilevel"/>
    <w:tmpl w:val="061257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6FA0201"/>
    <w:multiLevelType w:val="hybridMultilevel"/>
    <w:tmpl w:val="315AB76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5AB06000"/>
    <w:multiLevelType w:val="hybridMultilevel"/>
    <w:tmpl w:val="472A8DA4"/>
    <w:lvl w:ilvl="0">
      <w:start w:val="3"/>
      <w:numFmt w:val="upperLetter"/>
      <w:lvlText w:val="%1."/>
      <w:lvlJc w:val="left"/>
      <w:pPr>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E744E49"/>
    <w:multiLevelType w:val="hybridMultilevel"/>
    <w:tmpl w:val="76620AB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63BE3FE1"/>
    <w:multiLevelType w:val="hybridMultilevel"/>
    <w:tmpl w:val="E1BEC26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F28D9"/>
    <w:multiLevelType w:val="hybridMultilevel"/>
    <w:tmpl w:val="E7EC110C"/>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7C7149AE"/>
    <w:multiLevelType w:val="hybridMultilevel"/>
    <w:tmpl w:val="F29A995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F831C36"/>
    <w:multiLevelType w:val="hybridMultilevel"/>
    <w:tmpl w:val="FF807DA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15"/>
  </w:num>
  <w:num w:numId="3">
    <w:abstractNumId w:val="1"/>
  </w:num>
  <w:num w:numId="4">
    <w:abstractNumId w:val="10"/>
  </w:num>
  <w:num w:numId="5">
    <w:abstractNumId w:val="16"/>
  </w:num>
  <w:num w:numId="6">
    <w:abstractNumId w:val="6"/>
  </w:num>
  <w:num w:numId="7">
    <w:abstractNumId w:val="0"/>
  </w:num>
  <w:num w:numId="8">
    <w:abstractNumId w:val="4"/>
  </w:num>
  <w:num w:numId="9">
    <w:abstractNumId w:val="5"/>
  </w:num>
  <w:num w:numId="10">
    <w:abstractNumId w:val="9"/>
  </w:num>
  <w:num w:numId="11">
    <w:abstractNumId w:val="11"/>
  </w:num>
  <w:num w:numId="12">
    <w:abstractNumId w:val="2"/>
  </w:num>
  <w:num w:numId="13">
    <w:abstractNumId w:val="17"/>
  </w:num>
  <w:num w:numId="14">
    <w:abstractNumId w:val="13"/>
  </w:num>
  <w:num w:numId="15">
    <w:abstractNumId w:val="12"/>
  </w:num>
  <w:num w:numId="16">
    <w:abstractNumId w:val="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CE"/>
    <w:rsid w:val="00001277"/>
    <w:rsid w:val="00002E28"/>
    <w:rsid w:val="000034DB"/>
    <w:rsid w:val="000039C1"/>
    <w:rsid w:val="00004DFD"/>
    <w:rsid w:val="00013515"/>
    <w:rsid w:val="000141F1"/>
    <w:rsid w:val="00017821"/>
    <w:rsid w:val="000205A9"/>
    <w:rsid w:val="00024999"/>
    <w:rsid w:val="00030CD2"/>
    <w:rsid w:val="000354F1"/>
    <w:rsid w:val="0004084D"/>
    <w:rsid w:val="00040F48"/>
    <w:rsid w:val="00041D77"/>
    <w:rsid w:val="00047527"/>
    <w:rsid w:val="00050E8F"/>
    <w:rsid w:val="000537D3"/>
    <w:rsid w:val="00057E46"/>
    <w:rsid w:val="000619BC"/>
    <w:rsid w:val="000627F7"/>
    <w:rsid w:val="00063002"/>
    <w:rsid w:val="00066215"/>
    <w:rsid w:val="00071443"/>
    <w:rsid w:val="00071AE8"/>
    <w:rsid w:val="00073F7A"/>
    <w:rsid w:val="000809FB"/>
    <w:rsid w:val="000942A1"/>
    <w:rsid w:val="000B08AE"/>
    <w:rsid w:val="000B2A43"/>
    <w:rsid w:val="000B2E19"/>
    <w:rsid w:val="000B7EAD"/>
    <w:rsid w:val="000D0111"/>
    <w:rsid w:val="000D3EFF"/>
    <w:rsid w:val="000E011D"/>
    <w:rsid w:val="000E1BF6"/>
    <w:rsid w:val="000E48BC"/>
    <w:rsid w:val="000E6180"/>
    <w:rsid w:val="000E61DD"/>
    <w:rsid w:val="000F1E9F"/>
    <w:rsid w:val="000F3F58"/>
    <w:rsid w:val="000F7300"/>
    <w:rsid w:val="0010225C"/>
    <w:rsid w:val="001041F2"/>
    <w:rsid w:val="00104617"/>
    <w:rsid w:val="00110C0C"/>
    <w:rsid w:val="00113A56"/>
    <w:rsid w:val="00120957"/>
    <w:rsid w:val="001237CE"/>
    <w:rsid w:val="001246F3"/>
    <w:rsid w:val="0013222F"/>
    <w:rsid w:val="00137C31"/>
    <w:rsid w:val="00140AB2"/>
    <w:rsid w:val="001436FE"/>
    <w:rsid w:val="001450EB"/>
    <w:rsid w:val="00150B2B"/>
    <w:rsid w:val="00152D47"/>
    <w:rsid w:val="0015337D"/>
    <w:rsid w:val="00167FEA"/>
    <w:rsid w:val="001745B4"/>
    <w:rsid w:val="0017495B"/>
    <w:rsid w:val="001751F1"/>
    <w:rsid w:val="0017658D"/>
    <w:rsid w:val="00176EDD"/>
    <w:rsid w:val="00194047"/>
    <w:rsid w:val="001975BF"/>
    <w:rsid w:val="001A77CB"/>
    <w:rsid w:val="001B2A24"/>
    <w:rsid w:val="001B48D5"/>
    <w:rsid w:val="001C4461"/>
    <w:rsid w:val="001C5D5A"/>
    <w:rsid w:val="001D1BD6"/>
    <w:rsid w:val="001E1C56"/>
    <w:rsid w:val="001F1D07"/>
    <w:rsid w:val="001F50D7"/>
    <w:rsid w:val="001F770E"/>
    <w:rsid w:val="001F77B4"/>
    <w:rsid w:val="002040BF"/>
    <w:rsid w:val="00207922"/>
    <w:rsid w:val="0021476E"/>
    <w:rsid w:val="0021529D"/>
    <w:rsid w:val="00217500"/>
    <w:rsid w:val="00222B90"/>
    <w:rsid w:val="00232879"/>
    <w:rsid w:val="00235109"/>
    <w:rsid w:val="0023690F"/>
    <w:rsid w:val="00253B50"/>
    <w:rsid w:val="002541B2"/>
    <w:rsid w:val="002553A9"/>
    <w:rsid w:val="002567BE"/>
    <w:rsid w:val="00257C83"/>
    <w:rsid w:val="00261FEF"/>
    <w:rsid w:val="0026614A"/>
    <w:rsid w:val="00267A00"/>
    <w:rsid w:val="00270B38"/>
    <w:rsid w:val="00272DCB"/>
    <w:rsid w:val="00273308"/>
    <w:rsid w:val="00273F24"/>
    <w:rsid w:val="002748AD"/>
    <w:rsid w:val="002821BA"/>
    <w:rsid w:val="002875FD"/>
    <w:rsid w:val="00294BA2"/>
    <w:rsid w:val="00295ECF"/>
    <w:rsid w:val="002A24F9"/>
    <w:rsid w:val="002A5906"/>
    <w:rsid w:val="002B7519"/>
    <w:rsid w:val="002C389B"/>
    <w:rsid w:val="002C54D1"/>
    <w:rsid w:val="002D0669"/>
    <w:rsid w:val="002D1D21"/>
    <w:rsid w:val="002D3CE5"/>
    <w:rsid w:val="002D4323"/>
    <w:rsid w:val="002D4DCF"/>
    <w:rsid w:val="002D7644"/>
    <w:rsid w:val="002E1C6F"/>
    <w:rsid w:val="002F0232"/>
    <w:rsid w:val="002F02EE"/>
    <w:rsid w:val="002F046F"/>
    <w:rsid w:val="002F1C70"/>
    <w:rsid w:val="002F1FD6"/>
    <w:rsid w:val="002F621A"/>
    <w:rsid w:val="002F68DD"/>
    <w:rsid w:val="0030434F"/>
    <w:rsid w:val="00304761"/>
    <w:rsid w:val="003165CC"/>
    <w:rsid w:val="00320AE7"/>
    <w:rsid w:val="003338C5"/>
    <w:rsid w:val="003338EA"/>
    <w:rsid w:val="003359D5"/>
    <w:rsid w:val="003610AB"/>
    <w:rsid w:val="0036519C"/>
    <w:rsid w:val="0036671C"/>
    <w:rsid w:val="0036714E"/>
    <w:rsid w:val="00367DB3"/>
    <w:rsid w:val="00374E0D"/>
    <w:rsid w:val="0037774E"/>
    <w:rsid w:val="00382D8C"/>
    <w:rsid w:val="003918F1"/>
    <w:rsid w:val="00397863"/>
    <w:rsid w:val="00397AC8"/>
    <w:rsid w:val="003A0A82"/>
    <w:rsid w:val="003A18B6"/>
    <w:rsid w:val="003A26FA"/>
    <w:rsid w:val="003A31F3"/>
    <w:rsid w:val="003C211A"/>
    <w:rsid w:val="003C30D5"/>
    <w:rsid w:val="003C4A19"/>
    <w:rsid w:val="003C558B"/>
    <w:rsid w:val="003C78EB"/>
    <w:rsid w:val="003D0D32"/>
    <w:rsid w:val="003F0A59"/>
    <w:rsid w:val="003F5E33"/>
    <w:rsid w:val="004006DC"/>
    <w:rsid w:val="00401E38"/>
    <w:rsid w:val="004033B5"/>
    <w:rsid w:val="00404597"/>
    <w:rsid w:val="00405343"/>
    <w:rsid w:val="00412327"/>
    <w:rsid w:val="00414CC6"/>
    <w:rsid w:val="004211EC"/>
    <w:rsid w:val="00427E69"/>
    <w:rsid w:val="004302AD"/>
    <w:rsid w:val="004349AD"/>
    <w:rsid w:val="0044049D"/>
    <w:rsid w:val="0044666E"/>
    <w:rsid w:val="00446741"/>
    <w:rsid w:val="004604D7"/>
    <w:rsid w:val="0046181B"/>
    <w:rsid w:val="00461F15"/>
    <w:rsid w:val="00465628"/>
    <w:rsid w:val="004746C4"/>
    <w:rsid w:val="00484C9F"/>
    <w:rsid w:val="00492C20"/>
    <w:rsid w:val="00493A68"/>
    <w:rsid w:val="00493F28"/>
    <w:rsid w:val="00497368"/>
    <w:rsid w:val="004A2F7A"/>
    <w:rsid w:val="004A43A7"/>
    <w:rsid w:val="004A50C2"/>
    <w:rsid w:val="004C0175"/>
    <w:rsid w:val="004C1E94"/>
    <w:rsid w:val="004C1E9D"/>
    <w:rsid w:val="004C38D0"/>
    <w:rsid w:val="004C5994"/>
    <w:rsid w:val="004C6331"/>
    <w:rsid w:val="004C736B"/>
    <w:rsid w:val="004C7FCE"/>
    <w:rsid w:val="004D0D14"/>
    <w:rsid w:val="004D3C91"/>
    <w:rsid w:val="004D5961"/>
    <w:rsid w:val="004E22AC"/>
    <w:rsid w:val="004E4E35"/>
    <w:rsid w:val="004E72F4"/>
    <w:rsid w:val="004F2330"/>
    <w:rsid w:val="004F5FD9"/>
    <w:rsid w:val="004F7A7D"/>
    <w:rsid w:val="00505611"/>
    <w:rsid w:val="00505DA9"/>
    <w:rsid w:val="005101EB"/>
    <w:rsid w:val="005137EC"/>
    <w:rsid w:val="00514073"/>
    <w:rsid w:val="005242D2"/>
    <w:rsid w:val="005311BA"/>
    <w:rsid w:val="0053159B"/>
    <w:rsid w:val="00532D2D"/>
    <w:rsid w:val="00540B3D"/>
    <w:rsid w:val="00541A46"/>
    <w:rsid w:val="00546FF0"/>
    <w:rsid w:val="00554F9D"/>
    <w:rsid w:val="005550AE"/>
    <w:rsid w:val="0055662B"/>
    <w:rsid w:val="0056345B"/>
    <w:rsid w:val="00565E4D"/>
    <w:rsid w:val="00572851"/>
    <w:rsid w:val="00574A88"/>
    <w:rsid w:val="00574F27"/>
    <w:rsid w:val="00580279"/>
    <w:rsid w:val="005811DF"/>
    <w:rsid w:val="00584508"/>
    <w:rsid w:val="00594549"/>
    <w:rsid w:val="00595EF4"/>
    <w:rsid w:val="005A60B9"/>
    <w:rsid w:val="005A6B8A"/>
    <w:rsid w:val="005A71EE"/>
    <w:rsid w:val="005B53B2"/>
    <w:rsid w:val="005C0AE4"/>
    <w:rsid w:val="005C3E8E"/>
    <w:rsid w:val="005C5D9D"/>
    <w:rsid w:val="005D0D53"/>
    <w:rsid w:val="005D2B13"/>
    <w:rsid w:val="005D3AB6"/>
    <w:rsid w:val="005D4830"/>
    <w:rsid w:val="005D710F"/>
    <w:rsid w:val="005E0307"/>
    <w:rsid w:val="005E7310"/>
    <w:rsid w:val="005F2B77"/>
    <w:rsid w:val="005F4702"/>
    <w:rsid w:val="005F51F2"/>
    <w:rsid w:val="005F6525"/>
    <w:rsid w:val="00602F99"/>
    <w:rsid w:val="00614860"/>
    <w:rsid w:val="006225DA"/>
    <w:rsid w:val="006245A4"/>
    <w:rsid w:val="00625A01"/>
    <w:rsid w:val="006338DC"/>
    <w:rsid w:val="00634F94"/>
    <w:rsid w:val="00635047"/>
    <w:rsid w:val="006431B6"/>
    <w:rsid w:val="006466DF"/>
    <w:rsid w:val="00657FB1"/>
    <w:rsid w:val="006632A7"/>
    <w:rsid w:val="0068061C"/>
    <w:rsid w:val="0068731A"/>
    <w:rsid w:val="00687982"/>
    <w:rsid w:val="00693528"/>
    <w:rsid w:val="006946AD"/>
    <w:rsid w:val="00697424"/>
    <w:rsid w:val="0069770E"/>
    <w:rsid w:val="006A1748"/>
    <w:rsid w:val="006A2439"/>
    <w:rsid w:val="006A3237"/>
    <w:rsid w:val="006B3668"/>
    <w:rsid w:val="006B38A1"/>
    <w:rsid w:val="006B569A"/>
    <w:rsid w:val="006C01F4"/>
    <w:rsid w:val="006C0243"/>
    <w:rsid w:val="006C2B9B"/>
    <w:rsid w:val="006C62E9"/>
    <w:rsid w:val="006D06E1"/>
    <w:rsid w:val="006D17C5"/>
    <w:rsid w:val="006D1E09"/>
    <w:rsid w:val="006D228C"/>
    <w:rsid w:val="006D4824"/>
    <w:rsid w:val="006D5250"/>
    <w:rsid w:val="006D5492"/>
    <w:rsid w:val="006D7849"/>
    <w:rsid w:val="006F00D2"/>
    <w:rsid w:val="006F5FC5"/>
    <w:rsid w:val="00702094"/>
    <w:rsid w:val="007068E0"/>
    <w:rsid w:val="00707CC3"/>
    <w:rsid w:val="00712540"/>
    <w:rsid w:val="0072010E"/>
    <w:rsid w:val="00721975"/>
    <w:rsid w:val="0073157D"/>
    <w:rsid w:val="0073164E"/>
    <w:rsid w:val="00741EC7"/>
    <w:rsid w:val="00763364"/>
    <w:rsid w:val="0076719C"/>
    <w:rsid w:val="00767667"/>
    <w:rsid w:val="007718AE"/>
    <w:rsid w:val="00781819"/>
    <w:rsid w:val="00783F17"/>
    <w:rsid w:val="00784F50"/>
    <w:rsid w:val="00792D92"/>
    <w:rsid w:val="007B04D5"/>
    <w:rsid w:val="007C0019"/>
    <w:rsid w:val="007C3122"/>
    <w:rsid w:val="007D0A93"/>
    <w:rsid w:val="007D25F7"/>
    <w:rsid w:val="007D4690"/>
    <w:rsid w:val="007D5F62"/>
    <w:rsid w:val="007D65B9"/>
    <w:rsid w:val="007E6E8A"/>
    <w:rsid w:val="007F305A"/>
    <w:rsid w:val="007F31CE"/>
    <w:rsid w:val="00802439"/>
    <w:rsid w:val="0080643E"/>
    <w:rsid w:val="00810434"/>
    <w:rsid w:val="008113A3"/>
    <w:rsid w:val="0081282E"/>
    <w:rsid w:val="00822EBF"/>
    <w:rsid w:val="00823BBD"/>
    <w:rsid w:val="00826E9C"/>
    <w:rsid w:val="0082721C"/>
    <w:rsid w:val="008341A5"/>
    <w:rsid w:val="00837040"/>
    <w:rsid w:val="0084462F"/>
    <w:rsid w:val="0085043F"/>
    <w:rsid w:val="00855711"/>
    <w:rsid w:val="0086052E"/>
    <w:rsid w:val="00861749"/>
    <w:rsid w:val="00862673"/>
    <w:rsid w:val="00864535"/>
    <w:rsid w:val="008667CE"/>
    <w:rsid w:val="00867ABC"/>
    <w:rsid w:val="008761FF"/>
    <w:rsid w:val="00884A78"/>
    <w:rsid w:val="00892DC4"/>
    <w:rsid w:val="00893E59"/>
    <w:rsid w:val="0089566E"/>
    <w:rsid w:val="008967FD"/>
    <w:rsid w:val="00897B07"/>
    <w:rsid w:val="008A2199"/>
    <w:rsid w:val="008A2582"/>
    <w:rsid w:val="008A47B3"/>
    <w:rsid w:val="008A67FD"/>
    <w:rsid w:val="008A716E"/>
    <w:rsid w:val="008C0773"/>
    <w:rsid w:val="008C12F9"/>
    <w:rsid w:val="008C3CD4"/>
    <w:rsid w:val="008C464A"/>
    <w:rsid w:val="008C6DDE"/>
    <w:rsid w:val="008E02C4"/>
    <w:rsid w:val="008E7BB5"/>
    <w:rsid w:val="008F121C"/>
    <w:rsid w:val="008F3D29"/>
    <w:rsid w:val="008F7455"/>
    <w:rsid w:val="00900C23"/>
    <w:rsid w:val="00906331"/>
    <w:rsid w:val="00910B5A"/>
    <w:rsid w:val="00912469"/>
    <w:rsid w:val="00914271"/>
    <w:rsid w:val="00915E20"/>
    <w:rsid w:val="00927FC7"/>
    <w:rsid w:val="00941172"/>
    <w:rsid w:val="00941CF5"/>
    <w:rsid w:val="0094793E"/>
    <w:rsid w:val="0095797B"/>
    <w:rsid w:val="00970F49"/>
    <w:rsid w:val="0097273A"/>
    <w:rsid w:val="00974F43"/>
    <w:rsid w:val="00986BF3"/>
    <w:rsid w:val="00994EB1"/>
    <w:rsid w:val="009A31D5"/>
    <w:rsid w:val="009A35D8"/>
    <w:rsid w:val="009B33FC"/>
    <w:rsid w:val="009B4500"/>
    <w:rsid w:val="009C1F39"/>
    <w:rsid w:val="009C3166"/>
    <w:rsid w:val="009C7053"/>
    <w:rsid w:val="009D07CD"/>
    <w:rsid w:val="009D3171"/>
    <w:rsid w:val="009D6A4B"/>
    <w:rsid w:val="009E1BC8"/>
    <w:rsid w:val="009E2ABD"/>
    <w:rsid w:val="009E4AA6"/>
    <w:rsid w:val="009F2EB9"/>
    <w:rsid w:val="00A00DE3"/>
    <w:rsid w:val="00A0315C"/>
    <w:rsid w:val="00A03603"/>
    <w:rsid w:val="00A057F9"/>
    <w:rsid w:val="00A12D44"/>
    <w:rsid w:val="00A12E9A"/>
    <w:rsid w:val="00A30F44"/>
    <w:rsid w:val="00A35D39"/>
    <w:rsid w:val="00A37487"/>
    <w:rsid w:val="00A40EF3"/>
    <w:rsid w:val="00A45563"/>
    <w:rsid w:val="00A47F0B"/>
    <w:rsid w:val="00A50A39"/>
    <w:rsid w:val="00A53C7C"/>
    <w:rsid w:val="00A53D5B"/>
    <w:rsid w:val="00A57A81"/>
    <w:rsid w:val="00A6716E"/>
    <w:rsid w:val="00A7293F"/>
    <w:rsid w:val="00A72C7E"/>
    <w:rsid w:val="00A73F2C"/>
    <w:rsid w:val="00A76CDA"/>
    <w:rsid w:val="00A81A98"/>
    <w:rsid w:val="00A87C23"/>
    <w:rsid w:val="00A905BF"/>
    <w:rsid w:val="00A9195D"/>
    <w:rsid w:val="00AA0C35"/>
    <w:rsid w:val="00AA0D1D"/>
    <w:rsid w:val="00AA0DAB"/>
    <w:rsid w:val="00AA157D"/>
    <w:rsid w:val="00AA7E36"/>
    <w:rsid w:val="00AB6726"/>
    <w:rsid w:val="00AC1DB0"/>
    <w:rsid w:val="00AC4346"/>
    <w:rsid w:val="00AC7428"/>
    <w:rsid w:val="00AC747B"/>
    <w:rsid w:val="00AD10B3"/>
    <w:rsid w:val="00AD224A"/>
    <w:rsid w:val="00AD3670"/>
    <w:rsid w:val="00AD7619"/>
    <w:rsid w:val="00AE7106"/>
    <w:rsid w:val="00AF072A"/>
    <w:rsid w:val="00AF5D38"/>
    <w:rsid w:val="00AF631A"/>
    <w:rsid w:val="00B02528"/>
    <w:rsid w:val="00B034CF"/>
    <w:rsid w:val="00B159EF"/>
    <w:rsid w:val="00B165CE"/>
    <w:rsid w:val="00B17632"/>
    <w:rsid w:val="00B2180E"/>
    <w:rsid w:val="00B32943"/>
    <w:rsid w:val="00B335E5"/>
    <w:rsid w:val="00B40BB4"/>
    <w:rsid w:val="00B41777"/>
    <w:rsid w:val="00B46D79"/>
    <w:rsid w:val="00B56B7D"/>
    <w:rsid w:val="00B60AD4"/>
    <w:rsid w:val="00B67456"/>
    <w:rsid w:val="00B67BF0"/>
    <w:rsid w:val="00B74137"/>
    <w:rsid w:val="00B74589"/>
    <w:rsid w:val="00B75549"/>
    <w:rsid w:val="00B808CC"/>
    <w:rsid w:val="00B81112"/>
    <w:rsid w:val="00B869AA"/>
    <w:rsid w:val="00B871E3"/>
    <w:rsid w:val="00B87B44"/>
    <w:rsid w:val="00B93617"/>
    <w:rsid w:val="00B96978"/>
    <w:rsid w:val="00B974C4"/>
    <w:rsid w:val="00BA046F"/>
    <w:rsid w:val="00BA07E5"/>
    <w:rsid w:val="00BA140A"/>
    <w:rsid w:val="00BA4480"/>
    <w:rsid w:val="00BA7A53"/>
    <w:rsid w:val="00BB41BE"/>
    <w:rsid w:val="00BB5C68"/>
    <w:rsid w:val="00BB7602"/>
    <w:rsid w:val="00BC2E40"/>
    <w:rsid w:val="00BC5986"/>
    <w:rsid w:val="00BC5C4F"/>
    <w:rsid w:val="00BC5C6E"/>
    <w:rsid w:val="00BC6567"/>
    <w:rsid w:val="00BD3D04"/>
    <w:rsid w:val="00BE19F8"/>
    <w:rsid w:val="00BE2402"/>
    <w:rsid w:val="00BF1FFB"/>
    <w:rsid w:val="00BF2405"/>
    <w:rsid w:val="00BF317B"/>
    <w:rsid w:val="00BF3CDC"/>
    <w:rsid w:val="00BF588C"/>
    <w:rsid w:val="00BF6252"/>
    <w:rsid w:val="00BF7938"/>
    <w:rsid w:val="00C06ADE"/>
    <w:rsid w:val="00C079F2"/>
    <w:rsid w:val="00C13448"/>
    <w:rsid w:val="00C223D4"/>
    <w:rsid w:val="00C33075"/>
    <w:rsid w:val="00C36472"/>
    <w:rsid w:val="00C37F7A"/>
    <w:rsid w:val="00C53441"/>
    <w:rsid w:val="00C56EA6"/>
    <w:rsid w:val="00C65B40"/>
    <w:rsid w:val="00C7092C"/>
    <w:rsid w:val="00C72F8C"/>
    <w:rsid w:val="00C85017"/>
    <w:rsid w:val="00C86470"/>
    <w:rsid w:val="00C86581"/>
    <w:rsid w:val="00C87622"/>
    <w:rsid w:val="00C90995"/>
    <w:rsid w:val="00C97766"/>
    <w:rsid w:val="00CA2CCF"/>
    <w:rsid w:val="00CA574F"/>
    <w:rsid w:val="00CA5E67"/>
    <w:rsid w:val="00CA699F"/>
    <w:rsid w:val="00CB46A5"/>
    <w:rsid w:val="00CB4C00"/>
    <w:rsid w:val="00CB5FB5"/>
    <w:rsid w:val="00CC0DAB"/>
    <w:rsid w:val="00CC1A98"/>
    <w:rsid w:val="00CC4DB9"/>
    <w:rsid w:val="00CD090B"/>
    <w:rsid w:val="00CD4473"/>
    <w:rsid w:val="00CD6794"/>
    <w:rsid w:val="00CD6A7C"/>
    <w:rsid w:val="00CD70D1"/>
    <w:rsid w:val="00CE6617"/>
    <w:rsid w:val="00CF15B2"/>
    <w:rsid w:val="00CF4E0B"/>
    <w:rsid w:val="00D00331"/>
    <w:rsid w:val="00D13435"/>
    <w:rsid w:val="00D14D0A"/>
    <w:rsid w:val="00D21586"/>
    <w:rsid w:val="00D32B81"/>
    <w:rsid w:val="00D414AD"/>
    <w:rsid w:val="00D41F56"/>
    <w:rsid w:val="00D53369"/>
    <w:rsid w:val="00D567DE"/>
    <w:rsid w:val="00D6148B"/>
    <w:rsid w:val="00D62EEC"/>
    <w:rsid w:val="00D64349"/>
    <w:rsid w:val="00D64A6E"/>
    <w:rsid w:val="00D6792F"/>
    <w:rsid w:val="00D77263"/>
    <w:rsid w:val="00D97C69"/>
    <w:rsid w:val="00DA05B4"/>
    <w:rsid w:val="00DA72AF"/>
    <w:rsid w:val="00DC211B"/>
    <w:rsid w:val="00DD0FFB"/>
    <w:rsid w:val="00DE40CC"/>
    <w:rsid w:val="00DE4186"/>
    <w:rsid w:val="00DE55F4"/>
    <w:rsid w:val="00DF5227"/>
    <w:rsid w:val="00E0268F"/>
    <w:rsid w:val="00E04A17"/>
    <w:rsid w:val="00E04A77"/>
    <w:rsid w:val="00E131C2"/>
    <w:rsid w:val="00E14106"/>
    <w:rsid w:val="00E20F4E"/>
    <w:rsid w:val="00E2254A"/>
    <w:rsid w:val="00E278BE"/>
    <w:rsid w:val="00E3567D"/>
    <w:rsid w:val="00E40DAF"/>
    <w:rsid w:val="00E40ECA"/>
    <w:rsid w:val="00E430A6"/>
    <w:rsid w:val="00E43D2D"/>
    <w:rsid w:val="00E46470"/>
    <w:rsid w:val="00E503BA"/>
    <w:rsid w:val="00E73DDF"/>
    <w:rsid w:val="00EA0541"/>
    <w:rsid w:val="00EA1BE6"/>
    <w:rsid w:val="00EA325A"/>
    <w:rsid w:val="00EB5440"/>
    <w:rsid w:val="00EB6C80"/>
    <w:rsid w:val="00EC159F"/>
    <w:rsid w:val="00ED3BF6"/>
    <w:rsid w:val="00ED4683"/>
    <w:rsid w:val="00EE004B"/>
    <w:rsid w:val="00EE32EA"/>
    <w:rsid w:val="00EF6A38"/>
    <w:rsid w:val="00F04B72"/>
    <w:rsid w:val="00F05466"/>
    <w:rsid w:val="00F06D33"/>
    <w:rsid w:val="00F1545F"/>
    <w:rsid w:val="00F22543"/>
    <w:rsid w:val="00F228D6"/>
    <w:rsid w:val="00F23953"/>
    <w:rsid w:val="00F2549D"/>
    <w:rsid w:val="00F265F6"/>
    <w:rsid w:val="00F3145E"/>
    <w:rsid w:val="00F32BD1"/>
    <w:rsid w:val="00F32CFF"/>
    <w:rsid w:val="00F36A9D"/>
    <w:rsid w:val="00F452AA"/>
    <w:rsid w:val="00F56C0E"/>
    <w:rsid w:val="00F60FB1"/>
    <w:rsid w:val="00F60FF2"/>
    <w:rsid w:val="00F61AB0"/>
    <w:rsid w:val="00F72B78"/>
    <w:rsid w:val="00F8380E"/>
    <w:rsid w:val="00F84481"/>
    <w:rsid w:val="00F90064"/>
    <w:rsid w:val="00F92435"/>
    <w:rsid w:val="00F95540"/>
    <w:rsid w:val="00F96288"/>
    <w:rsid w:val="00FA45C3"/>
    <w:rsid w:val="00FA5FC8"/>
    <w:rsid w:val="00FB3E02"/>
    <w:rsid w:val="00FB6745"/>
    <w:rsid w:val="00FB7B9F"/>
    <w:rsid w:val="00FC5F36"/>
    <w:rsid w:val="00FD6EC3"/>
    <w:rsid w:val="00FD7FE2"/>
    <w:rsid w:val="00FE2439"/>
    <w:rsid w:val="00FE36DB"/>
    <w:rsid w:val="00FE4187"/>
    <w:rsid w:val="00FE5D44"/>
    <w:rsid w:val="00FE63D8"/>
    <w:rsid w:val="00FF246E"/>
    <w:rsid w:val="00FF60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49D"/>
  </w:style>
  <w:style w:type="paragraph" w:styleId="Heading1">
    <w:name w:val="heading 1"/>
    <w:basedOn w:val="Normal"/>
    <w:link w:val="Heading1Char"/>
    <w:uiPriority w:val="9"/>
    <w:qFormat/>
    <w:rsid w:val="002F046F"/>
    <w:pPr>
      <w:spacing w:before="100" w:beforeAutospacing="1" w:after="100" w:afterAutospacing="1"/>
      <w:outlineLvl w:val="0"/>
    </w:pPr>
    <w:rPr>
      <w:rFonts w:eastAsia="Times New Roman"/>
      <w:b/>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FCE"/>
    <w:pPr>
      <w:ind w:left="720"/>
      <w:contextualSpacing/>
    </w:p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sid w:val="00783F17"/>
    <w:rPr>
      <w:sz w:val="20"/>
      <w:szCs w:val="20"/>
    </w:rPr>
  </w:style>
  <w:style w:type="character" w:customStyle="1" w:styleId="FootnoteTextChar">
    <w:name w:val="Footnote Text Char"/>
    <w:aliases w:val="Footnote Text Char Char Char,Footnote Text Char Char Char Char Char,Footnote Text Char1 Char,Footnote Text Char1 Char Char1 Char,Footnote Text Char1 Char Char1 Char Char Char Char,Footnote Text Char2 Char Char Char Char1 Char,fn Char"/>
    <w:basedOn w:val="DefaultParagraphFont"/>
    <w:link w:val="FootnoteText"/>
    <w:uiPriority w:val="99"/>
    <w:rsid w:val="00783F17"/>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rsid w:val="00783F17"/>
    <w:rPr>
      <w:vertAlign w:val="superscript"/>
    </w:rPr>
  </w:style>
  <w:style w:type="paragraph" w:customStyle="1" w:styleId="TableParagraph">
    <w:name w:val="Table Paragraph"/>
    <w:basedOn w:val="Normal"/>
    <w:uiPriority w:val="1"/>
    <w:qFormat/>
    <w:rsid w:val="0089566E"/>
    <w:pPr>
      <w:widowControl w:val="0"/>
    </w:pPr>
    <w:rPr>
      <w:rFonts w:asciiTheme="minorHAnsi" w:hAnsiTheme="minorHAnsi" w:cstheme="minorBidi"/>
      <w:bCs w:val="0"/>
      <w:color w:val="auto"/>
      <w:sz w:val="22"/>
      <w:szCs w:val="22"/>
    </w:rPr>
  </w:style>
  <w:style w:type="paragraph" w:styleId="BalloonText">
    <w:name w:val="Balloon Text"/>
    <w:basedOn w:val="Normal"/>
    <w:link w:val="BalloonTextChar"/>
    <w:uiPriority w:val="99"/>
    <w:semiHidden/>
    <w:unhideWhenUsed/>
    <w:rsid w:val="000E61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DD"/>
    <w:rPr>
      <w:rFonts w:ascii="Segoe UI" w:hAnsi="Segoe UI" w:cs="Segoe UI"/>
      <w:sz w:val="18"/>
      <w:szCs w:val="18"/>
    </w:rPr>
  </w:style>
  <w:style w:type="character" w:styleId="Hyperlink">
    <w:name w:val="Hyperlink"/>
    <w:basedOn w:val="DefaultParagraphFont"/>
    <w:uiPriority w:val="99"/>
    <w:unhideWhenUsed/>
    <w:rsid w:val="000E61DD"/>
    <w:rPr>
      <w:color w:val="0000FF"/>
      <w:u w:val="single"/>
    </w:rPr>
  </w:style>
  <w:style w:type="paragraph" w:styleId="Footer">
    <w:name w:val="footer"/>
    <w:basedOn w:val="Normal"/>
    <w:link w:val="FooterChar"/>
    <w:uiPriority w:val="99"/>
    <w:unhideWhenUsed/>
    <w:rsid w:val="000E61DD"/>
    <w:pPr>
      <w:tabs>
        <w:tab w:val="center" w:pos="4680"/>
        <w:tab w:val="right" w:pos="9360"/>
      </w:tabs>
    </w:pPr>
    <w:rPr>
      <w:rFonts w:cstheme="minorBidi"/>
      <w:bCs w:val="0"/>
      <w:color w:val="auto"/>
      <w:szCs w:val="22"/>
    </w:rPr>
  </w:style>
  <w:style w:type="character" w:customStyle="1" w:styleId="FooterChar">
    <w:name w:val="Footer Char"/>
    <w:basedOn w:val="DefaultParagraphFont"/>
    <w:link w:val="Footer"/>
    <w:uiPriority w:val="99"/>
    <w:rsid w:val="000E61DD"/>
    <w:rPr>
      <w:rFonts w:cstheme="minorBidi"/>
      <w:bCs w:val="0"/>
      <w:color w:val="auto"/>
      <w:szCs w:val="22"/>
    </w:rPr>
  </w:style>
  <w:style w:type="paragraph" w:styleId="BodyTextIndent3">
    <w:name w:val="Body Text Indent 3"/>
    <w:basedOn w:val="Normal"/>
    <w:link w:val="BodyTextIndent3Char"/>
    <w:uiPriority w:val="99"/>
    <w:unhideWhenUsed/>
    <w:rsid w:val="00E14106"/>
    <w:pPr>
      <w:spacing w:after="120" w:line="276" w:lineRule="auto"/>
      <w:ind w:left="360"/>
    </w:pPr>
    <w:rPr>
      <w:rFonts w:cstheme="minorBidi"/>
      <w:bCs w:val="0"/>
      <w:color w:val="auto"/>
      <w:sz w:val="16"/>
      <w:szCs w:val="16"/>
    </w:rPr>
  </w:style>
  <w:style w:type="character" w:customStyle="1" w:styleId="BodyTextIndent3Char">
    <w:name w:val="Body Text Indent 3 Char"/>
    <w:basedOn w:val="DefaultParagraphFont"/>
    <w:link w:val="BodyTextIndent3"/>
    <w:uiPriority w:val="99"/>
    <w:rsid w:val="00E14106"/>
    <w:rPr>
      <w:rFonts w:cstheme="minorBidi"/>
      <w:bCs w:val="0"/>
      <w:color w:val="auto"/>
      <w:sz w:val="16"/>
      <w:szCs w:val="16"/>
    </w:rPr>
  </w:style>
  <w:style w:type="paragraph" w:styleId="HTMLPreformatted">
    <w:name w:val="HTML Preformatted"/>
    <w:aliases w:val=" Char,Char"/>
    <w:basedOn w:val="Normal"/>
    <w:link w:val="HTMLPreformattedChar"/>
    <w:unhideWhenUsed/>
    <w:rsid w:val="00CD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color w:val="auto"/>
      <w:sz w:val="20"/>
      <w:szCs w:val="20"/>
    </w:rPr>
  </w:style>
  <w:style w:type="character" w:customStyle="1" w:styleId="HTMLPreformattedChar">
    <w:name w:val="HTML Preformatted Char"/>
    <w:aliases w:val=" Char Char,Char Char"/>
    <w:basedOn w:val="DefaultParagraphFont"/>
    <w:link w:val="HTMLPreformatted"/>
    <w:rsid w:val="00CD4473"/>
    <w:rPr>
      <w:rFonts w:ascii="Courier New" w:eastAsia="Courier New" w:hAnsi="Courier New" w:cs="Courier New"/>
      <w:bCs w:val="0"/>
      <w:color w:val="auto"/>
      <w:sz w:val="20"/>
      <w:szCs w:val="20"/>
    </w:rPr>
  </w:style>
  <w:style w:type="paragraph" w:styleId="BodyText">
    <w:name w:val="Body Text"/>
    <w:basedOn w:val="Normal"/>
    <w:link w:val="BodyTextChar"/>
    <w:uiPriority w:val="99"/>
    <w:semiHidden/>
    <w:unhideWhenUsed/>
    <w:rsid w:val="0068731A"/>
    <w:pPr>
      <w:spacing w:after="120"/>
    </w:pPr>
  </w:style>
  <w:style w:type="character" w:customStyle="1" w:styleId="BodyTextChar">
    <w:name w:val="Body Text Char"/>
    <w:basedOn w:val="DefaultParagraphFont"/>
    <w:link w:val="BodyText"/>
    <w:uiPriority w:val="99"/>
    <w:semiHidden/>
    <w:rsid w:val="0068731A"/>
  </w:style>
  <w:style w:type="paragraph" w:styleId="CommentText">
    <w:name w:val="annotation text"/>
    <w:basedOn w:val="Normal"/>
    <w:link w:val="CommentTextChar"/>
    <w:rsid w:val="0068731A"/>
    <w:rPr>
      <w:rFonts w:eastAsia="Times New Roman"/>
      <w:bCs w:val="0"/>
      <w:color w:val="auto"/>
      <w:szCs w:val="24"/>
    </w:rPr>
  </w:style>
  <w:style w:type="character" w:customStyle="1" w:styleId="CommentTextChar">
    <w:name w:val="Comment Text Char"/>
    <w:basedOn w:val="DefaultParagraphFont"/>
    <w:link w:val="CommentText"/>
    <w:rsid w:val="0068731A"/>
    <w:rPr>
      <w:rFonts w:eastAsia="Times New Roman"/>
      <w:bCs w:val="0"/>
      <w:color w:val="auto"/>
      <w:szCs w:val="24"/>
    </w:rPr>
  </w:style>
  <w:style w:type="paragraph" w:styleId="Header">
    <w:name w:val="header"/>
    <w:basedOn w:val="Normal"/>
    <w:link w:val="HeaderChar"/>
    <w:uiPriority w:val="99"/>
    <w:unhideWhenUsed/>
    <w:rsid w:val="000E48BC"/>
    <w:pPr>
      <w:tabs>
        <w:tab w:val="center" w:pos="4680"/>
        <w:tab w:val="right" w:pos="9360"/>
      </w:tabs>
    </w:pPr>
  </w:style>
  <w:style w:type="character" w:customStyle="1" w:styleId="HeaderChar">
    <w:name w:val="Header Char"/>
    <w:basedOn w:val="DefaultParagraphFont"/>
    <w:link w:val="Header"/>
    <w:uiPriority w:val="99"/>
    <w:rsid w:val="000E48BC"/>
  </w:style>
  <w:style w:type="paragraph" w:styleId="NormalWeb">
    <w:name w:val="Normal (Web)"/>
    <w:basedOn w:val="Normal"/>
    <w:uiPriority w:val="99"/>
    <w:semiHidden/>
    <w:unhideWhenUsed/>
    <w:rsid w:val="00941172"/>
    <w:pPr>
      <w:spacing w:before="100" w:beforeAutospacing="1" w:after="100" w:afterAutospacing="1"/>
    </w:pPr>
    <w:rPr>
      <w:rFonts w:eastAsia="Times New Roman"/>
      <w:bCs w:val="0"/>
      <w:color w:val="auto"/>
      <w:szCs w:val="24"/>
    </w:rPr>
  </w:style>
  <w:style w:type="character" w:customStyle="1" w:styleId="reference-text">
    <w:name w:val="reference-text"/>
    <w:basedOn w:val="DefaultParagraphFont"/>
    <w:rsid w:val="009A35D8"/>
  </w:style>
  <w:style w:type="character" w:styleId="HTMLCite">
    <w:name w:val="HTML Cite"/>
    <w:basedOn w:val="DefaultParagraphFont"/>
    <w:uiPriority w:val="99"/>
    <w:semiHidden/>
    <w:unhideWhenUsed/>
    <w:rsid w:val="009A35D8"/>
    <w:rPr>
      <w:i/>
      <w:iCs/>
    </w:rPr>
  </w:style>
  <w:style w:type="character" w:styleId="CommentReference">
    <w:name w:val="annotation reference"/>
    <w:uiPriority w:val="99"/>
    <w:semiHidden/>
    <w:rsid w:val="00837040"/>
    <w:rPr>
      <w:sz w:val="16"/>
      <w:szCs w:val="16"/>
    </w:rPr>
  </w:style>
  <w:style w:type="character" w:customStyle="1" w:styleId="UnresolvedMention">
    <w:name w:val="Unresolved Mention"/>
    <w:basedOn w:val="DefaultParagraphFont"/>
    <w:uiPriority w:val="99"/>
    <w:semiHidden/>
    <w:unhideWhenUsed/>
    <w:rsid w:val="00A00D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57A81"/>
    <w:rPr>
      <w:rFonts w:eastAsiaTheme="minorHAnsi"/>
      <w:b/>
      <w:bCs/>
      <w:color w:val="000000"/>
      <w:sz w:val="20"/>
      <w:szCs w:val="20"/>
    </w:rPr>
  </w:style>
  <w:style w:type="character" w:customStyle="1" w:styleId="CommentSubjectChar">
    <w:name w:val="Comment Subject Char"/>
    <w:basedOn w:val="CommentTextChar"/>
    <w:link w:val="CommentSubject"/>
    <w:uiPriority w:val="99"/>
    <w:semiHidden/>
    <w:rsid w:val="00A57A81"/>
    <w:rPr>
      <w:rFonts w:eastAsia="Times New Roman"/>
      <w:b/>
      <w:bCs/>
      <w:color w:val="auto"/>
      <w:sz w:val="20"/>
      <w:szCs w:val="20"/>
    </w:rPr>
  </w:style>
  <w:style w:type="paragraph" w:styleId="Revision">
    <w:name w:val="Revision"/>
    <w:hidden/>
    <w:uiPriority w:val="99"/>
    <w:semiHidden/>
    <w:rsid w:val="008967FD"/>
  </w:style>
  <w:style w:type="character" w:customStyle="1" w:styleId="hgkelc">
    <w:name w:val="hgkelc"/>
    <w:basedOn w:val="DefaultParagraphFont"/>
    <w:rsid w:val="006C01F4"/>
  </w:style>
  <w:style w:type="character" w:customStyle="1" w:styleId="Heading1Char">
    <w:name w:val="Heading 1 Char"/>
    <w:basedOn w:val="DefaultParagraphFont"/>
    <w:link w:val="Heading1"/>
    <w:uiPriority w:val="9"/>
    <w:rsid w:val="002F046F"/>
    <w:rPr>
      <w:rFonts w:eastAsia="Times New Roman"/>
      <w:b/>
      <w:color w:val="auto"/>
      <w:kern w:val="36"/>
      <w:sz w:val="48"/>
      <w:szCs w:val="48"/>
    </w:rPr>
  </w:style>
  <w:style w:type="character" w:styleId="Emphasis">
    <w:name w:val="Emphasis"/>
    <w:basedOn w:val="DefaultParagraphFont"/>
    <w:uiPriority w:val="20"/>
    <w:qFormat/>
    <w:rsid w:val="0036671C"/>
    <w:rPr>
      <w:i/>
      <w:iCs/>
    </w:rPr>
  </w:style>
  <w:style w:type="paragraph" w:customStyle="1" w:styleId="note">
    <w:name w:val="note"/>
    <w:basedOn w:val="Normal"/>
    <w:rsid w:val="00702094"/>
    <w:pPr>
      <w:spacing w:before="100" w:beforeAutospacing="1" w:after="100" w:afterAutospacing="1"/>
    </w:pPr>
    <w:rPr>
      <w:rFonts w:eastAsia="Times New Roman"/>
      <w:bCs w:val="0"/>
      <w:color w:val="auto"/>
      <w:szCs w:val="24"/>
    </w:rPr>
  </w:style>
  <w:style w:type="paragraph" w:customStyle="1" w:styleId="item">
    <w:name w:val="item"/>
    <w:basedOn w:val="Normal"/>
    <w:rsid w:val="00702094"/>
    <w:pPr>
      <w:spacing w:before="100" w:beforeAutospacing="1" w:after="100" w:afterAutospacing="1"/>
    </w:pPr>
    <w:rPr>
      <w:rFonts w:eastAsia="Times New Roman"/>
      <w:bCs w:val="0"/>
      <w:color w:val="auto"/>
      <w:szCs w:val="24"/>
    </w:rPr>
  </w:style>
  <w:style w:type="character" w:customStyle="1" w:styleId="markedcontent">
    <w:name w:val="markedcontent"/>
    <w:basedOn w:val="DefaultParagraphFont"/>
    <w:rsid w:val="003165CC"/>
  </w:style>
  <w:style w:type="character" w:styleId="Strong">
    <w:name w:val="Strong"/>
    <w:basedOn w:val="DefaultParagraphFont"/>
    <w:uiPriority w:val="22"/>
    <w:qFormat/>
    <w:rsid w:val="005D0D53"/>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arah.feldkamp@ohioAGO.gov" TargetMode="External" /><Relationship Id="rId11" Type="http://schemas.openxmlformats.org/officeDocument/2006/relationships/hyperlink" Target="mailto:thomas.lindgren@ohioAGO.gov" TargetMode="External" /><Relationship Id="rId12" Type="http://schemas.openxmlformats.org/officeDocument/2006/relationships/hyperlink" Target="mailto:rlazer@elpc.org" TargetMode="External" /><Relationship Id="rId13" Type="http://schemas.openxmlformats.org/officeDocument/2006/relationships/hyperlink" Target="mailto:rkelter@elpc.org" TargetMode="External" /><Relationship Id="rId14" Type="http://schemas.openxmlformats.org/officeDocument/2006/relationships/hyperlink" Target="mailto:jweber@elpc.org" TargetMode="External" /><Relationship Id="rId15" Type="http://schemas.openxmlformats.org/officeDocument/2006/relationships/hyperlink" Target="mailto:trhayslaw@gmail.com" TargetMode="External" /><Relationship Id="rId16" Type="http://schemas.openxmlformats.org/officeDocument/2006/relationships/hyperlink" Target="mailto:leslie.kovacik@toledo.oh.gov" TargetMode="External" /><Relationship Id="rId17" Type="http://schemas.openxmlformats.org/officeDocument/2006/relationships/hyperlink" Target="mailto:evan.betterton@igs.com" TargetMode="External" /><Relationship Id="rId18" Type="http://schemas.openxmlformats.org/officeDocument/2006/relationships/hyperlink" Target="mailto:joe.oliker@igs.com" TargetMode="External" /><Relationship Id="rId19" Type="http://schemas.openxmlformats.org/officeDocument/2006/relationships/hyperlink" Target="mailto:michael.nugent@igs.com" TargetMode="External" /><Relationship Id="rId2" Type="http://schemas.openxmlformats.org/officeDocument/2006/relationships/settings" Target="settings.xml" /><Relationship Id="rId20" Type="http://schemas.openxmlformats.org/officeDocument/2006/relationships/hyperlink" Target="mailto:mkurtz@BKLlawfirm.com" TargetMode="External" /><Relationship Id="rId21" Type="http://schemas.openxmlformats.org/officeDocument/2006/relationships/hyperlink" Target="mailto:kboehm@BKLlawfirm.com" TargetMode="External" /><Relationship Id="rId22" Type="http://schemas.openxmlformats.org/officeDocument/2006/relationships/hyperlink" Target="mailto:jkylercohn@BKLlawfirm.com" TargetMode="External" /><Relationship Id="rId23" Type="http://schemas.openxmlformats.org/officeDocument/2006/relationships/hyperlink" Target="mailto:mwise@mcdonaldhopkins.com" TargetMode="External" /><Relationship Id="rId24" Type="http://schemas.openxmlformats.org/officeDocument/2006/relationships/hyperlink" Target="mailto:trent@hubaydougherty.com" TargetMode="External" /><Relationship Id="rId25" Type="http://schemas.openxmlformats.org/officeDocument/2006/relationships/hyperlink" Target="mailto:megan.addison@puco.ohio.gov" TargetMode="External" /><Relationship Id="rId26" Type="http://schemas.openxmlformats.org/officeDocument/2006/relationships/hyperlink" Target="mailto:gregory.price@puco.ohio.gov" TargetMode="External" /><Relationship Id="rId27" Type="http://schemas.openxmlformats.org/officeDocument/2006/relationships/hyperlink" Target="mailto:jacqueline.st.john@puco.ohio.gov" TargetMode="External" /><Relationship Id="rId28" Type="http://schemas.openxmlformats.org/officeDocument/2006/relationships/hyperlink" Target="mailto:bknipe@firstenergycorp.com" TargetMode="External" /><Relationship Id="rId29" Type="http://schemas.openxmlformats.org/officeDocument/2006/relationships/hyperlink" Target="mailto:mrgladman@jonesday.com" TargetMode="External" /><Relationship Id="rId3" Type="http://schemas.openxmlformats.org/officeDocument/2006/relationships/webSettings" Target="webSettings.xml" /><Relationship Id="rId30" Type="http://schemas.openxmlformats.org/officeDocument/2006/relationships/hyperlink" Target="mailto:mdengler@jonesday.com" TargetMode="External" /><Relationship Id="rId31" Type="http://schemas.openxmlformats.org/officeDocument/2006/relationships/hyperlink" Target="mailto:radoringo@jonesday.com" TargetMode="External" /><Relationship Id="rId32" Type="http://schemas.openxmlformats.org/officeDocument/2006/relationships/hyperlink" Target="mailto:sgoyal@jonesday.com" TargetMode="External" /><Relationship Id="rId33" Type="http://schemas.openxmlformats.org/officeDocument/2006/relationships/hyperlink" Target="mailto:dborchers@bricker.com" TargetMode="External" /><Relationship Id="rId34" Type="http://schemas.openxmlformats.org/officeDocument/2006/relationships/hyperlink" Target="mailto:dparram@bricker.com" TargetMode="External" /><Relationship Id="rId35" Type="http://schemas.openxmlformats.org/officeDocument/2006/relationships/hyperlink" Target="mailto:rmains@bricker.com" TargetMode="External" /><Relationship Id="rId36" Type="http://schemas.openxmlformats.org/officeDocument/2006/relationships/hyperlink" Target="mailto:ctavenor@theOEC.org" TargetMode="External" /><Relationship Id="rId37" Type="http://schemas.openxmlformats.org/officeDocument/2006/relationships/hyperlink" Target="mailto:rdove@keglerbrown.com" TargetMode="External" /><Relationship Id="rId38" Type="http://schemas.openxmlformats.org/officeDocument/2006/relationships/hyperlink" Target="mailto:mpritchard@mcneeslaw.com" TargetMode="External" /><Relationship Id="rId39" Type="http://schemas.openxmlformats.org/officeDocument/2006/relationships/hyperlink" Target="mailto:bmckenney@mcneeslaw.com" TargetMode="External" /><Relationship Id="rId4" Type="http://schemas.openxmlformats.org/officeDocument/2006/relationships/fontTable" Target="fontTable.xml" /><Relationship Id="rId40" Type="http://schemas.openxmlformats.org/officeDocument/2006/relationships/hyperlink" Target="mailto:Bojko@carpenterlipps.com" TargetMode="External" /><Relationship Id="rId41" Type="http://schemas.openxmlformats.org/officeDocument/2006/relationships/hyperlink" Target="mailto:Donadio@carpenterlipps.com" TargetMode="External" /><Relationship Id="rId42" Type="http://schemas.openxmlformats.org/officeDocument/2006/relationships/footer" Target="footer2.xml" /><Relationship Id="rId43" Type="http://schemas.openxmlformats.org/officeDocument/2006/relationships/theme" Target="theme/theme1.xml" /><Relationship Id="rId44" Type="http://schemas.openxmlformats.org/officeDocument/2006/relationships/numbering" Target="numbering.xml" /><Relationship Id="rId45"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maureen.willis@occ.ohio.gov" TargetMode="External" /><Relationship Id="rId8" Type="http://schemas.openxmlformats.org/officeDocument/2006/relationships/hyperlink" Target="mailto:john.finnigan@occ.ohio.gov" TargetMode="External" /><Relationship Id="rId9" Type="http://schemas.openxmlformats.org/officeDocument/2006/relationships/hyperlink" Target="mailto:werner.margard@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74E92-0AA0-44E0-B4F0-9396E86B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20-1502 - OCC COMMENTS 7.14.21 w-dfs  (00153485.DOCX;1)</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2022-02-02T20:43:19Z</dcterms:created>
  <dcterms:modified xsi:type="dcterms:W3CDTF">2022-02-02T20:43:19Z</dcterms:modified>
</cp:coreProperties>
</file>