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5A4BC3" w:rsidRPr="00AB750D" w:rsidP="005A4BC3">
      <w:pPr>
        <w:pStyle w:val="HTMLPreformatted"/>
        <w:jc w:val="center"/>
        <w:rPr>
          <w:rFonts w:ascii="Times New Roman" w:hAnsi="Times New Roman" w:cs="Times New Roman"/>
          <w:b/>
          <w:bCs/>
          <w:sz w:val="24"/>
          <w:szCs w:val="24"/>
        </w:rPr>
      </w:pPr>
      <w:bookmarkStart w:id="0" w:name="_GoBack"/>
      <w:bookmarkEnd w:id="0"/>
      <w:r w:rsidRPr="00AB750D">
        <w:rPr>
          <w:rFonts w:ascii="Times New Roman" w:hAnsi="Times New Roman" w:cs="Times New Roman"/>
          <w:b/>
          <w:bCs/>
          <w:sz w:val="24"/>
          <w:szCs w:val="24"/>
        </w:rPr>
        <w:t>BEFORE</w:t>
      </w:r>
    </w:p>
    <w:p w:rsidR="005A4BC3" w:rsidRPr="00AB750D" w:rsidP="005A4BC3">
      <w:pPr>
        <w:pStyle w:val="HTMLPreformatted"/>
        <w:jc w:val="center"/>
        <w:rPr>
          <w:rFonts w:ascii="Times New Roman" w:eastAsia="Courier New" w:hAnsi="Times New Roman" w:cs="Times New Roman"/>
          <w:sz w:val="24"/>
          <w:szCs w:val="24"/>
        </w:rPr>
      </w:pPr>
      <w:r w:rsidRPr="00AB750D">
        <w:rPr>
          <w:rFonts w:ascii="Times New Roman" w:hAnsi="Times New Roman" w:cs="Times New Roman"/>
          <w:b/>
          <w:bCs/>
          <w:sz w:val="24"/>
          <w:szCs w:val="24"/>
        </w:rPr>
        <w:t>THE PUBLIC UTILITIES COMMISSION OF OHIO</w:t>
      </w:r>
    </w:p>
    <w:p w:rsidR="005A4BC3" w:rsidRPr="00AB750D" w:rsidP="005A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5A4BC3">
        <w:tblPrEx>
          <w:tblW w:w="9092" w:type="dxa"/>
          <w:tblInd w:w="0" w:type="dxa"/>
          <w:tblCellMar>
            <w:top w:w="0" w:type="dxa"/>
            <w:left w:w="108" w:type="dxa"/>
            <w:bottom w:w="0" w:type="dxa"/>
            <w:right w:w="108" w:type="dxa"/>
          </w:tblCellMar>
          <w:tblLook w:val="01E0"/>
        </w:tblPrEx>
        <w:trPr>
          <w:trHeight w:val="2322"/>
        </w:trPr>
        <w:tc>
          <w:tcPr>
            <w:tcW w:w="4332" w:type="dxa"/>
            <w:shd w:val="clear" w:color="auto" w:fill="auto"/>
          </w:tcPr>
          <w:p w:rsidR="005A4BC3" w:rsidRPr="00AB750D" w:rsidP="005A4BC3">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sidRPr="00AB750D">
              <w:rPr>
                <w:rFonts w:ascii="Times New Roman" w:hAnsi="Times New Roman" w:eastAsiaTheme="minorHAnsi" w:cs="Times New Roman"/>
                <w:sz w:val="24"/>
                <w:szCs w:val="24"/>
                <w:lang w:val="en-US" w:eastAsia="en-US" w:bidi="ar-SA"/>
              </w:rPr>
              <w:t xml:space="preserve">In the Matter of the Application of </w:t>
            </w:r>
          </w:p>
          <w:p w:rsidR="005A4BC3" w:rsidRPr="00AB750D" w:rsidP="005A4BC3">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sidRPr="00AB750D">
              <w:rPr>
                <w:rFonts w:ascii="Times New Roman" w:hAnsi="Times New Roman" w:eastAsiaTheme="minorHAnsi" w:cs="Times New Roman"/>
                <w:sz w:val="24"/>
                <w:szCs w:val="24"/>
                <w:lang w:val="en-US" w:eastAsia="en-US" w:bidi="ar-SA"/>
              </w:rPr>
              <w:t>Ohio Power Company for Authority to Establish a Standard Service Offer Pursuant to R.C. 4928.143, in the Form of an Electric Security Plan.</w:t>
            </w:r>
          </w:p>
          <w:p w:rsidR="005A4BC3" w:rsidRPr="00AB750D" w:rsidP="005A4BC3">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p>
          <w:p w:rsidR="005A4BC3" w:rsidRPr="00AB750D" w:rsidP="005A4BC3">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sidRPr="00AB750D">
              <w:rPr>
                <w:rFonts w:ascii="Times New Roman" w:hAnsi="Times New Roman" w:eastAsiaTheme="minorHAnsi" w:cs="Times New Roman"/>
                <w:sz w:val="24"/>
                <w:szCs w:val="24"/>
                <w:lang w:val="en-US" w:eastAsia="en-US" w:bidi="ar-SA"/>
              </w:rPr>
              <w:t>In the Matter of the Application of Ohio Power Company for Approval of Certain Accounting Authority.</w:t>
            </w:r>
          </w:p>
        </w:tc>
        <w:tc>
          <w:tcPr>
            <w:tcW w:w="360" w:type="dxa"/>
            <w:shd w:val="clear" w:color="auto" w:fill="auto"/>
          </w:tcPr>
          <w:p w:rsidR="005A4BC3" w:rsidRPr="00AB750D" w:rsidP="005A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AB750D">
              <w:rPr>
                <w:rFonts w:ascii="Times New Roman" w:eastAsia="Courier New" w:hAnsi="Times New Roman" w:cs="Times New Roman"/>
                <w:sz w:val="24"/>
                <w:szCs w:val="24"/>
                <w:lang w:val="en-US" w:eastAsia="en-US" w:bidi="ar-SA"/>
              </w:rPr>
              <w:t>)</w:t>
            </w:r>
          </w:p>
          <w:p w:rsidR="005A4BC3" w:rsidRPr="00AB750D" w:rsidP="005A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AB750D">
              <w:rPr>
                <w:rFonts w:ascii="Times New Roman" w:eastAsia="Courier New" w:hAnsi="Times New Roman" w:cs="Times New Roman"/>
                <w:sz w:val="24"/>
                <w:szCs w:val="24"/>
                <w:lang w:val="en-US" w:eastAsia="en-US" w:bidi="ar-SA"/>
              </w:rPr>
              <w:t>)</w:t>
            </w:r>
          </w:p>
          <w:p w:rsidR="005A4BC3" w:rsidRPr="00AB750D" w:rsidP="005A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AB750D">
              <w:rPr>
                <w:rFonts w:ascii="Times New Roman" w:eastAsia="Courier New" w:hAnsi="Times New Roman" w:cs="Times New Roman"/>
                <w:sz w:val="24"/>
                <w:szCs w:val="24"/>
                <w:lang w:val="en-US" w:eastAsia="en-US" w:bidi="ar-SA"/>
              </w:rPr>
              <w:t>)</w:t>
            </w:r>
          </w:p>
          <w:p w:rsidR="005A4BC3" w:rsidRPr="00AB750D" w:rsidP="005A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AB750D">
              <w:rPr>
                <w:rFonts w:ascii="Times New Roman" w:eastAsia="Courier New" w:hAnsi="Times New Roman" w:cs="Times New Roman"/>
                <w:sz w:val="24"/>
                <w:szCs w:val="24"/>
                <w:lang w:val="en-US" w:eastAsia="en-US" w:bidi="ar-SA"/>
              </w:rPr>
              <w:t>)</w:t>
            </w:r>
          </w:p>
          <w:p w:rsidR="005A4BC3" w:rsidRPr="00AB750D" w:rsidP="005A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AB750D">
              <w:rPr>
                <w:rFonts w:ascii="Times New Roman" w:eastAsia="Courier New" w:hAnsi="Times New Roman" w:cs="Times New Roman"/>
                <w:sz w:val="24"/>
                <w:szCs w:val="24"/>
                <w:lang w:val="en-US" w:eastAsia="en-US" w:bidi="ar-SA"/>
              </w:rPr>
              <w:t>)</w:t>
            </w:r>
          </w:p>
          <w:p w:rsidR="005A4BC3" w:rsidRPr="00AB750D" w:rsidP="005A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5A4BC3" w:rsidRPr="00AB750D" w:rsidP="005A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AB750D">
              <w:rPr>
                <w:rFonts w:ascii="Times New Roman" w:eastAsia="Courier New" w:hAnsi="Times New Roman" w:cs="Times New Roman"/>
                <w:sz w:val="24"/>
                <w:szCs w:val="24"/>
                <w:lang w:val="en-US" w:eastAsia="en-US" w:bidi="ar-SA"/>
              </w:rPr>
              <w:t>)</w:t>
            </w:r>
          </w:p>
          <w:p w:rsidR="005A4BC3" w:rsidRPr="00AB750D" w:rsidP="005A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AB750D">
              <w:rPr>
                <w:rFonts w:ascii="Times New Roman" w:eastAsia="Courier New" w:hAnsi="Times New Roman" w:cs="Times New Roman"/>
                <w:sz w:val="24"/>
                <w:szCs w:val="24"/>
                <w:lang w:val="en-US" w:eastAsia="en-US" w:bidi="ar-SA"/>
              </w:rPr>
              <w:t>)</w:t>
            </w:r>
          </w:p>
          <w:p w:rsidR="005A4BC3" w:rsidRPr="00AB750D" w:rsidP="005A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AB750D">
              <w:rPr>
                <w:rFonts w:ascii="Times New Roman" w:eastAsia="Courier New" w:hAnsi="Times New Roman" w:cs="Times New Roman"/>
                <w:sz w:val="24"/>
                <w:szCs w:val="24"/>
                <w:lang w:val="en-US" w:eastAsia="en-US" w:bidi="ar-SA"/>
              </w:rPr>
              <w:t>)</w:t>
            </w:r>
          </w:p>
        </w:tc>
        <w:tc>
          <w:tcPr>
            <w:tcW w:w="4400" w:type="dxa"/>
            <w:shd w:val="clear" w:color="auto" w:fill="auto"/>
          </w:tcPr>
          <w:p w:rsidR="005A4BC3" w:rsidRPr="00AB750D" w:rsidP="005A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5A4BC3" w:rsidRPr="00AB750D" w:rsidP="005A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AB750D">
              <w:rPr>
                <w:rFonts w:ascii="Times New Roman" w:eastAsia="Courier New" w:hAnsi="Times New Roman" w:cs="Times New Roman"/>
                <w:sz w:val="24"/>
                <w:szCs w:val="24"/>
                <w:lang w:val="en-US" w:eastAsia="en-US" w:bidi="ar-SA"/>
              </w:rPr>
              <w:t>Case No. 16-1852-EL-SSO</w:t>
            </w:r>
          </w:p>
          <w:p w:rsidR="005A4BC3" w:rsidRPr="00AB750D" w:rsidP="005A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5A4BC3" w:rsidRPr="00AB750D" w:rsidP="005A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5A4BC3" w:rsidRPr="00AB750D" w:rsidP="005A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5A4BC3" w:rsidRPr="00AB750D" w:rsidP="005A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5A4BC3" w:rsidRPr="00AB750D" w:rsidP="005A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5A4BC3" w:rsidRPr="00AB750D" w:rsidP="005A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AB750D">
              <w:rPr>
                <w:rFonts w:ascii="Times New Roman" w:eastAsia="Courier New" w:hAnsi="Times New Roman" w:cs="Times New Roman"/>
                <w:sz w:val="24"/>
                <w:szCs w:val="24"/>
                <w:lang w:val="en-US" w:eastAsia="en-US" w:bidi="ar-SA"/>
              </w:rPr>
              <w:t>Case No. 16-1853-EL-AAM</w:t>
            </w:r>
          </w:p>
          <w:p w:rsidR="005A4BC3" w:rsidRPr="00AB750D" w:rsidP="005A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5A4BC3" w:rsidRPr="00AB750D" w:rsidP="005A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tc>
      </w:tr>
    </w:tbl>
    <w:p w:rsidR="005A4BC3" w:rsidRPr="00AB750D" w:rsidP="005A4BC3">
      <w:pPr>
        <w:pStyle w:val="HTMLPreformatted"/>
        <w:rPr>
          <w:rFonts w:ascii="Times New Roman" w:hAnsi="Times New Roman" w:cs="Times New Roman"/>
          <w:sz w:val="24"/>
          <w:szCs w:val="24"/>
        </w:rPr>
      </w:pPr>
    </w:p>
    <w:p w:rsidR="005A4BC3" w:rsidRPr="00AB750D" w:rsidP="005A4BC3">
      <w:pPr>
        <w:pBdr>
          <w:top w:val="single" w:sz="12" w:space="1" w:color="auto"/>
        </w:pBdr>
        <w:tabs>
          <w:tab w:val="left" w:pos="-720"/>
        </w:tabs>
        <w:suppressAutoHyphens/>
        <w:jc w:val="center"/>
        <w:rPr>
          <w:rFonts w:ascii="Times New Roman" w:hAnsi="Times New Roman" w:cs="Times New Roman"/>
          <w:b/>
          <w:spacing w:val="-3"/>
          <w:sz w:val="24"/>
          <w:szCs w:val="24"/>
        </w:rPr>
      </w:pPr>
    </w:p>
    <w:p w:rsidR="005A4BC3" w:rsidRPr="00AB750D" w:rsidP="005A4BC3">
      <w:pPr>
        <w:spacing w:after="0" w:line="240" w:lineRule="auto"/>
        <w:jc w:val="center"/>
        <w:rPr>
          <w:rFonts w:ascii="Times New Roman" w:hAnsi="Times New Roman" w:cs="Times New Roman"/>
          <w:b/>
          <w:sz w:val="24"/>
          <w:szCs w:val="24"/>
        </w:rPr>
      </w:pPr>
      <w:r w:rsidRPr="00AB750D">
        <w:rPr>
          <w:rFonts w:ascii="Times New Roman" w:hAnsi="Times New Roman" w:cs="Times New Roman"/>
          <w:b/>
          <w:sz w:val="24"/>
          <w:szCs w:val="24"/>
        </w:rPr>
        <w:t>REPLY BRIEF</w:t>
      </w:r>
    </w:p>
    <w:p w:rsidR="005A4BC3" w:rsidRPr="00AB750D" w:rsidP="005A4BC3">
      <w:pPr>
        <w:spacing w:after="0" w:line="240" w:lineRule="auto"/>
        <w:jc w:val="center"/>
        <w:rPr>
          <w:rFonts w:ascii="Times New Roman" w:hAnsi="Times New Roman" w:cs="Times New Roman"/>
          <w:b/>
          <w:spacing w:val="-3"/>
          <w:sz w:val="24"/>
          <w:szCs w:val="24"/>
        </w:rPr>
      </w:pPr>
      <w:r w:rsidRPr="00AB750D">
        <w:rPr>
          <w:rFonts w:ascii="Times New Roman" w:hAnsi="Times New Roman" w:cs="Times New Roman"/>
          <w:b/>
          <w:spacing w:val="-3"/>
          <w:sz w:val="24"/>
          <w:szCs w:val="24"/>
        </w:rPr>
        <w:t>BY</w:t>
      </w:r>
    </w:p>
    <w:p w:rsidR="005A4BC3" w:rsidRPr="00AB750D" w:rsidP="005A4BC3">
      <w:pPr>
        <w:spacing w:after="0" w:line="240" w:lineRule="auto"/>
        <w:jc w:val="center"/>
        <w:rPr>
          <w:rFonts w:ascii="Times New Roman" w:hAnsi="Times New Roman" w:cs="Times New Roman"/>
          <w:b/>
          <w:spacing w:val="-3"/>
          <w:sz w:val="24"/>
          <w:szCs w:val="24"/>
        </w:rPr>
      </w:pPr>
      <w:r w:rsidRPr="00AB750D">
        <w:rPr>
          <w:rFonts w:ascii="Times New Roman" w:hAnsi="Times New Roman" w:cs="Times New Roman"/>
          <w:b/>
          <w:spacing w:val="-3"/>
          <w:sz w:val="24"/>
          <w:szCs w:val="24"/>
        </w:rPr>
        <w:t>THE OFFICE OF THE OHIO CONSUMERS’ COUNSEL</w:t>
      </w:r>
      <w:r w:rsidRPr="00AB750D">
        <w:rPr>
          <w:rFonts w:ascii="Times New Roman" w:hAnsi="Times New Roman" w:cs="Times New Roman"/>
          <w:b/>
          <w:spacing w:val="-3"/>
          <w:sz w:val="24"/>
          <w:szCs w:val="24"/>
        </w:rPr>
        <w:softHyphen/>
      </w:r>
      <w:r w:rsidRPr="00AB750D">
        <w:rPr>
          <w:rFonts w:ascii="Times New Roman" w:hAnsi="Times New Roman" w:cs="Times New Roman"/>
          <w:b/>
          <w:spacing w:val="-3"/>
          <w:sz w:val="24"/>
          <w:szCs w:val="24"/>
        </w:rPr>
        <w:softHyphen/>
      </w:r>
      <w:r w:rsidRPr="00AB750D">
        <w:rPr>
          <w:rFonts w:ascii="Times New Roman" w:hAnsi="Times New Roman" w:cs="Times New Roman"/>
          <w:b/>
          <w:spacing w:val="-3"/>
          <w:sz w:val="24"/>
          <w:szCs w:val="24"/>
        </w:rPr>
        <w:softHyphen/>
      </w:r>
      <w:r w:rsidRPr="00AB750D">
        <w:rPr>
          <w:rFonts w:ascii="Times New Roman" w:hAnsi="Times New Roman" w:cs="Times New Roman"/>
          <w:b/>
          <w:spacing w:val="-3"/>
          <w:sz w:val="24"/>
          <w:szCs w:val="24"/>
        </w:rPr>
        <w:softHyphen/>
      </w:r>
    </w:p>
    <w:p w:rsidR="005A4BC3" w:rsidRPr="00AB750D" w:rsidP="005A4BC3">
      <w:pPr>
        <w:pBdr>
          <w:bottom w:val="single" w:sz="12" w:space="1" w:color="auto"/>
        </w:pBdr>
        <w:tabs>
          <w:tab w:val="left" w:pos="-720"/>
        </w:tabs>
        <w:suppressAutoHyphens/>
        <w:jc w:val="center"/>
        <w:rPr>
          <w:rFonts w:ascii="Times New Roman" w:hAnsi="Times New Roman" w:cs="Times New Roman"/>
          <w:b/>
          <w:spacing w:val="-3"/>
          <w:sz w:val="24"/>
          <w:szCs w:val="24"/>
        </w:rPr>
      </w:pPr>
    </w:p>
    <w:p w:rsidR="005A4BC3" w:rsidRPr="00AB750D" w:rsidP="005A4BC3">
      <w:pPr>
        <w:tabs>
          <w:tab w:val="left" w:pos="4320"/>
        </w:tabs>
        <w:spacing w:after="0" w:line="240" w:lineRule="auto"/>
        <w:rPr>
          <w:rFonts w:ascii="Times New Roman" w:hAnsi="Times New Roman" w:cs="Times New Roman"/>
          <w:sz w:val="24"/>
          <w:szCs w:val="24"/>
        </w:rPr>
      </w:pPr>
    </w:p>
    <w:p w:rsidR="005A4BC3" w:rsidRPr="00AB750D" w:rsidP="005A4BC3">
      <w:pPr>
        <w:tabs>
          <w:tab w:val="left" w:pos="4320"/>
        </w:tabs>
        <w:spacing w:after="0" w:line="240" w:lineRule="auto"/>
        <w:rPr>
          <w:rFonts w:ascii="Times New Roman" w:hAnsi="Times New Roman" w:cs="Times New Roman"/>
          <w:sz w:val="24"/>
          <w:szCs w:val="24"/>
        </w:rPr>
      </w:pPr>
      <w:r w:rsidRPr="00AB750D">
        <w:rPr>
          <w:rFonts w:ascii="Times New Roman" w:hAnsi="Times New Roman" w:cs="Times New Roman"/>
          <w:sz w:val="24"/>
          <w:szCs w:val="24"/>
        </w:rPr>
        <w:tab/>
      </w:r>
    </w:p>
    <w:p w:rsidR="005A4BC3" w:rsidRPr="00AB750D" w:rsidP="005A4BC3">
      <w:pPr>
        <w:tabs>
          <w:tab w:val="left" w:pos="4320"/>
        </w:tabs>
        <w:spacing w:after="0" w:line="240" w:lineRule="auto"/>
        <w:rPr>
          <w:rFonts w:ascii="Times New Roman" w:hAnsi="Times New Roman" w:cs="Times New Roman"/>
          <w:sz w:val="24"/>
          <w:szCs w:val="24"/>
        </w:rPr>
      </w:pPr>
    </w:p>
    <w:p w:rsidR="005A4BC3" w:rsidRPr="00AB750D" w:rsidP="005A4BC3">
      <w:pPr>
        <w:tabs>
          <w:tab w:val="left" w:pos="4320"/>
        </w:tabs>
        <w:spacing w:after="0" w:line="240" w:lineRule="auto"/>
        <w:rPr>
          <w:rFonts w:ascii="Times New Roman" w:hAnsi="Times New Roman" w:cs="Times New Roman"/>
          <w:sz w:val="24"/>
          <w:szCs w:val="24"/>
        </w:rPr>
      </w:pPr>
    </w:p>
    <w:p w:rsidR="005A4BC3" w:rsidRPr="00AB750D" w:rsidP="005A4BC3">
      <w:pPr>
        <w:tabs>
          <w:tab w:val="left" w:pos="4320"/>
        </w:tabs>
        <w:spacing w:after="0" w:line="240" w:lineRule="auto"/>
        <w:rPr>
          <w:rFonts w:ascii="Times New Roman" w:hAnsi="Times New Roman" w:cs="Times New Roman"/>
          <w:sz w:val="24"/>
          <w:szCs w:val="24"/>
        </w:rPr>
      </w:pPr>
    </w:p>
    <w:p w:rsidR="005A4BC3" w:rsidRPr="00AB750D" w:rsidP="005A4BC3">
      <w:pPr>
        <w:tabs>
          <w:tab w:val="left" w:pos="4320"/>
        </w:tabs>
        <w:spacing w:after="0" w:line="240" w:lineRule="auto"/>
        <w:rPr>
          <w:rFonts w:ascii="Times New Roman" w:hAnsi="Times New Roman" w:cs="Times New Roman"/>
          <w:sz w:val="24"/>
          <w:szCs w:val="24"/>
        </w:rPr>
      </w:pPr>
    </w:p>
    <w:p w:rsidR="005A4BC3" w:rsidRPr="00AB750D" w:rsidP="005A4BC3">
      <w:pPr>
        <w:tabs>
          <w:tab w:val="left" w:pos="4320"/>
        </w:tabs>
        <w:spacing w:after="0" w:line="240" w:lineRule="auto"/>
        <w:rPr>
          <w:rFonts w:ascii="Times New Roman" w:hAnsi="Times New Roman" w:cs="Times New Roman"/>
          <w:sz w:val="24"/>
          <w:szCs w:val="24"/>
        </w:rPr>
      </w:pPr>
    </w:p>
    <w:p w:rsidR="005A4BC3" w:rsidRPr="00AB750D" w:rsidP="005A4BC3">
      <w:pPr>
        <w:spacing w:after="0" w:line="240" w:lineRule="auto"/>
        <w:ind w:left="4320"/>
        <w:rPr>
          <w:rFonts w:ascii="Times New Roman" w:hAnsi="Times New Roman" w:cs="Times New Roman"/>
          <w:sz w:val="24"/>
          <w:szCs w:val="24"/>
        </w:rPr>
      </w:pPr>
    </w:p>
    <w:p w:rsidR="005A4BC3" w:rsidRPr="00AB750D" w:rsidP="005A4BC3">
      <w:pPr>
        <w:spacing w:after="0" w:line="240" w:lineRule="auto"/>
        <w:ind w:left="4320"/>
        <w:rPr>
          <w:rFonts w:ascii="Times New Roman" w:hAnsi="Times New Roman" w:cs="Times New Roman"/>
          <w:sz w:val="24"/>
          <w:szCs w:val="24"/>
        </w:rPr>
      </w:pPr>
    </w:p>
    <w:p w:rsidR="005A4BC3" w:rsidRPr="00AB750D" w:rsidP="005A4BC3">
      <w:pPr>
        <w:spacing w:after="0" w:line="240" w:lineRule="auto"/>
        <w:ind w:left="4320"/>
        <w:rPr>
          <w:rFonts w:ascii="Times New Roman" w:hAnsi="Times New Roman" w:cs="Times New Roman"/>
          <w:sz w:val="24"/>
          <w:szCs w:val="24"/>
        </w:rPr>
      </w:pPr>
      <w:r w:rsidRPr="00AB750D">
        <w:rPr>
          <w:rFonts w:ascii="Times New Roman" w:hAnsi="Times New Roman" w:cs="Times New Roman"/>
          <w:sz w:val="24"/>
          <w:szCs w:val="24"/>
        </w:rPr>
        <w:t>BRUCE WESTON (0016973)</w:t>
      </w:r>
    </w:p>
    <w:p w:rsidR="005A4BC3" w:rsidRPr="00AB750D" w:rsidP="005A4BC3">
      <w:pPr>
        <w:spacing w:after="0" w:line="240" w:lineRule="auto"/>
        <w:ind w:left="4320"/>
        <w:rPr>
          <w:rFonts w:ascii="Times New Roman" w:hAnsi="Times New Roman" w:cs="Times New Roman"/>
          <w:sz w:val="24"/>
          <w:szCs w:val="24"/>
        </w:rPr>
      </w:pPr>
      <w:r w:rsidRPr="00AB750D">
        <w:rPr>
          <w:rFonts w:ascii="Times New Roman" w:hAnsi="Times New Roman" w:cs="Times New Roman"/>
          <w:sz w:val="24"/>
          <w:szCs w:val="24"/>
        </w:rPr>
        <w:t>OHIO CONSUMERS’ COUNSEL</w:t>
      </w:r>
    </w:p>
    <w:p w:rsidR="005A4BC3" w:rsidRPr="00AB750D" w:rsidP="005A4BC3">
      <w:pPr>
        <w:spacing w:after="0" w:line="240" w:lineRule="auto"/>
        <w:ind w:left="4320"/>
        <w:rPr>
          <w:rFonts w:ascii="Times New Roman" w:hAnsi="Times New Roman" w:cs="Times New Roman"/>
          <w:sz w:val="24"/>
          <w:szCs w:val="24"/>
        </w:rPr>
      </w:pPr>
      <w:r w:rsidRPr="00AB750D">
        <w:rPr>
          <w:rFonts w:ascii="Times New Roman" w:hAnsi="Times New Roman" w:cs="Times New Roman"/>
          <w:sz w:val="24"/>
          <w:szCs w:val="24"/>
        </w:rPr>
        <w:tab/>
      </w:r>
    </w:p>
    <w:p w:rsidR="005A4BC3" w:rsidRPr="00AB750D" w:rsidP="005A4BC3">
      <w:pPr>
        <w:spacing w:after="0" w:line="240" w:lineRule="auto"/>
        <w:ind w:left="4320"/>
        <w:rPr>
          <w:rFonts w:ascii="Times New Roman" w:hAnsi="Times New Roman" w:cs="Times New Roman"/>
          <w:sz w:val="24"/>
          <w:szCs w:val="24"/>
        </w:rPr>
      </w:pPr>
      <w:r w:rsidRPr="00AB750D">
        <w:rPr>
          <w:rFonts w:ascii="Times New Roman" w:hAnsi="Times New Roman" w:cs="Times New Roman"/>
          <w:sz w:val="24"/>
          <w:szCs w:val="24"/>
        </w:rPr>
        <w:t>William J. Michael (0070921)</w:t>
      </w:r>
    </w:p>
    <w:p w:rsidR="005A4BC3" w:rsidRPr="00AB750D" w:rsidP="005A4BC3">
      <w:pPr>
        <w:spacing w:after="0" w:line="240" w:lineRule="auto"/>
        <w:ind w:left="4320"/>
        <w:rPr>
          <w:rFonts w:ascii="Times New Roman" w:hAnsi="Times New Roman" w:cs="Times New Roman"/>
          <w:sz w:val="24"/>
          <w:szCs w:val="24"/>
        </w:rPr>
      </w:pPr>
      <w:r w:rsidRPr="00AB750D">
        <w:rPr>
          <w:rFonts w:ascii="Times New Roman" w:hAnsi="Times New Roman" w:cs="Times New Roman"/>
          <w:sz w:val="24"/>
          <w:szCs w:val="24"/>
        </w:rPr>
        <w:t>Counsel of Record</w:t>
      </w:r>
    </w:p>
    <w:p w:rsidR="005A4BC3" w:rsidRPr="00AB750D" w:rsidP="005A4BC3">
      <w:pPr>
        <w:spacing w:after="0" w:line="240" w:lineRule="auto"/>
        <w:ind w:left="4320"/>
        <w:rPr>
          <w:rFonts w:ascii="Times New Roman" w:hAnsi="Times New Roman" w:cs="Times New Roman"/>
          <w:sz w:val="24"/>
          <w:szCs w:val="24"/>
        </w:rPr>
      </w:pPr>
      <w:r w:rsidRPr="00AB750D">
        <w:rPr>
          <w:rFonts w:ascii="Times New Roman" w:hAnsi="Times New Roman" w:cs="Times New Roman"/>
          <w:sz w:val="24"/>
          <w:szCs w:val="24"/>
        </w:rPr>
        <w:t>Kevin F. Moore (0089228)</w:t>
      </w:r>
    </w:p>
    <w:p w:rsidR="005A4BC3" w:rsidRPr="00AB750D" w:rsidP="005A4BC3">
      <w:pPr>
        <w:spacing w:after="0" w:line="240" w:lineRule="auto"/>
        <w:ind w:left="4320"/>
        <w:rPr>
          <w:rFonts w:ascii="Times New Roman" w:hAnsi="Times New Roman" w:cs="Times New Roman"/>
          <w:sz w:val="24"/>
          <w:szCs w:val="24"/>
        </w:rPr>
      </w:pPr>
      <w:r w:rsidRPr="00AB750D">
        <w:rPr>
          <w:rFonts w:ascii="Times New Roman" w:hAnsi="Times New Roman" w:cs="Times New Roman"/>
          <w:sz w:val="24"/>
          <w:szCs w:val="24"/>
        </w:rPr>
        <w:t>Assistant Consumers’ Counsel</w:t>
      </w:r>
    </w:p>
    <w:p w:rsidR="005A4BC3" w:rsidRPr="00AB750D" w:rsidP="005A4BC3">
      <w:pPr>
        <w:spacing w:after="0" w:line="240" w:lineRule="auto"/>
        <w:ind w:left="4320"/>
        <w:rPr>
          <w:rFonts w:ascii="Times New Roman" w:hAnsi="Times New Roman" w:cs="Times New Roman"/>
          <w:sz w:val="24"/>
          <w:szCs w:val="24"/>
        </w:rPr>
      </w:pPr>
    </w:p>
    <w:p w:rsidR="005A4BC3" w:rsidRPr="00AB750D" w:rsidP="005A4BC3">
      <w:pPr>
        <w:spacing w:after="0" w:line="240" w:lineRule="auto"/>
        <w:ind w:left="4320"/>
        <w:rPr>
          <w:rFonts w:ascii="Times New Roman" w:hAnsi="Times New Roman" w:cs="Times New Roman"/>
          <w:b/>
          <w:sz w:val="24"/>
          <w:szCs w:val="24"/>
        </w:rPr>
      </w:pPr>
      <w:r w:rsidRPr="00AB750D">
        <w:rPr>
          <w:rFonts w:ascii="Times New Roman" w:hAnsi="Times New Roman" w:cs="Times New Roman"/>
          <w:b/>
          <w:sz w:val="24"/>
          <w:szCs w:val="24"/>
        </w:rPr>
        <w:t>Office of the Ohio Consumers’ Counsel</w:t>
      </w:r>
    </w:p>
    <w:p w:rsidR="005A4BC3" w:rsidRPr="00AB750D" w:rsidP="005A4BC3">
      <w:pPr>
        <w:spacing w:after="0" w:line="240" w:lineRule="auto"/>
        <w:ind w:left="4320"/>
        <w:rPr>
          <w:rFonts w:ascii="Times New Roman" w:hAnsi="Times New Roman" w:cs="Times New Roman"/>
          <w:sz w:val="24"/>
          <w:szCs w:val="24"/>
        </w:rPr>
      </w:pPr>
      <w:r>
        <w:rPr>
          <w:rFonts w:ascii="Times New Roman" w:hAnsi="Times New Roman" w:cs="Times New Roman"/>
          <w:sz w:val="24"/>
          <w:szCs w:val="24"/>
        </w:rPr>
        <w:t>65 East State Street, 7</w:t>
      </w:r>
      <w:r w:rsidRPr="00A8537A">
        <w:rPr>
          <w:rFonts w:ascii="Times New Roman" w:hAnsi="Times New Roman" w:cs="Times New Roman"/>
          <w:sz w:val="24"/>
          <w:szCs w:val="24"/>
          <w:vertAlign w:val="superscript"/>
        </w:rPr>
        <w:t>th</w:t>
      </w:r>
      <w:r>
        <w:rPr>
          <w:rFonts w:ascii="Times New Roman" w:hAnsi="Times New Roman" w:cs="Times New Roman"/>
          <w:sz w:val="24"/>
          <w:szCs w:val="24"/>
        </w:rPr>
        <w:t xml:space="preserve"> Floor</w:t>
      </w:r>
    </w:p>
    <w:p w:rsidR="005A4BC3" w:rsidRPr="00AB750D" w:rsidP="005A4BC3">
      <w:pPr>
        <w:spacing w:after="0" w:line="240" w:lineRule="auto"/>
        <w:ind w:left="4320"/>
        <w:rPr>
          <w:rFonts w:ascii="Times New Roman" w:hAnsi="Times New Roman" w:cs="Times New Roman"/>
          <w:sz w:val="24"/>
          <w:szCs w:val="24"/>
        </w:rPr>
      </w:pPr>
      <w:r w:rsidRPr="00AB750D">
        <w:rPr>
          <w:rFonts w:ascii="Times New Roman" w:hAnsi="Times New Roman" w:cs="Times New Roman"/>
          <w:sz w:val="24"/>
          <w:szCs w:val="24"/>
        </w:rPr>
        <w:t>Columbus, Ohio 43215</w:t>
      </w:r>
    </w:p>
    <w:p w:rsidR="005A4BC3" w:rsidRPr="00AB750D" w:rsidP="005A4BC3">
      <w:pPr>
        <w:spacing w:after="0" w:line="240" w:lineRule="auto"/>
        <w:ind w:left="4320"/>
        <w:rPr>
          <w:rFonts w:ascii="Times New Roman" w:hAnsi="Times New Roman" w:cs="Times New Roman"/>
          <w:sz w:val="24"/>
          <w:szCs w:val="24"/>
        </w:rPr>
      </w:pPr>
      <w:r w:rsidRPr="00AB750D">
        <w:rPr>
          <w:rFonts w:ascii="Times New Roman" w:hAnsi="Times New Roman" w:cs="Times New Roman"/>
          <w:sz w:val="24"/>
          <w:szCs w:val="24"/>
        </w:rPr>
        <w:t>Telephone: 614-466-1291 (Michael Direct)</w:t>
      </w:r>
    </w:p>
    <w:p w:rsidR="005A4BC3" w:rsidRPr="00AB750D" w:rsidP="005A4BC3">
      <w:pPr>
        <w:spacing w:after="0" w:line="240" w:lineRule="auto"/>
        <w:ind w:left="4320"/>
        <w:rPr>
          <w:rFonts w:ascii="Times New Roman" w:hAnsi="Times New Roman" w:cs="Times New Roman"/>
          <w:sz w:val="24"/>
          <w:szCs w:val="24"/>
        </w:rPr>
      </w:pPr>
      <w:r w:rsidRPr="00AB750D">
        <w:rPr>
          <w:rFonts w:ascii="Times New Roman" w:hAnsi="Times New Roman" w:cs="Times New Roman"/>
          <w:sz w:val="24"/>
          <w:szCs w:val="24"/>
        </w:rPr>
        <w:t>Telephone: 614-387-2965 (Moore Direct)</w:t>
      </w:r>
    </w:p>
    <w:p w:rsidR="005A4BC3" w:rsidRPr="00AB750D" w:rsidP="005A4BC3">
      <w:pPr>
        <w:spacing w:after="0" w:line="240" w:lineRule="auto"/>
        <w:ind w:left="4320"/>
        <w:rPr>
          <w:rFonts w:ascii="Times New Roman" w:hAnsi="Times New Roman" w:cs="Times New Roman"/>
          <w:sz w:val="24"/>
          <w:szCs w:val="24"/>
        </w:rPr>
      </w:pPr>
      <w:r>
        <w:fldChar w:fldCharType="begin"/>
      </w:r>
      <w:r>
        <w:instrText xml:space="preserve"> HYPERLINK "mailto:William.michael@occ.ohio.gov" </w:instrText>
      </w:r>
      <w:r>
        <w:fldChar w:fldCharType="separate"/>
      </w:r>
      <w:r w:rsidRPr="00AB750D" w:rsidR="00E17404">
        <w:rPr>
          <w:rStyle w:val="Hyperlink"/>
          <w:rFonts w:ascii="Times New Roman" w:hAnsi="Times New Roman"/>
          <w:sz w:val="24"/>
          <w:szCs w:val="24"/>
        </w:rPr>
        <w:t>William.michael@occ.ohio.gov</w:t>
      </w:r>
      <w:r>
        <w:fldChar w:fldCharType="end"/>
      </w:r>
    </w:p>
    <w:p w:rsidR="005A4BC3" w:rsidRPr="00AB750D" w:rsidP="005A4BC3">
      <w:pPr>
        <w:spacing w:after="0" w:line="240" w:lineRule="auto"/>
        <w:ind w:left="4320"/>
        <w:rPr>
          <w:rFonts w:ascii="Times New Roman" w:hAnsi="Times New Roman" w:cs="Times New Roman"/>
          <w:sz w:val="24"/>
          <w:szCs w:val="24"/>
        </w:rPr>
      </w:pPr>
      <w:r>
        <w:fldChar w:fldCharType="begin"/>
      </w:r>
      <w:r>
        <w:instrText xml:space="preserve"> HYPERLINK "mailto:Kevin.moore@occ.ohio.gov" </w:instrText>
      </w:r>
      <w:r>
        <w:fldChar w:fldCharType="separate"/>
      </w:r>
      <w:r w:rsidRPr="00AB750D" w:rsidR="00E17404">
        <w:rPr>
          <w:rStyle w:val="Hyperlink"/>
          <w:rFonts w:ascii="Times New Roman" w:hAnsi="Times New Roman"/>
          <w:sz w:val="24"/>
          <w:szCs w:val="24"/>
        </w:rPr>
        <w:t>Kevin.moore@occ.ohio.gov</w:t>
      </w:r>
      <w:r>
        <w:fldChar w:fldCharType="end"/>
      </w:r>
    </w:p>
    <w:p w:rsidR="00774675">
      <w:pPr>
        <w:rPr>
          <w:rFonts w:ascii="Times New Roman" w:hAnsi="Times New Roman" w:cs="Times New Roman"/>
          <w:sz w:val="24"/>
          <w:szCs w:val="24"/>
        </w:rPr>
        <w:sectPr w:rsidSect="005A4BC3">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fmt="lowerRoman" w:start="1"/>
          <w:cols w:space="720"/>
          <w:docGrid w:linePitch="360"/>
        </w:sectPr>
      </w:pPr>
      <w:r w:rsidRPr="00AB750D">
        <w:rPr>
          <w:rFonts w:ascii="Times New Roman" w:hAnsi="Times New Roman" w:cs="Times New Roman"/>
          <w:sz w:val="24"/>
          <w:szCs w:val="24"/>
        </w:rPr>
        <w:br w:type="page"/>
      </w:r>
    </w:p>
    <w:p w:rsidR="005A4BC3" w:rsidRPr="00AB750D" w:rsidP="005A4BC3">
      <w:pPr>
        <w:spacing w:after="0" w:line="240" w:lineRule="auto"/>
        <w:jc w:val="center"/>
        <w:rPr>
          <w:rFonts w:ascii="Times New Roman" w:hAnsi="Times New Roman" w:cs="Times New Roman"/>
          <w:b/>
          <w:sz w:val="24"/>
          <w:szCs w:val="24"/>
          <w:u w:val="single"/>
        </w:rPr>
      </w:pPr>
      <w:r w:rsidRPr="00AB750D">
        <w:rPr>
          <w:rFonts w:ascii="Times New Roman" w:hAnsi="Times New Roman" w:cs="Times New Roman"/>
          <w:b/>
          <w:sz w:val="24"/>
          <w:szCs w:val="24"/>
          <w:u w:val="single"/>
        </w:rPr>
        <w:t>TABLE OF CONTENTS</w:t>
      </w:r>
    </w:p>
    <w:p w:rsidR="005A4BC3" w:rsidRPr="00AB750D" w:rsidP="005A4BC3">
      <w:pPr>
        <w:spacing w:after="0" w:line="240" w:lineRule="auto"/>
        <w:ind w:left="4320"/>
        <w:rPr>
          <w:rFonts w:ascii="Times New Roman" w:hAnsi="Times New Roman" w:cs="Times New Roman"/>
          <w:sz w:val="24"/>
          <w:szCs w:val="24"/>
        </w:rPr>
      </w:pPr>
    </w:p>
    <w:p w:rsidR="004130FA" w:rsidRPr="00AB750D" w:rsidP="005A4BC3">
      <w:pPr>
        <w:spacing w:line="480" w:lineRule="auto"/>
        <w:ind w:left="2160" w:hanging="2160"/>
        <w:rPr>
          <w:rFonts w:ascii="Times New Roman" w:hAnsi="Times New Roman" w:cs="Times New Roman"/>
          <w:b/>
          <w:sz w:val="24"/>
          <w:szCs w:val="24"/>
        </w:rPr>
      </w:pPr>
      <w:r w:rsidRPr="00AB750D">
        <w:rPr>
          <w:rFonts w:ascii="Times New Roman" w:hAnsi="Times New Roman" w:cs="Times New Roman"/>
          <w:sz w:val="24"/>
          <w:szCs w:val="24"/>
        </w:rPr>
        <w:t xml:space="preserve"> </w:t>
      </w:r>
      <w:r w:rsidRPr="00AB750D">
        <w:rPr>
          <w:rFonts w:ascii="Times New Roman" w:hAnsi="Times New Roman" w:cs="Times New Roman"/>
          <w:sz w:val="24"/>
          <w:szCs w:val="24"/>
        </w:rPr>
        <w:tab/>
      </w:r>
      <w:r w:rsidRPr="00AB750D">
        <w:rPr>
          <w:rFonts w:ascii="Times New Roman" w:hAnsi="Times New Roman" w:cs="Times New Roman"/>
          <w:sz w:val="24"/>
          <w:szCs w:val="24"/>
        </w:rPr>
        <w:tab/>
      </w:r>
      <w:r w:rsidRPr="00AB750D">
        <w:rPr>
          <w:rFonts w:ascii="Times New Roman" w:hAnsi="Times New Roman" w:cs="Times New Roman"/>
          <w:sz w:val="24"/>
          <w:szCs w:val="24"/>
        </w:rPr>
        <w:tab/>
      </w:r>
      <w:r w:rsidRPr="00AB750D">
        <w:rPr>
          <w:rFonts w:ascii="Times New Roman" w:hAnsi="Times New Roman" w:cs="Times New Roman"/>
          <w:sz w:val="24"/>
          <w:szCs w:val="24"/>
        </w:rPr>
        <w:tab/>
      </w:r>
      <w:r w:rsidRPr="00AB750D">
        <w:rPr>
          <w:rFonts w:ascii="Times New Roman" w:hAnsi="Times New Roman" w:cs="Times New Roman"/>
          <w:sz w:val="24"/>
          <w:szCs w:val="24"/>
        </w:rPr>
        <w:tab/>
      </w:r>
      <w:r w:rsidRPr="00AB750D">
        <w:rPr>
          <w:rFonts w:ascii="Times New Roman" w:hAnsi="Times New Roman" w:cs="Times New Roman"/>
          <w:sz w:val="24"/>
          <w:szCs w:val="24"/>
        </w:rPr>
        <w:tab/>
      </w:r>
      <w:r w:rsidRPr="00AB750D">
        <w:rPr>
          <w:rFonts w:ascii="Times New Roman" w:hAnsi="Times New Roman" w:cs="Times New Roman"/>
          <w:sz w:val="24"/>
          <w:szCs w:val="24"/>
        </w:rPr>
        <w:tab/>
      </w:r>
      <w:r w:rsidRPr="00AB750D">
        <w:rPr>
          <w:rFonts w:ascii="Times New Roman" w:hAnsi="Times New Roman" w:cs="Times New Roman"/>
          <w:sz w:val="24"/>
          <w:szCs w:val="24"/>
        </w:rPr>
        <w:tab/>
      </w:r>
      <w:r w:rsidRPr="00AB750D">
        <w:rPr>
          <w:rFonts w:ascii="Times New Roman" w:hAnsi="Times New Roman" w:cs="Times New Roman"/>
          <w:sz w:val="24"/>
          <w:szCs w:val="24"/>
        </w:rPr>
        <w:tab/>
      </w:r>
      <w:r w:rsidRPr="00AB750D">
        <w:rPr>
          <w:rFonts w:ascii="Times New Roman" w:hAnsi="Times New Roman" w:cs="Times New Roman"/>
          <w:b/>
          <w:sz w:val="24"/>
          <w:szCs w:val="24"/>
        </w:rPr>
        <w:t>PAGE</w:t>
      </w:r>
    </w:p>
    <w:p w:rsidR="0083655B">
      <w:pPr>
        <w:pStyle w:val="TOC1"/>
        <w:rPr>
          <w:rFonts w:asciiTheme="minorHAnsi" w:eastAsiaTheme="minorEastAsia" w:hAnsiTheme="minorHAnsi" w:cstheme="minorBidi"/>
          <w:caps w:val="0"/>
          <w:noProof/>
          <w:sz w:val="22"/>
          <w:szCs w:val="22"/>
          <w:bdr w:val="none" w:sz="0" w:space="0" w:color="auto"/>
        </w:rPr>
      </w:pPr>
      <w:r>
        <w:rPr>
          <w:caps w:val="0"/>
        </w:rPr>
        <w:fldChar w:fldCharType="begin"/>
      </w:r>
      <w:r>
        <w:rPr>
          <w:caps w:val="0"/>
        </w:rPr>
        <w:instrText xml:space="preserve"> TOC \o "1-5" \h \z \u </w:instrText>
      </w:r>
      <w:r>
        <w:rPr>
          <w:caps w:val="0"/>
        </w:rPr>
        <w:fldChar w:fldCharType="separate"/>
      </w:r>
      <w:r>
        <w:fldChar w:fldCharType="begin"/>
      </w:r>
      <w:r>
        <w:instrText xml:space="preserve"> HYPERLINK \l "_Toc501633028" </w:instrText>
      </w:r>
      <w:r>
        <w:fldChar w:fldCharType="separate"/>
      </w:r>
      <w:r w:rsidRPr="008B4312">
        <w:rPr>
          <w:rStyle w:val="Hyperlink"/>
          <w:noProof/>
        </w:rPr>
        <w:t>I.</w:t>
      </w:r>
      <w:r>
        <w:rPr>
          <w:rFonts w:asciiTheme="minorHAnsi" w:eastAsiaTheme="minorEastAsia" w:hAnsiTheme="minorHAnsi" w:cstheme="minorBidi"/>
          <w:caps w:val="0"/>
          <w:noProof/>
          <w:sz w:val="22"/>
          <w:szCs w:val="22"/>
          <w:bdr w:val="none" w:sz="0" w:space="0" w:color="auto"/>
        </w:rPr>
        <w:tab/>
      </w:r>
      <w:r w:rsidRPr="008B4312">
        <w:rPr>
          <w:rStyle w:val="Hyperlink"/>
          <w:noProof/>
        </w:rPr>
        <w:t>INTRODUCTION</w:t>
      </w:r>
      <w:r>
        <w:rPr>
          <w:noProof/>
          <w:webHidden/>
        </w:rPr>
        <w:tab/>
      </w:r>
      <w:r>
        <w:rPr>
          <w:noProof/>
          <w:webHidden/>
        </w:rPr>
        <w:fldChar w:fldCharType="begin"/>
      </w:r>
      <w:r>
        <w:rPr>
          <w:noProof/>
          <w:webHidden/>
        </w:rPr>
        <w:instrText xml:space="preserve"> PAGEREF _Toc501633028 \h </w:instrText>
      </w:r>
      <w:r>
        <w:rPr>
          <w:noProof/>
          <w:webHidden/>
        </w:rPr>
        <w:fldChar w:fldCharType="separate"/>
      </w:r>
      <w:r>
        <w:rPr>
          <w:noProof/>
          <w:webHidden/>
        </w:rPr>
        <w:t>1</w:t>
      </w:r>
      <w:r>
        <w:rPr>
          <w:noProof/>
          <w:webHidden/>
        </w:rPr>
        <w:fldChar w:fldCharType="end"/>
      </w:r>
      <w:r>
        <w:fldChar w:fldCharType="end"/>
      </w:r>
    </w:p>
    <w:p w:rsidR="0083655B">
      <w:pPr>
        <w:pStyle w:val="TOC1"/>
        <w:rPr>
          <w:rFonts w:asciiTheme="minorHAnsi" w:eastAsiaTheme="minorEastAsia" w:hAnsiTheme="minorHAnsi" w:cstheme="minorBidi"/>
          <w:caps w:val="0"/>
          <w:noProof/>
          <w:sz w:val="22"/>
          <w:szCs w:val="22"/>
          <w:bdr w:val="none" w:sz="0" w:space="0" w:color="auto"/>
        </w:rPr>
      </w:pPr>
      <w:r>
        <w:fldChar w:fldCharType="begin"/>
      </w:r>
      <w:r>
        <w:instrText xml:space="preserve"> HYPERLINK \l "_Toc501633029" </w:instrText>
      </w:r>
      <w:r>
        <w:fldChar w:fldCharType="separate"/>
      </w:r>
      <w:r w:rsidRPr="008B4312" w:rsidR="00E17404">
        <w:rPr>
          <w:rStyle w:val="Hyperlink"/>
          <w:noProof/>
        </w:rPr>
        <w:t>II.</w:t>
      </w:r>
      <w:r w:rsidR="00E17404">
        <w:rPr>
          <w:rFonts w:asciiTheme="minorHAnsi" w:eastAsiaTheme="minorEastAsia" w:hAnsiTheme="minorHAnsi" w:cstheme="minorBidi"/>
          <w:caps w:val="0"/>
          <w:noProof/>
          <w:sz w:val="22"/>
          <w:szCs w:val="22"/>
          <w:bdr w:val="none" w:sz="0" w:space="0" w:color="auto"/>
        </w:rPr>
        <w:tab/>
      </w:r>
      <w:r w:rsidRPr="008B4312" w:rsidR="00E17404">
        <w:rPr>
          <w:rStyle w:val="Hyperlink"/>
          <w:noProof/>
        </w:rPr>
        <w:t>RECOMMENDATIONS</w:t>
      </w:r>
      <w:r w:rsidR="00E17404">
        <w:rPr>
          <w:noProof/>
          <w:webHidden/>
        </w:rPr>
        <w:tab/>
      </w:r>
      <w:r w:rsidR="00E17404">
        <w:rPr>
          <w:noProof/>
          <w:webHidden/>
        </w:rPr>
        <w:fldChar w:fldCharType="begin"/>
      </w:r>
      <w:r w:rsidR="00E17404">
        <w:rPr>
          <w:noProof/>
          <w:webHidden/>
        </w:rPr>
        <w:instrText xml:space="preserve"> PAGEREF _Toc501633029 \h </w:instrText>
      </w:r>
      <w:r w:rsidR="00E17404">
        <w:rPr>
          <w:noProof/>
          <w:webHidden/>
        </w:rPr>
        <w:fldChar w:fldCharType="separate"/>
      </w:r>
      <w:r w:rsidR="00E17404">
        <w:rPr>
          <w:noProof/>
          <w:webHidden/>
        </w:rPr>
        <w:t>3</w:t>
      </w:r>
      <w:r w:rsidR="00E17404">
        <w:rPr>
          <w:noProof/>
          <w:webHidden/>
        </w:rPr>
        <w:fldChar w:fldCharType="end"/>
      </w:r>
      <w:r>
        <w:fldChar w:fldCharType="end"/>
      </w:r>
    </w:p>
    <w:p w:rsidR="0083655B">
      <w:pPr>
        <w:pStyle w:val="TOC2"/>
        <w:tabs>
          <w:tab w:val="left" w:pos="1440"/>
        </w:tabs>
        <w:rPr>
          <w:rFonts w:asciiTheme="minorHAnsi" w:eastAsiaTheme="minorEastAsia" w:hAnsiTheme="minorHAnsi"/>
          <w:noProof/>
          <w:sz w:val="22"/>
        </w:rPr>
      </w:pPr>
      <w:r>
        <w:fldChar w:fldCharType="begin"/>
      </w:r>
      <w:r>
        <w:instrText xml:space="preserve"> HYPERLINK \l "_Toc501633030" </w:instrText>
      </w:r>
      <w:r>
        <w:fldChar w:fldCharType="separate"/>
      </w:r>
      <w:r w:rsidRPr="008B4312" w:rsidR="00E17404">
        <w:rPr>
          <w:rStyle w:val="Hyperlink"/>
          <w:noProof/>
        </w:rPr>
        <w:t>A.</w:t>
      </w:r>
      <w:r w:rsidR="00E17404">
        <w:rPr>
          <w:rFonts w:asciiTheme="minorHAnsi" w:eastAsiaTheme="minorEastAsia" w:hAnsiTheme="minorHAnsi"/>
          <w:noProof/>
          <w:sz w:val="22"/>
        </w:rPr>
        <w:tab/>
      </w:r>
      <w:r w:rsidRPr="008B4312" w:rsidR="00E17404">
        <w:rPr>
          <w:rStyle w:val="Hyperlink"/>
          <w:noProof/>
        </w:rPr>
        <w:t>The Settlement should be rejected because, as a package, it does not benefit customers and the public interest.</w:t>
      </w:r>
      <w:r w:rsidR="00E17404">
        <w:rPr>
          <w:noProof/>
          <w:webHidden/>
        </w:rPr>
        <w:tab/>
      </w:r>
      <w:r w:rsidR="00E17404">
        <w:rPr>
          <w:noProof/>
          <w:webHidden/>
        </w:rPr>
        <w:fldChar w:fldCharType="begin"/>
      </w:r>
      <w:r w:rsidR="00E17404">
        <w:rPr>
          <w:noProof/>
          <w:webHidden/>
        </w:rPr>
        <w:instrText xml:space="preserve"> PAGEREF _Toc501633030 \h </w:instrText>
      </w:r>
      <w:r w:rsidR="00E17404">
        <w:rPr>
          <w:noProof/>
          <w:webHidden/>
        </w:rPr>
        <w:fldChar w:fldCharType="separate"/>
      </w:r>
      <w:r w:rsidR="00E17404">
        <w:rPr>
          <w:noProof/>
          <w:webHidden/>
        </w:rPr>
        <w:t>3</w:t>
      </w:r>
      <w:r w:rsidR="00E17404">
        <w:rPr>
          <w:noProof/>
          <w:webHidden/>
        </w:rPr>
        <w:fldChar w:fldCharType="end"/>
      </w:r>
      <w:r>
        <w:fldChar w:fldCharType="end"/>
      </w:r>
    </w:p>
    <w:p w:rsidR="0083655B">
      <w:pPr>
        <w:pStyle w:val="TOC3"/>
        <w:tabs>
          <w:tab w:val="left" w:pos="2160"/>
        </w:tabs>
        <w:rPr>
          <w:rFonts w:asciiTheme="minorHAnsi" w:eastAsiaTheme="minorEastAsia" w:hAnsiTheme="minorHAnsi"/>
          <w:noProof/>
          <w:sz w:val="22"/>
        </w:rPr>
      </w:pPr>
      <w:r>
        <w:fldChar w:fldCharType="begin"/>
      </w:r>
      <w:r>
        <w:instrText xml:space="preserve"> HYPERLINK \l "_Toc501633031" </w:instrText>
      </w:r>
      <w:r>
        <w:fldChar w:fldCharType="separate"/>
      </w:r>
      <w:r w:rsidRPr="008B4312" w:rsidR="00E17404">
        <w:rPr>
          <w:rStyle w:val="Hyperlink"/>
          <w:noProof/>
        </w:rPr>
        <w:t>1.</w:t>
      </w:r>
      <w:r w:rsidR="00E17404">
        <w:rPr>
          <w:rFonts w:asciiTheme="minorHAnsi" w:eastAsiaTheme="minorEastAsia" w:hAnsiTheme="minorHAnsi"/>
          <w:noProof/>
          <w:sz w:val="22"/>
        </w:rPr>
        <w:tab/>
      </w:r>
      <w:r w:rsidRPr="008B4312" w:rsidR="00E17404">
        <w:rPr>
          <w:rStyle w:val="Hyperlink"/>
          <w:noProof/>
        </w:rPr>
        <w:t>There is no showing of any benefits to customers associated with the Renewable Generation Rider and PowerForward Riders, and the Riders’ cost to customers is unknown.</w:t>
      </w:r>
      <w:r w:rsidR="00E17404">
        <w:rPr>
          <w:noProof/>
          <w:webHidden/>
        </w:rPr>
        <w:tab/>
      </w:r>
      <w:r w:rsidR="00E17404">
        <w:rPr>
          <w:noProof/>
          <w:webHidden/>
        </w:rPr>
        <w:fldChar w:fldCharType="begin"/>
      </w:r>
      <w:r w:rsidR="00E17404">
        <w:rPr>
          <w:noProof/>
          <w:webHidden/>
        </w:rPr>
        <w:instrText xml:space="preserve"> PAGEREF _Toc501633031 \h </w:instrText>
      </w:r>
      <w:r w:rsidR="00E17404">
        <w:rPr>
          <w:noProof/>
          <w:webHidden/>
        </w:rPr>
        <w:fldChar w:fldCharType="separate"/>
      </w:r>
      <w:r w:rsidR="00E17404">
        <w:rPr>
          <w:noProof/>
          <w:webHidden/>
        </w:rPr>
        <w:t>4</w:t>
      </w:r>
      <w:r w:rsidR="00E17404">
        <w:rPr>
          <w:noProof/>
          <w:webHidden/>
        </w:rPr>
        <w:fldChar w:fldCharType="end"/>
      </w:r>
      <w:r>
        <w:fldChar w:fldCharType="end"/>
      </w:r>
    </w:p>
    <w:p w:rsidR="0083655B">
      <w:pPr>
        <w:pStyle w:val="TOC3"/>
        <w:tabs>
          <w:tab w:val="left" w:pos="2160"/>
        </w:tabs>
        <w:rPr>
          <w:rFonts w:asciiTheme="minorHAnsi" w:eastAsiaTheme="minorEastAsia" w:hAnsiTheme="minorHAnsi"/>
          <w:noProof/>
          <w:sz w:val="22"/>
        </w:rPr>
      </w:pPr>
      <w:r>
        <w:fldChar w:fldCharType="begin"/>
      </w:r>
      <w:r>
        <w:instrText xml:space="preserve"> HYPERLINK \l "_Toc501633032" </w:instrText>
      </w:r>
      <w:r>
        <w:fldChar w:fldCharType="separate"/>
      </w:r>
      <w:r w:rsidRPr="008B4312" w:rsidR="00E17404">
        <w:rPr>
          <w:rStyle w:val="Hyperlink"/>
          <w:noProof/>
        </w:rPr>
        <w:t>2.</w:t>
      </w:r>
      <w:r w:rsidR="00E17404">
        <w:rPr>
          <w:rFonts w:asciiTheme="minorHAnsi" w:eastAsiaTheme="minorEastAsia" w:hAnsiTheme="minorHAnsi"/>
          <w:noProof/>
          <w:sz w:val="22"/>
        </w:rPr>
        <w:tab/>
      </w:r>
      <w:r w:rsidRPr="008B4312" w:rsidR="00E17404">
        <w:rPr>
          <w:rStyle w:val="Hyperlink"/>
          <w:noProof/>
        </w:rPr>
        <w:t>The Smart City Rider does not benefit customers or the public interest.</w:t>
      </w:r>
      <w:r w:rsidR="00E17404">
        <w:rPr>
          <w:noProof/>
          <w:webHidden/>
        </w:rPr>
        <w:tab/>
      </w:r>
      <w:r w:rsidR="00E17404">
        <w:rPr>
          <w:noProof/>
          <w:webHidden/>
        </w:rPr>
        <w:fldChar w:fldCharType="begin"/>
      </w:r>
      <w:r w:rsidR="00E17404">
        <w:rPr>
          <w:noProof/>
          <w:webHidden/>
        </w:rPr>
        <w:instrText xml:space="preserve"> PAGEREF _Toc501633032 \h </w:instrText>
      </w:r>
      <w:r w:rsidR="00E17404">
        <w:rPr>
          <w:noProof/>
          <w:webHidden/>
        </w:rPr>
        <w:fldChar w:fldCharType="separate"/>
      </w:r>
      <w:r w:rsidR="00E17404">
        <w:rPr>
          <w:noProof/>
          <w:webHidden/>
        </w:rPr>
        <w:t>5</w:t>
      </w:r>
      <w:r w:rsidR="00E17404">
        <w:rPr>
          <w:noProof/>
          <w:webHidden/>
        </w:rPr>
        <w:fldChar w:fldCharType="end"/>
      </w:r>
      <w:r>
        <w:fldChar w:fldCharType="end"/>
      </w:r>
    </w:p>
    <w:p w:rsidR="0083655B">
      <w:pPr>
        <w:pStyle w:val="TOC4"/>
        <w:tabs>
          <w:tab w:val="left" w:pos="2880"/>
        </w:tabs>
        <w:rPr>
          <w:rFonts w:asciiTheme="minorHAnsi" w:eastAsiaTheme="minorEastAsia" w:hAnsiTheme="minorHAnsi"/>
          <w:noProof/>
          <w:sz w:val="22"/>
        </w:rPr>
      </w:pPr>
      <w:r>
        <w:fldChar w:fldCharType="begin"/>
      </w:r>
      <w:r>
        <w:instrText xml:space="preserve"> HYPERLINK \l "_Toc501633033" </w:instrText>
      </w:r>
      <w:r>
        <w:fldChar w:fldCharType="separate"/>
      </w:r>
      <w:r w:rsidRPr="008B4312" w:rsidR="00E17404">
        <w:rPr>
          <w:rStyle w:val="Hyperlink"/>
          <w:noProof/>
        </w:rPr>
        <w:t>a.</w:t>
      </w:r>
      <w:r w:rsidR="00E17404">
        <w:rPr>
          <w:rFonts w:asciiTheme="minorHAnsi" w:eastAsiaTheme="minorEastAsia" w:hAnsiTheme="minorHAnsi"/>
          <w:noProof/>
          <w:sz w:val="22"/>
        </w:rPr>
        <w:tab/>
      </w:r>
      <w:r w:rsidRPr="008B4312" w:rsidR="00E17404">
        <w:rPr>
          <w:rStyle w:val="Hyperlink"/>
          <w:noProof/>
        </w:rPr>
        <w:t>The Electric Vehicle component of the Smart City Rider does not benefit customers or the public interest.</w:t>
      </w:r>
      <w:r w:rsidR="00E17404">
        <w:rPr>
          <w:noProof/>
          <w:webHidden/>
        </w:rPr>
        <w:tab/>
      </w:r>
      <w:r w:rsidR="00E17404">
        <w:rPr>
          <w:noProof/>
          <w:webHidden/>
        </w:rPr>
        <w:fldChar w:fldCharType="begin"/>
      </w:r>
      <w:r w:rsidR="00E17404">
        <w:rPr>
          <w:noProof/>
          <w:webHidden/>
        </w:rPr>
        <w:instrText xml:space="preserve"> PAGEREF _Toc501633033 \h </w:instrText>
      </w:r>
      <w:r w:rsidR="00E17404">
        <w:rPr>
          <w:noProof/>
          <w:webHidden/>
        </w:rPr>
        <w:fldChar w:fldCharType="separate"/>
      </w:r>
      <w:r w:rsidR="00E17404">
        <w:rPr>
          <w:noProof/>
          <w:webHidden/>
        </w:rPr>
        <w:t>6</w:t>
      </w:r>
      <w:r w:rsidR="00E17404">
        <w:rPr>
          <w:noProof/>
          <w:webHidden/>
        </w:rPr>
        <w:fldChar w:fldCharType="end"/>
      </w:r>
      <w:r>
        <w:fldChar w:fldCharType="end"/>
      </w:r>
    </w:p>
    <w:p w:rsidR="0083655B">
      <w:pPr>
        <w:pStyle w:val="TOC5"/>
        <w:tabs>
          <w:tab w:val="left" w:pos="3600"/>
        </w:tabs>
        <w:rPr>
          <w:rFonts w:asciiTheme="minorHAnsi" w:eastAsiaTheme="minorEastAsia" w:hAnsiTheme="minorHAnsi"/>
          <w:noProof/>
          <w:sz w:val="22"/>
        </w:rPr>
      </w:pPr>
      <w:r>
        <w:fldChar w:fldCharType="begin"/>
      </w:r>
      <w:r>
        <w:instrText xml:space="preserve"> HYPERLINK \l "_Toc501633034" </w:instrText>
      </w:r>
      <w:r>
        <w:fldChar w:fldCharType="separate"/>
      </w:r>
      <w:r w:rsidRPr="008B4312" w:rsidR="00E17404">
        <w:rPr>
          <w:rStyle w:val="Hyperlink"/>
          <w:noProof/>
        </w:rPr>
        <w:t>i.</w:t>
      </w:r>
      <w:r w:rsidR="00E17404">
        <w:rPr>
          <w:rFonts w:asciiTheme="minorHAnsi" w:eastAsiaTheme="minorEastAsia" w:hAnsiTheme="minorHAnsi"/>
          <w:noProof/>
          <w:sz w:val="22"/>
        </w:rPr>
        <w:tab/>
      </w:r>
      <w:r w:rsidRPr="008B4312" w:rsidR="00E17404">
        <w:rPr>
          <w:rStyle w:val="Hyperlink"/>
          <w:noProof/>
        </w:rPr>
        <w:t>The Electric Vehicle proposal is ill-defined and is ultimately about benefiting AEP and a few others at a million consumers’ expense.</w:t>
      </w:r>
      <w:r w:rsidR="00E17404">
        <w:rPr>
          <w:noProof/>
          <w:webHidden/>
        </w:rPr>
        <w:tab/>
      </w:r>
      <w:r w:rsidR="00E17404">
        <w:rPr>
          <w:noProof/>
          <w:webHidden/>
        </w:rPr>
        <w:fldChar w:fldCharType="begin"/>
      </w:r>
      <w:r w:rsidR="00E17404">
        <w:rPr>
          <w:noProof/>
          <w:webHidden/>
        </w:rPr>
        <w:instrText xml:space="preserve"> PAGEREF _Toc501633034 \h </w:instrText>
      </w:r>
      <w:r w:rsidR="00E17404">
        <w:rPr>
          <w:noProof/>
          <w:webHidden/>
        </w:rPr>
        <w:fldChar w:fldCharType="separate"/>
      </w:r>
      <w:r w:rsidR="00E17404">
        <w:rPr>
          <w:noProof/>
          <w:webHidden/>
        </w:rPr>
        <w:t>6</w:t>
      </w:r>
      <w:r w:rsidR="00E17404">
        <w:rPr>
          <w:noProof/>
          <w:webHidden/>
        </w:rPr>
        <w:fldChar w:fldCharType="end"/>
      </w:r>
      <w:r>
        <w:fldChar w:fldCharType="end"/>
      </w:r>
    </w:p>
    <w:p w:rsidR="0083655B">
      <w:pPr>
        <w:pStyle w:val="TOC5"/>
        <w:tabs>
          <w:tab w:val="left" w:pos="3600"/>
        </w:tabs>
        <w:rPr>
          <w:rFonts w:asciiTheme="minorHAnsi" w:eastAsiaTheme="minorEastAsia" w:hAnsiTheme="minorHAnsi"/>
          <w:noProof/>
          <w:sz w:val="22"/>
        </w:rPr>
      </w:pPr>
      <w:r>
        <w:fldChar w:fldCharType="begin"/>
      </w:r>
      <w:r>
        <w:instrText xml:space="preserve"> HYPERLINK \l "_Toc501633035" </w:instrText>
      </w:r>
      <w:r>
        <w:fldChar w:fldCharType="separate"/>
      </w:r>
      <w:r w:rsidRPr="008B4312" w:rsidR="00E17404">
        <w:rPr>
          <w:rStyle w:val="Hyperlink"/>
          <w:noProof/>
        </w:rPr>
        <w:t>ii.</w:t>
      </w:r>
      <w:r w:rsidR="00E17404">
        <w:rPr>
          <w:rFonts w:asciiTheme="minorHAnsi" w:eastAsiaTheme="minorEastAsia" w:hAnsiTheme="minorHAnsi"/>
          <w:noProof/>
          <w:sz w:val="22"/>
        </w:rPr>
        <w:tab/>
      </w:r>
      <w:r w:rsidRPr="008B4312" w:rsidR="00E17404">
        <w:rPr>
          <w:rStyle w:val="Hyperlink"/>
          <w:noProof/>
        </w:rPr>
        <w:t>Charging stations’ lead proponent utterly failed to make the case for charging consumers for service most will not use.</w:t>
      </w:r>
      <w:r w:rsidR="00E17404">
        <w:rPr>
          <w:noProof/>
          <w:webHidden/>
        </w:rPr>
        <w:tab/>
      </w:r>
      <w:r w:rsidR="00E17404">
        <w:rPr>
          <w:noProof/>
          <w:webHidden/>
        </w:rPr>
        <w:fldChar w:fldCharType="begin"/>
      </w:r>
      <w:r w:rsidR="00E17404">
        <w:rPr>
          <w:noProof/>
          <w:webHidden/>
        </w:rPr>
        <w:instrText xml:space="preserve"> PAGEREF _Toc501633035 \h </w:instrText>
      </w:r>
      <w:r w:rsidR="00E17404">
        <w:rPr>
          <w:noProof/>
          <w:webHidden/>
        </w:rPr>
        <w:fldChar w:fldCharType="separate"/>
      </w:r>
      <w:r w:rsidR="00E17404">
        <w:rPr>
          <w:noProof/>
          <w:webHidden/>
        </w:rPr>
        <w:t>9</w:t>
      </w:r>
      <w:r w:rsidR="00E17404">
        <w:rPr>
          <w:noProof/>
          <w:webHidden/>
        </w:rPr>
        <w:fldChar w:fldCharType="end"/>
      </w:r>
      <w:r>
        <w:fldChar w:fldCharType="end"/>
      </w:r>
    </w:p>
    <w:p w:rsidR="0083655B">
      <w:pPr>
        <w:pStyle w:val="TOC4"/>
        <w:tabs>
          <w:tab w:val="left" w:pos="2880"/>
        </w:tabs>
        <w:rPr>
          <w:rFonts w:asciiTheme="minorHAnsi" w:eastAsiaTheme="minorEastAsia" w:hAnsiTheme="minorHAnsi"/>
          <w:noProof/>
          <w:sz w:val="22"/>
        </w:rPr>
      </w:pPr>
      <w:r>
        <w:fldChar w:fldCharType="begin"/>
      </w:r>
      <w:r>
        <w:instrText xml:space="preserve"> HYPERLINK \l "_Toc501633036" </w:instrText>
      </w:r>
      <w:r>
        <w:fldChar w:fldCharType="separate"/>
      </w:r>
      <w:r w:rsidRPr="008B4312" w:rsidR="00E17404">
        <w:rPr>
          <w:rStyle w:val="Hyperlink"/>
          <w:noProof/>
        </w:rPr>
        <w:t>b.</w:t>
      </w:r>
      <w:r w:rsidR="00E17404">
        <w:rPr>
          <w:rFonts w:asciiTheme="minorHAnsi" w:eastAsiaTheme="minorEastAsia" w:hAnsiTheme="minorHAnsi"/>
          <w:noProof/>
          <w:sz w:val="22"/>
        </w:rPr>
        <w:tab/>
      </w:r>
      <w:r w:rsidRPr="008B4312" w:rsidR="00E17404">
        <w:rPr>
          <w:rStyle w:val="Hyperlink"/>
          <w:noProof/>
        </w:rPr>
        <w:t>The microgrid component of the Smart City Rider does not benefit customers or the public interest.</w:t>
      </w:r>
      <w:r w:rsidR="00E17404">
        <w:rPr>
          <w:noProof/>
          <w:webHidden/>
        </w:rPr>
        <w:tab/>
      </w:r>
      <w:r w:rsidR="00E17404">
        <w:rPr>
          <w:noProof/>
          <w:webHidden/>
        </w:rPr>
        <w:fldChar w:fldCharType="begin"/>
      </w:r>
      <w:r w:rsidR="00E17404">
        <w:rPr>
          <w:noProof/>
          <w:webHidden/>
        </w:rPr>
        <w:instrText xml:space="preserve"> PAGEREF _Toc501633036 \h </w:instrText>
      </w:r>
      <w:r w:rsidR="00E17404">
        <w:rPr>
          <w:noProof/>
          <w:webHidden/>
        </w:rPr>
        <w:fldChar w:fldCharType="separate"/>
      </w:r>
      <w:r w:rsidR="00E17404">
        <w:rPr>
          <w:noProof/>
          <w:webHidden/>
        </w:rPr>
        <w:t>15</w:t>
      </w:r>
      <w:r w:rsidR="00E17404">
        <w:rPr>
          <w:noProof/>
          <w:webHidden/>
        </w:rPr>
        <w:fldChar w:fldCharType="end"/>
      </w:r>
      <w:r>
        <w:fldChar w:fldCharType="end"/>
      </w:r>
    </w:p>
    <w:p w:rsidR="0083655B">
      <w:pPr>
        <w:pStyle w:val="TOC3"/>
        <w:tabs>
          <w:tab w:val="left" w:pos="2160"/>
        </w:tabs>
        <w:rPr>
          <w:rFonts w:asciiTheme="minorHAnsi" w:eastAsiaTheme="minorEastAsia" w:hAnsiTheme="minorHAnsi"/>
          <w:noProof/>
          <w:sz w:val="22"/>
        </w:rPr>
      </w:pPr>
      <w:r>
        <w:fldChar w:fldCharType="begin"/>
      </w:r>
      <w:r>
        <w:instrText xml:space="preserve"> HYPERLINK \l "_Toc501633037" </w:instrText>
      </w:r>
      <w:r>
        <w:fldChar w:fldCharType="separate"/>
      </w:r>
      <w:r w:rsidRPr="008B4312" w:rsidR="00E17404">
        <w:rPr>
          <w:rStyle w:val="Hyperlink"/>
          <w:noProof/>
        </w:rPr>
        <w:t>3.</w:t>
      </w:r>
      <w:r w:rsidR="00E17404">
        <w:rPr>
          <w:rFonts w:asciiTheme="minorHAnsi" w:eastAsiaTheme="minorEastAsia" w:hAnsiTheme="minorHAnsi"/>
          <w:noProof/>
          <w:sz w:val="22"/>
        </w:rPr>
        <w:tab/>
      </w:r>
      <w:r w:rsidRPr="008B4312" w:rsidR="00E17404">
        <w:rPr>
          <w:rStyle w:val="Hyperlink"/>
          <w:noProof/>
        </w:rPr>
        <w:t>The Supplier Consolidated Billing Pilot will not benefit consumers or the public interest.</w:t>
      </w:r>
      <w:r w:rsidR="00E17404">
        <w:rPr>
          <w:noProof/>
          <w:webHidden/>
        </w:rPr>
        <w:tab/>
      </w:r>
      <w:r w:rsidR="00E17404">
        <w:rPr>
          <w:noProof/>
          <w:webHidden/>
        </w:rPr>
        <w:fldChar w:fldCharType="begin"/>
      </w:r>
      <w:r w:rsidR="00E17404">
        <w:rPr>
          <w:noProof/>
          <w:webHidden/>
        </w:rPr>
        <w:instrText xml:space="preserve"> PAGEREF _Toc501633037 \h </w:instrText>
      </w:r>
      <w:r w:rsidR="00E17404">
        <w:rPr>
          <w:noProof/>
          <w:webHidden/>
        </w:rPr>
        <w:fldChar w:fldCharType="separate"/>
      </w:r>
      <w:r w:rsidR="00E17404">
        <w:rPr>
          <w:noProof/>
          <w:webHidden/>
        </w:rPr>
        <w:t>16</w:t>
      </w:r>
      <w:r w:rsidR="00E17404">
        <w:rPr>
          <w:noProof/>
          <w:webHidden/>
        </w:rPr>
        <w:fldChar w:fldCharType="end"/>
      </w:r>
      <w:r>
        <w:fldChar w:fldCharType="end"/>
      </w:r>
    </w:p>
    <w:p w:rsidR="0083655B">
      <w:pPr>
        <w:pStyle w:val="TOC3"/>
        <w:tabs>
          <w:tab w:val="left" w:pos="2160"/>
        </w:tabs>
        <w:rPr>
          <w:rFonts w:asciiTheme="minorHAnsi" w:eastAsiaTheme="minorEastAsia" w:hAnsiTheme="minorHAnsi"/>
          <w:noProof/>
          <w:sz w:val="22"/>
        </w:rPr>
      </w:pPr>
      <w:r>
        <w:fldChar w:fldCharType="begin"/>
      </w:r>
      <w:r>
        <w:instrText xml:space="preserve"> HYPERLINK \l "_Toc501633038" </w:instrText>
      </w:r>
      <w:r>
        <w:fldChar w:fldCharType="separate"/>
      </w:r>
      <w:r w:rsidRPr="008B4312" w:rsidR="00E17404">
        <w:rPr>
          <w:rStyle w:val="Hyperlink"/>
          <w:noProof/>
        </w:rPr>
        <w:t>4.</w:t>
      </w:r>
      <w:r w:rsidR="00E17404">
        <w:rPr>
          <w:rFonts w:asciiTheme="minorHAnsi" w:eastAsiaTheme="minorEastAsia" w:hAnsiTheme="minorHAnsi"/>
          <w:noProof/>
          <w:sz w:val="22"/>
        </w:rPr>
        <w:tab/>
      </w:r>
      <w:r w:rsidRPr="008B4312" w:rsidR="00E17404">
        <w:rPr>
          <w:rStyle w:val="Hyperlink"/>
          <w:noProof/>
        </w:rPr>
        <w:t>The Enroll From Your Wallet program will not benefit customers or the public interest.</w:t>
      </w:r>
      <w:r w:rsidR="00E17404">
        <w:rPr>
          <w:noProof/>
          <w:webHidden/>
        </w:rPr>
        <w:tab/>
      </w:r>
      <w:r w:rsidR="00E17404">
        <w:rPr>
          <w:noProof/>
          <w:webHidden/>
        </w:rPr>
        <w:fldChar w:fldCharType="begin"/>
      </w:r>
      <w:r w:rsidR="00E17404">
        <w:rPr>
          <w:noProof/>
          <w:webHidden/>
        </w:rPr>
        <w:instrText xml:space="preserve"> PAGEREF _Toc501633038 \h </w:instrText>
      </w:r>
      <w:r w:rsidR="00E17404">
        <w:rPr>
          <w:noProof/>
          <w:webHidden/>
        </w:rPr>
        <w:fldChar w:fldCharType="separate"/>
      </w:r>
      <w:r w:rsidR="00E17404">
        <w:rPr>
          <w:noProof/>
          <w:webHidden/>
        </w:rPr>
        <w:t>17</w:t>
      </w:r>
      <w:r w:rsidR="00E17404">
        <w:rPr>
          <w:noProof/>
          <w:webHidden/>
        </w:rPr>
        <w:fldChar w:fldCharType="end"/>
      </w:r>
      <w:r>
        <w:fldChar w:fldCharType="end"/>
      </w:r>
    </w:p>
    <w:p w:rsidR="0083655B">
      <w:pPr>
        <w:pStyle w:val="TOC3"/>
        <w:tabs>
          <w:tab w:val="left" w:pos="2160"/>
        </w:tabs>
        <w:rPr>
          <w:rFonts w:asciiTheme="minorHAnsi" w:eastAsiaTheme="minorEastAsia" w:hAnsiTheme="minorHAnsi"/>
          <w:noProof/>
          <w:sz w:val="22"/>
        </w:rPr>
      </w:pPr>
      <w:r>
        <w:fldChar w:fldCharType="begin"/>
      </w:r>
      <w:r>
        <w:instrText xml:space="preserve"> HYPERLINK \l "_Toc501633039" </w:instrText>
      </w:r>
      <w:r>
        <w:fldChar w:fldCharType="separate"/>
      </w:r>
      <w:r w:rsidRPr="008B4312" w:rsidR="00E17404">
        <w:rPr>
          <w:rStyle w:val="Hyperlink"/>
          <w:noProof/>
        </w:rPr>
        <w:t>5.</w:t>
      </w:r>
      <w:r w:rsidR="00E17404">
        <w:rPr>
          <w:rFonts w:asciiTheme="minorHAnsi" w:eastAsiaTheme="minorEastAsia" w:hAnsiTheme="minorHAnsi"/>
          <w:noProof/>
          <w:sz w:val="22"/>
        </w:rPr>
        <w:tab/>
      </w:r>
      <w:r w:rsidRPr="008B4312" w:rsidR="00E17404">
        <w:rPr>
          <w:rStyle w:val="Hyperlink"/>
          <w:noProof/>
        </w:rPr>
        <w:t>The CIR will not benefit customers or the public interest.</w:t>
      </w:r>
      <w:r w:rsidR="00E17404">
        <w:rPr>
          <w:noProof/>
          <w:webHidden/>
        </w:rPr>
        <w:tab/>
      </w:r>
      <w:r w:rsidR="00E17404">
        <w:rPr>
          <w:noProof/>
          <w:webHidden/>
        </w:rPr>
        <w:fldChar w:fldCharType="begin"/>
      </w:r>
      <w:r w:rsidR="00E17404">
        <w:rPr>
          <w:noProof/>
          <w:webHidden/>
        </w:rPr>
        <w:instrText xml:space="preserve"> PAGEREF _Toc501633039 \h </w:instrText>
      </w:r>
      <w:r w:rsidR="00E17404">
        <w:rPr>
          <w:noProof/>
          <w:webHidden/>
        </w:rPr>
        <w:fldChar w:fldCharType="separate"/>
      </w:r>
      <w:r w:rsidR="00E17404">
        <w:rPr>
          <w:noProof/>
          <w:webHidden/>
        </w:rPr>
        <w:t>19</w:t>
      </w:r>
      <w:r w:rsidR="00E17404">
        <w:rPr>
          <w:noProof/>
          <w:webHidden/>
        </w:rPr>
        <w:fldChar w:fldCharType="end"/>
      </w:r>
      <w:r>
        <w:fldChar w:fldCharType="end"/>
      </w:r>
    </w:p>
    <w:p w:rsidR="0083655B">
      <w:pPr>
        <w:pStyle w:val="TOC2"/>
        <w:tabs>
          <w:tab w:val="left" w:pos="1440"/>
        </w:tabs>
        <w:rPr>
          <w:rFonts w:asciiTheme="minorHAnsi" w:eastAsiaTheme="minorEastAsia" w:hAnsiTheme="minorHAnsi"/>
          <w:noProof/>
          <w:sz w:val="22"/>
        </w:rPr>
      </w:pPr>
      <w:r>
        <w:fldChar w:fldCharType="begin"/>
      </w:r>
      <w:r>
        <w:instrText xml:space="preserve"> HYPERLINK \l "_Toc501633040" </w:instrText>
      </w:r>
      <w:r>
        <w:fldChar w:fldCharType="separate"/>
      </w:r>
      <w:r w:rsidRPr="008B4312" w:rsidR="00E17404">
        <w:rPr>
          <w:rStyle w:val="Hyperlink"/>
          <w:noProof/>
        </w:rPr>
        <w:t>B.</w:t>
      </w:r>
      <w:r w:rsidR="00E17404">
        <w:rPr>
          <w:rFonts w:asciiTheme="minorHAnsi" w:eastAsiaTheme="minorEastAsia" w:hAnsiTheme="minorHAnsi"/>
          <w:noProof/>
          <w:sz w:val="22"/>
        </w:rPr>
        <w:tab/>
      </w:r>
      <w:r w:rsidRPr="008B4312" w:rsidR="00E17404">
        <w:rPr>
          <w:rStyle w:val="Hyperlink"/>
          <w:noProof/>
        </w:rPr>
        <w:t>The proposed Settlement violates important regulatory principles and practice.</w:t>
      </w:r>
      <w:r w:rsidR="00E17404">
        <w:rPr>
          <w:noProof/>
          <w:webHidden/>
        </w:rPr>
        <w:tab/>
      </w:r>
      <w:r w:rsidR="00E17404">
        <w:rPr>
          <w:noProof/>
          <w:webHidden/>
        </w:rPr>
        <w:fldChar w:fldCharType="begin"/>
      </w:r>
      <w:r w:rsidR="00E17404">
        <w:rPr>
          <w:noProof/>
          <w:webHidden/>
        </w:rPr>
        <w:instrText xml:space="preserve"> PAGEREF _Toc501633040 \h </w:instrText>
      </w:r>
      <w:r w:rsidR="00E17404">
        <w:rPr>
          <w:noProof/>
          <w:webHidden/>
        </w:rPr>
        <w:fldChar w:fldCharType="separate"/>
      </w:r>
      <w:r w:rsidR="00E17404">
        <w:rPr>
          <w:noProof/>
          <w:webHidden/>
        </w:rPr>
        <w:t>22</w:t>
      </w:r>
      <w:r w:rsidR="00E17404">
        <w:rPr>
          <w:noProof/>
          <w:webHidden/>
        </w:rPr>
        <w:fldChar w:fldCharType="end"/>
      </w:r>
      <w:r>
        <w:fldChar w:fldCharType="end"/>
      </w:r>
    </w:p>
    <w:p w:rsidR="0083655B">
      <w:pPr>
        <w:pStyle w:val="TOC3"/>
        <w:tabs>
          <w:tab w:val="left" w:pos="2160"/>
        </w:tabs>
        <w:rPr>
          <w:rFonts w:asciiTheme="minorHAnsi" w:eastAsiaTheme="minorEastAsia" w:hAnsiTheme="minorHAnsi"/>
          <w:noProof/>
          <w:sz w:val="22"/>
        </w:rPr>
      </w:pPr>
      <w:r>
        <w:fldChar w:fldCharType="begin"/>
      </w:r>
      <w:r>
        <w:instrText xml:space="preserve"> HYPERLINK \l "_Toc501633041" </w:instrText>
      </w:r>
      <w:r>
        <w:fldChar w:fldCharType="separate"/>
      </w:r>
      <w:r w:rsidRPr="008B4312" w:rsidR="00E17404">
        <w:rPr>
          <w:rStyle w:val="Hyperlink"/>
          <w:noProof/>
        </w:rPr>
        <w:t>1.</w:t>
      </w:r>
      <w:r w:rsidR="00E17404">
        <w:rPr>
          <w:rFonts w:asciiTheme="minorHAnsi" w:eastAsiaTheme="minorEastAsia" w:hAnsiTheme="minorHAnsi"/>
          <w:noProof/>
          <w:sz w:val="22"/>
        </w:rPr>
        <w:tab/>
      </w:r>
      <w:r w:rsidRPr="008B4312" w:rsidR="00E17404">
        <w:rPr>
          <w:rStyle w:val="Hyperlink"/>
          <w:noProof/>
        </w:rPr>
        <w:t>The Enroll From Your Wallet Program does nothing to protect customers from unfair, misleading, deceptive, or unconscionable practices of Marketer solicitors.</w:t>
      </w:r>
      <w:r w:rsidR="00E17404">
        <w:rPr>
          <w:noProof/>
          <w:webHidden/>
        </w:rPr>
        <w:tab/>
      </w:r>
      <w:r w:rsidR="00E17404">
        <w:rPr>
          <w:noProof/>
          <w:webHidden/>
        </w:rPr>
        <w:fldChar w:fldCharType="begin"/>
      </w:r>
      <w:r w:rsidR="00E17404">
        <w:rPr>
          <w:noProof/>
          <w:webHidden/>
        </w:rPr>
        <w:instrText xml:space="preserve"> PAGEREF _Toc501633041 \h </w:instrText>
      </w:r>
      <w:r w:rsidR="00E17404">
        <w:rPr>
          <w:noProof/>
          <w:webHidden/>
        </w:rPr>
        <w:fldChar w:fldCharType="separate"/>
      </w:r>
      <w:r w:rsidR="00E17404">
        <w:rPr>
          <w:noProof/>
          <w:webHidden/>
        </w:rPr>
        <w:t>22</w:t>
      </w:r>
      <w:r w:rsidR="00E17404">
        <w:rPr>
          <w:noProof/>
          <w:webHidden/>
        </w:rPr>
        <w:fldChar w:fldCharType="end"/>
      </w:r>
      <w:r>
        <w:fldChar w:fldCharType="end"/>
      </w:r>
    </w:p>
    <w:p w:rsidR="0083655B">
      <w:pPr>
        <w:pStyle w:val="TOC3"/>
        <w:tabs>
          <w:tab w:val="left" w:pos="2160"/>
        </w:tabs>
        <w:rPr>
          <w:rFonts w:asciiTheme="minorHAnsi" w:eastAsiaTheme="minorEastAsia" w:hAnsiTheme="minorHAnsi"/>
          <w:noProof/>
          <w:sz w:val="22"/>
        </w:rPr>
      </w:pPr>
      <w:r>
        <w:fldChar w:fldCharType="begin"/>
      </w:r>
      <w:r>
        <w:instrText xml:space="preserve"> HYPERLINK \l "_Toc501633042" </w:instrText>
      </w:r>
      <w:r>
        <w:fldChar w:fldCharType="separate"/>
      </w:r>
      <w:r w:rsidRPr="008B4312" w:rsidR="00E17404">
        <w:rPr>
          <w:rStyle w:val="Hyperlink"/>
          <w:noProof/>
        </w:rPr>
        <w:t>2.</w:t>
      </w:r>
      <w:r w:rsidR="00E17404">
        <w:rPr>
          <w:rFonts w:asciiTheme="minorHAnsi" w:eastAsiaTheme="minorEastAsia" w:hAnsiTheme="minorHAnsi"/>
          <w:noProof/>
          <w:sz w:val="22"/>
        </w:rPr>
        <w:tab/>
      </w:r>
      <w:r w:rsidRPr="008B4312" w:rsidR="00E17404">
        <w:rPr>
          <w:rStyle w:val="Hyperlink"/>
          <w:noProof/>
        </w:rPr>
        <w:t>The Smart City Rider does not belong in an ESP.</w:t>
      </w:r>
      <w:r w:rsidR="00E17404">
        <w:rPr>
          <w:noProof/>
          <w:webHidden/>
        </w:rPr>
        <w:tab/>
      </w:r>
      <w:r w:rsidR="00E17404">
        <w:rPr>
          <w:noProof/>
          <w:webHidden/>
        </w:rPr>
        <w:fldChar w:fldCharType="begin"/>
      </w:r>
      <w:r w:rsidR="00E17404">
        <w:rPr>
          <w:noProof/>
          <w:webHidden/>
        </w:rPr>
        <w:instrText xml:space="preserve"> PAGEREF _Toc501633042 \h </w:instrText>
      </w:r>
      <w:r w:rsidR="00E17404">
        <w:rPr>
          <w:noProof/>
          <w:webHidden/>
        </w:rPr>
        <w:fldChar w:fldCharType="separate"/>
      </w:r>
      <w:r w:rsidR="00E17404">
        <w:rPr>
          <w:noProof/>
          <w:webHidden/>
        </w:rPr>
        <w:t>23</w:t>
      </w:r>
      <w:r w:rsidR="00E17404">
        <w:rPr>
          <w:noProof/>
          <w:webHidden/>
        </w:rPr>
        <w:fldChar w:fldCharType="end"/>
      </w:r>
      <w:r>
        <w:fldChar w:fldCharType="end"/>
      </w:r>
    </w:p>
    <w:p w:rsidR="0083655B">
      <w:pPr>
        <w:pStyle w:val="TOC2"/>
        <w:tabs>
          <w:tab w:val="left" w:pos="1440"/>
        </w:tabs>
        <w:rPr>
          <w:rFonts w:asciiTheme="minorHAnsi" w:eastAsiaTheme="minorEastAsia" w:hAnsiTheme="minorHAnsi"/>
          <w:noProof/>
          <w:sz w:val="22"/>
        </w:rPr>
      </w:pPr>
      <w:r>
        <w:fldChar w:fldCharType="begin"/>
      </w:r>
      <w:r>
        <w:instrText xml:space="preserve"> HYPERLINK \l "_Toc501633043" </w:instrText>
      </w:r>
      <w:r>
        <w:fldChar w:fldCharType="separate"/>
      </w:r>
      <w:r w:rsidRPr="008B4312" w:rsidR="00E17404">
        <w:rPr>
          <w:rStyle w:val="Hyperlink"/>
          <w:noProof/>
        </w:rPr>
        <w:t>C.</w:t>
      </w:r>
      <w:r w:rsidR="00E17404">
        <w:rPr>
          <w:rFonts w:asciiTheme="minorHAnsi" w:eastAsiaTheme="minorEastAsia" w:hAnsiTheme="minorHAnsi"/>
          <w:noProof/>
          <w:sz w:val="22"/>
        </w:rPr>
        <w:tab/>
      </w:r>
      <w:r w:rsidRPr="008B4312" w:rsidR="00E17404">
        <w:rPr>
          <w:rStyle w:val="Hyperlink"/>
          <w:noProof/>
        </w:rPr>
        <w:t>The ESP embodied in the Settlement fails the ESP versus MRO test.</w:t>
      </w:r>
      <w:r w:rsidR="00E17404">
        <w:rPr>
          <w:noProof/>
          <w:webHidden/>
        </w:rPr>
        <w:tab/>
      </w:r>
      <w:r w:rsidR="00E17404">
        <w:rPr>
          <w:noProof/>
          <w:webHidden/>
        </w:rPr>
        <w:fldChar w:fldCharType="begin"/>
      </w:r>
      <w:r w:rsidR="00E17404">
        <w:rPr>
          <w:noProof/>
          <w:webHidden/>
        </w:rPr>
        <w:instrText xml:space="preserve"> PAGEREF _Toc501633043 \h </w:instrText>
      </w:r>
      <w:r w:rsidR="00E17404">
        <w:rPr>
          <w:noProof/>
          <w:webHidden/>
        </w:rPr>
        <w:fldChar w:fldCharType="separate"/>
      </w:r>
      <w:r w:rsidR="00E17404">
        <w:rPr>
          <w:noProof/>
          <w:webHidden/>
        </w:rPr>
        <w:t>24</w:t>
      </w:r>
      <w:r w:rsidR="00E17404">
        <w:rPr>
          <w:noProof/>
          <w:webHidden/>
        </w:rPr>
        <w:fldChar w:fldCharType="end"/>
      </w:r>
      <w:r>
        <w:fldChar w:fldCharType="end"/>
      </w:r>
    </w:p>
    <w:p w:rsidR="0083655B">
      <w:pPr>
        <w:pStyle w:val="TOC3"/>
        <w:tabs>
          <w:tab w:val="left" w:pos="2160"/>
        </w:tabs>
        <w:rPr>
          <w:rFonts w:asciiTheme="minorHAnsi" w:eastAsiaTheme="minorEastAsia" w:hAnsiTheme="minorHAnsi"/>
          <w:noProof/>
          <w:sz w:val="22"/>
        </w:rPr>
      </w:pPr>
      <w:r>
        <w:fldChar w:fldCharType="begin"/>
      </w:r>
      <w:r>
        <w:instrText xml:space="preserve"> HYPERLINK \l "_Toc501633044" </w:instrText>
      </w:r>
      <w:r>
        <w:fldChar w:fldCharType="separate"/>
      </w:r>
      <w:r w:rsidRPr="008B4312" w:rsidR="00E17404">
        <w:rPr>
          <w:rStyle w:val="Hyperlink"/>
          <w:noProof/>
        </w:rPr>
        <w:t>1.</w:t>
      </w:r>
      <w:r w:rsidR="00E17404">
        <w:rPr>
          <w:rFonts w:asciiTheme="minorHAnsi" w:eastAsiaTheme="minorEastAsia" w:hAnsiTheme="minorHAnsi"/>
          <w:noProof/>
          <w:sz w:val="22"/>
        </w:rPr>
        <w:tab/>
      </w:r>
      <w:r w:rsidRPr="008B4312" w:rsidR="00E17404">
        <w:rPr>
          <w:rStyle w:val="Hyperlink"/>
          <w:noProof/>
        </w:rPr>
        <w:t>AEP has not shown, and cannot show, that the ESP benefits consumers.</w:t>
      </w:r>
      <w:r w:rsidR="00E17404">
        <w:rPr>
          <w:noProof/>
          <w:webHidden/>
        </w:rPr>
        <w:tab/>
      </w:r>
      <w:r w:rsidR="00E17404">
        <w:rPr>
          <w:noProof/>
          <w:webHidden/>
        </w:rPr>
        <w:fldChar w:fldCharType="begin"/>
      </w:r>
      <w:r w:rsidR="00E17404">
        <w:rPr>
          <w:noProof/>
          <w:webHidden/>
        </w:rPr>
        <w:instrText xml:space="preserve"> PAGEREF _Toc501633044 \h </w:instrText>
      </w:r>
      <w:r w:rsidR="00E17404">
        <w:rPr>
          <w:noProof/>
          <w:webHidden/>
        </w:rPr>
        <w:fldChar w:fldCharType="separate"/>
      </w:r>
      <w:r w:rsidR="00E17404">
        <w:rPr>
          <w:noProof/>
          <w:webHidden/>
        </w:rPr>
        <w:t>25</w:t>
      </w:r>
      <w:r w:rsidR="00E17404">
        <w:rPr>
          <w:noProof/>
          <w:webHidden/>
        </w:rPr>
        <w:fldChar w:fldCharType="end"/>
      </w:r>
      <w:r>
        <w:fldChar w:fldCharType="end"/>
      </w:r>
    </w:p>
    <w:p w:rsidR="0083655B">
      <w:pPr>
        <w:pStyle w:val="TOC3"/>
        <w:tabs>
          <w:tab w:val="left" w:pos="2160"/>
        </w:tabs>
        <w:rPr>
          <w:rFonts w:asciiTheme="minorHAnsi" w:eastAsiaTheme="minorEastAsia" w:hAnsiTheme="minorHAnsi"/>
          <w:noProof/>
          <w:sz w:val="22"/>
        </w:rPr>
      </w:pPr>
      <w:r>
        <w:fldChar w:fldCharType="begin"/>
      </w:r>
      <w:r>
        <w:instrText xml:space="preserve"> HYPERLINK \l "_Toc501633045" </w:instrText>
      </w:r>
      <w:r>
        <w:fldChar w:fldCharType="separate"/>
      </w:r>
      <w:r w:rsidRPr="008B4312" w:rsidR="00E17404">
        <w:rPr>
          <w:rStyle w:val="Hyperlink"/>
          <w:noProof/>
        </w:rPr>
        <w:t>2.</w:t>
      </w:r>
      <w:r w:rsidR="00E17404">
        <w:rPr>
          <w:rFonts w:asciiTheme="minorHAnsi" w:eastAsiaTheme="minorEastAsia" w:hAnsiTheme="minorHAnsi"/>
          <w:noProof/>
          <w:sz w:val="22"/>
        </w:rPr>
        <w:tab/>
      </w:r>
      <w:r w:rsidRPr="008B4312" w:rsidR="00E17404">
        <w:rPr>
          <w:rStyle w:val="Hyperlink"/>
          <w:noProof/>
        </w:rPr>
        <w:t>According to Staff, the ESP v. MRO test is a wash, so the ESP embodied by the Settlement should be rejected.</w:t>
      </w:r>
      <w:r w:rsidR="00E17404">
        <w:rPr>
          <w:noProof/>
          <w:webHidden/>
        </w:rPr>
        <w:tab/>
      </w:r>
      <w:r w:rsidR="00E17404">
        <w:rPr>
          <w:noProof/>
          <w:webHidden/>
        </w:rPr>
        <w:fldChar w:fldCharType="begin"/>
      </w:r>
      <w:r w:rsidR="00E17404">
        <w:rPr>
          <w:noProof/>
          <w:webHidden/>
        </w:rPr>
        <w:instrText xml:space="preserve"> PAGEREF _Toc501633045 \h </w:instrText>
      </w:r>
      <w:r w:rsidR="00E17404">
        <w:rPr>
          <w:noProof/>
          <w:webHidden/>
        </w:rPr>
        <w:fldChar w:fldCharType="separate"/>
      </w:r>
      <w:r w:rsidR="00E17404">
        <w:rPr>
          <w:noProof/>
          <w:webHidden/>
        </w:rPr>
        <w:t>27</w:t>
      </w:r>
      <w:r w:rsidR="00E17404">
        <w:rPr>
          <w:noProof/>
          <w:webHidden/>
        </w:rPr>
        <w:fldChar w:fldCharType="end"/>
      </w:r>
      <w:r>
        <w:fldChar w:fldCharType="end"/>
      </w:r>
    </w:p>
    <w:p w:rsidR="0083655B">
      <w:pPr>
        <w:pStyle w:val="TOC1"/>
        <w:rPr>
          <w:rFonts w:asciiTheme="minorHAnsi" w:eastAsiaTheme="minorEastAsia" w:hAnsiTheme="minorHAnsi" w:cstheme="minorBidi"/>
          <w:caps w:val="0"/>
          <w:noProof/>
          <w:sz w:val="22"/>
          <w:szCs w:val="22"/>
          <w:bdr w:val="none" w:sz="0" w:space="0" w:color="auto"/>
        </w:rPr>
      </w:pPr>
      <w:r>
        <w:fldChar w:fldCharType="begin"/>
      </w:r>
      <w:r>
        <w:instrText xml:space="preserve"> HYPERLINK \l "_Toc501633046" </w:instrText>
      </w:r>
      <w:r>
        <w:fldChar w:fldCharType="separate"/>
      </w:r>
      <w:r w:rsidRPr="008B4312" w:rsidR="00E17404">
        <w:rPr>
          <w:rStyle w:val="Hyperlink"/>
          <w:noProof/>
        </w:rPr>
        <w:t>III.</w:t>
      </w:r>
      <w:r w:rsidR="00E17404">
        <w:rPr>
          <w:rFonts w:asciiTheme="minorHAnsi" w:eastAsiaTheme="minorEastAsia" w:hAnsiTheme="minorHAnsi" w:cstheme="minorBidi"/>
          <w:caps w:val="0"/>
          <w:noProof/>
          <w:sz w:val="22"/>
          <w:szCs w:val="22"/>
          <w:bdr w:val="none" w:sz="0" w:space="0" w:color="auto"/>
        </w:rPr>
        <w:tab/>
      </w:r>
      <w:r w:rsidRPr="008B4312" w:rsidR="00E17404">
        <w:rPr>
          <w:rStyle w:val="Hyperlink"/>
          <w:noProof/>
        </w:rPr>
        <w:t>CONCLUSION</w:t>
      </w:r>
      <w:r w:rsidR="00E17404">
        <w:rPr>
          <w:noProof/>
          <w:webHidden/>
        </w:rPr>
        <w:tab/>
      </w:r>
      <w:r w:rsidR="00E17404">
        <w:rPr>
          <w:noProof/>
          <w:webHidden/>
        </w:rPr>
        <w:fldChar w:fldCharType="begin"/>
      </w:r>
      <w:r w:rsidR="00E17404">
        <w:rPr>
          <w:noProof/>
          <w:webHidden/>
        </w:rPr>
        <w:instrText xml:space="preserve"> PAGEREF _Toc501633046 \h </w:instrText>
      </w:r>
      <w:r w:rsidR="00E17404">
        <w:rPr>
          <w:noProof/>
          <w:webHidden/>
        </w:rPr>
        <w:fldChar w:fldCharType="separate"/>
      </w:r>
      <w:r w:rsidR="00E17404">
        <w:rPr>
          <w:noProof/>
          <w:webHidden/>
        </w:rPr>
        <w:t>28</w:t>
      </w:r>
      <w:r w:rsidR="00E17404">
        <w:rPr>
          <w:noProof/>
          <w:webHidden/>
        </w:rPr>
        <w:fldChar w:fldCharType="end"/>
      </w:r>
      <w:r>
        <w:fldChar w:fldCharType="end"/>
      </w:r>
    </w:p>
    <w:p w:rsidR="00A8537A" w:rsidP="005A4BC3">
      <w:pPr>
        <w:spacing w:line="480" w:lineRule="auto"/>
        <w:ind w:left="2160" w:hanging="2160"/>
        <w:rPr>
          <w:rFonts w:ascii="Times New Roman" w:eastAsia="Times New Roman" w:hAnsi="Times New Roman" w:cs="Times New Roman"/>
          <w:caps/>
          <w:sz w:val="24"/>
          <w:szCs w:val="24"/>
          <w:u w:color="000000"/>
          <w:bdr w:val="nil"/>
        </w:rPr>
        <w:sectPr w:rsidSect="005A4BC3">
          <w:headerReference w:type="default" r:id="rId11"/>
          <w:footerReference w:type="default" r:id="rId12"/>
          <w:pgSz w:w="12240" w:h="15840"/>
          <w:pgMar w:top="1440" w:right="1800" w:bottom="1440" w:left="1800" w:header="720" w:footer="720" w:gutter="0"/>
          <w:pgNumType w:fmt="lowerRoman" w:start="1"/>
          <w:cols w:space="720"/>
          <w:docGrid w:linePitch="360"/>
        </w:sectPr>
      </w:pPr>
      <w:r>
        <w:rPr>
          <w:rFonts w:ascii="Times New Roman" w:eastAsia="Times New Roman" w:hAnsi="Times New Roman" w:cs="Times New Roman"/>
          <w:caps/>
          <w:sz w:val="24"/>
          <w:szCs w:val="24"/>
          <w:u w:color="000000"/>
          <w:bdr w:val="nil"/>
        </w:rPr>
        <w:fldChar w:fldCharType="end"/>
      </w:r>
    </w:p>
    <w:p w:rsidR="005A4BC3" w:rsidRPr="00AB750D" w:rsidP="005A4BC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r w:rsidRPr="00AB750D">
        <w:rPr>
          <w:rFonts w:ascii="Times New Roman" w:hAnsi="Times New Roman" w:cs="Times New Roman"/>
          <w:b/>
          <w:bCs/>
          <w:sz w:val="24"/>
          <w:szCs w:val="24"/>
        </w:rPr>
        <w:t>BEFORE</w:t>
      </w:r>
    </w:p>
    <w:p w:rsidR="005A4BC3" w:rsidRPr="00AB750D" w:rsidP="005A4BC3">
      <w:pPr>
        <w:pStyle w:val="HTMLPreformatted"/>
        <w:jc w:val="center"/>
        <w:rPr>
          <w:rFonts w:ascii="Times New Roman" w:eastAsia="Courier New" w:hAnsi="Times New Roman" w:cs="Times New Roman"/>
          <w:sz w:val="24"/>
          <w:szCs w:val="24"/>
        </w:rPr>
      </w:pPr>
      <w:r w:rsidRPr="00AB750D">
        <w:rPr>
          <w:rFonts w:ascii="Times New Roman" w:hAnsi="Times New Roman" w:cs="Times New Roman"/>
          <w:b/>
          <w:bCs/>
          <w:sz w:val="24"/>
          <w:szCs w:val="24"/>
        </w:rPr>
        <w:t>THE PUBLIC UTILITIES COMMISSION OF OHIO</w:t>
      </w:r>
    </w:p>
    <w:p w:rsidR="005A4BC3" w:rsidRPr="00AB750D" w:rsidP="005A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5A4BC3">
        <w:tblPrEx>
          <w:tblW w:w="9092" w:type="dxa"/>
          <w:tblInd w:w="0" w:type="dxa"/>
          <w:tblCellMar>
            <w:top w:w="0" w:type="dxa"/>
            <w:left w:w="108" w:type="dxa"/>
            <w:bottom w:w="0" w:type="dxa"/>
            <w:right w:w="108" w:type="dxa"/>
          </w:tblCellMar>
          <w:tblLook w:val="01E0"/>
        </w:tblPrEx>
        <w:trPr>
          <w:trHeight w:val="2322"/>
        </w:trPr>
        <w:tc>
          <w:tcPr>
            <w:tcW w:w="4332" w:type="dxa"/>
            <w:shd w:val="clear" w:color="auto" w:fill="auto"/>
          </w:tcPr>
          <w:p w:rsidR="005A4BC3" w:rsidRPr="00AB750D" w:rsidP="005A4BC3">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sidRPr="00AB750D">
              <w:rPr>
                <w:rFonts w:ascii="Times New Roman" w:hAnsi="Times New Roman" w:eastAsiaTheme="minorHAnsi" w:cs="Times New Roman"/>
                <w:sz w:val="24"/>
                <w:szCs w:val="24"/>
                <w:lang w:val="en-US" w:eastAsia="en-US" w:bidi="ar-SA"/>
              </w:rPr>
              <w:t xml:space="preserve">In the Matter of the Application of </w:t>
            </w:r>
          </w:p>
          <w:p w:rsidR="005A4BC3" w:rsidRPr="00AB750D" w:rsidP="005A4BC3">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sidRPr="00AB750D">
              <w:rPr>
                <w:rFonts w:ascii="Times New Roman" w:hAnsi="Times New Roman" w:eastAsiaTheme="minorHAnsi" w:cs="Times New Roman"/>
                <w:sz w:val="24"/>
                <w:szCs w:val="24"/>
                <w:lang w:val="en-US" w:eastAsia="en-US" w:bidi="ar-SA"/>
              </w:rPr>
              <w:t>Ohio Power Company for Authority to Establish a Standard Service Offer Pursuant to R.C. 4928.143, in the Form of an Electric Security Plan.</w:t>
            </w:r>
          </w:p>
          <w:p w:rsidR="005A4BC3" w:rsidRPr="00AB750D" w:rsidP="005A4BC3">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p>
          <w:p w:rsidR="005A4BC3" w:rsidRPr="00AB750D" w:rsidP="005A4BC3">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sidRPr="00AB750D">
              <w:rPr>
                <w:rFonts w:ascii="Times New Roman" w:hAnsi="Times New Roman" w:eastAsiaTheme="minorHAnsi" w:cs="Times New Roman"/>
                <w:sz w:val="24"/>
                <w:szCs w:val="24"/>
                <w:lang w:val="en-US" w:eastAsia="en-US" w:bidi="ar-SA"/>
              </w:rPr>
              <w:t>In the Matter of the Application of Ohio Power Company for Approval of Certain Accounting Authority.</w:t>
            </w:r>
          </w:p>
        </w:tc>
        <w:tc>
          <w:tcPr>
            <w:tcW w:w="360" w:type="dxa"/>
            <w:shd w:val="clear" w:color="auto" w:fill="auto"/>
          </w:tcPr>
          <w:p w:rsidR="005A4BC3" w:rsidRPr="00AB750D" w:rsidP="005A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AB750D">
              <w:rPr>
                <w:rFonts w:ascii="Times New Roman" w:eastAsia="Courier New" w:hAnsi="Times New Roman" w:cs="Times New Roman"/>
                <w:sz w:val="24"/>
                <w:szCs w:val="24"/>
                <w:lang w:val="en-US" w:eastAsia="en-US" w:bidi="ar-SA"/>
              </w:rPr>
              <w:t>)</w:t>
            </w:r>
          </w:p>
          <w:p w:rsidR="005A4BC3" w:rsidRPr="00AB750D" w:rsidP="005A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AB750D">
              <w:rPr>
                <w:rFonts w:ascii="Times New Roman" w:eastAsia="Courier New" w:hAnsi="Times New Roman" w:cs="Times New Roman"/>
                <w:sz w:val="24"/>
                <w:szCs w:val="24"/>
                <w:lang w:val="en-US" w:eastAsia="en-US" w:bidi="ar-SA"/>
              </w:rPr>
              <w:t>)</w:t>
            </w:r>
          </w:p>
          <w:p w:rsidR="005A4BC3" w:rsidRPr="00AB750D" w:rsidP="005A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AB750D">
              <w:rPr>
                <w:rFonts w:ascii="Times New Roman" w:eastAsia="Courier New" w:hAnsi="Times New Roman" w:cs="Times New Roman"/>
                <w:sz w:val="24"/>
                <w:szCs w:val="24"/>
                <w:lang w:val="en-US" w:eastAsia="en-US" w:bidi="ar-SA"/>
              </w:rPr>
              <w:t>)</w:t>
            </w:r>
          </w:p>
          <w:p w:rsidR="005A4BC3" w:rsidRPr="00AB750D" w:rsidP="005A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AB750D">
              <w:rPr>
                <w:rFonts w:ascii="Times New Roman" w:eastAsia="Courier New" w:hAnsi="Times New Roman" w:cs="Times New Roman"/>
                <w:sz w:val="24"/>
                <w:szCs w:val="24"/>
                <w:lang w:val="en-US" w:eastAsia="en-US" w:bidi="ar-SA"/>
              </w:rPr>
              <w:t>)</w:t>
            </w:r>
          </w:p>
          <w:p w:rsidR="005A4BC3" w:rsidRPr="00AB750D" w:rsidP="005A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AB750D">
              <w:rPr>
                <w:rFonts w:ascii="Times New Roman" w:eastAsia="Courier New" w:hAnsi="Times New Roman" w:cs="Times New Roman"/>
                <w:sz w:val="24"/>
                <w:szCs w:val="24"/>
                <w:lang w:val="en-US" w:eastAsia="en-US" w:bidi="ar-SA"/>
              </w:rPr>
              <w:t>)</w:t>
            </w:r>
          </w:p>
          <w:p w:rsidR="005A4BC3" w:rsidRPr="00AB750D" w:rsidP="005A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5A4BC3" w:rsidRPr="00AB750D" w:rsidP="005A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AB750D">
              <w:rPr>
                <w:rFonts w:ascii="Times New Roman" w:eastAsia="Courier New" w:hAnsi="Times New Roman" w:cs="Times New Roman"/>
                <w:sz w:val="24"/>
                <w:szCs w:val="24"/>
                <w:lang w:val="en-US" w:eastAsia="en-US" w:bidi="ar-SA"/>
              </w:rPr>
              <w:t>)</w:t>
            </w:r>
          </w:p>
          <w:p w:rsidR="005A4BC3" w:rsidRPr="00AB750D" w:rsidP="005A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AB750D">
              <w:rPr>
                <w:rFonts w:ascii="Times New Roman" w:eastAsia="Courier New" w:hAnsi="Times New Roman" w:cs="Times New Roman"/>
                <w:sz w:val="24"/>
                <w:szCs w:val="24"/>
                <w:lang w:val="en-US" w:eastAsia="en-US" w:bidi="ar-SA"/>
              </w:rPr>
              <w:t>)</w:t>
            </w:r>
          </w:p>
          <w:p w:rsidR="005A4BC3" w:rsidRPr="00AB750D" w:rsidP="005A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AB750D">
              <w:rPr>
                <w:rFonts w:ascii="Times New Roman" w:eastAsia="Courier New" w:hAnsi="Times New Roman" w:cs="Times New Roman"/>
                <w:sz w:val="24"/>
                <w:szCs w:val="24"/>
                <w:lang w:val="en-US" w:eastAsia="en-US" w:bidi="ar-SA"/>
              </w:rPr>
              <w:t>)</w:t>
            </w:r>
          </w:p>
        </w:tc>
        <w:tc>
          <w:tcPr>
            <w:tcW w:w="4400" w:type="dxa"/>
            <w:shd w:val="clear" w:color="auto" w:fill="auto"/>
          </w:tcPr>
          <w:p w:rsidR="005A4BC3" w:rsidRPr="00AB750D" w:rsidP="005A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5A4BC3" w:rsidRPr="00AB750D" w:rsidP="005A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AB750D">
              <w:rPr>
                <w:rFonts w:ascii="Times New Roman" w:eastAsia="Courier New" w:hAnsi="Times New Roman" w:cs="Times New Roman"/>
                <w:sz w:val="24"/>
                <w:szCs w:val="24"/>
                <w:lang w:val="en-US" w:eastAsia="en-US" w:bidi="ar-SA"/>
              </w:rPr>
              <w:t>Case No. 16-1852-EL-SSO</w:t>
            </w:r>
          </w:p>
          <w:p w:rsidR="005A4BC3" w:rsidRPr="00AB750D" w:rsidP="005A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5A4BC3" w:rsidRPr="00AB750D" w:rsidP="005A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5A4BC3" w:rsidRPr="00AB750D" w:rsidP="005A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5A4BC3" w:rsidRPr="00AB750D" w:rsidP="005A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5A4BC3" w:rsidRPr="00AB750D" w:rsidP="005A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5A4BC3" w:rsidRPr="00AB750D" w:rsidP="005A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AB750D">
              <w:rPr>
                <w:rFonts w:ascii="Times New Roman" w:eastAsia="Courier New" w:hAnsi="Times New Roman" w:cs="Times New Roman"/>
                <w:sz w:val="24"/>
                <w:szCs w:val="24"/>
                <w:lang w:val="en-US" w:eastAsia="en-US" w:bidi="ar-SA"/>
              </w:rPr>
              <w:t>Case No. 16-1853-EL-AAM</w:t>
            </w:r>
          </w:p>
          <w:p w:rsidR="005A4BC3" w:rsidRPr="00AB750D" w:rsidP="005A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5A4BC3" w:rsidRPr="00AB750D" w:rsidP="005A4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tc>
      </w:tr>
    </w:tbl>
    <w:p w:rsidR="005A4BC3" w:rsidRPr="00AB750D" w:rsidP="005A4BC3">
      <w:pPr>
        <w:pStyle w:val="HTMLPreformatted"/>
        <w:rPr>
          <w:rFonts w:ascii="Times New Roman" w:hAnsi="Times New Roman" w:cs="Times New Roman"/>
          <w:sz w:val="24"/>
          <w:szCs w:val="24"/>
        </w:rPr>
      </w:pPr>
    </w:p>
    <w:p w:rsidR="005A4BC3" w:rsidRPr="00AB750D" w:rsidP="005A4BC3">
      <w:pPr>
        <w:pBdr>
          <w:top w:val="single" w:sz="12" w:space="1" w:color="auto"/>
        </w:pBdr>
        <w:tabs>
          <w:tab w:val="left" w:pos="-720"/>
        </w:tabs>
        <w:suppressAutoHyphens/>
        <w:spacing w:after="0" w:line="240" w:lineRule="auto"/>
        <w:jc w:val="center"/>
        <w:rPr>
          <w:rFonts w:ascii="Times New Roman" w:hAnsi="Times New Roman" w:cs="Times New Roman"/>
          <w:b/>
          <w:spacing w:val="-3"/>
          <w:sz w:val="24"/>
          <w:szCs w:val="24"/>
        </w:rPr>
      </w:pPr>
    </w:p>
    <w:p w:rsidR="005A4BC3" w:rsidRPr="00AB750D" w:rsidP="005A4BC3">
      <w:pPr>
        <w:spacing w:after="0" w:line="240" w:lineRule="auto"/>
        <w:jc w:val="center"/>
        <w:rPr>
          <w:rFonts w:ascii="Times New Roman" w:hAnsi="Times New Roman" w:cs="Times New Roman"/>
          <w:b/>
          <w:sz w:val="24"/>
          <w:szCs w:val="24"/>
        </w:rPr>
      </w:pPr>
      <w:r w:rsidRPr="00AB750D">
        <w:rPr>
          <w:rFonts w:ascii="Times New Roman" w:hAnsi="Times New Roman" w:cs="Times New Roman"/>
          <w:b/>
          <w:sz w:val="24"/>
          <w:szCs w:val="24"/>
        </w:rPr>
        <w:t>REPLY BRIEF</w:t>
      </w:r>
    </w:p>
    <w:p w:rsidR="005A4BC3" w:rsidRPr="00AB750D" w:rsidP="005A4BC3">
      <w:pPr>
        <w:tabs>
          <w:tab w:val="center" w:pos="4680"/>
        </w:tabs>
        <w:suppressAutoHyphens/>
        <w:spacing w:after="0" w:line="240" w:lineRule="auto"/>
        <w:jc w:val="center"/>
        <w:rPr>
          <w:rFonts w:ascii="Times New Roman" w:hAnsi="Times New Roman" w:cs="Times New Roman"/>
          <w:b/>
          <w:spacing w:val="-3"/>
          <w:sz w:val="24"/>
          <w:szCs w:val="24"/>
        </w:rPr>
      </w:pPr>
      <w:r w:rsidRPr="00AB750D">
        <w:rPr>
          <w:rFonts w:ascii="Times New Roman" w:hAnsi="Times New Roman" w:cs="Times New Roman"/>
          <w:b/>
          <w:spacing w:val="-3"/>
          <w:sz w:val="24"/>
          <w:szCs w:val="24"/>
        </w:rPr>
        <w:t>BY</w:t>
      </w:r>
    </w:p>
    <w:p w:rsidR="005A4BC3" w:rsidRPr="00AB750D" w:rsidP="005A4BC3">
      <w:pPr>
        <w:tabs>
          <w:tab w:val="center" w:pos="4680"/>
        </w:tabs>
        <w:suppressAutoHyphens/>
        <w:spacing w:after="0" w:line="240" w:lineRule="auto"/>
        <w:jc w:val="center"/>
        <w:rPr>
          <w:rFonts w:ascii="Times New Roman" w:hAnsi="Times New Roman" w:cs="Times New Roman"/>
          <w:b/>
          <w:spacing w:val="-3"/>
          <w:sz w:val="24"/>
          <w:szCs w:val="24"/>
        </w:rPr>
      </w:pPr>
      <w:r w:rsidRPr="00AB750D">
        <w:rPr>
          <w:rFonts w:ascii="Times New Roman" w:hAnsi="Times New Roman" w:cs="Times New Roman"/>
          <w:b/>
          <w:spacing w:val="-3"/>
          <w:sz w:val="24"/>
          <w:szCs w:val="24"/>
        </w:rPr>
        <w:t>THE OFFICE OF THE OHIO CONSUMERS’ COUNSEL</w:t>
      </w:r>
      <w:r w:rsidRPr="00AB750D">
        <w:rPr>
          <w:rFonts w:ascii="Times New Roman" w:hAnsi="Times New Roman" w:cs="Times New Roman"/>
          <w:b/>
          <w:spacing w:val="-3"/>
          <w:sz w:val="24"/>
          <w:szCs w:val="24"/>
        </w:rPr>
        <w:softHyphen/>
      </w:r>
      <w:r w:rsidRPr="00AB750D">
        <w:rPr>
          <w:rFonts w:ascii="Times New Roman" w:hAnsi="Times New Roman" w:cs="Times New Roman"/>
          <w:b/>
          <w:spacing w:val="-3"/>
          <w:sz w:val="24"/>
          <w:szCs w:val="24"/>
        </w:rPr>
        <w:softHyphen/>
      </w:r>
      <w:r w:rsidRPr="00AB750D">
        <w:rPr>
          <w:rFonts w:ascii="Times New Roman" w:hAnsi="Times New Roman" w:cs="Times New Roman"/>
          <w:b/>
          <w:spacing w:val="-3"/>
          <w:sz w:val="24"/>
          <w:szCs w:val="24"/>
        </w:rPr>
        <w:softHyphen/>
      </w:r>
      <w:r w:rsidRPr="00AB750D">
        <w:rPr>
          <w:rFonts w:ascii="Times New Roman" w:hAnsi="Times New Roman" w:cs="Times New Roman"/>
          <w:b/>
          <w:spacing w:val="-3"/>
          <w:sz w:val="24"/>
          <w:szCs w:val="24"/>
        </w:rPr>
        <w:softHyphen/>
      </w:r>
    </w:p>
    <w:p w:rsidR="005A4BC3" w:rsidRPr="00AB750D" w:rsidP="005A4BC3">
      <w:pPr>
        <w:pBdr>
          <w:bottom w:val="single" w:sz="12" w:space="1" w:color="auto"/>
        </w:pBdr>
        <w:tabs>
          <w:tab w:val="left" w:pos="-720"/>
        </w:tabs>
        <w:suppressAutoHyphens/>
        <w:jc w:val="center"/>
        <w:rPr>
          <w:rFonts w:ascii="Times New Roman" w:hAnsi="Times New Roman" w:cs="Times New Roman"/>
          <w:b/>
          <w:spacing w:val="-3"/>
          <w:sz w:val="24"/>
          <w:szCs w:val="24"/>
        </w:rPr>
      </w:pPr>
    </w:p>
    <w:p w:rsidR="00AB750D" w:rsidRPr="00AB750D" w:rsidP="00473DBE">
      <w:pPr>
        <w:pStyle w:val="Heading1"/>
      </w:pPr>
      <w:bookmarkStart w:id="1" w:name="_Toc501633028"/>
      <w:bookmarkStart w:id="2" w:name="_Toc499709901"/>
      <w:r>
        <w:t>I.</w:t>
      </w:r>
      <w:r>
        <w:tab/>
      </w:r>
      <w:r w:rsidRPr="00AB750D">
        <w:t>INTRODUCTION</w:t>
      </w:r>
      <w:bookmarkEnd w:id="1"/>
      <w:r w:rsidRPr="00AB750D">
        <w:tab/>
      </w:r>
    </w:p>
    <w:p w:rsidR="00A8537A" w:rsidP="00A8537A">
      <w:pPr>
        <w:spacing w:after="0" w:line="480" w:lineRule="auto"/>
        <w:ind w:firstLine="720"/>
        <w:rPr>
          <w:rFonts w:ascii="Times New Roman" w:hAnsi="Times New Roman" w:cs="Times New Roman"/>
          <w:sz w:val="24"/>
          <w:szCs w:val="24"/>
        </w:rPr>
      </w:pPr>
      <w:r w:rsidRPr="00487A65">
        <w:rPr>
          <w:rFonts w:ascii="Times New Roman" w:hAnsi="Times New Roman" w:cs="Times New Roman"/>
          <w:sz w:val="24"/>
          <w:szCs w:val="24"/>
        </w:rPr>
        <w:t xml:space="preserve">The </w:t>
      </w:r>
      <w:r>
        <w:rPr>
          <w:rFonts w:ascii="Times New Roman" w:hAnsi="Times New Roman" w:cs="Times New Roman"/>
          <w:sz w:val="24"/>
          <w:szCs w:val="24"/>
        </w:rPr>
        <w:t>Joint Stipulation and Recommendation (“Settlement”)</w:t>
      </w:r>
      <w:r w:rsidRPr="00487A65">
        <w:rPr>
          <w:rFonts w:ascii="Times New Roman" w:hAnsi="Times New Roman" w:cs="Times New Roman"/>
          <w:sz w:val="24"/>
          <w:szCs w:val="24"/>
        </w:rPr>
        <w:t xml:space="preserve"> in this electric security plan (“ESP”) proceeding has only confirmed what consumers have</w:t>
      </w:r>
      <w:r w:rsidRPr="00961EF0">
        <w:rPr>
          <w:rFonts w:ascii="Times New Roman" w:hAnsi="Times New Roman" w:cs="Times New Roman"/>
          <w:sz w:val="24"/>
          <w:szCs w:val="24"/>
        </w:rPr>
        <w:t xml:space="preserve"> long known—that ESP</w:t>
      </w:r>
      <w:r w:rsidRPr="00487A65">
        <w:rPr>
          <w:rFonts w:ascii="Times New Roman" w:hAnsi="Times New Roman" w:cs="Times New Roman"/>
          <w:sz w:val="24"/>
          <w:szCs w:val="24"/>
        </w:rPr>
        <w:t>s and settlements are bad for consumers and the State of Ohio. And while the typical ESP is bad, this one is even worse given that it has authorized a utility to charge customers above market prices to subsidize two old, uneconomic coal plants, which can no longer compete in the competitive marketplace.</w:t>
      </w:r>
      <w:r>
        <w:rPr>
          <w:rFonts w:ascii="Times New Roman" w:hAnsi="Times New Roman" w:cs="Times New Roman"/>
          <w:sz w:val="24"/>
          <w:szCs w:val="24"/>
        </w:rPr>
        <w:t xml:space="preserve">  </w:t>
      </w:r>
      <w:r w:rsidRPr="00487A65">
        <w:rPr>
          <w:rFonts w:ascii="Times New Roman" w:hAnsi="Times New Roman" w:cs="Times New Roman"/>
          <w:sz w:val="24"/>
          <w:szCs w:val="24"/>
        </w:rPr>
        <w:t>This is contrary to competition and the intent of S.B. 3.</w:t>
      </w:r>
      <w:r>
        <w:rPr>
          <w:rStyle w:val="FootnoteReference"/>
          <w:rFonts w:ascii="Times New Roman" w:hAnsi="Times New Roman" w:cs="Times New Roman"/>
          <w:sz w:val="24"/>
          <w:szCs w:val="24"/>
        </w:rPr>
        <w:footnoteReference w:id="2"/>
      </w:r>
      <w:r w:rsidRPr="00487A65">
        <w:rPr>
          <w:rFonts w:ascii="Times New Roman" w:hAnsi="Times New Roman" w:cs="Times New Roman"/>
          <w:sz w:val="24"/>
          <w:szCs w:val="24"/>
        </w:rPr>
        <w:t xml:space="preserve"> </w:t>
      </w:r>
    </w:p>
    <w:p w:rsidR="00A8537A" w:rsidP="00A8537A">
      <w:pPr>
        <w:spacing w:after="0" w:line="480" w:lineRule="auto"/>
        <w:ind w:firstLine="720"/>
        <w:rPr>
          <w:rFonts w:ascii="Times New Roman" w:hAnsi="Times New Roman" w:cs="Times New Roman"/>
          <w:sz w:val="24"/>
          <w:szCs w:val="24"/>
        </w:rPr>
        <w:sectPr w:rsidSect="005A4BC3">
          <w:headerReference w:type="default" r:id="rId13"/>
          <w:footerReference w:type="default" r:id="rId14"/>
          <w:pgSz w:w="12240" w:h="15840"/>
          <w:pgMar w:top="1152" w:right="1800" w:bottom="1008" w:left="1800" w:header="720" w:footer="720" w:gutter="0"/>
          <w:pgNumType w:start="1"/>
          <w:cols w:space="720"/>
          <w:docGrid w:linePitch="360"/>
        </w:sectPr>
      </w:pPr>
      <w:r w:rsidRPr="00487A65">
        <w:rPr>
          <w:rFonts w:ascii="Times New Roman" w:hAnsi="Times New Roman" w:cs="Times New Roman"/>
          <w:sz w:val="24"/>
          <w:szCs w:val="24"/>
        </w:rPr>
        <w:t xml:space="preserve">Just as bad, the Settlement was the product of a settlement process that gives the utility unfair bargaining power by virtue of its veto power over any PUCO </w:t>
      </w:r>
    </w:p>
    <w:p w:rsidR="00961EF0" w:rsidRPr="00487A65" w:rsidP="00A8537A">
      <w:pPr>
        <w:spacing w:after="0" w:line="480" w:lineRule="auto"/>
        <w:rPr>
          <w:rFonts w:ascii="Times New Roman" w:hAnsi="Times New Roman" w:cs="Times New Roman"/>
          <w:sz w:val="24"/>
          <w:szCs w:val="24"/>
        </w:rPr>
      </w:pPr>
      <w:r w:rsidRPr="00487A65">
        <w:rPr>
          <w:rFonts w:ascii="Times New Roman" w:hAnsi="Times New Roman" w:cs="Times New Roman"/>
          <w:sz w:val="24"/>
          <w:szCs w:val="24"/>
        </w:rPr>
        <w:t>modifications.</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r w:rsidRPr="00487A65">
        <w:rPr>
          <w:rFonts w:ascii="Times New Roman" w:hAnsi="Times New Roman" w:cs="Times New Roman"/>
          <w:sz w:val="24"/>
          <w:szCs w:val="24"/>
        </w:rPr>
        <w:t>In order to protect consumers, the PUCO should eliminate ESPs and overhaul the settlement process in order to create a more just and reasonable process.</w:t>
      </w:r>
    </w:p>
    <w:p w:rsidR="00AB750D" w:rsidRPr="00AB750D" w:rsidP="00AB750D">
      <w:pPr>
        <w:spacing w:after="0" w:line="480" w:lineRule="auto"/>
        <w:ind w:firstLine="360"/>
        <w:rPr>
          <w:rFonts w:ascii="Times New Roman" w:hAnsi="Times New Roman" w:cs="Times New Roman"/>
          <w:b/>
          <w:bCs/>
          <w:iCs/>
          <w:sz w:val="24"/>
          <w:szCs w:val="24"/>
        </w:rPr>
      </w:pPr>
      <w:r>
        <w:rPr>
          <w:rFonts w:ascii="Times New Roman" w:hAnsi="Times New Roman" w:cs="Times New Roman"/>
          <w:bCs/>
          <w:iCs/>
          <w:sz w:val="24"/>
          <w:szCs w:val="24"/>
        </w:rPr>
        <w:tab/>
        <w:t>Through the Settlement,</w:t>
      </w:r>
      <w:r w:rsidRPr="00AB750D">
        <w:rPr>
          <w:rFonts w:ascii="Times New Roman" w:hAnsi="Times New Roman" w:cs="Times New Roman"/>
          <w:bCs/>
          <w:iCs/>
          <w:sz w:val="24"/>
          <w:szCs w:val="24"/>
        </w:rPr>
        <w:t xml:space="preserve"> Ohio Power Company (“AEP”) gives handouts to an elite few at customers’ expense. Staff claims that it is a “very popular” agreement.</w:t>
      </w:r>
      <w:r>
        <w:rPr>
          <w:rStyle w:val="FootnoteReference"/>
          <w:rFonts w:ascii="Times New Roman" w:hAnsi="Times New Roman" w:cs="Times New Roman"/>
          <w:bCs/>
          <w:iCs/>
          <w:sz w:val="24"/>
          <w:szCs w:val="24"/>
        </w:rPr>
        <w:footnoteReference w:id="4"/>
      </w:r>
      <w:r>
        <w:rPr>
          <w:rFonts w:ascii="Times New Roman" w:hAnsi="Times New Roman" w:cs="Times New Roman"/>
          <w:bCs/>
          <w:iCs/>
          <w:sz w:val="24"/>
          <w:szCs w:val="24"/>
        </w:rPr>
        <w:t xml:space="preserve">  </w:t>
      </w:r>
      <w:r w:rsidRPr="00AB750D">
        <w:rPr>
          <w:rFonts w:ascii="Times New Roman" w:hAnsi="Times New Roman" w:cs="Times New Roman"/>
          <w:bCs/>
          <w:iCs/>
          <w:sz w:val="24"/>
          <w:szCs w:val="24"/>
        </w:rPr>
        <w:t>It should be no surprise that those receiving handouts believe it to be a popular agreement.</w:t>
      </w:r>
      <w:r>
        <w:rPr>
          <w:rFonts w:ascii="Times New Roman" w:hAnsi="Times New Roman" w:cs="Times New Roman"/>
          <w:bCs/>
          <w:iCs/>
          <w:sz w:val="24"/>
          <w:szCs w:val="24"/>
        </w:rPr>
        <w:t xml:space="preserve">  </w:t>
      </w:r>
      <w:r w:rsidRPr="00AB750D">
        <w:rPr>
          <w:rFonts w:ascii="Times New Roman" w:hAnsi="Times New Roman" w:cs="Times New Roman"/>
          <w:bCs/>
          <w:iCs/>
          <w:sz w:val="24"/>
          <w:szCs w:val="24"/>
        </w:rPr>
        <w:t>After all, you don’t bite the hand that feeds you.</w:t>
      </w:r>
      <w:r>
        <w:rPr>
          <w:rFonts w:ascii="Times New Roman" w:hAnsi="Times New Roman" w:cs="Times New Roman"/>
          <w:bCs/>
          <w:iCs/>
          <w:sz w:val="24"/>
          <w:szCs w:val="24"/>
        </w:rPr>
        <w:t xml:space="preserve">  </w:t>
      </w:r>
      <w:r w:rsidRPr="00AB750D">
        <w:rPr>
          <w:rFonts w:ascii="Times New Roman" w:hAnsi="Times New Roman" w:cs="Times New Roman"/>
          <w:bCs/>
          <w:iCs/>
          <w:sz w:val="24"/>
          <w:szCs w:val="24"/>
        </w:rPr>
        <w:t>But being “very popular” is not the standard by which the Settlement must be judged.  The Public Utilities Commission of Ohio (“PUCO”)</w:t>
      </w:r>
      <w:r w:rsidRPr="00AB750D">
        <w:rPr>
          <w:rFonts w:ascii="Times New Roman" w:hAnsi="Times New Roman" w:cs="Times New Roman"/>
          <w:b/>
          <w:bCs/>
          <w:iCs/>
          <w:sz w:val="24"/>
          <w:szCs w:val="24"/>
        </w:rPr>
        <w:t xml:space="preserve"> </w:t>
      </w:r>
      <w:r w:rsidRPr="00AB750D">
        <w:rPr>
          <w:rFonts w:ascii="Times New Roman" w:hAnsi="Times New Roman" w:cs="Times New Roman"/>
          <w:bCs/>
          <w:iCs/>
          <w:sz w:val="24"/>
          <w:szCs w:val="24"/>
        </w:rPr>
        <w:t>should, and no doubt will, focus on the governing law, consumers, and the public interest.  The Settlement should be rejected on all counts.</w:t>
      </w:r>
      <w:r w:rsidRPr="00AB750D">
        <w:rPr>
          <w:rFonts w:ascii="Times New Roman" w:hAnsi="Times New Roman" w:cs="Times New Roman"/>
          <w:b/>
          <w:bCs/>
          <w:iCs/>
          <w:sz w:val="24"/>
          <w:szCs w:val="24"/>
        </w:rPr>
        <w:t xml:space="preserve">  </w:t>
      </w:r>
    </w:p>
    <w:p w:rsidR="00AB750D" w:rsidP="00AB750D">
      <w:pPr>
        <w:spacing w:after="0" w:line="480" w:lineRule="auto"/>
        <w:ind w:firstLine="360"/>
        <w:rPr>
          <w:rFonts w:ascii="Times New Roman" w:hAnsi="Times New Roman" w:cs="Times New Roman"/>
          <w:bCs/>
          <w:iCs/>
          <w:sz w:val="24"/>
          <w:szCs w:val="24"/>
        </w:rPr>
      </w:pPr>
      <w:r>
        <w:rPr>
          <w:rFonts w:ascii="Times New Roman" w:hAnsi="Times New Roman" w:cs="Times New Roman"/>
          <w:bCs/>
          <w:iCs/>
          <w:sz w:val="24"/>
          <w:szCs w:val="24"/>
        </w:rPr>
        <w:tab/>
      </w:r>
      <w:r w:rsidRPr="00AB750D">
        <w:rPr>
          <w:rFonts w:ascii="Times New Roman" w:hAnsi="Times New Roman" w:cs="Times New Roman"/>
          <w:bCs/>
          <w:iCs/>
          <w:sz w:val="24"/>
          <w:szCs w:val="24"/>
        </w:rPr>
        <w:t>If approved, AEP’s 1.3 million customers will be required to fund tens of millions of dollars in projects most will not use or benefit from.  Though proponents of the Settlement assert that it benefits both customers and the public interest, the assertion is unsupported by the record evidence.</w:t>
      </w:r>
      <w:r>
        <w:rPr>
          <w:rFonts w:ascii="Times New Roman" w:hAnsi="Times New Roman" w:cs="Times New Roman"/>
          <w:bCs/>
          <w:iCs/>
          <w:sz w:val="24"/>
          <w:szCs w:val="24"/>
        </w:rPr>
        <w:t xml:space="preserve">  </w:t>
      </w:r>
      <w:r w:rsidRPr="00AB750D">
        <w:rPr>
          <w:rFonts w:ascii="Times New Roman" w:hAnsi="Times New Roman" w:cs="Times New Roman"/>
          <w:bCs/>
          <w:iCs/>
          <w:sz w:val="24"/>
          <w:szCs w:val="24"/>
        </w:rPr>
        <w:t>The Settlement’s true cost is unknown, as it contains multiple proposals whose costs will only be identified later.</w:t>
      </w:r>
      <w:r>
        <w:rPr>
          <w:rFonts w:ascii="Times New Roman" w:hAnsi="Times New Roman" w:cs="Times New Roman"/>
          <w:bCs/>
          <w:iCs/>
          <w:sz w:val="24"/>
          <w:szCs w:val="24"/>
        </w:rPr>
        <w:t xml:space="preserve">  </w:t>
      </w:r>
      <w:r w:rsidRPr="00AB750D">
        <w:rPr>
          <w:rFonts w:ascii="Times New Roman" w:hAnsi="Times New Roman" w:cs="Times New Roman"/>
          <w:bCs/>
          <w:iCs/>
          <w:sz w:val="24"/>
          <w:szCs w:val="24"/>
        </w:rPr>
        <w:t xml:space="preserve">The Settlement’s purported benefits are unknown, as AEP seeks to </w:t>
      </w:r>
      <w:r>
        <w:rPr>
          <w:rFonts w:ascii="Times New Roman" w:hAnsi="Times New Roman" w:cs="Times New Roman"/>
          <w:bCs/>
          <w:iCs/>
          <w:sz w:val="24"/>
          <w:szCs w:val="24"/>
        </w:rPr>
        <w:t>charge customers for programs</w:t>
      </w:r>
      <w:r w:rsidRPr="00AB750D">
        <w:rPr>
          <w:rFonts w:ascii="Times New Roman" w:hAnsi="Times New Roman" w:cs="Times New Roman"/>
          <w:bCs/>
          <w:iCs/>
          <w:sz w:val="24"/>
          <w:szCs w:val="24"/>
        </w:rPr>
        <w:t xml:space="preserve"> they have no plans to implement</w:t>
      </w:r>
      <w:r>
        <w:rPr>
          <w:rFonts w:ascii="Times New Roman" w:hAnsi="Times New Roman" w:cs="Times New Roman"/>
          <w:bCs/>
          <w:iCs/>
          <w:sz w:val="24"/>
          <w:szCs w:val="24"/>
        </w:rPr>
        <w:t xml:space="preserve"> and thus will have no benefits</w:t>
      </w:r>
      <w:r w:rsidRPr="00AB750D">
        <w:rPr>
          <w:rFonts w:ascii="Times New Roman" w:hAnsi="Times New Roman" w:cs="Times New Roman"/>
          <w:bCs/>
          <w:iCs/>
          <w:sz w:val="24"/>
          <w:szCs w:val="24"/>
        </w:rPr>
        <w:t xml:space="preserve">.  Put simply, AEP seeks to increase charges for electric service now and work out the details later.  The Settlement increases costs to all, but only benefits a few.  The electric security plan (“ESP”) embodied in the Settlement is not more favorable in the aggregate </w:t>
      </w:r>
      <w:r>
        <w:rPr>
          <w:rFonts w:ascii="Times New Roman" w:hAnsi="Times New Roman" w:cs="Times New Roman"/>
          <w:bCs/>
          <w:iCs/>
          <w:sz w:val="24"/>
          <w:szCs w:val="24"/>
        </w:rPr>
        <w:t xml:space="preserve">to customers </w:t>
      </w:r>
      <w:r w:rsidRPr="00AB750D">
        <w:rPr>
          <w:rFonts w:ascii="Times New Roman" w:hAnsi="Times New Roman" w:cs="Times New Roman"/>
          <w:bCs/>
          <w:iCs/>
          <w:sz w:val="24"/>
          <w:szCs w:val="24"/>
        </w:rPr>
        <w:t>than a market rate offer (“MRO”), so it fails the MRO v. ESP test.  The Settlement should be rejected.</w:t>
      </w:r>
    </w:p>
    <w:p w:rsidR="008A507D" w:rsidRPr="00AB750D" w:rsidP="008A507D">
      <w:pPr>
        <w:spacing w:after="0" w:line="240" w:lineRule="auto"/>
        <w:ind w:firstLine="360"/>
        <w:rPr>
          <w:rFonts w:ascii="Times New Roman" w:hAnsi="Times New Roman" w:cs="Times New Roman"/>
          <w:bCs/>
          <w:iCs/>
          <w:sz w:val="24"/>
          <w:szCs w:val="24"/>
        </w:rPr>
      </w:pPr>
    </w:p>
    <w:p w:rsidR="00AB750D" w:rsidRPr="00AB750D" w:rsidP="00473DBE">
      <w:pPr>
        <w:pStyle w:val="Heading1"/>
      </w:pPr>
      <w:bookmarkStart w:id="3" w:name="_Toc501633029"/>
      <w:r>
        <w:t>II.</w:t>
      </w:r>
      <w:r>
        <w:tab/>
      </w:r>
      <w:r w:rsidRPr="00AB750D">
        <w:t>RECOMMENDATIONS</w:t>
      </w:r>
      <w:bookmarkEnd w:id="3"/>
    </w:p>
    <w:p w:rsidR="00AB750D" w:rsidRPr="00AB750D" w:rsidP="00AB750D">
      <w:pPr>
        <w:pStyle w:val="Heading2"/>
      </w:pPr>
      <w:bookmarkStart w:id="4" w:name="_Toc501633030"/>
      <w:r>
        <w:t>A.</w:t>
      </w:r>
      <w:r>
        <w:tab/>
      </w:r>
      <w:r w:rsidRPr="00AB750D">
        <w:t>The Settlement should be rejected because, as a package, it does not benefit customers and the public interest.</w:t>
      </w:r>
      <w:bookmarkEnd w:id="4"/>
    </w:p>
    <w:p w:rsidR="00AB750D" w:rsidRPr="00AB750D" w:rsidP="00AB750D">
      <w:pPr>
        <w:pStyle w:val="BodyA"/>
        <w:spacing w:line="480" w:lineRule="auto"/>
        <w:ind w:firstLine="360"/>
        <w:rPr>
          <w:rFonts w:hAnsi="Times New Roman" w:cs="Times New Roman"/>
        </w:rPr>
      </w:pPr>
      <w:r>
        <w:rPr>
          <w:rFonts w:hAnsi="Times New Roman" w:cs="Times New Roman"/>
        </w:rPr>
        <w:tab/>
      </w:r>
      <w:r w:rsidRPr="00AB750D">
        <w:rPr>
          <w:rFonts w:hAnsi="Times New Roman" w:cs="Times New Roman"/>
        </w:rPr>
        <w:t>The PUCO reviews the Settlement, as a package, to determine if it benefits customers and the public interest.</w:t>
      </w:r>
      <w:r>
        <w:rPr>
          <w:rStyle w:val="FootnoteReference"/>
          <w:rFonts w:hAnsi="Times New Roman" w:cs="Times New Roman"/>
        </w:rPr>
        <w:footnoteReference w:id="5"/>
      </w:r>
      <w:r w:rsidRPr="00AB750D">
        <w:rPr>
          <w:rFonts w:hAnsi="Times New Roman" w:cs="Times New Roman"/>
        </w:rPr>
        <w:t xml:space="preserve">  Proponents of the Settlement have failed to prove that it, as a package, benefits </w:t>
      </w:r>
      <w:r w:rsidRPr="00AB750D">
        <w:rPr>
          <w:rFonts w:hAnsi="Times New Roman" w:cs="Times New Roman"/>
          <w:i/>
        </w:rPr>
        <w:t>both</w:t>
      </w:r>
      <w:r w:rsidRPr="00AB750D">
        <w:rPr>
          <w:rFonts w:hAnsi="Times New Roman" w:cs="Times New Roman"/>
        </w:rPr>
        <w:t xml:space="preserve"> customers and the public interest.</w:t>
      </w:r>
      <w:r>
        <w:rPr>
          <w:rFonts w:hAnsi="Times New Roman" w:cs="Times New Roman"/>
        </w:rPr>
        <w:t xml:space="preserve">  </w:t>
      </w:r>
      <w:r w:rsidRPr="00AB750D">
        <w:rPr>
          <w:rFonts w:hAnsi="Times New Roman" w:cs="Times New Roman"/>
        </w:rPr>
        <w:t>AEP wrongfully believes that the Office of the Ohio Consumers’ Counsel (“OCC”) is selectively challenging portions of the Settlement as having no benefits.</w:t>
      </w:r>
      <w:r>
        <w:rPr>
          <w:rStyle w:val="FootnoteReference"/>
          <w:rFonts w:hAnsi="Times New Roman" w:cs="Times New Roman"/>
        </w:rPr>
        <w:footnoteReference w:id="6"/>
      </w:r>
      <w:r>
        <w:rPr>
          <w:rFonts w:hAnsi="Times New Roman" w:cs="Times New Roman"/>
        </w:rPr>
        <w:t xml:space="preserve">  </w:t>
      </w:r>
      <w:r w:rsidRPr="00AB750D">
        <w:rPr>
          <w:rFonts w:hAnsi="Times New Roman" w:cs="Times New Roman"/>
        </w:rPr>
        <w:t xml:space="preserve">AEP asserts that the benefits are there.  But the assertion lacks record support. </w:t>
      </w:r>
    </w:p>
    <w:p w:rsidR="00AB750D" w:rsidRPr="00AB750D" w:rsidP="00AB750D">
      <w:pPr>
        <w:pStyle w:val="BodyA"/>
        <w:spacing w:line="480" w:lineRule="auto"/>
        <w:ind w:firstLine="360"/>
        <w:rPr>
          <w:rFonts w:hAnsi="Times New Roman" w:cs="Times New Roman"/>
        </w:rPr>
      </w:pPr>
      <w:r>
        <w:rPr>
          <w:rFonts w:hAnsi="Times New Roman" w:cs="Times New Roman"/>
        </w:rPr>
        <w:tab/>
      </w:r>
      <w:r w:rsidRPr="00AB750D">
        <w:rPr>
          <w:rFonts w:hAnsi="Times New Roman" w:cs="Times New Roman"/>
        </w:rPr>
        <w:t>The PUCO cannot possibly analyze the costs and benefits of the Renewable Generation Rider (“RGR”) or the PowerForward Rider because the</w:t>
      </w:r>
      <w:r>
        <w:rPr>
          <w:rFonts w:hAnsi="Times New Roman" w:cs="Times New Roman"/>
        </w:rPr>
        <w:t>se</w:t>
      </w:r>
      <w:r w:rsidRPr="00AB750D">
        <w:rPr>
          <w:rFonts w:hAnsi="Times New Roman" w:cs="Times New Roman"/>
        </w:rPr>
        <w:t xml:space="preserve"> Riders’</w:t>
      </w:r>
      <w:r>
        <w:rPr>
          <w:rFonts w:hAnsi="Times New Roman" w:cs="Times New Roman"/>
        </w:rPr>
        <w:t xml:space="preserve"> are placeholders whose</w:t>
      </w:r>
      <w:r w:rsidRPr="00AB750D">
        <w:rPr>
          <w:rFonts w:hAnsi="Times New Roman" w:cs="Times New Roman"/>
        </w:rPr>
        <w:t xml:space="preserve"> costs </w:t>
      </w:r>
      <w:r>
        <w:rPr>
          <w:rFonts w:hAnsi="Times New Roman" w:cs="Times New Roman"/>
        </w:rPr>
        <w:t xml:space="preserve">cannot be determined until some future time, and </w:t>
      </w:r>
      <w:r w:rsidRPr="00AB750D">
        <w:rPr>
          <w:rFonts w:hAnsi="Times New Roman" w:cs="Times New Roman"/>
        </w:rPr>
        <w:t>are unknown</w:t>
      </w:r>
      <w:r>
        <w:rPr>
          <w:rFonts w:hAnsi="Times New Roman" w:cs="Times New Roman"/>
        </w:rPr>
        <w:t xml:space="preserve"> now</w:t>
      </w:r>
      <w:r w:rsidRPr="00AB750D">
        <w:rPr>
          <w:rFonts w:hAnsi="Times New Roman" w:cs="Times New Roman"/>
        </w:rPr>
        <w:t xml:space="preserve">.  AEP ignores the numerous programs that benefit a few at the cost of </w:t>
      </w:r>
      <w:r w:rsidRPr="00AB750D">
        <w:rPr>
          <w:rFonts w:hAnsi="Times New Roman" w:cs="Times New Roman"/>
          <w:i/>
        </w:rPr>
        <w:t>all</w:t>
      </w:r>
      <w:r w:rsidRPr="00AB750D">
        <w:rPr>
          <w:rFonts w:hAnsi="Times New Roman" w:cs="Times New Roman"/>
        </w:rPr>
        <w:t xml:space="preserve"> customers.  The Smart City Rider (“SCR”), electric vehicle (“EV”) charging stations, and microgrids </w:t>
      </w:r>
      <w:r>
        <w:rPr>
          <w:rFonts w:hAnsi="Times New Roman" w:cs="Times New Roman"/>
        </w:rPr>
        <w:t xml:space="preserve">may provide a benefit, but only for </w:t>
      </w:r>
      <w:r w:rsidRPr="00AB750D">
        <w:rPr>
          <w:rFonts w:hAnsi="Times New Roman" w:cs="Times New Roman"/>
        </w:rPr>
        <w:t>a select few</w:t>
      </w:r>
      <w:r>
        <w:rPr>
          <w:rFonts w:hAnsi="Times New Roman" w:cs="Times New Roman"/>
        </w:rPr>
        <w:t xml:space="preserve">.  And it is </w:t>
      </w:r>
      <w:r w:rsidRPr="00AB750D">
        <w:rPr>
          <w:rFonts w:hAnsi="Times New Roman" w:cs="Times New Roman"/>
        </w:rPr>
        <w:t xml:space="preserve">funded by all AEP customers.  The Settlement, as a package, should not be approved because it does not benefit both customers and the public interest. </w:t>
      </w:r>
    </w:p>
    <w:p w:rsidR="00AB750D" w:rsidRPr="00AB750D" w:rsidP="008A507D">
      <w:pPr>
        <w:pStyle w:val="Heading3"/>
      </w:pPr>
      <w:bookmarkStart w:id="5" w:name="_Toc501633031"/>
      <w:r>
        <w:t>1.</w:t>
      </w:r>
      <w:r>
        <w:tab/>
      </w:r>
      <w:r w:rsidRPr="00AB750D">
        <w:t>There is no showing of any benefits</w:t>
      </w:r>
      <w:r>
        <w:t xml:space="preserve"> to customers</w:t>
      </w:r>
      <w:r w:rsidRPr="00AB750D">
        <w:t xml:space="preserve"> associated with the </w:t>
      </w:r>
      <w:r>
        <w:t>Renewable Generation Rider</w:t>
      </w:r>
      <w:r w:rsidRPr="00AB750D">
        <w:t xml:space="preserve"> and PowerForward Riders, and the Riders’ cost to customers is unknown.</w:t>
      </w:r>
      <w:bookmarkEnd w:id="5"/>
      <w:r w:rsidRPr="00AB750D">
        <w:t xml:space="preserve"> </w:t>
      </w:r>
    </w:p>
    <w:p w:rsidR="00AB750D" w:rsidRPr="00AB750D" w:rsidP="00AB750D">
      <w:pPr>
        <w:pStyle w:val="BodyA"/>
        <w:spacing w:line="480" w:lineRule="auto"/>
        <w:ind w:firstLine="720"/>
        <w:rPr>
          <w:rFonts w:hAnsi="Times New Roman" w:cs="Times New Roman"/>
        </w:rPr>
      </w:pPr>
      <w:r w:rsidRPr="00AB750D">
        <w:rPr>
          <w:rFonts w:hAnsi="Times New Roman" w:cs="Times New Roman"/>
        </w:rPr>
        <w:t>AEP and Staff witnesses testified that the real costs of both the RGR and PowerForward Riders are unknown.</w:t>
      </w:r>
      <w:r>
        <w:rPr>
          <w:rFonts w:hAnsi="Times New Roman" w:cs="Times New Roman"/>
        </w:rPr>
        <w:t xml:space="preserve">  </w:t>
      </w:r>
      <w:r w:rsidRPr="00AB750D">
        <w:rPr>
          <w:rFonts w:hAnsi="Times New Roman" w:cs="Times New Roman"/>
        </w:rPr>
        <w:t>AEP witness William Allen admitted that there are no cost calculations for either the RGR or the PowerForward Riders.</w:t>
      </w:r>
      <w:r>
        <w:rPr>
          <w:rStyle w:val="FootnoteReference"/>
          <w:rFonts w:hAnsi="Times New Roman" w:cs="Times New Roman"/>
        </w:rPr>
        <w:footnoteReference w:id="7"/>
      </w:r>
      <w:r w:rsidRPr="00AB750D">
        <w:rPr>
          <w:rFonts w:hAnsi="Times New Roman" w:cs="Times New Roman"/>
        </w:rPr>
        <w:t xml:space="preserve">  Similarly, Staff witness Tamara S. Turkenton admitted that Staff did not quantify the cost of the PowerForward Rider.</w:t>
      </w:r>
      <w:r>
        <w:rPr>
          <w:rStyle w:val="FootnoteReference"/>
          <w:rFonts w:hAnsi="Times New Roman" w:cs="Times New Roman"/>
        </w:rPr>
        <w:footnoteReference w:id="8"/>
      </w:r>
      <w:r w:rsidRPr="00AB750D">
        <w:rPr>
          <w:rFonts w:hAnsi="Times New Roman" w:cs="Times New Roman"/>
        </w:rPr>
        <w:t xml:space="preserve">  So AEP, Staff, the PUCO, and Ohioans have no idea what the ultimate cost of the RGR and PowerForward Riders will be. </w:t>
      </w:r>
    </w:p>
    <w:p w:rsidR="00AB750D" w:rsidRPr="00AB750D" w:rsidP="00AB750D">
      <w:pPr>
        <w:pStyle w:val="BodyA"/>
        <w:spacing w:line="480" w:lineRule="auto"/>
        <w:ind w:firstLine="720"/>
        <w:rPr>
          <w:rFonts w:hAnsi="Times New Roman" w:cs="Times New Roman"/>
        </w:rPr>
      </w:pPr>
      <w:r w:rsidRPr="00AB750D">
        <w:rPr>
          <w:rFonts w:hAnsi="Times New Roman" w:cs="Times New Roman"/>
        </w:rPr>
        <w:t>AEP witness Allen acknowledged that there are currently no programs to include in the PowerForward Rider.</w:t>
      </w:r>
      <w:r>
        <w:rPr>
          <w:rStyle w:val="FootnoteReference"/>
          <w:rFonts w:hAnsi="Times New Roman" w:cs="Times New Roman"/>
        </w:rPr>
        <w:footnoteReference w:id="9"/>
      </w:r>
      <w:r>
        <w:rPr>
          <w:rFonts w:hAnsi="Times New Roman" w:cs="Times New Roman"/>
        </w:rPr>
        <w:t xml:space="preserve">  </w:t>
      </w:r>
      <w:r w:rsidRPr="00AB750D">
        <w:rPr>
          <w:rFonts w:hAnsi="Times New Roman" w:cs="Times New Roman"/>
        </w:rPr>
        <w:t>Although the PUCO may come out with directives for PowerForward at some (unknown) future point in time, there is no timeline for when AEP expects the PUCO to issue orders regarding the PowerForward initiative.</w:t>
      </w:r>
      <w:r>
        <w:rPr>
          <w:rStyle w:val="FootnoteReference"/>
          <w:rFonts w:hAnsi="Times New Roman" w:cs="Times New Roman"/>
        </w:rPr>
        <w:footnoteReference w:id="10"/>
      </w:r>
      <w:r>
        <w:rPr>
          <w:rFonts w:hAnsi="Times New Roman" w:cs="Times New Roman"/>
        </w:rPr>
        <w:t xml:space="preserve">  </w:t>
      </w:r>
      <w:r w:rsidRPr="00AB750D">
        <w:rPr>
          <w:rFonts w:hAnsi="Times New Roman" w:cs="Times New Roman"/>
        </w:rPr>
        <w:t>And as Staff witness Krystina Schaefer conceded, there is not even a “vision document,” or any formal directives, from the PUCO regarding PowerForward.</w:t>
      </w:r>
      <w:r>
        <w:rPr>
          <w:rStyle w:val="FootnoteReference"/>
          <w:rFonts w:hAnsi="Times New Roman" w:cs="Times New Roman"/>
        </w:rPr>
        <w:footnoteReference w:id="11"/>
      </w:r>
      <w:r>
        <w:rPr>
          <w:rFonts w:hAnsi="Times New Roman" w:cs="Times New Roman"/>
        </w:rPr>
        <w:t xml:space="preserve">  </w:t>
      </w:r>
      <w:r w:rsidRPr="00AB750D">
        <w:rPr>
          <w:rFonts w:hAnsi="Times New Roman" w:cs="Times New Roman"/>
        </w:rPr>
        <w:t xml:space="preserve">So AEP, Staff, the PUCO, and Ohioans have no idea what the PowerForward Rider is </w:t>
      </w:r>
      <w:r>
        <w:rPr>
          <w:rFonts w:hAnsi="Times New Roman" w:cs="Times New Roman"/>
        </w:rPr>
        <w:t xml:space="preserve">ultimately </w:t>
      </w:r>
      <w:r w:rsidRPr="00AB750D">
        <w:rPr>
          <w:rFonts w:hAnsi="Times New Roman" w:cs="Times New Roman"/>
        </w:rPr>
        <w:t xml:space="preserve">for.   </w:t>
      </w:r>
    </w:p>
    <w:p w:rsidR="00AB750D" w:rsidRPr="00AB750D" w:rsidP="00AB750D">
      <w:pPr>
        <w:pStyle w:val="BodyA"/>
        <w:spacing w:line="480" w:lineRule="auto"/>
        <w:ind w:firstLine="720"/>
        <w:rPr>
          <w:rFonts w:hAnsi="Times New Roman" w:cs="Times New Roman"/>
        </w:rPr>
      </w:pPr>
      <w:r w:rsidRPr="00AB750D">
        <w:rPr>
          <w:rFonts w:hAnsi="Times New Roman" w:cs="Times New Roman"/>
        </w:rPr>
        <w:t>But it gets worse for consumers.</w:t>
      </w:r>
      <w:r>
        <w:rPr>
          <w:rFonts w:hAnsi="Times New Roman" w:cs="Times New Roman"/>
        </w:rPr>
        <w:t xml:space="preserve">  </w:t>
      </w:r>
      <w:r w:rsidRPr="00AB750D">
        <w:rPr>
          <w:rFonts w:hAnsi="Times New Roman" w:cs="Times New Roman"/>
        </w:rPr>
        <w:t>Consumers can be charged for poor business deals between AEP and third parties.</w:t>
      </w:r>
      <w:r>
        <w:rPr>
          <w:rFonts w:hAnsi="Times New Roman" w:cs="Times New Roman"/>
        </w:rPr>
        <w:t xml:space="preserve">  </w:t>
      </w:r>
      <w:r w:rsidRPr="00AB750D">
        <w:rPr>
          <w:rFonts w:hAnsi="Times New Roman" w:cs="Times New Roman"/>
        </w:rPr>
        <w:t>Under the proposed RGR, AEP can sell renewable energy into the wholesale market or enter into special arrangements.</w:t>
      </w:r>
      <w:r>
        <w:rPr>
          <w:rStyle w:val="FootnoteReference"/>
          <w:rFonts w:hAnsi="Times New Roman" w:cs="Times New Roman"/>
        </w:rPr>
        <w:footnoteReference w:id="12"/>
      </w:r>
      <w:r>
        <w:rPr>
          <w:rFonts w:hAnsi="Times New Roman" w:cs="Times New Roman"/>
        </w:rPr>
        <w:t xml:space="preserve">  </w:t>
      </w:r>
      <w:r w:rsidRPr="00AB750D">
        <w:rPr>
          <w:rFonts w:hAnsi="Times New Roman" w:cs="Times New Roman"/>
        </w:rPr>
        <w:t>When AEP enters into a special arrangement, it can sell the renewable energy at any price.</w:t>
      </w:r>
      <w:r>
        <w:rPr>
          <w:rFonts w:hAnsi="Times New Roman" w:cs="Times New Roman"/>
        </w:rPr>
        <w:t xml:space="preserve">  </w:t>
      </w:r>
      <w:r w:rsidRPr="00AB750D">
        <w:rPr>
          <w:rFonts w:hAnsi="Times New Roman" w:cs="Times New Roman"/>
        </w:rPr>
        <w:t xml:space="preserve">AEP witness Allen admitted that the </w:t>
      </w:r>
      <w:r>
        <w:rPr>
          <w:rFonts w:hAnsi="Times New Roman" w:cs="Times New Roman"/>
        </w:rPr>
        <w:t xml:space="preserve">selling </w:t>
      </w:r>
      <w:r w:rsidRPr="00AB750D">
        <w:rPr>
          <w:rFonts w:hAnsi="Times New Roman" w:cs="Times New Roman"/>
        </w:rPr>
        <w:t xml:space="preserve">price could be less than the revenue </w:t>
      </w:r>
      <w:r>
        <w:rPr>
          <w:rFonts w:hAnsi="Times New Roman" w:cs="Times New Roman"/>
        </w:rPr>
        <w:t xml:space="preserve">it </w:t>
      </w:r>
      <w:r w:rsidRPr="00AB750D">
        <w:rPr>
          <w:rFonts w:hAnsi="Times New Roman" w:cs="Times New Roman"/>
        </w:rPr>
        <w:t>would have</w:t>
      </w:r>
      <w:r>
        <w:rPr>
          <w:rFonts w:hAnsi="Times New Roman" w:cs="Times New Roman"/>
        </w:rPr>
        <w:t xml:space="preserve"> received </w:t>
      </w:r>
      <w:r w:rsidRPr="00AB750D">
        <w:rPr>
          <w:rFonts w:hAnsi="Times New Roman" w:cs="Times New Roman"/>
        </w:rPr>
        <w:t xml:space="preserve">had the </w:t>
      </w:r>
      <w:r>
        <w:rPr>
          <w:rFonts w:hAnsi="Times New Roman" w:cs="Times New Roman"/>
        </w:rPr>
        <w:t xml:space="preserve">energy </w:t>
      </w:r>
      <w:r w:rsidRPr="00AB750D">
        <w:rPr>
          <w:rFonts w:hAnsi="Times New Roman" w:cs="Times New Roman"/>
        </w:rPr>
        <w:t xml:space="preserve">been sold </w:t>
      </w:r>
      <w:r>
        <w:rPr>
          <w:rFonts w:hAnsi="Times New Roman" w:cs="Times New Roman"/>
        </w:rPr>
        <w:t>into</w:t>
      </w:r>
      <w:r w:rsidRPr="00AB750D">
        <w:rPr>
          <w:rFonts w:hAnsi="Times New Roman" w:cs="Times New Roman"/>
        </w:rPr>
        <w:t xml:space="preserve"> the wholesale market.</w:t>
      </w:r>
      <w:r>
        <w:rPr>
          <w:rStyle w:val="FootnoteReference"/>
          <w:rFonts w:hAnsi="Times New Roman" w:cs="Times New Roman"/>
        </w:rPr>
        <w:footnoteReference w:id="13"/>
      </w:r>
      <w:r>
        <w:rPr>
          <w:rFonts w:hAnsi="Times New Roman" w:cs="Times New Roman"/>
        </w:rPr>
        <w:t xml:space="preserve">  Under the rider, less revenue means greater costs to customers who must make up the difference between the cost of producing the energy and the revenue derived from the selling price.  </w:t>
      </w:r>
      <w:r w:rsidRPr="00AB750D">
        <w:rPr>
          <w:rFonts w:hAnsi="Times New Roman" w:cs="Times New Roman"/>
        </w:rPr>
        <w:t>Because the revenue from the wholesale market would be used to offset the costs of projects under the RGR,</w:t>
      </w:r>
      <w:r>
        <w:rPr>
          <w:rStyle w:val="FootnoteReference"/>
          <w:rFonts w:hAnsi="Times New Roman" w:cs="Times New Roman"/>
        </w:rPr>
        <w:footnoteReference w:id="14"/>
      </w:r>
      <w:r w:rsidRPr="00AB750D">
        <w:rPr>
          <w:rFonts w:hAnsi="Times New Roman" w:cs="Times New Roman"/>
        </w:rPr>
        <w:t xml:space="preserve"> </w:t>
      </w:r>
      <w:r>
        <w:rPr>
          <w:rFonts w:hAnsi="Times New Roman" w:cs="Times New Roman"/>
        </w:rPr>
        <w:t xml:space="preserve">which costs are not capped, </w:t>
      </w:r>
      <w:r w:rsidRPr="00AB750D">
        <w:rPr>
          <w:rFonts w:hAnsi="Times New Roman" w:cs="Times New Roman"/>
        </w:rPr>
        <w:t xml:space="preserve">the special arrangement </w:t>
      </w:r>
      <w:r>
        <w:rPr>
          <w:rFonts w:hAnsi="Times New Roman" w:cs="Times New Roman"/>
        </w:rPr>
        <w:t>c</w:t>
      </w:r>
      <w:r w:rsidRPr="00AB750D">
        <w:rPr>
          <w:rFonts w:hAnsi="Times New Roman" w:cs="Times New Roman"/>
        </w:rPr>
        <w:t xml:space="preserve">ould cost consumers more money.  </w:t>
      </w:r>
    </w:p>
    <w:p w:rsidR="00AB750D" w:rsidRPr="00AB750D" w:rsidP="00AB750D">
      <w:pPr>
        <w:pStyle w:val="BodyA"/>
        <w:spacing w:line="480" w:lineRule="auto"/>
        <w:ind w:firstLine="720"/>
        <w:rPr>
          <w:rFonts w:hAnsi="Times New Roman" w:cs="Times New Roman"/>
        </w:rPr>
      </w:pPr>
      <w:r w:rsidRPr="00AB750D">
        <w:rPr>
          <w:rFonts w:hAnsi="Times New Roman" w:cs="Times New Roman"/>
        </w:rPr>
        <w:t>AEP, as the applicant, has the burden in this proceeding.</w:t>
      </w:r>
      <w:r>
        <w:rPr>
          <w:rStyle w:val="FootnoteReference"/>
          <w:rFonts w:hAnsi="Times New Roman" w:cs="Times New Roman"/>
        </w:rPr>
        <w:footnoteReference w:id="15"/>
      </w:r>
      <w:r w:rsidRPr="00AB750D">
        <w:rPr>
          <w:rFonts w:hAnsi="Times New Roman" w:cs="Times New Roman"/>
        </w:rPr>
        <w:t xml:space="preserve">  But it has failed to provide evidence that either the RGR or the PowerForward Rider benefits customers.  It has completely failed to provide any record evidence of the Riders’ costs.</w:t>
      </w:r>
      <w:r>
        <w:rPr>
          <w:rFonts w:hAnsi="Times New Roman" w:cs="Times New Roman"/>
        </w:rPr>
        <w:t xml:space="preserve">  </w:t>
      </w:r>
      <w:r w:rsidRPr="00AB750D">
        <w:rPr>
          <w:rFonts w:hAnsi="Times New Roman" w:cs="Times New Roman"/>
        </w:rPr>
        <w:t xml:space="preserve">The actual costs of the Riders are unknown.  The Riders should not be approved. </w:t>
      </w:r>
    </w:p>
    <w:p w:rsidR="00AB750D" w:rsidRPr="00AB750D" w:rsidP="008A507D">
      <w:pPr>
        <w:pStyle w:val="Heading3"/>
      </w:pPr>
      <w:bookmarkStart w:id="6" w:name="_Toc501633032"/>
      <w:r>
        <w:t>2.</w:t>
      </w:r>
      <w:r>
        <w:tab/>
      </w:r>
      <w:r w:rsidRPr="00AB750D">
        <w:t xml:space="preserve">The </w:t>
      </w:r>
      <w:r>
        <w:t>Smart City Rider</w:t>
      </w:r>
      <w:r w:rsidRPr="00AB750D">
        <w:t xml:space="preserve"> does not benefit customers or the public interest.</w:t>
      </w:r>
      <w:bookmarkEnd w:id="6"/>
      <w:r w:rsidRPr="00AB750D">
        <w:t xml:space="preserve">  </w:t>
      </w:r>
    </w:p>
    <w:p w:rsidR="00AB750D" w:rsidRPr="00AB750D" w:rsidP="00AB750D">
      <w:pPr>
        <w:pStyle w:val="BodyA"/>
        <w:spacing w:line="480" w:lineRule="auto"/>
        <w:ind w:firstLine="720"/>
        <w:contextualSpacing/>
        <w:rPr>
          <w:rFonts w:hAnsi="Times New Roman" w:cs="Times New Roman"/>
        </w:rPr>
      </w:pPr>
      <w:r w:rsidRPr="00AB750D">
        <w:rPr>
          <w:rFonts w:hAnsi="Times New Roman" w:cs="Times New Roman"/>
        </w:rPr>
        <w:t>The SCR is a non</w:t>
      </w:r>
      <w:r>
        <w:rPr>
          <w:rFonts w:hAnsi="Times New Roman" w:cs="Times New Roman"/>
        </w:rPr>
        <w:t>-</w:t>
      </w:r>
      <w:r w:rsidRPr="00AB750D">
        <w:rPr>
          <w:rFonts w:hAnsi="Times New Roman" w:cs="Times New Roman"/>
        </w:rPr>
        <w:t>bypassable charge that all AEP distribution customers will pay.</w:t>
      </w:r>
      <w:r>
        <w:rPr>
          <w:rStyle w:val="FootnoteReference"/>
          <w:rFonts w:hAnsi="Times New Roman" w:cs="Times New Roman"/>
        </w:rPr>
        <w:footnoteReference w:id="16"/>
      </w:r>
      <w:r w:rsidRPr="00AB750D">
        <w:rPr>
          <w:rFonts w:hAnsi="Times New Roman" w:cs="Times New Roman"/>
        </w:rPr>
        <w:t xml:space="preserve">  It will be used to charge customers for EV charging stations and microgrids.</w:t>
      </w:r>
      <w:r>
        <w:rPr>
          <w:rStyle w:val="FootnoteReference"/>
          <w:rFonts w:hAnsi="Times New Roman" w:cs="Times New Roman"/>
        </w:rPr>
        <w:footnoteReference w:id="17"/>
      </w:r>
      <w:r w:rsidRPr="00AB750D">
        <w:rPr>
          <w:rFonts w:hAnsi="Times New Roman" w:cs="Times New Roman"/>
        </w:rPr>
        <w:t xml:space="preserve">  All AEP customers will pay even if they never charge an electric vehicle or use a microgrid.</w:t>
      </w:r>
      <w:r>
        <w:rPr>
          <w:rStyle w:val="FootnoteReference"/>
          <w:rFonts w:hAnsi="Times New Roman" w:cs="Times New Roman"/>
        </w:rPr>
        <w:footnoteReference w:id="18"/>
      </w:r>
      <w:r>
        <w:rPr>
          <w:rFonts w:hAnsi="Times New Roman" w:cs="Times New Roman"/>
        </w:rPr>
        <w:t xml:space="preserve">  </w:t>
      </w:r>
      <w:r w:rsidRPr="00AB750D">
        <w:rPr>
          <w:rFonts w:hAnsi="Times New Roman" w:cs="Times New Roman"/>
        </w:rPr>
        <w:t xml:space="preserve">Staff witness Schaefer admitted that there is no benefit to </w:t>
      </w:r>
      <w:r>
        <w:rPr>
          <w:rFonts w:hAnsi="Times New Roman" w:cs="Times New Roman"/>
        </w:rPr>
        <w:t>customers</w:t>
      </w:r>
      <w:r w:rsidRPr="00AB750D">
        <w:rPr>
          <w:rFonts w:hAnsi="Times New Roman" w:cs="Times New Roman"/>
        </w:rPr>
        <w:t xml:space="preserve">, as a whole, </w:t>
      </w:r>
      <w:r>
        <w:rPr>
          <w:rFonts w:hAnsi="Times New Roman" w:cs="Times New Roman"/>
        </w:rPr>
        <w:t>that</w:t>
      </w:r>
      <w:r w:rsidRPr="00AB750D">
        <w:rPr>
          <w:rFonts w:hAnsi="Times New Roman" w:cs="Times New Roman"/>
        </w:rPr>
        <w:t xml:space="preserve"> pay for services others receive but do not use themselves.</w:t>
      </w:r>
      <w:r>
        <w:rPr>
          <w:rStyle w:val="FootnoteReference"/>
          <w:rFonts w:hAnsi="Times New Roman" w:cs="Times New Roman"/>
        </w:rPr>
        <w:footnoteReference w:id="19"/>
      </w:r>
      <w:r>
        <w:rPr>
          <w:rFonts w:hAnsi="Times New Roman" w:cs="Times New Roman"/>
        </w:rPr>
        <w:t xml:space="preserve">  </w:t>
      </w:r>
      <w:r w:rsidRPr="00AB750D">
        <w:rPr>
          <w:rFonts w:hAnsi="Times New Roman" w:cs="Times New Roman"/>
        </w:rPr>
        <w:t>The PUCO has previously held that customers should not have to pay charges when they are not actually receiving the benefits.</w:t>
      </w:r>
      <w:r>
        <w:rPr>
          <w:rStyle w:val="FootnoteReference"/>
          <w:rFonts w:hAnsi="Times New Roman" w:cs="Times New Roman"/>
        </w:rPr>
        <w:footnoteReference w:id="20"/>
      </w:r>
      <w:r w:rsidRPr="00AB750D">
        <w:rPr>
          <w:rFonts w:hAnsi="Times New Roman" w:cs="Times New Roman"/>
        </w:rPr>
        <w:t xml:space="preserve">  Additionally, the SCR has nothing to do with the federal initiative.  Projects paid for by customers through the SCR may or may not be within the geographic area to which the federal initiative applies.</w:t>
      </w:r>
      <w:r>
        <w:rPr>
          <w:rStyle w:val="FootnoteReference"/>
          <w:rFonts w:hAnsi="Times New Roman" w:cs="Times New Roman"/>
        </w:rPr>
        <w:footnoteReference w:id="21"/>
      </w:r>
      <w:r w:rsidRPr="00AB750D">
        <w:rPr>
          <w:rFonts w:hAnsi="Times New Roman" w:cs="Times New Roman"/>
        </w:rPr>
        <w:t xml:space="preserve"> </w:t>
      </w:r>
    </w:p>
    <w:p w:rsidR="00AB750D" w:rsidRPr="00AB750D" w:rsidP="008A507D">
      <w:pPr>
        <w:pStyle w:val="Heading4"/>
      </w:pPr>
      <w:bookmarkStart w:id="7" w:name="_Toc501633033"/>
      <w:r>
        <w:t>a.</w:t>
      </w:r>
      <w:r>
        <w:tab/>
      </w:r>
      <w:r w:rsidRPr="00AB750D">
        <w:t xml:space="preserve">The </w:t>
      </w:r>
      <w:r>
        <w:t>Electric Vehicle</w:t>
      </w:r>
      <w:r w:rsidRPr="00AB750D">
        <w:t xml:space="preserve"> component of the </w:t>
      </w:r>
      <w:r>
        <w:t>Smart City Rider</w:t>
      </w:r>
      <w:r w:rsidRPr="00AB750D">
        <w:t xml:space="preserve"> does not benefit customers or the public interest.</w:t>
      </w:r>
      <w:bookmarkEnd w:id="7"/>
    </w:p>
    <w:p w:rsidR="00AB750D" w:rsidRPr="008A507D" w:rsidP="008A507D">
      <w:pPr>
        <w:pStyle w:val="Heading5"/>
      </w:pPr>
      <w:bookmarkStart w:id="8" w:name="_Toc501633034"/>
      <w:r w:rsidRPr="008A507D">
        <w:t>i.</w:t>
      </w:r>
      <w:r w:rsidRPr="008A507D">
        <w:tab/>
        <w:t xml:space="preserve">The </w:t>
      </w:r>
      <w:r>
        <w:t>Electric Vehicle</w:t>
      </w:r>
      <w:r w:rsidRPr="008A507D">
        <w:t xml:space="preserve"> proposal is ill-defined and is ultimately about benefiting AEP</w:t>
      </w:r>
      <w:r>
        <w:t xml:space="preserve"> and a few others</w:t>
      </w:r>
      <w:r w:rsidRPr="008A507D">
        <w:t xml:space="preserve"> at </w:t>
      </w:r>
      <w:r>
        <w:t xml:space="preserve">a million </w:t>
      </w:r>
      <w:r w:rsidRPr="008A507D">
        <w:t>consumers’ expense.</w:t>
      </w:r>
      <w:bookmarkEnd w:id="8"/>
    </w:p>
    <w:p w:rsidR="00965723" w:rsidP="00AB750D">
      <w:pPr>
        <w:pStyle w:val="BodyA"/>
        <w:spacing w:line="480" w:lineRule="auto"/>
        <w:ind w:firstLine="720"/>
        <w:contextualSpacing/>
        <w:rPr>
          <w:rFonts w:hAnsi="Times New Roman" w:cs="Times New Roman"/>
        </w:rPr>
      </w:pPr>
      <w:r w:rsidRPr="00AB750D">
        <w:rPr>
          <w:rFonts w:hAnsi="Times New Roman" w:cs="Times New Roman"/>
        </w:rPr>
        <w:t>The SCR funds business rebates for EV charging stations.</w:t>
      </w:r>
      <w:r>
        <w:rPr>
          <w:rStyle w:val="FootnoteReference"/>
          <w:rFonts w:hAnsi="Times New Roman" w:cs="Times New Roman"/>
        </w:rPr>
        <w:footnoteReference w:id="22"/>
      </w:r>
      <w:r>
        <w:rPr>
          <w:rFonts w:hAnsi="Times New Roman" w:cs="Times New Roman"/>
        </w:rPr>
        <w:t xml:space="preserve">  </w:t>
      </w:r>
      <w:r w:rsidRPr="00AB750D">
        <w:rPr>
          <w:rFonts w:hAnsi="Times New Roman" w:cs="Times New Roman"/>
        </w:rPr>
        <w:t xml:space="preserve">The rebate is intended to reduce the cost of </w:t>
      </w:r>
      <w:r>
        <w:rPr>
          <w:rFonts w:hAnsi="Times New Roman" w:cs="Times New Roman"/>
        </w:rPr>
        <w:t xml:space="preserve">a vendor installing </w:t>
      </w:r>
      <w:r w:rsidRPr="00AB750D">
        <w:rPr>
          <w:rFonts w:hAnsi="Times New Roman" w:cs="Times New Roman"/>
        </w:rPr>
        <w:t>EV charging stations.</w:t>
      </w:r>
      <w:r>
        <w:rPr>
          <w:rStyle w:val="FootnoteReference"/>
          <w:rFonts w:hAnsi="Times New Roman" w:cs="Times New Roman"/>
        </w:rPr>
        <w:footnoteReference w:id="23"/>
      </w:r>
      <w:r>
        <w:rPr>
          <w:rFonts w:hAnsi="Times New Roman" w:cs="Times New Roman"/>
        </w:rPr>
        <w:t xml:space="preserve">  </w:t>
      </w:r>
      <w:r w:rsidRPr="00AB750D">
        <w:rPr>
          <w:rFonts w:hAnsi="Times New Roman" w:cs="Times New Roman"/>
        </w:rPr>
        <w:t>AEP witness Allen acknowledged that the rebate could potentially cover 100% of the EV charging station cost.</w:t>
      </w:r>
      <w:r>
        <w:rPr>
          <w:rStyle w:val="FootnoteReference"/>
          <w:rFonts w:hAnsi="Times New Roman" w:cs="Times New Roman"/>
        </w:rPr>
        <w:footnoteReference w:id="24"/>
      </w:r>
      <w:r>
        <w:rPr>
          <w:rFonts w:hAnsi="Times New Roman" w:cs="Times New Roman"/>
        </w:rPr>
        <w:t xml:space="preserve">  </w:t>
      </w:r>
      <w:r w:rsidRPr="00AB750D">
        <w:rPr>
          <w:rFonts w:hAnsi="Times New Roman" w:cs="Times New Roman"/>
        </w:rPr>
        <w:t>AEP cannot reliably determine that because, like other portions of the SCR, the costs of the charging stations are unknown.</w:t>
      </w:r>
      <w:r>
        <w:rPr>
          <w:rStyle w:val="FootnoteReference"/>
          <w:rFonts w:hAnsi="Times New Roman" w:cs="Times New Roman"/>
        </w:rPr>
        <w:footnoteReference w:id="25"/>
      </w:r>
      <w:r>
        <w:rPr>
          <w:rFonts w:hAnsi="Times New Roman" w:cs="Times New Roman"/>
        </w:rPr>
        <w:t xml:space="preserve">  </w:t>
      </w:r>
      <w:r w:rsidRPr="00AB750D">
        <w:rPr>
          <w:rFonts w:hAnsi="Times New Roman" w:cs="Times New Roman"/>
        </w:rPr>
        <w:t>AEP has not even created criteria to determine how it will choose those eligible for the EV charging stations.</w:t>
      </w:r>
      <w:r>
        <w:rPr>
          <w:rStyle w:val="FootnoteReference"/>
          <w:rFonts w:hAnsi="Times New Roman" w:cs="Times New Roman"/>
        </w:rPr>
        <w:footnoteReference w:id="26"/>
      </w:r>
      <w:r>
        <w:rPr>
          <w:rFonts w:hAnsi="Times New Roman" w:cs="Times New Roman"/>
        </w:rPr>
        <w:t xml:space="preserve">  If the PUCO does not reject this requested subsidy at consumer expense, AEP should be required to submit its choices for EV subsidies as proposals to the PUCO for the PUCO to approve or disapprove.</w:t>
      </w:r>
    </w:p>
    <w:p w:rsidR="00AB750D" w:rsidRPr="00AB750D" w:rsidP="00AB750D">
      <w:pPr>
        <w:pStyle w:val="BodyA"/>
        <w:spacing w:line="480" w:lineRule="auto"/>
        <w:ind w:firstLine="720"/>
        <w:contextualSpacing/>
        <w:rPr>
          <w:rFonts w:hAnsi="Times New Roman" w:cs="Times New Roman"/>
        </w:rPr>
      </w:pPr>
      <w:r w:rsidRPr="00AB750D">
        <w:rPr>
          <w:rFonts w:hAnsi="Times New Roman" w:cs="Times New Roman"/>
        </w:rPr>
        <w:t>Even if the PUCO was to ignore AEP’s poor planning, the charging stations that are covered by a 100% rebate would be a windfall to</w:t>
      </w:r>
      <w:r>
        <w:rPr>
          <w:rFonts w:hAnsi="Times New Roman" w:cs="Times New Roman"/>
        </w:rPr>
        <w:t xml:space="preserve"> the selected location’s</w:t>
      </w:r>
      <w:r w:rsidRPr="00AB750D">
        <w:rPr>
          <w:rFonts w:hAnsi="Times New Roman" w:cs="Times New Roman"/>
        </w:rPr>
        <w:t xml:space="preserve"> owner/operator.  And this windfall </w:t>
      </w:r>
      <w:r>
        <w:rPr>
          <w:rFonts w:hAnsi="Times New Roman" w:cs="Times New Roman"/>
        </w:rPr>
        <w:t>will</w:t>
      </w:r>
      <w:r w:rsidRPr="00AB750D">
        <w:rPr>
          <w:rFonts w:hAnsi="Times New Roman" w:cs="Times New Roman"/>
        </w:rPr>
        <w:t xml:space="preserve"> harm consumers, causing them to pay unjust and unreasonable rates</w:t>
      </w:r>
      <w:r>
        <w:rPr>
          <w:rFonts w:hAnsi="Times New Roman" w:cs="Times New Roman"/>
        </w:rPr>
        <w:t xml:space="preserve"> and subsidies</w:t>
      </w:r>
      <w:r w:rsidRPr="00AB750D">
        <w:rPr>
          <w:rFonts w:hAnsi="Times New Roman" w:cs="Times New Roman"/>
        </w:rPr>
        <w:t xml:space="preserve"> in violation of R.C. 4909.22</w:t>
      </w:r>
      <w:r>
        <w:rPr>
          <w:rFonts w:hAnsi="Times New Roman" w:cs="Times New Roman"/>
        </w:rPr>
        <w:t>, R.C. 4928.02(A), and R.C. 4928.02(H)</w:t>
      </w:r>
      <w:r w:rsidRPr="00AB750D">
        <w:rPr>
          <w:rFonts w:hAnsi="Times New Roman" w:cs="Times New Roman"/>
        </w:rPr>
        <w:t>.</w:t>
      </w:r>
    </w:p>
    <w:p w:rsidR="00AB750D" w:rsidRPr="00AB750D" w:rsidP="00AB750D">
      <w:pPr>
        <w:pStyle w:val="BodyA"/>
        <w:spacing w:line="480" w:lineRule="auto"/>
        <w:ind w:firstLine="720"/>
        <w:contextualSpacing/>
        <w:rPr>
          <w:rFonts w:hAnsi="Times New Roman" w:cs="Times New Roman"/>
        </w:rPr>
      </w:pPr>
      <w:r w:rsidRPr="00AB750D">
        <w:rPr>
          <w:rFonts w:hAnsi="Times New Roman" w:cs="Times New Roman"/>
        </w:rPr>
        <w:t xml:space="preserve">Further, the EV proposal </w:t>
      </w:r>
      <w:r>
        <w:rPr>
          <w:rFonts w:hAnsi="Times New Roman" w:cs="Times New Roman"/>
        </w:rPr>
        <w:t xml:space="preserve">is not necessarily required to </w:t>
      </w:r>
      <w:r w:rsidRPr="00AB750D">
        <w:rPr>
          <w:rFonts w:hAnsi="Times New Roman" w:cs="Times New Roman"/>
        </w:rPr>
        <w:t>benefit those it purports to – governmental/public agencies and low-income areas.  For example, Staff witness Schaefer testified that a hospital in a low-income area could qualify for a hefty rebate and install a charging station for its employees, including (well compensated) doctors and nurses.</w:t>
      </w:r>
      <w:r>
        <w:rPr>
          <w:rStyle w:val="FootnoteReference"/>
          <w:rFonts w:hAnsi="Times New Roman" w:cs="Times New Roman"/>
        </w:rPr>
        <w:footnoteReference w:id="27"/>
      </w:r>
      <w:r w:rsidRPr="00AB750D">
        <w:rPr>
          <w:rFonts w:hAnsi="Times New Roman" w:cs="Times New Roman"/>
        </w:rPr>
        <w:t xml:space="preserve"> She also testified that a building containing a private employer that also leases offices to a governmental agency, like the PUCO, would qualify for a 100% rebate for an EV station.</w:t>
      </w:r>
      <w:r>
        <w:rPr>
          <w:rStyle w:val="FootnoteReference"/>
          <w:rFonts w:hAnsi="Times New Roman" w:cs="Times New Roman"/>
        </w:rPr>
        <w:footnoteReference w:id="28"/>
      </w:r>
      <w:r>
        <w:rPr>
          <w:rFonts w:hAnsi="Times New Roman" w:cs="Times New Roman"/>
        </w:rPr>
        <w:t xml:space="preserve">  </w:t>
      </w:r>
      <w:r w:rsidRPr="00AB750D">
        <w:rPr>
          <w:rFonts w:hAnsi="Times New Roman" w:cs="Times New Roman"/>
        </w:rPr>
        <w:t>Both the public sector and private sector employees could use the charging station.</w:t>
      </w:r>
      <w:r>
        <w:rPr>
          <w:rStyle w:val="FootnoteReference"/>
          <w:rFonts w:hAnsi="Times New Roman" w:cs="Times New Roman"/>
        </w:rPr>
        <w:footnoteReference w:id="29"/>
      </w:r>
      <w:r w:rsidRPr="00AB750D">
        <w:rPr>
          <w:rFonts w:hAnsi="Times New Roman" w:cs="Times New Roman"/>
        </w:rPr>
        <w:t xml:space="preserve">  </w:t>
      </w:r>
      <w:r>
        <w:rPr>
          <w:rFonts w:hAnsi="Times New Roman" w:cs="Times New Roman"/>
        </w:rPr>
        <w:t xml:space="preserve">A million consumers should not be made to pay a subsidy for electric vehicle charging--and for drivers of plug-in BMWs and Teslas among others--especially when this service instead ought to be subject to competitive markets. </w:t>
      </w:r>
    </w:p>
    <w:p w:rsidR="0086407E" w:rsidP="00AB750D">
      <w:pPr>
        <w:pStyle w:val="BodyA"/>
        <w:spacing w:line="480" w:lineRule="auto"/>
        <w:ind w:firstLine="720"/>
        <w:contextualSpacing/>
        <w:rPr>
          <w:rFonts w:hAnsi="Times New Roman" w:cs="Times New Roman"/>
        </w:rPr>
      </w:pPr>
      <w:r w:rsidRPr="00AB750D">
        <w:rPr>
          <w:rFonts w:hAnsi="Times New Roman" w:cs="Times New Roman"/>
        </w:rPr>
        <w:t>After paying the unjust and unreasonable rates under the SCR, the lucky few customers that use the EV stations will be charged unregulated rates.</w:t>
      </w:r>
      <w:r>
        <w:rPr>
          <w:rFonts w:hAnsi="Times New Roman" w:cs="Times New Roman"/>
        </w:rPr>
        <w:t xml:space="preserve">  </w:t>
      </w:r>
      <w:r w:rsidRPr="00AB750D">
        <w:rPr>
          <w:rFonts w:hAnsi="Times New Roman" w:cs="Times New Roman"/>
        </w:rPr>
        <w:t xml:space="preserve">According to AEP, the PUCO has no jurisdiction to establish prices that the owners of EV </w:t>
      </w:r>
      <w:r>
        <w:rPr>
          <w:rFonts w:hAnsi="Times New Roman" w:cs="Times New Roman"/>
        </w:rPr>
        <w:t xml:space="preserve">charging </w:t>
      </w:r>
      <w:r w:rsidRPr="00AB750D">
        <w:rPr>
          <w:rFonts w:hAnsi="Times New Roman" w:cs="Times New Roman"/>
        </w:rPr>
        <w:t xml:space="preserve">stations would </w:t>
      </w:r>
      <w:r>
        <w:rPr>
          <w:rFonts w:hAnsi="Times New Roman" w:cs="Times New Roman"/>
        </w:rPr>
        <w:t>collect from</w:t>
      </w:r>
      <w:r w:rsidRPr="00AB750D">
        <w:rPr>
          <w:rFonts w:hAnsi="Times New Roman" w:cs="Times New Roman"/>
        </w:rPr>
        <w:t xml:space="preserve"> those using the stations.</w:t>
      </w:r>
      <w:r>
        <w:rPr>
          <w:rStyle w:val="FootnoteReference"/>
          <w:rFonts w:hAnsi="Times New Roman" w:cs="Times New Roman"/>
        </w:rPr>
        <w:footnoteReference w:id="30"/>
      </w:r>
      <w:r>
        <w:rPr>
          <w:rFonts w:hAnsi="Times New Roman" w:cs="Times New Roman"/>
        </w:rPr>
        <w:t xml:space="preserve">  </w:t>
      </w:r>
      <w:r w:rsidRPr="00AB750D">
        <w:rPr>
          <w:rFonts w:hAnsi="Times New Roman" w:cs="Times New Roman"/>
        </w:rPr>
        <w:t xml:space="preserve">Staff recognizes that charging stations can </w:t>
      </w:r>
      <w:r>
        <w:rPr>
          <w:rFonts w:hAnsi="Times New Roman" w:cs="Times New Roman"/>
        </w:rPr>
        <w:t>collect</w:t>
      </w:r>
      <w:r w:rsidRPr="00AB750D">
        <w:rPr>
          <w:rFonts w:hAnsi="Times New Roman" w:cs="Times New Roman"/>
        </w:rPr>
        <w:t xml:space="preserve"> any price </w:t>
      </w:r>
      <w:r>
        <w:rPr>
          <w:rFonts w:hAnsi="Times New Roman" w:cs="Times New Roman"/>
        </w:rPr>
        <w:t>from</w:t>
      </w:r>
      <w:r w:rsidRPr="00AB750D">
        <w:rPr>
          <w:rFonts w:hAnsi="Times New Roman" w:cs="Times New Roman"/>
        </w:rPr>
        <w:t xml:space="preserve"> EV customers.</w:t>
      </w:r>
      <w:r>
        <w:rPr>
          <w:rStyle w:val="FootnoteReference"/>
          <w:rFonts w:hAnsi="Times New Roman" w:cs="Times New Roman"/>
        </w:rPr>
        <w:footnoteReference w:id="31"/>
      </w:r>
      <w:r>
        <w:rPr>
          <w:rFonts w:hAnsi="Times New Roman" w:cs="Times New Roman"/>
        </w:rPr>
        <w:t xml:space="preserve">  </w:t>
      </w:r>
      <w:r w:rsidRPr="00AB750D">
        <w:rPr>
          <w:rFonts w:hAnsi="Times New Roman" w:cs="Times New Roman"/>
        </w:rPr>
        <w:t>So all AEP customers will be</w:t>
      </w:r>
      <w:r>
        <w:rPr>
          <w:rFonts w:hAnsi="Times New Roman" w:cs="Times New Roman"/>
        </w:rPr>
        <w:t xml:space="preserve"> subsidizing</w:t>
      </w:r>
      <w:r w:rsidRPr="00AB750D">
        <w:rPr>
          <w:rFonts w:hAnsi="Times New Roman" w:cs="Times New Roman"/>
        </w:rPr>
        <w:t xml:space="preserve"> EV stations that can then turn around and charge unregulated prices – benefiting from regulation, but having none of the associated responsibility.  </w:t>
      </w:r>
    </w:p>
    <w:p w:rsidR="009C63D2" w:rsidP="00AB750D">
      <w:pPr>
        <w:pStyle w:val="BodyA"/>
        <w:spacing w:line="480" w:lineRule="auto"/>
        <w:ind w:firstLine="720"/>
        <w:contextualSpacing/>
        <w:rPr>
          <w:rFonts w:hAnsi="Times New Roman" w:cs="Times New Roman"/>
        </w:rPr>
      </w:pPr>
      <w:r w:rsidRPr="00AB750D">
        <w:rPr>
          <w:rFonts w:hAnsi="Times New Roman" w:cs="Times New Roman"/>
        </w:rPr>
        <w:t>Where this will lead, if approved, leaves little room for doubt.  AEP itself will own charging stations and resell its own electricity unregulated, without the associated consumer protections.</w:t>
      </w:r>
      <w:r>
        <w:rPr>
          <w:rStyle w:val="FootnoteReference"/>
          <w:rFonts w:hAnsi="Times New Roman" w:cs="Times New Roman"/>
        </w:rPr>
        <w:footnoteReference w:id="32"/>
      </w:r>
      <w:r>
        <w:rPr>
          <w:rFonts w:hAnsi="Times New Roman" w:cs="Times New Roman"/>
        </w:rPr>
        <w:t xml:space="preserve">  Customers will be likely harmed and not benefitted by this settlement provision.  </w:t>
      </w:r>
      <w:r w:rsidRPr="00AB750D">
        <w:rPr>
          <w:rFonts w:hAnsi="Times New Roman" w:cs="Times New Roman"/>
        </w:rPr>
        <w:t>Proponents claim that any cost of the EV program will be offset by the benefit of market research.</w:t>
      </w:r>
      <w:r>
        <w:rPr>
          <w:rStyle w:val="FootnoteReference"/>
          <w:rFonts w:hAnsi="Times New Roman" w:cs="Times New Roman"/>
        </w:rPr>
        <w:footnoteReference w:id="33"/>
      </w:r>
      <w:r>
        <w:rPr>
          <w:rFonts w:hAnsi="Times New Roman" w:cs="Times New Roman"/>
        </w:rPr>
        <w:t xml:space="preserve">  </w:t>
      </w:r>
      <w:r w:rsidRPr="00AB750D">
        <w:rPr>
          <w:rFonts w:hAnsi="Times New Roman" w:cs="Times New Roman"/>
        </w:rPr>
        <w:t>The Settlement allows AEP to conduct research and development of EV charging stations</w:t>
      </w:r>
      <w:r>
        <w:rPr>
          <w:rFonts w:hAnsi="Times New Roman" w:cs="Times New Roman"/>
        </w:rPr>
        <w:t xml:space="preserve"> with consumers’ money</w:t>
      </w:r>
      <w:r w:rsidRPr="00AB750D">
        <w:rPr>
          <w:rFonts w:hAnsi="Times New Roman" w:cs="Times New Roman"/>
        </w:rPr>
        <w:t>.</w:t>
      </w:r>
      <w:r>
        <w:rPr>
          <w:rFonts w:hAnsi="Times New Roman" w:cs="Times New Roman"/>
        </w:rPr>
        <w:t xml:space="preserve">  </w:t>
      </w:r>
      <w:r w:rsidRPr="00AB750D">
        <w:rPr>
          <w:rFonts w:hAnsi="Times New Roman" w:cs="Times New Roman"/>
        </w:rPr>
        <w:t>This research will be shared on an “interim basis” with signatory parties.</w:t>
      </w:r>
      <w:r>
        <w:rPr>
          <w:rStyle w:val="FootnoteReference"/>
          <w:rFonts w:hAnsi="Times New Roman" w:cs="Times New Roman"/>
        </w:rPr>
        <w:footnoteReference w:id="34"/>
      </w:r>
      <w:r w:rsidRPr="00AB750D">
        <w:rPr>
          <w:rFonts w:hAnsi="Times New Roman" w:cs="Times New Roman"/>
        </w:rPr>
        <w:t xml:space="preserve"> </w:t>
      </w:r>
    </w:p>
    <w:p w:rsidR="00AB750D" w:rsidRPr="00AB750D" w:rsidP="00AB750D">
      <w:pPr>
        <w:pStyle w:val="BodyA"/>
        <w:spacing w:line="480" w:lineRule="auto"/>
        <w:ind w:firstLine="720"/>
        <w:contextualSpacing/>
        <w:rPr>
          <w:rFonts w:hAnsi="Times New Roman" w:cs="Times New Roman"/>
        </w:rPr>
      </w:pPr>
      <w:r w:rsidRPr="00AB750D">
        <w:rPr>
          <w:rFonts w:hAnsi="Times New Roman" w:cs="Times New Roman"/>
        </w:rPr>
        <w:t>Nothing in the Settlement defines what exact information will be in the research. The Settlement does not prevent AEP from later withholding certain information that they deem to be a trade secret.</w:t>
      </w:r>
      <w:r>
        <w:rPr>
          <w:rFonts w:hAnsi="Times New Roman" w:cs="Times New Roman"/>
        </w:rPr>
        <w:t xml:space="preserve"> </w:t>
      </w:r>
      <w:r w:rsidRPr="00AB750D">
        <w:rPr>
          <w:rFonts w:hAnsi="Times New Roman" w:cs="Times New Roman"/>
        </w:rPr>
        <w:t xml:space="preserve"> The research that AEP does share will only be with signatory parties.</w:t>
      </w:r>
      <w:r>
        <w:rPr>
          <w:rStyle w:val="FootnoteReference"/>
          <w:rFonts w:hAnsi="Times New Roman" w:cs="Times New Roman"/>
        </w:rPr>
        <w:footnoteReference w:id="35"/>
      </w:r>
      <w:r w:rsidRPr="00AB750D">
        <w:rPr>
          <w:rFonts w:hAnsi="Times New Roman" w:cs="Times New Roman"/>
        </w:rPr>
        <w:t xml:space="preserve"> Again, where this will lead leaves little room for doubt.  AEP will charge customers under the SCR to complete market research and later own EV charging stations if it finds them to be a good investment.</w:t>
      </w:r>
      <w:r>
        <w:rPr>
          <w:rStyle w:val="FootnoteReference"/>
          <w:rFonts w:hAnsi="Times New Roman" w:cs="Times New Roman"/>
        </w:rPr>
        <w:footnoteReference w:id="36"/>
      </w:r>
      <w:r w:rsidRPr="00AB750D">
        <w:rPr>
          <w:rFonts w:hAnsi="Times New Roman" w:cs="Times New Roman"/>
        </w:rPr>
        <w:t xml:space="preserve"> </w:t>
      </w:r>
      <w:r>
        <w:rPr>
          <w:rFonts w:hAnsi="Times New Roman" w:cs="Times New Roman"/>
        </w:rPr>
        <w:t xml:space="preserve"> </w:t>
      </w:r>
      <w:r w:rsidRPr="00AB750D">
        <w:rPr>
          <w:rFonts w:hAnsi="Times New Roman" w:cs="Times New Roman"/>
        </w:rPr>
        <w:t xml:space="preserve">AEP is asking for customers to test run the potential of a new product, EV charging stations, while eliminating AEP’s business risk. </w:t>
      </w:r>
      <w:r>
        <w:rPr>
          <w:rFonts w:hAnsi="Times New Roman" w:cs="Times New Roman"/>
        </w:rPr>
        <w:t xml:space="preserve"> AEP’s EV charging station competitors do not have the luxury of billing captive customers for their market research.  The EV charging station deal is bad for both consumers and competitive markets.</w:t>
      </w:r>
    </w:p>
    <w:p w:rsidR="00AB750D" w:rsidRPr="00AB750D" w:rsidP="008A507D">
      <w:pPr>
        <w:pStyle w:val="Heading5"/>
      </w:pPr>
      <w:bookmarkStart w:id="9" w:name="_Toc501633035"/>
      <w:r w:rsidRPr="00AB750D">
        <w:t>ii.</w:t>
      </w:r>
      <w:r w:rsidRPr="00AB750D">
        <w:tab/>
        <w:t>Charging stations’ lead proponent utterly failed to make the case for charging consumers for service most will not use.</w:t>
      </w:r>
      <w:bookmarkEnd w:id="9"/>
    </w:p>
    <w:p w:rsidR="009C63D2" w:rsidP="00AB750D">
      <w:pPr>
        <w:spacing w:line="480" w:lineRule="auto"/>
        <w:ind w:firstLine="360"/>
        <w:contextualSpacing/>
        <w:rPr>
          <w:rFonts w:ascii="Times New Roman" w:hAnsi="Times New Roman" w:cs="Times New Roman"/>
          <w:sz w:val="24"/>
          <w:szCs w:val="24"/>
        </w:rPr>
      </w:pPr>
      <w:r>
        <w:rPr>
          <w:rFonts w:ascii="Times New Roman" w:hAnsi="Times New Roman" w:cs="Times New Roman"/>
          <w:sz w:val="24"/>
          <w:szCs w:val="24"/>
        </w:rPr>
        <w:tab/>
      </w:r>
      <w:r w:rsidRPr="00AB750D">
        <w:rPr>
          <w:rFonts w:ascii="Times New Roman" w:hAnsi="Times New Roman" w:cs="Times New Roman"/>
          <w:sz w:val="24"/>
          <w:szCs w:val="24"/>
        </w:rPr>
        <w:t>The signatory parties’ primary argument in support of the Settlement’s EV proposal is that it will promote the development of markets for electric vehicles.</w:t>
      </w:r>
      <w:r>
        <w:rPr>
          <w:rStyle w:val="FootnoteReference"/>
          <w:rFonts w:ascii="Times New Roman" w:hAnsi="Times New Roman" w:cs="Times New Roman"/>
          <w:sz w:val="24"/>
          <w:szCs w:val="24"/>
        </w:rPr>
        <w:footnoteReference w:id="37"/>
      </w:r>
      <w:r w:rsidRPr="00AB75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750D">
        <w:rPr>
          <w:rFonts w:ascii="Times New Roman" w:hAnsi="Times New Roman" w:cs="Times New Roman"/>
          <w:sz w:val="24"/>
          <w:szCs w:val="24"/>
        </w:rPr>
        <w:t xml:space="preserve">Yet, the signatory parties were so preoccupied with whether they could promote electric vehicle growth in central Ohio that they didn’t stop to think about whether they should. The signatory parties failed to provide any persuasive evidence showing that the EV proposal is reasonable or that increasing electric vehicle charging stations in central Ohio will benefit customers and the public interest. </w:t>
      </w:r>
    </w:p>
    <w:p w:rsidR="00AB750D" w:rsidRPr="00AB750D" w:rsidP="00AB750D">
      <w:pPr>
        <w:spacing w:line="480" w:lineRule="auto"/>
        <w:ind w:firstLine="360"/>
        <w:contextualSpacing/>
        <w:rPr>
          <w:rFonts w:ascii="Times New Roman" w:hAnsi="Times New Roman" w:cs="Times New Roman"/>
          <w:sz w:val="24"/>
          <w:szCs w:val="24"/>
        </w:rPr>
      </w:pPr>
      <w:r>
        <w:rPr>
          <w:rFonts w:ascii="Times New Roman" w:hAnsi="Times New Roman" w:cs="Times New Roman"/>
          <w:sz w:val="24"/>
          <w:szCs w:val="24"/>
        </w:rPr>
        <w:tab/>
      </w:r>
      <w:r w:rsidRPr="00AB750D">
        <w:rPr>
          <w:rFonts w:ascii="Times New Roman" w:hAnsi="Times New Roman" w:cs="Times New Roman"/>
          <w:sz w:val="24"/>
          <w:szCs w:val="24"/>
        </w:rPr>
        <w:t xml:space="preserve">In fact, the Electric Vehicle Charging Association (“EVCA”) admits in its Initial Brief that “one of the purposes of the pilot program is to </w:t>
      </w:r>
      <w:r w:rsidRPr="00AB750D">
        <w:rPr>
          <w:rFonts w:ascii="Times New Roman" w:hAnsi="Times New Roman" w:cs="Times New Roman"/>
          <w:b/>
          <w:sz w:val="24"/>
          <w:szCs w:val="24"/>
        </w:rPr>
        <w:t>determine</w:t>
      </w:r>
      <w:r w:rsidRPr="00AB750D">
        <w:rPr>
          <w:rFonts w:ascii="Times New Roman" w:hAnsi="Times New Roman" w:cs="Times New Roman"/>
          <w:sz w:val="24"/>
          <w:szCs w:val="24"/>
        </w:rPr>
        <w:t xml:space="preserve"> the benefits and impacts to both </w:t>
      </w:r>
      <w:r>
        <w:rPr>
          <w:rFonts w:ascii="Times New Roman" w:hAnsi="Times New Roman" w:cs="Times New Roman"/>
          <w:sz w:val="24"/>
          <w:szCs w:val="24"/>
        </w:rPr>
        <w:t>[consumers]</w:t>
      </w:r>
      <w:r w:rsidRPr="00AB750D">
        <w:rPr>
          <w:rFonts w:ascii="Times New Roman" w:hAnsi="Times New Roman" w:cs="Times New Roman"/>
          <w:sz w:val="24"/>
          <w:szCs w:val="24"/>
        </w:rPr>
        <w:t xml:space="preserve"> and increased EV adoption in central Ohio.”</w:t>
      </w:r>
      <w:r>
        <w:rPr>
          <w:rStyle w:val="FootnoteReference"/>
          <w:rFonts w:ascii="Times New Roman" w:hAnsi="Times New Roman" w:cs="Times New Roman"/>
          <w:sz w:val="24"/>
          <w:szCs w:val="24"/>
        </w:rPr>
        <w:footnoteReference w:id="38"/>
      </w:r>
      <w:r w:rsidRPr="00AB75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750D">
        <w:rPr>
          <w:rFonts w:ascii="Times New Roman" w:hAnsi="Times New Roman" w:cs="Times New Roman"/>
          <w:sz w:val="24"/>
          <w:szCs w:val="24"/>
        </w:rPr>
        <w:t xml:space="preserve">Thus, how the EV proposal will impact customers and the State of Ohio, or whether that impact will be positive, is not yet known. </w:t>
      </w:r>
      <w:r>
        <w:rPr>
          <w:rFonts w:ascii="Times New Roman" w:hAnsi="Times New Roman" w:cs="Times New Roman"/>
          <w:sz w:val="24"/>
          <w:szCs w:val="24"/>
        </w:rPr>
        <w:t xml:space="preserve"> </w:t>
      </w:r>
      <w:r w:rsidRPr="00AB750D">
        <w:rPr>
          <w:rFonts w:ascii="Times New Roman" w:hAnsi="Times New Roman" w:cs="Times New Roman"/>
          <w:sz w:val="24"/>
          <w:szCs w:val="24"/>
        </w:rPr>
        <w:t>This should come as no surprise to EVCA, whose witness admitted on cross-examination that EVCA either did not know or did not conduct a study or analysis of the following:</w:t>
      </w:r>
    </w:p>
    <w:p w:rsidR="00AB750D" w:rsidRPr="00AB750D" w:rsidP="00473DBE">
      <w:pPr>
        <w:pStyle w:val="ListParagraph"/>
        <w:numPr>
          <w:ilvl w:val="0"/>
          <w:numId w:val="20"/>
        </w:numPr>
        <w:spacing w:line="480" w:lineRule="auto"/>
        <w:ind w:left="1440" w:right="720" w:hanging="720"/>
        <w:rPr>
          <w:rFonts w:ascii="Times New Roman" w:hAnsi="Times New Roman" w:cs="Times New Roman"/>
          <w:sz w:val="24"/>
          <w:szCs w:val="24"/>
        </w:rPr>
      </w:pPr>
      <w:r w:rsidRPr="00AB750D">
        <w:rPr>
          <w:rFonts w:ascii="Times New Roman" w:hAnsi="Times New Roman" w:cs="Times New Roman"/>
          <w:sz w:val="24"/>
          <w:szCs w:val="24"/>
        </w:rPr>
        <w:t>Whether the EV proposal is the most cost-effective way to accelerate expansion of electric vehicle charging stations and electric vehicle adoption;</w:t>
      </w:r>
      <w:r>
        <w:rPr>
          <w:rStyle w:val="FootnoteReference"/>
          <w:rFonts w:ascii="Times New Roman" w:hAnsi="Times New Roman" w:cs="Times New Roman"/>
          <w:sz w:val="24"/>
          <w:szCs w:val="24"/>
        </w:rPr>
        <w:footnoteReference w:id="39"/>
      </w:r>
    </w:p>
    <w:p w:rsidR="00AB750D" w:rsidRPr="00AB750D" w:rsidP="00473DBE">
      <w:pPr>
        <w:pStyle w:val="ListParagraph"/>
        <w:numPr>
          <w:ilvl w:val="0"/>
          <w:numId w:val="20"/>
        </w:numPr>
        <w:spacing w:line="480" w:lineRule="auto"/>
        <w:ind w:left="1440" w:right="720" w:hanging="720"/>
        <w:rPr>
          <w:rFonts w:ascii="Times New Roman" w:hAnsi="Times New Roman" w:cs="Times New Roman"/>
          <w:sz w:val="24"/>
          <w:szCs w:val="24"/>
        </w:rPr>
      </w:pPr>
      <w:r w:rsidRPr="00AB750D">
        <w:rPr>
          <w:rFonts w:ascii="Times New Roman" w:hAnsi="Times New Roman" w:cs="Times New Roman"/>
          <w:sz w:val="24"/>
          <w:szCs w:val="24"/>
        </w:rPr>
        <w:t>Whether utility ownership of charging stations would be more effective in stimulating charging stations’ development;</w:t>
      </w:r>
      <w:r>
        <w:rPr>
          <w:rStyle w:val="FootnoteReference"/>
          <w:rFonts w:ascii="Times New Roman" w:hAnsi="Times New Roman" w:cs="Times New Roman"/>
          <w:sz w:val="24"/>
          <w:szCs w:val="24"/>
        </w:rPr>
        <w:footnoteReference w:id="40"/>
      </w:r>
    </w:p>
    <w:p w:rsidR="00AB750D" w:rsidRPr="00AB750D" w:rsidP="00473DBE">
      <w:pPr>
        <w:pStyle w:val="ListParagraph"/>
        <w:numPr>
          <w:ilvl w:val="0"/>
          <w:numId w:val="20"/>
        </w:numPr>
        <w:spacing w:line="480" w:lineRule="auto"/>
        <w:ind w:left="1440" w:right="720" w:hanging="720"/>
        <w:rPr>
          <w:rFonts w:ascii="Times New Roman" w:hAnsi="Times New Roman" w:cs="Times New Roman"/>
          <w:sz w:val="24"/>
          <w:szCs w:val="24"/>
        </w:rPr>
      </w:pPr>
      <w:r w:rsidRPr="00AB750D">
        <w:rPr>
          <w:rFonts w:ascii="Times New Roman" w:hAnsi="Times New Roman" w:cs="Times New Roman"/>
          <w:sz w:val="24"/>
          <w:szCs w:val="24"/>
        </w:rPr>
        <w:t>Whether a rebate program or a one-time investment by a utility customer would be more effective in stimulating charging station development in Ohio;</w:t>
      </w:r>
      <w:r>
        <w:rPr>
          <w:rStyle w:val="FootnoteReference"/>
          <w:rFonts w:ascii="Times New Roman" w:hAnsi="Times New Roman" w:cs="Times New Roman"/>
          <w:sz w:val="24"/>
          <w:szCs w:val="24"/>
        </w:rPr>
        <w:footnoteReference w:id="41"/>
      </w:r>
    </w:p>
    <w:p w:rsidR="00AB750D" w:rsidRPr="00AB750D" w:rsidP="00473DBE">
      <w:pPr>
        <w:pStyle w:val="ListParagraph"/>
        <w:numPr>
          <w:ilvl w:val="0"/>
          <w:numId w:val="20"/>
        </w:numPr>
        <w:spacing w:line="480" w:lineRule="auto"/>
        <w:ind w:left="1440" w:right="720" w:hanging="720"/>
        <w:rPr>
          <w:rFonts w:ascii="Times New Roman" w:hAnsi="Times New Roman" w:cs="Times New Roman"/>
          <w:sz w:val="24"/>
          <w:szCs w:val="24"/>
        </w:rPr>
      </w:pPr>
      <w:r w:rsidRPr="00AB750D">
        <w:rPr>
          <w:rFonts w:ascii="Times New Roman" w:hAnsi="Times New Roman" w:cs="Times New Roman"/>
          <w:sz w:val="24"/>
          <w:szCs w:val="24"/>
        </w:rPr>
        <w:t>The long-term sustainability of charging stations or EVs in AEP Ohio’s service territory;</w:t>
      </w:r>
      <w:r>
        <w:rPr>
          <w:rStyle w:val="FootnoteReference"/>
          <w:rFonts w:ascii="Times New Roman" w:hAnsi="Times New Roman" w:cs="Times New Roman"/>
          <w:sz w:val="24"/>
          <w:szCs w:val="24"/>
        </w:rPr>
        <w:footnoteReference w:id="42"/>
      </w:r>
    </w:p>
    <w:p w:rsidR="00AB750D" w:rsidRPr="00AB750D" w:rsidP="00473DBE">
      <w:pPr>
        <w:pStyle w:val="ListParagraph"/>
        <w:numPr>
          <w:ilvl w:val="0"/>
          <w:numId w:val="20"/>
        </w:numPr>
        <w:spacing w:line="480" w:lineRule="auto"/>
        <w:ind w:left="1440" w:right="720" w:hanging="720"/>
        <w:rPr>
          <w:rFonts w:ascii="Times New Roman" w:hAnsi="Times New Roman" w:cs="Times New Roman"/>
          <w:sz w:val="24"/>
          <w:szCs w:val="24"/>
        </w:rPr>
      </w:pPr>
      <w:r w:rsidRPr="00AB750D">
        <w:rPr>
          <w:rFonts w:ascii="Times New Roman" w:hAnsi="Times New Roman" w:cs="Times New Roman"/>
          <w:sz w:val="24"/>
          <w:szCs w:val="24"/>
        </w:rPr>
        <w:t>The transportation patterns of EV users in AEP Ohio’s service territory;</w:t>
      </w:r>
      <w:r>
        <w:rPr>
          <w:rStyle w:val="FootnoteReference"/>
          <w:rFonts w:ascii="Times New Roman" w:hAnsi="Times New Roman" w:cs="Times New Roman"/>
          <w:sz w:val="24"/>
          <w:szCs w:val="24"/>
        </w:rPr>
        <w:footnoteReference w:id="43"/>
      </w:r>
    </w:p>
    <w:p w:rsidR="00AB750D" w:rsidRPr="00AB750D" w:rsidP="00473DBE">
      <w:pPr>
        <w:pStyle w:val="ListParagraph"/>
        <w:numPr>
          <w:ilvl w:val="0"/>
          <w:numId w:val="20"/>
        </w:numPr>
        <w:spacing w:line="480" w:lineRule="auto"/>
        <w:ind w:left="1440" w:right="720" w:hanging="720"/>
        <w:rPr>
          <w:rFonts w:ascii="Times New Roman" w:hAnsi="Times New Roman" w:cs="Times New Roman"/>
          <w:sz w:val="24"/>
          <w:szCs w:val="24"/>
        </w:rPr>
      </w:pPr>
      <w:r w:rsidRPr="00AB750D">
        <w:rPr>
          <w:rFonts w:ascii="Times New Roman" w:hAnsi="Times New Roman" w:cs="Times New Roman"/>
          <w:sz w:val="24"/>
          <w:szCs w:val="24"/>
        </w:rPr>
        <w:t>The existing network of charging stations in AEP Ohio’s service territory;</w:t>
      </w:r>
      <w:r>
        <w:rPr>
          <w:rStyle w:val="FootnoteReference"/>
          <w:rFonts w:ascii="Times New Roman" w:hAnsi="Times New Roman" w:cs="Times New Roman"/>
          <w:sz w:val="24"/>
          <w:szCs w:val="24"/>
        </w:rPr>
        <w:footnoteReference w:id="44"/>
      </w:r>
    </w:p>
    <w:p w:rsidR="00AB750D" w:rsidRPr="00AB750D" w:rsidP="00473DBE">
      <w:pPr>
        <w:pStyle w:val="ListParagraph"/>
        <w:numPr>
          <w:ilvl w:val="0"/>
          <w:numId w:val="20"/>
        </w:numPr>
        <w:spacing w:line="480" w:lineRule="auto"/>
        <w:ind w:left="1440" w:right="720" w:hanging="720"/>
        <w:rPr>
          <w:rFonts w:ascii="Times New Roman" w:hAnsi="Times New Roman" w:cs="Times New Roman"/>
          <w:sz w:val="24"/>
          <w:szCs w:val="24"/>
        </w:rPr>
      </w:pPr>
      <w:r w:rsidRPr="00AB750D">
        <w:rPr>
          <w:rFonts w:ascii="Times New Roman" w:hAnsi="Times New Roman" w:cs="Times New Roman"/>
          <w:sz w:val="24"/>
          <w:szCs w:val="24"/>
        </w:rPr>
        <w:t>How many charging stations are necessary to stimulate innovation, competition, and customer choice in the market for EV charging equipment;</w:t>
      </w:r>
      <w:r>
        <w:rPr>
          <w:rStyle w:val="FootnoteReference"/>
          <w:rFonts w:ascii="Times New Roman" w:hAnsi="Times New Roman" w:cs="Times New Roman"/>
          <w:sz w:val="24"/>
          <w:szCs w:val="24"/>
        </w:rPr>
        <w:footnoteReference w:id="45"/>
      </w:r>
    </w:p>
    <w:p w:rsidR="00AB750D" w:rsidRPr="00AB750D" w:rsidP="00473DBE">
      <w:pPr>
        <w:pStyle w:val="ListParagraph"/>
        <w:numPr>
          <w:ilvl w:val="0"/>
          <w:numId w:val="20"/>
        </w:numPr>
        <w:spacing w:line="480" w:lineRule="auto"/>
        <w:ind w:left="1440" w:right="720" w:hanging="720"/>
        <w:rPr>
          <w:rFonts w:ascii="Times New Roman" w:hAnsi="Times New Roman" w:cs="Times New Roman"/>
          <w:sz w:val="24"/>
          <w:szCs w:val="24"/>
        </w:rPr>
      </w:pPr>
      <w:r>
        <w:rPr>
          <w:rFonts w:ascii="Times New Roman" w:hAnsi="Times New Roman" w:cs="Times New Roman"/>
          <w:sz w:val="24"/>
          <w:szCs w:val="24"/>
        </w:rPr>
        <w:t>H</w:t>
      </w:r>
      <w:r w:rsidRPr="00AB750D">
        <w:rPr>
          <w:rFonts w:ascii="Times New Roman" w:hAnsi="Times New Roman" w:cs="Times New Roman"/>
          <w:sz w:val="24"/>
          <w:szCs w:val="24"/>
        </w:rPr>
        <w:t>ow many charging stations are currently in the AEP Ohio service territory;</w:t>
      </w:r>
      <w:r>
        <w:rPr>
          <w:rStyle w:val="FootnoteReference"/>
          <w:rFonts w:ascii="Times New Roman" w:hAnsi="Times New Roman" w:cs="Times New Roman"/>
          <w:sz w:val="24"/>
          <w:szCs w:val="24"/>
        </w:rPr>
        <w:footnoteReference w:id="46"/>
      </w:r>
    </w:p>
    <w:p w:rsidR="00AB750D" w:rsidRPr="00AB750D" w:rsidP="00473DBE">
      <w:pPr>
        <w:pStyle w:val="ListParagraph"/>
        <w:numPr>
          <w:ilvl w:val="0"/>
          <w:numId w:val="20"/>
        </w:numPr>
        <w:spacing w:line="480" w:lineRule="auto"/>
        <w:ind w:left="1440" w:right="720" w:hanging="720"/>
        <w:rPr>
          <w:rFonts w:ascii="Times New Roman" w:hAnsi="Times New Roman" w:cs="Times New Roman"/>
          <w:sz w:val="24"/>
          <w:szCs w:val="24"/>
        </w:rPr>
      </w:pPr>
      <w:r>
        <w:rPr>
          <w:rFonts w:ascii="Times New Roman" w:hAnsi="Times New Roman" w:cs="Times New Roman"/>
          <w:sz w:val="24"/>
          <w:szCs w:val="24"/>
        </w:rPr>
        <w:t>H</w:t>
      </w:r>
      <w:r w:rsidRPr="00AB750D">
        <w:rPr>
          <w:rFonts w:ascii="Times New Roman" w:hAnsi="Times New Roman" w:cs="Times New Roman"/>
          <w:sz w:val="24"/>
          <w:szCs w:val="24"/>
        </w:rPr>
        <w:t>ow AEP Ohio intends to allocate EV proposal costs among rate classes;</w:t>
      </w:r>
      <w:r>
        <w:rPr>
          <w:rStyle w:val="FootnoteReference"/>
          <w:rFonts w:ascii="Times New Roman" w:hAnsi="Times New Roman" w:cs="Times New Roman"/>
          <w:sz w:val="24"/>
          <w:szCs w:val="24"/>
        </w:rPr>
        <w:footnoteReference w:id="47"/>
      </w:r>
    </w:p>
    <w:p w:rsidR="00AB750D" w:rsidRPr="00AB750D" w:rsidP="00473DBE">
      <w:pPr>
        <w:pStyle w:val="ListParagraph"/>
        <w:numPr>
          <w:ilvl w:val="0"/>
          <w:numId w:val="20"/>
        </w:numPr>
        <w:spacing w:line="480" w:lineRule="auto"/>
        <w:ind w:left="1440" w:right="720" w:hanging="720"/>
        <w:rPr>
          <w:rFonts w:ascii="Times New Roman" w:hAnsi="Times New Roman" w:cs="Times New Roman"/>
          <w:sz w:val="24"/>
          <w:szCs w:val="24"/>
        </w:rPr>
      </w:pPr>
      <w:r>
        <w:rPr>
          <w:rFonts w:ascii="Times New Roman" w:hAnsi="Times New Roman" w:cs="Times New Roman"/>
          <w:sz w:val="24"/>
          <w:szCs w:val="24"/>
        </w:rPr>
        <w:t>H</w:t>
      </w:r>
      <w:r w:rsidRPr="00AB750D">
        <w:rPr>
          <w:rFonts w:ascii="Times New Roman" w:hAnsi="Times New Roman" w:cs="Times New Roman"/>
          <w:sz w:val="24"/>
          <w:szCs w:val="24"/>
        </w:rPr>
        <w:t>ow the EV proposal will impact a typical residential customers’ utility bill;</w:t>
      </w:r>
      <w:r>
        <w:rPr>
          <w:rStyle w:val="FootnoteReference"/>
          <w:rFonts w:ascii="Times New Roman" w:hAnsi="Times New Roman" w:cs="Times New Roman"/>
          <w:sz w:val="24"/>
          <w:szCs w:val="24"/>
        </w:rPr>
        <w:footnoteReference w:id="48"/>
      </w:r>
    </w:p>
    <w:p w:rsidR="00AB750D" w:rsidRPr="00AB750D" w:rsidP="00473DBE">
      <w:pPr>
        <w:pStyle w:val="ListParagraph"/>
        <w:numPr>
          <w:ilvl w:val="0"/>
          <w:numId w:val="20"/>
        </w:numPr>
        <w:spacing w:line="480" w:lineRule="auto"/>
        <w:ind w:left="1440" w:right="720" w:hanging="720"/>
        <w:rPr>
          <w:rFonts w:ascii="Times New Roman" w:hAnsi="Times New Roman" w:cs="Times New Roman"/>
          <w:sz w:val="24"/>
          <w:szCs w:val="24"/>
        </w:rPr>
      </w:pPr>
      <w:r>
        <w:rPr>
          <w:rFonts w:ascii="Times New Roman" w:hAnsi="Times New Roman" w:cs="Times New Roman"/>
          <w:sz w:val="24"/>
          <w:szCs w:val="24"/>
        </w:rPr>
        <w:t>W</w:t>
      </w:r>
      <w:r w:rsidRPr="00AB750D">
        <w:rPr>
          <w:rFonts w:ascii="Times New Roman" w:hAnsi="Times New Roman" w:cs="Times New Roman"/>
          <w:sz w:val="24"/>
          <w:szCs w:val="24"/>
        </w:rPr>
        <w:t>hether customers want charging stations;</w:t>
      </w:r>
      <w:r>
        <w:rPr>
          <w:rStyle w:val="FootnoteReference"/>
          <w:rFonts w:ascii="Times New Roman" w:hAnsi="Times New Roman" w:cs="Times New Roman"/>
          <w:sz w:val="24"/>
          <w:szCs w:val="24"/>
        </w:rPr>
        <w:footnoteReference w:id="49"/>
      </w:r>
    </w:p>
    <w:p w:rsidR="00AB750D" w:rsidRPr="00AB750D" w:rsidP="00473DBE">
      <w:pPr>
        <w:pStyle w:val="ListParagraph"/>
        <w:numPr>
          <w:ilvl w:val="0"/>
          <w:numId w:val="20"/>
        </w:numPr>
        <w:spacing w:line="480" w:lineRule="auto"/>
        <w:ind w:left="1440" w:right="720" w:hanging="720"/>
        <w:rPr>
          <w:rFonts w:ascii="Times New Roman" w:hAnsi="Times New Roman" w:cs="Times New Roman"/>
          <w:sz w:val="24"/>
          <w:szCs w:val="24"/>
        </w:rPr>
      </w:pPr>
      <w:r>
        <w:rPr>
          <w:rFonts w:ascii="Times New Roman" w:hAnsi="Times New Roman" w:cs="Times New Roman"/>
          <w:sz w:val="24"/>
          <w:szCs w:val="24"/>
        </w:rPr>
        <w:t>W</w:t>
      </w:r>
      <w:r w:rsidRPr="00AB750D">
        <w:rPr>
          <w:rFonts w:ascii="Times New Roman" w:hAnsi="Times New Roman" w:cs="Times New Roman"/>
          <w:sz w:val="24"/>
          <w:szCs w:val="24"/>
        </w:rPr>
        <w:t>hat the economic impact would be on the State of Ohio;</w:t>
      </w:r>
      <w:r>
        <w:rPr>
          <w:rStyle w:val="FootnoteReference"/>
          <w:rFonts w:ascii="Times New Roman" w:hAnsi="Times New Roman" w:cs="Times New Roman"/>
          <w:sz w:val="24"/>
          <w:szCs w:val="24"/>
        </w:rPr>
        <w:footnoteReference w:id="50"/>
      </w:r>
    </w:p>
    <w:p w:rsidR="00AB750D" w:rsidRPr="00AB750D" w:rsidP="00473DBE">
      <w:pPr>
        <w:pStyle w:val="ListParagraph"/>
        <w:numPr>
          <w:ilvl w:val="0"/>
          <w:numId w:val="20"/>
        </w:numPr>
        <w:spacing w:line="480" w:lineRule="auto"/>
        <w:ind w:left="1440" w:right="720" w:hanging="720"/>
        <w:rPr>
          <w:rFonts w:ascii="Times New Roman" w:hAnsi="Times New Roman" w:cs="Times New Roman"/>
          <w:sz w:val="24"/>
          <w:szCs w:val="24"/>
        </w:rPr>
      </w:pPr>
      <w:r>
        <w:rPr>
          <w:rFonts w:ascii="Times New Roman" w:hAnsi="Times New Roman" w:cs="Times New Roman"/>
          <w:sz w:val="24"/>
          <w:szCs w:val="24"/>
        </w:rPr>
        <w:t>H</w:t>
      </w:r>
      <w:r w:rsidRPr="00AB750D">
        <w:rPr>
          <w:rFonts w:ascii="Times New Roman" w:hAnsi="Times New Roman" w:cs="Times New Roman"/>
          <w:sz w:val="24"/>
          <w:szCs w:val="24"/>
        </w:rPr>
        <w:t>ow the EV proposal will impact electricity prices;</w:t>
      </w:r>
      <w:r>
        <w:rPr>
          <w:rStyle w:val="FootnoteReference"/>
          <w:rFonts w:ascii="Times New Roman" w:hAnsi="Times New Roman" w:cs="Times New Roman"/>
          <w:sz w:val="24"/>
          <w:szCs w:val="24"/>
        </w:rPr>
        <w:footnoteReference w:id="51"/>
      </w:r>
    </w:p>
    <w:p w:rsidR="00AB750D" w:rsidRPr="00AB750D" w:rsidP="00473DBE">
      <w:pPr>
        <w:pStyle w:val="ListParagraph"/>
        <w:numPr>
          <w:ilvl w:val="0"/>
          <w:numId w:val="20"/>
        </w:numPr>
        <w:spacing w:line="480" w:lineRule="auto"/>
        <w:ind w:left="1440" w:right="720" w:hanging="720"/>
        <w:rPr>
          <w:rFonts w:ascii="Times New Roman" w:hAnsi="Times New Roman" w:cs="Times New Roman"/>
          <w:sz w:val="24"/>
          <w:szCs w:val="24"/>
        </w:rPr>
      </w:pPr>
      <w:r>
        <w:rPr>
          <w:rFonts w:ascii="Times New Roman" w:hAnsi="Times New Roman" w:cs="Times New Roman"/>
          <w:sz w:val="24"/>
          <w:szCs w:val="24"/>
        </w:rPr>
        <w:t>T</w:t>
      </w:r>
      <w:r w:rsidRPr="00AB750D">
        <w:rPr>
          <w:rFonts w:ascii="Times New Roman" w:hAnsi="Times New Roman" w:cs="Times New Roman"/>
          <w:sz w:val="24"/>
          <w:szCs w:val="24"/>
        </w:rPr>
        <w:t>he reasonableness of the amount of charging stations in the proposal;</w:t>
      </w:r>
      <w:r>
        <w:rPr>
          <w:rStyle w:val="FootnoteReference"/>
          <w:rFonts w:ascii="Times New Roman" w:hAnsi="Times New Roman" w:cs="Times New Roman"/>
          <w:sz w:val="24"/>
          <w:szCs w:val="24"/>
        </w:rPr>
        <w:footnoteReference w:id="52"/>
      </w:r>
    </w:p>
    <w:p w:rsidR="00AB750D" w:rsidRPr="00AB750D" w:rsidP="00473DBE">
      <w:pPr>
        <w:pStyle w:val="ListParagraph"/>
        <w:numPr>
          <w:ilvl w:val="0"/>
          <w:numId w:val="20"/>
        </w:numPr>
        <w:spacing w:line="480" w:lineRule="auto"/>
        <w:ind w:left="1440" w:right="720" w:hanging="720"/>
        <w:rPr>
          <w:rFonts w:ascii="Times New Roman" w:hAnsi="Times New Roman" w:cs="Times New Roman"/>
          <w:sz w:val="24"/>
          <w:szCs w:val="24"/>
        </w:rPr>
      </w:pPr>
      <w:r>
        <w:rPr>
          <w:rFonts w:ascii="Times New Roman" w:hAnsi="Times New Roman" w:cs="Times New Roman"/>
          <w:sz w:val="24"/>
          <w:szCs w:val="24"/>
        </w:rPr>
        <w:t>W</w:t>
      </w:r>
      <w:r w:rsidRPr="00AB750D">
        <w:rPr>
          <w:rFonts w:ascii="Times New Roman" w:hAnsi="Times New Roman" w:cs="Times New Roman"/>
          <w:sz w:val="24"/>
          <w:szCs w:val="24"/>
        </w:rPr>
        <w:t>hat the L2 charging stations rebate allocation amounts should be;</w:t>
      </w:r>
      <w:r>
        <w:rPr>
          <w:rStyle w:val="FootnoteReference"/>
          <w:rFonts w:ascii="Times New Roman" w:hAnsi="Times New Roman" w:cs="Times New Roman"/>
          <w:sz w:val="24"/>
          <w:szCs w:val="24"/>
        </w:rPr>
        <w:footnoteReference w:id="53"/>
      </w:r>
    </w:p>
    <w:p w:rsidR="00AB750D" w:rsidRPr="00AB750D" w:rsidP="00473DBE">
      <w:pPr>
        <w:pStyle w:val="ListParagraph"/>
        <w:numPr>
          <w:ilvl w:val="0"/>
          <w:numId w:val="20"/>
        </w:numPr>
        <w:spacing w:line="480" w:lineRule="auto"/>
        <w:ind w:left="1440" w:right="720" w:hanging="720"/>
        <w:rPr>
          <w:rFonts w:ascii="Times New Roman" w:hAnsi="Times New Roman" w:cs="Times New Roman"/>
          <w:sz w:val="24"/>
          <w:szCs w:val="24"/>
        </w:rPr>
      </w:pPr>
      <w:r>
        <w:rPr>
          <w:rFonts w:ascii="Times New Roman" w:hAnsi="Times New Roman" w:cs="Times New Roman"/>
          <w:sz w:val="24"/>
          <w:szCs w:val="24"/>
        </w:rPr>
        <w:t>W</w:t>
      </w:r>
      <w:r w:rsidRPr="00AB750D">
        <w:rPr>
          <w:rFonts w:ascii="Times New Roman" w:hAnsi="Times New Roman" w:cs="Times New Roman"/>
          <w:sz w:val="24"/>
          <w:szCs w:val="24"/>
        </w:rPr>
        <w:t>hat the maximum percentage of coverage of L2 rebate allocation should be;</w:t>
      </w:r>
      <w:r>
        <w:rPr>
          <w:rStyle w:val="FootnoteReference"/>
          <w:rFonts w:ascii="Times New Roman" w:hAnsi="Times New Roman" w:cs="Times New Roman"/>
          <w:sz w:val="24"/>
          <w:szCs w:val="24"/>
        </w:rPr>
        <w:footnoteReference w:id="54"/>
      </w:r>
    </w:p>
    <w:p w:rsidR="00AB750D" w:rsidRPr="00AB750D" w:rsidP="00473DBE">
      <w:pPr>
        <w:pStyle w:val="ListParagraph"/>
        <w:numPr>
          <w:ilvl w:val="0"/>
          <w:numId w:val="20"/>
        </w:numPr>
        <w:spacing w:line="480" w:lineRule="auto"/>
        <w:ind w:left="1440" w:right="720" w:hanging="720"/>
        <w:rPr>
          <w:rFonts w:ascii="Times New Roman" w:hAnsi="Times New Roman" w:cs="Times New Roman"/>
          <w:sz w:val="24"/>
          <w:szCs w:val="24"/>
        </w:rPr>
      </w:pPr>
      <w:r>
        <w:rPr>
          <w:rFonts w:ascii="Times New Roman" w:hAnsi="Times New Roman" w:cs="Times New Roman"/>
          <w:sz w:val="24"/>
          <w:szCs w:val="24"/>
        </w:rPr>
        <w:t>W</w:t>
      </w:r>
      <w:r w:rsidRPr="00AB750D">
        <w:rPr>
          <w:rFonts w:ascii="Times New Roman" w:hAnsi="Times New Roman" w:cs="Times New Roman"/>
          <w:sz w:val="24"/>
          <w:szCs w:val="24"/>
        </w:rPr>
        <w:t>hat the maximum L2 charging stations rebate should be;</w:t>
      </w:r>
      <w:r>
        <w:rPr>
          <w:rStyle w:val="FootnoteReference"/>
          <w:rFonts w:ascii="Times New Roman" w:hAnsi="Times New Roman" w:cs="Times New Roman"/>
          <w:sz w:val="24"/>
          <w:szCs w:val="24"/>
        </w:rPr>
        <w:footnoteReference w:id="55"/>
      </w:r>
    </w:p>
    <w:p w:rsidR="00AB750D" w:rsidRPr="00AB750D" w:rsidP="00473DBE">
      <w:pPr>
        <w:pStyle w:val="ListParagraph"/>
        <w:numPr>
          <w:ilvl w:val="0"/>
          <w:numId w:val="20"/>
        </w:numPr>
        <w:spacing w:line="480" w:lineRule="auto"/>
        <w:ind w:left="1440" w:right="720" w:hanging="720"/>
        <w:rPr>
          <w:rFonts w:ascii="Times New Roman" w:hAnsi="Times New Roman" w:cs="Times New Roman"/>
          <w:sz w:val="24"/>
          <w:szCs w:val="24"/>
        </w:rPr>
      </w:pPr>
      <w:r>
        <w:rPr>
          <w:rFonts w:ascii="Times New Roman" w:hAnsi="Times New Roman" w:cs="Times New Roman"/>
          <w:sz w:val="24"/>
          <w:szCs w:val="24"/>
        </w:rPr>
        <w:t>H</w:t>
      </w:r>
      <w:r w:rsidRPr="00AB750D">
        <w:rPr>
          <w:rFonts w:ascii="Times New Roman" w:hAnsi="Times New Roman" w:cs="Times New Roman"/>
          <w:sz w:val="24"/>
          <w:szCs w:val="24"/>
        </w:rPr>
        <w:t>ow the DCFC rebates should be allocated among site hosts;</w:t>
      </w:r>
      <w:r>
        <w:rPr>
          <w:rStyle w:val="FootnoteReference"/>
          <w:rFonts w:ascii="Times New Roman" w:hAnsi="Times New Roman" w:cs="Times New Roman"/>
          <w:sz w:val="24"/>
          <w:szCs w:val="24"/>
        </w:rPr>
        <w:footnoteReference w:id="56"/>
      </w:r>
    </w:p>
    <w:p w:rsidR="00AB750D" w:rsidRPr="00AB750D" w:rsidP="00473DBE">
      <w:pPr>
        <w:pStyle w:val="ListParagraph"/>
        <w:numPr>
          <w:ilvl w:val="0"/>
          <w:numId w:val="20"/>
        </w:numPr>
        <w:spacing w:line="480" w:lineRule="auto"/>
        <w:ind w:left="1440" w:right="720" w:hanging="720"/>
        <w:rPr>
          <w:rFonts w:ascii="Times New Roman" w:hAnsi="Times New Roman" w:cs="Times New Roman"/>
          <w:sz w:val="24"/>
          <w:szCs w:val="24"/>
        </w:rPr>
      </w:pPr>
      <w:r>
        <w:rPr>
          <w:rFonts w:ascii="Times New Roman" w:hAnsi="Times New Roman" w:cs="Times New Roman"/>
          <w:sz w:val="24"/>
          <w:szCs w:val="24"/>
        </w:rPr>
        <w:t>W</w:t>
      </w:r>
      <w:r w:rsidRPr="00AB750D">
        <w:rPr>
          <w:rFonts w:ascii="Times New Roman" w:hAnsi="Times New Roman" w:cs="Times New Roman"/>
          <w:sz w:val="24"/>
          <w:szCs w:val="24"/>
        </w:rPr>
        <w:t>hat the maximum percentage of coverage of DCFC rebates should be;</w:t>
      </w:r>
      <w:r>
        <w:rPr>
          <w:rStyle w:val="FootnoteReference"/>
          <w:rFonts w:ascii="Times New Roman" w:hAnsi="Times New Roman" w:cs="Times New Roman"/>
          <w:sz w:val="24"/>
          <w:szCs w:val="24"/>
        </w:rPr>
        <w:footnoteReference w:id="57"/>
      </w:r>
    </w:p>
    <w:p w:rsidR="00AB750D" w:rsidRPr="00AB750D" w:rsidP="00473DBE">
      <w:pPr>
        <w:pStyle w:val="ListParagraph"/>
        <w:numPr>
          <w:ilvl w:val="0"/>
          <w:numId w:val="20"/>
        </w:numPr>
        <w:spacing w:line="480" w:lineRule="auto"/>
        <w:ind w:left="1440" w:right="720" w:hanging="720"/>
        <w:rPr>
          <w:rFonts w:ascii="Times New Roman" w:hAnsi="Times New Roman" w:cs="Times New Roman"/>
          <w:sz w:val="24"/>
          <w:szCs w:val="24"/>
        </w:rPr>
      </w:pPr>
      <w:r>
        <w:rPr>
          <w:rFonts w:ascii="Times New Roman" w:hAnsi="Times New Roman" w:cs="Times New Roman"/>
          <w:sz w:val="24"/>
          <w:szCs w:val="24"/>
        </w:rPr>
        <w:t>W</w:t>
      </w:r>
      <w:r w:rsidRPr="00AB750D">
        <w:rPr>
          <w:rFonts w:ascii="Times New Roman" w:hAnsi="Times New Roman" w:cs="Times New Roman"/>
          <w:sz w:val="24"/>
          <w:szCs w:val="24"/>
        </w:rPr>
        <w:t>hat the maximum amount of each DCFC rebate should be;</w:t>
      </w:r>
      <w:r>
        <w:rPr>
          <w:rStyle w:val="FootnoteReference"/>
          <w:rFonts w:ascii="Times New Roman" w:hAnsi="Times New Roman" w:cs="Times New Roman"/>
          <w:sz w:val="24"/>
          <w:szCs w:val="24"/>
        </w:rPr>
        <w:footnoteReference w:id="58"/>
      </w:r>
    </w:p>
    <w:p w:rsidR="00AB750D" w:rsidRPr="00AB750D" w:rsidP="00473DBE">
      <w:pPr>
        <w:pStyle w:val="ListParagraph"/>
        <w:numPr>
          <w:ilvl w:val="0"/>
          <w:numId w:val="20"/>
        </w:numPr>
        <w:spacing w:line="480" w:lineRule="auto"/>
        <w:ind w:left="1440" w:right="720" w:hanging="720"/>
        <w:rPr>
          <w:rFonts w:ascii="Times New Roman" w:hAnsi="Times New Roman" w:cs="Times New Roman"/>
          <w:sz w:val="24"/>
          <w:szCs w:val="24"/>
        </w:rPr>
      </w:pPr>
      <w:r>
        <w:rPr>
          <w:rFonts w:ascii="Times New Roman" w:hAnsi="Times New Roman" w:cs="Times New Roman"/>
          <w:sz w:val="24"/>
          <w:szCs w:val="24"/>
        </w:rPr>
        <w:t>W</w:t>
      </w:r>
      <w:r w:rsidRPr="00AB750D">
        <w:rPr>
          <w:rFonts w:ascii="Times New Roman" w:hAnsi="Times New Roman" w:cs="Times New Roman"/>
          <w:sz w:val="24"/>
          <w:szCs w:val="24"/>
        </w:rPr>
        <w:t>hat the demographics of the AEP Ohio service territory are;</w:t>
      </w:r>
      <w:r>
        <w:rPr>
          <w:rStyle w:val="FootnoteReference"/>
          <w:rFonts w:ascii="Times New Roman" w:hAnsi="Times New Roman" w:cs="Times New Roman"/>
          <w:sz w:val="24"/>
          <w:szCs w:val="24"/>
        </w:rPr>
        <w:footnoteReference w:id="59"/>
      </w:r>
    </w:p>
    <w:p w:rsidR="00AB750D" w:rsidRPr="00AB750D" w:rsidP="00473DBE">
      <w:pPr>
        <w:pStyle w:val="ListParagraph"/>
        <w:numPr>
          <w:ilvl w:val="0"/>
          <w:numId w:val="20"/>
        </w:numPr>
        <w:spacing w:line="480" w:lineRule="auto"/>
        <w:ind w:left="1440" w:right="720" w:hanging="720"/>
        <w:rPr>
          <w:rFonts w:ascii="Times New Roman" w:hAnsi="Times New Roman" w:cs="Times New Roman"/>
          <w:sz w:val="24"/>
          <w:szCs w:val="24"/>
        </w:rPr>
      </w:pPr>
      <w:r>
        <w:rPr>
          <w:rFonts w:ascii="Times New Roman" w:hAnsi="Times New Roman" w:cs="Times New Roman"/>
          <w:sz w:val="24"/>
          <w:szCs w:val="24"/>
        </w:rPr>
        <w:t>T</w:t>
      </w:r>
      <w:r w:rsidRPr="00AB750D">
        <w:rPr>
          <w:rFonts w:ascii="Times New Roman" w:hAnsi="Times New Roman" w:cs="Times New Roman"/>
          <w:sz w:val="24"/>
          <w:szCs w:val="24"/>
        </w:rPr>
        <w:t>he long-term sustainability of charging stations in low-income areas;</w:t>
      </w:r>
      <w:r>
        <w:rPr>
          <w:rStyle w:val="FootnoteReference"/>
          <w:rFonts w:ascii="Times New Roman" w:hAnsi="Times New Roman" w:cs="Times New Roman"/>
          <w:sz w:val="24"/>
          <w:szCs w:val="24"/>
        </w:rPr>
        <w:footnoteReference w:id="60"/>
      </w:r>
    </w:p>
    <w:p w:rsidR="00AB750D" w:rsidRPr="00AB750D" w:rsidP="00473DBE">
      <w:pPr>
        <w:pStyle w:val="ListParagraph"/>
        <w:numPr>
          <w:ilvl w:val="0"/>
          <w:numId w:val="20"/>
        </w:numPr>
        <w:spacing w:line="480" w:lineRule="auto"/>
        <w:ind w:left="1440" w:right="720" w:hanging="720"/>
        <w:rPr>
          <w:rFonts w:ascii="Times New Roman" w:hAnsi="Times New Roman" w:cs="Times New Roman"/>
          <w:sz w:val="24"/>
          <w:szCs w:val="24"/>
        </w:rPr>
      </w:pPr>
      <w:r>
        <w:rPr>
          <w:rFonts w:ascii="Times New Roman" w:hAnsi="Times New Roman" w:cs="Times New Roman"/>
          <w:sz w:val="24"/>
          <w:szCs w:val="24"/>
        </w:rPr>
        <w:t>I</w:t>
      </w:r>
      <w:r w:rsidRPr="00AB750D">
        <w:rPr>
          <w:rFonts w:ascii="Times New Roman" w:hAnsi="Times New Roman" w:cs="Times New Roman"/>
          <w:sz w:val="24"/>
          <w:szCs w:val="24"/>
        </w:rPr>
        <w:t>f people in low-income areas want charging stations;</w:t>
      </w:r>
      <w:r>
        <w:rPr>
          <w:rStyle w:val="FootnoteReference"/>
          <w:rFonts w:ascii="Times New Roman" w:hAnsi="Times New Roman" w:cs="Times New Roman"/>
          <w:sz w:val="24"/>
          <w:szCs w:val="24"/>
        </w:rPr>
        <w:footnoteReference w:id="61"/>
      </w:r>
    </w:p>
    <w:p w:rsidR="00AB750D" w:rsidRPr="00AB750D" w:rsidP="00473DBE">
      <w:pPr>
        <w:pStyle w:val="ListParagraph"/>
        <w:numPr>
          <w:ilvl w:val="0"/>
          <w:numId w:val="20"/>
        </w:numPr>
        <w:spacing w:line="480" w:lineRule="auto"/>
        <w:ind w:left="1440" w:right="720" w:hanging="720"/>
        <w:rPr>
          <w:rFonts w:ascii="Times New Roman" w:hAnsi="Times New Roman" w:cs="Times New Roman"/>
          <w:sz w:val="24"/>
          <w:szCs w:val="24"/>
        </w:rPr>
      </w:pPr>
      <w:r>
        <w:rPr>
          <w:rFonts w:ascii="Times New Roman" w:hAnsi="Times New Roman" w:cs="Times New Roman"/>
          <w:sz w:val="24"/>
          <w:szCs w:val="24"/>
        </w:rPr>
        <w:t>H</w:t>
      </w:r>
      <w:r w:rsidRPr="00AB750D">
        <w:rPr>
          <w:rFonts w:ascii="Times New Roman" w:hAnsi="Times New Roman" w:cs="Times New Roman"/>
          <w:sz w:val="24"/>
          <w:szCs w:val="24"/>
        </w:rPr>
        <w:t>ow many EV owners currently live in low-income geographic areas in the AEP Ohio service territory;</w:t>
      </w:r>
      <w:r>
        <w:rPr>
          <w:rStyle w:val="FootnoteReference"/>
          <w:rFonts w:ascii="Times New Roman" w:hAnsi="Times New Roman" w:cs="Times New Roman"/>
          <w:sz w:val="24"/>
          <w:szCs w:val="24"/>
        </w:rPr>
        <w:footnoteReference w:id="62"/>
      </w:r>
    </w:p>
    <w:p w:rsidR="00AB750D" w:rsidRPr="00AB750D" w:rsidP="00473DBE">
      <w:pPr>
        <w:pStyle w:val="ListParagraph"/>
        <w:numPr>
          <w:ilvl w:val="0"/>
          <w:numId w:val="20"/>
        </w:numPr>
        <w:spacing w:line="480" w:lineRule="auto"/>
        <w:ind w:left="1440" w:right="720" w:hanging="720"/>
        <w:rPr>
          <w:rFonts w:ascii="Times New Roman" w:hAnsi="Times New Roman" w:cs="Times New Roman"/>
          <w:sz w:val="24"/>
          <w:szCs w:val="24"/>
        </w:rPr>
      </w:pPr>
      <w:r>
        <w:rPr>
          <w:rFonts w:ascii="Times New Roman" w:hAnsi="Times New Roman" w:cs="Times New Roman"/>
          <w:sz w:val="24"/>
          <w:szCs w:val="24"/>
        </w:rPr>
        <w:t>W</w:t>
      </w:r>
      <w:r w:rsidRPr="00AB750D">
        <w:rPr>
          <w:rFonts w:ascii="Times New Roman" w:hAnsi="Times New Roman" w:cs="Times New Roman"/>
          <w:sz w:val="24"/>
          <w:szCs w:val="24"/>
        </w:rPr>
        <w:t>hat the projected increase in EV ownership will be if the EV proposal is adopted;</w:t>
      </w:r>
      <w:r>
        <w:rPr>
          <w:rStyle w:val="FootnoteReference"/>
          <w:rFonts w:ascii="Times New Roman" w:hAnsi="Times New Roman" w:cs="Times New Roman"/>
          <w:sz w:val="24"/>
          <w:szCs w:val="24"/>
        </w:rPr>
        <w:footnoteReference w:id="63"/>
      </w:r>
      <w:r>
        <w:rPr>
          <w:rFonts w:ascii="Times New Roman" w:hAnsi="Times New Roman" w:cs="Times New Roman"/>
          <w:sz w:val="24"/>
          <w:szCs w:val="24"/>
        </w:rPr>
        <w:t xml:space="preserve"> and</w:t>
      </w:r>
    </w:p>
    <w:p w:rsidR="00AB750D" w:rsidRPr="00AB750D" w:rsidP="00473DBE">
      <w:pPr>
        <w:pStyle w:val="ListParagraph"/>
        <w:numPr>
          <w:ilvl w:val="0"/>
          <w:numId w:val="20"/>
        </w:numPr>
        <w:spacing w:line="480" w:lineRule="auto"/>
        <w:ind w:left="1440" w:right="720" w:hanging="720"/>
        <w:rPr>
          <w:rFonts w:ascii="Times New Roman" w:hAnsi="Times New Roman" w:cs="Times New Roman"/>
          <w:sz w:val="24"/>
          <w:szCs w:val="24"/>
        </w:rPr>
      </w:pPr>
      <w:r>
        <w:rPr>
          <w:rFonts w:ascii="Times New Roman" w:hAnsi="Times New Roman" w:cs="Times New Roman"/>
          <w:sz w:val="24"/>
          <w:szCs w:val="24"/>
        </w:rPr>
        <w:t>H</w:t>
      </w:r>
      <w:r w:rsidRPr="00AB750D">
        <w:rPr>
          <w:rFonts w:ascii="Times New Roman" w:hAnsi="Times New Roman" w:cs="Times New Roman"/>
          <w:sz w:val="24"/>
          <w:szCs w:val="24"/>
        </w:rPr>
        <w:t>ow many residential customers own an electric vehicle in Ohio or the AEP Ohio service territory?</w:t>
      </w:r>
      <w:r>
        <w:rPr>
          <w:rStyle w:val="FootnoteReference"/>
          <w:rFonts w:ascii="Times New Roman" w:hAnsi="Times New Roman" w:cs="Times New Roman"/>
          <w:sz w:val="24"/>
          <w:szCs w:val="24"/>
        </w:rPr>
        <w:footnoteReference w:id="64"/>
      </w:r>
    </w:p>
    <w:p w:rsidR="00AB750D" w:rsidRPr="00AB750D" w:rsidP="00AB750D">
      <w:pPr>
        <w:spacing w:line="480" w:lineRule="auto"/>
        <w:ind w:firstLine="360"/>
        <w:contextualSpacing/>
        <w:rPr>
          <w:rFonts w:ascii="Times New Roman" w:hAnsi="Times New Roman" w:cs="Times New Roman"/>
          <w:sz w:val="24"/>
          <w:szCs w:val="24"/>
        </w:rPr>
      </w:pPr>
      <w:r>
        <w:rPr>
          <w:rFonts w:ascii="Times New Roman" w:hAnsi="Times New Roman" w:cs="Times New Roman"/>
          <w:sz w:val="24"/>
          <w:szCs w:val="24"/>
        </w:rPr>
        <w:tab/>
      </w:r>
      <w:r w:rsidRPr="00AB750D">
        <w:rPr>
          <w:rFonts w:ascii="Times New Roman" w:hAnsi="Times New Roman" w:cs="Times New Roman"/>
          <w:sz w:val="24"/>
          <w:szCs w:val="24"/>
        </w:rPr>
        <w:t xml:space="preserve">Thus EVCA, the main source of evidentiary support for the EV proposal, knows little if anything about the proposal and its potential impact on customers and the State of Ohio. </w:t>
      </w:r>
      <w:r>
        <w:rPr>
          <w:rFonts w:ascii="Times New Roman" w:hAnsi="Times New Roman" w:cs="Times New Roman"/>
          <w:sz w:val="24"/>
          <w:szCs w:val="24"/>
        </w:rPr>
        <w:t xml:space="preserve"> </w:t>
      </w:r>
      <w:r w:rsidRPr="00AB750D">
        <w:rPr>
          <w:rFonts w:ascii="Times New Roman" w:hAnsi="Times New Roman" w:cs="Times New Roman"/>
          <w:sz w:val="24"/>
          <w:szCs w:val="24"/>
        </w:rPr>
        <w:t xml:space="preserve">Instead, the Settlement would </w:t>
      </w:r>
      <w:r>
        <w:rPr>
          <w:rFonts w:ascii="Times New Roman" w:hAnsi="Times New Roman" w:cs="Times New Roman"/>
          <w:sz w:val="24"/>
          <w:szCs w:val="24"/>
        </w:rPr>
        <w:t>have</w:t>
      </w:r>
      <w:r w:rsidRPr="00AB750D">
        <w:rPr>
          <w:rFonts w:ascii="Times New Roman" w:hAnsi="Times New Roman" w:cs="Times New Roman"/>
          <w:sz w:val="24"/>
          <w:szCs w:val="24"/>
        </w:rPr>
        <w:t xml:space="preserve"> customers pay so that AEP can attempt to </w:t>
      </w:r>
      <w:r w:rsidRPr="00AB750D">
        <w:rPr>
          <w:rFonts w:ascii="Times New Roman" w:hAnsi="Times New Roman" w:cs="Times New Roman"/>
          <w:i/>
          <w:sz w:val="24"/>
          <w:szCs w:val="24"/>
        </w:rPr>
        <w:t>determine</w:t>
      </w:r>
      <w:r w:rsidRPr="00AB750D">
        <w:rPr>
          <w:rFonts w:ascii="Times New Roman" w:hAnsi="Times New Roman" w:cs="Times New Roman"/>
          <w:sz w:val="24"/>
          <w:szCs w:val="24"/>
        </w:rPr>
        <w:t xml:space="preserve"> whether constructing charging stations will positively impact customers and the State of Ohio. This is not a strategic and cost-effective approach for consumers. </w:t>
      </w:r>
      <w:r>
        <w:rPr>
          <w:rFonts w:ascii="Times New Roman" w:hAnsi="Times New Roman" w:cs="Times New Roman"/>
          <w:sz w:val="24"/>
          <w:szCs w:val="24"/>
        </w:rPr>
        <w:t xml:space="preserve"> </w:t>
      </w:r>
      <w:r w:rsidRPr="00AB750D">
        <w:rPr>
          <w:rFonts w:ascii="Times New Roman" w:hAnsi="Times New Roman" w:cs="Times New Roman"/>
          <w:sz w:val="24"/>
          <w:szCs w:val="24"/>
        </w:rPr>
        <w:t>And as EVCA witness Cherkaui acknowledged, if investments are not strategic and cost-effective, then the PUCO should not approve them.</w:t>
      </w:r>
      <w:r>
        <w:rPr>
          <w:rStyle w:val="FootnoteReference"/>
          <w:rFonts w:ascii="Times New Roman" w:hAnsi="Times New Roman" w:cs="Times New Roman"/>
          <w:sz w:val="24"/>
          <w:szCs w:val="24"/>
        </w:rPr>
        <w:footnoteReference w:id="65"/>
      </w:r>
    </w:p>
    <w:p w:rsidR="00AB750D" w:rsidRPr="00AB750D" w:rsidP="00AB750D">
      <w:pPr>
        <w:spacing w:line="480" w:lineRule="auto"/>
        <w:ind w:firstLine="360"/>
        <w:contextualSpacing/>
        <w:rPr>
          <w:rFonts w:ascii="Times New Roman" w:hAnsi="Times New Roman" w:cs="Times New Roman"/>
          <w:sz w:val="24"/>
          <w:szCs w:val="24"/>
        </w:rPr>
      </w:pPr>
      <w:r>
        <w:rPr>
          <w:rFonts w:ascii="Times New Roman" w:hAnsi="Times New Roman" w:cs="Times New Roman"/>
          <w:sz w:val="24"/>
          <w:szCs w:val="24"/>
        </w:rPr>
        <w:tab/>
      </w:r>
      <w:r w:rsidRPr="00AB750D">
        <w:rPr>
          <w:rFonts w:ascii="Times New Roman" w:hAnsi="Times New Roman" w:cs="Times New Roman"/>
          <w:sz w:val="24"/>
          <w:szCs w:val="24"/>
        </w:rPr>
        <w:t xml:space="preserve">Further, the available evidence demonstrates that the EV proposal is not even the most effective way to develop the EV market in central Ohio. </w:t>
      </w:r>
      <w:r>
        <w:rPr>
          <w:rFonts w:ascii="Times New Roman" w:hAnsi="Times New Roman" w:cs="Times New Roman"/>
          <w:sz w:val="24"/>
          <w:szCs w:val="24"/>
        </w:rPr>
        <w:t xml:space="preserve"> </w:t>
      </w:r>
      <w:r w:rsidRPr="00AB750D">
        <w:rPr>
          <w:rFonts w:ascii="Times New Roman" w:hAnsi="Times New Roman" w:cs="Times New Roman"/>
          <w:sz w:val="24"/>
          <w:szCs w:val="24"/>
        </w:rPr>
        <w:t>A Yale University’s Center for Business and Environment</w:t>
      </w:r>
      <w:r>
        <w:rPr>
          <w:rFonts w:ascii="Times New Roman" w:hAnsi="Times New Roman" w:cs="Times New Roman"/>
          <w:sz w:val="24"/>
          <w:szCs w:val="24"/>
        </w:rPr>
        <w:t xml:space="preserve"> study</w:t>
      </w:r>
      <w:r w:rsidRPr="00AB750D">
        <w:rPr>
          <w:rFonts w:ascii="Times New Roman" w:hAnsi="Times New Roman" w:cs="Times New Roman"/>
          <w:sz w:val="24"/>
          <w:szCs w:val="24"/>
        </w:rPr>
        <w:t>, which was relied on by EVCA witness Dr. Cherkaui, states that “the best way for policymakers to facilitate the growth of the market is to grow electric vehicle purchases and allow the private sector to provide charging infrastructure.”</w:t>
      </w:r>
      <w:r>
        <w:rPr>
          <w:rStyle w:val="FootnoteReference"/>
          <w:rFonts w:ascii="Times New Roman" w:hAnsi="Times New Roman" w:cs="Times New Roman"/>
          <w:sz w:val="24"/>
          <w:szCs w:val="24"/>
        </w:rPr>
        <w:footnoteReference w:id="66"/>
      </w:r>
      <w:r w:rsidRPr="00AB75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750D">
        <w:rPr>
          <w:rFonts w:ascii="Times New Roman" w:hAnsi="Times New Roman" w:cs="Times New Roman"/>
          <w:sz w:val="24"/>
          <w:szCs w:val="24"/>
        </w:rPr>
        <w:t xml:space="preserve">The study goes on to conclude that “[t]he core message, then, is that governments looking to expand EV infrastructure should spend their policy dollars encouraging EV purchases rather than constructing charging stations. </w:t>
      </w:r>
      <w:r>
        <w:rPr>
          <w:rFonts w:ascii="Times New Roman" w:hAnsi="Times New Roman" w:cs="Times New Roman"/>
          <w:sz w:val="24"/>
          <w:szCs w:val="24"/>
        </w:rPr>
        <w:t xml:space="preserve"> </w:t>
      </w:r>
      <w:r w:rsidRPr="00AB750D">
        <w:rPr>
          <w:rFonts w:ascii="Times New Roman" w:hAnsi="Times New Roman" w:cs="Times New Roman"/>
          <w:sz w:val="24"/>
          <w:szCs w:val="24"/>
        </w:rPr>
        <w:t xml:space="preserve">This type of policy intervention ensures that EVSE will be installed in areas that will receive relatively high traffic. </w:t>
      </w:r>
      <w:r>
        <w:rPr>
          <w:rFonts w:ascii="Times New Roman" w:hAnsi="Times New Roman" w:cs="Times New Roman"/>
          <w:sz w:val="24"/>
          <w:szCs w:val="24"/>
        </w:rPr>
        <w:t xml:space="preserve"> </w:t>
      </w:r>
      <w:r w:rsidRPr="00AB750D">
        <w:rPr>
          <w:rFonts w:ascii="Times New Roman" w:hAnsi="Times New Roman" w:cs="Times New Roman"/>
          <w:sz w:val="24"/>
          <w:szCs w:val="24"/>
        </w:rPr>
        <w:t>It also ensures that EVSE will be used and maintained at an optimal level.”</w:t>
      </w:r>
      <w:r>
        <w:rPr>
          <w:rStyle w:val="FootnoteReference"/>
          <w:rFonts w:ascii="Times New Roman" w:hAnsi="Times New Roman" w:cs="Times New Roman"/>
          <w:sz w:val="24"/>
          <w:szCs w:val="24"/>
        </w:rPr>
        <w:footnoteReference w:id="67"/>
      </w:r>
      <w:r w:rsidRPr="00AB750D">
        <w:rPr>
          <w:rFonts w:ascii="Times New Roman" w:hAnsi="Times New Roman" w:cs="Times New Roman"/>
          <w:sz w:val="24"/>
          <w:szCs w:val="24"/>
        </w:rPr>
        <w:t xml:space="preserve"> Thus, not only have the signatory parties’ failed to support their proposal, but the evidence shows that alternative proposals</w:t>
      </w:r>
      <w:r>
        <w:rPr>
          <w:rFonts w:ascii="Times New Roman" w:hAnsi="Times New Roman" w:cs="Times New Roman"/>
          <w:sz w:val="24"/>
          <w:szCs w:val="24"/>
        </w:rPr>
        <w:t xml:space="preserve"> that are not funded by utility customers </w:t>
      </w:r>
      <w:r w:rsidRPr="00AB750D">
        <w:rPr>
          <w:rFonts w:ascii="Times New Roman" w:hAnsi="Times New Roman" w:cs="Times New Roman"/>
          <w:sz w:val="24"/>
          <w:szCs w:val="24"/>
        </w:rPr>
        <w:t>are more reasonable and beneficial to customers and the public interest.</w:t>
      </w:r>
    </w:p>
    <w:p w:rsidR="00AB750D" w:rsidRPr="00AB750D" w:rsidP="00AB750D">
      <w:pPr>
        <w:spacing w:line="480" w:lineRule="auto"/>
        <w:ind w:firstLine="360"/>
        <w:contextualSpacing/>
        <w:rPr>
          <w:rFonts w:ascii="Times New Roman" w:hAnsi="Times New Roman" w:cs="Times New Roman"/>
          <w:sz w:val="24"/>
          <w:szCs w:val="24"/>
        </w:rPr>
      </w:pPr>
      <w:r>
        <w:rPr>
          <w:rFonts w:ascii="Times New Roman" w:hAnsi="Times New Roman" w:cs="Times New Roman"/>
          <w:sz w:val="24"/>
          <w:szCs w:val="24"/>
        </w:rPr>
        <w:tab/>
      </w:r>
      <w:r w:rsidRPr="00AB750D">
        <w:rPr>
          <w:rFonts w:ascii="Times New Roman" w:hAnsi="Times New Roman" w:cs="Times New Roman"/>
          <w:sz w:val="24"/>
          <w:szCs w:val="24"/>
        </w:rPr>
        <w:t xml:space="preserve">One of the few specific benefits that signatory parties claim </w:t>
      </w:r>
      <w:r w:rsidRPr="00AB750D">
        <w:rPr>
          <w:rFonts w:ascii="Times New Roman" w:hAnsi="Times New Roman" w:cs="Times New Roman"/>
          <w:i/>
          <w:sz w:val="24"/>
          <w:szCs w:val="24"/>
        </w:rPr>
        <w:t>will</w:t>
      </w:r>
      <w:r w:rsidRPr="00AB750D">
        <w:rPr>
          <w:rFonts w:ascii="Times New Roman" w:hAnsi="Times New Roman" w:cs="Times New Roman"/>
          <w:sz w:val="24"/>
          <w:szCs w:val="24"/>
        </w:rPr>
        <w:t xml:space="preserve"> result from the EV proposal is that the charging infrastructure will collect reportable data and have demand response capabilities.</w:t>
      </w:r>
      <w:r>
        <w:rPr>
          <w:rStyle w:val="FootnoteReference"/>
          <w:rFonts w:ascii="Times New Roman" w:hAnsi="Times New Roman" w:cs="Times New Roman"/>
          <w:sz w:val="24"/>
          <w:szCs w:val="24"/>
        </w:rPr>
        <w:footnoteReference w:id="68"/>
      </w:r>
      <w:r w:rsidRPr="00AB75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750D">
        <w:rPr>
          <w:rFonts w:ascii="Times New Roman" w:hAnsi="Times New Roman" w:cs="Times New Roman"/>
          <w:sz w:val="24"/>
          <w:szCs w:val="24"/>
        </w:rPr>
        <w:t>EVCA claims that this data can help to maintain reliability and affordability.</w:t>
      </w:r>
      <w:r>
        <w:rPr>
          <w:rStyle w:val="FootnoteReference"/>
          <w:rFonts w:ascii="Times New Roman" w:hAnsi="Times New Roman" w:cs="Times New Roman"/>
          <w:sz w:val="24"/>
          <w:szCs w:val="24"/>
        </w:rPr>
        <w:footnoteReference w:id="69"/>
      </w:r>
      <w:r w:rsidRPr="00AB75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750D">
        <w:rPr>
          <w:rFonts w:ascii="Times New Roman" w:hAnsi="Times New Roman" w:cs="Times New Roman"/>
          <w:sz w:val="24"/>
          <w:szCs w:val="24"/>
        </w:rPr>
        <w:t>But on cross-examination EVCA witness Cherkaui admitted that the Settlement does not require AEP to implement any program or pricing structure in response to this data.</w:t>
      </w:r>
      <w:r>
        <w:rPr>
          <w:rStyle w:val="FootnoteReference"/>
          <w:rFonts w:ascii="Times New Roman" w:hAnsi="Times New Roman" w:cs="Times New Roman"/>
          <w:sz w:val="24"/>
          <w:szCs w:val="24"/>
        </w:rPr>
        <w:footnoteReference w:id="70"/>
      </w:r>
      <w:r w:rsidRPr="00AB75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750D">
        <w:rPr>
          <w:rFonts w:ascii="Times New Roman" w:hAnsi="Times New Roman" w:cs="Times New Roman"/>
          <w:sz w:val="24"/>
          <w:szCs w:val="24"/>
        </w:rPr>
        <w:t>And EVCA admitted that it does not even know whether AEP has the ability to integrate charging station data into its distribution and grid planning decisions.</w:t>
      </w:r>
      <w:r>
        <w:rPr>
          <w:rStyle w:val="FootnoteReference"/>
          <w:rFonts w:ascii="Times New Roman" w:hAnsi="Times New Roman" w:cs="Times New Roman"/>
          <w:sz w:val="24"/>
          <w:szCs w:val="24"/>
        </w:rPr>
        <w:footnoteReference w:id="71"/>
      </w:r>
      <w:r w:rsidRPr="00AB75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750D">
        <w:rPr>
          <w:rFonts w:ascii="Times New Roman" w:hAnsi="Times New Roman" w:cs="Times New Roman"/>
          <w:sz w:val="24"/>
          <w:szCs w:val="24"/>
        </w:rPr>
        <w:t>Further, EVCA was not aware of whether AEP even had reliability issues that needed remedying.</w:t>
      </w:r>
      <w:r>
        <w:rPr>
          <w:rStyle w:val="FootnoteReference"/>
          <w:rFonts w:ascii="Times New Roman" w:hAnsi="Times New Roman" w:cs="Times New Roman"/>
          <w:sz w:val="24"/>
          <w:szCs w:val="24"/>
        </w:rPr>
        <w:footnoteReference w:id="72"/>
      </w:r>
      <w:r w:rsidRPr="00AB75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750D">
        <w:rPr>
          <w:rFonts w:ascii="Times New Roman" w:hAnsi="Times New Roman" w:cs="Times New Roman"/>
          <w:sz w:val="24"/>
          <w:szCs w:val="24"/>
        </w:rPr>
        <w:t xml:space="preserve">Thus, EVCA provided no evidence that the data is needed, can be effectively used, or that the benefits from the data will outweigh the costs of procuring it. </w:t>
      </w:r>
      <w:r>
        <w:rPr>
          <w:rFonts w:ascii="Times New Roman" w:hAnsi="Times New Roman" w:cs="Times New Roman"/>
          <w:sz w:val="24"/>
          <w:szCs w:val="24"/>
        </w:rPr>
        <w:t xml:space="preserve"> </w:t>
      </w:r>
      <w:r w:rsidRPr="00AB750D">
        <w:rPr>
          <w:rFonts w:ascii="Times New Roman" w:hAnsi="Times New Roman" w:cs="Times New Roman"/>
          <w:sz w:val="24"/>
          <w:szCs w:val="24"/>
        </w:rPr>
        <w:t>Again, the signatory parties have put the cart before the horse.</w:t>
      </w:r>
    </w:p>
    <w:p w:rsidR="009C63D2" w:rsidP="008A507D">
      <w:pPr>
        <w:spacing w:after="0" w:line="480" w:lineRule="auto"/>
        <w:ind w:firstLine="360"/>
        <w:contextualSpacing/>
        <w:rPr>
          <w:rFonts w:ascii="Times New Roman" w:hAnsi="Times New Roman" w:cs="Times New Roman"/>
          <w:sz w:val="24"/>
          <w:szCs w:val="24"/>
        </w:rPr>
      </w:pPr>
      <w:r>
        <w:rPr>
          <w:rFonts w:ascii="Times New Roman" w:hAnsi="Times New Roman" w:cs="Times New Roman"/>
          <w:sz w:val="24"/>
          <w:szCs w:val="24"/>
        </w:rPr>
        <w:tab/>
      </w:r>
      <w:r w:rsidRPr="00AB750D">
        <w:rPr>
          <w:rFonts w:ascii="Times New Roman" w:hAnsi="Times New Roman" w:cs="Times New Roman"/>
          <w:sz w:val="24"/>
          <w:szCs w:val="24"/>
        </w:rPr>
        <w:t xml:space="preserve">Claims that the charging stations will benefit customers by providing demand response capabilities </w:t>
      </w:r>
      <w:r>
        <w:rPr>
          <w:rFonts w:ascii="Times New Roman" w:hAnsi="Times New Roman" w:cs="Times New Roman"/>
          <w:sz w:val="24"/>
          <w:szCs w:val="24"/>
        </w:rPr>
        <w:t>are</w:t>
      </w:r>
      <w:r w:rsidRPr="00AB750D">
        <w:rPr>
          <w:rFonts w:ascii="Times New Roman" w:hAnsi="Times New Roman" w:cs="Times New Roman"/>
          <w:sz w:val="24"/>
          <w:szCs w:val="24"/>
        </w:rPr>
        <w:t xml:space="preserve"> also unsubstantiated. </w:t>
      </w:r>
      <w:r>
        <w:rPr>
          <w:rFonts w:ascii="Times New Roman" w:hAnsi="Times New Roman" w:cs="Times New Roman"/>
          <w:sz w:val="24"/>
          <w:szCs w:val="24"/>
        </w:rPr>
        <w:t xml:space="preserve"> </w:t>
      </w:r>
      <w:r w:rsidRPr="00AB750D">
        <w:rPr>
          <w:rFonts w:ascii="Times New Roman" w:hAnsi="Times New Roman" w:cs="Times New Roman"/>
          <w:sz w:val="24"/>
          <w:szCs w:val="24"/>
        </w:rPr>
        <w:t xml:space="preserve">EVCA claims that the use of demand response capabilities during times of high demand may decrease stress to the grid and lead to benefits for </w:t>
      </w:r>
      <w:r>
        <w:rPr>
          <w:rFonts w:ascii="Times New Roman" w:hAnsi="Times New Roman" w:cs="Times New Roman"/>
          <w:sz w:val="24"/>
          <w:szCs w:val="24"/>
        </w:rPr>
        <w:t>customers</w:t>
      </w:r>
      <w:r w:rsidRPr="00AB750D">
        <w:rPr>
          <w:rFonts w:ascii="Times New Roman" w:hAnsi="Times New Roman" w:cs="Times New Roman"/>
          <w:sz w:val="24"/>
          <w:szCs w:val="24"/>
        </w:rPr>
        <w:t>.</w:t>
      </w:r>
      <w:r>
        <w:rPr>
          <w:rStyle w:val="FootnoteReference"/>
          <w:rFonts w:ascii="Times New Roman" w:hAnsi="Times New Roman" w:cs="Times New Roman"/>
          <w:sz w:val="24"/>
          <w:szCs w:val="24"/>
        </w:rPr>
        <w:footnoteReference w:id="73"/>
      </w:r>
      <w:r w:rsidRPr="00AB75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750D">
        <w:rPr>
          <w:rFonts w:ascii="Times New Roman" w:hAnsi="Times New Roman" w:cs="Times New Roman"/>
          <w:sz w:val="24"/>
          <w:szCs w:val="24"/>
        </w:rPr>
        <w:t>Yet, EVCA witness Cherkaui admitted that he did not know when on-peak and off-peak-usage times for electricity in the AEP service territory were.</w:t>
      </w:r>
      <w:r>
        <w:rPr>
          <w:rStyle w:val="FootnoteReference"/>
          <w:rFonts w:ascii="Times New Roman" w:hAnsi="Times New Roman" w:cs="Times New Roman"/>
          <w:sz w:val="24"/>
          <w:szCs w:val="24"/>
        </w:rPr>
        <w:footnoteReference w:id="74"/>
      </w:r>
      <w:r w:rsidRPr="00AB750D">
        <w:rPr>
          <w:rFonts w:ascii="Times New Roman" w:hAnsi="Times New Roman" w:cs="Times New Roman"/>
          <w:sz w:val="24"/>
          <w:szCs w:val="24"/>
        </w:rPr>
        <w:t xml:space="preserve">  And as stated earlier, EVCA performed no studies or analysis on the transportation patterns of EV users in the AEP service territory.</w:t>
      </w:r>
      <w:r>
        <w:rPr>
          <w:rStyle w:val="FootnoteReference"/>
          <w:rFonts w:ascii="Times New Roman" w:hAnsi="Times New Roman" w:cs="Times New Roman"/>
          <w:sz w:val="24"/>
          <w:szCs w:val="24"/>
        </w:rPr>
        <w:footnoteReference w:id="75"/>
      </w:r>
      <w:r w:rsidRPr="00AB750D">
        <w:rPr>
          <w:rFonts w:ascii="Times New Roman" w:hAnsi="Times New Roman" w:cs="Times New Roman"/>
          <w:sz w:val="24"/>
          <w:szCs w:val="24"/>
        </w:rPr>
        <w:t xml:space="preserve"> </w:t>
      </w:r>
    </w:p>
    <w:p w:rsidR="00AB750D" w:rsidRPr="00AB750D" w:rsidP="008A507D">
      <w:pPr>
        <w:spacing w:after="0" w:line="480" w:lineRule="auto"/>
        <w:ind w:firstLine="360"/>
        <w:contextualSpacing/>
        <w:rPr>
          <w:rFonts w:ascii="Times New Roman" w:hAnsi="Times New Roman" w:cs="Times New Roman"/>
          <w:sz w:val="24"/>
          <w:szCs w:val="24"/>
        </w:rPr>
      </w:pPr>
      <w:r>
        <w:rPr>
          <w:rFonts w:ascii="Times New Roman" w:hAnsi="Times New Roman" w:cs="Times New Roman"/>
          <w:sz w:val="24"/>
          <w:szCs w:val="24"/>
        </w:rPr>
        <w:tab/>
      </w:r>
      <w:r w:rsidRPr="00AB750D">
        <w:rPr>
          <w:rFonts w:ascii="Times New Roman" w:hAnsi="Times New Roman" w:cs="Times New Roman"/>
          <w:sz w:val="24"/>
          <w:szCs w:val="24"/>
        </w:rPr>
        <w:t xml:space="preserve">Without knowing how the EV’s will be used and when the peak usage times for electricity are, there is no way to know if charging stations’ peak usage times will permit the benefits of demand response to be realized. </w:t>
      </w:r>
      <w:r>
        <w:rPr>
          <w:rFonts w:ascii="Times New Roman" w:hAnsi="Times New Roman" w:cs="Times New Roman"/>
          <w:sz w:val="24"/>
          <w:szCs w:val="24"/>
        </w:rPr>
        <w:t xml:space="preserve"> </w:t>
      </w:r>
      <w:r w:rsidRPr="00AB750D">
        <w:rPr>
          <w:rFonts w:ascii="Times New Roman" w:hAnsi="Times New Roman" w:cs="Times New Roman"/>
          <w:sz w:val="24"/>
          <w:szCs w:val="24"/>
        </w:rPr>
        <w:t xml:space="preserve">Thus, again, the signatory parties have provided little if any evidence that the EV proposal will actually benefit customers. Instead, the signatory parties are simply seeking to spend $10 million </w:t>
      </w:r>
      <w:r>
        <w:rPr>
          <w:rFonts w:ascii="Times New Roman" w:hAnsi="Times New Roman" w:cs="Times New Roman"/>
          <w:sz w:val="24"/>
          <w:szCs w:val="24"/>
        </w:rPr>
        <w:t xml:space="preserve">of other people's money (customers' money) </w:t>
      </w:r>
      <w:r w:rsidRPr="00AB750D">
        <w:rPr>
          <w:rFonts w:ascii="Times New Roman" w:hAnsi="Times New Roman" w:cs="Times New Roman"/>
          <w:sz w:val="24"/>
          <w:szCs w:val="24"/>
        </w:rPr>
        <w:t xml:space="preserve">to perform a study on electric vehicle charging stations in central Ohio. </w:t>
      </w:r>
      <w:r>
        <w:rPr>
          <w:rFonts w:ascii="Times New Roman" w:hAnsi="Times New Roman" w:cs="Times New Roman"/>
          <w:sz w:val="24"/>
          <w:szCs w:val="24"/>
        </w:rPr>
        <w:t xml:space="preserve"> </w:t>
      </w:r>
      <w:r w:rsidRPr="00AB750D">
        <w:rPr>
          <w:rFonts w:ascii="Times New Roman" w:hAnsi="Times New Roman" w:cs="Times New Roman"/>
          <w:sz w:val="24"/>
          <w:szCs w:val="24"/>
        </w:rPr>
        <w:t>If AEP wishes to conduct such a study it should be paid for by shareholders, not consumers.</w:t>
      </w:r>
      <w:r>
        <w:rPr>
          <w:rFonts w:ascii="Times New Roman" w:hAnsi="Times New Roman" w:cs="Times New Roman"/>
          <w:sz w:val="24"/>
          <w:szCs w:val="24"/>
        </w:rPr>
        <w:t xml:space="preserve">  Or by EV charging station owners.  </w:t>
      </w:r>
    </w:p>
    <w:p w:rsidR="00AB750D" w:rsidRPr="00AB750D" w:rsidP="008A507D">
      <w:pPr>
        <w:pStyle w:val="BodyA"/>
        <w:spacing w:line="480" w:lineRule="auto"/>
        <w:ind w:firstLine="720"/>
        <w:contextualSpacing/>
        <w:rPr>
          <w:rFonts w:hAnsi="Times New Roman" w:cs="Times New Roman"/>
        </w:rPr>
      </w:pPr>
      <w:r w:rsidRPr="00AB750D">
        <w:rPr>
          <w:rFonts w:hAnsi="Times New Roman" w:cs="Times New Roman"/>
        </w:rPr>
        <w:t xml:space="preserve">The SCR </w:t>
      </w:r>
      <w:r>
        <w:rPr>
          <w:rFonts w:hAnsi="Times New Roman" w:cs="Times New Roman"/>
        </w:rPr>
        <w:t>generates</w:t>
      </w:r>
      <w:r w:rsidRPr="00AB750D">
        <w:rPr>
          <w:rFonts w:hAnsi="Times New Roman" w:cs="Times New Roman"/>
        </w:rPr>
        <w:t xml:space="preserve"> more questions than answers. </w:t>
      </w:r>
      <w:r>
        <w:rPr>
          <w:rFonts w:hAnsi="Times New Roman" w:cs="Times New Roman"/>
        </w:rPr>
        <w:t xml:space="preserve"> </w:t>
      </w:r>
      <w:r w:rsidRPr="00AB750D">
        <w:rPr>
          <w:rFonts w:hAnsi="Times New Roman" w:cs="Times New Roman"/>
        </w:rPr>
        <w:t xml:space="preserve">AEP has failed to show that there are any benefits to customers or the public interest. </w:t>
      </w:r>
      <w:r>
        <w:rPr>
          <w:rFonts w:hAnsi="Times New Roman" w:cs="Times New Roman"/>
        </w:rPr>
        <w:t xml:space="preserve"> </w:t>
      </w:r>
      <w:r w:rsidRPr="00AB750D">
        <w:rPr>
          <w:rFonts w:hAnsi="Times New Roman" w:cs="Times New Roman"/>
        </w:rPr>
        <w:t xml:space="preserve">AEP has no evidence about the impact or cost of the EV program -- but seeks to charge customers for it anyway so it can ultimately benefit by </w:t>
      </w:r>
      <w:r>
        <w:rPr>
          <w:rFonts w:hAnsi="Times New Roman" w:cs="Times New Roman"/>
        </w:rPr>
        <w:t xml:space="preserve">having others prepay its entry into </w:t>
      </w:r>
      <w:r w:rsidRPr="00AB750D">
        <w:rPr>
          <w:rFonts w:hAnsi="Times New Roman" w:cs="Times New Roman"/>
        </w:rPr>
        <w:t xml:space="preserve">the EV </w:t>
      </w:r>
      <w:r>
        <w:rPr>
          <w:rFonts w:hAnsi="Times New Roman" w:cs="Times New Roman"/>
        </w:rPr>
        <w:t xml:space="preserve">charging station </w:t>
      </w:r>
      <w:r w:rsidRPr="00AB750D">
        <w:rPr>
          <w:rFonts w:hAnsi="Times New Roman" w:cs="Times New Roman"/>
        </w:rPr>
        <w:t xml:space="preserve">market. What AEP </w:t>
      </w:r>
      <w:r w:rsidRPr="00AB750D">
        <w:rPr>
          <w:rFonts w:hAnsi="Times New Roman" w:cs="Times New Roman"/>
          <w:i/>
        </w:rPr>
        <w:t>has</w:t>
      </w:r>
      <w:r w:rsidRPr="00AB750D">
        <w:rPr>
          <w:rFonts w:hAnsi="Times New Roman" w:cs="Times New Roman"/>
        </w:rPr>
        <w:t xml:space="preserve"> shown is that the program will benefit a few at the expense of customers and the public interest. </w:t>
      </w:r>
    </w:p>
    <w:p w:rsidR="00AB750D" w:rsidRPr="00AB750D" w:rsidP="008A507D">
      <w:pPr>
        <w:pStyle w:val="Heading4"/>
      </w:pPr>
      <w:bookmarkStart w:id="10" w:name="_Toc501633036"/>
      <w:r>
        <w:rPr>
          <w:rFonts w:ascii="Times New Roman"/>
        </w:rPr>
        <w:t>b.</w:t>
      </w:r>
      <w:r>
        <w:rPr>
          <w:rFonts w:ascii="Times New Roman"/>
        </w:rPr>
        <w:tab/>
      </w:r>
      <w:r w:rsidRPr="00AB750D">
        <w:t xml:space="preserve">The microgrid component of the </w:t>
      </w:r>
      <w:r>
        <w:t>Smart City Rider</w:t>
      </w:r>
      <w:r w:rsidRPr="00AB750D">
        <w:t xml:space="preserve"> does not benefit customers or the public interest.</w:t>
      </w:r>
      <w:bookmarkEnd w:id="10"/>
    </w:p>
    <w:p w:rsidR="00AB750D" w:rsidRPr="00AB750D" w:rsidP="00AB750D">
      <w:pPr>
        <w:pStyle w:val="BodyA"/>
        <w:spacing w:line="480" w:lineRule="auto"/>
        <w:ind w:firstLine="720"/>
        <w:contextualSpacing/>
        <w:rPr>
          <w:rFonts w:hAnsi="Times New Roman" w:cs="Times New Roman"/>
        </w:rPr>
      </w:pPr>
      <w:r w:rsidRPr="00AB750D">
        <w:rPr>
          <w:rFonts w:hAnsi="Times New Roman" w:cs="Times New Roman"/>
        </w:rPr>
        <w:t xml:space="preserve">Unfortunately for consumers, the windfall doesn’t end with the EV charging stations. </w:t>
      </w:r>
      <w:r>
        <w:rPr>
          <w:rFonts w:hAnsi="Times New Roman" w:cs="Times New Roman"/>
        </w:rPr>
        <w:t xml:space="preserve"> </w:t>
      </w:r>
      <w:r w:rsidRPr="00AB750D">
        <w:rPr>
          <w:rFonts w:hAnsi="Times New Roman" w:cs="Times New Roman"/>
        </w:rPr>
        <w:t xml:space="preserve">Under the SCR, microgrids are another example of customers paying for infrastructure that will directly benefit only a few owners/operators. </w:t>
      </w:r>
    </w:p>
    <w:p w:rsidR="00AB750D" w:rsidRPr="00AB750D" w:rsidP="00AB750D">
      <w:pPr>
        <w:pStyle w:val="BodyA"/>
        <w:spacing w:line="480" w:lineRule="auto"/>
        <w:ind w:firstLine="720"/>
        <w:contextualSpacing/>
        <w:rPr>
          <w:rFonts w:hAnsi="Times New Roman" w:cs="Times New Roman"/>
        </w:rPr>
      </w:pPr>
      <w:r w:rsidRPr="00AB750D">
        <w:rPr>
          <w:rFonts w:hAnsi="Times New Roman" w:cs="Times New Roman"/>
        </w:rPr>
        <w:t>Staff witness Schaefer explained that microgrids are not part of an electric distribution utility.</w:t>
      </w:r>
      <w:r>
        <w:rPr>
          <w:rStyle w:val="FootnoteReference"/>
          <w:rFonts w:hAnsi="Times New Roman" w:cs="Times New Roman"/>
        </w:rPr>
        <w:footnoteReference w:id="76"/>
      </w:r>
      <w:r w:rsidRPr="00AB750D">
        <w:rPr>
          <w:rFonts w:hAnsi="Times New Roman" w:cs="Times New Roman"/>
        </w:rPr>
        <w:t xml:space="preserve"> </w:t>
      </w:r>
      <w:r>
        <w:rPr>
          <w:rFonts w:hAnsi="Times New Roman" w:cs="Times New Roman"/>
        </w:rPr>
        <w:t xml:space="preserve"> </w:t>
      </w:r>
      <w:r w:rsidRPr="00AB750D">
        <w:rPr>
          <w:rFonts w:hAnsi="Times New Roman" w:cs="Times New Roman"/>
        </w:rPr>
        <w:t>But AEP will develop and build the microgrids. Under the Settlement, the site host will own the microgrid.</w:t>
      </w:r>
      <w:r>
        <w:rPr>
          <w:rStyle w:val="FootnoteReference"/>
          <w:rFonts w:hAnsi="Times New Roman" w:cs="Times New Roman"/>
        </w:rPr>
        <w:footnoteReference w:id="77"/>
      </w:r>
      <w:r w:rsidRPr="00AB750D">
        <w:rPr>
          <w:rFonts w:hAnsi="Times New Roman" w:cs="Times New Roman"/>
        </w:rPr>
        <w:t xml:space="preserve"> </w:t>
      </w:r>
      <w:r>
        <w:rPr>
          <w:rFonts w:hAnsi="Times New Roman" w:cs="Times New Roman"/>
        </w:rPr>
        <w:t xml:space="preserve"> </w:t>
      </w:r>
      <w:r w:rsidRPr="00AB750D">
        <w:rPr>
          <w:rFonts w:hAnsi="Times New Roman" w:cs="Times New Roman"/>
        </w:rPr>
        <w:t xml:space="preserve">So the site host gets the benefit of regulation, but the microgrids will not necessarily benefit those </w:t>
      </w:r>
      <w:r>
        <w:rPr>
          <w:rFonts w:hAnsi="Times New Roman" w:cs="Times New Roman"/>
        </w:rPr>
        <w:t xml:space="preserve">captive customers </w:t>
      </w:r>
      <w:r w:rsidRPr="00AB750D">
        <w:rPr>
          <w:rFonts w:hAnsi="Times New Roman" w:cs="Times New Roman"/>
        </w:rPr>
        <w:t>paying for them.</w:t>
      </w:r>
      <w:r>
        <w:rPr>
          <w:rStyle w:val="FootnoteReference"/>
          <w:rFonts w:hAnsi="Times New Roman" w:cs="Times New Roman"/>
        </w:rPr>
        <w:footnoteReference w:id="78"/>
      </w:r>
    </w:p>
    <w:p w:rsidR="00262209" w:rsidP="00AB750D">
      <w:pPr>
        <w:pStyle w:val="BodyA"/>
        <w:spacing w:line="480" w:lineRule="auto"/>
        <w:ind w:firstLine="720"/>
        <w:contextualSpacing/>
        <w:rPr>
          <w:rFonts w:hAnsi="Times New Roman" w:cs="Times New Roman"/>
        </w:rPr>
      </w:pPr>
      <w:r w:rsidRPr="00AB750D">
        <w:rPr>
          <w:rFonts w:hAnsi="Times New Roman" w:cs="Times New Roman"/>
        </w:rPr>
        <w:t>The microgrids will purportedly help system reliability, but there have been no formal assessments to support microgrids’ impact on reliability.</w:t>
      </w:r>
      <w:r>
        <w:rPr>
          <w:rStyle w:val="FootnoteReference"/>
          <w:rFonts w:hAnsi="Times New Roman" w:cs="Times New Roman"/>
        </w:rPr>
        <w:footnoteReference w:id="79"/>
      </w:r>
      <w:r w:rsidRPr="00AB750D">
        <w:rPr>
          <w:rFonts w:hAnsi="Times New Roman" w:cs="Times New Roman"/>
        </w:rPr>
        <w:t xml:space="preserve"> </w:t>
      </w:r>
      <w:r>
        <w:rPr>
          <w:rFonts w:hAnsi="Times New Roman" w:cs="Times New Roman"/>
        </w:rPr>
        <w:t xml:space="preserve"> </w:t>
      </w:r>
      <w:r w:rsidRPr="00AB750D">
        <w:rPr>
          <w:rFonts w:hAnsi="Times New Roman" w:cs="Times New Roman"/>
        </w:rPr>
        <w:t>Again, AEP has not identified what exactly it is assessing.</w:t>
      </w:r>
      <w:r>
        <w:rPr>
          <w:rStyle w:val="FootnoteReference"/>
          <w:rFonts w:hAnsi="Times New Roman" w:cs="Times New Roman"/>
        </w:rPr>
        <w:footnoteReference w:id="80"/>
      </w:r>
      <w:r w:rsidRPr="00AB750D">
        <w:rPr>
          <w:rFonts w:hAnsi="Times New Roman" w:cs="Times New Roman"/>
        </w:rPr>
        <w:t xml:space="preserve">  AEP cannot be expected to assess anything when they have no idea about the design or functionality of any microgrid.</w:t>
      </w:r>
      <w:r>
        <w:rPr>
          <w:rStyle w:val="FootnoteReference"/>
          <w:rFonts w:hAnsi="Times New Roman" w:cs="Times New Roman"/>
        </w:rPr>
        <w:footnoteReference w:id="81"/>
      </w:r>
      <w:r w:rsidRPr="00AB750D">
        <w:rPr>
          <w:rFonts w:hAnsi="Times New Roman" w:cs="Times New Roman"/>
        </w:rPr>
        <w:t xml:space="preserve"> </w:t>
      </w:r>
      <w:r>
        <w:rPr>
          <w:rFonts w:hAnsi="Times New Roman" w:cs="Times New Roman"/>
        </w:rPr>
        <w:t xml:space="preserve"> </w:t>
      </w:r>
      <w:r w:rsidRPr="00AB750D">
        <w:rPr>
          <w:rFonts w:hAnsi="Times New Roman" w:cs="Times New Roman"/>
        </w:rPr>
        <w:t>It is absurd that AEP claims public benefits for a microgrid when the costs are unknown,</w:t>
      </w:r>
      <w:r>
        <w:rPr>
          <w:rStyle w:val="FootnoteReference"/>
          <w:rFonts w:hAnsi="Times New Roman" w:cs="Times New Roman"/>
        </w:rPr>
        <w:footnoteReference w:id="82"/>
      </w:r>
      <w:r w:rsidRPr="00AB750D">
        <w:rPr>
          <w:rFonts w:hAnsi="Times New Roman" w:cs="Times New Roman"/>
        </w:rPr>
        <w:t xml:space="preserve"> assessments </w:t>
      </w:r>
      <w:r>
        <w:rPr>
          <w:rFonts w:hAnsi="Times New Roman" w:cs="Times New Roman"/>
        </w:rPr>
        <w:t xml:space="preserve">to consumers </w:t>
      </w:r>
      <w:r w:rsidRPr="00AB750D">
        <w:rPr>
          <w:rFonts w:hAnsi="Times New Roman" w:cs="Times New Roman"/>
        </w:rPr>
        <w:t>and actual impacts on reliability are unknown,</w:t>
      </w:r>
      <w:r>
        <w:rPr>
          <w:rStyle w:val="FootnoteReference"/>
          <w:rFonts w:hAnsi="Times New Roman" w:cs="Times New Roman"/>
        </w:rPr>
        <w:footnoteReference w:id="83"/>
      </w:r>
      <w:r w:rsidRPr="00AB750D">
        <w:rPr>
          <w:rFonts w:hAnsi="Times New Roman" w:cs="Times New Roman"/>
        </w:rPr>
        <w:t xml:space="preserve"> and AEP has no experience in design, construction, or operation of microgrids.</w:t>
      </w:r>
      <w:r>
        <w:rPr>
          <w:rStyle w:val="FootnoteReference"/>
          <w:rFonts w:hAnsi="Times New Roman" w:cs="Times New Roman"/>
        </w:rPr>
        <w:footnoteReference w:id="84"/>
      </w:r>
      <w:r w:rsidRPr="00AB750D">
        <w:rPr>
          <w:rFonts w:hAnsi="Times New Roman" w:cs="Times New Roman"/>
        </w:rPr>
        <w:t xml:space="preserve"> </w:t>
      </w:r>
    </w:p>
    <w:p w:rsidR="00AB750D" w:rsidRPr="00AB750D" w:rsidP="00AB750D">
      <w:pPr>
        <w:pStyle w:val="BodyA"/>
        <w:spacing w:line="480" w:lineRule="auto"/>
        <w:ind w:firstLine="720"/>
        <w:contextualSpacing/>
        <w:rPr>
          <w:rFonts w:hAnsi="Times New Roman" w:cs="Times New Roman"/>
        </w:rPr>
      </w:pPr>
      <w:r>
        <w:rPr>
          <w:rFonts w:hAnsi="Times New Roman" w:cs="Times New Roman"/>
        </w:rPr>
        <w:t>The microgrid component of the SCR, like the charging station component, will benefit only a few at the expense of millions of customers.  T</w:t>
      </w:r>
      <w:r w:rsidRPr="00AB750D">
        <w:rPr>
          <w:rFonts w:hAnsi="Times New Roman" w:cs="Times New Roman"/>
        </w:rPr>
        <w:t xml:space="preserve">his windfall </w:t>
      </w:r>
      <w:r>
        <w:rPr>
          <w:rFonts w:hAnsi="Times New Roman" w:cs="Times New Roman"/>
        </w:rPr>
        <w:t>will</w:t>
      </w:r>
      <w:r w:rsidRPr="00AB750D">
        <w:rPr>
          <w:rFonts w:hAnsi="Times New Roman" w:cs="Times New Roman"/>
        </w:rPr>
        <w:t xml:space="preserve"> harm consumers, causing them to pay unjust and unreasonable rates</w:t>
      </w:r>
      <w:r>
        <w:rPr>
          <w:rFonts w:hAnsi="Times New Roman" w:cs="Times New Roman"/>
        </w:rPr>
        <w:t xml:space="preserve"> and subsidies</w:t>
      </w:r>
      <w:r w:rsidRPr="00AB750D">
        <w:rPr>
          <w:rFonts w:hAnsi="Times New Roman" w:cs="Times New Roman"/>
        </w:rPr>
        <w:t xml:space="preserve"> in violation of R.C. 4909.22</w:t>
      </w:r>
      <w:r>
        <w:rPr>
          <w:rFonts w:hAnsi="Times New Roman" w:cs="Times New Roman"/>
        </w:rPr>
        <w:t>, R.C. 4928.02(A), and R.C. 4928.02(H)</w:t>
      </w:r>
      <w:r w:rsidRPr="00AB750D">
        <w:rPr>
          <w:rFonts w:hAnsi="Times New Roman" w:cs="Times New Roman"/>
        </w:rPr>
        <w:t xml:space="preserve">. </w:t>
      </w:r>
    </w:p>
    <w:p w:rsidR="00AB750D" w:rsidRPr="00AB750D" w:rsidP="008A507D">
      <w:pPr>
        <w:pStyle w:val="Heading3"/>
      </w:pPr>
      <w:r w:rsidRPr="00AB750D">
        <w:t xml:space="preserve">  </w:t>
      </w:r>
      <w:bookmarkStart w:id="11" w:name="_Toc501633037"/>
      <w:r>
        <w:t>3.</w:t>
      </w:r>
      <w:r>
        <w:tab/>
      </w:r>
      <w:r w:rsidRPr="00AB750D">
        <w:t>The Supplier Consolidated Billing Pilot will not benefit consumers or the public interest.</w:t>
      </w:r>
      <w:bookmarkEnd w:id="11"/>
    </w:p>
    <w:p w:rsidR="00AB750D" w:rsidRPr="00AB750D" w:rsidP="00AB750D">
      <w:pPr>
        <w:spacing w:line="480" w:lineRule="auto"/>
        <w:ind w:firstLine="720"/>
        <w:contextualSpacing/>
        <w:rPr>
          <w:rFonts w:ascii="Times New Roman" w:hAnsi="Times New Roman" w:cs="Times New Roman"/>
          <w:sz w:val="24"/>
          <w:szCs w:val="24"/>
        </w:rPr>
      </w:pPr>
      <w:r w:rsidRPr="00AB750D">
        <w:rPr>
          <w:rFonts w:ascii="Times New Roman" w:hAnsi="Times New Roman" w:cs="Times New Roman"/>
          <w:sz w:val="24"/>
          <w:szCs w:val="24"/>
        </w:rPr>
        <w:t xml:space="preserve">Under the Supplier Consolidated Billing (“SCB”) pilot, a </w:t>
      </w:r>
      <w:r>
        <w:rPr>
          <w:rFonts w:ascii="Times New Roman" w:hAnsi="Times New Roman" w:cs="Times New Roman"/>
          <w:sz w:val="24"/>
          <w:szCs w:val="24"/>
        </w:rPr>
        <w:t>competitive retail electric service provider (“</w:t>
      </w:r>
      <w:r w:rsidRPr="00AB750D">
        <w:rPr>
          <w:rFonts w:ascii="Times New Roman" w:hAnsi="Times New Roman" w:cs="Times New Roman"/>
          <w:sz w:val="24"/>
          <w:szCs w:val="24"/>
        </w:rPr>
        <w:t>CRES</w:t>
      </w:r>
      <w:r>
        <w:rPr>
          <w:rFonts w:ascii="Times New Roman" w:hAnsi="Times New Roman" w:cs="Times New Roman"/>
          <w:sz w:val="24"/>
          <w:szCs w:val="24"/>
        </w:rPr>
        <w:t>” or “marketer”)</w:t>
      </w:r>
      <w:r w:rsidRPr="00AB750D">
        <w:rPr>
          <w:rFonts w:ascii="Times New Roman" w:hAnsi="Times New Roman" w:cs="Times New Roman"/>
          <w:sz w:val="24"/>
          <w:szCs w:val="24"/>
        </w:rPr>
        <w:t xml:space="preserve"> would </w:t>
      </w:r>
      <w:r>
        <w:rPr>
          <w:rFonts w:ascii="Times New Roman" w:hAnsi="Times New Roman" w:cs="Times New Roman"/>
          <w:sz w:val="24"/>
          <w:szCs w:val="24"/>
        </w:rPr>
        <w:t>furnish</w:t>
      </w:r>
      <w:r w:rsidRPr="00AB750D">
        <w:rPr>
          <w:rFonts w:ascii="Times New Roman" w:hAnsi="Times New Roman" w:cs="Times New Roman"/>
          <w:sz w:val="24"/>
          <w:szCs w:val="24"/>
        </w:rPr>
        <w:t xml:space="preserve"> customers with a single bill for all the components of their electric service.</w:t>
      </w:r>
      <w:r>
        <w:rPr>
          <w:rStyle w:val="FootnoteReference"/>
          <w:rFonts w:ascii="Times New Roman" w:hAnsi="Times New Roman" w:cs="Times New Roman"/>
          <w:sz w:val="24"/>
          <w:szCs w:val="24"/>
        </w:rPr>
        <w:footnoteReference w:id="85"/>
      </w:r>
      <w:r w:rsidRPr="00AB75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750D">
        <w:rPr>
          <w:rFonts w:ascii="Times New Roman" w:hAnsi="Times New Roman" w:cs="Times New Roman"/>
          <w:sz w:val="24"/>
          <w:szCs w:val="24"/>
        </w:rPr>
        <w:t>Customers will be charged on a non</w:t>
      </w:r>
      <w:r>
        <w:rPr>
          <w:rFonts w:ascii="Times New Roman" w:hAnsi="Times New Roman" w:cs="Times New Roman"/>
          <w:sz w:val="24"/>
          <w:szCs w:val="24"/>
        </w:rPr>
        <w:t>-</w:t>
      </w:r>
      <w:r w:rsidRPr="00AB750D">
        <w:rPr>
          <w:rFonts w:ascii="Times New Roman" w:hAnsi="Times New Roman" w:cs="Times New Roman"/>
          <w:sz w:val="24"/>
          <w:szCs w:val="24"/>
        </w:rPr>
        <w:t>bypassable basis for the costs of the SCB pilot.</w:t>
      </w:r>
      <w:r>
        <w:rPr>
          <w:rStyle w:val="FootnoteReference"/>
          <w:rFonts w:ascii="Times New Roman" w:hAnsi="Times New Roman" w:cs="Times New Roman"/>
          <w:sz w:val="24"/>
          <w:szCs w:val="24"/>
        </w:rPr>
        <w:footnoteReference w:id="86"/>
      </w:r>
      <w:r w:rsidRPr="00AB75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750D">
        <w:rPr>
          <w:rFonts w:ascii="Times New Roman" w:hAnsi="Times New Roman" w:cs="Times New Roman"/>
          <w:sz w:val="24"/>
          <w:szCs w:val="24"/>
        </w:rPr>
        <w:t xml:space="preserve">RESA asserts that the SCB will benefit </w:t>
      </w:r>
      <w:r>
        <w:rPr>
          <w:rFonts w:ascii="Times New Roman" w:hAnsi="Times New Roman" w:cs="Times New Roman"/>
          <w:sz w:val="24"/>
          <w:szCs w:val="24"/>
        </w:rPr>
        <w:t>consumers</w:t>
      </w:r>
      <w:r w:rsidRPr="00AB750D">
        <w:rPr>
          <w:rFonts w:ascii="Times New Roman" w:hAnsi="Times New Roman" w:cs="Times New Roman"/>
          <w:sz w:val="24"/>
          <w:szCs w:val="24"/>
        </w:rPr>
        <w:t xml:space="preserve"> because some customers want a bundled all-in-price for electric service, not a separate price for each service. </w:t>
      </w:r>
      <w:r>
        <w:rPr>
          <w:rFonts w:ascii="Times New Roman" w:hAnsi="Times New Roman" w:cs="Times New Roman"/>
          <w:sz w:val="24"/>
          <w:szCs w:val="24"/>
        </w:rPr>
        <w:t xml:space="preserve"> </w:t>
      </w:r>
      <w:r w:rsidRPr="00AB750D">
        <w:rPr>
          <w:rFonts w:ascii="Times New Roman" w:hAnsi="Times New Roman" w:cs="Times New Roman"/>
          <w:sz w:val="24"/>
          <w:szCs w:val="24"/>
        </w:rPr>
        <w:t>But RESA admitted that it had done no formal studies or analysis to support this assertion.</w:t>
      </w:r>
      <w:r>
        <w:rPr>
          <w:rStyle w:val="FootnoteReference"/>
          <w:rFonts w:ascii="Times New Roman" w:hAnsi="Times New Roman" w:cs="Times New Roman"/>
          <w:sz w:val="24"/>
          <w:szCs w:val="24"/>
        </w:rPr>
        <w:footnoteReference w:id="87"/>
      </w:r>
      <w:r w:rsidRPr="00AB75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750D">
        <w:rPr>
          <w:rFonts w:ascii="Times New Roman" w:hAnsi="Times New Roman" w:cs="Times New Roman"/>
          <w:sz w:val="24"/>
          <w:szCs w:val="24"/>
        </w:rPr>
        <w:t>RESA also stated that the SCB benefits customers because they are demanding value-added products and services with their electric commodity.</w:t>
      </w:r>
      <w:r>
        <w:rPr>
          <w:rStyle w:val="FootnoteReference"/>
          <w:rFonts w:ascii="Times New Roman" w:hAnsi="Times New Roman" w:cs="Times New Roman"/>
          <w:sz w:val="24"/>
          <w:szCs w:val="24"/>
        </w:rPr>
        <w:footnoteReference w:id="88"/>
      </w:r>
      <w:r w:rsidRPr="00AB75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750D">
        <w:rPr>
          <w:rFonts w:ascii="Times New Roman" w:hAnsi="Times New Roman" w:cs="Times New Roman"/>
          <w:sz w:val="24"/>
          <w:szCs w:val="24"/>
        </w:rPr>
        <w:t>But again, RESA witness White admitted that RESA had done no formal studies or analysis to support this statement.</w:t>
      </w:r>
      <w:r>
        <w:rPr>
          <w:rStyle w:val="FootnoteReference"/>
          <w:rFonts w:ascii="Times New Roman" w:hAnsi="Times New Roman" w:cs="Times New Roman"/>
          <w:sz w:val="24"/>
          <w:szCs w:val="24"/>
        </w:rPr>
        <w:footnoteReference w:id="89"/>
      </w:r>
      <w:r w:rsidRPr="00AB75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750D">
        <w:rPr>
          <w:rFonts w:ascii="Times New Roman" w:hAnsi="Times New Roman" w:cs="Times New Roman"/>
          <w:sz w:val="24"/>
          <w:szCs w:val="24"/>
        </w:rPr>
        <w:t>In fact, RESA witness White admitted that RESA has not formally studied or analyzed whether customers want an SCB pilot,</w:t>
      </w:r>
      <w:r>
        <w:rPr>
          <w:rStyle w:val="FootnoteReference"/>
          <w:rFonts w:ascii="Times New Roman" w:hAnsi="Times New Roman" w:cs="Times New Roman"/>
          <w:sz w:val="24"/>
          <w:szCs w:val="24"/>
        </w:rPr>
        <w:footnoteReference w:id="90"/>
      </w:r>
      <w:r w:rsidRPr="00AB750D">
        <w:rPr>
          <w:rFonts w:ascii="Times New Roman" w:hAnsi="Times New Roman" w:cs="Times New Roman"/>
          <w:sz w:val="24"/>
          <w:szCs w:val="24"/>
        </w:rPr>
        <w:t xml:space="preserve"> whether customers are willing to pay for an SCB pilot,</w:t>
      </w:r>
      <w:r>
        <w:rPr>
          <w:rStyle w:val="FootnoteReference"/>
          <w:rFonts w:ascii="Times New Roman" w:hAnsi="Times New Roman" w:cs="Times New Roman"/>
          <w:sz w:val="24"/>
          <w:szCs w:val="24"/>
        </w:rPr>
        <w:footnoteReference w:id="91"/>
      </w:r>
      <w:r w:rsidRPr="00AB750D">
        <w:rPr>
          <w:rFonts w:ascii="Times New Roman" w:hAnsi="Times New Roman" w:cs="Times New Roman"/>
          <w:sz w:val="24"/>
          <w:szCs w:val="24"/>
        </w:rPr>
        <w:t xml:space="preserve"> nor whether an SCB pilot would benefit the competitive market in Ohio.</w:t>
      </w:r>
      <w:r>
        <w:rPr>
          <w:rStyle w:val="FootnoteReference"/>
          <w:rFonts w:ascii="Times New Roman" w:hAnsi="Times New Roman" w:cs="Times New Roman"/>
          <w:sz w:val="24"/>
          <w:szCs w:val="24"/>
        </w:rPr>
        <w:footnoteReference w:id="92"/>
      </w:r>
      <w:r w:rsidRPr="00AB75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750D">
        <w:rPr>
          <w:rFonts w:ascii="Times New Roman" w:hAnsi="Times New Roman" w:cs="Times New Roman"/>
          <w:sz w:val="24"/>
          <w:szCs w:val="24"/>
        </w:rPr>
        <w:t>Therefore, only one conclusion can be reached—the SCB does not benefit customers.</w:t>
      </w:r>
    </w:p>
    <w:p w:rsidR="00AB750D" w:rsidRPr="00AB750D" w:rsidP="00AB750D">
      <w:pPr>
        <w:spacing w:line="480" w:lineRule="auto"/>
        <w:ind w:firstLine="720"/>
        <w:contextualSpacing/>
        <w:rPr>
          <w:rFonts w:ascii="Times New Roman" w:hAnsi="Times New Roman" w:cs="Times New Roman"/>
          <w:sz w:val="24"/>
          <w:szCs w:val="24"/>
        </w:rPr>
      </w:pPr>
      <w:r w:rsidRPr="00AB750D">
        <w:rPr>
          <w:rFonts w:ascii="Times New Roman" w:hAnsi="Times New Roman" w:cs="Times New Roman"/>
          <w:sz w:val="24"/>
          <w:szCs w:val="24"/>
        </w:rPr>
        <w:t xml:space="preserve">AEP appears to argue in its Initial Brief that all customers benefit from enhancements to the retail choice program — even the customers who are not shopping </w:t>
      </w:r>
      <w:r>
        <w:rPr>
          <w:rFonts w:ascii="Times New Roman" w:hAnsi="Times New Roman" w:cs="Times New Roman"/>
          <w:sz w:val="24"/>
          <w:szCs w:val="24"/>
        </w:rPr>
        <w:t>for generation service</w:t>
      </w:r>
      <w:r w:rsidRPr="00AB750D">
        <w:rPr>
          <w:rFonts w:ascii="Times New Roman" w:hAnsi="Times New Roman" w:cs="Times New Roman"/>
          <w:sz w:val="24"/>
          <w:szCs w:val="24"/>
        </w:rPr>
        <w:t>— because all customers have the option to shop.</w:t>
      </w:r>
      <w:r>
        <w:rPr>
          <w:rStyle w:val="FootnoteReference"/>
          <w:rFonts w:ascii="Times New Roman" w:hAnsi="Times New Roman" w:cs="Times New Roman"/>
          <w:sz w:val="24"/>
          <w:szCs w:val="24"/>
        </w:rPr>
        <w:footnoteReference w:id="93"/>
      </w:r>
      <w:r w:rsidRPr="00AB75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750D">
        <w:rPr>
          <w:rFonts w:ascii="Times New Roman" w:hAnsi="Times New Roman" w:cs="Times New Roman"/>
          <w:sz w:val="24"/>
          <w:szCs w:val="24"/>
        </w:rPr>
        <w:t xml:space="preserve">This </w:t>
      </w:r>
      <w:r>
        <w:rPr>
          <w:rFonts w:ascii="Times New Roman" w:hAnsi="Times New Roman" w:cs="Times New Roman"/>
          <w:sz w:val="24"/>
          <w:szCs w:val="24"/>
        </w:rPr>
        <w:t xml:space="preserve">reasoning </w:t>
      </w:r>
      <w:r w:rsidRPr="00AB750D">
        <w:rPr>
          <w:rFonts w:ascii="Times New Roman" w:hAnsi="Times New Roman" w:cs="Times New Roman"/>
          <w:sz w:val="24"/>
          <w:szCs w:val="24"/>
        </w:rPr>
        <w:t xml:space="preserve">is illogical. </w:t>
      </w:r>
      <w:r>
        <w:rPr>
          <w:rFonts w:ascii="Times New Roman" w:hAnsi="Times New Roman" w:cs="Times New Roman"/>
          <w:sz w:val="24"/>
          <w:szCs w:val="24"/>
        </w:rPr>
        <w:t xml:space="preserve"> </w:t>
      </w:r>
      <w:r w:rsidRPr="00AB750D">
        <w:rPr>
          <w:rFonts w:ascii="Times New Roman" w:hAnsi="Times New Roman" w:cs="Times New Roman"/>
          <w:sz w:val="24"/>
          <w:szCs w:val="24"/>
        </w:rPr>
        <w:t>If a customer is not shopping and does not plan to shop then it will not be able to use SCB.</w:t>
      </w:r>
      <w:r>
        <w:rPr>
          <w:rStyle w:val="FootnoteReference"/>
          <w:rFonts w:ascii="Times New Roman" w:hAnsi="Times New Roman" w:cs="Times New Roman"/>
          <w:sz w:val="24"/>
          <w:szCs w:val="24"/>
        </w:rPr>
        <w:footnoteReference w:id="94"/>
      </w:r>
      <w:r w:rsidRPr="00AB75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750D">
        <w:rPr>
          <w:rFonts w:ascii="Times New Roman" w:hAnsi="Times New Roman" w:cs="Times New Roman"/>
          <w:sz w:val="24"/>
          <w:szCs w:val="24"/>
        </w:rPr>
        <w:t>Therefore, the customer would not be able to avail itself of any purported benefits of SCB.</w:t>
      </w:r>
    </w:p>
    <w:p w:rsidR="00AB750D" w:rsidRPr="00AB750D" w:rsidP="008A507D">
      <w:pPr>
        <w:spacing w:after="0" w:line="480" w:lineRule="auto"/>
        <w:ind w:firstLine="720"/>
        <w:contextualSpacing/>
        <w:rPr>
          <w:rFonts w:ascii="Times New Roman" w:hAnsi="Times New Roman" w:cs="Times New Roman"/>
          <w:sz w:val="24"/>
          <w:szCs w:val="24"/>
        </w:rPr>
      </w:pPr>
      <w:r w:rsidRPr="00AB750D">
        <w:rPr>
          <w:rFonts w:ascii="Times New Roman" w:hAnsi="Times New Roman" w:cs="Times New Roman"/>
          <w:sz w:val="24"/>
          <w:szCs w:val="24"/>
        </w:rPr>
        <w:t xml:space="preserve">Finally, AEP states that OCC should be estopped from challenging the SCB because OCC was a signatory party to the Global Settlement in Case Nos. 10-2929-EL-UNC, et al. </w:t>
      </w:r>
      <w:r>
        <w:rPr>
          <w:rFonts w:ascii="Times New Roman" w:hAnsi="Times New Roman" w:cs="Times New Roman"/>
          <w:sz w:val="24"/>
          <w:szCs w:val="24"/>
        </w:rPr>
        <w:t xml:space="preserve"> </w:t>
      </w:r>
      <w:r w:rsidRPr="00AB750D">
        <w:rPr>
          <w:rFonts w:ascii="Times New Roman" w:hAnsi="Times New Roman" w:cs="Times New Roman"/>
          <w:sz w:val="24"/>
          <w:szCs w:val="24"/>
        </w:rPr>
        <w:t xml:space="preserve">This claim is meritless. </w:t>
      </w:r>
      <w:r>
        <w:rPr>
          <w:rFonts w:ascii="Times New Roman" w:hAnsi="Times New Roman" w:cs="Times New Roman"/>
          <w:sz w:val="24"/>
          <w:szCs w:val="24"/>
        </w:rPr>
        <w:t xml:space="preserve"> </w:t>
      </w:r>
      <w:r w:rsidRPr="00AB750D">
        <w:rPr>
          <w:rFonts w:ascii="Times New Roman" w:hAnsi="Times New Roman" w:cs="Times New Roman"/>
          <w:sz w:val="24"/>
          <w:szCs w:val="24"/>
        </w:rPr>
        <w:t>The Global Settlement</w:t>
      </w:r>
      <w:r>
        <w:rPr>
          <w:rFonts w:ascii="Times New Roman" w:hAnsi="Times New Roman" w:cs="Times New Roman"/>
          <w:sz w:val="24"/>
          <w:szCs w:val="24"/>
        </w:rPr>
        <w:t xml:space="preserve"> </w:t>
      </w:r>
      <w:r w:rsidRPr="00AB750D">
        <w:rPr>
          <w:rFonts w:ascii="Times New Roman" w:hAnsi="Times New Roman" w:cs="Times New Roman"/>
          <w:sz w:val="24"/>
          <w:szCs w:val="24"/>
        </w:rPr>
        <w:t>states that nothing in the settlement may be used as precedent in any future proceeding or against any signatory party.</w:t>
      </w:r>
      <w:r>
        <w:rPr>
          <w:rStyle w:val="FootnoteReference"/>
          <w:rFonts w:ascii="Times New Roman" w:hAnsi="Times New Roman" w:cs="Times New Roman"/>
          <w:sz w:val="24"/>
          <w:szCs w:val="24"/>
        </w:rPr>
        <w:footnoteReference w:id="95"/>
      </w:r>
      <w:r w:rsidRPr="00AB75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750D">
        <w:rPr>
          <w:rFonts w:ascii="Times New Roman" w:hAnsi="Times New Roman" w:cs="Times New Roman"/>
          <w:sz w:val="24"/>
          <w:szCs w:val="24"/>
        </w:rPr>
        <w:t>Further, the proposal in this Settlement is different than the proposal in the Global Settlement.</w:t>
      </w:r>
      <w:r>
        <w:rPr>
          <w:rStyle w:val="FootnoteReference"/>
          <w:rFonts w:ascii="Times New Roman" w:hAnsi="Times New Roman" w:cs="Times New Roman"/>
          <w:sz w:val="24"/>
          <w:szCs w:val="24"/>
        </w:rPr>
        <w:footnoteReference w:id="96"/>
      </w:r>
      <w:r w:rsidRPr="00AB75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750D">
        <w:rPr>
          <w:rFonts w:ascii="Times New Roman" w:hAnsi="Times New Roman" w:cs="Times New Roman"/>
          <w:sz w:val="24"/>
          <w:szCs w:val="24"/>
        </w:rPr>
        <w:t>Thus, OCC has the right to oppose this Settlement.</w:t>
      </w:r>
    </w:p>
    <w:p w:rsidR="00AB750D" w:rsidRPr="00AB750D" w:rsidP="008A507D">
      <w:pPr>
        <w:pStyle w:val="Heading3"/>
      </w:pPr>
      <w:bookmarkStart w:id="12" w:name="_Toc501633038"/>
      <w:r>
        <w:t>4.</w:t>
      </w:r>
      <w:r>
        <w:tab/>
      </w:r>
      <w:r w:rsidRPr="00AB750D">
        <w:t>The Enroll From Your Wallet program will not benefit customers or the public interest.</w:t>
      </w:r>
      <w:bookmarkEnd w:id="12"/>
    </w:p>
    <w:p w:rsidR="00AB750D" w:rsidRPr="00AB750D" w:rsidP="00AB750D">
      <w:pPr>
        <w:spacing w:line="480" w:lineRule="auto"/>
        <w:ind w:firstLine="720"/>
        <w:contextualSpacing/>
        <w:rPr>
          <w:rFonts w:ascii="Times New Roman" w:hAnsi="Times New Roman" w:cs="Times New Roman"/>
          <w:sz w:val="24"/>
          <w:szCs w:val="24"/>
        </w:rPr>
      </w:pPr>
      <w:r w:rsidRPr="00AB750D">
        <w:rPr>
          <w:rFonts w:ascii="Times New Roman" w:hAnsi="Times New Roman" w:cs="Times New Roman"/>
          <w:sz w:val="24"/>
          <w:szCs w:val="24"/>
        </w:rPr>
        <w:t xml:space="preserve">Currently, for a customer to enroll with a </w:t>
      </w:r>
      <w:r>
        <w:rPr>
          <w:rFonts w:ascii="Times New Roman" w:hAnsi="Times New Roman" w:cs="Times New Roman"/>
          <w:sz w:val="24"/>
          <w:szCs w:val="24"/>
        </w:rPr>
        <w:t>Marketer</w:t>
      </w:r>
      <w:r w:rsidRPr="00AB750D">
        <w:rPr>
          <w:rFonts w:ascii="Times New Roman" w:hAnsi="Times New Roman" w:cs="Times New Roman"/>
          <w:sz w:val="24"/>
          <w:szCs w:val="24"/>
        </w:rPr>
        <w:t xml:space="preserve"> the customer must provide their unique Service Delivery Identifier (“SDI”) number, which can be found on their utility bill.</w:t>
      </w:r>
      <w:r>
        <w:rPr>
          <w:rStyle w:val="FootnoteReference"/>
          <w:rFonts w:ascii="Times New Roman" w:hAnsi="Times New Roman" w:cs="Times New Roman"/>
          <w:sz w:val="24"/>
          <w:szCs w:val="24"/>
        </w:rPr>
        <w:footnoteReference w:id="97"/>
      </w:r>
      <w:r w:rsidRPr="00AB75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750D">
        <w:rPr>
          <w:rFonts w:ascii="Times New Roman" w:hAnsi="Times New Roman" w:cs="Times New Roman"/>
          <w:sz w:val="24"/>
          <w:szCs w:val="24"/>
        </w:rPr>
        <w:t>The Enroll From My Wallet (“EFMW”) Program would allow customers to enroll with a CRES without requiring the customer to have their SDI available.</w:t>
      </w:r>
      <w:r>
        <w:rPr>
          <w:rStyle w:val="FootnoteReference"/>
          <w:rFonts w:ascii="Times New Roman" w:hAnsi="Times New Roman" w:cs="Times New Roman"/>
          <w:sz w:val="24"/>
          <w:szCs w:val="24"/>
        </w:rPr>
        <w:footnoteReference w:id="98"/>
      </w:r>
      <w:r w:rsidRPr="00AB75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750D">
        <w:rPr>
          <w:rFonts w:ascii="Times New Roman" w:hAnsi="Times New Roman" w:cs="Times New Roman"/>
          <w:sz w:val="24"/>
          <w:szCs w:val="24"/>
        </w:rPr>
        <w:t xml:space="preserve">Instead, the customer could enroll with the </w:t>
      </w:r>
      <w:r>
        <w:rPr>
          <w:rFonts w:ascii="Times New Roman" w:hAnsi="Times New Roman" w:cs="Times New Roman"/>
          <w:sz w:val="24"/>
          <w:szCs w:val="24"/>
        </w:rPr>
        <w:t>Marketer</w:t>
      </w:r>
      <w:r w:rsidRPr="00AB750D">
        <w:rPr>
          <w:rFonts w:ascii="Times New Roman" w:hAnsi="Times New Roman" w:cs="Times New Roman"/>
          <w:sz w:val="24"/>
          <w:szCs w:val="24"/>
        </w:rPr>
        <w:t xml:space="preserve"> by providing other personally identifiable information.</w:t>
      </w:r>
      <w:r>
        <w:rPr>
          <w:rStyle w:val="FootnoteReference"/>
          <w:rFonts w:ascii="Times New Roman" w:hAnsi="Times New Roman" w:cs="Times New Roman"/>
          <w:sz w:val="24"/>
          <w:szCs w:val="24"/>
        </w:rPr>
        <w:footnoteReference w:id="99"/>
      </w:r>
      <w:r w:rsidRPr="00AB75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750D">
        <w:rPr>
          <w:rFonts w:ascii="Times New Roman" w:hAnsi="Times New Roman" w:cs="Times New Roman"/>
          <w:sz w:val="24"/>
          <w:szCs w:val="24"/>
        </w:rPr>
        <w:t xml:space="preserve">Several of the signatory parties </w:t>
      </w:r>
      <w:r>
        <w:rPr>
          <w:rFonts w:ascii="Times New Roman" w:hAnsi="Times New Roman" w:cs="Times New Roman"/>
          <w:sz w:val="24"/>
          <w:szCs w:val="24"/>
        </w:rPr>
        <w:t xml:space="preserve">to the Settlement </w:t>
      </w:r>
      <w:r w:rsidRPr="00AB750D">
        <w:rPr>
          <w:rFonts w:ascii="Times New Roman" w:hAnsi="Times New Roman" w:cs="Times New Roman"/>
          <w:sz w:val="24"/>
          <w:szCs w:val="24"/>
        </w:rPr>
        <w:t>argue that the EFMW program will benefit customers and therefore should be approved.</w:t>
      </w:r>
      <w:r>
        <w:rPr>
          <w:rStyle w:val="FootnoteReference"/>
          <w:rFonts w:ascii="Times New Roman" w:hAnsi="Times New Roman" w:cs="Times New Roman"/>
          <w:sz w:val="24"/>
          <w:szCs w:val="24"/>
        </w:rPr>
        <w:footnoteReference w:id="100"/>
      </w:r>
      <w:r w:rsidRPr="00AB75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750D">
        <w:rPr>
          <w:rFonts w:ascii="Times New Roman" w:hAnsi="Times New Roman" w:cs="Times New Roman"/>
          <w:sz w:val="24"/>
          <w:szCs w:val="24"/>
        </w:rPr>
        <w:t>They are wrong.</w:t>
      </w:r>
    </w:p>
    <w:p w:rsidR="000104D0" w:rsidP="00AB750D">
      <w:pPr>
        <w:spacing w:line="480" w:lineRule="auto"/>
        <w:ind w:firstLine="720"/>
        <w:contextualSpacing/>
        <w:rPr>
          <w:rFonts w:ascii="Times New Roman" w:hAnsi="Times New Roman" w:cs="Times New Roman"/>
          <w:sz w:val="24"/>
          <w:szCs w:val="24"/>
        </w:rPr>
      </w:pPr>
      <w:r w:rsidRPr="00AB750D">
        <w:rPr>
          <w:rFonts w:ascii="Times New Roman" w:hAnsi="Times New Roman" w:cs="Times New Roman"/>
          <w:sz w:val="24"/>
          <w:szCs w:val="24"/>
        </w:rPr>
        <w:t>RESA and AEP both claim that the EFMW should be approved because it will be more efficient for customers.</w:t>
      </w:r>
      <w:r>
        <w:rPr>
          <w:rStyle w:val="FootnoteReference"/>
          <w:rFonts w:ascii="Times New Roman" w:hAnsi="Times New Roman" w:cs="Times New Roman"/>
          <w:sz w:val="24"/>
          <w:szCs w:val="24"/>
        </w:rPr>
        <w:footnoteReference w:id="101"/>
      </w:r>
      <w:r w:rsidRPr="00AB75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750D">
        <w:rPr>
          <w:rFonts w:ascii="Times New Roman" w:hAnsi="Times New Roman" w:cs="Times New Roman"/>
          <w:sz w:val="24"/>
          <w:szCs w:val="24"/>
        </w:rPr>
        <w:t>RESA and AEP claim that the current customer enrollment procedures (i.e., requiring a customer to have its SDI) are too inefficient and can result in an unsatisfactory experience for customers.</w:t>
      </w:r>
      <w:r>
        <w:rPr>
          <w:rStyle w:val="FootnoteReference"/>
          <w:rFonts w:ascii="Times New Roman" w:hAnsi="Times New Roman" w:cs="Times New Roman"/>
          <w:sz w:val="24"/>
          <w:szCs w:val="24"/>
        </w:rPr>
        <w:footnoteReference w:id="102"/>
      </w:r>
      <w:r w:rsidRPr="00AB75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750D">
        <w:rPr>
          <w:rFonts w:ascii="Times New Roman" w:hAnsi="Times New Roman" w:cs="Times New Roman"/>
          <w:sz w:val="24"/>
          <w:szCs w:val="24"/>
        </w:rPr>
        <w:t>But RESA witness White admitted that RESA has not conducted any studies or analysis to support these claims. RESA did not study or analyze how often the current customer enrollment procedures result in an unsatisfactory consumer experience for customers;</w:t>
      </w:r>
      <w:r>
        <w:rPr>
          <w:rStyle w:val="FootnoteReference"/>
          <w:rFonts w:ascii="Times New Roman" w:hAnsi="Times New Roman" w:cs="Times New Roman"/>
          <w:sz w:val="24"/>
          <w:szCs w:val="24"/>
        </w:rPr>
        <w:footnoteReference w:id="103"/>
      </w:r>
      <w:r w:rsidRPr="00AB750D">
        <w:rPr>
          <w:rFonts w:ascii="Times New Roman" w:hAnsi="Times New Roman" w:cs="Times New Roman"/>
          <w:sz w:val="24"/>
          <w:szCs w:val="24"/>
        </w:rPr>
        <w:t xml:space="preserve"> how many customers have ultimately not purchased a CRES product because the customer did not have their SDI available;</w:t>
      </w:r>
      <w:r>
        <w:rPr>
          <w:rStyle w:val="FootnoteReference"/>
          <w:rFonts w:ascii="Times New Roman" w:hAnsi="Times New Roman" w:cs="Times New Roman"/>
          <w:sz w:val="24"/>
          <w:szCs w:val="24"/>
        </w:rPr>
        <w:footnoteReference w:id="104"/>
      </w:r>
      <w:r w:rsidRPr="00AB750D">
        <w:rPr>
          <w:rFonts w:ascii="Times New Roman" w:hAnsi="Times New Roman" w:cs="Times New Roman"/>
          <w:sz w:val="24"/>
          <w:szCs w:val="24"/>
        </w:rPr>
        <w:t xml:space="preserve"> whether customers want an EFMW program;</w:t>
      </w:r>
      <w:r>
        <w:rPr>
          <w:rStyle w:val="FootnoteReference"/>
          <w:rFonts w:ascii="Times New Roman" w:hAnsi="Times New Roman" w:cs="Times New Roman"/>
          <w:sz w:val="24"/>
          <w:szCs w:val="24"/>
        </w:rPr>
        <w:footnoteReference w:id="105"/>
      </w:r>
      <w:r w:rsidRPr="00AB750D">
        <w:rPr>
          <w:rFonts w:ascii="Times New Roman" w:hAnsi="Times New Roman" w:cs="Times New Roman"/>
          <w:sz w:val="24"/>
          <w:szCs w:val="24"/>
        </w:rPr>
        <w:t xml:space="preserve"> or how many more customers RESA expects would enroll with a CRES if the EFMW were approved.</w:t>
      </w:r>
      <w:r>
        <w:rPr>
          <w:rStyle w:val="FootnoteReference"/>
          <w:rFonts w:ascii="Times New Roman" w:hAnsi="Times New Roman" w:cs="Times New Roman"/>
          <w:sz w:val="24"/>
          <w:szCs w:val="24"/>
        </w:rPr>
        <w:footnoteReference w:id="106"/>
      </w:r>
      <w:r w:rsidRPr="00AB750D">
        <w:rPr>
          <w:rFonts w:ascii="Times New Roman" w:hAnsi="Times New Roman" w:cs="Times New Roman"/>
          <w:sz w:val="24"/>
          <w:szCs w:val="24"/>
        </w:rPr>
        <w:t xml:space="preserve"> </w:t>
      </w:r>
    </w:p>
    <w:p w:rsidR="00AB750D" w:rsidRPr="00AB750D" w:rsidP="00AB750D">
      <w:pPr>
        <w:spacing w:line="480" w:lineRule="auto"/>
        <w:ind w:firstLine="720"/>
        <w:contextualSpacing/>
        <w:rPr>
          <w:rFonts w:ascii="Times New Roman" w:hAnsi="Times New Roman" w:cs="Times New Roman"/>
          <w:sz w:val="24"/>
          <w:szCs w:val="24"/>
        </w:rPr>
      </w:pPr>
      <w:r w:rsidRPr="00AB750D">
        <w:rPr>
          <w:rFonts w:ascii="Times New Roman" w:hAnsi="Times New Roman" w:cs="Times New Roman"/>
          <w:sz w:val="24"/>
          <w:szCs w:val="24"/>
        </w:rPr>
        <w:t>Also, RESA has not studied or analyzed whether the EFMW would benefit Ohio’s competitive electricity market</w:t>
      </w:r>
      <w:r>
        <w:rPr>
          <w:rStyle w:val="FootnoteReference"/>
          <w:rFonts w:ascii="Times New Roman" w:hAnsi="Times New Roman" w:cs="Times New Roman"/>
          <w:sz w:val="24"/>
          <w:szCs w:val="24"/>
        </w:rPr>
        <w:footnoteReference w:id="107"/>
      </w:r>
      <w:r w:rsidRPr="00AB750D">
        <w:rPr>
          <w:rFonts w:ascii="Times New Roman" w:hAnsi="Times New Roman" w:cs="Times New Roman"/>
          <w:sz w:val="24"/>
          <w:szCs w:val="24"/>
        </w:rPr>
        <w:t xml:space="preserve"> or negatively impact a residential customer’s utility bill.</w:t>
      </w:r>
      <w:r>
        <w:rPr>
          <w:rStyle w:val="FootnoteReference"/>
          <w:rFonts w:ascii="Times New Roman" w:hAnsi="Times New Roman" w:cs="Times New Roman"/>
          <w:sz w:val="24"/>
          <w:szCs w:val="24"/>
        </w:rPr>
        <w:footnoteReference w:id="108"/>
      </w:r>
      <w:r w:rsidRPr="00AB75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750D">
        <w:rPr>
          <w:rFonts w:ascii="Times New Roman" w:hAnsi="Times New Roman" w:cs="Times New Roman"/>
          <w:sz w:val="24"/>
          <w:szCs w:val="24"/>
        </w:rPr>
        <w:t xml:space="preserve">Thus, RESA’s claim that the EFMW would benefit customers or the public interest is uncorroborated. </w:t>
      </w:r>
      <w:r>
        <w:rPr>
          <w:rFonts w:ascii="Times New Roman" w:hAnsi="Times New Roman" w:cs="Times New Roman"/>
          <w:sz w:val="24"/>
          <w:szCs w:val="24"/>
        </w:rPr>
        <w:t xml:space="preserve">In reality, this is more about marketers making money from consumers and less about consumers saving money from marketers.  It is another tactic by marketers to make it easier for them (marketers) to obtain customers, and hence, make more money.  Shopping is already quite robust in AEP's service territory, without a need at this point for such mechanisms to jump-start shopping. </w:t>
      </w:r>
    </w:p>
    <w:p w:rsidR="00AB750D" w:rsidRPr="00AB750D" w:rsidP="00473DBE">
      <w:pPr>
        <w:spacing w:after="0" w:line="480" w:lineRule="auto"/>
        <w:ind w:firstLine="720"/>
        <w:contextualSpacing/>
        <w:rPr>
          <w:rFonts w:ascii="Times New Roman" w:hAnsi="Times New Roman" w:cs="Times New Roman"/>
          <w:sz w:val="24"/>
          <w:szCs w:val="24"/>
        </w:rPr>
      </w:pPr>
      <w:r w:rsidRPr="00AB750D">
        <w:rPr>
          <w:rFonts w:ascii="Times New Roman" w:hAnsi="Times New Roman" w:cs="Times New Roman"/>
          <w:sz w:val="24"/>
          <w:szCs w:val="24"/>
        </w:rPr>
        <w:t xml:space="preserve">The Settlement will only make it easier for a customer to purchase a product that </w:t>
      </w:r>
      <w:r>
        <w:rPr>
          <w:rFonts w:ascii="Times New Roman" w:hAnsi="Times New Roman" w:cs="Times New Roman"/>
          <w:sz w:val="24"/>
          <w:szCs w:val="24"/>
        </w:rPr>
        <w:t>he or she</w:t>
      </w:r>
      <w:r w:rsidRPr="00AB750D">
        <w:rPr>
          <w:rFonts w:ascii="Times New Roman" w:hAnsi="Times New Roman" w:cs="Times New Roman"/>
          <w:sz w:val="24"/>
          <w:szCs w:val="24"/>
        </w:rPr>
        <w:t xml:space="preserve"> may not fully </w:t>
      </w:r>
      <w:r>
        <w:rPr>
          <w:rFonts w:ascii="Times New Roman" w:hAnsi="Times New Roman" w:cs="Times New Roman"/>
          <w:sz w:val="24"/>
          <w:szCs w:val="24"/>
        </w:rPr>
        <w:t>understand</w:t>
      </w:r>
      <w:r w:rsidRPr="00AB750D">
        <w:rPr>
          <w:rFonts w:ascii="Times New Roman" w:hAnsi="Times New Roman" w:cs="Times New Roman"/>
          <w:sz w:val="24"/>
          <w:szCs w:val="24"/>
        </w:rPr>
        <w:t>. RESA witness White admitted that nonshopping customers could have many questions about shopping because it is a new experience for them.</w:t>
      </w:r>
      <w:r>
        <w:rPr>
          <w:rStyle w:val="FootnoteReference"/>
          <w:rFonts w:ascii="Times New Roman" w:hAnsi="Times New Roman" w:cs="Times New Roman"/>
          <w:sz w:val="24"/>
          <w:szCs w:val="24"/>
        </w:rPr>
        <w:footnoteReference w:id="109"/>
      </w:r>
      <w:r w:rsidRPr="00AB75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750D">
        <w:rPr>
          <w:rFonts w:ascii="Times New Roman" w:hAnsi="Times New Roman" w:cs="Times New Roman"/>
          <w:sz w:val="24"/>
          <w:szCs w:val="24"/>
        </w:rPr>
        <w:t>He also admitted that a customer’s bill has important data on it that could be helpful to a customer who is thinking about switching.</w:t>
      </w:r>
      <w:r>
        <w:rPr>
          <w:rStyle w:val="FootnoteReference"/>
          <w:rFonts w:ascii="Times New Roman" w:hAnsi="Times New Roman" w:cs="Times New Roman"/>
          <w:sz w:val="24"/>
          <w:szCs w:val="24"/>
        </w:rPr>
        <w:footnoteReference w:id="110"/>
      </w:r>
      <w:r w:rsidRPr="00AB75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750D">
        <w:rPr>
          <w:rFonts w:ascii="Times New Roman" w:hAnsi="Times New Roman" w:cs="Times New Roman"/>
          <w:sz w:val="24"/>
          <w:szCs w:val="24"/>
        </w:rPr>
        <w:t>Yet, the purpose of the EFMW is to allow a customer to purchase a product without their bill.</w:t>
      </w:r>
      <w:r>
        <w:rPr>
          <w:rStyle w:val="FootnoteReference"/>
          <w:rFonts w:ascii="Times New Roman" w:hAnsi="Times New Roman" w:cs="Times New Roman"/>
          <w:sz w:val="24"/>
          <w:szCs w:val="24"/>
        </w:rPr>
        <w:footnoteReference w:id="111"/>
      </w:r>
      <w:r w:rsidRPr="00AB75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750D">
        <w:rPr>
          <w:rFonts w:ascii="Times New Roman" w:hAnsi="Times New Roman" w:cs="Times New Roman"/>
          <w:sz w:val="24"/>
          <w:szCs w:val="24"/>
        </w:rPr>
        <w:t xml:space="preserve">As OCC witness Haugh explained, the information on a customer’s utility bill (e.g., the price to compare, usage data, etc.) should be consulted before a customer makes a decision to purchase a product from a </w:t>
      </w:r>
      <w:r>
        <w:rPr>
          <w:rFonts w:ascii="Times New Roman" w:hAnsi="Times New Roman" w:cs="Times New Roman"/>
          <w:sz w:val="24"/>
          <w:szCs w:val="24"/>
        </w:rPr>
        <w:t>Marketer.</w:t>
      </w:r>
      <w:r>
        <w:rPr>
          <w:rStyle w:val="FootnoteReference"/>
          <w:rFonts w:ascii="Times New Roman" w:hAnsi="Times New Roman" w:cs="Times New Roman"/>
          <w:sz w:val="24"/>
          <w:szCs w:val="24"/>
        </w:rPr>
        <w:footnoteReference w:id="112"/>
      </w:r>
      <w:r w:rsidRPr="00AB750D">
        <w:rPr>
          <w:rFonts w:ascii="Times New Roman" w:hAnsi="Times New Roman" w:cs="Times New Roman"/>
          <w:sz w:val="24"/>
          <w:szCs w:val="24"/>
        </w:rPr>
        <w:t xml:space="preserve"> </w:t>
      </w:r>
      <w:r>
        <w:rPr>
          <w:rFonts w:ascii="Times New Roman" w:hAnsi="Times New Roman" w:cs="Times New Roman"/>
          <w:sz w:val="24"/>
          <w:szCs w:val="24"/>
        </w:rPr>
        <w:t>W</w:t>
      </w:r>
      <w:r w:rsidRPr="00AB750D">
        <w:rPr>
          <w:rFonts w:ascii="Times New Roman" w:hAnsi="Times New Roman" w:cs="Times New Roman"/>
          <w:sz w:val="24"/>
          <w:szCs w:val="24"/>
        </w:rPr>
        <w:t>ithout the information, a customer could easily enroll in a program without having a full picture of their current situation.</w:t>
      </w:r>
      <w:r>
        <w:rPr>
          <w:rStyle w:val="FootnoteReference"/>
          <w:rFonts w:ascii="Times New Roman" w:hAnsi="Times New Roman" w:cs="Times New Roman"/>
          <w:sz w:val="24"/>
          <w:szCs w:val="24"/>
        </w:rPr>
        <w:footnoteReference w:id="113"/>
      </w:r>
      <w:r w:rsidRPr="00AB75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750D">
        <w:rPr>
          <w:rFonts w:ascii="Times New Roman" w:hAnsi="Times New Roman" w:cs="Times New Roman"/>
          <w:sz w:val="24"/>
          <w:szCs w:val="24"/>
        </w:rPr>
        <w:t>Thus, the EFMW would actually have a negative impact on customers.</w:t>
      </w:r>
    </w:p>
    <w:p w:rsidR="00AB750D" w:rsidRPr="00AB750D" w:rsidP="008A507D">
      <w:pPr>
        <w:pStyle w:val="Heading3"/>
      </w:pPr>
      <w:bookmarkStart w:id="13" w:name="_Toc501633039"/>
      <w:r>
        <w:t>5.</w:t>
      </w:r>
      <w:r>
        <w:tab/>
      </w:r>
      <w:r w:rsidRPr="00AB750D">
        <w:t>The CIR will not benefit customers or the public interest.</w:t>
      </w:r>
      <w:bookmarkEnd w:id="13"/>
    </w:p>
    <w:p w:rsidR="00AB750D" w:rsidRPr="00AB750D" w:rsidP="00AB750D">
      <w:pPr>
        <w:spacing w:line="480" w:lineRule="auto"/>
        <w:ind w:firstLine="720"/>
        <w:contextualSpacing/>
        <w:rPr>
          <w:rFonts w:ascii="Times New Roman" w:hAnsi="Times New Roman" w:cs="Times New Roman"/>
          <w:sz w:val="24"/>
          <w:szCs w:val="24"/>
        </w:rPr>
      </w:pPr>
      <w:r w:rsidRPr="00AB750D">
        <w:rPr>
          <w:rFonts w:ascii="Times New Roman" w:hAnsi="Times New Roman" w:cs="Times New Roman"/>
          <w:sz w:val="24"/>
          <w:szCs w:val="24"/>
        </w:rPr>
        <w:t>The</w:t>
      </w:r>
      <w:r>
        <w:rPr>
          <w:rFonts w:ascii="Times New Roman" w:hAnsi="Times New Roman" w:cs="Times New Roman"/>
          <w:sz w:val="24"/>
          <w:szCs w:val="24"/>
        </w:rPr>
        <w:t xml:space="preserve"> so-called</w:t>
      </w:r>
      <w:r w:rsidRPr="00AB750D">
        <w:rPr>
          <w:rFonts w:ascii="Times New Roman" w:hAnsi="Times New Roman" w:cs="Times New Roman"/>
          <w:sz w:val="24"/>
          <w:szCs w:val="24"/>
        </w:rPr>
        <w:t xml:space="preserve"> Competition Incentive Rider (“CIR”) will allegedly mitigate a</w:t>
      </w:r>
      <w:r>
        <w:rPr>
          <w:rFonts w:ascii="Times New Roman" w:hAnsi="Times New Roman" w:cs="Times New Roman"/>
          <w:sz w:val="24"/>
          <w:szCs w:val="24"/>
        </w:rPr>
        <w:t xml:space="preserve"> </w:t>
      </w:r>
      <w:r w:rsidRPr="00AB750D">
        <w:rPr>
          <w:rFonts w:ascii="Times New Roman" w:hAnsi="Times New Roman" w:cs="Times New Roman"/>
          <w:sz w:val="24"/>
          <w:szCs w:val="24"/>
        </w:rPr>
        <w:t xml:space="preserve">subsidy </w:t>
      </w:r>
      <w:r>
        <w:rPr>
          <w:rFonts w:ascii="Times New Roman" w:hAnsi="Times New Roman" w:cs="Times New Roman"/>
          <w:sz w:val="24"/>
          <w:szCs w:val="24"/>
        </w:rPr>
        <w:t>to</w:t>
      </w:r>
      <w:r w:rsidRPr="00AB750D">
        <w:rPr>
          <w:rFonts w:ascii="Times New Roman" w:hAnsi="Times New Roman" w:cs="Times New Roman"/>
          <w:sz w:val="24"/>
          <w:szCs w:val="24"/>
        </w:rPr>
        <w:t xml:space="preserve"> SSO</w:t>
      </w:r>
      <w:r>
        <w:rPr>
          <w:rFonts w:ascii="Times New Roman" w:hAnsi="Times New Roman" w:cs="Times New Roman"/>
          <w:sz w:val="24"/>
          <w:szCs w:val="24"/>
        </w:rPr>
        <w:t xml:space="preserve"> customers </w:t>
      </w:r>
      <w:r w:rsidRPr="00AB750D">
        <w:rPr>
          <w:rFonts w:ascii="Times New Roman" w:hAnsi="Times New Roman" w:cs="Times New Roman"/>
          <w:sz w:val="24"/>
          <w:szCs w:val="24"/>
        </w:rPr>
        <w:t xml:space="preserve">that occurs when AEP collects some costs </w:t>
      </w:r>
      <w:r>
        <w:rPr>
          <w:rFonts w:ascii="Times New Roman" w:hAnsi="Times New Roman" w:cs="Times New Roman"/>
          <w:sz w:val="24"/>
          <w:szCs w:val="24"/>
        </w:rPr>
        <w:t xml:space="preserve">that RESA believes </w:t>
      </w:r>
      <w:r w:rsidRPr="00AB750D">
        <w:rPr>
          <w:rFonts w:ascii="Times New Roman" w:hAnsi="Times New Roman" w:cs="Times New Roman"/>
          <w:sz w:val="24"/>
          <w:szCs w:val="24"/>
        </w:rPr>
        <w:t xml:space="preserve">support </w:t>
      </w:r>
      <w:r>
        <w:rPr>
          <w:rFonts w:ascii="Times New Roman" w:hAnsi="Times New Roman" w:cs="Times New Roman"/>
          <w:sz w:val="24"/>
          <w:szCs w:val="24"/>
        </w:rPr>
        <w:t xml:space="preserve">the standard service offer </w:t>
      </w:r>
      <w:r w:rsidRPr="00AB750D">
        <w:rPr>
          <w:rFonts w:ascii="Times New Roman" w:hAnsi="Times New Roman" w:cs="Times New Roman"/>
          <w:sz w:val="24"/>
          <w:szCs w:val="24"/>
        </w:rPr>
        <w:t>through distribution rates</w:t>
      </w:r>
      <w:r>
        <w:rPr>
          <w:rFonts w:ascii="Times New Roman" w:hAnsi="Times New Roman" w:cs="Times New Roman"/>
          <w:sz w:val="24"/>
          <w:szCs w:val="24"/>
        </w:rPr>
        <w:t xml:space="preserve"> that all customers pay</w:t>
      </w:r>
      <w:r w:rsidRPr="00AB750D">
        <w:rPr>
          <w:rFonts w:ascii="Times New Roman" w:hAnsi="Times New Roman" w:cs="Times New Roman"/>
          <w:sz w:val="24"/>
          <w:szCs w:val="24"/>
        </w:rPr>
        <w:t>.</w:t>
      </w:r>
      <w:r>
        <w:rPr>
          <w:rFonts w:ascii="Times New Roman" w:hAnsi="Times New Roman" w:cs="Times New Roman"/>
          <w:sz w:val="24"/>
          <w:szCs w:val="24"/>
        </w:rPr>
        <w:t xml:space="preserve">  The reality is that the rider will result in consumers saving less money under the standard service offer while marketers can make more profit by increasing their prices when the CIR raises the standard offer price.  So what is going on here is that marketers want to increase their profits and one way of doing so is to reduce their costs by claiming those costs are not caused by their customers (shoppers).  </w:t>
      </w:r>
      <w:r w:rsidRPr="00AB750D">
        <w:rPr>
          <w:rFonts w:ascii="Times New Roman" w:hAnsi="Times New Roman" w:cs="Times New Roman"/>
          <w:sz w:val="24"/>
          <w:szCs w:val="24"/>
        </w:rPr>
        <w:t xml:space="preserve">The CIR </w:t>
      </w:r>
      <w:r>
        <w:rPr>
          <w:rFonts w:ascii="Times New Roman" w:hAnsi="Times New Roman" w:cs="Times New Roman"/>
          <w:sz w:val="24"/>
          <w:szCs w:val="24"/>
        </w:rPr>
        <w:t xml:space="preserve">supposedly </w:t>
      </w:r>
      <w:r w:rsidRPr="00AB750D">
        <w:rPr>
          <w:rFonts w:ascii="Times New Roman" w:hAnsi="Times New Roman" w:cs="Times New Roman"/>
          <w:sz w:val="24"/>
          <w:szCs w:val="24"/>
        </w:rPr>
        <w:t>will mitigate this alleged subsidy by allocating a portion of distribution costs related to SSO supply to the SSO</w:t>
      </w:r>
      <w:r>
        <w:rPr>
          <w:rFonts w:ascii="Times New Roman" w:hAnsi="Times New Roman" w:cs="Times New Roman"/>
          <w:sz w:val="24"/>
          <w:szCs w:val="24"/>
        </w:rPr>
        <w:t xml:space="preserve"> (which increases the price of the SSO)</w:t>
      </w:r>
      <w:r w:rsidRPr="00AB750D">
        <w:rPr>
          <w:rFonts w:ascii="Times New Roman" w:hAnsi="Times New Roman" w:cs="Times New Roman"/>
          <w:sz w:val="24"/>
          <w:szCs w:val="24"/>
        </w:rPr>
        <w:t xml:space="preserve"> and then refunding those charges back to all distribution </w:t>
      </w:r>
      <w:r>
        <w:rPr>
          <w:rFonts w:ascii="Times New Roman" w:hAnsi="Times New Roman" w:cs="Times New Roman"/>
          <w:sz w:val="24"/>
          <w:szCs w:val="24"/>
        </w:rPr>
        <w:t>customers</w:t>
      </w:r>
      <w:r w:rsidRPr="00AB750D">
        <w:rPr>
          <w:rFonts w:ascii="Times New Roman" w:hAnsi="Times New Roman" w:cs="Times New Roman"/>
          <w:sz w:val="24"/>
          <w:szCs w:val="24"/>
        </w:rPr>
        <w:t>.</w:t>
      </w:r>
      <w:r>
        <w:rPr>
          <w:rFonts w:ascii="Times New Roman" w:hAnsi="Times New Roman" w:cs="Times New Roman"/>
          <w:sz w:val="24"/>
          <w:szCs w:val="24"/>
        </w:rPr>
        <w:t xml:space="preserve">  </w:t>
      </w:r>
      <w:r w:rsidRPr="00AB750D">
        <w:rPr>
          <w:rFonts w:ascii="Times New Roman" w:hAnsi="Times New Roman" w:cs="Times New Roman"/>
          <w:sz w:val="24"/>
          <w:szCs w:val="24"/>
        </w:rPr>
        <w:t xml:space="preserve">While the Settlement proposes a CIR of $0.00105 per kWh, RESA claims that a charge of $0.0046 per kWh for the CIR would be appropriate and should be approved. RESA is wrong. </w:t>
      </w:r>
    </w:p>
    <w:p w:rsidR="00AB750D" w:rsidRPr="00AB750D" w:rsidP="00AB750D">
      <w:pPr>
        <w:spacing w:line="480" w:lineRule="auto"/>
        <w:ind w:firstLine="720"/>
        <w:contextualSpacing/>
        <w:rPr>
          <w:rFonts w:ascii="Times New Roman" w:hAnsi="Times New Roman" w:cs="Times New Roman"/>
          <w:sz w:val="24"/>
          <w:szCs w:val="24"/>
        </w:rPr>
      </w:pPr>
      <w:r w:rsidRPr="00AB750D">
        <w:rPr>
          <w:rFonts w:ascii="Times New Roman" w:hAnsi="Times New Roman" w:cs="Times New Roman"/>
          <w:sz w:val="24"/>
          <w:szCs w:val="24"/>
        </w:rPr>
        <w:t>RESA’s method for calculating the CIR is flawed. RESA calculated its proposed CIR charge by analyzing certain accounts from AEP’s last base rate case.</w:t>
      </w:r>
      <w:r>
        <w:rPr>
          <w:rStyle w:val="FootnoteReference"/>
          <w:rFonts w:ascii="Times New Roman" w:hAnsi="Times New Roman" w:cs="Times New Roman"/>
          <w:sz w:val="24"/>
          <w:szCs w:val="24"/>
        </w:rPr>
        <w:footnoteReference w:id="114"/>
      </w:r>
      <w:r w:rsidRPr="00AB75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750D">
        <w:rPr>
          <w:rFonts w:ascii="Times New Roman" w:hAnsi="Times New Roman" w:cs="Times New Roman"/>
          <w:sz w:val="24"/>
          <w:szCs w:val="24"/>
        </w:rPr>
        <w:t xml:space="preserve">RESA determined that these specific account expenses should be included in the CIR charge because the costs were related to SSO supply. </w:t>
      </w:r>
      <w:r>
        <w:rPr>
          <w:rFonts w:ascii="Times New Roman" w:hAnsi="Times New Roman" w:cs="Times New Roman"/>
          <w:sz w:val="24"/>
          <w:szCs w:val="24"/>
        </w:rPr>
        <w:t xml:space="preserve"> </w:t>
      </w:r>
      <w:r w:rsidRPr="00AB750D">
        <w:rPr>
          <w:rFonts w:ascii="Times New Roman" w:hAnsi="Times New Roman" w:cs="Times New Roman"/>
          <w:sz w:val="24"/>
          <w:szCs w:val="24"/>
        </w:rPr>
        <w:t xml:space="preserve">For example, RESA included AEP’s meter reading expenses in its calculation. </w:t>
      </w:r>
      <w:r>
        <w:rPr>
          <w:rFonts w:ascii="Times New Roman" w:hAnsi="Times New Roman" w:cs="Times New Roman"/>
          <w:sz w:val="24"/>
          <w:szCs w:val="24"/>
        </w:rPr>
        <w:t xml:space="preserve"> </w:t>
      </w:r>
      <w:r w:rsidRPr="00AB750D">
        <w:rPr>
          <w:rFonts w:ascii="Times New Roman" w:hAnsi="Times New Roman" w:cs="Times New Roman"/>
          <w:sz w:val="24"/>
          <w:szCs w:val="24"/>
        </w:rPr>
        <w:t>This is unreasonable because, as RESA admitted on cross-examination, AEP reads both shopping and non-shopping customers’ meters.</w:t>
      </w:r>
      <w:r>
        <w:rPr>
          <w:rStyle w:val="FootnoteReference"/>
          <w:rFonts w:ascii="Times New Roman" w:hAnsi="Times New Roman" w:cs="Times New Roman"/>
          <w:sz w:val="24"/>
          <w:szCs w:val="24"/>
        </w:rPr>
        <w:footnoteReference w:id="115"/>
      </w:r>
      <w:r w:rsidRPr="00AB750D">
        <w:rPr>
          <w:rFonts w:ascii="Times New Roman" w:hAnsi="Times New Roman" w:cs="Times New Roman"/>
          <w:sz w:val="24"/>
          <w:szCs w:val="24"/>
        </w:rPr>
        <w:t xml:space="preserve"> And AEP does not break out the costs expended for reading shopping customers’ meters and non-shopping customers’ meters. </w:t>
      </w:r>
      <w:r>
        <w:rPr>
          <w:rFonts w:ascii="Times New Roman" w:hAnsi="Times New Roman" w:cs="Times New Roman"/>
          <w:sz w:val="24"/>
          <w:szCs w:val="24"/>
        </w:rPr>
        <w:t xml:space="preserve"> </w:t>
      </w:r>
      <w:r w:rsidRPr="00AB750D">
        <w:rPr>
          <w:rFonts w:ascii="Times New Roman" w:hAnsi="Times New Roman" w:cs="Times New Roman"/>
          <w:sz w:val="24"/>
          <w:szCs w:val="24"/>
        </w:rPr>
        <w:t>Thus, as OCC witness Haugh states, some of the meter reading costs are also related to choice.</w:t>
      </w:r>
      <w:r>
        <w:rPr>
          <w:rStyle w:val="FootnoteReference"/>
          <w:rFonts w:ascii="Times New Roman" w:hAnsi="Times New Roman" w:cs="Times New Roman"/>
          <w:sz w:val="24"/>
          <w:szCs w:val="24"/>
        </w:rPr>
        <w:footnoteReference w:id="116"/>
      </w:r>
      <w:r w:rsidRPr="00AB75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750D">
        <w:rPr>
          <w:rFonts w:ascii="Times New Roman" w:hAnsi="Times New Roman" w:cs="Times New Roman"/>
          <w:sz w:val="24"/>
          <w:szCs w:val="24"/>
        </w:rPr>
        <w:t xml:space="preserve">Because the costs are not specifically broken out into shopping customer meter reading and non-shopping customer meter reading, there is no way to know with any reasonable certainty </w:t>
      </w:r>
      <w:r>
        <w:rPr>
          <w:rFonts w:ascii="Times New Roman" w:hAnsi="Times New Roman" w:cs="Times New Roman"/>
          <w:sz w:val="24"/>
          <w:szCs w:val="24"/>
        </w:rPr>
        <w:t xml:space="preserve">to determine </w:t>
      </w:r>
      <w:r w:rsidRPr="00AB750D">
        <w:rPr>
          <w:rFonts w:ascii="Times New Roman" w:hAnsi="Times New Roman" w:cs="Times New Roman"/>
          <w:sz w:val="24"/>
          <w:szCs w:val="24"/>
        </w:rPr>
        <w:t xml:space="preserve">what portion of the costs are for SSO customers and what portion are for shopping customers. </w:t>
      </w:r>
      <w:r>
        <w:rPr>
          <w:rFonts w:ascii="Times New Roman" w:hAnsi="Times New Roman" w:cs="Times New Roman"/>
          <w:sz w:val="24"/>
          <w:szCs w:val="24"/>
        </w:rPr>
        <w:t xml:space="preserve"> In fact, it is possible that non-shopping customers are subsidizing shopping customers, meaning the CIR should be a credit instead of a charge.  </w:t>
      </w:r>
      <w:r w:rsidRPr="00AB750D">
        <w:rPr>
          <w:rFonts w:ascii="Times New Roman" w:hAnsi="Times New Roman" w:cs="Times New Roman"/>
          <w:sz w:val="24"/>
          <w:szCs w:val="24"/>
        </w:rPr>
        <w:t>Thus, RESA’s proposed CIR charge is not reasonable.</w:t>
      </w:r>
    </w:p>
    <w:p w:rsidR="00AB750D" w:rsidRPr="00AB750D" w:rsidP="00AB750D">
      <w:pPr>
        <w:spacing w:line="480" w:lineRule="auto"/>
        <w:ind w:firstLine="720"/>
        <w:contextualSpacing/>
        <w:rPr>
          <w:rFonts w:ascii="Times New Roman" w:hAnsi="Times New Roman" w:cs="Times New Roman"/>
          <w:sz w:val="24"/>
          <w:szCs w:val="24"/>
        </w:rPr>
      </w:pPr>
      <w:r w:rsidRPr="00AB750D">
        <w:rPr>
          <w:rFonts w:ascii="Times New Roman" w:hAnsi="Times New Roman" w:cs="Times New Roman"/>
          <w:sz w:val="24"/>
          <w:szCs w:val="24"/>
        </w:rPr>
        <w:t>OCC witness Haugh argued in his supplemental testimony that the CIR charge is an artificial addition to the SSO price.</w:t>
      </w:r>
      <w:r>
        <w:rPr>
          <w:rStyle w:val="FootnoteReference"/>
          <w:rFonts w:ascii="Times New Roman" w:hAnsi="Times New Roman" w:cs="Times New Roman"/>
          <w:sz w:val="24"/>
          <w:szCs w:val="24"/>
        </w:rPr>
        <w:footnoteReference w:id="117"/>
      </w:r>
      <w:r w:rsidRPr="00AB75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750D">
        <w:rPr>
          <w:rFonts w:ascii="Times New Roman" w:hAnsi="Times New Roman" w:cs="Times New Roman"/>
          <w:sz w:val="24"/>
          <w:szCs w:val="24"/>
        </w:rPr>
        <w:t>AEP states in its Initial Brief that this position is incorrect.</w:t>
      </w:r>
      <w:r>
        <w:rPr>
          <w:rStyle w:val="FootnoteReference"/>
          <w:rFonts w:ascii="Times New Roman" w:hAnsi="Times New Roman" w:cs="Times New Roman"/>
          <w:sz w:val="24"/>
          <w:szCs w:val="24"/>
        </w:rPr>
        <w:footnoteReference w:id="118"/>
      </w:r>
      <w:r w:rsidRPr="00AB75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750D">
        <w:rPr>
          <w:rFonts w:ascii="Times New Roman" w:hAnsi="Times New Roman" w:cs="Times New Roman"/>
          <w:sz w:val="24"/>
          <w:szCs w:val="24"/>
        </w:rPr>
        <w:t>AEP is wrong. As RESA witness White admitted, the CIR adds a charge to the SSO price that was not determined through the SSO auction.</w:t>
      </w:r>
      <w:r>
        <w:rPr>
          <w:rStyle w:val="FootnoteReference"/>
          <w:rFonts w:ascii="Times New Roman" w:hAnsi="Times New Roman" w:cs="Times New Roman"/>
          <w:sz w:val="24"/>
          <w:szCs w:val="24"/>
        </w:rPr>
        <w:footnoteReference w:id="119"/>
      </w:r>
      <w:r w:rsidRPr="00AB75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750D">
        <w:rPr>
          <w:rFonts w:ascii="Times New Roman" w:hAnsi="Times New Roman" w:cs="Times New Roman"/>
          <w:sz w:val="24"/>
          <w:szCs w:val="24"/>
        </w:rPr>
        <w:t xml:space="preserve">Thus, it is “artificial” in the sense that it was not the product of a competitive auction. </w:t>
      </w:r>
      <w:r>
        <w:rPr>
          <w:rFonts w:ascii="Times New Roman" w:hAnsi="Times New Roman" w:cs="Times New Roman"/>
          <w:sz w:val="24"/>
          <w:szCs w:val="24"/>
        </w:rPr>
        <w:t xml:space="preserve"> </w:t>
      </w:r>
      <w:r w:rsidRPr="00AB750D">
        <w:rPr>
          <w:rFonts w:ascii="Times New Roman" w:hAnsi="Times New Roman" w:cs="Times New Roman"/>
          <w:sz w:val="24"/>
          <w:szCs w:val="24"/>
        </w:rPr>
        <w:t xml:space="preserve">It destroys the competitive nature of the SSO auction and artificially increases the SSO price. </w:t>
      </w:r>
      <w:r>
        <w:rPr>
          <w:rFonts w:ascii="Times New Roman" w:hAnsi="Times New Roman" w:cs="Times New Roman"/>
          <w:sz w:val="24"/>
          <w:szCs w:val="24"/>
        </w:rPr>
        <w:t xml:space="preserve"> </w:t>
      </w:r>
      <w:r w:rsidRPr="00AB750D">
        <w:rPr>
          <w:rFonts w:ascii="Times New Roman" w:hAnsi="Times New Roman" w:cs="Times New Roman"/>
          <w:sz w:val="24"/>
          <w:szCs w:val="24"/>
        </w:rPr>
        <w:t xml:space="preserve">The SSO price is the result of a competitive auction and it should be offered to customers unaltered. </w:t>
      </w:r>
      <w:r>
        <w:rPr>
          <w:rFonts w:ascii="Times New Roman" w:hAnsi="Times New Roman" w:cs="Times New Roman"/>
          <w:sz w:val="24"/>
          <w:szCs w:val="24"/>
        </w:rPr>
        <w:t>And therefore the SSO would not be “reasonably priced,” in violation of R.C. 4928.02(A).</w:t>
      </w:r>
    </w:p>
    <w:p w:rsidR="00AB750D" w:rsidRPr="00AB750D" w:rsidP="00AB750D">
      <w:pPr>
        <w:spacing w:line="480" w:lineRule="auto"/>
        <w:ind w:firstLine="720"/>
        <w:contextualSpacing/>
        <w:rPr>
          <w:rFonts w:ascii="Times New Roman" w:hAnsi="Times New Roman" w:cs="Times New Roman"/>
          <w:sz w:val="24"/>
          <w:szCs w:val="24"/>
        </w:rPr>
      </w:pPr>
      <w:r w:rsidRPr="00AB750D">
        <w:rPr>
          <w:rFonts w:ascii="Times New Roman" w:hAnsi="Times New Roman" w:cs="Times New Roman"/>
          <w:sz w:val="24"/>
          <w:szCs w:val="24"/>
        </w:rPr>
        <w:t>Further, AEP argues that the CIR does not have to be just and reasonable.</w:t>
      </w:r>
      <w:r>
        <w:rPr>
          <w:rStyle w:val="FootnoteReference"/>
          <w:rFonts w:ascii="Times New Roman" w:hAnsi="Times New Roman" w:cs="Times New Roman"/>
          <w:sz w:val="24"/>
          <w:szCs w:val="24"/>
        </w:rPr>
        <w:footnoteReference w:id="120"/>
      </w:r>
      <w:r w:rsidRPr="00AB750D">
        <w:rPr>
          <w:rFonts w:ascii="Times New Roman" w:hAnsi="Times New Roman" w:cs="Times New Roman"/>
          <w:sz w:val="24"/>
          <w:szCs w:val="24"/>
        </w:rPr>
        <w:t xml:space="preserve"> Instead, AEP contends that the ESP only has to be more favorable in the aggregate than an MRO.</w:t>
      </w:r>
      <w:r>
        <w:rPr>
          <w:rStyle w:val="FootnoteReference"/>
          <w:rFonts w:ascii="Times New Roman" w:hAnsi="Times New Roman" w:cs="Times New Roman"/>
          <w:sz w:val="24"/>
          <w:szCs w:val="24"/>
        </w:rPr>
        <w:footnoteReference w:id="121"/>
      </w:r>
      <w:r w:rsidRPr="00AB75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750D">
        <w:rPr>
          <w:rFonts w:ascii="Times New Roman" w:hAnsi="Times New Roman" w:cs="Times New Roman"/>
          <w:sz w:val="24"/>
          <w:szCs w:val="24"/>
        </w:rPr>
        <w:t xml:space="preserve">AEP is wrong. </w:t>
      </w:r>
      <w:r>
        <w:rPr>
          <w:rFonts w:ascii="Times New Roman" w:hAnsi="Times New Roman" w:cs="Times New Roman"/>
          <w:sz w:val="24"/>
          <w:szCs w:val="24"/>
        </w:rPr>
        <w:t xml:space="preserve"> </w:t>
      </w:r>
      <w:r w:rsidRPr="00AB750D">
        <w:rPr>
          <w:rFonts w:ascii="Times New Roman" w:hAnsi="Times New Roman" w:cs="Times New Roman"/>
          <w:sz w:val="24"/>
          <w:szCs w:val="24"/>
        </w:rPr>
        <w:t>When evaluating a settlement, the PUCO “must determine from the evidence what is just and reasonable.”</w:t>
      </w:r>
      <w:r>
        <w:rPr>
          <w:rStyle w:val="FootnoteReference"/>
          <w:rFonts w:ascii="Times New Roman" w:hAnsi="Times New Roman" w:cs="Times New Roman"/>
          <w:sz w:val="24"/>
          <w:szCs w:val="24"/>
        </w:rPr>
        <w:footnoteReference w:id="122"/>
      </w:r>
      <w:r w:rsidRPr="00AB75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750D">
        <w:rPr>
          <w:rFonts w:ascii="Times New Roman" w:hAnsi="Times New Roman" w:cs="Times New Roman"/>
          <w:sz w:val="24"/>
          <w:szCs w:val="24"/>
        </w:rPr>
        <w:t xml:space="preserve">The PUCO also evaluates each and every proposal in its Orders outside of the ESP v. MRO analysis. </w:t>
      </w:r>
      <w:r>
        <w:rPr>
          <w:rFonts w:ascii="Times New Roman" w:hAnsi="Times New Roman" w:cs="Times New Roman"/>
          <w:sz w:val="24"/>
          <w:szCs w:val="24"/>
        </w:rPr>
        <w:t xml:space="preserve"> </w:t>
      </w:r>
      <w:r w:rsidRPr="00AB750D">
        <w:rPr>
          <w:rFonts w:ascii="Times New Roman" w:hAnsi="Times New Roman" w:cs="Times New Roman"/>
          <w:sz w:val="24"/>
          <w:szCs w:val="24"/>
        </w:rPr>
        <w:t>It is certainly not the PUCO’s only concern that the terms of the ESP are more favorable in the aggregate than an MRO.</w:t>
      </w:r>
    </w:p>
    <w:p w:rsidR="00AB750D" w:rsidRPr="00AB750D" w:rsidP="008A507D">
      <w:pPr>
        <w:spacing w:after="0" w:line="480" w:lineRule="auto"/>
        <w:ind w:firstLine="720"/>
        <w:contextualSpacing/>
        <w:rPr>
          <w:rFonts w:ascii="Times New Roman" w:hAnsi="Times New Roman" w:cs="Times New Roman"/>
          <w:sz w:val="24"/>
          <w:szCs w:val="24"/>
        </w:rPr>
      </w:pPr>
      <w:r w:rsidRPr="00AB750D">
        <w:rPr>
          <w:rFonts w:ascii="Times New Roman" w:hAnsi="Times New Roman" w:cs="Times New Roman"/>
          <w:sz w:val="24"/>
          <w:szCs w:val="24"/>
        </w:rPr>
        <w:t xml:space="preserve">Finally, while </w:t>
      </w:r>
      <w:r>
        <w:rPr>
          <w:rFonts w:ascii="Times New Roman" w:hAnsi="Times New Roman" w:cs="Times New Roman"/>
          <w:sz w:val="24"/>
          <w:szCs w:val="24"/>
        </w:rPr>
        <w:t xml:space="preserve">the </w:t>
      </w:r>
      <w:r w:rsidRPr="00AB750D">
        <w:rPr>
          <w:rFonts w:ascii="Times New Roman" w:hAnsi="Times New Roman" w:cs="Times New Roman"/>
          <w:sz w:val="24"/>
          <w:szCs w:val="24"/>
        </w:rPr>
        <w:t xml:space="preserve">CIR should </w:t>
      </w:r>
      <w:r>
        <w:rPr>
          <w:rFonts w:ascii="Times New Roman" w:hAnsi="Times New Roman" w:cs="Times New Roman"/>
          <w:sz w:val="24"/>
          <w:szCs w:val="24"/>
        </w:rPr>
        <w:t xml:space="preserve">not </w:t>
      </w:r>
      <w:r w:rsidRPr="00AB750D">
        <w:rPr>
          <w:rFonts w:ascii="Times New Roman" w:hAnsi="Times New Roman" w:cs="Times New Roman"/>
          <w:sz w:val="24"/>
          <w:szCs w:val="24"/>
        </w:rPr>
        <w:t xml:space="preserve">be approved, if the PUCO decides that a CIR is necessary it should be determined through a </w:t>
      </w:r>
      <w:r>
        <w:rPr>
          <w:rFonts w:ascii="Times New Roman" w:hAnsi="Times New Roman" w:cs="Times New Roman"/>
          <w:sz w:val="24"/>
          <w:szCs w:val="24"/>
        </w:rPr>
        <w:t xml:space="preserve">base </w:t>
      </w:r>
      <w:r w:rsidRPr="00AB750D">
        <w:rPr>
          <w:rFonts w:ascii="Times New Roman" w:hAnsi="Times New Roman" w:cs="Times New Roman"/>
          <w:sz w:val="24"/>
          <w:szCs w:val="24"/>
        </w:rPr>
        <w:t xml:space="preserve">rate case, not through an ESP settlement. </w:t>
      </w:r>
      <w:r>
        <w:rPr>
          <w:rFonts w:ascii="Times New Roman" w:hAnsi="Times New Roman" w:cs="Times New Roman"/>
          <w:sz w:val="24"/>
          <w:szCs w:val="24"/>
        </w:rPr>
        <w:t xml:space="preserve"> </w:t>
      </w:r>
      <w:r w:rsidRPr="00AB750D">
        <w:rPr>
          <w:rFonts w:ascii="Times New Roman" w:hAnsi="Times New Roman" w:cs="Times New Roman"/>
          <w:sz w:val="24"/>
          <w:szCs w:val="24"/>
        </w:rPr>
        <w:t xml:space="preserve">As RESA witness White admitted, a distribution </w:t>
      </w:r>
      <w:r>
        <w:rPr>
          <w:rFonts w:ascii="Times New Roman" w:hAnsi="Times New Roman" w:cs="Times New Roman"/>
          <w:sz w:val="24"/>
          <w:szCs w:val="24"/>
        </w:rPr>
        <w:t xml:space="preserve">base </w:t>
      </w:r>
      <w:r w:rsidRPr="00AB750D">
        <w:rPr>
          <w:rFonts w:ascii="Times New Roman" w:hAnsi="Times New Roman" w:cs="Times New Roman"/>
          <w:sz w:val="24"/>
          <w:szCs w:val="24"/>
        </w:rPr>
        <w:t>rate case will allow for an in-depth review and analysis of AEP’s revenues and expenses, which will produce a more accurate CIR charge.</w:t>
      </w:r>
      <w:r>
        <w:rPr>
          <w:rStyle w:val="FootnoteReference"/>
          <w:rFonts w:ascii="Times New Roman" w:hAnsi="Times New Roman" w:cs="Times New Roman"/>
          <w:sz w:val="24"/>
          <w:szCs w:val="24"/>
        </w:rPr>
        <w:footnoteReference w:id="123"/>
      </w:r>
      <w:r w:rsidRPr="00AB75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750D">
        <w:rPr>
          <w:rFonts w:ascii="Times New Roman" w:hAnsi="Times New Roman" w:cs="Times New Roman"/>
          <w:sz w:val="24"/>
          <w:szCs w:val="24"/>
        </w:rPr>
        <w:t xml:space="preserve">Therefore, any CIR charge should not be approved </w:t>
      </w:r>
      <w:r>
        <w:rPr>
          <w:rFonts w:ascii="Times New Roman" w:hAnsi="Times New Roman" w:cs="Times New Roman"/>
          <w:sz w:val="24"/>
          <w:szCs w:val="24"/>
        </w:rPr>
        <w:t xml:space="preserve">anywhere but certainly should not be approved here outside of </w:t>
      </w:r>
      <w:r w:rsidRPr="00AB750D">
        <w:rPr>
          <w:rFonts w:ascii="Times New Roman" w:hAnsi="Times New Roman" w:cs="Times New Roman"/>
          <w:sz w:val="24"/>
          <w:szCs w:val="24"/>
        </w:rPr>
        <w:t>a</w:t>
      </w:r>
      <w:r>
        <w:rPr>
          <w:rFonts w:ascii="Times New Roman" w:hAnsi="Times New Roman" w:cs="Times New Roman"/>
          <w:sz w:val="24"/>
          <w:szCs w:val="24"/>
        </w:rPr>
        <w:t xml:space="preserve"> traditional</w:t>
      </w:r>
      <w:r w:rsidRPr="00AB750D">
        <w:rPr>
          <w:rFonts w:ascii="Times New Roman" w:hAnsi="Times New Roman" w:cs="Times New Roman"/>
          <w:sz w:val="24"/>
          <w:szCs w:val="24"/>
        </w:rPr>
        <w:t xml:space="preserve"> rate case. </w:t>
      </w:r>
      <w:r>
        <w:rPr>
          <w:rFonts w:ascii="Times New Roman" w:hAnsi="Times New Roman" w:cs="Times New Roman"/>
          <w:sz w:val="24"/>
          <w:szCs w:val="24"/>
        </w:rPr>
        <w:t xml:space="preserve"> </w:t>
      </w:r>
      <w:r w:rsidRPr="00AB750D">
        <w:rPr>
          <w:rFonts w:ascii="Times New Roman" w:hAnsi="Times New Roman" w:cs="Times New Roman"/>
          <w:sz w:val="24"/>
          <w:szCs w:val="24"/>
        </w:rPr>
        <w:t xml:space="preserve">If customers are going to be subjected to this, or any, charge it should be the most accurate charge possible. </w:t>
      </w:r>
      <w:r>
        <w:rPr>
          <w:rFonts w:ascii="Times New Roman" w:hAnsi="Times New Roman" w:cs="Times New Roman"/>
          <w:sz w:val="24"/>
          <w:szCs w:val="24"/>
        </w:rPr>
        <w:t xml:space="preserve"> In any event, the charge is an unreasonable rate and violates R.C. 4928.02(A) and R.C. 4905.22, among other statutes.</w:t>
      </w:r>
    </w:p>
    <w:p w:rsidR="00AB750D" w:rsidRPr="00AB750D" w:rsidP="004130FA">
      <w:pPr>
        <w:pStyle w:val="Heading2"/>
      </w:pPr>
      <w:bookmarkStart w:id="14" w:name="_Toc501633040"/>
      <w:r>
        <w:t>B.</w:t>
      </w:r>
      <w:r>
        <w:tab/>
      </w:r>
      <w:r w:rsidRPr="00AB750D">
        <w:t>The proposed Settlement violates important regulatory principles and practice.</w:t>
      </w:r>
      <w:bookmarkEnd w:id="14"/>
    </w:p>
    <w:p w:rsidR="00AB750D" w:rsidRPr="00AB750D" w:rsidP="00AB750D">
      <w:pPr>
        <w:pStyle w:val="BodyA"/>
        <w:spacing w:line="480" w:lineRule="auto"/>
        <w:ind w:firstLine="720"/>
        <w:rPr>
          <w:rFonts w:hAnsi="Times New Roman" w:cs="Times New Roman"/>
        </w:rPr>
      </w:pPr>
      <w:r w:rsidRPr="00AB750D">
        <w:rPr>
          <w:rFonts w:hAnsi="Times New Roman" w:cs="Times New Roman"/>
        </w:rPr>
        <w:t xml:space="preserve">The EFMW program violates the regulatory principles in O.A.C. 4901:1-21-03 and O.A.C. 4901:1-21-05. The SCR is not appropriate in an ESP case.  If AEP wants to charge consumers through the SCR to pursue the programs thereunder, those programs’ costs should be part of a distribution </w:t>
      </w:r>
      <w:r>
        <w:rPr>
          <w:rFonts w:hAnsi="Times New Roman" w:cs="Times New Roman"/>
        </w:rPr>
        <w:t xml:space="preserve">base </w:t>
      </w:r>
      <w:r w:rsidRPr="00AB750D">
        <w:rPr>
          <w:rFonts w:hAnsi="Times New Roman" w:cs="Times New Roman"/>
        </w:rPr>
        <w:t xml:space="preserve">rate case.  </w:t>
      </w:r>
    </w:p>
    <w:p w:rsidR="00AB750D" w:rsidRPr="00AB750D" w:rsidP="004130FA">
      <w:pPr>
        <w:pStyle w:val="Heading3"/>
      </w:pPr>
      <w:bookmarkStart w:id="15" w:name="_Toc501633041"/>
      <w:r>
        <w:t>1.</w:t>
      </w:r>
      <w:r>
        <w:tab/>
      </w:r>
      <w:r w:rsidRPr="00AB750D">
        <w:t xml:space="preserve">The </w:t>
      </w:r>
      <w:r>
        <w:t>Enroll From Your Wallet</w:t>
      </w:r>
      <w:r w:rsidRPr="00AB750D">
        <w:t xml:space="preserve"> Program does nothing to protect customers from unfair, misleading, deceptive, or unconscionable practices of </w:t>
      </w:r>
      <w:r>
        <w:t>Marketer</w:t>
      </w:r>
      <w:r w:rsidRPr="00AB750D">
        <w:t xml:space="preserve"> solicitors.</w:t>
      </w:r>
      <w:bookmarkEnd w:id="15"/>
      <w:r w:rsidRPr="00AB750D">
        <w:t xml:space="preserve"> </w:t>
      </w:r>
    </w:p>
    <w:p w:rsidR="00AB750D" w:rsidRPr="00AB750D" w:rsidP="00AB750D">
      <w:pPr>
        <w:pStyle w:val="BodyA"/>
        <w:spacing w:line="480" w:lineRule="auto"/>
        <w:ind w:firstLine="720"/>
        <w:rPr>
          <w:rFonts w:hAnsi="Times New Roman" w:cs="Times New Roman"/>
        </w:rPr>
      </w:pPr>
      <w:r w:rsidRPr="00AB750D">
        <w:rPr>
          <w:rFonts w:hAnsi="Times New Roman" w:cs="Times New Roman"/>
        </w:rPr>
        <w:t xml:space="preserve">O.A.C. 4901:1-21-03(A)(1) establishes that </w:t>
      </w:r>
      <w:r>
        <w:rPr>
          <w:rFonts w:hAnsi="Times New Roman" w:cs="Times New Roman"/>
        </w:rPr>
        <w:t>Marketer</w:t>
      </w:r>
      <w:r w:rsidRPr="00AB750D">
        <w:rPr>
          <w:rFonts w:hAnsi="Times New Roman" w:cs="Times New Roman"/>
        </w:rPr>
        <w:t xml:space="preserve">s are not permitted to engage in unfair, misleading, deceptive, or unconscionable practices when soliciting new customers. </w:t>
      </w:r>
      <w:r>
        <w:rPr>
          <w:rFonts w:hAnsi="Times New Roman" w:cs="Times New Roman"/>
        </w:rPr>
        <w:t xml:space="preserve"> </w:t>
      </w:r>
      <w:r w:rsidRPr="00AB750D">
        <w:rPr>
          <w:rFonts w:hAnsi="Times New Roman" w:cs="Times New Roman"/>
        </w:rPr>
        <w:t>The PUCO enacted O.A.C. 4901:1-21-05 requiring that certain information be made available to consumers so that they can “make intelligent cost comparisons.”  AEP witness Allen testified that EFMW would allow customers to sign up anywhere, including at a kiosk at a mall.</w:t>
      </w:r>
      <w:r>
        <w:rPr>
          <w:rStyle w:val="FootnoteReference"/>
          <w:rFonts w:hAnsi="Times New Roman" w:cs="Times New Roman"/>
        </w:rPr>
        <w:footnoteReference w:id="124"/>
      </w:r>
      <w:r w:rsidRPr="00AB750D">
        <w:rPr>
          <w:rFonts w:hAnsi="Times New Roman" w:cs="Times New Roman"/>
        </w:rPr>
        <w:t xml:space="preserve"> The PUCO should be very skeptical of a program under which customers can immediately switch. </w:t>
      </w:r>
      <w:r>
        <w:rPr>
          <w:rFonts w:hAnsi="Times New Roman" w:cs="Times New Roman"/>
        </w:rPr>
        <w:t xml:space="preserve"> </w:t>
      </w:r>
      <w:r w:rsidRPr="00AB750D">
        <w:rPr>
          <w:rFonts w:hAnsi="Times New Roman" w:cs="Times New Roman"/>
        </w:rPr>
        <w:t>Certain information that can only be found on a bill should be consulted before a customer switches.</w:t>
      </w:r>
      <w:r>
        <w:rPr>
          <w:rStyle w:val="FootnoteReference"/>
          <w:rFonts w:hAnsi="Times New Roman" w:cs="Times New Roman"/>
        </w:rPr>
        <w:footnoteReference w:id="125"/>
      </w:r>
      <w:r w:rsidRPr="00AB750D">
        <w:rPr>
          <w:rFonts w:hAnsi="Times New Roman" w:cs="Times New Roman"/>
        </w:rPr>
        <w:t xml:space="preserve"> </w:t>
      </w:r>
      <w:r>
        <w:rPr>
          <w:rFonts w:hAnsi="Times New Roman" w:cs="Times New Roman"/>
        </w:rPr>
        <w:t xml:space="preserve"> </w:t>
      </w:r>
      <w:r w:rsidRPr="00AB750D">
        <w:rPr>
          <w:rFonts w:hAnsi="Times New Roman" w:cs="Times New Roman"/>
        </w:rPr>
        <w:t xml:space="preserve">Such information allows the customer to have actual knowledge of their prices to compare with the marketers offer. </w:t>
      </w:r>
    </w:p>
    <w:p w:rsidR="00AB750D" w:rsidRPr="00AB750D" w:rsidP="00AB750D">
      <w:pPr>
        <w:pStyle w:val="BodyA"/>
        <w:spacing w:line="480" w:lineRule="auto"/>
        <w:ind w:firstLine="720"/>
        <w:rPr>
          <w:rFonts w:hAnsi="Times New Roman" w:cs="Times New Roman"/>
        </w:rPr>
      </w:pPr>
      <w:r w:rsidRPr="00AB750D">
        <w:rPr>
          <w:rFonts w:hAnsi="Times New Roman" w:cs="Times New Roman"/>
        </w:rPr>
        <w:t xml:space="preserve">Under EFMW the customer would not need, or have, a copy of their bill when switching to a CRES provider. </w:t>
      </w:r>
      <w:r>
        <w:rPr>
          <w:rFonts w:hAnsi="Times New Roman" w:cs="Times New Roman"/>
        </w:rPr>
        <w:t xml:space="preserve"> </w:t>
      </w:r>
      <w:r w:rsidRPr="00AB750D">
        <w:rPr>
          <w:rFonts w:hAnsi="Times New Roman" w:cs="Times New Roman"/>
        </w:rPr>
        <w:t xml:space="preserve">This could lead to unfair, misleading, deceptive, and unconscionable practices. </w:t>
      </w:r>
      <w:r>
        <w:rPr>
          <w:rFonts w:hAnsi="Times New Roman" w:cs="Times New Roman"/>
        </w:rPr>
        <w:t xml:space="preserve"> </w:t>
      </w:r>
      <w:r w:rsidRPr="00AB750D">
        <w:rPr>
          <w:rFonts w:hAnsi="Times New Roman" w:cs="Times New Roman"/>
        </w:rPr>
        <w:t xml:space="preserve">Because the customer </w:t>
      </w:r>
      <w:r>
        <w:rPr>
          <w:rFonts w:hAnsi="Times New Roman" w:cs="Times New Roman"/>
        </w:rPr>
        <w:t>might</w:t>
      </w:r>
      <w:r w:rsidRPr="00AB750D">
        <w:rPr>
          <w:rFonts w:hAnsi="Times New Roman" w:cs="Times New Roman"/>
        </w:rPr>
        <w:t xml:space="preserve"> not be able to make any serious, informed cost comparison in a busy, noisy location, that distracts the customer making them unable to appreciate a binding electric contract. </w:t>
      </w:r>
      <w:r>
        <w:rPr>
          <w:rFonts w:hAnsi="Times New Roman" w:cs="Times New Roman"/>
        </w:rPr>
        <w:t xml:space="preserve"> </w:t>
      </w:r>
      <w:r w:rsidRPr="00AB750D">
        <w:rPr>
          <w:rFonts w:hAnsi="Times New Roman" w:cs="Times New Roman"/>
        </w:rPr>
        <w:t xml:space="preserve">The EFMW program directly violates regulatory principle of protecting customers as stated in O.A.C. 4901:1-21-03 and O.A.C. 4901:1-21-05. </w:t>
      </w:r>
    </w:p>
    <w:p w:rsidR="00AB750D" w:rsidRPr="00AB750D" w:rsidP="004130FA">
      <w:pPr>
        <w:pStyle w:val="Heading3"/>
      </w:pPr>
      <w:bookmarkStart w:id="16" w:name="_Toc501633042"/>
      <w:r>
        <w:t>2.</w:t>
      </w:r>
      <w:r>
        <w:tab/>
      </w:r>
      <w:r w:rsidRPr="00AB750D">
        <w:t>The Smart City Rider does not belong in an ESP.</w:t>
      </w:r>
      <w:bookmarkEnd w:id="16"/>
    </w:p>
    <w:p w:rsidR="00AB750D" w:rsidRPr="00AB750D" w:rsidP="00AB750D">
      <w:pPr>
        <w:pStyle w:val="BodyA"/>
        <w:spacing w:line="480" w:lineRule="auto"/>
        <w:ind w:firstLine="720"/>
        <w:rPr>
          <w:rFonts w:hAnsi="Times New Roman" w:cs="Times New Roman"/>
          <w:bCs/>
          <w:iCs/>
        </w:rPr>
      </w:pPr>
      <w:r w:rsidRPr="00AB750D">
        <w:rPr>
          <w:rFonts w:hAnsi="Times New Roman" w:cs="Times New Roman"/>
          <w:bCs/>
          <w:iCs/>
        </w:rPr>
        <w:t>Staff witness Turkenton testified that the SCR is a distribution rider to charge customers for costs that could be part of a distribution rate case.</w:t>
      </w:r>
      <w:r>
        <w:rPr>
          <w:rStyle w:val="FootnoteReference"/>
          <w:rFonts w:hAnsi="Times New Roman" w:cs="Times New Roman"/>
          <w:bCs/>
          <w:iCs/>
        </w:rPr>
        <w:footnoteReference w:id="126"/>
      </w:r>
      <w:r w:rsidRPr="00AB750D">
        <w:rPr>
          <w:rFonts w:hAnsi="Times New Roman" w:cs="Times New Roman"/>
          <w:bCs/>
          <w:iCs/>
        </w:rPr>
        <w:t xml:space="preserve"> </w:t>
      </w:r>
      <w:r>
        <w:rPr>
          <w:rFonts w:hAnsi="Times New Roman" w:cs="Times New Roman"/>
          <w:bCs/>
          <w:iCs/>
        </w:rPr>
        <w:t xml:space="preserve"> </w:t>
      </w:r>
      <w:r w:rsidRPr="00AB750D">
        <w:rPr>
          <w:rFonts w:hAnsi="Times New Roman" w:cs="Times New Roman"/>
          <w:bCs/>
          <w:iCs/>
        </w:rPr>
        <w:t xml:space="preserve">Even though AEP could seek to </w:t>
      </w:r>
      <w:r>
        <w:rPr>
          <w:rFonts w:hAnsi="Times New Roman" w:cs="Times New Roman"/>
          <w:bCs/>
          <w:iCs/>
        </w:rPr>
        <w:t xml:space="preserve">collect </w:t>
      </w:r>
      <w:r w:rsidRPr="00AB750D">
        <w:rPr>
          <w:rFonts w:hAnsi="Times New Roman" w:cs="Times New Roman"/>
          <w:bCs/>
          <w:iCs/>
        </w:rPr>
        <w:t xml:space="preserve">costs associated with the programs under the SCR in a distribution rate case, it has chosen to use the ESP mechanism to charge customers for the SCR. </w:t>
      </w:r>
      <w:r>
        <w:rPr>
          <w:rFonts w:hAnsi="Times New Roman" w:cs="Times New Roman"/>
          <w:bCs/>
          <w:iCs/>
        </w:rPr>
        <w:t xml:space="preserve"> </w:t>
      </w:r>
      <w:r w:rsidRPr="00AB750D">
        <w:rPr>
          <w:rFonts w:hAnsi="Times New Roman" w:cs="Times New Roman"/>
          <w:bCs/>
          <w:iCs/>
        </w:rPr>
        <w:t xml:space="preserve">This allows AEP to evade the consumer protections in distribution rate cases, such as prudence review and ensuring that investments are used and useful for providing electric service. </w:t>
      </w:r>
      <w:r>
        <w:rPr>
          <w:rFonts w:hAnsi="Times New Roman" w:cs="Times New Roman"/>
          <w:bCs/>
          <w:iCs/>
        </w:rPr>
        <w:t xml:space="preserve"> </w:t>
      </w:r>
      <w:r w:rsidRPr="00AB750D">
        <w:rPr>
          <w:rFonts w:hAnsi="Times New Roman" w:cs="Times New Roman"/>
          <w:bCs/>
          <w:iCs/>
        </w:rPr>
        <w:t xml:space="preserve">In light of Staff witness Turkenton’s recognition, and the consumer protections involved in a distribution rate case, the PUCO should not authorize the SCR in an ESP.   </w:t>
      </w:r>
    </w:p>
    <w:p w:rsidR="00AB750D" w:rsidRPr="00AB750D" w:rsidP="004130FA">
      <w:pPr>
        <w:pStyle w:val="Heading2"/>
      </w:pPr>
      <w:bookmarkStart w:id="17" w:name="_Toc501633043"/>
      <w:r>
        <w:t>C.</w:t>
      </w:r>
      <w:r>
        <w:tab/>
      </w:r>
      <w:r w:rsidRPr="00AB750D">
        <w:t>The ESP embodied in the Settlement fails the ESP</w:t>
      </w:r>
      <w:r>
        <w:t xml:space="preserve"> versus MRO</w:t>
      </w:r>
      <w:r w:rsidRPr="00AB750D">
        <w:t xml:space="preserve"> test.</w:t>
      </w:r>
      <w:bookmarkEnd w:id="17"/>
    </w:p>
    <w:p w:rsidR="00AB750D" w:rsidRPr="00AB750D" w:rsidP="00AB750D">
      <w:pPr>
        <w:pStyle w:val="BodyA"/>
        <w:spacing w:line="480" w:lineRule="auto"/>
        <w:ind w:firstLine="720"/>
        <w:rPr>
          <w:rFonts w:hAnsi="Times New Roman" w:cs="Times New Roman"/>
        </w:rPr>
      </w:pPr>
      <w:r w:rsidRPr="00AB750D">
        <w:rPr>
          <w:rFonts w:hAnsi="Times New Roman" w:cs="Times New Roman"/>
        </w:rPr>
        <w:t>Under R.C. 4928.143(C)(1), AEP, as the applicant, bears the burden to prove that the ESP is more favorable in the aggregate than a MRO.</w:t>
      </w:r>
      <w:r>
        <w:rPr>
          <w:rStyle w:val="FootnoteReference"/>
          <w:rFonts w:hAnsi="Times New Roman" w:cs="Times New Roman"/>
        </w:rPr>
        <w:footnoteReference w:id="127"/>
      </w:r>
      <w:r w:rsidRPr="00AB750D">
        <w:rPr>
          <w:rFonts w:hAnsi="Times New Roman" w:cs="Times New Roman"/>
        </w:rPr>
        <w:t xml:space="preserve"> </w:t>
      </w:r>
      <w:r>
        <w:rPr>
          <w:rFonts w:hAnsi="Times New Roman" w:cs="Times New Roman"/>
        </w:rPr>
        <w:t xml:space="preserve"> </w:t>
      </w:r>
      <w:r w:rsidRPr="00AB750D">
        <w:rPr>
          <w:rFonts w:hAnsi="Times New Roman" w:cs="Times New Roman"/>
        </w:rPr>
        <w:t xml:space="preserve">AEP fails to meet that burden.  Further, proponents of the Settlement claim that it contains numerous quantitative and qualitative benefits. </w:t>
      </w:r>
      <w:r>
        <w:rPr>
          <w:rFonts w:hAnsi="Times New Roman" w:cs="Times New Roman"/>
        </w:rPr>
        <w:t xml:space="preserve"> </w:t>
      </w:r>
      <w:r w:rsidRPr="00AB750D">
        <w:rPr>
          <w:rFonts w:hAnsi="Times New Roman" w:cs="Times New Roman"/>
        </w:rPr>
        <w:t xml:space="preserve">But those purported benefits are not supported by the record. </w:t>
      </w:r>
    </w:p>
    <w:p w:rsidR="00AB750D" w:rsidRPr="00AB750D" w:rsidP="00AB750D">
      <w:pPr>
        <w:pStyle w:val="BodyA"/>
        <w:spacing w:line="480" w:lineRule="auto"/>
        <w:ind w:firstLine="720"/>
        <w:rPr>
          <w:rFonts w:hAnsi="Times New Roman" w:cs="Times New Roman"/>
        </w:rPr>
      </w:pPr>
      <w:r w:rsidRPr="00AB750D">
        <w:rPr>
          <w:rFonts w:hAnsi="Times New Roman" w:cs="Times New Roman"/>
        </w:rPr>
        <w:t xml:space="preserve">AEP witness Allen’s testimony, itself, shows that AEP cannot prove that the ESP embodied by the Settlement is more favorable in the aggregate than an MRO. </w:t>
      </w:r>
      <w:r>
        <w:rPr>
          <w:rFonts w:hAnsi="Times New Roman" w:cs="Times New Roman"/>
        </w:rPr>
        <w:t xml:space="preserve"> </w:t>
      </w:r>
      <w:r w:rsidRPr="00AB750D">
        <w:rPr>
          <w:rFonts w:hAnsi="Times New Roman" w:cs="Times New Roman"/>
        </w:rPr>
        <w:t>The Supreme Court</w:t>
      </w:r>
      <w:r>
        <w:rPr>
          <w:rFonts w:hAnsi="Times New Roman" w:cs="Times New Roman"/>
        </w:rPr>
        <w:t xml:space="preserve"> of Ohio</w:t>
      </w:r>
      <w:r w:rsidRPr="00AB750D">
        <w:rPr>
          <w:rFonts w:hAnsi="Times New Roman" w:cs="Times New Roman"/>
        </w:rPr>
        <w:t xml:space="preserve"> has held that R.C.4923.143(C)(1) instructs the PUCO to consider pricing and all other terms and conditions in evaluating if an ESP is more favorable in the aggregate than an expected MRO.</w:t>
      </w:r>
      <w:r>
        <w:rPr>
          <w:rStyle w:val="FootnoteReference"/>
          <w:rFonts w:hAnsi="Times New Roman" w:cs="Times New Roman"/>
        </w:rPr>
        <w:footnoteReference w:id="128"/>
      </w:r>
      <w:r w:rsidRPr="00AB750D">
        <w:rPr>
          <w:rFonts w:hAnsi="Times New Roman" w:cs="Times New Roman"/>
        </w:rPr>
        <w:t xml:space="preserve">  AEP witness Allen admits that the calculations he offers to prove there is a benefit do not include any of the riders that are set at zero.</w:t>
      </w:r>
      <w:r>
        <w:rPr>
          <w:rStyle w:val="FootnoteReference"/>
          <w:rFonts w:hAnsi="Times New Roman" w:cs="Times New Roman"/>
        </w:rPr>
        <w:footnoteReference w:id="129"/>
      </w:r>
      <w:r w:rsidRPr="00AB750D">
        <w:rPr>
          <w:rFonts w:hAnsi="Times New Roman" w:cs="Times New Roman"/>
        </w:rPr>
        <w:t xml:space="preserve"> </w:t>
      </w:r>
      <w:r>
        <w:rPr>
          <w:rFonts w:hAnsi="Times New Roman" w:cs="Times New Roman"/>
        </w:rPr>
        <w:t xml:space="preserve"> </w:t>
      </w:r>
      <w:r w:rsidRPr="00AB750D">
        <w:rPr>
          <w:rFonts w:hAnsi="Times New Roman" w:cs="Times New Roman"/>
        </w:rPr>
        <w:t xml:space="preserve">As previously explained, the RGR, the SCR, and the PowerForward Rider are established under this ESP but set at zero.  Staff witness Turkenton admitted that some or all of these riders may be </w:t>
      </w:r>
      <w:r>
        <w:rPr>
          <w:rFonts w:hAnsi="Times New Roman" w:cs="Times New Roman"/>
        </w:rPr>
        <w:t>authorized by the PUCO to collect costs from consumers</w:t>
      </w:r>
      <w:r w:rsidRPr="00AB750D">
        <w:rPr>
          <w:rFonts w:hAnsi="Times New Roman" w:cs="Times New Roman"/>
        </w:rPr>
        <w:t xml:space="preserve"> during the ESP.</w:t>
      </w:r>
      <w:r>
        <w:rPr>
          <w:rStyle w:val="FootnoteReference"/>
          <w:rFonts w:hAnsi="Times New Roman" w:cs="Times New Roman"/>
        </w:rPr>
        <w:footnoteReference w:id="130"/>
      </w:r>
      <w:r w:rsidRPr="00AB750D">
        <w:rPr>
          <w:rFonts w:hAnsi="Times New Roman" w:cs="Times New Roman"/>
        </w:rPr>
        <w:t xml:space="preserve">  The PUCO cannot possibly lawfully analyze the ESP embodied by the Settlement under the </w:t>
      </w:r>
      <w:r>
        <w:rPr>
          <w:rFonts w:hAnsi="Times New Roman" w:cs="Times New Roman"/>
        </w:rPr>
        <w:t>ESP v. MRO</w:t>
      </w:r>
      <w:r w:rsidRPr="00AB750D">
        <w:rPr>
          <w:rFonts w:hAnsi="Times New Roman" w:cs="Times New Roman"/>
        </w:rPr>
        <w:t xml:space="preserve"> test when programs’ costs are unknown.</w:t>
      </w:r>
      <w:r>
        <w:rPr>
          <w:rFonts w:hAnsi="Times New Roman" w:cs="Times New Roman"/>
        </w:rPr>
        <w:t xml:space="preserve">  Especially since these riders would not be part of an MRO process, and thus would increase the cost differential between the MRO and ESP.</w:t>
      </w:r>
    </w:p>
    <w:p w:rsidR="00AB750D" w:rsidRPr="00AB750D" w:rsidP="004130FA">
      <w:pPr>
        <w:pStyle w:val="Heading3"/>
      </w:pPr>
      <w:bookmarkStart w:id="18" w:name="_Toc501633044"/>
      <w:r w:rsidRPr="00AB750D">
        <w:t>1.</w:t>
      </w:r>
      <w:r w:rsidRPr="00AB750D">
        <w:tab/>
        <w:t>AEP has not shown, and cannot show, that the ESP benefits consumers.</w:t>
      </w:r>
      <w:bookmarkEnd w:id="18"/>
    </w:p>
    <w:p w:rsidR="00AB750D" w:rsidRPr="00AB750D" w:rsidP="00AB750D">
      <w:pPr>
        <w:pStyle w:val="BodyA"/>
        <w:spacing w:line="480" w:lineRule="auto"/>
        <w:ind w:firstLine="720"/>
        <w:rPr>
          <w:rFonts w:hAnsi="Times New Roman" w:cs="Times New Roman"/>
        </w:rPr>
      </w:pPr>
      <w:r w:rsidRPr="00AB750D">
        <w:rPr>
          <w:rFonts w:hAnsi="Times New Roman" w:cs="Times New Roman"/>
        </w:rPr>
        <w:t>AEP asserts that the ESP embodied by the Settlement offers an array of quantitative benefits compared to an MRO.</w:t>
      </w:r>
      <w:r>
        <w:rPr>
          <w:rStyle w:val="FootnoteReference"/>
          <w:rFonts w:hAnsi="Times New Roman" w:cs="Times New Roman"/>
        </w:rPr>
        <w:footnoteReference w:id="131"/>
      </w:r>
      <w:r w:rsidRPr="00AB750D">
        <w:rPr>
          <w:rFonts w:hAnsi="Times New Roman" w:cs="Times New Roman"/>
        </w:rPr>
        <w:t xml:space="preserve"> </w:t>
      </w:r>
      <w:r>
        <w:rPr>
          <w:rFonts w:hAnsi="Times New Roman" w:cs="Times New Roman"/>
        </w:rPr>
        <w:t xml:space="preserve"> </w:t>
      </w:r>
      <w:r w:rsidRPr="00AB750D">
        <w:rPr>
          <w:rFonts w:hAnsi="Times New Roman" w:cs="Times New Roman"/>
        </w:rPr>
        <w:t xml:space="preserve">Its assertion rests on a flimsy reed.  It  can do no better than point to purported quantitative benefits from continuing riders without having to file a base rate case and the illusionary adjustment to the weighted average cost of capital (“WACC”). </w:t>
      </w:r>
    </w:p>
    <w:p w:rsidR="00AB750D" w:rsidRPr="00AB750D" w:rsidP="00AB750D">
      <w:pPr>
        <w:pStyle w:val="BodyA"/>
        <w:spacing w:line="480" w:lineRule="auto"/>
        <w:ind w:firstLine="720"/>
        <w:rPr>
          <w:rFonts w:hAnsi="Times New Roman" w:cs="Times New Roman"/>
        </w:rPr>
      </w:pPr>
      <w:r w:rsidRPr="00AB750D">
        <w:rPr>
          <w:rFonts w:hAnsi="Times New Roman" w:cs="Times New Roman"/>
        </w:rPr>
        <w:t>AEP says that there are quantitative benefits associated with continuing the Residential Distribution Credit Rider, the Neighbor-to-Neighbor program, and the DIR mechanism in the ESP case without the complexity of a base rate case.</w:t>
      </w:r>
      <w:r>
        <w:rPr>
          <w:rStyle w:val="FootnoteReference"/>
          <w:rFonts w:hAnsi="Times New Roman" w:cs="Times New Roman"/>
        </w:rPr>
        <w:footnoteReference w:id="132"/>
      </w:r>
      <w:r w:rsidRPr="00AB750D">
        <w:rPr>
          <w:rFonts w:hAnsi="Times New Roman" w:cs="Times New Roman"/>
        </w:rPr>
        <w:t xml:space="preserve"> </w:t>
      </w:r>
      <w:r>
        <w:rPr>
          <w:rFonts w:hAnsi="Times New Roman" w:cs="Times New Roman"/>
        </w:rPr>
        <w:t xml:space="preserve"> </w:t>
      </w:r>
      <w:r w:rsidRPr="00AB750D">
        <w:rPr>
          <w:rFonts w:hAnsi="Times New Roman" w:cs="Times New Roman"/>
        </w:rPr>
        <w:t xml:space="preserve">But AEP contradicts its testimony. </w:t>
      </w:r>
      <w:r>
        <w:rPr>
          <w:rFonts w:hAnsi="Times New Roman" w:cs="Times New Roman"/>
        </w:rPr>
        <w:t xml:space="preserve"> </w:t>
      </w:r>
      <w:r w:rsidRPr="00AB750D">
        <w:rPr>
          <w:rFonts w:hAnsi="Times New Roman" w:cs="Times New Roman"/>
        </w:rPr>
        <w:t>AEP witness Allen testified that AEP “fully intends” to file a rate case by June 1, 2020.</w:t>
      </w:r>
      <w:r>
        <w:rPr>
          <w:rStyle w:val="FootnoteReference"/>
          <w:rFonts w:hAnsi="Times New Roman" w:cs="Times New Roman"/>
        </w:rPr>
        <w:footnoteReference w:id="133"/>
      </w:r>
      <w:r w:rsidRPr="00AB750D">
        <w:rPr>
          <w:rFonts w:hAnsi="Times New Roman" w:cs="Times New Roman"/>
        </w:rPr>
        <w:t xml:space="preserve"> </w:t>
      </w:r>
      <w:r>
        <w:rPr>
          <w:rFonts w:hAnsi="Times New Roman" w:cs="Times New Roman"/>
        </w:rPr>
        <w:t xml:space="preserve"> </w:t>
      </w:r>
      <w:r w:rsidRPr="00AB750D">
        <w:rPr>
          <w:rFonts w:hAnsi="Times New Roman" w:cs="Times New Roman"/>
        </w:rPr>
        <w:t>So the parties will incur the complexity of a base rate case anyway.</w:t>
      </w:r>
      <w:r>
        <w:rPr>
          <w:rStyle w:val="FootnoteReference"/>
          <w:rFonts w:hAnsi="Times New Roman" w:cs="Times New Roman"/>
        </w:rPr>
        <w:footnoteReference w:id="134"/>
      </w:r>
      <w:r w:rsidRPr="00AB750D">
        <w:rPr>
          <w:rFonts w:hAnsi="Times New Roman" w:cs="Times New Roman"/>
        </w:rPr>
        <w:t xml:space="preserve">  There is no benefit to including the riders in this ESP.</w:t>
      </w:r>
    </w:p>
    <w:p w:rsidR="00AB750D" w:rsidRPr="00AB750D" w:rsidP="00AB750D">
      <w:pPr>
        <w:pStyle w:val="BodyA"/>
        <w:spacing w:line="480" w:lineRule="auto"/>
        <w:ind w:firstLine="720"/>
        <w:rPr>
          <w:rFonts w:hAnsi="Times New Roman" w:cs="Times New Roman"/>
        </w:rPr>
      </w:pPr>
      <w:r w:rsidRPr="00AB750D">
        <w:rPr>
          <w:rFonts w:hAnsi="Times New Roman" w:cs="Times New Roman"/>
        </w:rPr>
        <w:t xml:space="preserve">The only other benefit AEP claims is its agreement to update the WACC only if it will be favorable to </w:t>
      </w:r>
      <w:r>
        <w:rPr>
          <w:rFonts w:hAnsi="Times New Roman" w:cs="Times New Roman"/>
        </w:rPr>
        <w:t>consumers</w:t>
      </w:r>
      <w:r w:rsidRPr="00AB750D">
        <w:rPr>
          <w:rFonts w:hAnsi="Times New Roman" w:cs="Times New Roman"/>
        </w:rPr>
        <w:t>.</w:t>
      </w:r>
      <w:r>
        <w:rPr>
          <w:rStyle w:val="FootnoteReference"/>
          <w:rFonts w:hAnsi="Times New Roman" w:cs="Times New Roman"/>
        </w:rPr>
        <w:footnoteReference w:id="135"/>
      </w:r>
      <w:r w:rsidRPr="00AB750D">
        <w:rPr>
          <w:rFonts w:hAnsi="Times New Roman" w:cs="Times New Roman"/>
        </w:rPr>
        <w:t xml:space="preserve"> </w:t>
      </w:r>
      <w:r>
        <w:rPr>
          <w:rFonts w:hAnsi="Times New Roman" w:cs="Times New Roman"/>
        </w:rPr>
        <w:t xml:space="preserve"> </w:t>
      </w:r>
      <w:r w:rsidRPr="00AB750D">
        <w:rPr>
          <w:rFonts w:hAnsi="Times New Roman" w:cs="Times New Roman"/>
        </w:rPr>
        <w:t>AEP makes this claim with no evidence to support it. AEP witness Allen testified that AEP is not currently engaging in new long-term debt financing or refinancing.</w:t>
      </w:r>
      <w:r>
        <w:rPr>
          <w:rStyle w:val="FootnoteReference"/>
          <w:rFonts w:hAnsi="Times New Roman" w:cs="Times New Roman"/>
        </w:rPr>
        <w:footnoteReference w:id="136"/>
      </w:r>
      <w:r w:rsidRPr="00AB750D">
        <w:rPr>
          <w:rFonts w:hAnsi="Times New Roman" w:cs="Times New Roman"/>
        </w:rPr>
        <w:t xml:space="preserve"> </w:t>
      </w:r>
      <w:r>
        <w:rPr>
          <w:rFonts w:hAnsi="Times New Roman" w:cs="Times New Roman"/>
        </w:rPr>
        <w:t xml:space="preserve"> </w:t>
      </w:r>
      <w:r w:rsidRPr="00AB750D">
        <w:rPr>
          <w:rFonts w:hAnsi="Times New Roman" w:cs="Times New Roman"/>
        </w:rPr>
        <w:t>AEP does not have any projections of what the new interest rate will be or the terms of the new debt instrument.</w:t>
      </w:r>
      <w:r>
        <w:rPr>
          <w:rStyle w:val="FootnoteReference"/>
          <w:rFonts w:hAnsi="Times New Roman" w:cs="Times New Roman"/>
        </w:rPr>
        <w:footnoteReference w:id="137"/>
      </w:r>
      <w:r w:rsidRPr="00AB750D">
        <w:rPr>
          <w:rFonts w:hAnsi="Times New Roman" w:cs="Times New Roman"/>
        </w:rPr>
        <w:t xml:space="preserve"> </w:t>
      </w:r>
      <w:r>
        <w:rPr>
          <w:rFonts w:hAnsi="Times New Roman" w:cs="Times New Roman"/>
        </w:rPr>
        <w:t xml:space="preserve"> </w:t>
      </w:r>
      <w:r w:rsidRPr="00AB750D">
        <w:rPr>
          <w:rFonts w:hAnsi="Times New Roman" w:cs="Times New Roman"/>
        </w:rPr>
        <w:t>The current debt financing is coming due in 2018,</w:t>
      </w:r>
      <w:r>
        <w:rPr>
          <w:rStyle w:val="FootnoteReference"/>
          <w:rFonts w:hAnsi="Times New Roman" w:cs="Times New Roman"/>
        </w:rPr>
        <w:footnoteReference w:id="138"/>
      </w:r>
      <w:r w:rsidRPr="00AB750D">
        <w:rPr>
          <w:rFonts w:hAnsi="Times New Roman" w:cs="Times New Roman"/>
        </w:rPr>
        <w:t xml:space="preserve"> but AEP does not even have estimates on one-time costs such as attorney’s fees or investment adviser fees.</w:t>
      </w:r>
      <w:r>
        <w:rPr>
          <w:rStyle w:val="FootnoteReference"/>
          <w:rFonts w:hAnsi="Times New Roman" w:cs="Times New Roman"/>
        </w:rPr>
        <w:footnoteReference w:id="139"/>
      </w:r>
      <w:r w:rsidRPr="00AB750D">
        <w:rPr>
          <w:rFonts w:hAnsi="Times New Roman" w:cs="Times New Roman"/>
        </w:rPr>
        <w:t xml:space="preserve"> </w:t>
      </w:r>
      <w:r>
        <w:rPr>
          <w:rFonts w:hAnsi="Times New Roman" w:cs="Times New Roman"/>
        </w:rPr>
        <w:t xml:space="preserve"> </w:t>
      </w:r>
      <w:r w:rsidRPr="00AB750D">
        <w:rPr>
          <w:rFonts w:hAnsi="Times New Roman" w:cs="Times New Roman"/>
        </w:rPr>
        <w:t>AEP witness Allen even acknowledged that the debt refinancing may not occur at all.</w:t>
      </w:r>
      <w:r>
        <w:rPr>
          <w:rStyle w:val="FootnoteReference"/>
          <w:rFonts w:hAnsi="Times New Roman" w:cs="Times New Roman"/>
        </w:rPr>
        <w:footnoteReference w:id="140"/>
      </w:r>
      <w:r w:rsidRPr="00AB750D">
        <w:rPr>
          <w:rFonts w:hAnsi="Times New Roman" w:cs="Times New Roman"/>
        </w:rPr>
        <w:t xml:space="preserve"> </w:t>
      </w:r>
      <w:r>
        <w:rPr>
          <w:rFonts w:hAnsi="Times New Roman" w:cs="Times New Roman"/>
        </w:rPr>
        <w:t xml:space="preserve"> </w:t>
      </w:r>
      <w:r w:rsidRPr="00AB750D">
        <w:rPr>
          <w:rFonts w:hAnsi="Times New Roman" w:cs="Times New Roman"/>
        </w:rPr>
        <w:t xml:space="preserve">AEP wants to rely on a “benefit” that they admit may not even materialize. </w:t>
      </w:r>
      <w:r>
        <w:rPr>
          <w:rFonts w:hAnsi="Times New Roman" w:cs="Times New Roman"/>
        </w:rPr>
        <w:t xml:space="preserve"> This is not a reasonable approach to calculating the difference between the MRO and the ESP.  </w:t>
      </w:r>
    </w:p>
    <w:p w:rsidR="00AB750D" w:rsidRPr="00AB750D" w:rsidP="00AB750D">
      <w:pPr>
        <w:pStyle w:val="BodyA"/>
        <w:spacing w:line="480" w:lineRule="auto"/>
        <w:ind w:firstLine="720"/>
        <w:rPr>
          <w:rFonts w:hAnsi="Times New Roman" w:cs="Times New Roman"/>
        </w:rPr>
      </w:pPr>
      <w:r w:rsidRPr="00AB750D">
        <w:rPr>
          <w:rFonts w:hAnsi="Times New Roman" w:cs="Times New Roman"/>
        </w:rPr>
        <w:t>AEP</w:t>
      </w:r>
      <w:r>
        <w:rPr>
          <w:rFonts w:hAnsi="Times New Roman" w:cs="Times New Roman"/>
        </w:rPr>
        <w:t xml:space="preserve"> also</w:t>
      </w:r>
      <w:r w:rsidRPr="00AB750D">
        <w:rPr>
          <w:rFonts w:hAnsi="Times New Roman" w:cs="Times New Roman"/>
        </w:rPr>
        <w:t xml:space="preserve"> makes unsupported claims about qualitative benefits. </w:t>
      </w:r>
      <w:r>
        <w:rPr>
          <w:rFonts w:hAnsi="Times New Roman" w:cs="Times New Roman"/>
        </w:rPr>
        <w:t xml:space="preserve"> </w:t>
      </w:r>
      <w:r w:rsidRPr="00AB750D">
        <w:rPr>
          <w:rFonts w:hAnsi="Times New Roman" w:cs="Times New Roman"/>
        </w:rPr>
        <w:t>It asserts that its commitment to file a base distribution rate case provides customers with increased certainty.</w:t>
      </w:r>
      <w:r>
        <w:rPr>
          <w:rStyle w:val="FootnoteReference"/>
          <w:rFonts w:hAnsi="Times New Roman" w:cs="Times New Roman"/>
        </w:rPr>
        <w:footnoteReference w:id="141"/>
      </w:r>
      <w:r w:rsidRPr="00AB750D">
        <w:rPr>
          <w:rFonts w:hAnsi="Times New Roman" w:cs="Times New Roman"/>
        </w:rPr>
        <w:t xml:space="preserve"> </w:t>
      </w:r>
      <w:r>
        <w:rPr>
          <w:rFonts w:hAnsi="Times New Roman" w:cs="Times New Roman"/>
        </w:rPr>
        <w:t xml:space="preserve"> </w:t>
      </w:r>
      <w:r w:rsidRPr="00AB750D">
        <w:rPr>
          <w:rFonts w:hAnsi="Times New Roman" w:cs="Times New Roman"/>
        </w:rPr>
        <w:t xml:space="preserve">The Settlement, however, contains an “if” clause that would allow the company to not file a base distribution </w:t>
      </w:r>
      <w:r>
        <w:rPr>
          <w:rFonts w:hAnsi="Times New Roman" w:cs="Times New Roman"/>
        </w:rPr>
        <w:t xml:space="preserve">rate </w:t>
      </w:r>
      <w:r w:rsidRPr="00AB750D">
        <w:rPr>
          <w:rFonts w:hAnsi="Times New Roman" w:cs="Times New Roman"/>
        </w:rPr>
        <w:t>case.</w:t>
      </w:r>
      <w:r>
        <w:rPr>
          <w:rStyle w:val="FootnoteReference"/>
          <w:rFonts w:hAnsi="Times New Roman" w:cs="Times New Roman"/>
        </w:rPr>
        <w:footnoteReference w:id="142"/>
      </w:r>
      <w:r>
        <w:rPr>
          <w:rFonts w:hAnsi="Times New Roman" w:cs="Times New Roman"/>
        </w:rPr>
        <w:t xml:space="preserve"> </w:t>
      </w:r>
      <w:r w:rsidRPr="00AB750D">
        <w:rPr>
          <w:rFonts w:hAnsi="Times New Roman" w:cs="Times New Roman"/>
        </w:rPr>
        <w:t xml:space="preserve"> AEP witness Allen testified that this clause explains what would happen, and protects other parties, if AEP does not file a base distribution rate case.</w:t>
      </w:r>
      <w:r>
        <w:rPr>
          <w:rStyle w:val="FootnoteReference"/>
          <w:rFonts w:hAnsi="Times New Roman" w:cs="Times New Roman"/>
        </w:rPr>
        <w:footnoteReference w:id="143"/>
      </w:r>
      <w:r w:rsidRPr="00AB750D">
        <w:rPr>
          <w:rFonts w:hAnsi="Times New Roman" w:cs="Times New Roman"/>
        </w:rPr>
        <w:t xml:space="preserve"> </w:t>
      </w:r>
      <w:r>
        <w:rPr>
          <w:rFonts w:hAnsi="Times New Roman" w:cs="Times New Roman"/>
        </w:rPr>
        <w:t xml:space="preserve"> </w:t>
      </w:r>
      <w:r w:rsidRPr="00AB750D">
        <w:rPr>
          <w:rFonts w:hAnsi="Times New Roman" w:cs="Times New Roman"/>
        </w:rPr>
        <w:t xml:space="preserve">So the purported benefit of filing a distribution rate case is no benefit at all. </w:t>
      </w:r>
    </w:p>
    <w:p w:rsidR="00AB750D" w:rsidRPr="00AB750D" w:rsidP="00AB750D">
      <w:pPr>
        <w:pStyle w:val="BodyA"/>
        <w:spacing w:line="480" w:lineRule="auto"/>
        <w:ind w:firstLine="720"/>
        <w:rPr>
          <w:rFonts w:hAnsi="Times New Roman" w:cs="Times New Roman"/>
        </w:rPr>
      </w:pPr>
      <w:r w:rsidRPr="00AB750D">
        <w:rPr>
          <w:rFonts w:hAnsi="Times New Roman" w:cs="Times New Roman"/>
        </w:rPr>
        <w:t>AEP falsely claims that rate stability and certainty associated with the RGR is a qualitative benefit.</w:t>
      </w:r>
      <w:r>
        <w:rPr>
          <w:rStyle w:val="FootnoteReference"/>
          <w:rFonts w:hAnsi="Times New Roman" w:cs="Times New Roman"/>
        </w:rPr>
        <w:footnoteReference w:id="144"/>
      </w:r>
      <w:r w:rsidRPr="00AB750D">
        <w:rPr>
          <w:rFonts w:hAnsi="Times New Roman" w:cs="Times New Roman"/>
        </w:rPr>
        <w:t xml:space="preserve"> </w:t>
      </w:r>
      <w:r>
        <w:rPr>
          <w:rFonts w:hAnsi="Times New Roman" w:cs="Times New Roman"/>
        </w:rPr>
        <w:t xml:space="preserve"> </w:t>
      </w:r>
      <w:r w:rsidRPr="00AB750D">
        <w:rPr>
          <w:rFonts w:hAnsi="Times New Roman" w:cs="Times New Roman"/>
        </w:rPr>
        <w:t xml:space="preserve">It is absurd to believe that there is any stability or certainty created by a rider set at zero. </w:t>
      </w:r>
      <w:r>
        <w:rPr>
          <w:rFonts w:hAnsi="Times New Roman" w:cs="Times New Roman"/>
        </w:rPr>
        <w:t xml:space="preserve"> </w:t>
      </w:r>
      <w:r w:rsidRPr="00AB750D">
        <w:rPr>
          <w:rFonts w:hAnsi="Times New Roman" w:cs="Times New Roman"/>
        </w:rPr>
        <w:t>This is particularly true where, as there, the rider’s costs are unknown.</w:t>
      </w:r>
      <w:r>
        <w:rPr>
          <w:rStyle w:val="FootnoteReference"/>
          <w:rFonts w:hAnsi="Times New Roman" w:cs="Times New Roman"/>
        </w:rPr>
        <w:footnoteReference w:id="145"/>
      </w:r>
      <w:r w:rsidRPr="00AB750D">
        <w:rPr>
          <w:rFonts w:hAnsi="Times New Roman" w:cs="Times New Roman"/>
        </w:rPr>
        <w:t xml:space="preserve">  Setting the RGR, with its unknown costs, at zero has the opposite effect – it creates uncertainty and instability. </w:t>
      </w:r>
    </w:p>
    <w:p w:rsidR="00AB750D" w:rsidRPr="00AB750D" w:rsidP="00AB750D">
      <w:pPr>
        <w:pStyle w:val="BodyA"/>
        <w:spacing w:line="480" w:lineRule="auto"/>
        <w:ind w:firstLine="720"/>
        <w:rPr>
          <w:rFonts w:hAnsi="Times New Roman" w:cs="Times New Roman"/>
        </w:rPr>
      </w:pPr>
      <w:r w:rsidRPr="00AB750D">
        <w:rPr>
          <w:rFonts w:hAnsi="Times New Roman" w:cs="Times New Roman"/>
        </w:rPr>
        <w:t>The SCR, and its purported qualitative benefits, suffers from the same problems as the RGR.  AEP asserts that the SCR will promote EV market development and research even though the program’s true cost is unknown.</w:t>
      </w:r>
      <w:r>
        <w:rPr>
          <w:rStyle w:val="FootnoteReference"/>
          <w:rFonts w:hAnsi="Times New Roman" w:cs="Times New Roman"/>
        </w:rPr>
        <w:footnoteReference w:id="146"/>
      </w:r>
      <w:r w:rsidRPr="00AB750D">
        <w:rPr>
          <w:rFonts w:hAnsi="Times New Roman" w:cs="Times New Roman"/>
        </w:rPr>
        <w:t xml:space="preserve"> </w:t>
      </w:r>
      <w:r>
        <w:rPr>
          <w:rFonts w:hAnsi="Times New Roman" w:cs="Times New Roman"/>
        </w:rPr>
        <w:t xml:space="preserve"> </w:t>
      </w:r>
      <w:r w:rsidRPr="00AB750D">
        <w:rPr>
          <w:rFonts w:hAnsi="Times New Roman" w:cs="Times New Roman"/>
        </w:rPr>
        <w:t xml:space="preserve">And as previously discussed, AEP has failed to formulate any real program structure or implementation plan. The little that is known about the program is that it will benefit a select few at great cost to all consumers.  </w:t>
      </w:r>
    </w:p>
    <w:p w:rsidR="00AB750D" w:rsidRPr="00AB750D" w:rsidP="004130FA">
      <w:pPr>
        <w:pStyle w:val="Heading3"/>
      </w:pPr>
      <w:bookmarkStart w:id="19" w:name="_Toc501633045"/>
      <w:r w:rsidRPr="00AB750D">
        <w:t>2.</w:t>
      </w:r>
      <w:r w:rsidRPr="00AB750D">
        <w:tab/>
        <w:t>According to Staff, the ESP</w:t>
      </w:r>
      <w:r>
        <w:t xml:space="preserve"> v. MRO</w:t>
      </w:r>
      <w:r w:rsidRPr="00AB750D">
        <w:t xml:space="preserve"> test is a wash, so the ESP embodied by the Settlement should be rejected.</w:t>
      </w:r>
      <w:bookmarkEnd w:id="19"/>
    </w:p>
    <w:p w:rsidR="002473D1" w:rsidP="00AB750D">
      <w:pPr>
        <w:pStyle w:val="BodyA"/>
        <w:spacing w:line="480" w:lineRule="auto"/>
        <w:ind w:firstLine="720"/>
        <w:rPr>
          <w:rFonts w:hAnsi="Times New Roman" w:cs="Times New Roman"/>
        </w:rPr>
      </w:pPr>
      <w:r w:rsidRPr="00AB750D">
        <w:rPr>
          <w:rFonts w:hAnsi="Times New Roman" w:cs="Times New Roman"/>
        </w:rPr>
        <w:t xml:space="preserve">Under R.C. 4928.143(C)(1), AEP must show that the ESP embodied in the Settlement is </w:t>
      </w:r>
      <w:r w:rsidRPr="00AB750D">
        <w:rPr>
          <w:rFonts w:hAnsi="Times New Roman" w:cs="Times New Roman"/>
          <w:i/>
        </w:rPr>
        <w:t xml:space="preserve">more </w:t>
      </w:r>
      <w:r w:rsidRPr="00AB750D">
        <w:rPr>
          <w:rFonts w:hAnsi="Times New Roman" w:cs="Times New Roman"/>
        </w:rPr>
        <w:t xml:space="preserve">favorable than an MRO.  Staff itself testified that many of the “big ticket items” – the SCR, PowerForward Rider, DIR – are “washes” under the test because they are available under an ESP </w:t>
      </w:r>
      <w:r w:rsidRPr="00AB750D">
        <w:rPr>
          <w:rFonts w:hAnsi="Times New Roman" w:cs="Times New Roman"/>
          <w:i/>
        </w:rPr>
        <w:t>and</w:t>
      </w:r>
      <w:r w:rsidRPr="00AB750D">
        <w:rPr>
          <w:rFonts w:hAnsi="Times New Roman" w:cs="Times New Roman"/>
        </w:rPr>
        <w:t xml:space="preserve"> an MRO plus distribution base rate case.</w:t>
      </w:r>
      <w:r>
        <w:rPr>
          <w:rStyle w:val="FootnoteReference"/>
          <w:rFonts w:hAnsi="Times New Roman" w:cs="Times New Roman"/>
        </w:rPr>
        <w:footnoteReference w:id="147"/>
      </w:r>
      <w:r w:rsidRPr="00AB750D">
        <w:rPr>
          <w:rFonts w:hAnsi="Times New Roman" w:cs="Times New Roman"/>
        </w:rPr>
        <w:t xml:space="preserve"> </w:t>
      </w:r>
      <w:r>
        <w:rPr>
          <w:rFonts w:hAnsi="Times New Roman" w:cs="Times New Roman"/>
        </w:rPr>
        <w:t xml:space="preserve"> </w:t>
      </w:r>
      <w:r w:rsidRPr="00AB750D">
        <w:rPr>
          <w:rFonts w:hAnsi="Times New Roman" w:cs="Times New Roman"/>
        </w:rPr>
        <w:t xml:space="preserve">Such a comparison should be rejected.  R.C. 4928.143(C)(1) does not call for a comparison of an ESP and an MRO plus distribution base rate case.  It calls for a comparison between an ESP and the expected results under an MRO – alone. </w:t>
      </w:r>
      <w:r>
        <w:rPr>
          <w:rFonts w:hAnsi="Times New Roman" w:cs="Times New Roman"/>
        </w:rPr>
        <w:t xml:space="preserve">And an MRO is nothing more than the "standard service offer price for retail electric generation service that is delivered to the utility under a market rate offer."  R.C. 4928.142(A).  </w:t>
      </w:r>
    </w:p>
    <w:p w:rsidR="00AB750D" w:rsidRPr="00AB750D" w:rsidP="00AB750D">
      <w:pPr>
        <w:pStyle w:val="BodyA"/>
        <w:spacing w:line="480" w:lineRule="auto"/>
        <w:ind w:firstLine="720"/>
        <w:rPr>
          <w:rFonts w:hAnsi="Times New Roman" w:cs="Times New Roman"/>
        </w:rPr>
      </w:pPr>
      <w:r w:rsidRPr="00AB750D">
        <w:rPr>
          <w:rFonts w:hAnsi="Times New Roman" w:cs="Times New Roman"/>
        </w:rPr>
        <w:t xml:space="preserve"> But of course Staff and AEP have</w:t>
      </w:r>
      <w:r>
        <w:rPr>
          <w:rFonts w:hAnsi="Times New Roman" w:cs="Times New Roman"/>
        </w:rPr>
        <w:t xml:space="preserve"> claim they</w:t>
      </w:r>
      <w:r w:rsidRPr="00AB750D">
        <w:rPr>
          <w:rFonts w:hAnsi="Times New Roman" w:cs="Times New Roman"/>
        </w:rPr>
        <w:t xml:space="preserve"> </w:t>
      </w:r>
      <w:r>
        <w:rPr>
          <w:rFonts w:hAnsi="Times New Roman" w:cs="Times New Roman"/>
        </w:rPr>
        <w:t>found a way around the statute so that the ESP wins out.  The way they have done so is to argue that the ESP add-ons could be considered in a</w:t>
      </w:r>
      <w:r w:rsidRPr="00AB750D">
        <w:rPr>
          <w:rFonts w:hAnsi="Times New Roman" w:cs="Times New Roman"/>
        </w:rPr>
        <w:t xml:space="preserve"> distribution rate</w:t>
      </w:r>
      <w:r>
        <w:rPr>
          <w:rFonts w:hAnsi="Times New Roman" w:cs="Times New Roman"/>
        </w:rPr>
        <w:t xml:space="preserve"> case.</w:t>
      </w:r>
      <w:r>
        <w:rPr>
          <w:rStyle w:val="FootnoteReference"/>
          <w:rFonts w:hAnsi="Times New Roman" w:cs="Times New Roman"/>
        </w:rPr>
        <w:footnoteReference w:id="148"/>
      </w:r>
      <w:r w:rsidRPr="00AB750D">
        <w:rPr>
          <w:rFonts w:hAnsi="Times New Roman" w:cs="Times New Roman"/>
        </w:rPr>
        <w:t xml:space="preserve">  Such mental gymnastics should be rejected, the law should be followed, and the ESP embodied by the Settlement rejected.</w:t>
      </w:r>
      <w:r>
        <w:rPr>
          <w:rFonts w:hAnsi="Times New Roman" w:cs="Times New Roman"/>
        </w:rPr>
        <w:t xml:space="preserve">  </w:t>
      </w:r>
    </w:p>
    <w:p w:rsidR="00AB750D" w:rsidRPr="00AB750D" w:rsidP="004130FA">
      <w:pPr>
        <w:tabs>
          <w:tab w:val="left" w:pos="720"/>
        </w:tabs>
        <w:spacing w:line="480" w:lineRule="auto"/>
        <w:rPr>
          <w:rFonts w:ascii="Times New Roman" w:hAnsi="Times New Roman" w:cs="Times New Roman"/>
          <w:color w:val="000000"/>
          <w:sz w:val="24"/>
          <w:szCs w:val="24"/>
          <w:u w:color="000000"/>
        </w:rPr>
      </w:pPr>
      <w:r w:rsidRPr="00AB750D">
        <w:rPr>
          <w:rFonts w:ascii="Times New Roman" w:hAnsi="Times New Roman" w:cs="Times New Roman"/>
          <w:sz w:val="24"/>
          <w:szCs w:val="24"/>
        </w:rPr>
        <w:tab/>
        <w:t xml:space="preserve">But Staff and AEP must be hoisted by their own petard.  If the PUCO does make the comparison between an ESP and an MRO plus a </w:t>
      </w:r>
      <w:r>
        <w:rPr>
          <w:rFonts w:ascii="Times New Roman" w:hAnsi="Times New Roman" w:cs="Times New Roman"/>
          <w:sz w:val="24"/>
          <w:szCs w:val="24"/>
        </w:rPr>
        <w:t xml:space="preserve">distribution </w:t>
      </w:r>
      <w:r w:rsidRPr="00AB750D">
        <w:rPr>
          <w:rFonts w:ascii="Times New Roman" w:hAnsi="Times New Roman" w:cs="Times New Roman"/>
          <w:sz w:val="24"/>
          <w:szCs w:val="24"/>
        </w:rPr>
        <w:t>base rate case, the ESP embodied by the Settlement still fails the test.  All the big ticket items are a “wash,” according to Staff.</w:t>
      </w:r>
      <w:r>
        <w:rPr>
          <w:rStyle w:val="FootnoteReference"/>
          <w:rFonts w:ascii="Times New Roman" w:hAnsi="Times New Roman" w:cs="Times New Roman"/>
          <w:sz w:val="24"/>
          <w:szCs w:val="24"/>
        </w:rPr>
        <w:footnoteReference w:id="149"/>
      </w:r>
      <w:r w:rsidRPr="00AB75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B750D">
        <w:rPr>
          <w:rFonts w:ascii="Times New Roman" w:hAnsi="Times New Roman" w:cs="Times New Roman"/>
          <w:sz w:val="24"/>
          <w:szCs w:val="24"/>
        </w:rPr>
        <w:t>What tips the balance in favor of the ESP embodied by the Settlement, according to Staff, is the Residential Distribution Credit Rider and the Neighbor-to-Neighbor program.</w:t>
      </w:r>
      <w:r>
        <w:rPr>
          <w:rStyle w:val="FootnoteReference"/>
          <w:rFonts w:ascii="Times New Roman" w:hAnsi="Times New Roman" w:cs="Times New Roman"/>
          <w:sz w:val="24"/>
          <w:szCs w:val="24"/>
        </w:rPr>
        <w:footnoteReference w:id="150"/>
      </w:r>
      <w:r w:rsidRPr="00AB750D">
        <w:rPr>
          <w:rFonts w:ascii="Times New Roman" w:hAnsi="Times New Roman" w:cs="Times New Roman"/>
          <w:sz w:val="24"/>
          <w:szCs w:val="24"/>
        </w:rPr>
        <w:t xml:space="preserve">  </w:t>
      </w:r>
      <w:r w:rsidRPr="00AB750D">
        <w:rPr>
          <w:rFonts w:ascii="Times New Roman" w:hAnsi="Times New Roman" w:cs="Times New Roman"/>
          <w:i/>
          <w:sz w:val="24"/>
          <w:szCs w:val="24"/>
        </w:rPr>
        <w:t>But Staff admitted that both programs are available under a MRO plus a base rate distribution case.</w:t>
      </w:r>
      <w:r>
        <w:rPr>
          <w:rStyle w:val="FootnoteReference"/>
          <w:rFonts w:ascii="Times New Roman" w:hAnsi="Times New Roman" w:cs="Times New Roman"/>
          <w:color w:val="000000"/>
          <w:sz w:val="24"/>
          <w:szCs w:val="24"/>
          <w:u w:color="000000"/>
        </w:rPr>
        <w:footnoteReference w:id="151"/>
      </w:r>
      <w:r w:rsidRPr="00AB750D">
        <w:rPr>
          <w:rFonts w:ascii="Times New Roman" w:hAnsi="Times New Roman" w:cs="Times New Roman"/>
          <w:i/>
          <w:sz w:val="24"/>
          <w:szCs w:val="24"/>
        </w:rPr>
        <w:t xml:space="preserve">  </w:t>
      </w:r>
      <w:r w:rsidRPr="00AB750D">
        <w:rPr>
          <w:rFonts w:ascii="Times New Roman" w:hAnsi="Times New Roman" w:cs="Times New Roman"/>
          <w:sz w:val="24"/>
          <w:szCs w:val="24"/>
        </w:rPr>
        <w:t xml:space="preserve">Thus, following Staff’s logic, the ESP v. MRO test is a “wash” in its entirety.  The ESP embodied by the Settlement and the expected results of a MRO plus a distribution base rate case are equal.  Under R.C. 4928.143(C)(1) the ESP embodied by the Settlement must be rejected, because it is not </w:t>
      </w:r>
      <w:r w:rsidRPr="00AB750D">
        <w:rPr>
          <w:rFonts w:ascii="Times New Roman" w:hAnsi="Times New Roman" w:cs="Times New Roman"/>
          <w:i/>
          <w:sz w:val="24"/>
          <w:szCs w:val="24"/>
        </w:rPr>
        <w:t xml:space="preserve">more </w:t>
      </w:r>
      <w:r w:rsidRPr="00AB750D">
        <w:rPr>
          <w:rFonts w:ascii="Times New Roman" w:hAnsi="Times New Roman" w:cs="Times New Roman"/>
          <w:sz w:val="24"/>
          <w:szCs w:val="24"/>
        </w:rPr>
        <w:t xml:space="preserve">favorable in the aggregate.  </w:t>
      </w:r>
    </w:p>
    <w:p w:rsidR="00AB750D" w:rsidRPr="00AB750D" w:rsidP="00473DBE">
      <w:pPr>
        <w:pStyle w:val="Heading1"/>
      </w:pPr>
      <w:bookmarkStart w:id="20" w:name="_Toc501633046"/>
      <w:r w:rsidRPr="00AB750D">
        <w:t>III.</w:t>
      </w:r>
      <w:r w:rsidRPr="00AB750D">
        <w:tab/>
        <w:t>CONCLUSION</w:t>
      </w:r>
      <w:bookmarkEnd w:id="20"/>
    </w:p>
    <w:p w:rsidR="00AB750D" w:rsidRPr="00AB750D" w:rsidP="0081290D">
      <w:pPr>
        <w:tabs>
          <w:tab w:val="left" w:pos="720"/>
        </w:tabs>
        <w:spacing w:line="480" w:lineRule="auto"/>
        <w:rPr>
          <w:rFonts w:ascii="Times New Roman" w:hAnsi="Times New Roman" w:cs="Times New Roman"/>
          <w:sz w:val="24"/>
          <w:szCs w:val="24"/>
        </w:rPr>
      </w:pPr>
      <w:r w:rsidRPr="00AB750D">
        <w:rPr>
          <w:rFonts w:ascii="Times New Roman" w:hAnsi="Times New Roman" w:cs="Times New Roman"/>
          <w:b/>
          <w:sz w:val="24"/>
          <w:szCs w:val="24"/>
        </w:rPr>
        <w:tab/>
      </w:r>
      <w:r w:rsidRPr="00AB750D">
        <w:rPr>
          <w:rFonts w:ascii="Times New Roman" w:hAnsi="Times New Roman" w:cs="Times New Roman"/>
          <w:sz w:val="24"/>
          <w:szCs w:val="24"/>
        </w:rPr>
        <w:t xml:space="preserve">Under its own test, the PUCO reviews a settlement as a package. </w:t>
      </w:r>
      <w:r>
        <w:rPr>
          <w:rFonts w:ascii="Times New Roman" w:hAnsi="Times New Roman" w:cs="Times New Roman"/>
          <w:sz w:val="24"/>
          <w:szCs w:val="24"/>
        </w:rPr>
        <w:t xml:space="preserve"> </w:t>
      </w:r>
      <w:r w:rsidRPr="00AB750D">
        <w:rPr>
          <w:rFonts w:ascii="Times New Roman" w:hAnsi="Times New Roman" w:cs="Times New Roman"/>
          <w:sz w:val="24"/>
          <w:szCs w:val="24"/>
        </w:rPr>
        <w:t xml:space="preserve">The programs in this Settlement do not benefit customers or the public interest. </w:t>
      </w:r>
      <w:r>
        <w:rPr>
          <w:rFonts w:ascii="Times New Roman" w:hAnsi="Times New Roman" w:cs="Times New Roman"/>
          <w:sz w:val="24"/>
          <w:szCs w:val="24"/>
        </w:rPr>
        <w:t xml:space="preserve"> </w:t>
      </w:r>
      <w:r w:rsidRPr="00AB750D">
        <w:rPr>
          <w:rFonts w:ascii="Times New Roman" w:hAnsi="Times New Roman" w:cs="Times New Roman"/>
          <w:sz w:val="24"/>
          <w:szCs w:val="24"/>
        </w:rPr>
        <w:t xml:space="preserve">The Settlement contains numerous programs about which there are no details – including </w:t>
      </w:r>
      <w:r>
        <w:rPr>
          <w:rFonts w:ascii="Times New Roman" w:hAnsi="Times New Roman" w:cs="Times New Roman"/>
          <w:sz w:val="24"/>
          <w:szCs w:val="24"/>
        </w:rPr>
        <w:t xml:space="preserve">how much the programs will cost customers. </w:t>
      </w:r>
      <w:r w:rsidRPr="00AB750D">
        <w:rPr>
          <w:rFonts w:ascii="Times New Roman" w:hAnsi="Times New Roman" w:cs="Times New Roman"/>
          <w:sz w:val="24"/>
          <w:szCs w:val="24"/>
        </w:rPr>
        <w:t xml:space="preserve"> Instead, the Settlement gives generous handouts to signatory parties at the expense of AEP’s customers</w:t>
      </w:r>
      <w:r>
        <w:rPr>
          <w:rFonts w:ascii="Times New Roman" w:hAnsi="Times New Roman" w:cs="Times New Roman"/>
          <w:sz w:val="24"/>
          <w:szCs w:val="24"/>
        </w:rPr>
        <w:t xml:space="preserve">, who end up paying in whole or part for those handouts.  </w:t>
      </w:r>
      <w:r w:rsidRPr="00AB750D">
        <w:rPr>
          <w:rFonts w:ascii="Times New Roman" w:hAnsi="Times New Roman" w:cs="Times New Roman"/>
          <w:sz w:val="24"/>
          <w:szCs w:val="24"/>
        </w:rPr>
        <w:t xml:space="preserve">As a result (and not surprisingly), AEP fails to meet its burden of proof that these programs benefit anyone other than the signatory parties. </w:t>
      </w:r>
      <w:r>
        <w:rPr>
          <w:rFonts w:ascii="Times New Roman" w:hAnsi="Times New Roman" w:cs="Times New Roman"/>
          <w:sz w:val="24"/>
          <w:szCs w:val="24"/>
        </w:rPr>
        <w:t xml:space="preserve"> </w:t>
      </w:r>
      <w:r w:rsidRPr="00AB750D">
        <w:rPr>
          <w:rFonts w:ascii="Times New Roman" w:hAnsi="Times New Roman" w:cs="Times New Roman"/>
          <w:sz w:val="24"/>
          <w:szCs w:val="24"/>
        </w:rPr>
        <w:t xml:space="preserve">The Settlement </w:t>
      </w:r>
      <w:r>
        <w:rPr>
          <w:rFonts w:ascii="Times New Roman" w:hAnsi="Times New Roman" w:cs="Times New Roman"/>
          <w:sz w:val="24"/>
          <w:szCs w:val="24"/>
        </w:rPr>
        <w:t xml:space="preserve">also requires the PUCO to forego its </w:t>
      </w:r>
      <w:r w:rsidRPr="00AB750D">
        <w:rPr>
          <w:rFonts w:ascii="Times New Roman" w:hAnsi="Times New Roman" w:cs="Times New Roman"/>
          <w:sz w:val="24"/>
          <w:szCs w:val="24"/>
        </w:rPr>
        <w:t xml:space="preserve"> regulatory oversight</w:t>
      </w:r>
      <w:r>
        <w:rPr>
          <w:rFonts w:ascii="Times New Roman" w:hAnsi="Times New Roman" w:cs="Times New Roman"/>
          <w:sz w:val="24"/>
          <w:szCs w:val="24"/>
        </w:rPr>
        <w:t xml:space="preserve"> that would otherwise occur in a </w:t>
      </w:r>
      <w:r w:rsidRPr="00AB750D">
        <w:rPr>
          <w:rFonts w:ascii="Times New Roman" w:hAnsi="Times New Roman" w:cs="Times New Roman"/>
          <w:sz w:val="24"/>
          <w:szCs w:val="24"/>
        </w:rPr>
        <w:t>distribution case</w:t>
      </w:r>
      <w:r>
        <w:rPr>
          <w:rFonts w:ascii="Times New Roman" w:hAnsi="Times New Roman" w:cs="Times New Roman"/>
          <w:sz w:val="24"/>
          <w:szCs w:val="24"/>
        </w:rPr>
        <w:t xml:space="preserve">, where all expenses and revenues are examined. </w:t>
      </w:r>
      <w:r w:rsidRPr="00AB750D">
        <w:rPr>
          <w:rFonts w:ascii="Times New Roman" w:hAnsi="Times New Roman" w:cs="Times New Roman"/>
          <w:sz w:val="24"/>
          <w:szCs w:val="24"/>
        </w:rPr>
        <w:t xml:space="preserve"> The settlement fails the MRO vs. ESP test established by the General Assembly. </w:t>
      </w:r>
      <w:r>
        <w:rPr>
          <w:rFonts w:ascii="Times New Roman" w:hAnsi="Times New Roman" w:cs="Times New Roman"/>
          <w:sz w:val="24"/>
          <w:szCs w:val="24"/>
        </w:rPr>
        <w:t xml:space="preserve"> </w:t>
      </w:r>
      <w:r w:rsidRPr="00AB750D">
        <w:rPr>
          <w:rFonts w:ascii="Times New Roman" w:hAnsi="Times New Roman" w:cs="Times New Roman"/>
          <w:sz w:val="24"/>
          <w:szCs w:val="24"/>
        </w:rPr>
        <w:t xml:space="preserve">The Settlement should not be approved. </w:t>
      </w:r>
    </w:p>
    <w:p w:rsidR="0081290D" w:rsidP="004130FA">
      <w:pPr>
        <w:tabs>
          <w:tab w:val="left" w:pos="720"/>
        </w:tabs>
        <w:spacing w:line="480" w:lineRule="auto"/>
        <w:ind w:right="720"/>
        <w:rPr>
          <w:rFonts w:ascii="Times New Roman" w:eastAsia="Arial Unicode MS" w:hAnsi="Times New Roman" w:cs="Times New Roman"/>
          <w:sz w:val="24"/>
          <w:szCs w:val="24"/>
          <w:bdr w:val="nil"/>
        </w:rPr>
      </w:pPr>
      <w:r w:rsidRPr="00AB750D">
        <w:rPr>
          <w:rFonts w:ascii="Times New Roman" w:hAnsi="Times New Roman" w:cs="Times New Roman"/>
          <w:sz w:val="24"/>
          <w:szCs w:val="24"/>
        </w:rPr>
        <w:tab/>
        <w:t xml:space="preserve"> </w:t>
      </w:r>
      <w:bookmarkEnd w:id="2"/>
      <w:r w:rsidRPr="00AB750D">
        <w:rPr>
          <w:rFonts w:ascii="Times New Roman" w:eastAsia="Arial Unicode MS" w:hAnsi="Times New Roman" w:cs="Times New Roman"/>
          <w:sz w:val="24"/>
          <w:szCs w:val="24"/>
          <w:bdr w:val="nil"/>
        </w:rPr>
        <w:tab/>
      </w:r>
      <w:r w:rsidRPr="00AB750D">
        <w:rPr>
          <w:rFonts w:ascii="Times New Roman" w:eastAsia="Arial Unicode MS" w:hAnsi="Times New Roman" w:cs="Times New Roman"/>
          <w:sz w:val="24"/>
          <w:szCs w:val="24"/>
          <w:bdr w:val="nil"/>
        </w:rPr>
        <w:tab/>
      </w:r>
      <w:r w:rsidRPr="00AB750D">
        <w:rPr>
          <w:rFonts w:ascii="Times New Roman" w:eastAsia="Arial Unicode MS" w:hAnsi="Times New Roman" w:cs="Times New Roman"/>
          <w:sz w:val="24"/>
          <w:szCs w:val="24"/>
          <w:bdr w:val="nil"/>
        </w:rPr>
        <w:tab/>
      </w:r>
      <w:r w:rsidRPr="00AB750D">
        <w:rPr>
          <w:rFonts w:ascii="Times New Roman" w:eastAsia="Arial Unicode MS" w:hAnsi="Times New Roman" w:cs="Times New Roman"/>
          <w:sz w:val="24"/>
          <w:szCs w:val="24"/>
          <w:bdr w:val="nil"/>
        </w:rPr>
        <w:tab/>
      </w:r>
      <w:r w:rsidRPr="00AB750D">
        <w:rPr>
          <w:rFonts w:ascii="Times New Roman" w:eastAsia="Arial Unicode MS" w:hAnsi="Times New Roman" w:cs="Times New Roman"/>
          <w:sz w:val="24"/>
          <w:szCs w:val="24"/>
          <w:bdr w:val="nil"/>
        </w:rPr>
        <w:tab/>
      </w:r>
    </w:p>
    <w:p w:rsidR="005A4BC3" w:rsidRPr="00AB750D" w:rsidP="0081290D">
      <w:pPr>
        <w:rPr>
          <w:rFonts w:ascii="Times New Roman" w:hAnsi="Times New Roman" w:cs="Times New Roman"/>
          <w:color w:val="3D3D3D"/>
          <w:sz w:val="24"/>
          <w:szCs w:val="24"/>
        </w:rPr>
      </w:pPr>
      <w:r>
        <w:rPr>
          <w:rFonts w:ascii="Times New Roman" w:eastAsia="Arial Unicode MS" w:hAnsi="Times New Roman" w:cs="Times New Roman"/>
          <w:sz w:val="24"/>
          <w:szCs w:val="24"/>
          <w:bdr w:val="nil"/>
        </w:rPr>
        <w:br w:type="page"/>
      </w:r>
      <w:r>
        <w:rPr>
          <w:rFonts w:ascii="Times New Roman" w:hAnsi="Times New Roman" w:cs="Times New Roman"/>
          <w:color w:val="3D3D3D"/>
          <w:sz w:val="24"/>
          <w:szCs w:val="24"/>
        </w:rPr>
        <w:tab/>
      </w:r>
      <w:r>
        <w:rPr>
          <w:rFonts w:ascii="Times New Roman" w:hAnsi="Times New Roman" w:cs="Times New Roman"/>
          <w:color w:val="3D3D3D"/>
          <w:sz w:val="24"/>
          <w:szCs w:val="24"/>
        </w:rPr>
        <w:tab/>
      </w:r>
      <w:r>
        <w:rPr>
          <w:rFonts w:ascii="Times New Roman" w:hAnsi="Times New Roman" w:cs="Times New Roman"/>
          <w:color w:val="3D3D3D"/>
          <w:sz w:val="24"/>
          <w:szCs w:val="24"/>
        </w:rPr>
        <w:tab/>
      </w:r>
      <w:r>
        <w:rPr>
          <w:rFonts w:ascii="Times New Roman" w:hAnsi="Times New Roman" w:cs="Times New Roman"/>
          <w:color w:val="3D3D3D"/>
          <w:sz w:val="24"/>
          <w:szCs w:val="24"/>
        </w:rPr>
        <w:tab/>
      </w:r>
      <w:r>
        <w:rPr>
          <w:rFonts w:ascii="Times New Roman" w:hAnsi="Times New Roman" w:cs="Times New Roman"/>
          <w:color w:val="3D3D3D"/>
          <w:sz w:val="24"/>
          <w:szCs w:val="24"/>
        </w:rPr>
        <w:tab/>
      </w:r>
      <w:r>
        <w:rPr>
          <w:rFonts w:ascii="Times New Roman" w:hAnsi="Times New Roman" w:cs="Times New Roman"/>
          <w:color w:val="3D3D3D"/>
          <w:sz w:val="24"/>
          <w:szCs w:val="24"/>
        </w:rPr>
        <w:tab/>
      </w:r>
      <w:r w:rsidRPr="00AB750D">
        <w:rPr>
          <w:rFonts w:ascii="Times New Roman" w:hAnsi="Times New Roman" w:cs="Times New Roman"/>
          <w:color w:val="3D3D3D"/>
          <w:sz w:val="24"/>
          <w:szCs w:val="24"/>
        </w:rPr>
        <w:t>Respectfully submitted,</w:t>
      </w:r>
    </w:p>
    <w:p w:rsidR="005A4BC3" w:rsidRPr="00AB750D" w:rsidP="005A4BC3">
      <w:pPr>
        <w:spacing w:after="0" w:line="240" w:lineRule="auto"/>
        <w:ind w:left="4320"/>
        <w:rPr>
          <w:rFonts w:ascii="Times New Roman" w:hAnsi="Times New Roman" w:cs="Times New Roman"/>
          <w:sz w:val="24"/>
          <w:szCs w:val="24"/>
        </w:rPr>
      </w:pPr>
      <w:r w:rsidRPr="00AB750D">
        <w:rPr>
          <w:rFonts w:ascii="Times New Roman" w:hAnsi="Times New Roman" w:cs="Times New Roman"/>
          <w:sz w:val="24"/>
          <w:szCs w:val="24"/>
        </w:rPr>
        <w:t>BRUCE WESTON (0016973)</w:t>
      </w:r>
    </w:p>
    <w:p w:rsidR="005A4BC3" w:rsidRPr="00AB750D" w:rsidP="005A4BC3">
      <w:pPr>
        <w:spacing w:after="0" w:line="240" w:lineRule="auto"/>
        <w:ind w:left="4320"/>
        <w:rPr>
          <w:rFonts w:ascii="Times New Roman" w:hAnsi="Times New Roman" w:cs="Times New Roman"/>
          <w:sz w:val="24"/>
          <w:szCs w:val="24"/>
        </w:rPr>
      </w:pPr>
      <w:r w:rsidRPr="00AB750D">
        <w:rPr>
          <w:rFonts w:ascii="Times New Roman" w:hAnsi="Times New Roman" w:cs="Times New Roman"/>
          <w:sz w:val="24"/>
          <w:szCs w:val="24"/>
        </w:rPr>
        <w:t>OHIO CONSUMERS’ COUNSEL</w:t>
      </w:r>
    </w:p>
    <w:p w:rsidR="005A4BC3" w:rsidRPr="00AB750D" w:rsidP="005A4BC3">
      <w:pPr>
        <w:spacing w:after="0" w:line="240" w:lineRule="auto"/>
        <w:ind w:left="4320"/>
        <w:rPr>
          <w:rFonts w:ascii="Times New Roman" w:hAnsi="Times New Roman" w:cs="Times New Roman"/>
          <w:sz w:val="24"/>
          <w:szCs w:val="24"/>
        </w:rPr>
      </w:pPr>
      <w:r w:rsidRPr="00AB750D">
        <w:rPr>
          <w:rFonts w:ascii="Times New Roman" w:hAnsi="Times New Roman" w:cs="Times New Roman"/>
          <w:sz w:val="24"/>
          <w:szCs w:val="24"/>
        </w:rPr>
        <w:tab/>
      </w:r>
    </w:p>
    <w:p w:rsidR="005A4BC3" w:rsidRPr="00AB750D" w:rsidP="005A4BC3">
      <w:pPr>
        <w:spacing w:after="0" w:line="240" w:lineRule="auto"/>
        <w:ind w:left="4320"/>
        <w:rPr>
          <w:rFonts w:ascii="Times New Roman" w:hAnsi="Times New Roman" w:cs="Times New Roman"/>
          <w:i/>
          <w:sz w:val="24"/>
          <w:szCs w:val="24"/>
          <w:u w:val="single"/>
        </w:rPr>
      </w:pPr>
      <w:r w:rsidRPr="00AB750D">
        <w:rPr>
          <w:rFonts w:ascii="Times New Roman" w:hAnsi="Times New Roman" w:cs="Times New Roman"/>
          <w:i/>
          <w:sz w:val="24"/>
          <w:szCs w:val="24"/>
          <w:u w:val="single"/>
        </w:rPr>
        <w:t>/s/ William J. Michael</w:t>
      </w:r>
    </w:p>
    <w:p w:rsidR="005A4BC3" w:rsidRPr="00AB750D" w:rsidP="005A4BC3">
      <w:pPr>
        <w:spacing w:after="0" w:line="240" w:lineRule="auto"/>
        <w:ind w:left="4320"/>
        <w:rPr>
          <w:rFonts w:ascii="Times New Roman" w:hAnsi="Times New Roman" w:cs="Times New Roman"/>
          <w:sz w:val="24"/>
          <w:szCs w:val="24"/>
        </w:rPr>
      </w:pPr>
      <w:r w:rsidRPr="00AB750D">
        <w:rPr>
          <w:rFonts w:ascii="Times New Roman" w:hAnsi="Times New Roman" w:cs="Times New Roman"/>
          <w:sz w:val="24"/>
          <w:szCs w:val="24"/>
        </w:rPr>
        <w:t>William J. Michael (0070921)</w:t>
      </w:r>
    </w:p>
    <w:p w:rsidR="005A4BC3" w:rsidRPr="00AB750D" w:rsidP="005A4BC3">
      <w:pPr>
        <w:spacing w:after="0" w:line="240" w:lineRule="auto"/>
        <w:ind w:left="4320"/>
        <w:rPr>
          <w:rFonts w:ascii="Times New Roman" w:hAnsi="Times New Roman" w:cs="Times New Roman"/>
          <w:sz w:val="24"/>
          <w:szCs w:val="24"/>
        </w:rPr>
      </w:pPr>
      <w:r w:rsidRPr="00AB750D">
        <w:rPr>
          <w:rFonts w:ascii="Times New Roman" w:hAnsi="Times New Roman" w:cs="Times New Roman"/>
          <w:sz w:val="24"/>
          <w:szCs w:val="24"/>
        </w:rPr>
        <w:t>Counsel of Record</w:t>
      </w:r>
    </w:p>
    <w:p w:rsidR="005A4BC3" w:rsidRPr="00AB750D" w:rsidP="005A4BC3">
      <w:pPr>
        <w:spacing w:after="0" w:line="240" w:lineRule="auto"/>
        <w:ind w:left="4320"/>
        <w:rPr>
          <w:rFonts w:ascii="Times New Roman" w:hAnsi="Times New Roman" w:cs="Times New Roman"/>
          <w:sz w:val="24"/>
          <w:szCs w:val="24"/>
        </w:rPr>
      </w:pPr>
      <w:r w:rsidRPr="00AB750D">
        <w:rPr>
          <w:rFonts w:ascii="Times New Roman" w:hAnsi="Times New Roman" w:cs="Times New Roman"/>
          <w:sz w:val="24"/>
          <w:szCs w:val="24"/>
        </w:rPr>
        <w:t>Kevin F. Moore (0089228)</w:t>
      </w:r>
    </w:p>
    <w:p w:rsidR="005A4BC3" w:rsidRPr="00AB750D" w:rsidP="005A4BC3">
      <w:pPr>
        <w:spacing w:after="0" w:line="240" w:lineRule="auto"/>
        <w:ind w:left="4320"/>
        <w:rPr>
          <w:rFonts w:ascii="Times New Roman" w:hAnsi="Times New Roman" w:cs="Times New Roman"/>
          <w:sz w:val="24"/>
          <w:szCs w:val="24"/>
        </w:rPr>
      </w:pPr>
      <w:r w:rsidRPr="00AB750D">
        <w:rPr>
          <w:rFonts w:ascii="Times New Roman" w:hAnsi="Times New Roman" w:cs="Times New Roman"/>
          <w:sz w:val="24"/>
          <w:szCs w:val="24"/>
        </w:rPr>
        <w:t>Assistant Consumers’ Counsel</w:t>
      </w:r>
    </w:p>
    <w:p w:rsidR="005A4BC3" w:rsidRPr="00AB750D" w:rsidP="005A4BC3">
      <w:pPr>
        <w:spacing w:after="0" w:line="240" w:lineRule="auto"/>
        <w:ind w:left="4320"/>
        <w:rPr>
          <w:rFonts w:ascii="Times New Roman" w:hAnsi="Times New Roman" w:cs="Times New Roman"/>
          <w:sz w:val="24"/>
          <w:szCs w:val="24"/>
        </w:rPr>
      </w:pPr>
    </w:p>
    <w:p w:rsidR="005A4BC3" w:rsidRPr="00AB750D" w:rsidP="005A4BC3">
      <w:pPr>
        <w:spacing w:after="0" w:line="240" w:lineRule="auto"/>
        <w:ind w:left="4320"/>
        <w:rPr>
          <w:rFonts w:ascii="Times New Roman" w:hAnsi="Times New Roman" w:cs="Times New Roman"/>
          <w:b/>
          <w:sz w:val="24"/>
          <w:szCs w:val="24"/>
        </w:rPr>
      </w:pPr>
      <w:r w:rsidRPr="00AB750D">
        <w:rPr>
          <w:rFonts w:ascii="Times New Roman" w:hAnsi="Times New Roman" w:cs="Times New Roman"/>
          <w:b/>
          <w:sz w:val="24"/>
          <w:szCs w:val="24"/>
        </w:rPr>
        <w:t>Office of the Ohio Consumers’ Counsel</w:t>
      </w:r>
    </w:p>
    <w:p w:rsidR="005A4BC3" w:rsidRPr="00AB750D" w:rsidP="005A4BC3">
      <w:pPr>
        <w:spacing w:after="0" w:line="240" w:lineRule="auto"/>
        <w:ind w:left="4320"/>
        <w:rPr>
          <w:rFonts w:ascii="Times New Roman" w:hAnsi="Times New Roman" w:cs="Times New Roman"/>
          <w:sz w:val="24"/>
          <w:szCs w:val="24"/>
        </w:rPr>
      </w:pPr>
      <w:r>
        <w:rPr>
          <w:rFonts w:ascii="Times New Roman" w:hAnsi="Times New Roman" w:cs="Times New Roman"/>
          <w:sz w:val="24"/>
          <w:szCs w:val="24"/>
        </w:rPr>
        <w:t>65 East State Street, 7</w:t>
      </w:r>
      <w:r w:rsidRPr="0081290D">
        <w:rPr>
          <w:rFonts w:ascii="Times New Roman" w:hAnsi="Times New Roman" w:cs="Times New Roman"/>
          <w:sz w:val="24"/>
          <w:szCs w:val="24"/>
          <w:vertAlign w:val="superscript"/>
        </w:rPr>
        <w:t>th</w:t>
      </w:r>
      <w:r>
        <w:rPr>
          <w:rFonts w:ascii="Times New Roman" w:hAnsi="Times New Roman" w:cs="Times New Roman"/>
          <w:sz w:val="24"/>
          <w:szCs w:val="24"/>
        </w:rPr>
        <w:t xml:space="preserve"> Floor</w:t>
      </w:r>
    </w:p>
    <w:p w:rsidR="005A4BC3" w:rsidRPr="00AB750D" w:rsidP="005A4BC3">
      <w:pPr>
        <w:spacing w:after="0" w:line="240" w:lineRule="auto"/>
        <w:ind w:left="4320"/>
        <w:rPr>
          <w:rFonts w:ascii="Times New Roman" w:hAnsi="Times New Roman" w:cs="Times New Roman"/>
          <w:sz w:val="24"/>
          <w:szCs w:val="24"/>
        </w:rPr>
      </w:pPr>
      <w:r>
        <w:rPr>
          <w:rFonts w:ascii="Times New Roman" w:hAnsi="Times New Roman" w:cs="Times New Roman"/>
          <w:sz w:val="24"/>
          <w:szCs w:val="24"/>
        </w:rPr>
        <w:t>Columbus, Ohio 43215</w:t>
      </w:r>
    </w:p>
    <w:p w:rsidR="005A4BC3" w:rsidRPr="00AB750D" w:rsidP="005A4BC3">
      <w:pPr>
        <w:spacing w:after="0" w:line="240" w:lineRule="auto"/>
        <w:ind w:left="4320"/>
        <w:rPr>
          <w:rFonts w:ascii="Times New Roman" w:hAnsi="Times New Roman" w:cs="Times New Roman"/>
          <w:sz w:val="24"/>
          <w:szCs w:val="24"/>
        </w:rPr>
      </w:pPr>
      <w:r w:rsidRPr="00AB750D">
        <w:rPr>
          <w:rFonts w:ascii="Times New Roman" w:hAnsi="Times New Roman" w:cs="Times New Roman"/>
          <w:sz w:val="24"/>
          <w:szCs w:val="24"/>
        </w:rPr>
        <w:t>Telephone: 614-466-1291 (Michael Direct)</w:t>
      </w:r>
    </w:p>
    <w:p w:rsidR="005A4BC3" w:rsidRPr="00AB750D" w:rsidP="005A4BC3">
      <w:pPr>
        <w:spacing w:after="0" w:line="240" w:lineRule="auto"/>
        <w:ind w:left="4320"/>
        <w:rPr>
          <w:rFonts w:ascii="Times New Roman" w:hAnsi="Times New Roman" w:cs="Times New Roman"/>
          <w:sz w:val="24"/>
          <w:szCs w:val="24"/>
        </w:rPr>
      </w:pPr>
      <w:r w:rsidRPr="00AB750D">
        <w:rPr>
          <w:rFonts w:ascii="Times New Roman" w:hAnsi="Times New Roman" w:cs="Times New Roman"/>
          <w:sz w:val="24"/>
          <w:szCs w:val="24"/>
        </w:rPr>
        <w:t>Telephone: 614-387-2965 (Moore Direct)</w:t>
      </w:r>
    </w:p>
    <w:p w:rsidR="005A4BC3" w:rsidRPr="00AB750D" w:rsidP="005A4BC3">
      <w:pPr>
        <w:spacing w:after="0" w:line="240" w:lineRule="auto"/>
        <w:ind w:left="4320"/>
        <w:rPr>
          <w:rFonts w:ascii="Times New Roman" w:hAnsi="Times New Roman" w:cs="Times New Roman"/>
          <w:sz w:val="24"/>
          <w:szCs w:val="24"/>
        </w:rPr>
      </w:pPr>
      <w:r>
        <w:fldChar w:fldCharType="begin"/>
      </w:r>
      <w:r>
        <w:instrText xml:space="preserve"> HYPERLINK "mailto:William.michael@occ.ohio.gov" </w:instrText>
      </w:r>
      <w:r>
        <w:fldChar w:fldCharType="separate"/>
      </w:r>
      <w:r w:rsidRPr="00AB750D" w:rsidR="00E17404">
        <w:rPr>
          <w:rStyle w:val="Hyperlink"/>
          <w:rFonts w:ascii="Times New Roman" w:hAnsi="Times New Roman"/>
          <w:sz w:val="24"/>
          <w:szCs w:val="24"/>
        </w:rPr>
        <w:t>William.michael@occ.ohio.gov</w:t>
      </w:r>
      <w:r>
        <w:fldChar w:fldCharType="end"/>
      </w:r>
    </w:p>
    <w:p w:rsidR="005A4BC3" w:rsidRPr="00AB750D" w:rsidP="005A4BC3">
      <w:pPr>
        <w:spacing w:after="0" w:line="240" w:lineRule="auto"/>
        <w:ind w:left="4320"/>
        <w:rPr>
          <w:rFonts w:ascii="Times New Roman" w:hAnsi="Times New Roman" w:cs="Times New Roman"/>
          <w:sz w:val="24"/>
          <w:szCs w:val="24"/>
        </w:rPr>
      </w:pPr>
      <w:r>
        <w:fldChar w:fldCharType="begin"/>
      </w:r>
      <w:r>
        <w:instrText xml:space="preserve"> HYPERLINK "mailto:Kevin.moore@occ.ohio.gov" </w:instrText>
      </w:r>
      <w:r>
        <w:fldChar w:fldCharType="separate"/>
      </w:r>
      <w:r w:rsidRPr="00AB750D" w:rsidR="00E17404">
        <w:rPr>
          <w:rStyle w:val="Hyperlink"/>
          <w:rFonts w:ascii="Times New Roman" w:hAnsi="Times New Roman"/>
          <w:sz w:val="24"/>
          <w:szCs w:val="24"/>
        </w:rPr>
        <w:t>Kevin.moore@occ.ohio.gov</w:t>
      </w:r>
      <w:r>
        <w:fldChar w:fldCharType="end"/>
      </w:r>
    </w:p>
    <w:p w:rsidR="005A4BC3" w:rsidRPr="00AB750D" w:rsidP="005A4BC3">
      <w:pPr>
        <w:spacing w:after="0" w:line="240" w:lineRule="auto"/>
        <w:jc w:val="center"/>
        <w:rPr>
          <w:rFonts w:ascii="Times New Roman" w:eastAsia="Times New Roman" w:hAnsi="Times New Roman" w:cs="Times New Roman"/>
          <w:b/>
          <w:sz w:val="24"/>
          <w:szCs w:val="24"/>
        </w:rPr>
        <w:sectPr w:rsidSect="00A8537A">
          <w:headerReference w:type="default" r:id="rId15"/>
          <w:footerReference w:type="default" r:id="rId16"/>
          <w:pgSz w:w="12240" w:h="15840"/>
          <w:pgMar w:top="1152" w:right="1800" w:bottom="1008" w:left="1800" w:header="720" w:footer="720" w:gutter="0"/>
          <w:pgNumType w:start="2"/>
          <w:cols w:space="720"/>
          <w:docGrid w:linePitch="360"/>
        </w:sectPr>
      </w:pPr>
    </w:p>
    <w:p w:rsidR="005A4BC3" w:rsidRPr="00AB750D" w:rsidP="005A4BC3">
      <w:pPr>
        <w:spacing w:after="0" w:line="240" w:lineRule="auto"/>
        <w:jc w:val="center"/>
        <w:rPr>
          <w:rFonts w:ascii="Times New Roman" w:eastAsia="Times New Roman" w:hAnsi="Times New Roman" w:cs="Times New Roman"/>
          <w:b/>
          <w:sz w:val="24"/>
          <w:szCs w:val="24"/>
        </w:rPr>
      </w:pPr>
      <w:r w:rsidRPr="00AB750D">
        <w:rPr>
          <w:rFonts w:ascii="Times New Roman" w:eastAsia="Times New Roman" w:hAnsi="Times New Roman" w:cs="Times New Roman"/>
          <w:b/>
          <w:sz w:val="24"/>
          <w:szCs w:val="24"/>
        </w:rPr>
        <w:t>CERTIFICATE OF SERVICE</w:t>
      </w:r>
    </w:p>
    <w:p w:rsidR="005A4BC3" w:rsidRPr="00AB750D" w:rsidP="005A4BC3">
      <w:pPr>
        <w:tabs>
          <w:tab w:val="left" w:pos="4500"/>
        </w:tabs>
        <w:spacing w:after="0" w:line="240" w:lineRule="auto"/>
        <w:jc w:val="center"/>
        <w:rPr>
          <w:rFonts w:ascii="Times New Roman" w:eastAsia="Times New Roman" w:hAnsi="Times New Roman" w:cs="Times New Roman"/>
          <w:sz w:val="24"/>
          <w:szCs w:val="24"/>
        </w:rPr>
      </w:pPr>
    </w:p>
    <w:p w:rsidR="005A4BC3" w:rsidRPr="00AB750D" w:rsidP="005A4BC3">
      <w:pPr>
        <w:spacing w:after="0" w:line="480" w:lineRule="auto"/>
        <w:rPr>
          <w:rFonts w:ascii="Times New Roman" w:eastAsia="Times New Roman" w:hAnsi="Times New Roman" w:cs="Times New Roman"/>
          <w:sz w:val="24"/>
          <w:szCs w:val="24"/>
        </w:rPr>
      </w:pPr>
      <w:r w:rsidRPr="00AB750D">
        <w:rPr>
          <w:rFonts w:ascii="Times New Roman" w:eastAsia="Times New Roman" w:hAnsi="Times New Roman" w:cs="Times New Roman"/>
          <w:sz w:val="24"/>
          <w:szCs w:val="24"/>
        </w:rPr>
        <w:tab/>
        <w:t xml:space="preserve">I hereby certify that a copy of the </w:t>
      </w:r>
      <w:r>
        <w:rPr>
          <w:rFonts w:ascii="Times New Roman" w:eastAsia="Times New Roman" w:hAnsi="Times New Roman" w:cs="Times New Roman"/>
          <w:sz w:val="24"/>
          <w:szCs w:val="24"/>
        </w:rPr>
        <w:t xml:space="preserve">Reply </w:t>
      </w:r>
      <w:r w:rsidRPr="00AB750D">
        <w:rPr>
          <w:rFonts w:ascii="Times New Roman" w:eastAsia="Times New Roman" w:hAnsi="Times New Roman" w:cs="Times New Roman"/>
          <w:sz w:val="24"/>
          <w:szCs w:val="24"/>
        </w:rPr>
        <w:t>Brief has been served via electronic transmission upon the following parties of record this 2</w:t>
      </w:r>
      <w:r>
        <w:rPr>
          <w:rFonts w:ascii="Times New Roman" w:eastAsia="Times New Roman" w:hAnsi="Times New Roman" w:cs="Times New Roman"/>
          <w:sz w:val="24"/>
          <w:szCs w:val="24"/>
        </w:rPr>
        <w:t>1st</w:t>
      </w:r>
      <w:r w:rsidRPr="00AB750D">
        <w:rPr>
          <w:rFonts w:ascii="Times New Roman" w:eastAsia="Times New Roman" w:hAnsi="Times New Roman" w:cs="Times New Roman"/>
          <w:sz w:val="24"/>
          <w:szCs w:val="24"/>
        </w:rPr>
        <w:t xml:space="preserve"> day of </w:t>
      </w:r>
      <w:r>
        <w:rPr>
          <w:rFonts w:ascii="Times New Roman" w:eastAsia="Times New Roman" w:hAnsi="Times New Roman" w:cs="Times New Roman"/>
          <w:sz w:val="24"/>
          <w:szCs w:val="24"/>
        </w:rPr>
        <w:t>December</w:t>
      </w:r>
      <w:r w:rsidRPr="00AB750D">
        <w:rPr>
          <w:rFonts w:ascii="Times New Roman" w:eastAsia="Times New Roman" w:hAnsi="Times New Roman" w:cs="Times New Roman"/>
          <w:sz w:val="24"/>
          <w:szCs w:val="24"/>
        </w:rPr>
        <w:t xml:space="preserve"> 2017.</w:t>
      </w:r>
    </w:p>
    <w:p w:rsidR="005A4BC3" w:rsidRPr="00AB750D" w:rsidP="005A4BC3">
      <w:pPr>
        <w:spacing w:after="0" w:line="240" w:lineRule="auto"/>
        <w:rPr>
          <w:rFonts w:ascii="Times New Roman" w:eastAsia="Times New Roman" w:hAnsi="Times New Roman" w:cs="Times New Roman"/>
          <w:sz w:val="24"/>
          <w:szCs w:val="24"/>
        </w:rPr>
      </w:pPr>
      <w:r w:rsidRPr="00AB750D">
        <w:rPr>
          <w:rFonts w:ascii="Times New Roman" w:eastAsia="Times New Roman" w:hAnsi="Times New Roman" w:cs="Times New Roman"/>
          <w:sz w:val="24"/>
          <w:szCs w:val="24"/>
        </w:rPr>
        <w:tab/>
      </w:r>
      <w:r w:rsidRPr="00AB750D">
        <w:rPr>
          <w:rFonts w:ascii="Times New Roman" w:eastAsia="Times New Roman" w:hAnsi="Times New Roman" w:cs="Times New Roman"/>
          <w:sz w:val="24"/>
          <w:szCs w:val="24"/>
        </w:rPr>
        <w:tab/>
      </w:r>
      <w:r w:rsidRPr="00AB750D">
        <w:rPr>
          <w:rFonts w:ascii="Times New Roman" w:eastAsia="Times New Roman" w:hAnsi="Times New Roman" w:cs="Times New Roman"/>
          <w:sz w:val="24"/>
          <w:szCs w:val="24"/>
        </w:rPr>
        <w:tab/>
      </w:r>
      <w:r w:rsidRPr="00AB750D">
        <w:rPr>
          <w:rFonts w:ascii="Times New Roman" w:eastAsia="Times New Roman" w:hAnsi="Times New Roman" w:cs="Times New Roman"/>
          <w:sz w:val="24"/>
          <w:szCs w:val="24"/>
        </w:rPr>
        <w:tab/>
      </w:r>
      <w:r w:rsidRPr="00AB750D">
        <w:rPr>
          <w:rFonts w:ascii="Times New Roman" w:eastAsia="Times New Roman" w:hAnsi="Times New Roman" w:cs="Times New Roman"/>
          <w:sz w:val="24"/>
          <w:szCs w:val="24"/>
        </w:rPr>
        <w:tab/>
      </w:r>
      <w:r w:rsidRPr="00AB750D">
        <w:rPr>
          <w:rFonts w:ascii="Times New Roman" w:eastAsia="Times New Roman" w:hAnsi="Times New Roman" w:cs="Times New Roman"/>
          <w:sz w:val="24"/>
          <w:szCs w:val="24"/>
        </w:rPr>
        <w:tab/>
      </w:r>
      <w:r w:rsidRPr="00AB750D">
        <w:rPr>
          <w:rFonts w:ascii="Times New Roman" w:eastAsia="Times New Roman" w:hAnsi="Times New Roman" w:cs="Times New Roman"/>
          <w:i/>
          <w:sz w:val="24"/>
          <w:szCs w:val="24"/>
          <w:u w:val="single"/>
        </w:rPr>
        <w:t>/s/ William J. Michael</w:t>
      </w:r>
      <w:r w:rsidRPr="00AB750D">
        <w:rPr>
          <w:rFonts w:ascii="Times New Roman" w:eastAsia="Times New Roman" w:hAnsi="Times New Roman" w:cs="Times New Roman"/>
          <w:sz w:val="24"/>
          <w:szCs w:val="24"/>
        </w:rPr>
        <w:t>________</w:t>
      </w:r>
    </w:p>
    <w:p w:rsidR="005A4BC3" w:rsidRPr="00AB750D" w:rsidP="005A4BC3">
      <w:pPr>
        <w:spacing w:after="0" w:line="240" w:lineRule="auto"/>
        <w:rPr>
          <w:rFonts w:ascii="Times New Roman" w:eastAsia="Times New Roman" w:hAnsi="Times New Roman" w:cs="Times New Roman"/>
          <w:sz w:val="24"/>
          <w:szCs w:val="24"/>
        </w:rPr>
      </w:pPr>
      <w:r w:rsidRPr="00AB750D">
        <w:rPr>
          <w:rFonts w:ascii="Times New Roman" w:eastAsia="Times New Roman" w:hAnsi="Times New Roman" w:cs="Times New Roman"/>
          <w:sz w:val="24"/>
          <w:szCs w:val="24"/>
        </w:rPr>
        <w:tab/>
      </w:r>
      <w:r w:rsidRPr="00AB750D">
        <w:rPr>
          <w:rFonts w:ascii="Times New Roman" w:eastAsia="Times New Roman" w:hAnsi="Times New Roman" w:cs="Times New Roman"/>
          <w:sz w:val="24"/>
          <w:szCs w:val="24"/>
        </w:rPr>
        <w:tab/>
      </w:r>
      <w:r w:rsidRPr="00AB750D">
        <w:rPr>
          <w:rFonts w:ascii="Times New Roman" w:eastAsia="Times New Roman" w:hAnsi="Times New Roman" w:cs="Times New Roman"/>
          <w:sz w:val="24"/>
          <w:szCs w:val="24"/>
        </w:rPr>
        <w:tab/>
      </w:r>
      <w:r w:rsidRPr="00AB750D">
        <w:rPr>
          <w:rFonts w:ascii="Times New Roman" w:eastAsia="Times New Roman" w:hAnsi="Times New Roman" w:cs="Times New Roman"/>
          <w:sz w:val="24"/>
          <w:szCs w:val="24"/>
        </w:rPr>
        <w:tab/>
      </w:r>
      <w:r w:rsidRPr="00AB750D">
        <w:rPr>
          <w:rFonts w:ascii="Times New Roman" w:eastAsia="Times New Roman" w:hAnsi="Times New Roman" w:cs="Times New Roman"/>
          <w:sz w:val="24"/>
          <w:szCs w:val="24"/>
        </w:rPr>
        <w:tab/>
      </w:r>
      <w:r w:rsidRPr="00AB750D">
        <w:rPr>
          <w:rFonts w:ascii="Times New Roman" w:eastAsia="Times New Roman" w:hAnsi="Times New Roman" w:cs="Times New Roman"/>
          <w:sz w:val="24"/>
          <w:szCs w:val="24"/>
        </w:rPr>
        <w:tab/>
        <w:t>William J. Michael</w:t>
      </w:r>
    </w:p>
    <w:p w:rsidR="005A4BC3" w:rsidRPr="00AB750D" w:rsidP="005A4BC3">
      <w:pPr>
        <w:spacing w:after="0" w:line="240" w:lineRule="auto"/>
        <w:rPr>
          <w:rFonts w:ascii="Times New Roman" w:eastAsia="Times New Roman" w:hAnsi="Times New Roman" w:cs="Times New Roman"/>
          <w:sz w:val="24"/>
          <w:szCs w:val="24"/>
        </w:rPr>
      </w:pPr>
      <w:r w:rsidRPr="00AB750D">
        <w:rPr>
          <w:rFonts w:ascii="Times New Roman" w:eastAsia="Times New Roman" w:hAnsi="Times New Roman" w:cs="Times New Roman"/>
          <w:sz w:val="24"/>
          <w:szCs w:val="24"/>
        </w:rPr>
        <w:tab/>
      </w:r>
      <w:r w:rsidRPr="00AB750D">
        <w:rPr>
          <w:rFonts w:ascii="Times New Roman" w:eastAsia="Times New Roman" w:hAnsi="Times New Roman" w:cs="Times New Roman"/>
          <w:sz w:val="24"/>
          <w:szCs w:val="24"/>
        </w:rPr>
        <w:tab/>
      </w:r>
      <w:r w:rsidRPr="00AB750D">
        <w:rPr>
          <w:rFonts w:ascii="Times New Roman" w:eastAsia="Times New Roman" w:hAnsi="Times New Roman" w:cs="Times New Roman"/>
          <w:sz w:val="24"/>
          <w:szCs w:val="24"/>
        </w:rPr>
        <w:tab/>
      </w:r>
      <w:r w:rsidRPr="00AB750D">
        <w:rPr>
          <w:rFonts w:ascii="Times New Roman" w:eastAsia="Times New Roman" w:hAnsi="Times New Roman" w:cs="Times New Roman"/>
          <w:sz w:val="24"/>
          <w:szCs w:val="24"/>
        </w:rPr>
        <w:tab/>
      </w:r>
      <w:r w:rsidRPr="00AB750D">
        <w:rPr>
          <w:rFonts w:ascii="Times New Roman" w:eastAsia="Times New Roman" w:hAnsi="Times New Roman" w:cs="Times New Roman"/>
          <w:sz w:val="24"/>
          <w:szCs w:val="24"/>
        </w:rPr>
        <w:tab/>
      </w:r>
      <w:r w:rsidRPr="00AB750D">
        <w:rPr>
          <w:rFonts w:ascii="Times New Roman" w:eastAsia="Times New Roman" w:hAnsi="Times New Roman" w:cs="Times New Roman"/>
          <w:sz w:val="24"/>
          <w:szCs w:val="24"/>
        </w:rPr>
        <w:tab/>
        <w:t>Assistant Consumers’ Counsel</w:t>
      </w:r>
    </w:p>
    <w:p w:rsidR="005A4BC3" w:rsidRPr="00AB750D" w:rsidP="005A4BC3">
      <w:pPr>
        <w:spacing w:after="0" w:line="240" w:lineRule="auto"/>
        <w:rPr>
          <w:rFonts w:ascii="Times New Roman" w:eastAsia="Times New Roman" w:hAnsi="Times New Roman" w:cs="Times New Roman"/>
          <w:sz w:val="24"/>
          <w:szCs w:val="24"/>
        </w:rPr>
      </w:pPr>
    </w:p>
    <w:p w:rsidR="005A4BC3" w:rsidRPr="00AB750D" w:rsidP="005A4BC3">
      <w:pPr>
        <w:spacing w:after="0" w:line="240" w:lineRule="auto"/>
        <w:rPr>
          <w:rFonts w:ascii="Times New Roman" w:eastAsia="Times New Roman" w:hAnsi="Times New Roman" w:cs="Times New Roman"/>
          <w:sz w:val="24"/>
          <w:szCs w:val="24"/>
        </w:rPr>
      </w:pPr>
    </w:p>
    <w:p w:rsidR="005A4BC3" w:rsidRPr="00AB750D" w:rsidP="005A4BC3">
      <w:pPr>
        <w:pStyle w:val="CommentText"/>
        <w:jc w:val="center"/>
        <w:rPr>
          <w:rFonts w:ascii="Times New Roman" w:hAnsi="Times New Roman" w:cs="Times New Roman"/>
          <w:b/>
          <w:sz w:val="24"/>
          <w:szCs w:val="24"/>
          <w:u w:val="single"/>
        </w:rPr>
      </w:pPr>
      <w:r w:rsidRPr="00AB750D">
        <w:rPr>
          <w:rFonts w:ascii="Times New Roman" w:hAnsi="Times New Roman" w:cs="Times New Roman"/>
          <w:b/>
          <w:sz w:val="24"/>
          <w:szCs w:val="24"/>
          <w:u w:val="single"/>
        </w:rPr>
        <w:t>SERVICE LIST</w:t>
      </w:r>
    </w:p>
    <w:tbl>
      <w:tblPr>
        <w:tblStyle w:val="TableGrid"/>
        <w:tblW w:w="0" w:type="auto"/>
        <w:tblInd w:w="0" w:type="dxa"/>
        <w:tblBorders>
          <w:top w:val="nil"/>
          <w:left w:val="nil"/>
          <w:bottom w:val="nil"/>
          <w:right w:val="nil"/>
          <w:insideH w:val="nil"/>
          <w:insideV w:val="nil"/>
        </w:tblBorders>
        <w:tblCellMar>
          <w:top w:w="0" w:type="dxa"/>
          <w:left w:w="108" w:type="dxa"/>
          <w:bottom w:w="0" w:type="dxa"/>
          <w:right w:w="108" w:type="dxa"/>
        </w:tblCellMar>
        <w:tblLook w:val="04A0"/>
      </w:tblPr>
      <w:tblGrid>
        <w:gridCol w:w="4428"/>
        <w:gridCol w:w="4428"/>
      </w:tblGrid>
      <w:tr w:rsidTr="005A4BC3">
        <w:tblPrEx>
          <w:tblW w:w="0" w:type="auto"/>
          <w:tblInd w:w="0" w:type="dxa"/>
          <w:tblBorders>
            <w:top w:val="nil"/>
            <w:left w:val="nil"/>
            <w:bottom w:val="nil"/>
            <w:right w:val="nil"/>
            <w:insideH w:val="nil"/>
            <w:insideV w:val="nil"/>
          </w:tblBorders>
          <w:tblCellMar>
            <w:top w:w="0" w:type="dxa"/>
            <w:left w:w="108" w:type="dxa"/>
            <w:bottom w:w="0" w:type="dxa"/>
            <w:right w:w="108" w:type="dxa"/>
          </w:tblCellMar>
          <w:tblLook w:val="04A0"/>
        </w:tblPrEx>
        <w:tc>
          <w:tcPr>
            <w:tcW w:w="4428" w:type="dxa"/>
          </w:tcPr>
          <w:p w:rsidR="005A4BC3" w:rsidRPr="00AB750D" w:rsidP="005A4BC3">
            <w:pPr>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"mailto:Bojko@carpenterlipps.com" </w:instrText>
            </w:r>
            <w:r>
              <w:fldChar w:fldCharType="separate"/>
            </w:r>
            <w:r w:rsidRPr="00AB750D" w:rsidR="00E17404">
              <w:rPr>
                <w:rStyle w:val="Hyperlink"/>
                <w:rFonts w:ascii="Times New Roman" w:hAnsi="Times New Roman" w:eastAsiaTheme="minorHAnsi" w:cs="Times New Roman"/>
                <w:color w:val="0000FF"/>
                <w:sz w:val="24"/>
                <w:szCs w:val="24"/>
                <w:u w:val="single"/>
                <w:lang w:val="en-US" w:eastAsia="en-US" w:bidi="ar-SA"/>
              </w:rPr>
              <w:t>Bojko@carpenterlipps.com</w:t>
            </w:r>
            <w:r>
              <w:fldChar w:fldCharType="end"/>
            </w:r>
          </w:p>
          <w:p w:rsidR="005A4BC3" w:rsidRPr="00AB750D" w:rsidP="005A4BC3">
            <w:pPr>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"mailto:perko@carpenterlipps.com" </w:instrText>
            </w:r>
            <w:r>
              <w:fldChar w:fldCharType="separate"/>
            </w:r>
            <w:r w:rsidRPr="00AB750D" w:rsidR="00E17404">
              <w:rPr>
                <w:rStyle w:val="Hyperlink"/>
                <w:rFonts w:ascii="Times New Roman" w:hAnsi="Times New Roman" w:eastAsiaTheme="minorHAnsi" w:cs="Times New Roman"/>
                <w:color w:val="0000FF"/>
                <w:sz w:val="24"/>
                <w:szCs w:val="24"/>
                <w:u w:val="single"/>
                <w:lang w:val="en-US" w:eastAsia="en-US" w:bidi="ar-SA"/>
              </w:rPr>
              <w:t>perko@carpenterlipps.com</w:t>
            </w:r>
            <w:r>
              <w:fldChar w:fldCharType="end"/>
            </w:r>
          </w:p>
          <w:p w:rsidR="005A4BC3" w:rsidRPr="00AB750D" w:rsidP="005A4BC3">
            <w:pPr>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"mailto:mfleisher@elpc.org" </w:instrText>
            </w:r>
            <w:r>
              <w:fldChar w:fldCharType="separate"/>
            </w:r>
            <w:r w:rsidRPr="00AB750D" w:rsidR="00E17404">
              <w:rPr>
                <w:rStyle w:val="Hyperlink"/>
                <w:rFonts w:ascii="Times New Roman" w:hAnsi="Times New Roman" w:eastAsiaTheme="minorHAnsi" w:cs="Times New Roman"/>
                <w:color w:val="0000FF"/>
                <w:sz w:val="24"/>
                <w:szCs w:val="24"/>
                <w:u w:val="single"/>
                <w:lang w:val="en-US" w:eastAsia="en-US" w:bidi="ar-SA"/>
              </w:rPr>
              <w:t>mfleisher@elpc.org</w:t>
            </w:r>
            <w:r>
              <w:fldChar w:fldCharType="end"/>
            </w:r>
          </w:p>
          <w:p w:rsidR="005A4BC3" w:rsidRPr="00AB750D" w:rsidP="005A4BC3">
            <w:pPr>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"mailto:cmooney@ohiopartners.org" </w:instrText>
            </w:r>
            <w:r>
              <w:fldChar w:fldCharType="separate"/>
            </w:r>
            <w:r w:rsidRPr="00AB750D" w:rsidR="00E17404">
              <w:rPr>
                <w:rStyle w:val="Hyperlink"/>
                <w:rFonts w:ascii="Times New Roman" w:hAnsi="Times New Roman" w:eastAsiaTheme="minorHAnsi" w:cs="Times New Roman"/>
                <w:color w:val="0000FF"/>
                <w:sz w:val="24"/>
                <w:szCs w:val="24"/>
                <w:u w:val="single"/>
                <w:lang w:val="en-US" w:eastAsia="en-US" w:bidi="ar-SA"/>
              </w:rPr>
              <w:t>cmooney@ohiopartners.org</w:t>
            </w:r>
            <w:r>
              <w:fldChar w:fldCharType="end"/>
            </w:r>
          </w:p>
          <w:p w:rsidR="005A4BC3" w:rsidRPr="00AB750D" w:rsidP="005A4BC3">
            <w:pPr>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"mailto:paul@carpenterlipps.com" </w:instrText>
            </w:r>
            <w:r>
              <w:fldChar w:fldCharType="separate"/>
            </w:r>
            <w:r w:rsidRPr="00AB750D" w:rsidR="00E17404">
              <w:rPr>
                <w:rStyle w:val="Hyperlink"/>
                <w:rFonts w:ascii="Times New Roman" w:hAnsi="Times New Roman" w:eastAsiaTheme="minorHAnsi" w:cs="Times New Roman"/>
                <w:color w:val="0000FF"/>
                <w:sz w:val="24"/>
                <w:szCs w:val="24"/>
                <w:u w:val="single"/>
                <w:lang w:val="en-US" w:eastAsia="en-US" w:bidi="ar-SA"/>
              </w:rPr>
              <w:t>paul@carpenterlipps.com</w:t>
            </w:r>
            <w:r>
              <w:fldChar w:fldCharType="end"/>
            </w:r>
          </w:p>
          <w:p w:rsidR="005A4BC3" w:rsidRPr="00AB750D" w:rsidP="005A4BC3">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"mailto:mleppla@theOEC.org" </w:instrText>
            </w:r>
            <w:r>
              <w:fldChar w:fldCharType="separate"/>
            </w:r>
            <w:r w:rsidRPr="00AB750D" w:rsidR="00E17404">
              <w:rPr>
                <w:rStyle w:val="Hyperlink"/>
                <w:rFonts w:ascii="Times New Roman" w:hAnsi="Times New Roman" w:eastAsiaTheme="minorHAnsi" w:cs="Times New Roman"/>
                <w:color w:val="0000FF"/>
                <w:sz w:val="24"/>
                <w:szCs w:val="24"/>
                <w:u w:val="single"/>
                <w:lang w:val="en-US" w:eastAsia="en-US" w:bidi="ar-SA"/>
              </w:rPr>
              <w:t>mleppla@theOEC.org</w:t>
            </w:r>
            <w:r>
              <w:fldChar w:fldCharType="end"/>
            </w:r>
          </w:p>
          <w:p w:rsidR="005A4BC3" w:rsidRPr="00AB750D" w:rsidP="005A4BC3">
            <w:pPr>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"mailto:tdougherty@theOEC.org" </w:instrText>
            </w:r>
            <w:r>
              <w:fldChar w:fldCharType="separate"/>
            </w:r>
            <w:r w:rsidRPr="00AB750D" w:rsidR="00E17404">
              <w:rPr>
                <w:rStyle w:val="Hyperlink"/>
                <w:rFonts w:ascii="Times New Roman" w:hAnsi="Times New Roman" w:eastAsiaTheme="minorHAnsi" w:cs="Times New Roman"/>
                <w:color w:val="0000FF"/>
                <w:sz w:val="24"/>
                <w:szCs w:val="24"/>
                <w:u w:val="single"/>
                <w:lang w:val="en-US" w:eastAsia="en-US" w:bidi="ar-SA"/>
              </w:rPr>
              <w:t>tdougherty@theOEC.org</w:t>
            </w:r>
            <w:r>
              <w:fldChar w:fldCharType="end"/>
            </w:r>
          </w:p>
          <w:p w:rsidR="005A4BC3" w:rsidRPr="00AB750D" w:rsidP="005A4BC3">
            <w:pPr>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"mailto:lhawrot@spilmanlaw.com" </w:instrText>
            </w:r>
            <w:r>
              <w:fldChar w:fldCharType="separate"/>
            </w:r>
            <w:r w:rsidRPr="00AB750D" w:rsidR="00E17404">
              <w:rPr>
                <w:rStyle w:val="Hyperlink"/>
                <w:rFonts w:ascii="Times New Roman" w:hAnsi="Times New Roman" w:eastAsiaTheme="minorHAnsi" w:cs="Times New Roman"/>
                <w:color w:val="0000FF"/>
                <w:sz w:val="24"/>
                <w:szCs w:val="24"/>
                <w:u w:val="single"/>
                <w:lang w:val="en-US" w:eastAsia="en-US" w:bidi="ar-SA"/>
              </w:rPr>
              <w:t>lhawrot@spilmanlaw.com</w:t>
            </w:r>
            <w:r>
              <w:fldChar w:fldCharType="end"/>
            </w:r>
          </w:p>
          <w:p w:rsidR="005A4BC3" w:rsidRPr="00AB750D" w:rsidP="005A4BC3">
            <w:pPr>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"mailto:dwilliamson@spilmanlaw.com" </w:instrText>
            </w:r>
            <w:r>
              <w:fldChar w:fldCharType="separate"/>
            </w:r>
            <w:r w:rsidRPr="00AB750D" w:rsidR="00E17404">
              <w:rPr>
                <w:rStyle w:val="Hyperlink"/>
                <w:rFonts w:ascii="Times New Roman" w:hAnsi="Times New Roman" w:eastAsiaTheme="minorHAnsi" w:cs="Times New Roman"/>
                <w:color w:val="0000FF"/>
                <w:sz w:val="24"/>
                <w:szCs w:val="24"/>
                <w:u w:val="single"/>
                <w:lang w:val="en-US" w:eastAsia="en-US" w:bidi="ar-SA"/>
              </w:rPr>
              <w:t>dwilliamson@spilmanlaw.com</w:t>
            </w:r>
            <w:r>
              <w:fldChar w:fldCharType="end"/>
            </w:r>
          </w:p>
          <w:p w:rsidR="005A4BC3" w:rsidRPr="00AB750D" w:rsidP="005A4BC3">
            <w:pPr>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"mailto:charris@spilmanlaw.com" </w:instrText>
            </w:r>
            <w:r>
              <w:fldChar w:fldCharType="separate"/>
            </w:r>
            <w:r w:rsidRPr="00AB750D" w:rsidR="00E17404">
              <w:rPr>
                <w:rStyle w:val="Hyperlink"/>
                <w:rFonts w:ascii="Times New Roman" w:hAnsi="Times New Roman" w:eastAsiaTheme="minorHAnsi" w:cs="Times New Roman"/>
                <w:color w:val="0000FF"/>
                <w:sz w:val="24"/>
                <w:szCs w:val="24"/>
                <w:u w:val="single"/>
                <w:lang w:val="en-US" w:eastAsia="en-US" w:bidi="ar-SA"/>
              </w:rPr>
              <w:t>charris@spilmanlaw.com</w:t>
            </w:r>
            <w:r>
              <w:fldChar w:fldCharType="end"/>
            </w:r>
          </w:p>
          <w:p w:rsidR="005A4BC3" w:rsidRPr="00AB750D" w:rsidP="005A4BC3">
            <w:pPr>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"mailto:ibatikov@vorys.com" </w:instrText>
            </w:r>
            <w:r>
              <w:fldChar w:fldCharType="separate"/>
            </w:r>
            <w:r w:rsidRPr="00AB750D" w:rsidR="00E17404">
              <w:rPr>
                <w:rStyle w:val="Hyperlink"/>
                <w:rFonts w:ascii="Times New Roman" w:hAnsi="Times New Roman" w:eastAsiaTheme="minorHAnsi" w:cs="Times New Roman"/>
                <w:color w:val="0000FF"/>
                <w:sz w:val="24"/>
                <w:szCs w:val="24"/>
                <w:u w:val="single"/>
                <w:lang w:val="en-US" w:eastAsia="en-US" w:bidi="ar-SA"/>
              </w:rPr>
              <w:t>ibatikov@vorys.com</w:t>
            </w:r>
            <w:r>
              <w:fldChar w:fldCharType="end"/>
            </w:r>
          </w:p>
          <w:p w:rsidR="005A4BC3" w:rsidRPr="00AB750D" w:rsidP="005A4BC3">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"mailto:whitt@whitt-sturtevant.com" </w:instrText>
            </w:r>
            <w:r>
              <w:fldChar w:fldCharType="separate"/>
            </w:r>
            <w:r w:rsidRPr="00AB750D" w:rsidR="00E17404">
              <w:rPr>
                <w:rStyle w:val="Hyperlink"/>
                <w:rFonts w:ascii="Times New Roman" w:hAnsi="Times New Roman" w:eastAsiaTheme="minorHAnsi" w:cs="Times New Roman"/>
                <w:color w:val="0000FF"/>
                <w:sz w:val="24"/>
                <w:szCs w:val="24"/>
                <w:u w:val="single"/>
                <w:lang w:val="en-US" w:eastAsia="en-US" w:bidi="ar-SA"/>
              </w:rPr>
              <w:t>whitt@whitt-sturtevant.com</w:t>
            </w:r>
            <w:r>
              <w:fldChar w:fldCharType="end"/>
            </w:r>
          </w:p>
          <w:p w:rsidR="005A4BC3" w:rsidRPr="00AB750D" w:rsidP="005A4BC3">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"mailto:campbell@whitt-sturtevant.com" </w:instrText>
            </w:r>
            <w:r>
              <w:fldChar w:fldCharType="separate"/>
            </w:r>
            <w:r w:rsidRPr="00AB750D" w:rsidR="00E17404">
              <w:rPr>
                <w:rStyle w:val="Hyperlink"/>
                <w:rFonts w:ascii="Times New Roman" w:hAnsi="Times New Roman" w:eastAsiaTheme="minorHAnsi" w:cs="Times New Roman"/>
                <w:color w:val="0000FF"/>
                <w:sz w:val="24"/>
                <w:szCs w:val="24"/>
                <w:u w:val="single"/>
                <w:lang w:val="en-US" w:eastAsia="en-US" w:bidi="ar-SA"/>
              </w:rPr>
              <w:t>campbell@whitt-sturtevant.com</w:t>
            </w:r>
            <w:r>
              <w:fldChar w:fldCharType="end"/>
            </w:r>
          </w:p>
          <w:p w:rsidR="005A4BC3" w:rsidRPr="00AB750D" w:rsidP="005A4BC3">
            <w:pPr>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"mailto:glover@whitt-sturtevant.com" </w:instrText>
            </w:r>
            <w:r>
              <w:fldChar w:fldCharType="separate"/>
            </w:r>
            <w:r w:rsidRPr="00AB750D" w:rsidR="00E17404">
              <w:rPr>
                <w:rStyle w:val="Hyperlink"/>
                <w:rFonts w:ascii="Times New Roman" w:hAnsi="Times New Roman" w:eastAsiaTheme="minorHAnsi" w:cs="Times New Roman"/>
                <w:color w:val="0000FF"/>
                <w:sz w:val="24"/>
                <w:szCs w:val="24"/>
                <w:u w:val="single"/>
                <w:lang w:val="en-US" w:eastAsia="en-US" w:bidi="ar-SA"/>
              </w:rPr>
              <w:t>glover@whitt-sturtevant.com</w:t>
            </w:r>
            <w:r>
              <w:fldChar w:fldCharType="end"/>
            </w:r>
          </w:p>
          <w:p w:rsidR="005A4BC3" w:rsidRPr="00AB750D" w:rsidP="005A4BC3">
            <w:pPr>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"mailto:tony.mendoza@sierraclub.org" </w:instrText>
            </w:r>
            <w:r>
              <w:fldChar w:fldCharType="separate"/>
            </w:r>
            <w:r w:rsidRPr="00AB750D" w:rsidR="00E17404">
              <w:rPr>
                <w:rStyle w:val="Hyperlink"/>
                <w:rFonts w:ascii="Times New Roman" w:hAnsi="Times New Roman" w:eastAsiaTheme="minorHAnsi" w:cs="Times New Roman"/>
                <w:color w:val="0000FF"/>
                <w:sz w:val="24"/>
                <w:szCs w:val="24"/>
                <w:u w:val="single"/>
                <w:lang w:val="en-US" w:eastAsia="en-US" w:bidi="ar-SA"/>
              </w:rPr>
              <w:t>tony.mendoza@sierraclub.org</w:t>
            </w:r>
            <w:r>
              <w:fldChar w:fldCharType="end"/>
            </w:r>
          </w:p>
          <w:p w:rsidR="005A4BC3" w:rsidRPr="00AB750D" w:rsidP="005A4BC3">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"mailto:dborchers@bricker.com" </w:instrText>
            </w:r>
            <w:r>
              <w:fldChar w:fldCharType="separate"/>
            </w:r>
            <w:r w:rsidRPr="00AB750D" w:rsidR="00E17404">
              <w:rPr>
                <w:rStyle w:val="Hyperlink"/>
                <w:rFonts w:ascii="Times New Roman" w:hAnsi="Times New Roman" w:eastAsiaTheme="minorHAnsi" w:cs="Times New Roman"/>
                <w:color w:val="0000FF"/>
                <w:sz w:val="24"/>
                <w:szCs w:val="24"/>
                <w:u w:val="single"/>
                <w:lang w:val="en-US" w:eastAsia="en-US" w:bidi="ar-SA"/>
              </w:rPr>
              <w:t>dborchers@bricker.com</w:t>
            </w:r>
            <w:r>
              <w:fldChar w:fldCharType="end"/>
            </w:r>
          </w:p>
          <w:p w:rsidR="005A4BC3" w:rsidRPr="00AB750D" w:rsidP="005A4BC3">
            <w:pPr>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"mailto:eakhbari@bricker.com" </w:instrText>
            </w:r>
            <w:r>
              <w:fldChar w:fldCharType="separate"/>
            </w:r>
            <w:r w:rsidRPr="00AB750D" w:rsidR="00E17404">
              <w:rPr>
                <w:rStyle w:val="Hyperlink"/>
                <w:rFonts w:ascii="Times New Roman" w:hAnsi="Times New Roman" w:eastAsiaTheme="minorHAnsi" w:cs="Times New Roman"/>
                <w:color w:val="0000FF"/>
                <w:sz w:val="24"/>
                <w:szCs w:val="24"/>
                <w:u w:val="single"/>
                <w:lang w:val="en-US" w:eastAsia="en-US" w:bidi="ar-SA"/>
              </w:rPr>
              <w:t>eakhbari@bricker.com</w:t>
            </w:r>
            <w:r>
              <w:fldChar w:fldCharType="end"/>
            </w:r>
          </w:p>
          <w:p w:rsidR="005A4BC3" w:rsidRPr="00AB750D" w:rsidP="005A4BC3">
            <w:pPr>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"mailto:sechler@carpenterlipps.com" </w:instrText>
            </w:r>
            <w:r>
              <w:fldChar w:fldCharType="separate"/>
            </w:r>
            <w:r w:rsidRPr="00AB750D" w:rsidR="00E17404">
              <w:rPr>
                <w:rStyle w:val="Hyperlink"/>
                <w:rFonts w:ascii="Times New Roman" w:hAnsi="Times New Roman" w:eastAsiaTheme="minorHAnsi" w:cs="Times New Roman"/>
                <w:color w:val="0000FF"/>
                <w:sz w:val="24"/>
                <w:szCs w:val="24"/>
                <w:u w:val="single"/>
                <w:lang w:val="en-US" w:eastAsia="en-US" w:bidi="ar-SA"/>
              </w:rPr>
              <w:t>sechler@carpenterlipps.com</w:t>
            </w:r>
            <w:r>
              <w:fldChar w:fldCharType="end"/>
            </w:r>
          </w:p>
          <w:p w:rsidR="005A4BC3" w:rsidRPr="00AB750D" w:rsidP="005A4BC3">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"mailto:cpirik@dickinsonwright.com" </w:instrText>
            </w:r>
            <w:r>
              <w:fldChar w:fldCharType="separate"/>
            </w:r>
            <w:r w:rsidRPr="00AB750D" w:rsidR="00E17404">
              <w:rPr>
                <w:rStyle w:val="Hyperlink"/>
                <w:rFonts w:ascii="Times New Roman" w:hAnsi="Times New Roman" w:eastAsiaTheme="minorHAnsi" w:cs="Times New Roman"/>
                <w:color w:val="0000FF"/>
                <w:sz w:val="24"/>
                <w:szCs w:val="24"/>
                <w:u w:val="single"/>
                <w:lang w:val="en-US" w:eastAsia="en-US" w:bidi="ar-SA"/>
              </w:rPr>
              <w:t>cpirik@dickinsonwright.com</w:t>
            </w:r>
            <w:r>
              <w:fldChar w:fldCharType="end"/>
            </w:r>
          </w:p>
          <w:p w:rsidR="005A4BC3" w:rsidRPr="00AB750D" w:rsidP="005A4BC3">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"mailto:todonnell@dickinsonwright.com" </w:instrText>
            </w:r>
            <w:r>
              <w:fldChar w:fldCharType="separate"/>
            </w:r>
            <w:r w:rsidRPr="00AB750D" w:rsidR="00E17404">
              <w:rPr>
                <w:rStyle w:val="Hyperlink"/>
                <w:rFonts w:ascii="Times New Roman" w:hAnsi="Times New Roman" w:eastAsiaTheme="minorHAnsi" w:cs="Times New Roman"/>
                <w:color w:val="0000FF"/>
                <w:sz w:val="24"/>
                <w:szCs w:val="24"/>
                <w:u w:val="single"/>
                <w:lang w:val="en-US" w:eastAsia="en-US" w:bidi="ar-SA"/>
              </w:rPr>
              <w:t>todonnell@dickinsonwright.com</w:t>
            </w:r>
            <w:r>
              <w:fldChar w:fldCharType="end"/>
            </w:r>
          </w:p>
          <w:p w:rsidR="005A4BC3" w:rsidRPr="00AB750D" w:rsidP="005A4BC3">
            <w:pPr>
              <w:spacing w:after="0" w:line="240" w:lineRule="auto"/>
              <w:rPr>
                <w:rStyle w:val="Hyperlink"/>
                <w:rFonts w:ascii="Times New Roman" w:hAnsi="Times New Roman" w:eastAsiaTheme="minorHAnsi" w:cs="Times New Roman"/>
                <w:color w:val="0000FF"/>
                <w:sz w:val="24"/>
                <w:szCs w:val="24"/>
                <w:u w:val="single"/>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"mailto:wvorys@dickinsonwright.com" </w:instrText>
            </w:r>
            <w:r>
              <w:fldChar w:fldCharType="separate"/>
            </w:r>
            <w:r w:rsidRPr="00AB750D" w:rsidR="00E17404">
              <w:rPr>
                <w:rStyle w:val="Hyperlink"/>
                <w:rFonts w:ascii="Times New Roman" w:hAnsi="Times New Roman" w:eastAsiaTheme="minorHAnsi" w:cs="Times New Roman"/>
                <w:color w:val="0000FF"/>
                <w:sz w:val="24"/>
                <w:szCs w:val="24"/>
                <w:u w:val="single"/>
                <w:lang w:val="en-US" w:eastAsia="en-US" w:bidi="ar-SA"/>
              </w:rPr>
              <w:t>wvorys@dickinsonwright.com</w:t>
            </w:r>
            <w:r>
              <w:fldChar w:fldCharType="end"/>
            </w:r>
          </w:p>
          <w:p w:rsidR="005A4BC3" w:rsidRPr="00AB750D" w:rsidP="005A4BC3">
            <w:pPr>
              <w:spacing w:after="0" w:line="240" w:lineRule="auto"/>
              <w:rPr>
                <w:rStyle w:val="Hyperlink"/>
                <w:rFonts w:ascii="Times New Roman" w:hAnsi="Times New Roman" w:eastAsiaTheme="minorHAnsi" w:cs="Times New Roman"/>
                <w:color w:val="0000FF"/>
                <w:sz w:val="24"/>
                <w:szCs w:val="24"/>
                <w:u w:val="single"/>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"mailto:callwein@keglerbrown.com" </w:instrText>
            </w:r>
            <w:r>
              <w:fldChar w:fldCharType="separate"/>
            </w:r>
            <w:r w:rsidRPr="00AB750D" w:rsidR="00E17404">
              <w:rPr>
                <w:rStyle w:val="Hyperlink"/>
                <w:rFonts w:ascii="Times New Roman" w:hAnsi="Times New Roman" w:eastAsiaTheme="minorHAnsi" w:cs="Times New Roman"/>
                <w:color w:val="0000FF"/>
                <w:sz w:val="24"/>
                <w:szCs w:val="24"/>
                <w:u w:val="single"/>
                <w:lang w:val="en-US" w:eastAsia="en-US" w:bidi="ar-SA"/>
              </w:rPr>
              <w:t>callwein@keglerbrown.com</w:t>
            </w:r>
            <w:r>
              <w:fldChar w:fldCharType="end"/>
            </w:r>
          </w:p>
          <w:p w:rsidR="005A4BC3" w:rsidRPr="00AB750D" w:rsidP="005A4BC3">
            <w:pPr>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"mailto:werner.margard@ohioattorneygeneral.gov" </w:instrText>
            </w:r>
            <w:r>
              <w:fldChar w:fldCharType="separate"/>
            </w:r>
            <w:r w:rsidRPr="00AB750D" w:rsidR="00E17404">
              <w:rPr>
                <w:rStyle w:val="Hyperlink"/>
                <w:rFonts w:ascii="Times New Roman" w:hAnsi="Times New Roman" w:eastAsiaTheme="minorHAnsi" w:cs="Times New Roman"/>
                <w:color w:val="0000FF"/>
                <w:sz w:val="24"/>
                <w:szCs w:val="24"/>
                <w:u w:val="single"/>
                <w:lang w:val="en-US" w:eastAsia="en-US" w:bidi="ar-SA"/>
              </w:rPr>
              <w:t>werner.margard@ohioattorneygeneral.gov</w:t>
            </w:r>
            <w:r>
              <w:fldChar w:fldCharType="end"/>
            </w:r>
          </w:p>
          <w:p w:rsidR="005A4BC3" w:rsidRPr="00AB750D" w:rsidP="005A4BC3">
            <w:pPr>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"mailto:Robert.eubanks@ohioattorneygeneral.gov" </w:instrText>
            </w:r>
            <w:r>
              <w:fldChar w:fldCharType="separate"/>
            </w:r>
            <w:r w:rsidRPr="00AB750D" w:rsidR="00E17404">
              <w:rPr>
                <w:rStyle w:val="Hyperlink"/>
                <w:rFonts w:ascii="Times New Roman" w:hAnsi="Times New Roman" w:eastAsiaTheme="minorHAnsi" w:cs="Times New Roman"/>
                <w:color w:val="0000FF"/>
                <w:sz w:val="24"/>
                <w:szCs w:val="24"/>
                <w:u w:val="single"/>
                <w:lang w:val="en-US" w:eastAsia="en-US" w:bidi="ar-SA"/>
              </w:rPr>
              <w:t>Robert.eubanks@ohioattorneygeneral.gov</w:t>
            </w:r>
            <w:r>
              <w:fldChar w:fldCharType="end"/>
            </w:r>
          </w:p>
          <w:p w:rsidR="005A4BC3" w:rsidRPr="00AB750D" w:rsidP="005A4BC3">
            <w:pPr>
              <w:spacing w:after="0" w:line="240" w:lineRule="auto"/>
              <w:rPr>
                <w:rStyle w:val="DefaultParagraphFont"/>
                <w:rFonts w:ascii="Times New Roman" w:hAnsi="Times New Roman" w:eastAsiaTheme="minorHAnsi" w:cs="Times New Roman"/>
                <w:sz w:val="24"/>
                <w:szCs w:val="24"/>
                <w:lang w:val="en-US" w:eastAsia="en-US" w:bidi="ar-SA"/>
              </w:rPr>
            </w:pPr>
          </w:p>
          <w:p w:rsidR="005A4BC3" w:rsidRPr="00AB750D" w:rsidP="005A4BC3">
            <w:pPr>
              <w:spacing w:after="0" w:line="240" w:lineRule="auto"/>
              <w:rPr>
                <w:rStyle w:val="DefaultParagraphFont"/>
                <w:rFonts w:ascii="Times New Roman" w:hAnsi="Times New Roman" w:eastAsiaTheme="minorHAnsi" w:cs="Times New Roman"/>
                <w:sz w:val="24"/>
                <w:szCs w:val="24"/>
                <w:lang w:val="en-US" w:eastAsia="en-US" w:bidi="ar-SA"/>
              </w:rPr>
            </w:pPr>
            <w:r w:rsidRPr="00AB750D">
              <w:rPr>
                <w:rFonts w:ascii="Times New Roman" w:hAnsi="Times New Roman" w:eastAsiaTheme="minorHAnsi" w:cs="Times New Roman"/>
                <w:sz w:val="24"/>
                <w:szCs w:val="24"/>
                <w:lang w:val="en-US" w:eastAsia="en-US" w:bidi="ar-SA"/>
              </w:rPr>
              <w:t>Attorney Examiners:</w:t>
            </w:r>
          </w:p>
          <w:p w:rsidR="005A4BC3" w:rsidRPr="00AB750D" w:rsidP="005A4BC3">
            <w:pPr>
              <w:spacing w:after="0" w:line="240" w:lineRule="auto"/>
              <w:rPr>
                <w:rStyle w:val="DefaultParagraphFont"/>
                <w:rFonts w:ascii="Times New Roman" w:hAnsi="Times New Roman" w:eastAsiaTheme="minorHAnsi" w:cs="Times New Roman"/>
                <w:sz w:val="24"/>
                <w:szCs w:val="24"/>
                <w:lang w:val="en-US" w:eastAsia="en-US" w:bidi="ar-SA"/>
              </w:rPr>
            </w:pPr>
          </w:p>
          <w:p w:rsidR="005A4BC3" w:rsidRPr="00AB750D" w:rsidP="005A4BC3">
            <w:pPr>
              <w:spacing w:after="0" w:line="240" w:lineRule="auto"/>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"mailto:Sarah.parrot@puc.state.oh.us" </w:instrText>
            </w:r>
            <w:r>
              <w:fldChar w:fldCharType="separate"/>
            </w:r>
            <w:r w:rsidRPr="00AB750D" w:rsidR="00E17404">
              <w:rPr>
                <w:rStyle w:val="Hyperlink"/>
                <w:rFonts w:ascii="Times New Roman" w:hAnsi="Times New Roman" w:eastAsiaTheme="minorHAnsi" w:cs="Times New Roman"/>
                <w:color w:val="0000FF"/>
                <w:sz w:val="24"/>
                <w:szCs w:val="24"/>
                <w:u w:val="single"/>
                <w:lang w:val="en-US" w:eastAsia="en-US" w:bidi="ar-SA"/>
              </w:rPr>
              <w:t>Sarah.parrot@puc.state.oh.us</w:t>
            </w:r>
            <w:r>
              <w:fldChar w:fldCharType="end"/>
            </w:r>
          </w:p>
          <w:p w:rsidR="005A4BC3" w:rsidRPr="00AB750D" w:rsidP="005A4BC3">
            <w:pPr>
              <w:spacing w:after="0" w:line="240" w:lineRule="auto"/>
              <w:rPr>
                <w:rStyle w:val="DefaultParagraphFont"/>
                <w:rFonts w:ascii="Times New Roman" w:hAnsi="Times New Roman" w:eastAsiaTheme="minorHAnsi" w:cs="Times New Roman"/>
                <w:b/>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"mailto:Greta.see@puc.state.oh.us" </w:instrText>
            </w:r>
            <w:r>
              <w:fldChar w:fldCharType="separate"/>
            </w:r>
            <w:r w:rsidRPr="00AB750D" w:rsidR="00E17404">
              <w:rPr>
                <w:rStyle w:val="Hyperlink"/>
                <w:rFonts w:ascii="Times New Roman" w:hAnsi="Times New Roman" w:eastAsiaTheme="minorHAnsi" w:cs="Times New Roman"/>
                <w:color w:val="0000FF"/>
                <w:sz w:val="24"/>
                <w:szCs w:val="24"/>
                <w:u w:val="single"/>
                <w:lang w:val="en-US" w:eastAsia="en-US" w:bidi="ar-SA"/>
              </w:rPr>
              <w:t>Greta.see@puc.state.oh.us</w:t>
            </w:r>
            <w:r>
              <w:fldChar w:fldCharType="end"/>
            </w:r>
          </w:p>
        </w:tc>
        <w:tc>
          <w:tcPr>
            <w:tcW w:w="4428" w:type="dxa"/>
          </w:tcPr>
          <w:p w:rsidR="005A4BC3" w:rsidRPr="00AB750D" w:rsidP="005A4BC3">
            <w:pPr>
              <w:spacing w:after="0" w:line="240" w:lineRule="auto"/>
              <w:ind w:left="101"/>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"mailto:stnourse@aep.com" </w:instrText>
            </w:r>
            <w:r>
              <w:fldChar w:fldCharType="separate"/>
            </w:r>
            <w:r w:rsidRPr="00AB750D" w:rsidR="00E17404">
              <w:rPr>
                <w:rStyle w:val="Hyperlink"/>
                <w:rFonts w:ascii="Times New Roman" w:hAnsi="Times New Roman" w:eastAsiaTheme="minorHAnsi" w:cs="Times New Roman"/>
                <w:color w:val="0000FF"/>
                <w:sz w:val="24"/>
                <w:szCs w:val="24"/>
                <w:u w:val="single"/>
                <w:lang w:val="en-US" w:eastAsia="en-US" w:bidi="ar-SA"/>
              </w:rPr>
              <w:t>stnourse@aep.com</w:t>
            </w:r>
            <w:r>
              <w:fldChar w:fldCharType="end"/>
            </w:r>
          </w:p>
          <w:p w:rsidR="005A4BC3" w:rsidRPr="00AB750D" w:rsidP="005A4BC3">
            <w:pPr>
              <w:spacing w:after="0" w:line="240" w:lineRule="auto"/>
              <w:ind w:left="101"/>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"mailto:msmckenzie@aep.com" </w:instrText>
            </w:r>
            <w:r>
              <w:fldChar w:fldCharType="separate"/>
            </w:r>
            <w:r w:rsidRPr="00AB750D" w:rsidR="00E17404">
              <w:rPr>
                <w:rStyle w:val="Hyperlink"/>
                <w:rFonts w:ascii="Times New Roman" w:hAnsi="Times New Roman" w:eastAsiaTheme="minorHAnsi" w:cs="Times New Roman"/>
                <w:color w:val="0000FF"/>
                <w:sz w:val="24"/>
                <w:szCs w:val="24"/>
                <w:u w:val="single"/>
                <w:lang w:val="en-US" w:eastAsia="en-US" w:bidi="ar-SA"/>
              </w:rPr>
              <w:t>msmckenzie@aep.com</w:t>
            </w:r>
            <w:r>
              <w:fldChar w:fldCharType="end"/>
            </w:r>
          </w:p>
          <w:p w:rsidR="005A4BC3" w:rsidRPr="00AB750D" w:rsidP="005A4BC3">
            <w:pPr>
              <w:spacing w:after="0" w:line="240" w:lineRule="auto"/>
              <w:ind w:left="101"/>
              <w:rPr>
                <w:rStyle w:val="Hyperlink"/>
                <w:rFonts w:ascii="Times New Roman" w:hAnsi="Times New Roman" w:eastAsiaTheme="minorHAnsi" w:cs="Times New Roman"/>
                <w:color w:val="auto"/>
                <w:sz w:val="24"/>
                <w:szCs w:val="24"/>
                <w:u w:val="none"/>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"mailto:cmblend@aep.com" </w:instrText>
            </w:r>
            <w:r>
              <w:fldChar w:fldCharType="separate"/>
            </w:r>
            <w:r w:rsidRPr="00AB750D" w:rsidR="00E17404">
              <w:rPr>
                <w:rStyle w:val="Hyperlink"/>
                <w:rFonts w:ascii="Times New Roman" w:hAnsi="Times New Roman" w:eastAsiaTheme="minorHAnsi" w:cs="Times New Roman"/>
                <w:color w:val="0000FF"/>
                <w:sz w:val="24"/>
                <w:szCs w:val="24"/>
                <w:u w:val="single"/>
                <w:lang w:val="en-US" w:eastAsia="en-US" w:bidi="ar-SA"/>
              </w:rPr>
              <w:t>cmblend@aep.com</w:t>
            </w:r>
            <w:r>
              <w:fldChar w:fldCharType="end"/>
            </w:r>
          </w:p>
          <w:p w:rsidR="005A4BC3" w:rsidRPr="00AB750D" w:rsidP="005A4BC3">
            <w:pPr>
              <w:spacing w:after="0" w:line="240" w:lineRule="auto"/>
              <w:ind w:left="101"/>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"mailto:fdarr@mwncmh.com" </w:instrText>
            </w:r>
            <w:r>
              <w:fldChar w:fldCharType="separate"/>
            </w:r>
            <w:r w:rsidRPr="00AB750D" w:rsidR="00E17404">
              <w:rPr>
                <w:rStyle w:val="Hyperlink"/>
                <w:rFonts w:ascii="Times New Roman" w:hAnsi="Times New Roman" w:eastAsiaTheme="minorHAnsi" w:cs="Times New Roman"/>
                <w:color w:val="0000FF"/>
                <w:sz w:val="24"/>
                <w:szCs w:val="24"/>
                <w:u w:val="single"/>
                <w:lang w:val="en-US" w:eastAsia="en-US" w:bidi="ar-SA"/>
              </w:rPr>
              <w:t>fdarr@mwncmh.com</w:t>
            </w:r>
            <w:r>
              <w:fldChar w:fldCharType="end"/>
            </w:r>
          </w:p>
          <w:p w:rsidR="005A4BC3" w:rsidRPr="00AB750D" w:rsidP="005A4BC3">
            <w:pPr>
              <w:spacing w:after="0" w:line="240" w:lineRule="auto"/>
              <w:ind w:left="101"/>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"mailto:mpritchard@mwncmh.com" </w:instrText>
            </w:r>
            <w:r>
              <w:fldChar w:fldCharType="separate"/>
            </w:r>
            <w:r w:rsidRPr="00AB750D" w:rsidR="00E17404">
              <w:rPr>
                <w:rStyle w:val="Hyperlink"/>
                <w:rFonts w:ascii="Times New Roman" w:hAnsi="Times New Roman" w:eastAsiaTheme="minorHAnsi" w:cs="Times New Roman"/>
                <w:color w:val="0000FF"/>
                <w:sz w:val="24"/>
                <w:szCs w:val="24"/>
                <w:u w:val="single"/>
                <w:lang w:val="en-US" w:eastAsia="en-US" w:bidi="ar-SA"/>
              </w:rPr>
              <w:t>mpritchard@mwncmh.com</w:t>
            </w:r>
            <w:r>
              <w:fldChar w:fldCharType="end"/>
            </w:r>
          </w:p>
          <w:p w:rsidR="005A4BC3" w:rsidRPr="00AB750D" w:rsidP="005A4BC3">
            <w:pPr>
              <w:autoSpaceDE w:val="0"/>
              <w:autoSpaceDN w:val="0"/>
              <w:adjustRightInd w:val="0"/>
              <w:spacing w:after="0" w:line="240" w:lineRule="auto"/>
              <w:ind w:left="101"/>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"mailto:Kurt.Helfrich@ThompsonHine.com" </w:instrText>
            </w:r>
            <w:r>
              <w:fldChar w:fldCharType="separate"/>
            </w:r>
            <w:r w:rsidRPr="00AB750D" w:rsidR="00E17404">
              <w:rPr>
                <w:rStyle w:val="Hyperlink"/>
                <w:rFonts w:ascii="Times New Roman" w:hAnsi="Times New Roman" w:eastAsiaTheme="minorHAnsi" w:cs="Times New Roman"/>
                <w:color w:val="0000FF"/>
                <w:sz w:val="24"/>
                <w:szCs w:val="24"/>
                <w:u w:val="single"/>
                <w:lang w:val="en-US" w:eastAsia="en-US" w:bidi="ar-SA"/>
              </w:rPr>
              <w:t>Kurt.Helfrich@ThompsonHine.com</w:t>
            </w:r>
            <w:r>
              <w:fldChar w:fldCharType="end"/>
            </w:r>
          </w:p>
          <w:p w:rsidR="005A4BC3" w:rsidRPr="00AB750D" w:rsidP="005A4BC3">
            <w:pPr>
              <w:autoSpaceDE w:val="0"/>
              <w:autoSpaceDN w:val="0"/>
              <w:adjustRightInd w:val="0"/>
              <w:spacing w:after="0" w:line="240" w:lineRule="auto"/>
              <w:ind w:left="101"/>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"mailto:Stephanie.Chmiel@ThompsonHine.com" </w:instrText>
            </w:r>
            <w:r>
              <w:fldChar w:fldCharType="separate"/>
            </w:r>
            <w:r w:rsidRPr="00AB750D" w:rsidR="00E17404">
              <w:rPr>
                <w:rStyle w:val="Hyperlink"/>
                <w:rFonts w:ascii="Times New Roman" w:hAnsi="Times New Roman" w:eastAsiaTheme="minorHAnsi" w:cs="Times New Roman"/>
                <w:color w:val="0000FF"/>
                <w:sz w:val="24"/>
                <w:szCs w:val="24"/>
                <w:u w:val="single"/>
                <w:lang w:val="en-US" w:eastAsia="en-US" w:bidi="ar-SA"/>
              </w:rPr>
              <w:t>Stephanie.Chmiel@ThompsonHine.com</w:t>
            </w:r>
            <w:r>
              <w:fldChar w:fldCharType="end"/>
            </w:r>
          </w:p>
          <w:p w:rsidR="005A4BC3" w:rsidRPr="00AB750D" w:rsidP="005A4BC3">
            <w:pPr>
              <w:spacing w:after="0" w:line="240" w:lineRule="auto"/>
              <w:ind w:left="101"/>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"mailto:Michael.Austin@ThompsonHine.com" </w:instrText>
            </w:r>
            <w:r>
              <w:fldChar w:fldCharType="separate"/>
            </w:r>
            <w:r w:rsidRPr="00AB750D" w:rsidR="00E17404">
              <w:rPr>
                <w:rStyle w:val="Hyperlink"/>
                <w:rFonts w:ascii="Times New Roman" w:hAnsi="Times New Roman" w:eastAsiaTheme="minorHAnsi" w:cs="Times New Roman"/>
                <w:color w:val="0000FF"/>
                <w:sz w:val="24"/>
                <w:szCs w:val="24"/>
                <w:u w:val="single"/>
                <w:lang w:val="en-US" w:eastAsia="en-US" w:bidi="ar-SA"/>
              </w:rPr>
              <w:t>Michael.Austin@ThompsonHine.com</w:t>
            </w:r>
            <w:r>
              <w:fldChar w:fldCharType="end"/>
            </w:r>
          </w:p>
          <w:p w:rsidR="005A4BC3" w:rsidRPr="00AB750D" w:rsidP="005A4BC3">
            <w:pPr>
              <w:autoSpaceDE w:val="0"/>
              <w:autoSpaceDN w:val="0"/>
              <w:adjustRightInd w:val="0"/>
              <w:spacing w:after="0" w:line="240" w:lineRule="auto"/>
              <w:ind w:left="101"/>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"mailto:mkurtz@BKLlawfirm.com" </w:instrText>
            </w:r>
            <w:r>
              <w:fldChar w:fldCharType="separate"/>
            </w:r>
            <w:r w:rsidRPr="00AB750D" w:rsidR="00E17404">
              <w:rPr>
                <w:rStyle w:val="Hyperlink"/>
                <w:rFonts w:ascii="Times New Roman" w:hAnsi="Times New Roman" w:eastAsiaTheme="minorHAnsi" w:cs="Times New Roman"/>
                <w:color w:val="0000FF"/>
                <w:sz w:val="24"/>
                <w:szCs w:val="24"/>
                <w:u w:val="single"/>
                <w:lang w:val="en-US" w:eastAsia="en-US" w:bidi="ar-SA"/>
              </w:rPr>
              <w:t>mkurtz@BKLlawfirm.com</w:t>
            </w:r>
            <w:r>
              <w:fldChar w:fldCharType="end"/>
            </w:r>
          </w:p>
          <w:p w:rsidR="005A4BC3" w:rsidRPr="00AB750D" w:rsidP="005A4BC3">
            <w:pPr>
              <w:autoSpaceDE w:val="0"/>
              <w:autoSpaceDN w:val="0"/>
              <w:adjustRightInd w:val="0"/>
              <w:spacing w:after="0" w:line="240" w:lineRule="auto"/>
              <w:ind w:left="101"/>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"mailto:kboehm@BKLlawfirm.com" </w:instrText>
            </w:r>
            <w:r>
              <w:fldChar w:fldCharType="separate"/>
            </w:r>
            <w:r w:rsidRPr="00AB750D" w:rsidR="00E17404">
              <w:rPr>
                <w:rStyle w:val="Hyperlink"/>
                <w:rFonts w:ascii="Times New Roman" w:hAnsi="Times New Roman" w:eastAsiaTheme="minorHAnsi" w:cs="Times New Roman"/>
                <w:color w:val="0000FF"/>
                <w:sz w:val="24"/>
                <w:szCs w:val="24"/>
                <w:u w:val="single"/>
                <w:lang w:val="en-US" w:eastAsia="en-US" w:bidi="ar-SA"/>
              </w:rPr>
              <w:t>kboehm@BKLlawfirm.com</w:t>
            </w:r>
            <w:r>
              <w:fldChar w:fldCharType="end"/>
            </w:r>
          </w:p>
          <w:p w:rsidR="005A4BC3" w:rsidRPr="00AB750D" w:rsidP="005A4BC3">
            <w:pPr>
              <w:spacing w:after="0" w:line="240" w:lineRule="auto"/>
              <w:ind w:left="101"/>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"mailto:jkylercohn@BKLlawfirm.com" </w:instrText>
            </w:r>
            <w:r>
              <w:fldChar w:fldCharType="separate"/>
            </w:r>
            <w:r w:rsidRPr="00AB750D" w:rsidR="00E17404">
              <w:rPr>
                <w:rStyle w:val="Hyperlink"/>
                <w:rFonts w:ascii="Times New Roman" w:hAnsi="Times New Roman" w:eastAsiaTheme="minorHAnsi" w:cs="Times New Roman"/>
                <w:color w:val="0000FF"/>
                <w:sz w:val="24"/>
                <w:szCs w:val="24"/>
                <w:u w:val="single"/>
                <w:lang w:val="en-US" w:eastAsia="en-US" w:bidi="ar-SA"/>
              </w:rPr>
              <w:t>jkylercohn@BKLlawfirm.com</w:t>
            </w:r>
            <w:r>
              <w:fldChar w:fldCharType="end"/>
            </w:r>
          </w:p>
          <w:p w:rsidR="005A4BC3" w:rsidRPr="00AB750D" w:rsidP="005A4BC3">
            <w:pPr>
              <w:spacing w:after="0" w:line="240" w:lineRule="auto"/>
              <w:ind w:left="101"/>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"mailto:rick.sites@ohiohospitals.org" </w:instrText>
            </w:r>
            <w:r>
              <w:fldChar w:fldCharType="separate"/>
            </w:r>
            <w:r w:rsidRPr="00AB750D" w:rsidR="00E17404">
              <w:rPr>
                <w:rStyle w:val="Hyperlink"/>
                <w:rFonts w:ascii="Times New Roman" w:hAnsi="Times New Roman" w:eastAsiaTheme="minorHAnsi" w:cs="Times New Roman"/>
                <w:color w:val="0000FF"/>
                <w:sz w:val="24"/>
                <w:szCs w:val="24"/>
                <w:u w:val="single"/>
                <w:lang w:val="en-US" w:eastAsia="en-US" w:bidi="ar-SA"/>
              </w:rPr>
              <w:t>rick.sites@ohiohospitals.org</w:t>
            </w:r>
            <w:r>
              <w:fldChar w:fldCharType="end"/>
            </w:r>
          </w:p>
          <w:p w:rsidR="005A4BC3" w:rsidRPr="00AB750D" w:rsidP="005A4BC3">
            <w:pPr>
              <w:autoSpaceDE w:val="0"/>
              <w:autoSpaceDN w:val="0"/>
              <w:adjustRightInd w:val="0"/>
              <w:spacing w:after="0" w:line="240" w:lineRule="auto"/>
              <w:ind w:left="101"/>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"mailto:mwarnock@bricker.com" </w:instrText>
            </w:r>
            <w:r>
              <w:fldChar w:fldCharType="separate"/>
            </w:r>
            <w:r w:rsidRPr="00AB750D" w:rsidR="00E17404">
              <w:rPr>
                <w:rStyle w:val="Hyperlink"/>
                <w:rFonts w:ascii="Times New Roman" w:hAnsi="Times New Roman" w:eastAsiaTheme="minorHAnsi" w:cs="Times New Roman"/>
                <w:color w:val="0000FF"/>
                <w:sz w:val="24"/>
                <w:szCs w:val="24"/>
                <w:u w:val="single"/>
                <w:lang w:val="en-US" w:eastAsia="en-US" w:bidi="ar-SA"/>
              </w:rPr>
              <w:t>mwarnock@bricker.com</w:t>
            </w:r>
            <w:r>
              <w:fldChar w:fldCharType="end"/>
            </w:r>
          </w:p>
          <w:p w:rsidR="005A4BC3" w:rsidRPr="00AB750D" w:rsidP="005A4BC3">
            <w:pPr>
              <w:spacing w:after="0" w:line="240" w:lineRule="auto"/>
              <w:ind w:left="101"/>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"mailto:rdove@attorneydove.com" </w:instrText>
            </w:r>
            <w:r>
              <w:fldChar w:fldCharType="separate"/>
            </w:r>
            <w:r w:rsidRPr="00AB750D" w:rsidR="00E17404">
              <w:rPr>
                <w:rStyle w:val="Hyperlink"/>
                <w:rFonts w:ascii="Times New Roman" w:hAnsi="Times New Roman" w:eastAsiaTheme="minorHAnsi" w:cs="Times New Roman"/>
                <w:color w:val="0000FF"/>
                <w:sz w:val="24"/>
                <w:szCs w:val="24"/>
                <w:u w:val="single"/>
                <w:lang w:val="en-US" w:eastAsia="en-US" w:bidi="ar-SA"/>
              </w:rPr>
              <w:t>rdove@attorneydove.com</w:t>
            </w:r>
            <w:r>
              <w:fldChar w:fldCharType="end"/>
            </w:r>
          </w:p>
          <w:p w:rsidR="005A4BC3" w:rsidRPr="00AB750D" w:rsidP="005A4BC3">
            <w:pPr>
              <w:spacing w:after="0" w:line="240" w:lineRule="auto"/>
              <w:ind w:left="101"/>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"mailto:rsahli@columbus.rr.com" </w:instrText>
            </w:r>
            <w:r>
              <w:fldChar w:fldCharType="separate"/>
            </w:r>
            <w:r w:rsidRPr="00AB750D" w:rsidR="00E17404">
              <w:rPr>
                <w:rStyle w:val="Hyperlink"/>
                <w:rFonts w:ascii="Times New Roman" w:hAnsi="Times New Roman" w:eastAsiaTheme="minorHAnsi" w:cs="Times New Roman"/>
                <w:color w:val="0000FF"/>
                <w:sz w:val="24"/>
                <w:szCs w:val="24"/>
                <w:u w:val="single"/>
                <w:lang w:val="en-US" w:eastAsia="en-US" w:bidi="ar-SA"/>
              </w:rPr>
              <w:t>rsahli@columbus.rr.com</w:t>
            </w:r>
            <w:r>
              <w:fldChar w:fldCharType="end"/>
            </w:r>
          </w:p>
          <w:p w:rsidR="005A4BC3" w:rsidRPr="00AB750D" w:rsidP="005A4BC3">
            <w:pPr>
              <w:autoSpaceDE w:val="0"/>
              <w:autoSpaceDN w:val="0"/>
              <w:adjustRightInd w:val="0"/>
              <w:spacing w:after="0" w:line="240" w:lineRule="auto"/>
              <w:ind w:left="101"/>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"mailto:mjsettineri@vorys.com" </w:instrText>
            </w:r>
            <w:r>
              <w:fldChar w:fldCharType="separate"/>
            </w:r>
            <w:r w:rsidRPr="00AB750D" w:rsidR="00E17404">
              <w:rPr>
                <w:rStyle w:val="Hyperlink"/>
                <w:rFonts w:ascii="Times New Roman" w:hAnsi="Times New Roman" w:eastAsiaTheme="minorHAnsi" w:cs="Times New Roman"/>
                <w:color w:val="0000FF"/>
                <w:sz w:val="24"/>
                <w:szCs w:val="24"/>
                <w:u w:val="single"/>
                <w:lang w:val="en-US" w:eastAsia="en-US" w:bidi="ar-SA"/>
              </w:rPr>
              <w:t>mjsettineri@vorys.com</w:t>
            </w:r>
            <w:r>
              <w:fldChar w:fldCharType="end"/>
            </w:r>
          </w:p>
          <w:p w:rsidR="005A4BC3" w:rsidRPr="00AB750D" w:rsidP="005A4BC3">
            <w:pPr>
              <w:autoSpaceDE w:val="0"/>
              <w:autoSpaceDN w:val="0"/>
              <w:adjustRightInd w:val="0"/>
              <w:spacing w:after="0" w:line="240" w:lineRule="auto"/>
              <w:ind w:left="101"/>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"mailto:glpetrucci@vorys.com" </w:instrText>
            </w:r>
            <w:r>
              <w:fldChar w:fldCharType="separate"/>
            </w:r>
            <w:r w:rsidRPr="00AB750D" w:rsidR="00E17404">
              <w:rPr>
                <w:rStyle w:val="Hyperlink"/>
                <w:rFonts w:ascii="Times New Roman" w:hAnsi="Times New Roman" w:eastAsiaTheme="minorHAnsi" w:cs="Times New Roman"/>
                <w:color w:val="0000FF"/>
                <w:sz w:val="24"/>
                <w:szCs w:val="24"/>
                <w:u w:val="single"/>
                <w:lang w:val="en-US" w:eastAsia="en-US" w:bidi="ar-SA"/>
              </w:rPr>
              <w:t>glpetrucci@vorys.com</w:t>
            </w:r>
            <w:r>
              <w:fldChar w:fldCharType="end"/>
            </w:r>
          </w:p>
          <w:p w:rsidR="005A4BC3" w:rsidRPr="00AB750D" w:rsidP="005A4BC3">
            <w:pPr>
              <w:spacing w:after="0" w:line="240" w:lineRule="auto"/>
              <w:ind w:left="101"/>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"mailto:ibatikov@vorys.com" </w:instrText>
            </w:r>
            <w:r>
              <w:fldChar w:fldCharType="separate"/>
            </w:r>
            <w:r w:rsidRPr="00AB750D" w:rsidR="00E17404">
              <w:rPr>
                <w:rStyle w:val="Hyperlink"/>
                <w:rFonts w:ascii="Times New Roman" w:hAnsi="Times New Roman" w:eastAsiaTheme="minorHAnsi" w:cs="Times New Roman"/>
                <w:color w:val="0000FF"/>
                <w:sz w:val="24"/>
                <w:szCs w:val="24"/>
                <w:u w:val="single"/>
                <w:lang w:val="en-US" w:eastAsia="en-US" w:bidi="ar-SA"/>
              </w:rPr>
              <w:t>ibatikov@vorys.com</w:t>
            </w:r>
            <w:r>
              <w:fldChar w:fldCharType="end"/>
            </w:r>
          </w:p>
          <w:p w:rsidR="005A4BC3" w:rsidRPr="00AB750D" w:rsidP="005A4BC3">
            <w:pPr>
              <w:spacing w:after="0" w:line="240" w:lineRule="auto"/>
              <w:ind w:left="101"/>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"mailto:joliker@igsenergy.com" </w:instrText>
            </w:r>
            <w:r>
              <w:fldChar w:fldCharType="separate"/>
            </w:r>
            <w:r w:rsidRPr="00AB750D" w:rsidR="00E17404">
              <w:rPr>
                <w:rStyle w:val="Hyperlink"/>
                <w:rFonts w:ascii="Times New Roman" w:hAnsi="Times New Roman" w:eastAsiaTheme="minorHAnsi" w:cs="Times New Roman"/>
                <w:color w:val="0000FF"/>
                <w:sz w:val="24"/>
                <w:szCs w:val="24"/>
                <w:u w:val="single"/>
                <w:lang w:val="en-US" w:eastAsia="en-US" w:bidi="ar-SA"/>
              </w:rPr>
              <w:t>joliker@igsenergy.com</w:t>
            </w:r>
            <w:r>
              <w:fldChar w:fldCharType="end"/>
            </w:r>
          </w:p>
          <w:p w:rsidR="005A4BC3" w:rsidRPr="00AB750D" w:rsidP="005A4BC3">
            <w:pPr>
              <w:spacing w:after="0" w:line="240" w:lineRule="auto"/>
              <w:ind w:left="101"/>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"mailto:mdortch@kravitzllc.com" </w:instrText>
            </w:r>
            <w:r>
              <w:fldChar w:fldCharType="separate"/>
            </w:r>
            <w:r w:rsidRPr="00AB750D" w:rsidR="00E17404">
              <w:rPr>
                <w:rStyle w:val="Hyperlink"/>
                <w:rFonts w:ascii="Times New Roman" w:hAnsi="Times New Roman" w:eastAsiaTheme="minorHAnsi" w:cs="Times New Roman"/>
                <w:color w:val="0000FF"/>
                <w:sz w:val="24"/>
                <w:szCs w:val="24"/>
                <w:u w:val="single"/>
                <w:lang w:val="en-US" w:eastAsia="en-US" w:bidi="ar-SA"/>
              </w:rPr>
              <w:t>mdortch@kravitzllc.com</w:t>
            </w:r>
            <w:r>
              <w:fldChar w:fldCharType="end"/>
            </w:r>
          </w:p>
          <w:p w:rsidR="005A4BC3" w:rsidRPr="00AB750D" w:rsidP="005A4BC3">
            <w:pPr>
              <w:spacing w:after="0" w:line="240" w:lineRule="auto"/>
              <w:ind w:left="101"/>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"mailto:amy.spiller@duke-energy.com" </w:instrText>
            </w:r>
            <w:r>
              <w:fldChar w:fldCharType="separate"/>
            </w:r>
            <w:r w:rsidRPr="00AB750D" w:rsidR="00E17404">
              <w:rPr>
                <w:rStyle w:val="Hyperlink"/>
                <w:rFonts w:ascii="Times New Roman" w:hAnsi="Times New Roman" w:eastAsiaTheme="minorHAnsi" w:cs="Times New Roman"/>
                <w:color w:val="0000FF"/>
                <w:sz w:val="24"/>
                <w:szCs w:val="24"/>
                <w:u w:val="single"/>
                <w:lang w:val="en-US" w:eastAsia="en-US" w:bidi="ar-SA"/>
              </w:rPr>
              <w:t>amy.spiller@duke-energy.com</w:t>
            </w:r>
            <w:r>
              <w:fldChar w:fldCharType="end"/>
            </w:r>
          </w:p>
          <w:p w:rsidR="005A4BC3" w:rsidRPr="00AB750D" w:rsidP="005A4BC3">
            <w:pPr>
              <w:spacing w:after="0" w:line="240" w:lineRule="auto"/>
              <w:ind w:left="101"/>
              <w:rPr>
                <w:rStyle w:val="DefaultParagraphFont"/>
                <w:rFonts w:ascii="Times New Roman" w:hAnsi="Times New Roman" w:eastAsiaTheme="minorHAnsi" w:cs="Times New Roman"/>
                <w:sz w:val="24"/>
                <w:szCs w:val="24"/>
                <w:lang w:val="en-US" w:eastAsia="en-US" w:bidi="ar-SA"/>
              </w:rPr>
            </w:pPr>
            <w:r>
              <w:fldChar w:fldCharType="begin"/>
            </w:r>
            <w:r>
              <w:rPr>
                <w:rFonts w:asciiTheme="minorHAnsi" w:eastAsiaTheme="minorHAnsi" w:hAnsiTheme="minorHAnsi" w:cstheme="minorBidi"/>
                <w:sz w:val="22"/>
                <w:szCs w:val="22"/>
                <w:lang w:val="en-US" w:eastAsia="en-US" w:bidi="ar-SA"/>
              </w:rPr>
              <w:instrText xml:space="preserve"> HYPERLINK "mailto:Elizabeth.watts@duke-energy.com" </w:instrText>
            </w:r>
            <w:r>
              <w:fldChar w:fldCharType="separate"/>
            </w:r>
            <w:r w:rsidRPr="00AB750D" w:rsidR="00E17404">
              <w:rPr>
                <w:rStyle w:val="Hyperlink"/>
                <w:rFonts w:ascii="Times New Roman" w:hAnsi="Times New Roman" w:eastAsiaTheme="minorHAnsi" w:cs="Times New Roman"/>
                <w:color w:val="0000FF"/>
                <w:sz w:val="24"/>
                <w:szCs w:val="24"/>
                <w:u w:val="single"/>
                <w:lang w:val="en-US" w:eastAsia="en-US" w:bidi="ar-SA"/>
              </w:rPr>
              <w:t>Elizabeth.watts@duke-energy.com</w:t>
            </w:r>
            <w:r>
              <w:fldChar w:fldCharType="end"/>
            </w:r>
          </w:p>
          <w:p w:rsidR="005A4BC3" w:rsidRPr="00AB750D" w:rsidP="005A4BC3">
            <w:pPr>
              <w:spacing w:after="0" w:line="240" w:lineRule="auto"/>
              <w:rPr>
                <w:rStyle w:val="DefaultParagraphFont"/>
                <w:rFonts w:ascii="Times New Roman" w:hAnsi="Times New Roman" w:eastAsiaTheme="minorHAnsi" w:cs="Times New Roman"/>
                <w:b/>
                <w:sz w:val="24"/>
                <w:szCs w:val="24"/>
                <w:lang w:val="en-US" w:eastAsia="en-US" w:bidi="ar-SA"/>
              </w:rPr>
            </w:pPr>
            <w:r w:rsidRPr="00AB750D">
              <w:rPr>
                <w:rFonts w:ascii="Times New Roman" w:hAnsi="Times New Roman" w:eastAsiaTheme="minorHAnsi" w:cs="Times New Roman"/>
                <w:sz w:val="24"/>
                <w:szCs w:val="24"/>
                <w:lang w:val="en-US" w:eastAsia="en-US" w:bidi="ar-SA"/>
              </w:rPr>
              <w:t xml:space="preserve">  </w:t>
            </w:r>
            <w:r>
              <w:fldChar w:fldCharType="begin"/>
            </w:r>
            <w:r>
              <w:rPr>
                <w:rFonts w:asciiTheme="minorHAnsi" w:eastAsiaTheme="minorHAnsi" w:hAnsiTheme="minorHAnsi" w:cstheme="minorBidi"/>
                <w:sz w:val="22"/>
                <w:szCs w:val="22"/>
                <w:lang w:val="en-US" w:eastAsia="en-US" w:bidi="ar-SA"/>
              </w:rPr>
              <w:instrText xml:space="preserve"> HYPERLINK "mailto:joe.halso@sierraclub.org" </w:instrText>
            </w:r>
            <w:r>
              <w:fldChar w:fldCharType="separate"/>
            </w:r>
            <w:r w:rsidRPr="00AB750D">
              <w:rPr>
                <w:rStyle w:val="Hyperlink"/>
                <w:rFonts w:ascii="Times New Roman" w:hAnsi="Times New Roman" w:eastAsiaTheme="minorHAnsi" w:cs="Times New Roman"/>
                <w:color w:val="0000FF"/>
                <w:sz w:val="24"/>
                <w:szCs w:val="24"/>
                <w:u w:val="single"/>
                <w:lang w:val="en-US" w:eastAsia="en-US" w:bidi="ar-SA"/>
              </w:rPr>
              <w:t>joe.halso@sierraclub.org</w:t>
            </w:r>
            <w:r>
              <w:fldChar w:fldCharType="end"/>
            </w:r>
          </w:p>
        </w:tc>
      </w:tr>
    </w:tbl>
    <w:p w:rsidR="005A4BC3" w:rsidRPr="00AB750D" w:rsidP="005A4BC3">
      <w:pPr>
        <w:tabs>
          <w:tab w:val="left" w:pos="5400"/>
        </w:tabs>
        <w:spacing w:line="240" w:lineRule="auto"/>
        <w:jc w:val="center"/>
        <w:rPr>
          <w:rFonts w:ascii="Times New Roman" w:hAnsi="Times New Roman" w:cs="Times New Roman"/>
          <w:b/>
          <w:sz w:val="24"/>
          <w:szCs w:val="24"/>
          <w:u w:val="single"/>
        </w:rPr>
      </w:pPr>
    </w:p>
    <w:p w:rsidR="005A4BC3" w:rsidRPr="00AB750D" w:rsidP="005A4BC3">
      <w:pPr>
        <w:spacing w:line="480" w:lineRule="auto"/>
        <w:rPr>
          <w:rFonts w:ascii="Times New Roman" w:hAnsi="Times New Roman" w:cs="Times New Roman"/>
          <w:sz w:val="24"/>
          <w:szCs w:val="24"/>
        </w:rPr>
      </w:pPr>
    </w:p>
    <w:sectPr w:rsidSect="005A4BC3">
      <w:footerReference w:type="default" r:id="rId1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6B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3DBE">
    <w:pPr>
      <w:pStyle w:val="Footer"/>
      <w:jc w:val="center"/>
    </w:pPr>
  </w:p>
  <w:p w:rsidR="00473D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6B7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11160262"/>
      <w:docPartObj>
        <w:docPartGallery w:val="Page Numbers (Bottom of Page)"/>
        <w:docPartUnique/>
      </w:docPartObj>
    </w:sdtPr>
    <w:sdtEndPr>
      <w:rPr>
        <w:noProof/>
      </w:rPr>
    </w:sdtEndPr>
    <w:sdtContent>
      <w:p w:rsidR="00774675">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rsidR="00473DB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3DBE">
    <w:pPr>
      <w:pStyle w:val="Footer"/>
      <w:jc w:val="center"/>
    </w:pPr>
  </w:p>
  <w:p w:rsidR="00473DB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34570898"/>
      <w:docPartObj>
        <w:docPartGallery w:val="Page Numbers (Bottom of Page)"/>
        <w:docPartUnique/>
      </w:docPartObj>
    </w:sdtPr>
    <w:sdtEndPr>
      <w:rPr>
        <w:rFonts w:ascii="Times New Roman" w:hAnsi="Times New Roman" w:cs="Times New Roman"/>
        <w:noProof/>
        <w:sz w:val="24"/>
        <w:szCs w:val="24"/>
      </w:rPr>
    </w:sdtEndPr>
    <w:sdtContent>
      <w:p w:rsidR="00473DBE" w:rsidRPr="00774675">
        <w:pPr>
          <w:pStyle w:val="Footer"/>
          <w:jc w:val="center"/>
          <w:rPr>
            <w:rFonts w:ascii="Times New Roman" w:hAnsi="Times New Roman" w:cs="Times New Roman"/>
            <w:sz w:val="24"/>
            <w:szCs w:val="24"/>
          </w:rPr>
        </w:pPr>
        <w:r w:rsidRPr="00774675">
          <w:rPr>
            <w:rFonts w:ascii="Times New Roman" w:hAnsi="Times New Roman" w:cs="Times New Roman"/>
            <w:sz w:val="24"/>
            <w:szCs w:val="24"/>
          </w:rPr>
          <w:fldChar w:fldCharType="begin"/>
        </w:r>
        <w:r w:rsidRPr="00774675">
          <w:rPr>
            <w:rFonts w:ascii="Times New Roman" w:hAnsi="Times New Roman" w:cs="Times New Roman"/>
            <w:sz w:val="24"/>
            <w:szCs w:val="24"/>
          </w:rPr>
          <w:instrText xml:space="preserve"> PAGE   \* MERGEFORMAT </w:instrText>
        </w:r>
        <w:r w:rsidRPr="00774675">
          <w:rPr>
            <w:rFonts w:ascii="Times New Roman" w:hAnsi="Times New Roman" w:cs="Times New Roman"/>
            <w:sz w:val="24"/>
            <w:szCs w:val="24"/>
          </w:rPr>
          <w:fldChar w:fldCharType="separate"/>
        </w:r>
        <w:r>
          <w:rPr>
            <w:rFonts w:ascii="Times New Roman" w:hAnsi="Times New Roman" w:cs="Times New Roman"/>
            <w:noProof/>
            <w:sz w:val="24"/>
            <w:szCs w:val="24"/>
          </w:rPr>
          <w:t>29</w:t>
        </w:r>
        <w:r w:rsidRPr="00774675">
          <w:rPr>
            <w:rFonts w:ascii="Times New Roman" w:hAnsi="Times New Roman" w:cs="Times New Roman"/>
            <w:noProof/>
            <w:sz w:val="24"/>
            <w:szCs w:val="24"/>
          </w:rPr>
          <w:fldChar w:fldCharType="end"/>
        </w:r>
      </w:p>
    </w:sdtContent>
  </w:sdt>
  <w:p w:rsidR="00473DB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3DBE" w:rsidRPr="00FC68D8" w:rsidP="005A4BC3">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5C4497">
      <w:pPr>
        <w:spacing w:after="0" w:line="240" w:lineRule="auto"/>
      </w:pPr>
      <w:r>
        <w:separator/>
      </w:r>
    </w:p>
  </w:footnote>
  <w:footnote w:type="continuationSeparator" w:id="1">
    <w:p w:rsidR="005C4497">
      <w:pPr>
        <w:spacing w:after="0" w:line="240" w:lineRule="auto"/>
      </w:pPr>
      <w:r>
        <w:continuationSeparator/>
      </w:r>
    </w:p>
  </w:footnote>
  <w:footnote w:id="2">
    <w:p w:rsidR="00473DBE" w:rsidRPr="005423D4" w:rsidP="00961EF0">
      <w:pPr>
        <w:pStyle w:val="FootnoteText"/>
        <w:spacing w:after="120"/>
      </w:pPr>
      <w:r w:rsidRPr="005423D4">
        <w:rPr>
          <w:rStyle w:val="FootnoteReference"/>
        </w:rPr>
        <w:footnoteRef/>
      </w:r>
      <w:r w:rsidRPr="005423D4">
        <w:t xml:space="preserve"> See Ohio Senate Bill 3, as passed by the 123rd General Assembly, 1999.</w:t>
      </w:r>
    </w:p>
  </w:footnote>
  <w:footnote w:id="3">
    <w:p w:rsidR="00473DBE" w:rsidRPr="005423D4" w:rsidP="00961EF0">
      <w:pPr>
        <w:pStyle w:val="FootnoteText"/>
        <w:spacing w:after="120"/>
      </w:pPr>
      <w:r w:rsidRPr="005423D4">
        <w:rPr>
          <w:rStyle w:val="FootnoteReference"/>
        </w:rPr>
        <w:footnoteRef/>
      </w:r>
      <w:r w:rsidRPr="005423D4">
        <w:t xml:space="preserve"> See </w:t>
      </w:r>
      <w:r w:rsidRPr="005423D4">
        <w:rPr>
          <w:i/>
        </w:rPr>
        <w:t>In the Matter of the Application of the Ohio Edison Company, The Cleveland Electric Illuminating Company, and the Toledo Edison Company, for Authority to Establish a Standard Service Offer Pursuant to R.C. § 4928.143 in the Form of an Electric Security Plan</w:t>
      </w:r>
      <w:r w:rsidRPr="005423D4">
        <w:t>, Case No. 08-935-EL-SSO, Second Opinion and Order, Opinion of Commissioner Cheryl L. Roberto Concurring in Part and Dissenting in Part (Mar. 25, 2009) at 1-2 (“In the case of an ESP, the balance of power created by an electric distribution utility's authority to withdraw a Commission-modified and approved plan creates a dynamic that is impossible to ignore. I have no reservation that the parties are indeed capable and knowledgeable but, because of the utility's ability to withdraw, the remaining parties certainly do not possess equal bargaining power in an ESP action before the Commission.”).</w:t>
      </w:r>
    </w:p>
  </w:footnote>
  <w:footnote w:id="4">
    <w:p w:rsidR="00473DBE" w:rsidRPr="00724042" w:rsidP="00AB750D">
      <w:pPr>
        <w:pStyle w:val="FootnoteText"/>
        <w:spacing w:after="120"/>
      </w:pPr>
      <w:r>
        <w:rPr>
          <w:rStyle w:val="FootnoteReference"/>
        </w:rPr>
        <w:footnoteRef/>
      </w:r>
      <w:r>
        <w:t xml:space="preserve"> </w:t>
      </w:r>
      <w:r>
        <w:rPr>
          <w:i/>
        </w:rPr>
        <w:t xml:space="preserve">See </w:t>
      </w:r>
      <w:r>
        <w:t xml:space="preserve">Initial Post-Hearing Brief of Staff of the Public Utilities Commission of Ohio at 1. </w:t>
      </w:r>
    </w:p>
  </w:footnote>
  <w:footnote w:id="5">
    <w:p w:rsidR="00473DBE" w:rsidRPr="007458F2" w:rsidP="00AB750D">
      <w:pPr>
        <w:pStyle w:val="FootnoteText"/>
        <w:spacing w:after="120"/>
      </w:pPr>
      <w:r>
        <w:rPr>
          <w:rStyle w:val="FootnoteReference"/>
        </w:rPr>
        <w:footnoteRef/>
      </w:r>
      <w:r>
        <w:t xml:space="preserve"> </w:t>
      </w:r>
      <w:r>
        <w:rPr>
          <w:i/>
        </w:rPr>
        <w:t xml:space="preserve">See In re Application of Columbus S. Power Co., </w:t>
      </w:r>
      <w:r>
        <w:t xml:space="preserve">Case No. 09-1089-EL-POR, Opinion and Order at 21(May 13, 2010). </w:t>
      </w:r>
    </w:p>
  </w:footnote>
  <w:footnote w:id="6">
    <w:p w:rsidR="00473DBE" w:rsidRPr="000C780B" w:rsidP="00AB750D">
      <w:pPr>
        <w:pStyle w:val="FootnoteText"/>
        <w:spacing w:after="120"/>
      </w:pPr>
      <w:r>
        <w:rPr>
          <w:rStyle w:val="FootnoteReference"/>
        </w:rPr>
        <w:footnoteRef/>
      </w:r>
      <w:r>
        <w:t xml:space="preserve"> </w:t>
      </w:r>
      <w:r>
        <w:rPr>
          <w:i/>
        </w:rPr>
        <w:t>See</w:t>
      </w:r>
      <w:r>
        <w:t xml:space="preserve"> Initial Post-Hearing Brief of Ohio Power Company at 3. </w:t>
      </w:r>
    </w:p>
  </w:footnote>
  <w:footnote w:id="7">
    <w:p w:rsidR="00473DBE" w:rsidRPr="008079C5" w:rsidP="00AB750D">
      <w:pPr>
        <w:pStyle w:val="FootnoteText"/>
        <w:spacing w:after="120"/>
      </w:pPr>
      <w:r>
        <w:rPr>
          <w:rStyle w:val="FootnoteReference"/>
        </w:rPr>
        <w:footnoteRef/>
      </w:r>
      <w:r>
        <w:t xml:space="preserve"> Hearing Transcript at Vol. I, p. 26:9-12; 29:8-12. </w:t>
      </w:r>
    </w:p>
  </w:footnote>
  <w:footnote w:id="8">
    <w:p w:rsidR="00473DBE" w:rsidP="00AB750D">
      <w:pPr>
        <w:pStyle w:val="FootnoteText"/>
        <w:spacing w:after="120"/>
      </w:pPr>
      <w:r>
        <w:rPr>
          <w:rStyle w:val="FootnoteReference"/>
        </w:rPr>
        <w:footnoteRef/>
      </w:r>
      <w:r>
        <w:t xml:space="preserve"> </w:t>
      </w:r>
      <w:r>
        <w:rPr>
          <w:i/>
        </w:rPr>
        <w:t xml:space="preserve">Id. </w:t>
      </w:r>
      <w:r>
        <w:t xml:space="preserve">at 161:14-24. </w:t>
      </w:r>
    </w:p>
  </w:footnote>
  <w:footnote w:id="9">
    <w:p w:rsidR="00473DBE" w:rsidRPr="00892EA7" w:rsidP="00AB750D">
      <w:pPr>
        <w:pStyle w:val="FootnoteText"/>
        <w:spacing w:after="120"/>
      </w:pPr>
      <w:r>
        <w:rPr>
          <w:rStyle w:val="FootnoteReference"/>
        </w:rPr>
        <w:footnoteRef/>
      </w:r>
      <w:r>
        <w:t xml:space="preserve"> </w:t>
      </w:r>
      <w:r>
        <w:rPr>
          <w:i/>
        </w:rPr>
        <w:t xml:space="preserve">Id. </w:t>
      </w:r>
      <w:r>
        <w:t>at 54:4-5.</w:t>
      </w:r>
    </w:p>
  </w:footnote>
  <w:footnote w:id="10">
    <w:p w:rsidR="00473DBE" w:rsidRPr="00111376" w:rsidP="00AB750D">
      <w:pPr>
        <w:pStyle w:val="FootnoteText"/>
        <w:spacing w:after="120"/>
      </w:pPr>
      <w:r>
        <w:rPr>
          <w:rStyle w:val="FootnoteReference"/>
        </w:rPr>
        <w:footnoteRef/>
      </w:r>
      <w:r>
        <w:t xml:space="preserve"> </w:t>
      </w:r>
      <w:r>
        <w:rPr>
          <w:i/>
        </w:rPr>
        <w:t xml:space="preserve">Id. </w:t>
      </w:r>
      <w:r>
        <w:t>at 54:13-16.</w:t>
      </w:r>
    </w:p>
  </w:footnote>
  <w:footnote w:id="11">
    <w:p w:rsidR="00473DBE" w:rsidP="00AB750D">
      <w:pPr>
        <w:pStyle w:val="FootnoteText"/>
        <w:spacing w:after="120"/>
      </w:pPr>
      <w:r>
        <w:rPr>
          <w:rStyle w:val="FootnoteReference"/>
        </w:rPr>
        <w:footnoteRef/>
      </w:r>
      <w:r>
        <w:t xml:space="preserve"> </w:t>
      </w:r>
      <w:r>
        <w:rPr>
          <w:i/>
        </w:rPr>
        <w:t xml:space="preserve">Id. </w:t>
      </w:r>
      <w:r>
        <w:t xml:space="preserve">at 80-81:18-19. </w:t>
      </w:r>
    </w:p>
  </w:footnote>
  <w:footnote w:id="12">
    <w:p w:rsidR="00473DBE" w:rsidP="00AB750D">
      <w:pPr>
        <w:pStyle w:val="FootnoteText"/>
        <w:spacing w:after="120"/>
      </w:pPr>
      <w:r>
        <w:rPr>
          <w:rStyle w:val="FootnoteReference"/>
        </w:rPr>
        <w:footnoteRef/>
      </w:r>
      <w:r>
        <w:t xml:space="preserve"> </w:t>
      </w:r>
      <w:r>
        <w:rPr>
          <w:i/>
        </w:rPr>
        <w:t xml:space="preserve">See </w:t>
      </w:r>
      <w:r>
        <w:t xml:space="preserve">Joint Stipulation and Recommendation (Joint Ex. 1) filed December 14, 2015 at pp. 8-9, Section (D)(3). </w:t>
      </w:r>
    </w:p>
  </w:footnote>
  <w:footnote w:id="13">
    <w:p w:rsidR="00473DBE" w:rsidRPr="007D5BCB" w:rsidP="00AB750D">
      <w:pPr>
        <w:pStyle w:val="FootnoteText"/>
        <w:spacing w:after="120"/>
      </w:pPr>
      <w:r>
        <w:rPr>
          <w:rStyle w:val="FootnoteReference"/>
        </w:rPr>
        <w:footnoteRef/>
      </w:r>
      <w:r>
        <w:t xml:space="preserve"> Hearing Transcript at Vol. I, p. 28:13-22.</w:t>
      </w:r>
    </w:p>
  </w:footnote>
  <w:footnote w:id="14">
    <w:p w:rsidR="00473DBE" w:rsidP="00AB750D">
      <w:pPr>
        <w:pStyle w:val="FootnoteText"/>
        <w:spacing w:after="120"/>
      </w:pPr>
      <w:r>
        <w:rPr>
          <w:rStyle w:val="FootnoteReference"/>
        </w:rPr>
        <w:footnoteRef/>
      </w:r>
      <w:r>
        <w:t xml:space="preserve"> </w:t>
      </w:r>
      <w:r>
        <w:rPr>
          <w:i/>
        </w:rPr>
        <w:t xml:space="preserve">See </w:t>
      </w:r>
      <w:r>
        <w:t xml:space="preserve">Joint Stipulation and Recommendation at p. 7, Section (D)(1). </w:t>
      </w:r>
    </w:p>
  </w:footnote>
  <w:footnote w:id="15">
    <w:p w:rsidR="00473DBE" w:rsidP="00AB750D">
      <w:pPr>
        <w:pStyle w:val="FootnoteText"/>
        <w:spacing w:after="120"/>
      </w:pPr>
      <w:r>
        <w:rPr>
          <w:rStyle w:val="FootnoteReference"/>
        </w:rPr>
        <w:footnoteRef/>
      </w:r>
      <w:r>
        <w:t xml:space="preserve"> R.C. 4923.143(C)(1).</w:t>
      </w:r>
    </w:p>
  </w:footnote>
  <w:footnote w:id="16">
    <w:p w:rsidR="00473DBE" w:rsidRPr="00C95B15" w:rsidP="00AB750D">
      <w:pPr>
        <w:pStyle w:val="FootnoteText"/>
        <w:spacing w:after="120"/>
      </w:pPr>
      <w:r>
        <w:rPr>
          <w:rStyle w:val="FootnoteReference"/>
        </w:rPr>
        <w:footnoteRef/>
      </w:r>
      <w:r>
        <w:t xml:space="preserve"> Hearing Transcript at Vol. I, p. 90:20-21.</w:t>
      </w:r>
    </w:p>
  </w:footnote>
  <w:footnote w:id="17">
    <w:p w:rsidR="00473DBE" w:rsidP="00AB750D">
      <w:pPr>
        <w:pStyle w:val="FootnoteText"/>
        <w:spacing w:after="120"/>
      </w:pPr>
      <w:r>
        <w:rPr>
          <w:rStyle w:val="FootnoteReference"/>
        </w:rPr>
        <w:footnoteRef/>
      </w:r>
      <w:r>
        <w:t xml:space="preserve"> </w:t>
      </w:r>
      <w:r>
        <w:rPr>
          <w:i/>
        </w:rPr>
        <w:t xml:space="preserve">See </w:t>
      </w:r>
      <w:r>
        <w:t>Joint Stipulation and Recommendation at p. 12, Section (G)(1) and p. 15 Section (H)(1)(C).</w:t>
      </w:r>
    </w:p>
  </w:footnote>
  <w:footnote w:id="18">
    <w:p w:rsidR="00473DBE" w:rsidRPr="00DF2775" w:rsidP="00AB750D">
      <w:pPr>
        <w:pStyle w:val="FootnoteText"/>
        <w:spacing w:after="120"/>
      </w:pPr>
      <w:r>
        <w:rPr>
          <w:rStyle w:val="FootnoteReference"/>
        </w:rPr>
        <w:footnoteRef/>
      </w:r>
      <w:r>
        <w:t xml:space="preserve"> Hearing Transcript at Vol. I, p. 90:14-24.  Further, travelers from anywhere outside AEP’s service territory could use charging stations paid for by AEP’s customers.  </w:t>
      </w:r>
      <w:r w:rsidRPr="00776080">
        <w:rPr>
          <w:i/>
        </w:rPr>
        <w:t>Id.</w:t>
      </w:r>
      <w:r>
        <w:t xml:space="preserve"> at 118:22-119:5.</w:t>
      </w:r>
    </w:p>
  </w:footnote>
  <w:footnote w:id="19">
    <w:p w:rsidR="00473DBE" w:rsidRPr="00DF2775" w:rsidP="00AB750D">
      <w:pPr>
        <w:pStyle w:val="FootnoteText"/>
        <w:spacing w:after="120"/>
      </w:pPr>
      <w:r>
        <w:rPr>
          <w:rStyle w:val="FootnoteReference"/>
        </w:rPr>
        <w:footnoteRef/>
      </w:r>
      <w:r>
        <w:t xml:space="preserve"> </w:t>
      </w:r>
      <w:r>
        <w:rPr>
          <w:i/>
        </w:rPr>
        <w:t xml:space="preserve">Id. </w:t>
      </w:r>
      <w:r>
        <w:t xml:space="preserve">at 89-90:15-3. </w:t>
      </w:r>
    </w:p>
  </w:footnote>
  <w:footnote w:id="20">
    <w:p w:rsidR="00473DBE" w:rsidRPr="00DF2775" w:rsidP="00AB750D">
      <w:pPr>
        <w:pStyle w:val="FootnoteText"/>
        <w:spacing w:after="120"/>
      </w:pPr>
      <w:r>
        <w:rPr>
          <w:rStyle w:val="FootnoteReference"/>
        </w:rPr>
        <w:footnoteRef/>
      </w:r>
      <w:r>
        <w:t xml:space="preserve"> </w:t>
      </w:r>
      <w:r>
        <w:rPr>
          <w:i/>
        </w:rPr>
        <w:t>In the Matter of the Application of Ohio Power Company for Approval of an Advanced Meter Opt-Out Service Tariff</w:t>
      </w:r>
      <w:r>
        <w:t>. Case No. 14-1158-EL-ATA, Opinion and Order at 9-10 (April 27, 2016) (Holding that customers should not have to pay for advanced meter opt-out service if they are not actually receiving a reduction in costs resulting from the operational efficiencies created by AEP Ohio’s gridSmart Program.)</w:t>
      </w:r>
    </w:p>
  </w:footnote>
  <w:footnote w:id="21">
    <w:p w:rsidR="00473DBE" w:rsidP="00AB750D">
      <w:pPr>
        <w:pStyle w:val="FootnoteText"/>
        <w:spacing w:after="120"/>
      </w:pPr>
      <w:r>
        <w:rPr>
          <w:rStyle w:val="FootnoteReference"/>
        </w:rPr>
        <w:footnoteRef/>
      </w:r>
      <w:r>
        <w:t xml:space="preserve"> Hearing Transcript at Vol. I, pp. 30:1-17; 94:1-17.</w:t>
      </w:r>
    </w:p>
  </w:footnote>
  <w:footnote w:id="22">
    <w:p w:rsidR="00473DBE" w:rsidRPr="001F5647" w:rsidP="00AB750D">
      <w:pPr>
        <w:pStyle w:val="FootnoteText"/>
        <w:spacing w:after="120"/>
      </w:pPr>
      <w:r>
        <w:rPr>
          <w:rStyle w:val="FootnoteReference"/>
        </w:rPr>
        <w:footnoteRef/>
      </w:r>
      <w:r>
        <w:t xml:space="preserve"> </w:t>
      </w:r>
      <w:r w:rsidRPr="00776080">
        <w:rPr>
          <w:i/>
        </w:rPr>
        <w:t>Id.</w:t>
      </w:r>
      <w:r>
        <w:t xml:space="preserve"> at 95:14-15.</w:t>
      </w:r>
    </w:p>
  </w:footnote>
  <w:footnote w:id="23">
    <w:p w:rsidR="00473DBE" w:rsidRPr="001F5647" w:rsidP="00AB750D">
      <w:pPr>
        <w:pStyle w:val="FootnoteText"/>
        <w:spacing w:after="120"/>
      </w:pPr>
      <w:r>
        <w:rPr>
          <w:rStyle w:val="FootnoteReference"/>
        </w:rPr>
        <w:footnoteRef/>
      </w:r>
      <w:r>
        <w:t xml:space="preserve"> </w:t>
      </w:r>
      <w:r>
        <w:rPr>
          <w:i/>
        </w:rPr>
        <w:t xml:space="preserve">Id. </w:t>
      </w:r>
      <w:r>
        <w:t>at 96:1-5.</w:t>
      </w:r>
    </w:p>
  </w:footnote>
  <w:footnote w:id="24">
    <w:p w:rsidR="00473DBE" w:rsidRPr="00111376" w:rsidP="00AB750D">
      <w:pPr>
        <w:pStyle w:val="FootnoteText"/>
        <w:spacing w:after="120"/>
      </w:pPr>
      <w:r>
        <w:rPr>
          <w:rStyle w:val="FootnoteReference"/>
        </w:rPr>
        <w:footnoteRef/>
      </w:r>
      <w:r>
        <w:t xml:space="preserve"> </w:t>
      </w:r>
      <w:r>
        <w:rPr>
          <w:i/>
        </w:rPr>
        <w:t>Id.</w:t>
      </w:r>
      <w:r>
        <w:t xml:space="preserve"> at 35:1-3.</w:t>
      </w:r>
    </w:p>
  </w:footnote>
  <w:footnote w:id="25">
    <w:p w:rsidR="00473DBE" w:rsidRPr="00F00932" w:rsidP="00AB750D">
      <w:pPr>
        <w:pStyle w:val="FootnoteText"/>
        <w:spacing w:after="120"/>
      </w:pPr>
      <w:r>
        <w:rPr>
          <w:rStyle w:val="FootnoteReference"/>
        </w:rPr>
        <w:footnoteRef/>
      </w:r>
      <w:r>
        <w:t xml:space="preserve"> </w:t>
      </w:r>
      <w:r>
        <w:rPr>
          <w:i/>
        </w:rPr>
        <w:t xml:space="preserve">Id. </w:t>
      </w:r>
      <w:r>
        <w:t>at 35:1-10.</w:t>
      </w:r>
    </w:p>
  </w:footnote>
  <w:footnote w:id="26">
    <w:p w:rsidR="00473DBE" w:rsidRPr="00F00932" w:rsidP="00AB750D">
      <w:pPr>
        <w:pStyle w:val="FootnoteText"/>
        <w:spacing w:after="120"/>
      </w:pPr>
      <w:r>
        <w:rPr>
          <w:rStyle w:val="FootnoteReference"/>
        </w:rPr>
        <w:footnoteRef/>
      </w:r>
      <w:r>
        <w:t xml:space="preserve"> </w:t>
      </w:r>
      <w:r>
        <w:rPr>
          <w:i/>
        </w:rPr>
        <w:t xml:space="preserve">Id. </w:t>
      </w:r>
      <w:r>
        <w:t>at 38:19-22.</w:t>
      </w:r>
    </w:p>
  </w:footnote>
  <w:footnote w:id="27">
    <w:p w:rsidR="00473DBE" w:rsidP="00AB750D">
      <w:pPr>
        <w:pStyle w:val="FootnoteText"/>
        <w:spacing w:after="120"/>
      </w:pPr>
      <w:r>
        <w:rPr>
          <w:rStyle w:val="FootnoteReference"/>
        </w:rPr>
        <w:footnoteRef/>
      </w:r>
      <w:r>
        <w:t xml:space="preserve"> </w:t>
      </w:r>
      <w:r>
        <w:rPr>
          <w:i/>
        </w:rPr>
        <w:t>Id.</w:t>
      </w:r>
      <w:r>
        <w:t xml:space="preserve"> at 117:4-10.</w:t>
      </w:r>
    </w:p>
  </w:footnote>
  <w:footnote w:id="28">
    <w:p w:rsidR="00473DBE" w:rsidP="00AB750D">
      <w:pPr>
        <w:pStyle w:val="FootnoteText"/>
        <w:spacing w:after="120"/>
      </w:pPr>
      <w:r>
        <w:rPr>
          <w:rStyle w:val="FootnoteReference"/>
        </w:rPr>
        <w:footnoteRef/>
      </w:r>
      <w:r>
        <w:t xml:space="preserve"> </w:t>
      </w:r>
      <w:r w:rsidRPr="005F6658">
        <w:rPr>
          <w:i/>
        </w:rPr>
        <w:t>Id.</w:t>
      </w:r>
      <w:r>
        <w:t xml:space="preserve"> at 121:4-6.</w:t>
      </w:r>
    </w:p>
  </w:footnote>
  <w:footnote w:id="29">
    <w:p w:rsidR="00473DBE" w:rsidP="00AB750D">
      <w:pPr>
        <w:pStyle w:val="FootnoteText"/>
        <w:spacing w:after="120"/>
      </w:pPr>
      <w:r>
        <w:rPr>
          <w:rStyle w:val="FootnoteReference"/>
        </w:rPr>
        <w:footnoteRef/>
      </w:r>
      <w:r>
        <w:t xml:space="preserve"> </w:t>
      </w:r>
      <w:r w:rsidRPr="005F6658">
        <w:rPr>
          <w:i/>
        </w:rPr>
        <w:t>Id.</w:t>
      </w:r>
      <w:r>
        <w:t xml:space="preserve"> at 123:12-18.</w:t>
      </w:r>
    </w:p>
  </w:footnote>
  <w:footnote w:id="30">
    <w:p w:rsidR="00473DBE" w:rsidRPr="009A6688" w:rsidP="00AB750D">
      <w:pPr>
        <w:pStyle w:val="FootnoteText"/>
        <w:spacing w:after="120"/>
      </w:pPr>
      <w:r>
        <w:rPr>
          <w:rStyle w:val="FootnoteReference"/>
        </w:rPr>
        <w:footnoteRef/>
      </w:r>
      <w:r>
        <w:t xml:space="preserve"> </w:t>
      </w:r>
      <w:r>
        <w:rPr>
          <w:i/>
        </w:rPr>
        <w:t xml:space="preserve">Id. </w:t>
      </w:r>
      <w:r>
        <w:t xml:space="preserve">at 40:17-20; </w:t>
      </w:r>
      <w:r>
        <w:rPr>
          <w:i/>
        </w:rPr>
        <w:t xml:space="preserve">see also id. </w:t>
      </w:r>
      <w:r>
        <w:t xml:space="preserve">at 42:20-23.  This raises a question for the PUCO to consider:  Does owning and operating a charging station render the owner/operator a public utility subject to PUCO regulation?     </w:t>
      </w:r>
    </w:p>
  </w:footnote>
  <w:footnote w:id="31">
    <w:p w:rsidR="00473DBE" w:rsidRPr="001F5647" w:rsidP="00AB750D">
      <w:pPr>
        <w:pStyle w:val="FootnoteText"/>
        <w:spacing w:after="120"/>
      </w:pPr>
      <w:r>
        <w:rPr>
          <w:rStyle w:val="FootnoteReference"/>
        </w:rPr>
        <w:footnoteRef/>
      </w:r>
      <w:r>
        <w:rPr>
          <w:i/>
        </w:rPr>
        <w:t xml:space="preserve"> Id. </w:t>
      </w:r>
      <w:r>
        <w:t>at 96:14:19.</w:t>
      </w:r>
    </w:p>
  </w:footnote>
  <w:footnote w:id="32">
    <w:p w:rsidR="00473DBE" w:rsidRPr="00D25318" w:rsidP="00AB750D">
      <w:pPr>
        <w:pStyle w:val="FootnoteText"/>
        <w:spacing w:after="120"/>
      </w:pPr>
      <w:r>
        <w:rPr>
          <w:rStyle w:val="FootnoteReference"/>
        </w:rPr>
        <w:footnoteRef/>
      </w:r>
      <w:r>
        <w:t xml:space="preserve"> </w:t>
      </w:r>
      <w:r>
        <w:rPr>
          <w:i/>
        </w:rPr>
        <w:t xml:space="preserve">Id. </w:t>
      </w:r>
      <w:r>
        <w:t>at 99-100:23-3.</w:t>
      </w:r>
    </w:p>
  </w:footnote>
  <w:footnote w:id="33">
    <w:p w:rsidR="00473DBE" w:rsidP="00AB750D">
      <w:pPr>
        <w:pStyle w:val="FootnoteText"/>
        <w:spacing w:after="120"/>
      </w:pPr>
      <w:r>
        <w:rPr>
          <w:rStyle w:val="FootnoteReference"/>
        </w:rPr>
        <w:footnoteRef/>
      </w:r>
      <w:r>
        <w:rPr>
          <w:i/>
        </w:rPr>
        <w:t xml:space="preserve">See, e.g., </w:t>
      </w:r>
      <w:r>
        <w:t>AEP Brief at 22; Hearing Transcript at Vol. I, p. 104:11-12.</w:t>
      </w:r>
    </w:p>
  </w:footnote>
  <w:footnote w:id="34">
    <w:p w:rsidR="00473DBE" w:rsidRPr="000C474E" w:rsidP="00AB750D">
      <w:pPr>
        <w:pStyle w:val="FootnoteText"/>
        <w:spacing w:after="120"/>
      </w:pPr>
      <w:r>
        <w:rPr>
          <w:rStyle w:val="FootnoteReference"/>
        </w:rPr>
        <w:footnoteRef/>
      </w:r>
      <w:r>
        <w:t xml:space="preserve"> Hearing Transcript at Vol. I, p.</w:t>
      </w:r>
      <w:r>
        <w:rPr>
          <w:i/>
        </w:rPr>
        <w:t xml:space="preserve"> </w:t>
      </w:r>
      <w:r>
        <w:t>105:17-21.</w:t>
      </w:r>
    </w:p>
  </w:footnote>
  <w:footnote w:id="35">
    <w:p w:rsidR="00473DBE" w:rsidRPr="00F26612" w:rsidP="00AB750D">
      <w:pPr>
        <w:pStyle w:val="FootnoteText"/>
        <w:spacing w:after="120"/>
      </w:pPr>
      <w:r>
        <w:rPr>
          <w:rStyle w:val="FootnoteReference"/>
        </w:rPr>
        <w:footnoteRef/>
      </w:r>
      <w:r>
        <w:t xml:space="preserve"> </w:t>
      </w:r>
      <w:r>
        <w:rPr>
          <w:i/>
        </w:rPr>
        <w:t xml:space="preserve">Id. </w:t>
      </w:r>
      <w:r>
        <w:t>at 105:24-25.</w:t>
      </w:r>
    </w:p>
  </w:footnote>
  <w:footnote w:id="36">
    <w:p w:rsidR="00473DBE" w:rsidRPr="009A6688" w:rsidP="00AB750D">
      <w:pPr>
        <w:pStyle w:val="FootnoteText"/>
        <w:spacing w:after="120"/>
      </w:pPr>
      <w:r>
        <w:rPr>
          <w:rStyle w:val="FootnoteReference"/>
        </w:rPr>
        <w:footnoteRef/>
      </w:r>
      <w:r>
        <w:t xml:space="preserve"> </w:t>
      </w:r>
      <w:r>
        <w:rPr>
          <w:i/>
        </w:rPr>
        <w:t xml:space="preserve">Id. </w:t>
      </w:r>
      <w:r>
        <w:t>at 99-100:17-3.</w:t>
      </w:r>
    </w:p>
  </w:footnote>
  <w:footnote w:id="37">
    <w:p w:rsidR="00473DBE" w:rsidP="00AB750D">
      <w:pPr>
        <w:pStyle w:val="FootnoteText"/>
        <w:spacing w:after="120"/>
      </w:pPr>
      <w:r>
        <w:rPr>
          <w:rStyle w:val="FootnoteReference"/>
        </w:rPr>
        <w:footnoteRef/>
      </w:r>
      <w:r>
        <w:t xml:space="preserve"> AEP Ohio Initial Brief at 21; EVCA Initial Brief at 5; ELPC Initial Brief at 3.</w:t>
      </w:r>
    </w:p>
  </w:footnote>
  <w:footnote w:id="38">
    <w:p w:rsidR="00473DBE" w:rsidP="00AB750D">
      <w:pPr>
        <w:pStyle w:val="FootnoteText"/>
        <w:spacing w:after="120"/>
      </w:pPr>
      <w:r>
        <w:rPr>
          <w:rStyle w:val="FootnoteReference"/>
        </w:rPr>
        <w:footnoteRef/>
      </w:r>
      <w:r>
        <w:t xml:space="preserve"> EVCA Initial Brief at 5 (emphasis added).</w:t>
      </w:r>
    </w:p>
  </w:footnote>
  <w:footnote w:id="39">
    <w:p w:rsidR="00473DBE" w:rsidP="00AB750D">
      <w:pPr>
        <w:pStyle w:val="FootnoteText"/>
        <w:spacing w:after="120"/>
      </w:pPr>
      <w:r>
        <w:rPr>
          <w:rStyle w:val="FootnoteReference"/>
        </w:rPr>
        <w:footnoteRef/>
      </w:r>
      <w:r>
        <w:t xml:space="preserve"> Hearing Transcript at Vol.  III, p. 311:11-15.</w:t>
      </w:r>
    </w:p>
  </w:footnote>
  <w:footnote w:id="40">
    <w:p w:rsidR="00473DBE" w:rsidP="00AB750D">
      <w:pPr>
        <w:pStyle w:val="FootnoteText"/>
        <w:spacing w:after="120"/>
      </w:pPr>
      <w:r>
        <w:rPr>
          <w:rStyle w:val="FootnoteReference"/>
        </w:rPr>
        <w:footnoteRef/>
      </w:r>
      <w:r>
        <w:t xml:space="preserve"> </w:t>
      </w:r>
      <w:r>
        <w:rPr>
          <w:i/>
        </w:rPr>
        <w:t>Id.</w:t>
      </w:r>
      <w:r>
        <w:t xml:space="preserve"> at 311:16-20.</w:t>
      </w:r>
    </w:p>
  </w:footnote>
  <w:footnote w:id="41">
    <w:p w:rsidR="00473DBE" w:rsidP="00AB750D">
      <w:pPr>
        <w:pStyle w:val="FootnoteText"/>
        <w:spacing w:after="120"/>
      </w:pPr>
      <w:r>
        <w:rPr>
          <w:rStyle w:val="FootnoteReference"/>
        </w:rPr>
        <w:footnoteRef/>
      </w:r>
      <w:r>
        <w:t xml:space="preserve"> </w:t>
      </w:r>
      <w:r>
        <w:rPr>
          <w:i/>
        </w:rPr>
        <w:t>Id.</w:t>
      </w:r>
      <w:r>
        <w:t xml:space="preserve"> at 311:21-312:1.</w:t>
      </w:r>
    </w:p>
  </w:footnote>
  <w:footnote w:id="42">
    <w:p w:rsidR="00473DBE" w:rsidP="00AB750D">
      <w:pPr>
        <w:pStyle w:val="FootnoteText"/>
        <w:spacing w:after="120"/>
      </w:pPr>
      <w:r>
        <w:rPr>
          <w:rStyle w:val="FootnoteReference"/>
        </w:rPr>
        <w:footnoteRef/>
      </w:r>
      <w:r>
        <w:t xml:space="preserve"> </w:t>
      </w:r>
      <w:r>
        <w:rPr>
          <w:i/>
        </w:rPr>
        <w:t>Id.</w:t>
      </w:r>
      <w:r>
        <w:t xml:space="preserve"> at 312:2-5.</w:t>
      </w:r>
    </w:p>
  </w:footnote>
  <w:footnote w:id="43">
    <w:p w:rsidR="00473DBE" w:rsidP="00AB750D">
      <w:pPr>
        <w:pStyle w:val="FootnoteText"/>
        <w:spacing w:after="120"/>
      </w:pPr>
      <w:r>
        <w:rPr>
          <w:rStyle w:val="FootnoteReference"/>
        </w:rPr>
        <w:footnoteRef/>
      </w:r>
      <w:r>
        <w:t xml:space="preserve"> </w:t>
      </w:r>
      <w:r>
        <w:rPr>
          <w:i/>
        </w:rPr>
        <w:t>Id.</w:t>
      </w:r>
      <w:r>
        <w:t xml:space="preserve"> at 312:6-10.</w:t>
      </w:r>
    </w:p>
  </w:footnote>
  <w:footnote w:id="44">
    <w:p w:rsidR="00473DBE" w:rsidP="00AB750D">
      <w:pPr>
        <w:pStyle w:val="FootnoteText"/>
        <w:spacing w:after="120"/>
      </w:pPr>
      <w:r>
        <w:rPr>
          <w:rStyle w:val="FootnoteReference"/>
        </w:rPr>
        <w:footnoteRef/>
      </w:r>
      <w:r>
        <w:t xml:space="preserve"> </w:t>
      </w:r>
      <w:r>
        <w:rPr>
          <w:i/>
        </w:rPr>
        <w:t>Id.</w:t>
      </w:r>
      <w:r>
        <w:t xml:space="preserve"> at 312:11-15.</w:t>
      </w:r>
    </w:p>
  </w:footnote>
  <w:footnote w:id="45">
    <w:p w:rsidR="00473DBE" w:rsidP="00AB750D">
      <w:pPr>
        <w:pStyle w:val="FootnoteText"/>
        <w:spacing w:after="120"/>
      </w:pPr>
      <w:r>
        <w:rPr>
          <w:rStyle w:val="FootnoteReference"/>
        </w:rPr>
        <w:footnoteRef/>
      </w:r>
      <w:r>
        <w:t xml:space="preserve"> </w:t>
      </w:r>
      <w:r>
        <w:rPr>
          <w:i/>
        </w:rPr>
        <w:t>Id.</w:t>
      </w:r>
      <w:r>
        <w:t xml:space="preserve"> at 312:23-313:3.</w:t>
      </w:r>
    </w:p>
  </w:footnote>
  <w:footnote w:id="46">
    <w:p w:rsidR="00473DBE" w:rsidP="00AB750D">
      <w:pPr>
        <w:pStyle w:val="FootnoteText"/>
        <w:spacing w:after="120"/>
      </w:pPr>
      <w:r>
        <w:rPr>
          <w:rStyle w:val="FootnoteReference"/>
        </w:rPr>
        <w:footnoteRef/>
      </w:r>
      <w:r>
        <w:t xml:space="preserve"> </w:t>
      </w:r>
      <w:r>
        <w:rPr>
          <w:i/>
        </w:rPr>
        <w:t>Id.</w:t>
      </w:r>
      <w:r>
        <w:t xml:space="preserve"> at 310:10-15.</w:t>
      </w:r>
    </w:p>
  </w:footnote>
  <w:footnote w:id="47">
    <w:p w:rsidR="00473DBE" w:rsidP="00AB750D">
      <w:pPr>
        <w:pStyle w:val="FootnoteText"/>
        <w:spacing w:after="120"/>
      </w:pPr>
      <w:r>
        <w:rPr>
          <w:rStyle w:val="FootnoteReference"/>
        </w:rPr>
        <w:footnoteRef/>
      </w:r>
      <w:r>
        <w:t xml:space="preserve"> </w:t>
      </w:r>
      <w:r>
        <w:rPr>
          <w:i/>
        </w:rPr>
        <w:t>Id.</w:t>
      </w:r>
      <w:r>
        <w:t xml:space="preserve"> at 313:13-15.</w:t>
      </w:r>
    </w:p>
  </w:footnote>
  <w:footnote w:id="48">
    <w:p w:rsidR="00473DBE" w:rsidP="00AB750D">
      <w:pPr>
        <w:pStyle w:val="FootnoteText"/>
        <w:spacing w:after="120"/>
      </w:pPr>
      <w:r>
        <w:rPr>
          <w:rStyle w:val="FootnoteReference"/>
        </w:rPr>
        <w:footnoteRef/>
      </w:r>
      <w:r>
        <w:t xml:space="preserve"> </w:t>
      </w:r>
      <w:r>
        <w:rPr>
          <w:i/>
        </w:rPr>
        <w:t>Id.</w:t>
      </w:r>
      <w:r>
        <w:t xml:space="preserve"> at 313:19-25.</w:t>
      </w:r>
    </w:p>
  </w:footnote>
  <w:footnote w:id="49">
    <w:p w:rsidR="00473DBE" w:rsidP="00AB750D">
      <w:pPr>
        <w:pStyle w:val="FootnoteText"/>
        <w:spacing w:after="120"/>
      </w:pPr>
      <w:r>
        <w:rPr>
          <w:rStyle w:val="FootnoteReference"/>
        </w:rPr>
        <w:footnoteRef/>
      </w:r>
      <w:r>
        <w:t xml:space="preserve"> </w:t>
      </w:r>
      <w:r>
        <w:rPr>
          <w:i/>
        </w:rPr>
        <w:t>Id.</w:t>
      </w:r>
      <w:r>
        <w:t xml:space="preserve"> at 314:1-5.</w:t>
      </w:r>
    </w:p>
  </w:footnote>
  <w:footnote w:id="50">
    <w:p w:rsidR="00473DBE" w:rsidP="00AB750D">
      <w:pPr>
        <w:pStyle w:val="FootnoteText"/>
        <w:spacing w:after="120"/>
      </w:pPr>
      <w:r>
        <w:rPr>
          <w:rStyle w:val="FootnoteReference"/>
        </w:rPr>
        <w:footnoteRef/>
      </w:r>
      <w:r>
        <w:t xml:space="preserve"> </w:t>
      </w:r>
      <w:r>
        <w:rPr>
          <w:i/>
        </w:rPr>
        <w:t>Id.</w:t>
      </w:r>
      <w:r>
        <w:t xml:space="preserve"> at 314:16-19.</w:t>
      </w:r>
    </w:p>
  </w:footnote>
  <w:footnote w:id="51">
    <w:p w:rsidR="00473DBE" w:rsidP="00AB750D">
      <w:pPr>
        <w:pStyle w:val="FootnoteText"/>
        <w:spacing w:after="120"/>
      </w:pPr>
      <w:r>
        <w:rPr>
          <w:rStyle w:val="FootnoteReference"/>
        </w:rPr>
        <w:footnoteRef/>
      </w:r>
      <w:r>
        <w:t xml:space="preserve"> </w:t>
      </w:r>
      <w:r>
        <w:rPr>
          <w:i/>
        </w:rPr>
        <w:t>Id.</w:t>
      </w:r>
      <w:r>
        <w:t xml:space="preserve"> at 314:20-24.</w:t>
      </w:r>
    </w:p>
  </w:footnote>
  <w:footnote w:id="52">
    <w:p w:rsidR="00473DBE" w:rsidP="00AB750D">
      <w:pPr>
        <w:pStyle w:val="FootnoteText"/>
        <w:spacing w:after="120"/>
      </w:pPr>
      <w:r>
        <w:rPr>
          <w:rStyle w:val="FootnoteReference"/>
        </w:rPr>
        <w:footnoteRef/>
      </w:r>
      <w:r>
        <w:t xml:space="preserve"> </w:t>
      </w:r>
      <w:r>
        <w:rPr>
          <w:i/>
        </w:rPr>
        <w:t>Id.</w:t>
      </w:r>
      <w:r>
        <w:t xml:space="preserve"> at 323:19-324:4.</w:t>
      </w:r>
    </w:p>
  </w:footnote>
  <w:footnote w:id="53">
    <w:p w:rsidR="00473DBE" w:rsidP="00AB750D">
      <w:pPr>
        <w:pStyle w:val="FootnoteText"/>
        <w:spacing w:after="120"/>
      </w:pPr>
      <w:r>
        <w:rPr>
          <w:rStyle w:val="FootnoteReference"/>
        </w:rPr>
        <w:footnoteRef/>
      </w:r>
      <w:r>
        <w:t xml:space="preserve"> </w:t>
      </w:r>
      <w:r>
        <w:rPr>
          <w:i/>
        </w:rPr>
        <w:t>Id.</w:t>
      </w:r>
      <w:r>
        <w:t xml:space="preserve"> at 324:11-14. </w:t>
      </w:r>
    </w:p>
  </w:footnote>
  <w:footnote w:id="54">
    <w:p w:rsidR="00473DBE" w:rsidP="00AB750D">
      <w:pPr>
        <w:pStyle w:val="FootnoteText"/>
        <w:spacing w:after="120"/>
      </w:pPr>
      <w:r>
        <w:rPr>
          <w:rStyle w:val="FootnoteReference"/>
        </w:rPr>
        <w:footnoteRef/>
      </w:r>
      <w:r>
        <w:t xml:space="preserve"> </w:t>
      </w:r>
      <w:r>
        <w:rPr>
          <w:i/>
        </w:rPr>
        <w:t>Id.</w:t>
      </w:r>
      <w:r>
        <w:t xml:space="preserve"> at 328:2-6.</w:t>
      </w:r>
    </w:p>
  </w:footnote>
  <w:footnote w:id="55">
    <w:p w:rsidR="00473DBE" w:rsidP="00AB750D">
      <w:pPr>
        <w:pStyle w:val="FootnoteText"/>
        <w:spacing w:after="120"/>
      </w:pPr>
      <w:r>
        <w:rPr>
          <w:rStyle w:val="FootnoteReference"/>
        </w:rPr>
        <w:footnoteRef/>
      </w:r>
      <w:r>
        <w:t xml:space="preserve"> </w:t>
      </w:r>
      <w:r>
        <w:rPr>
          <w:i/>
        </w:rPr>
        <w:t xml:space="preserve">Id. </w:t>
      </w:r>
      <w:r>
        <w:t>at 328:11-14.</w:t>
      </w:r>
    </w:p>
  </w:footnote>
  <w:footnote w:id="56">
    <w:p w:rsidR="00473DBE" w:rsidP="00AB750D">
      <w:pPr>
        <w:pStyle w:val="FootnoteText"/>
        <w:spacing w:after="120"/>
      </w:pPr>
      <w:r>
        <w:rPr>
          <w:rStyle w:val="FootnoteReference"/>
        </w:rPr>
        <w:footnoteRef/>
      </w:r>
      <w:r>
        <w:t xml:space="preserve"> </w:t>
      </w:r>
      <w:r>
        <w:rPr>
          <w:i/>
        </w:rPr>
        <w:t>Id.</w:t>
      </w:r>
      <w:r>
        <w:t xml:space="preserve"> at 328:22-25.</w:t>
      </w:r>
    </w:p>
  </w:footnote>
  <w:footnote w:id="57">
    <w:p w:rsidR="00473DBE" w:rsidP="00AB750D">
      <w:pPr>
        <w:pStyle w:val="FootnoteText"/>
        <w:spacing w:after="120"/>
      </w:pPr>
      <w:r>
        <w:rPr>
          <w:rStyle w:val="FootnoteReference"/>
        </w:rPr>
        <w:footnoteRef/>
      </w:r>
      <w:r>
        <w:t xml:space="preserve"> </w:t>
      </w:r>
      <w:r>
        <w:rPr>
          <w:i/>
        </w:rPr>
        <w:t>Id.</w:t>
      </w:r>
      <w:r>
        <w:t xml:space="preserve"> at 329:5-8.</w:t>
      </w:r>
    </w:p>
  </w:footnote>
  <w:footnote w:id="58">
    <w:p w:rsidR="00473DBE" w:rsidP="00AB750D">
      <w:pPr>
        <w:pStyle w:val="FootnoteText"/>
        <w:spacing w:after="120"/>
      </w:pPr>
      <w:r>
        <w:rPr>
          <w:rStyle w:val="FootnoteReference"/>
        </w:rPr>
        <w:footnoteRef/>
      </w:r>
      <w:r>
        <w:t xml:space="preserve"> </w:t>
      </w:r>
      <w:r>
        <w:rPr>
          <w:i/>
        </w:rPr>
        <w:t>Id.</w:t>
      </w:r>
      <w:r>
        <w:t xml:space="preserve"> at 329:13-16.</w:t>
      </w:r>
    </w:p>
  </w:footnote>
  <w:footnote w:id="59">
    <w:p w:rsidR="00473DBE" w:rsidP="00AB750D">
      <w:pPr>
        <w:pStyle w:val="FootnoteText"/>
        <w:spacing w:after="120"/>
      </w:pPr>
      <w:r>
        <w:rPr>
          <w:rStyle w:val="FootnoteReference"/>
        </w:rPr>
        <w:footnoteRef/>
      </w:r>
      <w:r>
        <w:t xml:space="preserve"> </w:t>
      </w:r>
      <w:r>
        <w:rPr>
          <w:i/>
        </w:rPr>
        <w:t>Id.</w:t>
      </w:r>
      <w:r>
        <w:t xml:space="preserve"> at 330:6-9.</w:t>
      </w:r>
    </w:p>
  </w:footnote>
  <w:footnote w:id="60">
    <w:p w:rsidR="00473DBE" w:rsidP="00AB750D">
      <w:pPr>
        <w:pStyle w:val="FootnoteText"/>
        <w:spacing w:after="120"/>
      </w:pPr>
      <w:r>
        <w:rPr>
          <w:rStyle w:val="FootnoteReference"/>
        </w:rPr>
        <w:footnoteRef/>
      </w:r>
      <w:r>
        <w:t xml:space="preserve"> </w:t>
      </w:r>
      <w:r>
        <w:rPr>
          <w:i/>
        </w:rPr>
        <w:t>Id.</w:t>
      </w:r>
      <w:r>
        <w:t xml:space="preserve"> at 330:10-14.</w:t>
      </w:r>
    </w:p>
  </w:footnote>
  <w:footnote w:id="61">
    <w:p w:rsidR="00473DBE" w:rsidP="00AB750D">
      <w:pPr>
        <w:pStyle w:val="FootnoteText"/>
        <w:spacing w:after="120"/>
      </w:pPr>
      <w:r>
        <w:rPr>
          <w:rStyle w:val="FootnoteReference"/>
        </w:rPr>
        <w:footnoteRef/>
      </w:r>
      <w:r>
        <w:t xml:space="preserve"> </w:t>
      </w:r>
      <w:r>
        <w:rPr>
          <w:i/>
        </w:rPr>
        <w:t>Id.</w:t>
      </w:r>
      <w:r>
        <w:t xml:space="preserve"> at 330:15-19.</w:t>
      </w:r>
    </w:p>
  </w:footnote>
  <w:footnote w:id="62">
    <w:p w:rsidR="00473DBE" w:rsidP="00AB750D">
      <w:pPr>
        <w:pStyle w:val="FootnoteText"/>
        <w:spacing w:after="120"/>
      </w:pPr>
      <w:r>
        <w:rPr>
          <w:rStyle w:val="FootnoteReference"/>
        </w:rPr>
        <w:footnoteRef/>
      </w:r>
      <w:r>
        <w:t xml:space="preserve"> </w:t>
      </w:r>
      <w:r>
        <w:rPr>
          <w:i/>
        </w:rPr>
        <w:t>Id.</w:t>
      </w:r>
      <w:r>
        <w:t xml:space="preserve"> at 331:5-9.</w:t>
      </w:r>
    </w:p>
  </w:footnote>
  <w:footnote w:id="63">
    <w:p w:rsidR="00473DBE" w:rsidP="00AB750D">
      <w:pPr>
        <w:pStyle w:val="FootnoteText"/>
        <w:spacing w:after="120"/>
      </w:pPr>
      <w:r>
        <w:rPr>
          <w:rStyle w:val="FootnoteReference"/>
        </w:rPr>
        <w:footnoteRef/>
      </w:r>
      <w:r>
        <w:t xml:space="preserve"> </w:t>
      </w:r>
      <w:r>
        <w:rPr>
          <w:i/>
        </w:rPr>
        <w:t>Id.</w:t>
      </w:r>
      <w:r>
        <w:t xml:space="preserve"> at 331:22-332:2.</w:t>
      </w:r>
    </w:p>
  </w:footnote>
  <w:footnote w:id="64">
    <w:p w:rsidR="00473DBE" w:rsidP="00AB750D">
      <w:pPr>
        <w:pStyle w:val="FootnoteText"/>
        <w:spacing w:after="120"/>
      </w:pPr>
      <w:r>
        <w:rPr>
          <w:rStyle w:val="FootnoteReference"/>
        </w:rPr>
        <w:footnoteRef/>
      </w:r>
      <w:r>
        <w:t xml:space="preserve"> </w:t>
      </w:r>
      <w:r>
        <w:rPr>
          <w:i/>
        </w:rPr>
        <w:t>Id.</w:t>
      </w:r>
      <w:r>
        <w:t xml:space="preserve"> at 332:3-12.</w:t>
      </w:r>
    </w:p>
  </w:footnote>
  <w:footnote w:id="65">
    <w:p w:rsidR="00473DBE" w:rsidP="00AB750D">
      <w:pPr>
        <w:pStyle w:val="FootnoteText"/>
        <w:spacing w:after="120"/>
      </w:pPr>
      <w:r>
        <w:rPr>
          <w:rStyle w:val="FootnoteReference"/>
        </w:rPr>
        <w:footnoteRef/>
      </w:r>
      <w:r>
        <w:t xml:space="preserve"> </w:t>
      </w:r>
      <w:r>
        <w:rPr>
          <w:i/>
        </w:rPr>
        <w:t>Id.</w:t>
      </w:r>
      <w:r>
        <w:t xml:space="preserve"> at 311:3-10.</w:t>
      </w:r>
    </w:p>
  </w:footnote>
  <w:footnote w:id="66">
    <w:p w:rsidR="00473DBE" w:rsidP="00AB750D">
      <w:pPr>
        <w:pStyle w:val="FootnoteText"/>
        <w:spacing w:after="120"/>
      </w:pPr>
      <w:r>
        <w:rPr>
          <w:rStyle w:val="FootnoteReference"/>
        </w:rPr>
        <w:footnoteRef/>
      </w:r>
      <w:r>
        <w:t xml:space="preserve"> </w:t>
      </w:r>
      <w:r>
        <w:rPr>
          <w:i/>
        </w:rPr>
        <w:t>Id.</w:t>
      </w:r>
      <w:r>
        <w:t xml:space="preserve"> at 302:5-304:24.</w:t>
      </w:r>
    </w:p>
  </w:footnote>
  <w:footnote w:id="67">
    <w:p w:rsidR="00473DBE" w:rsidP="00AB750D">
      <w:pPr>
        <w:pStyle w:val="FootnoteText"/>
        <w:spacing w:after="120"/>
      </w:pPr>
      <w:r>
        <w:rPr>
          <w:rStyle w:val="FootnoteReference"/>
        </w:rPr>
        <w:footnoteRef/>
      </w:r>
      <w:r>
        <w:t xml:space="preserve"> </w:t>
      </w:r>
      <w:r>
        <w:rPr>
          <w:i/>
        </w:rPr>
        <w:t>Id.</w:t>
      </w:r>
      <w:r>
        <w:t xml:space="preserve"> at 304:13-24.</w:t>
      </w:r>
    </w:p>
  </w:footnote>
  <w:footnote w:id="68">
    <w:p w:rsidR="00473DBE" w:rsidP="00AB750D">
      <w:pPr>
        <w:pStyle w:val="FootnoteText"/>
        <w:spacing w:after="120"/>
      </w:pPr>
      <w:r>
        <w:rPr>
          <w:rStyle w:val="FootnoteReference"/>
        </w:rPr>
        <w:footnoteRef/>
      </w:r>
      <w:r>
        <w:t xml:space="preserve"> EVCA Initial Brief at 4-5.</w:t>
      </w:r>
    </w:p>
  </w:footnote>
  <w:footnote w:id="69">
    <w:p w:rsidR="00473DBE" w:rsidP="00AB750D">
      <w:pPr>
        <w:pStyle w:val="FootnoteText"/>
        <w:spacing w:after="120"/>
      </w:pPr>
      <w:r>
        <w:rPr>
          <w:rStyle w:val="FootnoteReference"/>
        </w:rPr>
        <w:footnoteRef/>
      </w:r>
      <w:r>
        <w:t xml:space="preserve"> EVCA Initial Brief at 4.</w:t>
      </w:r>
    </w:p>
  </w:footnote>
  <w:footnote w:id="70">
    <w:p w:rsidR="00473DBE" w:rsidP="00AB750D">
      <w:pPr>
        <w:pStyle w:val="FootnoteText"/>
        <w:spacing w:after="120"/>
      </w:pPr>
      <w:r>
        <w:rPr>
          <w:rStyle w:val="FootnoteReference"/>
        </w:rPr>
        <w:footnoteRef/>
      </w:r>
      <w:r>
        <w:t xml:space="preserve"> Hearing Transcript at Vol. III, p. 332:17-21.</w:t>
      </w:r>
    </w:p>
  </w:footnote>
  <w:footnote w:id="71">
    <w:p w:rsidR="00473DBE" w:rsidP="00AB750D">
      <w:pPr>
        <w:pStyle w:val="FootnoteText"/>
        <w:spacing w:after="120"/>
      </w:pPr>
      <w:r>
        <w:rPr>
          <w:rStyle w:val="FootnoteReference"/>
        </w:rPr>
        <w:footnoteRef/>
      </w:r>
      <w:r>
        <w:t xml:space="preserve"> </w:t>
      </w:r>
      <w:r>
        <w:rPr>
          <w:i/>
        </w:rPr>
        <w:t>Id.</w:t>
      </w:r>
      <w:r>
        <w:t xml:space="preserve"> at 332:22-333:3.</w:t>
      </w:r>
    </w:p>
  </w:footnote>
  <w:footnote w:id="72">
    <w:p w:rsidR="00473DBE" w:rsidP="00AB750D">
      <w:pPr>
        <w:pStyle w:val="FootnoteText"/>
        <w:spacing w:after="120"/>
      </w:pPr>
      <w:r>
        <w:rPr>
          <w:rStyle w:val="FootnoteReference"/>
        </w:rPr>
        <w:footnoteRef/>
      </w:r>
      <w:r>
        <w:t xml:space="preserve"> </w:t>
      </w:r>
      <w:r>
        <w:rPr>
          <w:i/>
        </w:rPr>
        <w:t>Id.</w:t>
      </w:r>
      <w:r>
        <w:t xml:space="preserve"> at 333:4-334:6.</w:t>
      </w:r>
    </w:p>
  </w:footnote>
  <w:footnote w:id="73">
    <w:p w:rsidR="00473DBE" w:rsidP="00AB750D">
      <w:pPr>
        <w:pStyle w:val="FootnoteText"/>
        <w:spacing w:after="120"/>
      </w:pPr>
      <w:r>
        <w:rPr>
          <w:rStyle w:val="FootnoteReference"/>
        </w:rPr>
        <w:footnoteRef/>
      </w:r>
      <w:r>
        <w:t xml:space="preserve"> EVCA Initial Brief at 5.</w:t>
      </w:r>
    </w:p>
  </w:footnote>
  <w:footnote w:id="74">
    <w:p w:rsidR="00473DBE" w:rsidP="00AB750D">
      <w:pPr>
        <w:pStyle w:val="FootnoteText"/>
        <w:spacing w:after="120"/>
      </w:pPr>
      <w:r>
        <w:rPr>
          <w:rStyle w:val="FootnoteReference"/>
        </w:rPr>
        <w:footnoteRef/>
      </w:r>
      <w:r>
        <w:t xml:space="preserve"> Hearing Transcript at Vol. III, p. 334:7-13.</w:t>
      </w:r>
    </w:p>
  </w:footnote>
  <w:footnote w:id="75">
    <w:p w:rsidR="00473DBE" w:rsidP="00AB750D">
      <w:pPr>
        <w:pStyle w:val="FootnoteText"/>
        <w:spacing w:after="120"/>
      </w:pPr>
      <w:r>
        <w:rPr>
          <w:rStyle w:val="FootnoteReference"/>
        </w:rPr>
        <w:footnoteRef/>
      </w:r>
      <w:r>
        <w:t xml:space="preserve"> </w:t>
      </w:r>
      <w:r>
        <w:rPr>
          <w:i/>
        </w:rPr>
        <w:t>Id.</w:t>
      </w:r>
      <w:r>
        <w:t xml:space="preserve"> at 312:6-10.</w:t>
      </w:r>
    </w:p>
  </w:footnote>
  <w:footnote w:id="76">
    <w:p w:rsidR="00473DBE" w:rsidRPr="008A0303" w:rsidP="00AB750D">
      <w:pPr>
        <w:pStyle w:val="FootnoteText"/>
        <w:spacing w:after="120"/>
      </w:pPr>
      <w:r>
        <w:rPr>
          <w:rStyle w:val="FootnoteReference"/>
        </w:rPr>
        <w:footnoteRef/>
      </w:r>
      <w:r>
        <w:t xml:space="preserve"> Hearing Transcript at Vol. I, p. 108:22-25.</w:t>
      </w:r>
    </w:p>
  </w:footnote>
  <w:footnote w:id="77">
    <w:p w:rsidR="00473DBE" w:rsidRPr="008A0303" w:rsidP="00AB750D">
      <w:pPr>
        <w:pStyle w:val="FootnoteText"/>
        <w:spacing w:after="120"/>
      </w:pPr>
      <w:r>
        <w:rPr>
          <w:rStyle w:val="FootnoteReference"/>
        </w:rPr>
        <w:footnoteRef/>
      </w:r>
      <w:r>
        <w:t xml:space="preserve"> </w:t>
      </w:r>
      <w:r>
        <w:rPr>
          <w:i/>
        </w:rPr>
        <w:t xml:space="preserve">Id. </w:t>
      </w:r>
      <w:r>
        <w:t>at 110:4-9.</w:t>
      </w:r>
    </w:p>
  </w:footnote>
  <w:footnote w:id="78">
    <w:p w:rsidR="00473DBE" w:rsidRPr="00300BF1" w:rsidP="00AB750D">
      <w:pPr>
        <w:pStyle w:val="FootnoteText"/>
        <w:spacing w:after="120"/>
      </w:pPr>
      <w:r>
        <w:rPr>
          <w:rStyle w:val="FootnoteReference"/>
        </w:rPr>
        <w:footnoteRef/>
      </w:r>
      <w:r>
        <w:t xml:space="preserve"> Supplemental Testimony of Barbara R. Alexander (OCC Ex. 7) filed October 11, 2017 at 23:4-15.</w:t>
      </w:r>
    </w:p>
  </w:footnote>
  <w:footnote w:id="79">
    <w:p w:rsidR="00473DBE" w:rsidP="00AB750D">
      <w:pPr>
        <w:pStyle w:val="FootnoteText"/>
        <w:spacing w:after="120"/>
      </w:pPr>
      <w:r>
        <w:rPr>
          <w:rStyle w:val="FootnoteReference"/>
        </w:rPr>
        <w:footnoteRef/>
      </w:r>
      <w:r>
        <w:t xml:space="preserve"> Hearing Transcript at Vol. I, p. 111:1-4.</w:t>
      </w:r>
    </w:p>
  </w:footnote>
  <w:footnote w:id="80">
    <w:p w:rsidR="00473DBE" w:rsidP="00AB750D">
      <w:pPr>
        <w:pStyle w:val="FootnoteText"/>
        <w:spacing w:after="120"/>
      </w:pPr>
      <w:r>
        <w:rPr>
          <w:rStyle w:val="FootnoteReference"/>
        </w:rPr>
        <w:footnoteRef/>
      </w:r>
      <w:r>
        <w:t xml:space="preserve"> Supplemental Testimony of Barbara R. Alexander (OCC Ex. 7) filed October 11, 2017 at 21:6-7.</w:t>
      </w:r>
    </w:p>
  </w:footnote>
  <w:footnote w:id="81">
    <w:p w:rsidR="00473DBE" w:rsidRPr="00900C9F" w:rsidP="00AB750D">
      <w:pPr>
        <w:pStyle w:val="FootnoteText"/>
        <w:spacing w:after="120"/>
      </w:pPr>
      <w:r>
        <w:rPr>
          <w:rStyle w:val="FootnoteReference"/>
        </w:rPr>
        <w:footnoteRef/>
      </w:r>
      <w:r>
        <w:t xml:space="preserve"> </w:t>
      </w:r>
      <w:r>
        <w:rPr>
          <w:i/>
        </w:rPr>
        <w:t xml:space="preserve">Id. </w:t>
      </w:r>
      <w:r>
        <w:t>at 19:16-18.</w:t>
      </w:r>
    </w:p>
  </w:footnote>
  <w:footnote w:id="82">
    <w:p w:rsidR="00473DBE" w:rsidP="00AB750D">
      <w:pPr>
        <w:pStyle w:val="FootnoteText"/>
        <w:spacing w:after="120"/>
      </w:pPr>
      <w:r>
        <w:rPr>
          <w:rStyle w:val="FootnoteReference"/>
        </w:rPr>
        <w:footnoteRef/>
      </w:r>
      <w:r>
        <w:t xml:space="preserve"> </w:t>
      </w:r>
      <w:r>
        <w:rPr>
          <w:i/>
        </w:rPr>
        <w:t xml:space="preserve">Id. </w:t>
      </w:r>
      <w:r>
        <w:t>at 23: 7-12.</w:t>
      </w:r>
    </w:p>
  </w:footnote>
  <w:footnote w:id="83">
    <w:p w:rsidR="00473DBE" w:rsidP="00AB750D">
      <w:pPr>
        <w:pStyle w:val="FootnoteText"/>
        <w:spacing w:after="120"/>
      </w:pPr>
      <w:r>
        <w:rPr>
          <w:rStyle w:val="FootnoteReference"/>
        </w:rPr>
        <w:footnoteRef/>
      </w:r>
      <w:r>
        <w:t xml:space="preserve"> Hearing Transcript at Vol. I, p. 111:1-4.</w:t>
      </w:r>
    </w:p>
  </w:footnote>
  <w:footnote w:id="84">
    <w:p w:rsidR="00473DBE" w:rsidP="00AB750D">
      <w:pPr>
        <w:pStyle w:val="FootnoteText"/>
        <w:spacing w:after="120"/>
      </w:pPr>
      <w:r>
        <w:rPr>
          <w:rStyle w:val="FootnoteReference"/>
        </w:rPr>
        <w:footnoteRef/>
      </w:r>
      <w:r>
        <w:t xml:space="preserve"> Supplemental Testimony of Barbara R. Alexander (OCC Ex. 7) filed October 11, 2017 at pp. 24:14-25:1.</w:t>
      </w:r>
    </w:p>
  </w:footnote>
  <w:footnote w:id="85">
    <w:p w:rsidR="00473DBE" w:rsidP="00AB750D">
      <w:pPr>
        <w:pStyle w:val="FootnoteText"/>
        <w:spacing w:after="120"/>
      </w:pPr>
      <w:r>
        <w:rPr>
          <w:rStyle w:val="FootnoteReference"/>
        </w:rPr>
        <w:footnoteRef/>
      </w:r>
      <w:r>
        <w:t xml:space="preserve"> Hearing Transcript at Vol. III, p. 425:1-5.</w:t>
      </w:r>
    </w:p>
  </w:footnote>
  <w:footnote w:id="86">
    <w:p w:rsidR="00473DBE" w:rsidP="00AB750D">
      <w:pPr>
        <w:pStyle w:val="FootnoteText"/>
        <w:spacing w:after="120"/>
      </w:pPr>
      <w:r>
        <w:rPr>
          <w:rStyle w:val="FootnoteReference"/>
        </w:rPr>
        <w:footnoteRef/>
      </w:r>
      <w:r>
        <w:t xml:space="preserve"> Joint Stipulation and Recommendation at 31-32.</w:t>
      </w:r>
    </w:p>
  </w:footnote>
  <w:footnote w:id="87">
    <w:p w:rsidR="00473DBE" w:rsidP="00AB750D">
      <w:pPr>
        <w:pStyle w:val="FootnoteText"/>
        <w:spacing w:after="120"/>
      </w:pPr>
      <w:r>
        <w:rPr>
          <w:rStyle w:val="FootnoteReference"/>
        </w:rPr>
        <w:footnoteRef/>
      </w:r>
      <w:r>
        <w:t xml:space="preserve"> </w:t>
      </w:r>
      <w:r w:rsidRPr="00D66082">
        <w:rPr>
          <w:i/>
        </w:rPr>
        <w:t>See</w:t>
      </w:r>
      <w:r>
        <w:t xml:space="preserve"> OCC Ex. 7.</w:t>
      </w:r>
    </w:p>
  </w:footnote>
  <w:footnote w:id="88">
    <w:p w:rsidR="00473DBE" w:rsidP="00AB750D">
      <w:pPr>
        <w:pStyle w:val="FootnoteText"/>
        <w:spacing w:after="120"/>
      </w:pPr>
      <w:r>
        <w:rPr>
          <w:rStyle w:val="FootnoteReference"/>
        </w:rPr>
        <w:footnoteRef/>
      </w:r>
      <w:r>
        <w:t xml:space="preserve"> Hearing Transcript at Vol. III, p. 428:21-25.</w:t>
      </w:r>
    </w:p>
  </w:footnote>
  <w:footnote w:id="89">
    <w:p w:rsidR="00473DBE" w:rsidP="00AB750D">
      <w:pPr>
        <w:pStyle w:val="FootnoteText"/>
        <w:spacing w:after="120"/>
      </w:pPr>
      <w:r>
        <w:rPr>
          <w:rStyle w:val="FootnoteReference"/>
        </w:rPr>
        <w:footnoteRef/>
      </w:r>
      <w:r>
        <w:t xml:space="preserve"> See OCC Ex. 6.</w:t>
      </w:r>
    </w:p>
  </w:footnote>
  <w:footnote w:id="90">
    <w:p w:rsidR="00473DBE" w:rsidP="00AB750D">
      <w:pPr>
        <w:pStyle w:val="FootnoteText"/>
        <w:spacing w:after="120"/>
      </w:pPr>
      <w:r>
        <w:rPr>
          <w:rStyle w:val="FootnoteReference"/>
        </w:rPr>
        <w:footnoteRef/>
      </w:r>
      <w:r>
        <w:t xml:space="preserve"> Hearing Transcript at Vol. III, p. 433:5-19.</w:t>
      </w:r>
    </w:p>
  </w:footnote>
  <w:footnote w:id="91">
    <w:p w:rsidR="00473DBE" w:rsidP="00AB750D">
      <w:pPr>
        <w:pStyle w:val="FootnoteText"/>
        <w:spacing w:after="120"/>
      </w:pPr>
      <w:r>
        <w:rPr>
          <w:rStyle w:val="FootnoteReference"/>
        </w:rPr>
        <w:footnoteRef/>
      </w:r>
      <w:r>
        <w:t xml:space="preserve"> </w:t>
      </w:r>
      <w:r>
        <w:rPr>
          <w:i/>
        </w:rPr>
        <w:t xml:space="preserve">Id. </w:t>
      </w:r>
      <w:r>
        <w:t>at 434:2-10.</w:t>
      </w:r>
    </w:p>
  </w:footnote>
  <w:footnote w:id="92">
    <w:p w:rsidR="00473DBE" w:rsidP="00AB750D">
      <w:pPr>
        <w:pStyle w:val="FootnoteText"/>
        <w:spacing w:after="120"/>
      </w:pPr>
      <w:r>
        <w:rPr>
          <w:rStyle w:val="FootnoteReference"/>
        </w:rPr>
        <w:footnoteRef/>
      </w:r>
      <w:r>
        <w:t xml:space="preserve"> </w:t>
      </w:r>
      <w:r>
        <w:rPr>
          <w:i/>
        </w:rPr>
        <w:t>Id.</w:t>
      </w:r>
      <w:r>
        <w:t xml:space="preserve"> at 434:11-19.</w:t>
      </w:r>
    </w:p>
  </w:footnote>
  <w:footnote w:id="93">
    <w:p w:rsidR="00473DBE" w:rsidP="00AB750D">
      <w:pPr>
        <w:pStyle w:val="FootnoteText"/>
        <w:spacing w:after="120"/>
      </w:pPr>
      <w:r>
        <w:rPr>
          <w:rStyle w:val="FootnoteReference"/>
        </w:rPr>
        <w:footnoteRef/>
      </w:r>
      <w:r>
        <w:t xml:space="preserve"> AEP Ohio Initial Brief at 43.</w:t>
      </w:r>
    </w:p>
  </w:footnote>
  <w:footnote w:id="94">
    <w:p w:rsidR="00473DBE" w:rsidP="00AB750D">
      <w:pPr>
        <w:pStyle w:val="FootnoteText"/>
        <w:spacing w:after="120"/>
      </w:pPr>
      <w:r>
        <w:rPr>
          <w:rStyle w:val="FootnoteReference"/>
        </w:rPr>
        <w:footnoteRef/>
      </w:r>
      <w:r>
        <w:t xml:space="preserve"> Hearing Transcript at Vol. III, p. 425:1-426:14.</w:t>
      </w:r>
    </w:p>
  </w:footnote>
  <w:footnote w:id="95">
    <w:p w:rsidR="00473DBE" w:rsidP="00AB750D">
      <w:pPr>
        <w:pStyle w:val="FootnoteText"/>
        <w:spacing w:after="120"/>
      </w:pPr>
      <w:r>
        <w:rPr>
          <w:rStyle w:val="FootnoteReference"/>
        </w:rPr>
        <w:footnoteRef/>
      </w:r>
      <w:r>
        <w:t xml:space="preserve"> </w:t>
      </w:r>
      <w:r>
        <w:rPr>
          <w:i/>
        </w:rPr>
        <w:t xml:space="preserve">In the Matter of the Commission Review of the Capacity Charges of Ohio Southern Power Co. and Columbus Southern Power Co., </w:t>
      </w:r>
      <w:r>
        <w:t>Case Nos. 10-2929-EL-UNC, et al., Joint Stipulation and Recommendation at 22-23 (December 21, 2016) (“Global Settlement”).</w:t>
      </w:r>
    </w:p>
  </w:footnote>
  <w:footnote w:id="96">
    <w:p w:rsidR="00473DBE" w:rsidRPr="00D31F85" w:rsidP="00AB750D">
      <w:pPr>
        <w:pStyle w:val="FootnoteText"/>
        <w:spacing w:after="120"/>
      </w:pPr>
      <w:r>
        <w:rPr>
          <w:rStyle w:val="FootnoteReference"/>
        </w:rPr>
        <w:footnoteRef/>
      </w:r>
      <w:r>
        <w:t xml:space="preserve"> </w:t>
      </w:r>
      <w:r w:rsidRPr="00D66082">
        <w:t>See Settlement, Case No. 16-1852-EL-SSO.</w:t>
      </w:r>
    </w:p>
  </w:footnote>
  <w:footnote w:id="97">
    <w:p w:rsidR="00473DBE" w:rsidP="00AB750D">
      <w:pPr>
        <w:pStyle w:val="FootnoteText"/>
        <w:spacing w:after="120"/>
      </w:pPr>
      <w:r>
        <w:rPr>
          <w:rStyle w:val="FootnoteReference"/>
        </w:rPr>
        <w:footnoteRef/>
      </w:r>
      <w:r>
        <w:t xml:space="preserve"> AEP Ohio Initial Brief at 32.</w:t>
      </w:r>
    </w:p>
  </w:footnote>
  <w:footnote w:id="98">
    <w:p w:rsidR="00473DBE" w:rsidP="00AB750D">
      <w:pPr>
        <w:pStyle w:val="FootnoteText"/>
        <w:spacing w:after="120"/>
      </w:pPr>
      <w:r>
        <w:rPr>
          <w:rStyle w:val="FootnoteReference"/>
        </w:rPr>
        <w:footnoteRef/>
      </w:r>
      <w:r>
        <w:t xml:space="preserve"> AEP Ohio Initial Brief at 33.</w:t>
      </w:r>
    </w:p>
  </w:footnote>
  <w:footnote w:id="99">
    <w:p w:rsidR="00473DBE" w:rsidP="00AB750D">
      <w:pPr>
        <w:pStyle w:val="FootnoteText"/>
        <w:spacing w:after="120"/>
      </w:pPr>
      <w:r>
        <w:rPr>
          <w:rStyle w:val="FootnoteReference"/>
        </w:rPr>
        <w:footnoteRef/>
      </w:r>
      <w:r>
        <w:t xml:space="preserve"> AEP Ohio Initial Brief at 33.</w:t>
      </w:r>
    </w:p>
  </w:footnote>
  <w:footnote w:id="100">
    <w:p w:rsidR="00473DBE" w:rsidP="00AB750D">
      <w:pPr>
        <w:pStyle w:val="FootnoteText"/>
        <w:spacing w:after="120"/>
      </w:pPr>
      <w:r>
        <w:rPr>
          <w:rStyle w:val="FootnoteReference"/>
        </w:rPr>
        <w:footnoteRef/>
      </w:r>
      <w:r>
        <w:t xml:space="preserve"> AEP Ohio Initial Brief at 32-34; RESA Initial Brief at 8-9.</w:t>
      </w:r>
    </w:p>
  </w:footnote>
  <w:footnote w:id="101">
    <w:p w:rsidR="00473DBE" w:rsidP="00AB750D">
      <w:pPr>
        <w:pStyle w:val="FootnoteText"/>
        <w:spacing w:after="120"/>
      </w:pPr>
      <w:r>
        <w:rPr>
          <w:rStyle w:val="FootnoteReference"/>
        </w:rPr>
        <w:footnoteRef/>
      </w:r>
      <w:r>
        <w:t xml:space="preserve"> AEP Ohio Initial Brief at 33; RESA Initial Brief at 8.</w:t>
      </w:r>
    </w:p>
  </w:footnote>
  <w:footnote w:id="102">
    <w:p w:rsidR="00473DBE" w:rsidP="00AB750D">
      <w:pPr>
        <w:pStyle w:val="FootnoteText"/>
        <w:spacing w:after="120"/>
      </w:pPr>
      <w:r>
        <w:rPr>
          <w:rStyle w:val="FootnoteReference"/>
        </w:rPr>
        <w:footnoteRef/>
      </w:r>
      <w:r>
        <w:t xml:space="preserve"> RESA Initial Brief at 8; AEP Ohio Initial Brief at 32-34.</w:t>
      </w:r>
    </w:p>
  </w:footnote>
  <w:footnote w:id="103">
    <w:p w:rsidR="00473DBE" w:rsidP="00AB750D">
      <w:pPr>
        <w:pStyle w:val="FootnoteText"/>
        <w:spacing w:after="120"/>
      </w:pPr>
      <w:r>
        <w:rPr>
          <w:rStyle w:val="FootnoteReference"/>
        </w:rPr>
        <w:footnoteRef/>
      </w:r>
      <w:r>
        <w:t xml:space="preserve"> Hearing Transcript at Vol. III, p. 423:1-6.</w:t>
      </w:r>
    </w:p>
  </w:footnote>
  <w:footnote w:id="104">
    <w:p w:rsidR="00473DBE" w:rsidP="00AB750D">
      <w:pPr>
        <w:pStyle w:val="FootnoteText"/>
        <w:spacing w:after="120"/>
      </w:pPr>
      <w:r>
        <w:rPr>
          <w:rStyle w:val="FootnoteReference"/>
        </w:rPr>
        <w:footnoteRef/>
      </w:r>
      <w:r>
        <w:t xml:space="preserve"> </w:t>
      </w:r>
      <w:r>
        <w:rPr>
          <w:i/>
        </w:rPr>
        <w:t>Id.</w:t>
      </w:r>
      <w:r>
        <w:t xml:space="preserve"> at 419:1-10.</w:t>
      </w:r>
    </w:p>
  </w:footnote>
  <w:footnote w:id="105">
    <w:p w:rsidR="00473DBE" w:rsidP="00AB750D">
      <w:pPr>
        <w:pStyle w:val="FootnoteText"/>
        <w:spacing w:after="120"/>
      </w:pPr>
      <w:r>
        <w:rPr>
          <w:rStyle w:val="FootnoteReference"/>
        </w:rPr>
        <w:footnoteRef/>
      </w:r>
      <w:r>
        <w:t xml:space="preserve"> </w:t>
      </w:r>
      <w:r>
        <w:rPr>
          <w:i/>
        </w:rPr>
        <w:t>Id.</w:t>
      </w:r>
      <w:r>
        <w:t xml:space="preserve"> at 423:7-24.</w:t>
      </w:r>
    </w:p>
  </w:footnote>
  <w:footnote w:id="106">
    <w:p w:rsidR="00473DBE" w:rsidP="00AB750D">
      <w:pPr>
        <w:pStyle w:val="FootnoteText"/>
        <w:spacing w:after="120"/>
      </w:pPr>
      <w:r>
        <w:rPr>
          <w:rStyle w:val="FootnoteReference"/>
        </w:rPr>
        <w:footnoteRef/>
      </w:r>
      <w:r>
        <w:t xml:space="preserve"> </w:t>
      </w:r>
      <w:r>
        <w:rPr>
          <w:i/>
        </w:rPr>
        <w:t>Id.</w:t>
      </w:r>
      <w:r>
        <w:t xml:space="preserve"> at 419:1-10.</w:t>
      </w:r>
    </w:p>
  </w:footnote>
  <w:footnote w:id="107">
    <w:p w:rsidR="00473DBE" w:rsidP="00AB750D">
      <w:pPr>
        <w:pStyle w:val="FootnoteText"/>
        <w:spacing w:after="120"/>
      </w:pPr>
      <w:r>
        <w:rPr>
          <w:rStyle w:val="FootnoteReference"/>
        </w:rPr>
        <w:footnoteRef/>
      </w:r>
      <w:r>
        <w:t xml:space="preserve"> </w:t>
      </w:r>
      <w:r>
        <w:rPr>
          <w:i/>
        </w:rPr>
        <w:t>Id.</w:t>
      </w:r>
      <w:r>
        <w:t xml:space="preserve"> at 423:25-424:10.</w:t>
      </w:r>
    </w:p>
  </w:footnote>
  <w:footnote w:id="108">
    <w:p w:rsidR="00473DBE" w:rsidP="00AB750D">
      <w:pPr>
        <w:pStyle w:val="FootnoteText"/>
        <w:spacing w:after="120"/>
      </w:pPr>
      <w:r>
        <w:rPr>
          <w:rStyle w:val="FootnoteReference"/>
        </w:rPr>
        <w:footnoteRef/>
      </w:r>
      <w:r>
        <w:t xml:space="preserve"> </w:t>
      </w:r>
      <w:r>
        <w:rPr>
          <w:i/>
        </w:rPr>
        <w:t>Id.</w:t>
      </w:r>
      <w:r>
        <w:t xml:space="preserve"> at 424:11-17.</w:t>
      </w:r>
    </w:p>
  </w:footnote>
  <w:footnote w:id="109">
    <w:p w:rsidR="00473DBE" w:rsidP="00AB750D">
      <w:pPr>
        <w:pStyle w:val="FootnoteText"/>
        <w:spacing w:after="120"/>
      </w:pPr>
      <w:r>
        <w:rPr>
          <w:rStyle w:val="FootnoteReference"/>
        </w:rPr>
        <w:footnoteRef/>
      </w:r>
      <w:r>
        <w:t xml:space="preserve"> </w:t>
      </w:r>
      <w:r>
        <w:rPr>
          <w:i/>
        </w:rPr>
        <w:t>Id.</w:t>
      </w:r>
      <w:r>
        <w:t xml:space="preserve"> at 412:20-413:17.</w:t>
      </w:r>
    </w:p>
  </w:footnote>
  <w:footnote w:id="110">
    <w:p w:rsidR="00473DBE" w:rsidP="00AB750D">
      <w:pPr>
        <w:pStyle w:val="FootnoteText"/>
        <w:spacing w:after="120"/>
      </w:pPr>
      <w:r>
        <w:rPr>
          <w:rStyle w:val="FootnoteReference"/>
        </w:rPr>
        <w:footnoteRef/>
      </w:r>
      <w:r>
        <w:rPr>
          <w:i/>
        </w:rPr>
        <w:t xml:space="preserve"> Id.</w:t>
      </w:r>
      <w:r>
        <w:t xml:space="preserve"> at 412:20-414:16.</w:t>
      </w:r>
    </w:p>
  </w:footnote>
  <w:footnote w:id="111">
    <w:p w:rsidR="00473DBE" w:rsidP="00AB750D">
      <w:pPr>
        <w:pStyle w:val="FootnoteText"/>
        <w:spacing w:after="120"/>
      </w:pPr>
      <w:r>
        <w:rPr>
          <w:rStyle w:val="FootnoteReference"/>
        </w:rPr>
        <w:footnoteRef/>
      </w:r>
      <w:r>
        <w:t xml:space="preserve"> AEP Ohio Initial Brief at 32-34: Tr. Vol. III at 416:20-417:1.</w:t>
      </w:r>
    </w:p>
  </w:footnote>
  <w:footnote w:id="112">
    <w:p w:rsidR="00473DBE" w:rsidP="00AB750D">
      <w:pPr>
        <w:pStyle w:val="FootnoteText"/>
        <w:spacing w:after="120"/>
      </w:pPr>
      <w:r>
        <w:rPr>
          <w:rStyle w:val="FootnoteReference"/>
        </w:rPr>
        <w:footnoteRef/>
      </w:r>
      <w:r>
        <w:t xml:space="preserve"> Supplemental Testimony of Michael Haugh at 13.</w:t>
      </w:r>
    </w:p>
  </w:footnote>
  <w:footnote w:id="113">
    <w:p w:rsidR="00473DBE" w:rsidP="00AB750D">
      <w:pPr>
        <w:pStyle w:val="FootnoteText"/>
        <w:spacing w:after="120"/>
      </w:pPr>
      <w:r>
        <w:rPr>
          <w:rStyle w:val="FootnoteReference"/>
        </w:rPr>
        <w:footnoteRef/>
      </w:r>
      <w:r>
        <w:t xml:space="preserve"> Supplemental Testimony of Michael Haugh at 14.</w:t>
      </w:r>
    </w:p>
  </w:footnote>
  <w:footnote w:id="114">
    <w:p w:rsidR="00473DBE" w:rsidP="00AB750D">
      <w:pPr>
        <w:pStyle w:val="FootnoteText"/>
        <w:spacing w:after="120"/>
      </w:pPr>
      <w:r>
        <w:rPr>
          <w:rStyle w:val="FootnoteReference"/>
        </w:rPr>
        <w:footnoteRef/>
      </w:r>
      <w:r>
        <w:t xml:space="preserve"> Hearing Transcript at Vol. III, p. 440:10-13.</w:t>
      </w:r>
    </w:p>
  </w:footnote>
  <w:footnote w:id="115">
    <w:p w:rsidR="00473DBE" w:rsidP="00AB750D">
      <w:pPr>
        <w:pStyle w:val="FootnoteText"/>
        <w:spacing w:after="120"/>
      </w:pPr>
      <w:r>
        <w:rPr>
          <w:rStyle w:val="FootnoteReference"/>
        </w:rPr>
        <w:footnoteRef/>
      </w:r>
      <w:r>
        <w:t xml:space="preserve"> </w:t>
      </w:r>
      <w:r>
        <w:rPr>
          <w:i/>
        </w:rPr>
        <w:t>Id.</w:t>
      </w:r>
      <w:r>
        <w:t xml:space="preserve"> at 442:8-20.</w:t>
      </w:r>
    </w:p>
  </w:footnote>
  <w:footnote w:id="116">
    <w:p w:rsidR="00473DBE" w:rsidP="00AB750D">
      <w:pPr>
        <w:pStyle w:val="FootnoteText"/>
        <w:spacing w:after="120"/>
      </w:pPr>
      <w:r>
        <w:rPr>
          <w:rStyle w:val="FootnoteReference"/>
        </w:rPr>
        <w:footnoteRef/>
      </w:r>
      <w:r>
        <w:t xml:space="preserve"> Supplemental Testimony of Michael Haugh at 17.</w:t>
      </w:r>
    </w:p>
  </w:footnote>
  <w:footnote w:id="117">
    <w:p w:rsidR="00473DBE" w:rsidP="00AB750D">
      <w:pPr>
        <w:pStyle w:val="FootnoteText"/>
        <w:spacing w:after="120"/>
      </w:pPr>
      <w:r>
        <w:rPr>
          <w:rStyle w:val="FootnoteReference"/>
        </w:rPr>
        <w:footnoteRef/>
      </w:r>
      <w:r>
        <w:t xml:space="preserve"> Direct Testimony of Michael Haugh at 15, 18.</w:t>
      </w:r>
    </w:p>
  </w:footnote>
  <w:footnote w:id="118">
    <w:p w:rsidR="00473DBE" w:rsidP="00AB750D">
      <w:pPr>
        <w:pStyle w:val="FootnoteText"/>
        <w:spacing w:after="120"/>
      </w:pPr>
      <w:r>
        <w:rPr>
          <w:rStyle w:val="FootnoteReference"/>
        </w:rPr>
        <w:footnoteRef/>
      </w:r>
      <w:r>
        <w:t xml:space="preserve"> AEP Ohio Initial Brief at 39.</w:t>
      </w:r>
    </w:p>
  </w:footnote>
  <w:footnote w:id="119">
    <w:p w:rsidR="00473DBE" w:rsidP="00AB750D">
      <w:pPr>
        <w:pStyle w:val="FootnoteText"/>
        <w:spacing w:after="120"/>
      </w:pPr>
      <w:r>
        <w:rPr>
          <w:rStyle w:val="FootnoteReference"/>
        </w:rPr>
        <w:footnoteRef/>
      </w:r>
      <w:r>
        <w:t xml:space="preserve"> Hearing Transcript at Vol. III, pp. 436:10-436:25. (RESA witness Mr. White admitting that a CIR charge is not part of the SSO price. It is a separate charge that would be added to the SSO price).</w:t>
      </w:r>
    </w:p>
  </w:footnote>
  <w:footnote w:id="120">
    <w:p w:rsidR="00473DBE" w:rsidP="00AB750D">
      <w:pPr>
        <w:pStyle w:val="FootnoteText"/>
        <w:spacing w:after="120"/>
      </w:pPr>
      <w:r>
        <w:rPr>
          <w:rStyle w:val="FootnoteReference"/>
        </w:rPr>
        <w:footnoteRef/>
      </w:r>
      <w:r>
        <w:t xml:space="preserve"> AEP Ohio Initial Brief at 39.</w:t>
      </w:r>
    </w:p>
  </w:footnote>
  <w:footnote w:id="121">
    <w:p w:rsidR="00473DBE" w:rsidP="00AB750D">
      <w:pPr>
        <w:pStyle w:val="FootnoteText"/>
        <w:spacing w:after="120"/>
      </w:pPr>
      <w:r>
        <w:rPr>
          <w:rStyle w:val="FootnoteReference"/>
        </w:rPr>
        <w:footnoteRef/>
      </w:r>
      <w:r>
        <w:t xml:space="preserve"> AEP Ohio Initial Brief at 39.</w:t>
      </w:r>
    </w:p>
  </w:footnote>
  <w:footnote w:id="122">
    <w:p w:rsidR="00473DBE" w:rsidP="00AB750D">
      <w:pPr>
        <w:pStyle w:val="FootnoteText"/>
        <w:spacing w:after="120"/>
      </w:pPr>
      <w:r>
        <w:rPr>
          <w:rStyle w:val="FootnoteReference"/>
        </w:rPr>
        <w:footnoteRef/>
      </w:r>
      <w:r>
        <w:t xml:space="preserve"> See </w:t>
      </w:r>
      <w:r w:rsidRPr="00497504">
        <w:rPr>
          <w:i/>
        </w:rPr>
        <w:t>Consumers’ Counsel v. Pub. Util. Comm</w:t>
      </w:r>
      <w:r>
        <w:t xml:space="preserve">., 64 Ohio St.3d 123, 126, 592 N.E.2d 1370 (1992); </w:t>
      </w:r>
      <w:r w:rsidRPr="00497504">
        <w:rPr>
          <w:i/>
        </w:rPr>
        <w:t>In re Application of Columbus S. Power Co</w:t>
      </w:r>
      <w:r>
        <w:t>., 129 Ohio St.3d 46 (2011).</w:t>
      </w:r>
    </w:p>
  </w:footnote>
  <w:footnote w:id="123">
    <w:p w:rsidR="00473DBE" w:rsidP="00AB750D">
      <w:pPr>
        <w:pStyle w:val="FootnoteText"/>
        <w:spacing w:after="120"/>
      </w:pPr>
      <w:r>
        <w:rPr>
          <w:rStyle w:val="FootnoteReference"/>
        </w:rPr>
        <w:footnoteRef/>
      </w:r>
      <w:r>
        <w:t xml:space="preserve"> Hearing Transcript at Vol. III, pp. 437:23-440:9.</w:t>
      </w:r>
    </w:p>
  </w:footnote>
  <w:footnote w:id="124">
    <w:p w:rsidR="00473DBE" w:rsidRPr="00802808" w:rsidP="00AB750D">
      <w:pPr>
        <w:pStyle w:val="FootnoteText"/>
        <w:spacing w:after="120"/>
      </w:pPr>
      <w:r>
        <w:rPr>
          <w:rStyle w:val="FootnoteReference"/>
        </w:rPr>
        <w:footnoteRef/>
      </w:r>
      <w:r>
        <w:t xml:space="preserve"> Hearing Transcript at Vol. I, p. 59:1-4.</w:t>
      </w:r>
    </w:p>
  </w:footnote>
  <w:footnote w:id="125">
    <w:p w:rsidR="00473DBE" w:rsidRPr="00802808" w:rsidP="00AB750D">
      <w:pPr>
        <w:pStyle w:val="FootnoteText"/>
        <w:spacing w:after="120"/>
      </w:pPr>
      <w:r>
        <w:rPr>
          <w:rStyle w:val="FootnoteReference"/>
        </w:rPr>
        <w:footnoteRef/>
      </w:r>
      <w:r>
        <w:t xml:space="preserve"> </w:t>
      </w:r>
      <w:r>
        <w:rPr>
          <w:i/>
        </w:rPr>
        <w:t xml:space="preserve">Id. </w:t>
      </w:r>
      <w:r>
        <w:t>at 58:13-25.</w:t>
      </w:r>
    </w:p>
  </w:footnote>
  <w:footnote w:id="126">
    <w:p w:rsidR="00473DBE" w:rsidRPr="00BC243C" w:rsidP="00AB750D">
      <w:pPr>
        <w:pStyle w:val="FootnoteText"/>
        <w:spacing w:after="120"/>
      </w:pPr>
      <w:r>
        <w:rPr>
          <w:rStyle w:val="FootnoteReference"/>
        </w:rPr>
        <w:footnoteRef/>
      </w:r>
      <w:r>
        <w:t xml:space="preserve"> </w:t>
      </w:r>
      <w:r>
        <w:rPr>
          <w:i/>
        </w:rPr>
        <w:t xml:space="preserve">Id. </w:t>
      </w:r>
      <w:r>
        <w:t xml:space="preserve">at 160:4-12. </w:t>
      </w:r>
    </w:p>
  </w:footnote>
  <w:footnote w:id="127">
    <w:p w:rsidR="00473DBE" w:rsidP="00AB750D">
      <w:pPr>
        <w:pStyle w:val="FootnoteText"/>
        <w:spacing w:after="120"/>
      </w:pPr>
      <w:r>
        <w:rPr>
          <w:rStyle w:val="FootnoteReference"/>
        </w:rPr>
        <w:footnoteRef/>
      </w:r>
      <w:r>
        <w:t xml:space="preserve"> R.C. 4928.143(C)(1). </w:t>
      </w:r>
    </w:p>
  </w:footnote>
  <w:footnote w:id="128">
    <w:p w:rsidR="00473DBE" w:rsidRPr="003B09C2" w:rsidP="00AB750D">
      <w:pPr>
        <w:pStyle w:val="FootnoteText"/>
        <w:spacing w:after="120"/>
      </w:pPr>
      <w:r>
        <w:rPr>
          <w:rStyle w:val="FootnoteReference"/>
        </w:rPr>
        <w:footnoteRef/>
      </w:r>
      <w:r>
        <w:t xml:space="preserve"> </w:t>
      </w:r>
      <w:r>
        <w:rPr>
          <w:i/>
        </w:rPr>
        <w:t xml:space="preserve">In re Ohio Edison Co., </w:t>
      </w:r>
      <w:r>
        <w:t>146 Ohio St.3d at 226.</w:t>
      </w:r>
    </w:p>
  </w:footnote>
  <w:footnote w:id="129">
    <w:p w:rsidR="00473DBE" w:rsidP="00AB750D">
      <w:pPr>
        <w:pStyle w:val="FootnoteText"/>
        <w:spacing w:after="120"/>
      </w:pPr>
      <w:r>
        <w:rPr>
          <w:rStyle w:val="FootnoteReference"/>
        </w:rPr>
        <w:footnoteRef/>
      </w:r>
      <w:r>
        <w:t xml:space="preserve"> Hearing Transcript at Vol. I, p. 55:16-18.</w:t>
      </w:r>
    </w:p>
  </w:footnote>
  <w:footnote w:id="130">
    <w:p w:rsidR="00473DBE" w:rsidP="00AB750D">
      <w:pPr>
        <w:pStyle w:val="FootnoteText"/>
        <w:spacing w:after="120"/>
      </w:pPr>
      <w:r>
        <w:rPr>
          <w:rStyle w:val="FootnoteReference"/>
        </w:rPr>
        <w:footnoteRef/>
      </w:r>
      <w:r>
        <w:t xml:space="preserve"> </w:t>
      </w:r>
      <w:r w:rsidRPr="00A850B8">
        <w:rPr>
          <w:i/>
        </w:rPr>
        <w:t>Id.</w:t>
      </w:r>
      <w:r>
        <w:t xml:space="preserve"> at 162:10-163:4.</w:t>
      </w:r>
    </w:p>
  </w:footnote>
  <w:footnote w:id="131">
    <w:p w:rsidR="00473DBE" w:rsidRPr="00FA1BC9" w:rsidP="00AB750D">
      <w:pPr>
        <w:pStyle w:val="FootnoteText"/>
        <w:spacing w:after="120"/>
      </w:pPr>
      <w:r>
        <w:rPr>
          <w:rStyle w:val="FootnoteReference"/>
        </w:rPr>
        <w:footnoteRef/>
      </w:r>
      <w:r>
        <w:t xml:space="preserve"> AEP at 53.</w:t>
      </w:r>
    </w:p>
  </w:footnote>
  <w:footnote w:id="132">
    <w:p w:rsidR="00473DBE" w:rsidP="00AB750D">
      <w:pPr>
        <w:pStyle w:val="FootnoteText"/>
        <w:spacing w:after="120"/>
      </w:pPr>
      <w:r>
        <w:rPr>
          <w:rStyle w:val="FootnoteReference"/>
        </w:rPr>
        <w:footnoteRef/>
      </w:r>
      <w:r>
        <w:t xml:space="preserve"> </w:t>
      </w:r>
      <w:r>
        <w:rPr>
          <w:i/>
        </w:rPr>
        <w:t>Id.</w:t>
      </w:r>
      <w:r>
        <w:t xml:space="preserve"> at 53-54.</w:t>
      </w:r>
    </w:p>
  </w:footnote>
  <w:footnote w:id="133">
    <w:p w:rsidR="00473DBE" w:rsidP="00AB750D">
      <w:pPr>
        <w:pStyle w:val="FootnoteText"/>
        <w:spacing w:after="120"/>
      </w:pPr>
      <w:r>
        <w:rPr>
          <w:rStyle w:val="FootnoteReference"/>
        </w:rPr>
        <w:footnoteRef/>
      </w:r>
      <w:r>
        <w:t xml:space="preserve"> Hearing Transcript at Vol. I, p. 51:18-19.</w:t>
      </w:r>
    </w:p>
  </w:footnote>
  <w:footnote w:id="134">
    <w:p w:rsidR="00473DBE" w:rsidRPr="00B151A0" w:rsidP="00AB750D">
      <w:pPr>
        <w:pStyle w:val="FootnoteText"/>
        <w:spacing w:after="120"/>
      </w:pPr>
      <w:r>
        <w:rPr>
          <w:rStyle w:val="FootnoteReference"/>
        </w:rPr>
        <w:footnoteRef/>
      </w:r>
      <w:r>
        <w:t xml:space="preserve"> </w:t>
      </w:r>
      <w:r>
        <w:rPr>
          <w:i/>
        </w:rPr>
        <w:t xml:space="preserve">Id. </w:t>
      </w:r>
      <w:r>
        <w:t>at 52:15-22.</w:t>
      </w:r>
    </w:p>
  </w:footnote>
  <w:footnote w:id="135">
    <w:p w:rsidR="00473DBE" w:rsidRPr="00DC0C1F" w:rsidP="00AB750D">
      <w:pPr>
        <w:pStyle w:val="FootnoteText"/>
        <w:spacing w:after="120"/>
      </w:pPr>
      <w:r>
        <w:rPr>
          <w:rStyle w:val="FootnoteReference"/>
        </w:rPr>
        <w:footnoteRef/>
      </w:r>
      <w:r>
        <w:t xml:space="preserve"> AEP at 53.</w:t>
      </w:r>
    </w:p>
  </w:footnote>
  <w:footnote w:id="136">
    <w:p w:rsidR="00473DBE" w:rsidRPr="005477F7" w:rsidP="00AB750D">
      <w:pPr>
        <w:pStyle w:val="FootnoteText"/>
        <w:spacing w:after="120"/>
      </w:pPr>
      <w:r>
        <w:rPr>
          <w:rStyle w:val="FootnoteReference"/>
        </w:rPr>
        <w:footnoteRef/>
      </w:r>
      <w:r>
        <w:t xml:space="preserve"> Hearing Transcript at Vol. I, p. 24:9-16.</w:t>
      </w:r>
    </w:p>
  </w:footnote>
  <w:footnote w:id="137">
    <w:p w:rsidR="00473DBE" w:rsidRPr="005477F7" w:rsidP="00AB750D">
      <w:pPr>
        <w:pStyle w:val="FootnoteText"/>
        <w:spacing w:after="120"/>
      </w:pPr>
      <w:r>
        <w:rPr>
          <w:rStyle w:val="FootnoteReference"/>
        </w:rPr>
        <w:footnoteRef/>
      </w:r>
      <w:r>
        <w:t xml:space="preserve"> </w:t>
      </w:r>
      <w:r>
        <w:rPr>
          <w:i/>
        </w:rPr>
        <w:t xml:space="preserve">Id. </w:t>
      </w:r>
      <w:r>
        <w:t>at 25:5-23.</w:t>
      </w:r>
    </w:p>
  </w:footnote>
  <w:footnote w:id="138">
    <w:p w:rsidR="00473DBE" w:rsidRPr="006D0C39" w:rsidP="00AB750D">
      <w:pPr>
        <w:pStyle w:val="FootnoteText"/>
        <w:spacing w:after="120"/>
      </w:pPr>
      <w:r>
        <w:rPr>
          <w:rStyle w:val="FootnoteReference"/>
        </w:rPr>
        <w:footnoteRef/>
      </w:r>
      <w:r>
        <w:t xml:space="preserve"> </w:t>
      </w:r>
      <w:r>
        <w:rPr>
          <w:i/>
        </w:rPr>
        <w:t xml:space="preserve">Id. </w:t>
      </w:r>
      <w:r w:rsidRPr="006D0C39">
        <w:t>at 24:11-16</w:t>
      </w:r>
      <w:r>
        <w:t>.</w:t>
      </w:r>
    </w:p>
  </w:footnote>
  <w:footnote w:id="139">
    <w:p w:rsidR="00473DBE" w:rsidRPr="005477F7" w:rsidP="00AB750D">
      <w:pPr>
        <w:pStyle w:val="FootnoteText"/>
        <w:spacing w:after="120"/>
      </w:pPr>
      <w:r>
        <w:rPr>
          <w:rStyle w:val="FootnoteReference"/>
        </w:rPr>
        <w:footnoteRef/>
      </w:r>
      <w:r>
        <w:t xml:space="preserve"> </w:t>
      </w:r>
      <w:r>
        <w:rPr>
          <w:i/>
        </w:rPr>
        <w:t xml:space="preserve">Id. </w:t>
      </w:r>
      <w:r>
        <w:t>at 25-26:24-3.</w:t>
      </w:r>
    </w:p>
  </w:footnote>
  <w:footnote w:id="140">
    <w:p w:rsidR="00473DBE" w:rsidRPr="007D5BCB" w:rsidP="00AB750D">
      <w:pPr>
        <w:pStyle w:val="FootnoteText"/>
        <w:spacing w:after="120"/>
      </w:pPr>
      <w:r>
        <w:rPr>
          <w:rStyle w:val="FootnoteReference"/>
        </w:rPr>
        <w:footnoteRef/>
      </w:r>
      <w:r>
        <w:t xml:space="preserve"> </w:t>
      </w:r>
      <w:r>
        <w:rPr>
          <w:i/>
        </w:rPr>
        <w:t xml:space="preserve">Id. </w:t>
      </w:r>
      <w:r>
        <w:t>at 52:2-5.</w:t>
      </w:r>
    </w:p>
  </w:footnote>
  <w:footnote w:id="141">
    <w:p w:rsidR="00473DBE" w:rsidP="00AB750D">
      <w:pPr>
        <w:pStyle w:val="FootnoteText"/>
        <w:spacing w:after="120"/>
      </w:pPr>
      <w:r>
        <w:rPr>
          <w:rStyle w:val="FootnoteReference"/>
        </w:rPr>
        <w:footnoteRef/>
      </w:r>
      <w:r>
        <w:t xml:space="preserve"> AEP Brief at 55.</w:t>
      </w:r>
    </w:p>
  </w:footnote>
  <w:footnote w:id="142">
    <w:p w:rsidR="00473DBE" w:rsidP="00AB750D">
      <w:pPr>
        <w:pStyle w:val="FootnoteText"/>
        <w:spacing w:after="120"/>
      </w:pPr>
      <w:r>
        <w:rPr>
          <w:rStyle w:val="FootnoteReference"/>
        </w:rPr>
        <w:footnoteRef/>
      </w:r>
      <w:r>
        <w:t xml:space="preserve"> Hearing Transcript at Vol. I, p. 51:8-10.</w:t>
      </w:r>
    </w:p>
  </w:footnote>
  <w:footnote w:id="143">
    <w:p w:rsidR="00473DBE" w:rsidRPr="00F070AF" w:rsidP="00AB750D">
      <w:pPr>
        <w:pStyle w:val="FootnoteText"/>
        <w:spacing w:after="120"/>
      </w:pPr>
      <w:r>
        <w:rPr>
          <w:rStyle w:val="FootnoteReference"/>
        </w:rPr>
        <w:footnoteRef/>
      </w:r>
      <w:r>
        <w:t xml:space="preserve"> </w:t>
      </w:r>
      <w:r>
        <w:rPr>
          <w:i/>
        </w:rPr>
        <w:t xml:space="preserve">Id. </w:t>
      </w:r>
      <w:r>
        <w:t>at. 51:18-21.</w:t>
      </w:r>
    </w:p>
  </w:footnote>
  <w:footnote w:id="144">
    <w:p w:rsidR="00473DBE" w:rsidP="00AB750D">
      <w:pPr>
        <w:pStyle w:val="FootnoteText"/>
        <w:spacing w:after="120"/>
      </w:pPr>
      <w:r>
        <w:rPr>
          <w:rStyle w:val="FootnoteReference"/>
        </w:rPr>
        <w:footnoteRef/>
      </w:r>
      <w:r>
        <w:t xml:space="preserve"> AEP Brief at 55.</w:t>
      </w:r>
    </w:p>
  </w:footnote>
  <w:footnote w:id="145">
    <w:p w:rsidR="00473DBE" w:rsidRPr="00DE2244" w:rsidP="00AB750D">
      <w:pPr>
        <w:pStyle w:val="FootnoteText"/>
        <w:spacing w:after="120"/>
      </w:pPr>
      <w:r>
        <w:rPr>
          <w:rStyle w:val="FootnoteReference"/>
        </w:rPr>
        <w:footnoteRef/>
      </w:r>
      <w:r>
        <w:t xml:space="preserve"> </w:t>
      </w:r>
      <w:r>
        <w:rPr>
          <w:i/>
        </w:rPr>
        <w:t>See</w:t>
      </w:r>
      <w:r>
        <w:t xml:space="preserve"> Joint Stipulation and Recommendation at p. 7-9, Section (D): </w:t>
      </w:r>
      <w:r>
        <w:rPr>
          <w:i/>
        </w:rPr>
        <w:t xml:space="preserve">see also </w:t>
      </w:r>
      <w:r>
        <w:t xml:space="preserve">Hearing Transcript at Vol. I, p. 26:9-12; 29:8-12. </w:t>
      </w:r>
    </w:p>
  </w:footnote>
  <w:footnote w:id="146">
    <w:p w:rsidR="00473DBE" w:rsidP="00AB750D">
      <w:pPr>
        <w:pStyle w:val="FootnoteText"/>
        <w:spacing w:after="120"/>
      </w:pPr>
      <w:r>
        <w:rPr>
          <w:rStyle w:val="FootnoteReference"/>
        </w:rPr>
        <w:footnoteRef/>
      </w:r>
      <w:r>
        <w:t xml:space="preserve"> AEP Brief at 56.</w:t>
      </w:r>
    </w:p>
  </w:footnote>
  <w:footnote w:id="147">
    <w:p w:rsidR="00473DBE" w:rsidP="00AB750D">
      <w:pPr>
        <w:pStyle w:val="FootnoteText"/>
        <w:spacing w:after="120"/>
      </w:pPr>
      <w:r>
        <w:rPr>
          <w:rStyle w:val="FootnoteReference"/>
        </w:rPr>
        <w:footnoteRef/>
      </w:r>
      <w:r>
        <w:t xml:space="preserve"> Hearing Transcript at Vol. I, pp. 158:19-163:4.</w:t>
      </w:r>
    </w:p>
  </w:footnote>
  <w:footnote w:id="148">
    <w:p w:rsidR="00473DBE" w:rsidP="00AB750D">
      <w:pPr>
        <w:pStyle w:val="FootnoteText"/>
        <w:spacing w:after="120"/>
      </w:pPr>
      <w:r>
        <w:rPr>
          <w:rStyle w:val="FootnoteReference"/>
        </w:rPr>
        <w:footnoteRef/>
      </w:r>
      <w:r>
        <w:t xml:space="preserve"> </w:t>
      </w:r>
      <w:r w:rsidRPr="00A850B8">
        <w:rPr>
          <w:i/>
        </w:rPr>
        <w:t>See</w:t>
      </w:r>
      <w:r>
        <w:t xml:space="preserve"> </w:t>
      </w:r>
      <w:r w:rsidRPr="00A850B8">
        <w:rPr>
          <w:i/>
        </w:rPr>
        <w:t>id</w:t>
      </w:r>
      <w:r>
        <w:t xml:space="preserve">.; </w:t>
      </w:r>
      <w:r w:rsidRPr="00A850B8">
        <w:rPr>
          <w:i/>
        </w:rPr>
        <w:t>see also</w:t>
      </w:r>
      <w:r>
        <w:t xml:space="preserve"> R.C. 4928.142 (does not authorize various riders).</w:t>
      </w:r>
    </w:p>
  </w:footnote>
  <w:footnote w:id="149">
    <w:p w:rsidR="00473DBE" w:rsidP="00AB750D">
      <w:pPr>
        <w:pStyle w:val="FootnoteText"/>
        <w:spacing w:after="120"/>
      </w:pPr>
      <w:r>
        <w:rPr>
          <w:rStyle w:val="FootnoteReference"/>
        </w:rPr>
        <w:footnoteRef/>
      </w:r>
      <w:r>
        <w:t xml:space="preserve"> Hearing Transcript at Vol. I, pp. 158:19-163:4.</w:t>
      </w:r>
    </w:p>
  </w:footnote>
  <w:footnote w:id="150">
    <w:p w:rsidR="00473DBE" w:rsidP="00AB750D">
      <w:pPr>
        <w:pStyle w:val="FootnoteText"/>
        <w:spacing w:after="120"/>
      </w:pPr>
      <w:r>
        <w:rPr>
          <w:rStyle w:val="FootnoteReference"/>
        </w:rPr>
        <w:footnoteRef/>
      </w:r>
      <w:r>
        <w:t xml:space="preserve"> </w:t>
      </w:r>
      <w:r w:rsidRPr="00A850B8">
        <w:rPr>
          <w:i/>
        </w:rPr>
        <w:t xml:space="preserve">See id. </w:t>
      </w:r>
      <w:r>
        <w:t>at 163:5-13.</w:t>
      </w:r>
    </w:p>
  </w:footnote>
  <w:footnote w:id="151">
    <w:p w:rsidR="00473DBE" w:rsidP="00AB750D">
      <w:pPr>
        <w:pStyle w:val="FootnoteText"/>
        <w:spacing w:after="120"/>
      </w:pPr>
      <w:r>
        <w:rPr>
          <w:rStyle w:val="FootnoteReference"/>
        </w:rPr>
        <w:footnoteRef/>
      </w:r>
      <w:r>
        <w:t xml:space="preserve"> </w:t>
      </w:r>
      <w:r w:rsidRPr="00A850B8">
        <w:rPr>
          <w:i/>
        </w:rPr>
        <w:t>See id.</w:t>
      </w:r>
      <w:r>
        <w:t xml:space="preserve"> at 163:14-164:7.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6B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6B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6B7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3DB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3DB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3D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38A47994"/>
    <w:lvl w:ilvl="0">
      <w:start w:val="1"/>
      <w:numFmt w:val="decimal"/>
      <w:lvlText w:val="%1."/>
      <w:lvlJc w:val="left"/>
      <w:pPr>
        <w:tabs>
          <w:tab w:val="num" w:pos="1800"/>
        </w:tabs>
        <w:ind w:left="1800" w:hanging="360"/>
      </w:pPr>
    </w:lvl>
  </w:abstractNum>
  <w:abstractNum w:abstractNumId="1">
    <w:nsid w:val="FFFFFF7D"/>
    <w:multiLevelType w:val="singleLevel"/>
    <w:tmpl w:val="774E6D6C"/>
    <w:lvl w:ilvl="0">
      <w:start w:val="1"/>
      <w:numFmt w:val="decimal"/>
      <w:lvlText w:val="%1."/>
      <w:lvlJc w:val="left"/>
      <w:pPr>
        <w:tabs>
          <w:tab w:val="num" w:pos="1440"/>
        </w:tabs>
        <w:ind w:left="1440" w:hanging="360"/>
      </w:pPr>
    </w:lvl>
  </w:abstractNum>
  <w:abstractNum w:abstractNumId="2">
    <w:nsid w:val="FFFFFF7E"/>
    <w:multiLevelType w:val="singleLevel"/>
    <w:tmpl w:val="4FA833C4"/>
    <w:lvl w:ilvl="0">
      <w:start w:val="1"/>
      <w:numFmt w:val="decimal"/>
      <w:lvlText w:val="%1."/>
      <w:lvlJc w:val="left"/>
      <w:pPr>
        <w:tabs>
          <w:tab w:val="num" w:pos="1080"/>
        </w:tabs>
        <w:ind w:left="1080" w:hanging="360"/>
      </w:pPr>
    </w:lvl>
  </w:abstractNum>
  <w:abstractNum w:abstractNumId="3">
    <w:nsid w:val="FFFFFF7F"/>
    <w:multiLevelType w:val="singleLevel"/>
    <w:tmpl w:val="20C0D524"/>
    <w:lvl w:ilvl="0">
      <w:start w:val="1"/>
      <w:numFmt w:val="decimal"/>
      <w:lvlText w:val="%1."/>
      <w:lvlJc w:val="left"/>
      <w:pPr>
        <w:tabs>
          <w:tab w:val="num" w:pos="720"/>
        </w:tabs>
        <w:ind w:left="720" w:hanging="360"/>
      </w:pPr>
    </w:lvl>
  </w:abstractNum>
  <w:abstractNum w:abstractNumId="4">
    <w:nsid w:val="FFFFFF80"/>
    <w:multiLevelType w:val="singleLevel"/>
    <w:tmpl w:val="92F89F6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74E597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77E7B3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58CDCF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7568906"/>
    <w:lvl w:ilvl="0">
      <w:start w:val="1"/>
      <w:numFmt w:val="decimal"/>
      <w:lvlText w:val="%1."/>
      <w:lvlJc w:val="left"/>
      <w:pPr>
        <w:tabs>
          <w:tab w:val="num" w:pos="360"/>
        </w:tabs>
        <w:ind w:left="360" w:hanging="360"/>
      </w:pPr>
    </w:lvl>
  </w:abstractNum>
  <w:abstractNum w:abstractNumId="9">
    <w:nsid w:val="FFFFFF89"/>
    <w:multiLevelType w:val="singleLevel"/>
    <w:tmpl w:val="C0CAAF52"/>
    <w:lvl w:ilvl="0">
      <w:start w:val="1"/>
      <w:numFmt w:val="bullet"/>
      <w:lvlText w:val=""/>
      <w:lvlJc w:val="left"/>
      <w:pPr>
        <w:tabs>
          <w:tab w:val="num" w:pos="360"/>
        </w:tabs>
        <w:ind w:left="360" w:hanging="360"/>
      </w:pPr>
      <w:rPr>
        <w:rFonts w:ascii="Symbol" w:hAnsi="Symbol" w:hint="default"/>
      </w:rPr>
    </w:lvl>
  </w:abstractNum>
  <w:abstractNum w:abstractNumId="10">
    <w:nsid w:val="0E6C6B55"/>
    <w:multiLevelType w:val="hybridMultilevel"/>
    <w:tmpl w:val="0A3613E4"/>
    <w:lvl w:ilvl="0">
      <w:start w:val="1"/>
      <w:numFmt w:val="upperLetter"/>
      <w:lvlText w:val="%1."/>
      <w:lvlJc w:val="left"/>
      <w:pPr>
        <w:ind w:left="1080" w:hanging="360"/>
      </w:pPr>
      <w:rPr>
        <w:rFonts w:hint="default"/>
        <w:b/>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13805890"/>
    <w:multiLevelType w:val="hybridMultilevel"/>
    <w:tmpl w:val="012C69A2"/>
    <w:lvl w:ilvl="0">
      <w:start w:val="6"/>
      <w:numFmt w:val="decimal"/>
      <w:lvlText w:val="%1."/>
      <w:lvlJc w:val="left"/>
      <w:pPr>
        <w:ind w:left="720" w:hanging="36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A3646B4"/>
    <w:multiLevelType w:val="hybridMultilevel"/>
    <w:tmpl w:val="A558AD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2AF3934"/>
    <w:multiLevelType w:val="hybridMultilevel"/>
    <w:tmpl w:val="D39A5DDE"/>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29B07150"/>
    <w:multiLevelType w:val="hybridMultilevel"/>
    <w:tmpl w:val="69AC55E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2C5B5400"/>
    <w:multiLevelType w:val="hybridMultilevel"/>
    <w:tmpl w:val="3E300BC6"/>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EE538B2"/>
    <w:multiLevelType w:val="hybridMultilevel"/>
    <w:tmpl w:val="FFCCC51C"/>
    <w:lvl w:ilvl="0">
      <w:start w:val="9"/>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C2D46FA"/>
    <w:multiLevelType w:val="hybridMultilevel"/>
    <w:tmpl w:val="8A2AF69C"/>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2E4700E"/>
    <w:multiLevelType w:val="hybridMultilevel"/>
    <w:tmpl w:val="31923430"/>
    <w:lvl w:ilvl="0">
      <w:start w:val="1"/>
      <w:numFmt w:val="decimal"/>
      <w:lvlText w:val="(%1)"/>
      <w:lvlJc w:val="left"/>
      <w:pPr>
        <w:ind w:left="1785" w:hanging="1065"/>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4603267A"/>
    <w:multiLevelType w:val="multilevel"/>
    <w:tmpl w:val="95AC852E"/>
    <w:styleLink w:val="List1"/>
    <w:lvl w:ilvl="0">
      <w:start w:val="1"/>
      <w:numFmt w:val="decimal"/>
      <w:lvlText w:val="%1."/>
      <w:lvlJc w:val="left"/>
      <w:rPr>
        <w:position w:val="0"/>
        <w:rtl w:val="0"/>
      </w:rPr>
    </w:lvl>
    <w:lvl w:ilvl="1">
      <w:start w:val="3"/>
      <w:numFmt w:val="upperRoman"/>
      <w:lvlText w:val="%2."/>
      <w:lvlJc w:val="left"/>
      <w:pPr>
        <w:ind w:left="720" w:hanging="720"/>
      </w:pPr>
      <w:rPr>
        <w:rFonts w:cstheme="majorBidi" w:hint="default"/>
      </w:rPr>
    </w:lvl>
    <w:lvl w:ilvl="2">
      <w:start w:val="1"/>
      <w:numFmt w:val="bullet"/>
      <w:lvlText w:val="-"/>
      <w:lvlJc w:val="left"/>
      <w:pPr>
        <w:ind w:left="360" w:hanging="360"/>
      </w:pPr>
      <w:rPr>
        <w:rFonts w:ascii="Times New Roman" w:eastAsia="Arial Unicode MS" w:hAnsi="Times New Roman" w:cs="Times New Roman" w:hint="default"/>
        <w:b/>
        <w:i/>
      </w:rPr>
    </w:lvl>
    <w:lvl w:ilvl="3">
      <w:start w:val="1"/>
      <w:numFmt w:val="bullet"/>
      <w:lvlText w:val="-"/>
      <w:lvlJc w:val="left"/>
      <w:pPr>
        <w:ind w:left="360" w:hanging="360"/>
      </w:pPr>
      <w:rPr>
        <w:rFonts w:ascii="Times New Roman" w:eastAsia="Arial Unicode MS" w:hAnsi="Times New Roman" w:cs="Times New Roman" w:hint="default"/>
        <w:b/>
        <w:i/>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0">
    <w:nsid w:val="4E45637E"/>
    <w:multiLevelType w:val="hybridMultilevel"/>
    <w:tmpl w:val="8640D4F0"/>
    <w:lvl w:ilvl="0">
      <w:start w:val="1"/>
      <w:numFmt w:val="upperLetter"/>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1">
    <w:nsid w:val="630A36DA"/>
    <w:multiLevelType w:val="hybridMultilevel"/>
    <w:tmpl w:val="39E2E240"/>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41A1213"/>
    <w:multiLevelType w:val="multilevel"/>
    <w:tmpl w:val="3BA0FC60"/>
    <w:styleLink w:val="List0"/>
    <w:lvl w:ilvl="0">
      <w:start w:val="1"/>
      <w:numFmt w:val="decimal"/>
      <w:lvlText w:val="%1."/>
      <w:lvlJc w:val="left"/>
      <w:rPr>
        <w:color w:val="000000"/>
        <w:position w:val="0"/>
        <w:rtl w:val="0"/>
      </w:rPr>
    </w:lvl>
    <w:lvl w:ilvl="1">
      <w:start w:val="1"/>
      <w:numFmt w:val="decimal"/>
      <w:lvlText w:val="%2."/>
      <w:lvlJc w:val="left"/>
      <w:rPr>
        <w:color w:val="000000"/>
        <w:position w:val="0"/>
        <w:rtl w:val="0"/>
      </w:rPr>
    </w:lvl>
    <w:lvl w:ilvl="2">
      <w:start w:val="1"/>
      <w:numFmt w:val="decimal"/>
      <w:lvlText w:val="%3."/>
      <w:lvlJc w:val="left"/>
      <w:rPr>
        <w:color w:val="000000"/>
        <w:position w:val="0"/>
        <w:rtl w:val="0"/>
      </w:rPr>
    </w:lvl>
    <w:lvl w:ilvl="3">
      <w:start w:val="1"/>
      <w:numFmt w:val="decimal"/>
      <w:lvlText w:val="(%4)"/>
      <w:lvlJc w:val="left"/>
      <w:rPr>
        <w:color w:val="000000"/>
        <w:position w:val="0"/>
        <w:rtl w:val="0"/>
      </w:rPr>
    </w:lvl>
    <w:lvl w:ilvl="4">
      <w:start w:val="1"/>
      <w:numFmt w:val="decimal"/>
      <w:lvlText w:val="(%5)"/>
      <w:lvlJc w:val="left"/>
      <w:rPr>
        <w:color w:val="000000"/>
        <w:position w:val="0"/>
        <w:rtl w:val="0"/>
      </w:rPr>
    </w:lvl>
    <w:lvl w:ilvl="5">
      <w:start w:val="1"/>
      <w:numFmt w:val="decimal"/>
      <w:lvlText w:val="%1.%2.%3.%4.%5.%6."/>
      <w:lvlJc w:val="left"/>
      <w:rPr>
        <w:color w:val="000000"/>
        <w:position w:val="0"/>
        <w:rtl w:val="0"/>
      </w:rPr>
    </w:lvl>
    <w:lvl w:ilvl="6">
      <w:start w:val="1"/>
      <w:numFmt w:val="decimal"/>
      <w:lvlText w:val="%1.%2.%3.%4.%5.%6.%7."/>
      <w:lvlJc w:val="left"/>
      <w:rPr>
        <w:color w:val="000000"/>
        <w:position w:val="0"/>
        <w:rtl w:val="0"/>
      </w:rPr>
    </w:lvl>
    <w:lvl w:ilvl="7">
      <w:start w:val="1"/>
      <w:numFmt w:val="decimal"/>
      <w:lvlText w:val="%1.%2.%3.%4.%5.%6.%7.%8."/>
      <w:lvlJc w:val="left"/>
      <w:rPr>
        <w:color w:val="000000"/>
        <w:position w:val="0"/>
        <w:rtl w:val="0"/>
      </w:rPr>
    </w:lvl>
    <w:lvl w:ilvl="8">
      <w:start w:val="1"/>
      <w:numFmt w:val="decimal"/>
      <w:lvlText w:val="%1.%2.%3.%4.%5.%6.%7.%8.%9."/>
      <w:lvlJc w:val="left"/>
      <w:rPr>
        <w:color w:val="000000"/>
        <w:position w:val="0"/>
        <w:rtl w:val="0"/>
      </w:rPr>
    </w:lvl>
  </w:abstractNum>
  <w:abstractNum w:abstractNumId="23">
    <w:nsid w:val="69E82D05"/>
    <w:multiLevelType w:val="hybridMultilevel"/>
    <w:tmpl w:val="3E9C7802"/>
    <w:lvl w:ilvl="0">
      <w:start w:val="1"/>
      <w:numFmt w:val="decimal"/>
      <w:lvlText w:val="%1."/>
      <w:lvlJc w:val="left"/>
      <w:pPr>
        <w:ind w:left="1800" w:hanging="360"/>
      </w:pPr>
      <w:rPr>
        <w:rFonts w:hint="default"/>
        <w:b/>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4">
    <w:nsid w:val="712E40BC"/>
    <w:multiLevelType w:val="hybridMultilevel"/>
    <w:tmpl w:val="ACF6F7D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3931DC9"/>
    <w:multiLevelType w:val="hybridMultilevel"/>
    <w:tmpl w:val="E38C1DA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63069D5"/>
    <w:multiLevelType w:val="hybridMultilevel"/>
    <w:tmpl w:val="C3AACBC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78DC639E"/>
    <w:multiLevelType w:val="hybridMultilevel"/>
    <w:tmpl w:val="6896D284"/>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79B56A76"/>
    <w:multiLevelType w:val="hybridMultilevel"/>
    <w:tmpl w:val="18C6E05E"/>
    <w:lvl w:ilvl="0">
      <w:start w:val="1"/>
      <w:numFmt w:val="decimal"/>
      <w:lvlText w:val="%1."/>
      <w:lvlJc w:val="left"/>
      <w:pPr>
        <w:ind w:left="1440" w:hanging="360"/>
      </w:pPr>
      <w:rPr>
        <w:rFonts w:hint="default"/>
        <w:sz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7A2E7BAB"/>
    <w:multiLevelType w:val="hybridMultilevel"/>
    <w:tmpl w:val="674A0B74"/>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22"/>
  </w:num>
  <w:num w:numId="2">
    <w:abstractNumId w:val="19"/>
    <w:lvlOverride w:ilvl="0">
      <w:lvl w:ilvl="0">
        <w:start w:val="1"/>
        <w:numFmt w:val="decimal"/>
        <w:lvlText w:val="%1."/>
        <w:lvlJc w:val="left"/>
        <w:pPr>
          <w:ind w:left="360" w:hanging="360"/>
        </w:pPr>
        <w:rPr>
          <w:rFonts w:hint="default"/>
          <w:sz w:val="24"/>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
    <w:abstractNumId w:val="28"/>
  </w:num>
  <w:num w:numId="4">
    <w:abstractNumId w:val="24"/>
  </w:num>
  <w:num w:numId="5">
    <w:abstractNumId w:val="23"/>
  </w:num>
  <w:num w:numId="6">
    <w:abstractNumId w:val="29"/>
  </w:num>
  <w:num w:numId="7">
    <w:abstractNumId w:val="10"/>
  </w:num>
  <w:num w:numId="8">
    <w:abstractNumId w:val="26"/>
  </w:num>
  <w:num w:numId="9">
    <w:abstractNumId w:val="15"/>
  </w:num>
  <w:num w:numId="10">
    <w:abstractNumId w:val="13"/>
  </w:num>
  <w:num w:numId="11">
    <w:abstractNumId w:val="21"/>
  </w:num>
  <w:num w:numId="12">
    <w:abstractNumId w:val="27"/>
  </w:num>
  <w:num w:numId="13">
    <w:abstractNumId w:val="17"/>
  </w:num>
  <w:num w:numId="14">
    <w:abstractNumId w:val="16"/>
  </w:num>
  <w:num w:numId="15">
    <w:abstractNumId w:val="18"/>
  </w:num>
  <w:num w:numId="16">
    <w:abstractNumId w:val="11"/>
  </w:num>
  <w:num w:numId="17">
    <w:abstractNumId w:val="14"/>
  </w:num>
  <w:num w:numId="18">
    <w:abstractNumId w:val="19"/>
  </w:num>
  <w:num w:numId="19">
    <w:abstractNumId w:val="25"/>
  </w:num>
  <w:num w:numId="20">
    <w:abstractNumId w:val="12"/>
  </w:num>
  <w:num w:numId="21">
    <w:abstractNumId w:val="2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uiPriority="35" w:qFormat="1"/>
    <w:lsdException w:name="footnote reference" w:uiPriority="0" w:qFormat="1"/>
    <w:lsdException w:name="annotation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7D"/>
  </w:style>
  <w:style w:type="paragraph" w:styleId="Heading1">
    <w:name w:val="heading 1"/>
    <w:basedOn w:val="Normal"/>
    <w:next w:val="Normal"/>
    <w:link w:val="Heading1Char"/>
    <w:autoRedefine/>
    <w:uiPriority w:val="9"/>
    <w:qFormat/>
    <w:rsid w:val="00473DBE"/>
    <w:pPr>
      <w:keepNext/>
      <w:keepLines/>
      <w:spacing w:after="240" w:line="240" w:lineRule="auto"/>
      <w:ind w:left="720" w:hanging="720"/>
      <w:outlineLvl w:val="0"/>
    </w:pPr>
    <w:rPr>
      <w:rFonts w:ascii="Times New Roman" w:eastAsia="Arial Unicode MS" w:hAnsi="Times New Roman" w:cstheme="majorBidi"/>
      <w:b/>
      <w:bCs/>
      <w:sz w:val="24"/>
      <w:szCs w:val="28"/>
      <w:u w:color="000000"/>
      <w:bdr w:val="nil"/>
    </w:rPr>
  </w:style>
  <w:style w:type="paragraph" w:styleId="Heading2">
    <w:name w:val="heading 2"/>
    <w:basedOn w:val="Normal"/>
    <w:next w:val="Normal"/>
    <w:link w:val="Heading2Char"/>
    <w:autoRedefine/>
    <w:uiPriority w:val="9"/>
    <w:unhideWhenUsed/>
    <w:qFormat/>
    <w:rsid w:val="0013336E"/>
    <w:pPr>
      <w:keepNext/>
      <w:keepLines/>
      <w:spacing w:after="240" w:line="240" w:lineRule="auto"/>
      <w:ind w:left="1440" w:right="720" w:hanging="720"/>
      <w:outlineLvl w:val="1"/>
    </w:pPr>
    <w:rPr>
      <w:rFonts w:ascii="Times New Roman" w:eastAsia="Arial Unicode MS" w:hAnsi="Times New Roman" w:cstheme="majorBidi"/>
      <w:b/>
      <w:bCs/>
      <w:sz w:val="24"/>
      <w:szCs w:val="26"/>
      <w:u w:color="000000"/>
      <w:bdr w:val="nil"/>
    </w:rPr>
  </w:style>
  <w:style w:type="paragraph" w:styleId="Heading3">
    <w:name w:val="heading 3"/>
    <w:basedOn w:val="Normal"/>
    <w:next w:val="Normal"/>
    <w:link w:val="Heading3Char"/>
    <w:autoRedefine/>
    <w:qFormat/>
    <w:rsid w:val="00726330"/>
    <w:pPr>
      <w:keepNext/>
      <w:suppressAutoHyphens/>
      <w:spacing w:after="240" w:line="240" w:lineRule="auto"/>
      <w:ind w:left="2160" w:right="720" w:hanging="720"/>
      <w:outlineLvl w:val="2"/>
    </w:pPr>
    <w:rPr>
      <w:rFonts w:ascii="Times New Roman Bold" w:eastAsia="Arial Unicode MS" w:hAnsi="Times New Roman Bold" w:cs="Arial"/>
      <w:b/>
      <w:spacing w:val="-3"/>
      <w:sz w:val="24"/>
      <w:szCs w:val="24"/>
      <w:u w:color="000000"/>
      <w:bdr w:val="nil"/>
    </w:rPr>
  </w:style>
  <w:style w:type="paragraph" w:styleId="Heading4">
    <w:name w:val="heading 4"/>
    <w:basedOn w:val="Normal"/>
    <w:next w:val="Normal"/>
    <w:link w:val="Heading4Char"/>
    <w:autoRedefine/>
    <w:qFormat/>
    <w:rsid w:val="008A507D"/>
    <w:pPr>
      <w:keepNext/>
      <w:suppressAutoHyphens/>
      <w:spacing w:after="240" w:line="240" w:lineRule="auto"/>
      <w:ind w:left="2880" w:right="720" w:hanging="720"/>
      <w:jc w:val="both"/>
      <w:outlineLvl w:val="3"/>
    </w:pPr>
    <w:rPr>
      <w:rFonts w:ascii="Times New Roman Bold" w:eastAsia="Times New Roman" w:hAnsi="Times New Roman Bold" w:cs="Arial"/>
      <w:b/>
      <w:bCs/>
      <w:spacing w:val="-3"/>
      <w:sz w:val="24"/>
      <w:szCs w:val="24"/>
    </w:rPr>
  </w:style>
  <w:style w:type="paragraph" w:styleId="Heading5">
    <w:name w:val="heading 5"/>
    <w:basedOn w:val="Normal"/>
    <w:next w:val="Normal"/>
    <w:link w:val="Heading5Char"/>
    <w:autoRedefine/>
    <w:uiPriority w:val="9"/>
    <w:unhideWhenUsed/>
    <w:qFormat/>
    <w:rsid w:val="008A507D"/>
    <w:pPr>
      <w:keepNext/>
      <w:keepLines/>
      <w:spacing w:after="240" w:line="240" w:lineRule="auto"/>
      <w:ind w:left="3600" w:right="720" w:hanging="720"/>
      <w:outlineLvl w:val="4"/>
    </w:pPr>
    <w:rPr>
      <w:rFonts w:ascii="Times New Roman" w:hAnsi="Times New Roman" w:eastAsiaTheme="majorEastAsia"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5CA"/>
    <w:pPr>
      <w:ind w:left="720"/>
      <w:contextualSpacing/>
    </w:pPr>
  </w:style>
  <w:style w:type="paragraph" w:styleId="Header">
    <w:name w:val="header"/>
    <w:basedOn w:val="Normal"/>
    <w:link w:val="HeaderChar"/>
    <w:unhideWhenUsed/>
    <w:rsid w:val="00D51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5B3"/>
  </w:style>
  <w:style w:type="paragraph" w:styleId="Footer">
    <w:name w:val="footer"/>
    <w:basedOn w:val="Normal"/>
    <w:link w:val="FooterChar"/>
    <w:uiPriority w:val="99"/>
    <w:unhideWhenUsed/>
    <w:rsid w:val="00D51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5B3"/>
  </w:style>
  <w:style w:type="character" w:customStyle="1" w:styleId="Heading3Char">
    <w:name w:val="Heading 3 Char"/>
    <w:basedOn w:val="DefaultParagraphFont"/>
    <w:link w:val="Heading3"/>
    <w:rsid w:val="00726330"/>
    <w:rPr>
      <w:rFonts w:ascii="Times New Roman Bold" w:eastAsia="Arial Unicode MS" w:hAnsi="Times New Roman Bold" w:cs="Arial"/>
      <w:b/>
      <w:spacing w:val="-3"/>
      <w:sz w:val="24"/>
      <w:szCs w:val="24"/>
      <w:u w:color="000000"/>
      <w:bdr w:val="nil"/>
    </w:rPr>
  </w:style>
  <w:style w:type="character" w:customStyle="1" w:styleId="Heading4Char">
    <w:name w:val="Heading 4 Char"/>
    <w:basedOn w:val="DefaultParagraphFont"/>
    <w:link w:val="Heading4"/>
    <w:rsid w:val="008A507D"/>
    <w:rPr>
      <w:rFonts w:ascii="Times New Roman Bold" w:eastAsia="Times New Roman" w:hAnsi="Times New Roman Bold" w:cs="Arial"/>
      <w:b/>
      <w:bCs/>
      <w:spacing w:val="-3"/>
      <w:sz w:val="24"/>
      <w:szCs w:val="24"/>
    </w:rPr>
  </w:style>
  <w:style w:type="character" w:styleId="Hyperlink">
    <w:name w:val="Hyperlink"/>
    <w:uiPriority w:val="99"/>
    <w:rsid w:val="004B647F"/>
    <w:rPr>
      <w:rFonts w:cs="Times New Roman"/>
      <w:color w:val="0000FF"/>
      <w:u w:val="single"/>
    </w:rPr>
  </w:style>
  <w:style w:type="paragraph" w:styleId="BodyText">
    <w:name w:val="Body Text"/>
    <w:basedOn w:val="Normal"/>
    <w:link w:val="BodyTextChar"/>
    <w:rsid w:val="004B647F"/>
    <w:pPr>
      <w:tabs>
        <w:tab w:val="left" w:pos="-720"/>
      </w:tabs>
      <w:suppressAutoHyphens/>
      <w:spacing w:after="0" w:line="480" w:lineRule="auto"/>
      <w:jc w:val="both"/>
    </w:pPr>
    <w:rPr>
      <w:rFonts w:ascii="Times New Roman" w:eastAsia="Times New Roman" w:hAnsi="Times New Roman" w:cs="Times New Roman"/>
      <w:spacing w:val="-3"/>
      <w:sz w:val="24"/>
      <w:szCs w:val="20"/>
    </w:rPr>
  </w:style>
  <w:style w:type="character" w:customStyle="1" w:styleId="BodyTextChar">
    <w:name w:val="Body Text Char"/>
    <w:basedOn w:val="DefaultParagraphFont"/>
    <w:link w:val="BodyText"/>
    <w:rsid w:val="004B647F"/>
    <w:rPr>
      <w:rFonts w:ascii="Times New Roman" w:eastAsia="Times New Roman" w:hAnsi="Times New Roman" w:cs="Times New Roman"/>
      <w:spacing w:val="-3"/>
      <w:sz w:val="24"/>
      <w:szCs w:val="20"/>
    </w:rPr>
  </w:style>
  <w:style w:type="paragraph" w:styleId="BodyTextIndent2">
    <w:name w:val="Body Text Indent 2"/>
    <w:basedOn w:val="Normal"/>
    <w:link w:val="BodyTextIndent2Char"/>
    <w:rsid w:val="004B647F"/>
    <w:pPr>
      <w:tabs>
        <w:tab w:val="left" w:pos="-1440"/>
        <w:tab w:val="left" w:pos="-720"/>
      </w:tabs>
      <w:suppressAutoHyphens/>
      <w:spacing w:before="120" w:after="0" w:line="480" w:lineRule="auto"/>
      <w:ind w:left="1440" w:hanging="7"/>
      <w:jc w:val="both"/>
    </w:pPr>
    <w:rPr>
      <w:rFonts w:ascii="Arial" w:eastAsia="Times New Roman" w:hAnsi="Arial" w:cs="Arial"/>
      <w:spacing w:val="-3"/>
      <w:sz w:val="24"/>
      <w:szCs w:val="24"/>
    </w:rPr>
  </w:style>
  <w:style w:type="character" w:customStyle="1" w:styleId="BodyTextIndent2Char">
    <w:name w:val="Body Text Indent 2 Char"/>
    <w:basedOn w:val="DefaultParagraphFont"/>
    <w:link w:val="BodyTextIndent2"/>
    <w:rsid w:val="004B647F"/>
    <w:rPr>
      <w:rFonts w:ascii="Arial" w:eastAsia="Times New Roman" w:hAnsi="Arial" w:cs="Arial"/>
      <w:spacing w:val="-3"/>
      <w:sz w:val="24"/>
      <w:szCs w:val="24"/>
    </w:rPr>
  </w:style>
  <w:style w:type="paragraph" w:styleId="BodyTextIndent3">
    <w:name w:val="Body Text Indent 3"/>
    <w:basedOn w:val="Normal"/>
    <w:link w:val="BodyTextIndent3Char"/>
    <w:rsid w:val="004B647F"/>
    <w:pPr>
      <w:tabs>
        <w:tab w:val="left" w:pos="-720"/>
      </w:tabs>
      <w:suppressAutoHyphens/>
      <w:spacing w:after="0" w:line="480" w:lineRule="auto"/>
      <w:ind w:firstLine="720"/>
      <w:jc w:val="both"/>
    </w:pPr>
    <w:rPr>
      <w:rFonts w:ascii="Arial" w:eastAsia="Times New Roman" w:hAnsi="Arial" w:cs="Arial"/>
      <w:spacing w:val="-3"/>
      <w:sz w:val="24"/>
      <w:szCs w:val="24"/>
    </w:rPr>
  </w:style>
  <w:style w:type="character" w:customStyle="1" w:styleId="BodyTextIndent3Char">
    <w:name w:val="Body Text Indent 3 Char"/>
    <w:basedOn w:val="DefaultParagraphFont"/>
    <w:link w:val="BodyTextIndent3"/>
    <w:rsid w:val="004B647F"/>
    <w:rPr>
      <w:rFonts w:ascii="Arial" w:eastAsia="Times New Roman" w:hAnsi="Arial" w:cs="Arial"/>
      <w:spacing w:val="-3"/>
      <w:sz w:val="24"/>
      <w:szCs w:val="24"/>
    </w:rPr>
  </w:style>
  <w:style w:type="paragraph" w:styleId="HTMLPreformatted">
    <w:name w:val="HTML Preformatted"/>
    <w:basedOn w:val="Normal"/>
    <w:link w:val="HTMLPreformattedChar"/>
    <w:rsid w:val="004B6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4B647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234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AD0"/>
    <w:rPr>
      <w:rFonts w:ascii="Tahoma" w:hAnsi="Tahoma" w:cs="Tahoma"/>
      <w:sz w:val="16"/>
      <w:szCs w:val="16"/>
    </w:rPr>
  </w:style>
  <w:style w:type="paragraph" w:styleId="NormalWeb">
    <w:name w:val="Normal (Web)"/>
    <w:basedOn w:val="Normal"/>
    <w:uiPriority w:val="99"/>
    <w:unhideWhenUsed/>
    <w:rsid w:val="00383B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73DBE"/>
    <w:rPr>
      <w:rFonts w:ascii="Times New Roman" w:eastAsia="Arial Unicode MS" w:hAnsi="Times New Roman" w:cstheme="majorBidi"/>
      <w:b/>
      <w:bCs/>
      <w:sz w:val="24"/>
      <w:szCs w:val="28"/>
      <w:u w:color="000000"/>
      <w:bdr w:val="nil"/>
    </w:rPr>
  </w:style>
  <w:style w:type="paragraph" w:styleId="CommentText">
    <w:name w:val="annotation text"/>
    <w:basedOn w:val="Normal"/>
    <w:link w:val="CommentTextChar"/>
    <w:unhideWhenUsed/>
    <w:rsid w:val="00AC5269"/>
    <w:pPr>
      <w:spacing w:line="240" w:lineRule="auto"/>
    </w:pPr>
    <w:rPr>
      <w:sz w:val="20"/>
      <w:szCs w:val="20"/>
    </w:rPr>
  </w:style>
  <w:style w:type="character" w:customStyle="1" w:styleId="CommentTextChar">
    <w:name w:val="Comment Text Char"/>
    <w:basedOn w:val="DefaultParagraphFont"/>
    <w:link w:val="CommentText"/>
    <w:rsid w:val="00AC5269"/>
    <w:rPr>
      <w:sz w:val="20"/>
      <w:szCs w:val="20"/>
    </w:rPr>
  </w:style>
  <w:style w:type="table" w:styleId="TableGrid">
    <w:name w:val="Table Grid"/>
    <w:basedOn w:val="TableNormal"/>
    <w:uiPriority w:val="59"/>
    <w:rsid w:val="00AC5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ID">
    <w:name w:val="DocID"/>
    <w:basedOn w:val="DefaultParagraphFont"/>
    <w:rsid w:val="00262D44"/>
    <w:rPr>
      <w:rFonts w:ascii="Times New Roman" w:hAnsi="Times New Roman" w:cs="Times New Roman"/>
      <w:b w:val="0"/>
      <w:bCs/>
      <w:i w:val="0"/>
      <w:caps w:val="0"/>
      <w:vanish w:val="0"/>
      <w:color w:val="000000"/>
      <w:sz w:val="16"/>
      <w:szCs w:val="24"/>
      <w:u w:val="none"/>
    </w:rPr>
  </w:style>
  <w:style w:type="character" w:styleId="CommentReference">
    <w:name w:val="annotation reference"/>
    <w:basedOn w:val="DefaultParagraphFont"/>
    <w:semiHidden/>
    <w:unhideWhenUsed/>
    <w:rsid w:val="000611D9"/>
    <w:rPr>
      <w:sz w:val="16"/>
      <w:szCs w:val="16"/>
    </w:rPr>
  </w:style>
  <w:style w:type="paragraph" w:styleId="CommentSubject">
    <w:name w:val="annotation subject"/>
    <w:basedOn w:val="CommentText"/>
    <w:next w:val="CommentText"/>
    <w:link w:val="CommentSubjectChar"/>
    <w:uiPriority w:val="99"/>
    <w:semiHidden/>
    <w:unhideWhenUsed/>
    <w:rsid w:val="000611D9"/>
    <w:rPr>
      <w:b/>
      <w:bCs/>
    </w:rPr>
  </w:style>
  <w:style w:type="character" w:customStyle="1" w:styleId="CommentSubjectChar">
    <w:name w:val="Comment Subject Char"/>
    <w:basedOn w:val="CommentTextChar"/>
    <w:link w:val="CommentSubject"/>
    <w:uiPriority w:val="99"/>
    <w:semiHidden/>
    <w:rsid w:val="000611D9"/>
    <w:rPr>
      <w:b/>
      <w:bCs/>
      <w:sz w:val="20"/>
      <w:szCs w:val="20"/>
    </w:rPr>
  </w:style>
  <w:style w:type="numbering" w:customStyle="1" w:styleId="NoList1">
    <w:name w:val="No List1"/>
    <w:next w:val="NoList"/>
    <w:uiPriority w:val="99"/>
    <w:semiHidden/>
    <w:unhideWhenUsed/>
    <w:rsid w:val="00785A4C"/>
  </w:style>
  <w:style w:type="paragraph" w:customStyle="1" w:styleId="HeaderFooter">
    <w:name w:val="Header &amp; Footer"/>
    <w:rsid w:val="00785A4C"/>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rPr>
  </w:style>
  <w:style w:type="paragraph" w:customStyle="1" w:styleId="BodyA">
    <w:name w:val="Body A"/>
    <w:rsid w:val="00785A4C"/>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TOC1">
    <w:name w:val="toc 1"/>
    <w:autoRedefine/>
    <w:uiPriority w:val="39"/>
    <w:qFormat/>
    <w:rsid w:val="007D425A"/>
    <w:pPr>
      <w:pBdr>
        <w:top w:val="nil"/>
        <w:left w:val="nil"/>
        <w:bottom w:val="nil"/>
        <w:right w:val="nil"/>
        <w:between w:val="nil"/>
        <w:bar w:val="nil"/>
      </w:pBdr>
      <w:tabs>
        <w:tab w:val="decimal" w:leader="dot" w:pos="8640"/>
      </w:tabs>
      <w:spacing w:after="240" w:line="240" w:lineRule="auto"/>
      <w:ind w:left="720" w:hanging="720"/>
      <w:outlineLvl w:val="0"/>
    </w:pPr>
    <w:rPr>
      <w:rFonts w:ascii="Times New Roman" w:eastAsia="Times New Roman" w:hAnsi="Times New Roman" w:cs="Times New Roman"/>
      <w:caps/>
      <w:sz w:val="24"/>
      <w:szCs w:val="24"/>
      <w:u w:color="000000"/>
      <w:bdr w:val="nil"/>
    </w:rPr>
  </w:style>
  <w:style w:type="paragraph" w:customStyle="1" w:styleId="Heading">
    <w:name w:val="Heading"/>
    <w:next w:val="BodyA"/>
    <w:rsid w:val="00785A4C"/>
    <w:pPr>
      <w:keepNext/>
      <w:keepLines/>
      <w:pBdr>
        <w:top w:val="nil"/>
        <w:left w:val="nil"/>
        <w:bottom w:val="nil"/>
        <w:right w:val="nil"/>
        <w:between w:val="nil"/>
        <w:bar w:val="nil"/>
      </w:pBdr>
      <w:spacing w:after="0" w:line="480" w:lineRule="auto"/>
      <w:outlineLvl w:val="0"/>
    </w:pPr>
    <w:rPr>
      <w:rFonts w:ascii="Times New Roman" w:eastAsia="Times New Roman" w:hAnsi="Times New Roman" w:cs="Times New Roman"/>
      <w:b/>
      <w:bCs/>
      <w:color w:val="000000"/>
      <w:sz w:val="24"/>
      <w:szCs w:val="24"/>
      <w:u w:color="000000"/>
      <w:bdr w:val="nil"/>
    </w:rPr>
  </w:style>
  <w:style w:type="paragraph" w:customStyle="1" w:styleId="DirectQuestion">
    <w:name w:val="Direct Question"/>
    <w:next w:val="BodyA"/>
    <w:rsid w:val="00785A4C"/>
    <w:pPr>
      <w:pBdr>
        <w:top w:val="nil"/>
        <w:left w:val="nil"/>
        <w:bottom w:val="nil"/>
        <w:right w:val="nil"/>
        <w:between w:val="nil"/>
        <w:bar w:val="nil"/>
      </w:pBdr>
      <w:tabs>
        <w:tab w:val="left" w:pos="1440"/>
      </w:tabs>
      <w:spacing w:after="0" w:line="480" w:lineRule="auto"/>
      <w:ind w:left="1440" w:hanging="1440"/>
    </w:pPr>
    <w:rPr>
      <w:rFonts w:ascii="Times New Roman" w:eastAsia="Arial Unicode MS" w:hAnsi="Arial Unicode MS" w:cs="Arial Unicode MS"/>
      <w:b/>
      <w:bCs/>
      <w:i/>
      <w:iCs/>
      <w:caps/>
      <w:color w:val="000000"/>
      <w:sz w:val="24"/>
      <w:szCs w:val="24"/>
      <w:u w:color="000000"/>
      <w:bdr w:val="nil"/>
    </w:rPr>
  </w:style>
  <w:style w:type="numbering" w:customStyle="1" w:styleId="List0">
    <w:name w:val="List 0"/>
    <w:basedOn w:val="ImportedStyle1"/>
    <w:rsid w:val="00785A4C"/>
    <w:pPr>
      <w:numPr>
        <w:numId w:val="1"/>
      </w:numPr>
    </w:pPr>
  </w:style>
  <w:style w:type="numbering" w:customStyle="1" w:styleId="ImportedStyle1">
    <w:name w:val="Imported Style 1"/>
    <w:rsid w:val="00785A4C"/>
  </w:style>
  <w:style w:type="paragraph" w:customStyle="1" w:styleId="DirectAnswer">
    <w:name w:val="Direct Answer"/>
    <w:next w:val="DirectNext"/>
    <w:rsid w:val="00785A4C"/>
    <w:pPr>
      <w:pBdr>
        <w:top w:val="nil"/>
        <w:left w:val="nil"/>
        <w:bottom w:val="nil"/>
        <w:right w:val="nil"/>
        <w:between w:val="nil"/>
        <w:bar w:val="nil"/>
      </w:pBdr>
      <w:spacing w:after="0" w:line="480" w:lineRule="auto"/>
      <w:ind w:left="720" w:hanging="720"/>
    </w:pPr>
    <w:rPr>
      <w:rFonts w:ascii="Times New Roman" w:eastAsia="Arial Unicode MS" w:hAnsi="Arial Unicode MS" w:cs="Arial Unicode MS"/>
      <w:color w:val="000000"/>
      <w:sz w:val="24"/>
      <w:szCs w:val="24"/>
      <w:u w:color="000000"/>
      <w:bdr w:val="nil"/>
    </w:rPr>
  </w:style>
  <w:style w:type="paragraph" w:customStyle="1" w:styleId="DirectNext">
    <w:name w:val="Direct Next"/>
    <w:rsid w:val="00785A4C"/>
    <w:pPr>
      <w:pBdr>
        <w:top w:val="nil"/>
        <w:left w:val="nil"/>
        <w:bottom w:val="nil"/>
        <w:right w:val="nil"/>
        <w:between w:val="nil"/>
        <w:bar w:val="nil"/>
      </w:pBdr>
      <w:spacing w:after="0" w:line="504" w:lineRule="exact"/>
      <w:ind w:left="720"/>
    </w:pPr>
    <w:rPr>
      <w:rFonts w:ascii="Times New Roman" w:eastAsia="Arial Unicode MS" w:hAnsi="Arial Unicode MS" w:cs="Arial Unicode MS"/>
      <w:color w:val="000000"/>
      <w:sz w:val="24"/>
      <w:szCs w:val="24"/>
      <w:u w:color="000000"/>
      <w:bdr w:val="nil"/>
    </w:rPr>
  </w:style>
  <w:style w:type="numbering" w:customStyle="1" w:styleId="List1">
    <w:name w:val="List 1"/>
    <w:basedOn w:val="ImportedStyle2"/>
    <w:rsid w:val="00785A4C"/>
    <w:pPr>
      <w:numPr>
        <w:numId w:val="18"/>
      </w:numPr>
    </w:pPr>
  </w:style>
  <w:style w:type="numbering" w:customStyle="1" w:styleId="ImportedStyle2">
    <w:name w:val="Imported Style 2"/>
    <w:rsid w:val="00785A4C"/>
  </w:style>
  <w:style w:type="paragraph" w:styleId="FootnoteText">
    <w:name w:val="footnote text"/>
    <w:aliases w:val="ALTS FOOTNOTE,Footnote Text Cha,Footnote Text Char Char4 Char,Footnote Text Char Char4 Char1 Char Char,Footnote Text Char2,Footnote Text Char4 Char,Footnote Text Char4 Char1 Char Char,Footnote Text Char5 Char1 Char Char Char Char Char,fn"/>
    <w:link w:val="FootnoteTextChar"/>
    <w:qFormat/>
    <w:rsid w:val="00785A4C"/>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rPr>
  </w:style>
  <w:style w:type="character" w:customStyle="1" w:styleId="FootnoteTextChar">
    <w:name w:val="Footnote Text Char"/>
    <w:aliases w:val="ALTS FOOTNOTE Char1,Footnote Text Cha Char,Footnote Text Char Char4 Char Char,Footnote Text Char Char4 Char1 Char Char Char,Footnote Text Char2 Char,Footnote Text Char4 Char Char,Footnote Text Char4 Char1 Char Char Char,fn Char"/>
    <w:basedOn w:val="DefaultParagraphFont"/>
    <w:link w:val="FootnoteText"/>
    <w:uiPriority w:val="99"/>
    <w:rsid w:val="00785A4C"/>
    <w:rPr>
      <w:rFonts w:ascii="Times New Roman" w:eastAsia="Times New Roman" w:hAnsi="Times New Roman" w:cs="Times New Roman"/>
      <w:color w:val="000000"/>
      <w:sz w:val="20"/>
      <w:szCs w:val="20"/>
      <w:u w:color="000000"/>
      <w:bdr w:val="nil"/>
    </w:rPr>
  </w:style>
  <w:style w:type="paragraph" w:customStyle="1" w:styleId="Default">
    <w:name w:val="Default"/>
    <w:rsid w:val="00785A4C"/>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paragraph" w:styleId="EndnoteText">
    <w:name w:val="endnote text"/>
    <w:link w:val="EndnoteTextChar"/>
    <w:rsid w:val="00785A4C"/>
    <w:pPr>
      <w:widowControl w:val="0"/>
      <w:pBdr>
        <w:top w:val="nil"/>
        <w:left w:val="nil"/>
        <w:bottom w:val="nil"/>
        <w:right w:val="nil"/>
        <w:between w:val="nil"/>
        <w:bar w:val="nil"/>
      </w:pBdr>
      <w:spacing w:after="0" w:line="240" w:lineRule="auto"/>
    </w:pPr>
    <w:rPr>
      <w:rFonts w:ascii="Courier New" w:eastAsia="Courier New" w:hAnsi="Courier New" w:cs="Courier New"/>
      <w:color w:val="000000"/>
      <w:sz w:val="24"/>
      <w:szCs w:val="24"/>
      <w:u w:color="000000"/>
      <w:bdr w:val="nil"/>
    </w:rPr>
  </w:style>
  <w:style w:type="character" w:customStyle="1" w:styleId="EndnoteTextChar">
    <w:name w:val="Endnote Text Char"/>
    <w:basedOn w:val="DefaultParagraphFont"/>
    <w:link w:val="EndnoteText"/>
    <w:rsid w:val="00785A4C"/>
    <w:rPr>
      <w:rFonts w:ascii="Courier New" w:eastAsia="Courier New" w:hAnsi="Courier New" w:cs="Courier New"/>
      <w:color w:val="000000"/>
      <w:sz w:val="24"/>
      <w:szCs w:val="24"/>
      <w:u w:color="000000"/>
      <w:bdr w:val="nil"/>
    </w:rPr>
  </w:style>
  <w:style w:type="character" w:styleId="LineNumber">
    <w:name w:val="line number"/>
    <w:basedOn w:val="DefaultParagraphFont"/>
    <w:uiPriority w:val="99"/>
    <w:semiHidden/>
    <w:unhideWhenUsed/>
    <w:rsid w:val="00785A4C"/>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nhideWhenUsed/>
    <w:qFormat/>
    <w:rsid w:val="00785A4C"/>
    <w:rPr>
      <w:vertAlign w:val="superscript"/>
    </w:rPr>
  </w:style>
  <w:style w:type="paragraph" w:styleId="NoSpacing">
    <w:name w:val="No Spacing"/>
    <w:uiPriority w:val="1"/>
    <w:qFormat/>
    <w:rsid w:val="00785A4C"/>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table" w:customStyle="1" w:styleId="TableGrid1">
    <w:name w:val="Table Grid1"/>
    <w:basedOn w:val="TableNormal"/>
    <w:next w:val="TableGrid"/>
    <w:uiPriority w:val="59"/>
    <w:rsid w:val="00785A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5A4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85A4C"/>
    <w:pPr>
      <w:spacing w:after="0" w:line="240" w:lineRule="auto"/>
    </w:pPr>
    <w:rPr>
      <w:rFonts w:ascii="Times New Roman" w:eastAsia="Arial Unicode MS" w:hAnsi="Times New Roman" w:cs="Times New Roman"/>
      <w:sz w:val="24"/>
      <w:szCs w:val="24"/>
      <w:bdr w:val="nil"/>
    </w:rPr>
  </w:style>
  <w:style w:type="character" w:customStyle="1" w:styleId="FollowedHyperlink1">
    <w:name w:val="FollowedHyperlink1"/>
    <w:basedOn w:val="DefaultParagraphFont"/>
    <w:uiPriority w:val="99"/>
    <w:semiHidden/>
    <w:unhideWhenUsed/>
    <w:rsid w:val="00785A4C"/>
    <w:rPr>
      <w:color w:val="FF00FF"/>
      <w:u w:val="single"/>
    </w:rPr>
  </w:style>
  <w:style w:type="paragraph" w:customStyle="1" w:styleId="Question">
    <w:name w:val="Question"/>
    <w:basedOn w:val="Normal"/>
    <w:link w:val="QuestionChar"/>
    <w:qFormat/>
    <w:rsid w:val="00785A4C"/>
    <w:pPr>
      <w:spacing w:after="0" w:line="480" w:lineRule="auto"/>
      <w:ind w:left="720" w:hanging="720"/>
    </w:pPr>
    <w:rPr>
      <w:rFonts w:ascii="Times New Roman" w:eastAsia="Times New Roman" w:hAnsi="Times New Roman" w:cs="Times New Roman"/>
      <w:b/>
      <w:i/>
      <w:caps/>
      <w:sz w:val="24"/>
      <w:szCs w:val="24"/>
    </w:rPr>
  </w:style>
  <w:style w:type="character" w:customStyle="1" w:styleId="QuestionChar">
    <w:name w:val="Question Char"/>
    <w:basedOn w:val="DefaultParagraphFont"/>
    <w:link w:val="Question"/>
    <w:rsid w:val="00785A4C"/>
    <w:rPr>
      <w:rFonts w:ascii="Times New Roman" w:eastAsia="Times New Roman" w:hAnsi="Times New Roman" w:cs="Times New Roman"/>
      <w:b/>
      <w:i/>
      <w:caps/>
      <w:sz w:val="24"/>
      <w:szCs w:val="24"/>
    </w:rPr>
  </w:style>
  <w:style w:type="character" w:styleId="PageNumber">
    <w:name w:val="page number"/>
    <w:basedOn w:val="DefaultParagraphFont"/>
    <w:uiPriority w:val="99"/>
    <w:semiHidden/>
    <w:unhideWhenUsed/>
    <w:rsid w:val="00785A4C"/>
  </w:style>
  <w:style w:type="paragraph" w:styleId="BodyTextIndent">
    <w:name w:val="Body Text Indent"/>
    <w:basedOn w:val="Normal"/>
    <w:link w:val="BodyTextIndentChar"/>
    <w:uiPriority w:val="99"/>
    <w:semiHidden/>
    <w:unhideWhenUsed/>
    <w:rsid w:val="00785A4C"/>
    <w:pPr>
      <w:pBdr>
        <w:top w:val="nil"/>
        <w:left w:val="nil"/>
        <w:bottom w:val="nil"/>
        <w:right w:val="nil"/>
        <w:between w:val="nil"/>
        <w:bar w:val="nil"/>
      </w:pBdr>
      <w:spacing w:after="120" w:line="240" w:lineRule="auto"/>
      <w:ind w:left="360"/>
    </w:pPr>
    <w:rPr>
      <w:rFonts w:ascii="Times New Roman" w:eastAsia="Arial Unicode MS" w:hAnsi="Times New Roman" w:cs="Times New Roman"/>
      <w:sz w:val="24"/>
      <w:szCs w:val="24"/>
      <w:bdr w:val="nil"/>
    </w:rPr>
  </w:style>
  <w:style w:type="character" w:customStyle="1" w:styleId="BodyTextIndentChar">
    <w:name w:val="Body Text Indent Char"/>
    <w:basedOn w:val="DefaultParagraphFont"/>
    <w:link w:val="BodyTextIndent"/>
    <w:uiPriority w:val="99"/>
    <w:semiHidden/>
    <w:rsid w:val="00785A4C"/>
    <w:rPr>
      <w:rFonts w:ascii="Times New Roman" w:eastAsia="Arial Unicode MS" w:hAnsi="Times New Roman" w:cs="Times New Roman"/>
      <w:sz w:val="24"/>
      <w:szCs w:val="24"/>
      <w:bdr w:val="nil"/>
    </w:rPr>
  </w:style>
  <w:style w:type="character" w:styleId="FollowedHyperlink">
    <w:name w:val="FollowedHyperlink"/>
    <w:basedOn w:val="DefaultParagraphFont"/>
    <w:uiPriority w:val="99"/>
    <w:semiHidden/>
    <w:unhideWhenUsed/>
    <w:rsid w:val="00785A4C"/>
    <w:rPr>
      <w:color w:val="800080" w:themeColor="followedHyperlink"/>
      <w:u w:val="single"/>
    </w:rPr>
  </w:style>
  <w:style w:type="character" w:customStyle="1" w:styleId="Heading2Char">
    <w:name w:val="Heading 2 Char"/>
    <w:basedOn w:val="DefaultParagraphFont"/>
    <w:link w:val="Heading2"/>
    <w:uiPriority w:val="9"/>
    <w:rsid w:val="0013336E"/>
    <w:rPr>
      <w:rFonts w:ascii="Times New Roman" w:eastAsia="Arial Unicode MS" w:hAnsi="Times New Roman" w:cstheme="majorBidi"/>
      <w:b/>
      <w:bCs/>
      <w:sz w:val="24"/>
      <w:szCs w:val="26"/>
      <w:u w:color="000000"/>
      <w:bdr w:val="nil"/>
    </w:rPr>
  </w:style>
  <w:style w:type="paragraph" w:styleId="TOC2">
    <w:name w:val="toc 2"/>
    <w:basedOn w:val="Normal"/>
    <w:next w:val="Normal"/>
    <w:autoRedefine/>
    <w:uiPriority w:val="39"/>
    <w:unhideWhenUsed/>
    <w:qFormat/>
    <w:rsid w:val="004130FA"/>
    <w:pPr>
      <w:tabs>
        <w:tab w:val="decimal" w:leader="dot" w:pos="8640"/>
      </w:tabs>
      <w:spacing w:after="240" w:line="240" w:lineRule="auto"/>
      <w:ind w:left="1440" w:hanging="720"/>
    </w:pPr>
    <w:rPr>
      <w:rFonts w:ascii="Times New Roman" w:hAnsi="Times New Roman"/>
      <w:sz w:val="24"/>
    </w:rPr>
  </w:style>
  <w:style w:type="paragraph" w:styleId="TOC3">
    <w:name w:val="toc 3"/>
    <w:basedOn w:val="Normal"/>
    <w:next w:val="Normal"/>
    <w:autoRedefine/>
    <w:uiPriority w:val="39"/>
    <w:unhideWhenUsed/>
    <w:qFormat/>
    <w:rsid w:val="004130FA"/>
    <w:pPr>
      <w:tabs>
        <w:tab w:val="decimal" w:leader="dot" w:pos="8640"/>
      </w:tabs>
      <w:spacing w:after="240" w:line="240" w:lineRule="auto"/>
      <w:ind w:left="2160" w:hanging="720"/>
    </w:pPr>
    <w:rPr>
      <w:rFonts w:ascii="Times New Roman" w:hAnsi="Times New Roman"/>
      <w:sz w:val="24"/>
    </w:rPr>
  </w:style>
  <w:style w:type="paragraph" w:styleId="TOC4">
    <w:name w:val="toc 4"/>
    <w:basedOn w:val="Normal"/>
    <w:next w:val="Normal"/>
    <w:autoRedefine/>
    <w:uiPriority w:val="39"/>
    <w:unhideWhenUsed/>
    <w:qFormat/>
    <w:rsid w:val="004130FA"/>
    <w:pPr>
      <w:tabs>
        <w:tab w:val="decimal" w:leader="dot" w:pos="8640"/>
      </w:tabs>
      <w:spacing w:after="240" w:line="240" w:lineRule="auto"/>
      <w:ind w:left="2880" w:hanging="720"/>
    </w:pPr>
    <w:rPr>
      <w:rFonts w:ascii="Times New Roman" w:hAnsi="Times New Roman"/>
      <w:sz w:val="24"/>
    </w:rPr>
  </w:style>
  <w:style w:type="character" w:customStyle="1" w:styleId="Heading5Char">
    <w:name w:val="Heading 5 Char"/>
    <w:basedOn w:val="DefaultParagraphFont"/>
    <w:link w:val="Heading5"/>
    <w:uiPriority w:val="9"/>
    <w:rsid w:val="008A507D"/>
    <w:rPr>
      <w:rFonts w:ascii="Times New Roman" w:hAnsi="Times New Roman" w:eastAsiaTheme="majorEastAsia" w:cstheme="majorBidi"/>
      <w:b/>
      <w:sz w:val="24"/>
    </w:rPr>
  </w:style>
  <w:style w:type="paragraph" w:styleId="TOC5">
    <w:name w:val="toc 5"/>
    <w:basedOn w:val="Normal"/>
    <w:next w:val="Normal"/>
    <w:autoRedefine/>
    <w:uiPriority w:val="39"/>
    <w:unhideWhenUsed/>
    <w:qFormat/>
    <w:rsid w:val="004130FA"/>
    <w:pPr>
      <w:tabs>
        <w:tab w:val="decimal" w:leader="dot" w:pos="8640"/>
      </w:tabs>
      <w:spacing w:after="240" w:line="240" w:lineRule="auto"/>
      <w:ind w:left="3600" w:hanging="720"/>
      <w:outlineLvl w:val="4"/>
    </w:pPr>
    <w:rPr>
      <w:rFonts w:ascii="Times New Roman" w:hAnsi="Times New Roman"/>
      <w:sz w:val="24"/>
    </w:rPr>
  </w:style>
  <w:style w:type="character" w:customStyle="1" w:styleId="ALTSFOOTNOTEChar">
    <w:name w:val="ALTS FOOTNOTE Char"/>
    <w:aliases w:val="Car Char,Footnote Text Char Char Char,Footnote Text Char Char Char Char Char,Footnote Text Char Char2,Footnote Text Char1 Char,Footnote Text Char1 Char Char1 Char,Footnote Text Char1 Char Char1 Char Char Char Char"/>
    <w:locked/>
    <w:rsid w:val="00961EF0"/>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footer" Target="footer7.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7260</Words>
  <Characters>41385</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16-1852.docx</vt:lpstr>
    </vt:vector>
  </TitlesOfParts>
  <Company/>
  <LinksUpToDate>false</LinksUpToDate>
  <CharactersWithSpaces>48548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2017-12-21T20:26:40Z</dcterms:created>
  <dcterms:modified xsi:type="dcterms:W3CDTF">2017-12-21T20:26:40Z</dcterms:modified>
</cp:coreProperties>
</file>