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29" w:rsidRDefault="00584BD1">
      <w:pPr>
        <w:autoSpaceDE w:val="0"/>
        <w:autoSpaceDN w:val="0"/>
        <w:adjustRightInd w:val="0"/>
        <w:spacing w:line="240" w:lineRule="auto"/>
        <w:jc w:val="center"/>
        <w:rPr>
          <w:rFonts w:ascii="Arial Bold" w:hAnsi="Arial Bold" w:cs="Arial"/>
          <w:b/>
          <w:smallCaps/>
          <w:sz w:val="32"/>
          <w:szCs w:val="32"/>
        </w:rPr>
      </w:pPr>
      <w:bookmarkStart w:id="0" w:name="_GoBack"/>
      <w:bookmarkEnd w:id="0"/>
      <w:r>
        <w:rPr>
          <w:rFonts w:ascii="Arial Bold" w:hAnsi="Arial Bold" w:cs="Arial"/>
          <w:b/>
          <w:smallCaps/>
          <w:sz w:val="32"/>
          <w:szCs w:val="32"/>
        </w:rPr>
        <w:t>Before</w:t>
      </w:r>
    </w:p>
    <w:p w:rsidR="00A01629" w:rsidRDefault="00584BD1">
      <w:pPr>
        <w:autoSpaceDE w:val="0"/>
        <w:autoSpaceDN w:val="0"/>
        <w:adjustRightInd w:val="0"/>
        <w:spacing w:line="240" w:lineRule="auto"/>
        <w:jc w:val="center"/>
        <w:rPr>
          <w:rFonts w:ascii="Arial Bold" w:hAnsi="Arial Bold" w:cs="Arial"/>
          <w:b/>
          <w:smallCaps/>
          <w:sz w:val="32"/>
          <w:szCs w:val="32"/>
        </w:rPr>
      </w:pPr>
      <w:r>
        <w:rPr>
          <w:rFonts w:ascii="Arial Bold" w:hAnsi="Arial Bold" w:cs="Arial"/>
          <w:b/>
          <w:smallCaps/>
          <w:sz w:val="32"/>
          <w:szCs w:val="32"/>
        </w:rPr>
        <w:t>The Public Utilities Commission of Ohio</w:t>
      </w:r>
    </w:p>
    <w:p w:rsidR="00A01629" w:rsidRDefault="00A01629">
      <w:pPr>
        <w:autoSpaceDE w:val="0"/>
        <w:autoSpaceDN w:val="0"/>
        <w:adjustRightInd w:val="0"/>
        <w:spacing w:line="240" w:lineRule="auto"/>
        <w:jc w:val="left"/>
        <w:rPr>
          <w:rFonts w:cs="Arial"/>
        </w:rPr>
      </w:pPr>
    </w:p>
    <w:p w:rsidR="00A01629" w:rsidRDefault="00A01629">
      <w:pPr>
        <w:autoSpaceDE w:val="0"/>
        <w:autoSpaceDN w:val="0"/>
        <w:adjustRightInd w:val="0"/>
        <w:spacing w:line="240" w:lineRule="auto"/>
        <w:jc w:val="left"/>
        <w:rPr>
          <w:rFonts w:cs="Arial"/>
        </w:rPr>
      </w:pPr>
    </w:p>
    <w:p w:rsidR="00A01629" w:rsidRDefault="00584BD1">
      <w:pPr>
        <w:tabs>
          <w:tab w:val="left" w:pos="4680"/>
          <w:tab w:val="left" w:pos="5220"/>
        </w:tabs>
        <w:autoSpaceDE w:val="0"/>
        <w:autoSpaceDN w:val="0"/>
        <w:adjustRightInd w:val="0"/>
        <w:spacing w:line="240" w:lineRule="auto"/>
        <w:jc w:val="left"/>
        <w:rPr>
          <w:rFonts w:cs="Arial"/>
        </w:rPr>
      </w:pPr>
      <w:r>
        <w:rPr>
          <w:rFonts w:cs="Arial"/>
        </w:rPr>
        <w:t xml:space="preserve">In the Matter of the Application of </w:t>
      </w:r>
      <w:r>
        <w:rPr>
          <w:rFonts w:cs="Arial"/>
        </w:rPr>
        <w:tab/>
        <w:t>)</w:t>
      </w:r>
    </w:p>
    <w:p w:rsidR="00A01629" w:rsidRDefault="00584BD1">
      <w:pPr>
        <w:tabs>
          <w:tab w:val="left" w:pos="4680"/>
          <w:tab w:val="left" w:pos="5220"/>
        </w:tabs>
        <w:autoSpaceDE w:val="0"/>
        <w:autoSpaceDN w:val="0"/>
        <w:adjustRightInd w:val="0"/>
        <w:spacing w:line="240" w:lineRule="auto"/>
        <w:jc w:val="left"/>
        <w:rPr>
          <w:rFonts w:cs="Arial"/>
        </w:rPr>
      </w:pPr>
      <w:r>
        <w:rPr>
          <w:rFonts w:cs="Arial"/>
        </w:rPr>
        <w:t xml:space="preserve">Aqua Ohio, Inc. to Increase Its Rates </w:t>
      </w:r>
      <w:r>
        <w:rPr>
          <w:rFonts w:cs="Arial"/>
        </w:rPr>
        <w:tab/>
        <w:t>)</w:t>
      </w:r>
      <w:r>
        <w:rPr>
          <w:rFonts w:cs="Arial"/>
        </w:rPr>
        <w:tab/>
        <w:t>Case No. 13-2124-WW-AIR</w:t>
      </w:r>
    </w:p>
    <w:p w:rsidR="00A01629" w:rsidRDefault="00584BD1">
      <w:pPr>
        <w:tabs>
          <w:tab w:val="left" w:pos="4680"/>
          <w:tab w:val="left" w:pos="5220"/>
        </w:tabs>
        <w:autoSpaceDE w:val="0"/>
        <w:autoSpaceDN w:val="0"/>
        <w:adjustRightInd w:val="0"/>
        <w:spacing w:line="240" w:lineRule="auto"/>
        <w:jc w:val="left"/>
        <w:rPr>
          <w:rFonts w:cs="Arial"/>
        </w:rPr>
      </w:pPr>
      <w:r>
        <w:rPr>
          <w:rFonts w:cs="Arial"/>
        </w:rPr>
        <w:t xml:space="preserve">and Charges for Its Waterworks Service. </w:t>
      </w:r>
      <w:r>
        <w:rPr>
          <w:rFonts w:cs="Arial"/>
        </w:rPr>
        <w:tab/>
        <w:t>)</w:t>
      </w:r>
    </w:p>
    <w:p w:rsidR="00A01629" w:rsidRDefault="00A01629">
      <w:pPr>
        <w:autoSpaceDE w:val="0"/>
        <w:autoSpaceDN w:val="0"/>
        <w:adjustRightInd w:val="0"/>
        <w:spacing w:line="240" w:lineRule="auto"/>
        <w:jc w:val="left"/>
        <w:rPr>
          <w:rFonts w:cs="Arial"/>
        </w:rPr>
      </w:pPr>
    </w:p>
    <w:p w:rsidR="00A01629" w:rsidRDefault="00A01629">
      <w:pPr>
        <w:autoSpaceDE w:val="0"/>
        <w:autoSpaceDN w:val="0"/>
        <w:adjustRightInd w:val="0"/>
        <w:spacing w:line="240" w:lineRule="auto"/>
        <w:jc w:val="left"/>
        <w:rPr>
          <w:rFonts w:cs="Arial"/>
        </w:rPr>
      </w:pPr>
    </w:p>
    <w:p w:rsidR="00A01629" w:rsidRDefault="00A01629">
      <w:pPr>
        <w:pBdr>
          <w:top w:val="single" w:sz="12" w:space="1" w:color="auto"/>
        </w:pBdr>
        <w:autoSpaceDE w:val="0"/>
        <w:autoSpaceDN w:val="0"/>
        <w:adjustRightInd w:val="0"/>
        <w:spacing w:line="240" w:lineRule="auto"/>
        <w:jc w:val="center"/>
        <w:rPr>
          <w:rFonts w:cs="Arial"/>
          <w:u w:val="single"/>
        </w:rPr>
      </w:pPr>
    </w:p>
    <w:p w:rsidR="00A01629" w:rsidRDefault="00584BD1">
      <w:pPr>
        <w:autoSpaceDE w:val="0"/>
        <w:autoSpaceDN w:val="0"/>
        <w:adjustRightInd w:val="0"/>
        <w:spacing w:line="240" w:lineRule="auto"/>
        <w:jc w:val="center"/>
        <w:rPr>
          <w:rFonts w:ascii="Arial Bold" w:hAnsi="Arial Bold" w:cs="Arial"/>
          <w:b/>
          <w:smallCaps/>
          <w:sz w:val="32"/>
          <w:szCs w:val="32"/>
        </w:rPr>
      </w:pPr>
      <w:r>
        <w:rPr>
          <w:rFonts w:ascii="Arial Bold" w:hAnsi="Arial Bold" w:cs="Arial"/>
          <w:b/>
          <w:smallCaps/>
          <w:sz w:val="32"/>
          <w:szCs w:val="32"/>
        </w:rPr>
        <w:t>City of Tiffin’s</w:t>
      </w:r>
    </w:p>
    <w:p w:rsidR="00A01629" w:rsidRDefault="00584BD1">
      <w:pPr>
        <w:autoSpaceDE w:val="0"/>
        <w:autoSpaceDN w:val="0"/>
        <w:adjustRightInd w:val="0"/>
        <w:spacing w:line="240" w:lineRule="auto"/>
        <w:jc w:val="center"/>
        <w:rPr>
          <w:rFonts w:ascii="Arial Bold" w:hAnsi="Arial Bold" w:cs="Arial"/>
          <w:b/>
          <w:smallCaps/>
          <w:sz w:val="32"/>
          <w:szCs w:val="32"/>
        </w:rPr>
      </w:pPr>
      <w:r>
        <w:rPr>
          <w:rFonts w:ascii="Arial Bold" w:hAnsi="Arial Bold" w:cs="Arial"/>
          <w:b/>
          <w:smallCaps/>
          <w:sz w:val="32"/>
          <w:szCs w:val="32"/>
        </w:rPr>
        <w:t>Objections to the Staff Report of Investigation</w:t>
      </w:r>
    </w:p>
    <w:p w:rsidR="00A01629" w:rsidRDefault="00584BD1">
      <w:pPr>
        <w:autoSpaceDE w:val="0"/>
        <w:autoSpaceDN w:val="0"/>
        <w:adjustRightInd w:val="0"/>
        <w:spacing w:line="240" w:lineRule="auto"/>
        <w:jc w:val="center"/>
        <w:rPr>
          <w:rFonts w:ascii="Arial Bold" w:hAnsi="Arial Bold" w:cs="Arial"/>
          <w:b/>
          <w:smallCaps/>
          <w:sz w:val="32"/>
          <w:szCs w:val="32"/>
        </w:rPr>
      </w:pPr>
      <w:r>
        <w:rPr>
          <w:rFonts w:ascii="Arial Bold" w:hAnsi="Arial Bold" w:cs="Arial"/>
          <w:b/>
          <w:smallCaps/>
          <w:sz w:val="32"/>
          <w:szCs w:val="32"/>
        </w:rPr>
        <w:t>and Summary of Major Issues</w:t>
      </w:r>
    </w:p>
    <w:p w:rsidR="00A01629" w:rsidRDefault="00A01629">
      <w:pPr>
        <w:pBdr>
          <w:bottom w:val="single" w:sz="12" w:space="1" w:color="auto"/>
        </w:pBdr>
        <w:autoSpaceDE w:val="0"/>
        <w:autoSpaceDN w:val="0"/>
        <w:adjustRightInd w:val="0"/>
        <w:spacing w:line="240" w:lineRule="auto"/>
        <w:jc w:val="center"/>
        <w:rPr>
          <w:rFonts w:cs="Arial"/>
        </w:rPr>
      </w:pPr>
    </w:p>
    <w:p w:rsidR="00A01629" w:rsidRDefault="00A01629">
      <w:pPr>
        <w:autoSpaceDE w:val="0"/>
        <w:autoSpaceDN w:val="0"/>
        <w:adjustRightInd w:val="0"/>
        <w:spacing w:line="240" w:lineRule="auto"/>
        <w:jc w:val="left"/>
        <w:rPr>
          <w:rFonts w:cs="Arial"/>
        </w:rPr>
      </w:pPr>
    </w:p>
    <w:p w:rsidR="00A01629" w:rsidRDefault="00A01629">
      <w:pPr>
        <w:autoSpaceDE w:val="0"/>
        <w:autoSpaceDN w:val="0"/>
        <w:adjustRightInd w:val="0"/>
        <w:spacing w:line="240" w:lineRule="auto"/>
        <w:jc w:val="left"/>
        <w:rPr>
          <w:rFonts w:cs="Arial"/>
        </w:rPr>
      </w:pPr>
    </w:p>
    <w:p w:rsidR="00A01629" w:rsidRDefault="00A01629">
      <w:pPr>
        <w:autoSpaceDE w:val="0"/>
        <w:autoSpaceDN w:val="0"/>
        <w:adjustRightInd w:val="0"/>
        <w:spacing w:line="240" w:lineRule="auto"/>
        <w:jc w:val="left"/>
        <w:rPr>
          <w:rFonts w:cs="Arial"/>
        </w:rPr>
      </w:pPr>
    </w:p>
    <w:p w:rsidR="00A01629" w:rsidRDefault="00A01629">
      <w:pPr>
        <w:autoSpaceDE w:val="0"/>
        <w:autoSpaceDN w:val="0"/>
        <w:adjustRightInd w:val="0"/>
        <w:spacing w:line="240" w:lineRule="auto"/>
        <w:jc w:val="left"/>
        <w:rPr>
          <w:rFonts w:cs="Arial"/>
        </w:rPr>
      </w:pPr>
    </w:p>
    <w:p w:rsidR="00A01629" w:rsidRDefault="00584BD1">
      <w:pPr>
        <w:tabs>
          <w:tab w:val="right" w:pos="8640"/>
        </w:tabs>
        <w:spacing w:line="240" w:lineRule="auto"/>
        <w:ind w:left="4680"/>
        <w:rPr>
          <w:rFonts w:cs="Arial"/>
        </w:rPr>
      </w:pPr>
      <w:r>
        <w:rPr>
          <w:rFonts w:cs="Arial"/>
        </w:rPr>
        <w:t>Samuel C. Randazzo (0016386)</w:t>
      </w:r>
    </w:p>
    <w:p w:rsidR="00A01629" w:rsidRDefault="00584BD1">
      <w:pPr>
        <w:tabs>
          <w:tab w:val="right" w:pos="8640"/>
        </w:tabs>
        <w:spacing w:line="240" w:lineRule="auto"/>
        <w:ind w:left="4680"/>
        <w:rPr>
          <w:rFonts w:cs="Arial"/>
        </w:rPr>
      </w:pPr>
      <w:r>
        <w:rPr>
          <w:rFonts w:cs="Arial"/>
        </w:rPr>
        <w:t>(Counsel of Record)</w:t>
      </w:r>
    </w:p>
    <w:p w:rsidR="00A01629" w:rsidRDefault="00584BD1">
      <w:pPr>
        <w:pStyle w:val="BodyText3"/>
        <w:widowControl w:val="0"/>
        <w:spacing w:after="0" w:line="240" w:lineRule="auto"/>
        <w:ind w:left="4680"/>
        <w:rPr>
          <w:rFonts w:cs="Arial"/>
          <w:b/>
          <w:bCs/>
          <w:sz w:val="24"/>
          <w:szCs w:val="24"/>
        </w:rPr>
      </w:pPr>
      <w:r>
        <w:rPr>
          <w:rFonts w:cs="Arial"/>
          <w:bCs/>
          <w:sz w:val="24"/>
          <w:szCs w:val="24"/>
          <w:lang w:val="de-DE"/>
        </w:rPr>
        <w:t>Frank P. Darr (0025469)</w:t>
      </w:r>
    </w:p>
    <w:p w:rsidR="00A01629" w:rsidRDefault="00584BD1">
      <w:pPr>
        <w:pStyle w:val="BodyText3"/>
        <w:widowControl w:val="0"/>
        <w:spacing w:after="0" w:line="240" w:lineRule="auto"/>
        <w:ind w:left="4680"/>
        <w:rPr>
          <w:rFonts w:cs="Arial"/>
          <w:b/>
          <w:bCs/>
          <w:sz w:val="24"/>
          <w:szCs w:val="24"/>
          <w:lang w:val="de-DE"/>
        </w:rPr>
      </w:pPr>
      <w:r>
        <w:rPr>
          <w:rFonts w:cs="Arial"/>
          <w:bCs/>
          <w:sz w:val="24"/>
          <w:szCs w:val="24"/>
          <w:lang w:val="de-DE"/>
        </w:rPr>
        <w:t>Matthew R. Pritchard (0088070)</w:t>
      </w:r>
    </w:p>
    <w:p w:rsidR="00A01629" w:rsidRDefault="00584BD1">
      <w:pPr>
        <w:pStyle w:val="BodyText3"/>
        <w:widowControl w:val="0"/>
        <w:spacing w:after="0" w:line="240" w:lineRule="auto"/>
        <w:ind w:left="4680"/>
        <w:rPr>
          <w:rFonts w:cs="Arial"/>
          <w:b/>
          <w:bCs/>
          <w:smallCaps/>
          <w:sz w:val="24"/>
          <w:szCs w:val="24"/>
        </w:rPr>
      </w:pPr>
      <w:r>
        <w:rPr>
          <w:rFonts w:cs="Arial"/>
          <w:bCs/>
          <w:smallCaps/>
          <w:sz w:val="24"/>
          <w:szCs w:val="24"/>
        </w:rPr>
        <w:t>McNees Wallace &amp; Nurick LLC</w:t>
      </w:r>
    </w:p>
    <w:p w:rsidR="00A01629" w:rsidRDefault="00584BD1">
      <w:pPr>
        <w:pStyle w:val="BodyText3"/>
        <w:widowControl w:val="0"/>
        <w:spacing w:after="0" w:line="240" w:lineRule="auto"/>
        <w:ind w:left="4680"/>
        <w:rPr>
          <w:rFonts w:cs="Arial"/>
          <w:b/>
          <w:bCs/>
          <w:sz w:val="24"/>
          <w:szCs w:val="24"/>
        </w:rPr>
      </w:pPr>
      <w:r>
        <w:rPr>
          <w:rFonts w:cs="Arial"/>
          <w:bCs/>
          <w:sz w:val="24"/>
          <w:szCs w:val="24"/>
        </w:rPr>
        <w:t>21 East State Street, 17</w:t>
      </w:r>
      <w:r>
        <w:rPr>
          <w:rFonts w:cs="Arial"/>
          <w:bCs/>
          <w:sz w:val="24"/>
          <w:szCs w:val="24"/>
          <w:vertAlign w:val="superscript"/>
        </w:rPr>
        <w:t>TH</w:t>
      </w:r>
      <w:r>
        <w:rPr>
          <w:rFonts w:cs="Arial"/>
          <w:bCs/>
          <w:sz w:val="24"/>
          <w:szCs w:val="24"/>
        </w:rPr>
        <w:t xml:space="preserve"> Floor</w:t>
      </w:r>
    </w:p>
    <w:p w:rsidR="00A01629" w:rsidRDefault="00584BD1">
      <w:pPr>
        <w:pStyle w:val="BodyText"/>
        <w:ind w:left="4680"/>
      </w:pPr>
      <w:r>
        <w:t>Columbus, OH  43215</w:t>
      </w:r>
    </w:p>
    <w:p w:rsidR="00A01629" w:rsidRDefault="00584BD1">
      <w:pPr>
        <w:pStyle w:val="BodyText"/>
        <w:ind w:left="4680"/>
        <w:rPr>
          <w:color w:val="000000" w:themeColor="text1"/>
        </w:rPr>
      </w:pPr>
      <w:r>
        <w:rPr>
          <w:color w:val="000000" w:themeColor="text1"/>
        </w:rPr>
        <w:t>Telephone:  (614) 469-8000</w:t>
      </w:r>
    </w:p>
    <w:p w:rsidR="00A01629" w:rsidRDefault="00584BD1">
      <w:pPr>
        <w:pStyle w:val="BodyText"/>
        <w:ind w:left="4680"/>
        <w:rPr>
          <w:color w:val="000000" w:themeColor="text1"/>
        </w:rPr>
      </w:pPr>
      <w:r>
        <w:rPr>
          <w:color w:val="000000" w:themeColor="text1"/>
        </w:rPr>
        <w:t>Telecopier:  (614) 469-4653</w:t>
      </w:r>
    </w:p>
    <w:p w:rsidR="00A01629" w:rsidRDefault="00252924">
      <w:pPr>
        <w:pStyle w:val="BodyText"/>
        <w:ind w:left="4680"/>
        <w:rPr>
          <w:color w:val="000000" w:themeColor="text1"/>
        </w:rPr>
      </w:pPr>
      <w:hyperlink r:id="rId9" w:history="1">
        <w:r w:rsidR="00584BD1">
          <w:rPr>
            <w:rStyle w:val="Hyperlink"/>
            <w:color w:val="000000" w:themeColor="text1"/>
            <w:u w:val="none"/>
          </w:rPr>
          <w:t>sam@mwncmh.com</w:t>
        </w:r>
      </w:hyperlink>
    </w:p>
    <w:p w:rsidR="00A01629" w:rsidRDefault="00584BD1">
      <w:pPr>
        <w:pStyle w:val="BodyText"/>
        <w:ind w:left="4680"/>
        <w:rPr>
          <w:color w:val="000000" w:themeColor="text1"/>
        </w:rPr>
      </w:pPr>
      <w:r>
        <w:rPr>
          <w:color w:val="000000" w:themeColor="text1"/>
        </w:rPr>
        <w:t>(willing to accept service by e-mail)</w:t>
      </w:r>
    </w:p>
    <w:p w:rsidR="00A01629" w:rsidRDefault="00252924">
      <w:pPr>
        <w:pStyle w:val="BodyText"/>
        <w:ind w:left="4680"/>
        <w:rPr>
          <w:color w:val="000000" w:themeColor="text1"/>
        </w:rPr>
      </w:pPr>
      <w:hyperlink r:id="rId10" w:history="1">
        <w:r w:rsidR="00584BD1">
          <w:rPr>
            <w:rStyle w:val="Hyperlink"/>
            <w:color w:val="000000" w:themeColor="text1"/>
            <w:u w:val="none"/>
          </w:rPr>
          <w:t>fdarr@mwncmh.com</w:t>
        </w:r>
      </w:hyperlink>
    </w:p>
    <w:p w:rsidR="00A01629" w:rsidRDefault="00584BD1">
      <w:pPr>
        <w:pStyle w:val="BodyText"/>
        <w:ind w:left="4680"/>
        <w:rPr>
          <w:color w:val="000000" w:themeColor="text1"/>
        </w:rPr>
      </w:pPr>
      <w:r>
        <w:rPr>
          <w:color w:val="000000" w:themeColor="text1"/>
        </w:rPr>
        <w:t>(willing to accept service by e-mail)</w:t>
      </w:r>
    </w:p>
    <w:p w:rsidR="00A01629" w:rsidRDefault="00252924">
      <w:pPr>
        <w:pStyle w:val="BodyText"/>
        <w:ind w:left="4680"/>
        <w:rPr>
          <w:color w:val="000000" w:themeColor="text1"/>
        </w:rPr>
      </w:pPr>
      <w:hyperlink r:id="rId11" w:history="1">
        <w:r w:rsidR="00584BD1">
          <w:rPr>
            <w:rStyle w:val="Hyperlink"/>
            <w:color w:val="000000" w:themeColor="text1"/>
            <w:u w:val="none"/>
          </w:rPr>
          <w:t>mpritchard@mwncmh.com</w:t>
        </w:r>
      </w:hyperlink>
      <w:r w:rsidR="00584BD1">
        <w:rPr>
          <w:color w:val="000000" w:themeColor="text1"/>
        </w:rPr>
        <w:t xml:space="preserve"> </w:t>
      </w:r>
    </w:p>
    <w:p w:rsidR="00A01629" w:rsidRDefault="00584BD1">
      <w:pPr>
        <w:pStyle w:val="BodyText"/>
        <w:ind w:left="4680"/>
        <w:rPr>
          <w:color w:val="000000" w:themeColor="text1"/>
        </w:rPr>
      </w:pPr>
      <w:r>
        <w:rPr>
          <w:color w:val="000000" w:themeColor="text1"/>
        </w:rPr>
        <w:t>(willing to accept service by e-mail)</w:t>
      </w:r>
    </w:p>
    <w:p w:rsidR="00A01629" w:rsidRDefault="00A01629">
      <w:pPr>
        <w:pStyle w:val="BodyText"/>
        <w:ind w:left="4680"/>
        <w:rPr>
          <w:color w:val="000000" w:themeColor="text1"/>
        </w:rPr>
      </w:pPr>
    </w:p>
    <w:p w:rsidR="00A01629" w:rsidRDefault="00584BD1">
      <w:pPr>
        <w:spacing w:line="240" w:lineRule="auto"/>
        <w:ind w:left="4680"/>
        <w:rPr>
          <w:rFonts w:cs="Arial"/>
          <w:color w:val="000000" w:themeColor="text1"/>
        </w:rPr>
      </w:pPr>
      <w:r>
        <w:rPr>
          <w:rFonts w:cs="Arial"/>
          <w:color w:val="000000" w:themeColor="text1"/>
        </w:rPr>
        <w:t>Brent T. Howard (0039023)</w:t>
      </w:r>
    </w:p>
    <w:p w:rsidR="00A01629" w:rsidRDefault="00584BD1">
      <w:pPr>
        <w:spacing w:line="240" w:lineRule="auto"/>
        <w:ind w:left="4680"/>
        <w:rPr>
          <w:rFonts w:cs="Arial"/>
          <w:color w:val="000000" w:themeColor="text1"/>
        </w:rPr>
      </w:pPr>
      <w:r>
        <w:rPr>
          <w:rFonts w:cs="Arial"/>
          <w:color w:val="000000" w:themeColor="text1"/>
        </w:rPr>
        <w:t>Tiffin Director of Law</w:t>
      </w:r>
    </w:p>
    <w:p w:rsidR="00A01629" w:rsidRDefault="00584BD1">
      <w:pPr>
        <w:spacing w:line="240" w:lineRule="auto"/>
        <w:ind w:left="4680"/>
        <w:rPr>
          <w:rFonts w:cs="Arial"/>
          <w:color w:val="000000" w:themeColor="text1"/>
        </w:rPr>
      </w:pPr>
      <w:r>
        <w:rPr>
          <w:rFonts w:cs="Arial"/>
          <w:color w:val="000000" w:themeColor="text1"/>
        </w:rPr>
        <w:t>c/o SUPANCE &amp; HOWARD</w:t>
      </w:r>
    </w:p>
    <w:p w:rsidR="00A01629" w:rsidRDefault="00584BD1">
      <w:pPr>
        <w:spacing w:line="240" w:lineRule="auto"/>
        <w:ind w:left="4680"/>
        <w:rPr>
          <w:rFonts w:cs="Arial"/>
          <w:color w:val="000000" w:themeColor="text1"/>
        </w:rPr>
      </w:pPr>
      <w:r>
        <w:rPr>
          <w:rFonts w:cs="Arial"/>
          <w:color w:val="000000" w:themeColor="text1"/>
        </w:rPr>
        <w:t>84-88 S. Washington St.</w:t>
      </w:r>
    </w:p>
    <w:p w:rsidR="00A01629" w:rsidRDefault="00584BD1">
      <w:pPr>
        <w:spacing w:line="240" w:lineRule="auto"/>
        <w:ind w:left="4680"/>
        <w:rPr>
          <w:rFonts w:cs="Arial"/>
          <w:color w:val="000000" w:themeColor="text1"/>
        </w:rPr>
      </w:pPr>
      <w:r>
        <w:rPr>
          <w:rFonts w:cs="Arial"/>
          <w:color w:val="000000" w:themeColor="text1"/>
        </w:rPr>
        <w:t>P.O. Box 767</w:t>
      </w:r>
    </w:p>
    <w:p w:rsidR="00A01629" w:rsidRDefault="00584BD1">
      <w:pPr>
        <w:spacing w:line="240" w:lineRule="auto"/>
        <w:ind w:left="4680"/>
        <w:rPr>
          <w:rFonts w:cs="Arial"/>
          <w:color w:val="000000" w:themeColor="text1"/>
        </w:rPr>
      </w:pPr>
      <w:r>
        <w:rPr>
          <w:rFonts w:cs="Arial"/>
          <w:color w:val="000000" w:themeColor="text1"/>
        </w:rPr>
        <w:t>Tiffin, OH 44883-0767</w:t>
      </w:r>
    </w:p>
    <w:p w:rsidR="00A01629" w:rsidRDefault="00584BD1">
      <w:pPr>
        <w:spacing w:line="240" w:lineRule="auto"/>
        <w:ind w:left="4680"/>
        <w:rPr>
          <w:rFonts w:cs="Arial"/>
          <w:color w:val="000000" w:themeColor="text1"/>
        </w:rPr>
      </w:pPr>
      <w:r>
        <w:rPr>
          <w:rFonts w:cs="Arial"/>
          <w:color w:val="000000" w:themeColor="text1"/>
        </w:rPr>
        <w:t>Telephone:  (419) 447-2521</w:t>
      </w:r>
    </w:p>
    <w:p w:rsidR="00A01629" w:rsidRDefault="00584BD1">
      <w:pPr>
        <w:spacing w:line="240" w:lineRule="auto"/>
        <w:ind w:left="4680"/>
        <w:rPr>
          <w:rFonts w:cs="Arial"/>
          <w:color w:val="000000" w:themeColor="text1"/>
        </w:rPr>
      </w:pPr>
      <w:r>
        <w:rPr>
          <w:rFonts w:cs="Arial"/>
          <w:color w:val="000000" w:themeColor="text1"/>
        </w:rPr>
        <w:t>Telecopier:  (419) 447-2310</w:t>
      </w:r>
    </w:p>
    <w:p w:rsidR="00A01629" w:rsidRDefault="00584BD1">
      <w:pPr>
        <w:spacing w:line="240" w:lineRule="auto"/>
        <w:ind w:left="4680"/>
        <w:rPr>
          <w:rFonts w:cs="Arial"/>
          <w:color w:val="000000" w:themeColor="text1"/>
        </w:rPr>
      </w:pPr>
      <w:r>
        <w:rPr>
          <w:rFonts w:cs="Arial"/>
          <w:color w:val="000000" w:themeColor="text1"/>
        </w:rPr>
        <w:t>Brent@supancehoward.com</w:t>
      </w:r>
    </w:p>
    <w:p w:rsidR="00A01629" w:rsidRDefault="00584BD1">
      <w:pPr>
        <w:pStyle w:val="BodyText"/>
        <w:ind w:left="4680"/>
        <w:rPr>
          <w:color w:val="000000" w:themeColor="text1"/>
        </w:rPr>
      </w:pPr>
      <w:r>
        <w:rPr>
          <w:color w:val="000000" w:themeColor="text1"/>
        </w:rPr>
        <w:t>(willing to accept service by e-mail)</w:t>
      </w:r>
    </w:p>
    <w:p w:rsidR="00A01629" w:rsidRDefault="00A01629">
      <w:pPr>
        <w:pStyle w:val="BodyText"/>
        <w:ind w:left="4680"/>
      </w:pPr>
    </w:p>
    <w:p w:rsidR="00A01629" w:rsidRDefault="00584BD1">
      <w:pPr>
        <w:pStyle w:val="Title"/>
        <w:spacing w:after="0" w:line="240" w:lineRule="auto"/>
        <w:ind w:left="4680" w:hanging="4680"/>
        <w:jc w:val="left"/>
        <w:rPr>
          <w:b/>
          <w:sz w:val="24"/>
          <w:szCs w:val="24"/>
        </w:rPr>
        <w:sectPr w:rsidR="00A0162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720" w:left="1440" w:header="720" w:footer="720" w:gutter="0"/>
          <w:cols w:space="720"/>
          <w:titlePg/>
          <w:docGrid w:linePitch="360"/>
        </w:sectPr>
      </w:pPr>
      <w:r>
        <w:rPr>
          <w:b/>
          <w:sz w:val="24"/>
          <w:szCs w:val="24"/>
        </w:rPr>
        <w:t>June 19, 2014</w:t>
      </w:r>
      <w:r>
        <w:rPr>
          <w:b/>
          <w:sz w:val="24"/>
          <w:szCs w:val="24"/>
        </w:rPr>
        <w:tab/>
        <w:t>Attorneys for the City of Tiffin</w:t>
      </w:r>
    </w:p>
    <w:p w:rsidR="00A01629" w:rsidRDefault="00584BD1">
      <w:pPr>
        <w:autoSpaceDE w:val="0"/>
        <w:autoSpaceDN w:val="0"/>
        <w:adjustRightInd w:val="0"/>
        <w:spacing w:line="240" w:lineRule="auto"/>
        <w:jc w:val="center"/>
        <w:rPr>
          <w:rFonts w:ascii="Arial Bold" w:hAnsi="Arial Bold" w:cs="Arial"/>
          <w:b/>
          <w:smallCaps/>
          <w:sz w:val="28"/>
          <w:szCs w:val="28"/>
        </w:rPr>
      </w:pPr>
      <w:r>
        <w:rPr>
          <w:rFonts w:ascii="Arial Bold" w:hAnsi="Arial Bold" w:cs="Arial"/>
          <w:b/>
          <w:smallCaps/>
          <w:sz w:val="28"/>
          <w:szCs w:val="28"/>
        </w:rPr>
        <w:lastRenderedPageBreak/>
        <w:t>Before</w:t>
      </w:r>
    </w:p>
    <w:p w:rsidR="00A01629" w:rsidRDefault="00584BD1">
      <w:pPr>
        <w:autoSpaceDE w:val="0"/>
        <w:autoSpaceDN w:val="0"/>
        <w:adjustRightInd w:val="0"/>
        <w:spacing w:line="240" w:lineRule="auto"/>
        <w:jc w:val="center"/>
        <w:rPr>
          <w:rFonts w:ascii="Arial Bold" w:hAnsi="Arial Bold" w:cs="Arial"/>
          <w:b/>
          <w:smallCaps/>
          <w:sz w:val="28"/>
          <w:szCs w:val="28"/>
        </w:rPr>
      </w:pPr>
      <w:r>
        <w:rPr>
          <w:rFonts w:ascii="Arial Bold" w:hAnsi="Arial Bold" w:cs="Arial"/>
          <w:b/>
          <w:smallCaps/>
          <w:sz w:val="28"/>
          <w:szCs w:val="28"/>
        </w:rPr>
        <w:t>The Public Utilities Commission of Ohio</w:t>
      </w:r>
    </w:p>
    <w:p w:rsidR="00A01629" w:rsidRDefault="00A01629">
      <w:pPr>
        <w:autoSpaceDE w:val="0"/>
        <w:autoSpaceDN w:val="0"/>
        <w:adjustRightInd w:val="0"/>
        <w:spacing w:line="240" w:lineRule="auto"/>
        <w:jc w:val="left"/>
        <w:rPr>
          <w:rFonts w:cs="Arial"/>
        </w:rPr>
      </w:pPr>
    </w:p>
    <w:p w:rsidR="00A01629" w:rsidRDefault="00A01629">
      <w:pPr>
        <w:autoSpaceDE w:val="0"/>
        <w:autoSpaceDN w:val="0"/>
        <w:adjustRightInd w:val="0"/>
        <w:spacing w:line="240" w:lineRule="auto"/>
        <w:jc w:val="left"/>
        <w:rPr>
          <w:rFonts w:cs="Arial"/>
        </w:rPr>
      </w:pPr>
    </w:p>
    <w:p w:rsidR="00A01629" w:rsidRDefault="00584BD1">
      <w:pPr>
        <w:tabs>
          <w:tab w:val="left" w:pos="4680"/>
          <w:tab w:val="left" w:pos="5220"/>
        </w:tabs>
        <w:autoSpaceDE w:val="0"/>
        <w:autoSpaceDN w:val="0"/>
        <w:adjustRightInd w:val="0"/>
        <w:spacing w:line="240" w:lineRule="auto"/>
        <w:jc w:val="left"/>
        <w:rPr>
          <w:rFonts w:cs="Arial"/>
        </w:rPr>
      </w:pPr>
      <w:r>
        <w:rPr>
          <w:rFonts w:cs="Arial"/>
        </w:rPr>
        <w:t xml:space="preserve">In the Matter of the Application of </w:t>
      </w:r>
      <w:r>
        <w:rPr>
          <w:rFonts w:cs="Arial"/>
        </w:rPr>
        <w:tab/>
        <w:t>)</w:t>
      </w:r>
    </w:p>
    <w:p w:rsidR="00A01629" w:rsidRDefault="00584BD1">
      <w:pPr>
        <w:tabs>
          <w:tab w:val="left" w:pos="4680"/>
          <w:tab w:val="left" w:pos="5220"/>
        </w:tabs>
        <w:autoSpaceDE w:val="0"/>
        <w:autoSpaceDN w:val="0"/>
        <w:adjustRightInd w:val="0"/>
        <w:spacing w:line="240" w:lineRule="auto"/>
        <w:jc w:val="left"/>
        <w:rPr>
          <w:rFonts w:cs="Arial"/>
        </w:rPr>
      </w:pPr>
      <w:r>
        <w:rPr>
          <w:rFonts w:cs="Arial"/>
        </w:rPr>
        <w:t xml:space="preserve">Aqua Ohio, Inc. to Increase Its Rates </w:t>
      </w:r>
      <w:r>
        <w:rPr>
          <w:rFonts w:cs="Arial"/>
        </w:rPr>
        <w:tab/>
        <w:t>)</w:t>
      </w:r>
      <w:r>
        <w:rPr>
          <w:rFonts w:cs="Arial"/>
        </w:rPr>
        <w:tab/>
        <w:t>Case No. 13-2124-WW-AIR</w:t>
      </w:r>
    </w:p>
    <w:p w:rsidR="00A01629" w:rsidRDefault="00584BD1">
      <w:pPr>
        <w:tabs>
          <w:tab w:val="left" w:pos="4680"/>
          <w:tab w:val="left" w:pos="5220"/>
        </w:tabs>
        <w:autoSpaceDE w:val="0"/>
        <w:autoSpaceDN w:val="0"/>
        <w:adjustRightInd w:val="0"/>
        <w:spacing w:line="240" w:lineRule="auto"/>
        <w:jc w:val="left"/>
        <w:rPr>
          <w:rFonts w:cs="Arial"/>
        </w:rPr>
      </w:pPr>
      <w:r>
        <w:rPr>
          <w:rFonts w:cs="Arial"/>
        </w:rPr>
        <w:t xml:space="preserve">and Charges for Its Waterworks Service. </w:t>
      </w:r>
      <w:r>
        <w:rPr>
          <w:rFonts w:cs="Arial"/>
        </w:rPr>
        <w:tab/>
        <w:t>)</w:t>
      </w:r>
    </w:p>
    <w:p w:rsidR="00A01629" w:rsidRDefault="00A01629">
      <w:pPr>
        <w:autoSpaceDE w:val="0"/>
        <w:autoSpaceDN w:val="0"/>
        <w:adjustRightInd w:val="0"/>
        <w:spacing w:line="240" w:lineRule="auto"/>
        <w:jc w:val="left"/>
        <w:rPr>
          <w:rFonts w:cs="Arial"/>
        </w:rPr>
      </w:pPr>
    </w:p>
    <w:p w:rsidR="00A01629" w:rsidRDefault="00A01629">
      <w:pPr>
        <w:autoSpaceDE w:val="0"/>
        <w:autoSpaceDN w:val="0"/>
        <w:adjustRightInd w:val="0"/>
        <w:spacing w:line="240" w:lineRule="auto"/>
        <w:jc w:val="left"/>
        <w:rPr>
          <w:rFonts w:cs="Arial"/>
        </w:rPr>
      </w:pPr>
    </w:p>
    <w:p w:rsidR="00A01629" w:rsidRDefault="00A01629">
      <w:pPr>
        <w:pBdr>
          <w:top w:val="single" w:sz="12" w:space="1" w:color="auto"/>
        </w:pBdr>
        <w:autoSpaceDE w:val="0"/>
        <w:autoSpaceDN w:val="0"/>
        <w:adjustRightInd w:val="0"/>
        <w:spacing w:line="240" w:lineRule="auto"/>
        <w:jc w:val="center"/>
        <w:rPr>
          <w:rFonts w:cs="Arial"/>
          <w:u w:val="single"/>
        </w:rPr>
      </w:pPr>
    </w:p>
    <w:p w:rsidR="00A01629" w:rsidRDefault="00584BD1">
      <w:pPr>
        <w:autoSpaceDE w:val="0"/>
        <w:autoSpaceDN w:val="0"/>
        <w:adjustRightInd w:val="0"/>
        <w:spacing w:line="240" w:lineRule="auto"/>
        <w:jc w:val="center"/>
        <w:rPr>
          <w:rFonts w:ascii="Arial Bold" w:hAnsi="Arial Bold" w:cs="Arial"/>
          <w:b/>
          <w:smallCaps/>
          <w:sz w:val="28"/>
          <w:szCs w:val="28"/>
        </w:rPr>
      </w:pPr>
      <w:r>
        <w:rPr>
          <w:rFonts w:ascii="Arial Bold" w:hAnsi="Arial Bold" w:cs="Arial"/>
          <w:b/>
          <w:smallCaps/>
          <w:sz w:val="28"/>
          <w:szCs w:val="28"/>
        </w:rPr>
        <w:t>City of Tiffin’s</w:t>
      </w:r>
    </w:p>
    <w:p w:rsidR="00A01629" w:rsidRDefault="00584BD1">
      <w:pPr>
        <w:autoSpaceDE w:val="0"/>
        <w:autoSpaceDN w:val="0"/>
        <w:adjustRightInd w:val="0"/>
        <w:spacing w:line="240" w:lineRule="auto"/>
        <w:jc w:val="center"/>
        <w:rPr>
          <w:rFonts w:ascii="Arial Bold" w:hAnsi="Arial Bold" w:cs="Arial"/>
          <w:b/>
          <w:smallCaps/>
          <w:sz w:val="28"/>
          <w:szCs w:val="28"/>
        </w:rPr>
      </w:pPr>
      <w:r>
        <w:rPr>
          <w:rFonts w:ascii="Arial Bold" w:hAnsi="Arial Bold" w:cs="Arial"/>
          <w:b/>
          <w:smallCaps/>
          <w:sz w:val="28"/>
          <w:szCs w:val="28"/>
        </w:rPr>
        <w:t>Objections to the Staff Report of Investigation</w:t>
      </w:r>
    </w:p>
    <w:p w:rsidR="00A01629" w:rsidRDefault="00584BD1">
      <w:pPr>
        <w:autoSpaceDE w:val="0"/>
        <w:autoSpaceDN w:val="0"/>
        <w:adjustRightInd w:val="0"/>
        <w:spacing w:line="240" w:lineRule="auto"/>
        <w:jc w:val="center"/>
        <w:rPr>
          <w:rFonts w:ascii="Arial Bold" w:hAnsi="Arial Bold" w:cs="Arial"/>
          <w:b/>
          <w:smallCaps/>
          <w:sz w:val="28"/>
          <w:szCs w:val="28"/>
        </w:rPr>
      </w:pPr>
      <w:r>
        <w:rPr>
          <w:rFonts w:ascii="Arial Bold" w:hAnsi="Arial Bold" w:cs="Arial"/>
          <w:b/>
          <w:smallCaps/>
          <w:sz w:val="28"/>
          <w:szCs w:val="28"/>
        </w:rPr>
        <w:t>and Summary of Major Issues</w:t>
      </w:r>
    </w:p>
    <w:p w:rsidR="00A01629" w:rsidRDefault="00A01629">
      <w:pPr>
        <w:pBdr>
          <w:bottom w:val="single" w:sz="12" w:space="1" w:color="auto"/>
        </w:pBdr>
        <w:autoSpaceDE w:val="0"/>
        <w:autoSpaceDN w:val="0"/>
        <w:adjustRightInd w:val="0"/>
        <w:spacing w:line="240" w:lineRule="auto"/>
        <w:jc w:val="center"/>
        <w:rPr>
          <w:rFonts w:cs="Arial"/>
        </w:rPr>
      </w:pPr>
    </w:p>
    <w:p w:rsidR="00A01629" w:rsidRDefault="00A01629">
      <w:pPr>
        <w:autoSpaceDE w:val="0"/>
        <w:autoSpaceDN w:val="0"/>
        <w:adjustRightInd w:val="0"/>
        <w:spacing w:line="240" w:lineRule="auto"/>
        <w:jc w:val="left"/>
        <w:rPr>
          <w:rFonts w:cs="Arial"/>
        </w:rPr>
      </w:pPr>
    </w:p>
    <w:p w:rsidR="00A01629" w:rsidRDefault="00A01629">
      <w:pPr>
        <w:autoSpaceDE w:val="0"/>
        <w:autoSpaceDN w:val="0"/>
        <w:adjustRightInd w:val="0"/>
        <w:spacing w:line="240" w:lineRule="auto"/>
        <w:jc w:val="left"/>
        <w:rPr>
          <w:rFonts w:cs="Arial"/>
        </w:rPr>
      </w:pPr>
    </w:p>
    <w:p w:rsidR="00A01629" w:rsidRDefault="00584BD1">
      <w:pPr>
        <w:ind w:firstLine="720"/>
      </w:pPr>
      <w:r>
        <w:t>Pursuant to Section 4909.19, Revised Code, Rule 4901-1-28, Ohio Administrative Code (“O.A.C.”), and the Attorney Examiner’s Entry dated May 21, 2014, the City of Tiffin (“Tiffin”) hereby files its Objections to the Staff Report of Investigation and Summary of Major Issues (“Objections”) in the above-captioned matter.  The Staff Report of Investigation (“Staff Report”) was filed on May 20, 2014.  In submitting the Objections below, Tiffin reserves the right to contest, through presentation of documentary evidence, testimony, or cross-examination, issues on which the Publi</w:t>
      </w:r>
      <w:r w:rsidR="00D33090">
        <w:t>c Utilities Commission of Ohio</w:t>
      </w:r>
      <w:r>
        <w:t xml:space="preserve"> (“Commission”) Staff’s (“Staff”) position changes, or which are newly raised, between the issuance of the Staff Report and the closing of the record.</w:t>
      </w:r>
    </w:p>
    <w:p w:rsidR="00A01629" w:rsidRDefault="00584BD1">
      <w:pPr>
        <w:pStyle w:val="Heading1"/>
      </w:pPr>
      <w:r>
        <w:t>Objections to the staff report</w:t>
      </w:r>
    </w:p>
    <w:p w:rsidR="00A01629" w:rsidRDefault="00584BD1">
      <w:r>
        <w:tab/>
        <w:t>Tiffin objects to the Staff Report in the following particulars:</w:t>
      </w:r>
    </w:p>
    <w:p w:rsidR="00A01629" w:rsidRDefault="00584BD1">
      <w:pPr>
        <w:pStyle w:val="Heading2"/>
      </w:pPr>
      <w:r>
        <w:t>Revenue Requirement</w:t>
      </w:r>
    </w:p>
    <w:p w:rsidR="00A01629" w:rsidRDefault="00584BD1">
      <w:pPr>
        <w:pStyle w:val="Heading3"/>
      </w:pPr>
      <w:r>
        <w:t>1.</w:t>
      </w:r>
      <w:r>
        <w:tab/>
        <w:t>Tiffin objects to Staff’s recommended revenue decrease of $2,313,666 to $3,618,470 (</w:t>
      </w:r>
      <w:r w:rsidR="00D33090">
        <w:t xml:space="preserve">see </w:t>
      </w:r>
      <w:r>
        <w:t xml:space="preserve">Staff Report at 50, Schedule A-1) relative to </w:t>
      </w:r>
      <w:r w:rsidR="00D33090">
        <w:t xml:space="preserve">Aqua </w:t>
      </w:r>
      <w:r w:rsidR="00D33090">
        <w:lastRenderedPageBreak/>
        <w:t>Ohio, Inc.’s (“Aqua”)</w:t>
      </w:r>
      <w:r>
        <w:t xml:space="preserve"> requested revenue increase because such decrease is not large enough to yield just and reasonable rates in accordance with proper ratemaking practices and Ohio law.</w:t>
      </w:r>
      <w:r>
        <w:rPr>
          <w:rStyle w:val="FootnoteReference"/>
        </w:rPr>
        <w:footnoteReference w:id="1"/>
      </w:r>
      <w:r>
        <w:t xml:space="preserve">  Based on Tiffin’s other objections below, the recommended revenue decrease should be greater in magnitude to flow through the effects of other adjustments required by proper ratemaking practices and Ohio law.</w:t>
      </w:r>
    </w:p>
    <w:p w:rsidR="00A01629" w:rsidRDefault="00584BD1">
      <w:pPr>
        <w:pStyle w:val="Heading2"/>
      </w:pPr>
      <w:r>
        <w:t>Rate of Return</w:t>
      </w:r>
    </w:p>
    <w:p w:rsidR="00A01629" w:rsidRDefault="00584BD1">
      <w:pPr>
        <w:pStyle w:val="Heading3"/>
      </w:pPr>
      <w:r>
        <w:t>2.</w:t>
      </w:r>
      <w:r>
        <w:tab/>
        <w:t>Tiffin objects to Staff’s proposed rate of return range of 7.20% to 7.73%.</w:t>
      </w:r>
      <w:r>
        <w:rPr>
          <w:rStyle w:val="FootnoteReference"/>
        </w:rPr>
        <w:footnoteReference w:id="2"/>
      </w:r>
      <w:r>
        <w:t xml:space="preserve">  Staff’s proposed range fails to properly take into account the significant reductions in business and regulatory risks associated with regulatory lag that no longer exist for a waterworks public utility company in Ohio.  Specifically, Ohio law authorizes a waterworks public utility, such as Aqua, to apply “for approval to collect an infrastructure improvement surcharge.”</w:t>
      </w:r>
      <w:r>
        <w:rPr>
          <w:rStyle w:val="FootnoteReference"/>
        </w:rPr>
        <w:footnoteReference w:id="3"/>
      </w:r>
      <w:r>
        <w:t xml:space="preserve">  This surcharge compensates a waterworks public ut</w:t>
      </w:r>
      <w:r w:rsidR="00D33090">
        <w:t>ility for “infrastructure plant</w:t>
      </w:r>
      <w:r>
        <w:t xml:space="preserve"> costs” incurred after March 1, 2003, and which are not recovered through base rates.</w:t>
      </w:r>
      <w:r>
        <w:rPr>
          <w:rStyle w:val="FootnoteReference"/>
        </w:rPr>
        <w:footnoteReference w:id="4"/>
      </w:r>
      <w:r>
        <w:t xml:space="preserve">  The surcharge also provides “a fair and reasonable rate of return” on the infrastructure plant that is included in the surcharge.</w:t>
      </w:r>
      <w:r>
        <w:rPr>
          <w:rStyle w:val="FootnoteReference"/>
        </w:rPr>
        <w:footnoteReference w:id="5"/>
      </w:r>
      <w:r>
        <w:t xml:space="preserve">  The infrastructure plant eligible to be included in the surcharge includes:</w:t>
      </w:r>
    </w:p>
    <w:p w:rsidR="00A01629" w:rsidRDefault="00584BD1">
      <w:pPr>
        <w:spacing w:line="240" w:lineRule="auto"/>
        <w:ind w:left="720" w:right="720"/>
        <w:rPr>
          <w:rFonts w:cs="Arial"/>
        </w:rPr>
      </w:pPr>
      <w:r>
        <w:rPr>
          <w:rFonts w:cs="Arial"/>
        </w:rPr>
        <w:t xml:space="preserve">In the case of a waterworks company, replacement of existing plant including chemical feed systems, filters, pumps, motors, plant generators, meters, service lines, hydrants, mains, and valves, main extensions that eliminate dead ends to resolve documented water </w:t>
      </w:r>
      <w:r>
        <w:rPr>
          <w:rFonts w:cs="Arial"/>
        </w:rPr>
        <w:lastRenderedPageBreak/>
        <w:t>supply problems presenting significant health or safety issues to then existing customers, and main cleaning or relining;</w:t>
      </w:r>
      <w:r>
        <w:rPr>
          <w:rStyle w:val="FootnoteReference"/>
          <w:rFonts w:cs="Arial"/>
        </w:rPr>
        <w:footnoteReference w:id="6"/>
      </w:r>
    </w:p>
    <w:p w:rsidR="00A01629" w:rsidRDefault="00A01629">
      <w:pPr>
        <w:spacing w:line="240" w:lineRule="auto"/>
        <w:ind w:left="720" w:right="720"/>
        <w:rPr>
          <w:rFonts w:cs="Arial"/>
        </w:rPr>
      </w:pPr>
    </w:p>
    <w:p w:rsidR="00A01629" w:rsidRDefault="00584BD1">
      <w:r>
        <w:t>Aqua currently has such an infrastructure improvement surcharge called the System Improvement Charge (“SIC”).  The ability to recover infrastructure improvement costs through the SIC recovery mechanism reduces the business and regulatory risks associated with the recovery of Aqua’s infrastructure improvement costs and that reduced risk should be reflected in the rate of return recommended by Staff.  Staff, however, did not take into account Aqua’s reduced risk from the availability of the SIC when recommending its rate of return range.</w:t>
      </w:r>
      <w:r>
        <w:rPr>
          <w:rStyle w:val="FootnoteReference"/>
        </w:rPr>
        <w:footnoteReference w:id="7"/>
      </w:r>
      <w:r>
        <w:t xml:space="preserve">  Accordingly, to account for this reduced risk, the Commission should adopt the low end of Staff’s recommended rate of return, 7.20%.</w:t>
      </w:r>
    </w:p>
    <w:p w:rsidR="00A01629" w:rsidRDefault="00584BD1">
      <w:pPr>
        <w:pStyle w:val="Heading2"/>
      </w:pPr>
      <w:r>
        <w:t>Rates and Revenue Analysis</w:t>
      </w:r>
    </w:p>
    <w:p w:rsidR="00A01629" w:rsidRDefault="00584BD1">
      <w:pPr>
        <w:pStyle w:val="Heading3"/>
      </w:pPr>
      <w:r>
        <w:t>3.</w:t>
      </w:r>
      <w:r>
        <w:tab/>
        <w:t>Tiffin objects to the Staff’s failure to recommend that the Commission apply the entire revenue differential between Aqua’s requested rate increase of $6,656,003 and the lesser revenue increase (or revenue decrease) authorized by the Commission to decrease the revenue responsibility and rates of customers in the prior American Division to remedy the unreasonable revenue burden allocated to customers in the prior American Division.  As indicated by Aqua, Aqua has been moving towards a goal of consolidated uniform rates for all customers.</w:t>
      </w:r>
      <w:r>
        <w:rPr>
          <w:rStyle w:val="FootnoteReference"/>
        </w:rPr>
        <w:footnoteReference w:id="8"/>
      </w:r>
      <w:r>
        <w:t xml:space="preserve">  Aqua also proposes to achieve consolidation over several rate cases; with several steps towards consolidation having already been taken by Aqua.</w:t>
      </w:r>
      <w:r>
        <w:rPr>
          <w:rStyle w:val="FootnoteReference"/>
        </w:rPr>
        <w:footnoteReference w:id="9"/>
      </w:r>
      <w:r>
        <w:t xml:space="preserve">  In </w:t>
      </w:r>
      <w:r>
        <w:lastRenderedPageBreak/>
        <w:t>this case, Aqua proposes to achieve uniform customer charges across its four proposed consolidated divisions.</w:t>
      </w:r>
      <w:r>
        <w:rPr>
          <w:rStyle w:val="FootnoteReference"/>
        </w:rPr>
        <w:footnoteReference w:id="10"/>
      </w:r>
      <w:r>
        <w:t xml:space="preserve">  Staff recommends that the Commission approve Aqua’s recommended transition to uniform customer charges across all four of its proposed divisions.</w:t>
      </w:r>
      <w:r>
        <w:rPr>
          <w:rStyle w:val="FootnoteReference"/>
        </w:rPr>
        <w:footnoteReference w:id="11"/>
      </w:r>
      <w:r>
        <w:t xml:space="preserve">  Aqua did not propose to establish uniform volumetric rates across its four divisions as part of this proceeding.  Aqua, however, did not provide any cost justification to support maintaining different volumetric rates across the four proposed divisions.   Without any cost justification, Aqua proposes to increase the volumetric rates for customers in the prior American Division to the highest level of its four proposed divisions.  The prior American Division has the highest current typical monthly bills and based upon Aqua’s proposed rates, </w:t>
      </w:r>
      <w:r>
        <w:rPr>
          <w:i/>
          <w:u w:val="single"/>
        </w:rPr>
        <w:t>current</w:t>
      </w:r>
      <w:r>
        <w:t xml:space="preserve"> typical monthly bills for customers in the prior American Division will be greater than the typical monthly bills for customers in the remaining divisions based upon Aqua’s </w:t>
      </w:r>
      <w:r>
        <w:rPr>
          <w:i/>
          <w:u w:val="single"/>
        </w:rPr>
        <w:t>proposed</w:t>
      </w:r>
      <w:r>
        <w:t xml:space="preserve"> increased rates.  The following table summarizes this unreasonable outcome (impact based on 400 gallon per month consumption</w:t>
      </w:r>
      <w:r>
        <w:rPr>
          <w:rStyle w:val="FootnoteReference"/>
        </w:rPr>
        <w:footnoteReference w:id="12"/>
      </w:r>
      <w:r>
        <w:t xml:space="preserve">):  </w:t>
      </w:r>
    </w:p>
    <w:p w:rsidR="00A01629" w:rsidRDefault="00A01629">
      <w:pPr>
        <w:spacing w:line="240" w:lineRule="auto"/>
      </w:pPr>
    </w:p>
    <w:tbl>
      <w:tblPr>
        <w:tblStyle w:val="TableGrid"/>
        <w:tblW w:w="0" w:type="auto"/>
        <w:jc w:val="center"/>
        <w:tblLook w:val="04A0" w:firstRow="1" w:lastRow="0" w:firstColumn="1" w:lastColumn="0" w:noHBand="0" w:noVBand="1"/>
      </w:tblPr>
      <w:tblGrid>
        <w:gridCol w:w="2250"/>
        <w:gridCol w:w="1152"/>
        <w:gridCol w:w="1244"/>
        <w:gridCol w:w="1152"/>
        <w:gridCol w:w="1152"/>
      </w:tblGrid>
      <w:tr w:rsidR="00A01629">
        <w:trPr>
          <w:jc w:val="center"/>
        </w:trPr>
        <w:tc>
          <w:tcPr>
            <w:tcW w:w="2250" w:type="dxa"/>
          </w:tcPr>
          <w:p w:rsidR="00A01629" w:rsidRDefault="00A01629">
            <w:pPr>
              <w:spacing w:line="240" w:lineRule="auto"/>
              <w:rPr>
                <w:sz w:val="22"/>
                <w:szCs w:val="22"/>
              </w:rPr>
            </w:pPr>
          </w:p>
          <w:p w:rsidR="00A01629" w:rsidRDefault="00A01629">
            <w:pPr>
              <w:spacing w:line="240" w:lineRule="auto"/>
              <w:rPr>
                <w:sz w:val="22"/>
                <w:szCs w:val="22"/>
              </w:rPr>
            </w:pPr>
          </w:p>
          <w:p w:rsidR="00A01629" w:rsidRPr="00584BD1" w:rsidRDefault="00584BD1" w:rsidP="00584BD1">
            <w:pPr>
              <w:spacing w:line="240" w:lineRule="auto"/>
              <w:jc w:val="center"/>
              <w:rPr>
                <w:b/>
                <w:sz w:val="22"/>
                <w:szCs w:val="22"/>
              </w:rPr>
            </w:pPr>
            <w:r w:rsidRPr="00584BD1">
              <w:rPr>
                <w:b/>
                <w:sz w:val="22"/>
                <w:szCs w:val="22"/>
              </w:rPr>
              <w:t>Division</w:t>
            </w:r>
          </w:p>
        </w:tc>
        <w:tc>
          <w:tcPr>
            <w:tcW w:w="1152" w:type="dxa"/>
          </w:tcPr>
          <w:p w:rsidR="00A01629" w:rsidRDefault="00584BD1">
            <w:pPr>
              <w:spacing w:line="240" w:lineRule="auto"/>
              <w:jc w:val="center"/>
              <w:rPr>
                <w:b/>
                <w:sz w:val="22"/>
                <w:szCs w:val="22"/>
              </w:rPr>
            </w:pPr>
            <w:r>
              <w:rPr>
                <w:b/>
                <w:sz w:val="22"/>
                <w:szCs w:val="22"/>
              </w:rPr>
              <w:br/>
            </w:r>
            <w:r>
              <w:rPr>
                <w:b/>
                <w:sz w:val="22"/>
                <w:szCs w:val="22"/>
              </w:rPr>
              <w:br/>
              <w:t>Current</w:t>
            </w:r>
          </w:p>
          <w:p w:rsidR="00A01629" w:rsidRDefault="00584BD1">
            <w:pPr>
              <w:spacing w:line="240" w:lineRule="auto"/>
              <w:jc w:val="center"/>
              <w:rPr>
                <w:b/>
                <w:sz w:val="22"/>
                <w:szCs w:val="22"/>
              </w:rPr>
            </w:pPr>
            <w:r>
              <w:rPr>
                <w:b/>
                <w:sz w:val="22"/>
                <w:szCs w:val="22"/>
              </w:rPr>
              <w:t>Bill</w:t>
            </w:r>
          </w:p>
        </w:tc>
        <w:tc>
          <w:tcPr>
            <w:tcW w:w="1244" w:type="dxa"/>
          </w:tcPr>
          <w:p w:rsidR="00A01629" w:rsidRDefault="00A01629">
            <w:pPr>
              <w:spacing w:line="240" w:lineRule="auto"/>
              <w:jc w:val="center"/>
              <w:rPr>
                <w:b/>
                <w:sz w:val="22"/>
                <w:szCs w:val="22"/>
              </w:rPr>
            </w:pPr>
          </w:p>
          <w:p w:rsidR="00A01629" w:rsidRDefault="00584BD1">
            <w:pPr>
              <w:spacing w:line="240" w:lineRule="auto"/>
              <w:jc w:val="center"/>
              <w:rPr>
                <w:b/>
                <w:sz w:val="22"/>
                <w:szCs w:val="22"/>
              </w:rPr>
            </w:pPr>
            <w:r>
              <w:rPr>
                <w:b/>
                <w:sz w:val="22"/>
                <w:szCs w:val="22"/>
              </w:rPr>
              <w:t>Projected Bill with Aqua’s Proposed Rates</w:t>
            </w:r>
          </w:p>
        </w:tc>
        <w:tc>
          <w:tcPr>
            <w:tcW w:w="1152" w:type="dxa"/>
          </w:tcPr>
          <w:p w:rsidR="00A01629" w:rsidRDefault="00584BD1">
            <w:pPr>
              <w:spacing w:line="240" w:lineRule="auto"/>
              <w:jc w:val="center"/>
              <w:rPr>
                <w:b/>
                <w:sz w:val="22"/>
                <w:szCs w:val="22"/>
              </w:rPr>
            </w:pPr>
            <w:r>
              <w:rPr>
                <w:b/>
                <w:sz w:val="22"/>
                <w:szCs w:val="22"/>
              </w:rPr>
              <w:br/>
              <w:t>Dollar Increase</w:t>
            </w:r>
          </w:p>
        </w:tc>
        <w:tc>
          <w:tcPr>
            <w:tcW w:w="1152" w:type="dxa"/>
          </w:tcPr>
          <w:p w:rsidR="00A01629" w:rsidRDefault="00584BD1">
            <w:pPr>
              <w:spacing w:line="240" w:lineRule="auto"/>
              <w:jc w:val="center"/>
              <w:rPr>
                <w:b/>
                <w:sz w:val="22"/>
                <w:szCs w:val="22"/>
              </w:rPr>
            </w:pPr>
            <w:r>
              <w:rPr>
                <w:b/>
                <w:sz w:val="22"/>
                <w:szCs w:val="22"/>
              </w:rPr>
              <w:br/>
              <w:t>Percent Increase</w:t>
            </w:r>
          </w:p>
        </w:tc>
      </w:tr>
      <w:tr w:rsidR="00A01629">
        <w:trPr>
          <w:jc w:val="center"/>
        </w:trPr>
        <w:tc>
          <w:tcPr>
            <w:tcW w:w="2250" w:type="dxa"/>
          </w:tcPr>
          <w:p w:rsidR="00A01629" w:rsidRDefault="00584BD1">
            <w:pPr>
              <w:spacing w:line="240" w:lineRule="auto"/>
              <w:rPr>
                <w:sz w:val="22"/>
                <w:szCs w:val="22"/>
              </w:rPr>
            </w:pPr>
            <w:r>
              <w:rPr>
                <w:sz w:val="22"/>
                <w:szCs w:val="22"/>
              </w:rPr>
              <w:t>Lake Erie West</w:t>
            </w:r>
          </w:p>
        </w:tc>
        <w:tc>
          <w:tcPr>
            <w:tcW w:w="1152" w:type="dxa"/>
          </w:tcPr>
          <w:p w:rsidR="00A01629" w:rsidRDefault="00584BD1">
            <w:pPr>
              <w:spacing w:line="240" w:lineRule="auto"/>
              <w:jc w:val="center"/>
              <w:rPr>
                <w:sz w:val="22"/>
                <w:szCs w:val="22"/>
              </w:rPr>
            </w:pPr>
            <w:r>
              <w:rPr>
                <w:sz w:val="22"/>
                <w:szCs w:val="22"/>
              </w:rPr>
              <w:t>$27.39</w:t>
            </w:r>
          </w:p>
        </w:tc>
        <w:tc>
          <w:tcPr>
            <w:tcW w:w="1244" w:type="dxa"/>
          </w:tcPr>
          <w:p w:rsidR="00A01629" w:rsidRDefault="00584BD1">
            <w:pPr>
              <w:spacing w:line="240" w:lineRule="auto"/>
              <w:jc w:val="center"/>
              <w:rPr>
                <w:sz w:val="22"/>
                <w:szCs w:val="22"/>
              </w:rPr>
            </w:pPr>
            <w:r>
              <w:rPr>
                <w:sz w:val="22"/>
                <w:szCs w:val="22"/>
              </w:rPr>
              <w:t>$33.34</w:t>
            </w:r>
          </w:p>
        </w:tc>
        <w:tc>
          <w:tcPr>
            <w:tcW w:w="1152" w:type="dxa"/>
          </w:tcPr>
          <w:p w:rsidR="00A01629" w:rsidRDefault="00584BD1">
            <w:pPr>
              <w:spacing w:line="240" w:lineRule="auto"/>
              <w:jc w:val="center"/>
              <w:rPr>
                <w:sz w:val="22"/>
                <w:szCs w:val="22"/>
              </w:rPr>
            </w:pPr>
            <w:r>
              <w:rPr>
                <w:sz w:val="22"/>
                <w:szCs w:val="22"/>
              </w:rPr>
              <w:t>$5.95</w:t>
            </w:r>
          </w:p>
        </w:tc>
        <w:tc>
          <w:tcPr>
            <w:tcW w:w="1152" w:type="dxa"/>
          </w:tcPr>
          <w:p w:rsidR="00A01629" w:rsidRDefault="00584BD1">
            <w:pPr>
              <w:spacing w:line="240" w:lineRule="auto"/>
              <w:jc w:val="center"/>
              <w:rPr>
                <w:sz w:val="22"/>
                <w:szCs w:val="22"/>
              </w:rPr>
            </w:pPr>
            <w:r>
              <w:rPr>
                <w:sz w:val="22"/>
                <w:szCs w:val="22"/>
              </w:rPr>
              <w:t>21.72%</w:t>
            </w:r>
          </w:p>
        </w:tc>
      </w:tr>
      <w:tr w:rsidR="00A01629">
        <w:trPr>
          <w:jc w:val="center"/>
        </w:trPr>
        <w:tc>
          <w:tcPr>
            <w:tcW w:w="2250" w:type="dxa"/>
          </w:tcPr>
          <w:p w:rsidR="00A01629" w:rsidRDefault="00584BD1">
            <w:pPr>
              <w:spacing w:line="240" w:lineRule="auto"/>
              <w:rPr>
                <w:sz w:val="22"/>
                <w:szCs w:val="22"/>
              </w:rPr>
            </w:pPr>
            <w:r>
              <w:rPr>
                <w:sz w:val="22"/>
                <w:szCs w:val="22"/>
              </w:rPr>
              <w:t>Lake Erie East</w:t>
            </w:r>
          </w:p>
        </w:tc>
        <w:tc>
          <w:tcPr>
            <w:tcW w:w="1152" w:type="dxa"/>
          </w:tcPr>
          <w:p w:rsidR="00A01629" w:rsidRDefault="00584BD1">
            <w:pPr>
              <w:spacing w:line="240" w:lineRule="auto"/>
              <w:jc w:val="center"/>
              <w:rPr>
                <w:sz w:val="22"/>
                <w:szCs w:val="22"/>
              </w:rPr>
            </w:pPr>
            <w:r>
              <w:rPr>
                <w:sz w:val="22"/>
                <w:szCs w:val="22"/>
              </w:rPr>
              <w:t>$33.82</w:t>
            </w:r>
          </w:p>
        </w:tc>
        <w:tc>
          <w:tcPr>
            <w:tcW w:w="1244" w:type="dxa"/>
          </w:tcPr>
          <w:p w:rsidR="00A01629" w:rsidRDefault="00584BD1">
            <w:pPr>
              <w:spacing w:line="240" w:lineRule="auto"/>
              <w:jc w:val="center"/>
              <w:rPr>
                <w:sz w:val="22"/>
                <w:szCs w:val="22"/>
              </w:rPr>
            </w:pPr>
            <w:r>
              <w:rPr>
                <w:sz w:val="22"/>
                <w:szCs w:val="22"/>
              </w:rPr>
              <w:t>$41.00</w:t>
            </w:r>
          </w:p>
        </w:tc>
        <w:tc>
          <w:tcPr>
            <w:tcW w:w="1152" w:type="dxa"/>
          </w:tcPr>
          <w:p w:rsidR="00A01629" w:rsidRDefault="00584BD1">
            <w:pPr>
              <w:spacing w:line="240" w:lineRule="auto"/>
              <w:jc w:val="center"/>
              <w:rPr>
                <w:sz w:val="22"/>
                <w:szCs w:val="22"/>
              </w:rPr>
            </w:pPr>
            <w:r>
              <w:rPr>
                <w:sz w:val="22"/>
                <w:szCs w:val="22"/>
              </w:rPr>
              <w:t>$7.18</w:t>
            </w:r>
          </w:p>
        </w:tc>
        <w:tc>
          <w:tcPr>
            <w:tcW w:w="1152" w:type="dxa"/>
          </w:tcPr>
          <w:p w:rsidR="00A01629" w:rsidRDefault="00584BD1">
            <w:pPr>
              <w:spacing w:line="240" w:lineRule="auto"/>
              <w:jc w:val="center"/>
              <w:rPr>
                <w:sz w:val="22"/>
                <w:szCs w:val="22"/>
              </w:rPr>
            </w:pPr>
            <w:r>
              <w:rPr>
                <w:sz w:val="22"/>
                <w:szCs w:val="22"/>
              </w:rPr>
              <w:t>21.23%</w:t>
            </w:r>
          </w:p>
        </w:tc>
      </w:tr>
      <w:tr w:rsidR="00A01629">
        <w:trPr>
          <w:jc w:val="center"/>
        </w:trPr>
        <w:tc>
          <w:tcPr>
            <w:tcW w:w="2250" w:type="dxa"/>
          </w:tcPr>
          <w:p w:rsidR="00A01629" w:rsidRDefault="00584BD1">
            <w:pPr>
              <w:spacing w:line="240" w:lineRule="auto"/>
              <w:rPr>
                <w:sz w:val="22"/>
                <w:szCs w:val="22"/>
              </w:rPr>
            </w:pPr>
            <w:r>
              <w:rPr>
                <w:sz w:val="22"/>
                <w:szCs w:val="22"/>
              </w:rPr>
              <w:t>Norlick</w:t>
            </w:r>
          </w:p>
        </w:tc>
        <w:tc>
          <w:tcPr>
            <w:tcW w:w="1152" w:type="dxa"/>
          </w:tcPr>
          <w:p w:rsidR="00A01629" w:rsidRDefault="00584BD1">
            <w:pPr>
              <w:spacing w:line="240" w:lineRule="auto"/>
              <w:jc w:val="center"/>
              <w:rPr>
                <w:sz w:val="22"/>
                <w:szCs w:val="22"/>
              </w:rPr>
            </w:pPr>
            <w:r>
              <w:rPr>
                <w:sz w:val="22"/>
                <w:szCs w:val="22"/>
              </w:rPr>
              <w:t>$36.00</w:t>
            </w:r>
          </w:p>
        </w:tc>
        <w:tc>
          <w:tcPr>
            <w:tcW w:w="1244" w:type="dxa"/>
          </w:tcPr>
          <w:p w:rsidR="00A01629" w:rsidRDefault="00584BD1">
            <w:pPr>
              <w:spacing w:line="240" w:lineRule="auto"/>
              <w:jc w:val="center"/>
              <w:rPr>
                <w:sz w:val="22"/>
                <w:szCs w:val="22"/>
              </w:rPr>
            </w:pPr>
            <w:r>
              <w:rPr>
                <w:sz w:val="22"/>
                <w:szCs w:val="22"/>
              </w:rPr>
              <w:t>$41.00</w:t>
            </w:r>
          </w:p>
        </w:tc>
        <w:tc>
          <w:tcPr>
            <w:tcW w:w="1152" w:type="dxa"/>
          </w:tcPr>
          <w:p w:rsidR="00A01629" w:rsidRDefault="00584BD1">
            <w:pPr>
              <w:spacing w:line="240" w:lineRule="auto"/>
              <w:jc w:val="center"/>
              <w:rPr>
                <w:sz w:val="22"/>
                <w:szCs w:val="22"/>
              </w:rPr>
            </w:pPr>
            <w:r>
              <w:rPr>
                <w:sz w:val="22"/>
                <w:szCs w:val="22"/>
              </w:rPr>
              <w:t>$5.00</w:t>
            </w:r>
          </w:p>
        </w:tc>
        <w:tc>
          <w:tcPr>
            <w:tcW w:w="1152" w:type="dxa"/>
          </w:tcPr>
          <w:p w:rsidR="00A01629" w:rsidRDefault="00584BD1">
            <w:pPr>
              <w:spacing w:line="240" w:lineRule="auto"/>
              <w:jc w:val="center"/>
              <w:rPr>
                <w:sz w:val="22"/>
                <w:szCs w:val="22"/>
              </w:rPr>
            </w:pPr>
            <w:r>
              <w:rPr>
                <w:sz w:val="22"/>
                <w:szCs w:val="22"/>
              </w:rPr>
              <w:t>13.89%</w:t>
            </w:r>
          </w:p>
        </w:tc>
      </w:tr>
      <w:tr w:rsidR="00A01629">
        <w:trPr>
          <w:jc w:val="center"/>
        </w:trPr>
        <w:tc>
          <w:tcPr>
            <w:tcW w:w="2250" w:type="dxa"/>
          </w:tcPr>
          <w:p w:rsidR="00A01629" w:rsidRDefault="00584BD1">
            <w:pPr>
              <w:spacing w:line="240" w:lineRule="auto"/>
              <w:rPr>
                <w:sz w:val="22"/>
                <w:szCs w:val="22"/>
              </w:rPr>
            </w:pPr>
            <w:r>
              <w:rPr>
                <w:sz w:val="22"/>
                <w:szCs w:val="22"/>
              </w:rPr>
              <w:t>Masury</w:t>
            </w:r>
          </w:p>
        </w:tc>
        <w:tc>
          <w:tcPr>
            <w:tcW w:w="1152" w:type="dxa"/>
          </w:tcPr>
          <w:p w:rsidR="00A01629" w:rsidRDefault="00584BD1">
            <w:pPr>
              <w:spacing w:line="240" w:lineRule="auto"/>
              <w:jc w:val="center"/>
              <w:rPr>
                <w:sz w:val="22"/>
                <w:szCs w:val="22"/>
              </w:rPr>
            </w:pPr>
            <w:r>
              <w:rPr>
                <w:sz w:val="22"/>
                <w:szCs w:val="22"/>
              </w:rPr>
              <w:t>$33.39</w:t>
            </w:r>
          </w:p>
        </w:tc>
        <w:tc>
          <w:tcPr>
            <w:tcW w:w="1244" w:type="dxa"/>
          </w:tcPr>
          <w:p w:rsidR="00A01629" w:rsidRDefault="00584BD1">
            <w:pPr>
              <w:spacing w:line="240" w:lineRule="auto"/>
              <w:jc w:val="center"/>
              <w:rPr>
                <w:sz w:val="22"/>
                <w:szCs w:val="22"/>
              </w:rPr>
            </w:pPr>
            <w:r>
              <w:rPr>
                <w:sz w:val="22"/>
                <w:szCs w:val="22"/>
              </w:rPr>
              <w:t>$41.00</w:t>
            </w:r>
          </w:p>
        </w:tc>
        <w:tc>
          <w:tcPr>
            <w:tcW w:w="1152" w:type="dxa"/>
          </w:tcPr>
          <w:p w:rsidR="00A01629" w:rsidRDefault="00584BD1">
            <w:pPr>
              <w:spacing w:line="240" w:lineRule="auto"/>
              <w:jc w:val="center"/>
              <w:rPr>
                <w:sz w:val="22"/>
                <w:szCs w:val="22"/>
              </w:rPr>
            </w:pPr>
            <w:r>
              <w:rPr>
                <w:sz w:val="22"/>
                <w:szCs w:val="22"/>
              </w:rPr>
              <w:t>$7.61</w:t>
            </w:r>
          </w:p>
        </w:tc>
        <w:tc>
          <w:tcPr>
            <w:tcW w:w="1152" w:type="dxa"/>
          </w:tcPr>
          <w:p w:rsidR="00A01629" w:rsidRDefault="00584BD1">
            <w:pPr>
              <w:spacing w:line="240" w:lineRule="auto"/>
              <w:jc w:val="center"/>
              <w:rPr>
                <w:sz w:val="22"/>
                <w:szCs w:val="22"/>
              </w:rPr>
            </w:pPr>
            <w:r>
              <w:rPr>
                <w:sz w:val="22"/>
                <w:szCs w:val="22"/>
              </w:rPr>
              <w:t>22.79%</w:t>
            </w:r>
          </w:p>
        </w:tc>
      </w:tr>
      <w:tr w:rsidR="00A01629">
        <w:trPr>
          <w:jc w:val="center"/>
        </w:trPr>
        <w:tc>
          <w:tcPr>
            <w:tcW w:w="2250" w:type="dxa"/>
          </w:tcPr>
          <w:p w:rsidR="00A01629" w:rsidRDefault="00584BD1">
            <w:pPr>
              <w:spacing w:line="240" w:lineRule="auto"/>
              <w:rPr>
                <w:sz w:val="22"/>
                <w:szCs w:val="22"/>
              </w:rPr>
            </w:pPr>
            <w:r>
              <w:rPr>
                <w:sz w:val="22"/>
                <w:szCs w:val="22"/>
              </w:rPr>
              <w:t>Prior American</w:t>
            </w:r>
          </w:p>
        </w:tc>
        <w:tc>
          <w:tcPr>
            <w:tcW w:w="1152" w:type="dxa"/>
          </w:tcPr>
          <w:p w:rsidR="00A01629" w:rsidRDefault="00584BD1">
            <w:pPr>
              <w:spacing w:line="240" w:lineRule="auto"/>
              <w:jc w:val="center"/>
              <w:rPr>
                <w:sz w:val="22"/>
                <w:szCs w:val="22"/>
              </w:rPr>
            </w:pPr>
            <w:r>
              <w:rPr>
                <w:sz w:val="22"/>
                <w:szCs w:val="22"/>
              </w:rPr>
              <w:t>$45.24</w:t>
            </w:r>
          </w:p>
        </w:tc>
        <w:tc>
          <w:tcPr>
            <w:tcW w:w="1244" w:type="dxa"/>
          </w:tcPr>
          <w:p w:rsidR="00A01629" w:rsidRDefault="00584BD1">
            <w:pPr>
              <w:spacing w:line="240" w:lineRule="auto"/>
              <w:jc w:val="center"/>
              <w:rPr>
                <w:sz w:val="22"/>
                <w:szCs w:val="22"/>
              </w:rPr>
            </w:pPr>
            <w:r>
              <w:rPr>
                <w:sz w:val="22"/>
                <w:szCs w:val="22"/>
              </w:rPr>
              <w:t>$52.55</w:t>
            </w:r>
          </w:p>
        </w:tc>
        <w:tc>
          <w:tcPr>
            <w:tcW w:w="1152" w:type="dxa"/>
          </w:tcPr>
          <w:p w:rsidR="00A01629" w:rsidRDefault="00584BD1">
            <w:pPr>
              <w:spacing w:line="240" w:lineRule="auto"/>
              <w:jc w:val="center"/>
              <w:rPr>
                <w:sz w:val="22"/>
                <w:szCs w:val="22"/>
              </w:rPr>
            </w:pPr>
            <w:r>
              <w:rPr>
                <w:sz w:val="22"/>
                <w:szCs w:val="22"/>
              </w:rPr>
              <w:t>$7.31</w:t>
            </w:r>
          </w:p>
        </w:tc>
        <w:tc>
          <w:tcPr>
            <w:tcW w:w="1152" w:type="dxa"/>
          </w:tcPr>
          <w:p w:rsidR="00A01629" w:rsidRDefault="00584BD1">
            <w:pPr>
              <w:spacing w:line="240" w:lineRule="auto"/>
              <w:jc w:val="center"/>
              <w:rPr>
                <w:sz w:val="22"/>
                <w:szCs w:val="22"/>
              </w:rPr>
            </w:pPr>
            <w:r>
              <w:rPr>
                <w:sz w:val="22"/>
                <w:szCs w:val="22"/>
              </w:rPr>
              <w:t>16.16%</w:t>
            </w:r>
          </w:p>
        </w:tc>
      </w:tr>
    </w:tbl>
    <w:p w:rsidR="00A01629" w:rsidRDefault="00A01629">
      <w:pPr>
        <w:spacing w:line="240" w:lineRule="auto"/>
      </w:pPr>
    </w:p>
    <w:p w:rsidR="00A01629" w:rsidRDefault="00584BD1">
      <w:r>
        <w:lastRenderedPageBreak/>
        <w:t>In the Staff Report, Staff noted that it supports Aqua’s proposed steps towards consolidation.</w:t>
      </w:r>
      <w:r>
        <w:rPr>
          <w:rStyle w:val="FootnoteReference"/>
        </w:rPr>
        <w:footnoteReference w:id="13"/>
      </w:r>
      <w:r>
        <w:t xml:space="preserve">  While Staff reports on several aspects of Aqua’s proposed rates as a result of the consolidation process, Staff does not report on the reasonableness of Aqua’s allocation of revenue to the four divisions or the reasonableness of the differences in the proposed volumetric rates between the four divisions.  Furthermore, the unreasonable revenue allocation to customers in the prior American Division frustrates the objective of eventually achieving uniform consolidated volumetric rates across Aqua’s system.  The table below summarizes Aqua’s proposed rates:</w:t>
      </w:r>
    </w:p>
    <w:tbl>
      <w:tblPr>
        <w:tblW w:w="706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430"/>
        <w:gridCol w:w="1599"/>
        <w:gridCol w:w="1599"/>
      </w:tblGrid>
      <w:tr w:rsidR="00A01629">
        <w:trPr>
          <w:trHeight w:val="325"/>
        </w:trPr>
        <w:tc>
          <w:tcPr>
            <w:tcW w:w="1440" w:type="dxa"/>
            <w:shd w:val="clear" w:color="auto" w:fill="auto"/>
            <w:noWrap/>
            <w:vAlign w:val="bottom"/>
            <w:hideMark/>
          </w:tcPr>
          <w:p w:rsidR="00A01629" w:rsidRDefault="00A01629">
            <w:pPr>
              <w:spacing w:line="240" w:lineRule="auto"/>
              <w:jc w:val="center"/>
              <w:rPr>
                <w:rFonts w:cs="Arial"/>
                <w:color w:val="000000"/>
                <w:sz w:val="22"/>
                <w:szCs w:val="22"/>
              </w:rPr>
            </w:pPr>
          </w:p>
        </w:tc>
        <w:tc>
          <w:tcPr>
            <w:tcW w:w="2430" w:type="dxa"/>
            <w:shd w:val="clear" w:color="auto" w:fill="auto"/>
            <w:noWrap/>
            <w:vAlign w:val="bottom"/>
            <w:hideMark/>
          </w:tcPr>
          <w:p w:rsidR="00A01629" w:rsidRDefault="00584BD1">
            <w:pPr>
              <w:spacing w:line="240" w:lineRule="auto"/>
              <w:jc w:val="center"/>
              <w:rPr>
                <w:rFonts w:cs="Arial"/>
                <w:b/>
                <w:color w:val="000000"/>
                <w:sz w:val="22"/>
                <w:szCs w:val="22"/>
              </w:rPr>
            </w:pPr>
            <w:r>
              <w:rPr>
                <w:rFonts w:cs="Arial"/>
                <w:b/>
                <w:color w:val="000000"/>
                <w:sz w:val="22"/>
                <w:szCs w:val="22"/>
              </w:rPr>
              <w:t>Lake Erie East, Norlick, Seneca, and Masury</w:t>
            </w:r>
          </w:p>
          <w:p w:rsidR="00A01629" w:rsidRDefault="00584BD1">
            <w:pPr>
              <w:spacing w:line="240" w:lineRule="auto"/>
              <w:jc w:val="center"/>
              <w:rPr>
                <w:rFonts w:cs="Arial"/>
                <w:b/>
                <w:color w:val="000000"/>
                <w:sz w:val="22"/>
                <w:szCs w:val="22"/>
              </w:rPr>
            </w:pPr>
            <w:r>
              <w:rPr>
                <w:rFonts w:cs="Arial"/>
                <w:b/>
                <w:color w:val="000000"/>
                <w:sz w:val="22"/>
                <w:szCs w:val="22"/>
              </w:rPr>
              <w:t>Proposed Rate</w:t>
            </w:r>
          </w:p>
        </w:tc>
        <w:tc>
          <w:tcPr>
            <w:tcW w:w="1599" w:type="dxa"/>
            <w:shd w:val="clear" w:color="auto" w:fill="auto"/>
            <w:noWrap/>
            <w:vAlign w:val="bottom"/>
            <w:hideMark/>
          </w:tcPr>
          <w:p w:rsidR="00A01629" w:rsidRDefault="00584BD1">
            <w:pPr>
              <w:spacing w:line="240" w:lineRule="auto"/>
              <w:jc w:val="center"/>
              <w:rPr>
                <w:rFonts w:cs="Arial"/>
                <w:b/>
                <w:color w:val="000000"/>
                <w:sz w:val="22"/>
                <w:szCs w:val="22"/>
              </w:rPr>
            </w:pPr>
            <w:r>
              <w:rPr>
                <w:rFonts w:cs="Arial"/>
                <w:b/>
                <w:color w:val="000000"/>
                <w:sz w:val="22"/>
                <w:szCs w:val="22"/>
              </w:rPr>
              <w:t>Lake Erie West</w:t>
            </w:r>
          </w:p>
          <w:p w:rsidR="00A01629" w:rsidRDefault="00584BD1">
            <w:pPr>
              <w:spacing w:line="240" w:lineRule="auto"/>
              <w:jc w:val="center"/>
              <w:rPr>
                <w:rFonts w:cs="Arial"/>
                <w:b/>
                <w:color w:val="000000"/>
                <w:sz w:val="22"/>
                <w:szCs w:val="22"/>
              </w:rPr>
            </w:pPr>
            <w:r>
              <w:rPr>
                <w:rFonts w:cs="Arial"/>
                <w:b/>
                <w:color w:val="000000"/>
                <w:sz w:val="22"/>
                <w:szCs w:val="22"/>
              </w:rPr>
              <w:t>Proposed</w:t>
            </w:r>
          </w:p>
          <w:p w:rsidR="00A01629" w:rsidRDefault="00584BD1">
            <w:pPr>
              <w:spacing w:line="240" w:lineRule="auto"/>
              <w:jc w:val="center"/>
              <w:rPr>
                <w:rFonts w:cs="Arial"/>
                <w:b/>
                <w:color w:val="000000"/>
                <w:sz w:val="22"/>
                <w:szCs w:val="22"/>
              </w:rPr>
            </w:pPr>
            <w:r>
              <w:rPr>
                <w:rFonts w:cs="Arial"/>
                <w:b/>
                <w:color w:val="000000"/>
                <w:sz w:val="22"/>
                <w:szCs w:val="22"/>
              </w:rPr>
              <w:t>Rate</w:t>
            </w:r>
          </w:p>
        </w:tc>
        <w:tc>
          <w:tcPr>
            <w:tcW w:w="1599" w:type="dxa"/>
            <w:shd w:val="clear" w:color="auto" w:fill="auto"/>
            <w:noWrap/>
            <w:vAlign w:val="bottom"/>
            <w:hideMark/>
          </w:tcPr>
          <w:p w:rsidR="00A01629" w:rsidRDefault="00584BD1">
            <w:pPr>
              <w:spacing w:line="240" w:lineRule="auto"/>
              <w:jc w:val="center"/>
              <w:rPr>
                <w:rFonts w:cs="Arial"/>
                <w:b/>
                <w:color w:val="000000"/>
                <w:sz w:val="22"/>
                <w:szCs w:val="22"/>
              </w:rPr>
            </w:pPr>
            <w:r>
              <w:rPr>
                <w:rFonts w:cs="Arial"/>
                <w:b/>
                <w:color w:val="000000"/>
                <w:sz w:val="22"/>
                <w:szCs w:val="22"/>
              </w:rPr>
              <w:t>Prior American</w:t>
            </w:r>
          </w:p>
          <w:p w:rsidR="00A01629" w:rsidRDefault="00584BD1">
            <w:pPr>
              <w:spacing w:line="240" w:lineRule="auto"/>
              <w:jc w:val="center"/>
              <w:rPr>
                <w:rFonts w:cs="Arial"/>
                <w:b/>
                <w:color w:val="000000"/>
                <w:sz w:val="22"/>
                <w:szCs w:val="22"/>
              </w:rPr>
            </w:pPr>
            <w:r>
              <w:rPr>
                <w:rFonts w:cs="Arial"/>
                <w:b/>
                <w:color w:val="000000"/>
                <w:sz w:val="22"/>
                <w:szCs w:val="22"/>
              </w:rPr>
              <w:t>Proposed</w:t>
            </w:r>
          </w:p>
          <w:p w:rsidR="00A01629" w:rsidRDefault="00584BD1">
            <w:pPr>
              <w:spacing w:line="240" w:lineRule="auto"/>
              <w:jc w:val="center"/>
              <w:rPr>
                <w:rFonts w:cs="Arial"/>
                <w:b/>
                <w:color w:val="000000"/>
                <w:sz w:val="22"/>
                <w:szCs w:val="22"/>
              </w:rPr>
            </w:pPr>
            <w:r>
              <w:rPr>
                <w:rFonts w:cs="Arial"/>
                <w:b/>
                <w:color w:val="000000"/>
                <w:sz w:val="22"/>
                <w:szCs w:val="22"/>
              </w:rPr>
              <w:t>Rate</w:t>
            </w:r>
          </w:p>
        </w:tc>
      </w:tr>
      <w:tr w:rsidR="00A01629">
        <w:trPr>
          <w:trHeight w:val="325"/>
        </w:trPr>
        <w:tc>
          <w:tcPr>
            <w:tcW w:w="1440" w:type="dxa"/>
            <w:shd w:val="clear" w:color="auto" w:fill="auto"/>
            <w:noWrap/>
            <w:vAlign w:val="bottom"/>
            <w:hideMark/>
          </w:tcPr>
          <w:p w:rsidR="00A01629" w:rsidRDefault="00584BD1">
            <w:pPr>
              <w:spacing w:line="240" w:lineRule="auto"/>
              <w:jc w:val="left"/>
              <w:rPr>
                <w:rFonts w:cs="Arial"/>
                <w:color w:val="000000"/>
                <w:sz w:val="22"/>
                <w:szCs w:val="22"/>
              </w:rPr>
            </w:pPr>
            <w:r>
              <w:rPr>
                <w:rFonts w:cs="Arial"/>
                <w:color w:val="000000"/>
                <w:sz w:val="22"/>
                <w:szCs w:val="22"/>
              </w:rPr>
              <w:t>1st Block</w:t>
            </w:r>
          </w:p>
        </w:tc>
        <w:tc>
          <w:tcPr>
            <w:tcW w:w="2430" w:type="dxa"/>
            <w:shd w:val="clear" w:color="auto" w:fill="auto"/>
            <w:noWrap/>
            <w:vAlign w:val="bottom"/>
            <w:hideMark/>
          </w:tcPr>
          <w:p w:rsidR="00A01629" w:rsidRDefault="00584BD1">
            <w:pPr>
              <w:spacing w:line="240" w:lineRule="auto"/>
              <w:jc w:val="center"/>
              <w:rPr>
                <w:rFonts w:cs="Arial"/>
                <w:color w:val="000000"/>
                <w:sz w:val="22"/>
                <w:szCs w:val="22"/>
              </w:rPr>
            </w:pPr>
            <w:r>
              <w:rPr>
                <w:rFonts w:cs="Arial"/>
                <w:color w:val="000000"/>
                <w:sz w:val="22"/>
                <w:szCs w:val="22"/>
              </w:rPr>
              <w:t>$0.80000</w:t>
            </w:r>
          </w:p>
        </w:tc>
        <w:tc>
          <w:tcPr>
            <w:tcW w:w="1599" w:type="dxa"/>
            <w:shd w:val="clear" w:color="auto" w:fill="auto"/>
            <w:noWrap/>
            <w:vAlign w:val="bottom"/>
            <w:hideMark/>
          </w:tcPr>
          <w:p w:rsidR="00A01629" w:rsidRDefault="00584BD1">
            <w:pPr>
              <w:spacing w:line="240" w:lineRule="auto"/>
              <w:jc w:val="center"/>
              <w:rPr>
                <w:rFonts w:cs="Arial"/>
                <w:color w:val="000000"/>
                <w:sz w:val="22"/>
                <w:szCs w:val="22"/>
              </w:rPr>
            </w:pPr>
            <w:r>
              <w:rPr>
                <w:rFonts w:cs="Arial"/>
                <w:color w:val="000000"/>
                <w:sz w:val="22"/>
                <w:szCs w:val="22"/>
              </w:rPr>
              <w:t>$0.60851</w:t>
            </w:r>
          </w:p>
        </w:tc>
        <w:tc>
          <w:tcPr>
            <w:tcW w:w="1599" w:type="dxa"/>
            <w:shd w:val="clear" w:color="auto" w:fill="auto"/>
            <w:noWrap/>
            <w:vAlign w:val="bottom"/>
            <w:hideMark/>
          </w:tcPr>
          <w:p w:rsidR="00A01629" w:rsidRDefault="00584BD1">
            <w:pPr>
              <w:spacing w:line="240" w:lineRule="auto"/>
              <w:jc w:val="center"/>
              <w:rPr>
                <w:rFonts w:cs="Arial"/>
                <w:color w:val="000000"/>
                <w:sz w:val="22"/>
                <w:szCs w:val="22"/>
              </w:rPr>
            </w:pPr>
            <w:r>
              <w:rPr>
                <w:rFonts w:cs="Arial"/>
                <w:color w:val="000000"/>
                <w:sz w:val="22"/>
                <w:szCs w:val="22"/>
              </w:rPr>
              <w:t>$1.08875</w:t>
            </w:r>
          </w:p>
        </w:tc>
      </w:tr>
      <w:tr w:rsidR="00A01629">
        <w:trPr>
          <w:trHeight w:val="325"/>
        </w:trPr>
        <w:tc>
          <w:tcPr>
            <w:tcW w:w="1440" w:type="dxa"/>
            <w:shd w:val="clear" w:color="auto" w:fill="auto"/>
            <w:noWrap/>
            <w:vAlign w:val="bottom"/>
            <w:hideMark/>
          </w:tcPr>
          <w:p w:rsidR="00A01629" w:rsidRDefault="00584BD1">
            <w:pPr>
              <w:spacing w:line="240" w:lineRule="auto"/>
              <w:jc w:val="left"/>
              <w:rPr>
                <w:rFonts w:cs="Arial"/>
                <w:color w:val="000000"/>
                <w:sz w:val="22"/>
                <w:szCs w:val="22"/>
              </w:rPr>
            </w:pPr>
            <w:r>
              <w:rPr>
                <w:rFonts w:cs="Arial"/>
                <w:color w:val="000000"/>
                <w:sz w:val="22"/>
                <w:szCs w:val="22"/>
              </w:rPr>
              <w:t>2nd Block</w:t>
            </w:r>
          </w:p>
        </w:tc>
        <w:tc>
          <w:tcPr>
            <w:tcW w:w="2430" w:type="dxa"/>
            <w:shd w:val="clear" w:color="auto" w:fill="auto"/>
            <w:noWrap/>
            <w:vAlign w:val="bottom"/>
            <w:hideMark/>
          </w:tcPr>
          <w:p w:rsidR="00A01629" w:rsidRDefault="00584BD1">
            <w:pPr>
              <w:spacing w:line="240" w:lineRule="auto"/>
              <w:jc w:val="center"/>
              <w:rPr>
                <w:rFonts w:cs="Arial"/>
                <w:color w:val="000000"/>
                <w:sz w:val="22"/>
                <w:szCs w:val="22"/>
              </w:rPr>
            </w:pPr>
            <w:r>
              <w:rPr>
                <w:rFonts w:cs="Arial"/>
                <w:color w:val="000000"/>
                <w:sz w:val="22"/>
                <w:szCs w:val="22"/>
              </w:rPr>
              <w:t>$0.68000</w:t>
            </w:r>
          </w:p>
        </w:tc>
        <w:tc>
          <w:tcPr>
            <w:tcW w:w="1599" w:type="dxa"/>
            <w:shd w:val="clear" w:color="auto" w:fill="auto"/>
            <w:noWrap/>
            <w:vAlign w:val="bottom"/>
            <w:hideMark/>
          </w:tcPr>
          <w:p w:rsidR="00A01629" w:rsidRDefault="00584BD1">
            <w:pPr>
              <w:spacing w:line="240" w:lineRule="auto"/>
              <w:jc w:val="center"/>
              <w:rPr>
                <w:rFonts w:cs="Arial"/>
                <w:color w:val="000000"/>
                <w:sz w:val="22"/>
                <w:szCs w:val="22"/>
              </w:rPr>
            </w:pPr>
            <w:r>
              <w:rPr>
                <w:rFonts w:cs="Arial"/>
                <w:color w:val="000000"/>
                <w:sz w:val="22"/>
                <w:szCs w:val="22"/>
              </w:rPr>
              <w:t>$0.45638</w:t>
            </w:r>
          </w:p>
        </w:tc>
        <w:tc>
          <w:tcPr>
            <w:tcW w:w="1599" w:type="dxa"/>
            <w:shd w:val="clear" w:color="auto" w:fill="auto"/>
            <w:noWrap/>
            <w:vAlign w:val="bottom"/>
            <w:hideMark/>
          </w:tcPr>
          <w:p w:rsidR="00A01629" w:rsidRDefault="00584BD1">
            <w:pPr>
              <w:spacing w:line="240" w:lineRule="auto"/>
              <w:jc w:val="center"/>
              <w:rPr>
                <w:rFonts w:cs="Arial"/>
                <w:color w:val="000000"/>
                <w:sz w:val="22"/>
                <w:szCs w:val="22"/>
              </w:rPr>
            </w:pPr>
            <w:r>
              <w:rPr>
                <w:rFonts w:cs="Arial"/>
                <w:color w:val="000000"/>
                <w:sz w:val="22"/>
                <w:szCs w:val="22"/>
              </w:rPr>
              <w:t>$0.81656</w:t>
            </w:r>
          </w:p>
        </w:tc>
      </w:tr>
      <w:tr w:rsidR="00A01629">
        <w:trPr>
          <w:trHeight w:val="325"/>
        </w:trPr>
        <w:tc>
          <w:tcPr>
            <w:tcW w:w="1440" w:type="dxa"/>
            <w:shd w:val="clear" w:color="auto" w:fill="auto"/>
            <w:noWrap/>
            <w:vAlign w:val="bottom"/>
            <w:hideMark/>
          </w:tcPr>
          <w:p w:rsidR="00A01629" w:rsidRDefault="00584BD1">
            <w:pPr>
              <w:spacing w:line="240" w:lineRule="auto"/>
              <w:jc w:val="left"/>
              <w:rPr>
                <w:rFonts w:cs="Arial"/>
                <w:color w:val="000000"/>
                <w:sz w:val="22"/>
                <w:szCs w:val="22"/>
              </w:rPr>
            </w:pPr>
            <w:r>
              <w:rPr>
                <w:rFonts w:cs="Arial"/>
                <w:color w:val="000000"/>
                <w:sz w:val="22"/>
                <w:szCs w:val="22"/>
              </w:rPr>
              <w:t>3rd Block</w:t>
            </w:r>
          </w:p>
        </w:tc>
        <w:tc>
          <w:tcPr>
            <w:tcW w:w="2430" w:type="dxa"/>
            <w:shd w:val="clear" w:color="auto" w:fill="auto"/>
            <w:noWrap/>
            <w:vAlign w:val="bottom"/>
            <w:hideMark/>
          </w:tcPr>
          <w:p w:rsidR="00A01629" w:rsidRDefault="00584BD1">
            <w:pPr>
              <w:spacing w:line="240" w:lineRule="auto"/>
              <w:jc w:val="center"/>
              <w:rPr>
                <w:rFonts w:cs="Arial"/>
                <w:color w:val="000000"/>
                <w:sz w:val="22"/>
                <w:szCs w:val="22"/>
              </w:rPr>
            </w:pPr>
            <w:r>
              <w:rPr>
                <w:rFonts w:cs="Arial"/>
                <w:color w:val="000000"/>
                <w:sz w:val="22"/>
                <w:szCs w:val="22"/>
              </w:rPr>
              <w:t>$0.48000</w:t>
            </w:r>
          </w:p>
        </w:tc>
        <w:tc>
          <w:tcPr>
            <w:tcW w:w="1599" w:type="dxa"/>
            <w:shd w:val="clear" w:color="auto" w:fill="auto"/>
            <w:noWrap/>
            <w:vAlign w:val="bottom"/>
            <w:hideMark/>
          </w:tcPr>
          <w:p w:rsidR="00A01629" w:rsidRDefault="00584BD1">
            <w:pPr>
              <w:spacing w:line="240" w:lineRule="auto"/>
              <w:jc w:val="center"/>
              <w:rPr>
                <w:rFonts w:cs="Arial"/>
                <w:color w:val="000000"/>
                <w:sz w:val="22"/>
                <w:szCs w:val="22"/>
              </w:rPr>
            </w:pPr>
            <w:r>
              <w:rPr>
                <w:rFonts w:cs="Arial"/>
                <w:color w:val="000000"/>
                <w:sz w:val="22"/>
                <w:szCs w:val="22"/>
              </w:rPr>
              <w:t>$0.42596</w:t>
            </w:r>
          </w:p>
        </w:tc>
        <w:tc>
          <w:tcPr>
            <w:tcW w:w="1599" w:type="dxa"/>
            <w:shd w:val="clear" w:color="auto" w:fill="auto"/>
            <w:noWrap/>
            <w:vAlign w:val="bottom"/>
            <w:hideMark/>
          </w:tcPr>
          <w:p w:rsidR="00A01629" w:rsidRDefault="00584BD1">
            <w:pPr>
              <w:spacing w:line="240" w:lineRule="auto"/>
              <w:jc w:val="center"/>
              <w:rPr>
                <w:rFonts w:cs="Arial"/>
                <w:color w:val="000000"/>
                <w:sz w:val="22"/>
                <w:szCs w:val="22"/>
              </w:rPr>
            </w:pPr>
            <w:r>
              <w:rPr>
                <w:rFonts w:cs="Arial"/>
                <w:color w:val="000000"/>
                <w:sz w:val="22"/>
                <w:szCs w:val="22"/>
              </w:rPr>
              <w:t>$0.43550</w:t>
            </w:r>
          </w:p>
        </w:tc>
      </w:tr>
    </w:tbl>
    <w:p w:rsidR="00A01629" w:rsidRDefault="00A01629"/>
    <w:p w:rsidR="00A01629" w:rsidRDefault="00584BD1">
      <w:r>
        <w:t xml:space="preserve">Aqua’s unreasonable revenue allocation maintains the significant separation in volumetric rates across its divisions, contrary to the consolidation process supported by Aqua and the Staff.  To rectify the unreasonable revenue burden that Aqua proposes to assign to customers in the prior American Division, and to establish volumetric rates that are moving directionally towards uniform consolidated rates, the Commission should apply the entire revenue differential between Aqua’s requested rate increase of $6,656,003 and the lesser revenue increase (or revenue decrease) authorized by the Commission to decrease Aqua’s proposed revenue </w:t>
      </w:r>
      <w:r>
        <w:lastRenderedPageBreak/>
        <w:t>responsibility and rates of customers in the prior American Division to remedy the unreasonable revenue burden allocated to customers in the prior American Division.</w:t>
      </w:r>
    </w:p>
    <w:p w:rsidR="00A01629" w:rsidRDefault="00584BD1">
      <w:pPr>
        <w:pStyle w:val="Heading1"/>
      </w:pPr>
      <w:r>
        <w:t>summary of major issues</w:t>
      </w:r>
    </w:p>
    <w:p w:rsidR="00A01629" w:rsidRDefault="00584BD1">
      <w:pPr>
        <w:ind w:left="720"/>
      </w:pPr>
      <w:r>
        <w:t>The major issues in this case will be:</w:t>
      </w:r>
    </w:p>
    <w:p w:rsidR="00A01629" w:rsidRDefault="00584BD1">
      <w:pPr>
        <w:pStyle w:val="ListParagraph"/>
        <w:numPr>
          <w:ilvl w:val="0"/>
          <w:numId w:val="10"/>
        </w:numPr>
        <w:spacing w:after="240" w:line="240" w:lineRule="auto"/>
        <w:ind w:hanging="720"/>
        <w:contextualSpacing w:val="0"/>
      </w:pPr>
      <w:r>
        <w:t>The magnitude of the increase in rates Staff recommended for Aqua over current rates.</w:t>
      </w:r>
    </w:p>
    <w:p w:rsidR="00A01629" w:rsidRDefault="00584BD1">
      <w:pPr>
        <w:pStyle w:val="ListParagraph"/>
        <w:numPr>
          <w:ilvl w:val="0"/>
          <w:numId w:val="10"/>
        </w:numPr>
        <w:spacing w:after="240" w:line="240" w:lineRule="auto"/>
        <w:ind w:hanging="720"/>
        <w:contextualSpacing w:val="0"/>
      </w:pPr>
      <w:r>
        <w:t>The appropriate recognition of Aqua’s decreased business and regulatory risks associated with the availability of the SIC when establishing Aqua’s rate of return.</w:t>
      </w:r>
    </w:p>
    <w:p w:rsidR="00A01629" w:rsidRDefault="00584BD1">
      <w:pPr>
        <w:pStyle w:val="ListParagraph"/>
        <w:numPr>
          <w:ilvl w:val="0"/>
          <w:numId w:val="10"/>
        </w:numPr>
        <w:spacing w:after="240" w:line="240" w:lineRule="auto"/>
        <w:ind w:hanging="720"/>
        <w:contextualSpacing w:val="0"/>
      </w:pPr>
      <w:r>
        <w:t>The appropriate revenue allocation to Aqua’s four proposed divisions.</w:t>
      </w:r>
    </w:p>
    <w:p w:rsidR="00A01629" w:rsidRDefault="00584BD1">
      <w:pPr>
        <w:pStyle w:val="ListParagraph"/>
        <w:numPr>
          <w:ilvl w:val="0"/>
          <w:numId w:val="10"/>
        </w:numPr>
        <w:spacing w:after="240" w:line="240" w:lineRule="auto"/>
        <w:ind w:hanging="720"/>
        <w:contextualSpacing w:val="0"/>
      </w:pPr>
      <w:r>
        <w:t>The appropriate amount of consolidation in rates that should be achieved in this case.</w:t>
      </w:r>
    </w:p>
    <w:p w:rsidR="00A01629" w:rsidRDefault="00584BD1">
      <w:pPr>
        <w:tabs>
          <w:tab w:val="left" w:pos="4320"/>
          <w:tab w:val="right" w:pos="8640"/>
          <w:tab w:val="right" w:pos="9360"/>
        </w:tabs>
        <w:spacing w:line="240" w:lineRule="auto"/>
        <w:ind w:left="4320"/>
        <w:rPr>
          <w:rFonts w:cs="Arial"/>
        </w:rPr>
      </w:pPr>
      <w:r>
        <w:rPr>
          <w:rFonts w:cs="Arial"/>
        </w:rPr>
        <w:t>Respectfully submitted,</w:t>
      </w:r>
    </w:p>
    <w:p w:rsidR="00A01629" w:rsidRDefault="00A01629">
      <w:pPr>
        <w:tabs>
          <w:tab w:val="left" w:pos="4320"/>
          <w:tab w:val="right" w:pos="8640"/>
          <w:tab w:val="right" w:pos="9360"/>
        </w:tabs>
        <w:spacing w:line="240" w:lineRule="auto"/>
        <w:ind w:left="4320"/>
        <w:rPr>
          <w:rFonts w:cs="Arial"/>
        </w:rPr>
      </w:pPr>
    </w:p>
    <w:p w:rsidR="00A01629" w:rsidRDefault="00A01629">
      <w:pPr>
        <w:tabs>
          <w:tab w:val="left" w:pos="4320"/>
          <w:tab w:val="right" w:pos="8640"/>
          <w:tab w:val="right" w:pos="9360"/>
        </w:tabs>
        <w:spacing w:line="240" w:lineRule="auto"/>
        <w:ind w:left="4320"/>
        <w:rPr>
          <w:rFonts w:cs="Arial"/>
        </w:rPr>
      </w:pPr>
    </w:p>
    <w:p w:rsidR="00A01629" w:rsidRDefault="00584BD1">
      <w:pPr>
        <w:tabs>
          <w:tab w:val="left" w:pos="4320"/>
          <w:tab w:val="right" w:pos="8640"/>
          <w:tab w:val="right" w:pos="9360"/>
        </w:tabs>
        <w:spacing w:line="240" w:lineRule="auto"/>
        <w:ind w:left="4320"/>
        <w:rPr>
          <w:rFonts w:cs="Arial"/>
          <w:u w:val="single"/>
        </w:rPr>
      </w:pPr>
      <w:r>
        <w:rPr>
          <w:rFonts w:cs="Arial"/>
          <w:u w:val="single"/>
        </w:rPr>
        <w:t>/s/ Matthew R. Pritchard</w:t>
      </w:r>
      <w:r>
        <w:rPr>
          <w:rFonts w:cs="Arial"/>
          <w:u w:val="single"/>
        </w:rPr>
        <w:tab/>
      </w:r>
      <w:r>
        <w:rPr>
          <w:rFonts w:cs="Arial"/>
          <w:u w:val="single"/>
        </w:rPr>
        <w:tab/>
      </w:r>
    </w:p>
    <w:p w:rsidR="00A01629" w:rsidRDefault="00584BD1">
      <w:pPr>
        <w:tabs>
          <w:tab w:val="right" w:pos="8640"/>
        </w:tabs>
        <w:spacing w:line="240" w:lineRule="auto"/>
        <w:ind w:left="4320"/>
        <w:rPr>
          <w:rFonts w:cs="Arial"/>
        </w:rPr>
      </w:pPr>
      <w:r>
        <w:rPr>
          <w:rFonts w:cs="Arial"/>
        </w:rPr>
        <w:t>Samuel C. Randazzo (0016386)</w:t>
      </w:r>
    </w:p>
    <w:p w:rsidR="00A01629" w:rsidRDefault="00584BD1">
      <w:pPr>
        <w:tabs>
          <w:tab w:val="right" w:pos="8640"/>
        </w:tabs>
        <w:spacing w:line="240" w:lineRule="auto"/>
        <w:ind w:left="4320"/>
        <w:rPr>
          <w:rFonts w:cs="Arial"/>
        </w:rPr>
      </w:pPr>
      <w:r>
        <w:rPr>
          <w:rFonts w:cs="Arial"/>
        </w:rPr>
        <w:t>(Counsel of Record)</w:t>
      </w:r>
    </w:p>
    <w:p w:rsidR="00A01629" w:rsidRDefault="00584BD1">
      <w:pPr>
        <w:pStyle w:val="BodyText3"/>
        <w:widowControl w:val="0"/>
        <w:spacing w:after="0" w:line="240" w:lineRule="auto"/>
        <w:ind w:left="4320"/>
        <w:rPr>
          <w:rFonts w:cs="Arial"/>
          <w:b/>
          <w:bCs/>
          <w:sz w:val="24"/>
          <w:szCs w:val="24"/>
        </w:rPr>
      </w:pPr>
      <w:r>
        <w:rPr>
          <w:rFonts w:cs="Arial"/>
          <w:bCs/>
          <w:sz w:val="24"/>
          <w:szCs w:val="24"/>
          <w:lang w:val="de-DE"/>
        </w:rPr>
        <w:t>Frank P. Darr (0025469)</w:t>
      </w:r>
    </w:p>
    <w:p w:rsidR="00A01629" w:rsidRDefault="00584BD1">
      <w:pPr>
        <w:pStyle w:val="BodyText3"/>
        <w:widowControl w:val="0"/>
        <w:spacing w:after="0" w:line="240" w:lineRule="auto"/>
        <w:ind w:left="4320"/>
        <w:rPr>
          <w:rFonts w:cs="Arial"/>
          <w:b/>
          <w:bCs/>
          <w:sz w:val="24"/>
          <w:szCs w:val="24"/>
          <w:lang w:val="de-DE"/>
        </w:rPr>
      </w:pPr>
      <w:r>
        <w:rPr>
          <w:rFonts w:cs="Arial"/>
          <w:bCs/>
          <w:sz w:val="24"/>
          <w:szCs w:val="24"/>
          <w:lang w:val="de-DE"/>
        </w:rPr>
        <w:t>Matthew R. Pritchard (0088070)</w:t>
      </w:r>
    </w:p>
    <w:p w:rsidR="00A01629" w:rsidRDefault="00584BD1">
      <w:pPr>
        <w:pStyle w:val="BodyText3"/>
        <w:widowControl w:val="0"/>
        <w:spacing w:after="0" w:line="240" w:lineRule="auto"/>
        <w:ind w:left="4320"/>
        <w:rPr>
          <w:rFonts w:cs="Arial"/>
          <w:b/>
          <w:bCs/>
          <w:smallCaps/>
          <w:sz w:val="24"/>
          <w:szCs w:val="24"/>
        </w:rPr>
      </w:pPr>
      <w:r>
        <w:rPr>
          <w:rFonts w:cs="Arial"/>
          <w:bCs/>
          <w:smallCaps/>
          <w:sz w:val="24"/>
          <w:szCs w:val="24"/>
        </w:rPr>
        <w:t>McNees Wallace &amp; Nurick LLC</w:t>
      </w:r>
    </w:p>
    <w:p w:rsidR="00A01629" w:rsidRDefault="00584BD1">
      <w:pPr>
        <w:pStyle w:val="BodyText3"/>
        <w:widowControl w:val="0"/>
        <w:spacing w:after="0" w:line="240" w:lineRule="auto"/>
        <w:ind w:left="4320"/>
        <w:rPr>
          <w:rFonts w:cs="Arial"/>
          <w:b/>
          <w:bCs/>
          <w:sz w:val="24"/>
          <w:szCs w:val="24"/>
        </w:rPr>
      </w:pPr>
      <w:r>
        <w:rPr>
          <w:rFonts w:cs="Arial"/>
          <w:bCs/>
          <w:sz w:val="24"/>
          <w:szCs w:val="24"/>
        </w:rPr>
        <w:t>21 East State Street, 17</w:t>
      </w:r>
      <w:r>
        <w:rPr>
          <w:rFonts w:cs="Arial"/>
          <w:bCs/>
          <w:sz w:val="24"/>
          <w:szCs w:val="24"/>
          <w:vertAlign w:val="superscript"/>
        </w:rPr>
        <w:t>TH</w:t>
      </w:r>
      <w:r>
        <w:rPr>
          <w:rFonts w:cs="Arial"/>
          <w:bCs/>
          <w:sz w:val="24"/>
          <w:szCs w:val="24"/>
        </w:rPr>
        <w:t xml:space="preserve"> Floor</w:t>
      </w:r>
    </w:p>
    <w:p w:rsidR="00A01629" w:rsidRDefault="00584BD1">
      <w:pPr>
        <w:pStyle w:val="BodyText"/>
        <w:ind w:left="4320"/>
      </w:pPr>
      <w:r>
        <w:t>Columbus, OH  43215</w:t>
      </w:r>
    </w:p>
    <w:p w:rsidR="00A01629" w:rsidRDefault="00584BD1">
      <w:pPr>
        <w:pStyle w:val="BodyText"/>
        <w:ind w:left="4320"/>
        <w:rPr>
          <w:color w:val="000000" w:themeColor="text1"/>
        </w:rPr>
      </w:pPr>
      <w:r>
        <w:rPr>
          <w:color w:val="000000" w:themeColor="text1"/>
        </w:rPr>
        <w:t>Telephone:  (614) 469-8000</w:t>
      </w:r>
    </w:p>
    <w:p w:rsidR="00A01629" w:rsidRDefault="00584BD1">
      <w:pPr>
        <w:pStyle w:val="BodyText"/>
        <w:ind w:left="4320"/>
        <w:rPr>
          <w:color w:val="000000" w:themeColor="text1"/>
        </w:rPr>
      </w:pPr>
      <w:r>
        <w:rPr>
          <w:color w:val="000000" w:themeColor="text1"/>
        </w:rPr>
        <w:t>Telecopier:  (614) 469-4653</w:t>
      </w:r>
    </w:p>
    <w:p w:rsidR="00A01629" w:rsidRDefault="00252924">
      <w:pPr>
        <w:pStyle w:val="BodyText"/>
        <w:ind w:left="4320"/>
        <w:rPr>
          <w:color w:val="000000" w:themeColor="text1"/>
        </w:rPr>
      </w:pPr>
      <w:hyperlink r:id="rId18" w:history="1">
        <w:r w:rsidR="00584BD1">
          <w:rPr>
            <w:rStyle w:val="Hyperlink"/>
            <w:color w:val="000000" w:themeColor="text1"/>
            <w:u w:val="none"/>
          </w:rPr>
          <w:t>sam@mwncmh.com</w:t>
        </w:r>
      </w:hyperlink>
    </w:p>
    <w:p w:rsidR="00A01629" w:rsidRDefault="00584BD1">
      <w:pPr>
        <w:pStyle w:val="BodyText"/>
        <w:ind w:left="4320"/>
        <w:rPr>
          <w:color w:val="000000" w:themeColor="text1"/>
        </w:rPr>
      </w:pPr>
      <w:r>
        <w:rPr>
          <w:color w:val="000000" w:themeColor="text1"/>
        </w:rPr>
        <w:t>(willing to accept service by e-mail)</w:t>
      </w:r>
    </w:p>
    <w:p w:rsidR="00A01629" w:rsidRDefault="00252924">
      <w:pPr>
        <w:pStyle w:val="BodyText"/>
        <w:ind w:left="4320"/>
        <w:rPr>
          <w:color w:val="000000" w:themeColor="text1"/>
        </w:rPr>
      </w:pPr>
      <w:hyperlink r:id="rId19" w:history="1">
        <w:r w:rsidR="00584BD1">
          <w:rPr>
            <w:rStyle w:val="Hyperlink"/>
            <w:color w:val="000000" w:themeColor="text1"/>
            <w:u w:val="none"/>
          </w:rPr>
          <w:t>fdarr@mwncmh.com</w:t>
        </w:r>
      </w:hyperlink>
    </w:p>
    <w:p w:rsidR="00A01629" w:rsidRDefault="00584BD1">
      <w:pPr>
        <w:pStyle w:val="BodyText"/>
        <w:ind w:left="4320"/>
        <w:rPr>
          <w:color w:val="000000" w:themeColor="text1"/>
        </w:rPr>
      </w:pPr>
      <w:r>
        <w:rPr>
          <w:color w:val="000000" w:themeColor="text1"/>
        </w:rPr>
        <w:t>(willing to accept service by e-mail)</w:t>
      </w:r>
    </w:p>
    <w:p w:rsidR="00A01629" w:rsidRDefault="00252924">
      <w:pPr>
        <w:pStyle w:val="BodyText"/>
        <w:ind w:left="4320"/>
        <w:rPr>
          <w:color w:val="000000" w:themeColor="text1"/>
        </w:rPr>
      </w:pPr>
      <w:hyperlink r:id="rId20" w:history="1">
        <w:r w:rsidR="00584BD1">
          <w:rPr>
            <w:rStyle w:val="Hyperlink"/>
            <w:color w:val="000000" w:themeColor="text1"/>
            <w:u w:val="none"/>
          </w:rPr>
          <w:t>mpritchard@mwncmh.com</w:t>
        </w:r>
      </w:hyperlink>
      <w:r w:rsidR="00584BD1">
        <w:rPr>
          <w:color w:val="000000" w:themeColor="text1"/>
        </w:rPr>
        <w:t xml:space="preserve"> </w:t>
      </w:r>
    </w:p>
    <w:p w:rsidR="00A01629" w:rsidRDefault="00584BD1">
      <w:pPr>
        <w:pStyle w:val="BodyText"/>
        <w:ind w:left="4320"/>
        <w:rPr>
          <w:color w:val="000000" w:themeColor="text1"/>
        </w:rPr>
      </w:pPr>
      <w:r>
        <w:rPr>
          <w:color w:val="000000" w:themeColor="text1"/>
        </w:rPr>
        <w:t>(willing to accept service by e-mail)</w:t>
      </w:r>
    </w:p>
    <w:p w:rsidR="00A01629" w:rsidRDefault="00A01629">
      <w:pPr>
        <w:pStyle w:val="BodyText"/>
        <w:ind w:left="4320"/>
        <w:rPr>
          <w:color w:val="000000" w:themeColor="text1"/>
        </w:rPr>
      </w:pPr>
    </w:p>
    <w:p w:rsidR="00A01629" w:rsidRDefault="00584BD1">
      <w:pPr>
        <w:spacing w:line="240" w:lineRule="auto"/>
        <w:ind w:left="4320"/>
        <w:rPr>
          <w:rFonts w:cs="Arial"/>
          <w:color w:val="000000" w:themeColor="text1"/>
        </w:rPr>
      </w:pPr>
      <w:r>
        <w:rPr>
          <w:rFonts w:cs="Arial"/>
          <w:color w:val="000000" w:themeColor="text1"/>
        </w:rPr>
        <w:t>Brent T. Howard (0039023)</w:t>
      </w:r>
    </w:p>
    <w:p w:rsidR="00A01629" w:rsidRDefault="00584BD1">
      <w:pPr>
        <w:spacing w:line="240" w:lineRule="auto"/>
        <w:ind w:left="4320"/>
        <w:rPr>
          <w:rFonts w:cs="Arial"/>
          <w:color w:val="000000" w:themeColor="text1"/>
        </w:rPr>
      </w:pPr>
      <w:r>
        <w:rPr>
          <w:rFonts w:cs="Arial"/>
          <w:color w:val="000000" w:themeColor="text1"/>
        </w:rPr>
        <w:t>Tiffin Director of Law</w:t>
      </w:r>
    </w:p>
    <w:p w:rsidR="00A01629" w:rsidRDefault="00584BD1">
      <w:pPr>
        <w:spacing w:line="240" w:lineRule="auto"/>
        <w:ind w:left="4320"/>
        <w:rPr>
          <w:rFonts w:cs="Arial"/>
          <w:color w:val="000000" w:themeColor="text1"/>
        </w:rPr>
      </w:pPr>
      <w:r>
        <w:rPr>
          <w:rFonts w:cs="Arial"/>
          <w:color w:val="000000" w:themeColor="text1"/>
        </w:rPr>
        <w:t>c/o SUPANCE &amp; HOWARD</w:t>
      </w:r>
    </w:p>
    <w:p w:rsidR="00A01629" w:rsidRDefault="00584BD1">
      <w:pPr>
        <w:spacing w:line="240" w:lineRule="auto"/>
        <w:ind w:left="4320"/>
        <w:rPr>
          <w:rFonts w:cs="Arial"/>
          <w:color w:val="000000" w:themeColor="text1"/>
        </w:rPr>
      </w:pPr>
      <w:r>
        <w:rPr>
          <w:rFonts w:cs="Arial"/>
          <w:color w:val="000000" w:themeColor="text1"/>
        </w:rPr>
        <w:t>84-88 S. Washington St.</w:t>
      </w:r>
    </w:p>
    <w:p w:rsidR="00A01629" w:rsidRDefault="00584BD1">
      <w:pPr>
        <w:spacing w:line="240" w:lineRule="auto"/>
        <w:ind w:left="4320"/>
        <w:rPr>
          <w:rFonts w:cs="Arial"/>
          <w:color w:val="000000" w:themeColor="text1"/>
        </w:rPr>
      </w:pPr>
      <w:r>
        <w:rPr>
          <w:rFonts w:cs="Arial"/>
          <w:color w:val="000000" w:themeColor="text1"/>
        </w:rPr>
        <w:t>P.O. Box 767</w:t>
      </w:r>
    </w:p>
    <w:p w:rsidR="00A01629" w:rsidRDefault="00584BD1">
      <w:pPr>
        <w:spacing w:line="240" w:lineRule="auto"/>
        <w:ind w:left="4320"/>
        <w:rPr>
          <w:rFonts w:cs="Arial"/>
          <w:color w:val="000000" w:themeColor="text1"/>
        </w:rPr>
      </w:pPr>
      <w:r>
        <w:rPr>
          <w:rFonts w:cs="Arial"/>
          <w:color w:val="000000" w:themeColor="text1"/>
        </w:rPr>
        <w:t>Tiffin, OH 44883-0767</w:t>
      </w:r>
    </w:p>
    <w:p w:rsidR="00A01629" w:rsidRDefault="00584BD1">
      <w:pPr>
        <w:spacing w:line="240" w:lineRule="auto"/>
        <w:ind w:left="4320"/>
        <w:rPr>
          <w:rFonts w:cs="Arial"/>
          <w:color w:val="000000" w:themeColor="text1"/>
        </w:rPr>
      </w:pPr>
      <w:r>
        <w:rPr>
          <w:rFonts w:cs="Arial"/>
          <w:color w:val="000000" w:themeColor="text1"/>
        </w:rPr>
        <w:lastRenderedPageBreak/>
        <w:t>Telephone:  (419) 447-2521</w:t>
      </w:r>
    </w:p>
    <w:p w:rsidR="00A01629" w:rsidRDefault="00584BD1">
      <w:pPr>
        <w:spacing w:line="240" w:lineRule="auto"/>
        <w:ind w:left="4320"/>
        <w:rPr>
          <w:rFonts w:cs="Arial"/>
          <w:color w:val="000000" w:themeColor="text1"/>
        </w:rPr>
      </w:pPr>
      <w:r>
        <w:rPr>
          <w:rFonts w:cs="Arial"/>
          <w:color w:val="000000" w:themeColor="text1"/>
        </w:rPr>
        <w:t>Telecopier:  (419) 447-2310</w:t>
      </w:r>
    </w:p>
    <w:p w:rsidR="00A01629" w:rsidRDefault="00584BD1">
      <w:pPr>
        <w:spacing w:line="240" w:lineRule="auto"/>
        <w:ind w:left="4320"/>
        <w:rPr>
          <w:rFonts w:cs="Arial"/>
          <w:color w:val="000000" w:themeColor="text1"/>
        </w:rPr>
      </w:pPr>
      <w:r>
        <w:rPr>
          <w:rFonts w:cs="Arial"/>
          <w:color w:val="000000" w:themeColor="text1"/>
        </w:rPr>
        <w:t>Brent@supancehoward.com</w:t>
      </w:r>
    </w:p>
    <w:p w:rsidR="00A01629" w:rsidRDefault="00584BD1">
      <w:pPr>
        <w:pStyle w:val="BodyText"/>
        <w:ind w:left="4320"/>
        <w:rPr>
          <w:color w:val="000000" w:themeColor="text1"/>
        </w:rPr>
      </w:pPr>
      <w:r>
        <w:rPr>
          <w:color w:val="000000" w:themeColor="text1"/>
        </w:rPr>
        <w:t>(willing to accept service by e-mail)</w:t>
      </w:r>
    </w:p>
    <w:p w:rsidR="00A01629" w:rsidRDefault="00A01629">
      <w:pPr>
        <w:pStyle w:val="BodyText"/>
        <w:tabs>
          <w:tab w:val="right" w:pos="9360"/>
        </w:tabs>
        <w:ind w:left="4320"/>
      </w:pPr>
    </w:p>
    <w:p w:rsidR="00A01629" w:rsidRDefault="00584BD1">
      <w:pPr>
        <w:tabs>
          <w:tab w:val="left" w:pos="4320"/>
          <w:tab w:val="right" w:pos="9240"/>
          <w:tab w:val="right" w:pos="9360"/>
        </w:tabs>
        <w:spacing w:line="240" w:lineRule="auto"/>
        <w:ind w:left="4320"/>
        <w:rPr>
          <w:rFonts w:cs="Arial"/>
          <w:b/>
        </w:rPr>
      </w:pPr>
      <w:r>
        <w:rPr>
          <w:rFonts w:cs="Arial"/>
          <w:b/>
          <w:bCs/>
        </w:rPr>
        <w:t>Attorneys for</w:t>
      </w:r>
      <w:r>
        <w:rPr>
          <w:rFonts w:cs="Arial"/>
        </w:rPr>
        <w:t xml:space="preserve"> </w:t>
      </w:r>
      <w:r>
        <w:rPr>
          <w:rFonts w:cs="Arial"/>
          <w:b/>
        </w:rPr>
        <w:t>the City of Tiffin</w:t>
      </w:r>
    </w:p>
    <w:p w:rsidR="00A01629" w:rsidRDefault="00A01629"/>
    <w:p w:rsidR="00A01629" w:rsidRDefault="00A01629">
      <w:pPr>
        <w:sectPr w:rsidR="00A0162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800" w:header="720" w:footer="720" w:gutter="0"/>
          <w:pgNumType w:start="1"/>
          <w:cols w:space="720"/>
          <w:titlePg/>
          <w:docGrid w:linePitch="360"/>
        </w:sectPr>
      </w:pPr>
    </w:p>
    <w:p w:rsidR="00A01629" w:rsidRDefault="00584BD1">
      <w:pPr>
        <w:tabs>
          <w:tab w:val="left" w:pos="2160"/>
          <w:tab w:val="left" w:pos="2280"/>
        </w:tabs>
        <w:spacing w:line="240" w:lineRule="auto"/>
        <w:ind w:left="360"/>
        <w:jc w:val="center"/>
        <w:rPr>
          <w:rFonts w:ascii="Arial Bold" w:hAnsi="Arial Bold" w:cs="Arial"/>
          <w:b/>
          <w:smallCaps/>
          <w:sz w:val="28"/>
          <w:szCs w:val="28"/>
          <w:u w:val="single"/>
        </w:rPr>
      </w:pPr>
      <w:r>
        <w:rPr>
          <w:rFonts w:ascii="Arial Bold" w:hAnsi="Arial Bold" w:cs="Arial"/>
          <w:b/>
          <w:smallCaps/>
          <w:sz w:val="28"/>
          <w:szCs w:val="28"/>
          <w:u w:val="single"/>
        </w:rPr>
        <w:lastRenderedPageBreak/>
        <w:t>Certificate of Service</w:t>
      </w:r>
    </w:p>
    <w:p w:rsidR="00A01629" w:rsidRDefault="00A01629">
      <w:pPr>
        <w:spacing w:line="240" w:lineRule="auto"/>
        <w:rPr>
          <w:rFonts w:cs="Arial"/>
        </w:rPr>
      </w:pPr>
    </w:p>
    <w:p w:rsidR="00A01629" w:rsidRDefault="00584BD1">
      <w:pPr>
        <w:pStyle w:val="Heading4"/>
        <w:numPr>
          <w:ilvl w:val="0"/>
          <w:numId w:val="0"/>
        </w:numPr>
        <w:spacing w:after="0" w:line="480" w:lineRule="auto"/>
        <w:rPr>
          <w:b w:val="0"/>
          <w:smallCaps/>
        </w:rPr>
      </w:pPr>
      <w:r>
        <w:rPr>
          <w:b w:val="0"/>
          <w:i w:val="0"/>
        </w:rPr>
        <w:tab/>
        <w:t xml:space="preserve">I hereby certify that a copy of the foregoing </w:t>
      </w:r>
      <w:r>
        <w:rPr>
          <w:b w:val="0"/>
        </w:rPr>
        <w:t xml:space="preserve">City of Tiffin’s Objections to the Staff Report of Investigation and Summary of Major Issues </w:t>
      </w:r>
      <w:r>
        <w:rPr>
          <w:b w:val="0"/>
          <w:i w:val="0"/>
        </w:rPr>
        <w:t>was served upon the following parties of record this 19</w:t>
      </w:r>
      <w:r>
        <w:rPr>
          <w:b w:val="0"/>
          <w:i w:val="0"/>
          <w:vertAlign w:val="superscript"/>
        </w:rPr>
        <w:t>th</w:t>
      </w:r>
      <w:r>
        <w:rPr>
          <w:b w:val="0"/>
          <w:i w:val="0"/>
        </w:rPr>
        <w:t xml:space="preserve"> day of June 2014 via electronic transmission, hand-delivery or first class mail, U.S. postage prepaid.</w:t>
      </w:r>
    </w:p>
    <w:p w:rsidR="00A01629" w:rsidRDefault="00584BD1">
      <w:pPr>
        <w:tabs>
          <w:tab w:val="right" w:pos="9270"/>
        </w:tabs>
        <w:spacing w:line="240" w:lineRule="auto"/>
        <w:ind w:left="5040"/>
        <w:rPr>
          <w:rFonts w:cs="Arial"/>
          <w:u w:val="single"/>
        </w:rPr>
      </w:pPr>
      <w:r>
        <w:rPr>
          <w:rFonts w:cs="Arial"/>
          <w:u w:val="single"/>
        </w:rPr>
        <w:t>/s/ Matthew R. Pritchard</w:t>
      </w:r>
      <w:r>
        <w:rPr>
          <w:rFonts w:cs="Arial"/>
          <w:u w:val="single"/>
        </w:rPr>
        <w:tab/>
      </w:r>
    </w:p>
    <w:p w:rsidR="00A01629" w:rsidRDefault="00584BD1">
      <w:pPr>
        <w:spacing w:line="240" w:lineRule="auto"/>
        <w:ind w:left="5040"/>
        <w:jc w:val="center"/>
        <w:rPr>
          <w:rFonts w:cs="Arial"/>
        </w:rPr>
      </w:pPr>
      <w:r>
        <w:rPr>
          <w:rFonts w:cs="Arial"/>
        </w:rPr>
        <w:t>Matthew R. Pritchard</w:t>
      </w:r>
    </w:p>
    <w:p w:rsidR="00A01629" w:rsidRDefault="00A01629">
      <w:pPr>
        <w:spacing w:line="240" w:lineRule="auto"/>
        <w:ind w:left="5040"/>
        <w:jc w:val="center"/>
        <w:rPr>
          <w:rFonts w:cs="Arial"/>
        </w:rPr>
      </w:pPr>
    </w:p>
    <w:p w:rsidR="00A01629" w:rsidRDefault="00A01629">
      <w:pPr>
        <w:autoSpaceDE w:val="0"/>
        <w:autoSpaceDN w:val="0"/>
        <w:adjustRightInd w:val="0"/>
        <w:spacing w:line="240" w:lineRule="auto"/>
        <w:jc w:val="left"/>
        <w:rPr>
          <w:rFonts w:cs="Arial"/>
          <w:color w:val="000000" w:themeColor="text1"/>
          <w:sz w:val="22"/>
          <w:szCs w:val="22"/>
        </w:rPr>
        <w:sectPr w:rsidR="00A01629">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720" w:left="1440" w:header="720" w:footer="720" w:gutter="0"/>
          <w:pgNumType w:start="1"/>
          <w:cols w:space="720"/>
          <w:titlePg/>
          <w:docGrid w:linePitch="360"/>
        </w:sectPr>
      </w:pPr>
    </w:p>
    <w:p w:rsidR="00A01629" w:rsidRDefault="00584BD1">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lastRenderedPageBreak/>
        <w:t>Mark A. Whitt</w:t>
      </w:r>
    </w:p>
    <w:p w:rsidR="00A01629" w:rsidRDefault="00584BD1">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Andrew J. Campbell</w:t>
      </w:r>
    </w:p>
    <w:p w:rsidR="00A01629" w:rsidRDefault="00584BD1">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Gregory L. Williams</w:t>
      </w:r>
    </w:p>
    <w:p w:rsidR="00A01629" w:rsidRDefault="00584BD1">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Whitt Sturtevant LLP</w:t>
      </w:r>
    </w:p>
    <w:p w:rsidR="00A01629" w:rsidRDefault="00584BD1">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The KeyBank Building</w:t>
      </w:r>
    </w:p>
    <w:p w:rsidR="00A01629" w:rsidRDefault="00584BD1">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88 East Broad Street, Suite 1590</w:t>
      </w:r>
    </w:p>
    <w:p w:rsidR="00A01629" w:rsidRDefault="00584BD1">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Columbus, OH 43215</w:t>
      </w:r>
    </w:p>
    <w:p w:rsidR="00A01629" w:rsidRDefault="00584BD1">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whitt@whitt-sturtevant.com</w:t>
      </w:r>
    </w:p>
    <w:p w:rsidR="00A01629" w:rsidRDefault="00584BD1">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campbell@whitt-sturtevant.com</w:t>
      </w:r>
    </w:p>
    <w:p w:rsidR="00A01629" w:rsidRDefault="00584BD1">
      <w:pPr>
        <w:kinsoku w:val="0"/>
        <w:overflowPunct w:val="0"/>
        <w:spacing w:line="240" w:lineRule="auto"/>
        <w:textAlignment w:val="baseline"/>
        <w:rPr>
          <w:rFonts w:cs="Arial"/>
          <w:color w:val="000000" w:themeColor="text1"/>
          <w:sz w:val="22"/>
          <w:szCs w:val="22"/>
        </w:rPr>
      </w:pPr>
      <w:r>
        <w:rPr>
          <w:rFonts w:cs="Arial"/>
          <w:color w:val="000000" w:themeColor="text1"/>
          <w:sz w:val="22"/>
          <w:szCs w:val="22"/>
        </w:rPr>
        <w:t>williams@whitt-sturtevant.com</w:t>
      </w:r>
    </w:p>
    <w:p w:rsidR="00A01629" w:rsidRDefault="00A01629">
      <w:pPr>
        <w:kinsoku w:val="0"/>
        <w:overflowPunct w:val="0"/>
        <w:spacing w:line="240" w:lineRule="auto"/>
        <w:textAlignment w:val="baseline"/>
        <w:rPr>
          <w:rFonts w:cs="Arial"/>
          <w:b/>
          <w:smallCaps/>
          <w:sz w:val="22"/>
          <w:szCs w:val="22"/>
        </w:rPr>
      </w:pPr>
    </w:p>
    <w:p w:rsidR="00A01629" w:rsidRDefault="00584BD1">
      <w:pPr>
        <w:kinsoku w:val="0"/>
        <w:overflowPunct w:val="0"/>
        <w:spacing w:line="240" w:lineRule="auto"/>
        <w:textAlignment w:val="baseline"/>
        <w:rPr>
          <w:rFonts w:cs="Arial"/>
          <w:b/>
          <w:smallCaps/>
          <w:sz w:val="22"/>
          <w:szCs w:val="22"/>
        </w:rPr>
      </w:pPr>
      <w:r>
        <w:rPr>
          <w:rFonts w:cs="Arial"/>
          <w:b/>
          <w:smallCaps/>
          <w:sz w:val="22"/>
          <w:szCs w:val="22"/>
        </w:rPr>
        <w:t>Counsel for Aqua Ohio, Inc.</w:t>
      </w:r>
    </w:p>
    <w:p w:rsidR="00A01629" w:rsidRDefault="00A01629">
      <w:pPr>
        <w:kinsoku w:val="0"/>
        <w:overflowPunct w:val="0"/>
        <w:spacing w:line="240" w:lineRule="auto"/>
        <w:textAlignment w:val="baseline"/>
        <w:rPr>
          <w:rFonts w:cs="Arial"/>
          <w:sz w:val="22"/>
          <w:szCs w:val="22"/>
        </w:rPr>
      </w:pPr>
    </w:p>
    <w:p w:rsidR="00A01629" w:rsidRDefault="00584BD1">
      <w:pPr>
        <w:kinsoku w:val="0"/>
        <w:overflowPunct w:val="0"/>
        <w:spacing w:line="240" w:lineRule="auto"/>
        <w:textAlignment w:val="baseline"/>
        <w:rPr>
          <w:rFonts w:cs="Arial"/>
          <w:sz w:val="22"/>
          <w:szCs w:val="22"/>
        </w:rPr>
      </w:pPr>
      <w:r>
        <w:rPr>
          <w:rFonts w:cs="Arial"/>
          <w:sz w:val="22"/>
          <w:szCs w:val="22"/>
        </w:rPr>
        <w:t>Bruce J. Weston</w:t>
      </w:r>
    </w:p>
    <w:p w:rsidR="00A01629" w:rsidRDefault="00584BD1">
      <w:pPr>
        <w:kinsoku w:val="0"/>
        <w:overflowPunct w:val="0"/>
        <w:spacing w:line="240" w:lineRule="auto"/>
        <w:textAlignment w:val="baseline"/>
        <w:rPr>
          <w:rFonts w:cs="Arial"/>
          <w:sz w:val="22"/>
          <w:szCs w:val="22"/>
        </w:rPr>
      </w:pPr>
      <w:r>
        <w:rPr>
          <w:rFonts w:cs="Arial"/>
          <w:sz w:val="22"/>
          <w:szCs w:val="22"/>
        </w:rPr>
        <w:t>Ohio Consumers’ Counsel</w:t>
      </w:r>
    </w:p>
    <w:p w:rsidR="00A01629" w:rsidRDefault="00584BD1">
      <w:pPr>
        <w:kinsoku w:val="0"/>
        <w:overflowPunct w:val="0"/>
        <w:spacing w:line="240" w:lineRule="auto"/>
        <w:textAlignment w:val="baseline"/>
        <w:rPr>
          <w:rFonts w:cs="Arial"/>
          <w:sz w:val="22"/>
          <w:szCs w:val="22"/>
        </w:rPr>
      </w:pPr>
      <w:r>
        <w:rPr>
          <w:rFonts w:cs="Arial"/>
          <w:sz w:val="22"/>
          <w:szCs w:val="22"/>
        </w:rPr>
        <w:t>Melissa R. Yost, Counsel of Record</w:t>
      </w:r>
    </w:p>
    <w:p w:rsidR="00A01629" w:rsidRDefault="00584BD1">
      <w:pPr>
        <w:kinsoku w:val="0"/>
        <w:overflowPunct w:val="0"/>
        <w:spacing w:line="240" w:lineRule="auto"/>
        <w:textAlignment w:val="baseline"/>
        <w:rPr>
          <w:rFonts w:cs="Arial"/>
          <w:sz w:val="22"/>
          <w:szCs w:val="22"/>
        </w:rPr>
      </w:pPr>
      <w:r>
        <w:rPr>
          <w:rFonts w:cs="Arial"/>
          <w:sz w:val="22"/>
          <w:szCs w:val="22"/>
        </w:rPr>
        <w:t>Deputy Consumers’ Counsel</w:t>
      </w:r>
    </w:p>
    <w:p w:rsidR="00A01629" w:rsidRDefault="00584BD1">
      <w:pPr>
        <w:kinsoku w:val="0"/>
        <w:overflowPunct w:val="0"/>
        <w:spacing w:line="240" w:lineRule="auto"/>
        <w:textAlignment w:val="baseline"/>
        <w:rPr>
          <w:rFonts w:cs="Arial"/>
          <w:sz w:val="22"/>
          <w:szCs w:val="22"/>
        </w:rPr>
      </w:pPr>
      <w:r>
        <w:rPr>
          <w:rFonts w:cs="Arial"/>
          <w:sz w:val="22"/>
          <w:szCs w:val="22"/>
        </w:rPr>
        <w:t>Kyle L. Kern</w:t>
      </w:r>
    </w:p>
    <w:p w:rsidR="00A01629" w:rsidRDefault="00584BD1">
      <w:pPr>
        <w:kinsoku w:val="0"/>
        <w:overflowPunct w:val="0"/>
        <w:spacing w:line="240" w:lineRule="auto"/>
        <w:textAlignment w:val="baseline"/>
        <w:rPr>
          <w:rFonts w:cs="Arial"/>
          <w:sz w:val="22"/>
          <w:szCs w:val="22"/>
        </w:rPr>
      </w:pPr>
      <w:r>
        <w:rPr>
          <w:rFonts w:cs="Arial"/>
          <w:sz w:val="22"/>
          <w:szCs w:val="22"/>
        </w:rPr>
        <w:t>Michael J. Schuler</w:t>
      </w:r>
    </w:p>
    <w:p w:rsidR="00A01629" w:rsidRDefault="00584BD1">
      <w:pPr>
        <w:kinsoku w:val="0"/>
        <w:overflowPunct w:val="0"/>
        <w:spacing w:line="240" w:lineRule="auto"/>
        <w:textAlignment w:val="baseline"/>
        <w:rPr>
          <w:rFonts w:cs="Arial"/>
          <w:sz w:val="22"/>
          <w:szCs w:val="22"/>
        </w:rPr>
      </w:pPr>
      <w:r>
        <w:rPr>
          <w:rFonts w:cs="Arial"/>
          <w:sz w:val="22"/>
          <w:szCs w:val="22"/>
        </w:rPr>
        <w:t>Assistant Consumer's Counsel</w:t>
      </w:r>
    </w:p>
    <w:p w:rsidR="00A01629" w:rsidRDefault="00584BD1">
      <w:pPr>
        <w:kinsoku w:val="0"/>
        <w:overflowPunct w:val="0"/>
        <w:spacing w:line="240" w:lineRule="auto"/>
        <w:textAlignment w:val="baseline"/>
        <w:rPr>
          <w:rFonts w:cs="Arial"/>
          <w:sz w:val="22"/>
          <w:szCs w:val="22"/>
        </w:rPr>
      </w:pPr>
      <w:r>
        <w:rPr>
          <w:rFonts w:cs="Arial"/>
          <w:sz w:val="22"/>
          <w:szCs w:val="22"/>
        </w:rPr>
        <w:t>Office of the Ohio Consumers' Counsel</w:t>
      </w:r>
    </w:p>
    <w:p w:rsidR="00A01629" w:rsidRDefault="00584BD1">
      <w:pPr>
        <w:kinsoku w:val="0"/>
        <w:overflowPunct w:val="0"/>
        <w:spacing w:line="240" w:lineRule="auto"/>
        <w:textAlignment w:val="baseline"/>
        <w:rPr>
          <w:rFonts w:cs="Arial"/>
          <w:sz w:val="22"/>
          <w:szCs w:val="22"/>
        </w:rPr>
      </w:pPr>
      <w:r>
        <w:rPr>
          <w:rFonts w:cs="Arial"/>
          <w:sz w:val="22"/>
          <w:szCs w:val="22"/>
        </w:rPr>
        <w:t>10 West Broad Street, Suite 1800</w:t>
      </w:r>
    </w:p>
    <w:p w:rsidR="00A01629" w:rsidRDefault="00584BD1">
      <w:pPr>
        <w:kinsoku w:val="0"/>
        <w:overflowPunct w:val="0"/>
        <w:spacing w:line="240" w:lineRule="auto"/>
        <w:textAlignment w:val="baseline"/>
        <w:rPr>
          <w:rFonts w:cs="Arial"/>
          <w:sz w:val="22"/>
          <w:szCs w:val="22"/>
        </w:rPr>
      </w:pPr>
      <w:r>
        <w:rPr>
          <w:rFonts w:cs="Arial"/>
          <w:sz w:val="22"/>
          <w:szCs w:val="22"/>
        </w:rPr>
        <w:t>Columbus, OH  43215</w:t>
      </w:r>
    </w:p>
    <w:p w:rsidR="00A01629" w:rsidRDefault="00584BD1">
      <w:pPr>
        <w:kinsoku w:val="0"/>
        <w:overflowPunct w:val="0"/>
        <w:spacing w:line="240" w:lineRule="auto"/>
        <w:textAlignment w:val="baseline"/>
        <w:rPr>
          <w:rFonts w:cs="Arial"/>
          <w:sz w:val="22"/>
          <w:szCs w:val="22"/>
        </w:rPr>
      </w:pPr>
      <w:r>
        <w:rPr>
          <w:rFonts w:cs="Arial"/>
          <w:sz w:val="22"/>
          <w:szCs w:val="22"/>
        </w:rPr>
        <w:t>Melissa.Yost@occ.ohio.gov</w:t>
      </w:r>
    </w:p>
    <w:p w:rsidR="00A01629" w:rsidRDefault="00584BD1">
      <w:pPr>
        <w:kinsoku w:val="0"/>
        <w:overflowPunct w:val="0"/>
        <w:spacing w:line="240" w:lineRule="auto"/>
        <w:textAlignment w:val="baseline"/>
        <w:rPr>
          <w:rFonts w:cs="Arial"/>
          <w:sz w:val="22"/>
          <w:szCs w:val="22"/>
        </w:rPr>
      </w:pPr>
      <w:r>
        <w:rPr>
          <w:rFonts w:cs="Arial"/>
          <w:sz w:val="22"/>
          <w:szCs w:val="22"/>
        </w:rPr>
        <w:t>Kyle.Kern@occ.ohio.gov</w:t>
      </w:r>
    </w:p>
    <w:p w:rsidR="00A01629" w:rsidRDefault="00584BD1">
      <w:pPr>
        <w:kinsoku w:val="0"/>
        <w:overflowPunct w:val="0"/>
        <w:spacing w:line="240" w:lineRule="auto"/>
        <w:textAlignment w:val="baseline"/>
        <w:rPr>
          <w:rFonts w:cs="Arial"/>
          <w:sz w:val="22"/>
          <w:szCs w:val="22"/>
        </w:rPr>
      </w:pPr>
      <w:r>
        <w:rPr>
          <w:rFonts w:cs="Arial"/>
          <w:sz w:val="22"/>
          <w:szCs w:val="22"/>
        </w:rPr>
        <w:t>Michael.Schuler@occ.ohio.gov</w:t>
      </w:r>
    </w:p>
    <w:p w:rsidR="00A01629" w:rsidRDefault="00A01629">
      <w:pPr>
        <w:kinsoku w:val="0"/>
        <w:overflowPunct w:val="0"/>
        <w:spacing w:line="240" w:lineRule="auto"/>
        <w:textAlignment w:val="baseline"/>
        <w:rPr>
          <w:rFonts w:cs="Arial"/>
          <w:sz w:val="22"/>
          <w:szCs w:val="22"/>
        </w:rPr>
      </w:pPr>
    </w:p>
    <w:p w:rsidR="00A01629" w:rsidRDefault="00584BD1">
      <w:pPr>
        <w:kinsoku w:val="0"/>
        <w:overflowPunct w:val="0"/>
        <w:spacing w:line="240" w:lineRule="auto"/>
        <w:textAlignment w:val="baseline"/>
        <w:rPr>
          <w:rFonts w:cs="Arial"/>
          <w:b/>
          <w:smallCaps/>
          <w:sz w:val="22"/>
          <w:szCs w:val="22"/>
        </w:rPr>
      </w:pPr>
      <w:r>
        <w:rPr>
          <w:rFonts w:cs="Arial"/>
          <w:b/>
          <w:smallCaps/>
          <w:sz w:val="22"/>
          <w:szCs w:val="22"/>
        </w:rPr>
        <w:t xml:space="preserve">Counsel for the Office of the </w:t>
      </w:r>
    </w:p>
    <w:p w:rsidR="00A01629" w:rsidRDefault="00584BD1">
      <w:pPr>
        <w:kinsoku w:val="0"/>
        <w:overflowPunct w:val="0"/>
        <w:spacing w:line="240" w:lineRule="auto"/>
        <w:textAlignment w:val="baseline"/>
        <w:rPr>
          <w:rFonts w:cs="Arial"/>
          <w:b/>
          <w:smallCaps/>
          <w:sz w:val="22"/>
          <w:szCs w:val="22"/>
        </w:rPr>
      </w:pPr>
      <w:r>
        <w:rPr>
          <w:rFonts w:cs="Arial"/>
          <w:b/>
          <w:smallCaps/>
          <w:sz w:val="22"/>
          <w:szCs w:val="22"/>
        </w:rPr>
        <w:t xml:space="preserve">  Ohio Consumers’ Counsel</w:t>
      </w:r>
    </w:p>
    <w:p w:rsidR="00A01629" w:rsidRDefault="00A01629">
      <w:pPr>
        <w:kinsoku w:val="0"/>
        <w:overflowPunct w:val="0"/>
        <w:spacing w:line="240" w:lineRule="auto"/>
        <w:textAlignment w:val="baseline"/>
        <w:rPr>
          <w:rFonts w:cs="Arial"/>
          <w:b/>
          <w:sz w:val="22"/>
          <w:szCs w:val="22"/>
        </w:rPr>
      </w:pPr>
    </w:p>
    <w:p w:rsidR="00A01629" w:rsidRDefault="00584BD1">
      <w:pPr>
        <w:autoSpaceDE w:val="0"/>
        <w:autoSpaceDN w:val="0"/>
        <w:adjustRightInd w:val="0"/>
        <w:spacing w:line="240" w:lineRule="auto"/>
        <w:jc w:val="left"/>
        <w:rPr>
          <w:rFonts w:cs="Arial"/>
          <w:color w:val="000000" w:themeColor="text1"/>
          <w:sz w:val="22"/>
          <w:szCs w:val="22"/>
        </w:rPr>
      </w:pPr>
      <w:r>
        <w:rPr>
          <w:rFonts w:cs="Arial"/>
          <w:sz w:val="22"/>
          <w:szCs w:val="22"/>
        </w:rPr>
        <w:br w:type="column"/>
      </w:r>
      <w:r>
        <w:rPr>
          <w:rFonts w:cs="Arial"/>
          <w:color w:val="000000" w:themeColor="text1"/>
          <w:sz w:val="22"/>
          <w:szCs w:val="22"/>
        </w:rPr>
        <w:lastRenderedPageBreak/>
        <w:t>Mark D. Russell</w:t>
      </w:r>
    </w:p>
    <w:p w:rsidR="00A01629" w:rsidRDefault="00584BD1">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Law Director</w:t>
      </w:r>
    </w:p>
    <w:p w:rsidR="00A01629" w:rsidRDefault="00584BD1">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City of Marion, Ohio</w:t>
      </w:r>
    </w:p>
    <w:p w:rsidR="00A01629" w:rsidRDefault="00584BD1">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233 W. Center Street</w:t>
      </w:r>
    </w:p>
    <w:p w:rsidR="00A01629" w:rsidRDefault="00584BD1">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Marion, OH  43302</w:t>
      </w:r>
    </w:p>
    <w:p w:rsidR="00A01629" w:rsidRDefault="00584BD1">
      <w:pPr>
        <w:kinsoku w:val="0"/>
        <w:overflowPunct w:val="0"/>
        <w:spacing w:line="240" w:lineRule="auto"/>
        <w:textAlignment w:val="baseline"/>
        <w:rPr>
          <w:rFonts w:cs="Arial"/>
          <w:color w:val="000000" w:themeColor="text1"/>
          <w:sz w:val="22"/>
          <w:szCs w:val="22"/>
        </w:rPr>
      </w:pPr>
      <w:r>
        <w:rPr>
          <w:rFonts w:cs="Arial"/>
          <w:color w:val="000000" w:themeColor="text1"/>
          <w:sz w:val="22"/>
          <w:szCs w:val="22"/>
        </w:rPr>
        <w:t>law@marionohio.org</w:t>
      </w:r>
    </w:p>
    <w:p w:rsidR="00A01629" w:rsidRDefault="00A01629">
      <w:pPr>
        <w:kinsoku w:val="0"/>
        <w:overflowPunct w:val="0"/>
        <w:spacing w:line="240" w:lineRule="auto"/>
        <w:textAlignment w:val="baseline"/>
        <w:rPr>
          <w:rFonts w:cs="Arial"/>
          <w:b/>
          <w:smallCaps/>
          <w:sz w:val="22"/>
          <w:szCs w:val="22"/>
        </w:rPr>
      </w:pPr>
    </w:p>
    <w:p w:rsidR="00A01629" w:rsidRDefault="00584BD1">
      <w:pPr>
        <w:kinsoku w:val="0"/>
        <w:overflowPunct w:val="0"/>
        <w:spacing w:line="240" w:lineRule="auto"/>
        <w:textAlignment w:val="baseline"/>
        <w:rPr>
          <w:rFonts w:cs="Arial"/>
          <w:b/>
          <w:smallCaps/>
          <w:sz w:val="22"/>
          <w:szCs w:val="22"/>
        </w:rPr>
      </w:pPr>
      <w:r>
        <w:rPr>
          <w:rFonts w:cs="Arial"/>
          <w:b/>
          <w:smallCaps/>
          <w:sz w:val="22"/>
          <w:szCs w:val="22"/>
        </w:rPr>
        <w:t>Counsel for the City of Marion, Ohio</w:t>
      </w:r>
    </w:p>
    <w:p w:rsidR="00A01629" w:rsidRDefault="00A01629">
      <w:pPr>
        <w:kinsoku w:val="0"/>
        <w:overflowPunct w:val="0"/>
        <w:spacing w:line="240" w:lineRule="auto"/>
        <w:textAlignment w:val="baseline"/>
        <w:rPr>
          <w:rFonts w:cs="Arial"/>
          <w:sz w:val="22"/>
          <w:szCs w:val="22"/>
        </w:rPr>
      </w:pPr>
    </w:p>
    <w:p w:rsidR="00A01629" w:rsidRDefault="00584BD1">
      <w:pPr>
        <w:spacing w:line="240" w:lineRule="auto"/>
        <w:rPr>
          <w:rFonts w:cs="Arial"/>
          <w:sz w:val="22"/>
          <w:szCs w:val="22"/>
        </w:rPr>
      </w:pPr>
      <w:r>
        <w:rPr>
          <w:rFonts w:cs="Arial"/>
          <w:sz w:val="22"/>
          <w:szCs w:val="22"/>
        </w:rPr>
        <w:t>Devin Parram</w:t>
      </w:r>
    </w:p>
    <w:p w:rsidR="00A01629" w:rsidRDefault="00584BD1">
      <w:pPr>
        <w:spacing w:line="240" w:lineRule="auto"/>
        <w:rPr>
          <w:rFonts w:cs="Arial"/>
          <w:sz w:val="22"/>
          <w:szCs w:val="22"/>
        </w:rPr>
      </w:pPr>
      <w:r>
        <w:rPr>
          <w:rFonts w:cs="Arial"/>
          <w:sz w:val="22"/>
          <w:szCs w:val="22"/>
        </w:rPr>
        <w:t>Ryan P. O’Rourke</w:t>
      </w:r>
    </w:p>
    <w:p w:rsidR="00A01629" w:rsidRDefault="00584BD1">
      <w:pPr>
        <w:spacing w:line="240" w:lineRule="auto"/>
        <w:rPr>
          <w:rFonts w:cs="Arial"/>
          <w:sz w:val="22"/>
          <w:szCs w:val="22"/>
        </w:rPr>
      </w:pPr>
      <w:r>
        <w:rPr>
          <w:rFonts w:cs="Arial"/>
          <w:sz w:val="22"/>
          <w:szCs w:val="22"/>
        </w:rPr>
        <w:t>Assistant Attorneys General</w:t>
      </w:r>
    </w:p>
    <w:p w:rsidR="00A01629" w:rsidRDefault="00584BD1">
      <w:pPr>
        <w:spacing w:line="240" w:lineRule="auto"/>
        <w:rPr>
          <w:rFonts w:cs="Arial"/>
          <w:sz w:val="22"/>
          <w:szCs w:val="22"/>
        </w:rPr>
      </w:pPr>
      <w:r>
        <w:rPr>
          <w:rFonts w:cs="Arial"/>
          <w:sz w:val="22"/>
          <w:szCs w:val="22"/>
        </w:rPr>
        <w:t>Chief, Public Utilities Section</w:t>
      </w:r>
    </w:p>
    <w:p w:rsidR="00A01629" w:rsidRDefault="00584BD1">
      <w:pPr>
        <w:spacing w:line="240" w:lineRule="auto"/>
        <w:rPr>
          <w:rFonts w:cs="Arial"/>
          <w:sz w:val="22"/>
          <w:szCs w:val="22"/>
        </w:rPr>
      </w:pPr>
      <w:r>
        <w:rPr>
          <w:rFonts w:cs="Arial"/>
          <w:sz w:val="22"/>
          <w:szCs w:val="22"/>
        </w:rPr>
        <w:t>180 E. Broad Street, 6</w:t>
      </w:r>
      <w:r>
        <w:rPr>
          <w:rFonts w:cs="Arial"/>
          <w:sz w:val="22"/>
          <w:szCs w:val="22"/>
          <w:vertAlign w:val="superscript"/>
        </w:rPr>
        <w:t>th</w:t>
      </w:r>
      <w:r>
        <w:rPr>
          <w:rFonts w:cs="Arial"/>
          <w:sz w:val="22"/>
          <w:szCs w:val="22"/>
        </w:rPr>
        <w:t xml:space="preserve"> Floor</w:t>
      </w:r>
    </w:p>
    <w:p w:rsidR="00A01629" w:rsidRDefault="00584BD1">
      <w:pPr>
        <w:spacing w:line="240" w:lineRule="auto"/>
        <w:rPr>
          <w:rFonts w:cs="Arial"/>
          <w:sz w:val="22"/>
          <w:szCs w:val="22"/>
        </w:rPr>
      </w:pPr>
      <w:r>
        <w:rPr>
          <w:rFonts w:cs="Arial"/>
          <w:sz w:val="22"/>
          <w:szCs w:val="22"/>
        </w:rPr>
        <w:t>Columbus, Ohio  43215-3793</w:t>
      </w:r>
    </w:p>
    <w:p w:rsidR="00A01629" w:rsidRDefault="00584BD1">
      <w:pPr>
        <w:spacing w:line="240" w:lineRule="auto"/>
        <w:rPr>
          <w:rFonts w:cs="Arial"/>
          <w:b/>
          <w:sz w:val="22"/>
          <w:szCs w:val="22"/>
        </w:rPr>
      </w:pPr>
      <w:r>
        <w:rPr>
          <w:rFonts w:cs="Arial"/>
          <w:sz w:val="22"/>
          <w:szCs w:val="22"/>
        </w:rPr>
        <w:t>Devin.Parram@puc.state.oh.us</w:t>
      </w:r>
    </w:p>
    <w:p w:rsidR="00A01629" w:rsidRDefault="00584BD1">
      <w:pPr>
        <w:spacing w:line="240" w:lineRule="auto"/>
        <w:rPr>
          <w:rFonts w:cs="Arial"/>
          <w:sz w:val="22"/>
          <w:szCs w:val="22"/>
        </w:rPr>
      </w:pPr>
      <w:r>
        <w:rPr>
          <w:rFonts w:cs="Arial"/>
          <w:sz w:val="22"/>
          <w:szCs w:val="22"/>
        </w:rPr>
        <w:t>ryan.o'rourke@puc.state.oh.us</w:t>
      </w:r>
    </w:p>
    <w:p w:rsidR="00A01629" w:rsidRDefault="00A01629">
      <w:pPr>
        <w:spacing w:line="240" w:lineRule="auto"/>
        <w:rPr>
          <w:rFonts w:cs="Arial"/>
          <w:b/>
          <w:smallCaps/>
          <w:sz w:val="22"/>
          <w:szCs w:val="22"/>
        </w:rPr>
      </w:pPr>
    </w:p>
    <w:p w:rsidR="00A01629" w:rsidRDefault="00584BD1">
      <w:pPr>
        <w:spacing w:line="240" w:lineRule="auto"/>
        <w:rPr>
          <w:rFonts w:cs="Arial"/>
          <w:b/>
          <w:smallCaps/>
          <w:sz w:val="22"/>
          <w:szCs w:val="22"/>
        </w:rPr>
      </w:pPr>
      <w:r>
        <w:rPr>
          <w:rFonts w:cs="Arial"/>
          <w:b/>
          <w:smallCaps/>
          <w:sz w:val="22"/>
          <w:szCs w:val="22"/>
        </w:rPr>
        <w:t>Counsel for the Staff of the Public</w:t>
      </w:r>
    </w:p>
    <w:p w:rsidR="00A01629" w:rsidRDefault="00584BD1">
      <w:pPr>
        <w:spacing w:line="240" w:lineRule="auto"/>
        <w:rPr>
          <w:rFonts w:cs="Arial"/>
          <w:b/>
          <w:sz w:val="22"/>
          <w:szCs w:val="22"/>
        </w:rPr>
      </w:pPr>
      <w:r>
        <w:rPr>
          <w:rFonts w:cs="Arial"/>
          <w:b/>
          <w:smallCaps/>
          <w:sz w:val="22"/>
          <w:szCs w:val="22"/>
        </w:rPr>
        <w:t>Utilities Commission of Ohio</w:t>
      </w:r>
    </w:p>
    <w:p w:rsidR="00A01629" w:rsidRDefault="00A01629">
      <w:pPr>
        <w:spacing w:line="240" w:lineRule="auto"/>
        <w:rPr>
          <w:rFonts w:cs="Arial"/>
          <w:sz w:val="22"/>
          <w:szCs w:val="22"/>
        </w:rPr>
      </w:pPr>
    </w:p>
    <w:p w:rsidR="00A01629" w:rsidRDefault="00584BD1">
      <w:pPr>
        <w:kinsoku w:val="0"/>
        <w:overflowPunct w:val="0"/>
        <w:spacing w:line="240" w:lineRule="auto"/>
        <w:textAlignment w:val="baseline"/>
        <w:rPr>
          <w:rFonts w:cs="Arial"/>
          <w:sz w:val="22"/>
          <w:szCs w:val="22"/>
        </w:rPr>
      </w:pPr>
      <w:r>
        <w:rPr>
          <w:rFonts w:cs="Arial"/>
          <w:sz w:val="22"/>
          <w:szCs w:val="22"/>
        </w:rPr>
        <w:t>Jay Agranoff</w:t>
      </w:r>
    </w:p>
    <w:p w:rsidR="00A01629" w:rsidRDefault="00584BD1">
      <w:pPr>
        <w:kinsoku w:val="0"/>
        <w:overflowPunct w:val="0"/>
        <w:spacing w:line="240" w:lineRule="auto"/>
        <w:textAlignment w:val="baseline"/>
        <w:rPr>
          <w:rFonts w:cs="Arial"/>
          <w:sz w:val="22"/>
          <w:szCs w:val="22"/>
        </w:rPr>
      </w:pPr>
      <w:r>
        <w:rPr>
          <w:rFonts w:cs="Arial"/>
          <w:sz w:val="22"/>
          <w:szCs w:val="22"/>
        </w:rPr>
        <w:t>James Lynn</w:t>
      </w:r>
    </w:p>
    <w:p w:rsidR="00A01629" w:rsidRDefault="00584BD1">
      <w:pPr>
        <w:kinsoku w:val="0"/>
        <w:overflowPunct w:val="0"/>
        <w:spacing w:line="240" w:lineRule="auto"/>
        <w:textAlignment w:val="baseline"/>
        <w:rPr>
          <w:rFonts w:cs="Arial"/>
          <w:sz w:val="22"/>
          <w:szCs w:val="22"/>
        </w:rPr>
      </w:pPr>
      <w:r>
        <w:rPr>
          <w:rFonts w:cs="Arial"/>
          <w:sz w:val="22"/>
          <w:szCs w:val="22"/>
        </w:rPr>
        <w:t>Public Utilities Commission of Ohio</w:t>
      </w:r>
    </w:p>
    <w:p w:rsidR="00A01629" w:rsidRDefault="00584BD1">
      <w:pPr>
        <w:kinsoku w:val="0"/>
        <w:overflowPunct w:val="0"/>
        <w:spacing w:line="240" w:lineRule="auto"/>
        <w:textAlignment w:val="baseline"/>
        <w:rPr>
          <w:rFonts w:cs="Arial"/>
          <w:sz w:val="22"/>
          <w:szCs w:val="22"/>
        </w:rPr>
      </w:pPr>
      <w:r>
        <w:rPr>
          <w:rFonts w:cs="Arial"/>
          <w:sz w:val="22"/>
          <w:szCs w:val="22"/>
        </w:rPr>
        <w:t>180 East Broad Street</w:t>
      </w:r>
    </w:p>
    <w:p w:rsidR="00A01629" w:rsidRDefault="00584BD1">
      <w:pPr>
        <w:kinsoku w:val="0"/>
        <w:overflowPunct w:val="0"/>
        <w:spacing w:line="240" w:lineRule="auto"/>
        <w:textAlignment w:val="baseline"/>
        <w:rPr>
          <w:rFonts w:cs="Arial"/>
          <w:sz w:val="22"/>
          <w:szCs w:val="22"/>
        </w:rPr>
      </w:pPr>
      <w:r>
        <w:rPr>
          <w:rFonts w:cs="Arial"/>
          <w:sz w:val="22"/>
          <w:szCs w:val="22"/>
        </w:rPr>
        <w:t>Columbus, OH  43215</w:t>
      </w:r>
    </w:p>
    <w:p w:rsidR="00A01629" w:rsidRDefault="00584BD1">
      <w:pPr>
        <w:kinsoku w:val="0"/>
        <w:overflowPunct w:val="0"/>
        <w:spacing w:line="240" w:lineRule="auto"/>
        <w:textAlignment w:val="baseline"/>
        <w:rPr>
          <w:rFonts w:cs="Arial"/>
          <w:sz w:val="22"/>
          <w:szCs w:val="22"/>
        </w:rPr>
      </w:pPr>
      <w:r>
        <w:rPr>
          <w:rFonts w:cs="Arial"/>
          <w:sz w:val="22"/>
          <w:szCs w:val="22"/>
        </w:rPr>
        <w:t>Jay.agranoff@puc.state.oh.us</w:t>
      </w:r>
    </w:p>
    <w:p w:rsidR="00A01629" w:rsidRDefault="00584BD1">
      <w:pPr>
        <w:kinsoku w:val="0"/>
        <w:overflowPunct w:val="0"/>
        <w:spacing w:line="240" w:lineRule="auto"/>
        <w:textAlignment w:val="baseline"/>
        <w:rPr>
          <w:rFonts w:cs="Arial"/>
          <w:sz w:val="22"/>
          <w:szCs w:val="22"/>
        </w:rPr>
      </w:pPr>
      <w:r>
        <w:rPr>
          <w:rFonts w:cs="Arial"/>
          <w:sz w:val="22"/>
          <w:szCs w:val="22"/>
        </w:rPr>
        <w:t>james.lynn@puc.state.oh.us</w:t>
      </w:r>
    </w:p>
    <w:p w:rsidR="00A01629" w:rsidRDefault="00A01629">
      <w:pPr>
        <w:kinsoku w:val="0"/>
        <w:overflowPunct w:val="0"/>
        <w:spacing w:line="240" w:lineRule="auto"/>
        <w:textAlignment w:val="baseline"/>
        <w:rPr>
          <w:rFonts w:cs="Arial"/>
          <w:sz w:val="22"/>
          <w:szCs w:val="22"/>
        </w:rPr>
      </w:pPr>
    </w:p>
    <w:p w:rsidR="00A01629" w:rsidRDefault="00584BD1">
      <w:pPr>
        <w:kinsoku w:val="0"/>
        <w:overflowPunct w:val="0"/>
        <w:spacing w:line="240" w:lineRule="auto"/>
        <w:textAlignment w:val="baseline"/>
        <w:rPr>
          <w:rFonts w:cs="Arial"/>
          <w:b/>
          <w:smallCaps/>
          <w:sz w:val="22"/>
          <w:szCs w:val="22"/>
        </w:rPr>
      </w:pPr>
      <w:r>
        <w:rPr>
          <w:rFonts w:cs="Arial"/>
          <w:b/>
          <w:smallCaps/>
          <w:sz w:val="22"/>
          <w:szCs w:val="22"/>
        </w:rPr>
        <w:t>Attorney Examiners</w:t>
      </w:r>
    </w:p>
    <w:p w:rsidR="00A01629" w:rsidRDefault="00A01629"/>
    <w:sectPr w:rsidR="00A01629">
      <w:type w:val="continuous"/>
      <w:pgSz w:w="12240" w:h="15840" w:code="1"/>
      <w:pgMar w:top="1440" w:right="1440" w:bottom="720" w:left="1440" w:header="720" w:footer="720"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29" w:rsidRDefault="00584BD1">
      <w:pPr>
        <w:spacing w:line="240" w:lineRule="auto"/>
      </w:pPr>
      <w:r>
        <w:separator/>
      </w:r>
    </w:p>
  </w:endnote>
  <w:endnote w:type="continuationSeparator" w:id="0">
    <w:p w:rsidR="00A01629" w:rsidRDefault="00584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90" w:rsidRDefault="00D33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29" w:rsidRDefault="00252924">
    <w:pPr>
      <w:pStyle w:val="Footer"/>
      <w:rPr>
        <w:sz w:val="22"/>
        <w:szCs w:val="22"/>
      </w:rPr>
    </w:pPr>
    <w:r w:rsidRPr="00252924">
      <w:rPr>
        <w:noProof/>
        <w:sz w:val="16"/>
      </w:rPr>
      <w:t>{C44006: }</w:t>
    </w:r>
    <w:r w:rsidR="00584BD1">
      <w:rPr>
        <w:noProof/>
        <w:sz w:val="16"/>
      </w:rPr>
      <w:tab/>
    </w:r>
    <w:r w:rsidR="00584BD1">
      <w:rPr>
        <w:noProof/>
        <w:sz w:val="22"/>
        <w:szCs w:val="22"/>
      </w:rPr>
      <w:fldChar w:fldCharType="begin"/>
    </w:r>
    <w:r w:rsidR="00584BD1">
      <w:rPr>
        <w:noProof/>
        <w:sz w:val="22"/>
        <w:szCs w:val="22"/>
      </w:rPr>
      <w:instrText xml:space="preserve"> PAGE   \* MERGEFORMAT </w:instrText>
    </w:r>
    <w:r w:rsidR="00584BD1">
      <w:rPr>
        <w:noProof/>
        <w:sz w:val="22"/>
        <w:szCs w:val="22"/>
      </w:rPr>
      <w:fldChar w:fldCharType="separate"/>
    </w:r>
    <w:r w:rsidR="00584BD1">
      <w:rPr>
        <w:noProof/>
        <w:sz w:val="22"/>
        <w:szCs w:val="22"/>
      </w:rPr>
      <w:t>2</w:t>
    </w:r>
    <w:r w:rsidR="00584BD1">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29" w:rsidRDefault="00252924">
    <w:pPr>
      <w:pStyle w:val="Footer"/>
    </w:pPr>
    <w:r w:rsidRPr="00252924">
      <w:rPr>
        <w:noProof/>
        <w:sz w:val="16"/>
      </w:rPr>
      <w:t>{C44006: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29" w:rsidRDefault="00A016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29" w:rsidRDefault="00252924">
    <w:pPr>
      <w:pStyle w:val="Footer"/>
    </w:pPr>
    <w:r w:rsidRPr="00252924">
      <w:rPr>
        <w:noProof/>
        <w:sz w:val="16"/>
      </w:rPr>
      <w:t>{C44006: }</w:t>
    </w:r>
    <w:r w:rsidR="00584BD1">
      <w:rPr>
        <w:noProof/>
        <w:sz w:val="16"/>
      </w:rPr>
      <w:tab/>
    </w:r>
    <w:r w:rsidR="00584BD1">
      <w:rPr>
        <w:noProof/>
        <w:sz w:val="22"/>
        <w:szCs w:val="22"/>
      </w:rPr>
      <w:fldChar w:fldCharType="begin"/>
    </w:r>
    <w:r w:rsidR="00584BD1">
      <w:rPr>
        <w:noProof/>
        <w:sz w:val="22"/>
        <w:szCs w:val="22"/>
      </w:rPr>
      <w:instrText xml:space="preserve"> PAGE   \* MERGEFORMAT </w:instrText>
    </w:r>
    <w:r w:rsidR="00584BD1">
      <w:rPr>
        <w:noProof/>
        <w:sz w:val="22"/>
        <w:szCs w:val="22"/>
      </w:rPr>
      <w:fldChar w:fldCharType="separate"/>
    </w:r>
    <w:r>
      <w:rPr>
        <w:noProof/>
        <w:sz w:val="22"/>
        <w:szCs w:val="22"/>
      </w:rPr>
      <w:t>7</w:t>
    </w:r>
    <w:r w:rsidR="00584BD1">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29" w:rsidRDefault="00252924">
    <w:pPr>
      <w:pStyle w:val="Footer"/>
    </w:pPr>
    <w:r w:rsidRPr="00252924">
      <w:rPr>
        <w:noProof/>
        <w:sz w:val="16"/>
      </w:rPr>
      <w:t>{C44006: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29" w:rsidRDefault="00A0162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29" w:rsidRDefault="00252924">
    <w:pPr>
      <w:pStyle w:val="Footer"/>
      <w:rPr>
        <w:sz w:val="22"/>
        <w:szCs w:val="22"/>
      </w:rPr>
    </w:pPr>
    <w:r w:rsidRPr="00252924">
      <w:rPr>
        <w:noProof/>
        <w:sz w:val="16"/>
      </w:rPr>
      <w:t>{C44006: }</w:t>
    </w:r>
    <w:r w:rsidR="00584BD1">
      <w:rPr>
        <w:noProof/>
        <w:sz w:val="16"/>
      </w:rPr>
      <w:tab/>
    </w:r>
    <w:r w:rsidR="00584BD1">
      <w:rPr>
        <w:noProof/>
        <w:sz w:val="22"/>
        <w:szCs w:val="22"/>
      </w:rPr>
      <w:fldChar w:fldCharType="begin"/>
    </w:r>
    <w:r w:rsidR="00584BD1">
      <w:rPr>
        <w:noProof/>
        <w:sz w:val="22"/>
        <w:szCs w:val="22"/>
      </w:rPr>
      <w:instrText xml:space="preserve"> PAGE   \* MERGEFORMAT </w:instrText>
    </w:r>
    <w:r w:rsidR="00584BD1">
      <w:rPr>
        <w:noProof/>
        <w:sz w:val="22"/>
        <w:szCs w:val="22"/>
      </w:rPr>
      <w:fldChar w:fldCharType="separate"/>
    </w:r>
    <w:r w:rsidR="00584BD1">
      <w:rPr>
        <w:noProof/>
        <w:sz w:val="22"/>
        <w:szCs w:val="22"/>
      </w:rPr>
      <w:t>2</w:t>
    </w:r>
    <w:r w:rsidR="00584BD1">
      <w:rPr>
        <w:noProof/>
        <w:sz w:val="22"/>
        <w:szCs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29" w:rsidRDefault="00252924">
    <w:pPr>
      <w:pStyle w:val="Footer"/>
    </w:pPr>
    <w:r w:rsidRPr="00252924">
      <w:rPr>
        <w:noProof/>
        <w:sz w:val="16"/>
      </w:rPr>
      <w:t>{C44006: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29" w:rsidRDefault="00584BD1">
      <w:pPr>
        <w:spacing w:line="240" w:lineRule="auto"/>
        <w:rPr>
          <w:noProof/>
        </w:rPr>
      </w:pPr>
      <w:r>
        <w:rPr>
          <w:noProof/>
        </w:rPr>
        <w:separator/>
      </w:r>
    </w:p>
  </w:footnote>
  <w:footnote w:type="continuationSeparator" w:id="0">
    <w:p w:rsidR="00A01629" w:rsidRDefault="00584BD1">
      <w:pPr>
        <w:spacing w:line="240" w:lineRule="auto"/>
      </w:pPr>
      <w:r>
        <w:continuationSeparator/>
      </w:r>
    </w:p>
  </w:footnote>
  <w:footnote w:id="1">
    <w:p w:rsidR="00A01629" w:rsidRDefault="00584BD1">
      <w:pPr>
        <w:pStyle w:val="FootnoteText"/>
      </w:pPr>
      <w:r>
        <w:rPr>
          <w:rStyle w:val="FootnoteReference"/>
        </w:rPr>
        <w:footnoteRef/>
      </w:r>
      <w:r>
        <w:t xml:space="preserve"> Overall, Staff recommends a revenue increase of $3,037,533 to $4,342,337.  Staff Report at 50 (Schedule A-1).</w:t>
      </w:r>
    </w:p>
  </w:footnote>
  <w:footnote w:id="2">
    <w:p w:rsidR="00A01629" w:rsidRPr="00584BD1" w:rsidRDefault="00584BD1">
      <w:pPr>
        <w:pStyle w:val="FootnoteText"/>
        <w:rPr>
          <w:i/>
        </w:rPr>
      </w:pPr>
      <w:r>
        <w:rPr>
          <w:rStyle w:val="FootnoteReference"/>
        </w:rPr>
        <w:footnoteRef/>
      </w:r>
      <w:r>
        <w:t xml:space="preserve"> </w:t>
      </w:r>
      <w:r>
        <w:rPr>
          <w:i/>
        </w:rPr>
        <w:t>Id.</w:t>
      </w:r>
    </w:p>
  </w:footnote>
  <w:footnote w:id="3">
    <w:p w:rsidR="00A01629" w:rsidRDefault="00584BD1">
      <w:pPr>
        <w:pStyle w:val="FootnoteText"/>
      </w:pPr>
      <w:r>
        <w:rPr>
          <w:rStyle w:val="FootnoteReference"/>
        </w:rPr>
        <w:footnoteRef/>
      </w:r>
      <w:r>
        <w:t xml:space="preserve"> Section 4909.172, Revised Code.</w:t>
      </w:r>
    </w:p>
  </w:footnote>
  <w:footnote w:id="4">
    <w:p w:rsidR="00A01629" w:rsidRDefault="00584BD1">
      <w:pPr>
        <w:pStyle w:val="FootnoteText"/>
      </w:pPr>
      <w:r>
        <w:rPr>
          <w:rStyle w:val="FootnoteReference"/>
        </w:rPr>
        <w:footnoteRef/>
      </w:r>
      <w:r>
        <w:t xml:space="preserve"> Section 4909.172(B)(1), Revised Code.</w:t>
      </w:r>
    </w:p>
  </w:footnote>
  <w:footnote w:id="5">
    <w:p w:rsidR="00A01629" w:rsidRDefault="00584BD1">
      <w:pPr>
        <w:pStyle w:val="FootnoteText"/>
      </w:pPr>
      <w:r>
        <w:rPr>
          <w:rStyle w:val="FootnoteReference"/>
        </w:rPr>
        <w:footnoteRef/>
      </w:r>
      <w:r>
        <w:t xml:space="preserve"> Section 4909.172(B)(2), Revised Code.</w:t>
      </w:r>
    </w:p>
  </w:footnote>
  <w:footnote w:id="6">
    <w:p w:rsidR="00A01629" w:rsidRDefault="00584BD1">
      <w:pPr>
        <w:pStyle w:val="FootnoteText"/>
      </w:pPr>
      <w:r>
        <w:rPr>
          <w:rStyle w:val="FootnoteReference"/>
        </w:rPr>
        <w:footnoteRef/>
      </w:r>
      <w:r>
        <w:t xml:space="preserve"> Section 4909.172(C)(1), Revised Code.</w:t>
      </w:r>
    </w:p>
  </w:footnote>
  <w:footnote w:id="7">
    <w:p w:rsidR="00A01629" w:rsidRDefault="00584BD1">
      <w:pPr>
        <w:pStyle w:val="FootnoteText"/>
      </w:pPr>
      <w:r>
        <w:rPr>
          <w:rStyle w:val="FootnoteReference"/>
        </w:rPr>
        <w:footnoteRef/>
      </w:r>
      <w:r>
        <w:t xml:space="preserve"> </w:t>
      </w:r>
      <w:r>
        <w:rPr>
          <w:i/>
        </w:rPr>
        <w:t>See</w:t>
      </w:r>
      <w:r>
        <w:t xml:space="preserve"> Staff Report at 15-16.</w:t>
      </w:r>
    </w:p>
  </w:footnote>
  <w:footnote w:id="8">
    <w:p w:rsidR="00A01629" w:rsidRDefault="00584BD1">
      <w:pPr>
        <w:pStyle w:val="FootnoteText"/>
      </w:pPr>
      <w:r>
        <w:rPr>
          <w:rStyle w:val="FootnoteReference"/>
        </w:rPr>
        <w:footnoteRef/>
      </w:r>
      <w:r>
        <w:t xml:space="preserve"> Direct Testimony of David R. Monie at 3-4; Cost of Service Study at 1-2.</w:t>
      </w:r>
    </w:p>
  </w:footnote>
  <w:footnote w:id="9">
    <w:p w:rsidR="00A01629" w:rsidRDefault="00584BD1">
      <w:pPr>
        <w:pStyle w:val="FootnoteText"/>
        <w:rPr>
          <w:i/>
        </w:rPr>
      </w:pPr>
      <w:r>
        <w:rPr>
          <w:rStyle w:val="FootnoteReference"/>
        </w:rPr>
        <w:footnoteRef/>
      </w:r>
      <w:r>
        <w:t xml:space="preserve"> </w:t>
      </w:r>
      <w:r>
        <w:rPr>
          <w:i/>
        </w:rPr>
        <w:t>Id.</w:t>
      </w:r>
    </w:p>
  </w:footnote>
  <w:footnote w:id="10">
    <w:p w:rsidR="00A01629" w:rsidRDefault="00584BD1">
      <w:pPr>
        <w:pStyle w:val="FootnoteText"/>
        <w:rPr>
          <w:i/>
        </w:rPr>
      </w:pPr>
      <w:r>
        <w:rPr>
          <w:rStyle w:val="FootnoteReference"/>
        </w:rPr>
        <w:footnoteRef/>
      </w:r>
      <w:r>
        <w:t xml:space="preserve"> </w:t>
      </w:r>
      <w:r>
        <w:rPr>
          <w:i/>
        </w:rPr>
        <w:t>Id.</w:t>
      </w:r>
    </w:p>
  </w:footnote>
  <w:footnote w:id="11">
    <w:p w:rsidR="00A01629" w:rsidRDefault="00584BD1">
      <w:pPr>
        <w:pStyle w:val="FootnoteText"/>
      </w:pPr>
      <w:r>
        <w:rPr>
          <w:rStyle w:val="FootnoteReference"/>
        </w:rPr>
        <w:footnoteRef/>
      </w:r>
      <w:r>
        <w:t xml:space="preserve"> Staff Report at 24.</w:t>
      </w:r>
    </w:p>
  </w:footnote>
  <w:footnote w:id="12">
    <w:p w:rsidR="00A01629" w:rsidRDefault="00584BD1">
      <w:pPr>
        <w:pStyle w:val="FootnoteText"/>
      </w:pPr>
      <w:r>
        <w:rPr>
          <w:rStyle w:val="FootnoteReference"/>
        </w:rPr>
        <w:footnoteRef/>
      </w:r>
      <w:r>
        <w:t xml:space="preserve"> </w:t>
      </w:r>
      <w:r>
        <w:rPr>
          <w:i/>
        </w:rPr>
        <w:t>Id.</w:t>
      </w:r>
      <w:r>
        <w:t xml:space="preserve"> at 27-28.</w:t>
      </w:r>
    </w:p>
  </w:footnote>
  <w:footnote w:id="13">
    <w:p w:rsidR="00A01629" w:rsidRDefault="00584BD1">
      <w:pPr>
        <w:pStyle w:val="FootnoteText"/>
      </w:pPr>
      <w:r>
        <w:rPr>
          <w:rStyle w:val="FootnoteReference"/>
        </w:rPr>
        <w:footnoteRef/>
      </w:r>
      <w:r>
        <w:t xml:space="preserve"> </w:t>
      </w:r>
      <w:r w:rsidRPr="00584BD1">
        <w:rPr>
          <w:i/>
        </w:rPr>
        <w:t>Id</w:t>
      </w:r>
      <w:r>
        <w:t>. at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90" w:rsidRDefault="00D330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90" w:rsidRDefault="00D330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90" w:rsidRDefault="00D330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29" w:rsidRDefault="00A016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29" w:rsidRDefault="00A0162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29" w:rsidRDefault="00A0162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29" w:rsidRDefault="00A0162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29" w:rsidRDefault="00A0162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29" w:rsidRDefault="00A01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4C7059"/>
    <w:multiLevelType w:val="hybridMultilevel"/>
    <w:tmpl w:val="A2343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7B71568"/>
    <w:multiLevelType w:val="multilevel"/>
    <w:tmpl w:val="FE36E798"/>
    <w:name w:val="IEU Basic--PUCO"/>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4"/>
  </w:num>
  <w:num w:numId="2">
    <w:abstractNumId w:val="4"/>
  </w:num>
  <w:num w:numId="3">
    <w:abstractNumId w:val="4"/>
  </w:num>
  <w:num w:numId="4">
    <w:abstractNumId w:val="4"/>
  </w:num>
  <w:num w:numId="5">
    <w:abstractNumId w:val="1"/>
  </w:num>
  <w:num w:numId="6">
    <w:abstractNumId w:val="2"/>
  </w:num>
  <w:num w:numId="7">
    <w:abstractNumId w:val="0"/>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LastSchemeChoice" w:val="IEU Basic--PUCO"/>
    <w:docVar w:name="LastSchemeUniqueID" w:val="2"/>
    <w:docVar w:name="Option0True" w:val="False"/>
    <w:docVar w:name="Option1True" w:val="False"/>
    <w:docVar w:name="Option2True" w:val="False"/>
  </w:docVars>
  <w:rsids>
    <w:rsidRoot w:val="00A01629"/>
    <w:rsid w:val="00252924"/>
    <w:rsid w:val="00584BD1"/>
    <w:rsid w:val="00A01629"/>
    <w:rsid w:val="00D3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szCs w:val="24"/>
    </w:rPr>
  </w:style>
  <w:style w:type="paragraph" w:styleId="Heading1">
    <w:name w:val="heading 1"/>
    <w:basedOn w:val="Normal"/>
    <w:next w:val="Normal"/>
    <w:link w:val="Heading1Char"/>
    <w:uiPriority w:val="9"/>
    <w:qFormat/>
    <w:rsid w:val="00F435B4"/>
    <w:pPr>
      <w:numPr>
        <w:numId w:val="9"/>
      </w:numPr>
      <w:tabs>
        <w:tab w:val="clear" w:pos="720"/>
      </w:tabs>
      <w:spacing w:before="240"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E95E33"/>
    <w:pPr>
      <w:numPr>
        <w:ilvl w:val="1"/>
        <w:numId w:val="9"/>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rsid w:val="00E95E33"/>
    <w:pPr>
      <w:ind w:firstLine="1440"/>
      <w:outlineLvl w:val="2"/>
    </w:pPr>
    <w:rPr>
      <w:rFonts w:eastAsiaTheme="majorEastAsia" w:cs="Arial"/>
      <w:bCs/>
    </w:rPr>
  </w:style>
  <w:style w:type="paragraph" w:styleId="Heading4">
    <w:name w:val="heading 4"/>
    <w:basedOn w:val="Normal"/>
    <w:next w:val="Normal"/>
    <w:link w:val="Heading4Char"/>
    <w:uiPriority w:val="9"/>
    <w:unhideWhenUsed/>
    <w:qFormat/>
    <w:rsid w:val="00E95E33"/>
    <w:pPr>
      <w:numPr>
        <w:ilvl w:val="3"/>
        <w:numId w:val="9"/>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rsid w:val="00E95E33"/>
    <w:pPr>
      <w:numPr>
        <w:ilvl w:val="4"/>
        <w:numId w:val="9"/>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rsid w:val="00E95E33"/>
    <w:pPr>
      <w:numPr>
        <w:ilvl w:val="5"/>
        <w:numId w:val="9"/>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rsid w:val="00E95E33"/>
    <w:pPr>
      <w:numPr>
        <w:ilvl w:val="6"/>
        <w:numId w:val="9"/>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rsid w:val="00E95E33"/>
    <w:pPr>
      <w:numPr>
        <w:ilvl w:val="7"/>
        <w:numId w:val="9"/>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rsid w:val="00E95E33"/>
    <w:pPr>
      <w:numPr>
        <w:ilvl w:val="8"/>
        <w:numId w:val="9"/>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5B4"/>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E95E33"/>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E95E33"/>
    <w:rPr>
      <w:rFonts w:ascii="Arial" w:eastAsiaTheme="majorEastAsia" w:hAnsi="Arial" w:cs="Arial"/>
      <w:bCs/>
      <w:sz w:val="24"/>
      <w:szCs w:val="24"/>
    </w:rPr>
  </w:style>
  <w:style w:type="character" w:customStyle="1" w:styleId="Heading4Char">
    <w:name w:val="Heading 4 Char"/>
    <w:basedOn w:val="DefaultParagraphFont"/>
    <w:link w:val="Heading4"/>
    <w:uiPriority w:val="9"/>
    <w:rsid w:val="00E95E33"/>
    <w:rPr>
      <w:rFonts w:ascii="Arial" w:eastAsiaTheme="majorEastAsia" w:hAnsi="Arial" w:cs="Arial"/>
      <w:b/>
      <w:bCs/>
      <w:i/>
      <w:iCs/>
      <w:sz w:val="24"/>
      <w:szCs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pPr>
      <w:spacing w:after="120" w:line="240" w:lineRule="auto"/>
    </w:pPr>
    <w:rPr>
      <w:rFonts w:eastAsia="Calibri"/>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eastAsia="Calibri"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qFormat/>
    <w:pPr>
      <w:spacing w:after="240"/>
      <w:jc w:val="center"/>
    </w:pPr>
    <w:rPr>
      <w:rFonts w:eastAsiaTheme="majorEastAsia" w:cstheme="majorBidi"/>
      <w:sz w:val="23"/>
      <w:szCs w:val="52"/>
    </w:rPr>
  </w:style>
  <w:style w:type="character" w:customStyle="1" w:styleId="TitleChar">
    <w:name w:val="Title Char"/>
    <w:basedOn w:val="DefaultParagraphFont"/>
    <w:link w:val="Title"/>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szCs w:val="24"/>
    </w:rPr>
  </w:style>
  <w:style w:type="character" w:styleId="FootnoteReference">
    <w:name w:val="footnote reference"/>
    <w:basedOn w:val="DefaultParagraphFont"/>
    <w:uiPriority w:val="99"/>
    <w:semiHidden/>
    <w:unhideWhenUsed/>
    <w:rsid w:val="004939B3"/>
    <w:rPr>
      <w:vertAlign w:val="superscript"/>
    </w:rPr>
  </w:style>
  <w:style w:type="table" w:styleId="TableGrid">
    <w:name w:val="Table Grid"/>
    <w:basedOn w:val="TableNormal"/>
    <w:uiPriority w:val="59"/>
    <w:rsid w:val="000A369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8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856"/>
    <w:rPr>
      <w:rFonts w:ascii="Tahoma" w:hAnsi="Tahoma" w:cs="Tahoma"/>
      <w:sz w:val="16"/>
      <w:szCs w:val="16"/>
    </w:rPr>
  </w:style>
  <w:style w:type="paragraph" w:styleId="ListParagraph">
    <w:name w:val="List Paragraph"/>
    <w:basedOn w:val="Normal"/>
    <w:uiPriority w:val="34"/>
    <w:pPr>
      <w:ind w:left="720"/>
      <w:contextualSpacing/>
    </w:pPr>
  </w:style>
  <w:style w:type="paragraph" w:styleId="BodyText">
    <w:name w:val="Body Text"/>
    <w:basedOn w:val="Normal"/>
    <w:link w:val="BodyTextChar"/>
    <w:rsid w:val="00310E97"/>
    <w:pPr>
      <w:spacing w:line="240" w:lineRule="auto"/>
    </w:pPr>
    <w:rPr>
      <w:rFonts w:cs="Arial"/>
    </w:rPr>
  </w:style>
  <w:style w:type="character" w:customStyle="1" w:styleId="BodyTextChar">
    <w:name w:val="Body Text Char"/>
    <w:basedOn w:val="DefaultParagraphFont"/>
    <w:link w:val="BodyText"/>
    <w:rsid w:val="00310E97"/>
    <w:rPr>
      <w:rFonts w:ascii="Arial" w:hAnsi="Arial" w:cs="Arial"/>
      <w:sz w:val="24"/>
      <w:szCs w:val="24"/>
    </w:rPr>
  </w:style>
  <w:style w:type="paragraph" w:styleId="BodyText3">
    <w:name w:val="Body Text 3"/>
    <w:basedOn w:val="Normal"/>
    <w:link w:val="BodyText3Char"/>
    <w:uiPriority w:val="99"/>
    <w:semiHidden/>
    <w:unhideWhenUsed/>
    <w:rsid w:val="00310E97"/>
    <w:pPr>
      <w:spacing w:after="120"/>
    </w:pPr>
    <w:rPr>
      <w:sz w:val="16"/>
      <w:szCs w:val="16"/>
    </w:rPr>
  </w:style>
  <w:style w:type="character" w:customStyle="1" w:styleId="BodyText3Char">
    <w:name w:val="Body Text 3 Char"/>
    <w:basedOn w:val="DefaultParagraphFont"/>
    <w:link w:val="BodyText3"/>
    <w:uiPriority w:val="99"/>
    <w:semiHidden/>
    <w:rsid w:val="00310E97"/>
    <w:rPr>
      <w:rFonts w:ascii="Arial" w:hAnsi="Arial"/>
      <w:sz w:val="16"/>
      <w:szCs w:val="16"/>
    </w:rPr>
  </w:style>
  <w:style w:type="character" w:styleId="Hyperlink">
    <w:name w:val="Hyperlink"/>
    <w:basedOn w:val="DefaultParagraphFont"/>
    <w:uiPriority w:val="99"/>
    <w:unhideWhenUsed/>
    <w:rsid w:val="00310E97"/>
    <w:rPr>
      <w:color w:val="0000FF" w:themeColor="hyperlink"/>
      <w:u w:val="single"/>
    </w:rPr>
  </w:style>
  <w:style w:type="character" w:customStyle="1" w:styleId="Heading5Char">
    <w:name w:val="Heading 5 Char"/>
    <w:basedOn w:val="DefaultParagraphFont"/>
    <w:link w:val="Heading5"/>
    <w:uiPriority w:val="9"/>
    <w:semiHidden/>
    <w:rsid w:val="00E95E33"/>
    <w:rPr>
      <w:rFonts w:asciiTheme="majorHAnsi" w:eastAsiaTheme="majorEastAsia" w:hAnsiTheme="majorHAnsi" w:cs="Arial"/>
      <w:color w:val="243F60" w:themeColor="accent1" w:themeShade="7F"/>
      <w:sz w:val="24"/>
      <w:szCs w:val="24"/>
    </w:rPr>
  </w:style>
  <w:style w:type="character" w:customStyle="1" w:styleId="Heading6Char">
    <w:name w:val="Heading 6 Char"/>
    <w:basedOn w:val="DefaultParagraphFont"/>
    <w:link w:val="Heading6"/>
    <w:uiPriority w:val="9"/>
    <w:semiHidden/>
    <w:rsid w:val="00E95E33"/>
    <w:rPr>
      <w:rFonts w:asciiTheme="majorHAnsi" w:eastAsiaTheme="majorEastAsia" w:hAnsiTheme="majorHAnsi" w:cs="Arial"/>
      <w:iCs/>
      <w:color w:val="243F60" w:themeColor="accent1" w:themeShade="7F"/>
      <w:sz w:val="24"/>
      <w:szCs w:val="24"/>
    </w:rPr>
  </w:style>
  <w:style w:type="character" w:customStyle="1" w:styleId="Heading7Char">
    <w:name w:val="Heading 7 Char"/>
    <w:basedOn w:val="DefaultParagraphFont"/>
    <w:link w:val="Heading7"/>
    <w:uiPriority w:val="9"/>
    <w:semiHidden/>
    <w:rsid w:val="00E95E33"/>
    <w:rPr>
      <w:rFonts w:asciiTheme="majorHAnsi" w:eastAsiaTheme="majorEastAsia" w:hAnsiTheme="majorHAnsi" w:cs="Arial"/>
      <w:iCs/>
      <w:color w:val="404040" w:themeColor="text1" w:themeTint="BF"/>
      <w:sz w:val="24"/>
      <w:szCs w:val="24"/>
    </w:rPr>
  </w:style>
  <w:style w:type="character" w:customStyle="1" w:styleId="Heading8Char">
    <w:name w:val="Heading 8 Char"/>
    <w:basedOn w:val="DefaultParagraphFont"/>
    <w:link w:val="Heading8"/>
    <w:uiPriority w:val="9"/>
    <w:semiHidden/>
    <w:rsid w:val="00E95E33"/>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E95E33"/>
    <w:rPr>
      <w:rFonts w:asciiTheme="majorHAnsi" w:eastAsiaTheme="majorEastAsia" w:hAnsiTheme="majorHAnsi" w:cs="Arial"/>
      <w:iCs/>
      <w:color w:val="404040" w:themeColor="text1" w:themeTint="BF"/>
      <w:sz w:val="24"/>
    </w:rPr>
  </w:style>
  <w:style w:type="character" w:styleId="CommentReference">
    <w:name w:val="annotation reference"/>
    <w:basedOn w:val="DefaultParagraphFont"/>
    <w:uiPriority w:val="99"/>
    <w:semiHidden/>
    <w:unhideWhenUsed/>
    <w:rsid w:val="00E95E33"/>
    <w:rPr>
      <w:sz w:val="16"/>
      <w:szCs w:val="16"/>
    </w:rPr>
  </w:style>
  <w:style w:type="paragraph" w:styleId="CommentText">
    <w:name w:val="annotation text"/>
    <w:basedOn w:val="Normal"/>
    <w:link w:val="CommentTextChar"/>
    <w:uiPriority w:val="99"/>
    <w:semiHidden/>
    <w:unhideWhenUsed/>
    <w:rsid w:val="00E95E33"/>
    <w:pPr>
      <w:spacing w:line="240" w:lineRule="auto"/>
    </w:pPr>
    <w:rPr>
      <w:sz w:val="20"/>
      <w:szCs w:val="20"/>
    </w:rPr>
  </w:style>
  <w:style w:type="character" w:customStyle="1" w:styleId="CommentTextChar">
    <w:name w:val="Comment Text Char"/>
    <w:basedOn w:val="DefaultParagraphFont"/>
    <w:link w:val="CommentText"/>
    <w:uiPriority w:val="99"/>
    <w:semiHidden/>
    <w:rsid w:val="00E95E33"/>
    <w:rPr>
      <w:rFonts w:ascii="Arial" w:hAnsi="Arial"/>
    </w:rPr>
  </w:style>
  <w:style w:type="paragraph" w:styleId="CommentSubject">
    <w:name w:val="annotation subject"/>
    <w:basedOn w:val="CommentText"/>
    <w:next w:val="CommentText"/>
    <w:link w:val="CommentSubjectChar"/>
    <w:uiPriority w:val="99"/>
    <w:semiHidden/>
    <w:unhideWhenUsed/>
    <w:rsid w:val="00E95E33"/>
    <w:rPr>
      <w:b/>
      <w:bCs/>
    </w:rPr>
  </w:style>
  <w:style w:type="character" w:customStyle="1" w:styleId="CommentSubjectChar">
    <w:name w:val="Comment Subject Char"/>
    <w:basedOn w:val="CommentTextChar"/>
    <w:link w:val="CommentSubject"/>
    <w:uiPriority w:val="99"/>
    <w:semiHidden/>
    <w:rsid w:val="00E95E33"/>
    <w:rPr>
      <w:rFonts w:ascii="Arial" w:hAnsi="Arial"/>
      <w:b/>
      <w:bCs/>
    </w:rPr>
  </w:style>
  <w:style w:type="paragraph" w:styleId="Revision">
    <w:name w:val="Revision"/>
    <w:hidden/>
    <w:uiPriority w:val="99"/>
    <w:semiHidden/>
    <w:rsid w:val="00F435B4"/>
    <w:pPr>
      <w:spacing w:after="0"/>
    </w:pPr>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szCs w:val="24"/>
    </w:rPr>
  </w:style>
  <w:style w:type="paragraph" w:styleId="Heading1">
    <w:name w:val="heading 1"/>
    <w:basedOn w:val="Normal"/>
    <w:next w:val="Normal"/>
    <w:link w:val="Heading1Char"/>
    <w:uiPriority w:val="9"/>
    <w:qFormat/>
    <w:rsid w:val="00F435B4"/>
    <w:pPr>
      <w:numPr>
        <w:numId w:val="9"/>
      </w:numPr>
      <w:tabs>
        <w:tab w:val="clear" w:pos="720"/>
      </w:tabs>
      <w:spacing w:before="240"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E95E33"/>
    <w:pPr>
      <w:numPr>
        <w:ilvl w:val="1"/>
        <w:numId w:val="9"/>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rsid w:val="00E95E33"/>
    <w:pPr>
      <w:ind w:firstLine="1440"/>
      <w:outlineLvl w:val="2"/>
    </w:pPr>
    <w:rPr>
      <w:rFonts w:eastAsiaTheme="majorEastAsia" w:cs="Arial"/>
      <w:bCs/>
    </w:rPr>
  </w:style>
  <w:style w:type="paragraph" w:styleId="Heading4">
    <w:name w:val="heading 4"/>
    <w:basedOn w:val="Normal"/>
    <w:next w:val="Normal"/>
    <w:link w:val="Heading4Char"/>
    <w:uiPriority w:val="9"/>
    <w:unhideWhenUsed/>
    <w:qFormat/>
    <w:rsid w:val="00E95E33"/>
    <w:pPr>
      <w:numPr>
        <w:ilvl w:val="3"/>
        <w:numId w:val="9"/>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rsid w:val="00E95E33"/>
    <w:pPr>
      <w:numPr>
        <w:ilvl w:val="4"/>
        <w:numId w:val="9"/>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rsid w:val="00E95E33"/>
    <w:pPr>
      <w:numPr>
        <w:ilvl w:val="5"/>
        <w:numId w:val="9"/>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rsid w:val="00E95E33"/>
    <w:pPr>
      <w:numPr>
        <w:ilvl w:val="6"/>
        <w:numId w:val="9"/>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rsid w:val="00E95E33"/>
    <w:pPr>
      <w:numPr>
        <w:ilvl w:val="7"/>
        <w:numId w:val="9"/>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rsid w:val="00E95E33"/>
    <w:pPr>
      <w:numPr>
        <w:ilvl w:val="8"/>
        <w:numId w:val="9"/>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5B4"/>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E95E33"/>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E95E33"/>
    <w:rPr>
      <w:rFonts w:ascii="Arial" w:eastAsiaTheme="majorEastAsia" w:hAnsi="Arial" w:cs="Arial"/>
      <w:bCs/>
      <w:sz w:val="24"/>
      <w:szCs w:val="24"/>
    </w:rPr>
  </w:style>
  <w:style w:type="character" w:customStyle="1" w:styleId="Heading4Char">
    <w:name w:val="Heading 4 Char"/>
    <w:basedOn w:val="DefaultParagraphFont"/>
    <w:link w:val="Heading4"/>
    <w:uiPriority w:val="9"/>
    <w:rsid w:val="00E95E33"/>
    <w:rPr>
      <w:rFonts w:ascii="Arial" w:eastAsiaTheme="majorEastAsia" w:hAnsi="Arial" w:cs="Arial"/>
      <w:b/>
      <w:bCs/>
      <w:i/>
      <w:iCs/>
      <w:sz w:val="24"/>
      <w:szCs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pPr>
      <w:spacing w:after="120" w:line="240" w:lineRule="auto"/>
    </w:pPr>
    <w:rPr>
      <w:rFonts w:eastAsia="Calibri"/>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eastAsia="Calibri"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qFormat/>
    <w:pPr>
      <w:spacing w:after="240"/>
      <w:jc w:val="center"/>
    </w:pPr>
    <w:rPr>
      <w:rFonts w:eastAsiaTheme="majorEastAsia" w:cstheme="majorBidi"/>
      <w:sz w:val="23"/>
      <w:szCs w:val="52"/>
    </w:rPr>
  </w:style>
  <w:style w:type="character" w:customStyle="1" w:styleId="TitleChar">
    <w:name w:val="Title Char"/>
    <w:basedOn w:val="DefaultParagraphFont"/>
    <w:link w:val="Title"/>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szCs w:val="24"/>
    </w:rPr>
  </w:style>
  <w:style w:type="character" w:styleId="FootnoteReference">
    <w:name w:val="footnote reference"/>
    <w:basedOn w:val="DefaultParagraphFont"/>
    <w:uiPriority w:val="99"/>
    <w:semiHidden/>
    <w:unhideWhenUsed/>
    <w:rsid w:val="004939B3"/>
    <w:rPr>
      <w:vertAlign w:val="superscript"/>
    </w:rPr>
  </w:style>
  <w:style w:type="table" w:styleId="TableGrid">
    <w:name w:val="Table Grid"/>
    <w:basedOn w:val="TableNormal"/>
    <w:uiPriority w:val="59"/>
    <w:rsid w:val="000A369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8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856"/>
    <w:rPr>
      <w:rFonts w:ascii="Tahoma" w:hAnsi="Tahoma" w:cs="Tahoma"/>
      <w:sz w:val="16"/>
      <w:szCs w:val="16"/>
    </w:rPr>
  </w:style>
  <w:style w:type="paragraph" w:styleId="ListParagraph">
    <w:name w:val="List Paragraph"/>
    <w:basedOn w:val="Normal"/>
    <w:uiPriority w:val="34"/>
    <w:pPr>
      <w:ind w:left="720"/>
      <w:contextualSpacing/>
    </w:pPr>
  </w:style>
  <w:style w:type="paragraph" w:styleId="BodyText">
    <w:name w:val="Body Text"/>
    <w:basedOn w:val="Normal"/>
    <w:link w:val="BodyTextChar"/>
    <w:rsid w:val="00310E97"/>
    <w:pPr>
      <w:spacing w:line="240" w:lineRule="auto"/>
    </w:pPr>
    <w:rPr>
      <w:rFonts w:cs="Arial"/>
    </w:rPr>
  </w:style>
  <w:style w:type="character" w:customStyle="1" w:styleId="BodyTextChar">
    <w:name w:val="Body Text Char"/>
    <w:basedOn w:val="DefaultParagraphFont"/>
    <w:link w:val="BodyText"/>
    <w:rsid w:val="00310E97"/>
    <w:rPr>
      <w:rFonts w:ascii="Arial" w:hAnsi="Arial" w:cs="Arial"/>
      <w:sz w:val="24"/>
      <w:szCs w:val="24"/>
    </w:rPr>
  </w:style>
  <w:style w:type="paragraph" w:styleId="BodyText3">
    <w:name w:val="Body Text 3"/>
    <w:basedOn w:val="Normal"/>
    <w:link w:val="BodyText3Char"/>
    <w:uiPriority w:val="99"/>
    <w:semiHidden/>
    <w:unhideWhenUsed/>
    <w:rsid w:val="00310E97"/>
    <w:pPr>
      <w:spacing w:after="120"/>
    </w:pPr>
    <w:rPr>
      <w:sz w:val="16"/>
      <w:szCs w:val="16"/>
    </w:rPr>
  </w:style>
  <w:style w:type="character" w:customStyle="1" w:styleId="BodyText3Char">
    <w:name w:val="Body Text 3 Char"/>
    <w:basedOn w:val="DefaultParagraphFont"/>
    <w:link w:val="BodyText3"/>
    <w:uiPriority w:val="99"/>
    <w:semiHidden/>
    <w:rsid w:val="00310E97"/>
    <w:rPr>
      <w:rFonts w:ascii="Arial" w:hAnsi="Arial"/>
      <w:sz w:val="16"/>
      <w:szCs w:val="16"/>
    </w:rPr>
  </w:style>
  <w:style w:type="character" w:styleId="Hyperlink">
    <w:name w:val="Hyperlink"/>
    <w:basedOn w:val="DefaultParagraphFont"/>
    <w:uiPriority w:val="99"/>
    <w:unhideWhenUsed/>
    <w:rsid w:val="00310E97"/>
    <w:rPr>
      <w:color w:val="0000FF" w:themeColor="hyperlink"/>
      <w:u w:val="single"/>
    </w:rPr>
  </w:style>
  <w:style w:type="character" w:customStyle="1" w:styleId="Heading5Char">
    <w:name w:val="Heading 5 Char"/>
    <w:basedOn w:val="DefaultParagraphFont"/>
    <w:link w:val="Heading5"/>
    <w:uiPriority w:val="9"/>
    <w:semiHidden/>
    <w:rsid w:val="00E95E33"/>
    <w:rPr>
      <w:rFonts w:asciiTheme="majorHAnsi" w:eastAsiaTheme="majorEastAsia" w:hAnsiTheme="majorHAnsi" w:cs="Arial"/>
      <w:color w:val="243F60" w:themeColor="accent1" w:themeShade="7F"/>
      <w:sz w:val="24"/>
      <w:szCs w:val="24"/>
    </w:rPr>
  </w:style>
  <w:style w:type="character" w:customStyle="1" w:styleId="Heading6Char">
    <w:name w:val="Heading 6 Char"/>
    <w:basedOn w:val="DefaultParagraphFont"/>
    <w:link w:val="Heading6"/>
    <w:uiPriority w:val="9"/>
    <w:semiHidden/>
    <w:rsid w:val="00E95E33"/>
    <w:rPr>
      <w:rFonts w:asciiTheme="majorHAnsi" w:eastAsiaTheme="majorEastAsia" w:hAnsiTheme="majorHAnsi" w:cs="Arial"/>
      <w:iCs/>
      <w:color w:val="243F60" w:themeColor="accent1" w:themeShade="7F"/>
      <w:sz w:val="24"/>
      <w:szCs w:val="24"/>
    </w:rPr>
  </w:style>
  <w:style w:type="character" w:customStyle="1" w:styleId="Heading7Char">
    <w:name w:val="Heading 7 Char"/>
    <w:basedOn w:val="DefaultParagraphFont"/>
    <w:link w:val="Heading7"/>
    <w:uiPriority w:val="9"/>
    <w:semiHidden/>
    <w:rsid w:val="00E95E33"/>
    <w:rPr>
      <w:rFonts w:asciiTheme="majorHAnsi" w:eastAsiaTheme="majorEastAsia" w:hAnsiTheme="majorHAnsi" w:cs="Arial"/>
      <w:iCs/>
      <w:color w:val="404040" w:themeColor="text1" w:themeTint="BF"/>
      <w:sz w:val="24"/>
      <w:szCs w:val="24"/>
    </w:rPr>
  </w:style>
  <w:style w:type="character" w:customStyle="1" w:styleId="Heading8Char">
    <w:name w:val="Heading 8 Char"/>
    <w:basedOn w:val="DefaultParagraphFont"/>
    <w:link w:val="Heading8"/>
    <w:uiPriority w:val="9"/>
    <w:semiHidden/>
    <w:rsid w:val="00E95E33"/>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E95E33"/>
    <w:rPr>
      <w:rFonts w:asciiTheme="majorHAnsi" w:eastAsiaTheme="majorEastAsia" w:hAnsiTheme="majorHAnsi" w:cs="Arial"/>
      <w:iCs/>
      <w:color w:val="404040" w:themeColor="text1" w:themeTint="BF"/>
      <w:sz w:val="24"/>
    </w:rPr>
  </w:style>
  <w:style w:type="character" w:styleId="CommentReference">
    <w:name w:val="annotation reference"/>
    <w:basedOn w:val="DefaultParagraphFont"/>
    <w:uiPriority w:val="99"/>
    <w:semiHidden/>
    <w:unhideWhenUsed/>
    <w:rsid w:val="00E95E33"/>
    <w:rPr>
      <w:sz w:val="16"/>
      <w:szCs w:val="16"/>
    </w:rPr>
  </w:style>
  <w:style w:type="paragraph" w:styleId="CommentText">
    <w:name w:val="annotation text"/>
    <w:basedOn w:val="Normal"/>
    <w:link w:val="CommentTextChar"/>
    <w:uiPriority w:val="99"/>
    <w:semiHidden/>
    <w:unhideWhenUsed/>
    <w:rsid w:val="00E95E33"/>
    <w:pPr>
      <w:spacing w:line="240" w:lineRule="auto"/>
    </w:pPr>
    <w:rPr>
      <w:sz w:val="20"/>
      <w:szCs w:val="20"/>
    </w:rPr>
  </w:style>
  <w:style w:type="character" w:customStyle="1" w:styleId="CommentTextChar">
    <w:name w:val="Comment Text Char"/>
    <w:basedOn w:val="DefaultParagraphFont"/>
    <w:link w:val="CommentText"/>
    <w:uiPriority w:val="99"/>
    <w:semiHidden/>
    <w:rsid w:val="00E95E33"/>
    <w:rPr>
      <w:rFonts w:ascii="Arial" w:hAnsi="Arial"/>
    </w:rPr>
  </w:style>
  <w:style w:type="paragraph" w:styleId="CommentSubject">
    <w:name w:val="annotation subject"/>
    <w:basedOn w:val="CommentText"/>
    <w:next w:val="CommentText"/>
    <w:link w:val="CommentSubjectChar"/>
    <w:uiPriority w:val="99"/>
    <w:semiHidden/>
    <w:unhideWhenUsed/>
    <w:rsid w:val="00E95E33"/>
    <w:rPr>
      <w:b/>
      <w:bCs/>
    </w:rPr>
  </w:style>
  <w:style w:type="character" w:customStyle="1" w:styleId="CommentSubjectChar">
    <w:name w:val="Comment Subject Char"/>
    <w:basedOn w:val="CommentTextChar"/>
    <w:link w:val="CommentSubject"/>
    <w:uiPriority w:val="99"/>
    <w:semiHidden/>
    <w:rsid w:val="00E95E33"/>
    <w:rPr>
      <w:rFonts w:ascii="Arial" w:hAnsi="Arial"/>
      <w:b/>
      <w:bCs/>
    </w:rPr>
  </w:style>
  <w:style w:type="paragraph" w:styleId="Revision">
    <w:name w:val="Revision"/>
    <w:hidden/>
    <w:uiPriority w:val="99"/>
    <w:semiHidden/>
    <w:rsid w:val="00F435B4"/>
    <w:pPr>
      <w:spacing w:after="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sam@mwncmh.com"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mpritchard@mwncmh.com"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pritchard@mwncmh.com" TargetMode="Externa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yperlink" Target="mailto:fdarr@mwncmh.com" TargetMode="External"/><Relationship Id="rId19" Type="http://schemas.openxmlformats.org/officeDocument/2006/relationships/hyperlink" Target="mailto:fdarr@mwncmh.com" TargetMode="Externa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yperlink" Target="mailto:sam@mwncmh.com"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49F1D-C00D-4705-A3DE-85E77892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1642</Words>
  <Characters>9586</Characters>
  <Application>Microsoft Office Word</Application>
  <DocSecurity>0</DocSecurity>
  <PresentationFormat/>
  <Lines>341</Lines>
  <Paragraphs>195</Paragraphs>
  <ScaleCrop>false</ScaleCrop>
  <HeadingPairs>
    <vt:vector size="2" baseType="variant">
      <vt:variant>
        <vt:lpstr>Title</vt:lpstr>
      </vt:variant>
      <vt:variant>
        <vt:i4>1</vt:i4>
      </vt:variant>
    </vt:vector>
  </HeadingPairs>
  <TitlesOfParts>
    <vt:vector size="1" baseType="lpstr">
      <vt:lpstr>Tiffin's Objections to Staff Report (13-2124) (C43948-2).DOCX</vt:lpstr>
    </vt:vector>
  </TitlesOfParts>
  <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Objections to Staff Report (C44006).DOCX</dc:title>
  <dc:subject>C44006: /font=8</dc:subject>
  <dc:creator>mpritchard</dc:creator>
  <cp:keywords/>
  <dc:description/>
  <cp:lastModifiedBy>Vicki Leach-Payne</cp:lastModifiedBy>
  <cp:revision>2</cp:revision>
  <cp:lastPrinted>2014-06-19T13:15:00Z</cp:lastPrinted>
  <dcterms:created xsi:type="dcterms:W3CDTF">2014-06-19T17:23:00Z</dcterms:created>
  <dcterms:modified xsi:type="dcterms:W3CDTF">2014-06-19T17:23:00Z</dcterms:modified>
</cp:coreProperties>
</file>