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E0" w:rsidRDefault="001D05E0">
      <w:pPr>
        <w:pStyle w:val="HTMLPreformatted"/>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BEFORE </w:t>
      </w:r>
    </w:p>
    <w:p w:rsidR="001D05E0" w:rsidRDefault="001D05E0">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THE PUBLIC UTILITIES COMMISSION OF OHIO</w:t>
      </w:r>
    </w:p>
    <w:p w:rsidR="001D05E0" w:rsidRDefault="001D05E0">
      <w:pPr>
        <w:pStyle w:val="HTMLPreformatted"/>
        <w:jc w:val="center"/>
        <w:rPr>
          <w:rFonts w:ascii="Times New Roman" w:hAnsi="Times New Roman" w:cs="Times New Roman"/>
          <w:b/>
          <w:bCs/>
          <w:sz w:val="24"/>
          <w:szCs w:val="24"/>
        </w:rPr>
      </w:pPr>
    </w:p>
    <w:tbl>
      <w:tblPr>
        <w:tblpPr w:leftFromText="180" w:rightFromText="180" w:vertAnchor="page" w:horzAnchor="margin" w:tblpY="2286"/>
        <w:tblW w:w="8844" w:type="dxa"/>
        <w:tblLook w:val="01E0" w:firstRow="1" w:lastRow="1" w:firstColumn="1" w:lastColumn="1" w:noHBand="0" w:noVBand="0"/>
      </w:tblPr>
      <w:tblGrid>
        <w:gridCol w:w="4332"/>
        <w:gridCol w:w="4512"/>
      </w:tblGrid>
      <w:tr w:rsidR="001D05E0">
        <w:trPr>
          <w:trHeight w:val="807"/>
        </w:trPr>
        <w:tc>
          <w:tcPr>
            <w:tcW w:w="4332" w:type="dxa"/>
          </w:tcPr>
          <w:p w:rsidR="00226E4A" w:rsidRDefault="007762FD" w:rsidP="007762FD">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Application of  Columbus Southern Power Company for Administration of the Significantly Excessive Earnings Test under Section 4928.143(F), Revised Code, and Rule 4901:1-35-10, Ohio Administrative Code. </w:t>
            </w:r>
          </w:p>
          <w:p w:rsidR="007762FD" w:rsidRDefault="007762FD" w:rsidP="00585690">
            <w:pPr>
              <w:pStyle w:val="HTMLPreformatted"/>
              <w:rPr>
                <w:rFonts w:ascii="Times New Roman" w:hAnsi="Times New Roman" w:cs="Times New Roman"/>
                <w:sz w:val="24"/>
                <w:szCs w:val="24"/>
              </w:rPr>
            </w:pPr>
          </w:p>
        </w:tc>
        <w:tc>
          <w:tcPr>
            <w:tcW w:w="4512" w:type="dxa"/>
          </w:tcPr>
          <w:p w:rsidR="001D05E0" w:rsidRDefault="001D05E0">
            <w:pPr>
              <w:pStyle w:val="HTMLPreformatted"/>
              <w:rPr>
                <w:rFonts w:ascii="Times New Roman" w:hAnsi="Times New Roman" w:cs="Times New Roman"/>
                <w:sz w:val="24"/>
                <w:szCs w:val="24"/>
                <w:lang w:val="es-ES"/>
              </w:rPr>
            </w:pPr>
            <w:r>
              <w:rPr>
                <w:rFonts w:ascii="Times New Roman" w:hAnsi="Times New Roman" w:cs="Times New Roman"/>
                <w:sz w:val="24"/>
                <w:szCs w:val="24"/>
                <w:lang w:val="es-ES"/>
              </w:rPr>
              <w:t>)</w:t>
            </w:r>
          </w:p>
          <w:p w:rsidR="001D05E0" w:rsidRDefault="001D05E0">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Case No. 11-4571-EL-UNC</w:t>
            </w:r>
          </w:p>
          <w:p w:rsidR="001D05E0" w:rsidRDefault="001D05E0">
            <w:pPr>
              <w:pStyle w:val="HTMLPreformatted"/>
              <w:rPr>
                <w:rFonts w:ascii="Times New Roman" w:hAnsi="Times New Roman" w:cs="Times New Roman"/>
                <w:sz w:val="24"/>
                <w:szCs w:val="24"/>
              </w:rPr>
            </w:pPr>
            <w:r>
              <w:rPr>
                <w:rFonts w:ascii="Times New Roman" w:hAnsi="Times New Roman" w:cs="Times New Roman"/>
                <w:sz w:val="24"/>
                <w:szCs w:val="24"/>
              </w:rPr>
              <w:t>)</w:t>
            </w:r>
          </w:p>
          <w:p w:rsidR="001D05E0" w:rsidRDefault="001D05E0" w:rsidP="00391FFD">
            <w:pPr>
              <w:pStyle w:val="HTMLPreformatted"/>
              <w:rPr>
                <w:rFonts w:ascii="Times New Roman" w:hAnsi="Times New Roman" w:cs="Times New Roman"/>
                <w:sz w:val="24"/>
                <w:szCs w:val="24"/>
              </w:rPr>
            </w:pPr>
            <w:r>
              <w:rPr>
                <w:rFonts w:ascii="Times New Roman" w:hAnsi="Times New Roman" w:cs="Times New Roman"/>
                <w:sz w:val="24"/>
                <w:szCs w:val="24"/>
              </w:rPr>
              <w:t>)</w:t>
            </w:r>
          </w:p>
          <w:p w:rsidR="00585690" w:rsidRDefault="007762FD" w:rsidP="00585690">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p>
          <w:p w:rsidR="007762FD" w:rsidRDefault="007762FD" w:rsidP="00391FFD">
            <w:pPr>
              <w:pStyle w:val="HTMLPreformatted"/>
              <w:rPr>
                <w:rFonts w:ascii="Times New Roman" w:hAnsi="Times New Roman" w:cs="Times New Roman"/>
                <w:sz w:val="24"/>
                <w:szCs w:val="24"/>
              </w:rPr>
            </w:pPr>
          </w:p>
        </w:tc>
      </w:tr>
      <w:tr w:rsidR="001A4319">
        <w:trPr>
          <w:trHeight w:val="807"/>
        </w:trPr>
        <w:tc>
          <w:tcPr>
            <w:tcW w:w="4332" w:type="dxa"/>
          </w:tcPr>
          <w:p w:rsidR="001A4319" w:rsidRDefault="00585690" w:rsidP="00585690">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Application of Ohio Power Company for Administration of the Significantly Excessive Earnings Test under Section 4928.143(F), Revised Code, and Rule 4901:1-35-10, Ohio Administrative Code. </w:t>
            </w:r>
          </w:p>
        </w:tc>
        <w:tc>
          <w:tcPr>
            <w:tcW w:w="4512" w:type="dxa"/>
          </w:tcPr>
          <w:p w:rsidR="00585690" w:rsidRDefault="00585690" w:rsidP="00585690">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tab/>
              <w:t>Case No. 11-4572-EL-UNC</w:t>
            </w:r>
          </w:p>
          <w:p w:rsidR="00585690" w:rsidRDefault="00585690" w:rsidP="00585690">
            <w:pPr>
              <w:pStyle w:val="HTMLPreformatted"/>
              <w:rPr>
                <w:rFonts w:ascii="Times New Roman" w:hAnsi="Times New Roman" w:cs="Times New Roman"/>
                <w:sz w:val="24"/>
                <w:szCs w:val="24"/>
              </w:rPr>
            </w:pPr>
            <w:r>
              <w:rPr>
                <w:rFonts w:ascii="Times New Roman" w:hAnsi="Times New Roman" w:cs="Times New Roman"/>
                <w:sz w:val="24"/>
                <w:szCs w:val="24"/>
              </w:rPr>
              <w:t>)</w:t>
            </w:r>
          </w:p>
          <w:p w:rsidR="00585690" w:rsidRDefault="00585690" w:rsidP="00585690">
            <w:pPr>
              <w:pStyle w:val="HTMLPreformatted"/>
              <w:rPr>
                <w:rFonts w:ascii="Times New Roman" w:hAnsi="Times New Roman" w:cs="Times New Roman"/>
                <w:sz w:val="24"/>
                <w:szCs w:val="24"/>
              </w:rPr>
            </w:pPr>
            <w:r>
              <w:rPr>
                <w:rFonts w:ascii="Times New Roman" w:hAnsi="Times New Roman" w:cs="Times New Roman"/>
                <w:sz w:val="24"/>
                <w:szCs w:val="24"/>
              </w:rPr>
              <w:t>)</w:t>
            </w:r>
          </w:p>
          <w:p w:rsidR="001A4319" w:rsidRDefault="00585690" w:rsidP="00585690">
            <w:pPr>
              <w:pStyle w:val="HTMLPreformatted"/>
              <w:rPr>
                <w:rFonts w:ascii="Times New Roman" w:hAnsi="Times New Roman" w:cs="Times New Roman"/>
                <w:sz w:val="24"/>
                <w:szCs w:val="24"/>
                <w:lang w:val="es-ES"/>
              </w:rPr>
            </w:pPr>
            <w:r>
              <w:rPr>
                <w:rFonts w:ascii="Times New Roman" w:hAnsi="Times New Roman" w:cs="Times New Roman"/>
                <w:sz w:val="24"/>
                <w:szCs w:val="24"/>
              </w:rPr>
              <w:t>)</w:t>
            </w:r>
          </w:p>
        </w:tc>
      </w:tr>
    </w:tbl>
    <w:p w:rsidR="001D05E0" w:rsidRDefault="001D05E0">
      <w:pPr>
        <w:jc w:val="center"/>
        <w:rPr>
          <w:b/>
        </w:rPr>
      </w:pPr>
    </w:p>
    <w:p w:rsidR="001D05E0" w:rsidRDefault="001D05E0">
      <w:pPr>
        <w:pBdr>
          <w:top w:val="single" w:sz="4" w:space="1" w:color="auto"/>
        </w:pBdr>
        <w:jc w:val="center"/>
        <w:rPr>
          <w:b/>
        </w:rPr>
      </w:pPr>
    </w:p>
    <w:p w:rsidR="001D05E0" w:rsidRDefault="00F44F35">
      <w:pPr>
        <w:pBdr>
          <w:top w:val="single" w:sz="4" w:space="1" w:color="auto"/>
        </w:pBdr>
        <w:jc w:val="center"/>
        <w:rPr>
          <w:b/>
        </w:rPr>
      </w:pPr>
      <w:r>
        <w:rPr>
          <w:b/>
        </w:rPr>
        <w:t>APPLICATION FOR REHEARING</w:t>
      </w:r>
    </w:p>
    <w:p w:rsidR="001D05E0" w:rsidRDefault="001D05E0">
      <w:pPr>
        <w:jc w:val="center"/>
        <w:rPr>
          <w:b/>
        </w:rPr>
      </w:pPr>
      <w:r>
        <w:rPr>
          <w:b/>
        </w:rPr>
        <w:t>BY</w:t>
      </w:r>
    </w:p>
    <w:p w:rsidR="001D05E0" w:rsidRDefault="001D05E0">
      <w:pPr>
        <w:jc w:val="center"/>
        <w:rPr>
          <w:b/>
        </w:rPr>
      </w:pPr>
      <w:r>
        <w:rPr>
          <w:b/>
        </w:rPr>
        <w:t>THE OFFICE OF THE OHIO CONSUMERS’ COUNSEL</w:t>
      </w:r>
    </w:p>
    <w:p w:rsidR="001D05E0" w:rsidRDefault="001D05E0">
      <w:pPr>
        <w:pBdr>
          <w:bottom w:val="single" w:sz="4" w:space="1" w:color="auto"/>
        </w:pBdr>
      </w:pPr>
    </w:p>
    <w:p w:rsidR="001D05E0" w:rsidRDefault="001D05E0"/>
    <w:p w:rsidR="002B1475" w:rsidRDefault="002B1475">
      <w:pPr>
        <w:pStyle w:val="Footer"/>
        <w:tabs>
          <w:tab w:val="clear" w:pos="8640"/>
          <w:tab w:val="left" w:pos="4320"/>
        </w:tabs>
        <w:rPr>
          <w:sz w:val="24"/>
          <w:szCs w:val="24"/>
        </w:rPr>
      </w:pPr>
    </w:p>
    <w:p w:rsidR="002B1475" w:rsidRDefault="002B1475">
      <w:pPr>
        <w:pStyle w:val="Footer"/>
        <w:tabs>
          <w:tab w:val="clear" w:pos="8640"/>
          <w:tab w:val="left" w:pos="4320"/>
        </w:tabs>
        <w:rPr>
          <w:sz w:val="24"/>
          <w:szCs w:val="24"/>
        </w:rPr>
      </w:pPr>
    </w:p>
    <w:p w:rsidR="001D05E0" w:rsidRDefault="002B1475">
      <w:pPr>
        <w:pStyle w:val="Footer"/>
        <w:tabs>
          <w:tab w:val="clear" w:pos="8640"/>
          <w:tab w:val="left" w:pos="4320"/>
        </w:tabs>
        <w:rPr>
          <w:sz w:val="24"/>
          <w:szCs w:val="24"/>
        </w:rPr>
      </w:pPr>
      <w:r>
        <w:rPr>
          <w:sz w:val="24"/>
          <w:szCs w:val="24"/>
        </w:rPr>
        <w:tab/>
      </w:r>
      <w:r w:rsidR="001D05E0">
        <w:rPr>
          <w:sz w:val="24"/>
          <w:szCs w:val="24"/>
        </w:rPr>
        <w:t>BRUCE J. WESTON</w:t>
      </w:r>
    </w:p>
    <w:p w:rsidR="001D05E0" w:rsidRDefault="00B40937">
      <w:pPr>
        <w:tabs>
          <w:tab w:val="left" w:pos="4320"/>
        </w:tabs>
        <w:rPr>
          <w:szCs w:val="24"/>
        </w:rPr>
      </w:pPr>
      <w:r>
        <w:rPr>
          <w:szCs w:val="24"/>
        </w:rPr>
        <w:tab/>
      </w:r>
      <w:r w:rsidR="00537F46">
        <w:t xml:space="preserve">OHIO </w:t>
      </w:r>
      <w:r w:rsidR="001D05E0">
        <w:rPr>
          <w:szCs w:val="24"/>
        </w:rPr>
        <w:t>CONSUMERS’ COUNSEL</w:t>
      </w:r>
    </w:p>
    <w:p w:rsidR="001D05E0" w:rsidRDefault="001D05E0">
      <w:pPr>
        <w:tabs>
          <w:tab w:val="left" w:pos="4320"/>
        </w:tabs>
        <w:rPr>
          <w:szCs w:val="24"/>
        </w:rPr>
      </w:pPr>
    </w:p>
    <w:p w:rsidR="001D05E0" w:rsidRDefault="001D05E0">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Melissa R. Yost, Counsel of Record</w:t>
      </w:r>
    </w:p>
    <w:p w:rsidR="00B40937" w:rsidRDefault="00B40937">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Deputy Consumers’ Counsel</w:t>
      </w:r>
    </w:p>
    <w:p w:rsidR="001D05E0" w:rsidRDefault="001D05E0">
      <w:pPr>
        <w:tabs>
          <w:tab w:val="left" w:pos="4320"/>
        </w:tabs>
        <w:rPr>
          <w:szCs w:val="24"/>
        </w:rPr>
      </w:pPr>
      <w:r>
        <w:rPr>
          <w:szCs w:val="24"/>
        </w:rPr>
        <w:tab/>
        <w:t>Kyle L. Kern</w:t>
      </w:r>
    </w:p>
    <w:p w:rsidR="001D05E0" w:rsidRDefault="001D05E0">
      <w:pPr>
        <w:tabs>
          <w:tab w:val="left" w:pos="4320"/>
        </w:tabs>
        <w:rPr>
          <w:szCs w:val="24"/>
        </w:rPr>
      </w:pPr>
      <w:r>
        <w:rPr>
          <w:szCs w:val="24"/>
        </w:rPr>
        <w:tab/>
        <w:t>Assistant Consumers’ Counsel</w:t>
      </w:r>
    </w:p>
    <w:p w:rsidR="001D05E0" w:rsidRDefault="001D05E0">
      <w:pPr>
        <w:tabs>
          <w:tab w:val="left" w:pos="4320"/>
        </w:tabs>
        <w:rPr>
          <w:szCs w:val="24"/>
        </w:rPr>
      </w:pPr>
    </w:p>
    <w:p w:rsidR="001D05E0" w:rsidRDefault="001D05E0">
      <w:pPr>
        <w:rPr>
          <w:b/>
        </w:rPr>
      </w:pPr>
      <w:r>
        <w:rPr>
          <w:b/>
        </w:rPr>
        <w:tab/>
      </w:r>
      <w:r>
        <w:rPr>
          <w:b/>
        </w:rPr>
        <w:tab/>
      </w:r>
      <w:r>
        <w:rPr>
          <w:b/>
        </w:rPr>
        <w:tab/>
      </w:r>
      <w:r>
        <w:rPr>
          <w:b/>
        </w:rPr>
        <w:tab/>
      </w:r>
      <w:r>
        <w:rPr>
          <w:b/>
        </w:rPr>
        <w:tab/>
      </w:r>
      <w:r>
        <w:rPr>
          <w:b/>
        </w:rPr>
        <w:tab/>
        <w:t>Office of the Ohio Consumers’ Counsel</w:t>
      </w:r>
    </w:p>
    <w:p w:rsidR="001D05E0" w:rsidRDefault="001D05E0">
      <w:r>
        <w:tab/>
      </w:r>
      <w:r>
        <w:tab/>
      </w:r>
      <w:r>
        <w:tab/>
      </w:r>
      <w:r>
        <w:tab/>
      </w:r>
      <w:r>
        <w:tab/>
      </w:r>
      <w:r>
        <w:tab/>
        <w:t>10 West Broad Street, Suite 1800</w:t>
      </w:r>
    </w:p>
    <w:p w:rsidR="001D05E0" w:rsidRDefault="001D05E0">
      <w:r>
        <w:tab/>
      </w:r>
      <w:r>
        <w:tab/>
      </w:r>
      <w:r>
        <w:tab/>
      </w:r>
      <w:r>
        <w:tab/>
      </w:r>
      <w:r>
        <w:tab/>
      </w:r>
      <w:r>
        <w:tab/>
        <w:t>Columbus, Ohio 43215-3485</w:t>
      </w:r>
    </w:p>
    <w:p w:rsidR="001D05E0" w:rsidRDefault="001D05E0">
      <w:pPr>
        <w:autoSpaceDE w:val="0"/>
        <w:autoSpaceDN w:val="0"/>
        <w:adjustRightInd w:val="0"/>
        <w:rPr>
          <w:szCs w:val="24"/>
        </w:rPr>
      </w:pPr>
      <w:r>
        <w:rPr>
          <w:b/>
        </w:rPr>
        <w:tab/>
      </w:r>
      <w:r>
        <w:rPr>
          <w:b/>
        </w:rPr>
        <w:tab/>
      </w:r>
      <w:r>
        <w:rPr>
          <w:b/>
        </w:rPr>
        <w:tab/>
      </w:r>
      <w:r>
        <w:rPr>
          <w:b/>
        </w:rPr>
        <w:tab/>
      </w:r>
      <w:r>
        <w:rPr>
          <w:b/>
        </w:rPr>
        <w:tab/>
      </w:r>
      <w:r>
        <w:rPr>
          <w:b/>
        </w:rPr>
        <w:tab/>
      </w:r>
      <w:r>
        <w:rPr>
          <w:szCs w:val="24"/>
        </w:rPr>
        <w:t>Telephone: (Yost) (614) 466-1291</w:t>
      </w:r>
    </w:p>
    <w:p w:rsidR="001D05E0" w:rsidRDefault="001D05E0">
      <w:pPr>
        <w:autoSpaceDE w:val="0"/>
        <w:autoSpaceDN w:val="0"/>
        <w:adjustRightInd w:val="0"/>
        <w:ind w:left="3600" w:firstLine="720"/>
        <w:rPr>
          <w:szCs w:val="24"/>
        </w:rPr>
      </w:pPr>
      <w:r>
        <w:rPr>
          <w:szCs w:val="24"/>
        </w:rPr>
        <w:t>Telephone: (Kern) (614) 466-9585</w:t>
      </w:r>
    </w:p>
    <w:p w:rsidR="001D05E0" w:rsidRDefault="001D05E0">
      <w:r>
        <w:tab/>
      </w:r>
      <w:r>
        <w:tab/>
      </w:r>
      <w:r>
        <w:tab/>
      </w:r>
      <w:r>
        <w:tab/>
      </w:r>
      <w:r>
        <w:tab/>
      </w:r>
      <w:r>
        <w:tab/>
      </w:r>
      <w:hyperlink r:id="rId8" w:history="1">
        <w:r>
          <w:rPr>
            <w:rStyle w:val="Hyperlink"/>
          </w:rPr>
          <w:t>yost@occ.state.oh.us</w:t>
        </w:r>
      </w:hyperlink>
    </w:p>
    <w:p w:rsidR="001D05E0" w:rsidRDefault="001D05E0">
      <w:r>
        <w:tab/>
      </w:r>
      <w:r>
        <w:tab/>
      </w:r>
      <w:r>
        <w:tab/>
      </w:r>
      <w:r>
        <w:tab/>
      </w:r>
      <w:r>
        <w:tab/>
      </w:r>
      <w:r>
        <w:tab/>
      </w:r>
      <w:hyperlink r:id="rId9" w:history="1">
        <w:r>
          <w:rPr>
            <w:rStyle w:val="Hyperlink"/>
          </w:rPr>
          <w:t>kern@occ.state.oh.us</w:t>
        </w:r>
      </w:hyperlink>
    </w:p>
    <w:p w:rsidR="001D05E0" w:rsidRDefault="001D05E0">
      <w:r>
        <w:tab/>
      </w:r>
      <w:r>
        <w:tab/>
      </w:r>
      <w:r>
        <w:tab/>
      </w:r>
      <w:r>
        <w:tab/>
      </w:r>
      <w:r>
        <w:tab/>
      </w:r>
      <w:r>
        <w:tab/>
      </w:r>
    </w:p>
    <w:p w:rsidR="001D05E0" w:rsidRDefault="00B40937">
      <w:pPr>
        <w:tabs>
          <w:tab w:val="left" w:pos="4320"/>
        </w:tabs>
        <w:rPr>
          <w:szCs w:val="24"/>
        </w:rPr>
      </w:pPr>
      <w:r>
        <w:rPr>
          <w:szCs w:val="24"/>
        </w:rPr>
        <w:t>November 22, 2013</w:t>
      </w:r>
    </w:p>
    <w:p w:rsidR="001D05E0" w:rsidRDefault="001D05E0">
      <w:pPr>
        <w:pStyle w:val="BodyTextIndent3"/>
        <w:widowControl w:val="0"/>
        <w:spacing w:line="480" w:lineRule="auto"/>
        <w:ind w:left="3600" w:right="-672" w:firstLine="0"/>
        <w:rPr>
          <w:szCs w:val="24"/>
        </w:rPr>
        <w:sectPr w:rsidR="001D05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65"/>
        </w:sectPr>
      </w:pPr>
    </w:p>
    <w:p w:rsidR="00071BC1" w:rsidRDefault="00071BC1" w:rsidP="00071BC1">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BEFORE </w:t>
      </w:r>
    </w:p>
    <w:p w:rsidR="00071BC1" w:rsidRDefault="00071BC1" w:rsidP="00071BC1">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THE PUBLIC UTILITIES COMMISSION OF OHIO</w:t>
      </w:r>
    </w:p>
    <w:p w:rsidR="00071BC1" w:rsidRDefault="00071BC1" w:rsidP="00071BC1">
      <w:pPr>
        <w:pStyle w:val="HTMLPreformatted"/>
        <w:jc w:val="center"/>
        <w:rPr>
          <w:rFonts w:ascii="Times New Roman" w:hAnsi="Times New Roman" w:cs="Times New Roman"/>
          <w:b/>
          <w:bCs/>
          <w:sz w:val="24"/>
          <w:szCs w:val="24"/>
        </w:rPr>
      </w:pPr>
    </w:p>
    <w:tbl>
      <w:tblPr>
        <w:tblpPr w:leftFromText="180" w:rightFromText="180" w:vertAnchor="page" w:horzAnchor="margin" w:tblpY="2286"/>
        <w:tblW w:w="8844" w:type="dxa"/>
        <w:tblLook w:val="01E0" w:firstRow="1" w:lastRow="1" w:firstColumn="1" w:lastColumn="1" w:noHBand="0" w:noVBand="0"/>
      </w:tblPr>
      <w:tblGrid>
        <w:gridCol w:w="4332"/>
        <w:gridCol w:w="4512"/>
      </w:tblGrid>
      <w:tr w:rsidR="00071BC1" w:rsidTr="00BC633D">
        <w:trPr>
          <w:trHeight w:val="807"/>
        </w:trPr>
        <w:tc>
          <w:tcPr>
            <w:tcW w:w="4332" w:type="dxa"/>
          </w:tcPr>
          <w:p w:rsidR="00291467" w:rsidRDefault="00071BC1" w:rsidP="00291467">
            <w:pPr>
              <w:pStyle w:val="HTMLPreformatted"/>
              <w:rPr>
                <w:rFonts w:ascii="Times New Roman" w:hAnsi="Times New Roman" w:cs="Times New Roman"/>
                <w:sz w:val="24"/>
                <w:szCs w:val="24"/>
              </w:rPr>
            </w:pPr>
            <w:r>
              <w:rPr>
                <w:rFonts w:ascii="Times New Roman" w:hAnsi="Times New Roman" w:cs="Times New Roman"/>
                <w:sz w:val="24"/>
                <w:szCs w:val="24"/>
              </w:rPr>
              <w:t>I</w:t>
            </w:r>
            <w:r w:rsidR="00291467">
              <w:rPr>
                <w:rFonts w:ascii="Times New Roman" w:hAnsi="Times New Roman" w:cs="Times New Roman"/>
                <w:sz w:val="24"/>
                <w:szCs w:val="24"/>
              </w:rPr>
              <w:t xml:space="preserve"> In the Matter of the Application of  Columbus Southern Power Company for Administration of the Significantly Excessive Earnings Test under Section 4928.143(F), Revised Code, and Rule 4901:1-35-10, Ohio Administrative Code. </w:t>
            </w:r>
          </w:p>
          <w:p w:rsidR="007406A3" w:rsidRDefault="007406A3" w:rsidP="00291467">
            <w:pPr>
              <w:pStyle w:val="HTMLPreformatted"/>
              <w:rPr>
                <w:rFonts w:ascii="Times New Roman" w:hAnsi="Times New Roman" w:cs="Times New Roman"/>
                <w:sz w:val="24"/>
                <w:szCs w:val="24"/>
              </w:rPr>
            </w:pPr>
          </w:p>
          <w:p w:rsidR="00291467" w:rsidRDefault="00291467" w:rsidP="00291467">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Application of Ohio Power Company for Administration of the Significantly Excessive Earnings Test under Section 4928.143(F), Revised Code, and Rule 4901:1-35-10, Ohio Administrative Code. </w:t>
            </w:r>
          </w:p>
          <w:p w:rsidR="00071BC1" w:rsidRDefault="00071BC1" w:rsidP="00291467">
            <w:pPr>
              <w:pStyle w:val="HTMLPreformatted"/>
              <w:rPr>
                <w:rFonts w:ascii="Times New Roman" w:hAnsi="Times New Roman" w:cs="Times New Roman"/>
                <w:sz w:val="24"/>
                <w:szCs w:val="24"/>
              </w:rPr>
            </w:pPr>
          </w:p>
        </w:tc>
        <w:tc>
          <w:tcPr>
            <w:tcW w:w="4512" w:type="dxa"/>
          </w:tcPr>
          <w:p w:rsidR="00071BC1" w:rsidRDefault="00071BC1" w:rsidP="00BC633D">
            <w:pPr>
              <w:pStyle w:val="HTMLPreformatted"/>
              <w:rPr>
                <w:rFonts w:ascii="Times New Roman" w:hAnsi="Times New Roman" w:cs="Times New Roman"/>
                <w:sz w:val="24"/>
                <w:szCs w:val="24"/>
                <w:lang w:val="es-ES"/>
              </w:rPr>
            </w:pPr>
            <w:r>
              <w:rPr>
                <w:rFonts w:ascii="Times New Roman" w:hAnsi="Times New Roman" w:cs="Times New Roman"/>
                <w:sz w:val="24"/>
                <w:szCs w:val="24"/>
                <w:lang w:val="es-ES"/>
              </w:rPr>
              <w:t>)</w:t>
            </w:r>
          </w:p>
          <w:p w:rsidR="00071BC1" w:rsidRDefault="00071BC1" w:rsidP="00BC633D">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Case No. 11-4571-EL-UNC</w:t>
            </w:r>
          </w:p>
          <w:p w:rsidR="00071BC1" w:rsidRDefault="00071BC1" w:rsidP="00BC633D">
            <w:pPr>
              <w:pStyle w:val="HTMLPreformatted"/>
              <w:rPr>
                <w:rFonts w:ascii="Times New Roman" w:hAnsi="Times New Roman" w:cs="Times New Roman"/>
                <w:sz w:val="24"/>
                <w:szCs w:val="24"/>
              </w:rPr>
            </w:pPr>
            <w:r>
              <w:rPr>
                <w:rFonts w:ascii="Times New Roman" w:hAnsi="Times New Roman" w:cs="Times New Roman"/>
                <w:sz w:val="24"/>
                <w:szCs w:val="24"/>
              </w:rPr>
              <w:t>)</w:t>
            </w:r>
          </w:p>
          <w:p w:rsidR="00071BC1" w:rsidRDefault="00071BC1" w:rsidP="00BC633D">
            <w:pPr>
              <w:pStyle w:val="HTMLPreformatted"/>
              <w:rPr>
                <w:rFonts w:ascii="Times New Roman" w:hAnsi="Times New Roman" w:cs="Times New Roman"/>
                <w:sz w:val="24"/>
                <w:szCs w:val="24"/>
              </w:rPr>
            </w:pPr>
            <w:r>
              <w:rPr>
                <w:rFonts w:ascii="Times New Roman" w:hAnsi="Times New Roman" w:cs="Times New Roman"/>
                <w:sz w:val="24"/>
                <w:szCs w:val="24"/>
              </w:rPr>
              <w:t>)</w:t>
            </w:r>
          </w:p>
          <w:p w:rsidR="00291467" w:rsidRDefault="00291467" w:rsidP="00BC633D">
            <w:pPr>
              <w:pStyle w:val="HTMLPreformatted"/>
              <w:rPr>
                <w:rFonts w:ascii="Times New Roman" w:hAnsi="Times New Roman" w:cs="Times New Roman"/>
                <w:sz w:val="24"/>
                <w:szCs w:val="24"/>
              </w:rPr>
            </w:pPr>
            <w:r>
              <w:rPr>
                <w:rFonts w:ascii="Times New Roman" w:hAnsi="Times New Roman" w:cs="Times New Roman"/>
                <w:sz w:val="24"/>
                <w:szCs w:val="24"/>
              </w:rPr>
              <w:t>)</w:t>
            </w:r>
          </w:p>
          <w:p w:rsidR="00291467" w:rsidRDefault="00291467" w:rsidP="00BC633D">
            <w:pPr>
              <w:pStyle w:val="HTMLPreformatted"/>
              <w:rPr>
                <w:rFonts w:ascii="Times New Roman" w:hAnsi="Times New Roman" w:cs="Times New Roman"/>
                <w:sz w:val="24"/>
                <w:szCs w:val="24"/>
              </w:rPr>
            </w:pPr>
            <w:r>
              <w:rPr>
                <w:rFonts w:ascii="Times New Roman" w:hAnsi="Times New Roman" w:cs="Times New Roman"/>
                <w:sz w:val="24"/>
                <w:szCs w:val="24"/>
              </w:rPr>
              <w:t>)</w:t>
            </w:r>
          </w:p>
          <w:p w:rsidR="00291467" w:rsidRDefault="00291467" w:rsidP="00BC633D">
            <w:pPr>
              <w:pStyle w:val="HTMLPreformatted"/>
              <w:rPr>
                <w:rFonts w:ascii="Times New Roman" w:hAnsi="Times New Roman" w:cs="Times New Roman"/>
                <w:sz w:val="24"/>
                <w:szCs w:val="24"/>
              </w:rPr>
            </w:pPr>
          </w:p>
          <w:p w:rsidR="00291467" w:rsidRDefault="00291467" w:rsidP="00BC633D">
            <w:pPr>
              <w:pStyle w:val="HTMLPreformatted"/>
              <w:rPr>
                <w:rFonts w:ascii="Times New Roman" w:hAnsi="Times New Roman" w:cs="Times New Roman"/>
                <w:sz w:val="24"/>
                <w:szCs w:val="24"/>
              </w:rPr>
            </w:pPr>
            <w:r>
              <w:rPr>
                <w:rFonts w:ascii="Times New Roman" w:hAnsi="Times New Roman" w:cs="Times New Roman"/>
                <w:sz w:val="24"/>
                <w:szCs w:val="24"/>
              </w:rPr>
              <w:t>)</w:t>
            </w:r>
          </w:p>
          <w:p w:rsidR="00291467" w:rsidRDefault="00291467" w:rsidP="00BC633D">
            <w:pPr>
              <w:pStyle w:val="HTMLPreformatted"/>
              <w:rPr>
                <w:rFonts w:ascii="Times New Roman" w:hAnsi="Times New Roman" w:cs="Times New Roman"/>
                <w:sz w:val="24"/>
                <w:szCs w:val="24"/>
              </w:rPr>
            </w:pPr>
            <w:r>
              <w:rPr>
                <w:rFonts w:ascii="Times New Roman" w:hAnsi="Times New Roman" w:cs="Times New Roman"/>
                <w:sz w:val="24"/>
                <w:szCs w:val="24"/>
              </w:rPr>
              <w:t>)</w:t>
            </w:r>
          </w:p>
          <w:p w:rsidR="00291467" w:rsidRDefault="00291467" w:rsidP="00BC633D">
            <w:pPr>
              <w:pStyle w:val="HTMLPreformatted"/>
              <w:rPr>
                <w:rFonts w:ascii="Times New Roman" w:hAnsi="Times New Roman" w:cs="Times New Roman"/>
                <w:sz w:val="24"/>
                <w:szCs w:val="24"/>
              </w:rPr>
            </w:pPr>
            <w:r>
              <w:rPr>
                <w:rFonts w:ascii="Times New Roman" w:hAnsi="Times New Roman" w:cs="Times New Roman"/>
                <w:sz w:val="24"/>
                <w:szCs w:val="24"/>
              </w:rPr>
              <w:t>)</w:t>
            </w:r>
            <w:r w:rsidR="001A4319">
              <w:rPr>
                <w:rFonts w:ascii="Times New Roman" w:hAnsi="Times New Roman" w:cs="Times New Roman"/>
                <w:sz w:val="24"/>
                <w:szCs w:val="24"/>
              </w:rPr>
              <w:tab/>
              <w:t>Case No. 11-4572-EL-UNC</w:t>
            </w:r>
          </w:p>
          <w:p w:rsidR="00291467" w:rsidRDefault="00291467" w:rsidP="00BC633D">
            <w:pPr>
              <w:pStyle w:val="HTMLPreformatted"/>
              <w:rPr>
                <w:rFonts w:ascii="Times New Roman" w:hAnsi="Times New Roman" w:cs="Times New Roman"/>
                <w:sz w:val="24"/>
                <w:szCs w:val="24"/>
              </w:rPr>
            </w:pPr>
            <w:r>
              <w:rPr>
                <w:rFonts w:ascii="Times New Roman" w:hAnsi="Times New Roman" w:cs="Times New Roman"/>
                <w:sz w:val="24"/>
                <w:szCs w:val="24"/>
              </w:rPr>
              <w:t>)</w:t>
            </w:r>
          </w:p>
          <w:p w:rsidR="00291467" w:rsidRDefault="00291467" w:rsidP="00BC633D">
            <w:pPr>
              <w:pStyle w:val="HTMLPreformatted"/>
              <w:rPr>
                <w:rFonts w:ascii="Times New Roman" w:hAnsi="Times New Roman" w:cs="Times New Roman"/>
                <w:sz w:val="24"/>
                <w:szCs w:val="24"/>
              </w:rPr>
            </w:pPr>
            <w:r>
              <w:rPr>
                <w:rFonts w:ascii="Times New Roman" w:hAnsi="Times New Roman" w:cs="Times New Roman"/>
                <w:sz w:val="24"/>
                <w:szCs w:val="24"/>
              </w:rPr>
              <w:t>)</w:t>
            </w:r>
          </w:p>
          <w:p w:rsidR="00291467" w:rsidRDefault="00291467" w:rsidP="00BC633D">
            <w:pPr>
              <w:pStyle w:val="HTMLPreformatted"/>
              <w:rPr>
                <w:rFonts w:ascii="Times New Roman" w:hAnsi="Times New Roman" w:cs="Times New Roman"/>
                <w:sz w:val="24"/>
                <w:szCs w:val="24"/>
              </w:rPr>
            </w:pPr>
            <w:r>
              <w:rPr>
                <w:rFonts w:ascii="Times New Roman" w:hAnsi="Times New Roman" w:cs="Times New Roman"/>
                <w:sz w:val="24"/>
                <w:szCs w:val="24"/>
              </w:rPr>
              <w:t>)</w:t>
            </w:r>
          </w:p>
        </w:tc>
      </w:tr>
    </w:tbl>
    <w:p w:rsidR="00071BC1" w:rsidRDefault="00071BC1" w:rsidP="00226E4A">
      <w:pPr>
        <w:rPr>
          <w:b/>
        </w:rPr>
      </w:pPr>
    </w:p>
    <w:p w:rsidR="00071BC1" w:rsidRDefault="00071BC1" w:rsidP="00071BC1">
      <w:pPr>
        <w:pBdr>
          <w:top w:val="single" w:sz="4" w:space="1" w:color="auto"/>
        </w:pBdr>
        <w:jc w:val="center"/>
        <w:rPr>
          <w:b/>
        </w:rPr>
      </w:pPr>
    </w:p>
    <w:p w:rsidR="00071BC1" w:rsidRDefault="00071BC1" w:rsidP="00071BC1">
      <w:pPr>
        <w:pBdr>
          <w:top w:val="single" w:sz="4" w:space="1" w:color="auto"/>
        </w:pBdr>
        <w:jc w:val="center"/>
        <w:rPr>
          <w:b/>
        </w:rPr>
      </w:pPr>
      <w:r>
        <w:rPr>
          <w:b/>
        </w:rPr>
        <w:t>APPLICATION FOR REHEARING</w:t>
      </w:r>
    </w:p>
    <w:p w:rsidR="00071BC1" w:rsidRDefault="00071BC1" w:rsidP="00071BC1">
      <w:pPr>
        <w:jc w:val="center"/>
        <w:rPr>
          <w:b/>
        </w:rPr>
      </w:pPr>
      <w:r>
        <w:rPr>
          <w:b/>
        </w:rPr>
        <w:t>BY</w:t>
      </w:r>
    </w:p>
    <w:p w:rsidR="00071BC1" w:rsidRDefault="00071BC1" w:rsidP="00071BC1">
      <w:pPr>
        <w:jc w:val="center"/>
        <w:rPr>
          <w:b/>
        </w:rPr>
      </w:pPr>
      <w:r>
        <w:rPr>
          <w:b/>
        </w:rPr>
        <w:t>THE OFFICE OF THE OHIO CONSUMERS’ COUNSEL</w:t>
      </w:r>
    </w:p>
    <w:p w:rsidR="00071BC1" w:rsidRDefault="00071BC1" w:rsidP="00071BC1">
      <w:pPr>
        <w:pBdr>
          <w:bottom w:val="single" w:sz="4" w:space="1" w:color="auto"/>
        </w:pBdr>
      </w:pPr>
    </w:p>
    <w:p w:rsidR="000C1B0A" w:rsidRDefault="000C1B0A" w:rsidP="000C1B0A">
      <w:pPr>
        <w:pStyle w:val="BodyText"/>
        <w:spacing w:line="480" w:lineRule="auto"/>
        <w:ind w:right="148" w:firstLine="940"/>
        <w:jc w:val="left"/>
      </w:pPr>
    </w:p>
    <w:p w:rsidR="00B40937" w:rsidRDefault="00004AFE" w:rsidP="000C1B0A">
      <w:pPr>
        <w:pStyle w:val="BodyText"/>
        <w:spacing w:line="480" w:lineRule="auto"/>
        <w:ind w:right="148" w:firstLine="940"/>
        <w:jc w:val="left"/>
      </w:pPr>
      <w:r>
        <w:t xml:space="preserve">This case involves the </w:t>
      </w:r>
      <w:r w:rsidR="00990048">
        <w:t xml:space="preserve">determination of </w:t>
      </w:r>
      <w:r>
        <w:t xml:space="preserve">the amount of refund customers should receive because </w:t>
      </w:r>
      <w:r w:rsidR="001A15F4">
        <w:rPr>
          <w:szCs w:val="24"/>
        </w:rPr>
        <w:t>Columbus Southern Power Company</w:t>
      </w:r>
      <w:r w:rsidR="00990048">
        <w:rPr>
          <w:szCs w:val="24"/>
        </w:rPr>
        <w:t xml:space="preserve">’s </w:t>
      </w:r>
      <w:r w:rsidR="001A15F4">
        <w:rPr>
          <w:szCs w:val="24"/>
        </w:rPr>
        <w:t>(“CSP” or “the Company”</w:t>
      </w:r>
      <w:r w:rsidR="00FA7307">
        <w:rPr>
          <w:szCs w:val="24"/>
        </w:rPr>
        <w:t xml:space="preserve"> or “AEP Ohio”</w:t>
      </w:r>
      <w:r w:rsidR="001A15F4">
        <w:rPr>
          <w:szCs w:val="24"/>
        </w:rPr>
        <w:t>)</w:t>
      </w:r>
      <w:r w:rsidR="001A15F4">
        <w:rPr>
          <w:rStyle w:val="FootnoteReference"/>
          <w:szCs w:val="24"/>
        </w:rPr>
        <w:t xml:space="preserve"> </w:t>
      </w:r>
      <w:r w:rsidR="00990048">
        <w:rPr>
          <w:szCs w:val="24"/>
        </w:rPr>
        <w:t xml:space="preserve">2010 earnings </w:t>
      </w:r>
      <w:r>
        <w:t xml:space="preserve">were </w:t>
      </w:r>
      <w:r w:rsidR="001A15F4">
        <w:rPr>
          <w:szCs w:val="24"/>
        </w:rPr>
        <w:t>“significantly excessive</w:t>
      </w:r>
      <w:r>
        <w:rPr>
          <w:szCs w:val="24"/>
        </w:rPr>
        <w:t>.</w:t>
      </w:r>
      <w:r w:rsidR="001A15F4">
        <w:rPr>
          <w:szCs w:val="24"/>
        </w:rPr>
        <w:t>”</w:t>
      </w:r>
      <w:r>
        <w:rPr>
          <w:rStyle w:val="FootnoteReference"/>
          <w:szCs w:val="24"/>
        </w:rPr>
        <w:footnoteReference w:id="1"/>
      </w:r>
      <w:r w:rsidR="001A15F4">
        <w:rPr>
          <w:szCs w:val="24"/>
        </w:rPr>
        <w:t xml:space="preserve"> </w:t>
      </w:r>
      <w:r>
        <w:rPr>
          <w:spacing w:val="-1"/>
        </w:rPr>
        <w:t>T</w:t>
      </w:r>
      <w:r>
        <w:t>he</w:t>
      </w:r>
      <w:r>
        <w:rPr>
          <w:spacing w:val="-5"/>
        </w:rPr>
        <w:t xml:space="preserve"> </w:t>
      </w:r>
      <w:r>
        <w:rPr>
          <w:spacing w:val="-1"/>
        </w:rPr>
        <w:t>Off</w:t>
      </w:r>
      <w:r>
        <w:t>i</w:t>
      </w:r>
      <w:r>
        <w:rPr>
          <w:spacing w:val="1"/>
        </w:rPr>
        <w:t>c</w:t>
      </w:r>
      <w:r>
        <w:t>e</w:t>
      </w:r>
      <w:r>
        <w:rPr>
          <w:spacing w:val="-4"/>
        </w:rPr>
        <w:t xml:space="preserve"> </w:t>
      </w:r>
      <w:r>
        <w:t>of</w:t>
      </w:r>
      <w:r>
        <w:rPr>
          <w:spacing w:val="-4"/>
        </w:rPr>
        <w:t xml:space="preserve"> </w:t>
      </w:r>
      <w:r>
        <w:t>the</w:t>
      </w:r>
      <w:r>
        <w:rPr>
          <w:spacing w:val="-3"/>
        </w:rPr>
        <w:t xml:space="preserve"> </w:t>
      </w:r>
      <w:r>
        <w:rPr>
          <w:spacing w:val="-1"/>
        </w:rPr>
        <w:t>O</w:t>
      </w:r>
      <w:r>
        <w:t>hio</w:t>
      </w:r>
      <w:r>
        <w:rPr>
          <w:spacing w:val="-3"/>
        </w:rPr>
        <w:t xml:space="preserve"> </w:t>
      </w:r>
      <w:r>
        <w:t>Consum</w:t>
      </w:r>
      <w:r>
        <w:rPr>
          <w:spacing w:val="-1"/>
        </w:rPr>
        <w:t>er</w:t>
      </w:r>
      <w:r>
        <w:t>s’</w:t>
      </w:r>
      <w:r>
        <w:rPr>
          <w:spacing w:val="-4"/>
        </w:rPr>
        <w:t xml:space="preserve"> </w:t>
      </w:r>
      <w:r>
        <w:t>Couns</w:t>
      </w:r>
      <w:r>
        <w:rPr>
          <w:spacing w:val="-1"/>
        </w:rPr>
        <w:t>e</w:t>
      </w:r>
      <w:r>
        <w:t>l</w:t>
      </w:r>
      <w:r>
        <w:rPr>
          <w:spacing w:val="-4"/>
        </w:rPr>
        <w:t xml:space="preserve"> </w:t>
      </w:r>
      <w:r>
        <w:rPr>
          <w:spacing w:val="-1"/>
        </w:rPr>
        <w:t>(“O</w:t>
      </w:r>
      <w:r>
        <w:rPr>
          <w:spacing w:val="3"/>
        </w:rPr>
        <w:t>C</w:t>
      </w:r>
      <w:r>
        <w:t>C</w:t>
      </w:r>
      <w:r>
        <w:rPr>
          <w:spacing w:val="-1"/>
        </w:rPr>
        <w:t>”</w:t>
      </w:r>
      <w:r>
        <w:t>)</w:t>
      </w:r>
      <w:r>
        <w:rPr>
          <w:spacing w:val="-4"/>
        </w:rPr>
        <w:t xml:space="preserve"> </w:t>
      </w:r>
      <w:r>
        <w:rPr>
          <w:spacing w:val="-1"/>
        </w:rPr>
        <w:t>a</w:t>
      </w:r>
      <w:r>
        <w:t>ppli</w:t>
      </w:r>
      <w:r>
        <w:rPr>
          <w:spacing w:val="-1"/>
        </w:rPr>
        <w:t>e</w:t>
      </w:r>
      <w:r>
        <w:t>s</w:t>
      </w:r>
      <w:r>
        <w:rPr>
          <w:spacing w:val="-3"/>
        </w:rPr>
        <w:t xml:space="preserve"> </w:t>
      </w:r>
      <w:r>
        <w:rPr>
          <w:spacing w:val="-1"/>
        </w:rPr>
        <w:t>f</w:t>
      </w:r>
      <w:r>
        <w:t>or</w:t>
      </w:r>
      <w:r>
        <w:rPr>
          <w:spacing w:val="-2"/>
        </w:rPr>
        <w:t xml:space="preserve"> </w:t>
      </w:r>
      <w:r>
        <w:rPr>
          <w:spacing w:val="-1"/>
        </w:rPr>
        <w:t>re</w:t>
      </w:r>
      <w:r>
        <w:t>h</w:t>
      </w:r>
      <w:r>
        <w:rPr>
          <w:spacing w:val="1"/>
        </w:rPr>
        <w:t>e</w:t>
      </w:r>
      <w:r>
        <w:rPr>
          <w:spacing w:val="-1"/>
        </w:rPr>
        <w:t>ar</w:t>
      </w:r>
      <w:r>
        <w:t>i</w:t>
      </w:r>
      <w:r>
        <w:rPr>
          <w:spacing w:val="2"/>
        </w:rPr>
        <w:t>n</w:t>
      </w:r>
      <w:r>
        <w:t>g</w:t>
      </w:r>
      <w:r>
        <w:rPr>
          <w:spacing w:val="-4"/>
        </w:rPr>
        <w:t xml:space="preserve"> </w:t>
      </w:r>
      <w:r>
        <w:t>of</w:t>
      </w:r>
      <w:r>
        <w:rPr>
          <w:spacing w:val="-4"/>
        </w:rPr>
        <w:t xml:space="preserve"> </w:t>
      </w:r>
      <w:r>
        <w:t>the</w:t>
      </w:r>
      <w:r>
        <w:rPr>
          <w:w w:val="99"/>
        </w:rPr>
        <w:t xml:space="preserve"> </w:t>
      </w:r>
      <w:r>
        <w:t>Octob</w:t>
      </w:r>
      <w:r>
        <w:rPr>
          <w:spacing w:val="-1"/>
        </w:rPr>
        <w:t>e</w:t>
      </w:r>
      <w:r>
        <w:t>r</w:t>
      </w:r>
      <w:r>
        <w:rPr>
          <w:spacing w:val="-4"/>
        </w:rPr>
        <w:t xml:space="preserve"> </w:t>
      </w:r>
      <w:r>
        <w:t>23,</w:t>
      </w:r>
      <w:r>
        <w:rPr>
          <w:spacing w:val="-2"/>
        </w:rPr>
        <w:t xml:space="preserve"> </w:t>
      </w:r>
      <w:r>
        <w:t>2013</w:t>
      </w:r>
      <w:r>
        <w:rPr>
          <w:spacing w:val="-3"/>
        </w:rPr>
        <w:t xml:space="preserve"> </w:t>
      </w:r>
      <w:r>
        <w:rPr>
          <w:spacing w:val="-1"/>
        </w:rPr>
        <w:t>O</w:t>
      </w:r>
      <w:r>
        <w:t>pinion</w:t>
      </w:r>
      <w:r>
        <w:rPr>
          <w:spacing w:val="-2"/>
        </w:rPr>
        <w:t xml:space="preserve"> </w:t>
      </w:r>
      <w:r>
        <w:rPr>
          <w:spacing w:val="-1"/>
        </w:rPr>
        <w:t>a</w:t>
      </w:r>
      <w:r>
        <w:t>nd</w:t>
      </w:r>
      <w:r>
        <w:rPr>
          <w:spacing w:val="-3"/>
        </w:rPr>
        <w:t xml:space="preserve"> </w:t>
      </w:r>
      <w:r>
        <w:rPr>
          <w:spacing w:val="1"/>
        </w:rPr>
        <w:t>O</w:t>
      </w:r>
      <w:r>
        <w:rPr>
          <w:spacing w:val="-1"/>
        </w:rPr>
        <w:t>r</w:t>
      </w:r>
      <w:r>
        <w:t>d</w:t>
      </w:r>
      <w:r>
        <w:rPr>
          <w:spacing w:val="-1"/>
        </w:rPr>
        <w:t>e</w:t>
      </w:r>
      <w:r>
        <w:t>r</w:t>
      </w:r>
      <w:r>
        <w:rPr>
          <w:spacing w:val="-4"/>
        </w:rPr>
        <w:t xml:space="preserve"> </w:t>
      </w:r>
      <w:r>
        <w:rPr>
          <w:spacing w:val="-1"/>
        </w:rPr>
        <w:t>(“</w:t>
      </w:r>
      <w:r>
        <w:t>October 23,</w:t>
      </w:r>
      <w:r>
        <w:rPr>
          <w:spacing w:val="-3"/>
        </w:rPr>
        <w:t xml:space="preserve"> </w:t>
      </w:r>
      <w:r>
        <w:t>2013</w:t>
      </w:r>
      <w:r>
        <w:rPr>
          <w:spacing w:val="-2"/>
        </w:rPr>
        <w:t xml:space="preserve"> </w:t>
      </w:r>
      <w:r>
        <w:rPr>
          <w:spacing w:val="-1"/>
        </w:rPr>
        <w:t>Or</w:t>
      </w:r>
      <w:r>
        <w:rPr>
          <w:spacing w:val="2"/>
        </w:rPr>
        <w:t>d</w:t>
      </w:r>
      <w:r>
        <w:rPr>
          <w:spacing w:val="-1"/>
        </w:rPr>
        <w:t>er</w:t>
      </w:r>
      <w:r>
        <w:rPr>
          <w:spacing w:val="1"/>
        </w:rPr>
        <w:t>” or “Order”</w:t>
      </w:r>
      <w:r>
        <w:t>)</w:t>
      </w:r>
      <w:r>
        <w:rPr>
          <w:spacing w:val="-4"/>
        </w:rPr>
        <w:t xml:space="preserve"> </w:t>
      </w:r>
      <w:r>
        <w:t>issu</w:t>
      </w:r>
      <w:r>
        <w:rPr>
          <w:spacing w:val="-1"/>
        </w:rPr>
        <w:t>e</w:t>
      </w:r>
      <w:r>
        <w:t xml:space="preserve">d </w:t>
      </w:r>
      <w:r>
        <w:rPr>
          <w:spacing w:val="2"/>
        </w:rPr>
        <w:t>b</w:t>
      </w:r>
      <w:r>
        <w:t>y</w:t>
      </w:r>
      <w:r>
        <w:rPr>
          <w:spacing w:val="-9"/>
        </w:rPr>
        <w:t xml:space="preserve"> </w:t>
      </w:r>
      <w:r>
        <w:t>the</w:t>
      </w:r>
      <w:r>
        <w:rPr>
          <w:spacing w:val="-4"/>
        </w:rPr>
        <w:t xml:space="preserve"> </w:t>
      </w:r>
      <w:r>
        <w:t>Public</w:t>
      </w:r>
      <w:r>
        <w:rPr>
          <w:spacing w:val="-5"/>
        </w:rPr>
        <w:t xml:space="preserve"> </w:t>
      </w:r>
      <w:r>
        <w:rPr>
          <w:spacing w:val="-1"/>
        </w:rPr>
        <w:t>U</w:t>
      </w:r>
      <w:r>
        <w:t>tiliti</w:t>
      </w:r>
      <w:r>
        <w:rPr>
          <w:spacing w:val="-1"/>
        </w:rPr>
        <w:t>e</w:t>
      </w:r>
      <w:r>
        <w:t>s</w:t>
      </w:r>
      <w:r>
        <w:rPr>
          <w:spacing w:val="-3"/>
        </w:rPr>
        <w:t xml:space="preserve"> </w:t>
      </w:r>
      <w:r>
        <w:t>Commission</w:t>
      </w:r>
      <w:r>
        <w:rPr>
          <w:spacing w:val="-4"/>
        </w:rPr>
        <w:t xml:space="preserve"> </w:t>
      </w:r>
      <w:r>
        <w:t>of</w:t>
      </w:r>
      <w:r>
        <w:rPr>
          <w:spacing w:val="-4"/>
        </w:rPr>
        <w:t xml:space="preserve"> </w:t>
      </w:r>
      <w:r>
        <w:rPr>
          <w:spacing w:val="-1"/>
        </w:rPr>
        <w:t>O</w:t>
      </w:r>
      <w:r>
        <w:t>hio</w:t>
      </w:r>
      <w:r>
        <w:rPr>
          <w:spacing w:val="-4"/>
        </w:rPr>
        <w:t xml:space="preserve"> </w:t>
      </w:r>
      <w:r>
        <w:rPr>
          <w:spacing w:val="-1"/>
        </w:rPr>
        <w:t>(“</w:t>
      </w:r>
      <w:r>
        <w:t>Commission”</w:t>
      </w:r>
      <w:r>
        <w:rPr>
          <w:spacing w:val="-4"/>
        </w:rPr>
        <w:t xml:space="preserve"> </w:t>
      </w:r>
      <w:r>
        <w:t>or</w:t>
      </w:r>
      <w:r>
        <w:rPr>
          <w:spacing w:val="-5"/>
        </w:rPr>
        <w:t xml:space="preserve"> </w:t>
      </w:r>
      <w:r>
        <w:rPr>
          <w:spacing w:val="-1"/>
        </w:rPr>
        <w:t>“</w:t>
      </w:r>
      <w:r>
        <w:t>P</w:t>
      </w:r>
      <w:r>
        <w:rPr>
          <w:spacing w:val="-1"/>
        </w:rPr>
        <w:t>U</w:t>
      </w:r>
      <w:r>
        <w:t>C</w:t>
      </w:r>
      <w:r>
        <w:rPr>
          <w:spacing w:val="-1"/>
        </w:rPr>
        <w:t>O”)</w:t>
      </w:r>
      <w:r>
        <w:t>.</w:t>
      </w:r>
    </w:p>
    <w:p w:rsidR="00391FFD" w:rsidRDefault="00B40937" w:rsidP="000C1B0A">
      <w:pPr>
        <w:pStyle w:val="BodyText"/>
        <w:spacing w:line="480" w:lineRule="auto"/>
        <w:ind w:firstLine="720"/>
        <w:jc w:val="left"/>
      </w:pPr>
      <w:r>
        <w:rPr>
          <w:spacing w:val="-1"/>
        </w:rPr>
        <w:t>T</w:t>
      </w:r>
      <w:r>
        <w:t>h</w:t>
      </w:r>
      <w:r>
        <w:rPr>
          <w:spacing w:val="-1"/>
        </w:rPr>
        <w:t>r</w:t>
      </w:r>
      <w:r>
        <w:t>ou</w:t>
      </w:r>
      <w:r>
        <w:rPr>
          <w:spacing w:val="-3"/>
        </w:rPr>
        <w:t>g</w:t>
      </w:r>
      <w:r>
        <w:t>h</w:t>
      </w:r>
      <w:r>
        <w:rPr>
          <w:spacing w:val="-3"/>
        </w:rPr>
        <w:t xml:space="preserve"> </w:t>
      </w:r>
      <w:r>
        <w:t>this</w:t>
      </w:r>
      <w:r>
        <w:rPr>
          <w:spacing w:val="-2"/>
        </w:rPr>
        <w:t xml:space="preserve"> </w:t>
      </w:r>
      <w:r>
        <w:rPr>
          <w:spacing w:val="-1"/>
        </w:rPr>
        <w:t>f</w:t>
      </w:r>
      <w:r>
        <w:t>ili</w:t>
      </w:r>
      <w:r>
        <w:rPr>
          <w:spacing w:val="2"/>
        </w:rPr>
        <w:t>n</w:t>
      </w:r>
      <w:r>
        <w:rPr>
          <w:spacing w:val="-3"/>
        </w:rPr>
        <w:t>g</w:t>
      </w:r>
      <w:r>
        <w:t>,</w:t>
      </w:r>
      <w:r>
        <w:rPr>
          <w:spacing w:val="-2"/>
        </w:rPr>
        <w:t xml:space="preserve"> </w:t>
      </w:r>
      <w:r>
        <w:rPr>
          <w:spacing w:val="-1"/>
        </w:rPr>
        <w:t>O</w:t>
      </w:r>
      <w:r>
        <w:t>CC</w:t>
      </w:r>
      <w:r>
        <w:rPr>
          <w:spacing w:val="-3"/>
        </w:rPr>
        <w:t xml:space="preserve"> </w:t>
      </w:r>
      <w:r>
        <w:t>s</w:t>
      </w:r>
      <w:r>
        <w:rPr>
          <w:spacing w:val="-1"/>
        </w:rPr>
        <w:t>ee</w:t>
      </w:r>
      <w:r>
        <w:t>ks</w:t>
      </w:r>
      <w:r>
        <w:rPr>
          <w:spacing w:val="-2"/>
        </w:rPr>
        <w:t xml:space="preserve"> </w:t>
      </w:r>
      <w:r>
        <w:rPr>
          <w:spacing w:val="-1"/>
        </w:rPr>
        <w:t>re</w:t>
      </w:r>
      <w:r>
        <w:rPr>
          <w:spacing w:val="2"/>
        </w:rPr>
        <w:t>h</w:t>
      </w:r>
      <w:r>
        <w:rPr>
          <w:spacing w:val="-1"/>
        </w:rPr>
        <w:t>ear</w:t>
      </w:r>
      <w:r>
        <w:t>i</w:t>
      </w:r>
      <w:r>
        <w:rPr>
          <w:spacing w:val="2"/>
        </w:rPr>
        <w:t>n</w:t>
      </w:r>
      <w:r>
        <w:t>g</w:t>
      </w:r>
      <w:r>
        <w:rPr>
          <w:spacing w:val="-5"/>
        </w:rPr>
        <w:t xml:space="preserve"> </w:t>
      </w:r>
      <w:r>
        <w:rPr>
          <w:spacing w:val="2"/>
        </w:rPr>
        <w:t>o</w:t>
      </w:r>
      <w:r>
        <w:t>f</w:t>
      </w:r>
      <w:r>
        <w:rPr>
          <w:spacing w:val="-3"/>
        </w:rPr>
        <w:t xml:space="preserve"> </w:t>
      </w:r>
      <w:r>
        <w:t>the</w:t>
      </w:r>
      <w:r>
        <w:rPr>
          <w:spacing w:val="-4"/>
        </w:rPr>
        <w:t xml:space="preserve"> </w:t>
      </w:r>
      <w:r>
        <w:t>P</w:t>
      </w:r>
      <w:r>
        <w:rPr>
          <w:spacing w:val="-1"/>
        </w:rPr>
        <w:t>U</w:t>
      </w:r>
      <w:r>
        <w:t>C</w:t>
      </w:r>
      <w:r>
        <w:rPr>
          <w:spacing w:val="-1"/>
        </w:rPr>
        <w:t>O’</w:t>
      </w:r>
      <w:r>
        <w:t>s</w:t>
      </w:r>
      <w:r>
        <w:rPr>
          <w:spacing w:val="-2"/>
        </w:rPr>
        <w:t xml:space="preserve"> </w:t>
      </w:r>
      <w:r>
        <w:rPr>
          <w:spacing w:val="-1"/>
        </w:rPr>
        <w:t>Or</w:t>
      </w:r>
      <w:r>
        <w:t>d</w:t>
      </w:r>
      <w:r>
        <w:rPr>
          <w:spacing w:val="1"/>
        </w:rPr>
        <w:t>e</w:t>
      </w:r>
      <w:r>
        <w:rPr>
          <w:spacing w:val="-1"/>
        </w:rPr>
        <w:t>r</w:t>
      </w:r>
      <w:r>
        <w:rPr>
          <w:spacing w:val="-2"/>
        </w:rPr>
        <w:t xml:space="preserve"> </w:t>
      </w:r>
      <w:r>
        <w:t>pu</w:t>
      </w:r>
      <w:r>
        <w:rPr>
          <w:spacing w:val="-1"/>
        </w:rPr>
        <w:t>r</w:t>
      </w:r>
      <w:r>
        <w:t>su</w:t>
      </w:r>
      <w:r>
        <w:rPr>
          <w:spacing w:val="-1"/>
        </w:rPr>
        <w:t>a</w:t>
      </w:r>
      <w:r>
        <w:t>nt</w:t>
      </w:r>
      <w:r>
        <w:rPr>
          <w:spacing w:val="-3"/>
        </w:rPr>
        <w:t xml:space="preserve"> </w:t>
      </w:r>
      <w:r>
        <w:rPr>
          <w:spacing w:val="2"/>
        </w:rPr>
        <w:t>t</w:t>
      </w:r>
      <w:r>
        <w:t>o</w:t>
      </w:r>
      <w:r>
        <w:rPr>
          <w:spacing w:val="-2"/>
        </w:rPr>
        <w:t xml:space="preserve"> </w:t>
      </w:r>
      <w:r>
        <w:t>R.C.</w:t>
      </w:r>
      <w:r w:rsidR="005E7CDE">
        <w:t xml:space="preserve"> 4903.10 </w:t>
      </w:r>
      <w:r>
        <w:rPr>
          <w:spacing w:val="-1"/>
        </w:rPr>
        <w:t>a</w:t>
      </w:r>
      <w:r>
        <w:t>nd</w:t>
      </w:r>
      <w:r>
        <w:rPr>
          <w:spacing w:val="-3"/>
        </w:rPr>
        <w:t xml:space="preserve"> </w:t>
      </w:r>
      <w:r>
        <w:rPr>
          <w:spacing w:val="-1"/>
        </w:rPr>
        <w:t>O</w:t>
      </w:r>
      <w:r>
        <w:t>hio</w:t>
      </w:r>
      <w:r>
        <w:rPr>
          <w:spacing w:val="-3"/>
        </w:rPr>
        <w:t xml:space="preserve"> </w:t>
      </w:r>
      <w:r>
        <w:rPr>
          <w:spacing w:val="-1"/>
        </w:rPr>
        <w:t>A</w:t>
      </w:r>
      <w:r>
        <w:t>dm.</w:t>
      </w:r>
      <w:r>
        <w:rPr>
          <w:spacing w:val="-2"/>
        </w:rPr>
        <w:t xml:space="preserve"> </w:t>
      </w:r>
      <w:r>
        <w:t>Code</w:t>
      </w:r>
      <w:r>
        <w:rPr>
          <w:spacing w:val="-4"/>
        </w:rPr>
        <w:t xml:space="preserve"> </w:t>
      </w:r>
      <w:r>
        <w:t>4901</w:t>
      </w:r>
      <w:r>
        <w:rPr>
          <w:spacing w:val="-1"/>
        </w:rPr>
        <w:t>-</w:t>
      </w:r>
      <w:r>
        <w:t>1</w:t>
      </w:r>
      <w:r>
        <w:rPr>
          <w:spacing w:val="-1"/>
        </w:rPr>
        <w:t>-</w:t>
      </w:r>
      <w:r>
        <w:t>35.</w:t>
      </w:r>
      <w:r>
        <w:rPr>
          <w:spacing w:val="55"/>
        </w:rPr>
        <w:t xml:space="preserve"> </w:t>
      </w:r>
      <w:r>
        <w:rPr>
          <w:spacing w:val="-1"/>
        </w:rPr>
        <w:t>T</w:t>
      </w:r>
      <w:r>
        <w:t>he</w:t>
      </w:r>
      <w:r>
        <w:rPr>
          <w:spacing w:val="-4"/>
        </w:rPr>
        <w:t xml:space="preserve"> </w:t>
      </w:r>
      <w:r w:rsidR="00594D4D">
        <w:t>Octob</w:t>
      </w:r>
      <w:r w:rsidR="00594D4D">
        <w:rPr>
          <w:spacing w:val="-1"/>
        </w:rPr>
        <w:t>e</w:t>
      </w:r>
      <w:r w:rsidR="00594D4D">
        <w:t>r</w:t>
      </w:r>
      <w:r w:rsidR="00594D4D">
        <w:rPr>
          <w:spacing w:val="-4"/>
        </w:rPr>
        <w:t xml:space="preserve"> </w:t>
      </w:r>
      <w:r w:rsidR="00594D4D">
        <w:t>23,</w:t>
      </w:r>
      <w:r w:rsidR="00594D4D">
        <w:rPr>
          <w:spacing w:val="-2"/>
        </w:rPr>
        <w:t xml:space="preserve"> </w:t>
      </w:r>
      <w:r w:rsidR="00594D4D">
        <w:t>2013</w:t>
      </w:r>
      <w:r w:rsidR="00594D4D">
        <w:rPr>
          <w:spacing w:val="-3"/>
        </w:rPr>
        <w:t xml:space="preserve"> </w:t>
      </w:r>
      <w:r w:rsidR="00594D4D">
        <w:rPr>
          <w:spacing w:val="1"/>
        </w:rPr>
        <w:t>O</w:t>
      </w:r>
      <w:r w:rsidR="00594D4D">
        <w:rPr>
          <w:spacing w:val="-1"/>
        </w:rPr>
        <w:t>r</w:t>
      </w:r>
      <w:r w:rsidR="00594D4D">
        <w:t>d</w:t>
      </w:r>
      <w:r w:rsidR="00594D4D">
        <w:rPr>
          <w:spacing w:val="-1"/>
        </w:rPr>
        <w:t>e</w:t>
      </w:r>
      <w:r w:rsidR="00594D4D">
        <w:t xml:space="preserve">r was </w:t>
      </w:r>
      <w:r>
        <w:t>unjust,</w:t>
      </w:r>
      <w:r>
        <w:rPr>
          <w:spacing w:val="-4"/>
        </w:rPr>
        <w:t xml:space="preserve"> </w:t>
      </w:r>
      <w:r>
        <w:t>un</w:t>
      </w:r>
      <w:r>
        <w:rPr>
          <w:spacing w:val="-1"/>
        </w:rPr>
        <w:t>rea</w:t>
      </w:r>
      <w:r>
        <w:t>son</w:t>
      </w:r>
      <w:r>
        <w:rPr>
          <w:spacing w:val="-1"/>
        </w:rPr>
        <w:t>a</w:t>
      </w:r>
      <w:r>
        <w:t>bl</w:t>
      </w:r>
      <w:r>
        <w:rPr>
          <w:spacing w:val="-1"/>
        </w:rPr>
        <w:t>e</w:t>
      </w:r>
      <w:r>
        <w:t>,</w:t>
      </w:r>
      <w:r>
        <w:rPr>
          <w:spacing w:val="-2"/>
        </w:rPr>
        <w:t xml:space="preserve"> </w:t>
      </w:r>
      <w:r>
        <w:rPr>
          <w:spacing w:val="-1"/>
        </w:rPr>
        <w:t>a</w:t>
      </w:r>
      <w:r>
        <w:t>nd</w:t>
      </w:r>
      <w:r>
        <w:rPr>
          <w:spacing w:val="-4"/>
        </w:rPr>
        <w:t xml:space="preserve"> </w:t>
      </w:r>
      <w:r>
        <w:t>unl</w:t>
      </w:r>
      <w:r>
        <w:rPr>
          <w:spacing w:val="1"/>
        </w:rPr>
        <w:t>a</w:t>
      </w:r>
      <w:r>
        <w:rPr>
          <w:spacing w:val="-1"/>
        </w:rPr>
        <w:t>wf</w:t>
      </w:r>
      <w:r>
        <w:t>ul</w:t>
      </w:r>
      <w:r>
        <w:rPr>
          <w:spacing w:val="-3"/>
        </w:rPr>
        <w:t xml:space="preserve"> </w:t>
      </w:r>
      <w:r>
        <w:t>b</w:t>
      </w:r>
      <w:r>
        <w:rPr>
          <w:spacing w:val="-1"/>
        </w:rPr>
        <w:t>eca</w:t>
      </w:r>
      <w:r>
        <w:t>u</w:t>
      </w:r>
      <w:r>
        <w:rPr>
          <w:spacing w:val="2"/>
        </w:rPr>
        <w:t>s</w:t>
      </w:r>
      <w:r>
        <w:rPr>
          <w:spacing w:val="-1"/>
        </w:rPr>
        <w:t>e</w:t>
      </w:r>
      <w:r>
        <w:t>:</w:t>
      </w:r>
    </w:p>
    <w:p w:rsidR="00B12CF8" w:rsidRDefault="00391FFD" w:rsidP="002B1475">
      <w:pPr>
        <w:ind w:left="1440" w:right="720" w:hanging="720"/>
      </w:pPr>
      <w:r>
        <w:lastRenderedPageBreak/>
        <w:t>A.</w:t>
      </w:r>
      <w:r w:rsidR="00B12CF8">
        <w:tab/>
      </w:r>
      <w:r w:rsidR="00B12CF8" w:rsidRPr="00F16010">
        <w:t xml:space="preserve">The PUCO Erred When It Failed To Order </w:t>
      </w:r>
      <w:r w:rsidR="00F16010">
        <w:t>AEP Ohio to Use</w:t>
      </w:r>
      <w:r w:rsidR="00B12CF8" w:rsidRPr="00F16010">
        <w:t xml:space="preserve"> The $20 Million </w:t>
      </w:r>
      <w:r w:rsidR="00226E4A">
        <w:t xml:space="preserve">Originally </w:t>
      </w:r>
      <w:r w:rsidR="00B12CF8" w:rsidRPr="00F16010">
        <w:t xml:space="preserve">Intended for the Turning Point Solar Project to Offset </w:t>
      </w:r>
      <w:r w:rsidR="006A11E9">
        <w:t xml:space="preserve">Prudently Incurred </w:t>
      </w:r>
      <w:r w:rsidR="00B12CF8" w:rsidRPr="00F16010">
        <w:t>Storm Costs that AEP Ohio Seeks to Charge Customers</w:t>
      </w:r>
      <w:r w:rsidR="00F16010" w:rsidRPr="00F16010">
        <w:t xml:space="preserve"> </w:t>
      </w:r>
      <w:r w:rsidR="00F16010" w:rsidRPr="00391FFD">
        <w:t>in Case No. 12-3255-EL-RDR</w:t>
      </w:r>
      <w:r w:rsidR="00B12CF8" w:rsidRPr="00F16010">
        <w:t>.</w:t>
      </w:r>
    </w:p>
    <w:p w:rsidR="002B1475" w:rsidRPr="00F16010" w:rsidRDefault="002B1475" w:rsidP="002B1475">
      <w:pPr>
        <w:ind w:left="1440" w:right="720" w:hanging="720"/>
      </w:pPr>
    </w:p>
    <w:p w:rsidR="00B12CF8" w:rsidRDefault="00861C54" w:rsidP="002B1475">
      <w:pPr>
        <w:ind w:left="1440" w:right="720" w:hanging="720"/>
      </w:pPr>
      <w:bookmarkStart w:id="1" w:name="_Toc372739395"/>
      <w:r>
        <w:t>B.</w:t>
      </w:r>
      <w:r>
        <w:tab/>
      </w:r>
      <w:r w:rsidR="00B12CF8" w:rsidRPr="00391FFD">
        <w:t>The PUCO</w:t>
      </w:r>
      <w:r w:rsidR="00755BEE" w:rsidRPr="00391FFD">
        <w:t xml:space="preserve"> Erred When It Failed to Find that The</w:t>
      </w:r>
      <w:r w:rsidR="00B12CF8" w:rsidRPr="00391FFD">
        <w:t xml:space="preserve"> Consideration Of Capital Requirements Of Future Committed Investments Results in A </w:t>
      </w:r>
      <w:r w:rsidR="00B12CF8" w:rsidRPr="00FA6C70">
        <w:t>Significantly Excessive Earnings Test Threshold of 17.0</w:t>
      </w:r>
      <w:r w:rsidR="00B12CF8" w:rsidRPr="00302DBA">
        <w:t>5 Percent</w:t>
      </w:r>
      <w:r w:rsidR="00C40245" w:rsidRPr="00942D8A">
        <w:t xml:space="preserve"> (Which, If Adopted, Would Protect Customers from Paying</w:t>
      </w:r>
      <w:r w:rsidR="00112C30" w:rsidRPr="00942D8A">
        <w:t xml:space="preserve"> </w:t>
      </w:r>
      <w:r w:rsidR="006A7491" w:rsidRPr="000A3738">
        <w:t>Unjust an</w:t>
      </w:r>
      <w:r w:rsidR="006A7491" w:rsidRPr="00FD05D5">
        <w:t>d Unreasonable Rates for Electric Service</w:t>
      </w:r>
      <w:r w:rsidR="00C40245" w:rsidRPr="00391FFD">
        <w:t>)</w:t>
      </w:r>
      <w:r w:rsidR="00B12CF8" w:rsidRPr="00C12735">
        <w:t>.</w:t>
      </w:r>
      <w:bookmarkEnd w:id="1"/>
      <w:r w:rsidR="00B12CF8" w:rsidRPr="00CB489F">
        <w:t xml:space="preserve"> </w:t>
      </w:r>
    </w:p>
    <w:p w:rsidR="00CF6856" w:rsidRDefault="00CF6856" w:rsidP="002B1475">
      <w:pPr>
        <w:ind w:left="1440" w:right="720" w:hanging="720"/>
      </w:pPr>
    </w:p>
    <w:p w:rsidR="00B12CF8" w:rsidRPr="00B12CF8" w:rsidRDefault="00391FFD" w:rsidP="002B1475">
      <w:pPr>
        <w:ind w:left="1440" w:right="720" w:hanging="720"/>
        <w:rPr>
          <w:rFonts w:eastAsia="Calibri"/>
        </w:rPr>
      </w:pPr>
      <w:bookmarkStart w:id="2" w:name="_Toc372739398"/>
      <w:r>
        <w:rPr>
          <w:rFonts w:eastAsia="Calibri"/>
        </w:rPr>
        <w:t>C.</w:t>
      </w:r>
      <w:r w:rsidR="002B1475">
        <w:rPr>
          <w:rFonts w:eastAsia="Calibri"/>
        </w:rPr>
        <w:tab/>
      </w:r>
      <w:r w:rsidR="00B12CF8" w:rsidRPr="00B12CF8">
        <w:rPr>
          <w:rFonts w:eastAsia="Calibri"/>
        </w:rPr>
        <w:t xml:space="preserve">The PUCO Erred When </w:t>
      </w:r>
      <w:r w:rsidR="003E7DE0">
        <w:rPr>
          <w:rFonts w:eastAsia="Calibri"/>
        </w:rPr>
        <w:t xml:space="preserve">It </w:t>
      </w:r>
      <w:r w:rsidR="00B12CF8" w:rsidRPr="00B12CF8">
        <w:rPr>
          <w:rFonts w:eastAsia="Calibri"/>
        </w:rPr>
        <w:t>Failed to Order the Return of $17.3 Million To</w:t>
      </w:r>
      <w:r w:rsidR="00B12CF8">
        <w:rPr>
          <w:rFonts w:eastAsia="Calibri"/>
        </w:rPr>
        <w:t xml:space="preserve"> </w:t>
      </w:r>
      <w:r w:rsidR="00B12CF8" w:rsidRPr="00B12CF8">
        <w:rPr>
          <w:rFonts w:eastAsia="Calibri"/>
        </w:rPr>
        <w:t xml:space="preserve">Customers </w:t>
      </w:r>
      <w:r w:rsidR="00610506">
        <w:rPr>
          <w:rFonts w:eastAsia="Calibri"/>
        </w:rPr>
        <w:t>As A Result of</w:t>
      </w:r>
      <w:r w:rsidR="00B12CF8" w:rsidRPr="00B12CF8">
        <w:rPr>
          <w:rFonts w:eastAsia="Calibri"/>
        </w:rPr>
        <w:t xml:space="preserve"> The Significantly Excessive Earnings of Columbus Southern Power in 2010.</w:t>
      </w:r>
      <w:bookmarkEnd w:id="2"/>
      <w:r w:rsidR="00B12CF8" w:rsidRPr="00B12CF8">
        <w:rPr>
          <w:rFonts w:eastAsia="Calibri"/>
        </w:rPr>
        <w:t xml:space="preserve"> </w:t>
      </w:r>
    </w:p>
    <w:p w:rsidR="001D05E0" w:rsidRDefault="001D05E0"/>
    <w:p w:rsidR="00B40937" w:rsidRDefault="00B40937" w:rsidP="00004AFE">
      <w:pPr>
        <w:pStyle w:val="BodyText"/>
        <w:spacing w:line="480" w:lineRule="auto"/>
        <w:ind w:right="193" w:firstLine="720"/>
        <w:jc w:val="left"/>
      </w:pPr>
      <w:r>
        <w:rPr>
          <w:spacing w:val="-1"/>
        </w:rPr>
        <w:t>T</w:t>
      </w:r>
      <w:r>
        <w:t>he</w:t>
      </w:r>
      <w:r>
        <w:rPr>
          <w:spacing w:val="-4"/>
        </w:rPr>
        <w:t xml:space="preserve"> </w:t>
      </w:r>
      <w:r>
        <w:t>b</w:t>
      </w:r>
      <w:r>
        <w:rPr>
          <w:spacing w:val="-1"/>
        </w:rPr>
        <w:t>a</w:t>
      </w:r>
      <w:r>
        <w:t>s</w:t>
      </w:r>
      <w:r>
        <w:rPr>
          <w:spacing w:val="-1"/>
        </w:rPr>
        <w:t>e</w:t>
      </w:r>
      <w:r>
        <w:t>s</w:t>
      </w:r>
      <w:r>
        <w:rPr>
          <w:spacing w:val="-3"/>
        </w:rPr>
        <w:t xml:space="preserve"> </w:t>
      </w:r>
      <w:r>
        <w:rPr>
          <w:spacing w:val="-1"/>
        </w:rPr>
        <w:t>f</w:t>
      </w:r>
      <w:r>
        <w:rPr>
          <w:spacing w:val="2"/>
        </w:rPr>
        <w:t>o</w:t>
      </w:r>
      <w:r>
        <w:t>r</w:t>
      </w:r>
      <w:r>
        <w:rPr>
          <w:spacing w:val="-4"/>
        </w:rPr>
        <w:t xml:space="preserve"> </w:t>
      </w:r>
      <w:r>
        <w:t>this</w:t>
      </w:r>
      <w:r>
        <w:rPr>
          <w:spacing w:val="-3"/>
        </w:rPr>
        <w:t xml:space="preserve"> </w:t>
      </w:r>
      <w:r>
        <w:rPr>
          <w:spacing w:val="-1"/>
        </w:rPr>
        <w:t>A</w:t>
      </w:r>
      <w:r>
        <w:t>ppli</w:t>
      </w:r>
      <w:r>
        <w:rPr>
          <w:spacing w:val="-1"/>
        </w:rPr>
        <w:t>ca</w:t>
      </w:r>
      <w:r>
        <w:t>tion</w:t>
      </w:r>
      <w:r>
        <w:rPr>
          <w:spacing w:val="-3"/>
        </w:rPr>
        <w:t xml:space="preserve"> </w:t>
      </w:r>
      <w:r>
        <w:rPr>
          <w:spacing w:val="-1"/>
        </w:rPr>
        <w:t>f</w:t>
      </w:r>
      <w:r>
        <w:t>or</w:t>
      </w:r>
      <w:r>
        <w:rPr>
          <w:spacing w:val="-4"/>
        </w:rPr>
        <w:t xml:space="preserve"> </w:t>
      </w:r>
      <w:r>
        <w:t>R</w:t>
      </w:r>
      <w:r>
        <w:rPr>
          <w:spacing w:val="-1"/>
        </w:rPr>
        <w:t>e</w:t>
      </w:r>
      <w:r>
        <w:t>h</w:t>
      </w:r>
      <w:r>
        <w:rPr>
          <w:spacing w:val="-1"/>
        </w:rPr>
        <w:t>e</w:t>
      </w:r>
      <w:r>
        <w:rPr>
          <w:spacing w:val="1"/>
        </w:rPr>
        <w:t>a</w:t>
      </w:r>
      <w:r>
        <w:rPr>
          <w:spacing w:val="-1"/>
        </w:rPr>
        <w:t>r</w:t>
      </w:r>
      <w:r>
        <w:t>i</w:t>
      </w:r>
      <w:r>
        <w:rPr>
          <w:spacing w:val="2"/>
        </w:rPr>
        <w:t>n</w:t>
      </w:r>
      <w:r>
        <w:t>g</w:t>
      </w:r>
      <w:r>
        <w:rPr>
          <w:spacing w:val="-6"/>
        </w:rPr>
        <w:t xml:space="preserve"> </w:t>
      </w:r>
      <w:r>
        <w:rPr>
          <w:spacing w:val="-1"/>
        </w:rPr>
        <w:t>a</w:t>
      </w:r>
      <w:r>
        <w:rPr>
          <w:spacing w:val="1"/>
        </w:rPr>
        <w:t>r</w:t>
      </w:r>
      <w:r>
        <w:t>e</w:t>
      </w:r>
      <w:r>
        <w:rPr>
          <w:spacing w:val="-4"/>
        </w:rPr>
        <w:t xml:space="preserve"> </w:t>
      </w:r>
      <w:r>
        <w:rPr>
          <w:spacing w:val="2"/>
        </w:rPr>
        <w:t>s</w:t>
      </w:r>
      <w:r>
        <w:rPr>
          <w:spacing w:val="-1"/>
        </w:rPr>
        <w:t>e</w:t>
      </w:r>
      <w:r>
        <w:t>t</w:t>
      </w:r>
      <w:r>
        <w:rPr>
          <w:spacing w:val="-3"/>
        </w:rPr>
        <w:t xml:space="preserve"> </w:t>
      </w:r>
      <w:r>
        <w:rPr>
          <w:spacing w:val="-1"/>
        </w:rPr>
        <w:t>f</w:t>
      </w:r>
      <w:r>
        <w:t>o</w:t>
      </w:r>
      <w:r>
        <w:rPr>
          <w:spacing w:val="-1"/>
        </w:rPr>
        <w:t>r</w:t>
      </w:r>
      <w:r>
        <w:t>th</w:t>
      </w:r>
      <w:r>
        <w:rPr>
          <w:spacing w:val="-3"/>
        </w:rPr>
        <w:t xml:space="preserve"> </w:t>
      </w:r>
      <w:r>
        <w:t>in</w:t>
      </w:r>
      <w:r>
        <w:rPr>
          <w:spacing w:val="-3"/>
        </w:rPr>
        <w:t xml:space="preserve"> </w:t>
      </w:r>
      <w:r>
        <w:t>the</w:t>
      </w:r>
      <w:r>
        <w:rPr>
          <w:spacing w:val="-4"/>
        </w:rPr>
        <w:t xml:space="preserve"> </w:t>
      </w:r>
      <w:r>
        <w:rPr>
          <w:spacing w:val="-1"/>
        </w:rPr>
        <w:t>a</w:t>
      </w:r>
      <w:r>
        <w:t>tt</w:t>
      </w:r>
      <w:r>
        <w:rPr>
          <w:spacing w:val="-1"/>
        </w:rPr>
        <w:t>ac</w:t>
      </w:r>
      <w:r>
        <w:rPr>
          <w:spacing w:val="2"/>
        </w:rPr>
        <w:t>h</w:t>
      </w:r>
      <w:r>
        <w:rPr>
          <w:spacing w:val="-1"/>
        </w:rPr>
        <w:t>ed</w:t>
      </w:r>
      <w:r>
        <w:rPr>
          <w:spacing w:val="-1"/>
          <w:w w:val="99"/>
        </w:rPr>
        <w:t xml:space="preserve"> </w:t>
      </w:r>
      <w:r>
        <w:t>M</w:t>
      </w:r>
      <w:r>
        <w:rPr>
          <w:spacing w:val="-1"/>
        </w:rPr>
        <w:t>e</w:t>
      </w:r>
      <w:r>
        <w:t>mo</w:t>
      </w:r>
      <w:r>
        <w:rPr>
          <w:spacing w:val="-1"/>
        </w:rPr>
        <w:t>ra</w:t>
      </w:r>
      <w:r>
        <w:t>ndum</w:t>
      </w:r>
      <w:r>
        <w:rPr>
          <w:spacing w:val="-3"/>
        </w:rPr>
        <w:t xml:space="preserve"> </w:t>
      </w:r>
      <w:r>
        <w:t>in</w:t>
      </w:r>
      <w:r>
        <w:rPr>
          <w:spacing w:val="-3"/>
        </w:rPr>
        <w:t xml:space="preserve"> </w:t>
      </w:r>
      <w:r>
        <w:t>Suppo</w:t>
      </w:r>
      <w:r>
        <w:rPr>
          <w:spacing w:val="-1"/>
        </w:rPr>
        <w:t>r</w:t>
      </w:r>
      <w:r>
        <w:t>t</w:t>
      </w:r>
      <w:r w:rsidR="00291467">
        <w:rPr>
          <w:spacing w:val="55"/>
        </w:rPr>
        <w:t xml:space="preserve">. </w:t>
      </w:r>
      <w:r>
        <w:t>Consist</w:t>
      </w:r>
      <w:r>
        <w:rPr>
          <w:spacing w:val="-1"/>
        </w:rPr>
        <w:t>e</w:t>
      </w:r>
      <w:r>
        <w:t>nt</w:t>
      </w:r>
      <w:r>
        <w:rPr>
          <w:spacing w:val="-3"/>
        </w:rPr>
        <w:t xml:space="preserve"> </w:t>
      </w:r>
      <w:r>
        <w:rPr>
          <w:spacing w:val="-1"/>
        </w:rPr>
        <w:t>w</w:t>
      </w:r>
      <w:r>
        <w:t>ith</w:t>
      </w:r>
      <w:r>
        <w:rPr>
          <w:spacing w:val="-3"/>
        </w:rPr>
        <w:t xml:space="preserve"> </w:t>
      </w:r>
      <w:r>
        <w:t>R.C.</w:t>
      </w:r>
      <w:r>
        <w:rPr>
          <w:spacing w:val="-2"/>
        </w:rPr>
        <w:t xml:space="preserve"> </w:t>
      </w:r>
      <w:r>
        <w:rPr>
          <w:spacing w:val="-3"/>
        </w:rPr>
        <w:t>4</w:t>
      </w:r>
      <w:r>
        <w:t>903.10</w:t>
      </w:r>
      <w:r>
        <w:rPr>
          <w:spacing w:val="-3"/>
        </w:rPr>
        <w:t xml:space="preserve"> </w:t>
      </w:r>
      <w:r>
        <w:rPr>
          <w:spacing w:val="-1"/>
        </w:rPr>
        <w:t>a</w:t>
      </w:r>
      <w:r>
        <w:t>nd</w:t>
      </w:r>
      <w:r>
        <w:rPr>
          <w:spacing w:val="-3"/>
        </w:rPr>
        <w:t xml:space="preserve"> </w:t>
      </w:r>
      <w:r>
        <w:rPr>
          <w:spacing w:val="-1"/>
        </w:rPr>
        <w:t>O</w:t>
      </w:r>
      <w:r>
        <w:t>CC</w:t>
      </w:r>
      <w:r>
        <w:rPr>
          <w:spacing w:val="-1"/>
        </w:rPr>
        <w:t>’</w:t>
      </w:r>
      <w:r>
        <w:t>s</w:t>
      </w:r>
      <w:r>
        <w:rPr>
          <w:spacing w:val="-2"/>
        </w:rPr>
        <w:t xml:space="preserve"> </w:t>
      </w:r>
      <w:r>
        <w:rPr>
          <w:spacing w:val="-1"/>
        </w:rPr>
        <w:t>c</w:t>
      </w:r>
      <w:r>
        <w:t>l</w:t>
      </w:r>
      <w:r>
        <w:rPr>
          <w:spacing w:val="-1"/>
        </w:rPr>
        <w:t>a</w:t>
      </w:r>
      <w:r>
        <w:t>ims</w:t>
      </w:r>
      <w:r>
        <w:rPr>
          <w:spacing w:val="-3"/>
        </w:rPr>
        <w:t xml:space="preserve"> </w:t>
      </w:r>
      <w:r>
        <w:t>of</w:t>
      </w:r>
      <w:r>
        <w:rPr>
          <w:spacing w:val="-4"/>
        </w:rPr>
        <w:t xml:space="preserve"> </w:t>
      </w:r>
      <w:r>
        <w:rPr>
          <w:spacing w:val="-1"/>
        </w:rPr>
        <w:t>err</w:t>
      </w:r>
      <w:r>
        <w:rPr>
          <w:spacing w:val="2"/>
        </w:rPr>
        <w:t>o</w:t>
      </w:r>
      <w:r>
        <w:rPr>
          <w:spacing w:val="-1"/>
        </w:rPr>
        <w:t>r</w:t>
      </w:r>
      <w:r>
        <w:t>,</w:t>
      </w:r>
      <w:r>
        <w:rPr>
          <w:spacing w:val="-2"/>
        </w:rPr>
        <w:t xml:space="preserve"> </w:t>
      </w:r>
      <w:r>
        <w:t>the</w:t>
      </w:r>
      <w:r>
        <w:rPr>
          <w:w w:val="99"/>
        </w:rPr>
        <w:t xml:space="preserve"> </w:t>
      </w:r>
      <w:r>
        <w:t>P</w:t>
      </w:r>
      <w:r>
        <w:rPr>
          <w:spacing w:val="-1"/>
        </w:rPr>
        <w:t>U</w:t>
      </w:r>
      <w:r>
        <w:t>CO</w:t>
      </w:r>
      <w:r>
        <w:rPr>
          <w:spacing w:val="-4"/>
        </w:rPr>
        <w:t xml:space="preserve"> </w:t>
      </w:r>
      <w:r>
        <w:t>should</w:t>
      </w:r>
      <w:r>
        <w:rPr>
          <w:spacing w:val="-3"/>
        </w:rPr>
        <w:t xml:space="preserve"> </w:t>
      </w:r>
      <w:r>
        <w:t>modi</w:t>
      </w:r>
      <w:r>
        <w:rPr>
          <w:spacing w:val="1"/>
        </w:rPr>
        <w:t>f</w:t>
      </w:r>
      <w:r>
        <w:t>y</w:t>
      </w:r>
      <w:r>
        <w:rPr>
          <w:spacing w:val="-10"/>
        </w:rPr>
        <w:t xml:space="preserve"> </w:t>
      </w:r>
      <w:r>
        <w:rPr>
          <w:spacing w:val="2"/>
        </w:rPr>
        <w:t>o</w:t>
      </w:r>
      <w:r>
        <w:t>r</w:t>
      </w:r>
      <w:r>
        <w:rPr>
          <w:spacing w:val="-2"/>
        </w:rPr>
        <w:t xml:space="preserve"> </w:t>
      </w:r>
      <w:r>
        <w:rPr>
          <w:spacing w:val="-1"/>
        </w:rPr>
        <w:t>a</w:t>
      </w:r>
      <w:r>
        <w:t>b</w:t>
      </w:r>
      <w:r>
        <w:rPr>
          <w:spacing w:val="-1"/>
        </w:rPr>
        <w:t>r</w:t>
      </w:r>
      <w:r>
        <w:rPr>
          <w:spacing w:val="2"/>
        </w:rPr>
        <w:t>o</w:t>
      </w:r>
      <w:r>
        <w:rPr>
          <w:spacing w:val="-3"/>
        </w:rPr>
        <w:t>g</w:t>
      </w:r>
      <w:r>
        <w:rPr>
          <w:spacing w:val="-1"/>
        </w:rPr>
        <w:t>a</w:t>
      </w:r>
      <w:r>
        <w:t>te</w:t>
      </w:r>
      <w:r>
        <w:rPr>
          <w:spacing w:val="-4"/>
        </w:rPr>
        <w:t xml:space="preserve"> </w:t>
      </w:r>
      <w:r>
        <w:t>its</w:t>
      </w:r>
      <w:r>
        <w:rPr>
          <w:spacing w:val="-2"/>
        </w:rPr>
        <w:t xml:space="preserve"> </w:t>
      </w:r>
      <w:r w:rsidR="00594D4D">
        <w:t>October 23,</w:t>
      </w:r>
      <w:r w:rsidR="00594D4D">
        <w:rPr>
          <w:spacing w:val="-3"/>
        </w:rPr>
        <w:t xml:space="preserve"> </w:t>
      </w:r>
      <w:r w:rsidR="00594D4D">
        <w:t>2013</w:t>
      </w:r>
      <w:r w:rsidR="00594D4D">
        <w:rPr>
          <w:spacing w:val="-2"/>
        </w:rPr>
        <w:t xml:space="preserve"> </w:t>
      </w:r>
      <w:r w:rsidR="00594D4D">
        <w:rPr>
          <w:spacing w:val="-1"/>
        </w:rPr>
        <w:t>Or</w:t>
      </w:r>
      <w:r w:rsidR="00594D4D">
        <w:rPr>
          <w:spacing w:val="2"/>
        </w:rPr>
        <w:t>d</w:t>
      </w:r>
      <w:r w:rsidR="00594D4D">
        <w:rPr>
          <w:spacing w:val="-1"/>
        </w:rPr>
        <w:t>er</w:t>
      </w:r>
      <w:r>
        <w:t>.</w:t>
      </w:r>
    </w:p>
    <w:p w:rsidR="00B40937" w:rsidRDefault="00B40937" w:rsidP="00B40937">
      <w:pPr>
        <w:pStyle w:val="HTMLPreformatted"/>
        <w:tabs>
          <w:tab w:val="left" w:pos="4320"/>
        </w:tabs>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Respectfully submitted,</w:t>
      </w:r>
    </w:p>
    <w:p w:rsidR="00B40937" w:rsidRDefault="00B40937" w:rsidP="00B40937">
      <w:pPr>
        <w:pStyle w:val="HTMLPreformatted"/>
        <w:jc w:val="both"/>
        <w:rPr>
          <w:rFonts w:ascii="Times New Roman" w:hAnsi="Times New Roman" w:cs="Times New Roman"/>
          <w:bCs/>
          <w:sz w:val="24"/>
          <w:szCs w:val="24"/>
        </w:rPr>
      </w:pPr>
    </w:p>
    <w:p w:rsidR="00B40937" w:rsidRDefault="00B40937" w:rsidP="00B40937">
      <w:pPr>
        <w:pStyle w:val="Footer"/>
        <w:tabs>
          <w:tab w:val="clear" w:pos="8640"/>
          <w:tab w:val="left" w:pos="4320"/>
        </w:tabs>
        <w:rPr>
          <w:sz w:val="24"/>
          <w:szCs w:val="24"/>
        </w:rPr>
      </w:pPr>
      <w:r>
        <w:rPr>
          <w:sz w:val="24"/>
          <w:szCs w:val="24"/>
        </w:rPr>
        <w:tab/>
        <w:t>BRUCE J. WESTON</w:t>
      </w:r>
    </w:p>
    <w:p w:rsidR="00B40937" w:rsidRDefault="00B40937" w:rsidP="00B40937">
      <w:pPr>
        <w:tabs>
          <w:tab w:val="left" w:pos="4320"/>
        </w:tabs>
        <w:rPr>
          <w:szCs w:val="24"/>
        </w:rPr>
      </w:pPr>
      <w:r>
        <w:rPr>
          <w:szCs w:val="24"/>
        </w:rPr>
        <w:tab/>
      </w:r>
      <w:r w:rsidR="00537F46">
        <w:t xml:space="preserve">OHIO </w:t>
      </w:r>
      <w:r>
        <w:rPr>
          <w:szCs w:val="24"/>
        </w:rPr>
        <w:t>CONSUMERS’ COUNSEL</w:t>
      </w:r>
    </w:p>
    <w:p w:rsidR="00B40937" w:rsidRDefault="00B40937" w:rsidP="00B40937">
      <w:pPr>
        <w:tabs>
          <w:tab w:val="left" w:pos="4320"/>
        </w:tabs>
        <w:rPr>
          <w:szCs w:val="24"/>
        </w:rPr>
      </w:pPr>
    </w:p>
    <w:p w:rsidR="00B40937" w:rsidRDefault="00B40937" w:rsidP="00B40937">
      <w:pPr>
        <w:autoSpaceDE w:val="0"/>
        <w:autoSpaceDN w:val="0"/>
        <w:adjustRightInd w:val="0"/>
        <w:rPr>
          <w:szCs w:val="24"/>
          <w:u w:val="single"/>
        </w:rPr>
      </w:pPr>
      <w:r>
        <w:rPr>
          <w:szCs w:val="24"/>
        </w:rPr>
        <w:tab/>
      </w:r>
      <w:r>
        <w:rPr>
          <w:szCs w:val="24"/>
        </w:rPr>
        <w:tab/>
      </w:r>
      <w:r>
        <w:rPr>
          <w:szCs w:val="24"/>
        </w:rPr>
        <w:tab/>
      </w:r>
      <w:r>
        <w:rPr>
          <w:szCs w:val="24"/>
        </w:rPr>
        <w:tab/>
      </w:r>
      <w:r>
        <w:rPr>
          <w:szCs w:val="24"/>
        </w:rPr>
        <w:tab/>
      </w:r>
      <w:r>
        <w:rPr>
          <w:szCs w:val="24"/>
        </w:rPr>
        <w:tab/>
      </w:r>
      <w:r>
        <w:rPr>
          <w:szCs w:val="24"/>
          <w:u w:val="single"/>
        </w:rPr>
        <w:t xml:space="preserve">/s/ </w:t>
      </w:r>
      <w:r w:rsidRPr="00B40937">
        <w:rPr>
          <w:i/>
          <w:szCs w:val="24"/>
          <w:u w:val="single"/>
        </w:rPr>
        <w:t>Melissa R. Yost</w:t>
      </w:r>
      <w:r>
        <w:rPr>
          <w:szCs w:val="24"/>
          <w:u w:val="single"/>
        </w:rPr>
        <w:tab/>
      </w:r>
      <w:r>
        <w:rPr>
          <w:szCs w:val="24"/>
          <w:u w:val="single"/>
        </w:rPr>
        <w:tab/>
      </w:r>
      <w:r>
        <w:rPr>
          <w:szCs w:val="24"/>
          <w:u w:val="single"/>
        </w:rPr>
        <w:tab/>
      </w:r>
    </w:p>
    <w:p w:rsidR="00B40937" w:rsidRDefault="00B40937" w:rsidP="00B40937">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Melissa R. Yost, Counsel of Record</w:t>
      </w:r>
    </w:p>
    <w:p w:rsidR="00B40937" w:rsidRDefault="00B40937" w:rsidP="00B40937">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Deputy Consumers’ Counsel</w:t>
      </w:r>
    </w:p>
    <w:p w:rsidR="00B40937" w:rsidRDefault="00B40937" w:rsidP="00B40937">
      <w:pPr>
        <w:tabs>
          <w:tab w:val="left" w:pos="4320"/>
        </w:tabs>
        <w:rPr>
          <w:szCs w:val="24"/>
        </w:rPr>
      </w:pPr>
      <w:r>
        <w:rPr>
          <w:szCs w:val="24"/>
        </w:rPr>
        <w:tab/>
        <w:t>Kyle L. Kern</w:t>
      </w:r>
    </w:p>
    <w:p w:rsidR="00B40937" w:rsidRDefault="00B40937" w:rsidP="00B40937">
      <w:pPr>
        <w:tabs>
          <w:tab w:val="left" w:pos="4320"/>
        </w:tabs>
        <w:rPr>
          <w:szCs w:val="24"/>
        </w:rPr>
      </w:pPr>
      <w:r>
        <w:rPr>
          <w:szCs w:val="24"/>
        </w:rPr>
        <w:tab/>
        <w:t>Assistant Consumers’ Counsel</w:t>
      </w:r>
    </w:p>
    <w:p w:rsidR="00B40937" w:rsidRDefault="00B40937" w:rsidP="00B40937">
      <w:pPr>
        <w:tabs>
          <w:tab w:val="left" w:pos="4320"/>
        </w:tabs>
        <w:rPr>
          <w:szCs w:val="24"/>
        </w:rPr>
      </w:pPr>
    </w:p>
    <w:p w:rsidR="00B40937" w:rsidRDefault="00B40937" w:rsidP="00B40937">
      <w:pPr>
        <w:rPr>
          <w:b/>
        </w:rPr>
      </w:pPr>
      <w:r>
        <w:rPr>
          <w:b/>
        </w:rPr>
        <w:tab/>
      </w:r>
      <w:r>
        <w:rPr>
          <w:b/>
        </w:rPr>
        <w:tab/>
      </w:r>
      <w:r>
        <w:rPr>
          <w:b/>
        </w:rPr>
        <w:tab/>
      </w:r>
      <w:r>
        <w:rPr>
          <w:b/>
        </w:rPr>
        <w:tab/>
      </w:r>
      <w:r>
        <w:rPr>
          <w:b/>
        </w:rPr>
        <w:tab/>
      </w:r>
      <w:r>
        <w:rPr>
          <w:b/>
        </w:rPr>
        <w:tab/>
        <w:t>Office of the Ohio Consumers’ Counsel</w:t>
      </w:r>
    </w:p>
    <w:p w:rsidR="00B40937" w:rsidRDefault="00B40937" w:rsidP="00B40937">
      <w:r>
        <w:tab/>
      </w:r>
      <w:r>
        <w:tab/>
      </w:r>
      <w:r>
        <w:tab/>
      </w:r>
      <w:r>
        <w:tab/>
      </w:r>
      <w:r>
        <w:tab/>
      </w:r>
      <w:r>
        <w:tab/>
        <w:t>10 West Broad Street, Suite 1800</w:t>
      </w:r>
    </w:p>
    <w:p w:rsidR="00B40937" w:rsidRDefault="00B40937" w:rsidP="00B40937">
      <w:r>
        <w:tab/>
      </w:r>
      <w:r>
        <w:tab/>
      </w:r>
      <w:r>
        <w:tab/>
      </w:r>
      <w:r>
        <w:tab/>
      </w:r>
      <w:r>
        <w:tab/>
      </w:r>
      <w:r>
        <w:tab/>
        <w:t>Columbus, Ohio 43215-3485</w:t>
      </w:r>
    </w:p>
    <w:p w:rsidR="00B40937" w:rsidRDefault="00B40937" w:rsidP="00B40937">
      <w:pPr>
        <w:autoSpaceDE w:val="0"/>
        <w:autoSpaceDN w:val="0"/>
        <w:adjustRightInd w:val="0"/>
        <w:rPr>
          <w:szCs w:val="24"/>
        </w:rPr>
      </w:pPr>
      <w:r>
        <w:rPr>
          <w:b/>
        </w:rPr>
        <w:tab/>
      </w:r>
      <w:r>
        <w:rPr>
          <w:b/>
        </w:rPr>
        <w:tab/>
      </w:r>
      <w:r>
        <w:rPr>
          <w:b/>
        </w:rPr>
        <w:tab/>
      </w:r>
      <w:r>
        <w:rPr>
          <w:b/>
        </w:rPr>
        <w:tab/>
      </w:r>
      <w:r>
        <w:rPr>
          <w:b/>
        </w:rPr>
        <w:tab/>
      </w:r>
      <w:r>
        <w:rPr>
          <w:b/>
        </w:rPr>
        <w:tab/>
      </w:r>
      <w:r>
        <w:rPr>
          <w:szCs w:val="24"/>
        </w:rPr>
        <w:t>Telephone: (Yost) (614) 466-1291</w:t>
      </w:r>
    </w:p>
    <w:p w:rsidR="00B40937" w:rsidRDefault="00B40937" w:rsidP="00B40937">
      <w:pPr>
        <w:autoSpaceDE w:val="0"/>
        <w:autoSpaceDN w:val="0"/>
        <w:adjustRightInd w:val="0"/>
        <w:ind w:left="3600" w:firstLine="720"/>
        <w:rPr>
          <w:szCs w:val="24"/>
        </w:rPr>
      </w:pPr>
      <w:r>
        <w:rPr>
          <w:szCs w:val="24"/>
        </w:rPr>
        <w:t>Telephone: (Kern) (614) 466-9585</w:t>
      </w:r>
    </w:p>
    <w:p w:rsidR="00B12CF8" w:rsidRDefault="00B40937" w:rsidP="00B40937">
      <w:r>
        <w:tab/>
      </w:r>
      <w:r>
        <w:tab/>
      </w:r>
      <w:r>
        <w:tab/>
      </w:r>
      <w:r>
        <w:tab/>
      </w:r>
      <w:r>
        <w:tab/>
      </w:r>
      <w:r>
        <w:tab/>
      </w:r>
      <w:hyperlink r:id="rId16" w:history="1">
        <w:r w:rsidR="00B12CF8" w:rsidRPr="005B42D4">
          <w:rPr>
            <w:rStyle w:val="Hyperlink"/>
          </w:rPr>
          <w:t>yost@occ.state.oh.us</w:t>
        </w:r>
      </w:hyperlink>
    </w:p>
    <w:p w:rsidR="00B40937" w:rsidRDefault="007B2790" w:rsidP="00B12CF8">
      <w:pPr>
        <w:ind w:left="3600" w:firstLine="720"/>
      </w:pPr>
      <w:hyperlink r:id="rId17" w:history="1">
        <w:r w:rsidR="00B40937">
          <w:rPr>
            <w:rStyle w:val="Hyperlink"/>
          </w:rPr>
          <w:t>kern@occ.state.oh.us</w:t>
        </w:r>
      </w:hyperlink>
    </w:p>
    <w:p w:rsidR="00B40937" w:rsidRDefault="00B40937" w:rsidP="00B40937">
      <w:r>
        <w:tab/>
      </w:r>
      <w:r>
        <w:tab/>
      </w:r>
      <w:r>
        <w:tab/>
      </w:r>
      <w:r>
        <w:tab/>
      </w:r>
      <w:r>
        <w:tab/>
      </w:r>
    </w:p>
    <w:p w:rsidR="00391FFD" w:rsidRDefault="00391FFD" w:rsidP="00B12CF8">
      <w:pPr>
        <w:pStyle w:val="HTMLPreformatted"/>
        <w:jc w:val="center"/>
        <w:rPr>
          <w:rFonts w:ascii="Times New Roman" w:hAnsi="Times New Roman" w:cs="Times New Roman"/>
          <w:b/>
          <w:bCs/>
          <w:sz w:val="24"/>
          <w:szCs w:val="24"/>
        </w:rPr>
        <w:sectPr w:rsidR="00391FFD">
          <w:headerReference w:type="even" r:id="rId18"/>
          <w:headerReference w:type="default" r:id="rId19"/>
          <w:footerReference w:type="default" r:id="rId20"/>
          <w:headerReference w:type="first" r:id="rId21"/>
          <w:footerReference w:type="first" r:id="rId22"/>
          <w:pgSz w:w="12240" w:h="15840"/>
          <w:pgMar w:top="1440" w:right="1800" w:bottom="1440" w:left="1800" w:header="720" w:footer="720" w:gutter="0"/>
          <w:pgNumType w:start="1"/>
          <w:cols w:space="720"/>
          <w:titlePg/>
          <w:docGrid w:linePitch="65"/>
        </w:sectPr>
      </w:pPr>
    </w:p>
    <w:p w:rsidR="00391FFD" w:rsidRDefault="00391FFD" w:rsidP="00391FFD">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p w:rsidR="00391FFD" w:rsidRDefault="00391FFD" w:rsidP="00391FFD">
      <w:pPr>
        <w:pStyle w:val="HTMLPreformatted"/>
        <w:rPr>
          <w:rFonts w:ascii="Times New Roman" w:hAnsi="Times New Roman" w:cs="Times New Roman"/>
          <w:b/>
          <w:bCs/>
          <w:sz w:val="24"/>
          <w:szCs w:val="24"/>
        </w:rPr>
      </w:pPr>
    </w:p>
    <w:p w:rsidR="00391FFD" w:rsidRDefault="00391FFD" w:rsidP="00391FFD">
      <w:pPr>
        <w:pStyle w:val="HTMLPreformatted"/>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B1475">
        <w:rPr>
          <w:rFonts w:ascii="Times New Roman" w:hAnsi="Times New Roman" w:cs="Times New Roman"/>
          <w:b/>
          <w:bCs/>
          <w:sz w:val="24"/>
          <w:szCs w:val="24"/>
        </w:rPr>
        <w:t xml:space="preserve">          </w:t>
      </w:r>
      <w:r>
        <w:rPr>
          <w:rFonts w:ascii="Times New Roman" w:hAnsi="Times New Roman" w:cs="Times New Roman"/>
          <w:b/>
          <w:bCs/>
          <w:sz w:val="24"/>
          <w:szCs w:val="24"/>
        </w:rPr>
        <w:t>PAGE</w:t>
      </w:r>
    </w:p>
    <w:p w:rsidR="00391FFD" w:rsidRDefault="00391FFD" w:rsidP="00391FFD">
      <w:pPr>
        <w:pStyle w:val="HTMLPreformatted"/>
        <w:rPr>
          <w:rFonts w:ascii="Times New Roman" w:hAnsi="Times New Roman" w:cs="Times New Roman"/>
          <w:b/>
          <w:bCs/>
          <w:sz w:val="24"/>
          <w:szCs w:val="24"/>
        </w:rPr>
      </w:pPr>
    </w:p>
    <w:p w:rsidR="000132A0" w:rsidRDefault="002B1475" w:rsidP="000132A0">
      <w:pPr>
        <w:pStyle w:val="TOC1"/>
        <w:ind w:right="720"/>
        <w:rPr>
          <w:rFonts w:asciiTheme="minorHAnsi" w:eastAsiaTheme="minorEastAsia" w:hAnsiTheme="minorHAnsi" w:cstheme="minorBidi"/>
          <w:noProof/>
          <w:sz w:val="22"/>
          <w:szCs w:val="22"/>
        </w:rPr>
      </w:pPr>
      <w:r>
        <w:rPr>
          <w:b/>
          <w:bCs/>
          <w:szCs w:val="24"/>
        </w:rPr>
        <w:fldChar w:fldCharType="begin"/>
      </w:r>
      <w:r>
        <w:rPr>
          <w:b/>
          <w:bCs/>
          <w:szCs w:val="24"/>
        </w:rPr>
        <w:instrText xml:space="preserve"> TOC \o "1-3" \h \z \u </w:instrText>
      </w:r>
      <w:r>
        <w:rPr>
          <w:b/>
          <w:bCs/>
          <w:szCs w:val="24"/>
        </w:rPr>
        <w:fldChar w:fldCharType="separate"/>
      </w:r>
      <w:hyperlink w:anchor="_Toc372898230" w:history="1">
        <w:r w:rsidR="000132A0" w:rsidRPr="00793946">
          <w:rPr>
            <w:rStyle w:val="Hyperlink"/>
            <w:noProof/>
          </w:rPr>
          <w:t>I.</w:t>
        </w:r>
        <w:r w:rsidR="000132A0">
          <w:rPr>
            <w:rFonts w:asciiTheme="minorHAnsi" w:eastAsiaTheme="minorEastAsia" w:hAnsiTheme="minorHAnsi" w:cstheme="minorBidi"/>
            <w:noProof/>
            <w:sz w:val="22"/>
            <w:szCs w:val="22"/>
          </w:rPr>
          <w:tab/>
        </w:r>
        <w:r w:rsidR="000132A0" w:rsidRPr="00793946">
          <w:rPr>
            <w:rStyle w:val="Hyperlink"/>
            <w:noProof/>
          </w:rPr>
          <w:t>INTRODUCTION</w:t>
        </w:r>
        <w:r w:rsidR="000132A0">
          <w:rPr>
            <w:noProof/>
            <w:webHidden/>
          </w:rPr>
          <w:tab/>
        </w:r>
        <w:r w:rsidR="000132A0">
          <w:rPr>
            <w:noProof/>
            <w:webHidden/>
          </w:rPr>
          <w:fldChar w:fldCharType="begin"/>
        </w:r>
        <w:r w:rsidR="000132A0">
          <w:rPr>
            <w:noProof/>
            <w:webHidden/>
          </w:rPr>
          <w:instrText xml:space="preserve"> PAGEREF _Toc372898230 \h </w:instrText>
        </w:r>
        <w:r w:rsidR="000132A0">
          <w:rPr>
            <w:noProof/>
            <w:webHidden/>
          </w:rPr>
        </w:r>
        <w:r w:rsidR="000132A0">
          <w:rPr>
            <w:noProof/>
            <w:webHidden/>
          </w:rPr>
          <w:fldChar w:fldCharType="separate"/>
        </w:r>
        <w:r w:rsidR="000B0881">
          <w:rPr>
            <w:noProof/>
            <w:webHidden/>
          </w:rPr>
          <w:t>1</w:t>
        </w:r>
        <w:r w:rsidR="000132A0">
          <w:rPr>
            <w:noProof/>
            <w:webHidden/>
          </w:rPr>
          <w:fldChar w:fldCharType="end"/>
        </w:r>
      </w:hyperlink>
    </w:p>
    <w:p w:rsidR="000132A0" w:rsidRDefault="007B2790" w:rsidP="000132A0">
      <w:pPr>
        <w:pStyle w:val="TOC1"/>
        <w:ind w:right="720"/>
        <w:rPr>
          <w:rFonts w:asciiTheme="minorHAnsi" w:eastAsiaTheme="minorEastAsia" w:hAnsiTheme="minorHAnsi" w:cstheme="minorBidi"/>
          <w:noProof/>
          <w:sz w:val="22"/>
          <w:szCs w:val="22"/>
        </w:rPr>
      </w:pPr>
      <w:hyperlink w:anchor="_Toc372898231" w:history="1">
        <w:r w:rsidR="000132A0" w:rsidRPr="00793946">
          <w:rPr>
            <w:rStyle w:val="Hyperlink"/>
            <w:noProof/>
          </w:rPr>
          <w:t xml:space="preserve">II. </w:t>
        </w:r>
        <w:r w:rsidR="000132A0">
          <w:rPr>
            <w:rFonts w:asciiTheme="minorHAnsi" w:eastAsiaTheme="minorEastAsia" w:hAnsiTheme="minorHAnsi" w:cstheme="minorBidi"/>
            <w:noProof/>
            <w:sz w:val="22"/>
            <w:szCs w:val="22"/>
          </w:rPr>
          <w:tab/>
        </w:r>
        <w:r w:rsidR="009132E7">
          <w:rPr>
            <w:rStyle w:val="Hyperlink"/>
            <w:noProof/>
          </w:rPr>
          <w:t>STANDARD OF REVIEW</w:t>
        </w:r>
        <w:r w:rsidR="000132A0">
          <w:rPr>
            <w:noProof/>
            <w:webHidden/>
          </w:rPr>
          <w:tab/>
        </w:r>
        <w:r w:rsidR="000132A0">
          <w:rPr>
            <w:noProof/>
            <w:webHidden/>
          </w:rPr>
          <w:fldChar w:fldCharType="begin"/>
        </w:r>
        <w:r w:rsidR="000132A0">
          <w:rPr>
            <w:noProof/>
            <w:webHidden/>
          </w:rPr>
          <w:instrText xml:space="preserve"> PAGEREF _Toc372898231 \h </w:instrText>
        </w:r>
        <w:r w:rsidR="000132A0">
          <w:rPr>
            <w:noProof/>
            <w:webHidden/>
          </w:rPr>
        </w:r>
        <w:r w:rsidR="000132A0">
          <w:rPr>
            <w:noProof/>
            <w:webHidden/>
          </w:rPr>
          <w:fldChar w:fldCharType="separate"/>
        </w:r>
        <w:r w:rsidR="000B0881">
          <w:rPr>
            <w:noProof/>
            <w:webHidden/>
          </w:rPr>
          <w:t>3</w:t>
        </w:r>
        <w:r w:rsidR="000132A0">
          <w:rPr>
            <w:noProof/>
            <w:webHidden/>
          </w:rPr>
          <w:fldChar w:fldCharType="end"/>
        </w:r>
      </w:hyperlink>
    </w:p>
    <w:p w:rsidR="000132A0" w:rsidRDefault="007B2790" w:rsidP="000132A0">
      <w:pPr>
        <w:pStyle w:val="TOC1"/>
        <w:ind w:right="720"/>
        <w:rPr>
          <w:rFonts w:asciiTheme="minorHAnsi" w:eastAsiaTheme="minorEastAsia" w:hAnsiTheme="minorHAnsi" w:cstheme="minorBidi"/>
          <w:noProof/>
          <w:sz w:val="22"/>
          <w:szCs w:val="22"/>
        </w:rPr>
      </w:pPr>
      <w:hyperlink w:anchor="_Toc372898232" w:history="1">
        <w:r w:rsidR="000132A0" w:rsidRPr="00793946">
          <w:rPr>
            <w:rStyle w:val="Hyperlink"/>
            <w:noProof/>
          </w:rPr>
          <w:t>III.</w:t>
        </w:r>
        <w:r w:rsidR="000132A0">
          <w:rPr>
            <w:rFonts w:asciiTheme="minorHAnsi" w:eastAsiaTheme="minorEastAsia" w:hAnsiTheme="minorHAnsi" w:cstheme="minorBidi"/>
            <w:noProof/>
            <w:sz w:val="22"/>
            <w:szCs w:val="22"/>
          </w:rPr>
          <w:tab/>
        </w:r>
        <w:r w:rsidR="000132A0" w:rsidRPr="00793946">
          <w:rPr>
            <w:rStyle w:val="Hyperlink"/>
            <w:noProof/>
          </w:rPr>
          <w:t>LAW AND ARGUMENT</w:t>
        </w:r>
        <w:r w:rsidR="000132A0">
          <w:rPr>
            <w:noProof/>
            <w:webHidden/>
          </w:rPr>
          <w:tab/>
        </w:r>
        <w:r w:rsidR="000132A0">
          <w:rPr>
            <w:noProof/>
            <w:webHidden/>
          </w:rPr>
          <w:fldChar w:fldCharType="begin"/>
        </w:r>
        <w:r w:rsidR="000132A0">
          <w:rPr>
            <w:noProof/>
            <w:webHidden/>
          </w:rPr>
          <w:instrText xml:space="preserve"> PAGEREF _Toc372898232 \h </w:instrText>
        </w:r>
        <w:r w:rsidR="000132A0">
          <w:rPr>
            <w:noProof/>
            <w:webHidden/>
          </w:rPr>
        </w:r>
        <w:r w:rsidR="000132A0">
          <w:rPr>
            <w:noProof/>
            <w:webHidden/>
          </w:rPr>
          <w:fldChar w:fldCharType="separate"/>
        </w:r>
        <w:r w:rsidR="000B0881">
          <w:rPr>
            <w:noProof/>
            <w:webHidden/>
          </w:rPr>
          <w:t>4</w:t>
        </w:r>
        <w:r w:rsidR="000132A0">
          <w:rPr>
            <w:noProof/>
            <w:webHidden/>
          </w:rPr>
          <w:fldChar w:fldCharType="end"/>
        </w:r>
      </w:hyperlink>
    </w:p>
    <w:p w:rsidR="000132A0" w:rsidRDefault="007B2790" w:rsidP="000132A0">
      <w:pPr>
        <w:pStyle w:val="TOC2"/>
        <w:ind w:right="720"/>
        <w:rPr>
          <w:rFonts w:asciiTheme="minorHAnsi" w:eastAsiaTheme="minorEastAsia" w:hAnsiTheme="minorHAnsi" w:cstheme="minorBidi"/>
          <w:noProof/>
          <w:sz w:val="22"/>
          <w:szCs w:val="22"/>
        </w:rPr>
      </w:pPr>
      <w:hyperlink w:anchor="_Toc372898233" w:history="1">
        <w:r w:rsidR="000132A0" w:rsidRPr="00793946">
          <w:rPr>
            <w:rStyle w:val="Hyperlink"/>
            <w:noProof/>
          </w:rPr>
          <w:t>A.</w:t>
        </w:r>
        <w:r w:rsidR="000132A0">
          <w:rPr>
            <w:rFonts w:asciiTheme="minorHAnsi" w:eastAsiaTheme="minorEastAsia" w:hAnsiTheme="minorHAnsi" w:cstheme="minorBidi"/>
            <w:noProof/>
            <w:sz w:val="22"/>
            <w:szCs w:val="22"/>
          </w:rPr>
          <w:tab/>
        </w:r>
        <w:r w:rsidR="000132A0" w:rsidRPr="00793946">
          <w:rPr>
            <w:rStyle w:val="Hyperlink"/>
            <w:rFonts w:eastAsia="Calibri"/>
            <w:noProof/>
          </w:rPr>
          <w:t>The PUCO Erred When It Failed To Order AEP Ohio to Use The $20 Million Originally Intended for the Turning Point Solar Project to Offset Prudently Incurred Storm Costs that AEP Ohio Seeks to Charge Customers in Case No. 12-3255-EL-RDR</w:t>
        </w:r>
        <w:r w:rsidR="000132A0" w:rsidRPr="00793946">
          <w:rPr>
            <w:rStyle w:val="Hyperlink"/>
            <w:noProof/>
          </w:rPr>
          <w:t>.</w:t>
        </w:r>
        <w:r w:rsidR="000132A0">
          <w:rPr>
            <w:noProof/>
            <w:webHidden/>
          </w:rPr>
          <w:tab/>
        </w:r>
        <w:r w:rsidR="000132A0">
          <w:rPr>
            <w:noProof/>
            <w:webHidden/>
          </w:rPr>
          <w:fldChar w:fldCharType="begin"/>
        </w:r>
        <w:r w:rsidR="000132A0">
          <w:rPr>
            <w:noProof/>
            <w:webHidden/>
          </w:rPr>
          <w:instrText xml:space="preserve"> PAGEREF _Toc372898233 \h </w:instrText>
        </w:r>
        <w:r w:rsidR="000132A0">
          <w:rPr>
            <w:noProof/>
            <w:webHidden/>
          </w:rPr>
        </w:r>
        <w:r w:rsidR="000132A0">
          <w:rPr>
            <w:noProof/>
            <w:webHidden/>
          </w:rPr>
          <w:fldChar w:fldCharType="separate"/>
        </w:r>
        <w:r w:rsidR="000B0881">
          <w:rPr>
            <w:noProof/>
            <w:webHidden/>
          </w:rPr>
          <w:t>4</w:t>
        </w:r>
        <w:r w:rsidR="000132A0">
          <w:rPr>
            <w:noProof/>
            <w:webHidden/>
          </w:rPr>
          <w:fldChar w:fldCharType="end"/>
        </w:r>
      </w:hyperlink>
    </w:p>
    <w:p w:rsidR="000132A0" w:rsidRDefault="007B2790" w:rsidP="000132A0">
      <w:pPr>
        <w:pStyle w:val="TOC2"/>
        <w:ind w:right="720"/>
        <w:rPr>
          <w:rFonts w:asciiTheme="minorHAnsi" w:eastAsiaTheme="minorEastAsia" w:hAnsiTheme="minorHAnsi" w:cstheme="minorBidi"/>
          <w:noProof/>
          <w:sz w:val="22"/>
          <w:szCs w:val="22"/>
        </w:rPr>
      </w:pPr>
      <w:hyperlink w:anchor="_Toc372898234" w:history="1">
        <w:r w:rsidR="000132A0" w:rsidRPr="00793946">
          <w:rPr>
            <w:rStyle w:val="Hyperlink"/>
            <w:noProof/>
          </w:rPr>
          <w:t>B.</w:t>
        </w:r>
        <w:r w:rsidR="000132A0">
          <w:rPr>
            <w:rFonts w:asciiTheme="minorHAnsi" w:eastAsiaTheme="minorEastAsia" w:hAnsiTheme="minorHAnsi" w:cstheme="minorBidi"/>
            <w:noProof/>
            <w:sz w:val="22"/>
            <w:szCs w:val="22"/>
          </w:rPr>
          <w:tab/>
        </w:r>
        <w:r w:rsidR="000132A0" w:rsidRPr="00793946">
          <w:rPr>
            <w:rStyle w:val="Hyperlink"/>
            <w:noProof/>
          </w:rPr>
          <w:t>The PUCO Erred When It Failed to Find that The Consideration Of Capital Requirements Of Future Committed Investments Results in A Significantly Excessive Earnings Test Threshold of 17.05 Percent (Which, If Adopted, Would Protect Customers from Paying Unjust and Unreasonable Rates for Electric Service).</w:t>
        </w:r>
        <w:r w:rsidR="000132A0">
          <w:rPr>
            <w:noProof/>
            <w:webHidden/>
          </w:rPr>
          <w:tab/>
        </w:r>
        <w:r w:rsidR="000132A0">
          <w:rPr>
            <w:noProof/>
            <w:webHidden/>
          </w:rPr>
          <w:fldChar w:fldCharType="begin"/>
        </w:r>
        <w:r w:rsidR="000132A0">
          <w:rPr>
            <w:noProof/>
            <w:webHidden/>
          </w:rPr>
          <w:instrText xml:space="preserve"> PAGEREF _Toc372898234 \h </w:instrText>
        </w:r>
        <w:r w:rsidR="000132A0">
          <w:rPr>
            <w:noProof/>
            <w:webHidden/>
          </w:rPr>
        </w:r>
        <w:r w:rsidR="000132A0">
          <w:rPr>
            <w:noProof/>
            <w:webHidden/>
          </w:rPr>
          <w:fldChar w:fldCharType="separate"/>
        </w:r>
        <w:r w:rsidR="000B0881">
          <w:rPr>
            <w:noProof/>
            <w:webHidden/>
          </w:rPr>
          <w:t>8</w:t>
        </w:r>
        <w:r w:rsidR="000132A0">
          <w:rPr>
            <w:noProof/>
            <w:webHidden/>
          </w:rPr>
          <w:fldChar w:fldCharType="end"/>
        </w:r>
      </w:hyperlink>
    </w:p>
    <w:p w:rsidR="000132A0" w:rsidRDefault="007B2790" w:rsidP="000132A0">
      <w:pPr>
        <w:pStyle w:val="TOC3"/>
        <w:tabs>
          <w:tab w:val="left" w:pos="2160"/>
          <w:tab w:val="decimal" w:leader="dot" w:pos="8640"/>
        </w:tabs>
        <w:ind w:right="720"/>
        <w:rPr>
          <w:rFonts w:asciiTheme="minorHAnsi" w:eastAsiaTheme="minorEastAsia" w:hAnsiTheme="minorHAnsi" w:cstheme="minorBidi"/>
          <w:noProof/>
          <w:sz w:val="22"/>
          <w:szCs w:val="22"/>
        </w:rPr>
      </w:pPr>
      <w:hyperlink w:anchor="_Toc372898235" w:history="1">
        <w:r w:rsidR="000132A0" w:rsidRPr="00793946">
          <w:rPr>
            <w:rStyle w:val="Hyperlink"/>
            <w:noProof/>
          </w:rPr>
          <w:t xml:space="preserve">1.  </w:t>
        </w:r>
        <w:r w:rsidR="000132A0">
          <w:rPr>
            <w:rFonts w:asciiTheme="minorHAnsi" w:eastAsiaTheme="minorEastAsia" w:hAnsiTheme="minorHAnsi" w:cstheme="minorBidi"/>
            <w:noProof/>
            <w:sz w:val="22"/>
            <w:szCs w:val="22"/>
          </w:rPr>
          <w:tab/>
        </w:r>
        <w:r w:rsidR="000132A0" w:rsidRPr="00793946">
          <w:rPr>
            <w:rStyle w:val="Hyperlink"/>
            <w:noProof/>
          </w:rPr>
          <w:t>R.C. 4928.143(F) is clear that the PUCO shall give consideration to the capital requirements of future committed investments in Ohio when determining whether the Electric Security Plan adjustments resulted in significantly excessive earnings for Columbus Southern Power in 2010.</w:t>
        </w:r>
        <w:r w:rsidR="000132A0">
          <w:rPr>
            <w:noProof/>
            <w:webHidden/>
          </w:rPr>
          <w:tab/>
        </w:r>
        <w:r w:rsidR="000132A0">
          <w:rPr>
            <w:noProof/>
            <w:webHidden/>
          </w:rPr>
          <w:fldChar w:fldCharType="begin"/>
        </w:r>
        <w:r w:rsidR="000132A0">
          <w:rPr>
            <w:noProof/>
            <w:webHidden/>
          </w:rPr>
          <w:instrText xml:space="preserve"> PAGEREF _Toc372898235 \h </w:instrText>
        </w:r>
        <w:r w:rsidR="000132A0">
          <w:rPr>
            <w:noProof/>
            <w:webHidden/>
          </w:rPr>
        </w:r>
        <w:r w:rsidR="000132A0">
          <w:rPr>
            <w:noProof/>
            <w:webHidden/>
          </w:rPr>
          <w:fldChar w:fldCharType="separate"/>
        </w:r>
        <w:r w:rsidR="000B0881">
          <w:rPr>
            <w:noProof/>
            <w:webHidden/>
          </w:rPr>
          <w:t>8</w:t>
        </w:r>
        <w:r w:rsidR="000132A0">
          <w:rPr>
            <w:noProof/>
            <w:webHidden/>
          </w:rPr>
          <w:fldChar w:fldCharType="end"/>
        </w:r>
      </w:hyperlink>
    </w:p>
    <w:p w:rsidR="000132A0" w:rsidRDefault="007B2790" w:rsidP="000132A0">
      <w:pPr>
        <w:pStyle w:val="TOC3"/>
        <w:tabs>
          <w:tab w:val="left" w:pos="2160"/>
          <w:tab w:val="decimal" w:leader="dot" w:pos="8640"/>
        </w:tabs>
        <w:ind w:right="720"/>
        <w:rPr>
          <w:rFonts w:asciiTheme="minorHAnsi" w:eastAsiaTheme="minorEastAsia" w:hAnsiTheme="minorHAnsi" w:cstheme="minorBidi"/>
          <w:noProof/>
          <w:sz w:val="22"/>
          <w:szCs w:val="22"/>
        </w:rPr>
      </w:pPr>
      <w:hyperlink w:anchor="_Toc372898236" w:history="1">
        <w:r w:rsidR="000132A0" w:rsidRPr="00793946">
          <w:rPr>
            <w:rStyle w:val="Hyperlink"/>
            <w:noProof/>
          </w:rPr>
          <w:t>2.</w:t>
        </w:r>
        <w:r w:rsidR="000132A0">
          <w:rPr>
            <w:rFonts w:asciiTheme="minorHAnsi" w:eastAsiaTheme="minorEastAsia" w:hAnsiTheme="minorHAnsi" w:cstheme="minorBidi"/>
            <w:noProof/>
            <w:sz w:val="22"/>
            <w:szCs w:val="22"/>
          </w:rPr>
          <w:tab/>
        </w:r>
        <w:r w:rsidR="000132A0" w:rsidRPr="00793946">
          <w:rPr>
            <w:rStyle w:val="Hyperlink"/>
            <w:noProof/>
          </w:rPr>
          <w:t>Columbus Southern Power projects that it will invest $93 million less in capital investments in 2011 than in 2009.</w:t>
        </w:r>
        <w:r w:rsidR="000132A0">
          <w:rPr>
            <w:noProof/>
            <w:webHidden/>
          </w:rPr>
          <w:tab/>
        </w:r>
        <w:r w:rsidR="000132A0">
          <w:rPr>
            <w:noProof/>
            <w:webHidden/>
          </w:rPr>
          <w:fldChar w:fldCharType="begin"/>
        </w:r>
        <w:r w:rsidR="000132A0">
          <w:rPr>
            <w:noProof/>
            <w:webHidden/>
          </w:rPr>
          <w:instrText xml:space="preserve"> PAGEREF _Toc372898236 \h </w:instrText>
        </w:r>
        <w:r w:rsidR="000132A0">
          <w:rPr>
            <w:noProof/>
            <w:webHidden/>
          </w:rPr>
        </w:r>
        <w:r w:rsidR="000132A0">
          <w:rPr>
            <w:noProof/>
            <w:webHidden/>
          </w:rPr>
          <w:fldChar w:fldCharType="separate"/>
        </w:r>
        <w:r w:rsidR="000B0881">
          <w:rPr>
            <w:noProof/>
            <w:webHidden/>
          </w:rPr>
          <w:t>9</w:t>
        </w:r>
        <w:r w:rsidR="000132A0">
          <w:rPr>
            <w:noProof/>
            <w:webHidden/>
          </w:rPr>
          <w:fldChar w:fldCharType="end"/>
        </w:r>
      </w:hyperlink>
    </w:p>
    <w:p w:rsidR="000132A0" w:rsidRDefault="007B2790" w:rsidP="000132A0">
      <w:pPr>
        <w:pStyle w:val="TOC3"/>
        <w:tabs>
          <w:tab w:val="left" w:pos="2160"/>
          <w:tab w:val="decimal" w:leader="dot" w:pos="8640"/>
        </w:tabs>
        <w:ind w:right="720"/>
        <w:rPr>
          <w:rFonts w:asciiTheme="minorHAnsi" w:eastAsiaTheme="minorEastAsia" w:hAnsiTheme="minorHAnsi" w:cstheme="minorBidi"/>
          <w:noProof/>
          <w:sz w:val="22"/>
          <w:szCs w:val="22"/>
        </w:rPr>
      </w:pPr>
      <w:hyperlink w:anchor="_Toc372898237" w:history="1">
        <w:r w:rsidR="000132A0" w:rsidRPr="00793946">
          <w:rPr>
            <w:rStyle w:val="Hyperlink"/>
            <w:noProof/>
          </w:rPr>
          <w:t>3.</w:t>
        </w:r>
        <w:r w:rsidR="000132A0">
          <w:rPr>
            <w:rFonts w:asciiTheme="minorHAnsi" w:eastAsiaTheme="minorEastAsia" w:hAnsiTheme="minorHAnsi" w:cstheme="minorBidi"/>
            <w:noProof/>
            <w:sz w:val="22"/>
            <w:szCs w:val="22"/>
          </w:rPr>
          <w:tab/>
        </w:r>
        <w:r w:rsidR="000132A0" w:rsidRPr="00793946">
          <w:rPr>
            <w:rStyle w:val="Hyperlink"/>
            <w:noProof/>
          </w:rPr>
          <w:t>Columbus Southern Power over-stated its projected capital commitments for 2010 in the 2009 Significantly Excessive Earnings Test Proceeding by $61.230 million.</w:t>
        </w:r>
        <w:r w:rsidR="000132A0">
          <w:rPr>
            <w:noProof/>
            <w:webHidden/>
          </w:rPr>
          <w:tab/>
        </w:r>
        <w:r w:rsidR="000132A0">
          <w:rPr>
            <w:noProof/>
            <w:webHidden/>
          </w:rPr>
          <w:fldChar w:fldCharType="begin"/>
        </w:r>
        <w:r w:rsidR="000132A0">
          <w:rPr>
            <w:noProof/>
            <w:webHidden/>
          </w:rPr>
          <w:instrText xml:space="preserve"> PAGEREF _Toc372898237 \h </w:instrText>
        </w:r>
        <w:r w:rsidR="000132A0">
          <w:rPr>
            <w:noProof/>
            <w:webHidden/>
          </w:rPr>
        </w:r>
        <w:r w:rsidR="000132A0">
          <w:rPr>
            <w:noProof/>
            <w:webHidden/>
          </w:rPr>
          <w:fldChar w:fldCharType="separate"/>
        </w:r>
        <w:r w:rsidR="000B0881">
          <w:rPr>
            <w:noProof/>
            <w:webHidden/>
          </w:rPr>
          <w:t>9</w:t>
        </w:r>
        <w:r w:rsidR="000132A0">
          <w:rPr>
            <w:noProof/>
            <w:webHidden/>
          </w:rPr>
          <w:fldChar w:fldCharType="end"/>
        </w:r>
      </w:hyperlink>
    </w:p>
    <w:p w:rsidR="000132A0" w:rsidRDefault="007B2790" w:rsidP="000132A0">
      <w:pPr>
        <w:pStyle w:val="TOC2"/>
        <w:ind w:right="720"/>
        <w:rPr>
          <w:rFonts w:asciiTheme="minorHAnsi" w:eastAsiaTheme="minorEastAsia" w:hAnsiTheme="minorHAnsi" w:cstheme="minorBidi"/>
          <w:noProof/>
          <w:sz w:val="22"/>
          <w:szCs w:val="22"/>
        </w:rPr>
      </w:pPr>
      <w:hyperlink w:anchor="_Toc372898238" w:history="1">
        <w:r w:rsidR="000132A0" w:rsidRPr="00793946">
          <w:rPr>
            <w:rStyle w:val="Hyperlink"/>
            <w:rFonts w:eastAsia="Calibri"/>
            <w:noProof/>
          </w:rPr>
          <w:t>C.</w:t>
        </w:r>
        <w:r w:rsidR="000132A0">
          <w:rPr>
            <w:rFonts w:asciiTheme="minorHAnsi" w:eastAsiaTheme="minorEastAsia" w:hAnsiTheme="minorHAnsi" w:cstheme="minorBidi"/>
            <w:noProof/>
            <w:sz w:val="22"/>
            <w:szCs w:val="22"/>
          </w:rPr>
          <w:tab/>
        </w:r>
        <w:r w:rsidR="000132A0" w:rsidRPr="00793946">
          <w:rPr>
            <w:rStyle w:val="Hyperlink"/>
            <w:rFonts w:eastAsia="Calibri"/>
            <w:noProof/>
          </w:rPr>
          <w:t>The PUCO Erred When It Failed To Order The Return Of $17.3 Million To Customers As A Result Of The Significantly Excessive Earnings Of Columbus Southern Power In 2010.</w:t>
        </w:r>
        <w:r w:rsidR="000132A0">
          <w:rPr>
            <w:noProof/>
            <w:webHidden/>
          </w:rPr>
          <w:tab/>
        </w:r>
        <w:r w:rsidR="000132A0">
          <w:rPr>
            <w:noProof/>
            <w:webHidden/>
          </w:rPr>
          <w:fldChar w:fldCharType="begin"/>
        </w:r>
        <w:r w:rsidR="000132A0">
          <w:rPr>
            <w:noProof/>
            <w:webHidden/>
          </w:rPr>
          <w:instrText xml:space="preserve"> PAGEREF _Toc372898238 \h </w:instrText>
        </w:r>
        <w:r w:rsidR="000132A0">
          <w:rPr>
            <w:noProof/>
            <w:webHidden/>
          </w:rPr>
        </w:r>
        <w:r w:rsidR="000132A0">
          <w:rPr>
            <w:noProof/>
            <w:webHidden/>
          </w:rPr>
          <w:fldChar w:fldCharType="separate"/>
        </w:r>
        <w:r w:rsidR="000B0881">
          <w:rPr>
            <w:noProof/>
            <w:webHidden/>
          </w:rPr>
          <w:t>11</w:t>
        </w:r>
        <w:r w:rsidR="000132A0">
          <w:rPr>
            <w:noProof/>
            <w:webHidden/>
          </w:rPr>
          <w:fldChar w:fldCharType="end"/>
        </w:r>
      </w:hyperlink>
    </w:p>
    <w:p w:rsidR="000132A0" w:rsidRDefault="007B2790" w:rsidP="000132A0">
      <w:pPr>
        <w:pStyle w:val="TOC1"/>
        <w:ind w:right="720"/>
        <w:rPr>
          <w:rFonts w:asciiTheme="minorHAnsi" w:eastAsiaTheme="minorEastAsia" w:hAnsiTheme="minorHAnsi" w:cstheme="minorBidi"/>
          <w:noProof/>
          <w:sz w:val="22"/>
          <w:szCs w:val="22"/>
        </w:rPr>
      </w:pPr>
      <w:hyperlink w:anchor="_Toc372898239" w:history="1">
        <w:r w:rsidR="000132A0" w:rsidRPr="00793946">
          <w:rPr>
            <w:rStyle w:val="Hyperlink"/>
            <w:noProof/>
          </w:rPr>
          <w:t>IV.</w:t>
        </w:r>
        <w:r w:rsidR="000132A0">
          <w:rPr>
            <w:rFonts w:asciiTheme="minorHAnsi" w:eastAsiaTheme="minorEastAsia" w:hAnsiTheme="minorHAnsi" w:cstheme="minorBidi"/>
            <w:noProof/>
            <w:sz w:val="22"/>
            <w:szCs w:val="22"/>
          </w:rPr>
          <w:tab/>
        </w:r>
        <w:r w:rsidR="000132A0" w:rsidRPr="00793946">
          <w:rPr>
            <w:rStyle w:val="Hyperlink"/>
            <w:noProof/>
          </w:rPr>
          <w:t>CONCLUSION</w:t>
        </w:r>
        <w:r w:rsidR="000132A0">
          <w:rPr>
            <w:noProof/>
            <w:webHidden/>
          </w:rPr>
          <w:tab/>
        </w:r>
        <w:r w:rsidR="000132A0">
          <w:rPr>
            <w:noProof/>
            <w:webHidden/>
          </w:rPr>
          <w:fldChar w:fldCharType="begin"/>
        </w:r>
        <w:r w:rsidR="000132A0">
          <w:rPr>
            <w:noProof/>
            <w:webHidden/>
          </w:rPr>
          <w:instrText xml:space="preserve"> PAGEREF _Toc372898239 \h </w:instrText>
        </w:r>
        <w:r w:rsidR="000132A0">
          <w:rPr>
            <w:noProof/>
            <w:webHidden/>
          </w:rPr>
        </w:r>
        <w:r w:rsidR="000132A0">
          <w:rPr>
            <w:noProof/>
            <w:webHidden/>
          </w:rPr>
          <w:fldChar w:fldCharType="separate"/>
        </w:r>
        <w:r w:rsidR="000B0881">
          <w:rPr>
            <w:noProof/>
            <w:webHidden/>
          </w:rPr>
          <w:t>12</w:t>
        </w:r>
        <w:r w:rsidR="000132A0">
          <w:rPr>
            <w:noProof/>
            <w:webHidden/>
          </w:rPr>
          <w:fldChar w:fldCharType="end"/>
        </w:r>
      </w:hyperlink>
    </w:p>
    <w:p w:rsidR="00391FFD" w:rsidRDefault="002B1475" w:rsidP="000132A0">
      <w:pPr>
        <w:pStyle w:val="HTMLPreformatted"/>
        <w:tabs>
          <w:tab w:val="decimal" w:leader="dot" w:pos="8640"/>
        </w:tabs>
        <w:ind w:right="720"/>
        <w:rPr>
          <w:rFonts w:ascii="Times New Roman" w:hAnsi="Times New Roman" w:cs="Times New Roman"/>
          <w:b/>
          <w:bCs/>
          <w:sz w:val="24"/>
          <w:szCs w:val="24"/>
        </w:rPr>
      </w:pPr>
      <w:r>
        <w:rPr>
          <w:rFonts w:ascii="Times New Roman" w:hAnsi="Times New Roman" w:cs="Times New Roman"/>
          <w:b/>
          <w:bCs/>
          <w:sz w:val="24"/>
          <w:szCs w:val="24"/>
        </w:rPr>
        <w:fldChar w:fldCharType="end"/>
      </w:r>
    </w:p>
    <w:p w:rsidR="00391FFD" w:rsidRDefault="00391FFD" w:rsidP="00391FFD">
      <w:pPr>
        <w:pStyle w:val="HTMLPreformatted"/>
        <w:rPr>
          <w:rFonts w:ascii="Times New Roman" w:hAnsi="Times New Roman" w:cs="Times New Roman"/>
          <w:b/>
          <w:bCs/>
          <w:sz w:val="24"/>
          <w:szCs w:val="24"/>
        </w:rPr>
      </w:pPr>
    </w:p>
    <w:p w:rsidR="00391FFD" w:rsidRDefault="00391FFD" w:rsidP="00391FFD">
      <w:pPr>
        <w:pStyle w:val="HTMLPreformatted"/>
        <w:rPr>
          <w:rFonts w:ascii="Times New Roman" w:hAnsi="Times New Roman" w:cs="Times New Roman"/>
          <w:b/>
          <w:bCs/>
          <w:sz w:val="24"/>
          <w:szCs w:val="24"/>
        </w:rPr>
      </w:pPr>
    </w:p>
    <w:p w:rsidR="00391FFD" w:rsidRDefault="00391FFD" w:rsidP="00391FFD">
      <w:pPr>
        <w:pStyle w:val="HTMLPreformatted"/>
        <w:rPr>
          <w:rFonts w:ascii="Times New Roman" w:hAnsi="Times New Roman" w:cs="Times New Roman"/>
          <w:b/>
          <w:bCs/>
          <w:sz w:val="24"/>
          <w:szCs w:val="24"/>
        </w:rPr>
        <w:sectPr w:rsidR="00391FFD" w:rsidSect="002B1475">
          <w:footerReference w:type="first" r:id="rId23"/>
          <w:pgSz w:w="12240" w:h="15840"/>
          <w:pgMar w:top="1440" w:right="1800" w:bottom="1440" w:left="1800" w:header="720" w:footer="720" w:gutter="0"/>
          <w:pgNumType w:fmt="lowerRoman" w:start="1"/>
          <w:cols w:space="720"/>
          <w:titlePg/>
          <w:docGrid w:linePitch="65"/>
        </w:sectPr>
      </w:pPr>
    </w:p>
    <w:p w:rsidR="00071BC1" w:rsidRDefault="00071BC1" w:rsidP="00071BC1">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 xml:space="preserve">BEFORE </w:t>
      </w:r>
    </w:p>
    <w:p w:rsidR="00071BC1" w:rsidRDefault="00071BC1" w:rsidP="00071BC1">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THE PUBLIC UTILITIES COMMISSION OF OHIO</w:t>
      </w:r>
    </w:p>
    <w:p w:rsidR="00071BC1" w:rsidRDefault="00071BC1" w:rsidP="00071BC1">
      <w:pPr>
        <w:pStyle w:val="HTMLPreformatted"/>
        <w:jc w:val="center"/>
        <w:rPr>
          <w:rFonts w:ascii="Times New Roman" w:hAnsi="Times New Roman" w:cs="Times New Roman"/>
          <w:b/>
          <w:bCs/>
          <w:sz w:val="24"/>
          <w:szCs w:val="24"/>
        </w:rPr>
      </w:pPr>
    </w:p>
    <w:tbl>
      <w:tblPr>
        <w:tblpPr w:leftFromText="180" w:rightFromText="180" w:vertAnchor="page" w:horzAnchor="margin" w:tblpY="2286"/>
        <w:tblW w:w="8844" w:type="dxa"/>
        <w:tblLook w:val="01E0" w:firstRow="1" w:lastRow="1" w:firstColumn="1" w:lastColumn="1" w:noHBand="0" w:noVBand="0"/>
      </w:tblPr>
      <w:tblGrid>
        <w:gridCol w:w="4332"/>
        <w:gridCol w:w="4512"/>
      </w:tblGrid>
      <w:tr w:rsidR="00006B1C" w:rsidTr="004E7CF3">
        <w:trPr>
          <w:trHeight w:val="807"/>
        </w:trPr>
        <w:tc>
          <w:tcPr>
            <w:tcW w:w="4332" w:type="dxa"/>
          </w:tcPr>
          <w:p w:rsidR="00006B1C" w:rsidRDefault="00006B1C" w:rsidP="004E7CF3">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Application of  Columbus Southern Power Company for Administration of the Significantly Excessive Earnings Test under Section 4928.143(F), Revised Code, and Rule 4901:1-35-10, Ohio Administrative Code. </w:t>
            </w:r>
          </w:p>
          <w:p w:rsidR="00006B1C" w:rsidRDefault="00006B1C" w:rsidP="004E7CF3">
            <w:pPr>
              <w:pStyle w:val="HTMLPreformatted"/>
              <w:rPr>
                <w:rFonts w:ascii="Times New Roman" w:hAnsi="Times New Roman" w:cs="Times New Roman"/>
                <w:sz w:val="24"/>
                <w:szCs w:val="24"/>
              </w:rPr>
            </w:pPr>
          </w:p>
        </w:tc>
        <w:tc>
          <w:tcPr>
            <w:tcW w:w="4512" w:type="dxa"/>
          </w:tcPr>
          <w:p w:rsidR="00006B1C" w:rsidRDefault="00006B1C" w:rsidP="004E7CF3">
            <w:pPr>
              <w:pStyle w:val="HTMLPreformatted"/>
              <w:rPr>
                <w:rFonts w:ascii="Times New Roman" w:hAnsi="Times New Roman" w:cs="Times New Roman"/>
                <w:sz w:val="24"/>
                <w:szCs w:val="24"/>
                <w:lang w:val="es-ES"/>
              </w:rPr>
            </w:pPr>
            <w:r>
              <w:rPr>
                <w:rFonts w:ascii="Times New Roman" w:hAnsi="Times New Roman" w:cs="Times New Roman"/>
                <w:sz w:val="24"/>
                <w:szCs w:val="24"/>
                <w:lang w:val="es-ES"/>
              </w:rPr>
              <w:t>)</w:t>
            </w:r>
          </w:p>
          <w:p w:rsidR="00006B1C" w:rsidRDefault="00006B1C" w:rsidP="004E7CF3">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Case No. 11-4571-EL-UNC</w:t>
            </w:r>
          </w:p>
          <w:p w:rsidR="00006B1C" w:rsidRDefault="00006B1C" w:rsidP="004E7CF3">
            <w:pPr>
              <w:pStyle w:val="HTMLPreformatted"/>
              <w:rPr>
                <w:rFonts w:ascii="Times New Roman" w:hAnsi="Times New Roman" w:cs="Times New Roman"/>
                <w:sz w:val="24"/>
                <w:szCs w:val="24"/>
              </w:rPr>
            </w:pPr>
            <w:r>
              <w:rPr>
                <w:rFonts w:ascii="Times New Roman" w:hAnsi="Times New Roman" w:cs="Times New Roman"/>
                <w:sz w:val="24"/>
                <w:szCs w:val="24"/>
              </w:rPr>
              <w:t>)</w:t>
            </w:r>
          </w:p>
          <w:p w:rsidR="00006B1C" w:rsidRDefault="00006B1C" w:rsidP="004E7CF3">
            <w:pPr>
              <w:pStyle w:val="HTMLPreformatted"/>
              <w:rPr>
                <w:rFonts w:ascii="Times New Roman" w:hAnsi="Times New Roman" w:cs="Times New Roman"/>
                <w:sz w:val="24"/>
                <w:szCs w:val="24"/>
              </w:rPr>
            </w:pPr>
            <w:r>
              <w:rPr>
                <w:rFonts w:ascii="Times New Roman" w:hAnsi="Times New Roman" w:cs="Times New Roman"/>
                <w:sz w:val="24"/>
                <w:szCs w:val="24"/>
              </w:rPr>
              <w:t>)</w:t>
            </w:r>
          </w:p>
          <w:p w:rsidR="00006B1C" w:rsidRDefault="00006B1C" w:rsidP="004E7CF3">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p>
          <w:p w:rsidR="00006B1C" w:rsidRDefault="00006B1C" w:rsidP="004E7CF3">
            <w:pPr>
              <w:pStyle w:val="HTMLPreformatted"/>
              <w:rPr>
                <w:rFonts w:ascii="Times New Roman" w:hAnsi="Times New Roman" w:cs="Times New Roman"/>
                <w:sz w:val="24"/>
                <w:szCs w:val="24"/>
              </w:rPr>
            </w:pPr>
          </w:p>
        </w:tc>
      </w:tr>
      <w:tr w:rsidR="00006B1C" w:rsidTr="004E7CF3">
        <w:trPr>
          <w:trHeight w:val="807"/>
        </w:trPr>
        <w:tc>
          <w:tcPr>
            <w:tcW w:w="4332" w:type="dxa"/>
          </w:tcPr>
          <w:p w:rsidR="00006B1C" w:rsidRDefault="00006B1C" w:rsidP="004E7CF3">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Application of Ohio Power Company for Administration of the Significantly Excessive Earnings Test under Section 4928.143(F), Revised Code, and Rule 4901:1-35-10, Ohio Administrative Code. </w:t>
            </w:r>
          </w:p>
        </w:tc>
        <w:tc>
          <w:tcPr>
            <w:tcW w:w="4512" w:type="dxa"/>
          </w:tcPr>
          <w:p w:rsidR="00006B1C" w:rsidRDefault="00006B1C" w:rsidP="004E7CF3">
            <w:pPr>
              <w:pStyle w:val="HTMLPreformatted"/>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tab/>
              <w:t>Case No. 11-4572-EL-UNC</w:t>
            </w:r>
          </w:p>
          <w:p w:rsidR="00006B1C" w:rsidRDefault="00006B1C" w:rsidP="004E7CF3">
            <w:pPr>
              <w:pStyle w:val="HTMLPreformatted"/>
              <w:rPr>
                <w:rFonts w:ascii="Times New Roman" w:hAnsi="Times New Roman" w:cs="Times New Roman"/>
                <w:sz w:val="24"/>
                <w:szCs w:val="24"/>
              </w:rPr>
            </w:pPr>
            <w:r>
              <w:rPr>
                <w:rFonts w:ascii="Times New Roman" w:hAnsi="Times New Roman" w:cs="Times New Roman"/>
                <w:sz w:val="24"/>
                <w:szCs w:val="24"/>
              </w:rPr>
              <w:t>)</w:t>
            </w:r>
          </w:p>
          <w:p w:rsidR="00006B1C" w:rsidRDefault="00006B1C" w:rsidP="004E7CF3">
            <w:pPr>
              <w:pStyle w:val="HTMLPreformatted"/>
              <w:rPr>
                <w:rFonts w:ascii="Times New Roman" w:hAnsi="Times New Roman" w:cs="Times New Roman"/>
                <w:sz w:val="24"/>
                <w:szCs w:val="24"/>
              </w:rPr>
            </w:pPr>
            <w:r>
              <w:rPr>
                <w:rFonts w:ascii="Times New Roman" w:hAnsi="Times New Roman" w:cs="Times New Roman"/>
                <w:sz w:val="24"/>
                <w:szCs w:val="24"/>
              </w:rPr>
              <w:t>)</w:t>
            </w:r>
          </w:p>
          <w:p w:rsidR="00006B1C" w:rsidRDefault="00006B1C" w:rsidP="004E7CF3">
            <w:pPr>
              <w:pStyle w:val="HTMLPreformatted"/>
              <w:rPr>
                <w:rFonts w:ascii="Times New Roman" w:hAnsi="Times New Roman" w:cs="Times New Roman"/>
                <w:sz w:val="24"/>
                <w:szCs w:val="24"/>
                <w:lang w:val="es-ES"/>
              </w:rPr>
            </w:pPr>
            <w:r>
              <w:rPr>
                <w:rFonts w:ascii="Times New Roman" w:hAnsi="Times New Roman" w:cs="Times New Roman"/>
                <w:sz w:val="24"/>
                <w:szCs w:val="24"/>
              </w:rPr>
              <w:t>)</w:t>
            </w:r>
          </w:p>
        </w:tc>
      </w:tr>
    </w:tbl>
    <w:p w:rsidR="00071BC1" w:rsidRDefault="00071BC1" w:rsidP="00071BC1">
      <w:pPr>
        <w:jc w:val="center"/>
        <w:rPr>
          <w:b/>
        </w:rPr>
      </w:pPr>
    </w:p>
    <w:p w:rsidR="00006B1C" w:rsidRDefault="00006B1C" w:rsidP="00071BC1">
      <w:pPr>
        <w:jc w:val="center"/>
        <w:rPr>
          <w:b/>
        </w:rPr>
      </w:pPr>
    </w:p>
    <w:p w:rsidR="00071BC1" w:rsidRDefault="00071BC1" w:rsidP="00071BC1">
      <w:pPr>
        <w:pBdr>
          <w:top w:val="single" w:sz="4" w:space="1" w:color="auto"/>
        </w:pBdr>
        <w:jc w:val="center"/>
        <w:rPr>
          <w:b/>
        </w:rPr>
      </w:pPr>
    </w:p>
    <w:p w:rsidR="00071BC1" w:rsidRDefault="00071BC1" w:rsidP="00071BC1">
      <w:pPr>
        <w:pBdr>
          <w:top w:val="single" w:sz="4" w:space="1" w:color="auto"/>
        </w:pBdr>
        <w:jc w:val="center"/>
        <w:rPr>
          <w:b/>
        </w:rPr>
      </w:pPr>
      <w:r>
        <w:rPr>
          <w:b/>
        </w:rPr>
        <w:t>MEMORANDUM IN SUPPORT</w:t>
      </w:r>
    </w:p>
    <w:p w:rsidR="00071BC1" w:rsidRDefault="00071BC1" w:rsidP="00071BC1">
      <w:pPr>
        <w:pBdr>
          <w:bottom w:val="single" w:sz="4" w:space="1" w:color="auto"/>
        </w:pBdr>
      </w:pPr>
    </w:p>
    <w:p w:rsidR="00071BC1" w:rsidRDefault="00071BC1" w:rsidP="00071BC1"/>
    <w:p w:rsidR="001D05E0" w:rsidRDefault="001D05E0" w:rsidP="002B1475">
      <w:pPr>
        <w:pStyle w:val="Heading1"/>
      </w:pPr>
      <w:bookmarkStart w:id="3" w:name="_Toc372739400"/>
      <w:bookmarkStart w:id="4" w:name="_Toc372898230"/>
      <w:r>
        <w:t>I.</w:t>
      </w:r>
      <w:r>
        <w:tab/>
        <w:t>INTRODUCTION</w:t>
      </w:r>
      <w:bookmarkEnd w:id="3"/>
      <w:bookmarkEnd w:id="4"/>
    </w:p>
    <w:p w:rsidR="003E582A" w:rsidRDefault="00004AFE" w:rsidP="003E582A">
      <w:pPr>
        <w:autoSpaceDE w:val="0"/>
        <w:autoSpaceDN w:val="0"/>
        <w:adjustRightInd w:val="0"/>
        <w:spacing w:line="480" w:lineRule="auto"/>
      </w:pPr>
      <w:r>
        <w:tab/>
      </w:r>
      <w:r w:rsidR="003E582A">
        <w:t>The Office of the Ohio Consumers’ Counsel (“OCC”) files this Application for Rehearing in furtherance of the legislative intent to protect Ohio customers from paying unjust and unreasonable rates for their electric service.  In Senate Bill 221 (“S.B. 221”) the 127th General Assembly determined that the Public Utilities Commission of Ohio (“PUCO” or “Commission”) must protect Ohio customers by requiring electric distribution utilities to return to customers the amount of any significantly excessive earnings.</w:t>
      </w:r>
      <w:r w:rsidR="003E582A">
        <w:rPr>
          <w:rStyle w:val="FootnoteReference"/>
        </w:rPr>
        <w:footnoteReference w:id="2"/>
      </w:r>
      <w:r w:rsidR="003E582A">
        <w:t xml:space="preserve">   </w:t>
      </w:r>
    </w:p>
    <w:p w:rsidR="003E582A" w:rsidRDefault="003E582A" w:rsidP="003E582A">
      <w:pPr>
        <w:autoSpaceDE w:val="0"/>
        <w:autoSpaceDN w:val="0"/>
        <w:adjustRightInd w:val="0"/>
        <w:spacing w:line="480" w:lineRule="auto"/>
        <w:ind w:firstLine="720"/>
      </w:pPr>
      <w:r>
        <w:t>Specifically, S.B. 221 requires the Commission, on an annual basis, to compare the earnings of Ohio investor-owned utilities with electric security plans (“ESPs”) to the earnings of publicly-traded companies with comparable risk.</w:t>
      </w:r>
      <w:r>
        <w:rPr>
          <w:rStyle w:val="FootnoteReference"/>
        </w:rPr>
        <w:footnoteReference w:id="3"/>
      </w:r>
      <w:r>
        <w:t xml:space="preserve">  If, after conducting such a comparison, the Commission determines that a utility’s ESP rate “adjustments” resulted in “significantly excessive” earnings, </w:t>
      </w:r>
      <w:r w:rsidR="00FA7307">
        <w:t xml:space="preserve">then </w:t>
      </w:r>
      <w:r>
        <w:t>the utility must refund the excess earnings to the utility’s customers.</w:t>
      </w:r>
      <w:r>
        <w:rPr>
          <w:rStyle w:val="FootnoteReference"/>
        </w:rPr>
        <w:footnoteReference w:id="4"/>
      </w:r>
      <w:r>
        <w:t xml:space="preserve">  Through the significantly excessive earnings test (“SEET”) the Legislature determined that Ohio consumers cannot be made to fund significantly excessive utility profits resulting from an ESP. </w:t>
      </w:r>
    </w:p>
    <w:p w:rsidR="00951DA7" w:rsidRDefault="003E582A" w:rsidP="00A17192">
      <w:pPr>
        <w:autoSpaceDE w:val="0"/>
        <w:autoSpaceDN w:val="0"/>
        <w:adjustRightInd w:val="0"/>
        <w:spacing w:line="480" w:lineRule="auto"/>
        <w:rPr>
          <w:szCs w:val="24"/>
        </w:rPr>
      </w:pPr>
      <w:r>
        <w:rPr>
          <w:szCs w:val="24"/>
        </w:rPr>
        <w:tab/>
        <w:t>The PUCO applied the SEET for the first time (“2009 SEET Proceeding”) when it reviewed the 2009 earnings of Columbus Southern Power Company</w:t>
      </w:r>
      <w:r w:rsidR="00F85E27">
        <w:rPr>
          <w:szCs w:val="24"/>
        </w:rPr>
        <w:t>.</w:t>
      </w:r>
      <w:r>
        <w:rPr>
          <w:rStyle w:val="FootnoteReference"/>
          <w:szCs w:val="24"/>
        </w:rPr>
        <w:t xml:space="preserve"> </w:t>
      </w:r>
      <w:r>
        <w:rPr>
          <w:rStyle w:val="FootnoteReference"/>
          <w:szCs w:val="24"/>
        </w:rPr>
        <w:footnoteReference w:id="5"/>
      </w:r>
      <w:r>
        <w:rPr>
          <w:szCs w:val="24"/>
        </w:rPr>
        <w:t xml:space="preserve"> </w:t>
      </w:r>
      <w:r w:rsidR="002D2621">
        <w:rPr>
          <w:szCs w:val="24"/>
        </w:rPr>
        <w:t xml:space="preserve"> </w:t>
      </w:r>
      <w:r>
        <w:rPr>
          <w:szCs w:val="24"/>
        </w:rPr>
        <w:t xml:space="preserve">On January 11, 2011, the PUCO issued an Opinion and Order </w:t>
      </w:r>
      <w:r w:rsidR="00951DA7">
        <w:rPr>
          <w:szCs w:val="24"/>
        </w:rPr>
        <w:t xml:space="preserve">that </w:t>
      </w:r>
      <w:r>
        <w:rPr>
          <w:szCs w:val="24"/>
        </w:rPr>
        <w:t>found CSP’s earnings to be excessive in the amount of $42.6 million and ordered that amount to be refunded to customers.</w:t>
      </w:r>
      <w:r>
        <w:rPr>
          <w:rStyle w:val="FootnoteReference"/>
          <w:szCs w:val="24"/>
        </w:rPr>
        <w:footnoteReference w:id="6"/>
      </w:r>
      <w:r>
        <w:rPr>
          <w:szCs w:val="24"/>
        </w:rPr>
        <w:t xml:space="preserve"> </w:t>
      </w:r>
    </w:p>
    <w:p w:rsidR="00951DA7" w:rsidRDefault="003E582A" w:rsidP="00A17192">
      <w:pPr>
        <w:autoSpaceDE w:val="0"/>
        <w:autoSpaceDN w:val="0"/>
        <w:adjustRightInd w:val="0"/>
        <w:spacing w:line="480" w:lineRule="auto"/>
        <w:ind w:firstLine="720"/>
        <w:rPr>
          <w:rFonts w:eastAsia="Calibri"/>
          <w:szCs w:val="24"/>
        </w:rPr>
      </w:pPr>
      <w:r>
        <w:rPr>
          <w:szCs w:val="24"/>
        </w:rPr>
        <w:t xml:space="preserve">Additionally, </w:t>
      </w:r>
      <w:r w:rsidR="00951DA7">
        <w:rPr>
          <w:szCs w:val="24"/>
        </w:rPr>
        <w:t xml:space="preserve">in the 2009 SEET Proceeding, </w:t>
      </w:r>
      <w:r w:rsidR="00087A7D" w:rsidRPr="00087A7D">
        <w:rPr>
          <w:rFonts w:eastAsia="Calibri"/>
          <w:szCs w:val="24"/>
        </w:rPr>
        <w:t>AEP Ohio made the com</w:t>
      </w:r>
      <w:r w:rsidR="004A19B8">
        <w:rPr>
          <w:rFonts w:eastAsia="Calibri"/>
          <w:szCs w:val="24"/>
        </w:rPr>
        <w:t>mitment to invest $20 million in</w:t>
      </w:r>
      <w:r w:rsidR="00087A7D" w:rsidRPr="00087A7D">
        <w:rPr>
          <w:rFonts w:eastAsia="Calibri"/>
          <w:szCs w:val="24"/>
        </w:rPr>
        <w:t xml:space="preserve"> the Turning Point solar project.</w:t>
      </w:r>
      <w:r w:rsidR="00E8137F">
        <w:rPr>
          <w:rStyle w:val="FootnoteReference"/>
          <w:rFonts w:eastAsia="Calibri"/>
          <w:szCs w:val="24"/>
        </w:rPr>
        <w:footnoteReference w:id="7"/>
      </w:r>
      <w:r w:rsidR="00087A7D" w:rsidRPr="00087A7D">
        <w:rPr>
          <w:rFonts w:eastAsia="Calibri"/>
          <w:szCs w:val="24"/>
        </w:rPr>
        <w:t xml:space="preserve">  </w:t>
      </w:r>
      <w:r w:rsidR="00E8137F">
        <w:rPr>
          <w:rFonts w:eastAsia="Calibri"/>
          <w:szCs w:val="24"/>
        </w:rPr>
        <w:t xml:space="preserve">The PUCO </w:t>
      </w:r>
      <w:r w:rsidR="00E8137F" w:rsidRPr="00E8137F">
        <w:rPr>
          <w:rFonts w:eastAsia="Calibri"/>
          <w:szCs w:val="24"/>
        </w:rPr>
        <w:t xml:space="preserve">ordered that if the Turning Point project did not move forward in 2012, </w:t>
      </w:r>
      <w:r w:rsidR="00E8137F">
        <w:rPr>
          <w:rFonts w:eastAsia="Calibri"/>
          <w:szCs w:val="24"/>
        </w:rPr>
        <w:t>then AEP Ohio had to spend</w:t>
      </w:r>
      <w:r w:rsidR="00E8137F" w:rsidRPr="00E8137F">
        <w:rPr>
          <w:rFonts w:eastAsia="Calibri"/>
          <w:szCs w:val="24"/>
        </w:rPr>
        <w:t xml:space="preserve"> $20 million on a similar project in 2012.</w:t>
      </w:r>
      <w:r w:rsidR="00E8137F" w:rsidRPr="00E8137F">
        <w:rPr>
          <w:rFonts w:eastAsia="Calibri"/>
          <w:szCs w:val="24"/>
          <w:vertAlign w:val="superscript"/>
        </w:rPr>
        <w:footnoteReference w:id="8"/>
      </w:r>
      <w:r w:rsidR="00E8137F" w:rsidRPr="00E8137F">
        <w:rPr>
          <w:rFonts w:eastAsia="Calibri"/>
          <w:szCs w:val="24"/>
        </w:rPr>
        <w:t xml:space="preserve">  </w:t>
      </w:r>
      <w:r w:rsidR="00951DA7">
        <w:rPr>
          <w:rFonts w:eastAsia="Calibri"/>
          <w:szCs w:val="24"/>
        </w:rPr>
        <w:t xml:space="preserve">To date, AEP Ohio has not spent that $20 million. </w:t>
      </w:r>
      <w:r w:rsidR="003154F4">
        <w:rPr>
          <w:rFonts w:eastAsia="Calibri"/>
          <w:szCs w:val="24"/>
        </w:rPr>
        <w:t>AEP O</w:t>
      </w:r>
      <w:r w:rsidR="00986D52">
        <w:rPr>
          <w:rFonts w:eastAsia="Calibri"/>
          <w:szCs w:val="24"/>
        </w:rPr>
        <w:t>hio has been in violation of that</w:t>
      </w:r>
      <w:r w:rsidR="00951DA7">
        <w:rPr>
          <w:rFonts w:eastAsia="Calibri"/>
          <w:szCs w:val="24"/>
        </w:rPr>
        <w:t xml:space="preserve"> </w:t>
      </w:r>
      <w:r w:rsidR="003154F4">
        <w:rPr>
          <w:rFonts w:eastAsia="Calibri"/>
          <w:szCs w:val="24"/>
        </w:rPr>
        <w:t xml:space="preserve">PUCO </w:t>
      </w:r>
      <w:r w:rsidR="00951DA7">
        <w:rPr>
          <w:rFonts w:eastAsia="Calibri"/>
          <w:szCs w:val="24"/>
        </w:rPr>
        <w:t xml:space="preserve">order </w:t>
      </w:r>
      <w:r w:rsidR="003154F4">
        <w:rPr>
          <w:rFonts w:eastAsia="Calibri"/>
          <w:szCs w:val="24"/>
        </w:rPr>
        <w:t xml:space="preserve">since January 1, 2013. </w:t>
      </w:r>
    </w:p>
    <w:p w:rsidR="00087A7D" w:rsidRPr="00A17192" w:rsidRDefault="004A19B8" w:rsidP="00A17192">
      <w:pPr>
        <w:autoSpaceDE w:val="0"/>
        <w:autoSpaceDN w:val="0"/>
        <w:adjustRightInd w:val="0"/>
        <w:spacing w:line="480" w:lineRule="auto"/>
        <w:ind w:firstLine="720"/>
        <w:rPr>
          <w:szCs w:val="24"/>
        </w:rPr>
      </w:pPr>
      <w:r>
        <w:rPr>
          <w:rFonts w:eastAsia="Calibri"/>
          <w:szCs w:val="24"/>
        </w:rPr>
        <w:t xml:space="preserve">The PUCO’s </w:t>
      </w:r>
      <w:r>
        <w:t>October 23,</w:t>
      </w:r>
      <w:r>
        <w:rPr>
          <w:spacing w:val="-3"/>
        </w:rPr>
        <w:t xml:space="preserve"> </w:t>
      </w:r>
      <w:r>
        <w:t>2013</w:t>
      </w:r>
      <w:r>
        <w:rPr>
          <w:spacing w:val="-2"/>
        </w:rPr>
        <w:t xml:space="preserve"> </w:t>
      </w:r>
      <w:r>
        <w:rPr>
          <w:spacing w:val="-1"/>
        </w:rPr>
        <w:t>Or</w:t>
      </w:r>
      <w:r>
        <w:rPr>
          <w:spacing w:val="2"/>
        </w:rPr>
        <w:t>d</w:t>
      </w:r>
      <w:r>
        <w:rPr>
          <w:spacing w:val="-1"/>
        </w:rPr>
        <w:t>er</w:t>
      </w:r>
      <w:r w:rsidRPr="00087A7D">
        <w:rPr>
          <w:rFonts w:eastAsia="Calibri"/>
          <w:szCs w:val="24"/>
        </w:rPr>
        <w:t xml:space="preserve"> </w:t>
      </w:r>
      <w:r w:rsidR="00986D52">
        <w:rPr>
          <w:rFonts w:eastAsia="Calibri"/>
          <w:szCs w:val="24"/>
        </w:rPr>
        <w:t xml:space="preserve">in this case </w:t>
      </w:r>
      <w:r>
        <w:rPr>
          <w:rFonts w:eastAsia="Calibri"/>
          <w:szCs w:val="24"/>
        </w:rPr>
        <w:t>makes it</w:t>
      </w:r>
      <w:r w:rsidR="00986D52">
        <w:rPr>
          <w:rFonts w:eastAsia="Calibri"/>
          <w:szCs w:val="24"/>
        </w:rPr>
        <w:t xml:space="preserve"> </w:t>
      </w:r>
      <w:r>
        <w:rPr>
          <w:rFonts w:eastAsia="Calibri"/>
          <w:szCs w:val="24"/>
        </w:rPr>
        <w:t xml:space="preserve">the </w:t>
      </w:r>
      <w:r w:rsidRPr="00A17192">
        <w:rPr>
          <w:rFonts w:eastAsia="Calibri"/>
          <w:b/>
          <w:i/>
          <w:szCs w:val="24"/>
        </w:rPr>
        <w:t>third</w:t>
      </w:r>
      <w:r>
        <w:rPr>
          <w:rFonts w:eastAsia="Calibri"/>
          <w:szCs w:val="24"/>
        </w:rPr>
        <w:t xml:space="preserve"> time that </w:t>
      </w:r>
      <w:r w:rsidR="00986D52">
        <w:rPr>
          <w:rFonts w:eastAsia="Calibri"/>
          <w:szCs w:val="24"/>
        </w:rPr>
        <w:t xml:space="preserve">the PUCO has directed </w:t>
      </w:r>
      <w:r>
        <w:rPr>
          <w:rFonts w:eastAsia="Calibri"/>
          <w:szCs w:val="24"/>
        </w:rPr>
        <w:t xml:space="preserve">AEP Ohio to </w:t>
      </w:r>
      <w:r w:rsidR="00087A7D" w:rsidRPr="00087A7D">
        <w:rPr>
          <w:rFonts w:eastAsia="Calibri"/>
          <w:szCs w:val="24"/>
        </w:rPr>
        <w:t xml:space="preserve">spend </w:t>
      </w:r>
      <w:r>
        <w:rPr>
          <w:rFonts w:eastAsia="Calibri"/>
          <w:szCs w:val="24"/>
        </w:rPr>
        <w:t>th</w:t>
      </w:r>
      <w:r w:rsidR="00986D52">
        <w:rPr>
          <w:rFonts w:eastAsia="Calibri"/>
          <w:szCs w:val="24"/>
        </w:rPr>
        <w:t>e</w:t>
      </w:r>
      <w:r>
        <w:rPr>
          <w:rFonts w:eastAsia="Calibri"/>
          <w:szCs w:val="24"/>
        </w:rPr>
        <w:t xml:space="preserve"> </w:t>
      </w:r>
      <w:r w:rsidR="00087A7D" w:rsidRPr="00087A7D">
        <w:rPr>
          <w:rFonts w:eastAsia="Calibri"/>
          <w:szCs w:val="24"/>
        </w:rPr>
        <w:t>$20 million</w:t>
      </w:r>
      <w:r w:rsidR="00087A7D" w:rsidRPr="00087A7D">
        <w:rPr>
          <w:rFonts w:eastAsia="Calibri"/>
          <w:szCs w:val="24"/>
          <w:vertAlign w:val="superscript"/>
        </w:rPr>
        <w:footnoteReference w:id="9"/>
      </w:r>
      <w:r w:rsidR="00951DA7">
        <w:rPr>
          <w:rFonts w:eastAsia="Calibri"/>
          <w:szCs w:val="24"/>
        </w:rPr>
        <w:t xml:space="preserve"> </w:t>
      </w:r>
      <w:r w:rsidR="00986D52">
        <w:rPr>
          <w:rFonts w:eastAsia="Calibri"/>
          <w:szCs w:val="24"/>
        </w:rPr>
        <w:t>that the Company committed to spending in 2010</w:t>
      </w:r>
      <w:r w:rsidR="00986D52" w:rsidRPr="00087A7D">
        <w:rPr>
          <w:rFonts w:eastAsia="Calibri"/>
          <w:szCs w:val="24"/>
        </w:rPr>
        <w:t>.</w:t>
      </w:r>
      <w:r w:rsidR="00986D52">
        <w:rPr>
          <w:rStyle w:val="FootnoteReference"/>
          <w:rFonts w:eastAsia="Calibri"/>
          <w:szCs w:val="24"/>
        </w:rPr>
        <w:footnoteReference w:id="10"/>
      </w:r>
      <w:r w:rsidR="00087A7D" w:rsidRPr="00087A7D">
        <w:rPr>
          <w:rFonts w:eastAsia="Calibri"/>
          <w:szCs w:val="24"/>
        </w:rPr>
        <w:t xml:space="preserve"> Customers should not </w:t>
      </w:r>
      <w:r>
        <w:rPr>
          <w:rFonts w:eastAsia="Calibri"/>
          <w:szCs w:val="24"/>
        </w:rPr>
        <w:t xml:space="preserve">have to </w:t>
      </w:r>
      <w:r w:rsidR="00087A7D" w:rsidRPr="00087A7D">
        <w:rPr>
          <w:rFonts w:eastAsia="Calibri"/>
          <w:szCs w:val="24"/>
        </w:rPr>
        <w:t xml:space="preserve">continue to wait to see the benefits of the $20 million investment. Customers should see the benefits now. </w:t>
      </w:r>
      <w:r w:rsidR="008A0E17">
        <w:rPr>
          <w:rFonts w:eastAsia="Calibri"/>
          <w:szCs w:val="24"/>
        </w:rPr>
        <w:t xml:space="preserve">Accordingly, the PUCO should order a </w:t>
      </w:r>
      <w:r w:rsidR="00FA7307" w:rsidRPr="00087A7D">
        <w:rPr>
          <w:rFonts w:eastAsia="Calibri"/>
          <w:szCs w:val="24"/>
        </w:rPr>
        <w:t>$20 million</w:t>
      </w:r>
      <w:r w:rsidR="00FA7307">
        <w:rPr>
          <w:rFonts w:eastAsia="Calibri"/>
          <w:szCs w:val="24"/>
        </w:rPr>
        <w:t xml:space="preserve"> </w:t>
      </w:r>
      <w:r w:rsidR="008A0E17">
        <w:rPr>
          <w:rFonts w:eastAsia="Calibri"/>
          <w:szCs w:val="24"/>
        </w:rPr>
        <w:t xml:space="preserve">reduction </w:t>
      </w:r>
      <w:r w:rsidR="00FA7307">
        <w:rPr>
          <w:rFonts w:eastAsia="Calibri"/>
          <w:szCs w:val="24"/>
        </w:rPr>
        <w:t>to</w:t>
      </w:r>
      <w:r w:rsidR="008A0E17">
        <w:rPr>
          <w:rFonts w:eastAsia="Calibri"/>
          <w:szCs w:val="24"/>
        </w:rPr>
        <w:t xml:space="preserve"> </w:t>
      </w:r>
      <w:r w:rsidR="00087A7D" w:rsidRPr="00087A7D">
        <w:rPr>
          <w:rFonts w:eastAsia="Calibri"/>
          <w:szCs w:val="24"/>
        </w:rPr>
        <w:t xml:space="preserve">AEP Ohio’s </w:t>
      </w:r>
      <w:r w:rsidR="00FA7307">
        <w:rPr>
          <w:rFonts w:eastAsia="Calibri"/>
          <w:szCs w:val="24"/>
        </w:rPr>
        <w:t xml:space="preserve">prudently incurred </w:t>
      </w:r>
      <w:r w:rsidR="00087A7D" w:rsidRPr="00087A7D">
        <w:rPr>
          <w:rFonts w:eastAsia="Calibri"/>
          <w:szCs w:val="24"/>
        </w:rPr>
        <w:t xml:space="preserve">storm costs </w:t>
      </w:r>
      <w:r w:rsidR="008A0E17">
        <w:rPr>
          <w:rFonts w:eastAsia="Calibri"/>
          <w:szCs w:val="24"/>
        </w:rPr>
        <w:t>that it seeks to collect from customers</w:t>
      </w:r>
      <w:r w:rsidR="00FA7307">
        <w:rPr>
          <w:rFonts w:eastAsia="Calibri"/>
          <w:szCs w:val="24"/>
        </w:rPr>
        <w:t xml:space="preserve">. </w:t>
      </w:r>
      <w:r w:rsidR="008A0E17">
        <w:rPr>
          <w:rFonts w:eastAsia="Calibri"/>
          <w:szCs w:val="24"/>
        </w:rPr>
        <w:t>Such action by the PUCO</w:t>
      </w:r>
      <w:r w:rsidR="00087A7D" w:rsidRPr="00087A7D">
        <w:rPr>
          <w:rFonts w:eastAsia="Calibri"/>
          <w:szCs w:val="24"/>
        </w:rPr>
        <w:t xml:space="preserve"> will ensure 1) that customers do in fact benefit from the money, consistent with the PUCO’s expectations, and 2) that customers benefit </w:t>
      </w:r>
      <w:r w:rsidR="00087A7D" w:rsidRPr="00087A7D">
        <w:rPr>
          <w:rFonts w:eastAsia="Calibri"/>
          <w:b/>
          <w:szCs w:val="24"/>
        </w:rPr>
        <w:t>now</w:t>
      </w:r>
      <w:r w:rsidR="00087A7D" w:rsidRPr="00087A7D">
        <w:rPr>
          <w:rFonts w:eastAsia="Calibri"/>
          <w:szCs w:val="24"/>
        </w:rPr>
        <w:t xml:space="preserve"> from the money.  </w:t>
      </w:r>
    </w:p>
    <w:p w:rsidR="001D05E0" w:rsidRDefault="001D05E0">
      <w:pPr>
        <w:spacing w:line="480" w:lineRule="auto"/>
      </w:pPr>
      <w:r>
        <w:rPr>
          <w:szCs w:val="24"/>
        </w:rPr>
        <w:tab/>
        <w:t>As explained in detail below</w:t>
      </w:r>
      <w:r>
        <w:t>, the</w:t>
      </w:r>
      <w:r w:rsidR="00A17192">
        <w:t xml:space="preserve"> PUCO also erred when it adopted the top of the range (17.56 percent) for the SEET threshold.</w:t>
      </w:r>
      <w:r w:rsidR="00A17192">
        <w:rPr>
          <w:rStyle w:val="FootnoteReference"/>
        </w:rPr>
        <w:footnoteReference w:id="11"/>
      </w:r>
      <w:r w:rsidR="00A17192">
        <w:t xml:space="preserve">  The SEET threshold should be the 17.05 percent (the bottom of the range) because of AEP Ohio’s </w:t>
      </w:r>
      <w:r>
        <w:t>over-stated and declining capital investments in Ohio</w:t>
      </w:r>
      <w:r w:rsidR="00A17192">
        <w:t>.</w:t>
      </w:r>
      <w:r w:rsidR="00655CD7">
        <w:t xml:space="preserve">  The bottom of the range is more favorable to customers.</w:t>
      </w:r>
      <w:r w:rsidR="00A17192">
        <w:t xml:space="preserve">  Accordingly, the PUCO should grant rehearing on this issue</w:t>
      </w:r>
      <w:r w:rsidR="008A0E17">
        <w:t xml:space="preserve"> so that CSP’s customers can receive the $17.3 million refund that they are entitled to under Ohio law.</w:t>
      </w:r>
    </w:p>
    <w:p w:rsidR="002B1475" w:rsidRDefault="002B1475" w:rsidP="002B1475">
      <w:pPr>
        <w:rPr>
          <w:b/>
        </w:rPr>
      </w:pPr>
    </w:p>
    <w:p w:rsidR="001D05E0" w:rsidRPr="001A1581" w:rsidRDefault="001D05E0" w:rsidP="001A1581">
      <w:pPr>
        <w:pStyle w:val="Heading1"/>
      </w:pPr>
      <w:bookmarkStart w:id="5" w:name="_Toc372739401"/>
      <w:bookmarkStart w:id="6" w:name="_Toc372898231"/>
      <w:r w:rsidRPr="001A1581">
        <w:t xml:space="preserve">II. </w:t>
      </w:r>
      <w:r w:rsidRPr="001A1581">
        <w:tab/>
      </w:r>
      <w:r w:rsidR="00012DE8" w:rsidRPr="001A1581">
        <w:t>standard of review</w:t>
      </w:r>
      <w:bookmarkEnd w:id="5"/>
      <w:bookmarkEnd w:id="6"/>
    </w:p>
    <w:p w:rsidR="00012DE8" w:rsidRDefault="00012DE8" w:rsidP="00012DE8">
      <w:pPr>
        <w:spacing w:line="480" w:lineRule="auto"/>
        <w:ind w:firstLine="720"/>
        <w:rPr>
          <w:i/>
          <w:iCs/>
        </w:rPr>
      </w:pPr>
      <w:r>
        <w:t xml:space="preserve">Applications for Rehearing are governed by R.C. 4903.10 and Ohio Adm. Code 4901-1-35.  This statute provides that, within thirty (30) days after issuance of an order from the </w:t>
      </w:r>
      <w:r w:rsidR="00537F46">
        <w:t>PUCO</w:t>
      </w:r>
      <w:r>
        <w:t>, “any party who has entered an appearance in person or by counsel in the proceeding may apply for rehearing in respect to any matters determined in the proceeding.”</w:t>
      </w:r>
      <w:r>
        <w:rPr>
          <w:rStyle w:val="FootnoteReference"/>
        </w:rPr>
        <w:footnoteReference w:id="12"/>
      </w:r>
      <w:r>
        <w:t xml:space="preserve">  Furthermore, the application for rehearing must be “in writing and shall set forth specifically the ground or grounds on which the applicant considers the order to be unreasonable or unlawful.”</w:t>
      </w:r>
      <w:r>
        <w:rPr>
          <w:rStyle w:val="FootnoteReference"/>
        </w:rPr>
        <w:footnoteReference w:id="13"/>
      </w:r>
    </w:p>
    <w:p w:rsidR="00012DE8" w:rsidRDefault="00012DE8" w:rsidP="00012DE8">
      <w:pPr>
        <w:spacing w:line="480" w:lineRule="auto"/>
        <w:ind w:firstLine="720"/>
      </w:pPr>
      <w:r>
        <w:t>In considering an application for rehearing, Ohio l</w:t>
      </w:r>
      <w:r w:rsidR="00537F46">
        <w:t xml:space="preserve">aw provides that the PUCO </w:t>
      </w:r>
      <w:r>
        <w:t>“may grant and hold such rehearing on the matter specified in such application, if in its judgment sufficient reason therefor is made to appear.”</w:t>
      </w:r>
      <w:r>
        <w:rPr>
          <w:rStyle w:val="FootnoteReference"/>
        </w:rPr>
        <w:footnoteReference w:id="14"/>
      </w:r>
      <w:r>
        <w:t xml:space="preserve">  Furthermore, if the </w:t>
      </w:r>
      <w:r w:rsidR="00537F46">
        <w:t xml:space="preserve">PUCO </w:t>
      </w:r>
      <w:r>
        <w:t>grants a rehearing and determines that “the original order or any part thereof is in any respect unjust or unwarranted, or should be changed, the commission may abrogate or modify the same * * *.”</w:t>
      </w:r>
      <w:r>
        <w:rPr>
          <w:rStyle w:val="FootnoteReference"/>
        </w:rPr>
        <w:footnoteReference w:id="15"/>
      </w:r>
      <w:r>
        <w:t xml:space="preserve">  </w:t>
      </w:r>
    </w:p>
    <w:p w:rsidR="00012DE8" w:rsidRDefault="00012DE8" w:rsidP="00012DE8">
      <w:pPr>
        <w:spacing w:line="480" w:lineRule="auto"/>
        <w:ind w:firstLine="720"/>
      </w:pPr>
      <w:r>
        <w:t>OCC meets both the statutory conditions applicable to an applicant for rehearing pursuant to R.C. 4903.10 and th</w:t>
      </w:r>
      <w:r w:rsidR="00537F46">
        <w:t>e requirements of the PUCO</w:t>
      </w:r>
      <w:r>
        <w:t>’s rule on applications for rehearing.</w:t>
      </w:r>
      <w:r>
        <w:rPr>
          <w:rStyle w:val="FootnoteReference"/>
        </w:rPr>
        <w:footnoteReference w:id="16"/>
      </w:r>
      <w:r>
        <w:t xml:space="preserve">  Accordingly, OCC respectful</w:t>
      </w:r>
      <w:r w:rsidR="00537F46">
        <w:t xml:space="preserve">ly requests that the PUCO </w:t>
      </w:r>
      <w:r>
        <w:t>grant rehearing on the matters specified below.</w:t>
      </w:r>
    </w:p>
    <w:p w:rsidR="002B1475" w:rsidRDefault="002B1475" w:rsidP="002B1475">
      <w:pPr>
        <w:ind w:firstLine="720"/>
      </w:pPr>
    </w:p>
    <w:p w:rsidR="001D05E0" w:rsidRDefault="001D05E0" w:rsidP="002B1475">
      <w:pPr>
        <w:pStyle w:val="Heading1"/>
      </w:pPr>
      <w:bookmarkStart w:id="7" w:name="_Toc372739402"/>
      <w:bookmarkStart w:id="8" w:name="_Toc372898232"/>
      <w:r>
        <w:t>III.</w:t>
      </w:r>
      <w:r>
        <w:tab/>
        <w:t>LAW AND ARGUMENT</w:t>
      </w:r>
      <w:bookmarkEnd w:id="7"/>
      <w:bookmarkEnd w:id="8"/>
    </w:p>
    <w:p w:rsidR="00CB489F" w:rsidRPr="00B12CF8" w:rsidRDefault="00861C54" w:rsidP="002B1475">
      <w:pPr>
        <w:pStyle w:val="Heading2"/>
        <w:numPr>
          <w:ilvl w:val="0"/>
          <w:numId w:val="0"/>
        </w:numPr>
        <w:ind w:left="1440" w:hanging="720"/>
        <w:rPr>
          <w:rFonts w:eastAsia="Calibri"/>
        </w:rPr>
      </w:pPr>
      <w:bookmarkStart w:id="9" w:name="_Toc372739403"/>
      <w:bookmarkStart w:id="10" w:name="_Toc372898233"/>
      <w:r>
        <w:t>A.</w:t>
      </w:r>
      <w:r>
        <w:tab/>
      </w:r>
      <w:r w:rsidR="00CB489F" w:rsidRPr="00B12CF8">
        <w:rPr>
          <w:rFonts w:eastAsia="Calibri"/>
        </w:rPr>
        <w:t>The PUCO Erred When It Failed To Order</w:t>
      </w:r>
      <w:r w:rsidR="00C54941">
        <w:rPr>
          <w:rFonts w:eastAsia="Calibri"/>
        </w:rPr>
        <w:t xml:space="preserve"> AEP Ohio to </w:t>
      </w:r>
      <w:r w:rsidR="00C62826">
        <w:rPr>
          <w:rFonts w:eastAsia="Calibri"/>
        </w:rPr>
        <w:t>Use</w:t>
      </w:r>
      <w:r w:rsidR="00C54941">
        <w:rPr>
          <w:rFonts w:eastAsia="Calibri"/>
        </w:rPr>
        <w:t xml:space="preserve"> </w:t>
      </w:r>
      <w:r w:rsidR="00CB489F" w:rsidRPr="00B12CF8">
        <w:rPr>
          <w:rFonts w:eastAsia="Calibri"/>
        </w:rPr>
        <w:t xml:space="preserve">The $20 Million </w:t>
      </w:r>
      <w:r w:rsidR="00C54941">
        <w:rPr>
          <w:rFonts w:eastAsia="Calibri"/>
        </w:rPr>
        <w:t xml:space="preserve">Originally </w:t>
      </w:r>
      <w:r w:rsidR="00CB489F" w:rsidRPr="00B12CF8">
        <w:rPr>
          <w:rFonts w:eastAsia="Calibri"/>
        </w:rPr>
        <w:t>Intended for the Turning Point Solar Project</w:t>
      </w:r>
      <w:r w:rsidR="00C54941">
        <w:rPr>
          <w:rFonts w:eastAsia="Calibri"/>
        </w:rPr>
        <w:t xml:space="preserve"> </w:t>
      </w:r>
      <w:r w:rsidR="00CB489F" w:rsidRPr="00B12CF8">
        <w:rPr>
          <w:rFonts w:eastAsia="Calibri"/>
        </w:rPr>
        <w:t xml:space="preserve">to Offset </w:t>
      </w:r>
      <w:r w:rsidR="00FA7307">
        <w:rPr>
          <w:rFonts w:eastAsia="Calibri"/>
        </w:rPr>
        <w:t xml:space="preserve">Prudently Incurred </w:t>
      </w:r>
      <w:r w:rsidR="00CB489F" w:rsidRPr="00B12CF8">
        <w:rPr>
          <w:rFonts w:eastAsia="Calibri"/>
        </w:rPr>
        <w:t>Storm Costs that AEP Ohio Seeks to Charge Customers</w:t>
      </w:r>
      <w:r w:rsidR="00C54941">
        <w:rPr>
          <w:rFonts w:eastAsia="Calibri"/>
        </w:rPr>
        <w:t xml:space="preserve"> in Case </w:t>
      </w:r>
      <w:r w:rsidR="00C54941" w:rsidRPr="00CB489F">
        <w:rPr>
          <w:rFonts w:eastAsia="Calibri"/>
          <w:szCs w:val="24"/>
        </w:rPr>
        <w:t>No. 12-3255-EL-RDR</w:t>
      </w:r>
      <w:r w:rsidR="008A0E17" w:rsidRPr="00B12CF8">
        <w:t>.</w:t>
      </w:r>
      <w:bookmarkEnd w:id="9"/>
      <w:bookmarkEnd w:id="10"/>
    </w:p>
    <w:p w:rsidR="00CB489F" w:rsidRPr="00CB489F" w:rsidRDefault="00CB489F" w:rsidP="00AD737B">
      <w:pPr>
        <w:spacing w:line="480" w:lineRule="auto"/>
        <w:ind w:firstLine="720"/>
        <w:rPr>
          <w:rFonts w:eastAsia="Calibri"/>
          <w:szCs w:val="24"/>
        </w:rPr>
      </w:pPr>
      <w:r w:rsidRPr="00CB489F">
        <w:rPr>
          <w:rFonts w:eastAsia="Calibri"/>
          <w:szCs w:val="24"/>
        </w:rPr>
        <w:t xml:space="preserve">R.C. 4928.143(F) dictates that as part of a SEET analysis the PUCO shall consider </w:t>
      </w:r>
      <w:r w:rsidR="00FA7307">
        <w:rPr>
          <w:rFonts w:eastAsia="Calibri"/>
          <w:szCs w:val="24"/>
        </w:rPr>
        <w:t>a utility</w:t>
      </w:r>
      <w:r w:rsidRPr="00CB489F">
        <w:rPr>
          <w:rFonts w:eastAsia="Calibri"/>
          <w:szCs w:val="24"/>
        </w:rPr>
        <w:t>’s capital requirements for future committed investments in the state.</w:t>
      </w:r>
      <w:r w:rsidRPr="00CB489F">
        <w:rPr>
          <w:rFonts w:eastAsia="Calibri"/>
          <w:szCs w:val="24"/>
          <w:vertAlign w:val="superscript"/>
        </w:rPr>
        <w:footnoteReference w:id="17"/>
      </w:r>
      <w:r w:rsidRPr="00CB489F">
        <w:rPr>
          <w:rFonts w:eastAsia="Calibri"/>
          <w:szCs w:val="24"/>
        </w:rPr>
        <w:t xml:space="preserve">  In </w:t>
      </w:r>
      <w:r w:rsidR="00FA7307">
        <w:rPr>
          <w:rFonts w:eastAsia="Calibri"/>
          <w:szCs w:val="24"/>
        </w:rPr>
        <w:t>its</w:t>
      </w:r>
      <w:r w:rsidRPr="00CB489F">
        <w:rPr>
          <w:rFonts w:eastAsia="Calibri"/>
          <w:szCs w:val="24"/>
        </w:rPr>
        <w:t xml:space="preserve"> 2009 SEET Proceeding (Case No. 10-1261-EL-UNC), AEP Ohio provided testimony that it was committed to provide $20 million in funding to a solar project in Cumberland, Ohio known as Turning Point.</w:t>
      </w:r>
      <w:r w:rsidRPr="00CB489F">
        <w:rPr>
          <w:rFonts w:eastAsia="Calibri"/>
          <w:szCs w:val="24"/>
          <w:vertAlign w:val="superscript"/>
        </w:rPr>
        <w:footnoteReference w:id="18"/>
      </w:r>
      <w:r w:rsidRPr="00CB489F">
        <w:rPr>
          <w:rFonts w:eastAsia="Calibri"/>
          <w:szCs w:val="24"/>
        </w:rPr>
        <w:t xml:space="preserve">  </w:t>
      </w:r>
      <w:r w:rsidR="00942D8A">
        <w:rPr>
          <w:rFonts w:eastAsia="Calibri"/>
          <w:szCs w:val="24"/>
        </w:rPr>
        <w:t>The OCC, the Appalachian Peac</w:t>
      </w:r>
      <w:r w:rsidR="00FA7307">
        <w:rPr>
          <w:rFonts w:eastAsia="Calibri"/>
          <w:szCs w:val="24"/>
        </w:rPr>
        <w:t>e</w:t>
      </w:r>
      <w:r w:rsidR="00942D8A">
        <w:rPr>
          <w:rFonts w:eastAsia="Calibri"/>
          <w:szCs w:val="24"/>
        </w:rPr>
        <w:t xml:space="preserve"> and Justice Network, and the Ohio Energy Group argued that the PUCO was statutorily prohibited from giving any consider</w:t>
      </w:r>
      <w:r w:rsidR="00FA7307">
        <w:rPr>
          <w:rFonts w:eastAsia="Calibri"/>
          <w:szCs w:val="24"/>
        </w:rPr>
        <w:t>ation</w:t>
      </w:r>
      <w:r w:rsidR="00942D8A">
        <w:rPr>
          <w:rFonts w:eastAsia="Calibri"/>
          <w:szCs w:val="24"/>
        </w:rPr>
        <w:t xml:space="preserve"> </w:t>
      </w:r>
      <w:r w:rsidR="00FD05D5">
        <w:rPr>
          <w:rFonts w:eastAsia="Calibri"/>
          <w:szCs w:val="24"/>
        </w:rPr>
        <w:t xml:space="preserve">(for the purposes of the SEET) </w:t>
      </w:r>
      <w:r w:rsidR="00942D8A">
        <w:rPr>
          <w:rFonts w:eastAsia="Calibri"/>
          <w:szCs w:val="24"/>
        </w:rPr>
        <w:t xml:space="preserve">to that solar project because it was not a “committed” investment under the SEET law and because </w:t>
      </w:r>
      <w:r w:rsidR="00FD05D5">
        <w:rPr>
          <w:rFonts w:eastAsia="Calibri"/>
          <w:szCs w:val="24"/>
        </w:rPr>
        <w:t xml:space="preserve">that it </w:t>
      </w:r>
      <w:r w:rsidR="00942D8A">
        <w:rPr>
          <w:rFonts w:eastAsia="Calibri"/>
          <w:szCs w:val="24"/>
        </w:rPr>
        <w:t>was beyond the ESP period under review.</w:t>
      </w:r>
      <w:r w:rsidR="00942D8A">
        <w:rPr>
          <w:rStyle w:val="FootnoteReference"/>
          <w:rFonts w:eastAsia="Calibri"/>
          <w:szCs w:val="24"/>
        </w:rPr>
        <w:footnoteReference w:id="19"/>
      </w:r>
      <w:r w:rsidR="00942D8A">
        <w:rPr>
          <w:rFonts w:eastAsia="Calibri"/>
          <w:szCs w:val="24"/>
        </w:rPr>
        <w:t xml:space="preserve"> </w:t>
      </w:r>
      <w:r w:rsidRPr="00CB489F">
        <w:rPr>
          <w:rFonts w:eastAsia="Calibri"/>
          <w:szCs w:val="24"/>
        </w:rPr>
        <w:t xml:space="preserve">Though various parties questioned the appropriateness of </w:t>
      </w:r>
      <w:r w:rsidR="00FA7307">
        <w:rPr>
          <w:rFonts w:eastAsia="Calibri"/>
          <w:szCs w:val="24"/>
        </w:rPr>
        <w:t xml:space="preserve">the PUCO </w:t>
      </w:r>
      <w:r w:rsidRPr="00CB489F">
        <w:rPr>
          <w:rFonts w:eastAsia="Calibri"/>
          <w:szCs w:val="24"/>
        </w:rPr>
        <w:t>giving consideration to this investment, the PUCO expressed its confidence that the Turning Point project would move forward and that the funds would be expended for the project in the “near future.”</w:t>
      </w:r>
      <w:r w:rsidRPr="00CB489F">
        <w:rPr>
          <w:rFonts w:eastAsia="Calibri"/>
          <w:szCs w:val="24"/>
          <w:vertAlign w:val="superscript"/>
        </w:rPr>
        <w:footnoteReference w:id="20"/>
      </w:r>
      <w:r w:rsidRPr="00CB489F">
        <w:rPr>
          <w:rFonts w:eastAsia="Calibri"/>
          <w:szCs w:val="24"/>
        </w:rPr>
        <w:t xml:space="preserve">  However, the PUCO also ordered that if the Turning Point project did not move forward in 2012, AEP Ohio had to spend the $20 million on a similar project in 2012.</w:t>
      </w:r>
      <w:r w:rsidRPr="00CB489F">
        <w:rPr>
          <w:rFonts w:eastAsia="Calibri"/>
          <w:szCs w:val="24"/>
          <w:vertAlign w:val="superscript"/>
        </w:rPr>
        <w:footnoteReference w:id="21"/>
      </w:r>
      <w:r w:rsidRPr="00CB489F">
        <w:rPr>
          <w:rFonts w:eastAsia="Calibri"/>
          <w:szCs w:val="24"/>
        </w:rPr>
        <w:t xml:space="preserve">  But instead, AEP Ohio violated the 2009 SEET Order.  2012 has come and gone. The Turning Point project never came to fruition. And AEP Ohio has yet to spend the $20 million for the benefit of its customers.</w:t>
      </w:r>
    </w:p>
    <w:p w:rsidR="00CB489F" w:rsidRPr="00CB489F" w:rsidRDefault="00CB489F" w:rsidP="00226E4A">
      <w:pPr>
        <w:spacing w:line="480" w:lineRule="auto"/>
        <w:ind w:firstLine="720"/>
        <w:rPr>
          <w:rFonts w:eastAsia="Calibri"/>
          <w:szCs w:val="24"/>
        </w:rPr>
      </w:pPr>
      <w:r w:rsidRPr="00CB489F">
        <w:rPr>
          <w:rFonts w:eastAsia="Calibri"/>
          <w:szCs w:val="24"/>
        </w:rPr>
        <w:t>In this regard, in Case No. 10-501-EL-FOR (AEP Ohio’s 2010 Long</w:t>
      </w:r>
      <w:r w:rsidR="00E771D3">
        <w:rPr>
          <w:rFonts w:eastAsia="Calibri"/>
          <w:szCs w:val="24"/>
        </w:rPr>
        <w:t xml:space="preserve"> T</w:t>
      </w:r>
      <w:r w:rsidRPr="00CB489F">
        <w:rPr>
          <w:rFonts w:eastAsia="Calibri"/>
          <w:szCs w:val="24"/>
        </w:rPr>
        <w:t>erm Forecast Case), the PUCO again directed AEP Ohio “to expend the $20 million to the extent it had not already done so.”</w:t>
      </w:r>
      <w:r w:rsidRPr="00CB489F">
        <w:rPr>
          <w:rFonts w:eastAsia="Calibri"/>
          <w:szCs w:val="24"/>
          <w:vertAlign w:val="superscript"/>
        </w:rPr>
        <w:footnoteReference w:id="22"/>
      </w:r>
      <w:r w:rsidRPr="00CB489F">
        <w:rPr>
          <w:rFonts w:eastAsia="Calibri"/>
          <w:szCs w:val="24"/>
        </w:rPr>
        <w:t xml:space="preserve">  But more importantly, the PUCO concisely explained that AEP Ohio was to “ensure that the benefits of the $20 million investment </w:t>
      </w:r>
      <w:r w:rsidRPr="00CB489F">
        <w:rPr>
          <w:rFonts w:eastAsia="Calibri"/>
          <w:b/>
          <w:szCs w:val="24"/>
        </w:rPr>
        <w:t>flow through to the Company’s ratepayers.</w:t>
      </w:r>
      <w:r w:rsidRPr="00CB489F">
        <w:rPr>
          <w:rFonts w:eastAsia="Calibri"/>
          <w:szCs w:val="24"/>
        </w:rPr>
        <w:t>”</w:t>
      </w:r>
      <w:r w:rsidRPr="00CB489F">
        <w:rPr>
          <w:rFonts w:eastAsia="Calibri"/>
          <w:szCs w:val="24"/>
          <w:vertAlign w:val="superscript"/>
        </w:rPr>
        <w:footnoteReference w:id="23"/>
      </w:r>
      <w:r w:rsidRPr="00CB489F">
        <w:rPr>
          <w:rFonts w:eastAsia="Calibri"/>
          <w:szCs w:val="24"/>
        </w:rPr>
        <w:t xml:space="preserve">  The PUCO also stated that if AEP Ohio were unable to make the $20 million investment in Turning Point or a similar project by the end of 2013, then “the Company should submit a proposal for another appropriate use for the $20 million investment, such as applying the amount to offset major storm damage costs that are deferred under the Company’s recently approved storm damage recovery mechanism.”</w:t>
      </w:r>
      <w:r w:rsidRPr="00CB489F">
        <w:rPr>
          <w:rFonts w:eastAsia="Calibri"/>
          <w:szCs w:val="24"/>
          <w:vertAlign w:val="superscript"/>
        </w:rPr>
        <w:footnoteReference w:id="24"/>
      </w:r>
      <w:r w:rsidRPr="00CB489F">
        <w:rPr>
          <w:rFonts w:eastAsia="Calibri"/>
          <w:szCs w:val="24"/>
        </w:rPr>
        <w:t xml:space="preserve"> </w:t>
      </w:r>
    </w:p>
    <w:p w:rsidR="00CB489F" w:rsidRPr="00CB489F" w:rsidRDefault="00CB489F" w:rsidP="002B1475">
      <w:pPr>
        <w:spacing w:line="480" w:lineRule="auto"/>
        <w:ind w:firstLine="720"/>
        <w:rPr>
          <w:rFonts w:eastAsia="Calibri"/>
          <w:szCs w:val="24"/>
        </w:rPr>
      </w:pPr>
      <w:r w:rsidRPr="00CB489F">
        <w:rPr>
          <w:rFonts w:eastAsia="Calibri"/>
          <w:szCs w:val="24"/>
        </w:rPr>
        <w:t>In this proceeding, the PUCO again—for the third time—ordered AEP Ohio to expend the $20 million that was once designated for Turning Point.  Specifically, the PUCO directed AEP Ohio to “expend $20 million, to the extent it has not already done so, on Turning Point or another investment in a similar project subject to Staff approval</w:t>
      </w:r>
      <w:r w:rsidR="007327AF">
        <w:rPr>
          <w:rFonts w:eastAsia="Calibri"/>
          <w:szCs w:val="24"/>
        </w:rPr>
        <w:t>,</w:t>
      </w:r>
      <w:r w:rsidRPr="00CB489F">
        <w:rPr>
          <w:rFonts w:eastAsia="Calibri"/>
          <w:szCs w:val="24"/>
        </w:rPr>
        <w:t xml:space="preserve"> by the end of 2013.”  </w:t>
      </w:r>
      <w:r w:rsidR="00E84127">
        <w:rPr>
          <w:rFonts w:eastAsia="Calibri"/>
          <w:szCs w:val="24"/>
        </w:rPr>
        <w:t>The PUCO made this finding despite the fact that it already found in AEP Ohio’s 2010 Long Term Forecast Case that the Turning Point Solar Project was not needed.</w:t>
      </w:r>
      <w:r w:rsidR="00E84127">
        <w:rPr>
          <w:rStyle w:val="FootnoteReference"/>
          <w:rFonts w:eastAsia="Calibri"/>
          <w:szCs w:val="24"/>
        </w:rPr>
        <w:footnoteReference w:id="25"/>
      </w:r>
      <w:r w:rsidR="00E84127" w:rsidRPr="00CB489F">
        <w:rPr>
          <w:rFonts w:eastAsia="Calibri"/>
          <w:szCs w:val="24"/>
        </w:rPr>
        <w:t xml:space="preserve">  </w:t>
      </w:r>
      <w:r w:rsidR="00E84127">
        <w:rPr>
          <w:rFonts w:eastAsia="Calibri"/>
          <w:szCs w:val="24"/>
        </w:rPr>
        <w:t>T</w:t>
      </w:r>
      <w:r w:rsidRPr="00CB489F">
        <w:rPr>
          <w:rFonts w:eastAsia="Calibri"/>
          <w:szCs w:val="24"/>
        </w:rPr>
        <w:t xml:space="preserve">he PUCO should have done more to address AEP Ohio’s violation of the PUCO’s 2009 SEET Order.  The PUCO erred by not ensuring that customers benefit now from AEP Ohio monies not yet expended as it is almost 2014.  </w:t>
      </w:r>
    </w:p>
    <w:p w:rsidR="00CB489F" w:rsidRPr="00CB489F" w:rsidRDefault="00CB489F" w:rsidP="002B1475">
      <w:pPr>
        <w:spacing w:line="480" w:lineRule="auto"/>
        <w:ind w:firstLine="720"/>
        <w:rPr>
          <w:szCs w:val="24"/>
        </w:rPr>
      </w:pPr>
      <w:r w:rsidRPr="00CB489F">
        <w:rPr>
          <w:rFonts w:eastAsia="Calibri"/>
          <w:szCs w:val="24"/>
        </w:rPr>
        <w:t>OCC agrees with the PUCO’s finding (in AEP Ohio’s 2010 Long</w:t>
      </w:r>
      <w:r w:rsidR="00E771D3">
        <w:rPr>
          <w:rFonts w:eastAsia="Calibri"/>
          <w:szCs w:val="24"/>
        </w:rPr>
        <w:t xml:space="preserve"> T</w:t>
      </w:r>
      <w:r w:rsidRPr="00CB489F">
        <w:rPr>
          <w:rFonts w:eastAsia="Calibri"/>
          <w:szCs w:val="24"/>
        </w:rPr>
        <w:t>erm Forecast Case) that an appropriate use of the $20 million is to apply that amount to offset major storm costs.</w:t>
      </w:r>
      <w:r w:rsidRPr="00CB489F">
        <w:rPr>
          <w:rFonts w:eastAsia="Calibri"/>
          <w:szCs w:val="24"/>
          <w:vertAlign w:val="superscript"/>
        </w:rPr>
        <w:footnoteReference w:id="26"/>
      </w:r>
      <w:r w:rsidRPr="00CB489F">
        <w:rPr>
          <w:rFonts w:eastAsia="Calibri"/>
          <w:szCs w:val="24"/>
        </w:rPr>
        <w:t xml:space="preserve">  </w:t>
      </w:r>
      <w:r w:rsidR="00E84127">
        <w:rPr>
          <w:rFonts w:eastAsia="Calibri"/>
          <w:szCs w:val="24"/>
        </w:rPr>
        <w:t>AEP Ohio</w:t>
      </w:r>
      <w:r w:rsidRPr="00CB489F">
        <w:rPr>
          <w:rFonts w:eastAsia="Calibri"/>
          <w:szCs w:val="24"/>
        </w:rPr>
        <w:t xml:space="preserve"> now seeks to collect storm costs</w:t>
      </w:r>
      <w:r w:rsidRPr="00CB489F">
        <w:rPr>
          <w:rFonts w:eastAsia="Calibri"/>
          <w:szCs w:val="24"/>
          <w:vertAlign w:val="superscript"/>
        </w:rPr>
        <w:footnoteReference w:id="27"/>
      </w:r>
      <w:r w:rsidRPr="00CB489F">
        <w:rPr>
          <w:rFonts w:eastAsia="Calibri"/>
          <w:szCs w:val="24"/>
        </w:rPr>
        <w:t xml:space="preserve"> from its customers in Case No. 12-3255-EL-RDR. </w:t>
      </w:r>
      <w:r w:rsidRPr="00CB489F">
        <w:rPr>
          <w:szCs w:val="24"/>
        </w:rPr>
        <w:t>Reducing AEP Ohio</w:t>
      </w:r>
      <w:r w:rsidR="00ED27F5">
        <w:rPr>
          <w:szCs w:val="24"/>
        </w:rPr>
        <w:t>’s</w:t>
      </w:r>
      <w:r w:rsidR="00CD3F14">
        <w:rPr>
          <w:szCs w:val="24"/>
        </w:rPr>
        <w:t xml:space="preserve"> prudently incurred</w:t>
      </w:r>
      <w:r w:rsidRPr="00CB489F">
        <w:rPr>
          <w:szCs w:val="24"/>
        </w:rPr>
        <w:t xml:space="preserve"> deferred storm costs by $20 million will undoubtedly allow customers to benefit now from </w:t>
      </w:r>
      <w:r w:rsidR="00E84127">
        <w:rPr>
          <w:rFonts w:eastAsia="Calibri"/>
          <w:szCs w:val="24"/>
        </w:rPr>
        <w:t>AEP Ohio</w:t>
      </w:r>
      <w:r w:rsidR="007327AF">
        <w:rPr>
          <w:szCs w:val="24"/>
        </w:rPr>
        <w:t xml:space="preserve"> </w:t>
      </w:r>
      <w:r w:rsidRPr="00CB489F">
        <w:rPr>
          <w:szCs w:val="24"/>
        </w:rPr>
        <w:t xml:space="preserve">monies not yet expended.  The PUCO Staff echoed these sentiments in comments filed in another AEP Ohio proceeding when the PUCO Staff explained that they would prefer </w:t>
      </w:r>
      <w:r w:rsidR="00D523AD">
        <w:rPr>
          <w:szCs w:val="24"/>
        </w:rPr>
        <w:t xml:space="preserve">to </w:t>
      </w:r>
      <w:r w:rsidRPr="00CB489F">
        <w:rPr>
          <w:szCs w:val="24"/>
        </w:rPr>
        <w:t>see the funds “used in a manner that does not create an additional burden on ratepayers [such as offsetting deferred costs].”</w:t>
      </w:r>
      <w:r w:rsidRPr="00CB489F">
        <w:rPr>
          <w:szCs w:val="24"/>
          <w:vertAlign w:val="superscript"/>
        </w:rPr>
        <w:footnoteReference w:id="28"/>
      </w:r>
      <w:r w:rsidRPr="00CB489F">
        <w:rPr>
          <w:szCs w:val="24"/>
        </w:rPr>
        <w:t xml:space="preserve">  OCC agrees.</w:t>
      </w:r>
    </w:p>
    <w:p w:rsidR="00CB489F" w:rsidRPr="00CB489F" w:rsidRDefault="00CB489F" w:rsidP="002B1475">
      <w:pPr>
        <w:spacing w:line="480" w:lineRule="auto"/>
        <w:ind w:firstLine="720"/>
        <w:rPr>
          <w:szCs w:val="24"/>
        </w:rPr>
      </w:pPr>
      <w:r w:rsidRPr="00CB489F">
        <w:rPr>
          <w:szCs w:val="24"/>
        </w:rPr>
        <w:t>In September of this year, AEP Ohio proposed--in another proceeding--to spend the $20 million on Volt/Var Optimization (“VVO”).</w:t>
      </w:r>
      <w:r w:rsidRPr="00CB489F">
        <w:rPr>
          <w:szCs w:val="24"/>
          <w:vertAlign w:val="superscript"/>
        </w:rPr>
        <w:footnoteReference w:id="29"/>
      </w:r>
      <w:r w:rsidRPr="00CB489F">
        <w:rPr>
          <w:szCs w:val="24"/>
        </w:rPr>
        <w:t xml:space="preserve"> </w:t>
      </w:r>
      <w:r w:rsidR="004D75F5">
        <w:rPr>
          <w:szCs w:val="24"/>
        </w:rPr>
        <w:t xml:space="preserve">The PUCO Staff and OCC filed comments advocating that if the </w:t>
      </w:r>
      <w:r w:rsidR="007327AF">
        <w:rPr>
          <w:szCs w:val="24"/>
        </w:rPr>
        <w:t xml:space="preserve">VVO </w:t>
      </w:r>
      <w:r w:rsidR="004D75F5">
        <w:rPr>
          <w:szCs w:val="24"/>
        </w:rPr>
        <w:t>project was to be approved, then the $20 million should not be collected from customers.</w:t>
      </w:r>
      <w:r w:rsidR="004D75F5">
        <w:rPr>
          <w:rStyle w:val="FootnoteReference"/>
          <w:szCs w:val="24"/>
        </w:rPr>
        <w:footnoteReference w:id="30"/>
      </w:r>
      <w:r w:rsidR="004D75F5">
        <w:rPr>
          <w:szCs w:val="24"/>
        </w:rPr>
        <w:t xml:space="preserve"> And just</w:t>
      </w:r>
      <w:r w:rsidRPr="00CB489F">
        <w:rPr>
          <w:szCs w:val="24"/>
        </w:rPr>
        <w:t xml:space="preserve"> this week AEP Ohio indicated that it reserves the right to withdraw the VVO investment proposal if the PUCO Staff’s and OCC’s positions are adopted.</w:t>
      </w:r>
      <w:r w:rsidRPr="00CB489F">
        <w:rPr>
          <w:szCs w:val="24"/>
          <w:vertAlign w:val="superscript"/>
        </w:rPr>
        <w:footnoteReference w:id="31"/>
      </w:r>
      <w:r w:rsidRPr="00CB489F">
        <w:rPr>
          <w:szCs w:val="24"/>
        </w:rPr>
        <w:t xml:space="preserve"> </w:t>
      </w:r>
    </w:p>
    <w:p w:rsidR="00CB489F" w:rsidRDefault="00CB489F" w:rsidP="00CB489F">
      <w:pPr>
        <w:spacing w:line="480" w:lineRule="auto"/>
        <w:ind w:firstLine="720"/>
        <w:rPr>
          <w:rFonts w:eastAsia="Calibri"/>
          <w:szCs w:val="24"/>
        </w:rPr>
      </w:pPr>
      <w:r w:rsidRPr="00CB489F">
        <w:rPr>
          <w:szCs w:val="24"/>
        </w:rPr>
        <w:t xml:space="preserve">It is now nearly 2014, and AEP Ohio has not yet spent the $20 million for the benefit of its customers. The PUCO should grant rehearing on this issue and order AEP Ohio to use the $20 million to </w:t>
      </w:r>
      <w:r w:rsidRPr="00CB489F">
        <w:rPr>
          <w:rFonts w:eastAsia="Calibri"/>
          <w:szCs w:val="24"/>
        </w:rPr>
        <w:t xml:space="preserve">offset </w:t>
      </w:r>
      <w:r w:rsidR="007327AF">
        <w:rPr>
          <w:rFonts w:eastAsia="Calibri"/>
          <w:szCs w:val="24"/>
        </w:rPr>
        <w:t xml:space="preserve">prudently incurred </w:t>
      </w:r>
      <w:r w:rsidRPr="00CB489F">
        <w:rPr>
          <w:rFonts w:eastAsia="Calibri"/>
          <w:szCs w:val="24"/>
        </w:rPr>
        <w:t>major storm damage costs that the Company now seeks to collect from its customers in Case No. 12-3255-EL-RDR.</w:t>
      </w:r>
    </w:p>
    <w:p w:rsidR="00291467" w:rsidRPr="00CB489F" w:rsidRDefault="00291467" w:rsidP="00CB489F">
      <w:pPr>
        <w:spacing w:line="480" w:lineRule="auto"/>
        <w:ind w:firstLine="720"/>
        <w:rPr>
          <w:szCs w:val="24"/>
        </w:rPr>
      </w:pPr>
    </w:p>
    <w:p w:rsidR="001D05E0" w:rsidRDefault="008A0E17" w:rsidP="002B1475">
      <w:pPr>
        <w:pStyle w:val="Heading2"/>
        <w:numPr>
          <w:ilvl w:val="0"/>
          <w:numId w:val="0"/>
        </w:numPr>
        <w:ind w:left="1440" w:hanging="720"/>
      </w:pPr>
      <w:bookmarkStart w:id="11" w:name="_Toc372739404"/>
      <w:bookmarkStart w:id="12" w:name="_Toc372898234"/>
      <w:r>
        <w:t>B.</w:t>
      </w:r>
      <w:bookmarkStart w:id="13" w:name="_Toc277929612"/>
      <w:bookmarkStart w:id="14" w:name="_Toc277929613"/>
      <w:r w:rsidR="00CF6856">
        <w:tab/>
      </w:r>
      <w:r w:rsidR="00853224" w:rsidRPr="00C12735">
        <w:t xml:space="preserve">The </w:t>
      </w:r>
      <w:r w:rsidR="00853224">
        <w:t>PUCO Erred When It Failed to Find that The</w:t>
      </w:r>
      <w:r w:rsidR="00904EDB">
        <w:t xml:space="preserve"> </w:t>
      </w:r>
      <w:r w:rsidR="001D05E0" w:rsidRPr="00C12735">
        <w:t xml:space="preserve">Consideration Of Capital Requirements Of Future Committed Investments </w:t>
      </w:r>
      <w:r w:rsidR="00113F58" w:rsidRPr="00C12735">
        <w:t xml:space="preserve">Results in A </w:t>
      </w:r>
      <w:r w:rsidR="00113F58" w:rsidRPr="00C12735">
        <w:rPr>
          <w:rFonts w:ascii="Times New Roman" w:hAnsi="Times New Roman"/>
          <w:szCs w:val="24"/>
        </w:rPr>
        <w:t>Significantly Excessive Earnings Test Threshold of 17.05 Percent</w:t>
      </w:r>
      <w:r w:rsidR="00FA6C70">
        <w:t xml:space="preserve"> </w:t>
      </w:r>
      <w:bookmarkEnd w:id="11"/>
      <w:bookmarkEnd w:id="13"/>
      <w:r w:rsidR="00FA6C70" w:rsidRPr="00905FD2">
        <w:rPr>
          <w:rFonts w:ascii="Times New Roman" w:hAnsi="Times New Roman"/>
          <w:szCs w:val="24"/>
        </w:rPr>
        <w:t>(Which, If Adopted, Would Protect Customers from Paying Unjust and Unreasonable Rates for Electric Service)</w:t>
      </w:r>
      <w:r w:rsidR="00FA6C70" w:rsidRPr="00C12735">
        <w:rPr>
          <w:rFonts w:ascii="Times New Roman" w:hAnsi="Times New Roman"/>
          <w:szCs w:val="24"/>
        </w:rPr>
        <w:t>.</w:t>
      </w:r>
      <w:bookmarkEnd w:id="12"/>
    </w:p>
    <w:p w:rsidR="001D05E0" w:rsidRDefault="001D05E0" w:rsidP="002B1475">
      <w:pPr>
        <w:pStyle w:val="Heading3"/>
      </w:pPr>
      <w:bookmarkStart w:id="15" w:name="_Toc372739405"/>
      <w:bookmarkStart w:id="16" w:name="_Toc372898235"/>
      <w:r>
        <w:t xml:space="preserve">1.  </w:t>
      </w:r>
      <w:r>
        <w:tab/>
        <w:t xml:space="preserve">R.C. 4928.143(F) is clear that the </w:t>
      </w:r>
      <w:r w:rsidR="00904EDB">
        <w:t>PUCO</w:t>
      </w:r>
      <w:r>
        <w:t xml:space="preserve"> shall give consideration to the capital requirements of future committed investments in Ohio when determining whether the E</w:t>
      </w:r>
      <w:r w:rsidR="00FA6C70">
        <w:t xml:space="preserve">lectric </w:t>
      </w:r>
      <w:r>
        <w:t>S</w:t>
      </w:r>
      <w:r w:rsidR="00FA6C70">
        <w:t xml:space="preserve">ecurity </w:t>
      </w:r>
      <w:r>
        <w:t>P</w:t>
      </w:r>
      <w:r w:rsidR="00FA6C70">
        <w:t>lan</w:t>
      </w:r>
      <w:r>
        <w:t xml:space="preserve"> adjustments resulted in significantly excessive earnings for </w:t>
      </w:r>
      <w:r w:rsidR="00FA6C70">
        <w:t>Columbus Southern Power</w:t>
      </w:r>
      <w:r>
        <w:t xml:space="preserve"> in 2010.</w:t>
      </w:r>
      <w:bookmarkEnd w:id="14"/>
      <w:bookmarkEnd w:id="15"/>
      <w:bookmarkEnd w:id="16"/>
      <w:r>
        <w:t xml:space="preserve"> </w:t>
      </w:r>
    </w:p>
    <w:p w:rsidR="00AD737B" w:rsidRDefault="001D05E0">
      <w:pPr>
        <w:widowControl w:val="0"/>
        <w:spacing w:line="480" w:lineRule="auto"/>
        <w:ind w:firstLine="720"/>
        <w:rPr>
          <w:szCs w:val="24"/>
        </w:rPr>
      </w:pPr>
      <w:r>
        <w:rPr>
          <w:szCs w:val="24"/>
        </w:rPr>
        <w:t>R.C. 4928.143(F) provides that the Commission “shall consider” whether the return on common equity earned by an electric distribution utility is significantly excessive when compared to the business and financial risk that publicly traded companies face, with adjustments for capital structure.  In the very next sentence, the Legislature directed that “</w:t>
      </w:r>
      <w:r>
        <w:rPr>
          <w:i/>
          <w:szCs w:val="24"/>
        </w:rPr>
        <w:t>[c]onsideration also shall be given</w:t>
      </w:r>
      <w:r>
        <w:rPr>
          <w:szCs w:val="24"/>
        </w:rPr>
        <w:t xml:space="preserve"> to the capital requirements of future committed investments in this state.”  (Emphasis added).  In applying the statute, this language requiring “consideration” to “also” be given to “future committed investment” is read in the context it is found—directly following the comparable analysis language.  The placement of the capital requirement language, along with the language linking the capital requirements to the comparable analysis (“consideration also shall be given”), means that capital requirements of “future committed investments” is another factor that must be considered in conjunction with the comparable analysis and the establishment of the </w:t>
      </w:r>
      <w:r w:rsidR="007327AF">
        <w:rPr>
          <w:szCs w:val="24"/>
        </w:rPr>
        <w:t xml:space="preserve">SEET </w:t>
      </w:r>
      <w:r>
        <w:rPr>
          <w:szCs w:val="24"/>
        </w:rPr>
        <w:t xml:space="preserve">threshold.  And in the </w:t>
      </w:r>
      <w:r w:rsidR="007327AF">
        <w:rPr>
          <w:szCs w:val="24"/>
        </w:rPr>
        <w:t xml:space="preserve">AEP Ohio </w:t>
      </w:r>
      <w:r>
        <w:rPr>
          <w:szCs w:val="24"/>
        </w:rPr>
        <w:t xml:space="preserve">2009 SEET Proceeding, the Commission specifically held that “[a]s required by statute ***, the Commission </w:t>
      </w:r>
    </w:p>
    <w:p w:rsidR="001D05E0" w:rsidRDefault="00AD737B" w:rsidP="00AD737B">
      <w:pPr>
        <w:widowControl w:val="0"/>
        <w:spacing w:line="480" w:lineRule="auto"/>
        <w:rPr>
          <w:szCs w:val="24"/>
        </w:rPr>
      </w:pPr>
      <w:r>
        <w:rPr>
          <w:szCs w:val="24"/>
        </w:rPr>
        <w:br w:type="page"/>
      </w:r>
      <w:r w:rsidR="001D05E0">
        <w:rPr>
          <w:szCs w:val="24"/>
        </w:rPr>
        <w:t>considered the electric utility’s future committed capital investments when rendering its decision on the SEET.”</w:t>
      </w:r>
      <w:r w:rsidR="001D05E0">
        <w:rPr>
          <w:rStyle w:val="FootnoteReference"/>
          <w:szCs w:val="24"/>
        </w:rPr>
        <w:footnoteReference w:id="32"/>
      </w:r>
    </w:p>
    <w:p w:rsidR="001D05E0" w:rsidRDefault="001D05E0" w:rsidP="002B1475">
      <w:pPr>
        <w:pStyle w:val="Heading3"/>
      </w:pPr>
      <w:bookmarkStart w:id="17" w:name="_Toc372739406"/>
      <w:bookmarkStart w:id="18" w:name="_Toc372898236"/>
      <w:r>
        <w:rPr>
          <w:szCs w:val="24"/>
        </w:rPr>
        <w:t>2.</w:t>
      </w:r>
      <w:r>
        <w:rPr>
          <w:szCs w:val="24"/>
        </w:rPr>
        <w:tab/>
      </w:r>
      <w:r w:rsidR="00FA6C70">
        <w:t xml:space="preserve">Columbus Southern Power </w:t>
      </w:r>
      <w:r>
        <w:t>projects that it will invest $93 million less in capital investments in 2011 than in 2009.</w:t>
      </w:r>
      <w:bookmarkEnd w:id="17"/>
      <w:bookmarkEnd w:id="18"/>
      <w:r>
        <w:t xml:space="preserve"> </w:t>
      </w:r>
    </w:p>
    <w:p w:rsidR="001D05E0" w:rsidRDefault="001D05E0">
      <w:pPr>
        <w:autoSpaceDE w:val="0"/>
        <w:autoSpaceDN w:val="0"/>
        <w:adjustRightInd w:val="0"/>
        <w:spacing w:line="480" w:lineRule="auto"/>
        <w:ind w:firstLine="720"/>
        <w:rPr>
          <w:szCs w:val="24"/>
        </w:rPr>
      </w:pPr>
      <w:r>
        <w:rPr>
          <w:szCs w:val="24"/>
        </w:rPr>
        <w:t>In order to accurately assess the level of spending for CSP’s capital commitments in the future—any assessment must start with the amount of money invested for capital commitments for the baseline year under review</w:t>
      </w:r>
      <w:r w:rsidR="007327AF">
        <w:rPr>
          <w:szCs w:val="24"/>
        </w:rPr>
        <w:t xml:space="preserve"> (</w:t>
      </w:r>
      <w:r>
        <w:rPr>
          <w:szCs w:val="24"/>
        </w:rPr>
        <w:t>2010</w:t>
      </w:r>
      <w:r w:rsidR="007327AF">
        <w:rPr>
          <w:szCs w:val="24"/>
        </w:rPr>
        <w:t>)</w:t>
      </w:r>
      <w:r>
        <w:rPr>
          <w:szCs w:val="24"/>
        </w:rPr>
        <w:t>—whe</w:t>
      </w:r>
      <w:r w:rsidR="007327AF">
        <w:rPr>
          <w:szCs w:val="24"/>
        </w:rPr>
        <w:t>n</w:t>
      </w:r>
      <w:r>
        <w:rPr>
          <w:szCs w:val="24"/>
        </w:rPr>
        <w:t xml:space="preserve"> CSP’s capital spending was $194.870 million.</w:t>
      </w:r>
      <w:r>
        <w:rPr>
          <w:rStyle w:val="FootnoteReference"/>
          <w:szCs w:val="24"/>
        </w:rPr>
        <w:footnoteReference w:id="33"/>
      </w:r>
      <w:r>
        <w:rPr>
          <w:szCs w:val="24"/>
        </w:rPr>
        <w:t xml:space="preserve">  CSP estimate</w:t>
      </w:r>
      <w:r w:rsidR="00CD3F14">
        <w:rPr>
          <w:szCs w:val="24"/>
        </w:rPr>
        <w:t>d</w:t>
      </w:r>
      <w:r>
        <w:rPr>
          <w:szCs w:val="24"/>
        </w:rPr>
        <w:t xml:space="preserve"> that its capital expenditures </w:t>
      </w:r>
      <w:r w:rsidR="00CD3F14">
        <w:rPr>
          <w:szCs w:val="24"/>
        </w:rPr>
        <w:t>would</w:t>
      </w:r>
      <w:r>
        <w:rPr>
          <w:szCs w:val="24"/>
        </w:rPr>
        <w:t xml:space="preserve"> decline in 2011 to $186.912 million.</w:t>
      </w:r>
      <w:r>
        <w:rPr>
          <w:rStyle w:val="FootnoteReference"/>
          <w:szCs w:val="24"/>
        </w:rPr>
        <w:footnoteReference w:id="34"/>
      </w:r>
      <w:r>
        <w:rPr>
          <w:szCs w:val="24"/>
        </w:rPr>
        <w:t xml:space="preserve">  But what is also important is that, in 2009, CSP’s expenditures for capital investments were $280</w:t>
      </w:r>
      <w:r w:rsidR="00E771D3">
        <w:rPr>
          <w:szCs w:val="24"/>
        </w:rPr>
        <w:t>.</w:t>
      </w:r>
      <w:r>
        <w:rPr>
          <w:szCs w:val="24"/>
        </w:rPr>
        <w:t>107 million</w:t>
      </w:r>
      <w:r>
        <w:rPr>
          <w:rStyle w:val="FootnoteReference"/>
          <w:szCs w:val="24"/>
        </w:rPr>
        <w:footnoteReference w:id="35"/>
      </w:r>
      <w:r>
        <w:rPr>
          <w:szCs w:val="24"/>
        </w:rPr>
        <w:t>—$85</w:t>
      </w:r>
      <w:r w:rsidR="00E771D3">
        <w:rPr>
          <w:szCs w:val="24"/>
        </w:rPr>
        <w:t>.</w:t>
      </w:r>
      <w:r>
        <w:rPr>
          <w:szCs w:val="24"/>
        </w:rPr>
        <w:t>237 million more than what was invested in 2010.  And that is $93</w:t>
      </w:r>
      <w:r w:rsidR="00E771D3">
        <w:rPr>
          <w:szCs w:val="24"/>
        </w:rPr>
        <w:t>.</w:t>
      </w:r>
      <w:r>
        <w:rPr>
          <w:szCs w:val="24"/>
        </w:rPr>
        <w:t>195 million more than what CSP project</w:t>
      </w:r>
      <w:r w:rsidR="00CD3F14">
        <w:rPr>
          <w:szCs w:val="24"/>
        </w:rPr>
        <w:t>ed</w:t>
      </w:r>
      <w:r>
        <w:rPr>
          <w:szCs w:val="24"/>
        </w:rPr>
        <w:t xml:space="preserve"> to spend in 2011.  Consequently, CSP’s expected future c</w:t>
      </w:r>
      <w:r w:rsidR="007327AF">
        <w:rPr>
          <w:szCs w:val="24"/>
        </w:rPr>
        <w:t>apital</w:t>
      </w:r>
      <w:r>
        <w:rPr>
          <w:szCs w:val="24"/>
        </w:rPr>
        <w:t xml:space="preserve"> expenditures </w:t>
      </w:r>
      <w:r w:rsidR="00113F58">
        <w:rPr>
          <w:szCs w:val="24"/>
        </w:rPr>
        <w:t xml:space="preserve">warrant a SEET threshold at the bottom of the range for </w:t>
      </w:r>
      <w:r>
        <w:rPr>
          <w:szCs w:val="24"/>
        </w:rPr>
        <w:t xml:space="preserve">2010, especially since </w:t>
      </w:r>
      <w:r w:rsidR="00113F58">
        <w:rPr>
          <w:szCs w:val="24"/>
        </w:rPr>
        <w:t>capital</w:t>
      </w:r>
      <w:r>
        <w:rPr>
          <w:szCs w:val="24"/>
        </w:rPr>
        <w:t xml:space="preserve"> expenditures are projected to be $93</w:t>
      </w:r>
      <w:r w:rsidR="00E771D3">
        <w:rPr>
          <w:szCs w:val="24"/>
        </w:rPr>
        <w:t>.</w:t>
      </w:r>
      <w:r>
        <w:rPr>
          <w:szCs w:val="24"/>
        </w:rPr>
        <w:t>195 million less in 2011 than what CSP invested in 2009.</w:t>
      </w:r>
    </w:p>
    <w:p w:rsidR="001D05E0" w:rsidRDefault="001D05E0" w:rsidP="002B1475">
      <w:pPr>
        <w:pStyle w:val="Heading3"/>
      </w:pPr>
      <w:bookmarkStart w:id="19" w:name="_Toc372739407"/>
      <w:bookmarkStart w:id="20" w:name="_Toc372898237"/>
      <w:r>
        <w:t>3.</w:t>
      </w:r>
      <w:r>
        <w:tab/>
        <w:t>C</w:t>
      </w:r>
      <w:r w:rsidR="00FA6C70">
        <w:t>olumbus Southern Power</w:t>
      </w:r>
      <w:r>
        <w:t xml:space="preserve"> over-stated its projected capital commitments for 2010 in the 2009 S</w:t>
      </w:r>
      <w:r w:rsidR="00FA6C70">
        <w:t>ignificantly Excessive Earnings Test</w:t>
      </w:r>
      <w:r>
        <w:t xml:space="preserve"> Proceeding by $61</w:t>
      </w:r>
      <w:r w:rsidR="00E771D3">
        <w:t>.</w:t>
      </w:r>
      <w:r>
        <w:t>230 million.</w:t>
      </w:r>
      <w:bookmarkEnd w:id="19"/>
      <w:bookmarkEnd w:id="20"/>
      <w:r>
        <w:t xml:space="preserve"> </w:t>
      </w:r>
    </w:p>
    <w:p w:rsidR="001D05E0" w:rsidRDefault="001D05E0" w:rsidP="00AD737B">
      <w:pPr>
        <w:autoSpaceDE w:val="0"/>
        <w:autoSpaceDN w:val="0"/>
        <w:adjustRightInd w:val="0"/>
        <w:spacing w:line="480" w:lineRule="auto"/>
        <w:ind w:firstLine="720"/>
        <w:rPr>
          <w:szCs w:val="24"/>
        </w:rPr>
      </w:pPr>
      <w:r>
        <w:rPr>
          <w:szCs w:val="24"/>
        </w:rPr>
        <w:t xml:space="preserve">In the 2009 SEET Proceeding </w:t>
      </w:r>
      <w:r w:rsidR="00904EDB">
        <w:rPr>
          <w:szCs w:val="24"/>
        </w:rPr>
        <w:t>the Commission</w:t>
      </w:r>
      <w:r>
        <w:rPr>
          <w:szCs w:val="24"/>
        </w:rPr>
        <w:t xml:space="preserve"> found that the PUCO Staff’s recommended </w:t>
      </w:r>
      <w:r>
        <w:t>50 percent was a reasonable guide for establishing a baseline adder</w:t>
      </w:r>
      <w:r>
        <w:rPr>
          <w:rStyle w:val="FootnoteReference"/>
        </w:rPr>
        <w:footnoteReference w:id="36"/>
      </w:r>
      <w:r>
        <w:t xml:space="preserve"> but ultimately the Commission adjusted the PUCO Staff’s 50 percent baseline adder to 60 percent after considering other factors,</w:t>
      </w:r>
      <w:r>
        <w:rPr>
          <w:rStyle w:val="FootnoteReference"/>
        </w:rPr>
        <w:footnoteReference w:id="37"/>
      </w:r>
      <w:r>
        <w:t xml:space="preserve"> including the capital commitments made by CSP</w:t>
      </w:r>
      <w:r w:rsidR="007327AF">
        <w:t xml:space="preserve"> </w:t>
      </w:r>
      <w:r>
        <w:t>for 2010 and 2011.</w:t>
      </w:r>
      <w:r>
        <w:rPr>
          <w:rStyle w:val="FootnoteReference"/>
        </w:rPr>
        <w:footnoteReference w:id="38"/>
      </w:r>
      <w:r>
        <w:rPr>
          <w:b/>
        </w:rPr>
        <w:t xml:space="preserve">  </w:t>
      </w:r>
      <w:r>
        <w:t>And in its January 11, 2011 Opinion and Order</w:t>
      </w:r>
      <w:r>
        <w:rPr>
          <w:b/>
        </w:rPr>
        <w:t xml:space="preserve"> </w:t>
      </w:r>
      <w:r>
        <w:rPr>
          <w:szCs w:val="24"/>
        </w:rPr>
        <w:t>the Commission noted that “Customer Parties raised a concern that CSP was not making a firm commitment to its 2010 budget.”</w:t>
      </w:r>
      <w:r>
        <w:rPr>
          <w:rStyle w:val="FootnoteReference"/>
          <w:szCs w:val="24"/>
        </w:rPr>
        <w:footnoteReference w:id="39"/>
      </w:r>
      <w:r>
        <w:rPr>
          <w:szCs w:val="24"/>
        </w:rPr>
        <w:t xml:space="preserve">  But the Commission ultimately found that, “on cross-examination, it was demonstrated that CSP is indeed committed to spending the projected capital budget for 2010.”</w:t>
      </w:r>
      <w:r>
        <w:rPr>
          <w:rStyle w:val="FootnoteReference"/>
          <w:szCs w:val="24"/>
        </w:rPr>
        <w:footnoteReference w:id="40"/>
      </w:r>
      <w:r>
        <w:rPr>
          <w:szCs w:val="24"/>
        </w:rPr>
        <w:t xml:space="preserve">     </w:t>
      </w:r>
    </w:p>
    <w:p w:rsidR="001D05E0" w:rsidRDefault="001D05E0" w:rsidP="001A1581">
      <w:pPr>
        <w:widowControl w:val="0"/>
        <w:spacing w:line="480" w:lineRule="auto"/>
        <w:ind w:firstLine="720"/>
        <w:rPr>
          <w:szCs w:val="24"/>
        </w:rPr>
      </w:pPr>
      <w:r>
        <w:rPr>
          <w:szCs w:val="24"/>
        </w:rPr>
        <w:t>In the 2009 SEET Proceeding, CSP had forecasted its c</w:t>
      </w:r>
      <w:r w:rsidR="007327AF">
        <w:rPr>
          <w:szCs w:val="24"/>
        </w:rPr>
        <w:t>apital</w:t>
      </w:r>
      <w:r>
        <w:rPr>
          <w:szCs w:val="24"/>
        </w:rPr>
        <w:t xml:space="preserve"> expenditures for 2010 to be $256</w:t>
      </w:r>
      <w:r w:rsidR="00E771D3">
        <w:rPr>
          <w:szCs w:val="24"/>
        </w:rPr>
        <w:t>.</w:t>
      </w:r>
      <w:r>
        <w:rPr>
          <w:szCs w:val="24"/>
        </w:rPr>
        <w:t>100 million.</w:t>
      </w:r>
      <w:r>
        <w:rPr>
          <w:rStyle w:val="FootnoteReference"/>
          <w:szCs w:val="24"/>
        </w:rPr>
        <w:footnoteReference w:id="41"/>
      </w:r>
      <w:r>
        <w:rPr>
          <w:szCs w:val="24"/>
        </w:rPr>
        <w:t xml:space="preserve">  However, it has been shown in this</w:t>
      </w:r>
      <w:r w:rsidR="007327AF">
        <w:rPr>
          <w:szCs w:val="24"/>
        </w:rPr>
        <w:t xml:space="preserve"> current</w:t>
      </w:r>
      <w:r>
        <w:rPr>
          <w:szCs w:val="24"/>
        </w:rPr>
        <w:t xml:space="preserve"> proceeding that CSP’s actual c</w:t>
      </w:r>
      <w:r w:rsidR="007327AF">
        <w:rPr>
          <w:szCs w:val="24"/>
        </w:rPr>
        <w:t>apital</w:t>
      </w:r>
      <w:r>
        <w:rPr>
          <w:szCs w:val="24"/>
        </w:rPr>
        <w:t xml:space="preserve"> expenditure</w:t>
      </w:r>
      <w:r w:rsidR="007327AF">
        <w:rPr>
          <w:szCs w:val="24"/>
        </w:rPr>
        <w:t>s</w:t>
      </w:r>
      <w:r>
        <w:rPr>
          <w:szCs w:val="24"/>
        </w:rPr>
        <w:t xml:space="preserve"> for 2010 was $194</w:t>
      </w:r>
      <w:r w:rsidR="00E771D3">
        <w:rPr>
          <w:szCs w:val="24"/>
        </w:rPr>
        <w:t>.</w:t>
      </w:r>
      <w:r>
        <w:rPr>
          <w:szCs w:val="24"/>
        </w:rPr>
        <w:t>870 million,</w:t>
      </w:r>
      <w:r>
        <w:rPr>
          <w:rStyle w:val="FootnoteReference"/>
          <w:szCs w:val="24"/>
        </w:rPr>
        <w:footnoteReference w:id="42"/>
      </w:r>
      <w:r>
        <w:rPr>
          <w:szCs w:val="24"/>
        </w:rPr>
        <w:t xml:space="preserve"> an amount equal to 76 percent of the projected capital spending for the year.</w:t>
      </w:r>
      <w:r>
        <w:rPr>
          <w:rStyle w:val="FootnoteReference"/>
          <w:szCs w:val="24"/>
        </w:rPr>
        <w:footnoteReference w:id="43"/>
      </w:r>
      <w:r>
        <w:rPr>
          <w:szCs w:val="24"/>
        </w:rPr>
        <w:t xml:space="preserve">  This over-stated investment projection of CSP was considered by the Commission in the 2009 SEET Proceeding when it rendered its decision on the SEET</w:t>
      </w:r>
      <w:r>
        <w:rPr>
          <w:rStyle w:val="FootnoteReference"/>
          <w:szCs w:val="24"/>
        </w:rPr>
        <w:footnoteReference w:id="44"/>
      </w:r>
      <w:r>
        <w:rPr>
          <w:szCs w:val="24"/>
        </w:rPr>
        <w:t xml:space="preserve"> and adjusted the PUCO Staff’s 50 percent baseline adder upward to 60 percent.</w:t>
      </w:r>
      <w:r>
        <w:rPr>
          <w:rStyle w:val="FootnoteReference"/>
          <w:szCs w:val="24"/>
        </w:rPr>
        <w:footnoteReference w:id="45"/>
      </w:r>
      <w:r>
        <w:rPr>
          <w:szCs w:val="24"/>
        </w:rPr>
        <w:t xml:space="preserve">  In sum, CSP’s actual capital spending in 2010 was $61</w:t>
      </w:r>
      <w:r w:rsidR="00E771D3">
        <w:rPr>
          <w:szCs w:val="24"/>
        </w:rPr>
        <w:t>.</w:t>
      </w:r>
      <w:r>
        <w:rPr>
          <w:szCs w:val="24"/>
        </w:rPr>
        <w:t xml:space="preserve">230 million (or 24 percent) less than the level projected by </w:t>
      </w:r>
      <w:r w:rsidR="007327AF">
        <w:rPr>
          <w:szCs w:val="24"/>
        </w:rPr>
        <w:t>AEP Ohio,</w:t>
      </w:r>
      <w:r>
        <w:rPr>
          <w:szCs w:val="24"/>
        </w:rPr>
        <w:t xml:space="preserve"> which was one of the factors that led the Commission to adjust the PUCO Staff’s 50 percent adder to 60 percent in the 2009 SEET Proceeding.  Accordingly, there is a need for a </w:t>
      </w:r>
      <w:r w:rsidR="008A0E17">
        <w:rPr>
          <w:szCs w:val="24"/>
        </w:rPr>
        <w:t>“</w:t>
      </w:r>
      <w:r>
        <w:rPr>
          <w:szCs w:val="24"/>
        </w:rPr>
        <w:t>downward adjustment</w:t>
      </w:r>
      <w:r w:rsidR="008A0E17">
        <w:rPr>
          <w:szCs w:val="24"/>
        </w:rPr>
        <w:t>”</w:t>
      </w:r>
      <w:r>
        <w:rPr>
          <w:szCs w:val="24"/>
        </w:rPr>
        <w:t xml:space="preserve"> in the instant case.  Therefore it is appropriate</w:t>
      </w:r>
      <w:r w:rsidR="00904EDB">
        <w:rPr>
          <w:szCs w:val="24"/>
        </w:rPr>
        <w:t>, at the very least,</w:t>
      </w:r>
      <w:r>
        <w:rPr>
          <w:szCs w:val="24"/>
        </w:rPr>
        <w:t xml:space="preserve"> that the </w:t>
      </w:r>
      <w:r w:rsidR="002E7861">
        <w:rPr>
          <w:szCs w:val="24"/>
        </w:rPr>
        <w:t>PUCO adopt a SEET threshold that is at the bottom of the range</w:t>
      </w:r>
      <w:r w:rsidR="00FD4E97">
        <w:rPr>
          <w:szCs w:val="24"/>
        </w:rPr>
        <w:t>—</w:t>
      </w:r>
      <w:r w:rsidR="002E7861">
        <w:rPr>
          <w:szCs w:val="24"/>
        </w:rPr>
        <w:t xml:space="preserve">17.05 percent. </w:t>
      </w:r>
    </w:p>
    <w:p w:rsidR="001D05E0" w:rsidRDefault="001D05E0" w:rsidP="00B964C9">
      <w:pPr>
        <w:spacing w:line="480" w:lineRule="auto"/>
        <w:ind w:firstLine="720"/>
        <w:rPr>
          <w:szCs w:val="24"/>
        </w:rPr>
      </w:pPr>
      <w:r>
        <w:rPr>
          <w:szCs w:val="24"/>
        </w:rPr>
        <w:t xml:space="preserve">As discussed above, the law requires the Commission to give consideration to the capital requirements of future committed capital investments in Ohio.  In this case, the threshold level of significantly excessive earnings should </w:t>
      </w:r>
      <w:r w:rsidR="00CF2189">
        <w:rPr>
          <w:szCs w:val="24"/>
        </w:rPr>
        <w:t xml:space="preserve">be at the bottom of the SEET threshold range </w:t>
      </w:r>
      <w:r>
        <w:rPr>
          <w:szCs w:val="24"/>
        </w:rPr>
        <w:t>based on CSP’s projected construction spending.</w:t>
      </w:r>
      <w:r>
        <w:rPr>
          <w:rStyle w:val="FootnoteReference"/>
          <w:szCs w:val="24"/>
        </w:rPr>
        <w:footnoteReference w:id="46"/>
      </w:r>
      <w:r>
        <w:rPr>
          <w:szCs w:val="24"/>
        </w:rPr>
        <w:t xml:space="preserve">  Moreover,</w:t>
      </w:r>
      <w:r w:rsidR="00CF2189">
        <w:rPr>
          <w:szCs w:val="24"/>
        </w:rPr>
        <w:t xml:space="preserve"> at the least,</w:t>
      </w:r>
      <w:r>
        <w:rPr>
          <w:szCs w:val="24"/>
        </w:rPr>
        <w:t xml:space="preserve"> the threshold level of significantly excessive earnings should </w:t>
      </w:r>
      <w:r w:rsidR="00CF2189">
        <w:rPr>
          <w:szCs w:val="24"/>
        </w:rPr>
        <w:t xml:space="preserve">be at the bottom of the SEET threshold range </w:t>
      </w:r>
      <w:r>
        <w:rPr>
          <w:szCs w:val="24"/>
        </w:rPr>
        <w:t>because in the 2009 SEET Proceeding the Commission gave future committed investments in Ohio $61</w:t>
      </w:r>
      <w:r w:rsidR="00E771D3">
        <w:rPr>
          <w:szCs w:val="24"/>
        </w:rPr>
        <w:t>.</w:t>
      </w:r>
      <w:r>
        <w:rPr>
          <w:szCs w:val="24"/>
        </w:rPr>
        <w:t>230 million more weight in the 2009 SEET analysis than what CSP actually expended in 2010.</w:t>
      </w:r>
      <w:r w:rsidR="00CF2189">
        <w:rPr>
          <w:szCs w:val="24"/>
        </w:rPr>
        <w:t xml:space="preserve"> The PUCO should grant rehearing on this issue </w:t>
      </w:r>
      <w:r w:rsidR="004541DE">
        <w:rPr>
          <w:szCs w:val="24"/>
        </w:rPr>
        <w:t xml:space="preserve">and adopt a SEET threshold of 17.05 percent </w:t>
      </w:r>
      <w:r w:rsidR="00CF2189">
        <w:rPr>
          <w:szCs w:val="24"/>
        </w:rPr>
        <w:t xml:space="preserve">to ensure that CSP </w:t>
      </w:r>
      <w:r w:rsidR="00904EDB">
        <w:rPr>
          <w:szCs w:val="24"/>
        </w:rPr>
        <w:t xml:space="preserve">does not get to retain 2010 </w:t>
      </w:r>
      <w:r w:rsidR="00CF2189">
        <w:rPr>
          <w:szCs w:val="24"/>
        </w:rPr>
        <w:t xml:space="preserve">earnings </w:t>
      </w:r>
      <w:r w:rsidR="00904EDB">
        <w:rPr>
          <w:szCs w:val="24"/>
        </w:rPr>
        <w:t xml:space="preserve">that were </w:t>
      </w:r>
      <w:r w:rsidR="00CF2189">
        <w:rPr>
          <w:szCs w:val="24"/>
        </w:rPr>
        <w:t>significantly excessive.</w:t>
      </w:r>
    </w:p>
    <w:p w:rsidR="00C12735" w:rsidRPr="00C12735" w:rsidRDefault="00C12735" w:rsidP="002B1475">
      <w:pPr>
        <w:pStyle w:val="Heading2"/>
        <w:rPr>
          <w:rFonts w:eastAsia="Calibri"/>
        </w:rPr>
      </w:pPr>
      <w:bookmarkStart w:id="21" w:name="_Toc372898238"/>
      <w:r w:rsidRPr="00C12735">
        <w:rPr>
          <w:rFonts w:eastAsia="Calibri"/>
        </w:rPr>
        <w:t xml:space="preserve">The PUCO Erred When </w:t>
      </w:r>
      <w:r w:rsidR="003E7DE0">
        <w:rPr>
          <w:rFonts w:eastAsia="Calibri"/>
        </w:rPr>
        <w:t xml:space="preserve">It </w:t>
      </w:r>
      <w:r w:rsidRPr="00C12735">
        <w:rPr>
          <w:rFonts w:eastAsia="Calibri"/>
        </w:rPr>
        <w:t xml:space="preserve">Failed </w:t>
      </w:r>
      <w:r w:rsidR="002B1475" w:rsidRPr="00C12735">
        <w:rPr>
          <w:rFonts w:eastAsia="Calibri"/>
        </w:rPr>
        <w:t xml:space="preserve">To </w:t>
      </w:r>
      <w:r w:rsidRPr="00C12735">
        <w:rPr>
          <w:rFonts w:eastAsia="Calibri"/>
        </w:rPr>
        <w:t xml:space="preserve">Order </w:t>
      </w:r>
      <w:r w:rsidR="002B1475" w:rsidRPr="00C12735">
        <w:rPr>
          <w:rFonts w:eastAsia="Calibri"/>
        </w:rPr>
        <w:t xml:space="preserve">The </w:t>
      </w:r>
      <w:r w:rsidRPr="00C12735">
        <w:rPr>
          <w:rFonts w:eastAsia="Calibri"/>
        </w:rPr>
        <w:t xml:space="preserve">Return </w:t>
      </w:r>
      <w:r w:rsidR="002B1475" w:rsidRPr="00C12735">
        <w:rPr>
          <w:rFonts w:eastAsia="Calibri"/>
        </w:rPr>
        <w:t xml:space="preserve">Of $17.3 </w:t>
      </w:r>
      <w:r w:rsidRPr="00C12735">
        <w:rPr>
          <w:rFonts w:eastAsia="Calibri"/>
        </w:rPr>
        <w:t xml:space="preserve">Million To Customers </w:t>
      </w:r>
      <w:r w:rsidR="00FA6C70">
        <w:rPr>
          <w:rFonts w:eastAsia="Calibri"/>
        </w:rPr>
        <w:t>As A Result</w:t>
      </w:r>
      <w:r w:rsidRPr="00C12735">
        <w:rPr>
          <w:rFonts w:eastAsia="Calibri"/>
        </w:rPr>
        <w:t xml:space="preserve"> </w:t>
      </w:r>
      <w:r w:rsidR="002B1475" w:rsidRPr="00C12735">
        <w:rPr>
          <w:rFonts w:eastAsia="Calibri"/>
        </w:rPr>
        <w:t xml:space="preserve">Of </w:t>
      </w:r>
      <w:r w:rsidRPr="00C12735">
        <w:rPr>
          <w:rFonts w:eastAsia="Calibri"/>
        </w:rPr>
        <w:t xml:space="preserve">The Significantly Excessive Earnings </w:t>
      </w:r>
      <w:r w:rsidR="002B1475" w:rsidRPr="00C12735">
        <w:rPr>
          <w:rFonts w:eastAsia="Calibri"/>
        </w:rPr>
        <w:t xml:space="preserve">Of </w:t>
      </w:r>
      <w:r w:rsidRPr="00C12735">
        <w:rPr>
          <w:rFonts w:eastAsia="Calibri"/>
        </w:rPr>
        <w:t xml:space="preserve">Columbus Southern Power </w:t>
      </w:r>
      <w:r w:rsidR="002B1475" w:rsidRPr="00C12735">
        <w:rPr>
          <w:rFonts w:eastAsia="Calibri"/>
        </w:rPr>
        <w:t>In 2010.</w:t>
      </w:r>
      <w:bookmarkEnd w:id="21"/>
      <w:r w:rsidR="002B1475" w:rsidRPr="00C12735">
        <w:rPr>
          <w:rFonts w:eastAsia="Calibri"/>
        </w:rPr>
        <w:t xml:space="preserve"> </w:t>
      </w:r>
    </w:p>
    <w:p w:rsidR="002B1475" w:rsidRDefault="00231EA2" w:rsidP="00231EA2">
      <w:pPr>
        <w:spacing w:line="480" w:lineRule="auto"/>
        <w:ind w:firstLine="720"/>
        <w:rPr>
          <w:rFonts w:eastAsia="Calibri"/>
          <w:szCs w:val="24"/>
        </w:rPr>
      </w:pPr>
      <w:r>
        <w:rPr>
          <w:rFonts w:eastAsia="Calibri"/>
          <w:szCs w:val="24"/>
        </w:rPr>
        <w:t>As discussed above, the PUCO erred because it should have adopted a lower SEET threshold of 17.05 percent which is at the bottom of the range that the Commission found to be appropriate.</w:t>
      </w:r>
      <w:r>
        <w:rPr>
          <w:rStyle w:val="FootnoteReference"/>
          <w:rFonts w:eastAsia="Calibri"/>
          <w:szCs w:val="24"/>
        </w:rPr>
        <w:footnoteReference w:id="47"/>
      </w:r>
      <w:r>
        <w:rPr>
          <w:rFonts w:eastAsia="Calibri"/>
          <w:szCs w:val="24"/>
        </w:rPr>
        <w:t xml:space="preserve">  Using a SEET threshold of 17.05 percent, CSP’s 2010 Significantly Excessive Earnings </w:t>
      </w:r>
      <w:r w:rsidR="007327AF">
        <w:rPr>
          <w:rFonts w:eastAsia="Calibri"/>
          <w:szCs w:val="24"/>
        </w:rPr>
        <w:t>s</w:t>
      </w:r>
      <w:r>
        <w:rPr>
          <w:rFonts w:eastAsia="Calibri"/>
          <w:szCs w:val="24"/>
        </w:rPr>
        <w:t xml:space="preserve">ubject to </w:t>
      </w:r>
      <w:r w:rsidR="007327AF">
        <w:rPr>
          <w:rFonts w:eastAsia="Calibri"/>
          <w:szCs w:val="24"/>
        </w:rPr>
        <w:t>r</w:t>
      </w:r>
      <w:r>
        <w:rPr>
          <w:rFonts w:eastAsia="Calibri"/>
          <w:szCs w:val="24"/>
        </w:rPr>
        <w:t xml:space="preserve">eturn is $11,118,213 based on the </w:t>
      </w:r>
      <w:r w:rsidR="007327AF">
        <w:rPr>
          <w:rFonts w:eastAsia="Calibri"/>
          <w:szCs w:val="24"/>
        </w:rPr>
        <w:t>a</w:t>
      </w:r>
      <w:r>
        <w:rPr>
          <w:rFonts w:eastAsia="Calibri"/>
          <w:szCs w:val="24"/>
        </w:rPr>
        <w:t xml:space="preserve">djusted </w:t>
      </w:r>
      <w:r w:rsidR="007327AF">
        <w:rPr>
          <w:rFonts w:eastAsia="Calibri"/>
          <w:szCs w:val="24"/>
        </w:rPr>
        <w:t>s</w:t>
      </w:r>
      <w:r>
        <w:rPr>
          <w:rFonts w:eastAsia="Calibri"/>
          <w:szCs w:val="24"/>
        </w:rPr>
        <w:t xml:space="preserve">hareholder </w:t>
      </w:r>
      <w:r w:rsidR="007327AF">
        <w:rPr>
          <w:rFonts w:eastAsia="Calibri"/>
          <w:szCs w:val="24"/>
        </w:rPr>
        <w:t>e</w:t>
      </w:r>
      <w:r>
        <w:rPr>
          <w:rFonts w:eastAsia="Calibri"/>
          <w:szCs w:val="24"/>
        </w:rPr>
        <w:t>quality of $1,308,025,000.</w:t>
      </w:r>
      <w:r>
        <w:rPr>
          <w:rStyle w:val="FootnoteReference"/>
          <w:rFonts w:eastAsia="Calibri"/>
          <w:szCs w:val="24"/>
        </w:rPr>
        <w:footnoteReference w:id="48"/>
      </w:r>
      <w:r>
        <w:rPr>
          <w:rFonts w:eastAsia="Calibri"/>
          <w:szCs w:val="24"/>
        </w:rPr>
        <w:t xml:space="preserve">  The </w:t>
      </w:r>
      <w:r w:rsidR="007327AF">
        <w:rPr>
          <w:rFonts w:eastAsia="Calibri"/>
          <w:szCs w:val="24"/>
        </w:rPr>
        <w:t>p</w:t>
      </w:r>
      <w:r>
        <w:rPr>
          <w:rFonts w:eastAsia="Calibri"/>
          <w:szCs w:val="24"/>
        </w:rPr>
        <w:t>re-tax 2010 significantly excessive earnings to be returned to customers is $17,381,102 based on a Gross Revenue Conversion Factor of 1</w:t>
      </w:r>
      <w:r w:rsidR="007327AF">
        <w:rPr>
          <w:rFonts w:eastAsia="Calibri"/>
          <w:szCs w:val="24"/>
        </w:rPr>
        <w:t>.</w:t>
      </w:r>
      <w:r>
        <w:rPr>
          <w:rFonts w:eastAsia="Calibri"/>
          <w:szCs w:val="24"/>
        </w:rPr>
        <w:t>5633.</w:t>
      </w:r>
      <w:r>
        <w:rPr>
          <w:rStyle w:val="FootnoteReference"/>
          <w:rFonts w:eastAsia="Calibri"/>
          <w:szCs w:val="24"/>
        </w:rPr>
        <w:footnoteReference w:id="49"/>
      </w:r>
      <w:r w:rsidR="00294952">
        <w:rPr>
          <w:rFonts w:eastAsia="Calibri"/>
          <w:szCs w:val="24"/>
        </w:rPr>
        <w:t xml:space="preserve">  The PUCO should grant rehearing so that customers receive the full amount of refund that they are entitled to under Ohio law.</w:t>
      </w:r>
    </w:p>
    <w:p w:rsidR="00294952" w:rsidRPr="00C12735" w:rsidRDefault="00294952" w:rsidP="00294952">
      <w:pPr>
        <w:ind w:firstLine="720"/>
        <w:rPr>
          <w:rFonts w:eastAsia="Calibri"/>
          <w:szCs w:val="24"/>
        </w:rPr>
      </w:pPr>
    </w:p>
    <w:p w:rsidR="001D05E0" w:rsidRDefault="00FD4E97" w:rsidP="002B1475">
      <w:pPr>
        <w:pStyle w:val="Heading1"/>
      </w:pPr>
      <w:bookmarkStart w:id="22" w:name="_Toc372739408"/>
      <w:bookmarkStart w:id="23" w:name="_Toc372898239"/>
      <w:r>
        <w:t>I</w:t>
      </w:r>
      <w:r w:rsidR="001D05E0">
        <w:t>V.</w:t>
      </w:r>
      <w:r w:rsidR="001D05E0">
        <w:tab/>
        <w:t>CONCLUSION</w:t>
      </w:r>
      <w:bookmarkEnd w:id="22"/>
      <w:bookmarkEnd w:id="23"/>
    </w:p>
    <w:p w:rsidR="001D05E0" w:rsidRDefault="00926AFA" w:rsidP="00463DC9">
      <w:pPr>
        <w:spacing w:line="480" w:lineRule="auto"/>
        <w:ind w:firstLine="720"/>
      </w:pPr>
      <w:r>
        <w:rPr>
          <w:spacing w:val="-2"/>
        </w:rPr>
        <w:t>F</w:t>
      </w:r>
      <w:r>
        <w:t>or</w:t>
      </w:r>
      <w:r>
        <w:rPr>
          <w:spacing w:val="-4"/>
        </w:rPr>
        <w:t xml:space="preserve"> </w:t>
      </w:r>
      <w:r>
        <w:rPr>
          <w:spacing w:val="-1"/>
        </w:rPr>
        <w:t>a</w:t>
      </w:r>
      <w:r>
        <w:t>ll</w:t>
      </w:r>
      <w:r>
        <w:rPr>
          <w:spacing w:val="-3"/>
        </w:rPr>
        <w:t xml:space="preserve"> </w:t>
      </w:r>
      <w:r>
        <w:t>the</w:t>
      </w:r>
      <w:r>
        <w:rPr>
          <w:spacing w:val="-4"/>
        </w:rPr>
        <w:t xml:space="preserve"> </w:t>
      </w:r>
      <w:r>
        <w:rPr>
          <w:spacing w:val="1"/>
        </w:rPr>
        <w:t>r</w:t>
      </w:r>
      <w:r>
        <w:rPr>
          <w:spacing w:val="-1"/>
        </w:rPr>
        <w:t>ea</w:t>
      </w:r>
      <w:r>
        <w:t>sons</w:t>
      </w:r>
      <w:r>
        <w:rPr>
          <w:spacing w:val="-3"/>
        </w:rPr>
        <w:t xml:space="preserve"> </w:t>
      </w:r>
      <w:r>
        <w:t>dis</w:t>
      </w:r>
      <w:r>
        <w:rPr>
          <w:spacing w:val="-1"/>
        </w:rPr>
        <w:t>c</w:t>
      </w:r>
      <w:r>
        <w:t>u</w:t>
      </w:r>
      <w:r>
        <w:rPr>
          <w:spacing w:val="2"/>
        </w:rPr>
        <w:t>s</w:t>
      </w:r>
      <w:r>
        <w:t>s</w:t>
      </w:r>
      <w:r>
        <w:rPr>
          <w:spacing w:val="-1"/>
        </w:rPr>
        <w:t>e</w:t>
      </w:r>
      <w:r>
        <w:t>d</w:t>
      </w:r>
      <w:r>
        <w:rPr>
          <w:spacing w:val="-3"/>
        </w:rPr>
        <w:t xml:space="preserve"> </w:t>
      </w:r>
      <w:r>
        <w:rPr>
          <w:spacing w:val="-1"/>
        </w:rPr>
        <w:t>a</w:t>
      </w:r>
      <w:r>
        <w:t>bov</w:t>
      </w:r>
      <w:r>
        <w:rPr>
          <w:spacing w:val="-1"/>
        </w:rPr>
        <w:t>e</w:t>
      </w:r>
      <w:r>
        <w:t>,</w:t>
      </w:r>
      <w:r>
        <w:rPr>
          <w:spacing w:val="-3"/>
        </w:rPr>
        <w:t xml:space="preserve"> </w:t>
      </w:r>
      <w:r>
        <w:t>the</w:t>
      </w:r>
      <w:r>
        <w:rPr>
          <w:spacing w:val="-3"/>
        </w:rPr>
        <w:t xml:space="preserve"> </w:t>
      </w:r>
      <w:r>
        <w:t>P</w:t>
      </w:r>
      <w:r>
        <w:rPr>
          <w:spacing w:val="-1"/>
        </w:rPr>
        <w:t>U</w:t>
      </w:r>
      <w:r>
        <w:t>CO</w:t>
      </w:r>
      <w:r>
        <w:rPr>
          <w:spacing w:val="-4"/>
        </w:rPr>
        <w:t xml:space="preserve"> </w:t>
      </w:r>
      <w:r>
        <w:t>s</w:t>
      </w:r>
      <w:r>
        <w:rPr>
          <w:spacing w:val="2"/>
        </w:rPr>
        <w:t>h</w:t>
      </w:r>
      <w:r>
        <w:t>ould</w:t>
      </w:r>
      <w:r>
        <w:rPr>
          <w:spacing w:val="-3"/>
        </w:rPr>
        <w:t xml:space="preserve"> g</w:t>
      </w:r>
      <w:r>
        <w:rPr>
          <w:spacing w:val="-1"/>
        </w:rPr>
        <w:t>ra</w:t>
      </w:r>
      <w:r>
        <w:t>nt</w:t>
      </w:r>
      <w:r>
        <w:rPr>
          <w:spacing w:val="-1"/>
        </w:rPr>
        <w:t xml:space="preserve"> re</w:t>
      </w:r>
      <w:r>
        <w:t>h</w:t>
      </w:r>
      <w:r>
        <w:rPr>
          <w:spacing w:val="1"/>
        </w:rPr>
        <w:t>e</w:t>
      </w:r>
      <w:r>
        <w:rPr>
          <w:spacing w:val="-1"/>
        </w:rPr>
        <w:t>ar</w:t>
      </w:r>
      <w:r>
        <w:t>i</w:t>
      </w:r>
      <w:r>
        <w:rPr>
          <w:spacing w:val="2"/>
        </w:rPr>
        <w:t>n</w:t>
      </w:r>
      <w:r>
        <w:t>g</w:t>
      </w:r>
      <w:r>
        <w:rPr>
          <w:spacing w:val="-6"/>
        </w:rPr>
        <w:t xml:space="preserve"> </w:t>
      </w:r>
      <w:r>
        <w:t>on</w:t>
      </w:r>
      <w:r>
        <w:rPr>
          <w:spacing w:val="-1"/>
        </w:rPr>
        <w:t xml:space="preserve"> O</w:t>
      </w:r>
      <w:r>
        <w:t>CC</w:t>
      </w:r>
      <w:r>
        <w:rPr>
          <w:spacing w:val="-1"/>
        </w:rPr>
        <w:t>’</w:t>
      </w:r>
      <w:r>
        <w:t xml:space="preserve">s </w:t>
      </w:r>
      <w:r>
        <w:rPr>
          <w:spacing w:val="-1"/>
        </w:rPr>
        <w:t>c</w:t>
      </w:r>
      <w:r>
        <w:t>l</w:t>
      </w:r>
      <w:r>
        <w:rPr>
          <w:spacing w:val="-1"/>
        </w:rPr>
        <w:t>a</w:t>
      </w:r>
      <w:r>
        <w:t>ims</w:t>
      </w:r>
      <w:r>
        <w:rPr>
          <w:spacing w:val="-3"/>
        </w:rPr>
        <w:t xml:space="preserve"> </w:t>
      </w:r>
      <w:r>
        <w:t>of</w:t>
      </w:r>
      <w:r>
        <w:rPr>
          <w:spacing w:val="-4"/>
        </w:rPr>
        <w:t xml:space="preserve"> </w:t>
      </w:r>
      <w:r>
        <w:rPr>
          <w:spacing w:val="-1"/>
        </w:rPr>
        <w:t>err</w:t>
      </w:r>
      <w:r>
        <w:rPr>
          <w:spacing w:val="2"/>
        </w:rPr>
        <w:t>o</w:t>
      </w:r>
      <w:r>
        <w:t>r</w:t>
      </w:r>
      <w:r>
        <w:rPr>
          <w:spacing w:val="-3"/>
        </w:rPr>
        <w:t xml:space="preserve"> </w:t>
      </w:r>
      <w:r>
        <w:rPr>
          <w:spacing w:val="-1"/>
        </w:rPr>
        <w:t>a</w:t>
      </w:r>
      <w:r>
        <w:t>nd</w:t>
      </w:r>
      <w:r>
        <w:rPr>
          <w:spacing w:val="-3"/>
        </w:rPr>
        <w:t xml:space="preserve"> </w:t>
      </w:r>
      <w:r>
        <w:t>modi</w:t>
      </w:r>
      <w:r>
        <w:rPr>
          <w:spacing w:val="1"/>
        </w:rPr>
        <w:t>f</w:t>
      </w:r>
      <w:r>
        <w:t>y</w:t>
      </w:r>
      <w:r>
        <w:rPr>
          <w:spacing w:val="-5"/>
        </w:rPr>
        <w:t xml:space="preserve"> </w:t>
      </w:r>
      <w:r>
        <w:t>or</w:t>
      </w:r>
      <w:r>
        <w:rPr>
          <w:spacing w:val="-2"/>
        </w:rPr>
        <w:t xml:space="preserve"> </w:t>
      </w:r>
      <w:r>
        <w:rPr>
          <w:spacing w:val="-1"/>
        </w:rPr>
        <w:t>a</w:t>
      </w:r>
      <w:r>
        <w:t>b</w:t>
      </w:r>
      <w:r>
        <w:rPr>
          <w:spacing w:val="-1"/>
        </w:rPr>
        <w:t>r</w:t>
      </w:r>
      <w:r>
        <w:rPr>
          <w:spacing w:val="2"/>
        </w:rPr>
        <w:t>o</w:t>
      </w:r>
      <w:r>
        <w:rPr>
          <w:spacing w:val="-3"/>
        </w:rPr>
        <w:t>g</w:t>
      </w:r>
      <w:r>
        <w:rPr>
          <w:spacing w:val="-1"/>
        </w:rPr>
        <w:t>a</w:t>
      </w:r>
      <w:r>
        <w:rPr>
          <w:spacing w:val="2"/>
        </w:rPr>
        <w:t>t</w:t>
      </w:r>
      <w:r>
        <w:t>e</w:t>
      </w:r>
      <w:r>
        <w:rPr>
          <w:spacing w:val="-3"/>
        </w:rPr>
        <w:t xml:space="preserve"> </w:t>
      </w:r>
      <w:r>
        <w:t>its</w:t>
      </w:r>
      <w:r>
        <w:rPr>
          <w:spacing w:val="-3"/>
        </w:rPr>
        <w:t xml:space="preserve"> </w:t>
      </w:r>
      <w:r w:rsidR="00594D4D">
        <w:t>Octo</w:t>
      </w:r>
      <w:r>
        <w:t>b</w:t>
      </w:r>
      <w:r>
        <w:rPr>
          <w:spacing w:val="-1"/>
        </w:rPr>
        <w:t>e</w:t>
      </w:r>
      <w:r>
        <w:t>r</w:t>
      </w:r>
      <w:r>
        <w:rPr>
          <w:spacing w:val="-4"/>
        </w:rPr>
        <w:t xml:space="preserve"> </w:t>
      </w:r>
      <w:r w:rsidR="00594D4D">
        <w:t>23</w:t>
      </w:r>
      <w:r>
        <w:t>,</w:t>
      </w:r>
      <w:r>
        <w:rPr>
          <w:spacing w:val="-2"/>
        </w:rPr>
        <w:t xml:space="preserve"> </w:t>
      </w:r>
      <w:r>
        <w:t>2013</w:t>
      </w:r>
      <w:r>
        <w:rPr>
          <w:spacing w:val="-3"/>
        </w:rPr>
        <w:t xml:space="preserve"> </w:t>
      </w:r>
      <w:r>
        <w:rPr>
          <w:spacing w:val="1"/>
        </w:rPr>
        <w:t>O</w:t>
      </w:r>
      <w:r>
        <w:rPr>
          <w:spacing w:val="-1"/>
        </w:rPr>
        <w:t>r</w:t>
      </w:r>
      <w:r>
        <w:t>d</w:t>
      </w:r>
      <w:r>
        <w:rPr>
          <w:spacing w:val="-1"/>
        </w:rPr>
        <w:t>e</w:t>
      </w:r>
      <w:r>
        <w:t xml:space="preserve">r </w:t>
      </w:r>
      <w:r>
        <w:rPr>
          <w:spacing w:val="-1"/>
        </w:rPr>
        <w:t>c</w:t>
      </w:r>
      <w:r>
        <w:t>onsist</w:t>
      </w:r>
      <w:r>
        <w:rPr>
          <w:spacing w:val="-1"/>
        </w:rPr>
        <w:t>e</w:t>
      </w:r>
      <w:r>
        <w:t>nt</w:t>
      </w:r>
      <w:r>
        <w:rPr>
          <w:spacing w:val="-3"/>
        </w:rPr>
        <w:t xml:space="preserve"> </w:t>
      </w:r>
      <w:r>
        <w:rPr>
          <w:spacing w:val="-1"/>
        </w:rPr>
        <w:t>w</w:t>
      </w:r>
      <w:r>
        <w:t>ith</w:t>
      </w:r>
      <w:r>
        <w:rPr>
          <w:spacing w:val="-3"/>
        </w:rPr>
        <w:t xml:space="preserve"> </w:t>
      </w:r>
      <w:r>
        <w:rPr>
          <w:spacing w:val="-1"/>
        </w:rPr>
        <w:t>O</w:t>
      </w:r>
      <w:r>
        <w:t>hio</w:t>
      </w:r>
      <w:r>
        <w:rPr>
          <w:spacing w:val="-3"/>
        </w:rPr>
        <w:t xml:space="preserve"> </w:t>
      </w:r>
      <w:r>
        <w:t>l</w:t>
      </w:r>
      <w:r>
        <w:rPr>
          <w:spacing w:val="-1"/>
        </w:rPr>
        <w:t>a</w:t>
      </w:r>
      <w:r>
        <w:t>w</w:t>
      </w:r>
      <w:r>
        <w:rPr>
          <w:spacing w:val="-3"/>
        </w:rPr>
        <w:t xml:space="preserve"> </w:t>
      </w:r>
      <w:r>
        <w:rPr>
          <w:spacing w:val="-1"/>
        </w:rPr>
        <w:t>a</w:t>
      </w:r>
      <w:r>
        <w:t>nd</w:t>
      </w:r>
      <w:r>
        <w:rPr>
          <w:spacing w:val="-3"/>
        </w:rPr>
        <w:t xml:space="preserve"> </w:t>
      </w:r>
      <w:r>
        <w:rPr>
          <w:spacing w:val="-1"/>
        </w:rPr>
        <w:t>re</w:t>
      </w:r>
      <w:r>
        <w:rPr>
          <w:spacing w:val="1"/>
        </w:rPr>
        <w:t>a</w:t>
      </w:r>
      <w:r>
        <w:t xml:space="preserve">son.  </w:t>
      </w:r>
      <w:r w:rsidR="00182064">
        <w:t>The PUCO should provide CSP customers with the greater refund intended under Ohio law in this circumstance where CSP had significantly excessive earnings in 2010.</w:t>
      </w:r>
      <w:r w:rsidR="00CF2189">
        <w:t xml:space="preserve"> </w:t>
      </w:r>
      <w:r w:rsidR="00AD737B">
        <w:t xml:space="preserve"> </w:t>
      </w:r>
      <w:r w:rsidR="00CF2189">
        <w:t xml:space="preserve">Additionally, </w:t>
      </w:r>
      <w:r w:rsidR="00CF2189" w:rsidRPr="00CF2189">
        <w:rPr>
          <w:szCs w:val="24"/>
        </w:rPr>
        <w:t>the</w:t>
      </w:r>
      <w:r w:rsidR="00CF2189">
        <w:rPr>
          <w:szCs w:val="24"/>
        </w:rPr>
        <w:t xml:space="preserve"> amount of </w:t>
      </w:r>
      <w:r w:rsidR="007327AF">
        <w:rPr>
          <w:szCs w:val="24"/>
        </w:rPr>
        <w:t xml:space="preserve">prudently incurred </w:t>
      </w:r>
      <w:r w:rsidR="00CF2189">
        <w:rPr>
          <w:szCs w:val="24"/>
        </w:rPr>
        <w:t xml:space="preserve">storm costs that </w:t>
      </w:r>
      <w:r w:rsidR="007327AF">
        <w:rPr>
          <w:szCs w:val="24"/>
        </w:rPr>
        <w:t xml:space="preserve">AEP Ohio </w:t>
      </w:r>
      <w:r w:rsidR="00CF2189">
        <w:rPr>
          <w:szCs w:val="24"/>
        </w:rPr>
        <w:t xml:space="preserve">seeks to collect from its customers should be reduced by </w:t>
      </w:r>
      <w:r w:rsidR="00CF2189" w:rsidRPr="00CF2189">
        <w:rPr>
          <w:szCs w:val="24"/>
        </w:rPr>
        <w:t xml:space="preserve">$20 million </w:t>
      </w:r>
      <w:r w:rsidR="00CF2189">
        <w:rPr>
          <w:szCs w:val="24"/>
        </w:rPr>
        <w:t xml:space="preserve">because of AEP Ohio’s </w:t>
      </w:r>
      <w:r w:rsidR="00904EDB">
        <w:rPr>
          <w:szCs w:val="24"/>
        </w:rPr>
        <w:t xml:space="preserve">failure to comply with </w:t>
      </w:r>
      <w:r w:rsidR="00CF2189">
        <w:rPr>
          <w:szCs w:val="24"/>
        </w:rPr>
        <w:t>the 2009 SEET Order.</w:t>
      </w:r>
    </w:p>
    <w:p w:rsidR="001D05E0" w:rsidRDefault="00FD4E97">
      <w:pPr>
        <w:pStyle w:val="HTMLPreformatted"/>
        <w:tabs>
          <w:tab w:val="left" w:pos="4320"/>
        </w:tabs>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1D05E0">
        <w:rPr>
          <w:rFonts w:ascii="Times New Roman" w:hAnsi="Times New Roman" w:cs="Times New Roman"/>
          <w:bCs/>
          <w:sz w:val="24"/>
          <w:szCs w:val="24"/>
        </w:rPr>
        <w:tab/>
      </w:r>
      <w:r w:rsidR="001D05E0">
        <w:rPr>
          <w:rFonts w:ascii="Times New Roman" w:hAnsi="Times New Roman" w:cs="Times New Roman"/>
          <w:bCs/>
          <w:sz w:val="24"/>
          <w:szCs w:val="24"/>
        </w:rPr>
        <w:tab/>
      </w:r>
      <w:r w:rsidR="001D05E0">
        <w:rPr>
          <w:rFonts w:ascii="Times New Roman" w:hAnsi="Times New Roman" w:cs="Times New Roman"/>
          <w:bCs/>
          <w:sz w:val="24"/>
          <w:szCs w:val="24"/>
        </w:rPr>
        <w:tab/>
      </w:r>
      <w:r w:rsidR="001D05E0">
        <w:rPr>
          <w:rFonts w:ascii="Times New Roman" w:hAnsi="Times New Roman" w:cs="Times New Roman"/>
          <w:bCs/>
          <w:sz w:val="24"/>
          <w:szCs w:val="24"/>
        </w:rPr>
        <w:tab/>
        <w:t>Respectfully submitted,</w:t>
      </w:r>
    </w:p>
    <w:p w:rsidR="001D05E0" w:rsidRDefault="001D05E0">
      <w:pPr>
        <w:pStyle w:val="HTMLPreformatted"/>
        <w:jc w:val="both"/>
        <w:rPr>
          <w:rFonts w:ascii="Times New Roman" w:hAnsi="Times New Roman" w:cs="Times New Roman"/>
          <w:bCs/>
          <w:sz w:val="24"/>
          <w:szCs w:val="24"/>
        </w:rPr>
      </w:pPr>
    </w:p>
    <w:p w:rsidR="001D05E0" w:rsidRDefault="001D05E0">
      <w:pPr>
        <w:pStyle w:val="Footer"/>
        <w:tabs>
          <w:tab w:val="clear" w:pos="8640"/>
          <w:tab w:val="left" w:pos="4320"/>
        </w:tabs>
        <w:rPr>
          <w:sz w:val="24"/>
          <w:szCs w:val="24"/>
        </w:rPr>
      </w:pPr>
      <w:r>
        <w:rPr>
          <w:sz w:val="24"/>
          <w:szCs w:val="24"/>
        </w:rPr>
        <w:tab/>
        <w:t>BRUCE J. WESTON</w:t>
      </w:r>
    </w:p>
    <w:p w:rsidR="001D05E0" w:rsidRDefault="00B40937">
      <w:pPr>
        <w:tabs>
          <w:tab w:val="left" w:pos="4320"/>
        </w:tabs>
        <w:rPr>
          <w:szCs w:val="24"/>
        </w:rPr>
      </w:pPr>
      <w:r>
        <w:rPr>
          <w:szCs w:val="24"/>
        </w:rPr>
        <w:tab/>
      </w:r>
      <w:r w:rsidR="00537F46">
        <w:rPr>
          <w:szCs w:val="24"/>
        </w:rPr>
        <w:t xml:space="preserve">OHIO </w:t>
      </w:r>
      <w:r w:rsidR="001D05E0">
        <w:rPr>
          <w:szCs w:val="24"/>
        </w:rPr>
        <w:t>CONSUMERS’ COUNSEL</w:t>
      </w:r>
    </w:p>
    <w:p w:rsidR="001D05E0" w:rsidRDefault="001D05E0">
      <w:pPr>
        <w:tabs>
          <w:tab w:val="left" w:pos="4320"/>
        </w:tabs>
        <w:rPr>
          <w:szCs w:val="24"/>
        </w:rPr>
      </w:pPr>
    </w:p>
    <w:p w:rsidR="001D05E0" w:rsidRDefault="001D05E0">
      <w:pPr>
        <w:autoSpaceDE w:val="0"/>
        <w:autoSpaceDN w:val="0"/>
        <w:adjustRightInd w:val="0"/>
        <w:rPr>
          <w:szCs w:val="24"/>
          <w:u w:val="single"/>
        </w:rPr>
      </w:pPr>
      <w:r>
        <w:rPr>
          <w:szCs w:val="24"/>
        </w:rPr>
        <w:tab/>
      </w:r>
      <w:r>
        <w:rPr>
          <w:szCs w:val="24"/>
        </w:rPr>
        <w:tab/>
      </w:r>
      <w:r>
        <w:rPr>
          <w:szCs w:val="24"/>
        </w:rPr>
        <w:tab/>
      </w:r>
      <w:r>
        <w:rPr>
          <w:szCs w:val="24"/>
        </w:rPr>
        <w:tab/>
      </w:r>
      <w:r>
        <w:rPr>
          <w:szCs w:val="24"/>
        </w:rPr>
        <w:tab/>
      </w:r>
      <w:r>
        <w:rPr>
          <w:szCs w:val="24"/>
        </w:rPr>
        <w:tab/>
      </w:r>
      <w:r>
        <w:rPr>
          <w:szCs w:val="24"/>
          <w:u w:val="single"/>
        </w:rPr>
        <w:t xml:space="preserve">/s/ </w:t>
      </w:r>
      <w:r w:rsidRPr="00B40937">
        <w:rPr>
          <w:i/>
          <w:szCs w:val="24"/>
          <w:u w:val="single"/>
        </w:rPr>
        <w:t>Melissa R. Yost</w:t>
      </w:r>
      <w:r>
        <w:rPr>
          <w:szCs w:val="24"/>
          <w:u w:val="single"/>
        </w:rPr>
        <w:tab/>
      </w:r>
      <w:r>
        <w:rPr>
          <w:szCs w:val="24"/>
          <w:u w:val="single"/>
        </w:rPr>
        <w:tab/>
      </w:r>
      <w:r>
        <w:rPr>
          <w:szCs w:val="24"/>
          <w:u w:val="single"/>
        </w:rPr>
        <w:tab/>
      </w:r>
    </w:p>
    <w:p w:rsidR="001D05E0" w:rsidRDefault="001D05E0">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Melissa R. Yost, Counsel of Record</w:t>
      </w:r>
    </w:p>
    <w:p w:rsidR="00B40937" w:rsidRDefault="00B40937">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Deputy Consumers’ Counsel</w:t>
      </w:r>
    </w:p>
    <w:p w:rsidR="001D05E0" w:rsidRDefault="001D05E0">
      <w:pPr>
        <w:tabs>
          <w:tab w:val="left" w:pos="4320"/>
        </w:tabs>
        <w:rPr>
          <w:szCs w:val="24"/>
        </w:rPr>
      </w:pPr>
      <w:r>
        <w:rPr>
          <w:szCs w:val="24"/>
        </w:rPr>
        <w:tab/>
        <w:t>Kyle L. Kern</w:t>
      </w:r>
    </w:p>
    <w:p w:rsidR="001D05E0" w:rsidRDefault="001D05E0">
      <w:pPr>
        <w:tabs>
          <w:tab w:val="left" w:pos="4320"/>
        </w:tabs>
        <w:rPr>
          <w:szCs w:val="24"/>
        </w:rPr>
      </w:pPr>
      <w:r>
        <w:rPr>
          <w:szCs w:val="24"/>
        </w:rPr>
        <w:tab/>
        <w:t>Assistant Consumers’ Counsel</w:t>
      </w:r>
    </w:p>
    <w:p w:rsidR="001D05E0" w:rsidRDefault="001D05E0">
      <w:pPr>
        <w:tabs>
          <w:tab w:val="left" w:pos="4320"/>
        </w:tabs>
        <w:rPr>
          <w:szCs w:val="24"/>
        </w:rPr>
      </w:pPr>
    </w:p>
    <w:p w:rsidR="001D05E0" w:rsidRDefault="001D05E0">
      <w:pPr>
        <w:rPr>
          <w:b/>
        </w:rPr>
      </w:pPr>
      <w:r>
        <w:rPr>
          <w:b/>
        </w:rPr>
        <w:tab/>
      </w:r>
      <w:r>
        <w:rPr>
          <w:b/>
        </w:rPr>
        <w:tab/>
      </w:r>
      <w:r>
        <w:rPr>
          <w:b/>
        </w:rPr>
        <w:tab/>
      </w:r>
      <w:r>
        <w:rPr>
          <w:b/>
        </w:rPr>
        <w:tab/>
      </w:r>
      <w:r>
        <w:rPr>
          <w:b/>
        </w:rPr>
        <w:tab/>
      </w:r>
      <w:r>
        <w:rPr>
          <w:b/>
        </w:rPr>
        <w:tab/>
        <w:t>Office of the Ohio Consumers’ Counsel</w:t>
      </w:r>
    </w:p>
    <w:p w:rsidR="001D05E0" w:rsidRDefault="001D05E0">
      <w:r>
        <w:tab/>
      </w:r>
      <w:r>
        <w:tab/>
      </w:r>
      <w:r>
        <w:tab/>
      </w:r>
      <w:r>
        <w:tab/>
      </w:r>
      <w:r>
        <w:tab/>
      </w:r>
      <w:r>
        <w:tab/>
        <w:t>10 West Broad Street, Suite 1800</w:t>
      </w:r>
    </w:p>
    <w:p w:rsidR="001D05E0" w:rsidRDefault="001D05E0">
      <w:r>
        <w:tab/>
      </w:r>
      <w:r>
        <w:tab/>
      </w:r>
      <w:r>
        <w:tab/>
      </w:r>
      <w:r>
        <w:tab/>
      </w:r>
      <w:r>
        <w:tab/>
      </w:r>
      <w:r>
        <w:tab/>
        <w:t>Columbus, Ohio 43215-3485</w:t>
      </w:r>
    </w:p>
    <w:p w:rsidR="001D05E0" w:rsidRDefault="001D05E0">
      <w:pPr>
        <w:autoSpaceDE w:val="0"/>
        <w:autoSpaceDN w:val="0"/>
        <w:adjustRightInd w:val="0"/>
        <w:rPr>
          <w:szCs w:val="24"/>
        </w:rPr>
      </w:pPr>
      <w:r>
        <w:rPr>
          <w:b/>
        </w:rPr>
        <w:tab/>
      </w:r>
      <w:r>
        <w:rPr>
          <w:b/>
        </w:rPr>
        <w:tab/>
      </w:r>
      <w:r>
        <w:rPr>
          <w:b/>
        </w:rPr>
        <w:tab/>
      </w:r>
      <w:r>
        <w:rPr>
          <w:b/>
        </w:rPr>
        <w:tab/>
      </w:r>
      <w:r>
        <w:rPr>
          <w:b/>
        </w:rPr>
        <w:tab/>
      </w:r>
      <w:r>
        <w:rPr>
          <w:b/>
        </w:rPr>
        <w:tab/>
      </w:r>
      <w:r>
        <w:rPr>
          <w:szCs w:val="24"/>
        </w:rPr>
        <w:t>Telephone: (Yost) (614) 466-1291</w:t>
      </w:r>
    </w:p>
    <w:p w:rsidR="001D05E0" w:rsidRDefault="001D05E0">
      <w:pPr>
        <w:autoSpaceDE w:val="0"/>
        <w:autoSpaceDN w:val="0"/>
        <w:adjustRightInd w:val="0"/>
        <w:ind w:left="3600" w:firstLine="720"/>
        <w:rPr>
          <w:szCs w:val="24"/>
        </w:rPr>
      </w:pPr>
      <w:r>
        <w:rPr>
          <w:szCs w:val="24"/>
        </w:rPr>
        <w:t>Telephone: (Kern) (614) 466-9585</w:t>
      </w:r>
    </w:p>
    <w:p w:rsidR="001D05E0" w:rsidRDefault="001D05E0">
      <w:r>
        <w:tab/>
      </w:r>
      <w:r>
        <w:tab/>
      </w:r>
      <w:r>
        <w:tab/>
      </w:r>
      <w:r>
        <w:tab/>
      </w:r>
      <w:r>
        <w:tab/>
      </w:r>
      <w:r>
        <w:tab/>
      </w:r>
      <w:hyperlink r:id="rId24" w:history="1">
        <w:r>
          <w:rPr>
            <w:rStyle w:val="Hyperlink"/>
          </w:rPr>
          <w:t>yost@occ.state.oh.us</w:t>
        </w:r>
      </w:hyperlink>
    </w:p>
    <w:p w:rsidR="001D05E0" w:rsidRDefault="001D05E0">
      <w:r>
        <w:tab/>
      </w:r>
      <w:r>
        <w:tab/>
      </w:r>
      <w:r>
        <w:tab/>
      </w:r>
      <w:r>
        <w:tab/>
      </w:r>
      <w:r>
        <w:tab/>
      </w:r>
      <w:r>
        <w:tab/>
      </w:r>
      <w:hyperlink r:id="rId25" w:history="1">
        <w:r>
          <w:rPr>
            <w:rStyle w:val="Hyperlink"/>
          </w:rPr>
          <w:t>kern@occ.state.oh.us</w:t>
        </w:r>
      </w:hyperlink>
    </w:p>
    <w:p w:rsidR="001D05E0" w:rsidRDefault="001D05E0">
      <w:r>
        <w:tab/>
      </w:r>
      <w:r>
        <w:tab/>
      </w:r>
      <w:r>
        <w:tab/>
      </w:r>
      <w:r>
        <w:tab/>
      </w:r>
      <w:r>
        <w:tab/>
      </w:r>
      <w:r>
        <w:tab/>
      </w:r>
    </w:p>
    <w:p w:rsidR="001D05E0" w:rsidRPr="002B1475" w:rsidRDefault="001D05E0" w:rsidP="002B1475">
      <w:pPr>
        <w:pStyle w:val="HTMLPreformatted"/>
        <w:jc w:val="center"/>
        <w:rPr>
          <w:rFonts w:ascii="Times New Roman" w:hAnsi="Times New Roman" w:cs="Times New Roman"/>
          <w:b/>
          <w:bCs/>
          <w:sz w:val="24"/>
          <w:szCs w:val="24"/>
          <w:u w:val="single"/>
        </w:rPr>
      </w:pPr>
      <w:r>
        <w:rPr>
          <w:rFonts w:ascii="Times New Roman" w:hAnsi="Times New Roman" w:cs="Times New Roman"/>
          <w:bCs/>
          <w:sz w:val="24"/>
          <w:szCs w:val="24"/>
        </w:rPr>
        <w:br w:type="page"/>
      </w:r>
      <w:r w:rsidRPr="002B1475">
        <w:rPr>
          <w:rFonts w:ascii="Times New Roman" w:hAnsi="Times New Roman" w:cs="Times New Roman"/>
          <w:b/>
          <w:bCs/>
          <w:sz w:val="24"/>
          <w:szCs w:val="24"/>
          <w:u w:val="single"/>
        </w:rPr>
        <w:t>CERTIFICATE OF SERVICE</w:t>
      </w:r>
    </w:p>
    <w:p w:rsidR="001D05E0" w:rsidRDefault="001D05E0">
      <w:pPr>
        <w:jc w:val="center"/>
        <w:rPr>
          <w:b/>
          <w:bCs/>
          <w:szCs w:val="24"/>
          <w:u w:val="single"/>
        </w:rPr>
      </w:pPr>
    </w:p>
    <w:p w:rsidR="001D05E0" w:rsidRDefault="001D05E0">
      <w:pPr>
        <w:spacing w:line="480" w:lineRule="atLeast"/>
        <w:rPr>
          <w:szCs w:val="24"/>
        </w:rPr>
      </w:pPr>
      <w:r>
        <w:rPr>
          <w:szCs w:val="24"/>
        </w:rPr>
        <w:tab/>
        <w:t xml:space="preserve">I hereby certify that a copy of this </w:t>
      </w:r>
      <w:r w:rsidR="007C220A">
        <w:rPr>
          <w:i/>
          <w:szCs w:val="24"/>
        </w:rPr>
        <w:t xml:space="preserve">Application for Rehearing </w:t>
      </w:r>
      <w:r>
        <w:rPr>
          <w:szCs w:val="24"/>
        </w:rPr>
        <w:t>was served electronically on the persons stated belo</w:t>
      </w:r>
      <w:r w:rsidR="007C220A">
        <w:rPr>
          <w:szCs w:val="24"/>
        </w:rPr>
        <w:t>w this 22nd day of November, 2013</w:t>
      </w:r>
      <w:r>
        <w:rPr>
          <w:szCs w:val="24"/>
        </w:rPr>
        <w:t>.</w:t>
      </w:r>
    </w:p>
    <w:p w:rsidR="001D05E0" w:rsidRDefault="001D05E0">
      <w:pPr>
        <w:tabs>
          <w:tab w:val="left" w:pos="4320"/>
        </w:tabs>
        <w:rPr>
          <w:szCs w:val="24"/>
        </w:rPr>
      </w:pPr>
    </w:p>
    <w:p w:rsidR="001D05E0" w:rsidRDefault="001D05E0">
      <w:pPr>
        <w:tabs>
          <w:tab w:val="left" w:pos="4320"/>
        </w:tabs>
        <w:rPr>
          <w:szCs w:val="24"/>
        </w:rPr>
      </w:pPr>
    </w:p>
    <w:p w:rsidR="001D05E0" w:rsidRDefault="001D05E0">
      <w:pPr>
        <w:tabs>
          <w:tab w:val="left" w:pos="4320"/>
        </w:tabs>
        <w:rPr>
          <w:szCs w:val="24"/>
          <w:u w:val="single"/>
        </w:rPr>
      </w:pPr>
      <w:r>
        <w:rPr>
          <w:szCs w:val="24"/>
        </w:rPr>
        <w:tab/>
      </w:r>
      <w:r>
        <w:rPr>
          <w:szCs w:val="24"/>
          <w:u w:val="single"/>
        </w:rPr>
        <w:t xml:space="preserve">/s/ </w:t>
      </w:r>
      <w:r w:rsidRPr="007C220A">
        <w:rPr>
          <w:i/>
          <w:szCs w:val="24"/>
          <w:u w:val="single"/>
        </w:rPr>
        <w:t>Melissa R. Yost</w:t>
      </w:r>
      <w:r>
        <w:rPr>
          <w:szCs w:val="24"/>
          <w:u w:val="single"/>
        </w:rPr>
        <w:tab/>
      </w:r>
      <w:r>
        <w:rPr>
          <w:szCs w:val="24"/>
          <w:u w:val="single"/>
        </w:rPr>
        <w:tab/>
      </w:r>
      <w:r>
        <w:rPr>
          <w:szCs w:val="24"/>
          <w:u w:val="single"/>
        </w:rPr>
        <w:tab/>
      </w:r>
    </w:p>
    <w:p w:rsidR="001D05E0" w:rsidRDefault="001D05E0">
      <w:pPr>
        <w:tabs>
          <w:tab w:val="left" w:pos="4320"/>
        </w:tabs>
        <w:rPr>
          <w:szCs w:val="24"/>
        </w:rPr>
      </w:pPr>
      <w:r>
        <w:rPr>
          <w:szCs w:val="24"/>
        </w:rPr>
        <w:tab/>
        <w:t>Melissa R. Yost</w:t>
      </w:r>
    </w:p>
    <w:p w:rsidR="001D05E0" w:rsidRDefault="007C220A">
      <w:pPr>
        <w:tabs>
          <w:tab w:val="left" w:pos="4320"/>
        </w:tabs>
        <w:rPr>
          <w:szCs w:val="24"/>
        </w:rPr>
      </w:pPr>
      <w:r>
        <w:rPr>
          <w:szCs w:val="24"/>
        </w:rPr>
        <w:tab/>
        <w:t xml:space="preserve">Deputy </w:t>
      </w:r>
      <w:r w:rsidR="001D05E0">
        <w:rPr>
          <w:szCs w:val="24"/>
        </w:rPr>
        <w:t>Consumers’ Counsel</w:t>
      </w:r>
    </w:p>
    <w:p w:rsidR="001D05E0" w:rsidRDefault="001D05E0">
      <w:pPr>
        <w:pStyle w:val="CommentText"/>
      </w:pPr>
    </w:p>
    <w:p w:rsidR="002B1475" w:rsidRDefault="002B1475" w:rsidP="002B1475">
      <w:pPr>
        <w:pStyle w:val="CommentText"/>
        <w:jc w:val="center"/>
        <w:rPr>
          <w:b/>
          <w:bCs/>
          <w:u w:val="single"/>
        </w:rPr>
      </w:pPr>
      <w:r>
        <w:rPr>
          <w:b/>
          <w:bCs/>
          <w:u w:val="single"/>
        </w:rPr>
        <w:t>SERVICE LIST</w:t>
      </w:r>
    </w:p>
    <w:p w:rsidR="002B1475" w:rsidRDefault="002B1475" w:rsidP="002B1475">
      <w:pPr>
        <w:pStyle w:val="CommentText"/>
        <w:jc w:val="center"/>
        <w:rPr>
          <w:b/>
          <w:bCs/>
          <w:u w:val="single"/>
        </w:rPr>
      </w:pPr>
    </w:p>
    <w:tbl>
      <w:tblPr>
        <w:tblW w:w="0" w:type="auto"/>
        <w:tblInd w:w="-106" w:type="dxa"/>
        <w:tblLook w:val="01E0" w:firstRow="1" w:lastRow="1" w:firstColumn="1" w:lastColumn="1" w:noHBand="0" w:noVBand="0"/>
      </w:tblPr>
      <w:tblGrid>
        <w:gridCol w:w="4428"/>
        <w:gridCol w:w="4428"/>
      </w:tblGrid>
      <w:tr w:rsidR="002B1475" w:rsidTr="005F4D2F">
        <w:tc>
          <w:tcPr>
            <w:tcW w:w="4428" w:type="dxa"/>
          </w:tcPr>
          <w:p w:rsidR="002B1475" w:rsidRDefault="002B1475" w:rsidP="005F4D2F">
            <w:pPr>
              <w:pStyle w:val="CommentText"/>
            </w:pPr>
            <w:r>
              <w:t>Thomas W. McNamee</w:t>
            </w:r>
          </w:p>
          <w:p w:rsidR="002B1475" w:rsidRDefault="002B1475" w:rsidP="005F4D2F">
            <w:pPr>
              <w:pStyle w:val="CommentText"/>
            </w:pPr>
            <w:r>
              <w:t>Attorney General’s Office</w:t>
            </w:r>
          </w:p>
          <w:p w:rsidR="002B1475" w:rsidRDefault="002B1475" w:rsidP="005F4D2F">
            <w:pPr>
              <w:pStyle w:val="CommentText"/>
            </w:pPr>
            <w:r>
              <w:t>Public Utilities Commission of Ohio</w:t>
            </w:r>
          </w:p>
          <w:p w:rsidR="002B1475" w:rsidRDefault="002B1475" w:rsidP="005F4D2F">
            <w:pPr>
              <w:pStyle w:val="CommentText"/>
            </w:pPr>
            <w:r>
              <w:t>180 East Broad Street</w:t>
            </w:r>
          </w:p>
          <w:p w:rsidR="002B1475" w:rsidRDefault="002B1475" w:rsidP="005F4D2F">
            <w:pPr>
              <w:pStyle w:val="CommentText"/>
            </w:pPr>
            <w:r>
              <w:t>Columbus, Ohio  43215</w:t>
            </w:r>
          </w:p>
        </w:tc>
        <w:tc>
          <w:tcPr>
            <w:tcW w:w="4428" w:type="dxa"/>
          </w:tcPr>
          <w:p w:rsidR="002B1475" w:rsidRDefault="002B1475" w:rsidP="005F4D2F">
            <w:pPr>
              <w:pStyle w:val="CommentText"/>
            </w:pPr>
            <w:r>
              <w:t>Michael L. Kurtz</w:t>
            </w:r>
          </w:p>
          <w:p w:rsidR="002B1475" w:rsidRDefault="002B1475" w:rsidP="005F4D2F">
            <w:pPr>
              <w:pStyle w:val="CommentText"/>
            </w:pPr>
            <w:r>
              <w:t>Kurt J. Boehm</w:t>
            </w:r>
          </w:p>
          <w:p w:rsidR="002B1475" w:rsidRDefault="002B1475" w:rsidP="005F4D2F">
            <w:pPr>
              <w:pStyle w:val="CommentText"/>
            </w:pPr>
            <w:r>
              <w:t>Jody M. Kyler</w:t>
            </w:r>
          </w:p>
          <w:p w:rsidR="002B1475" w:rsidRDefault="002B1475" w:rsidP="005F4D2F">
            <w:pPr>
              <w:pStyle w:val="CommentText"/>
            </w:pPr>
            <w:r>
              <w:t>Boehm Kurtz &amp; Lowry</w:t>
            </w:r>
          </w:p>
          <w:p w:rsidR="002B1475" w:rsidRDefault="002B1475" w:rsidP="005F4D2F">
            <w:pPr>
              <w:pStyle w:val="CommentText"/>
            </w:pPr>
            <w:r>
              <w:t>36 East Seventh Street, Suite 1510</w:t>
            </w:r>
          </w:p>
          <w:p w:rsidR="002B1475" w:rsidRDefault="002B1475" w:rsidP="005F4D2F">
            <w:pPr>
              <w:pStyle w:val="CommentText"/>
            </w:pPr>
            <w:r>
              <w:t>Cincinnati, Ohio  45202</w:t>
            </w:r>
          </w:p>
          <w:p w:rsidR="002B1475" w:rsidRDefault="002B1475" w:rsidP="005F4D2F">
            <w:pPr>
              <w:pStyle w:val="CommentText"/>
            </w:pPr>
          </w:p>
        </w:tc>
      </w:tr>
      <w:tr w:rsidR="002B1475" w:rsidTr="005F4D2F">
        <w:tc>
          <w:tcPr>
            <w:tcW w:w="4428" w:type="dxa"/>
          </w:tcPr>
          <w:p w:rsidR="002B1475" w:rsidRDefault="002B1475" w:rsidP="005F4D2F">
            <w:pPr>
              <w:pStyle w:val="CommentText"/>
            </w:pPr>
            <w:r>
              <w:t>Samuel C. Randazzo</w:t>
            </w:r>
          </w:p>
          <w:p w:rsidR="002B1475" w:rsidRDefault="002B1475" w:rsidP="005F4D2F">
            <w:pPr>
              <w:pStyle w:val="CommentText"/>
            </w:pPr>
            <w:r>
              <w:t>Frank P. Darr</w:t>
            </w:r>
          </w:p>
          <w:p w:rsidR="002B1475" w:rsidRDefault="002B1475" w:rsidP="005F4D2F">
            <w:pPr>
              <w:pStyle w:val="CommentText"/>
            </w:pPr>
            <w:r>
              <w:t>Joseph E. Oliker</w:t>
            </w:r>
          </w:p>
          <w:p w:rsidR="002B1475" w:rsidRDefault="002B1475" w:rsidP="005F4D2F">
            <w:pPr>
              <w:pStyle w:val="CommentText"/>
            </w:pPr>
            <w:r>
              <w:t>McNees Wallace &amp; Nurick LLC</w:t>
            </w:r>
          </w:p>
          <w:p w:rsidR="002B1475" w:rsidRDefault="002B1475" w:rsidP="005F4D2F">
            <w:pPr>
              <w:pStyle w:val="CommentText"/>
            </w:pPr>
            <w:r>
              <w:t>21 East State Street, 17</w:t>
            </w:r>
            <w:r>
              <w:rPr>
                <w:vertAlign w:val="superscript"/>
              </w:rPr>
              <w:t>th</w:t>
            </w:r>
            <w:r>
              <w:t xml:space="preserve"> Floor</w:t>
            </w:r>
          </w:p>
          <w:p w:rsidR="002B1475" w:rsidRDefault="002B1475" w:rsidP="005F4D2F">
            <w:pPr>
              <w:pStyle w:val="CommentText"/>
            </w:pPr>
            <w:r>
              <w:t>Columbus, Ohio  43215</w:t>
            </w:r>
          </w:p>
          <w:p w:rsidR="002B1475" w:rsidRDefault="002B1475" w:rsidP="005F4D2F">
            <w:pPr>
              <w:pStyle w:val="CommentText"/>
            </w:pPr>
          </w:p>
        </w:tc>
        <w:tc>
          <w:tcPr>
            <w:tcW w:w="4428" w:type="dxa"/>
          </w:tcPr>
          <w:p w:rsidR="002B1475" w:rsidRDefault="002B1475" w:rsidP="005F4D2F">
            <w:pPr>
              <w:pStyle w:val="CommentText"/>
            </w:pPr>
            <w:r>
              <w:t>Steven T. Nourse</w:t>
            </w:r>
          </w:p>
          <w:p w:rsidR="002B1475" w:rsidRDefault="002B1475" w:rsidP="005F4D2F">
            <w:pPr>
              <w:pStyle w:val="CommentText"/>
            </w:pPr>
            <w:r>
              <w:t>American Electric Power</w:t>
            </w:r>
          </w:p>
          <w:p w:rsidR="002B1475" w:rsidRDefault="002B1475" w:rsidP="005F4D2F">
            <w:pPr>
              <w:pStyle w:val="CommentText"/>
            </w:pPr>
            <w:r>
              <w:t>1 Riverside Plaza</w:t>
            </w:r>
          </w:p>
          <w:p w:rsidR="002B1475" w:rsidRDefault="002B1475" w:rsidP="005F4D2F">
            <w:pPr>
              <w:pStyle w:val="CommentText"/>
            </w:pPr>
            <w:r>
              <w:t>Columbus, Ohio  43215</w:t>
            </w:r>
          </w:p>
        </w:tc>
      </w:tr>
      <w:tr w:rsidR="002B1475" w:rsidTr="005F4D2F">
        <w:tc>
          <w:tcPr>
            <w:tcW w:w="4428" w:type="dxa"/>
          </w:tcPr>
          <w:p w:rsidR="002B1475" w:rsidRDefault="000C1B0A" w:rsidP="005F4D2F">
            <w:pPr>
              <w:pStyle w:val="CommentText"/>
            </w:pPr>
            <w:r>
              <w:t>Mallory M. Mohler</w:t>
            </w:r>
          </w:p>
          <w:p w:rsidR="000C1B0A" w:rsidRDefault="000C1B0A" w:rsidP="005F4D2F">
            <w:pPr>
              <w:pStyle w:val="CommentText"/>
            </w:pPr>
            <w:r>
              <w:t>Carpenter Lipps &amp; Leland LLP</w:t>
            </w:r>
          </w:p>
          <w:p w:rsidR="000C1B0A" w:rsidRDefault="000C1B0A" w:rsidP="005F4D2F">
            <w:pPr>
              <w:pStyle w:val="CommentText"/>
            </w:pPr>
            <w:r>
              <w:t>280 North High St., Ste. 1300</w:t>
            </w:r>
          </w:p>
          <w:p w:rsidR="000C1B0A" w:rsidRDefault="000C1B0A" w:rsidP="005F4D2F">
            <w:pPr>
              <w:pStyle w:val="CommentText"/>
            </w:pPr>
            <w:r>
              <w:t>Columbus, Ohio 43215</w:t>
            </w:r>
          </w:p>
        </w:tc>
        <w:tc>
          <w:tcPr>
            <w:tcW w:w="4428" w:type="dxa"/>
          </w:tcPr>
          <w:p w:rsidR="002B1475" w:rsidRDefault="002B1475" w:rsidP="005F4D2F">
            <w:pPr>
              <w:pStyle w:val="CommentText"/>
            </w:pPr>
            <w:r>
              <w:t>Colleen L. Mooney</w:t>
            </w:r>
          </w:p>
          <w:p w:rsidR="002B1475" w:rsidRDefault="002B1475" w:rsidP="005F4D2F">
            <w:pPr>
              <w:pStyle w:val="CommentText"/>
            </w:pPr>
            <w:r>
              <w:t>Cathryn N. Loucas</w:t>
            </w:r>
          </w:p>
          <w:p w:rsidR="002B1475" w:rsidRDefault="002B1475" w:rsidP="005F4D2F">
            <w:pPr>
              <w:pStyle w:val="CommentText"/>
            </w:pPr>
            <w:r>
              <w:t>Ohio Partners for Affordable Energy</w:t>
            </w:r>
          </w:p>
          <w:p w:rsidR="002B1475" w:rsidRDefault="002B1475" w:rsidP="005F4D2F">
            <w:pPr>
              <w:pStyle w:val="CommentText"/>
            </w:pPr>
            <w:r>
              <w:t>231 West Lima Street</w:t>
            </w:r>
          </w:p>
          <w:p w:rsidR="002B1475" w:rsidRDefault="002B1475" w:rsidP="005F4D2F">
            <w:pPr>
              <w:pStyle w:val="CommentText"/>
            </w:pPr>
            <w:r>
              <w:t>Findlay, Ohio  45840</w:t>
            </w:r>
          </w:p>
        </w:tc>
      </w:tr>
    </w:tbl>
    <w:p w:rsidR="002B1475" w:rsidRDefault="002B1475" w:rsidP="002B1475">
      <w:pPr>
        <w:pStyle w:val="CommentText"/>
        <w:rPr>
          <w:b/>
          <w:bCs/>
          <w:u w:val="single"/>
        </w:rPr>
      </w:pPr>
    </w:p>
    <w:p w:rsidR="002B1475" w:rsidRDefault="007B2790" w:rsidP="002B1475">
      <w:pPr>
        <w:pStyle w:val="CommentText"/>
      </w:pPr>
      <w:hyperlink r:id="rId26" w:history="1">
        <w:r w:rsidR="002B1475">
          <w:rPr>
            <w:rStyle w:val="Hyperlink"/>
          </w:rPr>
          <w:t>thomas.mcnamee@puc.state.oh.us</w:t>
        </w:r>
      </w:hyperlink>
    </w:p>
    <w:p w:rsidR="002B1475" w:rsidRDefault="007B2790" w:rsidP="002B1475">
      <w:pPr>
        <w:pStyle w:val="CommentText"/>
      </w:pPr>
      <w:hyperlink r:id="rId27" w:history="1">
        <w:r w:rsidR="002B1475">
          <w:rPr>
            <w:rStyle w:val="Hyperlink"/>
          </w:rPr>
          <w:t>sam@mwncmh.com</w:t>
        </w:r>
      </w:hyperlink>
    </w:p>
    <w:p w:rsidR="002B1475" w:rsidRDefault="007B2790" w:rsidP="002B1475">
      <w:pPr>
        <w:pStyle w:val="CommentText"/>
      </w:pPr>
      <w:hyperlink r:id="rId28" w:history="1">
        <w:r w:rsidR="002B1475">
          <w:rPr>
            <w:rStyle w:val="Hyperlink"/>
          </w:rPr>
          <w:t>fdarr@mwncmh.com</w:t>
        </w:r>
      </w:hyperlink>
    </w:p>
    <w:p w:rsidR="002B1475" w:rsidRDefault="007B2790" w:rsidP="002B1475">
      <w:pPr>
        <w:pStyle w:val="CommentText"/>
      </w:pPr>
      <w:hyperlink r:id="rId29" w:history="1">
        <w:r w:rsidR="002B1475">
          <w:rPr>
            <w:rStyle w:val="Hyperlink"/>
          </w:rPr>
          <w:t>stnourse@aep.com</w:t>
        </w:r>
      </w:hyperlink>
    </w:p>
    <w:p w:rsidR="002B1475" w:rsidRDefault="007B2790" w:rsidP="002B1475">
      <w:pPr>
        <w:pStyle w:val="CommentText"/>
      </w:pPr>
      <w:hyperlink r:id="rId30" w:history="1">
        <w:r w:rsidR="002B1475">
          <w:rPr>
            <w:rStyle w:val="Hyperlink"/>
          </w:rPr>
          <w:t>mjsatterwhite@aep.com</w:t>
        </w:r>
      </w:hyperlink>
    </w:p>
    <w:p w:rsidR="002B1475" w:rsidRDefault="007B2790" w:rsidP="002B1475">
      <w:pPr>
        <w:pStyle w:val="CommentText"/>
      </w:pPr>
      <w:hyperlink r:id="rId31" w:history="1">
        <w:r w:rsidR="002B1475">
          <w:rPr>
            <w:rStyle w:val="Hyperlink"/>
          </w:rPr>
          <w:t>mkurtz@BKLlawfirm.com</w:t>
        </w:r>
      </w:hyperlink>
    </w:p>
    <w:p w:rsidR="002B1475" w:rsidRDefault="007B2790" w:rsidP="002B1475">
      <w:pPr>
        <w:pStyle w:val="CommentText"/>
      </w:pPr>
      <w:hyperlink r:id="rId32" w:history="1">
        <w:r w:rsidR="002B1475">
          <w:rPr>
            <w:rStyle w:val="Hyperlink"/>
          </w:rPr>
          <w:t>dboehm@BKLlawfirm.com</w:t>
        </w:r>
      </w:hyperlink>
    </w:p>
    <w:p w:rsidR="002B1475" w:rsidRDefault="007B2790" w:rsidP="002B1475">
      <w:pPr>
        <w:pStyle w:val="CommentText"/>
      </w:pPr>
      <w:hyperlink r:id="rId33" w:history="1">
        <w:r w:rsidR="002B1475">
          <w:rPr>
            <w:rStyle w:val="Hyperlink"/>
          </w:rPr>
          <w:t>jkyler@BKLlawfirm.com</w:t>
        </w:r>
      </w:hyperlink>
    </w:p>
    <w:p w:rsidR="000C1B0A" w:rsidRPr="00836ACA" w:rsidRDefault="000C1B0A" w:rsidP="002B1475">
      <w:pPr>
        <w:pStyle w:val="CommentText"/>
        <w:rPr>
          <w:rStyle w:val="Hyperlink"/>
        </w:rPr>
      </w:pPr>
      <w:r>
        <w:fldChar w:fldCharType="begin"/>
      </w:r>
      <w:r w:rsidR="007B2790">
        <w:instrText>HYPERLINK "mailto:cmooney@ohiopartners.orgcloucas@ohiopartners.org"</w:instrText>
      </w:r>
      <w:r>
        <w:fldChar w:fldCharType="separate"/>
      </w:r>
      <w:r w:rsidRPr="00836ACA">
        <w:rPr>
          <w:rStyle w:val="Hyperlink"/>
        </w:rPr>
        <w:t>cmooney@ohiopartners.org</w:t>
      </w:r>
    </w:p>
    <w:p w:rsidR="000C1B0A" w:rsidRPr="00836ACA" w:rsidRDefault="000C1B0A" w:rsidP="002B1475">
      <w:pPr>
        <w:pStyle w:val="CommentText"/>
        <w:rPr>
          <w:rStyle w:val="Hyperlink"/>
        </w:rPr>
      </w:pPr>
      <w:r w:rsidRPr="00836ACA">
        <w:rPr>
          <w:rStyle w:val="Hyperlink"/>
        </w:rPr>
        <w:t>cloucas@ohiopartners.org</w:t>
      </w:r>
    </w:p>
    <w:p w:rsidR="000C1B0A" w:rsidRDefault="000C1B0A" w:rsidP="002B1475">
      <w:pPr>
        <w:pStyle w:val="CommentText"/>
      </w:pPr>
      <w:r>
        <w:fldChar w:fldCharType="end"/>
      </w:r>
      <w:hyperlink r:id="rId34" w:history="1">
        <w:r w:rsidRPr="00836ACA">
          <w:rPr>
            <w:rStyle w:val="Hyperlink"/>
          </w:rPr>
          <w:t>mohler@carpenterlipps.com</w:t>
        </w:r>
      </w:hyperlink>
    </w:p>
    <w:p w:rsidR="000C1B0A" w:rsidRDefault="000C1B0A" w:rsidP="002B1475">
      <w:pPr>
        <w:pStyle w:val="CommentText"/>
      </w:pPr>
    </w:p>
    <w:p w:rsidR="002B1475" w:rsidRDefault="000C1B0A" w:rsidP="000C1B0A">
      <w:pPr>
        <w:pStyle w:val="CommentText"/>
        <w:rPr>
          <w:b/>
          <w:u w:val="single"/>
        </w:rPr>
      </w:pPr>
      <w:r>
        <w:t xml:space="preserve">Attorney Examiner:  </w:t>
      </w:r>
      <w:hyperlink r:id="rId35" w:history="1">
        <w:r w:rsidRPr="00836ACA">
          <w:rPr>
            <w:rStyle w:val="Hyperlink"/>
          </w:rPr>
          <w:t>Greta.see@puc.state.oh.us</w:t>
        </w:r>
      </w:hyperlink>
    </w:p>
    <w:sectPr w:rsidR="002B1475">
      <w:pgSz w:w="12240" w:h="15840"/>
      <w:pgMar w:top="1440" w:right="1800" w:bottom="1440" w:left="1800"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FE5" w:rsidRDefault="00951FE5">
      <w:r>
        <w:separator/>
      </w:r>
    </w:p>
  </w:endnote>
  <w:endnote w:type="continuationSeparator" w:id="0">
    <w:p w:rsidR="00951FE5" w:rsidRDefault="0095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E0" w:rsidRDefault="001D05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D05E0" w:rsidRDefault="001D0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81" w:rsidRDefault="000B08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81" w:rsidRDefault="000B08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E0" w:rsidRDefault="001D05E0">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7B2790">
      <w:rPr>
        <w:rStyle w:val="PageNumber"/>
        <w:noProof/>
        <w:sz w:val="24"/>
        <w:szCs w:val="24"/>
      </w:rPr>
      <w:t>2</w:t>
    </w:r>
    <w:r>
      <w:rPr>
        <w:rStyle w:val="PageNumber"/>
        <w:sz w:val="24"/>
        <w:szCs w:val="24"/>
      </w:rPr>
      <w:fldChar w:fldCharType="end"/>
    </w:r>
  </w:p>
  <w:p w:rsidR="001D05E0" w:rsidRDefault="001D05E0">
    <w:pPr>
      <w:pStyle w:val="Footer"/>
    </w:pPr>
  </w:p>
  <w:p w:rsidR="001D05E0" w:rsidRDefault="001D05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75" w:rsidRDefault="002B1475">
    <w:pPr>
      <w:pStyle w:val="Footer"/>
      <w:jc w:val="center"/>
    </w:pPr>
    <w:r>
      <w:fldChar w:fldCharType="begin"/>
    </w:r>
    <w:r>
      <w:instrText xml:space="preserve"> PAGE   \* MERGEFORMAT </w:instrText>
    </w:r>
    <w:r>
      <w:fldChar w:fldCharType="separate"/>
    </w:r>
    <w:r w:rsidR="007B2790">
      <w:rPr>
        <w:noProof/>
      </w:rPr>
      <w:t>1</w:t>
    </w:r>
    <w:r>
      <w:rPr>
        <w:noProof/>
      </w:rPr>
      <w:fldChar w:fldCharType="end"/>
    </w:r>
  </w:p>
  <w:p w:rsidR="001D05E0" w:rsidRDefault="001D05E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75" w:rsidRDefault="002B1475">
    <w:pPr>
      <w:pStyle w:val="Footer"/>
      <w:jc w:val="center"/>
    </w:pPr>
    <w:r>
      <w:fldChar w:fldCharType="begin"/>
    </w:r>
    <w:r>
      <w:instrText xml:space="preserve"> PAGE   \* MERGEFORMAT </w:instrText>
    </w:r>
    <w:r>
      <w:fldChar w:fldCharType="separate"/>
    </w:r>
    <w:r w:rsidR="000B0881">
      <w:rPr>
        <w:noProof/>
      </w:rPr>
      <w:t>1</w:t>
    </w:r>
    <w:r>
      <w:rPr>
        <w:noProof/>
      </w:rPr>
      <w:fldChar w:fldCharType="end"/>
    </w:r>
  </w:p>
  <w:p w:rsidR="002B1475" w:rsidRDefault="002B1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FE5" w:rsidRDefault="00951FE5">
      <w:r>
        <w:separator/>
      </w:r>
    </w:p>
  </w:footnote>
  <w:footnote w:type="continuationSeparator" w:id="0">
    <w:p w:rsidR="00951FE5" w:rsidRDefault="00951FE5">
      <w:r>
        <w:continuationSeparator/>
      </w:r>
    </w:p>
  </w:footnote>
  <w:footnote w:id="1">
    <w:p w:rsidR="00004AFE" w:rsidRPr="00071BC1" w:rsidRDefault="00004AFE" w:rsidP="00071BC1">
      <w:pPr>
        <w:pStyle w:val="FootnoteText"/>
        <w:spacing w:after="120"/>
      </w:pPr>
      <w:r w:rsidRPr="00071BC1">
        <w:rPr>
          <w:rStyle w:val="FootnoteReference"/>
        </w:rPr>
        <w:footnoteRef/>
      </w:r>
      <w:r w:rsidRPr="00071BC1">
        <w:t xml:space="preserve"> R.C. 4928.143(F).</w:t>
      </w:r>
    </w:p>
  </w:footnote>
  <w:footnote w:id="2">
    <w:p w:rsidR="003E582A" w:rsidRPr="00071BC1" w:rsidRDefault="003E582A" w:rsidP="00071BC1">
      <w:pPr>
        <w:pStyle w:val="FootnoteText"/>
        <w:spacing w:after="120"/>
      </w:pPr>
      <w:r w:rsidRPr="00071BC1">
        <w:rPr>
          <w:rStyle w:val="FootnoteReference"/>
        </w:rPr>
        <w:footnoteRef/>
      </w:r>
      <w:r w:rsidRPr="00071BC1">
        <w:t xml:space="preserve"> </w:t>
      </w:r>
      <w:r w:rsidRPr="00071BC1">
        <w:rPr>
          <w:i/>
        </w:rPr>
        <w:t>See</w:t>
      </w:r>
      <w:r w:rsidRPr="00071BC1">
        <w:t xml:space="preserve"> R.C. 4928.143(F).</w:t>
      </w:r>
    </w:p>
  </w:footnote>
  <w:footnote w:id="3">
    <w:p w:rsidR="003E582A" w:rsidRPr="00071BC1" w:rsidRDefault="003E582A" w:rsidP="00071BC1">
      <w:pPr>
        <w:pStyle w:val="FootnoteText"/>
        <w:spacing w:after="120"/>
      </w:pPr>
      <w:r w:rsidRPr="00071BC1">
        <w:rPr>
          <w:rStyle w:val="FootnoteReference"/>
        </w:rPr>
        <w:footnoteRef/>
      </w:r>
      <w:r w:rsidRPr="00071BC1">
        <w:t xml:space="preserve"> </w:t>
      </w:r>
      <w:r w:rsidRPr="00071BC1">
        <w:rPr>
          <w:i/>
        </w:rPr>
        <w:t>See id.</w:t>
      </w:r>
    </w:p>
  </w:footnote>
  <w:footnote w:id="4">
    <w:p w:rsidR="003E582A" w:rsidRPr="00071BC1" w:rsidRDefault="003E582A" w:rsidP="00071BC1">
      <w:pPr>
        <w:pStyle w:val="FootnoteText"/>
        <w:spacing w:after="120"/>
      </w:pPr>
      <w:r w:rsidRPr="00071BC1">
        <w:rPr>
          <w:rStyle w:val="FootnoteReference"/>
        </w:rPr>
        <w:footnoteRef/>
      </w:r>
      <w:r w:rsidRPr="00071BC1">
        <w:t xml:space="preserve"> </w:t>
      </w:r>
      <w:r w:rsidRPr="00071BC1">
        <w:rPr>
          <w:i/>
        </w:rPr>
        <w:t>See id.</w:t>
      </w:r>
    </w:p>
  </w:footnote>
  <w:footnote w:id="5">
    <w:p w:rsidR="003E582A" w:rsidRPr="00071BC1" w:rsidRDefault="003E582A" w:rsidP="00071BC1">
      <w:pPr>
        <w:pStyle w:val="FootnoteText"/>
        <w:spacing w:after="120"/>
      </w:pPr>
      <w:r w:rsidRPr="00071BC1">
        <w:rPr>
          <w:rStyle w:val="FootnoteReference"/>
        </w:rPr>
        <w:footnoteRef/>
      </w:r>
      <w:r w:rsidRPr="00071BC1">
        <w:t xml:space="preserve"> </w:t>
      </w:r>
      <w:r w:rsidRPr="00071BC1">
        <w:rPr>
          <w:i/>
        </w:rPr>
        <w:t>See</w:t>
      </w:r>
      <w:r w:rsidRPr="00071BC1">
        <w:t xml:space="preserve"> </w:t>
      </w:r>
      <w:r w:rsidRPr="00071BC1">
        <w:rPr>
          <w:i/>
        </w:rPr>
        <w:t>In the Matter of the Application of Columbus Southern Power Company and Ohio Power Company for Administration of the Significantly Excessive Earnings Test under Section 4928.143(F), Revised Code, and Rule 4901:1-35-10, Ohio Administrative Code</w:t>
      </w:r>
      <w:r w:rsidRPr="00071BC1">
        <w:t>, Case No. 10-1261-EL-UNC, generally.</w:t>
      </w:r>
    </w:p>
  </w:footnote>
  <w:footnote w:id="6">
    <w:p w:rsidR="003E582A" w:rsidRPr="00071BC1" w:rsidRDefault="003E582A" w:rsidP="00071BC1">
      <w:pPr>
        <w:pStyle w:val="FootnoteText"/>
        <w:spacing w:after="120"/>
      </w:pPr>
      <w:r w:rsidRPr="00071BC1">
        <w:rPr>
          <w:rStyle w:val="FootnoteReference"/>
        </w:rPr>
        <w:footnoteRef/>
      </w:r>
      <w:r w:rsidRPr="00071BC1">
        <w:t xml:space="preserve"> </w:t>
      </w:r>
      <w:r w:rsidRPr="00071BC1">
        <w:rPr>
          <w:i/>
        </w:rPr>
        <w:t>See id</w:t>
      </w:r>
      <w:r w:rsidRPr="00071BC1">
        <w:t>. at 35.</w:t>
      </w:r>
    </w:p>
  </w:footnote>
  <w:footnote w:id="7">
    <w:p w:rsidR="00E8137F" w:rsidRPr="00071BC1" w:rsidRDefault="00E8137F" w:rsidP="00071BC1">
      <w:pPr>
        <w:pStyle w:val="FootnoteText"/>
        <w:spacing w:after="120"/>
      </w:pPr>
      <w:r w:rsidRPr="00071BC1">
        <w:rPr>
          <w:rStyle w:val="FootnoteReference"/>
        </w:rPr>
        <w:footnoteRef/>
      </w:r>
      <w:r w:rsidRPr="00071BC1">
        <w:t xml:space="preserve"> Rebuttal Testimony of Joseph Hamrock (October 26, 2010) at 7; PUCO Case No. 10-1261-EL-UNC.</w:t>
      </w:r>
    </w:p>
  </w:footnote>
  <w:footnote w:id="8">
    <w:p w:rsidR="00E8137F" w:rsidRPr="00071BC1" w:rsidRDefault="00E8137F" w:rsidP="00071BC1">
      <w:pPr>
        <w:pStyle w:val="FootnoteText"/>
        <w:spacing w:after="120"/>
      </w:pPr>
      <w:r w:rsidRPr="00071BC1">
        <w:rPr>
          <w:rStyle w:val="FootnoteReference"/>
        </w:rPr>
        <w:footnoteRef/>
      </w:r>
      <w:r w:rsidRPr="00071BC1">
        <w:t xml:space="preserve"> </w:t>
      </w:r>
      <w:r w:rsidR="00986D52" w:rsidRPr="00071BC1">
        <w:rPr>
          <w:i/>
        </w:rPr>
        <w:t>In the Matter of the Application of Columbus Southern Power Company and Ohio Power Company for Administration of the Significantly Excessive Earnings Test under Section 4928.143(F), Revised Code, and Rule 4901:1-35-10, Ohio Administrative Code</w:t>
      </w:r>
      <w:r w:rsidR="00986D52" w:rsidRPr="00071BC1">
        <w:t>, Case No 10-1261-EL-UNC, Opinion and Order at 26 (January 11, 2011).</w:t>
      </w:r>
    </w:p>
  </w:footnote>
  <w:footnote w:id="9">
    <w:p w:rsidR="00087A7D" w:rsidRPr="00071BC1" w:rsidRDefault="00087A7D" w:rsidP="00071BC1">
      <w:pPr>
        <w:pStyle w:val="FootnoteText"/>
        <w:spacing w:after="120"/>
      </w:pPr>
      <w:r w:rsidRPr="00071BC1">
        <w:rPr>
          <w:rStyle w:val="FootnoteReference"/>
        </w:rPr>
        <w:footnoteRef/>
      </w:r>
      <w:r w:rsidRPr="00071BC1">
        <w:t xml:space="preserve"> See, for example, Case No. 10-1261-EL-UNC, Opinion and Order at 26 (January 11, 2011); Case No. 10-501-EL-FOR, Opinion and Order at 28 (January 9, 2013); and Case No.11-4571-EL-UNC, et al., Opinion and Order at 18-19 (October 23, 2013).</w:t>
      </w:r>
    </w:p>
  </w:footnote>
  <w:footnote w:id="10">
    <w:p w:rsidR="00986D52" w:rsidRPr="00071BC1" w:rsidRDefault="00986D52" w:rsidP="00071BC1">
      <w:pPr>
        <w:pStyle w:val="FootnoteText"/>
        <w:spacing w:after="120"/>
      </w:pPr>
      <w:r w:rsidRPr="00071BC1">
        <w:rPr>
          <w:rStyle w:val="FootnoteReference"/>
        </w:rPr>
        <w:footnoteRef/>
      </w:r>
      <w:r w:rsidRPr="00071BC1">
        <w:t xml:space="preserve"> Rebuttal Testimony of Joseph Hamrock (October 26, 2010) at 7; PUCO Case No. 10-1261-EL-UNC.</w:t>
      </w:r>
    </w:p>
  </w:footnote>
  <w:footnote w:id="11">
    <w:p w:rsidR="00A17192" w:rsidRPr="00071BC1" w:rsidRDefault="00A17192" w:rsidP="00071BC1">
      <w:pPr>
        <w:pStyle w:val="FootnoteText"/>
        <w:spacing w:after="120"/>
      </w:pPr>
      <w:r w:rsidRPr="00071BC1">
        <w:rPr>
          <w:rStyle w:val="FootnoteReference"/>
        </w:rPr>
        <w:footnoteRef/>
      </w:r>
      <w:r w:rsidRPr="00071BC1">
        <w:t xml:space="preserve"> October 23, 2013 Order at 27.</w:t>
      </w:r>
    </w:p>
  </w:footnote>
  <w:footnote w:id="12">
    <w:p w:rsidR="00012DE8" w:rsidRPr="00071BC1" w:rsidRDefault="00012DE8" w:rsidP="00071BC1">
      <w:pPr>
        <w:pStyle w:val="FootnoteText"/>
        <w:spacing w:after="120"/>
      </w:pPr>
      <w:r w:rsidRPr="00071BC1">
        <w:rPr>
          <w:rStyle w:val="FootnoteReference"/>
        </w:rPr>
        <w:footnoteRef/>
      </w:r>
      <w:r w:rsidRPr="00071BC1">
        <w:t xml:space="preserve"> R.C. 4903.10.</w:t>
      </w:r>
    </w:p>
  </w:footnote>
  <w:footnote w:id="13">
    <w:p w:rsidR="00012DE8" w:rsidRPr="00071BC1" w:rsidRDefault="00012DE8" w:rsidP="00071BC1">
      <w:pPr>
        <w:pStyle w:val="FootnoteText"/>
        <w:spacing w:after="120"/>
      </w:pPr>
      <w:r w:rsidRPr="00071BC1">
        <w:rPr>
          <w:rStyle w:val="FootnoteReference"/>
        </w:rPr>
        <w:footnoteRef/>
      </w:r>
      <w:r w:rsidRPr="00071BC1">
        <w:t xml:space="preserve"> R.C. </w:t>
      </w:r>
      <w:r w:rsidRPr="00071BC1">
        <w:rPr>
          <w:iCs/>
        </w:rPr>
        <w:t>4903.10(B).</w:t>
      </w:r>
    </w:p>
  </w:footnote>
  <w:footnote w:id="14">
    <w:p w:rsidR="00012DE8" w:rsidRPr="00071BC1" w:rsidRDefault="00012DE8" w:rsidP="00071BC1">
      <w:pPr>
        <w:pStyle w:val="FootnoteText"/>
        <w:spacing w:after="120"/>
      </w:pPr>
      <w:r w:rsidRPr="00071BC1">
        <w:rPr>
          <w:rStyle w:val="FootnoteReference"/>
        </w:rPr>
        <w:footnoteRef/>
      </w:r>
      <w:r w:rsidRPr="00071BC1">
        <w:t xml:space="preserve"> </w:t>
      </w:r>
      <w:r w:rsidRPr="00071BC1">
        <w:rPr>
          <w:i/>
          <w:iCs/>
        </w:rPr>
        <w:t>Id.</w:t>
      </w:r>
    </w:p>
  </w:footnote>
  <w:footnote w:id="15">
    <w:p w:rsidR="00012DE8" w:rsidRPr="00071BC1" w:rsidRDefault="00012DE8" w:rsidP="00071BC1">
      <w:pPr>
        <w:pStyle w:val="FootnoteText"/>
        <w:spacing w:after="120"/>
      </w:pPr>
      <w:r w:rsidRPr="00071BC1">
        <w:rPr>
          <w:rStyle w:val="FootnoteReference"/>
        </w:rPr>
        <w:footnoteRef/>
      </w:r>
      <w:r w:rsidRPr="00071BC1">
        <w:t xml:space="preserve"> </w:t>
      </w:r>
      <w:r w:rsidRPr="00071BC1">
        <w:rPr>
          <w:i/>
          <w:iCs/>
        </w:rPr>
        <w:t>Id.</w:t>
      </w:r>
    </w:p>
  </w:footnote>
  <w:footnote w:id="16">
    <w:p w:rsidR="00012DE8" w:rsidRPr="00071BC1" w:rsidRDefault="00012DE8" w:rsidP="00071BC1">
      <w:pPr>
        <w:pStyle w:val="FootnoteText"/>
        <w:spacing w:after="120"/>
      </w:pPr>
      <w:r w:rsidRPr="00071BC1">
        <w:rPr>
          <w:rStyle w:val="FootnoteReference"/>
        </w:rPr>
        <w:footnoteRef/>
      </w:r>
      <w:r w:rsidRPr="00071BC1">
        <w:t xml:space="preserve"> </w:t>
      </w:r>
      <w:r w:rsidRPr="00071BC1">
        <w:rPr>
          <w:i/>
        </w:rPr>
        <w:t>See</w:t>
      </w:r>
      <w:r w:rsidRPr="00071BC1">
        <w:t xml:space="preserve"> Ohio Adm. Code 4901-1-35.</w:t>
      </w:r>
    </w:p>
  </w:footnote>
  <w:footnote w:id="17">
    <w:p w:rsidR="00CB489F" w:rsidRPr="00071BC1" w:rsidRDefault="00CB489F" w:rsidP="00071BC1">
      <w:pPr>
        <w:pStyle w:val="FootnoteText"/>
        <w:spacing w:after="120"/>
      </w:pPr>
      <w:r w:rsidRPr="00071BC1">
        <w:rPr>
          <w:rStyle w:val="FootnoteReference"/>
        </w:rPr>
        <w:footnoteRef/>
      </w:r>
      <w:r w:rsidRPr="00071BC1">
        <w:t xml:space="preserve"> R.C. 4928.143(F).</w:t>
      </w:r>
    </w:p>
  </w:footnote>
  <w:footnote w:id="18">
    <w:p w:rsidR="00CB489F" w:rsidRPr="00071BC1" w:rsidRDefault="00CB489F" w:rsidP="00071BC1">
      <w:pPr>
        <w:pStyle w:val="FootnoteText"/>
        <w:spacing w:after="120"/>
      </w:pPr>
      <w:r w:rsidRPr="00071BC1">
        <w:rPr>
          <w:rStyle w:val="FootnoteReference"/>
        </w:rPr>
        <w:footnoteRef/>
      </w:r>
      <w:r w:rsidRPr="00071BC1">
        <w:t xml:space="preserve"> </w:t>
      </w:r>
      <w:r w:rsidRPr="00071BC1">
        <w:rPr>
          <w:i/>
        </w:rPr>
        <w:t>In the Matter of the Application of Columbus Southern Power Company and Ohio Power Company for Administration of the Significantly Excessive Earnings Test under Section 4928.143(F), Revised Code, and Rule 4901:1-35-10, Ohio Administrative Code</w:t>
      </w:r>
      <w:r w:rsidRPr="00071BC1">
        <w:t>, Case No 10-1261-EL-UNC, Rebuttal Testimony of Joseph Hamrock (October 26, 2010) at 7; Opinion and Order at 26 (January 11, 2011).</w:t>
      </w:r>
    </w:p>
  </w:footnote>
  <w:footnote w:id="19">
    <w:p w:rsidR="00942D8A" w:rsidRPr="00071BC1" w:rsidRDefault="00942D8A" w:rsidP="00071BC1">
      <w:pPr>
        <w:pStyle w:val="FootnoteText"/>
        <w:spacing w:after="120"/>
      </w:pPr>
      <w:r w:rsidRPr="00071BC1">
        <w:rPr>
          <w:rStyle w:val="FootnoteReference"/>
        </w:rPr>
        <w:footnoteRef/>
      </w:r>
      <w:r w:rsidRPr="00071BC1">
        <w:t xml:space="preserve"> Post-Hearing Reply Brief by OCC, Appalachian Peace and Justice Network and the Ohio Energy Group (November 30, 2010) at 32, Case No 10-1261-EL-UN</w:t>
      </w:r>
      <w:r w:rsidR="007327AF">
        <w:t>C</w:t>
      </w:r>
      <w:r w:rsidRPr="00071BC1">
        <w:t>.</w:t>
      </w:r>
    </w:p>
  </w:footnote>
  <w:footnote w:id="20">
    <w:p w:rsidR="00CB489F" w:rsidRPr="00071BC1" w:rsidRDefault="00CB489F" w:rsidP="00071BC1">
      <w:pPr>
        <w:pStyle w:val="FootnoteText"/>
        <w:spacing w:after="120"/>
      </w:pPr>
      <w:r w:rsidRPr="00071BC1">
        <w:rPr>
          <w:rStyle w:val="FootnoteReference"/>
        </w:rPr>
        <w:footnoteRef/>
      </w:r>
      <w:r w:rsidRPr="00071BC1">
        <w:t xml:space="preserve"> </w:t>
      </w:r>
      <w:r w:rsidRPr="00071BC1">
        <w:rPr>
          <w:i/>
        </w:rPr>
        <w:t>In the Matter of the Application of Columbus Southern Power Company and Ohio Power Company for Administration of the Significantly Excessive Earnings Test under Section 4928.143(F), Revised Code, and Rule 4901:1-35-10, Ohio Administrative Code</w:t>
      </w:r>
      <w:r w:rsidRPr="00071BC1">
        <w:t>, Case No 10-1261-EL-UNC, Opinion and Order at 26 (January 11, 2011).</w:t>
      </w:r>
    </w:p>
  </w:footnote>
  <w:footnote w:id="21">
    <w:p w:rsidR="00CB489F" w:rsidRPr="00071BC1" w:rsidRDefault="00CB489F" w:rsidP="00071BC1">
      <w:pPr>
        <w:pStyle w:val="FootnoteText"/>
        <w:spacing w:after="120"/>
      </w:pPr>
      <w:r w:rsidRPr="00071BC1">
        <w:rPr>
          <w:rStyle w:val="FootnoteReference"/>
        </w:rPr>
        <w:footnoteRef/>
      </w:r>
      <w:r w:rsidRPr="00071BC1">
        <w:t xml:space="preserve"> </w:t>
      </w:r>
      <w:r w:rsidRPr="00071BC1">
        <w:rPr>
          <w:i/>
        </w:rPr>
        <w:t>Id.</w:t>
      </w:r>
    </w:p>
  </w:footnote>
  <w:footnote w:id="22">
    <w:p w:rsidR="00CB489F" w:rsidRPr="00071BC1" w:rsidRDefault="00CB489F" w:rsidP="00071BC1">
      <w:pPr>
        <w:pStyle w:val="FootnoteText"/>
        <w:spacing w:after="120"/>
      </w:pPr>
      <w:r w:rsidRPr="00071BC1">
        <w:rPr>
          <w:rStyle w:val="FootnoteReference"/>
        </w:rPr>
        <w:footnoteRef/>
      </w:r>
      <w:r w:rsidRPr="00071BC1">
        <w:t xml:space="preserve"> </w:t>
      </w:r>
      <w:r w:rsidRPr="00071BC1">
        <w:rPr>
          <w:i/>
        </w:rPr>
        <w:t>In the Matter of the 2010 Long Term Forecast Report of the Ohio Power Company and Related Matters</w:t>
      </w:r>
      <w:r w:rsidRPr="00071BC1">
        <w:t>, Case No. 10-501-EL-FOR, Opinion and Order at 28 (January 9, 2013).</w:t>
      </w:r>
    </w:p>
  </w:footnote>
  <w:footnote w:id="23">
    <w:p w:rsidR="00CB489F" w:rsidRPr="00071BC1" w:rsidRDefault="00CB489F" w:rsidP="00071BC1">
      <w:pPr>
        <w:pStyle w:val="FootnoteText"/>
        <w:spacing w:after="120"/>
      </w:pPr>
      <w:r w:rsidRPr="00071BC1">
        <w:rPr>
          <w:rStyle w:val="FootnoteReference"/>
        </w:rPr>
        <w:footnoteRef/>
      </w:r>
      <w:r w:rsidRPr="00071BC1">
        <w:t xml:space="preserve"> </w:t>
      </w:r>
      <w:r w:rsidRPr="00071BC1">
        <w:rPr>
          <w:i/>
        </w:rPr>
        <w:t>Id.</w:t>
      </w:r>
      <w:r w:rsidRPr="00071BC1">
        <w:t xml:space="preserve"> (Emphasis added.)  </w:t>
      </w:r>
    </w:p>
  </w:footnote>
  <w:footnote w:id="24">
    <w:p w:rsidR="00CB489F" w:rsidRPr="00071BC1" w:rsidRDefault="00CB489F" w:rsidP="00071BC1">
      <w:pPr>
        <w:pStyle w:val="FootnoteText"/>
        <w:spacing w:after="120"/>
      </w:pPr>
      <w:r w:rsidRPr="00071BC1">
        <w:rPr>
          <w:rStyle w:val="FootnoteReference"/>
        </w:rPr>
        <w:footnoteRef/>
      </w:r>
      <w:r w:rsidRPr="00071BC1">
        <w:t xml:space="preserve"> </w:t>
      </w:r>
      <w:r w:rsidRPr="00071BC1">
        <w:rPr>
          <w:i/>
        </w:rPr>
        <w:t>Id.</w:t>
      </w:r>
      <w:r w:rsidRPr="00071BC1">
        <w:t xml:space="preserve"> </w:t>
      </w:r>
    </w:p>
  </w:footnote>
  <w:footnote w:id="25">
    <w:p w:rsidR="00E84127" w:rsidRPr="00071BC1" w:rsidRDefault="00E84127" w:rsidP="00071BC1">
      <w:pPr>
        <w:pStyle w:val="FootnoteText"/>
        <w:spacing w:after="120"/>
      </w:pPr>
      <w:r w:rsidRPr="00071BC1">
        <w:rPr>
          <w:rStyle w:val="FootnoteReference"/>
        </w:rPr>
        <w:footnoteRef/>
      </w:r>
      <w:r w:rsidRPr="00071BC1">
        <w:t xml:space="preserve"> </w:t>
      </w:r>
      <w:r w:rsidRPr="00071BC1">
        <w:rPr>
          <w:i/>
        </w:rPr>
        <w:t>Id.</w:t>
      </w:r>
      <w:r w:rsidRPr="00071BC1">
        <w:t xml:space="preserve"> at 25 and 27.</w:t>
      </w:r>
    </w:p>
  </w:footnote>
  <w:footnote w:id="26">
    <w:p w:rsidR="00CB489F" w:rsidRPr="00071BC1" w:rsidRDefault="00CB489F" w:rsidP="00071BC1">
      <w:pPr>
        <w:pStyle w:val="FootnoteText"/>
        <w:spacing w:after="120"/>
      </w:pPr>
      <w:r w:rsidRPr="00071BC1">
        <w:rPr>
          <w:rStyle w:val="FootnoteReference"/>
        </w:rPr>
        <w:footnoteRef/>
      </w:r>
      <w:r w:rsidRPr="00071BC1">
        <w:t xml:space="preserve"> </w:t>
      </w:r>
      <w:r w:rsidRPr="00071BC1">
        <w:rPr>
          <w:i/>
        </w:rPr>
        <w:t>Id.</w:t>
      </w:r>
      <w:r w:rsidR="00E84127" w:rsidRPr="00071BC1">
        <w:t>at 28.</w:t>
      </w:r>
    </w:p>
  </w:footnote>
  <w:footnote w:id="27">
    <w:p w:rsidR="00CB489F" w:rsidRPr="00071BC1" w:rsidRDefault="00CB489F" w:rsidP="00071BC1">
      <w:pPr>
        <w:pStyle w:val="FootnoteText"/>
        <w:spacing w:after="120"/>
      </w:pPr>
      <w:r w:rsidRPr="00071BC1">
        <w:rPr>
          <w:rStyle w:val="FootnoteReference"/>
        </w:rPr>
        <w:footnoteRef/>
      </w:r>
      <w:r w:rsidRPr="00071BC1">
        <w:t xml:space="preserve"> In PUCO Case No. 11-346-EL-SSO, AEP Ohio proposed a storm damage recovery mechanism be created to recover any incremental expenses incurred due to major storm events.</w:t>
      </w:r>
    </w:p>
  </w:footnote>
  <w:footnote w:id="28">
    <w:p w:rsidR="00CB489F" w:rsidRPr="00071BC1" w:rsidRDefault="00CB489F" w:rsidP="00071BC1">
      <w:pPr>
        <w:pStyle w:val="FootnoteText"/>
        <w:spacing w:after="120"/>
      </w:pPr>
      <w:r w:rsidRPr="00071BC1">
        <w:rPr>
          <w:rStyle w:val="FootnoteReference"/>
        </w:rPr>
        <w:footnoteRef/>
      </w:r>
      <w:r w:rsidRPr="00071BC1">
        <w:t xml:space="preserve"> PUCO Case No. 13-1939-EL-RDR , PUCO Staff Comments at 8.</w:t>
      </w:r>
    </w:p>
  </w:footnote>
  <w:footnote w:id="29">
    <w:p w:rsidR="00CB489F" w:rsidRPr="00071BC1" w:rsidRDefault="00CB489F" w:rsidP="00071BC1">
      <w:pPr>
        <w:pStyle w:val="FootnoteText"/>
        <w:spacing w:after="120"/>
      </w:pPr>
      <w:r w:rsidRPr="00071BC1">
        <w:rPr>
          <w:rStyle w:val="FootnoteReference"/>
        </w:rPr>
        <w:footnoteRef/>
      </w:r>
      <w:r w:rsidRPr="00071BC1">
        <w:t xml:space="preserve"> Application (September 13, 2013) at 4; PUCO Case No. 13-1939-EL-RDR.</w:t>
      </w:r>
    </w:p>
  </w:footnote>
  <w:footnote w:id="30">
    <w:p w:rsidR="004D75F5" w:rsidRPr="00071BC1" w:rsidRDefault="004D75F5" w:rsidP="00071BC1">
      <w:pPr>
        <w:pStyle w:val="FootnoteText"/>
        <w:spacing w:after="120"/>
      </w:pPr>
      <w:r w:rsidRPr="00071BC1">
        <w:rPr>
          <w:rStyle w:val="FootnoteReference"/>
        </w:rPr>
        <w:footnoteRef/>
      </w:r>
      <w:r w:rsidRPr="00071BC1">
        <w:t xml:space="preserve"> PUCO Staff Comments (November 1, 20130 at 8; OCC Reply Comments at 10 (November 18, 2013) at 4; PUCO Case No. 13-1939-EL-RDR.</w:t>
      </w:r>
    </w:p>
  </w:footnote>
  <w:footnote w:id="31">
    <w:p w:rsidR="00CB489F" w:rsidRPr="00071BC1" w:rsidRDefault="00CB489F" w:rsidP="00071BC1">
      <w:pPr>
        <w:pStyle w:val="FootnoteText"/>
        <w:spacing w:after="120"/>
      </w:pPr>
      <w:r w:rsidRPr="00071BC1">
        <w:rPr>
          <w:rStyle w:val="FootnoteReference"/>
        </w:rPr>
        <w:footnoteRef/>
      </w:r>
      <w:r w:rsidRPr="00071BC1">
        <w:t xml:space="preserve"> Ohio Power Company Reply Comments (November 18, 2013) at 4; PUCO Case No. 13-1939-EL-RDR.</w:t>
      </w:r>
    </w:p>
  </w:footnote>
  <w:footnote w:id="32">
    <w:p w:rsidR="001D05E0" w:rsidRPr="00071BC1" w:rsidRDefault="001D05E0" w:rsidP="00071BC1">
      <w:pPr>
        <w:pStyle w:val="FootnoteText"/>
        <w:spacing w:after="120"/>
      </w:pPr>
      <w:r w:rsidRPr="00071BC1">
        <w:rPr>
          <w:rStyle w:val="FootnoteReference"/>
        </w:rPr>
        <w:footnoteRef/>
      </w:r>
      <w:r w:rsidRPr="00071BC1">
        <w:t xml:space="preserve"> January 1</w:t>
      </w:r>
      <w:r w:rsidR="00904EDB" w:rsidRPr="00071BC1">
        <w:t>1, 2011 Opinion and Order at 33, PUCO Case No 10-1261-EL-UNC.</w:t>
      </w:r>
    </w:p>
  </w:footnote>
  <w:footnote w:id="33">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See</w:t>
      </w:r>
      <w:r w:rsidRPr="00071BC1">
        <w:t xml:space="preserve"> Exhibit JH-1 attached to Company Ex. 1.   </w:t>
      </w:r>
    </w:p>
  </w:footnote>
  <w:footnote w:id="34">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See id.</w:t>
      </w:r>
      <w:r w:rsidRPr="00071BC1">
        <w:t xml:space="preserve">   </w:t>
      </w:r>
    </w:p>
  </w:footnote>
  <w:footnote w:id="35">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See id.</w:t>
      </w:r>
      <w:r w:rsidRPr="00071BC1">
        <w:t xml:space="preserve">   </w:t>
      </w:r>
    </w:p>
  </w:footnote>
  <w:footnote w:id="36">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See</w:t>
      </w:r>
      <w:r w:rsidRPr="00071BC1">
        <w:t xml:space="preserve"> January 11, 2011</w:t>
      </w:r>
      <w:r w:rsidR="00904EDB" w:rsidRPr="00071BC1">
        <w:t xml:space="preserve"> Opinion and Order at 25 and 27, PUCO Case No 10-1261-EL-UNC.</w:t>
      </w:r>
    </w:p>
  </w:footnote>
  <w:footnote w:id="37">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See id</w:t>
      </w:r>
      <w:r w:rsidRPr="00071BC1">
        <w:t>. at 27.</w:t>
      </w:r>
    </w:p>
  </w:footnote>
  <w:footnote w:id="38">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See id.</w:t>
      </w:r>
      <w:r w:rsidRPr="00071BC1">
        <w:t xml:space="preserve"> at 25.</w:t>
      </w:r>
    </w:p>
  </w:footnote>
  <w:footnote w:id="39">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Id.</w:t>
      </w:r>
    </w:p>
  </w:footnote>
  <w:footnote w:id="40">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Id.</w:t>
      </w:r>
    </w:p>
  </w:footnote>
  <w:footnote w:id="41">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See id.</w:t>
      </w:r>
      <w:r w:rsidRPr="00071BC1">
        <w:t xml:space="preserve"> at 31 and Cross- Examination of Hamrock, Vol. I, pages 52-54.</w:t>
      </w:r>
    </w:p>
  </w:footnote>
  <w:footnote w:id="42">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See</w:t>
      </w:r>
      <w:r w:rsidRPr="00071BC1">
        <w:t xml:space="preserve"> Exhibit JH-1 attached to Company Ex. 1.   </w:t>
      </w:r>
    </w:p>
  </w:footnote>
  <w:footnote w:id="43">
    <w:p w:rsidR="001D05E0" w:rsidRPr="00071BC1" w:rsidRDefault="001D05E0" w:rsidP="00071BC1">
      <w:pPr>
        <w:pStyle w:val="FootnoteText"/>
        <w:spacing w:after="120"/>
      </w:pPr>
      <w:r w:rsidRPr="00071BC1">
        <w:rPr>
          <w:rStyle w:val="FootnoteReference"/>
        </w:rPr>
        <w:footnoteRef/>
      </w:r>
      <w:r w:rsidRPr="00071BC1">
        <w:t xml:space="preserve"> OCC notes that in the 2009 SEET Proceeding, CSP projected its 2011 construction expenditures at $186, 969 million. </w:t>
      </w:r>
      <w:r w:rsidRPr="00071BC1">
        <w:rPr>
          <w:i/>
        </w:rPr>
        <w:t xml:space="preserve"> See</w:t>
      </w:r>
      <w:r w:rsidRPr="00071BC1">
        <w:t xml:space="preserve"> January 11, 2011 Opinion and Order at p. 31.  In this proceeding CSP has reduced its projected construction expenditures for 2011 to $186, 912 million.  </w:t>
      </w:r>
      <w:r w:rsidRPr="00071BC1">
        <w:rPr>
          <w:i/>
        </w:rPr>
        <w:t>See</w:t>
      </w:r>
      <w:r w:rsidRPr="00071BC1">
        <w:t xml:space="preserve"> Exhibit JH-1 attached to Company Ex. 1.   </w:t>
      </w:r>
    </w:p>
  </w:footnote>
  <w:footnote w:id="44">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See</w:t>
      </w:r>
      <w:r w:rsidRPr="00071BC1">
        <w:t xml:space="preserve"> January 11, 2011 Opinion and Order at 33.</w:t>
      </w:r>
    </w:p>
  </w:footnote>
  <w:footnote w:id="45">
    <w:p w:rsidR="001D05E0" w:rsidRPr="00071BC1" w:rsidRDefault="001D05E0" w:rsidP="00071BC1">
      <w:pPr>
        <w:pStyle w:val="FootnoteText"/>
        <w:spacing w:after="120"/>
      </w:pPr>
      <w:r w:rsidRPr="00071BC1">
        <w:rPr>
          <w:rStyle w:val="FootnoteReference"/>
        </w:rPr>
        <w:footnoteRef/>
      </w:r>
      <w:r w:rsidRPr="00071BC1">
        <w:t xml:space="preserve"> </w:t>
      </w:r>
      <w:r w:rsidRPr="00071BC1">
        <w:rPr>
          <w:i/>
        </w:rPr>
        <w:t>See id</w:t>
      </w:r>
      <w:r w:rsidRPr="00071BC1">
        <w:t>. at 27.</w:t>
      </w:r>
    </w:p>
  </w:footnote>
  <w:footnote w:id="46">
    <w:p w:rsidR="00F53C52" w:rsidRDefault="001D05E0" w:rsidP="00C37C4B">
      <w:pPr>
        <w:pStyle w:val="FootnoteText"/>
        <w:spacing w:after="120"/>
      </w:pPr>
      <w:r w:rsidRPr="00071BC1">
        <w:rPr>
          <w:rStyle w:val="FootnoteReference"/>
        </w:rPr>
        <w:footnoteRef/>
      </w:r>
      <w:r w:rsidRPr="00071BC1">
        <w:t xml:space="preserve"> </w:t>
      </w:r>
      <w:r w:rsidRPr="00071BC1">
        <w:rPr>
          <w:i/>
        </w:rPr>
        <w:t>See</w:t>
      </w:r>
      <w:r w:rsidRPr="00071BC1">
        <w:t xml:space="preserve"> Exhibit JH-1 attached to Company Ex. 1.  </w:t>
      </w:r>
    </w:p>
  </w:footnote>
  <w:footnote w:id="47">
    <w:p w:rsidR="00231EA2" w:rsidRDefault="00231EA2" w:rsidP="00C37C4B">
      <w:pPr>
        <w:pStyle w:val="FootnoteText"/>
        <w:spacing w:after="120"/>
      </w:pPr>
      <w:r>
        <w:rPr>
          <w:rStyle w:val="FootnoteReference"/>
        </w:rPr>
        <w:footnoteRef/>
      </w:r>
      <w:r>
        <w:t xml:space="preserve"> Case No. 11-4571-EL-UNC, et al., Opinion and Order at 27 (October 23, 2013).</w:t>
      </w:r>
    </w:p>
  </w:footnote>
  <w:footnote w:id="48">
    <w:p w:rsidR="00231EA2" w:rsidRDefault="00231EA2" w:rsidP="00C37C4B">
      <w:pPr>
        <w:pStyle w:val="FootnoteText"/>
        <w:spacing w:after="120"/>
      </w:pPr>
      <w:r>
        <w:rPr>
          <w:rStyle w:val="FootnoteReference"/>
        </w:rPr>
        <w:footnoteRef/>
      </w:r>
      <w:r>
        <w:t xml:space="preserve"> $11,118,213=$1,308,025,000* (17.90%-17.05%).</w:t>
      </w:r>
    </w:p>
  </w:footnote>
  <w:footnote w:id="49">
    <w:p w:rsidR="00231EA2" w:rsidRDefault="00231EA2" w:rsidP="00C37C4B">
      <w:pPr>
        <w:pStyle w:val="FootnoteText"/>
        <w:spacing w:after="120"/>
      </w:pPr>
      <w:r>
        <w:rPr>
          <w:rStyle w:val="FootnoteReference"/>
        </w:rPr>
        <w:footnoteRef/>
      </w:r>
      <w:r>
        <w:t xml:space="preserve"> </w:t>
      </w:r>
      <w:r w:rsidR="00294952">
        <w:t>$17,381,102=$11,118,213* 1</w:t>
      </w:r>
      <w:r w:rsidR="00A83789">
        <w:t>.5633</w:t>
      </w:r>
      <w:r w:rsidR="0029495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81" w:rsidRDefault="000B08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81" w:rsidRDefault="000B08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81" w:rsidRDefault="000B08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E0" w:rsidRDefault="001D05E0">
    <w:pPr>
      <w:pStyle w:val="Header"/>
    </w:pPr>
  </w:p>
  <w:p w:rsidR="001D05E0" w:rsidRDefault="001D05E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E0" w:rsidRDefault="001D05E0">
    <w:pPr>
      <w:pStyle w:val="Header"/>
    </w:pPr>
  </w:p>
  <w:p w:rsidR="001D05E0" w:rsidRDefault="001D05E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E0" w:rsidRDefault="001D0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6ED6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52698C"/>
    <w:multiLevelType w:val="hybridMultilevel"/>
    <w:tmpl w:val="FCCA68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533FAC"/>
    <w:multiLevelType w:val="hybridMultilevel"/>
    <w:tmpl w:val="95AC8364"/>
    <w:lvl w:ilvl="0" w:tplc="22D00AD8">
      <w:start w:val="3"/>
      <w:numFmt w:val="upperLetter"/>
      <w:pStyle w:val="Heading2"/>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60B6AA5"/>
    <w:multiLevelType w:val="hybridMultilevel"/>
    <w:tmpl w:val="211E0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6F2F9A"/>
    <w:multiLevelType w:val="hybridMultilevel"/>
    <w:tmpl w:val="7A8AA7AC"/>
    <w:lvl w:ilvl="0" w:tplc="E34EAF52">
      <w:numFmt w:val="none"/>
      <w:lvlText w:val=""/>
      <w:lvlJc w:val="left"/>
      <w:pPr>
        <w:tabs>
          <w:tab w:val="num" w:pos="360"/>
        </w:tabs>
      </w:pPr>
    </w:lvl>
    <w:lvl w:ilvl="1" w:tplc="6A2A292E">
      <w:start w:val="1"/>
      <w:numFmt w:val="upperLetter"/>
      <w:lvlText w:val="%2."/>
      <w:lvlJc w:val="left"/>
      <w:pPr>
        <w:ind w:hanging="720"/>
      </w:pPr>
      <w:rPr>
        <w:rFonts w:ascii="Times New Roman" w:eastAsia="Times New Roman" w:hAnsi="Times New Roman" w:hint="default"/>
        <w:spacing w:val="-1"/>
        <w:sz w:val="24"/>
        <w:szCs w:val="24"/>
      </w:rPr>
    </w:lvl>
    <w:lvl w:ilvl="2" w:tplc="0CBAB704">
      <w:start w:val="1"/>
      <w:numFmt w:val="decimal"/>
      <w:lvlText w:val="%3."/>
      <w:lvlJc w:val="left"/>
      <w:pPr>
        <w:ind w:hanging="720"/>
      </w:pPr>
      <w:rPr>
        <w:rFonts w:ascii="Times New Roman" w:eastAsia="Times New Roman" w:hAnsi="Times New Roman" w:hint="default"/>
        <w:sz w:val="24"/>
        <w:szCs w:val="24"/>
      </w:rPr>
    </w:lvl>
    <w:lvl w:ilvl="3" w:tplc="A91C3AB2">
      <w:start w:val="1"/>
      <w:numFmt w:val="lowerLetter"/>
      <w:lvlText w:val="%4."/>
      <w:lvlJc w:val="left"/>
      <w:pPr>
        <w:ind w:hanging="720"/>
      </w:pPr>
      <w:rPr>
        <w:rFonts w:ascii="Times New Roman" w:eastAsia="Times New Roman" w:hAnsi="Times New Roman" w:hint="default"/>
        <w:spacing w:val="-1"/>
        <w:w w:val="99"/>
        <w:sz w:val="24"/>
        <w:szCs w:val="24"/>
      </w:rPr>
    </w:lvl>
    <w:lvl w:ilvl="4" w:tplc="15C2F952">
      <w:start w:val="1"/>
      <w:numFmt w:val="bullet"/>
      <w:lvlText w:val="•"/>
      <w:lvlJc w:val="left"/>
      <w:rPr>
        <w:rFonts w:hint="default"/>
      </w:rPr>
    </w:lvl>
    <w:lvl w:ilvl="5" w:tplc="4B9C2E7E">
      <w:start w:val="1"/>
      <w:numFmt w:val="bullet"/>
      <w:lvlText w:val="•"/>
      <w:lvlJc w:val="left"/>
      <w:rPr>
        <w:rFonts w:hint="default"/>
      </w:rPr>
    </w:lvl>
    <w:lvl w:ilvl="6" w:tplc="F98C0422">
      <w:start w:val="1"/>
      <w:numFmt w:val="bullet"/>
      <w:lvlText w:val="•"/>
      <w:lvlJc w:val="left"/>
      <w:rPr>
        <w:rFonts w:hint="default"/>
      </w:rPr>
    </w:lvl>
    <w:lvl w:ilvl="7" w:tplc="00400CAC">
      <w:start w:val="1"/>
      <w:numFmt w:val="bullet"/>
      <w:lvlText w:val="•"/>
      <w:lvlJc w:val="left"/>
      <w:rPr>
        <w:rFonts w:hint="default"/>
      </w:rPr>
    </w:lvl>
    <w:lvl w:ilvl="8" w:tplc="9724C13C">
      <w:start w:val="1"/>
      <w:numFmt w:val="bullet"/>
      <w:lvlText w:val="•"/>
      <w:lvlJc w:val="left"/>
      <w:rPr>
        <w:rFonts w:hint="default"/>
      </w:rPr>
    </w:lvl>
  </w:abstractNum>
  <w:abstractNum w:abstractNumId="5">
    <w:nsid w:val="380675E9"/>
    <w:multiLevelType w:val="hybridMultilevel"/>
    <w:tmpl w:val="75B643A2"/>
    <w:lvl w:ilvl="0" w:tplc="205CF5B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54FCE"/>
    <w:multiLevelType w:val="hybridMultilevel"/>
    <w:tmpl w:val="C576D4C6"/>
    <w:lvl w:ilvl="0" w:tplc="4E58E2FC">
      <w:start w:val="3"/>
      <w:numFmt w:val="upperRoman"/>
      <w:lvlText w:val="%1."/>
      <w:lvlJc w:val="left"/>
      <w:pPr>
        <w:tabs>
          <w:tab w:val="num" w:pos="1080"/>
        </w:tabs>
        <w:ind w:left="1080" w:hanging="720"/>
      </w:pPr>
      <w:rPr>
        <w:rFonts w:hint="default"/>
        <w:u w:val="none"/>
      </w:rPr>
    </w:lvl>
    <w:lvl w:ilvl="1" w:tplc="26DE91B6">
      <w:start w:val="1"/>
      <w:numFmt w:val="upperLetter"/>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164567"/>
    <w:multiLevelType w:val="hybridMultilevel"/>
    <w:tmpl w:val="924AB386"/>
    <w:lvl w:ilvl="0" w:tplc="6AF001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F8249F4"/>
    <w:multiLevelType w:val="hybridMultilevel"/>
    <w:tmpl w:val="2020BA1E"/>
    <w:lvl w:ilvl="0" w:tplc="D8FE0FE2">
      <w:start w:val="2"/>
      <w:numFmt w:val="upperLetter"/>
      <w:lvlText w:val="%1."/>
      <w:lvlJc w:val="left"/>
      <w:pPr>
        <w:tabs>
          <w:tab w:val="num" w:pos="1440"/>
        </w:tabs>
        <w:ind w:left="1440" w:hanging="720"/>
      </w:pPr>
      <w:rPr>
        <w:rFonts w:hint="default"/>
      </w:rPr>
    </w:lvl>
    <w:lvl w:ilvl="1" w:tplc="910AC3C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5D27B79"/>
    <w:multiLevelType w:val="hybridMultilevel"/>
    <w:tmpl w:val="72B87570"/>
    <w:lvl w:ilvl="0" w:tplc="CA0CB70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12B3D8D"/>
    <w:multiLevelType w:val="multilevel"/>
    <w:tmpl w:val="26A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4B41F5"/>
    <w:multiLevelType w:val="hybridMultilevel"/>
    <w:tmpl w:val="4E84B6CA"/>
    <w:lvl w:ilvl="0" w:tplc="F376BDDE">
      <w:start w:val="4"/>
      <w:numFmt w:val="upperLetter"/>
      <w:lvlText w:val="%1."/>
      <w:lvlJc w:val="left"/>
      <w:pPr>
        <w:tabs>
          <w:tab w:val="num" w:pos="1440"/>
        </w:tabs>
        <w:ind w:left="1440" w:hanging="720"/>
      </w:pPr>
      <w:rPr>
        <w:rFonts w:hint="default"/>
      </w:rPr>
    </w:lvl>
    <w:lvl w:ilvl="1" w:tplc="EA5A215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8B05554"/>
    <w:multiLevelType w:val="hybridMultilevel"/>
    <w:tmpl w:val="6C22C984"/>
    <w:lvl w:ilvl="0" w:tplc="85B2A286">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6"/>
  </w:num>
  <w:num w:numId="3">
    <w:abstractNumId w:val="9"/>
  </w:num>
  <w:num w:numId="4">
    <w:abstractNumId w:val="8"/>
  </w:num>
  <w:num w:numId="5">
    <w:abstractNumId w:val="1"/>
  </w:num>
  <w:num w:numId="6">
    <w:abstractNumId w:val="12"/>
  </w:num>
  <w:num w:numId="7">
    <w:abstractNumId w:val="3"/>
  </w:num>
  <w:num w:numId="8">
    <w:abstractNumId w:val="11"/>
  </w:num>
  <w:num w:numId="9">
    <w:abstractNumId w:val="4"/>
  </w:num>
  <w:num w:numId="10">
    <w:abstractNumId w:val="10"/>
  </w:num>
  <w:num w:numId="11">
    <w:abstractNumId w:val="5"/>
  </w:num>
  <w:num w:numId="12">
    <w:abstractNumId w:val="5"/>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 w:dllVersion="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24"/>
  <w:drawingGridVerticalSpacing w:val="65"/>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F35"/>
    <w:rsid w:val="00004AFE"/>
    <w:rsid w:val="00006B1C"/>
    <w:rsid w:val="00012DE8"/>
    <w:rsid w:val="000132A0"/>
    <w:rsid w:val="00071BC1"/>
    <w:rsid w:val="00087A7D"/>
    <w:rsid w:val="000A3738"/>
    <w:rsid w:val="000B0881"/>
    <w:rsid w:val="000C1B0A"/>
    <w:rsid w:val="000D5C86"/>
    <w:rsid w:val="00112C30"/>
    <w:rsid w:val="00113F58"/>
    <w:rsid w:val="00132783"/>
    <w:rsid w:val="00182064"/>
    <w:rsid w:val="001A1581"/>
    <w:rsid w:val="001A15F4"/>
    <w:rsid w:val="001A4319"/>
    <w:rsid w:val="001D05E0"/>
    <w:rsid w:val="001E6282"/>
    <w:rsid w:val="002172AA"/>
    <w:rsid w:val="00226E4A"/>
    <w:rsid w:val="00230013"/>
    <w:rsid w:val="00231EA2"/>
    <w:rsid w:val="00291467"/>
    <w:rsid w:val="00294952"/>
    <w:rsid w:val="002A1381"/>
    <w:rsid w:val="002B1475"/>
    <w:rsid w:val="002C6F5E"/>
    <w:rsid w:val="002D2621"/>
    <w:rsid w:val="002E7861"/>
    <w:rsid w:val="00302DBA"/>
    <w:rsid w:val="003154F4"/>
    <w:rsid w:val="00335949"/>
    <w:rsid w:val="00340389"/>
    <w:rsid w:val="00391FFD"/>
    <w:rsid w:val="003C1C0A"/>
    <w:rsid w:val="003D105C"/>
    <w:rsid w:val="003E582A"/>
    <w:rsid w:val="003E7DE0"/>
    <w:rsid w:val="00427476"/>
    <w:rsid w:val="004541DE"/>
    <w:rsid w:val="00463DC9"/>
    <w:rsid w:val="004810E4"/>
    <w:rsid w:val="00496C30"/>
    <w:rsid w:val="004A19B8"/>
    <w:rsid w:val="004D75F5"/>
    <w:rsid w:val="004F6A0D"/>
    <w:rsid w:val="00505081"/>
    <w:rsid w:val="00537F46"/>
    <w:rsid w:val="00577991"/>
    <w:rsid w:val="00585690"/>
    <w:rsid w:val="00594D4D"/>
    <w:rsid w:val="005B6925"/>
    <w:rsid w:val="005E7CDE"/>
    <w:rsid w:val="005F4D2F"/>
    <w:rsid w:val="00610506"/>
    <w:rsid w:val="006446A3"/>
    <w:rsid w:val="00655CD7"/>
    <w:rsid w:val="006A11E9"/>
    <w:rsid w:val="006A7491"/>
    <w:rsid w:val="006E3D84"/>
    <w:rsid w:val="00704113"/>
    <w:rsid w:val="007327AF"/>
    <w:rsid w:val="007406A3"/>
    <w:rsid w:val="00755BEE"/>
    <w:rsid w:val="007762FD"/>
    <w:rsid w:val="00790DAD"/>
    <w:rsid w:val="007A6FDD"/>
    <w:rsid w:val="007B2790"/>
    <w:rsid w:val="007C220A"/>
    <w:rsid w:val="007D6236"/>
    <w:rsid w:val="008337D5"/>
    <w:rsid w:val="00834084"/>
    <w:rsid w:val="008362D6"/>
    <w:rsid w:val="00853224"/>
    <w:rsid w:val="00861C54"/>
    <w:rsid w:val="008A0E17"/>
    <w:rsid w:val="008C25A4"/>
    <w:rsid w:val="008C6F6B"/>
    <w:rsid w:val="008D2A2A"/>
    <w:rsid w:val="00903B92"/>
    <w:rsid w:val="00904EDB"/>
    <w:rsid w:val="009132E7"/>
    <w:rsid w:val="009178A7"/>
    <w:rsid w:val="00926AFA"/>
    <w:rsid w:val="00942D8A"/>
    <w:rsid w:val="00951DA7"/>
    <w:rsid w:val="00951FE5"/>
    <w:rsid w:val="00986D52"/>
    <w:rsid w:val="00990048"/>
    <w:rsid w:val="009A41E9"/>
    <w:rsid w:val="009A7653"/>
    <w:rsid w:val="009E33F3"/>
    <w:rsid w:val="00A14F07"/>
    <w:rsid w:val="00A161C9"/>
    <w:rsid w:val="00A17192"/>
    <w:rsid w:val="00A17846"/>
    <w:rsid w:val="00A83789"/>
    <w:rsid w:val="00A91FE4"/>
    <w:rsid w:val="00AA1B68"/>
    <w:rsid w:val="00AB3E65"/>
    <w:rsid w:val="00AC7D64"/>
    <w:rsid w:val="00AD737B"/>
    <w:rsid w:val="00AE09D6"/>
    <w:rsid w:val="00B12CF8"/>
    <w:rsid w:val="00B40937"/>
    <w:rsid w:val="00B82885"/>
    <w:rsid w:val="00B930A7"/>
    <w:rsid w:val="00B964C9"/>
    <w:rsid w:val="00BB0E34"/>
    <w:rsid w:val="00BC633D"/>
    <w:rsid w:val="00BF2D26"/>
    <w:rsid w:val="00C121D9"/>
    <w:rsid w:val="00C12735"/>
    <w:rsid w:val="00C37C4B"/>
    <w:rsid w:val="00C40245"/>
    <w:rsid w:val="00C447AA"/>
    <w:rsid w:val="00C54941"/>
    <w:rsid w:val="00C62826"/>
    <w:rsid w:val="00CA1619"/>
    <w:rsid w:val="00CB489F"/>
    <w:rsid w:val="00CD3F14"/>
    <w:rsid w:val="00CF2189"/>
    <w:rsid w:val="00CF6856"/>
    <w:rsid w:val="00D523AD"/>
    <w:rsid w:val="00DF3909"/>
    <w:rsid w:val="00E771D3"/>
    <w:rsid w:val="00E8137F"/>
    <w:rsid w:val="00E84127"/>
    <w:rsid w:val="00EB64D2"/>
    <w:rsid w:val="00EB6511"/>
    <w:rsid w:val="00EC3C87"/>
    <w:rsid w:val="00EC7B92"/>
    <w:rsid w:val="00ED27F5"/>
    <w:rsid w:val="00F16010"/>
    <w:rsid w:val="00F32383"/>
    <w:rsid w:val="00F44F35"/>
    <w:rsid w:val="00F53C52"/>
    <w:rsid w:val="00F85E27"/>
    <w:rsid w:val="00F97727"/>
    <w:rsid w:val="00FA6C70"/>
    <w:rsid w:val="00FA7307"/>
    <w:rsid w:val="00FD05D5"/>
    <w:rsid w:val="00FD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FFD"/>
    <w:rPr>
      <w:sz w:val="24"/>
    </w:rPr>
  </w:style>
  <w:style w:type="paragraph" w:styleId="Heading1">
    <w:name w:val="heading 1"/>
    <w:basedOn w:val="Normal"/>
    <w:next w:val="Normal"/>
    <w:autoRedefine/>
    <w:qFormat/>
    <w:rsid w:val="001A1581"/>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391FFD"/>
    <w:pPr>
      <w:keepNext/>
      <w:numPr>
        <w:numId w:val="13"/>
      </w:numPr>
      <w:spacing w:after="240"/>
      <w:ind w:left="1440" w:right="720" w:hanging="720"/>
      <w:outlineLvl w:val="1"/>
    </w:pPr>
    <w:rPr>
      <w:rFonts w:ascii="Times New Roman Bold" w:hAnsi="Times New Roman Bold"/>
      <w:b/>
    </w:rPr>
  </w:style>
  <w:style w:type="paragraph" w:styleId="Heading3">
    <w:name w:val="heading 3"/>
    <w:basedOn w:val="Normal"/>
    <w:next w:val="Normal"/>
    <w:autoRedefine/>
    <w:qFormat/>
    <w:rsid w:val="002B1475"/>
    <w:pPr>
      <w:keepNext/>
      <w:spacing w:after="240"/>
      <w:ind w:left="2160" w:right="720" w:hanging="720"/>
      <w:outlineLvl w:val="2"/>
    </w:pPr>
    <w:rPr>
      <w:rFonts w:ascii="Times New Roman Bold" w:hAnsi="Times New Roman Bold"/>
      <w:b/>
      <w:bC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Footnote Text Char,Footnote Text Char4 Char,Footnote Text Char Char4 Char,Footnote Text Char4 Char1 Char Char,Footnote Text Char Char4 Char1 Char Char,Footnote Text Char5 Char1 Char Char Char Char Char,Footnote Text Char2,Footnote Text Cha"/>
    <w:basedOn w:val="Normal"/>
    <w:link w:val="FootnoteTextChar1"/>
    <w:rPr>
      <w:sz w:val="20"/>
    </w:rPr>
  </w:style>
  <w:style w:type="character" w:styleId="FootnoteReference">
    <w:name w:val="footnote reference"/>
    <w:aliases w:val="o"/>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FootnoteTextChar1">
    <w:name w:val="Footnote Text Char1"/>
    <w:aliases w:val="Footnote Text Char Char,Footnote Text Char4 Char Char,Footnote Text Char Char4 Char Char,Footnote Text Char4 Char1 Char Char Char,Footnote Text Char Char4 Char1 Char Char Char,Footnote Text Char5 Char1 Char Char Char Char Char Char"/>
    <w:link w:val="FootnoteText"/>
    <w:locked/>
    <w:rPr>
      <w:lang w:val="en-US" w:eastAsia="en-US" w:bidi="ar-SA"/>
    </w:r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semiHidden/>
    <w:locked/>
    <w:rPr>
      <w:rFonts w:eastAsia="PMingLiU"/>
      <w:lang w:val="en-US" w:eastAsia="en-US" w:bidi="ar-SA"/>
    </w:rPr>
  </w:style>
  <w:style w:type="character" w:customStyle="1" w:styleId="StyleFootnoteReferenceoBlack">
    <w:name w:val="Style Footnote Referenceo + Black"/>
    <w:rPr>
      <w:rFonts w:ascii="Times New Roman Bold" w:hAnsi="Times New Roman Bold"/>
      <w:b/>
      <w:color w:val="auto"/>
      <w:sz w:val="24"/>
      <w:u w:val="none"/>
      <w:vertAlign w:val="superscript"/>
    </w:rPr>
  </w:style>
  <w:style w:type="paragraph" w:styleId="NormalWeb">
    <w:name w:val="Normal (Web)"/>
    <w:basedOn w:val="Normal"/>
    <w:pPr>
      <w:spacing w:before="100" w:beforeAutospacing="1" w:after="100" w:afterAutospacing="1"/>
    </w:pPr>
    <w:rPr>
      <w:szCs w:val="24"/>
    </w:rPr>
  </w:style>
  <w:style w:type="paragraph" w:styleId="TOC1">
    <w:name w:val="toc 1"/>
    <w:basedOn w:val="Normal"/>
    <w:next w:val="Normal"/>
    <w:autoRedefine/>
    <w:uiPriority w:val="39"/>
    <w:pPr>
      <w:tabs>
        <w:tab w:val="left" w:pos="720"/>
        <w:tab w:val="decimal" w:leader="dot" w:pos="8640"/>
      </w:tabs>
      <w:spacing w:after="240"/>
      <w:ind w:left="720" w:hanging="720"/>
    </w:pPr>
  </w:style>
  <w:style w:type="paragraph" w:styleId="TOC2">
    <w:name w:val="toc 2"/>
    <w:basedOn w:val="Normal"/>
    <w:next w:val="Normal"/>
    <w:autoRedefine/>
    <w:uiPriority w:val="39"/>
    <w:pPr>
      <w:tabs>
        <w:tab w:val="left" w:pos="720"/>
        <w:tab w:val="left" w:pos="1440"/>
        <w:tab w:val="decimal" w:leader="dot" w:pos="8640"/>
      </w:tabs>
      <w:spacing w:after="240"/>
      <w:ind w:left="1440" w:hanging="720"/>
    </w:pPr>
  </w:style>
  <w:style w:type="paragraph" w:styleId="TOC3">
    <w:name w:val="toc 3"/>
    <w:basedOn w:val="Normal"/>
    <w:next w:val="Normal"/>
    <w:autoRedefine/>
    <w:uiPriority w:val="39"/>
    <w:pPr>
      <w:spacing w:after="240"/>
      <w:ind w:left="2160" w:hanging="720"/>
    </w:pPr>
  </w:style>
  <w:style w:type="character" w:customStyle="1" w:styleId="text1">
    <w:name w:val="text1"/>
    <w:rPr>
      <w:rFonts w:ascii="Arial" w:hAnsi="Arial" w:cs="Arial"/>
      <w:color w:val="333333"/>
      <w:sz w:val="16"/>
      <w:szCs w:val="16"/>
    </w:rPr>
  </w:style>
  <w:style w:type="paragraph" w:styleId="z-TopofForm">
    <w:name w:val="HTML Top of Form"/>
    <w:basedOn w:val="Normal"/>
    <w:next w:val="Normal"/>
    <w:link w:val="z-TopofFormChar"/>
    <w:hidden/>
    <w:uiPriority w:val="99"/>
    <w:unhideWhenUsed/>
    <w:rsid w:val="00A14F07"/>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A14F0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14F07"/>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A14F07"/>
    <w:rPr>
      <w:rFonts w:ascii="Arial" w:hAnsi="Arial" w:cs="Arial"/>
      <w:vanish/>
      <w:sz w:val="16"/>
      <w:szCs w:val="16"/>
    </w:rPr>
  </w:style>
  <w:style w:type="paragraph" w:customStyle="1" w:styleId="ColorfulList-Accent11">
    <w:name w:val="Colorful List - Accent 11"/>
    <w:basedOn w:val="Normal"/>
    <w:uiPriority w:val="34"/>
    <w:qFormat/>
    <w:rsid w:val="00CB489F"/>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FA6C70"/>
    <w:rPr>
      <w:sz w:val="24"/>
      <w:szCs w:val="24"/>
    </w:rPr>
  </w:style>
  <w:style w:type="character" w:customStyle="1" w:styleId="FooterChar">
    <w:name w:val="Footer Char"/>
    <w:link w:val="Footer"/>
    <w:uiPriority w:val="99"/>
    <w:rsid w:val="002B1475"/>
  </w:style>
  <w:style w:type="character" w:customStyle="1" w:styleId="BodyTextChar">
    <w:name w:val="Body Text Char"/>
    <w:link w:val="BodyText"/>
    <w:rsid w:val="00391FFD"/>
    <w:rPr>
      <w:sz w:val="24"/>
    </w:rPr>
  </w:style>
  <w:style w:type="character" w:customStyle="1" w:styleId="BodyTextIndentChar">
    <w:name w:val="Body Text Indent Char"/>
    <w:link w:val="BodyTextIndent"/>
    <w:rsid w:val="00391FF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157439">
      <w:bodyDiv w:val="1"/>
      <w:marLeft w:val="0"/>
      <w:marRight w:val="0"/>
      <w:marTop w:val="0"/>
      <w:marBottom w:val="0"/>
      <w:divBdr>
        <w:top w:val="none" w:sz="0" w:space="0" w:color="auto"/>
        <w:left w:val="none" w:sz="0" w:space="0" w:color="auto"/>
        <w:bottom w:val="none" w:sz="0" w:space="0" w:color="auto"/>
        <w:right w:val="none" w:sz="0" w:space="0" w:color="auto"/>
      </w:divBdr>
    </w:div>
    <w:div w:id="1809395030">
      <w:bodyDiv w:val="1"/>
      <w:marLeft w:val="0"/>
      <w:marRight w:val="0"/>
      <w:marTop w:val="0"/>
      <w:marBottom w:val="0"/>
      <w:divBdr>
        <w:top w:val="none" w:sz="0" w:space="0" w:color="auto"/>
        <w:left w:val="none" w:sz="0" w:space="0" w:color="auto"/>
        <w:bottom w:val="none" w:sz="0" w:space="0" w:color="auto"/>
        <w:right w:val="none" w:sz="0" w:space="0" w:color="auto"/>
      </w:divBdr>
      <w:divsChild>
        <w:div w:id="255870807">
          <w:marLeft w:val="0"/>
          <w:marRight w:val="0"/>
          <w:marTop w:val="0"/>
          <w:marBottom w:val="0"/>
          <w:divBdr>
            <w:top w:val="none" w:sz="0" w:space="0" w:color="auto"/>
            <w:left w:val="none" w:sz="0" w:space="0" w:color="auto"/>
            <w:bottom w:val="none" w:sz="0" w:space="0" w:color="auto"/>
            <w:right w:val="none" w:sz="0" w:space="0" w:color="auto"/>
          </w:divBdr>
          <w:divsChild>
            <w:div w:id="14039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st@occ.state.oh.us"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William.wright@puc.state.oh.us" TargetMode="Externa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yperlink" Target="mailto:mohler@carpenterlipps.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ern@occ.state.oh.us" TargetMode="External"/><Relationship Id="rId25" Type="http://schemas.openxmlformats.org/officeDocument/2006/relationships/hyperlink" Target="mailto:kern@occ.state.oh.us" TargetMode="External"/><Relationship Id="rId33" Type="http://schemas.openxmlformats.org/officeDocument/2006/relationships/hyperlink" Target="mailto:jkyler@BKLlawfirm.com" TargetMode="External"/><Relationship Id="rId2" Type="http://schemas.openxmlformats.org/officeDocument/2006/relationships/styles" Target="styles.xml"/><Relationship Id="rId16" Type="http://schemas.openxmlformats.org/officeDocument/2006/relationships/hyperlink" Target="mailto:yost@occ.state.oh.us" TargetMode="External"/><Relationship Id="rId20" Type="http://schemas.openxmlformats.org/officeDocument/2006/relationships/footer" Target="footer4.xml"/><Relationship Id="rId29" Type="http://schemas.openxmlformats.org/officeDocument/2006/relationships/hyperlink" Target="mailto:stnourse@aep.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yost@occ.state.oh.us" TargetMode="External"/><Relationship Id="rId32" Type="http://schemas.openxmlformats.org/officeDocument/2006/relationships/hyperlink" Target="mailto:dboehm@BKLlawfirm.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mailto:fdarr@mwncmh.com"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mailto:mkurtz@BKLlawfirm.com" TargetMode="External"/><Relationship Id="rId4" Type="http://schemas.openxmlformats.org/officeDocument/2006/relationships/settings" Target="settings.xml"/><Relationship Id="rId9" Type="http://schemas.openxmlformats.org/officeDocument/2006/relationships/hyperlink" Target="mailto:kern@occ.state.oh.us"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mailto:sam@mwncmh.com" TargetMode="External"/><Relationship Id="rId30" Type="http://schemas.openxmlformats.org/officeDocument/2006/relationships/hyperlink" Target="mailto:mjsatterwhite@aep.com" TargetMode="External"/><Relationship Id="rId35" Type="http://schemas.openxmlformats.org/officeDocument/2006/relationships/hyperlink" Target="mailto:Greta.see@puc.stat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3627</Words>
  <Characters>19356</Characters>
  <Application>Microsoft Office Word</Application>
  <DocSecurity>0</DocSecurity>
  <Lines>505</Lines>
  <Paragraphs>192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23105</CharactersWithSpaces>
  <SharedDoc>false</SharedDoc>
  <HyperlinkBase> </HyperlinkBase>
  <HLinks>
    <vt:vector size="162" baseType="variant">
      <vt:variant>
        <vt:i4>4259887</vt:i4>
      </vt:variant>
      <vt:variant>
        <vt:i4>111</vt:i4>
      </vt:variant>
      <vt:variant>
        <vt:i4>0</vt:i4>
      </vt:variant>
      <vt:variant>
        <vt:i4>5</vt:i4>
      </vt:variant>
      <vt:variant>
        <vt:lpwstr>mailto:Greta.see@puc.state.oh.us</vt:lpwstr>
      </vt:variant>
      <vt:variant>
        <vt:lpwstr/>
      </vt:variant>
      <vt:variant>
        <vt:i4>3735569</vt:i4>
      </vt:variant>
      <vt:variant>
        <vt:i4>108</vt:i4>
      </vt:variant>
      <vt:variant>
        <vt:i4>0</vt:i4>
      </vt:variant>
      <vt:variant>
        <vt:i4>5</vt:i4>
      </vt:variant>
      <vt:variant>
        <vt:lpwstr>mailto:mohler@carpenterlipps.com</vt:lpwstr>
      </vt:variant>
      <vt:variant>
        <vt:lpwstr/>
      </vt:variant>
      <vt:variant>
        <vt:i4>6619186</vt:i4>
      </vt:variant>
      <vt:variant>
        <vt:i4>105</vt:i4>
      </vt:variant>
      <vt:variant>
        <vt:i4>0</vt:i4>
      </vt:variant>
      <vt:variant>
        <vt:i4>5</vt:i4>
      </vt:variant>
      <vt:variant>
        <vt:lpwstr>mailto:cmooney@ohiopartners.orgcloucas@ohiopartners.org</vt:lpwstr>
      </vt:variant>
      <vt:variant>
        <vt:lpwstr/>
      </vt:variant>
      <vt:variant>
        <vt:i4>3014661</vt:i4>
      </vt:variant>
      <vt:variant>
        <vt:i4>102</vt:i4>
      </vt:variant>
      <vt:variant>
        <vt:i4>0</vt:i4>
      </vt:variant>
      <vt:variant>
        <vt:i4>5</vt:i4>
      </vt:variant>
      <vt:variant>
        <vt:lpwstr>mailto:jkyler@BKLlawfirm.com</vt:lpwstr>
      </vt:variant>
      <vt:variant>
        <vt:lpwstr/>
      </vt:variant>
      <vt:variant>
        <vt:i4>3866650</vt:i4>
      </vt:variant>
      <vt:variant>
        <vt:i4>99</vt:i4>
      </vt:variant>
      <vt:variant>
        <vt:i4>0</vt:i4>
      </vt:variant>
      <vt:variant>
        <vt:i4>5</vt:i4>
      </vt:variant>
      <vt:variant>
        <vt:lpwstr>mailto:dboehm@BKLlawfirm.com</vt:lpwstr>
      </vt:variant>
      <vt:variant>
        <vt:lpwstr/>
      </vt:variant>
      <vt:variant>
        <vt:i4>3407891</vt:i4>
      </vt:variant>
      <vt:variant>
        <vt:i4>96</vt:i4>
      </vt:variant>
      <vt:variant>
        <vt:i4>0</vt:i4>
      </vt:variant>
      <vt:variant>
        <vt:i4>5</vt:i4>
      </vt:variant>
      <vt:variant>
        <vt:lpwstr>mailto:mkurtz@BKLlawfirm.com</vt:lpwstr>
      </vt:variant>
      <vt:variant>
        <vt:lpwstr/>
      </vt:variant>
      <vt:variant>
        <vt:i4>589887</vt:i4>
      </vt:variant>
      <vt:variant>
        <vt:i4>93</vt:i4>
      </vt:variant>
      <vt:variant>
        <vt:i4>0</vt:i4>
      </vt:variant>
      <vt:variant>
        <vt:i4>5</vt:i4>
      </vt:variant>
      <vt:variant>
        <vt:lpwstr>mailto:mjsatterwhite@aep.com</vt:lpwstr>
      </vt:variant>
      <vt:variant>
        <vt:lpwstr/>
      </vt:variant>
      <vt:variant>
        <vt:i4>1900596</vt:i4>
      </vt:variant>
      <vt:variant>
        <vt:i4>90</vt:i4>
      </vt:variant>
      <vt:variant>
        <vt:i4>0</vt:i4>
      </vt:variant>
      <vt:variant>
        <vt:i4>5</vt:i4>
      </vt:variant>
      <vt:variant>
        <vt:lpwstr>mailto:stnourse@aep.com</vt:lpwstr>
      </vt:variant>
      <vt:variant>
        <vt:lpwstr/>
      </vt:variant>
      <vt:variant>
        <vt:i4>3670019</vt:i4>
      </vt:variant>
      <vt:variant>
        <vt:i4>87</vt:i4>
      </vt:variant>
      <vt:variant>
        <vt:i4>0</vt:i4>
      </vt:variant>
      <vt:variant>
        <vt:i4>5</vt:i4>
      </vt:variant>
      <vt:variant>
        <vt:lpwstr>mailto:fdarr@mwncmh.com</vt:lpwstr>
      </vt:variant>
      <vt:variant>
        <vt:lpwstr/>
      </vt:variant>
      <vt:variant>
        <vt:i4>5439604</vt:i4>
      </vt:variant>
      <vt:variant>
        <vt:i4>84</vt:i4>
      </vt:variant>
      <vt:variant>
        <vt:i4>0</vt:i4>
      </vt:variant>
      <vt:variant>
        <vt:i4>5</vt:i4>
      </vt:variant>
      <vt:variant>
        <vt:lpwstr>mailto:sam@mwncmh.com</vt:lpwstr>
      </vt:variant>
      <vt:variant>
        <vt:lpwstr/>
      </vt:variant>
      <vt:variant>
        <vt:i4>2293828</vt:i4>
      </vt:variant>
      <vt:variant>
        <vt:i4>81</vt:i4>
      </vt:variant>
      <vt:variant>
        <vt:i4>0</vt:i4>
      </vt:variant>
      <vt:variant>
        <vt:i4>5</vt:i4>
      </vt:variant>
      <vt:variant>
        <vt:lpwstr>mailto:William.wright@puc.state.oh.us</vt:lpwstr>
      </vt:variant>
      <vt:variant>
        <vt:lpwstr/>
      </vt:variant>
      <vt:variant>
        <vt:i4>4522107</vt:i4>
      </vt:variant>
      <vt:variant>
        <vt:i4>78</vt:i4>
      </vt:variant>
      <vt:variant>
        <vt:i4>0</vt:i4>
      </vt:variant>
      <vt:variant>
        <vt:i4>5</vt:i4>
      </vt:variant>
      <vt:variant>
        <vt:lpwstr>mailto:kern@occ.state.oh.us</vt:lpwstr>
      </vt:variant>
      <vt:variant>
        <vt:lpwstr/>
      </vt:variant>
      <vt:variant>
        <vt:i4>5636203</vt:i4>
      </vt:variant>
      <vt:variant>
        <vt:i4>75</vt:i4>
      </vt:variant>
      <vt:variant>
        <vt:i4>0</vt:i4>
      </vt:variant>
      <vt:variant>
        <vt:i4>5</vt:i4>
      </vt:variant>
      <vt:variant>
        <vt:lpwstr>mailto:yost@occ.state.oh.us</vt:lpwstr>
      </vt:variant>
      <vt:variant>
        <vt:lpwstr/>
      </vt:variant>
      <vt:variant>
        <vt:i4>1572915</vt:i4>
      </vt:variant>
      <vt:variant>
        <vt:i4>68</vt:i4>
      </vt:variant>
      <vt:variant>
        <vt:i4>0</vt:i4>
      </vt:variant>
      <vt:variant>
        <vt:i4>5</vt:i4>
      </vt:variant>
      <vt:variant>
        <vt:lpwstr/>
      </vt:variant>
      <vt:variant>
        <vt:lpwstr>_Toc372810308</vt:lpwstr>
      </vt:variant>
      <vt:variant>
        <vt:i4>1572915</vt:i4>
      </vt:variant>
      <vt:variant>
        <vt:i4>62</vt:i4>
      </vt:variant>
      <vt:variant>
        <vt:i4>0</vt:i4>
      </vt:variant>
      <vt:variant>
        <vt:i4>5</vt:i4>
      </vt:variant>
      <vt:variant>
        <vt:lpwstr/>
      </vt:variant>
      <vt:variant>
        <vt:lpwstr>_Toc372810307</vt:lpwstr>
      </vt:variant>
      <vt:variant>
        <vt:i4>1572915</vt:i4>
      </vt:variant>
      <vt:variant>
        <vt:i4>56</vt:i4>
      </vt:variant>
      <vt:variant>
        <vt:i4>0</vt:i4>
      </vt:variant>
      <vt:variant>
        <vt:i4>5</vt:i4>
      </vt:variant>
      <vt:variant>
        <vt:lpwstr/>
      </vt:variant>
      <vt:variant>
        <vt:lpwstr>_Toc372810306</vt:lpwstr>
      </vt:variant>
      <vt:variant>
        <vt:i4>1572915</vt:i4>
      </vt:variant>
      <vt:variant>
        <vt:i4>50</vt:i4>
      </vt:variant>
      <vt:variant>
        <vt:i4>0</vt:i4>
      </vt:variant>
      <vt:variant>
        <vt:i4>5</vt:i4>
      </vt:variant>
      <vt:variant>
        <vt:lpwstr/>
      </vt:variant>
      <vt:variant>
        <vt:lpwstr>_Toc372810305</vt:lpwstr>
      </vt:variant>
      <vt:variant>
        <vt:i4>1572915</vt:i4>
      </vt:variant>
      <vt:variant>
        <vt:i4>44</vt:i4>
      </vt:variant>
      <vt:variant>
        <vt:i4>0</vt:i4>
      </vt:variant>
      <vt:variant>
        <vt:i4>5</vt:i4>
      </vt:variant>
      <vt:variant>
        <vt:lpwstr/>
      </vt:variant>
      <vt:variant>
        <vt:lpwstr>_Toc372810304</vt:lpwstr>
      </vt:variant>
      <vt:variant>
        <vt:i4>1572915</vt:i4>
      </vt:variant>
      <vt:variant>
        <vt:i4>38</vt:i4>
      </vt:variant>
      <vt:variant>
        <vt:i4>0</vt:i4>
      </vt:variant>
      <vt:variant>
        <vt:i4>5</vt:i4>
      </vt:variant>
      <vt:variant>
        <vt:lpwstr/>
      </vt:variant>
      <vt:variant>
        <vt:lpwstr>_Toc372810303</vt:lpwstr>
      </vt:variant>
      <vt:variant>
        <vt:i4>1572915</vt:i4>
      </vt:variant>
      <vt:variant>
        <vt:i4>32</vt:i4>
      </vt:variant>
      <vt:variant>
        <vt:i4>0</vt:i4>
      </vt:variant>
      <vt:variant>
        <vt:i4>5</vt:i4>
      </vt:variant>
      <vt:variant>
        <vt:lpwstr/>
      </vt:variant>
      <vt:variant>
        <vt:lpwstr>_Toc372810302</vt:lpwstr>
      </vt:variant>
      <vt:variant>
        <vt:i4>1572915</vt:i4>
      </vt:variant>
      <vt:variant>
        <vt:i4>26</vt:i4>
      </vt:variant>
      <vt:variant>
        <vt:i4>0</vt:i4>
      </vt:variant>
      <vt:variant>
        <vt:i4>5</vt:i4>
      </vt:variant>
      <vt:variant>
        <vt:lpwstr/>
      </vt:variant>
      <vt:variant>
        <vt:lpwstr>_Toc372810301</vt:lpwstr>
      </vt:variant>
      <vt:variant>
        <vt:i4>1572915</vt:i4>
      </vt:variant>
      <vt:variant>
        <vt:i4>20</vt:i4>
      </vt:variant>
      <vt:variant>
        <vt:i4>0</vt:i4>
      </vt:variant>
      <vt:variant>
        <vt:i4>5</vt:i4>
      </vt:variant>
      <vt:variant>
        <vt:lpwstr/>
      </vt:variant>
      <vt:variant>
        <vt:lpwstr>_Toc372810300</vt:lpwstr>
      </vt:variant>
      <vt:variant>
        <vt:i4>1114162</vt:i4>
      </vt:variant>
      <vt:variant>
        <vt:i4>14</vt:i4>
      </vt:variant>
      <vt:variant>
        <vt:i4>0</vt:i4>
      </vt:variant>
      <vt:variant>
        <vt:i4>5</vt:i4>
      </vt:variant>
      <vt:variant>
        <vt:lpwstr/>
      </vt:variant>
      <vt:variant>
        <vt:lpwstr>_Toc372810299</vt:lpwstr>
      </vt:variant>
      <vt:variant>
        <vt:i4>4522107</vt:i4>
      </vt:variant>
      <vt:variant>
        <vt:i4>9</vt:i4>
      </vt:variant>
      <vt:variant>
        <vt:i4>0</vt:i4>
      </vt:variant>
      <vt:variant>
        <vt:i4>5</vt:i4>
      </vt:variant>
      <vt:variant>
        <vt:lpwstr>mailto:kern@occ.state.oh.us</vt:lpwstr>
      </vt:variant>
      <vt:variant>
        <vt:lpwstr/>
      </vt:variant>
      <vt:variant>
        <vt:i4>5636203</vt:i4>
      </vt:variant>
      <vt:variant>
        <vt:i4>6</vt:i4>
      </vt:variant>
      <vt:variant>
        <vt:i4>0</vt:i4>
      </vt:variant>
      <vt:variant>
        <vt:i4>5</vt:i4>
      </vt:variant>
      <vt:variant>
        <vt:lpwstr>mailto:yost@occ.state.oh.us</vt:lpwstr>
      </vt:variant>
      <vt:variant>
        <vt:lpwstr/>
      </vt:variant>
      <vt:variant>
        <vt:i4>4522107</vt:i4>
      </vt:variant>
      <vt:variant>
        <vt:i4>3</vt:i4>
      </vt:variant>
      <vt:variant>
        <vt:i4>0</vt:i4>
      </vt:variant>
      <vt:variant>
        <vt:i4>5</vt:i4>
      </vt:variant>
      <vt:variant>
        <vt:lpwstr>mailto:kern@occ.state.oh.us</vt:lpwstr>
      </vt:variant>
      <vt:variant>
        <vt:lpwstr/>
      </vt:variant>
      <vt:variant>
        <vt:i4>5636203</vt:i4>
      </vt:variant>
      <vt:variant>
        <vt:i4>0</vt:i4>
      </vt:variant>
      <vt:variant>
        <vt:i4>0</vt:i4>
      </vt:variant>
      <vt:variant>
        <vt:i4>5</vt:i4>
      </vt:variant>
      <vt:variant>
        <vt:lpwstr>mailto:yost@occ.state.oh.us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2013-11-21T20:06:00Z</cp:lastPrinted>
  <dcterms:created xsi:type="dcterms:W3CDTF">2013-11-22T21:26:00Z</dcterms:created>
  <dcterms:modified xsi:type="dcterms:W3CDTF">2013-11-22T21:26:00Z</dcterms:modified>
  <cp:category> </cp:category>
  <cp:contentStatus> </cp:contentStatus>
</cp:coreProperties>
</file>