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57" w:rsidRDefault="00933927">
      <w:pPr>
        <w:pStyle w:val="Title"/>
        <w:spacing w:after="0" w:line="240" w:lineRule="auto"/>
        <w:rPr>
          <w:b/>
          <w:smallCaps/>
          <w:sz w:val="28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smallCaps/>
          <w:sz w:val="28"/>
        </w:rPr>
        <w:t>Before</w:t>
      </w:r>
    </w:p>
    <w:p w:rsidR="008E3857" w:rsidRDefault="00933927">
      <w:pPr>
        <w:spacing w:line="240" w:lineRule="auto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  <w:sz w:val="28"/>
        </w:rPr>
        <w:t>The Public Utilities Commission of Ohio</w:t>
      </w:r>
    </w:p>
    <w:p w:rsidR="008E3857" w:rsidRDefault="008E3857">
      <w:pPr>
        <w:spacing w:line="240" w:lineRule="auto"/>
        <w:jc w:val="left"/>
        <w:rPr>
          <w:rFonts w:cs="Arial"/>
          <w:smallCaps/>
        </w:rPr>
      </w:pPr>
    </w:p>
    <w:p w:rsidR="008E3857" w:rsidRDefault="00933927">
      <w:pPr>
        <w:autoSpaceDE w:val="0"/>
        <w:autoSpaceDN w:val="0"/>
        <w:adjustRightInd w:val="0"/>
        <w:spacing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 xml:space="preserve">In the Matter of the Application of </w:t>
      </w:r>
      <w:r>
        <w:rPr>
          <w:rFonts w:eastAsia="Calibri" w:cs="Arial"/>
        </w:rPr>
        <w:tab/>
      </w:r>
      <w:r>
        <w:rPr>
          <w:rFonts w:eastAsia="Calibri" w:cs="Arial"/>
        </w:rPr>
        <w:tab/>
        <w:t>)</w:t>
      </w:r>
    </w:p>
    <w:p w:rsidR="008E3857" w:rsidRDefault="00933927">
      <w:pPr>
        <w:autoSpaceDE w:val="0"/>
        <w:autoSpaceDN w:val="0"/>
        <w:adjustRightInd w:val="0"/>
        <w:spacing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Ohio Power Company to Establish</w:t>
      </w:r>
      <w:r>
        <w:rPr>
          <w:rFonts w:eastAsia="Calibri" w:cs="Arial"/>
        </w:rPr>
        <w:tab/>
        <w:t>)</w:t>
      </w:r>
      <w:r>
        <w:rPr>
          <w:rFonts w:eastAsia="Calibri" w:cs="Arial"/>
        </w:rPr>
        <w:tab/>
        <w:t>Case No. 12-3254-EL-UNC</w:t>
      </w:r>
    </w:p>
    <w:p w:rsidR="008E3857" w:rsidRDefault="00933927">
      <w:pPr>
        <w:tabs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eastAsia="Calibri" w:cs="Arial"/>
        </w:rPr>
      </w:pPr>
      <w:proofErr w:type="gramStart"/>
      <w:r>
        <w:rPr>
          <w:rFonts w:eastAsia="Calibri" w:cs="Arial"/>
        </w:rPr>
        <w:t>a</w:t>
      </w:r>
      <w:proofErr w:type="gramEnd"/>
      <w:r>
        <w:rPr>
          <w:rFonts w:eastAsia="Calibri" w:cs="Arial"/>
        </w:rPr>
        <w:t xml:space="preserve"> Competitive Bidding Process for</w:t>
      </w:r>
      <w:r>
        <w:rPr>
          <w:rFonts w:eastAsia="Calibri" w:cs="Arial"/>
        </w:rPr>
        <w:tab/>
        <w:t>)</w:t>
      </w:r>
    </w:p>
    <w:p w:rsidR="008E3857" w:rsidRDefault="00933927">
      <w:pPr>
        <w:tabs>
          <w:tab w:val="left" w:pos="4320"/>
        </w:tabs>
        <w:spacing w:line="240" w:lineRule="auto"/>
        <w:rPr>
          <w:rFonts w:cs="Arial"/>
        </w:rPr>
      </w:pPr>
      <w:r>
        <w:rPr>
          <w:rFonts w:cs="Arial"/>
        </w:rPr>
        <w:t>Procurement of Energy to Support its</w:t>
      </w:r>
      <w:r>
        <w:rPr>
          <w:rFonts w:cs="Arial"/>
        </w:rPr>
        <w:tab/>
        <w:t>)</w:t>
      </w:r>
    </w:p>
    <w:p w:rsidR="008E3857" w:rsidRDefault="00933927">
      <w:pPr>
        <w:tabs>
          <w:tab w:val="left" w:pos="4320"/>
        </w:tabs>
        <w:spacing w:line="240" w:lineRule="auto"/>
        <w:rPr>
          <w:rFonts w:cs="Arial"/>
        </w:rPr>
      </w:pPr>
      <w:r>
        <w:rPr>
          <w:rFonts w:cs="Arial"/>
        </w:rPr>
        <w:t>Standard Service Offer</w:t>
      </w:r>
      <w:r>
        <w:rPr>
          <w:rFonts w:cs="Arial"/>
        </w:rPr>
        <w:tab/>
        <w:t>)</w:t>
      </w:r>
    </w:p>
    <w:p w:rsidR="008E3857" w:rsidRDefault="008E3857">
      <w:pPr>
        <w:pStyle w:val="BodyText"/>
        <w:tabs>
          <w:tab w:val="left" w:pos="5040"/>
        </w:tabs>
        <w:spacing w:after="0"/>
      </w:pPr>
    </w:p>
    <w:p w:rsidR="008E3857" w:rsidRDefault="008E3857">
      <w:pPr>
        <w:pStyle w:val="BodyText"/>
        <w:tabs>
          <w:tab w:val="left" w:pos="5040"/>
        </w:tabs>
        <w:spacing w:after="0"/>
      </w:pPr>
    </w:p>
    <w:p w:rsidR="008E3857" w:rsidRDefault="008E3857">
      <w:pPr>
        <w:pStyle w:val="BodyText"/>
        <w:tabs>
          <w:tab w:val="left" w:pos="5040"/>
        </w:tabs>
        <w:spacing w:after="0"/>
      </w:pPr>
    </w:p>
    <w:p w:rsidR="008E3857" w:rsidRDefault="008E3857">
      <w:pPr>
        <w:pStyle w:val="BodyText"/>
        <w:tabs>
          <w:tab w:val="left" w:pos="5040"/>
        </w:tabs>
        <w:spacing w:after="0"/>
      </w:pPr>
    </w:p>
    <w:p w:rsidR="008E3857" w:rsidRDefault="008E3857">
      <w:pPr>
        <w:pBdr>
          <w:top w:val="single" w:sz="12" w:space="1" w:color="auto"/>
        </w:pBdr>
        <w:spacing w:line="240" w:lineRule="auto"/>
        <w:jc w:val="center"/>
        <w:rPr>
          <w:b/>
        </w:rPr>
      </w:pPr>
    </w:p>
    <w:p w:rsidR="008E3857" w:rsidRDefault="00933927">
      <w:pPr>
        <w:spacing w:line="240" w:lineRule="auto"/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Reply Brief of Industrial Energy Users-Ohio</w:t>
      </w:r>
    </w:p>
    <w:bookmarkEnd w:id="0"/>
    <w:bookmarkEnd w:id="1"/>
    <w:p w:rsidR="008E3857" w:rsidRDefault="008E3857">
      <w:pPr>
        <w:pStyle w:val="Title"/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8E3857">
      <w:pPr>
        <w:pStyle w:val="Title"/>
        <w:spacing w:after="0" w:line="240" w:lineRule="auto"/>
        <w:jc w:val="left"/>
        <w:rPr>
          <w:sz w:val="24"/>
          <w:szCs w:val="24"/>
          <w:u w:val="single"/>
        </w:rPr>
      </w:pPr>
    </w:p>
    <w:p w:rsidR="008E3857" w:rsidRDefault="00933927">
      <w:pPr>
        <w:tabs>
          <w:tab w:val="left" w:pos="4320"/>
          <w:tab w:val="right" w:pos="8640"/>
        </w:tabs>
        <w:spacing w:line="240" w:lineRule="auto"/>
        <w:ind w:left="4320"/>
        <w:rPr>
          <w:rFonts w:cs="Arial"/>
        </w:rPr>
      </w:pPr>
      <w:r>
        <w:rPr>
          <w:rFonts w:cs="Arial"/>
        </w:rPr>
        <w:t>Samuel C. Randazzo (Counsel of Record)</w:t>
      </w:r>
    </w:p>
    <w:p w:rsidR="008E3857" w:rsidRDefault="00933927">
      <w:pPr>
        <w:pStyle w:val="BodyText3"/>
        <w:widowControl w:val="0"/>
        <w:tabs>
          <w:tab w:val="left" w:pos="4320"/>
        </w:tabs>
        <w:spacing w:after="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8E3857" w:rsidRDefault="00933927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Joseph E. Oliker</w:t>
      </w:r>
    </w:p>
    <w:p w:rsidR="008E3857" w:rsidRDefault="00933927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</w:t>
      </w:r>
    </w:p>
    <w:p w:rsidR="008E3857" w:rsidRDefault="00933927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8E3857" w:rsidRDefault="00933927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</w:t>
      </w:r>
      <w:r>
        <w:rPr>
          <w:rFonts w:ascii="Arial" w:hAnsi="Arial" w:cs="Arial"/>
          <w:b w:val="0"/>
          <w:bCs/>
        </w:rPr>
        <w:t xml:space="preserve">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8E3857" w:rsidRDefault="00933927">
      <w:pPr>
        <w:pStyle w:val="BodyText"/>
        <w:tabs>
          <w:tab w:val="left" w:pos="4320"/>
        </w:tabs>
        <w:spacing w:after="0"/>
        <w:ind w:left="4320"/>
      </w:pPr>
      <w:r>
        <w:t>Columbus, OH  43215</w:t>
      </w:r>
    </w:p>
    <w:p w:rsidR="008E3857" w:rsidRDefault="00933927">
      <w:pPr>
        <w:pStyle w:val="BodyText"/>
        <w:tabs>
          <w:tab w:val="left" w:pos="4320"/>
        </w:tabs>
        <w:spacing w:after="0"/>
        <w:ind w:left="4320"/>
      </w:pPr>
      <w:r>
        <w:t>Telephone:  (614) 469-8000</w:t>
      </w:r>
    </w:p>
    <w:p w:rsidR="008E3857" w:rsidRDefault="00933927">
      <w:pPr>
        <w:pStyle w:val="BodyText"/>
        <w:tabs>
          <w:tab w:val="left" w:pos="4320"/>
        </w:tabs>
        <w:spacing w:after="0"/>
        <w:ind w:left="4320"/>
      </w:pPr>
      <w:proofErr w:type="spellStart"/>
      <w:r>
        <w:t>Telecopier</w:t>
      </w:r>
      <w:proofErr w:type="spellEnd"/>
      <w:r>
        <w:t>:  (614) 469-4653</w:t>
      </w:r>
    </w:p>
    <w:p w:rsidR="008E3857" w:rsidRDefault="00933927">
      <w:pPr>
        <w:pStyle w:val="BodyText"/>
        <w:spacing w:after="0"/>
        <w:ind w:left="4320"/>
      </w:pPr>
      <w:r>
        <w:t>sam@mwncmh.com</w:t>
      </w:r>
    </w:p>
    <w:p w:rsidR="008E3857" w:rsidRDefault="00933927">
      <w:pPr>
        <w:pStyle w:val="BodyText"/>
        <w:spacing w:after="0"/>
        <w:ind w:left="4320"/>
      </w:pPr>
      <w:r>
        <w:t>fdarr@mwncmh.com</w:t>
      </w:r>
    </w:p>
    <w:p w:rsidR="008E3857" w:rsidRDefault="00933927">
      <w:pPr>
        <w:pStyle w:val="BodyText"/>
        <w:spacing w:after="0"/>
        <w:ind w:left="4320"/>
      </w:pPr>
      <w:r>
        <w:t>joliker@mwncmh.com</w:t>
      </w:r>
    </w:p>
    <w:p w:rsidR="008E3857" w:rsidRDefault="00933927">
      <w:pPr>
        <w:pStyle w:val="BodyText"/>
        <w:spacing w:after="0"/>
        <w:ind w:left="4320"/>
      </w:pPr>
      <w:r>
        <w:t>mpritchard@mwncmh.com</w:t>
      </w:r>
    </w:p>
    <w:p w:rsidR="008E3857" w:rsidRDefault="008E3857">
      <w:pPr>
        <w:pStyle w:val="BodyText"/>
        <w:spacing w:after="0"/>
      </w:pPr>
    </w:p>
    <w:p w:rsidR="008E3857" w:rsidRDefault="00933927">
      <w:pPr>
        <w:pStyle w:val="Title"/>
        <w:spacing w:after="0" w:line="240" w:lineRule="auto"/>
        <w:ind w:left="4320" w:hanging="4320"/>
        <w:jc w:val="left"/>
        <w:rPr>
          <w:smallCaps/>
          <w:sz w:val="24"/>
        </w:rPr>
      </w:pPr>
      <w:r>
        <w:rPr>
          <w:b/>
          <w:sz w:val="24"/>
        </w:rPr>
        <w:t>August 30, 2013</w:t>
      </w:r>
      <w:r>
        <w:rPr>
          <w:sz w:val="24"/>
        </w:rPr>
        <w:tab/>
      </w:r>
      <w:r>
        <w:rPr>
          <w:b/>
          <w:sz w:val="24"/>
        </w:rPr>
        <w:t>Attorneys for Industrial Energy Users-Ohio</w:t>
      </w:r>
    </w:p>
    <w:p w:rsidR="008E3857" w:rsidRDefault="008E3857">
      <w:pPr>
        <w:jc w:val="center"/>
        <w:rPr>
          <w:b/>
        </w:rPr>
        <w:sectPr w:rsidR="008E38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E3857" w:rsidRDefault="00933927">
      <w:pPr>
        <w:pStyle w:val="Title"/>
        <w:spacing w:after="0"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Before</w:t>
      </w:r>
    </w:p>
    <w:p w:rsidR="008E3857" w:rsidRDefault="00933927">
      <w:pPr>
        <w:spacing w:line="240" w:lineRule="auto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  <w:sz w:val="28"/>
        </w:rPr>
        <w:t>The Public Utilities Commission of Ohio</w:t>
      </w:r>
    </w:p>
    <w:p w:rsidR="008E3857" w:rsidRDefault="008E3857">
      <w:pPr>
        <w:spacing w:line="240" w:lineRule="auto"/>
        <w:jc w:val="left"/>
        <w:rPr>
          <w:rFonts w:cs="Arial"/>
          <w:smallCaps/>
        </w:rPr>
      </w:pPr>
    </w:p>
    <w:p w:rsidR="008E3857" w:rsidRDefault="008E3857">
      <w:pPr>
        <w:spacing w:line="240" w:lineRule="auto"/>
        <w:jc w:val="left"/>
        <w:rPr>
          <w:rFonts w:cs="Arial"/>
          <w:smallCaps/>
        </w:rPr>
      </w:pPr>
    </w:p>
    <w:p w:rsidR="008E3857" w:rsidRDefault="00933927">
      <w:pPr>
        <w:autoSpaceDE w:val="0"/>
        <w:autoSpaceDN w:val="0"/>
        <w:adjustRightInd w:val="0"/>
        <w:spacing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 xml:space="preserve">In the Matter of the Application of </w:t>
      </w:r>
      <w:r>
        <w:rPr>
          <w:rFonts w:eastAsia="Calibri" w:cs="Arial"/>
        </w:rPr>
        <w:tab/>
      </w:r>
      <w:r>
        <w:rPr>
          <w:rFonts w:eastAsia="Calibri" w:cs="Arial"/>
        </w:rPr>
        <w:tab/>
        <w:t>)</w:t>
      </w:r>
    </w:p>
    <w:p w:rsidR="008E3857" w:rsidRDefault="00933927">
      <w:pPr>
        <w:autoSpaceDE w:val="0"/>
        <w:autoSpaceDN w:val="0"/>
        <w:adjustRightInd w:val="0"/>
        <w:spacing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Ohio Power Company to Establish</w:t>
      </w:r>
      <w:r>
        <w:rPr>
          <w:rFonts w:eastAsia="Calibri" w:cs="Arial"/>
        </w:rPr>
        <w:tab/>
        <w:t>)</w:t>
      </w:r>
      <w:r>
        <w:rPr>
          <w:rFonts w:eastAsia="Calibri" w:cs="Arial"/>
        </w:rPr>
        <w:tab/>
        <w:t>Case No. 12-3254-EL-UNC</w:t>
      </w:r>
    </w:p>
    <w:p w:rsidR="008E3857" w:rsidRDefault="00933927">
      <w:pPr>
        <w:tabs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eastAsia="Calibri" w:cs="Arial"/>
        </w:rPr>
      </w:pPr>
      <w:proofErr w:type="gramStart"/>
      <w:r>
        <w:rPr>
          <w:rFonts w:eastAsia="Calibri" w:cs="Arial"/>
        </w:rPr>
        <w:t>a</w:t>
      </w:r>
      <w:proofErr w:type="gramEnd"/>
      <w:r>
        <w:rPr>
          <w:rFonts w:eastAsia="Calibri" w:cs="Arial"/>
        </w:rPr>
        <w:t xml:space="preserve"> Competitive Bidding Process for</w:t>
      </w:r>
      <w:r>
        <w:rPr>
          <w:rFonts w:eastAsia="Calibri" w:cs="Arial"/>
        </w:rPr>
        <w:tab/>
        <w:t>)</w:t>
      </w:r>
    </w:p>
    <w:p w:rsidR="008E3857" w:rsidRDefault="00933927">
      <w:pPr>
        <w:tabs>
          <w:tab w:val="left" w:pos="4320"/>
        </w:tabs>
        <w:spacing w:line="240" w:lineRule="auto"/>
        <w:rPr>
          <w:rFonts w:cs="Arial"/>
        </w:rPr>
      </w:pPr>
      <w:r>
        <w:rPr>
          <w:rFonts w:cs="Arial"/>
        </w:rPr>
        <w:t>Procurement of Energy to</w:t>
      </w:r>
      <w:r>
        <w:rPr>
          <w:rFonts w:cs="Arial"/>
        </w:rPr>
        <w:t xml:space="preserve"> Support its</w:t>
      </w:r>
      <w:r>
        <w:rPr>
          <w:rFonts w:cs="Arial"/>
        </w:rPr>
        <w:tab/>
        <w:t>)</w:t>
      </w:r>
    </w:p>
    <w:p w:rsidR="008E3857" w:rsidRDefault="00933927">
      <w:pPr>
        <w:tabs>
          <w:tab w:val="left" w:pos="4320"/>
        </w:tabs>
        <w:spacing w:line="240" w:lineRule="auto"/>
        <w:rPr>
          <w:rFonts w:cs="Arial"/>
        </w:rPr>
      </w:pPr>
      <w:r>
        <w:rPr>
          <w:rFonts w:cs="Arial"/>
        </w:rPr>
        <w:t>Standard Service Offer</w:t>
      </w:r>
      <w:r>
        <w:rPr>
          <w:rFonts w:cs="Arial"/>
        </w:rPr>
        <w:tab/>
        <w:t>)</w:t>
      </w:r>
    </w:p>
    <w:p w:rsidR="008E3857" w:rsidRDefault="008E3857">
      <w:pPr>
        <w:pStyle w:val="BodyText"/>
        <w:tabs>
          <w:tab w:val="left" w:pos="5040"/>
        </w:tabs>
        <w:spacing w:after="0"/>
      </w:pPr>
    </w:p>
    <w:p w:rsidR="008E3857" w:rsidRDefault="008E3857">
      <w:pPr>
        <w:pStyle w:val="BodyText"/>
        <w:tabs>
          <w:tab w:val="left" w:pos="5040"/>
        </w:tabs>
        <w:spacing w:after="0"/>
      </w:pPr>
    </w:p>
    <w:p w:rsidR="008E3857" w:rsidRDefault="008E3857">
      <w:pPr>
        <w:pBdr>
          <w:top w:val="single" w:sz="12" w:space="1" w:color="auto"/>
        </w:pBdr>
        <w:spacing w:line="240" w:lineRule="auto"/>
        <w:jc w:val="center"/>
        <w:rPr>
          <w:b/>
        </w:rPr>
      </w:pPr>
    </w:p>
    <w:p w:rsidR="008E3857" w:rsidRDefault="00933927">
      <w:pPr>
        <w:spacing w:line="240" w:lineRule="auto"/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Reply Brief of Industrial Energy Users-Ohio</w:t>
      </w:r>
    </w:p>
    <w:p w:rsidR="008E3857" w:rsidRDefault="008E3857">
      <w:pPr>
        <w:pStyle w:val="Title"/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</w:p>
    <w:p w:rsidR="008E3857" w:rsidRDefault="008E3857"/>
    <w:p w:rsidR="008E3857" w:rsidRDefault="00933927">
      <w:r>
        <w:tab/>
        <w:t>The initial briefs filed in this proceeding confirm that the recommendations set forth in Industrial Energy Users-Ohio’s (“IEU-Ohio”) Initial Brief are reasonable and</w:t>
      </w:r>
      <w:r>
        <w:t xml:space="preserve"> should be adopted.  Specifically, the initial briefs filed in this proceeding do not dispute that the energy-only auction will increase non-shopping customers’ standard service offer (“SSO”) rates unless the Public Utilities Commission of Ohio (“Commissio</w:t>
      </w:r>
      <w:r>
        <w:t>n”) sets a reserve price for the energy-only auctions as recommended by IEU-Ohio.  The initial briefs also demonstrate that Ohio Power Company’s (“AEP-Ohio”) request to continue its double-recovery of capacity costs through its proposed Fixed Cost Rider (“</w:t>
      </w:r>
      <w:r>
        <w:t>FCR”) is unlawful and unreasonable.  As discussed in more detail below, the Commission should adopt IEU-Ohio’s reserve price and should deny AEP-Ohio’s request to establish the FCR.</w:t>
      </w:r>
    </w:p>
    <w:p w:rsidR="008E3857" w:rsidRDefault="00933927">
      <w:pPr>
        <w:spacing w:after="120" w:line="240" w:lineRule="auto"/>
        <w:jc w:val="left"/>
        <w:rPr>
          <w:rFonts w:ascii="Arial Bold" w:eastAsiaTheme="majorEastAsia" w:hAnsi="Arial Bold" w:cs="Arial"/>
          <w:b/>
          <w:bCs/>
          <w:caps/>
          <w:szCs w:val="28"/>
          <w:u w:val="single"/>
        </w:rPr>
      </w:pPr>
      <w:r>
        <w:br w:type="page"/>
      </w:r>
    </w:p>
    <w:p w:rsidR="008E3857" w:rsidRDefault="00933927">
      <w:pPr>
        <w:pStyle w:val="Heading1"/>
      </w:pPr>
      <w:r>
        <w:lastRenderedPageBreak/>
        <w:t>The Commission should establish a reserve price for the energy-only auct</w:t>
      </w:r>
      <w:r>
        <w:t>ions</w:t>
      </w:r>
    </w:p>
    <w:p w:rsidR="008E3857" w:rsidRDefault="00933927">
      <w:r>
        <w:tab/>
        <w:t xml:space="preserve">As demonstrated in IEU-Ohio’s Initial Brief, the Commission has a simple but significant decision to make in this proceeding.  The Commission can either adopt the use of an auction reserve price as recommended by IEU-Ohio, the Office of the Ohio </w:t>
      </w:r>
      <w:r>
        <w:t>Consumers’ Counsel (“OCC”) and the Ohio Energy Group (“OEG”), or the Commission can allow the energy-only auctions to proceed without any limits on the clearing price.  The undisputed evidence demonstrates that proceeding with the energy-only auctions as p</w:t>
      </w:r>
      <w:r>
        <w:t xml:space="preserve">roposed by AEP-Ohio will result in significantly higher SSO rates.  In fact, OCC/OEG witness Mr. </w:t>
      </w:r>
      <w:proofErr w:type="spellStart"/>
      <w:r>
        <w:t>Kollen</w:t>
      </w:r>
      <w:proofErr w:type="spellEnd"/>
      <w:r>
        <w:t xml:space="preserve"> estimated that AEP-Ohio’s proposed energy-only auctions could increase non-shopping customers’ rates by as much as $211 million</w:t>
      </w:r>
      <w:r>
        <w:rPr>
          <w:rStyle w:val="FootnoteReference"/>
        </w:rPr>
        <w:footnoteReference w:id="1"/>
      </w:r>
      <w:r>
        <w:t xml:space="preserve"> over the remainder of A</w:t>
      </w:r>
      <w:r>
        <w:t xml:space="preserve">EP-Ohio’s electric security plan (“ESP”).  AEP-Ohio’s Initial Brief as well as the Joint Initial Brief of Constellation </w:t>
      </w:r>
      <w:proofErr w:type="spellStart"/>
      <w:r>
        <w:t>NewEnergy</w:t>
      </w:r>
      <w:proofErr w:type="spellEnd"/>
      <w:r>
        <w:t>, Inc. (“Constellation”) and Exelon Generation Company, LLC (“Exelon”) both implicitly recognize that AEP-Ohio’s proposed energ</w:t>
      </w:r>
      <w:r>
        <w:t>y-only auctions will result in higher SSO generation prices.  Thus, it is beyond debate that without a reserve price for the upcoming energy-only auctions, SSO customers will face higher electricity generation prices, a result at odds with the Commission’s</w:t>
      </w:r>
      <w:r>
        <w:t xml:space="preserve"> expectation when it approved AEP-Ohio’s current ESP. </w:t>
      </w:r>
    </w:p>
    <w:p w:rsidR="008E3857" w:rsidRDefault="00933927">
      <w:r>
        <w:tab/>
        <w:t>To mitigate this outcome, AEP-Ohio proposes to subject individual SSO customer bills to the 12% rate cap previously approved by the Commission,</w:t>
      </w:r>
      <w:r>
        <w:rPr>
          <w:rStyle w:val="FootnoteReference"/>
        </w:rPr>
        <w:footnoteReference w:id="2"/>
      </w:r>
      <w:r>
        <w:t xml:space="preserve"> and defer </w:t>
      </w:r>
      <w:r>
        <w:lastRenderedPageBreak/>
        <w:t xml:space="preserve">any revenue not collected from customers due </w:t>
      </w:r>
      <w:r>
        <w:t>to the 12% rate cap with interest for collection through a non-bypassable charge to be collected beginning in June 2015. Constellation/Exelon advocate an alternative mitigation strategy that would immediately implement the full SSO rate increase necessitat</w:t>
      </w:r>
      <w:r>
        <w:t>ed by AEP-Ohio’s proposed energy-only auction, but credit the amount of revenue collected through the increased SSO generation prices against AEP-Ohio’s deferred capacity compensation.</w:t>
      </w:r>
      <w:r>
        <w:rPr>
          <w:rStyle w:val="FootnoteReference"/>
        </w:rPr>
        <w:footnoteReference w:id="3"/>
      </w:r>
      <w:r>
        <w:t xml:space="preserve">  FirstEnergy Solutions Corp. (“FES”) does not advocate the use of eith</w:t>
      </w:r>
      <w:r>
        <w:t>er a rate cap or crediting mechanism, but asserts that if AEP-Ohio’s base generation rates are blended with capacity priced at $188.88/MW-day “the chance of a significant rate increase to customers” is reduced “by simply complying with the previous directi</w:t>
      </w:r>
      <w:r>
        <w:t>on from the Commission.”</w:t>
      </w:r>
      <w:r>
        <w:rPr>
          <w:rStyle w:val="FootnoteReference"/>
        </w:rPr>
        <w:footnoteReference w:id="4"/>
      </w:r>
    </w:p>
    <w:p w:rsidR="008E3857" w:rsidRDefault="00933927">
      <w:r>
        <w:tab/>
        <w:t>The SSO generation price increase mitigation strategies advocated by AEP</w:t>
      </w:r>
      <w:r>
        <w:noBreakHyphen/>
        <w:t xml:space="preserve">Ohio, Constellation/Exelon, and FES, however, fail to recognize that the Commission found that the energy-only auctions should produce significant benefits </w:t>
      </w:r>
      <w:r>
        <w:t>to customers.</w:t>
      </w:r>
      <w:r>
        <w:rPr>
          <w:rStyle w:val="FootnoteReference"/>
        </w:rPr>
        <w:footnoteReference w:id="5"/>
      </w:r>
      <w:r>
        <w:t xml:space="preserve">  Specifically, the Commission held that the benefit from the energy-only auctions would mitigate the known rate increase associated with AEP-Ohio’s Distribution Investment Rider (“DIR”) ($365.7 million</w:t>
      </w:r>
      <w:r>
        <w:rPr>
          <w:rStyle w:val="FootnoteReference"/>
        </w:rPr>
        <w:footnoteReference w:id="6"/>
      </w:r>
      <w:r>
        <w:t xml:space="preserve">), </w:t>
      </w:r>
      <w:proofErr w:type="spellStart"/>
      <w:r>
        <w:t>gridSMART</w:t>
      </w:r>
      <w:proofErr w:type="spellEnd"/>
      <w:r>
        <w:t xml:space="preserve"> Rider ($9.9 million</w:t>
      </w:r>
      <w:r>
        <w:rPr>
          <w:rStyle w:val="FootnoteReference"/>
        </w:rPr>
        <w:footnoteReference w:id="7"/>
      </w:r>
      <w:r>
        <w:t xml:space="preserve">), </w:t>
      </w:r>
      <w:r>
        <w:lastRenderedPageBreak/>
        <w:t>and</w:t>
      </w:r>
      <w:r>
        <w:t xml:space="preserve"> Enhanced Service Reliability Rider (“ESRR”) ($113 million</w:t>
      </w:r>
      <w:r>
        <w:rPr>
          <w:rStyle w:val="FootnoteReference"/>
        </w:rPr>
        <w:footnoteReference w:id="8"/>
      </w:r>
      <w:r>
        <w:t>).</w:t>
      </w:r>
      <w:r>
        <w:rPr>
          <w:rStyle w:val="FootnoteReference"/>
        </w:rPr>
        <w:footnoteReference w:id="9"/>
      </w:r>
      <w:r>
        <w:t xml:space="preserve">  The Commission also held that the benefit from the energy-only auctions “may well exceed the costs associated with the GRR [$8 million</w:t>
      </w:r>
      <w:r>
        <w:rPr>
          <w:rStyle w:val="FootnoteReference"/>
        </w:rPr>
        <w:footnoteReference w:id="10"/>
      </w:r>
      <w:r>
        <w:t>] and RSR [$388 million</w:t>
      </w:r>
      <w:r>
        <w:rPr>
          <w:rStyle w:val="FootnoteReference"/>
        </w:rPr>
        <w:footnoteReference w:id="11"/>
      </w:r>
      <w:r>
        <w:t>].”</w:t>
      </w:r>
      <w:r>
        <w:rPr>
          <w:rStyle w:val="FootnoteReference"/>
        </w:rPr>
        <w:footnoteReference w:id="12"/>
      </w:r>
      <w:r>
        <w:t xml:space="preserve">  While it appears unlikely t</w:t>
      </w:r>
      <w:r>
        <w:t xml:space="preserve">hat the energy-only auction results will offset the rate increase authorized in the </w:t>
      </w:r>
      <w:r>
        <w:rPr>
          <w:i/>
        </w:rPr>
        <w:t>ESP II Case</w:t>
      </w:r>
      <w:r>
        <w:t xml:space="preserve">, the only way to ensure the results of the energy-only auctions begin to mitigate the approximately $1 billion revenue increase authorized by the Commission is </w:t>
      </w:r>
      <w:r>
        <w:t xml:space="preserve">through the use of an auction reserve price. </w:t>
      </w:r>
    </w:p>
    <w:p w:rsidR="008E3857" w:rsidRDefault="00933927">
      <w:pPr>
        <w:pStyle w:val="Heading1"/>
      </w:pPr>
      <w:r>
        <w:t>The Commission Should Deny AEP-Ohio’s Request for Double-Recovery of the Capacity Costs Embedded in the Fuel Adjustment Clause (“FAC”) through its proposed FCR</w:t>
      </w:r>
    </w:p>
    <w:p w:rsidR="008E3857" w:rsidRDefault="00933927">
      <w:r>
        <w:tab/>
        <w:t>Additionally, as demonstrated in the initial brie</w:t>
      </w:r>
      <w:r>
        <w:t>fs filed by IEU-Ohio and FES, the Commission should deny AEP-Ohio’s request to create a new rider, the FCR, which will allow AEP-Ohio to continue its double-recovery of certain capacity costs.  As the record in this proceeding demonstrates, the fixed costs</w:t>
      </w:r>
      <w:r>
        <w:t xml:space="preserve"> currently being recovered through the FAC, and which AEP-Ohio proposes to collect through the FCR, are embedded in the compensation AEP-Ohio receives for generation capacity service.</w:t>
      </w:r>
      <w:r>
        <w:rPr>
          <w:rStyle w:val="FootnoteReference"/>
        </w:rPr>
        <w:footnoteReference w:id="13"/>
      </w:r>
      <w:r>
        <w:t xml:space="preserve">  Thus, AEP-Ohio’s capacity compensation already provides for recovery o</w:t>
      </w:r>
      <w:r>
        <w:t xml:space="preserve">f these charges.  Therefore, the Commission should not only deny AEP-Ohio’s request for the FCR, but should direct </w:t>
      </w:r>
      <w:r>
        <w:lastRenderedPageBreak/>
        <w:t>the auditor in AEP-Ohio’s FAC audit proceeding to determine the magnitude of AEP-Ohio’s double-recovery and credit any double-recovered amoun</w:t>
      </w:r>
      <w:r>
        <w:t>ts back to customers.</w:t>
      </w:r>
    </w:p>
    <w:p w:rsidR="008E3857" w:rsidRDefault="00933927">
      <w:pPr>
        <w:pStyle w:val="Heading1"/>
      </w:pPr>
      <w:r>
        <w:t>Conclusion</w:t>
      </w:r>
    </w:p>
    <w:p w:rsidR="008E3857" w:rsidRDefault="00933927">
      <w:r>
        <w:tab/>
        <w:t>Accordingly, the Commission should adopt a reserve price for AEP-Ohio’s energy-only auctions specific to the Columbus Southern Power Company and Ohio Power Company rate zones equal to the expected full FAC rate for each zo</w:t>
      </w:r>
      <w:r>
        <w:t>ne and should deny AEP-Ohio’s request to create the FCR.</w:t>
      </w:r>
    </w:p>
    <w:p w:rsidR="008E3857" w:rsidRDefault="00933927">
      <w:pPr>
        <w:ind w:left="4320"/>
        <w:jc w:val="left"/>
        <w:rPr>
          <w:szCs w:val="20"/>
        </w:rPr>
      </w:pPr>
      <w:r>
        <w:rPr>
          <w:szCs w:val="20"/>
        </w:rPr>
        <w:t>Respectfully submitted,</w:t>
      </w:r>
    </w:p>
    <w:p w:rsidR="008E3857" w:rsidRDefault="00933927"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spacing w:line="240" w:lineRule="auto"/>
        <w:ind w:left="432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/s/ Matthew R. Pritchard</w:t>
      </w:r>
      <w:r>
        <w:rPr>
          <w:rFonts w:cs="Arial"/>
          <w:szCs w:val="20"/>
          <w:u w:val="single"/>
        </w:rPr>
        <w:tab/>
      </w:r>
    </w:p>
    <w:p w:rsidR="008E3857" w:rsidRDefault="00933927">
      <w:pPr>
        <w:tabs>
          <w:tab w:val="left" w:pos="4320"/>
          <w:tab w:val="right" w:pos="8640"/>
        </w:tabs>
        <w:spacing w:line="240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>Samuel C. Randazzo (Counsel of Record)</w:t>
      </w:r>
    </w:p>
    <w:p w:rsidR="008E3857" w:rsidRDefault="00933927">
      <w:pPr>
        <w:widowControl w:val="0"/>
        <w:tabs>
          <w:tab w:val="left" w:pos="4320"/>
        </w:tabs>
        <w:spacing w:line="240" w:lineRule="auto"/>
        <w:ind w:left="43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Frank P. Darr</w:t>
      </w:r>
    </w:p>
    <w:p w:rsidR="008E3857" w:rsidRDefault="00933927">
      <w:pPr>
        <w:widowControl w:val="0"/>
        <w:tabs>
          <w:tab w:val="left" w:pos="4320"/>
        </w:tabs>
        <w:spacing w:line="240" w:lineRule="auto"/>
        <w:ind w:left="43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Joseph E. Oliker</w:t>
      </w:r>
    </w:p>
    <w:p w:rsidR="008E3857" w:rsidRDefault="00933927">
      <w:pPr>
        <w:widowControl w:val="0"/>
        <w:tabs>
          <w:tab w:val="left" w:pos="4320"/>
        </w:tabs>
        <w:spacing w:line="240" w:lineRule="auto"/>
        <w:ind w:left="43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Matthew R. Pritchard</w:t>
      </w:r>
    </w:p>
    <w:p w:rsidR="008E3857" w:rsidRDefault="00933927">
      <w:pPr>
        <w:widowControl w:val="0"/>
        <w:tabs>
          <w:tab w:val="left" w:pos="4320"/>
        </w:tabs>
        <w:spacing w:line="240" w:lineRule="auto"/>
        <w:ind w:left="4320"/>
        <w:rPr>
          <w:rFonts w:cs="Arial"/>
          <w:bCs/>
          <w:smallCaps/>
        </w:rPr>
      </w:pPr>
      <w:r>
        <w:rPr>
          <w:rFonts w:cs="Arial"/>
          <w:bCs/>
          <w:smallCaps/>
        </w:rPr>
        <w:t>McNees Wallace &amp; Nurick LLC</w:t>
      </w:r>
    </w:p>
    <w:p w:rsidR="008E3857" w:rsidRDefault="00933927">
      <w:pPr>
        <w:widowControl w:val="0"/>
        <w:tabs>
          <w:tab w:val="left" w:pos="4320"/>
        </w:tabs>
        <w:spacing w:line="240" w:lineRule="auto"/>
        <w:ind w:left="43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21 East State Street, 17</w:t>
      </w:r>
      <w:r>
        <w:rPr>
          <w:rFonts w:cs="Arial"/>
          <w:bCs/>
          <w:szCs w:val="20"/>
          <w:vertAlign w:val="superscript"/>
        </w:rPr>
        <w:t>TH</w:t>
      </w:r>
      <w:r>
        <w:rPr>
          <w:rFonts w:cs="Arial"/>
          <w:bCs/>
          <w:szCs w:val="20"/>
        </w:rPr>
        <w:t xml:space="preserve"> Floor</w:t>
      </w:r>
    </w:p>
    <w:p w:rsidR="008E3857" w:rsidRDefault="00933927">
      <w:pPr>
        <w:tabs>
          <w:tab w:val="left" w:pos="4320"/>
        </w:tabs>
        <w:spacing w:line="240" w:lineRule="auto"/>
        <w:ind w:left="4320"/>
        <w:rPr>
          <w:rFonts w:cs="Arial"/>
        </w:rPr>
      </w:pPr>
      <w:r>
        <w:rPr>
          <w:rFonts w:cs="Arial"/>
        </w:rPr>
        <w:t>Columbus, OH  43215</w:t>
      </w:r>
    </w:p>
    <w:p w:rsidR="008E3857" w:rsidRDefault="00933927">
      <w:pPr>
        <w:tabs>
          <w:tab w:val="left" w:pos="4320"/>
        </w:tabs>
        <w:spacing w:line="240" w:lineRule="auto"/>
        <w:ind w:left="4320"/>
        <w:rPr>
          <w:rFonts w:cs="Arial"/>
        </w:rPr>
      </w:pPr>
      <w:r>
        <w:rPr>
          <w:rFonts w:cs="Arial"/>
        </w:rPr>
        <w:t>Telephone:  (614) 469-8000</w:t>
      </w:r>
    </w:p>
    <w:p w:rsidR="008E3857" w:rsidRDefault="00933927">
      <w:pPr>
        <w:tabs>
          <w:tab w:val="left" w:pos="4320"/>
        </w:tabs>
        <w:spacing w:line="240" w:lineRule="auto"/>
        <w:ind w:left="4320"/>
        <w:rPr>
          <w:rFonts w:cs="Arial"/>
        </w:rPr>
      </w:pPr>
      <w:proofErr w:type="spellStart"/>
      <w:r>
        <w:rPr>
          <w:rFonts w:cs="Arial"/>
        </w:rPr>
        <w:t>Telecopier</w:t>
      </w:r>
      <w:proofErr w:type="spellEnd"/>
      <w:r>
        <w:rPr>
          <w:rFonts w:cs="Arial"/>
        </w:rPr>
        <w:t>:  (614) 469-4653</w:t>
      </w:r>
    </w:p>
    <w:p w:rsidR="008E3857" w:rsidRDefault="00933927">
      <w:pPr>
        <w:spacing w:line="240" w:lineRule="auto"/>
        <w:ind w:left="4320"/>
        <w:rPr>
          <w:rFonts w:cs="Arial"/>
        </w:rPr>
      </w:pPr>
      <w:r>
        <w:rPr>
          <w:rFonts w:cs="Arial"/>
        </w:rPr>
        <w:t>sam@mwncmh.com</w:t>
      </w:r>
    </w:p>
    <w:p w:rsidR="008E3857" w:rsidRDefault="00933927">
      <w:pPr>
        <w:spacing w:line="240" w:lineRule="auto"/>
        <w:ind w:left="4320"/>
        <w:rPr>
          <w:rFonts w:cs="Arial"/>
        </w:rPr>
      </w:pPr>
      <w:r>
        <w:rPr>
          <w:rFonts w:cs="Arial"/>
        </w:rPr>
        <w:t>fdarr@mwncmh.com</w:t>
      </w:r>
    </w:p>
    <w:p w:rsidR="008E3857" w:rsidRDefault="00933927">
      <w:pPr>
        <w:spacing w:line="240" w:lineRule="auto"/>
        <w:ind w:left="4320"/>
        <w:rPr>
          <w:rFonts w:cs="Arial"/>
        </w:rPr>
      </w:pPr>
      <w:r>
        <w:rPr>
          <w:rFonts w:cs="Arial"/>
        </w:rPr>
        <w:t>joliker@mwncmh.com</w:t>
      </w:r>
    </w:p>
    <w:p w:rsidR="008E3857" w:rsidRDefault="00933927">
      <w:pPr>
        <w:spacing w:line="240" w:lineRule="auto"/>
        <w:ind w:left="4320"/>
        <w:rPr>
          <w:rFonts w:cs="Arial"/>
        </w:rPr>
      </w:pPr>
      <w:r>
        <w:rPr>
          <w:rFonts w:cs="Arial"/>
        </w:rPr>
        <w:t>mpritchard@mwncmh.com</w:t>
      </w:r>
    </w:p>
    <w:p w:rsidR="008E3857" w:rsidRDefault="008E3857">
      <w:pPr>
        <w:spacing w:line="240" w:lineRule="auto"/>
        <w:ind w:left="4320"/>
        <w:rPr>
          <w:rFonts w:cs="Arial"/>
        </w:rPr>
      </w:pPr>
    </w:p>
    <w:p w:rsidR="008E3857" w:rsidRDefault="00933927">
      <w:pPr>
        <w:spacing w:after="240" w:line="240" w:lineRule="auto"/>
        <w:ind w:left="4320"/>
        <w:jc w:val="left"/>
        <w:rPr>
          <w:b/>
          <w:szCs w:val="52"/>
        </w:rPr>
      </w:pPr>
      <w:r>
        <w:rPr>
          <w:b/>
          <w:szCs w:val="52"/>
        </w:rPr>
        <w:t>Attorneys for Industrial Energy Users-Ohio</w:t>
      </w:r>
    </w:p>
    <w:p w:rsidR="008E3857" w:rsidRDefault="008E3857">
      <w:pPr>
        <w:sectPr w:rsidR="008E3857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center"/>
        <w:rPr>
          <w:rFonts w:ascii="Arial Bold" w:hAnsi="Arial Bold" w:cs="Arial"/>
          <w:b/>
          <w:smallCaps/>
          <w:sz w:val="28"/>
          <w:u w:val="single"/>
        </w:rPr>
      </w:pPr>
      <w:r>
        <w:rPr>
          <w:rFonts w:ascii="Arial Bold" w:hAnsi="Arial Bold" w:cs="Arial"/>
          <w:b/>
          <w:smallCaps/>
          <w:sz w:val="28"/>
          <w:u w:val="single"/>
        </w:rPr>
        <w:lastRenderedPageBreak/>
        <w:t>Certificate of Service</w:t>
      </w:r>
    </w:p>
    <w:p w:rsidR="008E3857" w:rsidRDefault="008E3857">
      <w:pPr>
        <w:spacing w:line="240" w:lineRule="auto"/>
        <w:jc w:val="left"/>
        <w:rPr>
          <w:rFonts w:cs="Arial"/>
        </w:rPr>
      </w:pPr>
    </w:p>
    <w:p w:rsidR="008E3857" w:rsidRDefault="00933927">
      <w:pPr>
        <w:keepNext/>
        <w:ind w:firstLine="720"/>
        <w:outlineLvl w:val="3"/>
        <w:rPr>
          <w:rFonts w:cs="Arial"/>
        </w:rPr>
      </w:pPr>
      <w:r>
        <w:rPr>
          <w:rFonts w:cs="Arial"/>
        </w:rPr>
        <w:t xml:space="preserve">I hereby certify that a copy of the foregoing </w:t>
      </w:r>
      <w:r>
        <w:rPr>
          <w:rFonts w:cs="Arial"/>
          <w:i/>
        </w:rPr>
        <w:t>Reply Brief of Industrial Energy Users-Ohio</w:t>
      </w:r>
      <w:r>
        <w:rPr>
          <w:rFonts w:cs="Arial"/>
        </w:rPr>
        <w:t xml:space="preserve"> was served upon the following parties of record this 30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day of August 2013 </w:t>
      </w:r>
      <w:r>
        <w:rPr>
          <w:rFonts w:eastAsia="Calibri"/>
          <w:i/>
        </w:rPr>
        <w:t>via</w:t>
      </w:r>
      <w:r>
        <w:rPr>
          <w:rFonts w:eastAsia="Calibri"/>
        </w:rPr>
        <w:t xml:space="preserve"> hand-delivery, electronic transmission, or first class mail, U.S. postage prepaid.</w:t>
      </w:r>
    </w:p>
    <w:p w:rsidR="008E3857" w:rsidRDefault="008E3857">
      <w:pPr>
        <w:tabs>
          <w:tab w:val="left" w:pos="-1440"/>
          <w:tab w:val="left" w:pos="-720"/>
          <w:tab w:val="left" w:pos="5040"/>
          <w:tab w:val="center" w:pos="7200"/>
        </w:tabs>
        <w:spacing w:line="240" w:lineRule="auto"/>
        <w:rPr>
          <w:rFonts w:cs="Arial"/>
        </w:rPr>
      </w:pPr>
    </w:p>
    <w:p w:rsidR="008E3857" w:rsidRDefault="00933927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spacing w:line="240" w:lineRule="auto"/>
        <w:ind w:firstLine="5040"/>
        <w:rPr>
          <w:rFonts w:cs="Arial"/>
        </w:rPr>
      </w:pPr>
      <w:r>
        <w:rPr>
          <w:rFonts w:cs="Arial"/>
          <w:u w:val="single"/>
        </w:rPr>
        <w:t>/</w:t>
      </w:r>
      <w:r>
        <w:rPr>
          <w:rFonts w:cs="Arial"/>
          <w:u w:val="single"/>
        </w:rPr>
        <w:t>s/ Matthew R. Pritchard</w:t>
      </w:r>
      <w:r>
        <w:rPr>
          <w:rFonts w:cs="Arial"/>
          <w:u w:val="single"/>
        </w:rPr>
        <w:tab/>
      </w:r>
    </w:p>
    <w:p w:rsidR="008E3857" w:rsidRDefault="00933927">
      <w:pPr>
        <w:tabs>
          <w:tab w:val="left" w:pos="-1440"/>
          <w:tab w:val="left" w:pos="-720"/>
          <w:tab w:val="left" w:pos="5040"/>
          <w:tab w:val="center" w:pos="7200"/>
        </w:tabs>
        <w:spacing w:line="240" w:lineRule="auto"/>
        <w:ind w:firstLine="5040"/>
        <w:rPr>
          <w:rFonts w:cs="Arial"/>
        </w:rPr>
      </w:pPr>
      <w:r>
        <w:rPr>
          <w:rFonts w:cs="Arial"/>
        </w:rPr>
        <w:tab/>
        <w:t>Matthew R. Pritchard</w:t>
      </w:r>
    </w:p>
    <w:p w:rsidR="008E3857" w:rsidRDefault="008E3857">
      <w:pPr>
        <w:tabs>
          <w:tab w:val="left" w:pos="2160"/>
          <w:tab w:val="left" w:pos="2280"/>
        </w:tabs>
        <w:spacing w:line="240" w:lineRule="auto"/>
        <w:rPr>
          <w:rFonts w:cs="Arial"/>
          <w:sz w:val="22"/>
          <w:szCs w:val="22"/>
        </w:rPr>
      </w:pPr>
    </w:p>
    <w:p w:rsidR="008E3857" w:rsidRDefault="008E3857">
      <w:pPr>
        <w:tabs>
          <w:tab w:val="left" w:pos="2160"/>
          <w:tab w:val="left" w:pos="2280"/>
        </w:tabs>
        <w:spacing w:line="240" w:lineRule="auto"/>
        <w:rPr>
          <w:rFonts w:cs="Arial"/>
          <w:sz w:val="22"/>
          <w:szCs w:val="22"/>
        </w:rPr>
        <w:sectPr w:rsidR="008E385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Steven T. Nourse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American Electric Power Service Corporation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 Riverside Plaza, 29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Floor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Columbus, OH  43215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stnourse@aep.com</w:t>
      </w:r>
    </w:p>
    <w:p w:rsidR="008E3857" w:rsidRDefault="008E385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ascii="Arial Bold" w:hAnsi="Arial Bold" w:cs="Arial"/>
          <w:b/>
          <w:smallCaps/>
          <w:sz w:val="22"/>
          <w:szCs w:val="22"/>
        </w:rPr>
      </w:pPr>
      <w:r>
        <w:rPr>
          <w:rFonts w:ascii="Arial Bold" w:hAnsi="Arial Bold" w:cs="Arial"/>
          <w:b/>
          <w:smallCaps/>
          <w:sz w:val="22"/>
          <w:szCs w:val="22"/>
        </w:rPr>
        <w:t>On Behalf of Ohio Power Company</w:t>
      </w:r>
    </w:p>
    <w:p w:rsidR="008E3857" w:rsidRDefault="008E385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L.</w:t>
      </w:r>
      <w:r>
        <w:rPr>
          <w:rFonts w:cs="Arial"/>
          <w:sz w:val="22"/>
          <w:szCs w:val="22"/>
        </w:rPr>
        <w:t xml:space="preserve"> Kurtz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Kurt J. Boehm 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Jody </w:t>
      </w:r>
      <w:proofErr w:type="spellStart"/>
      <w:r>
        <w:rPr>
          <w:rFonts w:cs="Arial"/>
          <w:sz w:val="22"/>
          <w:szCs w:val="22"/>
        </w:rPr>
        <w:t>Kyler</w:t>
      </w:r>
      <w:proofErr w:type="spellEnd"/>
      <w:r>
        <w:rPr>
          <w:rFonts w:cs="Arial"/>
          <w:sz w:val="22"/>
          <w:szCs w:val="22"/>
        </w:rPr>
        <w:t xml:space="preserve"> Cohn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Boehm, Kurtz &amp; Lowry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36 East Seventh Street, Suite 1510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Cincinnati, OH  45202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dboehm@BKLlawfirm.com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mkurtz@BKLlawfirm.com</w:t>
      </w: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jkylercohn@BKLlawfirm.com</w:t>
      </w:r>
    </w:p>
    <w:p w:rsidR="008E3857" w:rsidRDefault="008E3857">
      <w:pPr>
        <w:tabs>
          <w:tab w:val="left" w:pos="2160"/>
          <w:tab w:val="left" w:pos="2280"/>
        </w:tabs>
        <w:spacing w:line="240" w:lineRule="auto"/>
        <w:jc w:val="left"/>
        <w:rPr>
          <w:rFonts w:ascii="Arial Bold" w:hAnsi="Arial Bold" w:cs="Arial"/>
          <w:smallCaps/>
          <w:sz w:val="22"/>
          <w:szCs w:val="22"/>
        </w:rPr>
      </w:pPr>
    </w:p>
    <w:p w:rsidR="008E3857" w:rsidRDefault="00933927">
      <w:pPr>
        <w:tabs>
          <w:tab w:val="left" w:pos="2160"/>
          <w:tab w:val="left" w:pos="2280"/>
        </w:tabs>
        <w:spacing w:line="240" w:lineRule="auto"/>
        <w:jc w:val="left"/>
        <w:rPr>
          <w:rFonts w:ascii="Arial Bold" w:hAnsi="Arial Bold" w:cs="Arial"/>
          <w:b/>
          <w:smallCaps/>
          <w:sz w:val="22"/>
          <w:szCs w:val="22"/>
        </w:rPr>
      </w:pPr>
      <w:r>
        <w:rPr>
          <w:rFonts w:ascii="Arial Bold" w:hAnsi="Arial Bold" w:cs="Arial"/>
          <w:b/>
          <w:smallCaps/>
          <w:sz w:val="22"/>
          <w:szCs w:val="22"/>
        </w:rPr>
        <w:t>On Behalf of the Ohio Energy Group</w:t>
      </w:r>
    </w:p>
    <w:p w:rsidR="008E3857" w:rsidRDefault="008E3857">
      <w:pPr>
        <w:spacing w:line="240" w:lineRule="auto"/>
        <w:jc w:val="left"/>
        <w:rPr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Bruce J. Weston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Ohio Consumers’ </w:t>
      </w:r>
      <w:r>
        <w:rPr>
          <w:rFonts w:cs="Arial"/>
          <w:sz w:val="22"/>
          <w:szCs w:val="22"/>
        </w:rPr>
        <w:t>Counsel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Maureen R. Grady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Assistant Consumers’ Counsel</w:t>
      </w:r>
    </w:p>
    <w:p w:rsidR="008E3857" w:rsidRDefault="00933927">
      <w:pPr>
        <w:spacing w:line="24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Office of the Ohio Consumers’ Counsel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 West Broad Street, Suite 1800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Columbus, OH  43215-3485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grady@occ.state.oh.us</w:t>
      </w:r>
    </w:p>
    <w:p w:rsidR="008E3857" w:rsidRDefault="008E3857">
      <w:pPr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b/>
          <w:smallCaps/>
          <w:sz w:val="22"/>
          <w:szCs w:val="22"/>
        </w:rPr>
      </w:pPr>
      <w:r>
        <w:rPr>
          <w:rFonts w:ascii="Arial Bold" w:hAnsi="Arial Bold" w:cs="Arial"/>
          <w:b/>
          <w:smallCaps/>
          <w:sz w:val="22"/>
          <w:szCs w:val="22"/>
        </w:rPr>
        <w:t xml:space="preserve">On Behalf of the Office of the Ohio </w:t>
      </w:r>
      <w:r>
        <w:rPr>
          <w:rFonts w:cs="Arial"/>
          <w:b/>
          <w:smallCaps/>
          <w:sz w:val="22"/>
          <w:szCs w:val="22"/>
        </w:rPr>
        <w:t>Consumers’ Counsel</w:t>
      </w:r>
    </w:p>
    <w:p w:rsidR="008E3857" w:rsidRDefault="008E3857">
      <w:pPr>
        <w:spacing w:line="240" w:lineRule="auto"/>
        <w:jc w:val="left"/>
        <w:rPr>
          <w:rFonts w:cs="Arial"/>
          <w:b/>
          <w:smallCaps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Mark A. Hayden</w:t>
      </w:r>
    </w:p>
    <w:p w:rsidR="008E3857" w:rsidRDefault="00933927">
      <w:pPr>
        <w:spacing w:line="24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FirstEnergy</w:t>
      </w:r>
      <w:r>
        <w:rPr>
          <w:rFonts w:cs="Arial"/>
          <w:smallCaps/>
          <w:sz w:val="22"/>
          <w:szCs w:val="22"/>
        </w:rPr>
        <w:t xml:space="preserve"> Service Company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76 South Main Street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Akron, OH  44308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haydenm@firstenergycorp.com</w:t>
      </w:r>
    </w:p>
    <w:p w:rsidR="008E3857" w:rsidRDefault="008E3857">
      <w:pPr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James F. Lang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N. Trevor Alexander</w:t>
      </w:r>
    </w:p>
    <w:p w:rsidR="008E3857" w:rsidRDefault="00933927">
      <w:pPr>
        <w:spacing w:line="240" w:lineRule="auto"/>
        <w:jc w:val="left"/>
        <w:rPr>
          <w:rFonts w:cs="Arial"/>
          <w:smallCaps/>
          <w:sz w:val="22"/>
          <w:szCs w:val="22"/>
        </w:rPr>
      </w:pPr>
      <w:proofErr w:type="spellStart"/>
      <w:r>
        <w:rPr>
          <w:rFonts w:cs="Arial"/>
          <w:smallCaps/>
          <w:sz w:val="22"/>
          <w:szCs w:val="22"/>
        </w:rPr>
        <w:t>Calfee</w:t>
      </w:r>
      <w:proofErr w:type="spellEnd"/>
      <w:r>
        <w:rPr>
          <w:rFonts w:cs="Arial"/>
          <w:smallCaps/>
          <w:sz w:val="22"/>
          <w:szCs w:val="22"/>
        </w:rPr>
        <w:t>, Halter &amp; Griswold LLP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proofErr w:type="spellStart"/>
      <w:r>
        <w:rPr>
          <w:rFonts w:cs="Arial"/>
          <w:sz w:val="22"/>
          <w:szCs w:val="22"/>
        </w:rPr>
        <w:t>Calfee</w:t>
      </w:r>
      <w:proofErr w:type="spellEnd"/>
      <w:r>
        <w:rPr>
          <w:rFonts w:cs="Arial"/>
          <w:sz w:val="22"/>
          <w:szCs w:val="22"/>
        </w:rPr>
        <w:t xml:space="preserve"> Building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1405 East Sixth Street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Cleveland, OH  44114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jlang@calfee.com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talexander@calfee.com</w:t>
      </w:r>
    </w:p>
    <w:p w:rsidR="008E3857" w:rsidRDefault="008E3857">
      <w:pPr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b/>
          <w:smallCaps/>
          <w:sz w:val="22"/>
          <w:szCs w:val="22"/>
        </w:rPr>
      </w:pPr>
      <w:proofErr w:type="gramStart"/>
      <w:r>
        <w:rPr>
          <w:rFonts w:cs="Arial"/>
          <w:b/>
          <w:smallCaps/>
          <w:sz w:val="22"/>
          <w:szCs w:val="22"/>
        </w:rPr>
        <w:t>On B</w:t>
      </w:r>
      <w:r>
        <w:rPr>
          <w:rFonts w:cs="Arial"/>
          <w:b/>
          <w:smallCaps/>
          <w:sz w:val="22"/>
          <w:szCs w:val="22"/>
        </w:rPr>
        <w:t>ehalf of FirstEnergy Solutions Corp.</w:t>
      </w:r>
      <w:proofErr w:type="gramEnd"/>
    </w:p>
    <w:p w:rsidR="008E3857" w:rsidRDefault="008E3857">
      <w:pPr>
        <w:spacing w:line="240" w:lineRule="auto"/>
        <w:jc w:val="left"/>
        <w:rPr>
          <w:rFonts w:cs="Arial"/>
          <w:b/>
          <w:smallCaps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M. Howard Petricoff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Stephen M. Howard</w:t>
      </w:r>
    </w:p>
    <w:p w:rsidR="008E3857" w:rsidRDefault="00933927">
      <w:pPr>
        <w:spacing w:line="240" w:lineRule="auto"/>
        <w:jc w:val="left"/>
        <w:rPr>
          <w:rFonts w:cs="Arial"/>
          <w:smallCaps/>
          <w:sz w:val="22"/>
          <w:szCs w:val="22"/>
        </w:rPr>
      </w:pPr>
      <w:proofErr w:type="spellStart"/>
      <w:r>
        <w:rPr>
          <w:rFonts w:cs="Arial"/>
          <w:smallCaps/>
          <w:sz w:val="22"/>
          <w:szCs w:val="22"/>
        </w:rPr>
        <w:t>Vorys</w:t>
      </w:r>
      <w:proofErr w:type="spellEnd"/>
      <w:r>
        <w:rPr>
          <w:rFonts w:cs="Arial"/>
          <w:smallCaps/>
          <w:sz w:val="22"/>
          <w:szCs w:val="22"/>
        </w:rPr>
        <w:t xml:space="preserve">, </w:t>
      </w:r>
      <w:proofErr w:type="spellStart"/>
      <w:r>
        <w:rPr>
          <w:rFonts w:cs="Arial"/>
          <w:smallCaps/>
          <w:sz w:val="22"/>
          <w:szCs w:val="22"/>
        </w:rPr>
        <w:t>Sater</w:t>
      </w:r>
      <w:proofErr w:type="spellEnd"/>
      <w:r>
        <w:rPr>
          <w:rFonts w:cs="Arial"/>
          <w:smallCaps/>
          <w:sz w:val="22"/>
          <w:szCs w:val="22"/>
        </w:rPr>
        <w:t>, Seymour and Pease LLP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52 E. Gay Street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Columbus, OH  43215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mhpetricoff@vorys.com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smhoward@vorys.com</w:t>
      </w:r>
    </w:p>
    <w:p w:rsidR="008E3857" w:rsidRDefault="008E3857">
      <w:pPr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David I. Fein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Vice President, State Government Affairs-East</w:t>
      </w:r>
    </w:p>
    <w:p w:rsidR="008E3857" w:rsidRDefault="00933927">
      <w:pPr>
        <w:spacing w:line="24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Exelon Corporation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 South Dearborn Street, 47th Floor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Chicago, IL  60603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David.Fein@exeloncorp.com</w:t>
      </w:r>
    </w:p>
    <w:p w:rsidR="008E3857" w:rsidRDefault="008E3857">
      <w:pPr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Cynthia Brady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Assistant General Counsel</w:t>
      </w:r>
    </w:p>
    <w:p w:rsidR="008E3857" w:rsidRDefault="00933927">
      <w:pPr>
        <w:spacing w:line="24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Exelon Business Services Company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4300 Winfield Road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Warrenville, IL  60555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Cynthia.Brady@Constellation.com</w:t>
      </w:r>
    </w:p>
    <w:p w:rsidR="008E3857" w:rsidRDefault="008E3857">
      <w:pPr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b/>
          <w:smallCaps/>
          <w:sz w:val="22"/>
          <w:szCs w:val="22"/>
        </w:rPr>
      </w:pPr>
      <w:proofErr w:type="gramStart"/>
      <w:r>
        <w:rPr>
          <w:rFonts w:cs="Arial"/>
          <w:b/>
          <w:smallCaps/>
          <w:sz w:val="22"/>
          <w:szCs w:val="22"/>
        </w:rPr>
        <w:t>On Be</w:t>
      </w:r>
      <w:r>
        <w:rPr>
          <w:rFonts w:cs="Arial"/>
          <w:b/>
          <w:smallCaps/>
          <w:sz w:val="22"/>
          <w:szCs w:val="22"/>
        </w:rPr>
        <w:t xml:space="preserve">half of Exelon Generation Company, LLC and Constellation </w:t>
      </w:r>
      <w:proofErr w:type="spellStart"/>
      <w:r>
        <w:rPr>
          <w:rFonts w:cs="Arial"/>
          <w:b/>
          <w:smallCaps/>
          <w:sz w:val="22"/>
          <w:szCs w:val="22"/>
        </w:rPr>
        <w:t>NewEnergy</w:t>
      </w:r>
      <w:proofErr w:type="spellEnd"/>
      <w:r>
        <w:rPr>
          <w:rFonts w:cs="Arial"/>
          <w:b/>
          <w:smallCaps/>
          <w:sz w:val="22"/>
          <w:szCs w:val="22"/>
        </w:rPr>
        <w:t>, Inc.</w:t>
      </w:r>
      <w:proofErr w:type="gramEnd"/>
    </w:p>
    <w:p w:rsidR="008E3857" w:rsidRDefault="008E3857">
      <w:pPr>
        <w:spacing w:line="240" w:lineRule="auto"/>
        <w:jc w:val="left"/>
        <w:rPr>
          <w:rFonts w:cs="Arial"/>
          <w:b/>
          <w:smallCaps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Stephen Reilly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Assistant Attorney General 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Attorney General’s Office 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Utilities Section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180 E. Broad Street, 6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Floor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Columbus, OH  43215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stephen.reilly@puc.state.oh.us</w:t>
      </w:r>
    </w:p>
    <w:p w:rsidR="008E3857" w:rsidRDefault="008E3857">
      <w:pPr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 xml:space="preserve">On </w:t>
      </w:r>
      <w:r>
        <w:rPr>
          <w:rFonts w:cs="Arial"/>
          <w:b/>
          <w:smallCaps/>
          <w:sz w:val="22"/>
          <w:szCs w:val="22"/>
        </w:rPr>
        <w:t>Behalf of the Staff of the Public Utilities Commission of Ohio</w:t>
      </w:r>
    </w:p>
    <w:p w:rsidR="008E3857" w:rsidRDefault="008E3857">
      <w:pPr>
        <w:spacing w:line="240" w:lineRule="auto"/>
        <w:jc w:val="left"/>
        <w:rPr>
          <w:rFonts w:cs="Arial"/>
          <w:b/>
          <w:smallCaps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Sarah Parrot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Jonathan </w:t>
      </w:r>
      <w:proofErr w:type="spellStart"/>
      <w:r>
        <w:rPr>
          <w:rFonts w:cs="Arial"/>
          <w:sz w:val="22"/>
          <w:szCs w:val="22"/>
        </w:rPr>
        <w:t>Tauber</w:t>
      </w:r>
      <w:proofErr w:type="spellEnd"/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Utilities Commission of Ohio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180 East Broad Street, 12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Floor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Columbus, OH  43215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sarah.parrot@puc.state.oh.us</w:t>
      </w:r>
    </w:p>
    <w:p w:rsidR="008E3857" w:rsidRDefault="00933927">
      <w:pPr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jonathan.tauber@puc.state.oh.us</w:t>
      </w:r>
    </w:p>
    <w:p w:rsidR="008E3857" w:rsidRDefault="008E3857">
      <w:pPr>
        <w:spacing w:line="240" w:lineRule="auto"/>
        <w:jc w:val="left"/>
        <w:rPr>
          <w:rFonts w:cs="Arial"/>
          <w:sz w:val="22"/>
          <w:szCs w:val="22"/>
        </w:rPr>
      </w:pPr>
    </w:p>
    <w:p w:rsidR="008E3857" w:rsidRDefault="00933927">
      <w:pPr>
        <w:spacing w:line="240" w:lineRule="auto"/>
        <w:jc w:val="left"/>
        <w:rPr>
          <w:rFonts w:ascii="Arial Bold" w:hAnsi="Arial Bold" w:cs="Arial"/>
          <w:b/>
          <w:smallCaps/>
          <w:sz w:val="22"/>
          <w:szCs w:val="22"/>
        </w:rPr>
      </w:pPr>
      <w:r>
        <w:rPr>
          <w:rFonts w:ascii="Arial Bold" w:hAnsi="Arial Bold" w:cs="Arial"/>
          <w:b/>
          <w:smallCaps/>
          <w:sz w:val="22"/>
          <w:szCs w:val="22"/>
        </w:rPr>
        <w:t>Attorney Ex</w:t>
      </w:r>
      <w:r>
        <w:rPr>
          <w:rFonts w:ascii="Arial Bold" w:hAnsi="Arial Bold" w:cs="Arial"/>
          <w:b/>
          <w:smallCaps/>
          <w:sz w:val="22"/>
          <w:szCs w:val="22"/>
        </w:rPr>
        <w:t>aminers</w:t>
      </w:r>
    </w:p>
    <w:p w:rsidR="008E3857" w:rsidRDefault="008E3857">
      <w:pPr>
        <w:tabs>
          <w:tab w:val="left" w:pos="2160"/>
          <w:tab w:val="left" w:pos="2280"/>
        </w:tabs>
        <w:spacing w:line="240" w:lineRule="auto"/>
        <w:jc w:val="left"/>
      </w:pPr>
    </w:p>
    <w:p w:rsidR="008E3857" w:rsidRDefault="008E3857"/>
    <w:sectPr w:rsidR="008E3857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57" w:rsidRDefault="00933927">
      <w:pPr>
        <w:spacing w:line="240" w:lineRule="auto"/>
      </w:pPr>
      <w:r>
        <w:separator/>
      </w:r>
    </w:p>
  </w:endnote>
  <w:endnote w:type="continuationSeparator" w:id="0">
    <w:p w:rsidR="008E3857" w:rsidRDefault="00933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A" w:rsidRDefault="00390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Default="00390D9A">
    <w:pPr>
      <w:pStyle w:val="Footer"/>
    </w:pPr>
    <w:r w:rsidRPr="00390D9A">
      <w:rPr>
        <w:noProof/>
        <w:sz w:val="16"/>
      </w:rPr>
      <w:t>{C41427:3 }</w:t>
    </w:r>
    <w:r w:rsidR="00933927">
      <w:rPr>
        <w:noProof/>
        <w:sz w:val="16"/>
      </w:rPr>
      <w:t>`</w:t>
    </w:r>
    <w:r w:rsidR="00933927">
      <w:rPr>
        <w:noProof/>
        <w:sz w:val="16"/>
      </w:rPr>
      <w:tab/>
    </w:r>
    <w:r w:rsidR="00933927">
      <w:rPr>
        <w:noProof/>
        <w:sz w:val="22"/>
        <w:szCs w:val="22"/>
      </w:rPr>
      <w:fldChar w:fldCharType="begin"/>
    </w:r>
    <w:r w:rsidR="00933927">
      <w:rPr>
        <w:noProof/>
        <w:sz w:val="22"/>
        <w:szCs w:val="22"/>
      </w:rPr>
      <w:instrText xml:space="preserve"> PAGE   \* MERGEFORMAT </w:instrText>
    </w:r>
    <w:r w:rsidR="00933927">
      <w:rPr>
        <w:noProof/>
        <w:sz w:val="22"/>
        <w:szCs w:val="22"/>
      </w:rPr>
      <w:fldChar w:fldCharType="separate"/>
    </w:r>
    <w:r w:rsidR="00933927">
      <w:rPr>
        <w:noProof/>
        <w:sz w:val="22"/>
        <w:szCs w:val="22"/>
      </w:rPr>
      <w:t>5</w:t>
    </w:r>
    <w:r w:rsidR="00933927">
      <w:rPr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Default="00390D9A">
    <w:pPr>
      <w:pStyle w:val="Footer"/>
    </w:pPr>
    <w:r w:rsidRPr="00390D9A">
      <w:rPr>
        <w:noProof/>
        <w:sz w:val="16"/>
      </w:rPr>
      <w:t>{C41427:3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Default="008E385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Default="00390D9A">
    <w:pPr>
      <w:pStyle w:val="Footer"/>
    </w:pPr>
    <w:r w:rsidRPr="00390D9A">
      <w:rPr>
        <w:noProof/>
        <w:sz w:val="16"/>
      </w:rPr>
      <w:t>{C41427:3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Default="00390D9A">
    <w:pPr>
      <w:pStyle w:val="Footer"/>
    </w:pPr>
    <w:r w:rsidRPr="00390D9A">
      <w:rPr>
        <w:noProof/>
        <w:sz w:val="16"/>
      </w:rPr>
      <w:t>{C41427:3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57" w:rsidRDefault="00933927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E3857" w:rsidRDefault="00933927">
      <w:pPr>
        <w:spacing w:line="240" w:lineRule="auto"/>
      </w:pPr>
      <w:r>
        <w:continuationSeparator/>
      </w:r>
    </w:p>
  </w:footnote>
  <w:footnote w:id="1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Mr. </w:t>
      </w:r>
      <w:proofErr w:type="spellStart"/>
      <w:r>
        <w:t>Kollen’s</w:t>
      </w:r>
      <w:proofErr w:type="spellEnd"/>
      <w:r>
        <w:t xml:space="preserve"> $211 million harm included a projected $47 million increase associated with the 10% energy-only auction (on an annualized basis for the 12 months ending June 1, 2014) and $164 million for the 7 months ending December 2014.  OCC</w:t>
      </w:r>
      <w:r>
        <w:t xml:space="preserve">/OEG Joint Ex. 1 at 3-4.  As admitted by Mr. </w:t>
      </w:r>
      <w:proofErr w:type="spellStart"/>
      <w:r>
        <w:t>Kollen</w:t>
      </w:r>
      <w:proofErr w:type="spellEnd"/>
      <w:r>
        <w:t xml:space="preserve">, the $47 million figure was an annualized number and the actual harm will be less than $47 million depending on when the 10% energy-only auction occurs.  </w:t>
      </w:r>
      <w:proofErr w:type="gramStart"/>
      <w:r>
        <w:rPr>
          <w:i/>
        </w:rPr>
        <w:t>Id.</w:t>
      </w:r>
      <w:r>
        <w:t xml:space="preserve"> at 4, n.1.</w:t>
      </w:r>
      <w:proofErr w:type="gramEnd"/>
    </w:p>
  </w:footnote>
  <w:footnote w:id="2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The 12% individual bill rate cap </w:t>
      </w:r>
      <w:r>
        <w:t xml:space="preserve">was established by the Commission in Case Nos. 11-346-EL-SSO, </w:t>
      </w:r>
      <w:r>
        <w:rPr>
          <w:i/>
        </w:rPr>
        <w:t>et al.</w:t>
      </w:r>
      <w:r>
        <w:t xml:space="preserve"> (the “</w:t>
      </w:r>
      <w:r>
        <w:rPr>
          <w:i/>
        </w:rPr>
        <w:t>ESP II Case</w:t>
      </w:r>
      <w:r>
        <w:t>”).</w:t>
      </w:r>
    </w:p>
  </w:footnote>
  <w:footnote w:id="3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Exelon Ex. 1 at 4, 21.</w:t>
      </w:r>
      <w:proofErr w:type="gramEnd"/>
    </w:p>
  </w:footnote>
  <w:footnote w:id="4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FES Initial Brief at 15.</w:t>
      </w:r>
      <w:proofErr w:type="gramEnd"/>
    </w:p>
  </w:footnote>
  <w:footnote w:id="5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In the Matter of the Application of Columbus Southern Power Company and Ohio Power Company for Authority to </w:t>
      </w:r>
      <w:r>
        <w:rPr>
          <w:i/>
        </w:rPr>
        <w:t>Establish a Standard Service Offer Pursuant to Section 4928.143, Revised Code, in the Form of an Electric Security Plan</w:t>
      </w:r>
      <w:r>
        <w:t xml:space="preserve">, Case Nos. 11-346-EL-SSO, </w:t>
      </w:r>
      <w:r>
        <w:rPr>
          <w:i/>
        </w:rPr>
        <w:t>et al.,</w:t>
      </w:r>
      <w:r>
        <w:t xml:space="preserve"> Opinion and Order at 11, 39-40 (Aug. 8, 2012) (hereinafter “</w:t>
      </w:r>
      <w:r>
        <w:rPr>
          <w:i/>
        </w:rPr>
        <w:t>ESP II Case</w:t>
      </w:r>
      <w:r>
        <w:t>” or “ESP II Order”, as appropr</w:t>
      </w:r>
      <w:r>
        <w:t xml:space="preserve">iate); </w:t>
      </w:r>
      <w:r>
        <w:rPr>
          <w:i/>
        </w:rPr>
        <w:t>ESP II Case</w:t>
      </w:r>
      <w:r>
        <w:t>,</w:t>
      </w:r>
      <w:r>
        <w:rPr>
          <w:i/>
        </w:rPr>
        <w:t xml:space="preserve"> </w:t>
      </w:r>
      <w:r>
        <w:t>Entry on Rehearing at 34-39 (Jan. 30, 2013).</w:t>
      </w:r>
    </w:p>
  </w:footnote>
  <w:footnote w:id="6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ESP II Order at 42.</w:t>
      </w:r>
      <w:proofErr w:type="gramEnd"/>
    </w:p>
  </w:footnote>
  <w:footnote w:id="7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Cs/>
          <w:i/>
        </w:rPr>
        <w:t xml:space="preserve">In the Matter of the Application of Ohio Power Company to Update Its </w:t>
      </w:r>
      <w:proofErr w:type="spellStart"/>
      <w:r>
        <w:rPr>
          <w:bCs/>
          <w:i/>
        </w:rPr>
        <w:t>gridSMART</w:t>
      </w:r>
      <w:proofErr w:type="spellEnd"/>
      <w:r>
        <w:rPr>
          <w:bCs/>
          <w:i/>
        </w:rPr>
        <w:t xml:space="preserve"> Rider</w:t>
      </w:r>
      <w:r>
        <w:rPr>
          <w:bCs/>
        </w:rPr>
        <w:t>, Case No. 13</w:t>
      </w:r>
      <w:r>
        <w:rPr>
          <w:bCs/>
        </w:rPr>
        <w:noBreakHyphen/>
        <w:t>0345</w:t>
      </w:r>
      <w:r>
        <w:rPr>
          <w:bCs/>
        </w:rPr>
        <w:noBreakHyphen/>
        <w:t>EL</w:t>
      </w:r>
      <w:r>
        <w:rPr>
          <w:bCs/>
        </w:rPr>
        <w:noBreakHyphen/>
        <w:t>RDR, Application at Attachment 1 (Feb. 2, 2013) (the $9.9 mil</w:t>
      </w:r>
      <w:r>
        <w:rPr>
          <w:bCs/>
        </w:rPr>
        <w:t>lion figure includes 2012 actual expenditures and 2013 projected expenditures).</w:t>
      </w:r>
    </w:p>
  </w:footnote>
  <w:footnote w:id="8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ESP II Case</w:t>
      </w:r>
      <w:r>
        <w:t>,</w:t>
      </w:r>
      <w:r>
        <w:rPr>
          <w:i/>
        </w:rPr>
        <w:t xml:space="preserve"> </w:t>
      </w:r>
      <w:r>
        <w:t>Direct Testimony of Thomas Kirkpatrick at 8 (Mar. 30, 2012)</w:t>
      </w:r>
    </w:p>
  </w:footnote>
  <w:footnote w:id="9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ESP II Order at 75-76.</w:t>
      </w:r>
    </w:p>
  </w:footnote>
  <w:footnote w:id="10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The Commission held that for purposes of the ESP v. MRO (market rate offer) test, the costs associated with the Generation Resource Rider (“GRR”) amounted to $8 million; however, AEP-Ohio’s actual projected revenue requirement for the GRR was roughly $357</w:t>
      </w:r>
      <w:r>
        <w:t xml:space="preserve">.2 million.  </w:t>
      </w:r>
      <w:proofErr w:type="gramStart"/>
      <w:r>
        <w:rPr>
          <w:i/>
        </w:rPr>
        <w:t>Id.</w:t>
      </w:r>
      <w:r>
        <w:t xml:space="preserve"> at 75; </w:t>
      </w:r>
      <w:r>
        <w:rPr>
          <w:i/>
        </w:rPr>
        <w:t>ESP II Case</w:t>
      </w:r>
      <w:r>
        <w:t>, Supplemental Direct Testimony of Phillip J. Nelson at Ex. PJN-5, page 2 (May 2, 2012).</w:t>
      </w:r>
      <w:proofErr w:type="gramEnd"/>
    </w:p>
  </w:footnote>
  <w:footnote w:id="11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ESP II Order at 75.</w:t>
      </w:r>
      <w:proofErr w:type="gramEnd"/>
      <w:r>
        <w:t xml:space="preserve">  The Commission found that the quantifiable costs associated with the Retail Stability Rider (“RSR”), for purp</w:t>
      </w:r>
      <w:r>
        <w:t>oses of the ESP v. MRO test, was only $388 million; however, the true cost of the RSR is $508 million.</w:t>
      </w:r>
    </w:p>
  </w:footnote>
  <w:footnote w:id="12">
    <w:p w:rsidR="008E3857" w:rsidRDefault="00933927">
      <w:pPr>
        <w:pStyle w:val="FootnoteText"/>
        <w:rPr>
          <w:i/>
        </w:rPr>
      </w:pPr>
      <w:r>
        <w:rPr>
          <w:rStyle w:val="FootnoteReference"/>
        </w:rPr>
        <w:footnoteRef/>
      </w:r>
      <w:r>
        <w:rPr>
          <w:i/>
        </w:rPr>
        <w:t xml:space="preserve"> </w:t>
      </w:r>
      <w:proofErr w:type="gramStart"/>
      <w:r>
        <w:rPr>
          <w:i/>
        </w:rPr>
        <w:t>Id</w:t>
      </w:r>
      <w:r>
        <w:t>. at 76</w:t>
      </w:r>
      <w:r>
        <w:rPr>
          <w:i/>
        </w:rPr>
        <w:t>.</w:t>
      </w:r>
      <w:proofErr w:type="gramEnd"/>
    </w:p>
  </w:footnote>
  <w:footnote w:id="13">
    <w:p w:rsidR="008E3857" w:rsidRDefault="00933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IEU-Ohio Initial Brief at 9-11 (Aug. 16, 2013); FES Initial Brief at 11-14 (Aug. 16, 2013); Tr. Vol.</w:t>
      </w:r>
      <w:proofErr w:type="gramEnd"/>
      <w:r>
        <w:t xml:space="preserve"> I at 98-101.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A" w:rsidRDefault="00390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A" w:rsidRDefault="00390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A" w:rsidRDefault="00390D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Default="008E385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Default="008E385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Default="008E3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FFFFFF89"/>
    <w:multiLevelType w:val="singleLevel"/>
    <w:tmpl w:val="4AC00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490D"/>
    <w:multiLevelType w:val="hybridMultilevel"/>
    <w:tmpl w:val="82BA7E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67326"/>
    <w:multiLevelType w:val="multilevel"/>
    <w:tmpl w:val="54C6C418"/>
    <w:name w:val="IEU Basic--PUCO"/>
    <w:lvl w:ilvl="0">
      <w:start w:val="1"/>
      <w:numFmt w:val="upperRoman"/>
      <w:pStyle w:val="S2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S2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S2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color w:val="010000"/>
        <w:u w:val="none"/>
      </w:rPr>
    </w:lvl>
    <w:lvl w:ilvl="3">
      <w:start w:val="1"/>
      <w:numFmt w:val="lowerLetter"/>
      <w:pStyle w:val="S2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color w:val="010000"/>
        <w:u w:val="none"/>
      </w:rPr>
    </w:lvl>
    <w:lvl w:ilvl="4">
      <w:start w:val="1"/>
      <w:numFmt w:val="lowerRoman"/>
      <w:pStyle w:val="S2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S2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S2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S2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S2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5">
    <w:nsid w:val="67B71568"/>
    <w:multiLevelType w:val="multilevel"/>
    <w:tmpl w:val="7286195C"/>
    <w:name w:val="(Unnamed Numbering Scheme)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vanish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vanish w:val="0"/>
        <w:color w:val="01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vanish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vanish w:val="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vanish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vanish w:val="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vanish w:val="0"/>
        <w:u w:val="none"/>
      </w:rPr>
    </w:lvl>
  </w:abstractNum>
  <w:abstractNum w:abstractNumId="6">
    <w:nsid w:val="706A6B18"/>
    <w:multiLevelType w:val="hybridMultilevel"/>
    <w:tmpl w:val="E6DAF8D4"/>
    <w:lvl w:ilvl="0" w:tplc="329E4AA4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7"/>
    <w:rsid w:val="00390D9A"/>
    <w:rsid w:val="007C6508"/>
    <w:rsid w:val="008E3857"/>
    <w:rsid w:val="009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Signature" w:uiPriority="3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BAE"/>
    <w:pPr>
      <w:numPr>
        <w:numId w:val="4"/>
      </w:numPr>
      <w:spacing w:after="240" w:line="240" w:lineRule="auto"/>
      <w:outlineLvl w:val="0"/>
    </w:pPr>
    <w:rPr>
      <w:rFonts w:ascii="Arial Bold" w:eastAsiaTheme="majorEastAsia" w:hAnsi="Arial Bold" w:cs="Arial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4"/>
      </w:numPr>
      <w:spacing w:after="240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4"/>
      </w:numPr>
      <w:spacing w:after="24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numPr>
        <w:ilvl w:val="3"/>
        <w:numId w:val="4"/>
      </w:numPr>
      <w:spacing w:after="240"/>
      <w:outlineLvl w:val="3"/>
    </w:pPr>
    <w:rPr>
      <w:rFonts w:eastAsiaTheme="majorEastAsia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BAE"/>
    <w:rPr>
      <w:rFonts w:ascii="Arial Bold" w:eastAsiaTheme="majorEastAsia" w:hAnsi="Arial Bold" w:cs="Arial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="Arial"/>
      <w:b/>
      <w:bCs/>
      <w:i/>
      <w:iCs/>
      <w:sz w:val="24"/>
    </w:rPr>
  </w:style>
  <w:style w:type="paragraph" w:styleId="FootnoteText">
    <w:name w:val="footnote text"/>
    <w:basedOn w:val="Normal"/>
    <w:link w:val="FootnoteTextChar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</w:style>
  <w:style w:type="paragraph" w:styleId="Title">
    <w:name w:val="Title"/>
    <w:basedOn w:val="Normal"/>
    <w:link w:val="TitleChar"/>
    <w:qFormat/>
    <w:pPr>
      <w:spacing w:after="240"/>
      <w:jc w:val="center"/>
    </w:pPr>
    <w:rPr>
      <w:rFonts w:eastAsiaTheme="majorEastAsia" w:cstheme="majorBidi"/>
      <w:sz w:val="23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sz w:val="23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 w:val="0"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</w:p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</w:style>
  <w:style w:type="paragraph" w:customStyle="1" w:styleId="NoIndent">
    <w:name w:val="No Indent"/>
    <w:aliases w:val="NoInd"/>
    <w:basedOn w:val="Normal"/>
    <w:qFormat/>
    <w:pPr>
      <w:spacing w:after="240"/>
    </w:p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right="720"/>
    </w:pPr>
    <w:rPr>
      <w:iCs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left"/>
    </w:pPr>
    <w:rPr>
      <w:rFonts w:ascii="Times New Roman" w:hAnsi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b/>
      <w:sz w:val="24"/>
    </w:rPr>
  </w:style>
  <w:style w:type="paragraph" w:customStyle="1" w:styleId="S2Heading1">
    <w:name w:val="S2.Heading 1"/>
    <w:basedOn w:val="Normal"/>
    <w:next w:val="Normal"/>
    <w:link w:val="S2Heading1Char"/>
    <w:rsid w:val="00A33BAE"/>
    <w:pPr>
      <w:numPr>
        <w:numId w:val="11"/>
      </w:numPr>
      <w:tabs>
        <w:tab w:val="clear" w:pos="720"/>
      </w:tabs>
      <w:spacing w:after="240" w:line="240" w:lineRule="auto"/>
      <w:outlineLvl w:val="0"/>
    </w:pPr>
    <w:rPr>
      <w:rFonts w:cs="Arial"/>
      <w:b/>
      <w:caps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3BAE"/>
    <w:rPr>
      <w:rFonts w:ascii="Arial" w:hAnsi="Arial"/>
      <w:sz w:val="24"/>
      <w:szCs w:val="24"/>
    </w:rPr>
  </w:style>
  <w:style w:type="character" w:customStyle="1" w:styleId="S2Heading1Char">
    <w:name w:val="S2.Heading 1 Char"/>
    <w:basedOn w:val="ListParagraphChar"/>
    <w:link w:val="S2Heading1"/>
    <w:rsid w:val="00A33BAE"/>
    <w:rPr>
      <w:rFonts w:ascii="Arial" w:hAnsi="Arial" w:cs="Arial"/>
      <w:b/>
      <w:caps/>
      <w:sz w:val="24"/>
      <w:szCs w:val="24"/>
      <w:u w:val="single"/>
    </w:rPr>
  </w:style>
  <w:style w:type="paragraph" w:customStyle="1" w:styleId="S2Heading2">
    <w:name w:val="S2.Heading 2"/>
    <w:basedOn w:val="Normal"/>
    <w:next w:val="Normal"/>
    <w:link w:val="S2Heading2Char"/>
    <w:rsid w:val="00A33BAE"/>
    <w:pPr>
      <w:numPr>
        <w:ilvl w:val="1"/>
        <w:numId w:val="11"/>
      </w:numPr>
      <w:spacing w:after="240" w:line="240" w:lineRule="auto"/>
      <w:outlineLvl w:val="1"/>
    </w:pPr>
    <w:rPr>
      <w:rFonts w:cs="Arial"/>
      <w:b/>
    </w:rPr>
  </w:style>
  <w:style w:type="character" w:customStyle="1" w:styleId="S2Heading2Char">
    <w:name w:val="S2.Heading 2 Char"/>
    <w:basedOn w:val="ListParagraphChar"/>
    <w:link w:val="S2Heading2"/>
    <w:rsid w:val="00A33BAE"/>
    <w:rPr>
      <w:rFonts w:ascii="Arial" w:hAnsi="Arial" w:cs="Arial"/>
      <w:b/>
      <w:sz w:val="24"/>
      <w:szCs w:val="24"/>
    </w:rPr>
  </w:style>
  <w:style w:type="paragraph" w:customStyle="1" w:styleId="S2Heading3">
    <w:name w:val="S2.Heading 3"/>
    <w:basedOn w:val="Normal"/>
    <w:next w:val="Normal"/>
    <w:link w:val="S2Heading3Char"/>
    <w:rsid w:val="00A33BAE"/>
    <w:pPr>
      <w:numPr>
        <w:ilvl w:val="2"/>
        <w:numId w:val="11"/>
      </w:numPr>
      <w:spacing w:after="240" w:line="240" w:lineRule="auto"/>
      <w:outlineLvl w:val="2"/>
    </w:pPr>
    <w:rPr>
      <w:rFonts w:cs="Arial"/>
      <w:b/>
    </w:rPr>
  </w:style>
  <w:style w:type="character" w:customStyle="1" w:styleId="S2Heading3Char">
    <w:name w:val="S2.Heading 3 Char"/>
    <w:basedOn w:val="ListParagraphChar"/>
    <w:link w:val="S2Heading3"/>
    <w:rsid w:val="00A33BAE"/>
    <w:rPr>
      <w:rFonts w:ascii="Arial" w:hAnsi="Arial" w:cs="Arial"/>
      <w:b/>
      <w:sz w:val="24"/>
      <w:szCs w:val="24"/>
    </w:rPr>
  </w:style>
  <w:style w:type="paragraph" w:customStyle="1" w:styleId="S2Heading4">
    <w:name w:val="S2.Heading 4"/>
    <w:basedOn w:val="Normal"/>
    <w:next w:val="Normal"/>
    <w:link w:val="S2Heading4Char"/>
    <w:rsid w:val="00A33BAE"/>
    <w:pPr>
      <w:numPr>
        <w:ilvl w:val="3"/>
        <w:numId w:val="11"/>
      </w:numPr>
      <w:spacing w:after="240" w:line="240" w:lineRule="auto"/>
      <w:outlineLvl w:val="3"/>
    </w:pPr>
    <w:rPr>
      <w:rFonts w:cs="Arial"/>
      <w:b/>
      <w:i/>
    </w:rPr>
  </w:style>
  <w:style w:type="character" w:customStyle="1" w:styleId="S2Heading4Char">
    <w:name w:val="S2.Heading 4 Char"/>
    <w:basedOn w:val="ListParagraphChar"/>
    <w:link w:val="S2Heading4"/>
    <w:rsid w:val="00A33BAE"/>
    <w:rPr>
      <w:rFonts w:ascii="Arial" w:hAnsi="Arial" w:cs="Arial"/>
      <w:b/>
      <w:i/>
      <w:sz w:val="24"/>
      <w:szCs w:val="24"/>
    </w:rPr>
  </w:style>
  <w:style w:type="paragraph" w:customStyle="1" w:styleId="S2Heading5">
    <w:name w:val="S2.Heading 5"/>
    <w:basedOn w:val="Normal"/>
    <w:next w:val="Normal"/>
    <w:link w:val="S2Heading5Char"/>
    <w:rsid w:val="00A33BAE"/>
    <w:pPr>
      <w:numPr>
        <w:ilvl w:val="4"/>
        <w:numId w:val="11"/>
      </w:numPr>
      <w:spacing w:after="240" w:line="240" w:lineRule="auto"/>
      <w:outlineLvl w:val="4"/>
    </w:pPr>
    <w:rPr>
      <w:rFonts w:asciiTheme="majorHAnsi" w:hAnsiTheme="majorHAnsi" w:cs="Arial"/>
      <w:color w:val="243F60" w:themeColor="accent1" w:themeShade="7F"/>
    </w:rPr>
  </w:style>
  <w:style w:type="character" w:customStyle="1" w:styleId="S2Heading5Char">
    <w:name w:val="S2.Heading 5 Char"/>
    <w:basedOn w:val="ListParagraphChar"/>
    <w:link w:val="S2Heading5"/>
    <w:rsid w:val="00A33BAE"/>
    <w:rPr>
      <w:rFonts w:asciiTheme="majorHAnsi" w:hAnsiTheme="majorHAnsi" w:cs="Arial"/>
      <w:color w:val="243F60" w:themeColor="accent1" w:themeShade="7F"/>
      <w:sz w:val="24"/>
      <w:szCs w:val="24"/>
    </w:rPr>
  </w:style>
  <w:style w:type="paragraph" w:customStyle="1" w:styleId="S2Heading6">
    <w:name w:val="S2.Heading 6"/>
    <w:basedOn w:val="Normal"/>
    <w:next w:val="Normal"/>
    <w:link w:val="S2Heading6Char"/>
    <w:rsid w:val="00A33BAE"/>
    <w:pPr>
      <w:numPr>
        <w:ilvl w:val="5"/>
        <w:numId w:val="11"/>
      </w:numPr>
      <w:spacing w:after="240" w:line="240" w:lineRule="auto"/>
      <w:outlineLvl w:val="5"/>
    </w:pPr>
    <w:rPr>
      <w:rFonts w:asciiTheme="majorHAnsi" w:hAnsiTheme="majorHAnsi" w:cs="Arial"/>
      <w:color w:val="243F60" w:themeColor="accent1" w:themeShade="7F"/>
    </w:rPr>
  </w:style>
  <w:style w:type="character" w:customStyle="1" w:styleId="S2Heading6Char">
    <w:name w:val="S2.Heading 6 Char"/>
    <w:basedOn w:val="ListParagraphChar"/>
    <w:link w:val="S2Heading6"/>
    <w:rsid w:val="00A33BAE"/>
    <w:rPr>
      <w:rFonts w:asciiTheme="majorHAnsi" w:hAnsiTheme="majorHAnsi" w:cs="Arial"/>
      <w:color w:val="243F60" w:themeColor="accent1" w:themeShade="7F"/>
      <w:sz w:val="24"/>
      <w:szCs w:val="24"/>
    </w:rPr>
  </w:style>
  <w:style w:type="paragraph" w:customStyle="1" w:styleId="S2Heading7">
    <w:name w:val="S2.Heading 7"/>
    <w:basedOn w:val="Normal"/>
    <w:next w:val="Normal"/>
    <w:link w:val="S2Heading7Char"/>
    <w:rsid w:val="00A33BAE"/>
    <w:pPr>
      <w:numPr>
        <w:ilvl w:val="6"/>
        <w:numId w:val="11"/>
      </w:numPr>
      <w:spacing w:after="240" w:line="240" w:lineRule="auto"/>
      <w:outlineLvl w:val="6"/>
    </w:pPr>
    <w:rPr>
      <w:rFonts w:asciiTheme="majorHAnsi" w:hAnsiTheme="majorHAnsi" w:cs="Arial"/>
      <w:color w:val="404040" w:themeColor="text1" w:themeTint="BF"/>
    </w:rPr>
  </w:style>
  <w:style w:type="character" w:customStyle="1" w:styleId="S2Heading7Char">
    <w:name w:val="S2.Heading 7 Char"/>
    <w:basedOn w:val="ListParagraphChar"/>
    <w:link w:val="S2Heading7"/>
    <w:rsid w:val="00A33BAE"/>
    <w:rPr>
      <w:rFonts w:asciiTheme="majorHAnsi" w:hAnsiTheme="majorHAnsi" w:cs="Arial"/>
      <w:color w:val="404040" w:themeColor="text1" w:themeTint="BF"/>
      <w:sz w:val="24"/>
      <w:szCs w:val="24"/>
    </w:rPr>
  </w:style>
  <w:style w:type="paragraph" w:customStyle="1" w:styleId="S2Heading8">
    <w:name w:val="S2.Heading 8"/>
    <w:basedOn w:val="Normal"/>
    <w:next w:val="Normal"/>
    <w:link w:val="S2Heading8Char"/>
    <w:rsid w:val="00A33BAE"/>
    <w:pPr>
      <w:numPr>
        <w:ilvl w:val="7"/>
        <w:numId w:val="11"/>
      </w:numPr>
      <w:spacing w:after="240" w:line="240" w:lineRule="auto"/>
      <w:outlineLvl w:val="7"/>
    </w:pPr>
    <w:rPr>
      <w:rFonts w:asciiTheme="majorHAnsi" w:hAnsiTheme="majorHAnsi" w:cs="Arial"/>
      <w:color w:val="404040" w:themeColor="text1" w:themeTint="BF"/>
    </w:rPr>
  </w:style>
  <w:style w:type="character" w:customStyle="1" w:styleId="S2Heading8Char">
    <w:name w:val="S2.Heading 8 Char"/>
    <w:basedOn w:val="ListParagraphChar"/>
    <w:link w:val="S2Heading8"/>
    <w:rsid w:val="00A33BAE"/>
    <w:rPr>
      <w:rFonts w:asciiTheme="majorHAnsi" w:hAnsiTheme="majorHAnsi" w:cs="Arial"/>
      <w:color w:val="404040" w:themeColor="text1" w:themeTint="BF"/>
      <w:sz w:val="24"/>
      <w:szCs w:val="24"/>
    </w:rPr>
  </w:style>
  <w:style w:type="paragraph" w:customStyle="1" w:styleId="S2Heading9">
    <w:name w:val="S2.Heading 9"/>
    <w:basedOn w:val="Normal"/>
    <w:next w:val="Normal"/>
    <w:link w:val="S2Heading9Char"/>
    <w:rsid w:val="00A33BAE"/>
    <w:pPr>
      <w:numPr>
        <w:ilvl w:val="8"/>
        <w:numId w:val="11"/>
      </w:numPr>
      <w:spacing w:after="240" w:line="240" w:lineRule="auto"/>
      <w:outlineLvl w:val="8"/>
    </w:pPr>
    <w:rPr>
      <w:rFonts w:asciiTheme="majorHAnsi" w:hAnsiTheme="majorHAnsi" w:cs="Arial"/>
      <w:color w:val="404040" w:themeColor="text1" w:themeTint="BF"/>
    </w:rPr>
  </w:style>
  <w:style w:type="character" w:customStyle="1" w:styleId="S2Heading9Char">
    <w:name w:val="S2.Heading 9 Char"/>
    <w:basedOn w:val="ListParagraphChar"/>
    <w:link w:val="S2Heading9"/>
    <w:rsid w:val="00A33BAE"/>
    <w:rPr>
      <w:rFonts w:asciiTheme="majorHAnsi" w:hAnsiTheme="majorHAnsi" w:cs="Arial"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Signature" w:uiPriority="3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BAE"/>
    <w:pPr>
      <w:numPr>
        <w:numId w:val="4"/>
      </w:numPr>
      <w:spacing w:after="240" w:line="240" w:lineRule="auto"/>
      <w:outlineLvl w:val="0"/>
    </w:pPr>
    <w:rPr>
      <w:rFonts w:ascii="Arial Bold" w:eastAsiaTheme="majorEastAsia" w:hAnsi="Arial Bold" w:cs="Arial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4"/>
      </w:numPr>
      <w:spacing w:after="240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4"/>
      </w:numPr>
      <w:spacing w:after="24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numPr>
        <w:ilvl w:val="3"/>
        <w:numId w:val="4"/>
      </w:numPr>
      <w:spacing w:after="240"/>
      <w:outlineLvl w:val="3"/>
    </w:pPr>
    <w:rPr>
      <w:rFonts w:eastAsiaTheme="majorEastAsia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BAE"/>
    <w:rPr>
      <w:rFonts w:ascii="Arial Bold" w:eastAsiaTheme="majorEastAsia" w:hAnsi="Arial Bold" w:cs="Arial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="Arial"/>
      <w:b/>
      <w:bCs/>
      <w:i/>
      <w:iCs/>
      <w:sz w:val="24"/>
    </w:rPr>
  </w:style>
  <w:style w:type="paragraph" w:styleId="FootnoteText">
    <w:name w:val="footnote text"/>
    <w:basedOn w:val="Normal"/>
    <w:link w:val="FootnoteTextChar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</w:style>
  <w:style w:type="paragraph" w:styleId="Title">
    <w:name w:val="Title"/>
    <w:basedOn w:val="Normal"/>
    <w:link w:val="TitleChar"/>
    <w:qFormat/>
    <w:pPr>
      <w:spacing w:after="240"/>
      <w:jc w:val="center"/>
    </w:pPr>
    <w:rPr>
      <w:rFonts w:eastAsiaTheme="majorEastAsia" w:cstheme="majorBidi"/>
      <w:sz w:val="23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sz w:val="23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 w:val="0"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</w:p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</w:style>
  <w:style w:type="paragraph" w:customStyle="1" w:styleId="NoIndent">
    <w:name w:val="No Indent"/>
    <w:aliases w:val="NoInd"/>
    <w:basedOn w:val="Normal"/>
    <w:qFormat/>
    <w:pPr>
      <w:spacing w:after="240"/>
    </w:p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right="720"/>
    </w:pPr>
    <w:rPr>
      <w:iCs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left"/>
    </w:pPr>
    <w:rPr>
      <w:rFonts w:ascii="Times New Roman" w:hAnsi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b/>
      <w:sz w:val="24"/>
    </w:rPr>
  </w:style>
  <w:style w:type="paragraph" w:customStyle="1" w:styleId="S2Heading1">
    <w:name w:val="S2.Heading 1"/>
    <w:basedOn w:val="Normal"/>
    <w:next w:val="Normal"/>
    <w:link w:val="S2Heading1Char"/>
    <w:rsid w:val="00A33BAE"/>
    <w:pPr>
      <w:numPr>
        <w:numId w:val="11"/>
      </w:numPr>
      <w:tabs>
        <w:tab w:val="clear" w:pos="720"/>
      </w:tabs>
      <w:spacing w:after="240" w:line="240" w:lineRule="auto"/>
      <w:outlineLvl w:val="0"/>
    </w:pPr>
    <w:rPr>
      <w:rFonts w:cs="Arial"/>
      <w:b/>
      <w:caps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3BAE"/>
    <w:rPr>
      <w:rFonts w:ascii="Arial" w:hAnsi="Arial"/>
      <w:sz w:val="24"/>
      <w:szCs w:val="24"/>
    </w:rPr>
  </w:style>
  <w:style w:type="character" w:customStyle="1" w:styleId="S2Heading1Char">
    <w:name w:val="S2.Heading 1 Char"/>
    <w:basedOn w:val="ListParagraphChar"/>
    <w:link w:val="S2Heading1"/>
    <w:rsid w:val="00A33BAE"/>
    <w:rPr>
      <w:rFonts w:ascii="Arial" w:hAnsi="Arial" w:cs="Arial"/>
      <w:b/>
      <w:caps/>
      <w:sz w:val="24"/>
      <w:szCs w:val="24"/>
      <w:u w:val="single"/>
    </w:rPr>
  </w:style>
  <w:style w:type="paragraph" w:customStyle="1" w:styleId="S2Heading2">
    <w:name w:val="S2.Heading 2"/>
    <w:basedOn w:val="Normal"/>
    <w:next w:val="Normal"/>
    <w:link w:val="S2Heading2Char"/>
    <w:rsid w:val="00A33BAE"/>
    <w:pPr>
      <w:numPr>
        <w:ilvl w:val="1"/>
        <w:numId w:val="11"/>
      </w:numPr>
      <w:spacing w:after="240" w:line="240" w:lineRule="auto"/>
      <w:outlineLvl w:val="1"/>
    </w:pPr>
    <w:rPr>
      <w:rFonts w:cs="Arial"/>
      <w:b/>
    </w:rPr>
  </w:style>
  <w:style w:type="character" w:customStyle="1" w:styleId="S2Heading2Char">
    <w:name w:val="S2.Heading 2 Char"/>
    <w:basedOn w:val="ListParagraphChar"/>
    <w:link w:val="S2Heading2"/>
    <w:rsid w:val="00A33BAE"/>
    <w:rPr>
      <w:rFonts w:ascii="Arial" w:hAnsi="Arial" w:cs="Arial"/>
      <w:b/>
      <w:sz w:val="24"/>
      <w:szCs w:val="24"/>
    </w:rPr>
  </w:style>
  <w:style w:type="paragraph" w:customStyle="1" w:styleId="S2Heading3">
    <w:name w:val="S2.Heading 3"/>
    <w:basedOn w:val="Normal"/>
    <w:next w:val="Normal"/>
    <w:link w:val="S2Heading3Char"/>
    <w:rsid w:val="00A33BAE"/>
    <w:pPr>
      <w:numPr>
        <w:ilvl w:val="2"/>
        <w:numId w:val="11"/>
      </w:numPr>
      <w:spacing w:after="240" w:line="240" w:lineRule="auto"/>
      <w:outlineLvl w:val="2"/>
    </w:pPr>
    <w:rPr>
      <w:rFonts w:cs="Arial"/>
      <w:b/>
    </w:rPr>
  </w:style>
  <w:style w:type="character" w:customStyle="1" w:styleId="S2Heading3Char">
    <w:name w:val="S2.Heading 3 Char"/>
    <w:basedOn w:val="ListParagraphChar"/>
    <w:link w:val="S2Heading3"/>
    <w:rsid w:val="00A33BAE"/>
    <w:rPr>
      <w:rFonts w:ascii="Arial" w:hAnsi="Arial" w:cs="Arial"/>
      <w:b/>
      <w:sz w:val="24"/>
      <w:szCs w:val="24"/>
    </w:rPr>
  </w:style>
  <w:style w:type="paragraph" w:customStyle="1" w:styleId="S2Heading4">
    <w:name w:val="S2.Heading 4"/>
    <w:basedOn w:val="Normal"/>
    <w:next w:val="Normal"/>
    <w:link w:val="S2Heading4Char"/>
    <w:rsid w:val="00A33BAE"/>
    <w:pPr>
      <w:numPr>
        <w:ilvl w:val="3"/>
        <w:numId w:val="11"/>
      </w:numPr>
      <w:spacing w:after="240" w:line="240" w:lineRule="auto"/>
      <w:outlineLvl w:val="3"/>
    </w:pPr>
    <w:rPr>
      <w:rFonts w:cs="Arial"/>
      <w:b/>
      <w:i/>
    </w:rPr>
  </w:style>
  <w:style w:type="character" w:customStyle="1" w:styleId="S2Heading4Char">
    <w:name w:val="S2.Heading 4 Char"/>
    <w:basedOn w:val="ListParagraphChar"/>
    <w:link w:val="S2Heading4"/>
    <w:rsid w:val="00A33BAE"/>
    <w:rPr>
      <w:rFonts w:ascii="Arial" w:hAnsi="Arial" w:cs="Arial"/>
      <w:b/>
      <w:i/>
      <w:sz w:val="24"/>
      <w:szCs w:val="24"/>
    </w:rPr>
  </w:style>
  <w:style w:type="paragraph" w:customStyle="1" w:styleId="S2Heading5">
    <w:name w:val="S2.Heading 5"/>
    <w:basedOn w:val="Normal"/>
    <w:next w:val="Normal"/>
    <w:link w:val="S2Heading5Char"/>
    <w:rsid w:val="00A33BAE"/>
    <w:pPr>
      <w:numPr>
        <w:ilvl w:val="4"/>
        <w:numId w:val="11"/>
      </w:numPr>
      <w:spacing w:after="240" w:line="240" w:lineRule="auto"/>
      <w:outlineLvl w:val="4"/>
    </w:pPr>
    <w:rPr>
      <w:rFonts w:asciiTheme="majorHAnsi" w:hAnsiTheme="majorHAnsi" w:cs="Arial"/>
      <w:color w:val="243F60" w:themeColor="accent1" w:themeShade="7F"/>
    </w:rPr>
  </w:style>
  <w:style w:type="character" w:customStyle="1" w:styleId="S2Heading5Char">
    <w:name w:val="S2.Heading 5 Char"/>
    <w:basedOn w:val="ListParagraphChar"/>
    <w:link w:val="S2Heading5"/>
    <w:rsid w:val="00A33BAE"/>
    <w:rPr>
      <w:rFonts w:asciiTheme="majorHAnsi" w:hAnsiTheme="majorHAnsi" w:cs="Arial"/>
      <w:color w:val="243F60" w:themeColor="accent1" w:themeShade="7F"/>
      <w:sz w:val="24"/>
      <w:szCs w:val="24"/>
    </w:rPr>
  </w:style>
  <w:style w:type="paragraph" w:customStyle="1" w:styleId="S2Heading6">
    <w:name w:val="S2.Heading 6"/>
    <w:basedOn w:val="Normal"/>
    <w:next w:val="Normal"/>
    <w:link w:val="S2Heading6Char"/>
    <w:rsid w:val="00A33BAE"/>
    <w:pPr>
      <w:numPr>
        <w:ilvl w:val="5"/>
        <w:numId w:val="11"/>
      </w:numPr>
      <w:spacing w:after="240" w:line="240" w:lineRule="auto"/>
      <w:outlineLvl w:val="5"/>
    </w:pPr>
    <w:rPr>
      <w:rFonts w:asciiTheme="majorHAnsi" w:hAnsiTheme="majorHAnsi" w:cs="Arial"/>
      <w:color w:val="243F60" w:themeColor="accent1" w:themeShade="7F"/>
    </w:rPr>
  </w:style>
  <w:style w:type="character" w:customStyle="1" w:styleId="S2Heading6Char">
    <w:name w:val="S2.Heading 6 Char"/>
    <w:basedOn w:val="ListParagraphChar"/>
    <w:link w:val="S2Heading6"/>
    <w:rsid w:val="00A33BAE"/>
    <w:rPr>
      <w:rFonts w:asciiTheme="majorHAnsi" w:hAnsiTheme="majorHAnsi" w:cs="Arial"/>
      <w:color w:val="243F60" w:themeColor="accent1" w:themeShade="7F"/>
      <w:sz w:val="24"/>
      <w:szCs w:val="24"/>
    </w:rPr>
  </w:style>
  <w:style w:type="paragraph" w:customStyle="1" w:styleId="S2Heading7">
    <w:name w:val="S2.Heading 7"/>
    <w:basedOn w:val="Normal"/>
    <w:next w:val="Normal"/>
    <w:link w:val="S2Heading7Char"/>
    <w:rsid w:val="00A33BAE"/>
    <w:pPr>
      <w:numPr>
        <w:ilvl w:val="6"/>
        <w:numId w:val="11"/>
      </w:numPr>
      <w:spacing w:after="240" w:line="240" w:lineRule="auto"/>
      <w:outlineLvl w:val="6"/>
    </w:pPr>
    <w:rPr>
      <w:rFonts w:asciiTheme="majorHAnsi" w:hAnsiTheme="majorHAnsi" w:cs="Arial"/>
      <w:color w:val="404040" w:themeColor="text1" w:themeTint="BF"/>
    </w:rPr>
  </w:style>
  <w:style w:type="character" w:customStyle="1" w:styleId="S2Heading7Char">
    <w:name w:val="S2.Heading 7 Char"/>
    <w:basedOn w:val="ListParagraphChar"/>
    <w:link w:val="S2Heading7"/>
    <w:rsid w:val="00A33BAE"/>
    <w:rPr>
      <w:rFonts w:asciiTheme="majorHAnsi" w:hAnsiTheme="majorHAnsi" w:cs="Arial"/>
      <w:color w:val="404040" w:themeColor="text1" w:themeTint="BF"/>
      <w:sz w:val="24"/>
      <w:szCs w:val="24"/>
    </w:rPr>
  </w:style>
  <w:style w:type="paragraph" w:customStyle="1" w:styleId="S2Heading8">
    <w:name w:val="S2.Heading 8"/>
    <w:basedOn w:val="Normal"/>
    <w:next w:val="Normal"/>
    <w:link w:val="S2Heading8Char"/>
    <w:rsid w:val="00A33BAE"/>
    <w:pPr>
      <w:numPr>
        <w:ilvl w:val="7"/>
        <w:numId w:val="11"/>
      </w:numPr>
      <w:spacing w:after="240" w:line="240" w:lineRule="auto"/>
      <w:outlineLvl w:val="7"/>
    </w:pPr>
    <w:rPr>
      <w:rFonts w:asciiTheme="majorHAnsi" w:hAnsiTheme="majorHAnsi" w:cs="Arial"/>
      <w:color w:val="404040" w:themeColor="text1" w:themeTint="BF"/>
    </w:rPr>
  </w:style>
  <w:style w:type="character" w:customStyle="1" w:styleId="S2Heading8Char">
    <w:name w:val="S2.Heading 8 Char"/>
    <w:basedOn w:val="ListParagraphChar"/>
    <w:link w:val="S2Heading8"/>
    <w:rsid w:val="00A33BAE"/>
    <w:rPr>
      <w:rFonts w:asciiTheme="majorHAnsi" w:hAnsiTheme="majorHAnsi" w:cs="Arial"/>
      <w:color w:val="404040" w:themeColor="text1" w:themeTint="BF"/>
      <w:sz w:val="24"/>
      <w:szCs w:val="24"/>
    </w:rPr>
  </w:style>
  <w:style w:type="paragraph" w:customStyle="1" w:styleId="S2Heading9">
    <w:name w:val="S2.Heading 9"/>
    <w:basedOn w:val="Normal"/>
    <w:next w:val="Normal"/>
    <w:link w:val="S2Heading9Char"/>
    <w:rsid w:val="00A33BAE"/>
    <w:pPr>
      <w:numPr>
        <w:ilvl w:val="8"/>
        <w:numId w:val="11"/>
      </w:numPr>
      <w:spacing w:after="240" w:line="240" w:lineRule="auto"/>
      <w:outlineLvl w:val="8"/>
    </w:pPr>
    <w:rPr>
      <w:rFonts w:asciiTheme="majorHAnsi" w:hAnsiTheme="majorHAnsi" w:cs="Arial"/>
      <w:color w:val="404040" w:themeColor="text1" w:themeTint="BF"/>
    </w:rPr>
  </w:style>
  <w:style w:type="character" w:customStyle="1" w:styleId="S2Heading9Char">
    <w:name w:val="S2.Heading 9 Char"/>
    <w:basedOn w:val="ListParagraphChar"/>
    <w:link w:val="S2Heading9"/>
    <w:rsid w:val="00A33BAE"/>
    <w:rPr>
      <w:rFonts w:asciiTheme="majorHAnsi" w:hAnsiTheme="majorHAnsi" w:cs="Arial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BEDD-6EC5-44C1-9D13-CEEABDDD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1312</Words>
  <Characters>7852</Characters>
  <Application>Microsoft Office Word</Application>
  <DocSecurity>0</DocSecurity>
  <PresentationFormat/>
  <Lines>264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IEU-Ohio Reply re: energy only CBP (12-3254) (C41427-3).DOCX</vt:lpstr>
    </vt:vector>
  </TitlesOfParts>
  <LinksUpToDate>false</LinksUpToDate>
  <CharactersWithSpaces>9072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IEU-Ohio Reply re: energy only CBP (12-3254) (C41427-3).DOCX</dc:title>
  <dc:subject>C41427:3 /font=8</dc:subject>
  <dc:creator/>
  <cp:lastModifiedBy/>
  <cp:revision>1</cp:revision>
  <cp:lastPrinted>2013-08-30T14:26:00Z</cp:lastPrinted>
  <dcterms:created xsi:type="dcterms:W3CDTF">2013-08-30T14:31:00Z</dcterms:created>
  <dcterms:modified xsi:type="dcterms:W3CDTF">2013-08-30T14:31:00Z</dcterms:modified>
</cp:coreProperties>
</file>