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B6528E" w:rsidP="00B6528E" w14:paraId="63CF0AE5"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B6528E" w:rsidP="00B6528E" w14:paraId="18E1D7B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B6528E" w:rsidP="00B6528E" w14:paraId="2B1E8B16" w14:textId="77777777">
      <w:pPr>
        <w:pStyle w:val="HTMLPreformatted"/>
        <w:rPr>
          <w:rFonts w:ascii="Times New Roman" w:hAnsi="Times New Roman"/>
          <w:sz w:val="24"/>
        </w:rPr>
      </w:pPr>
    </w:p>
    <w:tbl>
      <w:tblPr>
        <w:tblW w:w="9458" w:type="dxa"/>
        <w:tblLook w:val="01E0"/>
      </w:tblPr>
      <w:tblGrid>
        <w:gridCol w:w="3708"/>
        <w:gridCol w:w="1350"/>
        <w:gridCol w:w="4400"/>
      </w:tblGrid>
      <w:tr w14:paraId="0283D557" w14:textId="77777777" w:rsidTr="00CB5EC7">
        <w:tblPrEx>
          <w:tblW w:w="9458" w:type="dxa"/>
          <w:tblLook w:val="01E0"/>
        </w:tblPrEx>
        <w:trPr>
          <w:trHeight w:val="807"/>
        </w:trPr>
        <w:tc>
          <w:tcPr>
            <w:tcW w:w="3708" w:type="dxa"/>
            <w:shd w:val="clear" w:color="auto" w:fill="auto"/>
          </w:tcPr>
          <w:p w:rsidR="00B6528E" w:rsidRPr="00A044B5" w:rsidP="00CB5EC7" w14:paraId="4DCA9685" w14:textId="42A8CE42">
            <w:pPr>
              <w:rPr>
                <w:szCs w:val="24"/>
              </w:rPr>
            </w:pPr>
            <w:r w:rsidRPr="00A044B5">
              <w:t>In the Matter of</w:t>
            </w:r>
            <w:r>
              <w:t xml:space="preserve"> the Commission</w:t>
            </w:r>
            <w:r w:rsidR="00C6353A">
              <w:t>’</w:t>
            </w:r>
            <w:r>
              <w:t>s Investigation into Verde Energy USA Ohio, LLC</w:t>
            </w:r>
            <w:r w:rsidR="00C6353A">
              <w:t>’</w:t>
            </w:r>
            <w:r>
              <w:t>s Compliance with the Ohio Administrative Code and Potential Remedial Actions for Non-Compliance.</w:t>
            </w:r>
          </w:p>
        </w:tc>
        <w:tc>
          <w:tcPr>
            <w:tcW w:w="1350" w:type="dxa"/>
            <w:shd w:val="clear" w:color="auto" w:fill="auto"/>
          </w:tcPr>
          <w:p w:rsidR="00B6528E" w:rsidRPr="00A044B5" w:rsidP="00CB5EC7" w14:paraId="6FFD49C0" w14:textId="77777777">
            <w:pPr>
              <w:pStyle w:val="HTMLPreformatted"/>
              <w:jc w:val="center"/>
              <w:rPr>
                <w:rFonts w:ascii="Times New Roman" w:hAnsi="Times New Roman"/>
                <w:sz w:val="24"/>
              </w:rPr>
            </w:pPr>
            <w:r w:rsidRPr="00A044B5">
              <w:rPr>
                <w:rFonts w:ascii="Times New Roman" w:hAnsi="Times New Roman"/>
                <w:sz w:val="24"/>
              </w:rPr>
              <w:t>)</w:t>
            </w:r>
          </w:p>
          <w:p w:rsidR="00B6528E" w:rsidRPr="00A044B5" w:rsidP="00CB5EC7" w14:paraId="630337FE" w14:textId="77777777">
            <w:pPr>
              <w:pStyle w:val="HTMLPreformatted"/>
              <w:jc w:val="center"/>
              <w:rPr>
                <w:rFonts w:ascii="Times New Roman" w:hAnsi="Times New Roman"/>
                <w:sz w:val="24"/>
              </w:rPr>
            </w:pPr>
            <w:r w:rsidRPr="00A044B5">
              <w:rPr>
                <w:rFonts w:ascii="Times New Roman" w:hAnsi="Times New Roman"/>
                <w:sz w:val="24"/>
              </w:rPr>
              <w:t>)</w:t>
            </w:r>
          </w:p>
          <w:p w:rsidR="00B6528E" w:rsidRPr="00A044B5" w:rsidP="00CB5EC7" w14:paraId="0D88052F" w14:textId="77777777">
            <w:pPr>
              <w:pStyle w:val="HTMLPreformatted"/>
              <w:jc w:val="center"/>
              <w:rPr>
                <w:rFonts w:ascii="Times New Roman" w:hAnsi="Times New Roman"/>
                <w:sz w:val="24"/>
              </w:rPr>
            </w:pPr>
            <w:r w:rsidRPr="00A044B5">
              <w:rPr>
                <w:rFonts w:ascii="Times New Roman" w:hAnsi="Times New Roman"/>
                <w:sz w:val="24"/>
              </w:rPr>
              <w:t>)</w:t>
            </w:r>
          </w:p>
          <w:p w:rsidR="00B6528E" w:rsidP="00CB5EC7" w14:paraId="363BA3DB" w14:textId="77777777">
            <w:pPr>
              <w:pStyle w:val="HTMLPreformatted"/>
              <w:jc w:val="center"/>
              <w:rPr>
                <w:rFonts w:ascii="Times New Roman" w:hAnsi="Times New Roman"/>
                <w:sz w:val="24"/>
              </w:rPr>
            </w:pPr>
            <w:r w:rsidRPr="00A044B5">
              <w:rPr>
                <w:rFonts w:ascii="Times New Roman" w:hAnsi="Times New Roman"/>
                <w:sz w:val="24"/>
              </w:rPr>
              <w:t>)</w:t>
            </w:r>
          </w:p>
          <w:p w:rsidR="00B6528E" w:rsidP="00CB5EC7" w14:paraId="2909E2D9" w14:textId="77777777">
            <w:pPr>
              <w:pStyle w:val="HTMLPreformatted"/>
              <w:jc w:val="center"/>
              <w:rPr>
                <w:rFonts w:ascii="Times New Roman" w:hAnsi="Times New Roman"/>
                <w:sz w:val="24"/>
              </w:rPr>
            </w:pPr>
            <w:r>
              <w:rPr>
                <w:rFonts w:ascii="Times New Roman" w:hAnsi="Times New Roman"/>
                <w:sz w:val="24"/>
              </w:rPr>
              <w:t>)</w:t>
            </w:r>
          </w:p>
          <w:p w:rsidR="00B6528E" w:rsidRPr="00A044B5" w:rsidP="00CB5EC7" w14:paraId="7B5073F3" w14:textId="77777777">
            <w:pPr>
              <w:pStyle w:val="HTMLPreformatted"/>
              <w:jc w:val="center"/>
              <w:rPr>
                <w:rFonts w:ascii="Times New Roman" w:hAnsi="Times New Roman"/>
                <w:sz w:val="24"/>
              </w:rPr>
            </w:pPr>
            <w:r>
              <w:rPr>
                <w:rFonts w:ascii="Times New Roman" w:hAnsi="Times New Roman"/>
                <w:sz w:val="24"/>
              </w:rPr>
              <w:t>)</w:t>
            </w:r>
          </w:p>
        </w:tc>
        <w:tc>
          <w:tcPr>
            <w:tcW w:w="4400" w:type="dxa"/>
            <w:shd w:val="clear" w:color="auto" w:fill="auto"/>
          </w:tcPr>
          <w:p w:rsidR="00B6528E" w:rsidRPr="00A044B5" w:rsidP="00CB5EC7" w14:paraId="587D184D" w14:textId="77777777">
            <w:pPr>
              <w:pStyle w:val="HTMLPreformatted"/>
              <w:rPr>
                <w:rFonts w:ascii="Times New Roman" w:hAnsi="Times New Roman"/>
                <w:sz w:val="24"/>
              </w:rPr>
            </w:pPr>
          </w:p>
          <w:p w:rsidR="00B6528E" w:rsidRPr="00A044B5" w:rsidP="00CB5EC7" w14:paraId="521A38E2" w14:textId="77777777">
            <w:r w:rsidRPr="00A044B5">
              <w:t xml:space="preserve">Case No. </w:t>
            </w:r>
            <w:r>
              <w:t>19-958-GE-COI</w:t>
            </w:r>
          </w:p>
          <w:p w:rsidR="00B6528E" w:rsidRPr="00A044B5" w:rsidP="00CB5EC7" w14:paraId="53051A0E" w14:textId="77777777">
            <w:pPr>
              <w:pStyle w:val="HTMLPreformatted"/>
              <w:rPr>
                <w:rFonts w:ascii="Times New Roman" w:hAnsi="Times New Roman"/>
                <w:sz w:val="24"/>
              </w:rPr>
            </w:pPr>
          </w:p>
          <w:p w:rsidR="00B6528E" w:rsidRPr="00A044B5" w:rsidP="00CB5EC7" w14:paraId="05C570C4" w14:textId="77777777">
            <w:pPr>
              <w:pStyle w:val="HTMLPreformatted"/>
              <w:rPr>
                <w:rFonts w:ascii="Times New Roman" w:hAnsi="Times New Roman"/>
                <w:sz w:val="24"/>
              </w:rPr>
            </w:pPr>
          </w:p>
        </w:tc>
      </w:tr>
    </w:tbl>
    <w:p w:rsidR="00B6528E" w:rsidP="00B6528E" w14:paraId="169C1EAF" w14:textId="77777777">
      <w:pPr>
        <w:pStyle w:val="HTMLPreformatted"/>
        <w:rPr>
          <w:rFonts w:ascii="Times New Roman" w:hAnsi="Times New Roman"/>
          <w:sz w:val="24"/>
        </w:rPr>
      </w:pPr>
      <w:r>
        <w:rPr>
          <w:rFonts w:ascii="Times New Roman" w:hAnsi="Times New Roman"/>
          <w:sz w:val="24"/>
        </w:rPr>
        <w:tab/>
      </w:r>
    </w:p>
    <w:p w:rsidR="00B6528E" w:rsidP="00B6528E" w14:paraId="7E51DC44" w14:textId="77777777">
      <w:pPr>
        <w:pStyle w:val="HTMLPreformatted"/>
        <w:pBdr>
          <w:top w:val="single" w:sz="12" w:space="1" w:color="auto"/>
        </w:pBdr>
        <w:rPr>
          <w:rFonts w:ascii="Times New Roman" w:hAnsi="Times New Roman"/>
          <w:sz w:val="24"/>
        </w:rPr>
      </w:pPr>
    </w:p>
    <w:p w:rsidR="00B6528E" w:rsidP="00B6528E" w14:paraId="257C127E" w14:textId="7C8C7A0A">
      <w:pPr>
        <w:jc w:val="center"/>
        <w:rPr>
          <w:b/>
          <w:bCs/>
        </w:rPr>
      </w:pPr>
      <w:r>
        <w:rPr>
          <w:b/>
          <w:bCs/>
        </w:rPr>
        <w:t>MEMORANDUM CONTRA VERDE ENERGY</w:t>
      </w:r>
      <w:r w:rsidR="00C6353A">
        <w:rPr>
          <w:b/>
          <w:bCs/>
        </w:rPr>
        <w:t>’</w:t>
      </w:r>
      <w:r>
        <w:rPr>
          <w:b/>
          <w:bCs/>
        </w:rPr>
        <w:t xml:space="preserve">S </w:t>
      </w:r>
      <w:r w:rsidR="002D37EB">
        <w:rPr>
          <w:b/>
          <w:bCs/>
        </w:rPr>
        <w:t>SECOND</w:t>
      </w:r>
    </w:p>
    <w:p w:rsidR="00B6528E" w:rsidP="00B6528E" w14:paraId="23DE33EE" w14:textId="1E0780B7">
      <w:pPr>
        <w:jc w:val="center"/>
        <w:rPr>
          <w:b/>
          <w:bCs/>
        </w:rPr>
      </w:pPr>
      <w:r>
        <w:rPr>
          <w:b/>
          <w:bCs/>
        </w:rPr>
        <w:t xml:space="preserve">MOTION FOR </w:t>
      </w:r>
      <w:r w:rsidR="009A438A">
        <w:rPr>
          <w:b/>
          <w:bCs/>
        </w:rPr>
        <w:t xml:space="preserve">AN </w:t>
      </w:r>
      <w:r>
        <w:rPr>
          <w:b/>
          <w:bCs/>
        </w:rPr>
        <w:t>ORDER</w:t>
      </w:r>
      <w:r w:rsidR="009A438A">
        <w:rPr>
          <w:b/>
          <w:bCs/>
        </w:rPr>
        <w:t xml:space="preserve"> TO PROTECT IT FROM OCC</w:t>
      </w:r>
      <w:r w:rsidR="00C6353A">
        <w:rPr>
          <w:b/>
          <w:bCs/>
        </w:rPr>
        <w:t>’</w:t>
      </w:r>
      <w:r w:rsidR="009A438A">
        <w:rPr>
          <w:b/>
          <w:bCs/>
        </w:rPr>
        <w:t>S DISCOVERY</w:t>
      </w:r>
    </w:p>
    <w:p w:rsidR="00B6528E" w:rsidP="00B6528E" w14:paraId="1E7B083B" w14:textId="77777777">
      <w:pPr>
        <w:jc w:val="center"/>
        <w:rPr>
          <w:b/>
          <w:bCs/>
        </w:rPr>
      </w:pPr>
      <w:r>
        <w:rPr>
          <w:b/>
          <w:bCs/>
        </w:rPr>
        <w:t>BY</w:t>
      </w:r>
    </w:p>
    <w:p w:rsidR="00B6528E" w:rsidP="00B6528E" w14:paraId="70F77FF2" w14:textId="0B212769">
      <w:pPr>
        <w:jc w:val="center"/>
        <w:rPr>
          <w:b/>
          <w:bCs/>
        </w:rPr>
      </w:pPr>
      <w:r>
        <w:rPr>
          <w:b/>
          <w:bCs/>
        </w:rPr>
        <w:t>THE OFFICE OF THE OHIO CONSUMERS</w:t>
      </w:r>
      <w:r w:rsidR="00C6353A">
        <w:rPr>
          <w:b/>
          <w:bCs/>
        </w:rPr>
        <w:t>’</w:t>
      </w:r>
      <w:r>
        <w:rPr>
          <w:b/>
          <w:bCs/>
        </w:rPr>
        <w:t xml:space="preserve"> COUNSEL</w:t>
      </w:r>
    </w:p>
    <w:p w:rsidR="00B6528E" w:rsidP="00B6528E" w14:paraId="61F44FD0" w14:textId="77777777">
      <w:pPr>
        <w:pBdr>
          <w:bottom w:val="single" w:sz="12" w:space="1" w:color="auto"/>
        </w:pBdr>
        <w:tabs>
          <w:tab w:val="left" w:pos="4320"/>
        </w:tabs>
      </w:pPr>
    </w:p>
    <w:p w:rsidR="00B6528E" w:rsidP="00B6528E" w14:paraId="74A6C3CA" w14:textId="3CB2056F">
      <w:pPr>
        <w:tabs>
          <w:tab w:val="left" w:pos="4320"/>
        </w:tabs>
      </w:pPr>
    </w:p>
    <w:p w:rsidR="00B6528E" w:rsidRPr="007E2879" w:rsidP="00B6528E" w14:paraId="58756B12" w14:textId="77777777">
      <w:pPr>
        <w:pStyle w:val="Footer"/>
        <w:tabs>
          <w:tab w:val="left" w:pos="4320"/>
        </w:tabs>
        <w:ind w:left="4320"/>
      </w:pPr>
      <w:r w:rsidRPr="007E2879">
        <w:t>Bruce Weston (0016973)</w:t>
      </w:r>
    </w:p>
    <w:p w:rsidR="00B6528E" w:rsidRPr="007E2879" w:rsidP="00B6528E" w14:paraId="2B996C0E" w14:textId="7F521A13">
      <w:pPr>
        <w:tabs>
          <w:tab w:val="left" w:pos="4320"/>
        </w:tabs>
        <w:ind w:left="4320"/>
        <w:rPr>
          <w:szCs w:val="24"/>
        </w:rPr>
      </w:pPr>
      <w:r w:rsidRPr="007E2879">
        <w:rPr>
          <w:szCs w:val="24"/>
        </w:rPr>
        <w:t>Ohio Consumers</w:t>
      </w:r>
      <w:r w:rsidR="00C6353A">
        <w:rPr>
          <w:szCs w:val="24"/>
        </w:rPr>
        <w:t>’</w:t>
      </w:r>
      <w:r w:rsidRPr="007E2879">
        <w:rPr>
          <w:szCs w:val="24"/>
        </w:rPr>
        <w:t xml:space="preserve"> Counsel</w:t>
      </w:r>
    </w:p>
    <w:p w:rsidR="00B6528E" w:rsidP="00B6528E" w14:paraId="1D30A65A" w14:textId="77777777">
      <w:pPr>
        <w:tabs>
          <w:tab w:val="left" w:pos="4320"/>
        </w:tabs>
        <w:ind w:left="4320"/>
        <w:rPr>
          <w:szCs w:val="24"/>
        </w:rPr>
      </w:pPr>
    </w:p>
    <w:p w:rsidR="00B6528E" w:rsidRPr="007E2879" w:rsidP="00B6528E" w14:paraId="3869320D" w14:textId="426996BC">
      <w:pPr>
        <w:tabs>
          <w:tab w:val="left" w:pos="4320"/>
        </w:tabs>
        <w:ind w:left="4320"/>
        <w:rPr>
          <w:szCs w:val="24"/>
        </w:rPr>
      </w:pPr>
      <w:r w:rsidRPr="007E2879">
        <w:rPr>
          <w:szCs w:val="24"/>
        </w:rPr>
        <w:t>Angela D. O</w:t>
      </w:r>
      <w:r w:rsidR="00C6353A">
        <w:rPr>
          <w:szCs w:val="24"/>
        </w:rPr>
        <w:t>’</w:t>
      </w:r>
      <w:r w:rsidRPr="007E2879">
        <w:rPr>
          <w:szCs w:val="24"/>
        </w:rPr>
        <w:t>Brien (0097579)</w:t>
      </w:r>
    </w:p>
    <w:p w:rsidR="00B6528E" w:rsidRPr="007E2879" w:rsidP="00B6528E" w14:paraId="36B1EE52" w14:textId="77777777">
      <w:pPr>
        <w:tabs>
          <w:tab w:val="left" w:pos="4320"/>
        </w:tabs>
        <w:ind w:left="4320"/>
        <w:rPr>
          <w:szCs w:val="24"/>
        </w:rPr>
      </w:pPr>
      <w:r w:rsidRPr="007E2879">
        <w:rPr>
          <w:szCs w:val="24"/>
        </w:rPr>
        <w:t xml:space="preserve">Counsel of Record </w:t>
      </w:r>
    </w:p>
    <w:p w:rsidR="00B6528E" w:rsidRPr="007E2879" w:rsidP="00B6528E" w14:paraId="63109235" w14:textId="77777777">
      <w:pPr>
        <w:tabs>
          <w:tab w:val="left" w:pos="4320"/>
        </w:tabs>
        <w:ind w:left="4320"/>
        <w:rPr>
          <w:szCs w:val="24"/>
        </w:rPr>
      </w:pPr>
      <w:r w:rsidRPr="007E2879">
        <w:rPr>
          <w:szCs w:val="24"/>
        </w:rPr>
        <w:t>Christopher Healey (0086027)</w:t>
      </w:r>
    </w:p>
    <w:p w:rsidR="00B6528E" w:rsidRPr="007E2879" w:rsidP="00B6528E" w14:paraId="0DC5F3F7" w14:textId="77777777">
      <w:pPr>
        <w:tabs>
          <w:tab w:val="left" w:pos="4320"/>
        </w:tabs>
        <w:ind w:left="4320"/>
        <w:rPr>
          <w:szCs w:val="24"/>
        </w:rPr>
      </w:pPr>
      <w:r w:rsidRPr="007E2879">
        <w:rPr>
          <w:szCs w:val="24"/>
        </w:rPr>
        <w:t>Bryce McKenney (0088203)</w:t>
      </w:r>
    </w:p>
    <w:p w:rsidR="00B6528E" w:rsidRPr="007E2879" w:rsidP="00B6528E" w14:paraId="7E2D161B" w14:textId="115431F8">
      <w:pPr>
        <w:tabs>
          <w:tab w:val="left" w:pos="4320"/>
        </w:tabs>
        <w:ind w:left="4320"/>
        <w:rPr>
          <w:szCs w:val="24"/>
        </w:rPr>
      </w:pPr>
      <w:r w:rsidRPr="007E2879">
        <w:rPr>
          <w:szCs w:val="24"/>
        </w:rPr>
        <w:t>Assistant Consumers</w:t>
      </w:r>
      <w:r w:rsidR="00C6353A">
        <w:rPr>
          <w:szCs w:val="24"/>
        </w:rPr>
        <w:t>’</w:t>
      </w:r>
      <w:r w:rsidRPr="007E2879">
        <w:rPr>
          <w:szCs w:val="24"/>
        </w:rPr>
        <w:t xml:space="preserve"> Counsel</w:t>
      </w:r>
    </w:p>
    <w:p w:rsidR="00B6528E" w:rsidRPr="00B6528E" w:rsidP="00B6528E" w14:paraId="22B5FFAC" w14:textId="77777777">
      <w:pPr>
        <w:tabs>
          <w:tab w:val="left" w:pos="4320"/>
        </w:tabs>
        <w:ind w:left="4320"/>
        <w:rPr>
          <w:sz w:val="16"/>
          <w:szCs w:val="16"/>
        </w:rPr>
      </w:pPr>
    </w:p>
    <w:p w:rsidR="00B6528E" w:rsidRPr="00E0302F" w:rsidP="00B6528E" w14:paraId="3B1E38AF" w14:textId="36DF42FF">
      <w:pPr>
        <w:ind w:left="4320"/>
        <w:rPr>
          <w:b/>
          <w:bCs/>
        </w:rPr>
      </w:pPr>
      <w:r w:rsidRPr="00E0302F">
        <w:rPr>
          <w:b/>
          <w:bCs/>
        </w:rPr>
        <w:t>Office of the Ohio Consumers</w:t>
      </w:r>
      <w:r w:rsidRPr="00E0302F" w:rsidR="00C6353A">
        <w:rPr>
          <w:b/>
          <w:bCs/>
        </w:rPr>
        <w:t>’</w:t>
      </w:r>
      <w:r w:rsidRPr="00E0302F">
        <w:rPr>
          <w:b/>
          <w:bCs/>
        </w:rPr>
        <w:t xml:space="preserve"> Counsel</w:t>
      </w:r>
    </w:p>
    <w:p w:rsidR="00B6528E" w:rsidRPr="007E2879" w:rsidP="00B6528E" w14:paraId="11716B31" w14:textId="77777777">
      <w:pPr>
        <w:ind w:left="4320"/>
      </w:pPr>
      <w:r w:rsidRPr="007E2879">
        <w:t>65 East State Street, 7th Floor</w:t>
      </w:r>
    </w:p>
    <w:p w:rsidR="00B6528E" w:rsidRPr="007E2879" w:rsidP="00B6528E" w14:paraId="4729F391" w14:textId="77777777">
      <w:pPr>
        <w:ind w:left="4320"/>
      </w:pPr>
      <w:r w:rsidRPr="007E2879">
        <w:t>Columbus, Ohio 43215</w:t>
      </w:r>
    </w:p>
    <w:p w:rsidR="00B6528E" w:rsidRPr="007E2879" w:rsidP="00B6528E" w14:paraId="2F71E76E" w14:textId="33E08C3B">
      <w:pPr>
        <w:autoSpaceDE w:val="0"/>
        <w:autoSpaceDN w:val="0"/>
        <w:adjustRightInd w:val="0"/>
        <w:ind w:left="4320"/>
        <w:rPr>
          <w:szCs w:val="24"/>
        </w:rPr>
      </w:pPr>
      <w:r w:rsidRPr="007E2879">
        <w:rPr>
          <w:szCs w:val="24"/>
        </w:rPr>
        <w:t>Telephone [O</w:t>
      </w:r>
      <w:r w:rsidR="00C6353A">
        <w:rPr>
          <w:szCs w:val="24"/>
        </w:rPr>
        <w:t>’</w:t>
      </w:r>
      <w:r w:rsidRPr="007E2879">
        <w:rPr>
          <w:szCs w:val="24"/>
        </w:rPr>
        <w:t>Brien]: (614) 466-9531</w:t>
      </w:r>
    </w:p>
    <w:p w:rsidR="00B6528E" w:rsidRPr="007E2879" w:rsidP="00B6528E" w14:paraId="3FC83410" w14:textId="77777777">
      <w:pPr>
        <w:autoSpaceDE w:val="0"/>
        <w:autoSpaceDN w:val="0"/>
        <w:adjustRightInd w:val="0"/>
        <w:ind w:left="4320"/>
        <w:rPr>
          <w:szCs w:val="24"/>
        </w:rPr>
      </w:pPr>
      <w:r w:rsidRPr="007E2879">
        <w:rPr>
          <w:szCs w:val="24"/>
        </w:rPr>
        <w:t>Telephone [Healey]: (614) 466-9571</w:t>
      </w:r>
    </w:p>
    <w:p w:rsidR="00B6528E" w:rsidRPr="007E2879" w:rsidP="00B6528E" w14:paraId="7E822020" w14:textId="77777777">
      <w:pPr>
        <w:autoSpaceDE w:val="0"/>
        <w:autoSpaceDN w:val="0"/>
        <w:adjustRightInd w:val="0"/>
        <w:ind w:left="4320"/>
        <w:rPr>
          <w:szCs w:val="24"/>
        </w:rPr>
      </w:pPr>
      <w:r w:rsidRPr="007E2879">
        <w:rPr>
          <w:szCs w:val="24"/>
        </w:rPr>
        <w:t>Telephone [McKenney]: (614) 466-9585</w:t>
      </w:r>
    </w:p>
    <w:p w:rsidR="00B6528E" w:rsidRPr="007E2879" w:rsidP="00B6528E" w14:paraId="6117756B" w14:textId="77777777">
      <w:pPr>
        <w:ind w:left="4320"/>
        <w:rPr>
          <w:szCs w:val="24"/>
        </w:rPr>
      </w:pPr>
      <w:hyperlink r:id="rId6" w:history="1">
        <w:r w:rsidRPr="007E2879" w:rsidR="001B38A7">
          <w:rPr>
            <w:rStyle w:val="Hyperlink"/>
            <w:szCs w:val="24"/>
          </w:rPr>
          <w:t>angela.obrien@occ.ohio.gov</w:t>
        </w:r>
      </w:hyperlink>
    </w:p>
    <w:p w:rsidR="00B6528E" w:rsidRPr="007E2879" w:rsidP="00B6528E" w14:paraId="5C006535" w14:textId="77777777">
      <w:pPr>
        <w:ind w:left="4320"/>
        <w:rPr>
          <w:szCs w:val="24"/>
        </w:rPr>
      </w:pPr>
      <w:hyperlink r:id="rId7" w:history="1">
        <w:r w:rsidRPr="007E2879" w:rsidR="001B38A7">
          <w:rPr>
            <w:rStyle w:val="Hyperlink"/>
            <w:szCs w:val="24"/>
          </w:rPr>
          <w:t>christopher.healey@occ.ohio.gov</w:t>
        </w:r>
      </w:hyperlink>
    </w:p>
    <w:p w:rsidR="00B6528E" w:rsidRPr="007E2879" w:rsidP="00B6528E" w14:paraId="16378C35" w14:textId="77777777">
      <w:pPr>
        <w:ind w:left="4320"/>
        <w:rPr>
          <w:rStyle w:val="Hyperlink"/>
          <w:szCs w:val="24"/>
        </w:rPr>
      </w:pPr>
      <w:r w:rsidRPr="007E2879">
        <w:rPr>
          <w:rStyle w:val="Hyperlink"/>
          <w:szCs w:val="24"/>
        </w:rPr>
        <w:t>bryce.mckenney@occ.ohio.gov</w:t>
      </w:r>
    </w:p>
    <w:p w:rsidR="00B6528E" w:rsidRPr="007E2879" w:rsidP="00B6528E" w14:paraId="6C0A7A95" w14:textId="77777777">
      <w:pPr>
        <w:ind w:left="4320"/>
        <w:rPr>
          <w:szCs w:val="24"/>
        </w:rPr>
      </w:pPr>
      <w:r w:rsidRPr="007E2879">
        <w:rPr>
          <w:szCs w:val="24"/>
        </w:rPr>
        <w:t>(willing to accept service by e-mail)</w:t>
      </w:r>
    </w:p>
    <w:p w:rsidR="00B6528E" w:rsidRPr="00B6528E" w:rsidP="00B6528E" w14:paraId="4B14C3AA" w14:textId="77777777">
      <w:pPr>
        <w:ind w:left="4320"/>
        <w:rPr>
          <w:sz w:val="16"/>
          <w:szCs w:val="16"/>
        </w:rPr>
      </w:pPr>
    </w:p>
    <w:p w:rsidR="00B6528E" w:rsidRPr="007E2879" w:rsidP="00B6528E" w14:paraId="76A3269F" w14:textId="77777777">
      <w:pPr>
        <w:ind w:left="4320"/>
        <w:rPr>
          <w:szCs w:val="24"/>
        </w:rPr>
      </w:pPr>
      <w:r w:rsidRPr="007E2879">
        <w:rPr>
          <w:szCs w:val="24"/>
        </w:rPr>
        <w:t>Kimberly W. Bojko (0069402)</w:t>
      </w:r>
    </w:p>
    <w:p w:rsidR="00B6528E" w:rsidRPr="007E2879" w:rsidP="00B6528E" w14:paraId="6C0DA81B" w14:textId="77777777">
      <w:pPr>
        <w:ind w:left="4320"/>
        <w:rPr>
          <w:szCs w:val="24"/>
        </w:rPr>
      </w:pPr>
      <w:r w:rsidRPr="007E2879">
        <w:rPr>
          <w:szCs w:val="24"/>
        </w:rPr>
        <w:t>Carpenter Lipps &amp; Leland LLP</w:t>
      </w:r>
    </w:p>
    <w:p w:rsidR="00B6528E" w:rsidRPr="007E2879" w:rsidP="00B6528E" w14:paraId="62F707DF" w14:textId="77777777">
      <w:pPr>
        <w:ind w:left="4320"/>
        <w:rPr>
          <w:szCs w:val="24"/>
        </w:rPr>
      </w:pPr>
      <w:r w:rsidRPr="007E2879">
        <w:rPr>
          <w:szCs w:val="24"/>
        </w:rPr>
        <w:t>280 Plaza, Suite 1300</w:t>
      </w:r>
    </w:p>
    <w:p w:rsidR="00B6528E" w:rsidRPr="007E2879" w:rsidP="00B6528E" w14:paraId="39F5DDCA" w14:textId="77777777">
      <w:pPr>
        <w:ind w:left="4320"/>
        <w:rPr>
          <w:szCs w:val="24"/>
        </w:rPr>
      </w:pPr>
      <w:r w:rsidRPr="007E2879">
        <w:rPr>
          <w:szCs w:val="24"/>
        </w:rPr>
        <w:t>280 North High Street</w:t>
      </w:r>
    </w:p>
    <w:p w:rsidR="00B6528E" w:rsidP="00B6528E" w14:paraId="284A57D0" w14:textId="386DE97C">
      <w:pPr>
        <w:ind w:left="4320"/>
        <w:rPr>
          <w:szCs w:val="24"/>
        </w:rPr>
      </w:pPr>
      <w:r w:rsidRPr="007E2879">
        <w:rPr>
          <w:szCs w:val="24"/>
        </w:rPr>
        <w:t>Columbus, Ohio 43215</w:t>
      </w:r>
    </w:p>
    <w:p w:rsidR="00E0302F" w:rsidRPr="007E2879" w:rsidP="00E0302F" w14:paraId="67073239" w14:textId="77777777">
      <w:pPr>
        <w:ind w:left="4320"/>
        <w:rPr>
          <w:szCs w:val="24"/>
        </w:rPr>
      </w:pPr>
      <w:r>
        <w:rPr>
          <w:szCs w:val="24"/>
        </w:rPr>
        <w:t>Telephone: (614) 365-4100</w:t>
      </w:r>
    </w:p>
    <w:p w:rsidR="00B6528E" w:rsidRPr="007E2879" w:rsidP="00B6528E" w14:paraId="4717A0B3" w14:textId="77777777">
      <w:pPr>
        <w:ind w:left="4320"/>
        <w:rPr>
          <w:szCs w:val="24"/>
        </w:rPr>
      </w:pPr>
      <w:hyperlink r:id="rId8" w:history="1">
        <w:r w:rsidRPr="007E2879" w:rsidR="001B38A7">
          <w:rPr>
            <w:rStyle w:val="Hyperlink"/>
            <w:szCs w:val="24"/>
          </w:rPr>
          <w:t>bojko@carpenterlipps.com</w:t>
        </w:r>
      </w:hyperlink>
      <w:r w:rsidRPr="007E2879" w:rsidR="001B38A7">
        <w:rPr>
          <w:szCs w:val="24"/>
        </w:rPr>
        <w:t xml:space="preserve"> </w:t>
      </w:r>
    </w:p>
    <w:p w:rsidR="00B6528E" w:rsidRPr="007E2879" w:rsidP="00B6528E" w14:paraId="707CE092" w14:textId="77777777">
      <w:pPr>
        <w:ind w:left="4320"/>
        <w:rPr>
          <w:szCs w:val="24"/>
        </w:rPr>
      </w:pPr>
      <w:r w:rsidRPr="007E2879">
        <w:rPr>
          <w:szCs w:val="24"/>
        </w:rPr>
        <w:t>(willing to accept service by e-mail)</w:t>
      </w:r>
    </w:p>
    <w:p w:rsidR="00B6528E" w:rsidRPr="007E2879" w:rsidP="00390102" w14:paraId="450A167F" w14:textId="2E2D88C5">
      <w:pPr>
        <w:rPr>
          <w:i/>
          <w:iCs/>
          <w:szCs w:val="24"/>
        </w:rPr>
      </w:pPr>
      <w:r>
        <w:rPr>
          <w:szCs w:val="24"/>
        </w:rPr>
        <w:t>October</w:t>
      </w:r>
      <w:r w:rsidRPr="00390102" w:rsidR="00390102">
        <w:rPr>
          <w:szCs w:val="24"/>
        </w:rPr>
        <w:t xml:space="preserve"> </w:t>
      </w:r>
      <w:r>
        <w:rPr>
          <w:szCs w:val="24"/>
        </w:rPr>
        <w:t>3</w:t>
      </w:r>
      <w:r w:rsidRPr="00390102" w:rsidR="00390102">
        <w:rPr>
          <w:szCs w:val="24"/>
        </w:rPr>
        <w:t>, 2019</w:t>
      </w:r>
      <w:r w:rsidR="00390102">
        <w:rPr>
          <w:i/>
          <w:iCs/>
          <w:szCs w:val="24"/>
        </w:rPr>
        <w:tab/>
      </w:r>
      <w:r w:rsidR="00390102">
        <w:rPr>
          <w:i/>
          <w:iCs/>
          <w:szCs w:val="24"/>
        </w:rPr>
        <w:tab/>
      </w:r>
      <w:r w:rsidR="00390102">
        <w:rPr>
          <w:i/>
          <w:iCs/>
          <w:szCs w:val="24"/>
        </w:rPr>
        <w:tab/>
      </w:r>
      <w:r w:rsidR="00390102">
        <w:rPr>
          <w:i/>
          <w:iCs/>
          <w:szCs w:val="24"/>
        </w:rPr>
        <w:tab/>
      </w:r>
      <w:r w:rsidR="00197E38">
        <w:rPr>
          <w:i/>
          <w:iCs/>
          <w:szCs w:val="24"/>
        </w:rPr>
        <w:t>Special</w:t>
      </w:r>
      <w:r w:rsidRPr="007E2879">
        <w:rPr>
          <w:i/>
          <w:iCs/>
          <w:szCs w:val="24"/>
        </w:rPr>
        <w:t xml:space="preserve"> Counsel for</w:t>
      </w:r>
    </w:p>
    <w:p w:rsidR="00B6528E" w:rsidP="00B6528E" w14:paraId="0F964EAE" w14:textId="213BE45A">
      <w:pPr>
        <w:ind w:left="4320"/>
        <w:rPr>
          <w:b/>
          <w:bCs/>
        </w:rPr>
        <w:sectPr w:rsidSect="005B1D15">
          <w:pgSz w:w="12240" w:h="15840"/>
          <w:pgMar w:top="1440" w:right="1800" w:bottom="1440" w:left="1800" w:header="720" w:footer="720" w:gutter="0"/>
          <w:cols w:space="720"/>
          <w:docGrid w:linePitch="360"/>
        </w:sectPr>
      </w:pPr>
      <w:r w:rsidRPr="007E2879">
        <w:rPr>
          <w:i/>
          <w:iCs/>
          <w:szCs w:val="24"/>
        </w:rPr>
        <w:t>The Office of the Ohio Consumers</w:t>
      </w:r>
      <w:r w:rsidR="00C6353A">
        <w:rPr>
          <w:i/>
          <w:iCs/>
          <w:szCs w:val="24"/>
        </w:rPr>
        <w:t>’</w:t>
      </w:r>
      <w:r w:rsidRPr="007E2879">
        <w:rPr>
          <w:i/>
          <w:iCs/>
          <w:szCs w:val="24"/>
        </w:rPr>
        <w:t xml:space="preserve"> Counsel</w:t>
      </w:r>
    </w:p>
    <w:p w:rsidR="00B6528E" w:rsidRPr="00E64F9E" w:rsidP="00B6528E" w14:paraId="5AC3055E" w14:textId="691302A1">
      <w:pPr>
        <w:pStyle w:val="HTMLPreformatted"/>
        <w:tabs>
          <w:tab w:val="clear" w:pos="7328"/>
          <w:tab w:val="clear" w:pos="8244"/>
          <w:tab w:val="clear" w:pos="9160"/>
          <w:tab w:val="clear" w:pos="10076"/>
        </w:tabs>
        <w:jc w:val="center"/>
        <w:rPr>
          <w:rFonts w:ascii="Times New Roman" w:hAnsi="Times New Roman"/>
          <w:b/>
          <w:bCs/>
          <w:sz w:val="24"/>
          <w:u w:val="single"/>
        </w:rPr>
      </w:pPr>
      <w:r w:rsidRPr="00E64F9E">
        <w:rPr>
          <w:rFonts w:ascii="Times New Roman" w:hAnsi="Times New Roman"/>
          <w:b/>
          <w:bCs/>
          <w:sz w:val="24"/>
          <w:u w:val="single"/>
        </w:rPr>
        <w:t>TABLE OF CONTENTS</w:t>
      </w:r>
    </w:p>
    <w:p w:rsidR="00B6528E" w:rsidP="00B6528E" w14:paraId="1958B8D3" w14:textId="0B04F681">
      <w:pPr>
        <w:pStyle w:val="HTMLPreformatted"/>
        <w:tabs>
          <w:tab w:val="clear" w:pos="7328"/>
          <w:tab w:val="clear" w:pos="8244"/>
          <w:tab w:val="clear" w:pos="9160"/>
          <w:tab w:val="clear" w:pos="10076"/>
        </w:tabs>
        <w:jc w:val="right"/>
        <w:rPr>
          <w:rFonts w:ascii="Times New Roman" w:hAnsi="Times New Roman"/>
          <w:b/>
          <w:bCs/>
          <w:sz w:val="24"/>
        </w:rPr>
      </w:pPr>
      <w:r>
        <w:rPr>
          <w:rFonts w:ascii="Times New Roman" w:hAnsi="Times New Roman"/>
          <w:b/>
          <w:bCs/>
          <w:sz w:val="24"/>
        </w:rPr>
        <w:t>PAGE</w:t>
      </w:r>
    </w:p>
    <w:p w:rsidR="00B6528E" w:rsidP="00B6528E" w14:paraId="33CE3DEC" w14:textId="0A2A430E">
      <w:pPr>
        <w:pStyle w:val="HTMLPreformatted"/>
        <w:tabs>
          <w:tab w:val="clear" w:pos="7328"/>
          <w:tab w:val="clear" w:pos="8244"/>
          <w:tab w:val="clear" w:pos="9160"/>
          <w:tab w:val="clear" w:pos="10076"/>
        </w:tabs>
        <w:jc w:val="center"/>
        <w:rPr>
          <w:rFonts w:ascii="Times New Roman" w:hAnsi="Times New Roman"/>
          <w:b/>
          <w:bCs/>
          <w:sz w:val="24"/>
        </w:rPr>
      </w:pPr>
    </w:p>
    <w:p w:rsidR="00FB3B7F" w14:paraId="11D44AF7" w14:textId="7CA0F093">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0994471" w:history="1">
        <w:r w:rsidRPr="00A835F9">
          <w:rPr>
            <w:rStyle w:val="Hyperlink"/>
            <w:noProof/>
          </w:rPr>
          <w:t>I.</w:t>
        </w:r>
        <w:r>
          <w:rPr>
            <w:rFonts w:asciiTheme="minorHAnsi" w:eastAsiaTheme="minorEastAsia" w:hAnsiTheme="minorHAnsi" w:cstheme="minorBidi"/>
            <w:noProof/>
            <w:sz w:val="22"/>
            <w:szCs w:val="22"/>
          </w:rPr>
          <w:tab/>
        </w:r>
        <w:r w:rsidRPr="00A835F9">
          <w:rPr>
            <w:rStyle w:val="Hyperlink"/>
            <w:noProof/>
          </w:rPr>
          <w:t>INTRODUCTION</w:t>
        </w:r>
        <w:r>
          <w:rPr>
            <w:noProof/>
            <w:webHidden/>
          </w:rPr>
          <w:tab/>
        </w:r>
        <w:r>
          <w:rPr>
            <w:noProof/>
            <w:webHidden/>
          </w:rPr>
          <w:fldChar w:fldCharType="begin"/>
        </w:r>
        <w:r>
          <w:rPr>
            <w:noProof/>
            <w:webHidden/>
          </w:rPr>
          <w:instrText xml:space="preserve"> PAGEREF _Toc20994471 \h </w:instrText>
        </w:r>
        <w:r>
          <w:rPr>
            <w:noProof/>
            <w:webHidden/>
          </w:rPr>
          <w:fldChar w:fldCharType="separate"/>
        </w:r>
        <w:r>
          <w:rPr>
            <w:noProof/>
            <w:webHidden/>
          </w:rPr>
          <w:t>1</w:t>
        </w:r>
        <w:r>
          <w:rPr>
            <w:noProof/>
            <w:webHidden/>
          </w:rPr>
          <w:fldChar w:fldCharType="end"/>
        </w:r>
      </w:hyperlink>
    </w:p>
    <w:p w:rsidR="00FB3B7F" w14:paraId="184C9FE1" w14:textId="0ADDCF33">
      <w:pPr>
        <w:pStyle w:val="TOC1"/>
        <w:rPr>
          <w:rFonts w:asciiTheme="minorHAnsi" w:eastAsiaTheme="minorEastAsia" w:hAnsiTheme="minorHAnsi" w:cstheme="minorBidi"/>
          <w:noProof/>
          <w:sz w:val="22"/>
          <w:szCs w:val="22"/>
        </w:rPr>
      </w:pPr>
      <w:hyperlink w:anchor="_Toc20994472" w:history="1">
        <w:r w:rsidRPr="00A835F9" w:rsidR="001B38A7">
          <w:rPr>
            <w:rStyle w:val="Hyperlink"/>
            <w:noProof/>
          </w:rPr>
          <w:t>II.</w:t>
        </w:r>
        <w:r w:rsidR="001B38A7">
          <w:rPr>
            <w:rFonts w:asciiTheme="minorHAnsi" w:eastAsiaTheme="minorEastAsia" w:hAnsiTheme="minorHAnsi" w:cstheme="minorBidi"/>
            <w:noProof/>
            <w:sz w:val="22"/>
            <w:szCs w:val="22"/>
          </w:rPr>
          <w:tab/>
        </w:r>
        <w:r w:rsidRPr="00A835F9" w:rsidR="001B38A7">
          <w:rPr>
            <w:rStyle w:val="Hyperlink"/>
            <w:noProof/>
          </w:rPr>
          <w:t>ARGUMENT</w:t>
        </w:r>
        <w:r w:rsidR="001B38A7">
          <w:rPr>
            <w:noProof/>
            <w:webHidden/>
          </w:rPr>
          <w:tab/>
        </w:r>
        <w:r w:rsidR="001B38A7">
          <w:rPr>
            <w:noProof/>
            <w:webHidden/>
          </w:rPr>
          <w:fldChar w:fldCharType="begin"/>
        </w:r>
        <w:r w:rsidR="001B38A7">
          <w:rPr>
            <w:noProof/>
            <w:webHidden/>
          </w:rPr>
          <w:instrText xml:space="preserve"> PAGEREF _Toc20994472 \h </w:instrText>
        </w:r>
        <w:r w:rsidR="001B38A7">
          <w:rPr>
            <w:noProof/>
            <w:webHidden/>
          </w:rPr>
          <w:fldChar w:fldCharType="separate"/>
        </w:r>
        <w:r w:rsidR="001B38A7">
          <w:rPr>
            <w:noProof/>
            <w:webHidden/>
          </w:rPr>
          <w:t>3</w:t>
        </w:r>
        <w:r w:rsidR="001B38A7">
          <w:rPr>
            <w:noProof/>
            <w:webHidden/>
          </w:rPr>
          <w:fldChar w:fldCharType="end"/>
        </w:r>
      </w:hyperlink>
    </w:p>
    <w:p w:rsidR="00FB3B7F" w14:paraId="4E9E2C6A" w14:textId="2D36461D">
      <w:pPr>
        <w:pStyle w:val="TOC2"/>
        <w:tabs>
          <w:tab w:val="left" w:pos="1440"/>
        </w:tabs>
        <w:rPr>
          <w:rFonts w:asciiTheme="minorHAnsi" w:eastAsiaTheme="minorEastAsia" w:hAnsiTheme="minorHAnsi" w:cstheme="minorBidi"/>
          <w:noProof/>
          <w:sz w:val="22"/>
          <w:szCs w:val="22"/>
        </w:rPr>
      </w:pPr>
      <w:hyperlink w:anchor="_Toc20994473" w:history="1">
        <w:r w:rsidRPr="00A835F9" w:rsidR="001B38A7">
          <w:rPr>
            <w:rStyle w:val="Hyperlink"/>
            <w:noProof/>
          </w:rPr>
          <w:t>A.</w:t>
        </w:r>
        <w:r w:rsidR="001B38A7">
          <w:rPr>
            <w:rFonts w:asciiTheme="minorHAnsi" w:eastAsiaTheme="minorEastAsia" w:hAnsiTheme="minorHAnsi" w:cstheme="minorBidi"/>
            <w:noProof/>
            <w:sz w:val="22"/>
            <w:szCs w:val="22"/>
          </w:rPr>
          <w:tab/>
        </w:r>
        <w:r w:rsidRPr="00A835F9" w:rsidR="001B38A7">
          <w:rPr>
            <w:rStyle w:val="Hyperlink"/>
            <w:noProof/>
          </w:rPr>
          <w:t>Verde has not demonstrated with any specificity or particularity how or why OCC’s consumer protection discovery is oppressive or burdensome.</w:t>
        </w:r>
        <w:r w:rsidR="001B38A7">
          <w:rPr>
            <w:noProof/>
            <w:webHidden/>
          </w:rPr>
          <w:tab/>
        </w:r>
        <w:r w:rsidR="001B38A7">
          <w:rPr>
            <w:noProof/>
            <w:webHidden/>
          </w:rPr>
          <w:fldChar w:fldCharType="begin"/>
        </w:r>
        <w:r w:rsidR="001B38A7">
          <w:rPr>
            <w:noProof/>
            <w:webHidden/>
          </w:rPr>
          <w:instrText xml:space="preserve"> PAGEREF _Toc20994473 \h </w:instrText>
        </w:r>
        <w:r w:rsidR="001B38A7">
          <w:rPr>
            <w:noProof/>
            <w:webHidden/>
          </w:rPr>
          <w:fldChar w:fldCharType="separate"/>
        </w:r>
        <w:r w:rsidR="001B38A7">
          <w:rPr>
            <w:noProof/>
            <w:webHidden/>
          </w:rPr>
          <w:t>3</w:t>
        </w:r>
        <w:r w:rsidR="001B38A7">
          <w:rPr>
            <w:noProof/>
            <w:webHidden/>
          </w:rPr>
          <w:fldChar w:fldCharType="end"/>
        </w:r>
      </w:hyperlink>
    </w:p>
    <w:p w:rsidR="00FB3B7F" w14:paraId="251AC8C2" w14:textId="25EBE393">
      <w:pPr>
        <w:pStyle w:val="TOC2"/>
        <w:tabs>
          <w:tab w:val="left" w:pos="1440"/>
        </w:tabs>
        <w:rPr>
          <w:rFonts w:asciiTheme="minorHAnsi" w:eastAsiaTheme="minorEastAsia" w:hAnsiTheme="minorHAnsi" w:cstheme="minorBidi"/>
          <w:noProof/>
          <w:sz w:val="22"/>
          <w:szCs w:val="22"/>
        </w:rPr>
      </w:pPr>
      <w:hyperlink w:anchor="_Toc20994474" w:history="1">
        <w:r w:rsidRPr="00A835F9" w:rsidR="001B38A7">
          <w:rPr>
            <w:rStyle w:val="Hyperlink"/>
            <w:noProof/>
          </w:rPr>
          <w:t>B.</w:t>
        </w:r>
        <w:r w:rsidR="001B38A7">
          <w:rPr>
            <w:rFonts w:asciiTheme="minorHAnsi" w:eastAsiaTheme="minorEastAsia" w:hAnsiTheme="minorHAnsi" w:cstheme="minorBidi"/>
            <w:noProof/>
            <w:sz w:val="22"/>
            <w:szCs w:val="22"/>
          </w:rPr>
          <w:tab/>
        </w:r>
        <w:r w:rsidRPr="00A835F9" w:rsidR="001B38A7">
          <w:rPr>
            <w:rStyle w:val="Hyperlink"/>
            <w:noProof/>
          </w:rPr>
          <w:t>The amount of discovery served by OCC is proportional to the number of violations of Ohio law and PUCO rules committed by Verde in its abuses of Ohio consumers.</w:t>
        </w:r>
        <w:r w:rsidR="001B38A7">
          <w:rPr>
            <w:noProof/>
            <w:webHidden/>
          </w:rPr>
          <w:tab/>
        </w:r>
        <w:r w:rsidR="001B38A7">
          <w:rPr>
            <w:noProof/>
            <w:webHidden/>
          </w:rPr>
          <w:fldChar w:fldCharType="begin"/>
        </w:r>
        <w:r w:rsidR="001B38A7">
          <w:rPr>
            <w:noProof/>
            <w:webHidden/>
          </w:rPr>
          <w:instrText xml:space="preserve"> PAGEREF _Toc20994474 \h </w:instrText>
        </w:r>
        <w:r w:rsidR="001B38A7">
          <w:rPr>
            <w:noProof/>
            <w:webHidden/>
          </w:rPr>
          <w:fldChar w:fldCharType="separate"/>
        </w:r>
        <w:r w:rsidR="001B38A7">
          <w:rPr>
            <w:noProof/>
            <w:webHidden/>
          </w:rPr>
          <w:t>4</w:t>
        </w:r>
        <w:r w:rsidR="001B38A7">
          <w:rPr>
            <w:noProof/>
            <w:webHidden/>
          </w:rPr>
          <w:fldChar w:fldCharType="end"/>
        </w:r>
      </w:hyperlink>
    </w:p>
    <w:p w:rsidR="00FB3B7F" w14:paraId="0F9483AF" w14:textId="4EB63526">
      <w:pPr>
        <w:pStyle w:val="TOC2"/>
        <w:tabs>
          <w:tab w:val="left" w:pos="1440"/>
        </w:tabs>
        <w:rPr>
          <w:rFonts w:asciiTheme="minorHAnsi" w:eastAsiaTheme="minorEastAsia" w:hAnsiTheme="minorHAnsi" w:cstheme="minorBidi"/>
          <w:noProof/>
          <w:sz w:val="22"/>
          <w:szCs w:val="22"/>
        </w:rPr>
      </w:pPr>
      <w:hyperlink w:anchor="_Toc20994475" w:history="1">
        <w:r w:rsidRPr="00A835F9" w:rsidR="001B38A7">
          <w:rPr>
            <w:rStyle w:val="Hyperlink"/>
            <w:noProof/>
          </w:rPr>
          <w:t>C.</w:t>
        </w:r>
        <w:r w:rsidR="001B38A7">
          <w:rPr>
            <w:rFonts w:asciiTheme="minorHAnsi" w:eastAsiaTheme="minorEastAsia" w:hAnsiTheme="minorHAnsi" w:cstheme="minorBidi"/>
            <w:noProof/>
            <w:sz w:val="22"/>
            <w:szCs w:val="22"/>
          </w:rPr>
          <w:tab/>
        </w:r>
        <w:r w:rsidRPr="00A835F9" w:rsidR="001B38A7">
          <w:rPr>
            <w:rStyle w:val="Hyperlink"/>
            <w:noProof/>
          </w:rPr>
          <w:t>Discovery often accelerates when a settlement is filed in a PUCO proceeding.</w:t>
        </w:r>
        <w:r w:rsidR="001B38A7">
          <w:rPr>
            <w:noProof/>
            <w:webHidden/>
          </w:rPr>
          <w:tab/>
        </w:r>
        <w:r w:rsidR="001B38A7">
          <w:rPr>
            <w:noProof/>
            <w:webHidden/>
          </w:rPr>
          <w:fldChar w:fldCharType="begin"/>
        </w:r>
        <w:r w:rsidR="001B38A7">
          <w:rPr>
            <w:noProof/>
            <w:webHidden/>
          </w:rPr>
          <w:instrText xml:space="preserve"> PAGEREF _Toc20994475 \h </w:instrText>
        </w:r>
        <w:r w:rsidR="001B38A7">
          <w:rPr>
            <w:noProof/>
            <w:webHidden/>
          </w:rPr>
          <w:fldChar w:fldCharType="separate"/>
        </w:r>
        <w:r w:rsidR="001B38A7">
          <w:rPr>
            <w:noProof/>
            <w:webHidden/>
          </w:rPr>
          <w:t>7</w:t>
        </w:r>
        <w:r w:rsidR="001B38A7">
          <w:rPr>
            <w:noProof/>
            <w:webHidden/>
          </w:rPr>
          <w:fldChar w:fldCharType="end"/>
        </w:r>
      </w:hyperlink>
    </w:p>
    <w:p w:rsidR="00FB3B7F" w14:paraId="4F8C95CF" w14:textId="2F053A8F">
      <w:pPr>
        <w:pStyle w:val="TOC2"/>
        <w:tabs>
          <w:tab w:val="left" w:pos="1440"/>
        </w:tabs>
        <w:rPr>
          <w:rFonts w:asciiTheme="minorHAnsi" w:eastAsiaTheme="minorEastAsia" w:hAnsiTheme="minorHAnsi" w:cstheme="minorBidi"/>
          <w:noProof/>
          <w:sz w:val="22"/>
          <w:szCs w:val="22"/>
        </w:rPr>
      </w:pPr>
      <w:hyperlink w:anchor="_Toc20994476" w:history="1">
        <w:r w:rsidRPr="00A835F9" w:rsidR="001B38A7">
          <w:rPr>
            <w:rStyle w:val="Hyperlink"/>
            <w:noProof/>
          </w:rPr>
          <w:t>D.</w:t>
        </w:r>
        <w:r w:rsidR="001B38A7">
          <w:rPr>
            <w:rFonts w:asciiTheme="minorHAnsi" w:eastAsiaTheme="minorEastAsia" w:hAnsiTheme="minorHAnsi" w:cstheme="minorBidi"/>
            <w:noProof/>
            <w:sz w:val="22"/>
            <w:szCs w:val="22"/>
          </w:rPr>
          <w:tab/>
        </w:r>
        <w:r w:rsidRPr="00A835F9" w:rsidR="001B38A7">
          <w:rPr>
            <w:rStyle w:val="Hyperlink"/>
            <w:noProof/>
          </w:rPr>
          <w:t>Granting Verde’s Motions for Protective Orders would set bad precedent and have a chilling effect on future attempts to conduct discovery that Ohio law and the PUCO’s rules allow.</w:t>
        </w:r>
        <w:r w:rsidR="001B38A7">
          <w:rPr>
            <w:noProof/>
            <w:webHidden/>
          </w:rPr>
          <w:tab/>
        </w:r>
        <w:r w:rsidR="001B38A7">
          <w:rPr>
            <w:noProof/>
            <w:webHidden/>
          </w:rPr>
          <w:fldChar w:fldCharType="begin"/>
        </w:r>
        <w:r w:rsidR="001B38A7">
          <w:rPr>
            <w:noProof/>
            <w:webHidden/>
          </w:rPr>
          <w:instrText xml:space="preserve"> PAGEREF _Toc20994476 \h </w:instrText>
        </w:r>
        <w:r w:rsidR="001B38A7">
          <w:rPr>
            <w:noProof/>
            <w:webHidden/>
          </w:rPr>
          <w:fldChar w:fldCharType="separate"/>
        </w:r>
        <w:r w:rsidR="001B38A7">
          <w:rPr>
            <w:noProof/>
            <w:webHidden/>
          </w:rPr>
          <w:t>9</w:t>
        </w:r>
        <w:r w:rsidR="001B38A7">
          <w:rPr>
            <w:noProof/>
            <w:webHidden/>
          </w:rPr>
          <w:fldChar w:fldCharType="end"/>
        </w:r>
      </w:hyperlink>
    </w:p>
    <w:p w:rsidR="00FB3B7F" w14:paraId="5F5BF9BE" w14:textId="27CC52CD">
      <w:pPr>
        <w:pStyle w:val="TOC2"/>
        <w:tabs>
          <w:tab w:val="left" w:pos="1440"/>
        </w:tabs>
        <w:rPr>
          <w:rFonts w:asciiTheme="minorHAnsi" w:eastAsiaTheme="minorEastAsia" w:hAnsiTheme="minorHAnsi" w:cstheme="minorBidi"/>
          <w:noProof/>
          <w:sz w:val="22"/>
          <w:szCs w:val="22"/>
        </w:rPr>
      </w:pPr>
      <w:hyperlink w:anchor="_Toc20994477" w:history="1">
        <w:r w:rsidRPr="00A835F9" w:rsidR="001B38A7">
          <w:rPr>
            <w:rStyle w:val="Hyperlink"/>
            <w:noProof/>
          </w:rPr>
          <w:t>E.</w:t>
        </w:r>
        <w:r w:rsidR="001B38A7">
          <w:rPr>
            <w:rFonts w:asciiTheme="minorHAnsi" w:eastAsiaTheme="minorEastAsia" w:hAnsiTheme="minorHAnsi" w:cstheme="minorBidi"/>
            <w:noProof/>
            <w:sz w:val="22"/>
            <w:szCs w:val="22"/>
          </w:rPr>
          <w:tab/>
        </w:r>
        <w:r w:rsidRPr="00A835F9" w:rsidR="001B38A7">
          <w:rPr>
            <w:rStyle w:val="Hyperlink"/>
            <w:noProof/>
          </w:rPr>
          <w:t>OCC’s statutory right to conduct discovery trumps any notion Verde has for a quick resolution of this case (or that this is the “eleventh hour” of this proceeding).</w:t>
        </w:r>
        <w:r w:rsidR="001B38A7">
          <w:rPr>
            <w:noProof/>
            <w:webHidden/>
          </w:rPr>
          <w:tab/>
        </w:r>
        <w:r w:rsidR="001B38A7">
          <w:rPr>
            <w:noProof/>
            <w:webHidden/>
          </w:rPr>
          <w:fldChar w:fldCharType="begin"/>
        </w:r>
        <w:r w:rsidR="001B38A7">
          <w:rPr>
            <w:noProof/>
            <w:webHidden/>
          </w:rPr>
          <w:instrText xml:space="preserve"> PAGEREF _Toc20994477 \h </w:instrText>
        </w:r>
        <w:r w:rsidR="001B38A7">
          <w:rPr>
            <w:noProof/>
            <w:webHidden/>
          </w:rPr>
          <w:fldChar w:fldCharType="separate"/>
        </w:r>
        <w:r w:rsidR="001B38A7">
          <w:rPr>
            <w:noProof/>
            <w:webHidden/>
          </w:rPr>
          <w:t>11</w:t>
        </w:r>
        <w:r w:rsidR="001B38A7">
          <w:rPr>
            <w:noProof/>
            <w:webHidden/>
          </w:rPr>
          <w:fldChar w:fldCharType="end"/>
        </w:r>
      </w:hyperlink>
    </w:p>
    <w:p w:rsidR="00FB3B7F" w14:paraId="6688DC2A" w14:textId="0045D34C">
      <w:pPr>
        <w:pStyle w:val="TOC1"/>
        <w:rPr>
          <w:rFonts w:asciiTheme="minorHAnsi" w:eastAsiaTheme="minorEastAsia" w:hAnsiTheme="minorHAnsi" w:cstheme="minorBidi"/>
          <w:noProof/>
          <w:sz w:val="22"/>
          <w:szCs w:val="22"/>
        </w:rPr>
      </w:pPr>
      <w:hyperlink w:anchor="_Toc20994478" w:history="1">
        <w:r w:rsidRPr="00A835F9" w:rsidR="001B38A7">
          <w:rPr>
            <w:rStyle w:val="Hyperlink"/>
            <w:noProof/>
          </w:rPr>
          <w:t>III.</w:t>
        </w:r>
        <w:r w:rsidR="001B38A7">
          <w:rPr>
            <w:rFonts w:asciiTheme="minorHAnsi" w:eastAsiaTheme="minorEastAsia" w:hAnsiTheme="minorHAnsi" w:cstheme="minorBidi"/>
            <w:noProof/>
            <w:sz w:val="22"/>
            <w:szCs w:val="22"/>
          </w:rPr>
          <w:tab/>
        </w:r>
        <w:r w:rsidRPr="00A835F9" w:rsidR="001B38A7">
          <w:rPr>
            <w:rStyle w:val="Hyperlink"/>
            <w:noProof/>
          </w:rPr>
          <w:t>CONCLUSION</w:t>
        </w:r>
        <w:r w:rsidR="001B38A7">
          <w:rPr>
            <w:noProof/>
            <w:webHidden/>
          </w:rPr>
          <w:tab/>
        </w:r>
        <w:r w:rsidR="001B38A7">
          <w:rPr>
            <w:noProof/>
            <w:webHidden/>
          </w:rPr>
          <w:fldChar w:fldCharType="begin"/>
        </w:r>
        <w:r w:rsidR="001B38A7">
          <w:rPr>
            <w:noProof/>
            <w:webHidden/>
          </w:rPr>
          <w:instrText xml:space="preserve"> PAGEREF _Toc20994478 \h </w:instrText>
        </w:r>
        <w:r w:rsidR="001B38A7">
          <w:rPr>
            <w:noProof/>
            <w:webHidden/>
          </w:rPr>
          <w:fldChar w:fldCharType="separate"/>
        </w:r>
        <w:r w:rsidR="001B38A7">
          <w:rPr>
            <w:noProof/>
            <w:webHidden/>
          </w:rPr>
          <w:t>11</w:t>
        </w:r>
        <w:r w:rsidR="001B38A7">
          <w:rPr>
            <w:noProof/>
            <w:webHidden/>
          </w:rPr>
          <w:fldChar w:fldCharType="end"/>
        </w:r>
      </w:hyperlink>
    </w:p>
    <w:p w:rsidR="00B6528E" w:rsidP="00B6528E" w14:paraId="125B2C08" w14:textId="05365E82">
      <w:pPr>
        <w:pStyle w:val="HTMLPreformatted"/>
        <w:tabs>
          <w:tab w:val="clear" w:pos="7328"/>
          <w:tab w:val="clear" w:pos="8244"/>
          <w:tab w:val="clear" w:pos="9160"/>
          <w:tab w:val="clear" w:pos="10076"/>
        </w:tabs>
        <w:jc w:val="center"/>
        <w:rPr>
          <w:rFonts w:ascii="Times New Roman" w:hAnsi="Times New Roman"/>
          <w:b/>
          <w:bCs/>
          <w:sz w:val="24"/>
        </w:rPr>
      </w:pPr>
      <w:r>
        <w:rPr>
          <w:rFonts w:ascii="Times New Roman" w:hAnsi="Times New Roman"/>
          <w:b/>
          <w:bCs/>
          <w:sz w:val="24"/>
        </w:rPr>
        <w:fldChar w:fldCharType="end"/>
      </w:r>
    </w:p>
    <w:p w:rsidR="00B6528E" w:rsidP="00B6528E" w14:paraId="0E298696" w14:textId="77777777">
      <w:pPr>
        <w:pStyle w:val="HTMLPreformatted"/>
        <w:tabs>
          <w:tab w:val="clear" w:pos="7328"/>
          <w:tab w:val="clear" w:pos="8244"/>
          <w:tab w:val="clear" w:pos="9160"/>
          <w:tab w:val="clear" w:pos="10076"/>
        </w:tabs>
        <w:jc w:val="center"/>
        <w:rPr>
          <w:rFonts w:ascii="Times New Roman" w:hAnsi="Times New Roman"/>
          <w:b/>
          <w:bCs/>
          <w:sz w:val="24"/>
        </w:rPr>
      </w:pPr>
    </w:p>
    <w:p w:rsidR="00B6528E" w:rsidP="00B6528E" w14:paraId="6C651A28" w14:textId="77777777">
      <w:pPr>
        <w:pStyle w:val="HTMLPreformatted"/>
        <w:tabs>
          <w:tab w:val="clear" w:pos="7328"/>
          <w:tab w:val="clear" w:pos="8244"/>
          <w:tab w:val="clear" w:pos="9160"/>
          <w:tab w:val="clear" w:pos="10076"/>
        </w:tabs>
        <w:jc w:val="center"/>
        <w:rPr>
          <w:rFonts w:ascii="Times New Roman" w:hAnsi="Times New Roman"/>
          <w:b/>
          <w:bCs/>
          <w:sz w:val="24"/>
        </w:rPr>
      </w:pPr>
    </w:p>
    <w:p w:rsidR="00B6528E" w:rsidP="00BE0020" w14:paraId="216B0FE7" w14:textId="06B1C1D1">
      <w:pPr>
        <w:pStyle w:val="HTMLPreformatted"/>
        <w:jc w:val="center"/>
        <w:rPr>
          <w:rFonts w:ascii="Times New Roman" w:hAnsi="Times New Roman"/>
          <w:b/>
          <w:bCs/>
          <w:sz w:val="24"/>
        </w:rPr>
        <w:sectPr w:rsidSect="00B6528E">
          <w:footerReference w:type="default" r:id="rId9"/>
          <w:pgSz w:w="12240" w:h="15840"/>
          <w:pgMar w:top="1440" w:right="1800" w:bottom="1440" w:left="1800" w:header="720" w:footer="720" w:gutter="0"/>
          <w:pgNumType w:fmt="lowerRoman" w:start="1"/>
          <w:cols w:space="720"/>
          <w:docGrid w:linePitch="360"/>
        </w:sectPr>
      </w:pPr>
    </w:p>
    <w:p w:rsidR="00BE0020" w:rsidP="00BE0020" w14:paraId="4F9EAD12" w14:textId="145524A2">
      <w:pPr>
        <w:pStyle w:val="HTMLPreformatted"/>
        <w:jc w:val="center"/>
        <w:rPr>
          <w:rFonts w:ascii="Times New Roman" w:hAnsi="Times New Roman"/>
          <w:b/>
          <w:bCs/>
          <w:sz w:val="24"/>
        </w:rPr>
      </w:pPr>
      <w:r>
        <w:rPr>
          <w:rFonts w:ascii="Times New Roman" w:hAnsi="Times New Roman"/>
          <w:b/>
          <w:bCs/>
          <w:sz w:val="24"/>
        </w:rPr>
        <w:t>BEFORE</w:t>
      </w:r>
    </w:p>
    <w:p w:rsidR="00BE0020" w:rsidP="00BE0020" w14:paraId="15627CE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BE0020" w:rsidP="00BE0020" w14:paraId="7E5EA34C" w14:textId="77777777">
      <w:pPr>
        <w:pStyle w:val="HTMLPreformatted"/>
        <w:rPr>
          <w:rFonts w:ascii="Times New Roman" w:hAnsi="Times New Roman"/>
          <w:sz w:val="24"/>
        </w:rPr>
      </w:pPr>
    </w:p>
    <w:tbl>
      <w:tblPr>
        <w:tblW w:w="9458" w:type="dxa"/>
        <w:tblLook w:val="01E0"/>
      </w:tblPr>
      <w:tblGrid>
        <w:gridCol w:w="3708"/>
        <w:gridCol w:w="1350"/>
        <w:gridCol w:w="4400"/>
      </w:tblGrid>
      <w:tr w14:paraId="542DCA2B" w14:textId="77777777" w:rsidTr="00F913DD">
        <w:tblPrEx>
          <w:tblW w:w="9458" w:type="dxa"/>
          <w:tblLook w:val="01E0"/>
        </w:tblPrEx>
        <w:trPr>
          <w:trHeight w:val="807"/>
        </w:trPr>
        <w:tc>
          <w:tcPr>
            <w:tcW w:w="3708" w:type="dxa"/>
            <w:shd w:val="clear" w:color="auto" w:fill="auto"/>
          </w:tcPr>
          <w:p w:rsidR="00BE0020" w:rsidRPr="00A044B5" w:rsidP="00F913DD" w14:paraId="0FABA4B5" w14:textId="6BC31573">
            <w:pPr>
              <w:rPr>
                <w:szCs w:val="24"/>
              </w:rPr>
            </w:pPr>
            <w:r w:rsidRPr="00A044B5">
              <w:t>In the Matter of</w:t>
            </w:r>
            <w:r>
              <w:t xml:space="preserve"> the Commission</w:t>
            </w:r>
            <w:r w:rsidR="00C6353A">
              <w:t>’</w:t>
            </w:r>
            <w:r>
              <w:t>s Investigation into Verde Energy USA Ohio, LLC</w:t>
            </w:r>
            <w:r w:rsidR="00C6353A">
              <w:t>’</w:t>
            </w:r>
            <w:r>
              <w:t>s Compliance with the Ohio Administrative Code and Potential Remedial Actions for Non-Compliance.</w:t>
            </w:r>
          </w:p>
        </w:tc>
        <w:tc>
          <w:tcPr>
            <w:tcW w:w="1350" w:type="dxa"/>
            <w:shd w:val="clear" w:color="auto" w:fill="auto"/>
          </w:tcPr>
          <w:p w:rsidR="00BE0020" w:rsidRPr="00A044B5" w:rsidP="00F913DD" w14:paraId="46DA5E3D" w14:textId="77777777">
            <w:pPr>
              <w:pStyle w:val="HTMLPreformatted"/>
              <w:jc w:val="center"/>
              <w:rPr>
                <w:rFonts w:ascii="Times New Roman" w:hAnsi="Times New Roman"/>
                <w:sz w:val="24"/>
              </w:rPr>
            </w:pPr>
            <w:r w:rsidRPr="00A044B5">
              <w:rPr>
                <w:rFonts w:ascii="Times New Roman" w:hAnsi="Times New Roman"/>
                <w:sz w:val="24"/>
              </w:rPr>
              <w:t>)</w:t>
            </w:r>
          </w:p>
          <w:p w:rsidR="00BE0020" w:rsidRPr="00A044B5" w:rsidP="00F913DD" w14:paraId="425E23A0" w14:textId="77777777">
            <w:pPr>
              <w:pStyle w:val="HTMLPreformatted"/>
              <w:jc w:val="center"/>
              <w:rPr>
                <w:rFonts w:ascii="Times New Roman" w:hAnsi="Times New Roman"/>
                <w:sz w:val="24"/>
              </w:rPr>
            </w:pPr>
            <w:r w:rsidRPr="00A044B5">
              <w:rPr>
                <w:rFonts w:ascii="Times New Roman" w:hAnsi="Times New Roman"/>
                <w:sz w:val="24"/>
              </w:rPr>
              <w:t>)</w:t>
            </w:r>
          </w:p>
          <w:p w:rsidR="00BE0020" w:rsidRPr="00A044B5" w:rsidP="00F913DD" w14:paraId="30898652" w14:textId="77777777">
            <w:pPr>
              <w:pStyle w:val="HTMLPreformatted"/>
              <w:jc w:val="center"/>
              <w:rPr>
                <w:rFonts w:ascii="Times New Roman" w:hAnsi="Times New Roman"/>
                <w:sz w:val="24"/>
              </w:rPr>
            </w:pPr>
            <w:r w:rsidRPr="00A044B5">
              <w:rPr>
                <w:rFonts w:ascii="Times New Roman" w:hAnsi="Times New Roman"/>
                <w:sz w:val="24"/>
              </w:rPr>
              <w:t>)</w:t>
            </w:r>
          </w:p>
          <w:p w:rsidR="00BE0020" w:rsidP="00F913DD" w14:paraId="26F2BF6C" w14:textId="77777777">
            <w:pPr>
              <w:pStyle w:val="HTMLPreformatted"/>
              <w:jc w:val="center"/>
              <w:rPr>
                <w:rFonts w:ascii="Times New Roman" w:hAnsi="Times New Roman"/>
                <w:sz w:val="24"/>
              </w:rPr>
            </w:pPr>
            <w:r w:rsidRPr="00A044B5">
              <w:rPr>
                <w:rFonts w:ascii="Times New Roman" w:hAnsi="Times New Roman"/>
                <w:sz w:val="24"/>
              </w:rPr>
              <w:t>)</w:t>
            </w:r>
          </w:p>
          <w:p w:rsidR="00BE0020" w:rsidP="00F913DD" w14:paraId="49A65E96" w14:textId="77777777">
            <w:pPr>
              <w:pStyle w:val="HTMLPreformatted"/>
              <w:jc w:val="center"/>
              <w:rPr>
                <w:rFonts w:ascii="Times New Roman" w:hAnsi="Times New Roman"/>
                <w:sz w:val="24"/>
              </w:rPr>
            </w:pPr>
            <w:r>
              <w:rPr>
                <w:rFonts w:ascii="Times New Roman" w:hAnsi="Times New Roman"/>
                <w:sz w:val="24"/>
              </w:rPr>
              <w:t>)</w:t>
            </w:r>
          </w:p>
          <w:p w:rsidR="00BE0020" w:rsidRPr="00A044B5" w:rsidP="00F913DD" w14:paraId="0E877DDB" w14:textId="77777777">
            <w:pPr>
              <w:pStyle w:val="HTMLPreformatted"/>
              <w:jc w:val="center"/>
              <w:rPr>
                <w:rFonts w:ascii="Times New Roman" w:hAnsi="Times New Roman"/>
                <w:sz w:val="24"/>
              </w:rPr>
            </w:pPr>
            <w:r>
              <w:rPr>
                <w:rFonts w:ascii="Times New Roman" w:hAnsi="Times New Roman"/>
                <w:sz w:val="24"/>
              </w:rPr>
              <w:t>)</w:t>
            </w:r>
          </w:p>
        </w:tc>
        <w:tc>
          <w:tcPr>
            <w:tcW w:w="4400" w:type="dxa"/>
            <w:shd w:val="clear" w:color="auto" w:fill="auto"/>
          </w:tcPr>
          <w:p w:rsidR="00BE0020" w:rsidRPr="00A044B5" w:rsidP="00F913DD" w14:paraId="7EF3FA78" w14:textId="77777777">
            <w:pPr>
              <w:pStyle w:val="HTMLPreformatted"/>
              <w:rPr>
                <w:rFonts w:ascii="Times New Roman" w:hAnsi="Times New Roman"/>
                <w:sz w:val="24"/>
              </w:rPr>
            </w:pPr>
          </w:p>
          <w:p w:rsidR="00BE0020" w:rsidRPr="00A044B5" w:rsidP="00F913DD" w14:paraId="70DCCB78" w14:textId="77777777">
            <w:r w:rsidRPr="00A044B5">
              <w:t xml:space="preserve">Case No. </w:t>
            </w:r>
            <w:r>
              <w:t>19-958-GE-COI</w:t>
            </w:r>
          </w:p>
          <w:p w:rsidR="00BE0020" w:rsidRPr="00A044B5" w:rsidP="00F913DD" w14:paraId="6176C0CA" w14:textId="77777777">
            <w:pPr>
              <w:pStyle w:val="HTMLPreformatted"/>
              <w:rPr>
                <w:rFonts w:ascii="Times New Roman" w:hAnsi="Times New Roman"/>
                <w:sz w:val="24"/>
              </w:rPr>
            </w:pPr>
          </w:p>
          <w:p w:rsidR="00BE0020" w:rsidRPr="00A044B5" w:rsidP="00F913DD" w14:paraId="23CEEB83" w14:textId="77777777">
            <w:pPr>
              <w:pStyle w:val="HTMLPreformatted"/>
              <w:rPr>
                <w:rFonts w:ascii="Times New Roman" w:hAnsi="Times New Roman"/>
                <w:sz w:val="24"/>
              </w:rPr>
            </w:pPr>
          </w:p>
        </w:tc>
      </w:tr>
    </w:tbl>
    <w:p w:rsidR="00BE0020" w:rsidP="00BE0020" w14:paraId="7BB1BBB1" w14:textId="77777777">
      <w:pPr>
        <w:pStyle w:val="HTMLPreformatted"/>
        <w:rPr>
          <w:rFonts w:ascii="Times New Roman" w:hAnsi="Times New Roman"/>
          <w:sz w:val="24"/>
        </w:rPr>
      </w:pPr>
      <w:r>
        <w:rPr>
          <w:rFonts w:ascii="Times New Roman" w:hAnsi="Times New Roman"/>
          <w:sz w:val="24"/>
        </w:rPr>
        <w:tab/>
      </w:r>
    </w:p>
    <w:p w:rsidR="00BE0020" w:rsidP="00BE0020" w14:paraId="6C7A80F7" w14:textId="77777777">
      <w:pPr>
        <w:pStyle w:val="HTMLPreformatted"/>
        <w:pBdr>
          <w:top w:val="single" w:sz="12" w:space="1" w:color="auto"/>
        </w:pBdr>
        <w:rPr>
          <w:rFonts w:ascii="Times New Roman" w:hAnsi="Times New Roman"/>
          <w:sz w:val="24"/>
        </w:rPr>
      </w:pPr>
    </w:p>
    <w:p w:rsidR="00BB6B0D" w:rsidP="00BE0020" w14:paraId="32B273C0" w14:textId="3C85DE6C">
      <w:pPr>
        <w:jc w:val="center"/>
        <w:rPr>
          <w:b/>
          <w:bCs/>
        </w:rPr>
      </w:pPr>
      <w:r>
        <w:rPr>
          <w:b/>
          <w:bCs/>
        </w:rPr>
        <w:t>MEMORANDUM CONTRA VERDE ENERGY</w:t>
      </w:r>
      <w:r w:rsidR="00C6353A">
        <w:rPr>
          <w:b/>
          <w:bCs/>
        </w:rPr>
        <w:t>’</w:t>
      </w:r>
      <w:r>
        <w:rPr>
          <w:b/>
          <w:bCs/>
        </w:rPr>
        <w:t xml:space="preserve">S </w:t>
      </w:r>
      <w:r w:rsidR="00821D4B">
        <w:rPr>
          <w:b/>
          <w:bCs/>
        </w:rPr>
        <w:t>SECOND</w:t>
      </w:r>
    </w:p>
    <w:p w:rsidR="00BE0020" w:rsidP="00BE0020" w14:paraId="030F5582" w14:textId="3D3E7CBE">
      <w:pPr>
        <w:jc w:val="center"/>
        <w:rPr>
          <w:b/>
          <w:bCs/>
        </w:rPr>
      </w:pPr>
      <w:r>
        <w:rPr>
          <w:b/>
          <w:bCs/>
        </w:rPr>
        <w:t xml:space="preserve">MOTION FOR </w:t>
      </w:r>
      <w:r w:rsidR="009A438A">
        <w:rPr>
          <w:b/>
          <w:bCs/>
        </w:rPr>
        <w:t>AN ORDER TO PROTECT IT FROM OCC</w:t>
      </w:r>
      <w:r w:rsidR="00C6353A">
        <w:rPr>
          <w:b/>
          <w:bCs/>
        </w:rPr>
        <w:t>’</w:t>
      </w:r>
      <w:r w:rsidR="009A438A">
        <w:rPr>
          <w:b/>
          <w:bCs/>
        </w:rPr>
        <w:t>S DISCOVERY</w:t>
      </w:r>
    </w:p>
    <w:p w:rsidR="00BE0020" w:rsidP="00BE0020" w14:paraId="7E501E03" w14:textId="77777777">
      <w:pPr>
        <w:jc w:val="center"/>
        <w:rPr>
          <w:b/>
          <w:bCs/>
        </w:rPr>
      </w:pPr>
      <w:r>
        <w:rPr>
          <w:b/>
          <w:bCs/>
        </w:rPr>
        <w:t>BY</w:t>
      </w:r>
    </w:p>
    <w:p w:rsidR="00BE0020" w:rsidP="00BE0020" w14:paraId="629C455D" w14:textId="5645DDF9">
      <w:pPr>
        <w:jc w:val="center"/>
        <w:rPr>
          <w:b/>
          <w:bCs/>
        </w:rPr>
      </w:pPr>
      <w:r>
        <w:rPr>
          <w:b/>
          <w:bCs/>
        </w:rPr>
        <w:t>THE OFFICE OF THE OHIO CONSUMERS</w:t>
      </w:r>
      <w:r w:rsidR="00C6353A">
        <w:rPr>
          <w:b/>
          <w:bCs/>
        </w:rPr>
        <w:t>’</w:t>
      </w:r>
      <w:r>
        <w:rPr>
          <w:b/>
          <w:bCs/>
        </w:rPr>
        <w:t xml:space="preserve"> COUNSEL</w:t>
      </w:r>
    </w:p>
    <w:p w:rsidR="00BE0020" w:rsidP="00BE0020" w14:paraId="201DDD53" w14:textId="77777777">
      <w:pPr>
        <w:pBdr>
          <w:bottom w:val="single" w:sz="12" w:space="1" w:color="auto"/>
        </w:pBdr>
        <w:tabs>
          <w:tab w:val="left" w:pos="4320"/>
        </w:tabs>
      </w:pPr>
    </w:p>
    <w:p w:rsidR="00BE0020" w:rsidP="00BE0020" w14:paraId="34C07924" w14:textId="77777777">
      <w:pPr>
        <w:tabs>
          <w:tab w:val="left" w:pos="4320"/>
        </w:tabs>
      </w:pPr>
    </w:p>
    <w:p w:rsidR="00BE0020" w:rsidRPr="0027780C" w:rsidP="009C185E" w14:paraId="56F43890" w14:textId="386A7775">
      <w:pPr>
        <w:pStyle w:val="Heading1"/>
      </w:pPr>
      <w:bookmarkStart w:id="1" w:name="_Toc20214582"/>
      <w:bookmarkStart w:id="2" w:name="_Toc20994471"/>
      <w:r>
        <w:t>I.</w:t>
      </w:r>
      <w:r>
        <w:tab/>
      </w:r>
      <w:r w:rsidRPr="0027780C">
        <w:t>INTRODUCTION</w:t>
      </w:r>
      <w:bookmarkEnd w:id="1"/>
      <w:bookmarkEnd w:id="2"/>
    </w:p>
    <w:p w:rsidR="000003F3" w:rsidP="00CB2BE8" w14:paraId="12737CD2" w14:textId="281AC5FE">
      <w:pPr>
        <w:spacing w:line="480" w:lineRule="auto"/>
        <w:ind w:firstLine="720"/>
      </w:pPr>
      <w:r>
        <w:t xml:space="preserve">So-called </w:t>
      </w:r>
      <w:r w:rsidR="006160CA">
        <w:t xml:space="preserve">Verde Energy USA Ohio, LLC (“Verde”) </w:t>
      </w:r>
      <w:r>
        <w:t xml:space="preserve">has used the names of our country and state for its </w:t>
      </w:r>
      <w:r w:rsidR="00A3170C">
        <w:t>energy marketing</w:t>
      </w:r>
      <w:r>
        <w:t>, but it does not reflect the values of either. The PUCO Staff chronicled Verde</w:t>
      </w:r>
      <w:r w:rsidR="00C6353A">
        <w:t>’</w:t>
      </w:r>
      <w:r>
        <w:t xml:space="preserve">s </w:t>
      </w:r>
      <w:r w:rsidR="00A3170C">
        <w:t xml:space="preserve">“pattern of misleading and deceptive practices used to enroll customers” </w:t>
      </w:r>
      <w:r>
        <w:t>across our state</w:t>
      </w:r>
      <w:r w:rsidR="006160CA">
        <w:t xml:space="preserve">. </w:t>
      </w:r>
      <w:r>
        <w:t>And now Verde</w:t>
      </w:r>
      <w:r w:rsidR="00C6353A">
        <w:t>’</w:t>
      </w:r>
      <w:r>
        <w:t>s suspect business practices extend to evading the rules of pre-hearing discovery that the state</w:t>
      </w:r>
      <w:r w:rsidR="00C6353A">
        <w:t>’</w:t>
      </w:r>
      <w:r w:rsidR="00A3170C">
        <w:t>s</w:t>
      </w:r>
      <w:r>
        <w:t xml:space="preserve"> voice of consumers, the Ohio Consumers</w:t>
      </w:r>
      <w:r w:rsidR="00C6353A">
        <w:t>’</w:t>
      </w:r>
      <w:r>
        <w:t xml:space="preserve"> Counsel,</w:t>
      </w:r>
      <w:r w:rsidR="00A3170C">
        <w:t xml:space="preserve"> is using to document Verde</w:t>
      </w:r>
      <w:r w:rsidR="00C6353A">
        <w:t>’</w:t>
      </w:r>
      <w:r w:rsidR="00A3170C">
        <w:t>s abuses of Bob and Betty Buckeye.</w:t>
      </w:r>
      <w:r>
        <w:t xml:space="preserve"> </w:t>
      </w:r>
      <w:r w:rsidR="00A3170C">
        <w:t>The PUCO cannot let this stand.</w:t>
      </w:r>
      <w:r>
        <w:t xml:space="preserve"> </w:t>
      </w:r>
    </w:p>
    <w:p w:rsidR="000003F3" w:rsidP="00CB2BE8" w14:paraId="19D7C106" w14:textId="26D38CBC">
      <w:pPr>
        <w:spacing w:line="480" w:lineRule="auto"/>
        <w:ind w:firstLine="720"/>
        <w:rPr>
          <w:szCs w:val="24"/>
        </w:rPr>
      </w:pPr>
      <w:r>
        <w:t>From the outset of this proceeding, Verde has been obstructionist regarding discovery served by the Office of the Ohio Consumers</w:t>
      </w:r>
      <w:r w:rsidR="00C6353A">
        <w:t>’</w:t>
      </w:r>
      <w:r>
        <w:t xml:space="preserve"> Counsel (“OCC”). Now Verde,</w:t>
      </w:r>
      <w:r w:rsidR="00D958B5">
        <w:rPr>
          <w:szCs w:val="24"/>
        </w:rPr>
        <w:t xml:space="preserve"> once again,</w:t>
      </w:r>
      <w:r w:rsidR="004F60B8">
        <w:rPr>
          <w:szCs w:val="24"/>
        </w:rPr>
        <w:t xml:space="preserve"> </w:t>
      </w:r>
      <w:r w:rsidR="001B3AC9">
        <w:rPr>
          <w:szCs w:val="24"/>
        </w:rPr>
        <w:t>seeks</w:t>
      </w:r>
      <w:r>
        <w:rPr>
          <w:szCs w:val="24"/>
        </w:rPr>
        <w:t xml:space="preserve"> to obstruct OCC</w:t>
      </w:r>
      <w:r w:rsidR="00C6353A">
        <w:rPr>
          <w:szCs w:val="24"/>
        </w:rPr>
        <w:t>’</w:t>
      </w:r>
      <w:r>
        <w:rPr>
          <w:szCs w:val="24"/>
        </w:rPr>
        <w:t>s lawful and reasonable attempts at discovery</w:t>
      </w:r>
      <w:r w:rsidR="00821D4B">
        <w:rPr>
          <w:szCs w:val="24"/>
        </w:rPr>
        <w:t xml:space="preserve"> and delay OCC from preparing </w:t>
      </w:r>
      <w:r>
        <w:rPr>
          <w:szCs w:val="24"/>
        </w:rPr>
        <w:t>for the upcoming Oct</w:t>
      </w:r>
      <w:r w:rsidR="005626D6">
        <w:rPr>
          <w:szCs w:val="24"/>
        </w:rPr>
        <w:t>ober</w:t>
      </w:r>
      <w:r w:rsidR="00381763">
        <w:rPr>
          <w:szCs w:val="24"/>
        </w:rPr>
        <w:t xml:space="preserve"> 16</w:t>
      </w:r>
      <w:r w:rsidR="00821D4B">
        <w:rPr>
          <w:szCs w:val="24"/>
        </w:rPr>
        <w:t xml:space="preserve"> hearing. </w:t>
      </w:r>
      <w:r w:rsidR="00956E4C">
        <w:rPr>
          <w:szCs w:val="24"/>
        </w:rPr>
        <w:t xml:space="preserve">But, as a condition of operating in this state, Verde has submitted itself to the jurisdiction of the PUCO (per R.C. </w:t>
      </w:r>
      <w:r w:rsidR="00FE129D">
        <w:rPr>
          <w:szCs w:val="24"/>
        </w:rPr>
        <w:t>4928.09</w:t>
      </w:r>
      <w:r w:rsidR="00956E4C">
        <w:rPr>
          <w:szCs w:val="24"/>
        </w:rPr>
        <w:t>)</w:t>
      </w:r>
      <w:r w:rsidR="00E237E0">
        <w:rPr>
          <w:szCs w:val="24"/>
        </w:rPr>
        <w:t xml:space="preserve"> and that includes the discovery rules that apply to any party in a PUCO case. </w:t>
      </w:r>
    </w:p>
    <w:p w:rsidR="00821D4B" w:rsidP="00CB2BE8" w14:paraId="7C0027BB" w14:textId="64215A00">
      <w:pPr>
        <w:spacing w:line="480" w:lineRule="auto"/>
        <w:ind w:firstLine="720"/>
        <w:rPr>
          <w:szCs w:val="24"/>
        </w:rPr>
      </w:pPr>
      <w:r>
        <w:rPr>
          <w:szCs w:val="24"/>
        </w:rPr>
        <w:t xml:space="preserve">Just like its first </w:t>
      </w:r>
      <w:r w:rsidR="00E237E0">
        <w:rPr>
          <w:szCs w:val="24"/>
        </w:rPr>
        <w:t xml:space="preserve">misplaced </w:t>
      </w:r>
      <w:r>
        <w:rPr>
          <w:szCs w:val="24"/>
        </w:rPr>
        <w:t>Motion for Protective Order filed on September 19, 2019, Verde</w:t>
      </w:r>
      <w:r w:rsidR="00C6353A">
        <w:rPr>
          <w:szCs w:val="24"/>
        </w:rPr>
        <w:t>’</w:t>
      </w:r>
      <w:r>
        <w:rPr>
          <w:szCs w:val="24"/>
        </w:rPr>
        <w:t>s Second Motion for Protective Order is utterly bereft of legal authority to support its position that it should be “protected” from OCC</w:t>
      </w:r>
      <w:r w:rsidR="00C6353A">
        <w:rPr>
          <w:szCs w:val="24"/>
        </w:rPr>
        <w:t>’</w:t>
      </w:r>
      <w:r>
        <w:rPr>
          <w:szCs w:val="24"/>
        </w:rPr>
        <w:t>s lawful and appropriate discovery in this case. I</w:t>
      </w:r>
      <w:r w:rsidR="005C1BE5">
        <w:rPr>
          <w:szCs w:val="24"/>
        </w:rPr>
        <w:t>n reality, it</w:t>
      </w:r>
      <w:r w:rsidR="00942FE4">
        <w:rPr>
          <w:szCs w:val="24"/>
        </w:rPr>
        <w:t xml:space="preserve"> i</w:t>
      </w:r>
      <w:r w:rsidR="005C1BE5">
        <w:rPr>
          <w:szCs w:val="24"/>
        </w:rPr>
        <w:t>s</w:t>
      </w:r>
      <w:r>
        <w:rPr>
          <w:szCs w:val="24"/>
        </w:rPr>
        <w:t xml:space="preserve"> consumers and OCC that need protection from Verde</w:t>
      </w:r>
      <w:r w:rsidR="00C6353A">
        <w:rPr>
          <w:szCs w:val="24"/>
        </w:rPr>
        <w:t>’</w:t>
      </w:r>
      <w:r>
        <w:rPr>
          <w:szCs w:val="24"/>
        </w:rPr>
        <w:t xml:space="preserve">s ways of doing business. </w:t>
      </w:r>
      <w:r w:rsidR="005C1BE5">
        <w:rPr>
          <w:szCs w:val="24"/>
        </w:rPr>
        <w:t>Once a</w:t>
      </w:r>
      <w:r>
        <w:rPr>
          <w:szCs w:val="24"/>
        </w:rPr>
        <w:t xml:space="preserve">gain, Verde </w:t>
      </w:r>
      <w:r w:rsidR="006041C4">
        <w:rPr>
          <w:szCs w:val="24"/>
        </w:rPr>
        <w:t>makes a superficial claim</w:t>
      </w:r>
      <w:r>
        <w:rPr>
          <w:szCs w:val="24"/>
        </w:rPr>
        <w:t xml:space="preserve"> that OCC</w:t>
      </w:r>
      <w:r w:rsidR="00C6353A">
        <w:rPr>
          <w:szCs w:val="24"/>
        </w:rPr>
        <w:t>’</w:t>
      </w:r>
      <w:r>
        <w:rPr>
          <w:szCs w:val="24"/>
        </w:rPr>
        <w:t xml:space="preserve">s </w:t>
      </w:r>
      <w:r w:rsidR="006041C4">
        <w:rPr>
          <w:szCs w:val="24"/>
        </w:rPr>
        <w:t xml:space="preserve">consumer protection </w:t>
      </w:r>
      <w:r>
        <w:rPr>
          <w:szCs w:val="24"/>
        </w:rPr>
        <w:t>discovery is irrelevant and burdensome</w:t>
      </w:r>
      <w:r w:rsidR="005C1BE5">
        <w:rPr>
          <w:szCs w:val="24"/>
        </w:rPr>
        <w:t>, to delay OCC</w:t>
      </w:r>
      <w:r w:rsidR="00C6353A">
        <w:rPr>
          <w:szCs w:val="24"/>
        </w:rPr>
        <w:t>’</w:t>
      </w:r>
      <w:r w:rsidR="005C1BE5">
        <w:rPr>
          <w:szCs w:val="24"/>
        </w:rPr>
        <w:t>s use of its discovery rights that are guaranteed by law, rule and Supreme Court precedent</w:t>
      </w:r>
      <w:r>
        <w:rPr>
          <w:szCs w:val="24"/>
        </w:rPr>
        <w:t>. For the reasons explained in OCC</w:t>
      </w:r>
      <w:r w:rsidR="00C6353A">
        <w:rPr>
          <w:szCs w:val="24"/>
        </w:rPr>
        <w:t>’</w:t>
      </w:r>
      <w:r>
        <w:rPr>
          <w:szCs w:val="24"/>
        </w:rPr>
        <w:t>s Memorandum Contra to Verde</w:t>
      </w:r>
      <w:r w:rsidR="00C6353A">
        <w:rPr>
          <w:szCs w:val="24"/>
        </w:rPr>
        <w:t>’</w:t>
      </w:r>
      <w:r>
        <w:rPr>
          <w:szCs w:val="24"/>
        </w:rPr>
        <w:t>s first Motion</w:t>
      </w:r>
      <w:r>
        <w:rPr>
          <w:rStyle w:val="FootnoteReference"/>
          <w:szCs w:val="24"/>
        </w:rPr>
        <w:footnoteReference w:id="2"/>
      </w:r>
      <w:r>
        <w:rPr>
          <w:szCs w:val="24"/>
        </w:rPr>
        <w:t>, and in OCC</w:t>
      </w:r>
      <w:r w:rsidR="00C6353A">
        <w:rPr>
          <w:szCs w:val="24"/>
        </w:rPr>
        <w:t>’</w:t>
      </w:r>
      <w:r>
        <w:rPr>
          <w:szCs w:val="24"/>
        </w:rPr>
        <w:t>s Motion to Compel Verde</w:t>
      </w:r>
      <w:r w:rsidR="00C6353A">
        <w:rPr>
          <w:szCs w:val="24"/>
        </w:rPr>
        <w:t>’</w:t>
      </w:r>
      <w:r>
        <w:rPr>
          <w:szCs w:val="24"/>
        </w:rPr>
        <w:t>s Responses to Discovery,</w:t>
      </w:r>
      <w:r>
        <w:rPr>
          <w:rStyle w:val="FootnoteReference"/>
          <w:szCs w:val="24"/>
        </w:rPr>
        <w:footnoteReference w:id="3"/>
      </w:r>
      <w:r>
        <w:rPr>
          <w:szCs w:val="24"/>
        </w:rPr>
        <w:t xml:space="preserve"> and below, the PUCO should reject Verde</w:t>
      </w:r>
      <w:r w:rsidR="00C6353A">
        <w:rPr>
          <w:szCs w:val="24"/>
        </w:rPr>
        <w:t>’</w:t>
      </w:r>
      <w:r>
        <w:rPr>
          <w:szCs w:val="24"/>
        </w:rPr>
        <w:t>s unsupported attempts to thwart the discovery process</w:t>
      </w:r>
      <w:r w:rsidR="008D6354">
        <w:rPr>
          <w:szCs w:val="24"/>
        </w:rPr>
        <w:t>.</w:t>
      </w:r>
    </w:p>
    <w:p w:rsidR="000003F3" w:rsidP="00CB2BE8" w14:paraId="0A30F45B" w14:textId="2A57221E">
      <w:pPr>
        <w:spacing w:line="480" w:lineRule="auto"/>
        <w:ind w:firstLine="720"/>
        <w:rPr>
          <w:szCs w:val="24"/>
        </w:rPr>
      </w:pPr>
      <w:r>
        <w:rPr>
          <w:szCs w:val="24"/>
        </w:rPr>
        <w:t>The discovery disputes in this case are well-documented</w:t>
      </w:r>
      <w:r w:rsidR="00A02D52">
        <w:rPr>
          <w:szCs w:val="24"/>
        </w:rPr>
        <w:t>. Verde has objected to much of OCC</w:t>
      </w:r>
      <w:r w:rsidR="00C6353A">
        <w:rPr>
          <w:szCs w:val="24"/>
        </w:rPr>
        <w:t>’</w:t>
      </w:r>
      <w:r w:rsidR="00A02D52">
        <w:rPr>
          <w:szCs w:val="24"/>
        </w:rPr>
        <w:t xml:space="preserve">s discovery on </w:t>
      </w:r>
      <w:r w:rsidR="004D4E16">
        <w:rPr>
          <w:szCs w:val="24"/>
        </w:rPr>
        <w:t>its claims</w:t>
      </w:r>
      <w:r w:rsidR="00A02D52">
        <w:rPr>
          <w:szCs w:val="24"/>
        </w:rPr>
        <w:t xml:space="preserve"> of relevance and undue burden. </w:t>
      </w:r>
      <w:r w:rsidR="00E8408A">
        <w:rPr>
          <w:szCs w:val="24"/>
        </w:rPr>
        <w:t>OCC has responded by pointing out that Ohio law and PUCO rules give OCC ample rights to discovery.</w:t>
      </w:r>
      <w:r w:rsidR="00CB2BE8">
        <w:rPr>
          <w:szCs w:val="24"/>
        </w:rPr>
        <w:t xml:space="preserve"> And because these disputes are well-documented, for administrative ease OCC </w:t>
      </w:r>
      <w:r w:rsidR="00533432">
        <w:rPr>
          <w:szCs w:val="24"/>
        </w:rPr>
        <w:t xml:space="preserve">incorporates </w:t>
      </w:r>
      <w:r w:rsidR="00CB2BE8">
        <w:rPr>
          <w:szCs w:val="24"/>
        </w:rPr>
        <w:t>the arguments already raised in its Motion to Comp</w:t>
      </w:r>
      <w:r w:rsidR="00197E38">
        <w:rPr>
          <w:szCs w:val="24"/>
        </w:rPr>
        <w:t>e</w:t>
      </w:r>
      <w:r w:rsidR="00CB2BE8">
        <w:rPr>
          <w:szCs w:val="24"/>
        </w:rPr>
        <w:t>l and the Memorandum Contra to Verde</w:t>
      </w:r>
      <w:r w:rsidR="00C6353A">
        <w:rPr>
          <w:szCs w:val="24"/>
        </w:rPr>
        <w:t>’</w:t>
      </w:r>
      <w:r w:rsidR="00CB2BE8">
        <w:rPr>
          <w:szCs w:val="24"/>
        </w:rPr>
        <w:t xml:space="preserve">s first Motion for Protective Order. </w:t>
      </w:r>
    </w:p>
    <w:p w:rsidR="00CB2BE8" w:rsidP="00CB2BE8" w14:paraId="6692432B" w14:textId="0F11BDB8">
      <w:pPr>
        <w:spacing w:line="480" w:lineRule="auto"/>
        <w:ind w:firstLine="720"/>
        <w:rPr>
          <w:szCs w:val="24"/>
        </w:rPr>
      </w:pPr>
      <w:r>
        <w:rPr>
          <w:szCs w:val="24"/>
        </w:rPr>
        <w:t xml:space="preserve">But </w:t>
      </w:r>
      <w:r w:rsidR="00E8408A">
        <w:rPr>
          <w:szCs w:val="24"/>
        </w:rPr>
        <w:t>Verde continues to object that OCC</w:t>
      </w:r>
      <w:r w:rsidR="00C6353A">
        <w:rPr>
          <w:szCs w:val="24"/>
        </w:rPr>
        <w:t>’</w:t>
      </w:r>
      <w:r w:rsidR="00E8408A">
        <w:rPr>
          <w:szCs w:val="24"/>
        </w:rPr>
        <w:t>s discovery is oppressive and burdensome</w:t>
      </w:r>
      <w:r>
        <w:rPr>
          <w:szCs w:val="24"/>
        </w:rPr>
        <w:t>. For the reasons set forth below, Verde</w:t>
      </w:r>
      <w:r w:rsidR="00C6353A">
        <w:rPr>
          <w:szCs w:val="24"/>
        </w:rPr>
        <w:t>’</w:t>
      </w:r>
      <w:r>
        <w:rPr>
          <w:szCs w:val="24"/>
        </w:rPr>
        <w:t xml:space="preserve">s objections lack merit and should be </w:t>
      </w:r>
      <w:r w:rsidR="00750013">
        <w:rPr>
          <w:szCs w:val="24"/>
        </w:rPr>
        <w:t>rejected</w:t>
      </w:r>
      <w:r>
        <w:rPr>
          <w:szCs w:val="24"/>
        </w:rPr>
        <w:t>.</w:t>
      </w:r>
      <w:r w:rsidR="00E8408A">
        <w:rPr>
          <w:szCs w:val="24"/>
        </w:rPr>
        <w:t xml:space="preserve"> </w:t>
      </w:r>
    </w:p>
    <w:p w:rsidR="00C53529" w:rsidP="00C53529" w14:paraId="3D098CBA" w14:textId="77777777">
      <w:pPr>
        <w:ind w:firstLine="720"/>
        <w:rPr>
          <w:szCs w:val="24"/>
        </w:rPr>
      </w:pPr>
    </w:p>
    <w:p w:rsidR="00953109" w:rsidP="009C185E" w14:paraId="57514633" w14:textId="35DA9666">
      <w:pPr>
        <w:pStyle w:val="Heading1"/>
      </w:pPr>
      <w:bookmarkStart w:id="3" w:name="_Toc20214583"/>
      <w:bookmarkStart w:id="4" w:name="_Toc20994472"/>
      <w:r>
        <w:t>II.</w:t>
      </w:r>
      <w:r>
        <w:tab/>
        <w:t>ARGUMENT</w:t>
      </w:r>
      <w:bookmarkEnd w:id="3"/>
      <w:bookmarkEnd w:id="4"/>
    </w:p>
    <w:p w:rsidR="005626D6" w:rsidP="005626D6" w14:paraId="0216B722" w14:textId="6646CF6C">
      <w:pPr>
        <w:pStyle w:val="Heading2"/>
      </w:pPr>
      <w:bookmarkStart w:id="5" w:name="_Toc20994473"/>
      <w:bookmarkStart w:id="6" w:name="_Toc20214584"/>
      <w:r>
        <w:t>A.</w:t>
      </w:r>
      <w:r>
        <w:tab/>
        <w:t>Verde has not demonstrated with any specificity or particularity how or why OCC</w:t>
      </w:r>
      <w:r w:rsidR="00C6353A">
        <w:t>’</w:t>
      </w:r>
      <w:r>
        <w:t xml:space="preserve">s </w:t>
      </w:r>
      <w:r w:rsidR="00903290">
        <w:t xml:space="preserve">consumer protection </w:t>
      </w:r>
      <w:r>
        <w:t>discovery is oppressive or burdensome.</w:t>
      </w:r>
      <w:bookmarkEnd w:id="5"/>
      <w:r>
        <w:t xml:space="preserve"> </w:t>
      </w:r>
    </w:p>
    <w:p w:rsidR="005626D6" w:rsidP="005626D6" w14:paraId="3C7C48DA" w14:textId="4A8E28DE">
      <w:pPr>
        <w:pStyle w:val="BodyTextIndent3"/>
        <w:widowControl w:val="0"/>
        <w:spacing w:after="0" w:line="480" w:lineRule="auto"/>
        <w:ind w:left="0" w:right="-29" w:firstLine="720"/>
        <w:rPr>
          <w:sz w:val="24"/>
          <w:szCs w:val="24"/>
        </w:rPr>
      </w:pPr>
      <w:r>
        <w:rPr>
          <w:sz w:val="24"/>
          <w:szCs w:val="24"/>
        </w:rPr>
        <w:t xml:space="preserve">Verde fails in its Second Motion for Protection to specifically identify </w:t>
      </w:r>
      <w:r>
        <w:rPr>
          <w:i/>
          <w:sz w:val="24"/>
          <w:szCs w:val="24"/>
        </w:rPr>
        <w:t>how</w:t>
      </w:r>
      <w:r>
        <w:rPr>
          <w:sz w:val="24"/>
          <w:szCs w:val="24"/>
        </w:rPr>
        <w:t xml:space="preserve"> OCC</w:t>
      </w:r>
      <w:r w:rsidR="00C6353A">
        <w:rPr>
          <w:sz w:val="24"/>
          <w:szCs w:val="24"/>
        </w:rPr>
        <w:t>’</w:t>
      </w:r>
      <w:r>
        <w:rPr>
          <w:sz w:val="24"/>
          <w:szCs w:val="24"/>
        </w:rPr>
        <w:t xml:space="preserve">s discovery is oppressive or burdensome. Verde just claims that it </w:t>
      </w:r>
      <w:r>
        <w:rPr>
          <w:i/>
          <w:sz w:val="24"/>
          <w:szCs w:val="24"/>
        </w:rPr>
        <w:t>is</w:t>
      </w:r>
      <w:r>
        <w:rPr>
          <w:sz w:val="24"/>
          <w:szCs w:val="24"/>
        </w:rPr>
        <w:t>, and that it should not have to answer. But that is not enough. As OCC explained in its Memo Contra, f</w:t>
      </w:r>
      <w:r w:rsidRPr="000C4ECE">
        <w:rPr>
          <w:sz w:val="24"/>
          <w:szCs w:val="24"/>
        </w:rPr>
        <w:t>ederal</w:t>
      </w:r>
      <w:r>
        <w:rPr>
          <w:sz w:val="24"/>
          <w:szCs w:val="24"/>
        </w:rPr>
        <w:t xml:space="preserve"> </w:t>
      </w:r>
      <w:r w:rsidRPr="000C4ECE">
        <w:rPr>
          <w:sz w:val="24"/>
          <w:szCs w:val="24"/>
        </w:rPr>
        <w:t>case law</w:t>
      </w:r>
      <w:r>
        <w:rPr>
          <w:rStyle w:val="FootnoteReference"/>
          <w:sz w:val="24"/>
          <w:szCs w:val="24"/>
        </w:rPr>
        <w:footnoteReference w:id="4"/>
      </w:r>
      <w:r w:rsidRPr="000C4ECE">
        <w:rPr>
          <w:sz w:val="24"/>
          <w:szCs w:val="24"/>
        </w:rPr>
        <w:t xml:space="preserve"> </w:t>
      </w:r>
      <w:r>
        <w:rPr>
          <w:sz w:val="24"/>
          <w:szCs w:val="24"/>
        </w:rPr>
        <w:t>holds</w:t>
      </w:r>
      <w:r w:rsidRPr="000C4ECE">
        <w:rPr>
          <w:sz w:val="24"/>
          <w:szCs w:val="24"/>
        </w:rPr>
        <w:t xml:space="preserve"> that, when a party objects to an interrogatory based on oppressiveness or undue burden, that party must show specifically how, despite the broad and liberal construction afforded</w:t>
      </w:r>
      <w:r>
        <w:rPr>
          <w:sz w:val="24"/>
          <w:szCs w:val="24"/>
        </w:rPr>
        <w:t xml:space="preserve"> by</w:t>
      </w:r>
      <w:r w:rsidRPr="000C4ECE">
        <w:rPr>
          <w:sz w:val="24"/>
          <w:szCs w:val="24"/>
        </w:rPr>
        <w:t xml:space="preserve"> discovery rules, each interrogatory is overly broad, burdensome, or oppressive.</w:t>
      </w:r>
      <w:r>
        <w:rPr>
          <w:rStyle w:val="FootnoteReference"/>
          <w:sz w:val="24"/>
          <w:szCs w:val="24"/>
        </w:rPr>
        <w:footnoteReference w:id="5"/>
      </w:r>
      <w:r w:rsidRPr="000C4ECE">
        <w:rPr>
          <w:sz w:val="24"/>
          <w:szCs w:val="24"/>
        </w:rPr>
        <w:t xml:space="preserve"> In objecting, the party must submit affidavits or offer evidence revealing the nature of the burden.</w:t>
      </w:r>
      <w:r>
        <w:rPr>
          <w:rStyle w:val="FootnoteReference"/>
          <w:sz w:val="24"/>
          <w:szCs w:val="24"/>
        </w:rPr>
        <w:footnoteReference w:id="6"/>
      </w:r>
      <w:r w:rsidRPr="000C4ECE">
        <w:rPr>
          <w:sz w:val="24"/>
          <w:szCs w:val="24"/>
        </w:rPr>
        <w:t xml:space="preserve"> General objections without specific support may</w:t>
      </w:r>
      <w:r>
        <w:rPr>
          <w:sz w:val="24"/>
          <w:szCs w:val="24"/>
        </w:rPr>
        <w:t xml:space="preserve"> (and should)</w:t>
      </w:r>
      <w:r w:rsidRPr="000C4ECE">
        <w:rPr>
          <w:sz w:val="24"/>
          <w:szCs w:val="24"/>
        </w:rPr>
        <w:t xml:space="preserve"> result in waiver of the objection.</w:t>
      </w:r>
      <w:r>
        <w:rPr>
          <w:rStyle w:val="FootnoteReference"/>
          <w:sz w:val="24"/>
          <w:szCs w:val="24"/>
        </w:rPr>
        <w:footnoteReference w:id="7"/>
      </w:r>
      <w:r>
        <w:rPr>
          <w:sz w:val="24"/>
          <w:szCs w:val="24"/>
        </w:rPr>
        <w:t xml:space="preserve"> </w:t>
      </w:r>
    </w:p>
    <w:p w:rsidR="005626D6" w:rsidP="005626D6" w14:paraId="5EFF2901" w14:textId="3A4C91D0">
      <w:pPr>
        <w:spacing w:line="480" w:lineRule="auto"/>
        <w:ind w:firstLine="720"/>
        <w:rPr>
          <w:szCs w:val="24"/>
        </w:rPr>
      </w:pPr>
      <w:r w:rsidRPr="000C4ECE">
        <w:rPr>
          <w:szCs w:val="24"/>
        </w:rPr>
        <w:t xml:space="preserve">Here, </w:t>
      </w:r>
      <w:r>
        <w:rPr>
          <w:szCs w:val="24"/>
        </w:rPr>
        <w:t>Verde has</w:t>
      </w:r>
      <w:r w:rsidRPr="000C4ECE">
        <w:rPr>
          <w:szCs w:val="24"/>
        </w:rPr>
        <w:t xml:space="preserve"> failed to specifically show how the interrogatories and requests for production are unduly burdensome. Because the burden falls upon the party resisting discovery to clarify and explain its objections and to provide support</w:t>
      </w:r>
      <w:r>
        <w:rPr>
          <w:szCs w:val="24"/>
        </w:rPr>
        <w:t>,</w:t>
      </w:r>
      <w:r>
        <w:rPr>
          <w:rStyle w:val="FootnoteReference"/>
          <w:szCs w:val="24"/>
        </w:rPr>
        <w:footnoteReference w:id="8"/>
      </w:r>
      <w:r w:rsidRPr="000C4ECE">
        <w:rPr>
          <w:szCs w:val="24"/>
        </w:rPr>
        <w:t xml:space="preserve"> and</w:t>
      </w:r>
      <w:r>
        <w:rPr>
          <w:szCs w:val="24"/>
        </w:rPr>
        <w:t xml:space="preserve"> Verde</w:t>
      </w:r>
      <w:r w:rsidRPr="000C4ECE">
        <w:rPr>
          <w:szCs w:val="24"/>
        </w:rPr>
        <w:t xml:space="preserve"> </w:t>
      </w:r>
      <w:r w:rsidRPr="004973DF">
        <w:rPr>
          <w:szCs w:val="24"/>
        </w:rPr>
        <w:t>ha</w:t>
      </w:r>
      <w:r>
        <w:rPr>
          <w:szCs w:val="24"/>
        </w:rPr>
        <w:t>s</w:t>
      </w:r>
      <w:r w:rsidRPr="000C4ECE">
        <w:rPr>
          <w:szCs w:val="24"/>
        </w:rPr>
        <w:t xml:space="preserve"> failed to do so, the </w:t>
      </w:r>
      <w:r>
        <w:rPr>
          <w:szCs w:val="24"/>
        </w:rPr>
        <w:t>PUCO</w:t>
      </w:r>
      <w:r w:rsidRPr="000C4ECE">
        <w:rPr>
          <w:szCs w:val="24"/>
        </w:rPr>
        <w:t xml:space="preserve"> should overrule </w:t>
      </w:r>
      <w:r>
        <w:rPr>
          <w:szCs w:val="24"/>
        </w:rPr>
        <w:t>its</w:t>
      </w:r>
      <w:r w:rsidRPr="000C4ECE">
        <w:rPr>
          <w:szCs w:val="24"/>
        </w:rPr>
        <w:t xml:space="preserve"> objection</w:t>
      </w:r>
      <w:r>
        <w:rPr>
          <w:szCs w:val="24"/>
        </w:rPr>
        <w:t>s</w:t>
      </w:r>
      <w:r w:rsidRPr="000C4ECE">
        <w:rPr>
          <w:szCs w:val="24"/>
        </w:rPr>
        <w:t>.</w:t>
      </w:r>
      <w:r>
        <w:rPr>
          <w:szCs w:val="24"/>
        </w:rPr>
        <w:t xml:space="preserve"> The PUCO Staff has been actively investigating Verde since the Fall of 2018, and Verde should already have at its disposal the information that OCC seeks. Notably, nothing in Verde</w:t>
      </w:r>
      <w:r w:rsidR="00C6353A">
        <w:rPr>
          <w:szCs w:val="24"/>
        </w:rPr>
        <w:t>’</w:t>
      </w:r>
      <w:r>
        <w:rPr>
          <w:szCs w:val="24"/>
        </w:rPr>
        <w:t>s Motions claim that it does not have access to the information sought by OCC. To the contrary, Verde</w:t>
      </w:r>
      <w:r w:rsidR="00C6353A">
        <w:rPr>
          <w:szCs w:val="24"/>
        </w:rPr>
        <w:t>’</w:t>
      </w:r>
      <w:r>
        <w:rPr>
          <w:szCs w:val="24"/>
        </w:rPr>
        <w:t>s only argument is that it should not have to provide it. But that is not a legitimate reason to deny OCC</w:t>
      </w:r>
      <w:r w:rsidR="00C6353A">
        <w:rPr>
          <w:szCs w:val="24"/>
        </w:rPr>
        <w:t>’</w:t>
      </w:r>
      <w:r>
        <w:rPr>
          <w:szCs w:val="24"/>
        </w:rPr>
        <w:t>s requests.</w:t>
      </w:r>
    </w:p>
    <w:p w:rsidR="005626D6" w:rsidP="005626D6" w14:paraId="7DD4F190" w14:textId="582DA57B">
      <w:pPr>
        <w:spacing w:line="480" w:lineRule="auto"/>
        <w:ind w:firstLine="720"/>
        <w:rPr>
          <w:szCs w:val="24"/>
        </w:rPr>
      </w:pPr>
      <w:r>
        <w:rPr>
          <w:szCs w:val="24"/>
        </w:rPr>
        <w:t>Further, Verde</w:t>
      </w:r>
      <w:r w:rsidR="00C6353A">
        <w:rPr>
          <w:szCs w:val="24"/>
        </w:rPr>
        <w:t>’</w:t>
      </w:r>
      <w:r>
        <w:rPr>
          <w:szCs w:val="24"/>
        </w:rPr>
        <w:t>s objection that OCC</w:t>
      </w:r>
      <w:r w:rsidR="00C6353A">
        <w:rPr>
          <w:szCs w:val="24"/>
        </w:rPr>
        <w:t>’</w:t>
      </w:r>
      <w:r>
        <w:rPr>
          <w:szCs w:val="24"/>
        </w:rPr>
        <w:t>s discovery was not timely is no longer ripe – it has become rotten. If Verde</w:t>
      </w:r>
      <w:r w:rsidR="00C6353A">
        <w:rPr>
          <w:szCs w:val="24"/>
        </w:rPr>
        <w:t>’</w:t>
      </w:r>
      <w:r>
        <w:rPr>
          <w:szCs w:val="24"/>
        </w:rPr>
        <w:t>s tactic is to frustrate OCC</w:t>
      </w:r>
      <w:r w:rsidR="00C6353A">
        <w:rPr>
          <w:szCs w:val="24"/>
        </w:rPr>
        <w:t>’</w:t>
      </w:r>
      <w:r>
        <w:rPr>
          <w:szCs w:val="24"/>
        </w:rPr>
        <w:t>s hearing preparation by stalling and not responding to OCC</w:t>
      </w:r>
      <w:r w:rsidR="00C6353A">
        <w:rPr>
          <w:szCs w:val="24"/>
        </w:rPr>
        <w:t>’</w:t>
      </w:r>
      <w:r>
        <w:rPr>
          <w:szCs w:val="24"/>
        </w:rPr>
        <w:t>s discovery, then maybe Verde is succeeding. But now is time for the PUCO to put an end to Verde</w:t>
      </w:r>
      <w:r w:rsidR="00C6353A">
        <w:rPr>
          <w:szCs w:val="24"/>
        </w:rPr>
        <w:t>’</w:t>
      </w:r>
      <w:r>
        <w:rPr>
          <w:szCs w:val="24"/>
        </w:rPr>
        <w:t>s practice of objecting to all of OCC</w:t>
      </w:r>
      <w:r w:rsidR="00C6353A">
        <w:rPr>
          <w:szCs w:val="24"/>
        </w:rPr>
        <w:t>’</w:t>
      </w:r>
      <w:r>
        <w:rPr>
          <w:szCs w:val="24"/>
        </w:rPr>
        <w:t>s discovery.</w:t>
      </w:r>
    </w:p>
    <w:p w:rsidR="00CB2BE8" w:rsidP="005626D6" w14:paraId="51217FEB" w14:textId="31F8F381">
      <w:pPr>
        <w:pStyle w:val="Heading2"/>
      </w:pPr>
      <w:bookmarkStart w:id="7" w:name="_Toc20994474"/>
      <w:r>
        <w:t>B.</w:t>
      </w:r>
      <w:r>
        <w:tab/>
        <w:t>The amount of discovery served by OCC is proportional to the number of violations of Ohio law and PUCO rules committed by Verde</w:t>
      </w:r>
      <w:r w:rsidR="00A02A28">
        <w:t xml:space="preserve"> in its abuses of Ohio consumers</w:t>
      </w:r>
      <w:r>
        <w:t>.</w:t>
      </w:r>
      <w:bookmarkEnd w:id="7"/>
    </w:p>
    <w:p w:rsidR="00CB2BE8" w:rsidP="00CB2BE8" w14:paraId="44020F38" w14:textId="009FD77F">
      <w:pPr>
        <w:spacing w:line="480" w:lineRule="auto"/>
        <w:ind w:firstLine="720"/>
        <w:rPr>
          <w:szCs w:val="24"/>
        </w:rPr>
      </w:pPr>
      <w:r>
        <w:t>Verde misled and deceived Ohio utility consumers through its marketing for electricity and natural gas in at least 231 instances between October 1, 2018 and April 12, 2019.</w:t>
      </w:r>
      <w:r>
        <w:rPr>
          <w:rStyle w:val="FootnoteReference"/>
        </w:rPr>
        <w:footnoteReference w:id="9"/>
      </w:r>
      <w:r>
        <w:t xml:space="preserve"> </w:t>
      </w:r>
      <w:r w:rsidR="00DF03FF">
        <w:t xml:space="preserve">The PUCO Staff found it had received 481 customer contacts regarding Verde, but 231 of those contacts were </w:t>
      </w:r>
      <w:r w:rsidR="00750013">
        <w:t xml:space="preserve">confirmed </w:t>
      </w:r>
      <w:r w:rsidR="00DF03FF">
        <w:t>as complaints or violations related to enrollment disputes, misleading information, and false representations by Verde.</w:t>
      </w:r>
      <w:r>
        <w:rPr>
          <w:rStyle w:val="FootnoteReference"/>
        </w:rPr>
        <w:footnoteReference w:id="10"/>
      </w:r>
      <w:r w:rsidR="00DF03FF">
        <w:t xml:space="preserve"> Further the PUCO Staff noted that 18 percent of </w:t>
      </w:r>
      <w:r w:rsidRPr="00DF03FF" w:rsidR="00DF03FF">
        <w:rPr>
          <w:i/>
          <w:iCs/>
        </w:rPr>
        <w:t xml:space="preserve">all </w:t>
      </w:r>
      <w:r w:rsidR="00DF03FF">
        <w:t xml:space="preserve">supplier-related investigations open for review and resolution by the PUCO Staff </w:t>
      </w:r>
      <w:r w:rsidR="00750013">
        <w:t>we</w:t>
      </w:r>
      <w:r w:rsidR="00DF03FF">
        <w:t>re in reference to Verde.</w:t>
      </w:r>
      <w:r>
        <w:rPr>
          <w:rStyle w:val="FootnoteReference"/>
        </w:rPr>
        <w:footnoteReference w:id="11"/>
      </w:r>
      <w:r w:rsidR="00DF03FF">
        <w:t xml:space="preserve"> </w:t>
      </w:r>
      <w:r w:rsidR="00D14825">
        <w:t>This is an unfair burden on Ohioans and on the use of the PUCO</w:t>
      </w:r>
      <w:r w:rsidR="00C6353A">
        <w:t>’</w:t>
      </w:r>
      <w:r w:rsidR="00D14825">
        <w:t xml:space="preserve">s state budget. </w:t>
      </w:r>
      <w:r w:rsidR="00DF03FF">
        <w:t>The PUCO Staff</w:t>
      </w:r>
      <w:r w:rsidR="00C6353A">
        <w:t>’</w:t>
      </w:r>
      <w:r w:rsidR="00DF03FF">
        <w:t xml:space="preserve">s investigation was broad and far-reaching, as </w:t>
      </w:r>
      <w:r>
        <w:t>Verde</w:t>
      </w:r>
      <w:r w:rsidR="00C6353A">
        <w:t>’</w:t>
      </w:r>
      <w:r>
        <w:t xml:space="preserve">s violations of Ohio law and PUCO rules </w:t>
      </w:r>
      <w:r w:rsidR="00DF03FF">
        <w:t>were</w:t>
      </w:r>
      <w:r>
        <w:t xml:space="preserve"> numerous and diverse. </w:t>
      </w:r>
      <w:r>
        <w:rPr>
          <w:szCs w:val="24"/>
        </w:rPr>
        <w:t>The PUCO Staff found that Verde violated Ohio law and PUCO rules by:</w:t>
      </w:r>
    </w:p>
    <w:p w:rsidR="00CB2BE8" w:rsidP="00CB2BE8" w14:paraId="1E0EA3C6" w14:textId="53237AAF">
      <w:pPr>
        <w:pStyle w:val="ListParagraph"/>
        <w:numPr>
          <w:ilvl w:val="0"/>
          <w:numId w:val="3"/>
        </w:numPr>
        <w:rPr>
          <w:szCs w:val="24"/>
        </w:rPr>
      </w:pPr>
      <w:r>
        <w:rPr>
          <w:szCs w:val="24"/>
        </w:rPr>
        <w:t>Engaging in unfair, misleading, deceptive, or unconscionable activities, including the “spoofing” of phone numbers for marketing calls to consumers (which the Staff said Verde continues to allow)</w:t>
      </w:r>
      <w:r w:rsidR="006138EF">
        <w:rPr>
          <w:szCs w:val="24"/>
        </w:rPr>
        <w:t xml:space="preserve"> – violations of Ohio Adm.Code 4901:1-21-03, 4901:1-21-05(C), 4901:1-21-06, 4901:1-21-11(A), 4901:1-29-03(A), 4901:1-29-05(D), 4901:1-29-06, and 4901:1-29-10(A)</w:t>
      </w:r>
      <w:r>
        <w:rPr>
          <w:szCs w:val="24"/>
        </w:rPr>
        <w:t>;</w:t>
      </w:r>
      <w:r>
        <w:rPr>
          <w:rStyle w:val="FootnoteReference"/>
          <w:szCs w:val="24"/>
        </w:rPr>
        <w:footnoteReference w:id="12"/>
      </w:r>
      <w:r>
        <w:rPr>
          <w:szCs w:val="24"/>
        </w:rPr>
        <w:t xml:space="preserve"> </w:t>
      </w:r>
    </w:p>
    <w:p w:rsidR="00CB2BE8" w:rsidP="00CB2BE8" w14:paraId="32ADA0E6" w14:textId="77777777">
      <w:pPr>
        <w:pStyle w:val="ListParagraph"/>
        <w:ind w:left="1440"/>
        <w:rPr>
          <w:szCs w:val="24"/>
        </w:rPr>
      </w:pPr>
    </w:p>
    <w:p w:rsidR="00CB2BE8" w:rsidP="00CB2BE8" w14:paraId="4A025359" w14:textId="7FAF1AE3">
      <w:pPr>
        <w:pStyle w:val="ListParagraph"/>
        <w:numPr>
          <w:ilvl w:val="0"/>
          <w:numId w:val="3"/>
        </w:numPr>
        <w:rPr>
          <w:szCs w:val="24"/>
        </w:rPr>
      </w:pPr>
      <w:r>
        <w:rPr>
          <w:szCs w:val="24"/>
        </w:rPr>
        <w:t>Failing to inform customers that they have the right, within seven calendar or seven business days, to rescind a CRES or CRNGS contract after it has been signed</w:t>
      </w:r>
      <w:r w:rsidR="006138EF">
        <w:rPr>
          <w:szCs w:val="24"/>
        </w:rPr>
        <w:t xml:space="preserve"> – violations of Ohio Adm.Code 4901:1-21-06(D), 4901:1-29-06(D)(5)(b), and 4901:1-29-06(E)(1)(h)(ii)</w:t>
      </w:r>
      <w:r>
        <w:rPr>
          <w:szCs w:val="24"/>
        </w:rPr>
        <w:t>;</w:t>
      </w:r>
      <w:r>
        <w:rPr>
          <w:rStyle w:val="FootnoteReference"/>
          <w:szCs w:val="24"/>
        </w:rPr>
        <w:footnoteReference w:id="13"/>
      </w:r>
    </w:p>
    <w:p w:rsidR="00CB2BE8" w:rsidP="00CB2BE8" w14:paraId="56445539" w14:textId="77777777">
      <w:pPr>
        <w:rPr>
          <w:szCs w:val="24"/>
        </w:rPr>
      </w:pPr>
    </w:p>
    <w:p w:rsidR="00CB2BE8" w:rsidP="00CB2BE8" w14:paraId="16864806" w14:textId="22C23514">
      <w:pPr>
        <w:pStyle w:val="ListParagraph"/>
        <w:numPr>
          <w:ilvl w:val="0"/>
          <w:numId w:val="3"/>
        </w:numPr>
        <w:rPr>
          <w:szCs w:val="24"/>
        </w:rPr>
      </w:pPr>
      <w:r>
        <w:rPr>
          <w:szCs w:val="24"/>
        </w:rPr>
        <w:t>Failing to maintain required records and evidence of customer consent to contract for service</w:t>
      </w:r>
      <w:r w:rsidR="006138EF">
        <w:rPr>
          <w:szCs w:val="24"/>
        </w:rPr>
        <w:t xml:space="preserve"> – violations of Ohio Adm.Code 4901:1-21-04(A), 4901:1-21-06(D), 4901:1-21-11(C), 4901:1-29-04(A), 4901:1-29-06(D), and 4901:1-29-10(B)</w:t>
      </w:r>
      <w:r>
        <w:rPr>
          <w:szCs w:val="24"/>
        </w:rPr>
        <w:t>;</w:t>
      </w:r>
      <w:r>
        <w:rPr>
          <w:rStyle w:val="FootnoteReference"/>
          <w:szCs w:val="24"/>
        </w:rPr>
        <w:footnoteReference w:id="14"/>
      </w:r>
    </w:p>
    <w:p w:rsidR="00CB2BE8" w:rsidRPr="0006609A" w:rsidP="00CB2BE8" w14:paraId="3885B944" w14:textId="77777777">
      <w:pPr>
        <w:pStyle w:val="ListParagraph"/>
        <w:rPr>
          <w:szCs w:val="24"/>
        </w:rPr>
      </w:pPr>
    </w:p>
    <w:p w:rsidR="00CB2BE8" w:rsidP="00CB2BE8" w14:paraId="7D212A2F" w14:textId="30D31128">
      <w:pPr>
        <w:pStyle w:val="ListParagraph"/>
        <w:numPr>
          <w:ilvl w:val="0"/>
          <w:numId w:val="3"/>
        </w:numPr>
        <w:rPr>
          <w:szCs w:val="24"/>
        </w:rPr>
      </w:pPr>
      <w:r>
        <w:rPr>
          <w:szCs w:val="24"/>
        </w:rPr>
        <w:t>Failing to include required elements in third party verification (“TPV”) calls for customer enrollment</w:t>
      </w:r>
      <w:r w:rsidR="006138EF">
        <w:rPr>
          <w:szCs w:val="24"/>
        </w:rPr>
        <w:t xml:space="preserve"> – violations of Ohio Adm.Code 4901:1-21-06(D)(1)(h), 4901:1-21-06(D)(2)(a), 4901:1-29-06(D)(6)(b), and 4901:1-29-06(E)(1)</w:t>
      </w:r>
      <w:r>
        <w:rPr>
          <w:szCs w:val="24"/>
        </w:rPr>
        <w:t>;</w:t>
      </w:r>
      <w:r>
        <w:rPr>
          <w:rStyle w:val="FootnoteReference"/>
          <w:szCs w:val="24"/>
        </w:rPr>
        <w:footnoteReference w:id="15"/>
      </w:r>
      <w:r>
        <w:rPr>
          <w:szCs w:val="24"/>
        </w:rPr>
        <w:t xml:space="preserve"> and</w:t>
      </w:r>
    </w:p>
    <w:p w:rsidR="00CB2BE8" w:rsidRPr="0006609A" w:rsidP="00CB2BE8" w14:paraId="7C5C4E06" w14:textId="77777777">
      <w:pPr>
        <w:pStyle w:val="ListParagraph"/>
        <w:rPr>
          <w:szCs w:val="24"/>
        </w:rPr>
      </w:pPr>
    </w:p>
    <w:p w:rsidR="00CB2BE8" w:rsidRPr="00711BAE" w:rsidP="00CB2BE8" w14:paraId="7C2A2D3E" w14:textId="0D501F7A">
      <w:pPr>
        <w:pStyle w:val="ListParagraph"/>
        <w:numPr>
          <w:ilvl w:val="0"/>
          <w:numId w:val="3"/>
        </w:numPr>
        <w:rPr>
          <w:szCs w:val="24"/>
        </w:rPr>
      </w:pPr>
      <w:r>
        <w:rPr>
          <w:szCs w:val="24"/>
        </w:rPr>
        <w:t>Failing to provide customers with required contract and contract expiration notices</w:t>
      </w:r>
      <w:r w:rsidR="006138EF">
        <w:rPr>
          <w:szCs w:val="24"/>
        </w:rPr>
        <w:t xml:space="preserve"> – violations of Ohio Adm.Code 4901:1-21-06(D)(2)(b)(ii) and 4901:1-29-06(E)(2)(a)</w:t>
      </w:r>
      <w:r>
        <w:rPr>
          <w:szCs w:val="24"/>
        </w:rPr>
        <w:t>.</w:t>
      </w:r>
      <w:r>
        <w:rPr>
          <w:rStyle w:val="FootnoteReference"/>
          <w:szCs w:val="24"/>
        </w:rPr>
        <w:footnoteReference w:id="16"/>
      </w:r>
    </w:p>
    <w:p w:rsidR="00DF03FF" w:rsidP="00CB2BE8" w14:paraId="50EFF94A" w14:textId="77777777">
      <w:pPr>
        <w:spacing w:line="480" w:lineRule="auto"/>
      </w:pPr>
    </w:p>
    <w:p w:rsidR="002C0EFF" w:rsidP="006235AD" w14:paraId="0A6232A3" w14:textId="082EC212">
      <w:pPr>
        <w:spacing w:line="480" w:lineRule="auto"/>
        <w:ind w:firstLine="720"/>
      </w:pPr>
      <w:r>
        <w:t>There is no doubt that</w:t>
      </w:r>
      <w:r w:rsidR="00DF03FF">
        <w:t xml:space="preserve"> Verde overcharged, misl</w:t>
      </w:r>
      <w:r w:rsidR="00DE4CDD">
        <w:t>e</w:t>
      </w:r>
      <w:r w:rsidR="00DF03FF">
        <w:t>d</w:t>
      </w:r>
      <w:r w:rsidR="00DE4CDD">
        <w:t>, and deceived h</w:t>
      </w:r>
      <w:r w:rsidR="00750013">
        <w:t>u</w:t>
      </w:r>
      <w:r w:rsidR="00DE4CDD">
        <w:t>ndreds of Ohio utility consumers</w:t>
      </w:r>
      <w:r w:rsidR="000003F3">
        <w:t>.</w:t>
      </w:r>
      <w:r w:rsidR="00C6353A">
        <w:t xml:space="preserve"> </w:t>
      </w:r>
      <w:r w:rsidR="000003F3">
        <w:t xml:space="preserve">The sheer number of complaints or customers contacts in </w:t>
      </w:r>
      <w:r w:rsidR="00381763">
        <w:t>seven-</w:t>
      </w:r>
      <w:r w:rsidR="000003F3">
        <w:t>month period that were made regarding Verde speaks loudly in this regard.</w:t>
      </w:r>
      <w:r w:rsidR="00C6353A">
        <w:t xml:space="preserve"> </w:t>
      </w:r>
      <w:r>
        <w:t>Unfortunately, the Settlement between Verde and the PUCO Staff does little to address and resolve Verde</w:t>
      </w:r>
      <w:r w:rsidR="00C6353A">
        <w:t>’</w:t>
      </w:r>
      <w:r>
        <w:t>s bad acts</w:t>
      </w:r>
      <w:r w:rsidR="00DE4CDD">
        <w:t>.</w:t>
      </w:r>
      <w:r w:rsidRPr="00821D4B">
        <w:t xml:space="preserve"> </w:t>
      </w:r>
      <w:r w:rsidR="00381763">
        <w:rPr>
          <w:szCs w:val="24"/>
        </w:rPr>
        <w:t>Despite the PUCO</w:t>
      </w:r>
      <w:r w:rsidR="00C6353A">
        <w:rPr>
          <w:szCs w:val="24"/>
        </w:rPr>
        <w:t>’</w:t>
      </w:r>
      <w:r w:rsidR="00381763">
        <w:rPr>
          <w:szCs w:val="24"/>
        </w:rPr>
        <w:t xml:space="preserve">s Entry directing </w:t>
      </w:r>
      <w:r w:rsidRPr="00FE0CDD" w:rsidR="00381763">
        <w:rPr>
          <w:iCs/>
          <w:szCs w:val="24"/>
        </w:rPr>
        <w:t>Verde</w:t>
      </w:r>
      <w:r w:rsidR="00381763">
        <w:rPr>
          <w:szCs w:val="24"/>
        </w:rPr>
        <w:t xml:space="preserve"> to show cause why its certificates should not be suspended or rescinded, Verde now seeks the PUCO</w:t>
      </w:r>
      <w:r w:rsidR="00C6353A">
        <w:rPr>
          <w:szCs w:val="24"/>
        </w:rPr>
        <w:t>’</w:t>
      </w:r>
      <w:r w:rsidR="00381763">
        <w:rPr>
          <w:szCs w:val="24"/>
        </w:rPr>
        <w:t>s protection from OCC</w:t>
      </w:r>
      <w:r w:rsidR="00C6353A">
        <w:rPr>
          <w:szCs w:val="24"/>
        </w:rPr>
        <w:t>’</w:t>
      </w:r>
      <w:r w:rsidR="00381763">
        <w:rPr>
          <w:szCs w:val="24"/>
        </w:rPr>
        <w:t>s proper discovery regarding the findings in the Staff Report and other matters relevant to consumer protection in this case.</w:t>
      </w:r>
      <w:r>
        <w:rPr>
          <w:rStyle w:val="FootnoteReference"/>
          <w:szCs w:val="24"/>
        </w:rPr>
        <w:footnoteReference w:id="17"/>
      </w:r>
    </w:p>
    <w:p w:rsidR="00CB2BE8" w:rsidP="006235AD" w14:paraId="3E1600EF" w14:textId="6BC1E834">
      <w:pPr>
        <w:spacing w:line="480" w:lineRule="auto"/>
        <w:ind w:firstLine="720"/>
      </w:pPr>
      <w:r>
        <w:t>OCC should be permitted to conduct discovery on Verde</w:t>
      </w:r>
      <w:r w:rsidR="00C6353A">
        <w:t>’</w:t>
      </w:r>
      <w:r>
        <w:t>s numerous violations of Ohio law and PUCO rules.</w:t>
      </w:r>
      <w:r w:rsidR="002C0EFF">
        <w:t xml:space="preserve"> But if Verde gets its way, OCC will be deprived of that right.</w:t>
      </w:r>
      <w:r w:rsidR="00C6353A">
        <w:t xml:space="preserve"> </w:t>
      </w:r>
    </w:p>
    <w:p w:rsidR="00821D4B" w:rsidP="006235AD" w14:paraId="15005104" w14:textId="7654F0AC">
      <w:pPr>
        <w:spacing w:line="480" w:lineRule="auto"/>
      </w:pPr>
      <w:r>
        <w:tab/>
        <w:t xml:space="preserve">Additionally, it is fundamental in the practice of law that a penalty must be proportional to the violation. The Settlement between Verde and the PUCO Staff </w:t>
      </w:r>
      <w:r w:rsidR="00C659B4">
        <w:t>should appropriately</w:t>
      </w:r>
      <w:r>
        <w:t xml:space="preserve"> address the violations in the Staff Report. In this case, to determine if the Settlement is just and reasonable (and proportional to the violations), OCC must conduct discovery regarding the violations found by the PUCO Staff. For example, if Verde had committed just one violation of Ohio law and PUCO rules, or deceived just one customer, the settlement might be just and reasonable because it is proportional to the violation. But, on the other hand, if all 481 customer contacts with the PUCO contain meritorious complaints against Verde, then the settlement between Verde and the PUCO Staff is not proportional to the violations and therefore not just and reasonable. But the </w:t>
      </w:r>
      <w:r w:rsidR="002C0EFF">
        <w:t>most direct</w:t>
      </w:r>
      <w:r>
        <w:t xml:space="preserve"> way for OCC or the PUCO to determine if the settlement is just and </w:t>
      </w:r>
      <w:r w:rsidR="00C659B4">
        <w:t>reasonable or</w:t>
      </w:r>
      <w:r>
        <w:t xml:space="preserve"> satisfies the three-prong test the PUCO uses to evaluate settlements, is to </w:t>
      </w:r>
      <w:r w:rsidR="002C0EFF">
        <w:t>allow OCC the ample discovery rights it is entitled to under Ohio law and PUCO rules.</w:t>
      </w:r>
      <w:r w:rsidR="00C6353A">
        <w:t xml:space="preserve"> </w:t>
      </w:r>
      <w:r w:rsidR="002C0EFF">
        <w:t xml:space="preserve">Under both, OCC can </w:t>
      </w:r>
      <w:r>
        <w:t xml:space="preserve">request documents, admissions, </w:t>
      </w:r>
      <w:r w:rsidR="002C0EFF">
        <w:t xml:space="preserve">pose questions and conduct depositions so long as the information sought by these various methods of discovery is </w:t>
      </w:r>
      <w:r>
        <w:t>reasonably calculated to lead to the discovery of admissible information</w:t>
      </w:r>
      <w:r w:rsidR="002C0EFF">
        <w:t>.</w:t>
      </w:r>
    </w:p>
    <w:p w:rsidR="00753E78" w:rsidRPr="00CB2BE8" w:rsidP="00821D4B" w14:paraId="78050875" w14:textId="22747956">
      <w:pPr>
        <w:spacing w:line="480" w:lineRule="auto"/>
        <w:ind w:firstLine="720"/>
      </w:pPr>
      <w:r>
        <w:t xml:space="preserve">While Verde </w:t>
      </w:r>
      <w:r w:rsidR="00942FE4">
        <w:t>claims</w:t>
      </w:r>
      <w:r>
        <w:t xml:space="preserve"> that the amount of discovery sought by OCC is unduly burdensome, </w:t>
      </w:r>
      <w:r w:rsidR="00942FE4">
        <w:t>Verde</w:t>
      </w:r>
      <w:r w:rsidR="00C6353A">
        <w:t>’</w:t>
      </w:r>
      <w:r w:rsidR="00942FE4">
        <w:t xml:space="preserve">s questionable business model has </w:t>
      </w:r>
      <w:r w:rsidR="00B54A8B">
        <w:t>left it no stranger to</w:t>
      </w:r>
      <w:r w:rsidR="00942FE4">
        <w:t xml:space="preserve"> being questioned by authorities in states where it operat</w:t>
      </w:r>
      <w:r>
        <w:t>e</w:t>
      </w:r>
      <w:r w:rsidR="00942FE4">
        <w:t>s</w:t>
      </w:r>
      <w:r>
        <w:t xml:space="preserve">. </w:t>
      </w:r>
      <w:r w:rsidR="00821D4B">
        <w:t xml:space="preserve">Indeed, </w:t>
      </w:r>
      <w:r w:rsidR="00DE4CDD">
        <w:t xml:space="preserve">Ohio is </w:t>
      </w:r>
      <w:r w:rsidR="00942FE4">
        <w:t xml:space="preserve">certainly </w:t>
      </w:r>
      <w:r w:rsidR="00DE4CDD">
        <w:t xml:space="preserve">not the only state in which </w:t>
      </w:r>
      <w:r w:rsidR="00821D4B">
        <w:t>“Spark Companies”</w:t>
      </w:r>
      <w:r>
        <w:rPr>
          <w:rStyle w:val="FootnoteReference"/>
        </w:rPr>
        <w:footnoteReference w:id="18"/>
      </w:r>
      <w:r w:rsidR="00821D4B">
        <w:t xml:space="preserve"> (Verde</w:t>
      </w:r>
      <w:r w:rsidR="00C6353A">
        <w:t>’</w:t>
      </w:r>
      <w:r w:rsidR="00821D4B">
        <w:t>s sister companies) have</w:t>
      </w:r>
      <w:r w:rsidR="00DE4CDD">
        <w:t xml:space="preserve"> been caught overcharging, misleading, and deceiving customers.</w:t>
      </w:r>
      <w:r w:rsidR="00821D4B">
        <w:t xml:space="preserve"> I</w:t>
      </w:r>
      <w:r w:rsidR="00DE4CDD">
        <w:t xml:space="preserve">n many states, customers have filed class-action lawsuits against </w:t>
      </w:r>
      <w:r w:rsidR="00821D4B">
        <w:t>Spark Companies, and Spark Companies are no stranger to the state regulatory agencies that have conducted in-depth investigations into their deceptive marketing practices</w:t>
      </w:r>
      <w:r w:rsidR="00DE4CDD">
        <w:t>.</w:t>
      </w:r>
      <w:r w:rsidR="00206C08">
        <w:t xml:space="preserve"> </w:t>
      </w:r>
      <w:r w:rsidR="00750013">
        <w:t>OCC</w:t>
      </w:r>
      <w:r w:rsidR="00C6353A">
        <w:t>’</w:t>
      </w:r>
      <w:r w:rsidR="00750013">
        <w:t xml:space="preserve">s discovery is </w:t>
      </w:r>
      <w:r w:rsidR="00DE4CDD">
        <w:t>directly related to the PUCO Staff</w:t>
      </w:r>
      <w:r w:rsidR="00C6353A">
        <w:t>’</w:t>
      </w:r>
      <w:r w:rsidR="00DE4CDD">
        <w:t>s investigation</w:t>
      </w:r>
      <w:r w:rsidR="00821D4B">
        <w:t xml:space="preserve"> of Verde and the resulting Settlement between Verde and the PUCO Staff. </w:t>
      </w:r>
      <w:r w:rsidR="00381763">
        <w:t>Further, nothing in Ohio law or PUCO rules expressly limit how much discovery can be conducted. OCC</w:t>
      </w:r>
      <w:r w:rsidR="00C6353A">
        <w:t>’</w:t>
      </w:r>
      <w:r w:rsidR="00381763">
        <w:t>s discovery is not burdensome or oppressive – m</w:t>
      </w:r>
      <w:r w:rsidR="00821D4B">
        <w:t>uch of the</w:t>
      </w:r>
      <w:r w:rsidR="00206C08">
        <w:t xml:space="preserve"> </w:t>
      </w:r>
      <w:r w:rsidR="00DE4CDD">
        <w:t xml:space="preserve">information </w:t>
      </w:r>
      <w:r w:rsidR="00821D4B">
        <w:t>OCC seeks</w:t>
      </w:r>
      <w:r w:rsidR="00DE4CDD">
        <w:t xml:space="preserve"> has already </w:t>
      </w:r>
      <w:r w:rsidR="00821D4B">
        <w:t xml:space="preserve">been </w:t>
      </w:r>
      <w:r w:rsidR="00DE4CDD">
        <w:t>provided to the PUCO Staff</w:t>
      </w:r>
      <w:r w:rsidR="00821D4B">
        <w:t>, and Verde does not claim otherwise</w:t>
      </w:r>
      <w:r w:rsidR="00381763">
        <w:t>.</w:t>
      </w:r>
      <w:r w:rsidR="00DE4CDD">
        <w:t xml:space="preserve"> </w:t>
      </w:r>
    </w:p>
    <w:p w:rsidR="00953109" w:rsidP="009C185E" w14:paraId="63FF0278" w14:textId="695AEA08">
      <w:pPr>
        <w:pStyle w:val="Heading2"/>
        <w:rPr>
          <w:b w:val="0"/>
        </w:rPr>
      </w:pPr>
      <w:bookmarkStart w:id="8" w:name="_Toc20994475"/>
      <w:r>
        <w:t>C</w:t>
      </w:r>
      <w:r w:rsidR="00CB2BE8">
        <w:t>.</w:t>
      </w:r>
      <w:r w:rsidR="00CB2BE8">
        <w:tab/>
      </w:r>
      <w:r w:rsidR="00E8408A">
        <w:t>Discovery often accelerates when a settlement is filed in a PUCO proceeding</w:t>
      </w:r>
      <w:r w:rsidR="00EF79CB">
        <w:t>.</w:t>
      </w:r>
      <w:bookmarkEnd w:id="6"/>
      <w:bookmarkEnd w:id="8"/>
    </w:p>
    <w:p w:rsidR="00484F3B" w:rsidP="00711DB3" w14:paraId="7F748C70" w14:textId="75235A3D">
      <w:pPr>
        <w:spacing w:line="480" w:lineRule="auto"/>
        <w:ind w:firstLine="720"/>
        <w:rPr>
          <w:szCs w:val="24"/>
        </w:rPr>
      </w:pPr>
      <w:r>
        <w:rPr>
          <w:szCs w:val="24"/>
        </w:rPr>
        <w:t>Verde argues that OCC</w:t>
      </w:r>
      <w:r w:rsidR="00C6353A">
        <w:rPr>
          <w:szCs w:val="24"/>
        </w:rPr>
        <w:t>’</w:t>
      </w:r>
      <w:r>
        <w:rPr>
          <w:szCs w:val="24"/>
        </w:rPr>
        <w:t>s discovery is oppressive and burdensome because it did not begin in earnest until the settlement was filed. But</w:t>
      </w:r>
      <w:r w:rsidR="00821D4B">
        <w:rPr>
          <w:szCs w:val="24"/>
        </w:rPr>
        <w:t>, as OCC pointed out in its Memorandum Contra to Verde</w:t>
      </w:r>
      <w:r w:rsidR="00C6353A">
        <w:rPr>
          <w:szCs w:val="24"/>
        </w:rPr>
        <w:t>’</w:t>
      </w:r>
      <w:r w:rsidR="00821D4B">
        <w:rPr>
          <w:szCs w:val="24"/>
        </w:rPr>
        <w:t xml:space="preserve">s Motion for Protective Order, it is common practice in PUCO proceedings for parties to engage in discovery after a settlement has been filed. </w:t>
      </w:r>
      <w:r>
        <w:rPr>
          <w:szCs w:val="24"/>
        </w:rPr>
        <w:t>This makes sense, of course, because a party cannot conduct discovery related to the PUCO</w:t>
      </w:r>
      <w:r w:rsidR="00C6353A">
        <w:rPr>
          <w:szCs w:val="24"/>
        </w:rPr>
        <w:t>’</w:t>
      </w:r>
      <w:r>
        <w:rPr>
          <w:szCs w:val="24"/>
        </w:rPr>
        <w:t>s three-part test for evaluating a settlement until it knows whether that standard will be applied.</w:t>
      </w:r>
    </w:p>
    <w:p w:rsidR="00E8408A" w:rsidP="00711DB3" w14:paraId="523BAD26" w14:textId="74D0F299">
      <w:pPr>
        <w:spacing w:line="480" w:lineRule="auto"/>
        <w:ind w:firstLine="720"/>
        <w:rPr>
          <w:szCs w:val="24"/>
        </w:rPr>
      </w:pPr>
      <w:r>
        <w:rPr>
          <w:szCs w:val="24"/>
        </w:rPr>
        <w:t>Take, for example, the most-recent demand-side management case by Columbia Gas of Ohio, Inc. (“Columbia”).</w:t>
      </w:r>
      <w:r>
        <w:rPr>
          <w:rStyle w:val="FootnoteReference"/>
          <w:szCs w:val="24"/>
        </w:rPr>
        <w:footnoteReference w:id="19"/>
      </w:r>
      <w:r>
        <w:rPr>
          <w:szCs w:val="24"/>
        </w:rPr>
        <w:t xml:space="preserve"> Columbia signed a settlement with </w:t>
      </w:r>
      <w:r w:rsidR="00D34269">
        <w:rPr>
          <w:szCs w:val="24"/>
        </w:rPr>
        <w:t>the PUCO Staff and five other parties (not including OCC)</w:t>
      </w:r>
      <w:r>
        <w:rPr>
          <w:szCs w:val="24"/>
        </w:rPr>
        <w:t>.</w:t>
      </w:r>
      <w:r>
        <w:rPr>
          <w:rStyle w:val="FootnoteReference"/>
          <w:szCs w:val="24"/>
        </w:rPr>
        <w:footnoteReference w:id="20"/>
      </w:r>
      <w:r>
        <w:rPr>
          <w:szCs w:val="24"/>
        </w:rPr>
        <w:t xml:space="preserve"> After the settlement was filed, OCC served </w:t>
      </w:r>
      <w:r w:rsidR="002C2C53">
        <w:rPr>
          <w:szCs w:val="24"/>
        </w:rPr>
        <w:t xml:space="preserve">five </w:t>
      </w:r>
      <w:r>
        <w:rPr>
          <w:szCs w:val="24"/>
        </w:rPr>
        <w:t>sets of discovery over 15 days, including 46 interrogatories and 41 requests for the production of documents. Columbia did not object that OCC</w:t>
      </w:r>
      <w:r w:rsidR="00C6353A">
        <w:rPr>
          <w:szCs w:val="24"/>
        </w:rPr>
        <w:t>’</w:t>
      </w:r>
      <w:r>
        <w:rPr>
          <w:szCs w:val="24"/>
        </w:rPr>
        <w:t>s discovery was oppressive or unduly burdensome, did not file a motion for protective order, and produced thousands of pages in response.</w:t>
      </w:r>
      <w:r>
        <w:rPr>
          <w:rStyle w:val="FootnoteReference"/>
          <w:szCs w:val="24"/>
        </w:rPr>
        <w:footnoteReference w:id="21"/>
      </w:r>
    </w:p>
    <w:p w:rsidR="00484F3B" w:rsidP="00711DB3" w14:paraId="27A81219" w14:textId="728A361A">
      <w:pPr>
        <w:spacing w:line="480" w:lineRule="auto"/>
        <w:ind w:firstLine="720"/>
        <w:rPr>
          <w:szCs w:val="24"/>
        </w:rPr>
      </w:pPr>
      <w:r>
        <w:rPr>
          <w:szCs w:val="24"/>
        </w:rPr>
        <w:t>Further, in the most recent energy efficiency case with the FirstEnergy utilities, a settlement was filed between the FirstEnergy utilit</w:t>
      </w:r>
      <w:r w:rsidR="00750013">
        <w:rPr>
          <w:szCs w:val="24"/>
        </w:rPr>
        <w:t>ies</w:t>
      </w:r>
      <w:r>
        <w:rPr>
          <w:szCs w:val="24"/>
        </w:rPr>
        <w:t xml:space="preserve"> and </w:t>
      </w:r>
      <w:r w:rsidR="00750013">
        <w:rPr>
          <w:szCs w:val="24"/>
        </w:rPr>
        <w:t>numerous parties to the proceeding</w:t>
      </w:r>
      <w:r>
        <w:rPr>
          <w:szCs w:val="24"/>
        </w:rPr>
        <w:t>.</w:t>
      </w:r>
      <w:r>
        <w:rPr>
          <w:rStyle w:val="FootnoteReference"/>
          <w:szCs w:val="24"/>
        </w:rPr>
        <w:footnoteReference w:id="22"/>
      </w:r>
      <w:r>
        <w:rPr>
          <w:szCs w:val="24"/>
        </w:rPr>
        <w:t xml:space="preserve"> After the settlement was filed, OCC served 3 sets of discovery in less than a month, including 33 interrogatories and 20 requests for the production of documents. FirstEnergy did not object on grounds of undue burden or file a motion for protective order.</w:t>
      </w:r>
      <w:r>
        <w:rPr>
          <w:rStyle w:val="FootnoteReference"/>
          <w:szCs w:val="24"/>
        </w:rPr>
        <w:footnoteReference w:id="23"/>
      </w:r>
    </w:p>
    <w:p w:rsidR="00D53E08" w:rsidP="008C2A5B" w14:paraId="10E0085B" w14:textId="51D3D1BC">
      <w:pPr>
        <w:spacing w:line="480" w:lineRule="auto"/>
        <w:ind w:firstLine="720"/>
        <w:rPr>
          <w:szCs w:val="24"/>
        </w:rPr>
      </w:pPr>
      <w:r>
        <w:rPr>
          <w:szCs w:val="24"/>
        </w:rPr>
        <w:t xml:space="preserve">Or, consider the most-recent </w:t>
      </w:r>
      <w:r w:rsidR="00D34269">
        <w:rPr>
          <w:szCs w:val="24"/>
        </w:rPr>
        <w:t>rate case by Suburban Natural Gas Company</w:t>
      </w:r>
      <w:r>
        <w:rPr>
          <w:szCs w:val="24"/>
        </w:rPr>
        <w:t xml:space="preserve"> (“Suburban”).</w:t>
      </w:r>
      <w:r>
        <w:rPr>
          <w:rStyle w:val="FootnoteReference"/>
          <w:szCs w:val="24"/>
        </w:rPr>
        <w:footnoteReference w:id="24"/>
      </w:r>
      <w:r>
        <w:rPr>
          <w:szCs w:val="24"/>
        </w:rPr>
        <w:t xml:space="preserve"> After the settlement was filed between Suburban and the PUCO Staff, OCC served 3 sets of discovery in 15 days, with a similar </w:t>
      </w:r>
      <w:r w:rsidR="002C2C53">
        <w:rPr>
          <w:szCs w:val="24"/>
        </w:rPr>
        <w:t>seven</w:t>
      </w:r>
      <w:r w:rsidR="008C2A5B">
        <w:rPr>
          <w:szCs w:val="24"/>
        </w:rPr>
        <w:t>-</w:t>
      </w:r>
      <w:r>
        <w:rPr>
          <w:szCs w:val="24"/>
        </w:rPr>
        <w:t>day turnaround and overlapping deadlines. OCC</w:t>
      </w:r>
      <w:r w:rsidR="00C6353A">
        <w:rPr>
          <w:szCs w:val="24"/>
        </w:rPr>
        <w:t>’</w:t>
      </w:r>
      <w:r>
        <w:rPr>
          <w:szCs w:val="24"/>
        </w:rPr>
        <w:t xml:space="preserve">s discovery to Suburban included 23 interrogatories and 14 requests </w:t>
      </w:r>
      <w:r w:rsidR="00750013">
        <w:rPr>
          <w:szCs w:val="24"/>
        </w:rPr>
        <w:t>to produce</w:t>
      </w:r>
      <w:r>
        <w:rPr>
          <w:szCs w:val="24"/>
        </w:rPr>
        <w:t xml:space="preserve"> documents. And like the other cases noted above, Suburban did not object on grounds of undue burden or file a motion for a protective order.</w:t>
      </w:r>
      <w:r>
        <w:rPr>
          <w:rStyle w:val="FootnoteReference"/>
          <w:szCs w:val="24"/>
        </w:rPr>
        <w:footnoteReference w:id="25"/>
      </w:r>
      <w:r w:rsidR="00E8408A">
        <w:rPr>
          <w:szCs w:val="24"/>
        </w:rPr>
        <w:t xml:space="preserve"> </w:t>
      </w:r>
    </w:p>
    <w:p w:rsidR="00AC3973" w:rsidP="008C2A5B" w14:paraId="1E59B4F8" w14:textId="32947DBC">
      <w:pPr>
        <w:spacing w:line="480" w:lineRule="auto"/>
        <w:ind w:firstLine="720"/>
        <w:rPr>
          <w:szCs w:val="24"/>
        </w:rPr>
      </w:pPr>
      <w:r>
        <w:rPr>
          <w:szCs w:val="24"/>
        </w:rPr>
        <w:t>Beyond the utility examples above, there is also the Ormet case, where OCC served six sets of discovery between July 29, 2013 and August 16, 2013.</w:t>
      </w:r>
      <w:r>
        <w:rPr>
          <w:rStyle w:val="FootnoteReference"/>
          <w:szCs w:val="24"/>
        </w:rPr>
        <w:footnoteReference w:id="26"/>
      </w:r>
      <w:r>
        <w:rPr>
          <w:szCs w:val="24"/>
        </w:rPr>
        <w:t xml:space="preserve"> OCC</w:t>
      </w:r>
      <w:r w:rsidR="00C6353A">
        <w:rPr>
          <w:szCs w:val="24"/>
        </w:rPr>
        <w:t>’</w:t>
      </w:r>
      <w:r>
        <w:rPr>
          <w:szCs w:val="24"/>
        </w:rPr>
        <w:t xml:space="preserve">s discovery constituted 79 interrogatories and 16 requests to produce documents. </w:t>
      </w:r>
      <w:r w:rsidR="006164E4">
        <w:rPr>
          <w:szCs w:val="24"/>
        </w:rPr>
        <w:t>OCC also served notices to take depositions in the weeks before hearing. But</w:t>
      </w:r>
      <w:r>
        <w:rPr>
          <w:szCs w:val="24"/>
        </w:rPr>
        <w:t xml:space="preserve"> OCC</w:t>
      </w:r>
      <w:r w:rsidR="00C6353A">
        <w:rPr>
          <w:szCs w:val="24"/>
        </w:rPr>
        <w:t>’</w:t>
      </w:r>
      <w:r>
        <w:rPr>
          <w:szCs w:val="24"/>
        </w:rPr>
        <w:t xml:space="preserve">s discovery </w:t>
      </w:r>
      <w:r w:rsidR="006164E4">
        <w:rPr>
          <w:szCs w:val="24"/>
        </w:rPr>
        <w:t xml:space="preserve">and depositions </w:t>
      </w:r>
      <w:r>
        <w:rPr>
          <w:szCs w:val="24"/>
        </w:rPr>
        <w:t xml:space="preserve">did not delay that case – the hearing began </w:t>
      </w:r>
      <w:r w:rsidR="006164E4">
        <w:rPr>
          <w:szCs w:val="24"/>
        </w:rPr>
        <w:t xml:space="preserve">on August 27, 2013, </w:t>
      </w:r>
      <w:r>
        <w:rPr>
          <w:szCs w:val="24"/>
        </w:rPr>
        <w:t xml:space="preserve">less than two weeks </w:t>
      </w:r>
      <w:r w:rsidR="006164E4">
        <w:rPr>
          <w:szCs w:val="24"/>
        </w:rPr>
        <w:t>after OCC served its discovery. Ormet did not file a Motion for a Protective Order or take Verde</w:t>
      </w:r>
      <w:r w:rsidR="00C6353A">
        <w:rPr>
          <w:szCs w:val="24"/>
        </w:rPr>
        <w:t>’</w:t>
      </w:r>
      <w:r w:rsidR="006164E4">
        <w:rPr>
          <w:szCs w:val="24"/>
        </w:rPr>
        <w:t>s obstructionist approach to discovery</w:t>
      </w:r>
      <w:r>
        <w:rPr>
          <w:szCs w:val="24"/>
        </w:rPr>
        <w:t xml:space="preserve">. </w:t>
      </w:r>
    </w:p>
    <w:p w:rsidR="008C2A5B" w:rsidRPr="00D93776" w:rsidP="008C2A5B" w14:paraId="4B788A8B" w14:textId="07F11E15">
      <w:pPr>
        <w:spacing w:line="480" w:lineRule="auto"/>
        <w:ind w:firstLine="720"/>
        <w:rPr>
          <w:szCs w:val="24"/>
        </w:rPr>
      </w:pPr>
      <w:r>
        <w:rPr>
          <w:szCs w:val="24"/>
        </w:rPr>
        <w:t>It is not uncommon for discovery to ramp up after a settlement is filed.</w:t>
      </w:r>
      <w:r w:rsidR="00AC75E1">
        <w:rPr>
          <w:szCs w:val="24"/>
        </w:rPr>
        <w:t xml:space="preserve"> It is also not uncommon for discovery to be served </w:t>
      </w:r>
      <w:r w:rsidR="006164E4">
        <w:rPr>
          <w:szCs w:val="24"/>
        </w:rPr>
        <w:t>up</w:t>
      </w:r>
      <w:r w:rsidR="00AC75E1">
        <w:rPr>
          <w:szCs w:val="24"/>
        </w:rPr>
        <w:t>on parties that are not utilities</w:t>
      </w:r>
      <w:r w:rsidR="006164E4">
        <w:rPr>
          <w:szCs w:val="24"/>
        </w:rPr>
        <w:t xml:space="preserve"> or </w:t>
      </w:r>
      <w:r w:rsidR="00AC75E1">
        <w:rPr>
          <w:szCs w:val="24"/>
        </w:rPr>
        <w:t>for discovery to take place in the months and weeks before hearing.</w:t>
      </w:r>
      <w:r>
        <w:rPr>
          <w:szCs w:val="24"/>
        </w:rPr>
        <w:t xml:space="preserve"> </w:t>
      </w:r>
      <w:r w:rsidR="006164E4">
        <w:rPr>
          <w:szCs w:val="24"/>
        </w:rPr>
        <w:t>T</w:t>
      </w:r>
      <w:r>
        <w:rPr>
          <w:szCs w:val="24"/>
        </w:rPr>
        <w:t xml:space="preserve">he PUCO should </w:t>
      </w:r>
      <w:r w:rsidR="00AC75E1">
        <w:rPr>
          <w:szCs w:val="24"/>
        </w:rPr>
        <w:t>reject Verde</w:t>
      </w:r>
      <w:r w:rsidR="00C6353A">
        <w:rPr>
          <w:szCs w:val="24"/>
        </w:rPr>
        <w:t>’</w:t>
      </w:r>
      <w:r w:rsidR="00AC75E1">
        <w:rPr>
          <w:szCs w:val="24"/>
        </w:rPr>
        <w:t>s arguments that OCC</w:t>
      </w:r>
      <w:r w:rsidR="00C6353A">
        <w:rPr>
          <w:szCs w:val="24"/>
        </w:rPr>
        <w:t>’</w:t>
      </w:r>
      <w:r w:rsidR="00AC75E1">
        <w:rPr>
          <w:szCs w:val="24"/>
        </w:rPr>
        <w:t xml:space="preserve">s discovery is unduly burdensome or oppressive and </w:t>
      </w:r>
      <w:r>
        <w:rPr>
          <w:szCs w:val="24"/>
        </w:rPr>
        <w:t>deny Verde</w:t>
      </w:r>
      <w:r w:rsidR="00C6353A">
        <w:rPr>
          <w:szCs w:val="24"/>
        </w:rPr>
        <w:t>’</w:t>
      </w:r>
      <w:r>
        <w:rPr>
          <w:szCs w:val="24"/>
        </w:rPr>
        <w:t>s Motions for Protective Orders.</w:t>
      </w:r>
    </w:p>
    <w:p w:rsidR="00953109" w:rsidRPr="009C185E" w:rsidP="00484F3B" w14:paraId="7DAD4067" w14:textId="62B2E1DB">
      <w:pPr>
        <w:pStyle w:val="Heading2"/>
      </w:pPr>
      <w:bookmarkStart w:id="9" w:name="_Toc20214585"/>
      <w:bookmarkStart w:id="10" w:name="_Toc20994476"/>
      <w:r>
        <w:t>D</w:t>
      </w:r>
      <w:r w:rsidR="009C185E">
        <w:t>.</w:t>
      </w:r>
      <w:r w:rsidR="009C185E">
        <w:tab/>
      </w:r>
      <w:r w:rsidR="00484F3B">
        <w:t>Granting Verde</w:t>
      </w:r>
      <w:r w:rsidR="00C6353A">
        <w:t>’</w:t>
      </w:r>
      <w:r w:rsidR="00484F3B">
        <w:t xml:space="preserve">s Motions for Protective Orders would set </w:t>
      </w:r>
      <w:r w:rsidR="00206C08">
        <w:t xml:space="preserve">bad </w:t>
      </w:r>
      <w:r w:rsidR="00484F3B">
        <w:t>precedent and have a chilling effect on future attempts to conduct discovery</w:t>
      </w:r>
      <w:r w:rsidR="006979EE">
        <w:t xml:space="preserve"> that Ohio law and the PUCO</w:t>
      </w:r>
      <w:r w:rsidR="00C6353A">
        <w:t>’</w:t>
      </w:r>
      <w:r w:rsidR="006979EE">
        <w:t>s rules allow</w:t>
      </w:r>
      <w:r w:rsidRPr="009C185E" w:rsidR="00497802">
        <w:t>.</w:t>
      </w:r>
      <w:bookmarkEnd w:id="9"/>
      <w:bookmarkEnd w:id="10"/>
      <w:r w:rsidR="000B4270">
        <w:t xml:space="preserve"> </w:t>
      </w:r>
    </w:p>
    <w:p w:rsidR="00821D4B" w:rsidP="00CE6AF3" w14:paraId="4AF84890" w14:textId="0E23ED6D">
      <w:pPr>
        <w:spacing w:line="480" w:lineRule="auto"/>
        <w:ind w:firstLine="720"/>
        <w:rPr>
          <w:szCs w:val="24"/>
        </w:rPr>
      </w:pPr>
      <w:r>
        <w:rPr>
          <w:szCs w:val="24"/>
        </w:rPr>
        <w:t>The amount of discovery served by OCC to Verde is not significant – and the questions are not difficult. OCC</w:t>
      </w:r>
      <w:r w:rsidR="00C6353A">
        <w:rPr>
          <w:szCs w:val="24"/>
        </w:rPr>
        <w:t>’</w:t>
      </w:r>
      <w:r>
        <w:rPr>
          <w:szCs w:val="24"/>
        </w:rPr>
        <w:t>s discovery requests are far from oppressive or unduly burdensome. But if the PUCO grants Verde</w:t>
      </w:r>
      <w:r w:rsidR="00C6353A">
        <w:rPr>
          <w:szCs w:val="24"/>
        </w:rPr>
        <w:t>’</w:t>
      </w:r>
      <w:r>
        <w:rPr>
          <w:szCs w:val="24"/>
        </w:rPr>
        <w:t>s Motion</w:t>
      </w:r>
      <w:r w:rsidR="001E72A5">
        <w:rPr>
          <w:szCs w:val="24"/>
        </w:rPr>
        <w:t>s</w:t>
      </w:r>
      <w:r>
        <w:rPr>
          <w:szCs w:val="24"/>
        </w:rPr>
        <w:t xml:space="preserve"> for Protective Order</w:t>
      </w:r>
      <w:r w:rsidR="001E72A5">
        <w:rPr>
          <w:szCs w:val="24"/>
        </w:rPr>
        <w:t xml:space="preserve">s </w:t>
      </w:r>
      <w:r>
        <w:rPr>
          <w:szCs w:val="24"/>
        </w:rPr>
        <w:t xml:space="preserve">on the </w:t>
      </w:r>
      <w:r w:rsidR="001E72A5">
        <w:rPr>
          <w:szCs w:val="24"/>
        </w:rPr>
        <w:t>discovery served by OCC</w:t>
      </w:r>
      <w:r>
        <w:rPr>
          <w:szCs w:val="24"/>
        </w:rPr>
        <w:t>, it would have a chilling effect on parties</w:t>
      </w:r>
      <w:r w:rsidR="00C6353A">
        <w:rPr>
          <w:szCs w:val="24"/>
        </w:rPr>
        <w:t>’</w:t>
      </w:r>
      <w:r>
        <w:rPr>
          <w:szCs w:val="24"/>
        </w:rPr>
        <w:t xml:space="preserve"> ability to conduct discovery in future cases. </w:t>
      </w:r>
    </w:p>
    <w:p w:rsidR="00821D4B" w:rsidP="00CE6AF3" w14:paraId="227BD072" w14:textId="35DB3330">
      <w:pPr>
        <w:spacing w:line="480" w:lineRule="auto"/>
        <w:ind w:firstLine="720"/>
        <w:rPr>
          <w:szCs w:val="24"/>
        </w:rPr>
      </w:pPr>
      <w:r>
        <w:rPr>
          <w:szCs w:val="24"/>
        </w:rPr>
        <w:t>Verde claims that allowing OCC</w:t>
      </w:r>
      <w:r w:rsidR="00C6353A">
        <w:rPr>
          <w:szCs w:val="24"/>
        </w:rPr>
        <w:t>’</w:t>
      </w:r>
      <w:r>
        <w:rPr>
          <w:szCs w:val="24"/>
        </w:rPr>
        <w:t>s discovery would have a chilling effect on settlements.</w:t>
      </w:r>
      <w:r>
        <w:rPr>
          <w:rStyle w:val="FootnoteReference"/>
          <w:szCs w:val="24"/>
        </w:rPr>
        <w:footnoteReference w:id="27"/>
      </w:r>
      <w:r>
        <w:rPr>
          <w:szCs w:val="24"/>
        </w:rPr>
        <w:t xml:space="preserve"> That is simply not true.</w:t>
      </w:r>
      <w:r w:rsidR="002A7C92">
        <w:rPr>
          <w:szCs w:val="24"/>
        </w:rPr>
        <w:t xml:space="preserve"> </w:t>
      </w:r>
      <w:r>
        <w:rPr>
          <w:szCs w:val="24"/>
        </w:rPr>
        <w:t xml:space="preserve">If anything, allowing OCC its ample discovery rights in accordance with Ohio law </w:t>
      </w:r>
      <w:r>
        <w:rPr>
          <w:i/>
          <w:szCs w:val="24"/>
        </w:rPr>
        <w:t>protects</w:t>
      </w:r>
      <w:r>
        <w:rPr>
          <w:szCs w:val="24"/>
        </w:rPr>
        <w:t xml:space="preserve"> consumers from settlements that have no teeth and do little to protect customers from future harm.</w:t>
      </w:r>
      <w:r w:rsidR="002A7C92">
        <w:rPr>
          <w:szCs w:val="24"/>
        </w:rPr>
        <w:t xml:space="preserve"> </w:t>
      </w:r>
      <w:r>
        <w:rPr>
          <w:szCs w:val="24"/>
        </w:rPr>
        <w:t>In this case, the Settlement between Verde and PUCO Staff is thin on substance, especially in light of the violations PUCO Staff identified in the Staff Report</w:t>
      </w:r>
    </w:p>
    <w:p w:rsidR="00497328" w:rsidP="00CE6AF3" w14:paraId="7C959D25" w14:textId="05BFEC2C">
      <w:pPr>
        <w:spacing w:line="480" w:lineRule="auto"/>
        <w:ind w:firstLine="720"/>
        <w:rPr>
          <w:szCs w:val="24"/>
        </w:rPr>
      </w:pPr>
      <w:r>
        <w:rPr>
          <w:szCs w:val="24"/>
        </w:rPr>
        <w:t xml:space="preserve">The PUCO Staff regularly conducts investigations and files Staff Reports. Similarly, it is common for a utility, regulated company, or marketer to be required to respond to the PUCO Staff or appear before the PUCO – such is the nature of operating a company in a regulated industry. </w:t>
      </w:r>
      <w:r w:rsidR="00381763">
        <w:rPr>
          <w:szCs w:val="24"/>
        </w:rPr>
        <w:t>Under R.C. 4928.08</w:t>
      </w:r>
      <w:r w:rsidR="00B54A8B">
        <w:rPr>
          <w:szCs w:val="24"/>
        </w:rPr>
        <w:t xml:space="preserve"> and 4928.09</w:t>
      </w:r>
      <w:r w:rsidR="00381763">
        <w:rPr>
          <w:szCs w:val="24"/>
        </w:rPr>
        <w:t>, marketers like Verde are subject to Ohio law and the PUCO</w:t>
      </w:r>
      <w:r w:rsidR="00C6353A">
        <w:rPr>
          <w:szCs w:val="24"/>
        </w:rPr>
        <w:t>’</w:t>
      </w:r>
      <w:r w:rsidR="00381763">
        <w:rPr>
          <w:szCs w:val="24"/>
        </w:rPr>
        <w:t xml:space="preserve">s rules on discovery. </w:t>
      </w:r>
      <w:r w:rsidRPr="00842307" w:rsidR="00381763">
        <w:rPr>
          <w:szCs w:val="24"/>
        </w:rPr>
        <w:t>Thus, Verde must produce documents in its possession that are responsive to OCC</w:t>
      </w:r>
      <w:r w:rsidR="00C6353A">
        <w:rPr>
          <w:szCs w:val="24"/>
        </w:rPr>
        <w:t>’</w:t>
      </w:r>
      <w:r w:rsidRPr="00842307" w:rsidR="00381763">
        <w:rPr>
          <w:szCs w:val="24"/>
        </w:rPr>
        <w:t xml:space="preserve">s requests. </w:t>
      </w:r>
      <w:r w:rsidR="00821D4B">
        <w:rPr>
          <w:szCs w:val="24"/>
        </w:rPr>
        <w:t>Ohio consumers deserve to be protected from misleading and deceptive sales practices by marketers.</w:t>
      </w:r>
    </w:p>
    <w:p w:rsidR="00CE6AF3" w:rsidP="00497328" w14:paraId="6CCC314A" w14:textId="1906D440">
      <w:pPr>
        <w:spacing w:line="480" w:lineRule="auto"/>
        <w:ind w:firstLine="720"/>
        <w:rPr>
          <w:szCs w:val="24"/>
        </w:rPr>
      </w:pPr>
      <w:r>
        <w:rPr>
          <w:szCs w:val="24"/>
        </w:rPr>
        <w:t xml:space="preserve">In this case, </w:t>
      </w:r>
      <w:r w:rsidR="00C8014D">
        <w:rPr>
          <w:szCs w:val="24"/>
        </w:rPr>
        <w:t>Verde claims that it should be protected from OCC</w:t>
      </w:r>
      <w:r w:rsidR="00C6353A">
        <w:rPr>
          <w:szCs w:val="24"/>
        </w:rPr>
        <w:t>’</w:t>
      </w:r>
      <w:r w:rsidR="00C8014D">
        <w:rPr>
          <w:szCs w:val="24"/>
        </w:rPr>
        <w:t xml:space="preserve">s discovery because </w:t>
      </w:r>
      <w:r w:rsidR="00855534">
        <w:rPr>
          <w:szCs w:val="24"/>
        </w:rPr>
        <w:t xml:space="preserve">it </w:t>
      </w:r>
      <w:r w:rsidR="00C8014D">
        <w:rPr>
          <w:szCs w:val="24"/>
        </w:rPr>
        <w:t>is unduly burdensome and oppressive</w:t>
      </w:r>
      <w:r w:rsidR="00F77952">
        <w:rPr>
          <w:szCs w:val="24"/>
        </w:rPr>
        <w:t>.</w:t>
      </w:r>
      <w:r>
        <w:rPr>
          <w:rStyle w:val="FootnoteReference"/>
          <w:szCs w:val="24"/>
        </w:rPr>
        <w:footnoteReference w:id="28"/>
      </w:r>
      <w:r w:rsidR="00A55F5D">
        <w:rPr>
          <w:szCs w:val="24"/>
        </w:rPr>
        <w:t xml:space="preserve"> </w:t>
      </w:r>
      <w:r w:rsidR="00821D4B">
        <w:rPr>
          <w:szCs w:val="24"/>
        </w:rPr>
        <w:t xml:space="preserve">Again, </w:t>
      </w:r>
      <w:r w:rsidR="00797276">
        <w:rPr>
          <w:szCs w:val="24"/>
        </w:rPr>
        <w:t xml:space="preserve">Verde has filed the appearances of </w:t>
      </w:r>
      <w:r w:rsidRPr="000C4ECE" w:rsidR="00797276">
        <w:rPr>
          <w:szCs w:val="24"/>
        </w:rPr>
        <w:t>five</w:t>
      </w:r>
      <w:r w:rsidR="00797276">
        <w:rPr>
          <w:szCs w:val="24"/>
        </w:rPr>
        <w:t xml:space="preserve"> private attorneys </w:t>
      </w:r>
      <w:r w:rsidR="008A2A7B">
        <w:rPr>
          <w:szCs w:val="24"/>
        </w:rPr>
        <w:t xml:space="preserve">(outside counsel) </w:t>
      </w:r>
      <w:r w:rsidR="00797276">
        <w:rPr>
          <w:szCs w:val="24"/>
        </w:rPr>
        <w:t>in this case, and it has the resources of</w:t>
      </w:r>
      <w:r w:rsidR="00821D4B">
        <w:rPr>
          <w:szCs w:val="24"/>
        </w:rPr>
        <w:t xml:space="preserve"> a huge national law firm </w:t>
      </w:r>
      <w:r w:rsidR="00797276">
        <w:rPr>
          <w:szCs w:val="24"/>
        </w:rPr>
        <w:t>at its disposal.</w:t>
      </w:r>
      <w:r w:rsidR="008B1CB2">
        <w:rPr>
          <w:szCs w:val="24"/>
        </w:rPr>
        <w:t xml:space="preserve"> </w:t>
      </w:r>
      <w:r w:rsidR="00821D4B">
        <w:rPr>
          <w:szCs w:val="24"/>
        </w:rPr>
        <w:t>Verde has also been actively engaged in providing much of the information that OCC seeks in discovery to PUCO Staff since the Fall of 2018. Further, Spark Companies in other states have also been involved in comprehensive investigations and lawsuits regarding deceptive marketing practices. Verde</w:t>
      </w:r>
      <w:r w:rsidR="00C6353A">
        <w:rPr>
          <w:szCs w:val="24"/>
        </w:rPr>
        <w:t>’</w:t>
      </w:r>
      <w:r w:rsidR="00821D4B">
        <w:rPr>
          <w:szCs w:val="24"/>
        </w:rPr>
        <w:t>s contention that it been blind-sided by OCC</w:t>
      </w:r>
      <w:r w:rsidR="00C6353A">
        <w:rPr>
          <w:szCs w:val="24"/>
        </w:rPr>
        <w:t>’</w:t>
      </w:r>
      <w:r w:rsidR="00821D4B">
        <w:rPr>
          <w:szCs w:val="24"/>
        </w:rPr>
        <w:t>s discovery is plainly disingenuous.</w:t>
      </w:r>
    </w:p>
    <w:p w:rsidR="003204B9" w:rsidP="009B18AF" w14:paraId="54D15916" w14:textId="1D2C921C">
      <w:pPr>
        <w:pStyle w:val="Heading2"/>
        <w:rPr>
          <w:szCs w:val="24"/>
        </w:rPr>
      </w:pPr>
      <w:bookmarkStart w:id="11" w:name="_Toc20994477"/>
      <w:r>
        <w:t>E</w:t>
      </w:r>
      <w:r w:rsidR="009B18AF">
        <w:t>.</w:t>
      </w:r>
      <w:r w:rsidR="009B18AF">
        <w:tab/>
        <w:t>OCC</w:t>
      </w:r>
      <w:r w:rsidR="00C6353A">
        <w:t>’</w:t>
      </w:r>
      <w:r w:rsidR="009B18AF">
        <w:t>s statutory right to conduct discovery trumps any notion Verde has for a quick resolution of this case (or that this is the “eleventh hour” of this proceeding)</w:t>
      </w:r>
      <w:r w:rsidRPr="009C185E" w:rsidR="009B18AF">
        <w:t>.</w:t>
      </w:r>
      <w:bookmarkEnd w:id="11"/>
      <w:r w:rsidR="002A7C92">
        <w:t xml:space="preserve"> </w:t>
      </w:r>
    </w:p>
    <w:p w:rsidR="00953109" w:rsidP="00B351A2" w14:paraId="2D595DDB" w14:textId="191CDB9D">
      <w:pPr>
        <w:spacing w:line="480" w:lineRule="auto"/>
        <w:ind w:firstLine="720"/>
        <w:rPr>
          <w:szCs w:val="24"/>
        </w:rPr>
      </w:pPr>
      <w:r>
        <w:rPr>
          <w:szCs w:val="24"/>
        </w:rPr>
        <w:t>Verde claims that it should be protected from OCC</w:t>
      </w:r>
      <w:r w:rsidR="00C6353A">
        <w:rPr>
          <w:szCs w:val="24"/>
        </w:rPr>
        <w:t>’</w:t>
      </w:r>
      <w:r>
        <w:rPr>
          <w:szCs w:val="24"/>
        </w:rPr>
        <w:t>s discovery because</w:t>
      </w:r>
      <w:r w:rsidR="00E812E3">
        <w:rPr>
          <w:szCs w:val="24"/>
        </w:rPr>
        <w:t xml:space="preserve">, </w:t>
      </w:r>
      <w:r w:rsidR="003F0137">
        <w:rPr>
          <w:szCs w:val="24"/>
        </w:rPr>
        <w:t>in Verde</w:t>
      </w:r>
      <w:r w:rsidR="00C6353A">
        <w:rPr>
          <w:szCs w:val="24"/>
        </w:rPr>
        <w:t>’</w:t>
      </w:r>
      <w:r w:rsidR="003F0137">
        <w:rPr>
          <w:szCs w:val="24"/>
        </w:rPr>
        <w:t>s view,</w:t>
      </w:r>
      <w:r w:rsidR="00E812E3">
        <w:rPr>
          <w:szCs w:val="24"/>
        </w:rPr>
        <w:t xml:space="preserve"> it is</w:t>
      </w:r>
      <w:r w:rsidR="003F0137">
        <w:rPr>
          <w:szCs w:val="24"/>
        </w:rPr>
        <w:t xml:space="preserve"> </w:t>
      </w:r>
      <w:r>
        <w:rPr>
          <w:szCs w:val="24"/>
        </w:rPr>
        <w:t>“untimely” and served at the “eleventh hour”.</w:t>
      </w:r>
      <w:r>
        <w:rPr>
          <w:rStyle w:val="FootnoteReference"/>
          <w:szCs w:val="24"/>
        </w:rPr>
        <w:footnoteReference w:id="29"/>
      </w:r>
      <w:r w:rsidR="008F16B1">
        <w:rPr>
          <w:szCs w:val="24"/>
        </w:rPr>
        <w:t xml:space="preserve"> Verde</w:t>
      </w:r>
      <w:r w:rsidR="00E812E3">
        <w:rPr>
          <w:szCs w:val="24"/>
        </w:rPr>
        <w:t xml:space="preserve"> claims that</w:t>
      </w:r>
      <w:r w:rsidR="008F16B1">
        <w:rPr>
          <w:szCs w:val="24"/>
        </w:rPr>
        <w:t xml:space="preserve"> OCC should have conducted its discovery earlier in the proceeding before the </w:t>
      </w:r>
      <w:r w:rsidR="00415C08">
        <w:rPr>
          <w:szCs w:val="24"/>
        </w:rPr>
        <w:t xml:space="preserve">PUCO Staff and Verde filed </w:t>
      </w:r>
      <w:r w:rsidR="001E72A5">
        <w:rPr>
          <w:szCs w:val="24"/>
        </w:rPr>
        <w:t>a</w:t>
      </w:r>
      <w:r w:rsidR="00415C08">
        <w:rPr>
          <w:szCs w:val="24"/>
        </w:rPr>
        <w:t xml:space="preserve"> </w:t>
      </w:r>
      <w:r w:rsidR="001E72A5">
        <w:rPr>
          <w:szCs w:val="24"/>
        </w:rPr>
        <w:t>s</w:t>
      </w:r>
      <w:r w:rsidR="00415C08">
        <w:rPr>
          <w:szCs w:val="24"/>
        </w:rPr>
        <w:t xml:space="preserve">ettlement. </w:t>
      </w:r>
      <w:r w:rsidR="00045E7E">
        <w:rPr>
          <w:szCs w:val="24"/>
        </w:rPr>
        <w:t>Again, V</w:t>
      </w:r>
      <w:r w:rsidR="00415C08">
        <w:rPr>
          <w:szCs w:val="24"/>
        </w:rPr>
        <w:t xml:space="preserve">erde cites no legal </w:t>
      </w:r>
      <w:r w:rsidR="00E812E3">
        <w:rPr>
          <w:szCs w:val="24"/>
        </w:rPr>
        <w:t>authority</w:t>
      </w:r>
      <w:r w:rsidR="00415C08">
        <w:rPr>
          <w:szCs w:val="24"/>
        </w:rPr>
        <w:t xml:space="preserve"> for its </w:t>
      </w:r>
      <w:r w:rsidR="00E812E3">
        <w:rPr>
          <w:szCs w:val="24"/>
        </w:rPr>
        <w:t>position</w:t>
      </w:r>
      <w:r w:rsidR="00415C08">
        <w:rPr>
          <w:szCs w:val="24"/>
        </w:rPr>
        <w:t xml:space="preserve">. </w:t>
      </w:r>
      <w:r w:rsidR="00045E7E">
        <w:rPr>
          <w:szCs w:val="24"/>
        </w:rPr>
        <w:t>T</w:t>
      </w:r>
      <w:r w:rsidR="00415C08">
        <w:rPr>
          <w:szCs w:val="24"/>
        </w:rPr>
        <w:t xml:space="preserve">he most it can muster is </w:t>
      </w:r>
      <w:r w:rsidR="00946E41">
        <w:rPr>
          <w:szCs w:val="24"/>
        </w:rPr>
        <w:t>a baseless claim that</w:t>
      </w:r>
      <w:r w:rsidR="00E812E3">
        <w:rPr>
          <w:szCs w:val="24"/>
        </w:rPr>
        <w:t xml:space="preserve"> </w:t>
      </w:r>
      <w:r w:rsidR="00415C08">
        <w:rPr>
          <w:szCs w:val="24"/>
        </w:rPr>
        <w:t xml:space="preserve">OCC </w:t>
      </w:r>
      <w:r w:rsidR="00946E41">
        <w:rPr>
          <w:szCs w:val="24"/>
        </w:rPr>
        <w:t xml:space="preserve">is </w:t>
      </w:r>
      <w:r w:rsidR="00415C08">
        <w:rPr>
          <w:szCs w:val="24"/>
        </w:rPr>
        <w:t>purportedly “sitting on its discovery rights”</w:t>
      </w:r>
      <w:r w:rsidR="0068743D">
        <w:rPr>
          <w:szCs w:val="24"/>
        </w:rPr>
        <w:t xml:space="preserve"> or simply too late.</w:t>
      </w:r>
      <w:r>
        <w:rPr>
          <w:rStyle w:val="FootnoteReference"/>
          <w:szCs w:val="24"/>
        </w:rPr>
        <w:footnoteReference w:id="30"/>
      </w:r>
    </w:p>
    <w:p w:rsidR="00BD126E" w:rsidP="00D04335" w14:paraId="61E86375" w14:textId="7614CA31">
      <w:pPr>
        <w:spacing w:line="480" w:lineRule="auto"/>
        <w:ind w:firstLine="720"/>
        <w:rPr>
          <w:szCs w:val="24"/>
        </w:rPr>
      </w:pPr>
      <w:r>
        <w:rPr>
          <w:szCs w:val="24"/>
        </w:rPr>
        <w:t xml:space="preserve">Ohio Admin. Code 4901-1-17(A) permits discovery in this case up until the commencement of the hearing. </w:t>
      </w:r>
      <w:r w:rsidR="007248DD">
        <w:rPr>
          <w:szCs w:val="24"/>
        </w:rPr>
        <w:t xml:space="preserve">The hearing has </w:t>
      </w:r>
      <w:r w:rsidR="009D066B">
        <w:rPr>
          <w:szCs w:val="24"/>
        </w:rPr>
        <w:t>yet to commence</w:t>
      </w:r>
      <w:r w:rsidR="007248DD">
        <w:rPr>
          <w:szCs w:val="24"/>
        </w:rPr>
        <w:t xml:space="preserve"> and </w:t>
      </w:r>
      <w:r w:rsidR="00D04335">
        <w:rPr>
          <w:szCs w:val="24"/>
        </w:rPr>
        <w:t>OCC</w:t>
      </w:r>
      <w:r w:rsidR="00C6353A">
        <w:rPr>
          <w:szCs w:val="24"/>
        </w:rPr>
        <w:t>’</w:t>
      </w:r>
      <w:r w:rsidR="00D04335">
        <w:rPr>
          <w:szCs w:val="24"/>
        </w:rPr>
        <w:t xml:space="preserve">s discovery is timely. </w:t>
      </w:r>
      <w:r>
        <w:rPr>
          <w:szCs w:val="24"/>
        </w:rPr>
        <w:t>Nothing in the PUCO</w:t>
      </w:r>
      <w:r w:rsidR="00C6353A">
        <w:rPr>
          <w:szCs w:val="24"/>
        </w:rPr>
        <w:t>’</w:t>
      </w:r>
      <w:r>
        <w:rPr>
          <w:szCs w:val="24"/>
        </w:rPr>
        <w:t>s rules requires OCC to conduct its discovery</w:t>
      </w:r>
      <w:r w:rsidR="006F0480">
        <w:rPr>
          <w:szCs w:val="24"/>
        </w:rPr>
        <w:t xml:space="preserve"> in this case</w:t>
      </w:r>
      <w:r>
        <w:rPr>
          <w:szCs w:val="24"/>
        </w:rPr>
        <w:t xml:space="preserve"> in accordance with any particular schedule. Nor have the Attorney Examiners imposed any restrictions on when OCC must conduct its discovery</w:t>
      </w:r>
      <w:r w:rsidR="00BC79AB">
        <w:rPr>
          <w:szCs w:val="24"/>
        </w:rPr>
        <w:t xml:space="preserve"> (although the May 30, 2019 Entry </w:t>
      </w:r>
      <w:r w:rsidR="00045E7E">
        <w:rPr>
          <w:szCs w:val="24"/>
        </w:rPr>
        <w:t xml:space="preserve">does </w:t>
      </w:r>
      <w:r w:rsidR="00BC79AB">
        <w:rPr>
          <w:szCs w:val="24"/>
        </w:rPr>
        <w:t>require a seven-day timeframe for responding to discovery)</w:t>
      </w:r>
      <w:r>
        <w:rPr>
          <w:szCs w:val="24"/>
        </w:rPr>
        <w:t>.</w:t>
      </w:r>
    </w:p>
    <w:p w:rsidR="005F7E3A" w:rsidP="005F7E3A" w14:paraId="025ECBD5" w14:textId="77777777">
      <w:pPr>
        <w:ind w:firstLine="720"/>
        <w:rPr>
          <w:szCs w:val="24"/>
        </w:rPr>
      </w:pPr>
    </w:p>
    <w:p w:rsidR="00897B67" w:rsidP="009C185E" w14:paraId="0EF2E92D" w14:textId="1E2FC938">
      <w:pPr>
        <w:pStyle w:val="Heading1"/>
      </w:pPr>
      <w:bookmarkStart w:id="12" w:name="_Toc20214588"/>
      <w:bookmarkStart w:id="13" w:name="_Toc20994478"/>
      <w:r>
        <w:t>III.</w:t>
      </w:r>
      <w:r>
        <w:tab/>
      </w:r>
      <w:r w:rsidRPr="00E81970" w:rsidR="00E81970">
        <w:t>C</w:t>
      </w:r>
      <w:r w:rsidR="00E81970">
        <w:t>ONCLUSION</w:t>
      </w:r>
      <w:bookmarkEnd w:id="12"/>
      <w:bookmarkEnd w:id="13"/>
      <w:r w:rsidR="000B4270">
        <w:t xml:space="preserve"> </w:t>
      </w:r>
    </w:p>
    <w:p w:rsidR="00B64F9D" w:rsidP="00AC75E1" w14:paraId="2AEC7399" w14:textId="458C2731">
      <w:pPr>
        <w:spacing w:line="480" w:lineRule="auto"/>
        <w:ind w:firstLine="720"/>
        <w:rPr>
          <w:szCs w:val="24"/>
        </w:rPr>
      </w:pPr>
      <w:r>
        <w:rPr>
          <w:szCs w:val="24"/>
        </w:rPr>
        <w:t>Verde</w:t>
      </w:r>
      <w:r w:rsidR="00C6353A">
        <w:rPr>
          <w:szCs w:val="24"/>
        </w:rPr>
        <w:t>’</w:t>
      </w:r>
      <w:r>
        <w:rPr>
          <w:szCs w:val="24"/>
        </w:rPr>
        <w:t>s Motion</w:t>
      </w:r>
      <w:r w:rsidR="009B18AF">
        <w:rPr>
          <w:szCs w:val="24"/>
        </w:rPr>
        <w:t>s for Protective Orders</w:t>
      </w:r>
      <w:r w:rsidR="00942FE4">
        <w:rPr>
          <w:szCs w:val="24"/>
        </w:rPr>
        <w:t xml:space="preserve"> – just like its </w:t>
      </w:r>
      <w:r w:rsidR="005A5C59">
        <w:rPr>
          <w:szCs w:val="24"/>
        </w:rPr>
        <w:t xml:space="preserve">anti-consumer </w:t>
      </w:r>
      <w:r w:rsidR="00942FE4">
        <w:rPr>
          <w:szCs w:val="24"/>
        </w:rPr>
        <w:t xml:space="preserve">business practices documented by the PUCO Staff – are bereft of </w:t>
      </w:r>
      <w:r w:rsidR="005A5C59">
        <w:rPr>
          <w:szCs w:val="24"/>
        </w:rPr>
        <w:t xml:space="preserve">a justification, </w:t>
      </w:r>
      <w:r>
        <w:rPr>
          <w:szCs w:val="24"/>
        </w:rPr>
        <w:t>legal or otherwise</w:t>
      </w:r>
      <w:r w:rsidR="005A5C59">
        <w:rPr>
          <w:szCs w:val="24"/>
        </w:rPr>
        <w:t>,</w:t>
      </w:r>
      <w:r>
        <w:rPr>
          <w:szCs w:val="24"/>
        </w:rPr>
        <w:t xml:space="preserve"> to limit OCC</w:t>
      </w:r>
      <w:r w:rsidR="00C6353A">
        <w:rPr>
          <w:szCs w:val="24"/>
        </w:rPr>
        <w:t>’</w:t>
      </w:r>
      <w:r>
        <w:rPr>
          <w:szCs w:val="24"/>
        </w:rPr>
        <w:t xml:space="preserve">s </w:t>
      </w:r>
      <w:r w:rsidR="00EF3FE7">
        <w:rPr>
          <w:szCs w:val="24"/>
        </w:rPr>
        <w:t xml:space="preserve">lawful and ample discovery </w:t>
      </w:r>
      <w:r w:rsidR="00B47825">
        <w:rPr>
          <w:szCs w:val="24"/>
        </w:rPr>
        <w:t>rights</w:t>
      </w:r>
      <w:r w:rsidR="00004BBD">
        <w:rPr>
          <w:szCs w:val="24"/>
        </w:rPr>
        <w:t>,</w:t>
      </w:r>
      <w:r w:rsidR="00B47825">
        <w:rPr>
          <w:szCs w:val="24"/>
        </w:rPr>
        <w:t xml:space="preserve"> </w:t>
      </w:r>
      <w:r w:rsidR="0010126A">
        <w:rPr>
          <w:szCs w:val="24"/>
        </w:rPr>
        <w:t>which it exercises on behalf of Ohio consumers.</w:t>
      </w:r>
      <w:r>
        <w:rPr>
          <w:szCs w:val="24"/>
        </w:rPr>
        <w:t xml:space="preserve"> The PUCO should deny Verde</w:t>
      </w:r>
      <w:r w:rsidR="00C6353A">
        <w:rPr>
          <w:szCs w:val="24"/>
        </w:rPr>
        <w:t>’</w:t>
      </w:r>
      <w:r>
        <w:rPr>
          <w:szCs w:val="24"/>
        </w:rPr>
        <w:t>s Motion</w:t>
      </w:r>
      <w:r w:rsidR="009B18AF">
        <w:rPr>
          <w:szCs w:val="24"/>
        </w:rPr>
        <w:t>s</w:t>
      </w:r>
      <w:r>
        <w:rPr>
          <w:szCs w:val="24"/>
        </w:rPr>
        <w:t xml:space="preserve"> </w:t>
      </w:r>
      <w:r w:rsidR="005A5C59">
        <w:rPr>
          <w:szCs w:val="24"/>
        </w:rPr>
        <w:t>that are thwarting Ohioans</w:t>
      </w:r>
      <w:r w:rsidR="00C6353A">
        <w:rPr>
          <w:szCs w:val="24"/>
        </w:rPr>
        <w:t>’</w:t>
      </w:r>
      <w:r w:rsidR="005A5C59">
        <w:rPr>
          <w:szCs w:val="24"/>
        </w:rPr>
        <w:t xml:space="preserve"> state representative (OCC) from advocating on their behalf at the PUCO, </w:t>
      </w:r>
      <w:r>
        <w:rPr>
          <w:szCs w:val="24"/>
        </w:rPr>
        <w:t>and direct Verde to respond fully and expeditiously to OCC</w:t>
      </w:r>
      <w:r w:rsidR="00C6353A">
        <w:rPr>
          <w:szCs w:val="24"/>
        </w:rPr>
        <w:t>’</w:t>
      </w:r>
      <w:r>
        <w:rPr>
          <w:szCs w:val="24"/>
        </w:rPr>
        <w:t xml:space="preserve">s </w:t>
      </w:r>
      <w:r w:rsidR="00B47825">
        <w:rPr>
          <w:szCs w:val="24"/>
        </w:rPr>
        <w:t>outstanding</w:t>
      </w:r>
      <w:r>
        <w:rPr>
          <w:szCs w:val="24"/>
        </w:rPr>
        <w:t xml:space="preserve"> discovery.</w:t>
      </w:r>
      <w:r w:rsidR="00C6353A">
        <w:rPr>
          <w:szCs w:val="24"/>
        </w:rPr>
        <w:t xml:space="preserve"> </w:t>
      </w:r>
      <w:r>
        <w:rPr>
          <w:szCs w:val="24"/>
        </w:rPr>
        <w:br w:type="page"/>
      </w:r>
    </w:p>
    <w:p w:rsidR="00264F1B" w:rsidRPr="007E2879" w:rsidP="00264F1B" w14:paraId="0AA1AA9B" w14:textId="77777777">
      <w:pPr>
        <w:pStyle w:val="BodyTextIndent3"/>
        <w:widowControl w:val="0"/>
        <w:spacing w:line="480" w:lineRule="auto"/>
        <w:ind w:left="3600" w:right="-672" w:firstLine="720"/>
        <w:rPr>
          <w:sz w:val="24"/>
          <w:szCs w:val="24"/>
        </w:rPr>
      </w:pPr>
      <w:r w:rsidRPr="007E2879">
        <w:rPr>
          <w:sz w:val="24"/>
          <w:szCs w:val="24"/>
        </w:rPr>
        <w:t>Respectfully submitted,</w:t>
      </w:r>
    </w:p>
    <w:p w:rsidR="00264F1B" w:rsidRPr="007E2879" w:rsidP="00264F1B" w14:paraId="771AC00A" w14:textId="77777777">
      <w:pPr>
        <w:pStyle w:val="Footer"/>
        <w:tabs>
          <w:tab w:val="left" w:pos="4320"/>
        </w:tabs>
        <w:ind w:left="4320"/>
      </w:pPr>
      <w:r w:rsidRPr="007E2879">
        <w:t>Bruce Weston (0016973)</w:t>
      </w:r>
    </w:p>
    <w:p w:rsidR="00264F1B" w:rsidRPr="007E2879" w:rsidP="00264F1B" w14:paraId="584647A0" w14:textId="1DAAF059">
      <w:pPr>
        <w:tabs>
          <w:tab w:val="left" w:pos="4320"/>
        </w:tabs>
        <w:ind w:left="4320"/>
        <w:rPr>
          <w:szCs w:val="24"/>
        </w:rPr>
      </w:pPr>
      <w:r w:rsidRPr="007E2879">
        <w:rPr>
          <w:szCs w:val="24"/>
        </w:rPr>
        <w:t>Ohio Consumers</w:t>
      </w:r>
      <w:r w:rsidR="00C6353A">
        <w:rPr>
          <w:szCs w:val="24"/>
        </w:rPr>
        <w:t>’</w:t>
      </w:r>
      <w:r w:rsidRPr="007E2879">
        <w:rPr>
          <w:szCs w:val="24"/>
        </w:rPr>
        <w:t xml:space="preserve"> Counsel</w:t>
      </w:r>
    </w:p>
    <w:p w:rsidR="00264F1B" w:rsidRPr="007E2879" w:rsidP="00264F1B" w14:paraId="1B36B90B" w14:textId="60B95C39">
      <w:pPr>
        <w:tabs>
          <w:tab w:val="left" w:pos="4320"/>
        </w:tabs>
        <w:spacing w:before="240"/>
        <w:ind w:left="4320"/>
        <w:rPr>
          <w:szCs w:val="24"/>
        </w:rPr>
      </w:pPr>
      <w:r w:rsidRPr="007E2879">
        <w:rPr>
          <w:i/>
          <w:szCs w:val="24"/>
          <w:u w:val="single"/>
        </w:rPr>
        <w:t>/s/ Angela D. O</w:t>
      </w:r>
      <w:r w:rsidR="00C6353A">
        <w:rPr>
          <w:i/>
          <w:szCs w:val="24"/>
          <w:u w:val="single"/>
        </w:rPr>
        <w:t>’</w:t>
      </w:r>
      <w:r w:rsidRPr="007E2879">
        <w:rPr>
          <w:i/>
          <w:szCs w:val="24"/>
          <w:u w:val="single"/>
        </w:rPr>
        <w:t>Brien</w:t>
      </w:r>
      <w:r w:rsidRPr="007E2879">
        <w:rPr>
          <w:i/>
          <w:szCs w:val="24"/>
          <w:u w:val="single"/>
        </w:rPr>
        <w:tab/>
      </w:r>
      <w:r w:rsidRPr="007E2879">
        <w:rPr>
          <w:i/>
          <w:szCs w:val="24"/>
          <w:u w:val="single"/>
        </w:rPr>
        <w:tab/>
      </w:r>
      <w:r>
        <w:rPr>
          <w:i/>
          <w:szCs w:val="24"/>
          <w:u w:val="single"/>
        </w:rPr>
        <w:tab/>
      </w:r>
    </w:p>
    <w:p w:rsidR="00264F1B" w:rsidRPr="007E2879" w:rsidP="00264F1B" w14:paraId="1D658E66" w14:textId="0D25FD2E">
      <w:pPr>
        <w:tabs>
          <w:tab w:val="left" w:pos="4320"/>
        </w:tabs>
        <w:ind w:left="4320"/>
        <w:rPr>
          <w:szCs w:val="24"/>
        </w:rPr>
      </w:pPr>
      <w:r w:rsidRPr="007E2879">
        <w:rPr>
          <w:szCs w:val="24"/>
        </w:rPr>
        <w:t>Angela D. O</w:t>
      </w:r>
      <w:r w:rsidR="00C6353A">
        <w:rPr>
          <w:szCs w:val="24"/>
        </w:rPr>
        <w:t>’</w:t>
      </w:r>
      <w:r w:rsidRPr="007E2879">
        <w:rPr>
          <w:szCs w:val="24"/>
        </w:rPr>
        <w:t>Brien (0097579)</w:t>
      </w:r>
    </w:p>
    <w:p w:rsidR="00264F1B" w:rsidRPr="007E2879" w:rsidP="00264F1B" w14:paraId="5C14A9C2" w14:textId="77777777">
      <w:pPr>
        <w:tabs>
          <w:tab w:val="left" w:pos="4320"/>
        </w:tabs>
        <w:ind w:left="4320"/>
        <w:rPr>
          <w:szCs w:val="24"/>
        </w:rPr>
      </w:pPr>
      <w:r w:rsidRPr="007E2879">
        <w:rPr>
          <w:szCs w:val="24"/>
        </w:rPr>
        <w:t xml:space="preserve">Counsel of Record </w:t>
      </w:r>
    </w:p>
    <w:p w:rsidR="00264F1B" w:rsidRPr="007E2879" w:rsidP="00264F1B" w14:paraId="1FC154FD" w14:textId="77777777">
      <w:pPr>
        <w:tabs>
          <w:tab w:val="left" w:pos="4320"/>
        </w:tabs>
        <w:ind w:left="4320"/>
        <w:rPr>
          <w:szCs w:val="24"/>
        </w:rPr>
      </w:pPr>
      <w:r w:rsidRPr="007E2879">
        <w:rPr>
          <w:szCs w:val="24"/>
        </w:rPr>
        <w:t>Christopher Healey (0086027)</w:t>
      </w:r>
    </w:p>
    <w:p w:rsidR="00264F1B" w:rsidRPr="007E2879" w:rsidP="00264F1B" w14:paraId="56E63BC2" w14:textId="77777777">
      <w:pPr>
        <w:tabs>
          <w:tab w:val="left" w:pos="4320"/>
        </w:tabs>
        <w:ind w:left="4320"/>
        <w:rPr>
          <w:szCs w:val="24"/>
        </w:rPr>
      </w:pPr>
      <w:r w:rsidRPr="007E2879">
        <w:rPr>
          <w:szCs w:val="24"/>
        </w:rPr>
        <w:t>Bryce McKenney (0088203)</w:t>
      </w:r>
    </w:p>
    <w:p w:rsidR="00264F1B" w:rsidRPr="007E2879" w:rsidP="00264F1B" w14:paraId="598F771D" w14:textId="7E641D51">
      <w:pPr>
        <w:tabs>
          <w:tab w:val="left" w:pos="4320"/>
        </w:tabs>
        <w:ind w:left="4320"/>
        <w:rPr>
          <w:szCs w:val="24"/>
        </w:rPr>
      </w:pPr>
      <w:r w:rsidRPr="007E2879">
        <w:rPr>
          <w:szCs w:val="24"/>
        </w:rPr>
        <w:t>Assistant Consumers</w:t>
      </w:r>
      <w:r w:rsidR="00C6353A">
        <w:rPr>
          <w:szCs w:val="24"/>
        </w:rPr>
        <w:t>’</w:t>
      </w:r>
      <w:r w:rsidRPr="007E2879">
        <w:rPr>
          <w:szCs w:val="24"/>
        </w:rPr>
        <w:t xml:space="preserve"> Counsel</w:t>
      </w:r>
    </w:p>
    <w:p w:rsidR="00264F1B" w:rsidRPr="007E2879" w:rsidP="00264F1B" w14:paraId="6FD9741D" w14:textId="77777777">
      <w:pPr>
        <w:tabs>
          <w:tab w:val="left" w:pos="4320"/>
        </w:tabs>
        <w:ind w:left="4320"/>
        <w:rPr>
          <w:szCs w:val="24"/>
        </w:rPr>
      </w:pPr>
    </w:p>
    <w:p w:rsidR="00264F1B" w:rsidRPr="00441A62" w:rsidP="00B6528E" w14:paraId="044881E9" w14:textId="7803883B">
      <w:pPr>
        <w:ind w:left="4320"/>
        <w:rPr>
          <w:b/>
          <w:bCs/>
        </w:rPr>
      </w:pPr>
      <w:r w:rsidRPr="00441A62">
        <w:rPr>
          <w:b/>
          <w:bCs/>
        </w:rPr>
        <w:t>Office of the Ohio Consumers</w:t>
      </w:r>
      <w:r w:rsidRPr="00441A62" w:rsidR="00C6353A">
        <w:rPr>
          <w:b/>
          <w:bCs/>
        </w:rPr>
        <w:t>’</w:t>
      </w:r>
      <w:r w:rsidRPr="00441A62">
        <w:rPr>
          <w:b/>
          <w:bCs/>
        </w:rPr>
        <w:t xml:space="preserve"> Counsel</w:t>
      </w:r>
    </w:p>
    <w:p w:rsidR="00264F1B" w:rsidRPr="007E2879" w:rsidP="00B6528E" w14:paraId="6CAC8768" w14:textId="77777777">
      <w:pPr>
        <w:ind w:left="4320"/>
      </w:pPr>
      <w:r w:rsidRPr="007E2879">
        <w:t>65 East State Street, 7th Floor</w:t>
      </w:r>
    </w:p>
    <w:p w:rsidR="00264F1B" w:rsidRPr="007E2879" w:rsidP="00B6528E" w14:paraId="31D390BA" w14:textId="77777777">
      <w:pPr>
        <w:ind w:left="4320"/>
      </w:pPr>
      <w:r w:rsidRPr="007E2879">
        <w:t>Columbus, Ohio 43215</w:t>
      </w:r>
    </w:p>
    <w:p w:rsidR="00264F1B" w:rsidRPr="007E2879" w:rsidP="00264F1B" w14:paraId="1C63F16F" w14:textId="7A29F034">
      <w:pPr>
        <w:autoSpaceDE w:val="0"/>
        <w:autoSpaceDN w:val="0"/>
        <w:adjustRightInd w:val="0"/>
        <w:ind w:left="4320"/>
        <w:rPr>
          <w:szCs w:val="24"/>
        </w:rPr>
      </w:pPr>
      <w:r w:rsidRPr="007E2879">
        <w:rPr>
          <w:szCs w:val="24"/>
        </w:rPr>
        <w:t>Telephone [O</w:t>
      </w:r>
      <w:r w:rsidR="00C6353A">
        <w:rPr>
          <w:szCs w:val="24"/>
        </w:rPr>
        <w:t>’</w:t>
      </w:r>
      <w:r w:rsidRPr="007E2879">
        <w:rPr>
          <w:szCs w:val="24"/>
        </w:rPr>
        <w:t>Brien]: (614) 466-9531</w:t>
      </w:r>
    </w:p>
    <w:p w:rsidR="00264F1B" w:rsidRPr="007E2879" w:rsidP="00264F1B" w14:paraId="4131FC33" w14:textId="77777777">
      <w:pPr>
        <w:autoSpaceDE w:val="0"/>
        <w:autoSpaceDN w:val="0"/>
        <w:adjustRightInd w:val="0"/>
        <w:ind w:left="4320"/>
        <w:rPr>
          <w:szCs w:val="24"/>
        </w:rPr>
      </w:pPr>
      <w:r w:rsidRPr="007E2879">
        <w:rPr>
          <w:szCs w:val="24"/>
        </w:rPr>
        <w:t>Telephone [Healey]: (614) 466-9571</w:t>
      </w:r>
    </w:p>
    <w:p w:rsidR="00264F1B" w:rsidRPr="007E2879" w:rsidP="00264F1B" w14:paraId="35A5184E" w14:textId="77777777">
      <w:pPr>
        <w:autoSpaceDE w:val="0"/>
        <w:autoSpaceDN w:val="0"/>
        <w:adjustRightInd w:val="0"/>
        <w:ind w:left="4320"/>
        <w:rPr>
          <w:szCs w:val="24"/>
        </w:rPr>
      </w:pPr>
      <w:r w:rsidRPr="007E2879">
        <w:rPr>
          <w:szCs w:val="24"/>
        </w:rPr>
        <w:t>Telephone [McKenney]: (614) 466-9585</w:t>
      </w:r>
    </w:p>
    <w:p w:rsidR="00264F1B" w:rsidRPr="007E2879" w:rsidP="00264F1B" w14:paraId="19A231C5" w14:textId="77777777">
      <w:pPr>
        <w:ind w:left="4320"/>
        <w:rPr>
          <w:szCs w:val="24"/>
        </w:rPr>
      </w:pPr>
      <w:hyperlink r:id="rId6" w:history="1">
        <w:r w:rsidRPr="007E2879" w:rsidR="001B38A7">
          <w:rPr>
            <w:rStyle w:val="Hyperlink"/>
            <w:szCs w:val="24"/>
          </w:rPr>
          <w:t>angela.obrien@occ.ohio.gov</w:t>
        </w:r>
      </w:hyperlink>
    </w:p>
    <w:p w:rsidR="00264F1B" w:rsidRPr="007E2879" w:rsidP="00264F1B" w14:paraId="7E5C0657" w14:textId="77777777">
      <w:pPr>
        <w:ind w:left="4320"/>
        <w:rPr>
          <w:szCs w:val="24"/>
        </w:rPr>
      </w:pPr>
      <w:hyperlink r:id="rId7" w:history="1">
        <w:r w:rsidRPr="007E2879" w:rsidR="001B38A7">
          <w:rPr>
            <w:rStyle w:val="Hyperlink"/>
            <w:szCs w:val="24"/>
          </w:rPr>
          <w:t>christopher.healey@occ.ohio.gov</w:t>
        </w:r>
      </w:hyperlink>
    </w:p>
    <w:p w:rsidR="00264F1B" w:rsidRPr="007E2879" w:rsidP="00264F1B" w14:paraId="2B6C2527" w14:textId="77777777">
      <w:pPr>
        <w:ind w:left="4320"/>
        <w:rPr>
          <w:rStyle w:val="Hyperlink"/>
          <w:szCs w:val="24"/>
        </w:rPr>
      </w:pPr>
      <w:r w:rsidRPr="007E2879">
        <w:rPr>
          <w:rStyle w:val="Hyperlink"/>
          <w:szCs w:val="24"/>
        </w:rPr>
        <w:t>bryce.mckenney@occ.ohio.gov</w:t>
      </w:r>
    </w:p>
    <w:p w:rsidR="00264F1B" w:rsidRPr="007E2879" w:rsidP="00264F1B" w14:paraId="6EDA1238" w14:textId="77777777">
      <w:pPr>
        <w:ind w:left="4320"/>
        <w:rPr>
          <w:szCs w:val="24"/>
        </w:rPr>
      </w:pPr>
      <w:r w:rsidRPr="007E2879">
        <w:rPr>
          <w:szCs w:val="24"/>
        </w:rPr>
        <w:t>(willing to accept service by e-mail)</w:t>
      </w:r>
    </w:p>
    <w:p w:rsidR="00264F1B" w:rsidRPr="007E2879" w:rsidP="00264F1B" w14:paraId="3EF9F25E" w14:textId="77777777">
      <w:pPr>
        <w:ind w:left="4320"/>
        <w:rPr>
          <w:szCs w:val="24"/>
        </w:rPr>
      </w:pPr>
    </w:p>
    <w:p w:rsidR="00264F1B" w:rsidRPr="007E2879" w:rsidP="00264F1B" w14:paraId="15D3DC17" w14:textId="77777777">
      <w:pPr>
        <w:ind w:left="4320"/>
        <w:rPr>
          <w:szCs w:val="24"/>
        </w:rPr>
      </w:pPr>
    </w:p>
    <w:p w:rsidR="00264F1B" w:rsidRPr="007E2879" w:rsidP="00264F1B" w14:paraId="7BAF0CF5" w14:textId="77777777">
      <w:pPr>
        <w:ind w:left="4320"/>
        <w:rPr>
          <w:szCs w:val="24"/>
        </w:rPr>
      </w:pPr>
      <w:r w:rsidRPr="007E2879">
        <w:rPr>
          <w:szCs w:val="24"/>
        </w:rPr>
        <w:t>Kimberly W. Bojko (0069402)</w:t>
      </w:r>
    </w:p>
    <w:p w:rsidR="00264F1B" w:rsidRPr="007E2879" w:rsidP="00264F1B" w14:paraId="05911276" w14:textId="77777777">
      <w:pPr>
        <w:ind w:left="4320"/>
        <w:rPr>
          <w:szCs w:val="24"/>
        </w:rPr>
      </w:pPr>
      <w:r w:rsidRPr="007E2879">
        <w:rPr>
          <w:szCs w:val="24"/>
        </w:rPr>
        <w:t>Carpenter Lipps &amp; Leland LLP</w:t>
      </w:r>
    </w:p>
    <w:p w:rsidR="00264F1B" w:rsidRPr="007E2879" w:rsidP="00264F1B" w14:paraId="297DEB4C" w14:textId="77777777">
      <w:pPr>
        <w:ind w:left="4320"/>
        <w:rPr>
          <w:szCs w:val="24"/>
        </w:rPr>
      </w:pPr>
      <w:r w:rsidRPr="007E2879">
        <w:rPr>
          <w:szCs w:val="24"/>
        </w:rPr>
        <w:t>280 Plaza, Suite 1300</w:t>
      </w:r>
    </w:p>
    <w:p w:rsidR="00264F1B" w:rsidRPr="007E2879" w:rsidP="00264F1B" w14:paraId="5EB87F73" w14:textId="77777777">
      <w:pPr>
        <w:ind w:left="4320"/>
        <w:rPr>
          <w:szCs w:val="24"/>
        </w:rPr>
      </w:pPr>
      <w:r w:rsidRPr="007E2879">
        <w:rPr>
          <w:szCs w:val="24"/>
        </w:rPr>
        <w:t>280 North High Street</w:t>
      </w:r>
    </w:p>
    <w:p w:rsidR="00264F1B" w:rsidP="00264F1B" w14:paraId="66FE4B7F" w14:textId="41355A4D">
      <w:pPr>
        <w:ind w:left="4320"/>
        <w:rPr>
          <w:szCs w:val="24"/>
        </w:rPr>
      </w:pPr>
      <w:r w:rsidRPr="007E2879">
        <w:rPr>
          <w:szCs w:val="24"/>
        </w:rPr>
        <w:t>Columbus, Ohio 43215</w:t>
      </w:r>
    </w:p>
    <w:p w:rsidR="00C14B55" w:rsidRPr="007E2879" w:rsidP="00264F1B" w14:paraId="36D60E8B" w14:textId="7118DE13">
      <w:pPr>
        <w:ind w:left="4320"/>
        <w:rPr>
          <w:szCs w:val="24"/>
        </w:rPr>
      </w:pPr>
      <w:r>
        <w:rPr>
          <w:szCs w:val="24"/>
        </w:rPr>
        <w:t>Telephone: (614) 365-4100</w:t>
      </w:r>
    </w:p>
    <w:p w:rsidR="00264F1B" w:rsidRPr="007E2879" w:rsidP="00264F1B" w14:paraId="44A3367B" w14:textId="77777777">
      <w:pPr>
        <w:ind w:left="4320"/>
        <w:rPr>
          <w:szCs w:val="24"/>
        </w:rPr>
      </w:pPr>
      <w:hyperlink r:id="rId8" w:history="1">
        <w:r w:rsidRPr="007E2879" w:rsidR="001B38A7">
          <w:rPr>
            <w:rStyle w:val="Hyperlink"/>
            <w:szCs w:val="24"/>
          </w:rPr>
          <w:t>bojko@carpenterlipps.com</w:t>
        </w:r>
      </w:hyperlink>
      <w:r w:rsidRPr="007E2879" w:rsidR="001B38A7">
        <w:rPr>
          <w:szCs w:val="24"/>
        </w:rPr>
        <w:t xml:space="preserve"> </w:t>
      </w:r>
    </w:p>
    <w:p w:rsidR="00264F1B" w:rsidRPr="007E2879" w:rsidP="00264F1B" w14:paraId="446DE360" w14:textId="77777777">
      <w:pPr>
        <w:ind w:left="4320"/>
        <w:rPr>
          <w:szCs w:val="24"/>
        </w:rPr>
      </w:pPr>
      <w:r w:rsidRPr="007E2879">
        <w:rPr>
          <w:szCs w:val="24"/>
        </w:rPr>
        <w:t>(willing to accept service by e-mail)</w:t>
      </w:r>
    </w:p>
    <w:p w:rsidR="00264F1B" w:rsidRPr="007E2879" w:rsidP="00264F1B" w14:paraId="46B8B9C8" w14:textId="77777777">
      <w:pPr>
        <w:ind w:left="4320"/>
        <w:rPr>
          <w:szCs w:val="24"/>
        </w:rPr>
      </w:pPr>
    </w:p>
    <w:p w:rsidR="00264F1B" w:rsidRPr="007E2879" w:rsidP="00264F1B" w14:paraId="37BC1AAE" w14:textId="77777777">
      <w:pPr>
        <w:ind w:left="4320"/>
        <w:rPr>
          <w:i/>
          <w:iCs/>
          <w:szCs w:val="24"/>
        </w:rPr>
      </w:pPr>
      <w:r w:rsidRPr="007E2879">
        <w:rPr>
          <w:i/>
          <w:iCs/>
          <w:szCs w:val="24"/>
        </w:rPr>
        <w:t>Outside Counsel for</w:t>
      </w:r>
    </w:p>
    <w:p w:rsidR="00264F1B" w:rsidRPr="007E2879" w:rsidP="00264F1B" w14:paraId="465843B3" w14:textId="7725CD53">
      <w:pPr>
        <w:ind w:left="4320"/>
        <w:rPr>
          <w:i/>
          <w:iCs/>
          <w:szCs w:val="24"/>
        </w:rPr>
      </w:pPr>
      <w:r w:rsidRPr="007E2879">
        <w:rPr>
          <w:i/>
          <w:iCs/>
          <w:szCs w:val="24"/>
        </w:rPr>
        <w:t>The Office of the Ohio Consumers</w:t>
      </w:r>
      <w:r w:rsidR="00C6353A">
        <w:rPr>
          <w:i/>
          <w:iCs/>
          <w:szCs w:val="24"/>
        </w:rPr>
        <w:t>’</w:t>
      </w:r>
      <w:r w:rsidRPr="007E2879">
        <w:rPr>
          <w:i/>
          <w:iCs/>
          <w:szCs w:val="24"/>
        </w:rPr>
        <w:t xml:space="preserve"> Counsel</w:t>
      </w:r>
    </w:p>
    <w:p w:rsidR="00264F1B" w:rsidRPr="007A295D" w:rsidP="00264F1B" w14:paraId="432A1699" w14:textId="77777777">
      <w:pPr>
        <w:ind w:left="4320"/>
      </w:pPr>
    </w:p>
    <w:p w:rsidR="00264F1B" w:rsidRPr="00DD3C2C" w:rsidP="004E6458" w14:paraId="40B1CCFD" w14:textId="77777777">
      <w:pPr>
        <w:rPr>
          <w:szCs w:val="24"/>
        </w:rPr>
      </w:pPr>
    </w:p>
    <w:p w:rsidR="00264F1B" w:rsidRPr="00DD3C2C" w:rsidP="00264F1B" w14:paraId="0011E4D9" w14:textId="77777777">
      <w:pPr>
        <w:ind w:left="4320"/>
        <w:rPr>
          <w:szCs w:val="24"/>
        </w:rPr>
      </w:pPr>
    </w:p>
    <w:p w:rsidR="00264F1B" w:rsidP="00264F1B" w14:paraId="498511A1" w14:textId="77777777">
      <w:pPr>
        <w:ind w:left="2160" w:firstLine="720"/>
        <w:rPr>
          <w:b/>
          <w:bCs/>
          <w:szCs w:val="24"/>
          <w:u w:val="single"/>
        </w:rPr>
        <w:sectPr w:rsidSect="00B6528E">
          <w:footerReference w:type="default" r:id="rId10"/>
          <w:pgSz w:w="12240" w:h="15840"/>
          <w:pgMar w:top="1440" w:right="1800" w:bottom="1440" w:left="1800" w:header="720" w:footer="720" w:gutter="0"/>
          <w:pgNumType w:start="1"/>
          <w:cols w:space="720"/>
          <w:docGrid w:linePitch="360"/>
        </w:sectPr>
      </w:pPr>
    </w:p>
    <w:p w:rsidR="00264F1B" w:rsidRPr="005216DF" w:rsidP="00264F1B" w14:paraId="11021B32" w14:textId="77777777">
      <w:pPr>
        <w:ind w:left="2160" w:firstLine="720"/>
        <w:rPr>
          <w:b/>
          <w:bCs/>
          <w:szCs w:val="24"/>
          <w:u w:val="single"/>
        </w:rPr>
      </w:pPr>
      <w:r w:rsidRPr="005216DF">
        <w:rPr>
          <w:b/>
          <w:bCs/>
          <w:szCs w:val="24"/>
          <w:u w:val="single"/>
        </w:rPr>
        <w:t>CERTIFICATE OF SERVICE</w:t>
      </w:r>
    </w:p>
    <w:p w:rsidR="00264F1B" w:rsidRPr="005216DF" w:rsidP="00264F1B" w14:paraId="18D9F5C7" w14:textId="77777777">
      <w:pPr>
        <w:pStyle w:val="EndnoteText"/>
        <w:widowControl/>
        <w:tabs>
          <w:tab w:val="left" w:pos="-720"/>
        </w:tabs>
        <w:suppressAutoHyphens/>
        <w:rPr>
          <w:rFonts w:ascii="Times New Roman" w:hAnsi="Times New Roman"/>
          <w:spacing w:val="-3"/>
          <w:szCs w:val="24"/>
        </w:rPr>
      </w:pPr>
    </w:p>
    <w:p w:rsidR="00264F1B" w:rsidRPr="009B5071" w:rsidP="009B5071" w14:paraId="7CB69800" w14:textId="149DE727">
      <w:pPr>
        <w:spacing w:line="480" w:lineRule="auto"/>
        <w:rPr>
          <w:b/>
          <w:bCs/>
        </w:rPr>
      </w:pPr>
      <w:r w:rsidRPr="005216DF">
        <w:rPr>
          <w:szCs w:val="24"/>
        </w:rPr>
        <w:t xml:space="preserve">It is hereby certified that a true copy of the foregoing </w:t>
      </w:r>
      <w:r>
        <w:rPr>
          <w:szCs w:val="24"/>
        </w:rPr>
        <w:t>Memorandum Contra</w:t>
      </w:r>
      <w:r w:rsidR="004E6458">
        <w:rPr>
          <w:szCs w:val="24"/>
        </w:rPr>
        <w:t xml:space="preserve"> </w:t>
      </w:r>
      <w:r w:rsidRPr="009B5071" w:rsidR="00606193">
        <w:rPr>
          <w:bCs/>
        </w:rPr>
        <w:t>V</w:t>
      </w:r>
      <w:r w:rsidR="009B5071">
        <w:rPr>
          <w:bCs/>
        </w:rPr>
        <w:t>erde</w:t>
      </w:r>
      <w:r w:rsidRPr="009B5071" w:rsidR="00606193">
        <w:rPr>
          <w:bCs/>
        </w:rPr>
        <w:t xml:space="preserve"> E</w:t>
      </w:r>
      <w:r w:rsidR="009B5071">
        <w:rPr>
          <w:bCs/>
        </w:rPr>
        <w:t>nergy</w:t>
      </w:r>
      <w:r w:rsidR="00C6353A">
        <w:rPr>
          <w:bCs/>
        </w:rPr>
        <w:t>’</w:t>
      </w:r>
      <w:r w:rsidR="009B5071">
        <w:rPr>
          <w:bCs/>
        </w:rPr>
        <w:t>s</w:t>
      </w:r>
      <w:r w:rsidRPr="009B5071" w:rsidR="00606193">
        <w:rPr>
          <w:bCs/>
        </w:rPr>
        <w:t xml:space="preserve"> </w:t>
      </w:r>
      <w:r w:rsidR="005A60F7">
        <w:rPr>
          <w:bCs/>
        </w:rPr>
        <w:t xml:space="preserve">Second </w:t>
      </w:r>
      <w:r w:rsidRPr="009B5071" w:rsidR="00606193">
        <w:rPr>
          <w:bCs/>
        </w:rPr>
        <w:t>M</w:t>
      </w:r>
      <w:r w:rsidR="009B5071">
        <w:rPr>
          <w:bCs/>
        </w:rPr>
        <w:t>otion</w:t>
      </w:r>
      <w:r w:rsidRPr="009B5071" w:rsidR="00606193">
        <w:rPr>
          <w:bCs/>
        </w:rPr>
        <w:t xml:space="preserve"> </w:t>
      </w:r>
      <w:r w:rsidR="009B5071">
        <w:rPr>
          <w:bCs/>
        </w:rPr>
        <w:t>for</w:t>
      </w:r>
      <w:r w:rsidRPr="009B5071" w:rsidR="00606193">
        <w:rPr>
          <w:bCs/>
        </w:rPr>
        <w:t xml:space="preserve"> </w:t>
      </w:r>
      <w:r w:rsidR="009B5071">
        <w:rPr>
          <w:bCs/>
        </w:rPr>
        <w:t>an</w:t>
      </w:r>
      <w:r w:rsidRPr="009B5071" w:rsidR="00606193">
        <w:rPr>
          <w:bCs/>
        </w:rPr>
        <w:t xml:space="preserve"> </w:t>
      </w:r>
      <w:r w:rsidR="009B5071">
        <w:rPr>
          <w:bCs/>
        </w:rPr>
        <w:t>Order</w:t>
      </w:r>
      <w:r w:rsidRPr="009B5071" w:rsidR="00606193">
        <w:rPr>
          <w:bCs/>
        </w:rPr>
        <w:t xml:space="preserve"> </w:t>
      </w:r>
      <w:r w:rsidR="009B5071">
        <w:rPr>
          <w:bCs/>
        </w:rPr>
        <w:t>to</w:t>
      </w:r>
      <w:r w:rsidRPr="009B5071" w:rsidR="00606193">
        <w:rPr>
          <w:bCs/>
        </w:rPr>
        <w:t xml:space="preserve"> P</w:t>
      </w:r>
      <w:r w:rsidR="009B5071">
        <w:rPr>
          <w:bCs/>
        </w:rPr>
        <w:t>rotect</w:t>
      </w:r>
      <w:r w:rsidRPr="009B5071" w:rsidR="00606193">
        <w:rPr>
          <w:bCs/>
        </w:rPr>
        <w:t xml:space="preserve"> </w:t>
      </w:r>
      <w:r w:rsidR="009B5071">
        <w:rPr>
          <w:bCs/>
        </w:rPr>
        <w:t>it</w:t>
      </w:r>
      <w:r w:rsidRPr="009B5071" w:rsidR="00606193">
        <w:rPr>
          <w:bCs/>
        </w:rPr>
        <w:t xml:space="preserve"> </w:t>
      </w:r>
      <w:r w:rsidR="009B5071">
        <w:rPr>
          <w:bCs/>
        </w:rPr>
        <w:t>from</w:t>
      </w:r>
      <w:r w:rsidRPr="009B5071" w:rsidR="00606193">
        <w:rPr>
          <w:bCs/>
        </w:rPr>
        <w:t xml:space="preserve"> OCC</w:t>
      </w:r>
      <w:r w:rsidR="00C6353A">
        <w:rPr>
          <w:bCs/>
        </w:rPr>
        <w:t>’</w:t>
      </w:r>
      <w:r w:rsidR="009B5071">
        <w:rPr>
          <w:bCs/>
        </w:rPr>
        <w:t>s</w:t>
      </w:r>
      <w:r w:rsidRPr="009B5071" w:rsidR="00606193">
        <w:rPr>
          <w:bCs/>
        </w:rPr>
        <w:t xml:space="preserve"> D</w:t>
      </w:r>
      <w:r w:rsidR="009B5071">
        <w:rPr>
          <w:bCs/>
        </w:rPr>
        <w:t>iscovery</w:t>
      </w:r>
      <w:r w:rsidR="009B5071">
        <w:rPr>
          <w:b/>
          <w:bCs/>
        </w:rPr>
        <w:t xml:space="preserve"> </w:t>
      </w:r>
      <w:r w:rsidRPr="005216DF">
        <w:rPr>
          <w:szCs w:val="24"/>
        </w:rPr>
        <w:t xml:space="preserve">was served by electronic transmission </w:t>
      </w:r>
      <w:r>
        <w:rPr>
          <w:szCs w:val="24"/>
        </w:rPr>
        <w:t xml:space="preserve">upon the parties below this </w:t>
      </w:r>
      <w:r w:rsidR="00601D52">
        <w:rPr>
          <w:szCs w:val="24"/>
        </w:rPr>
        <w:t>3rd</w:t>
      </w:r>
      <w:r>
        <w:rPr>
          <w:szCs w:val="24"/>
        </w:rPr>
        <w:t xml:space="preserve"> </w:t>
      </w:r>
      <w:r w:rsidRPr="005216DF">
        <w:rPr>
          <w:szCs w:val="24"/>
        </w:rPr>
        <w:t xml:space="preserve">day of </w:t>
      </w:r>
      <w:r w:rsidR="00601D52">
        <w:rPr>
          <w:szCs w:val="24"/>
        </w:rPr>
        <w:t>October</w:t>
      </w:r>
      <w:r w:rsidRPr="005216DF">
        <w:rPr>
          <w:szCs w:val="24"/>
        </w:rPr>
        <w:t xml:space="preserve"> 201</w:t>
      </w:r>
      <w:r>
        <w:rPr>
          <w:szCs w:val="24"/>
        </w:rPr>
        <w:t>9</w:t>
      </w:r>
      <w:r w:rsidRPr="005216DF">
        <w:rPr>
          <w:szCs w:val="24"/>
        </w:rPr>
        <w:t>.</w:t>
      </w:r>
    </w:p>
    <w:p w:rsidR="00264F1B" w:rsidRPr="005216DF" w:rsidP="00264F1B" w14:paraId="03F2277F" w14:textId="77777777">
      <w:pPr>
        <w:pStyle w:val="EndnoteText"/>
        <w:widowControl/>
        <w:rPr>
          <w:rFonts w:ascii="Times New Roman" w:hAnsi="Times New Roman"/>
          <w:snapToGrid/>
          <w:szCs w:val="24"/>
        </w:rPr>
      </w:pPr>
    </w:p>
    <w:p w:rsidR="00264F1B" w:rsidRPr="005216DF" w:rsidP="00264F1B" w14:paraId="7BE1F166" w14:textId="640D6F31">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Pr>
          <w:rFonts w:ascii="Times New Roman" w:hAnsi="Times New Roman"/>
          <w:i/>
          <w:snapToGrid/>
          <w:szCs w:val="24"/>
          <w:u w:val="single"/>
        </w:rPr>
        <w:t>Angela D. O</w:t>
      </w:r>
      <w:r w:rsidR="00C6353A">
        <w:rPr>
          <w:rFonts w:ascii="Times New Roman" w:hAnsi="Times New Roman"/>
          <w:i/>
          <w:snapToGrid/>
          <w:szCs w:val="24"/>
          <w:u w:val="single"/>
        </w:rPr>
        <w:t>’</w:t>
      </w:r>
      <w:r>
        <w:rPr>
          <w:rFonts w:ascii="Times New Roman" w:hAnsi="Times New Roman"/>
          <w:i/>
          <w:snapToGrid/>
          <w:szCs w:val="24"/>
          <w:u w:val="single"/>
        </w:rPr>
        <w:t>Brien</w:t>
      </w:r>
      <w:r w:rsidR="00B64F9D">
        <w:rPr>
          <w:rFonts w:ascii="Times New Roman" w:hAnsi="Times New Roman"/>
          <w:i/>
          <w:snapToGrid/>
          <w:szCs w:val="24"/>
          <w:u w:val="single"/>
        </w:rPr>
        <w:tab/>
      </w:r>
      <w:r>
        <w:rPr>
          <w:rFonts w:ascii="Times New Roman" w:hAnsi="Times New Roman"/>
          <w:i/>
          <w:snapToGrid/>
          <w:szCs w:val="24"/>
          <w:u w:val="single"/>
        </w:rPr>
        <w:tab/>
      </w:r>
    </w:p>
    <w:p w:rsidR="00264F1B" w:rsidRPr="005216DF" w:rsidP="00264F1B" w14:paraId="25F6D416" w14:textId="3F0ECD69">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snapToGrid/>
          <w:szCs w:val="24"/>
        </w:rPr>
        <w:t>Angela D. O</w:t>
      </w:r>
      <w:r w:rsidR="00C6353A">
        <w:rPr>
          <w:rFonts w:ascii="Times New Roman" w:hAnsi="Times New Roman"/>
          <w:snapToGrid/>
          <w:szCs w:val="24"/>
        </w:rPr>
        <w:t>’</w:t>
      </w:r>
      <w:r>
        <w:rPr>
          <w:rFonts w:ascii="Times New Roman" w:hAnsi="Times New Roman"/>
          <w:snapToGrid/>
          <w:szCs w:val="24"/>
        </w:rPr>
        <w:t>Brien</w:t>
      </w:r>
    </w:p>
    <w:p w:rsidR="00264F1B" w:rsidRPr="005216DF" w:rsidP="00264F1B" w14:paraId="0933178D" w14:textId="1338076A">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w:t>
      </w:r>
      <w:r w:rsidR="00C6353A">
        <w:rPr>
          <w:rFonts w:ascii="Times New Roman" w:hAnsi="Times New Roman"/>
          <w:snapToGrid/>
          <w:szCs w:val="24"/>
        </w:rPr>
        <w:t>’</w:t>
      </w:r>
      <w:r w:rsidRPr="005216DF">
        <w:rPr>
          <w:rFonts w:ascii="Times New Roman" w:hAnsi="Times New Roman"/>
          <w:snapToGrid/>
          <w:szCs w:val="24"/>
        </w:rPr>
        <w:t xml:space="preserve"> Counsel</w:t>
      </w:r>
    </w:p>
    <w:p w:rsidR="00264F1B" w:rsidP="00264F1B" w14:paraId="081B419C" w14:textId="77777777">
      <w:pPr>
        <w:pStyle w:val="EndnoteText"/>
        <w:widowControl/>
        <w:rPr>
          <w:rFonts w:ascii="Times New Roman" w:hAnsi="Times New Roman"/>
          <w:snapToGrid/>
          <w:szCs w:val="24"/>
        </w:rPr>
      </w:pPr>
    </w:p>
    <w:p w:rsidR="00264F1B" w:rsidP="00264F1B" w14:paraId="18B0B8CB" w14:textId="77777777">
      <w:pPr>
        <w:pStyle w:val="CommentText"/>
        <w:rPr>
          <w:szCs w:val="24"/>
        </w:rPr>
      </w:pPr>
    </w:p>
    <w:p w:rsidR="00264F1B" w:rsidRPr="005932DC" w:rsidP="00264F1B" w14:paraId="4EAE0349" w14:textId="62311A51">
      <w:pPr>
        <w:pStyle w:val="CommentText"/>
        <w:rPr>
          <w:sz w:val="24"/>
          <w:szCs w:val="24"/>
        </w:rPr>
      </w:pPr>
      <w:r w:rsidRPr="005932DC">
        <w:rPr>
          <w:sz w:val="24"/>
          <w:szCs w:val="24"/>
        </w:rPr>
        <w:t>The PUCO</w:t>
      </w:r>
      <w:r w:rsidR="00C6353A">
        <w:rPr>
          <w:sz w:val="24"/>
          <w:szCs w:val="24"/>
        </w:rPr>
        <w:t>’</w:t>
      </w:r>
      <w:r w:rsidRPr="005932DC">
        <w:rPr>
          <w:sz w:val="24"/>
          <w:szCs w:val="24"/>
        </w:rPr>
        <w:t>s e-filing system will electronically serve notice of the filing of this document on the following parties:</w:t>
      </w:r>
    </w:p>
    <w:p w:rsidR="00264F1B" w:rsidRPr="005932DC" w:rsidP="00264F1B" w14:paraId="04C0E290" w14:textId="77777777">
      <w:pPr>
        <w:pStyle w:val="EndnoteText"/>
        <w:widowControl/>
        <w:jc w:val="center"/>
        <w:rPr>
          <w:rFonts w:ascii="Times New Roman" w:hAnsi="Times New Roman"/>
          <w:b/>
          <w:bCs/>
          <w:snapToGrid/>
          <w:szCs w:val="24"/>
        </w:rPr>
      </w:pPr>
    </w:p>
    <w:p w:rsidR="00264F1B" w:rsidP="00264F1B" w14:paraId="76C05605" w14:textId="77777777">
      <w:pPr>
        <w:pStyle w:val="CommentText"/>
        <w:jc w:val="center"/>
        <w:rPr>
          <w:b/>
          <w:bCs/>
          <w:sz w:val="24"/>
          <w:szCs w:val="24"/>
          <w:u w:val="single"/>
        </w:rPr>
      </w:pPr>
      <w:r w:rsidRPr="00E31CBD">
        <w:rPr>
          <w:b/>
          <w:bCs/>
          <w:sz w:val="24"/>
          <w:szCs w:val="24"/>
          <w:u w:val="single"/>
        </w:rPr>
        <w:t>SERVICE LIST</w:t>
      </w:r>
    </w:p>
    <w:p w:rsidR="00264F1B" w:rsidP="00264F1B" w14:paraId="4BB1085C" w14:textId="77777777">
      <w:pPr>
        <w:pStyle w:val="CommentText"/>
        <w:jc w:val="center"/>
        <w:rPr>
          <w:b/>
          <w:bCs/>
          <w:sz w:val="24"/>
          <w:szCs w:val="24"/>
          <w:u w:val="single"/>
        </w:rPr>
      </w:pPr>
    </w:p>
    <w:tbl>
      <w:tblPr>
        <w:tblW w:w="0" w:type="auto"/>
        <w:tblLook w:val="01E0"/>
      </w:tblPr>
      <w:tblGrid>
        <w:gridCol w:w="4428"/>
        <w:gridCol w:w="4428"/>
      </w:tblGrid>
      <w:tr w14:paraId="3C925788" w14:textId="77777777" w:rsidTr="005B1D15">
        <w:tblPrEx>
          <w:tblW w:w="0" w:type="auto"/>
          <w:tblLook w:val="01E0"/>
        </w:tblPrEx>
        <w:tc>
          <w:tcPr>
            <w:tcW w:w="4428" w:type="dxa"/>
          </w:tcPr>
          <w:p w:rsidR="00264F1B" w:rsidP="005B1D15" w14:paraId="619A85B7" w14:textId="77777777">
            <w:hyperlink r:id="rId11" w:history="1">
              <w:r w:rsidR="001B38A7">
                <w:rPr>
                  <w:rStyle w:val="Hyperlink"/>
                </w:rPr>
                <w:t>Thomas.lindgren@ohioattorneygeneral.gov</w:t>
              </w:r>
            </w:hyperlink>
          </w:p>
          <w:p w:rsidR="00264F1B" w:rsidRPr="00466A3E" w:rsidP="005B1D15" w14:paraId="0008A496" w14:textId="77777777">
            <w:pPr>
              <w:pStyle w:val="CommentText"/>
              <w:rPr>
                <w:rStyle w:val="Hyperlink"/>
                <w:sz w:val="24"/>
              </w:rPr>
            </w:pPr>
            <w:hyperlink r:id="rId12" w:history="1">
              <w:r w:rsidRPr="00466A3E" w:rsidR="001B38A7">
                <w:rPr>
                  <w:rStyle w:val="Hyperlink"/>
                  <w:sz w:val="24"/>
                </w:rPr>
                <w:t>Andrew.shaffer@ohioattorneygeneral.gov</w:t>
              </w:r>
            </w:hyperlink>
          </w:p>
          <w:p w:rsidR="00264F1B" w:rsidP="005B1D15" w14:paraId="669EBF91" w14:textId="77777777">
            <w:pPr>
              <w:autoSpaceDE w:val="0"/>
              <w:autoSpaceDN w:val="0"/>
              <w:adjustRightInd w:val="0"/>
              <w:rPr>
                <w:rStyle w:val="Hyperlink"/>
              </w:rPr>
            </w:pPr>
            <w:hyperlink r:id="rId13" w:history="1">
              <w:r w:rsidR="001B38A7">
                <w:rPr>
                  <w:rStyle w:val="Hyperlink"/>
                  <w:rFonts w:ascii="Times-Roman" w:hAnsi="Times-Roman" w:cs="Times-Roman"/>
                </w:rPr>
                <w:t>dproano@bakerlaw.com</w:t>
              </w:r>
            </w:hyperlink>
          </w:p>
          <w:p w:rsidR="00264F1B" w:rsidP="005B1D15" w14:paraId="73281CE7" w14:textId="77777777">
            <w:pPr>
              <w:autoSpaceDE w:val="0"/>
              <w:autoSpaceDN w:val="0"/>
              <w:adjustRightInd w:val="0"/>
              <w:rPr>
                <w:rFonts w:ascii="Times-Roman" w:hAnsi="Times-Roman" w:cs="Times-Roman"/>
                <w:color w:val="0000FF"/>
              </w:rPr>
            </w:pPr>
            <w:hyperlink r:id="rId14" w:history="1">
              <w:r w:rsidR="001B38A7">
                <w:rPr>
                  <w:rStyle w:val="Hyperlink"/>
                  <w:rFonts w:ascii="Times-Roman" w:hAnsi="Times-Roman" w:cs="Times-Roman"/>
                </w:rPr>
                <w:t>kkash@bakerlaw.com</w:t>
              </w:r>
            </w:hyperlink>
          </w:p>
          <w:p w:rsidR="00264F1B" w:rsidP="005B1D15" w14:paraId="64E9C1BA" w14:textId="77777777">
            <w:pPr>
              <w:autoSpaceDE w:val="0"/>
              <w:autoSpaceDN w:val="0"/>
              <w:adjustRightInd w:val="0"/>
              <w:rPr>
                <w:rFonts w:ascii="Times-Roman" w:hAnsi="Times-Roman" w:cs="Times-Roman"/>
                <w:color w:val="0000FF"/>
              </w:rPr>
            </w:pPr>
            <w:hyperlink r:id="rId15" w:history="1">
              <w:r w:rsidR="001B38A7">
                <w:rPr>
                  <w:rStyle w:val="Hyperlink"/>
                  <w:rFonts w:ascii="Times-Roman" w:hAnsi="Times-Roman" w:cs="Times-Roman"/>
                </w:rPr>
                <w:t>dlemon@bakerlaw.com</w:t>
              </w:r>
            </w:hyperlink>
          </w:p>
          <w:p w:rsidR="00264F1B" w:rsidP="005B1D15" w14:paraId="76B9E77D" w14:textId="77777777">
            <w:pPr>
              <w:autoSpaceDE w:val="0"/>
              <w:autoSpaceDN w:val="0"/>
              <w:adjustRightInd w:val="0"/>
              <w:rPr>
                <w:rFonts w:ascii="Times-Roman" w:hAnsi="Times-Roman" w:cs="Times-Roman"/>
                <w:color w:val="0000FF"/>
              </w:rPr>
            </w:pPr>
            <w:hyperlink r:id="rId16" w:history="1">
              <w:r w:rsidR="001B38A7">
                <w:rPr>
                  <w:rStyle w:val="Hyperlink"/>
                  <w:rFonts w:ascii="Times-Roman" w:hAnsi="Times-Roman" w:cs="Times-Roman"/>
                </w:rPr>
                <w:t>tathompson@bakerlaw.com</w:t>
              </w:r>
            </w:hyperlink>
          </w:p>
          <w:p w:rsidR="00264F1B" w:rsidP="005B1D15" w14:paraId="54F2AE54" w14:textId="77777777">
            <w:pPr>
              <w:autoSpaceDE w:val="0"/>
              <w:autoSpaceDN w:val="0"/>
              <w:adjustRightInd w:val="0"/>
              <w:rPr>
                <w:rFonts w:ascii="Times-Roman" w:hAnsi="Times-Roman" w:cs="Times-Roman"/>
                <w:color w:val="0000FF"/>
              </w:rPr>
            </w:pPr>
            <w:hyperlink r:id="rId17" w:history="1">
              <w:r w:rsidR="001B38A7">
                <w:rPr>
                  <w:rStyle w:val="Hyperlink"/>
                  <w:rFonts w:ascii="Times-Roman" w:hAnsi="Times-Roman" w:cs="Times-Roman"/>
                </w:rPr>
                <w:t>Joe.Oliker@igs.com</w:t>
              </w:r>
            </w:hyperlink>
          </w:p>
          <w:p w:rsidR="00264F1B" w:rsidP="005B1D15" w14:paraId="7D16B988" w14:textId="77777777">
            <w:pPr>
              <w:autoSpaceDE w:val="0"/>
              <w:autoSpaceDN w:val="0"/>
              <w:adjustRightInd w:val="0"/>
              <w:rPr>
                <w:rFonts w:ascii="Times-Roman" w:hAnsi="Times-Roman" w:cs="Times-Roman"/>
                <w:color w:val="0000FF"/>
              </w:rPr>
            </w:pPr>
            <w:hyperlink r:id="rId18" w:history="1">
              <w:r w:rsidR="001B38A7">
                <w:rPr>
                  <w:rStyle w:val="Hyperlink"/>
                  <w:rFonts w:ascii="Times-Roman" w:hAnsi="Times-Roman" w:cs="Times-Roman"/>
                </w:rPr>
                <w:t>Michael.Nugent@igs.com</w:t>
              </w:r>
            </w:hyperlink>
          </w:p>
          <w:p w:rsidR="00264F1B" w:rsidP="005B1D15" w14:paraId="6BD8A19F" w14:textId="77777777">
            <w:pPr>
              <w:autoSpaceDE w:val="0"/>
              <w:autoSpaceDN w:val="0"/>
              <w:adjustRightInd w:val="0"/>
              <w:rPr>
                <w:rFonts w:ascii="Times-Roman" w:hAnsi="Times-Roman" w:cs="Times-Roman"/>
                <w:color w:val="0000FF"/>
              </w:rPr>
            </w:pPr>
            <w:hyperlink r:id="rId19" w:history="1">
              <w:r w:rsidR="001B38A7">
                <w:rPr>
                  <w:rStyle w:val="Hyperlink"/>
                  <w:rFonts w:ascii="Times-Roman" w:hAnsi="Times-Roman" w:cs="Times-Roman"/>
                </w:rPr>
                <w:t>Bethany.Allen@igs.com</w:t>
              </w:r>
            </w:hyperlink>
          </w:p>
          <w:p w:rsidR="00264F1B" w:rsidP="005B1D15" w14:paraId="70BD3D7B" w14:textId="77777777">
            <w:pPr>
              <w:rPr>
                <w:rFonts w:ascii="Times-Roman" w:hAnsi="Times-Roman" w:cs="Times-Roman"/>
                <w:color w:val="0000FF"/>
              </w:rPr>
            </w:pPr>
            <w:hyperlink r:id="rId20" w:history="1">
              <w:r w:rsidR="001B38A7">
                <w:rPr>
                  <w:rStyle w:val="Hyperlink"/>
                  <w:rFonts w:ascii="Times-Roman" w:hAnsi="Times-Roman" w:cs="Times-Roman"/>
                </w:rPr>
                <w:t>rhooper@bakerlaw.com</w:t>
              </w:r>
            </w:hyperlink>
          </w:p>
          <w:p w:rsidR="00264F1B" w:rsidP="005B1D15" w14:paraId="26EC871B" w14:textId="77777777"/>
          <w:p w:rsidR="00264F1B" w:rsidP="005B1D15" w14:paraId="5B07CE2E" w14:textId="77777777"/>
          <w:p w:rsidR="00264F1B" w:rsidP="005B1D15" w14:paraId="557D9D77" w14:textId="77777777"/>
          <w:p w:rsidR="00264F1B" w:rsidP="005B1D15" w14:paraId="4F0EC781" w14:textId="77777777">
            <w:r>
              <w:t>Attorney Examiners:</w:t>
            </w:r>
          </w:p>
          <w:p w:rsidR="00264F1B" w:rsidP="005B1D15" w14:paraId="05088193" w14:textId="77777777"/>
          <w:p w:rsidR="00264F1B" w:rsidP="005B1D15" w14:paraId="325F927C" w14:textId="4EB5E734">
            <w:pPr>
              <w:rPr>
                <w:rStyle w:val="Hyperlink"/>
              </w:rPr>
            </w:pPr>
            <w:hyperlink r:id="rId21" w:history="1">
              <w:r w:rsidRPr="0054088F" w:rsidR="004E6458">
                <w:rPr>
                  <w:rStyle w:val="Hyperlink"/>
                </w:rPr>
                <w:t>Anna.Sanyal@puco.ohio.gov</w:t>
              </w:r>
            </w:hyperlink>
          </w:p>
          <w:p w:rsidR="004178EE" w:rsidRPr="004178EE" w:rsidP="004178EE" w14:paraId="0A18D9D4" w14:textId="77777777">
            <w:pPr>
              <w:adjustRightInd w:val="0"/>
              <w:spacing w:line="259" w:lineRule="auto"/>
              <w:rPr>
                <w:color w:val="0000FF"/>
                <w:szCs w:val="24"/>
                <w:u w:val="single"/>
              </w:rPr>
            </w:pPr>
            <w:hyperlink r:id="rId22" w:history="1">
              <w:r w:rsidRPr="004178EE" w:rsidR="001B38A7">
                <w:rPr>
                  <w:color w:val="0000FF"/>
                  <w:szCs w:val="24"/>
                  <w:u w:val="single"/>
                </w:rPr>
                <w:t>gregory.price@puco.ohio.gov</w:t>
              </w:r>
            </w:hyperlink>
          </w:p>
          <w:p w:rsidR="00601D52" w:rsidP="005B1D15" w14:paraId="793A7D14" w14:textId="174D631C"/>
          <w:p w:rsidR="00264F1B" w:rsidP="005B1D15" w14:paraId="17836DB9" w14:textId="1675A3DF">
            <w:pPr>
              <w:spacing w:line="276" w:lineRule="auto"/>
            </w:pPr>
          </w:p>
        </w:tc>
        <w:tc>
          <w:tcPr>
            <w:tcW w:w="4428" w:type="dxa"/>
          </w:tcPr>
          <w:p w:rsidR="00264F1B" w:rsidP="005B1D15" w14:paraId="28152168" w14:textId="77777777">
            <w:pPr>
              <w:autoSpaceDE w:val="0"/>
              <w:autoSpaceDN w:val="0"/>
              <w:adjustRightInd w:val="0"/>
            </w:pPr>
            <w:r>
              <w:t>C. Alexis Keene</w:t>
            </w:r>
          </w:p>
          <w:p w:rsidR="00264F1B" w:rsidP="005B1D15" w14:paraId="4DAF6C65" w14:textId="77777777">
            <w:pPr>
              <w:autoSpaceDE w:val="0"/>
              <w:autoSpaceDN w:val="0"/>
              <w:adjustRightInd w:val="0"/>
            </w:pPr>
            <w:r>
              <w:t>Interim General Counsel and Corporate</w:t>
            </w:r>
          </w:p>
          <w:p w:rsidR="00264F1B" w:rsidP="005B1D15" w14:paraId="5DDE41D2" w14:textId="77777777">
            <w:pPr>
              <w:autoSpaceDE w:val="0"/>
              <w:autoSpaceDN w:val="0"/>
              <w:adjustRightInd w:val="0"/>
            </w:pPr>
            <w:r>
              <w:t>Secretary</w:t>
            </w:r>
          </w:p>
          <w:p w:rsidR="00264F1B" w:rsidP="005B1D15" w14:paraId="328FFB0B" w14:textId="77777777">
            <w:pPr>
              <w:autoSpaceDE w:val="0"/>
              <w:autoSpaceDN w:val="0"/>
              <w:adjustRightInd w:val="0"/>
            </w:pPr>
            <w:r>
              <w:t>Verde Energy USA Ohio, LLC</w:t>
            </w:r>
          </w:p>
          <w:p w:rsidR="00264F1B" w:rsidP="005B1D15" w14:paraId="589EA219" w14:textId="77777777">
            <w:pPr>
              <w:autoSpaceDE w:val="0"/>
              <w:autoSpaceDN w:val="0"/>
              <w:adjustRightInd w:val="0"/>
            </w:pPr>
            <w:r>
              <w:t>12140 Wickchester Ln., Suite 100</w:t>
            </w:r>
          </w:p>
          <w:p w:rsidR="00264F1B" w:rsidP="005B1D15" w14:paraId="58BD6F66" w14:textId="77777777">
            <w:pPr>
              <w:pStyle w:val="BodyText"/>
              <w:spacing w:line="240" w:lineRule="auto"/>
            </w:pPr>
            <w:r>
              <w:t>Houston, TX 77079</w:t>
            </w:r>
          </w:p>
          <w:p w:rsidR="00264F1B" w:rsidP="005B1D15" w14:paraId="76677F7B" w14:textId="77777777">
            <w:pPr>
              <w:rPr>
                <w:rStyle w:val="Hyperlink"/>
                <w:bCs/>
              </w:rPr>
            </w:pPr>
            <w:hyperlink r:id="rId23" w:history="1">
              <w:r w:rsidR="001B38A7">
                <w:rPr>
                  <w:rStyle w:val="Hyperlink"/>
                  <w:bCs/>
                </w:rPr>
                <w:t>akeene@sparkenergy.com</w:t>
              </w:r>
            </w:hyperlink>
          </w:p>
          <w:p w:rsidR="00264F1B" w:rsidP="005B1D15" w14:paraId="7B92934E" w14:textId="77777777">
            <w:pPr>
              <w:rPr>
                <w:rStyle w:val="Hyperlink"/>
                <w:bCs/>
              </w:rPr>
            </w:pPr>
          </w:p>
          <w:p w:rsidR="00264F1B" w:rsidP="005B1D15" w14:paraId="412A20D4" w14:textId="77777777">
            <w:pPr>
              <w:autoSpaceDE w:val="0"/>
              <w:autoSpaceDN w:val="0"/>
              <w:adjustRightInd w:val="0"/>
            </w:pPr>
            <w:r>
              <w:t>Karen White</w:t>
            </w:r>
          </w:p>
          <w:p w:rsidR="00264F1B" w:rsidP="005B1D15" w14:paraId="083A4AD9" w14:textId="77777777">
            <w:pPr>
              <w:autoSpaceDE w:val="0"/>
              <w:autoSpaceDN w:val="0"/>
              <w:adjustRightInd w:val="0"/>
            </w:pPr>
            <w:r>
              <w:t>Verde Energy USA Ohio, LLC</w:t>
            </w:r>
          </w:p>
          <w:p w:rsidR="00264F1B" w:rsidP="005B1D15" w14:paraId="3F56148A" w14:textId="77777777">
            <w:pPr>
              <w:autoSpaceDE w:val="0"/>
              <w:autoSpaceDN w:val="0"/>
              <w:adjustRightInd w:val="0"/>
            </w:pPr>
            <w:r>
              <w:t>12140 Wickchester Ln., Suite 100</w:t>
            </w:r>
          </w:p>
          <w:p w:rsidR="00264F1B" w:rsidP="005B1D15" w14:paraId="645EC454" w14:textId="77777777">
            <w:pPr>
              <w:pStyle w:val="BodyText"/>
              <w:spacing w:line="240" w:lineRule="auto"/>
            </w:pPr>
            <w:r>
              <w:t>Houston, TX 77079</w:t>
            </w:r>
          </w:p>
          <w:p w:rsidR="00264F1B" w:rsidP="005B1D15" w14:paraId="229EAE52" w14:textId="77777777">
            <w:pPr>
              <w:rPr>
                <w:bCs/>
              </w:rPr>
            </w:pPr>
            <w:hyperlink r:id="rId24" w:history="1">
              <w:r w:rsidR="001B38A7">
                <w:rPr>
                  <w:rStyle w:val="Hyperlink"/>
                </w:rPr>
                <w:t>kwhite@sparkenergy.com</w:t>
              </w:r>
            </w:hyperlink>
            <w:r w:rsidR="001B38A7">
              <w:t xml:space="preserve"> </w:t>
            </w:r>
          </w:p>
        </w:tc>
      </w:tr>
    </w:tbl>
    <w:p w:rsidR="00264F1B" w:rsidRPr="00E31CBD" w:rsidP="00264F1B" w14:paraId="5534CAC8" w14:textId="77777777">
      <w:pPr>
        <w:pStyle w:val="CommentText"/>
        <w:jc w:val="center"/>
        <w:rPr>
          <w:b/>
          <w:bCs/>
          <w:sz w:val="24"/>
          <w:szCs w:val="24"/>
          <w:u w:val="single"/>
        </w:rPr>
      </w:pPr>
    </w:p>
    <w:p w:rsidR="00657989" w:rsidRPr="00897B67" w:rsidP="00897B67" w14:paraId="65543458" w14:textId="3C4D6E61">
      <w:pPr>
        <w:spacing w:line="480" w:lineRule="auto"/>
        <w:ind w:left="360"/>
        <w:rPr>
          <w:szCs w:val="24"/>
        </w:rPr>
      </w:pPr>
      <w:r>
        <w:rPr>
          <w:szCs w:val="24"/>
        </w:rPr>
        <w:t xml:space="preserve"> </w:t>
      </w:r>
    </w:p>
    <w:sectPr w:rsidSect="00D767A3">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9430940"/>
      <w:docPartObj>
        <w:docPartGallery w:val="Page Numbers (Bottom of Page)"/>
        <w:docPartUnique/>
      </w:docPartObj>
    </w:sdtPr>
    <w:sdtEndPr>
      <w:rPr>
        <w:noProof/>
      </w:rPr>
    </w:sdtEndPr>
    <w:sdtContent>
      <w:p w:rsidR="00930DDA" w14:paraId="247A58F1" w14:textId="5B946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20430"/>
      <w:docPartObj>
        <w:docPartGallery w:val="Page Numbers (Bottom of Page)"/>
        <w:docPartUnique/>
      </w:docPartObj>
    </w:sdtPr>
    <w:sdtEndPr>
      <w:rPr>
        <w:noProof/>
      </w:rPr>
    </w:sdtEndPr>
    <w:sdtContent>
      <w:p w:rsidR="00930DDA" w14:paraId="6F401BED" w14:textId="019D2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DDA" w14:paraId="731C317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DDA" w14:paraId="57D090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73B" w:rsidP="00BE0020" w14:paraId="046709C7" w14:textId="77777777">
      <w:r>
        <w:separator/>
      </w:r>
    </w:p>
  </w:footnote>
  <w:footnote w:type="continuationSeparator" w:id="1">
    <w:p w:rsidR="0057673B" w:rsidP="00BE0020" w14:paraId="0861282C" w14:textId="77777777">
      <w:r>
        <w:continuationSeparator/>
      </w:r>
    </w:p>
  </w:footnote>
  <w:footnote w:id="2">
    <w:p w:rsidR="00821D4B" w:rsidRPr="00C108BD" w:rsidP="00821D4B" w14:paraId="1FC174BE" w14:textId="75B88FF9">
      <w:pPr>
        <w:pStyle w:val="FootnoteText"/>
      </w:pPr>
      <w:r>
        <w:rPr>
          <w:rStyle w:val="FootnoteReference"/>
        </w:rPr>
        <w:footnoteRef/>
      </w:r>
      <w:r>
        <w:t xml:space="preserve"> </w:t>
      </w:r>
      <w:r>
        <w:rPr>
          <w:i/>
        </w:rPr>
        <w:t>See Memorandum Contra Verde Energy</w:t>
      </w:r>
      <w:r w:rsidR="00C6353A">
        <w:rPr>
          <w:i/>
        </w:rPr>
        <w:t>’</w:t>
      </w:r>
      <w:r>
        <w:rPr>
          <w:i/>
        </w:rPr>
        <w:t>s Motion for an Order to Protect it from OCC</w:t>
      </w:r>
      <w:r w:rsidR="00C6353A">
        <w:rPr>
          <w:i/>
        </w:rPr>
        <w:t>’</w:t>
      </w:r>
      <w:r>
        <w:rPr>
          <w:i/>
        </w:rPr>
        <w:t>s Discovery</w:t>
      </w:r>
      <w:r>
        <w:t>, September 25, 2019 (“OCC Memo Contra”).</w:t>
      </w:r>
      <w:r w:rsidR="002A7C92">
        <w:t xml:space="preserve"> </w:t>
      </w:r>
      <w:r>
        <w:t>The arguments in OCC</w:t>
      </w:r>
      <w:r w:rsidR="00C6353A">
        <w:t>’</w:t>
      </w:r>
      <w:r>
        <w:t>s Memo Contra are incorporated fully herein by reference.</w:t>
      </w:r>
    </w:p>
  </w:footnote>
  <w:footnote w:id="3">
    <w:p w:rsidR="00821D4B" w:rsidRPr="005F3C4A" w:rsidP="00821D4B" w14:paraId="5BA863E7" w14:textId="3EDA5DEB">
      <w:pPr>
        <w:pStyle w:val="FootnoteText"/>
      </w:pPr>
      <w:r>
        <w:rPr>
          <w:rStyle w:val="FootnoteReference"/>
        </w:rPr>
        <w:footnoteRef/>
      </w:r>
      <w:r>
        <w:t xml:space="preserve"> </w:t>
      </w:r>
      <w:r>
        <w:rPr>
          <w:i/>
        </w:rPr>
        <w:t>See Motion to Compel Responses to Discovery by the Office of the Ohio Consumers</w:t>
      </w:r>
      <w:r w:rsidR="00C6353A">
        <w:rPr>
          <w:i/>
        </w:rPr>
        <w:t>’</w:t>
      </w:r>
      <w:r>
        <w:rPr>
          <w:i/>
        </w:rPr>
        <w:t xml:space="preserve"> Counsel</w:t>
      </w:r>
      <w:r>
        <w:t>, September 27, 2019 (“OCC Motion to Compel”). The arguments in OCC</w:t>
      </w:r>
      <w:r w:rsidR="00C6353A">
        <w:t>’</w:t>
      </w:r>
      <w:r>
        <w:t>s Motion to Compel are incorporated fully herein by reference.</w:t>
      </w:r>
    </w:p>
  </w:footnote>
  <w:footnote w:id="4">
    <w:p w:rsidR="005626D6" w:rsidP="005626D6" w14:paraId="1831212D" w14:textId="1271ECAE">
      <w:pPr>
        <w:pStyle w:val="FootnoteText"/>
      </w:pPr>
      <w:r>
        <w:rPr>
          <w:rStyle w:val="FootnoteReference"/>
        </w:rPr>
        <w:footnoteRef/>
      </w:r>
      <w:r>
        <w:t xml:space="preserve"> Although federal case law is not binding upon the PUCO with regard to interpreting the Ohio Civil Rules of Practice (upon which the PUCO discovery rules are based), it is instructive where, as here, Ohio</w:t>
      </w:r>
      <w:r w:rsidR="00C6353A">
        <w:t>’</w:t>
      </w:r>
      <w:r>
        <w:t xml:space="preserve">s rule is similar to the federal rules. Ohio Admin. Code 4901-1-24 allows a protective order to limit discovery to protect against “undue burden and expense.” C.R.26(c) similarly allows a protective order to limit discovery to protect against “undue burden and expense.” </w:t>
      </w:r>
      <w:r w:rsidRPr="00855534">
        <w:rPr>
          <w:i/>
        </w:rPr>
        <w:t>Cf.</w:t>
      </w:r>
      <w:r>
        <w:t xml:space="preserve"> </w:t>
      </w:r>
      <w:r w:rsidRPr="00960971">
        <w:rPr>
          <w:i/>
        </w:rPr>
        <w:t>In the Matter of the Investigation into Perry Nuclear Power Station</w:t>
      </w:r>
      <w:r>
        <w:t>, Case No. 85-521-EL-COI, Entry at 14-15 (March 17, 1987), where the Commission opined that a motion for protective order on discovery must be “specific and detailed as to the reasons why providing the responses to matters…will be unduly burdensome.”</w:t>
      </w:r>
      <w:r w:rsidR="00C6353A">
        <w:t xml:space="preserve"> </w:t>
      </w:r>
    </w:p>
  </w:footnote>
  <w:footnote w:id="5">
    <w:p w:rsidR="005626D6" w:rsidP="005626D6" w14:paraId="2FD273FF" w14:textId="77777777">
      <w:pPr>
        <w:pStyle w:val="FootnoteText"/>
      </w:pPr>
      <w:r>
        <w:rPr>
          <w:rStyle w:val="FootnoteReference"/>
        </w:rPr>
        <w:footnoteRef/>
      </w:r>
      <w:r>
        <w:t xml:space="preserve"> </w:t>
      </w:r>
      <w:r w:rsidRPr="008F5C9E">
        <w:rPr>
          <w:i/>
        </w:rPr>
        <w:t>Trabon Engineering Corp. v. Eaton Manufacturing Co</w:t>
      </w:r>
      <w:r>
        <w:t xml:space="preserve">. (N.D. Ohio 1964), 37 F.R.D. 51, 54. </w:t>
      </w:r>
    </w:p>
  </w:footnote>
  <w:footnote w:id="6">
    <w:p w:rsidR="005626D6" w:rsidP="005626D6" w14:paraId="37B8BD67" w14:textId="4D2D2FC0">
      <w:pPr>
        <w:pStyle w:val="FootnoteText"/>
      </w:pPr>
      <w:r>
        <w:rPr>
          <w:rStyle w:val="FootnoteReference"/>
        </w:rPr>
        <w:footnoteRef/>
      </w:r>
      <w:r>
        <w:t xml:space="preserve"> </w:t>
      </w:r>
      <w:r w:rsidRPr="008F5C9E">
        <w:rPr>
          <w:i/>
        </w:rPr>
        <w:t>Roesberg v. Johns-Manville</w:t>
      </w:r>
      <w:r>
        <w:rPr>
          <w:i/>
        </w:rPr>
        <w:t xml:space="preserve"> </w:t>
      </w:r>
      <w:r>
        <w:t xml:space="preserve">(D.Pa 1980), 85 F.R.D. 292, 297. </w:t>
      </w:r>
    </w:p>
  </w:footnote>
  <w:footnote w:id="7">
    <w:p w:rsidR="005626D6" w:rsidP="005626D6" w14:paraId="4546E1FF" w14:textId="77777777">
      <w:pPr>
        <w:pStyle w:val="FootnoteText"/>
      </w:pPr>
      <w:r>
        <w:rPr>
          <w:rStyle w:val="FootnoteReference"/>
        </w:rPr>
        <w:footnoteRef/>
      </w:r>
      <w:r>
        <w:t xml:space="preserve"> </w:t>
      </w:r>
      <w:r w:rsidRPr="009D066B">
        <w:rPr>
          <w:i/>
        </w:rPr>
        <w:t>Id.</w:t>
      </w:r>
      <w:r>
        <w:t xml:space="preserve">, citing </w:t>
      </w:r>
      <w:r w:rsidRPr="00FF74B3">
        <w:rPr>
          <w:i/>
        </w:rPr>
        <w:t>In re Folding Carton Anti-Trust Litigation</w:t>
      </w:r>
      <w:r>
        <w:rPr>
          <w:i/>
        </w:rPr>
        <w:t xml:space="preserve"> </w:t>
      </w:r>
      <w:r>
        <w:t xml:space="preserve">(N.D. Ill. 1978), 83 F.R.D. 251, 264. </w:t>
      </w:r>
    </w:p>
  </w:footnote>
  <w:footnote w:id="8">
    <w:p w:rsidR="005626D6" w:rsidP="005626D6" w14:paraId="4B58DBB6" w14:textId="77777777">
      <w:pPr>
        <w:pStyle w:val="FootnoteText"/>
      </w:pPr>
      <w:r>
        <w:rPr>
          <w:rStyle w:val="FootnoteReference"/>
        </w:rPr>
        <w:footnoteRef/>
      </w:r>
      <w:r>
        <w:t xml:space="preserve"> </w:t>
      </w:r>
      <w:r w:rsidRPr="00FF74B3">
        <w:rPr>
          <w:i/>
        </w:rPr>
        <w:t>Gulf Oil Corp. v. Schlesinger</w:t>
      </w:r>
      <w:r>
        <w:rPr>
          <w:i/>
        </w:rPr>
        <w:t xml:space="preserve"> </w:t>
      </w:r>
      <w:r>
        <w:t>(E.D.Pa. 1979), 465 F.Supp. 913, 916-917.</w:t>
      </w:r>
    </w:p>
  </w:footnote>
  <w:footnote w:id="9">
    <w:p w:rsidR="00930DDA" w:rsidP="00CB2BE8" w14:paraId="709318B9" w14:textId="72440EA4">
      <w:pPr>
        <w:pStyle w:val="FootnoteText"/>
      </w:pPr>
      <w:r>
        <w:rPr>
          <w:rStyle w:val="FootnoteReference"/>
        </w:rPr>
        <w:footnoteRef/>
      </w:r>
      <w:r>
        <w:t xml:space="preserve"> PUCO Entry (April 17, 2019) at ¶ 7; </w:t>
      </w:r>
      <w:r w:rsidRPr="00DF03FF">
        <w:rPr>
          <w:i/>
          <w:iCs/>
        </w:rPr>
        <w:t>In re Verde Energy USA Ohio, LLC</w:t>
      </w:r>
      <w:r>
        <w:t>, Case No. 13-2164-GA-CRS, Staff Letter (April 16, 2019).</w:t>
      </w:r>
    </w:p>
  </w:footnote>
  <w:footnote w:id="10">
    <w:p w:rsidR="00930DDA" w14:paraId="738D8DA5" w14:textId="280C3EEF">
      <w:pPr>
        <w:pStyle w:val="FootnoteText"/>
      </w:pPr>
      <w:r>
        <w:rPr>
          <w:rStyle w:val="FootnoteReference"/>
        </w:rPr>
        <w:footnoteRef/>
      </w:r>
      <w:r>
        <w:t xml:space="preserve"> </w:t>
      </w:r>
      <w:r w:rsidRPr="00DF03FF">
        <w:rPr>
          <w:i/>
          <w:iCs/>
        </w:rPr>
        <w:t>Id</w:t>
      </w:r>
      <w:r>
        <w:t>.</w:t>
      </w:r>
    </w:p>
  </w:footnote>
  <w:footnote w:id="11">
    <w:p w:rsidR="00930DDA" w14:paraId="6F8D1CCB" w14:textId="09159134">
      <w:pPr>
        <w:pStyle w:val="FootnoteText"/>
      </w:pPr>
      <w:r>
        <w:rPr>
          <w:rStyle w:val="FootnoteReference"/>
        </w:rPr>
        <w:footnoteRef/>
      </w:r>
      <w:r>
        <w:t xml:space="preserve"> </w:t>
      </w:r>
      <w:r w:rsidRPr="00DF03FF">
        <w:rPr>
          <w:i/>
          <w:iCs/>
        </w:rPr>
        <w:t>Id</w:t>
      </w:r>
      <w:r>
        <w:t>.</w:t>
      </w:r>
    </w:p>
  </w:footnote>
  <w:footnote w:id="12">
    <w:p w:rsidR="00930DDA" w:rsidP="00CB2BE8" w14:paraId="7523A1D9" w14:textId="77777777">
      <w:pPr>
        <w:pStyle w:val="FootnoteText"/>
      </w:pPr>
      <w:r>
        <w:rPr>
          <w:rStyle w:val="FootnoteReference"/>
        </w:rPr>
        <w:footnoteRef/>
      </w:r>
      <w:r>
        <w:t xml:space="preserve"> Staff Report, at pp. 5-13.</w:t>
      </w:r>
    </w:p>
  </w:footnote>
  <w:footnote w:id="13">
    <w:p w:rsidR="00930DDA" w:rsidRPr="00711BAE" w:rsidP="00CB2BE8" w14:paraId="7304FA64" w14:textId="77777777">
      <w:pPr>
        <w:pStyle w:val="FootnoteText"/>
      </w:pPr>
      <w:r>
        <w:rPr>
          <w:rStyle w:val="FootnoteReference"/>
        </w:rPr>
        <w:footnoteRef/>
      </w:r>
      <w:r>
        <w:t xml:space="preserve"> </w:t>
      </w:r>
      <w:r>
        <w:rPr>
          <w:i/>
        </w:rPr>
        <w:t>Id.</w:t>
      </w:r>
      <w:r>
        <w:t xml:space="preserve"> at pp. 13-15.</w:t>
      </w:r>
    </w:p>
  </w:footnote>
  <w:footnote w:id="14">
    <w:p w:rsidR="00930DDA" w:rsidP="00CB2BE8" w14:paraId="2106B236" w14:textId="77777777">
      <w:pPr>
        <w:pStyle w:val="FootnoteText"/>
      </w:pPr>
      <w:r>
        <w:rPr>
          <w:rStyle w:val="FootnoteReference"/>
        </w:rPr>
        <w:footnoteRef/>
      </w:r>
      <w:r>
        <w:t xml:space="preserve"> </w:t>
      </w:r>
      <w:r>
        <w:rPr>
          <w:i/>
        </w:rPr>
        <w:t>Id.</w:t>
      </w:r>
      <w:r>
        <w:t xml:space="preserve"> at pp. 15-17.</w:t>
      </w:r>
    </w:p>
  </w:footnote>
  <w:footnote w:id="15">
    <w:p w:rsidR="00930DDA" w:rsidP="00CB2BE8" w14:paraId="18EF7A0A" w14:textId="77777777">
      <w:pPr>
        <w:pStyle w:val="FootnoteText"/>
      </w:pPr>
      <w:r>
        <w:rPr>
          <w:rStyle w:val="FootnoteReference"/>
        </w:rPr>
        <w:footnoteRef/>
      </w:r>
      <w:r>
        <w:t xml:space="preserve"> </w:t>
      </w:r>
      <w:r>
        <w:rPr>
          <w:i/>
        </w:rPr>
        <w:t>Id.</w:t>
      </w:r>
      <w:r>
        <w:t xml:space="preserve"> at pp. 17-21.</w:t>
      </w:r>
    </w:p>
  </w:footnote>
  <w:footnote w:id="16">
    <w:p w:rsidR="00930DDA" w:rsidP="00CB2BE8" w14:paraId="3629A2DB" w14:textId="77777777">
      <w:pPr>
        <w:pStyle w:val="FootnoteText"/>
      </w:pPr>
      <w:r>
        <w:rPr>
          <w:rStyle w:val="FootnoteReference"/>
        </w:rPr>
        <w:footnoteRef/>
      </w:r>
      <w:r>
        <w:t xml:space="preserve"> </w:t>
      </w:r>
      <w:r>
        <w:rPr>
          <w:i/>
        </w:rPr>
        <w:t>Id.</w:t>
      </w:r>
      <w:r>
        <w:t xml:space="preserve"> at pp. 22-24.</w:t>
      </w:r>
    </w:p>
  </w:footnote>
  <w:footnote w:id="17">
    <w:p w:rsidR="00381763" w:rsidP="00381763" w14:paraId="0C654A8E" w14:textId="0CE114F4">
      <w:pPr>
        <w:pStyle w:val="FootnoteText"/>
      </w:pPr>
      <w:r>
        <w:rPr>
          <w:rStyle w:val="FootnoteReference"/>
        </w:rPr>
        <w:footnoteRef/>
      </w:r>
      <w:r>
        <w:rPr>
          <w:i/>
        </w:rPr>
        <w:t>See e.g.</w:t>
      </w:r>
      <w:r>
        <w:t xml:space="preserve"> Verde</w:t>
      </w:r>
      <w:r w:rsidR="00367B48">
        <w:t xml:space="preserve"> First</w:t>
      </w:r>
      <w:r>
        <w:t xml:space="preserve"> Motion</w:t>
      </w:r>
      <w:r w:rsidR="00367B48">
        <w:t xml:space="preserve"> for Protective Order</w:t>
      </w:r>
      <w:r>
        <w:t xml:space="preserve"> </w:t>
      </w:r>
      <w:r w:rsidR="00367B48">
        <w:t>(Sept</w:t>
      </w:r>
      <w:r>
        <w:t>ember</w:t>
      </w:r>
      <w:r w:rsidR="00367B48">
        <w:t xml:space="preserve"> 19, 2019) </w:t>
      </w:r>
      <w:r>
        <w:t>at 2-3</w:t>
      </w:r>
      <w:r w:rsidR="00367B48">
        <w:t>; Verde Second Motion for Protective Order (Sept</w:t>
      </w:r>
      <w:r>
        <w:t>ember</w:t>
      </w:r>
      <w:r w:rsidR="00367B48">
        <w:t xml:space="preserve"> 30, 2019)</w:t>
      </w:r>
      <w:r w:rsidR="008970B0">
        <w:t>.</w:t>
      </w:r>
      <w:r>
        <w:t xml:space="preserve"> </w:t>
      </w:r>
    </w:p>
  </w:footnote>
  <w:footnote w:id="18">
    <w:p w:rsidR="00821D4B" w14:paraId="752585DC" w14:textId="0E8ABC31">
      <w:pPr>
        <w:pStyle w:val="FootnoteText"/>
      </w:pPr>
      <w:r>
        <w:rPr>
          <w:rStyle w:val="FootnoteReference"/>
        </w:rPr>
        <w:footnoteRef/>
      </w:r>
      <w:r>
        <w:t xml:space="preserve"> Verde is a wholly owned subsidiary of Spark Holdco, LLC, which in turn is the parent company of multiple competitive retail energy suppliers operating in states throughout the U.S. These companies are referred to herein as “Spark companies”.</w:t>
      </w:r>
    </w:p>
  </w:footnote>
  <w:footnote w:id="19">
    <w:p w:rsidR="00930DDA" w14:paraId="39C1E931" w14:textId="482ACCE2">
      <w:pPr>
        <w:pStyle w:val="FootnoteText"/>
      </w:pPr>
      <w:r>
        <w:rPr>
          <w:rStyle w:val="FootnoteReference"/>
        </w:rPr>
        <w:footnoteRef/>
      </w:r>
      <w:r>
        <w:t xml:space="preserve"> </w:t>
      </w:r>
      <w:r w:rsidRPr="00D34269">
        <w:rPr>
          <w:i/>
          <w:iCs/>
        </w:rPr>
        <w:t>In re Application of Columbia Gas of Ohio</w:t>
      </w:r>
      <w:r>
        <w:t>, Case No. 16-1309-GA-UNC.</w:t>
      </w:r>
    </w:p>
  </w:footnote>
  <w:footnote w:id="20">
    <w:p w:rsidR="00930DDA" w14:paraId="371C8796" w14:textId="7A0D86DC">
      <w:pPr>
        <w:pStyle w:val="FootnoteText"/>
      </w:pPr>
      <w:r>
        <w:rPr>
          <w:rStyle w:val="FootnoteReference"/>
        </w:rPr>
        <w:footnoteRef/>
      </w:r>
      <w:r>
        <w:t xml:space="preserve"> </w:t>
      </w:r>
      <w:r w:rsidRPr="00D34269">
        <w:rPr>
          <w:i/>
          <w:iCs/>
        </w:rPr>
        <w:t>Id.</w:t>
      </w:r>
      <w:r>
        <w:t>, Stipulation (Aug</w:t>
      </w:r>
      <w:r w:rsidR="00B55399">
        <w:t>ust</w:t>
      </w:r>
      <w:r>
        <w:t xml:space="preserve"> 12, 2016).</w:t>
      </w:r>
    </w:p>
  </w:footnote>
  <w:footnote w:id="21">
    <w:p w:rsidR="00930DDA" w14:paraId="34005372" w14:textId="4318FD21">
      <w:pPr>
        <w:pStyle w:val="FootnoteText"/>
      </w:pPr>
      <w:r>
        <w:rPr>
          <w:rStyle w:val="FootnoteReference"/>
        </w:rPr>
        <w:footnoteRef/>
      </w:r>
      <w:r>
        <w:t xml:space="preserve"> </w:t>
      </w:r>
      <w:r w:rsidRPr="00D34269">
        <w:rPr>
          <w:i/>
          <w:iCs/>
        </w:rPr>
        <w:t>In re Columbia Gas of Ohio</w:t>
      </w:r>
      <w:r>
        <w:t>, Case No. 16-1309-GA-UNC.</w:t>
      </w:r>
    </w:p>
  </w:footnote>
  <w:footnote w:id="22">
    <w:p w:rsidR="00930DDA" w14:paraId="61985E3F" w14:textId="2B8BEA64">
      <w:pPr>
        <w:pStyle w:val="FootnoteText"/>
      </w:pPr>
      <w:r>
        <w:rPr>
          <w:rStyle w:val="FootnoteReference"/>
        </w:rPr>
        <w:footnoteRef/>
      </w:r>
      <w:r>
        <w:t xml:space="preserve"> </w:t>
      </w:r>
      <w:r w:rsidRPr="00D34269">
        <w:rPr>
          <w:i/>
          <w:iCs/>
        </w:rPr>
        <w:t>In re Ohio Edison Company, The Cleveland Electric Illuminating Company, and The Toledo Edison Company</w:t>
      </w:r>
      <w:r>
        <w:t>, Case No. 16-743-EL-RDR.</w:t>
      </w:r>
    </w:p>
  </w:footnote>
  <w:footnote w:id="23">
    <w:p w:rsidR="00930DDA" w14:paraId="45FE60FE" w14:textId="357BF9AD">
      <w:pPr>
        <w:pStyle w:val="FootnoteText"/>
      </w:pPr>
      <w:r>
        <w:rPr>
          <w:rStyle w:val="FootnoteReference"/>
        </w:rPr>
        <w:footnoteRef/>
      </w:r>
      <w:r>
        <w:t xml:space="preserve"> </w:t>
      </w:r>
      <w:r w:rsidRPr="008C2A5B">
        <w:rPr>
          <w:i/>
          <w:iCs/>
        </w:rPr>
        <w:t>Id</w:t>
      </w:r>
      <w:r>
        <w:t>., Stipulation (Dec</w:t>
      </w:r>
      <w:r w:rsidR="00B55399">
        <w:t>ember</w:t>
      </w:r>
      <w:r>
        <w:t xml:space="preserve"> 9, 2016).</w:t>
      </w:r>
    </w:p>
  </w:footnote>
  <w:footnote w:id="24">
    <w:p w:rsidR="00930DDA" w14:paraId="11B3DAC9" w14:textId="45888591">
      <w:pPr>
        <w:pStyle w:val="FootnoteText"/>
      </w:pPr>
      <w:r>
        <w:rPr>
          <w:rStyle w:val="FootnoteReference"/>
        </w:rPr>
        <w:footnoteRef/>
      </w:r>
      <w:r>
        <w:t xml:space="preserve"> </w:t>
      </w:r>
      <w:r w:rsidRPr="00D34269">
        <w:rPr>
          <w:i/>
          <w:iCs/>
        </w:rPr>
        <w:t>In re Suburban Natural Gas Co</w:t>
      </w:r>
      <w:r>
        <w:t xml:space="preserve">., Case No. 18-1205-GA-AIR. </w:t>
      </w:r>
    </w:p>
  </w:footnote>
  <w:footnote w:id="25">
    <w:p w:rsidR="00930DDA" w:rsidRPr="00D34269" w14:paraId="4A8981F9" w14:textId="3A4F8955">
      <w:pPr>
        <w:pStyle w:val="FootnoteText"/>
      </w:pPr>
      <w:r>
        <w:rPr>
          <w:rStyle w:val="FootnoteReference"/>
        </w:rPr>
        <w:footnoteRef/>
      </w:r>
      <w:r>
        <w:t xml:space="preserve"> </w:t>
      </w:r>
      <w:r w:rsidRPr="008C2A5B">
        <w:rPr>
          <w:i/>
          <w:iCs/>
        </w:rPr>
        <w:t>Id.</w:t>
      </w:r>
      <w:r>
        <w:rPr>
          <w:i/>
          <w:iCs/>
        </w:rPr>
        <w:t xml:space="preserve">, </w:t>
      </w:r>
      <w:r>
        <w:t>Stipulation (May 23, 2019).</w:t>
      </w:r>
    </w:p>
  </w:footnote>
  <w:footnote w:id="26">
    <w:p w:rsidR="00AC75E1" w14:paraId="19FAB3B1" w14:textId="68D3B733">
      <w:pPr>
        <w:pStyle w:val="FootnoteText"/>
      </w:pPr>
      <w:r>
        <w:rPr>
          <w:rStyle w:val="FootnoteReference"/>
        </w:rPr>
        <w:footnoteRef/>
      </w:r>
      <w:r>
        <w:t xml:space="preserve"> </w:t>
      </w:r>
      <w:r w:rsidRPr="00AC75E1">
        <w:rPr>
          <w:i/>
          <w:iCs/>
        </w:rPr>
        <w:t>In re Ormet Primary Aluminum Corporation</w:t>
      </w:r>
      <w:r>
        <w:t>, Case No. 09-119-EL-AEC.</w:t>
      </w:r>
    </w:p>
  </w:footnote>
  <w:footnote w:id="27">
    <w:p w:rsidR="00821D4B" w:rsidP="00821D4B" w14:paraId="107C0634" w14:textId="77777777">
      <w:pPr>
        <w:pStyle w:val="FootnoteText"/>
      </w:pPr>
      <w:r>
        <w:rPr>
          <w:rStyle w:val="FootnoteReference"/>
        </w:rPr>
        <w:footnoteRef/>
      </w:r>
      <w:r>
        <w:t xml:space="preserve"> Verde Second Motion for Protection at 5.</w:t>
      </w:r>
    </w:p>
  </w:footnote>
  <w:footnote w:id="28">
    <w:p w:rsidR="00930DDA" w14:paraId="619890C2" w14:textId="63721591">
      <w:pPr>
        <w:pStyle w:val="FootnoteText"/>
      </w:pPr>
      <w:r>
        <w:rPr>
          <w:rStyle w:val="FootnoteReference"/>
        </w:rPr>
        <w:footnoteRef/>
      </w:r>
      <w:r>
        <w:t xml:space="preserve"> </w:t>
      </w:r>
      <w:r>
        <w:rPr>
          <w:i/>
        </w:rPr>
        <w:t>See</w:t>
      </w:r>
      <w:r>
        <w:t xml:space="preserve"> Verde Motion</w:t>
      </w:r>
      <w:r w:rsidR="00F86339">
        <w:t xml:space="preserve"> First Motion for Protective Order</w:t>
      </w:r>
      <w:r w:rsidR="00821D4B">
        <w:t xml:space="preserve"> at </w:t>
      </w:r>
      <w:r w:rsidR="00F86339">
        <w:t>2, 4; See also Verde</w:t>
      </w:r>
      <w:r w:rsidR="00C6353A">
        <w:t>’</w:t>
      </w:r>
      <w:r w:rsidR="00F86339">
        <w:t>s Second Motion for Protective Order.</w:t>
      </w:r>
      <w:r>
        <w:t xml:space="preserve"> </w:t>
      </w:r>
    </w:p>
  </w:footnote>
  <w:footnote w:id="29">
    <w:p w:rsidR="00930DDA" w:rsidRPr="00B351A2" w14:paraId="4C37E4E3" w14:textId="3E9EBC49">
      <w:pPr>
        <w:pStyle w:val="FootnoteText"/>
      </w:pPr>
      <w:r>
        <w:rPr>
          <w:rStyle w:val="FootnoteReference"/>
        </w:rPr>
        <w:footnoteRef/>
      </w:r>
      <w:r>
        <w:t xml:space="preserve"> </w:t>
      </w:r>
      <w:r>
        <w:rPr>
          <w:i/>
        </w:rPr>
        <w:t>See e.g.</w:t>
      </w:r>
      <w:r>
        <w:t xml:space="preserve"> Verde </w:t>
      </w:r>
      <w:r w:rsidR="00ED1259">
        <w:t xml:space="preserve">First </w:t>
      </w:r>
      <w:r>
        <w:t>Motion</w:t>
      </w:r>
      <w:r w:rsidR="00ED1259">
        <w:t xml:space="preserve"> for Protective Order</w:t>
      </w:r>
      <w:r>
        <w:t xml:space="preserve"> </w:t>
      </w:r>
      <w:r w:rsidR="00ED1259">
        <w:t>(Sept</w:t>
      </w:r>
      <w:r w:rsidR="00FB3B7F">
        <w:t>ember</w:t>
      </w:r>
      <w:r w:rsidR="00ED1259">
        <w:t xml:space="preserve"> 19, 2019) </w:t>
      </w:r>
      <w:r>
        <w:t>at 1-3</w:t>
      </w:r>
      <w:r w:rsidR="00ED1259">
        <w:t xml:space="preserve">, </w:t>
      </w:r>
      <w:r>
        <w:t xml:space="preserve">Memorandum </w:t>
      </w:r>
      <w:r w:rsidR="00ED1259">
        <w:t xml:space="preserve">in Support </w:t>
      </w:r>
      <w:r>
        <w:t>at 2-3</w:t>
      </w:r>
      <w:r w:rsidR="00ED1259">
        <w:t>; Verde Second Motion for Protective Order (Sept</w:t>
      </w:r>
      <w:r w:rsidR="00FB3B7F">
        <w:t>ember</w:t>
      </w:r>
      <w:r w:rsidR="00ED1259">
        <w:t xml:space="preserve"> 30, 2019) at 6-8</w:t>
      </w:r>
      <w:r>
        <w:t>.</w:t>
      </w:r>
    </w:p>
  </w:footnote>
  <w:footnote w:id="30">
    <w:p w:rsidR="00930DDA" w14:paraId="1754BCB9" w14:textId="3800F00F">
      <w:pPr>
        <w:pStyle w:val="FootnoteText"/>
      </w:pPr>
      <w:r>
        <w:rPr>
          <w:rStyle w:val="FootnoteReference"/>
        </w:rPr>
        <w:footnoteRef/>
      </w:r>
      <w:r>
        <w:t xml:space="preserve"> </w:t>
      </w:r>
      <w:r w:rsidRPr="0068743D" w:rsidR="0068743D">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DDA" w14:paraId="26D073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DDA" w14:paraId="6DA88B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DDA" w14:paraId="52E182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43149"/>
    <w:multiLevelType w:val="hybridMultilevel"/>
    <w:tmpl w:val="E5384E44"/>
    <w:lvl w:ilvl="0">
      <w:start w:val="1"/>
      <w:numFmt w:val="bullet"/>
      <w:lvlText w:val=""/>
      <w:lvlJc w:val="left"/>
      <w:pPr>
        <w:ind w:left="2099" w:hanging="360"/>
      </w:pPr>
      <w:rPr>
        <w:rFonts w:ascii="Symbol" w:hAnsi="Symbol" w:hint="default"/>
      </w:rPr>
    </w:lvl>
    <w:lvl w:ilvl="1" w:tentative="1">
      <w:start w:val="1"/>
      <w:numFmt w:val="bullet"/>
      <w:lvlText w:val="o"/>
      <w:lvlJc w:val="left"/>
      <w:pPr>
        <w:ind w:left="2819" w:hanging="360"/>
      </w:pPr>
      <w:rPr>
        <w:rFonts w:ascii="Courier New" w:hAnsi="Courier New" w:cs="Courier New" w:hint="default"/>
      </w:rPr>
    </w:lvl>
    <w:lvl w:ilvl="2" w:tentative="1">
      <w:start w:val="1"/>
      <w:numFmt w:val="bullet"/>
      <w:lvlText w:val=""/>
      <w:lvlJc w:val="left"/>
      <w:pPr>
        <w:ind w:left="3539" w:hanging="360"/>
      </w:pPr>
      <w:rPr>
        <w:rFonts w:ascii="Wingdings" w:hAnsi="Wingdings" w:hint="default"/>
      </w:rPr>
    </w:lvl>
    <w:lvl w:ilvl="3" w:tentative="1">
      <w:start w:val="1"/>
      <w:numFmt w:val="bullet"/>
      <w:lvlText w:val=""/>
      <w:lvlJc w:val="left"/>
      <w:pPr>
        <w:ind w:left="4259" w:hanging="360"/>
      </w:pPr>
      <w:rPr>
        <w:rFonts w:ascii="Symbol" w:hAnsi="Symbol" w:hint="default"/>
      </w:rPr>
    </w:lvl>
    <w:lvl w:ilvl="4" w:tentative="1">
      <w:start w:val="1"/>
      <w:numFmt w:val="bullet"/>
      <w:lvlText w:val="o"/>
      <w:lvlJc w:val="left"/>
      <w:pPr>
        <w:ind w:left="4979" w:hanging="360"/>
      </w:pPr>
      <w:rPr>
        <w:rFonts w:ascii="Courier New" w:hAnsi="Courier New" w:cs="Courier New" w:hint="default"/>
      </w:rPr>
    </w:lvl>
    <w:lvl w:ilvl="5" w:tentative="1">
      <w:start w:val="1"/>
      <w:numFmt w:val="bullet"/>
      <w:lvlText w:val=""/>
      <w:lvlJc w:val="left"/>
      <w:pPr>
        <w:ind w:left="5699" w:hanging="360"/>
      </w:pPr>
      <w:rPr>
        <w:rFonts w:ascii="Wingdings" w:hAnsi="Wingdings" w:hint="default"/>
      </w:rPr>
    </w:lvl>
    <w:lvl w:ilvl="6" w:tentative="1">
      <w:start w:val="1"/>
      <w:numFmt w:val="bullet"/>
      <w:lvlText w:val=""/>
      <w:lvlJc w:val="left"/>
      <w:pPr>
        <w:ind w:left="6419" w:hanging="360"/>
      </w:pPr>
      <w:rPr>
        <w:rFonts w:ascii="Symbol" w:hAnsi="Symbol" w:hint="default"/>
      </w:rPr>
    </w:lvl>
    <w:lvl w:ilvl="7" w:tentative="1">
      <w:start w:val="1"/>
      <w:numFmt w:val="bullet"/>
      <w:lvlText w:val="o"/>
      <w:lvlJc w:val="left"/>
      <w:pPr>
        <w:ind w:left="7139" w:hanging="360"/>
      </w:pPr>
      <w:rPr>
        <w:rFonts w:ascii="Courier New" w:hAnsi="Courier New" w:cs="Courier New" w:hint="default"/>
      </w:rPr>
    </w:lvl>
    <w:lvl w:ilvl="8" w:tentative="1">
      <w:start w:val="1"/>
      <w:numFmt w:val="bullet"/>
      <w:lvlText w:val=""/>
      <w:lvlJc w:val="left"/>
      <w:pPr>
        <w:ind w:left="7859" w:hanging="360"/>
      </w:pPr>
      <w:rPr>
        <w:rFonts w:ascii="Wingdings" w:hAnsi="Wingdings" w:hint="default"/>
      </w:rPr>
    </w:lvl>
  </w:abstractNum>
  <w:abstractNum w:abstractNumId="1">
    <w:nsid w:val="09761C1C"/>
    <w:multiLevelType w:val="hybridMultilevel"/>
    <w:tmpl w:val="FA5AF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970501"/>
    <w:multiLevelType w:val="hybridMultilevel"/>
    <w:tmpl w:val="E70EA42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3234A6D"/>
    <w:multiLevelType w:val="hybridMultilevel"/>
    <w:tmpl w:val="1A7416D6"/>
    <w:lvl w:ilvl="0">
      <w:start w:val="1"/>
      <w:numFmt w:val="bullet"/>
      <w:lvlText w:val=""/>
      <w:lvlJc w:val="left"/>
      <w:pPr>
        <w:ind w:left="1498" w:hanging="360"/>
      </w:pPr>
      <w:rPr>
        <w:rFonts w:ascii="Symbol" w:hAnsi="Symbol" w:hint="default"/>
      </w:rPr>
    </w:lvl>
    <w:lvl w:ilvl="1" w:tentative="1">
      <w:start w:val="1"/>
      <w:numFmt w:val="bullet"/>
      <w:lvlText w:val="o"/>
      <w:lvlJc w:val="left"/>
      <w:pPr>
        <w:ind w:left="2218" w:hanging="360"/>
      </w:pPr>
      <w:rPr>
        <w:rFonts w:ascii="Courier New" w:hAnsi="Courier New" w:cs="Courier New" w:hint="default"/>
      </w:rPr>
    </w:lvl>
    <w:lvl w:ilvl="2" w:tentative="1">
      <w:start w:val="1"/>
      <w:numFmt w:val="bullet"/>
      <w:lvlText w:val=""/>
      <w:lvlJc w:val="left"/>
      <w:pPr>
        <w:ind w:left="2938" w:hanging="360"/>
      </w:pPr>
      <w:rPr>
        <w:rFonts w:ascii="Wingdings" w:hAnsi="Wingdings" w:hint="default"/>
      </w:rPr>
    </w:lvl>
    <w:lvl w:ilvl="3" w:tentative="1">
      <w:start w:val="1"/>
      <w:numFmt w:val="bullet"/>
      <w:lvlText w:val=""/>
      <w:lvlJc w:val="left"/>
      <w:pPr>
        <w:ind w:left="3658" w:hanging="360"/>
      </w:pPr>
      <w:rPr>
        <w:rFonts w:ascii="Symbol" w:hAnsi="Symbol" w:hint="default"/>
      </w:rPr>
    </w:lvl>
    <w:lvl w:ilvl="4" w:tentative="1">
      <w:start w:val="1"/>
      <w:numFmt w:val="bullet"/>
      <w:lvlText w:val="o"/>
      <w:lvlJc w:val="left"/>
      <w:pPr>
        <w:ind w:left="4378" w:hanging="360"/>
      </w:pPr>
      <w:rPr>
        <w:rFonts w:ascii="Courier New" w:hAnsi="Courier New" w:cs="Courier New" w:hint="default"/>
      </w:rPr>
    </w:lvl>
    <w:lvl w:ilvl="5" w:tentative="1">
      <w:start w:val="1"/>
      <w:numFmt w:val="bullet"/>
      <w:lvlText w:val=""/>
      <w:lvlJc w:val="left"/>
      <w:pPr>
        <w:ind w:left="5098" w:hanging="360"/>
      </w:pPr>
      <w:rPr>
        <w:rFonts w:ascii="Wingdings" w:hAnsi="Wingdings" w:hint="default"/>
      </w:rPr>
    </w:lvl>
    <w:lvl w:ilvl="6" w:tentative="1">
      <w:start w:val="1"/>
      <w:numFmt w:val="bullet"/>
      <w:lvlText w:val=""/>
      <w:lvlJc w:val="left"/>
      <w:pPr>
        <w:ind w:left="5818" w:hanging="360"/>
      </w:pPr>
      <w:rPr>
        <w:rFonts w:ascii="Symbol" w:hAnsi="Symbol" w:hint="default"/>
      </w:rPr>
    </w:lvl>
    <w:lvl w:ilvl="7" w:tentative="1">
      <w:start w:val="1"/>
      <w:numFmt w:val="bullet"/>
      <w:lvlText w:val="o"/>
      <w:lvlJc w:val="left"/>
      <w:pPr>
        <w:ind w:left="6538" w:hanging="360"/>
      </w:pPr>
      <w:rPr>
        <w:rFonts w:ascii="Courier New" w:hAnsi="Courier New" w:cs="Courier New" w:hint="default"/>
      </w:rPr>
    </w:lvl>
    <w:lvl w:ilvl="8" w:tentative="1">
      <w:start w:val="1"/>
      <w:numFmt w:val="bullet"/>
      <w:lvlText w:val=""/>
      <w:lvlJc w:val="left"/>
      <w:pPr>
        <w:ind w:left="7258" w:hanging="360"/>
      </w:pPr>
      <w:rPr>
        <w:rFonts w:ascii="Wingdings" w:hAnsi="Wingdings" w:hint="default"/>
      </w:rPr>
    </w:lvl>
  </w:abstractNum>
  <w:abstractNum w:abstractNumId="4">
    <w:nsid w:val="596E2756"/>
    <w:multiLevelType w:val="hybridMultilevel"/>
    <w:tmpl w:val="1D24373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0F3684"/>
    <w:multiLevelType w:val="hybridMultilevel"/>
    <w:tmpl w:val="4DA2CB0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20"/>
    <w:rsid w:val="000003F3"/>
    <w:rsid w:val="00004BBD"/>
    <w:rsid w:val="00032AF7"/>
    <w:rsid w:val="00045921"/>
    <w:rsid w:val="00045E7E"/>
    <w:rsid w:val="00046AB5"/>
    <w:rsid w:val="00047608"/>
    <w:rsid w:val="000542F0"/>
    <w:rsid w:val="00054768"/>
    <w:rsid w:val="0006609A"/>
    <w:rsid w:val="00072187"/>
    <w:rsid w:val="000732DA"/>
    <w:rsid w:val="0007673C"/>
    <w:rsid w:val="000846B0"/>
    <w:rsid w:val="000B15DF"/>
    <w:rsid w:val="000B4270"/>
    <w:rsid w:val="000C2823"/>
    <w:rsid w:val="000C4ECE"/>
    <w:rsid w:val="000D1EC0"/>
    <w:rsid w:val="000E0B85"/>
    <w:rsid w:val="000E1397"/>
    <w:rsid w:val="000E3C21"/>
    <w:rsid w:val="000E53E5"/>
    <w:rsid w:val="0010126A"/>
    <w:rsid w:val="00122FA5"/>
    <w:rsid w:val="001308AB"/>
    <w:rsid w:val="0013352D"/>
    <w:rsid w:val="00147246"/>
    <w:rsid w:val="00161879"/>
    <w:rsid w:val="001719CB"/>
    <w:rsid w:val="001825D8"/>
    <w:rsid w:val="00190462"/>
    <w:rsid w:val="00190B3D"/>
    <w:rsid w:val="00197E38"/>
    <w:rsid w:val="001B38A7"/>
    <w:rsid w:val="001B3AC9"/>
    <w:rsid w:val="001C385B"/>
    <w:rsid w:val="001C6384"/>
    <w:rsid w:val="001D5BBC"/>
    <w:rsid w:val="001D618E"/>
    <w:rsid w:val="001E20CD"/>
    <w:rsid w:val="001E72A5"/>
    <w:rsid w:val="001F1028"/>
    <w:rsid w:val="001F61A0"/>
    <w:rsid w:val="002002EE"/>
    <w:rsid w:val="00206C08"/>
    <w:rsid w:val="00220608"/>
    <w:rsid w:val="00224D1F"/>
    <w:rsid w:val="00225A61"/>
    <w:rsid w:val="002263E3"/>
    <w:rsid w:val="0023430B"/>
    <w:rsid w:val="0024238B"/>
    <w:rsid w:val="00244F71"/>
    <w:rsid w:val="00254B69"/>
    <w:rsid w:val="00262D5F"/>
    <w:rsid w:val="00264F1B"/>
    <w:rsid w:val="002721F4"/>
    <w:rsid w:val="00275FA0"/>
    <w:rsid w:val="0027780C"/>
    <w:rsid w:val="00292816"/>
    <w:rsid w:val="0029499B"/>
    <w:rsid w:val="00295068"/>
    <w:rsid w:val="002A7C92"/>
    <w:rsid w:val="002B715A"/>
    <w:rsid w:val="002C0EFF"/>
    <w:rsid w:val="002C25A7"/>
    <w:rsid w:val="002C2C53"/>
    <w:rsid w:val="002D223C"/>
    <w:rsid w:val="002D37EB"/>
    <w:rsid w:val="002E44D1"/>
    <w:rsid w:val="002E5CEC"/>
    <w:rsid w:val="002F15CF"/>
    <w:rsid w:val="002F244B"/>
    <w:rsid w:val="002F2F54"/>
    <w:rsid w:val="002F4DDD"/>
    <w:rsid w:val="0030541A"/>
    <w:rsid w:val="00306AA0"/>
    <w:rsid w:val="003111C5"/>
    <w:rsid w:val="003204B9"/>
    <w:rsid w:val="0032560C"/>
    <w:rsid w:val="00336BBC"/>
    <w:rsid w:val="00336F68"/>
    <w:rsid w:val="003448D1"/>
    <w:rsid w:val="0034731A"/>
    <w:rsid w:val="00356F2F"/>
    <w:rsid w:val="00367832"/>
    <w:rsid w:val="00367B48"/>
    <w:rsid w:val="00376185"/>
    <w:rsid w:val="00381763"/>
    <w:rsid w:val="003841C6"/>
    <w:rsid w:val="00390102"/>
    <w:rsid w:val="0039377A"/>
    <w:rsid w:val="003A13A4"/>
    <w:rsid w:val="003A32CD"/>
    <w:rsid w:val="003B383B"/>
    <w:rsid w:val="003B5C65"/>
    <w:rsid w:val="003C15E0"/>
    <w:rsid w:val="003E4E3F"/>
    <w:rsid w:val="003F0137"/>
    <w:rsid w:val="003F49E3"/>
    <w:rsid w:val="00405B3C"/>
    <w:rsid w:val="00415C08"/>
    <w:rsid w:val="004178EE"/>
    <w:rsid w:val="0042645F"/>
    <w:rsid w:val="00434722"/>
    <w:rsid w:val="00441A62"/>
    <w:rsid w:val="00442823"/>
    <w:rsid w:val="00443D17"/>
    <w:rsid w:val="00464E0A"/>
    <w:rsid w:val="0046697F"/>
    <w:rsid w:val="00466A3E"/>
    <w:rsid w:val="00466C22"/>
    <w:rsid w:val="00484F3B"/>
    <w:rsid w:val="00485539"/>
    <w:rsid w:val="00490383"/>
    <w:rsid w:val="00497328"/>
    <w:rsid w:val="004973DF"/>
    <w:rsid w:val="00497802"/>
    <w:rsid w:val="004A29E7"/>
    <w:rsid w:val="004B1719"/>
    <w:rsid w:val="004D4E16"/>
    <w:rsid w:val="004E6458"/>
    <w:rsid w:val="004F0F41"/>
    <w:rsid w:val="004F60B8"/>
    <w:rsid w:val="00504782"/>
    <w:rsid w:val="0052094D"/>
    <w:rsid w:val="005216DF"/>
    <w:rsid w:val="00527609"/>
    <w:rsid w:val="00533432"/>
    <w:rsid w:val="005355E1"/>
    <w:rsid w:val="0054088F"/>
    <w:rsid w:val="005479B7"/>
    <w:rsid w:val="00547DFA"/>
    <w:rsid w:val="005508AC"/>
    <w:rsid w:val="00555B56"/>
    <w:rsid w:val="005626D6"/>
    <w:rsid w:val="0057183A"/>
    <w:rsid w:val="0057673B"/>
    <w:rsid w:val="00587C7A"/>
    <w:rsid w:val="00591FC3"/>
    <w:rsid w:val="005932DC"/>
    <w:rsid w:val="005970EF"/>
    <w:rsid w:val="005A1469"/>
    <w:rsid w:val="005A5C59"/>
    <w:rsid w:val="005A60F7"/>
    <w:rsid w:val="005B1D15"/>
    <w:rsid w:val="005B2443"/>
    <w:rsid w:val="005C1BE5"/>
    <w:rsid w:val="005F3C4A"/>
    <w:rsid w:val="005F3CA3"/>
    <w:rsid w:val="005F6BC0"/>
    <w:rsid w:val="005F7E3A"/>
    <w:rsid w:val="00601D52"/>
    <w:rsid w:val="006022FF"/>
    <w:rsid w:val="006041C4"/>
    <w:rsid w:val="00606193"/>
    <w:rsid w:val="00607380"/>
    <w:rsid w:val="006138EF"/>
    <w:rsid w:val="0061449D"/>
    <w:rsid w:val="006160CA"/>
    <w:rsid w:val="006164E4"/>
    <w:rsid w:val="006235AD"/>
    <w:rsid w:val="00623D93"/>
    <w:rsid w:val="00640292"/>
    <w:rsid w:val="006426B5"/>
    <w:rsid w:val="00643B11"/>
    <w:rsid w:val="00643E94"/>
    <w:rsid w:val="00657989"/>
    <w:rsid w:val="006603D7"/>
    <w:rsid w:val="0066575F"/>
    <w:rsid w:val="0067088F"/>
    <w:rsid w:val="00680E1A"/>
    <w:rsid w:val="0068743D"/>
    <w:rsid w:val="00692881"/>
    <w:rsid w:val="006948EE"/>
    <w:rsid w:val="00695F7E"/>
    <w:rsid w:val="006979EE"/>
    <w:rsid w:val="006A161B"/>
    <w:rsid w:val="006A38A9"/>
    <w:rsid w:val="006A73F9"/>
    <w:rsid w:val="006C3B36"/>
    <w:rsid w:val="006C61D4"/>
    <w:rsid w:val="006C786F"/>
    <w:rsid w:val="006E0F55"/>
    <w:rsid w:val="006E10CF"/>
    <w:rsid w:val="006F0480"/>
    <w:rsid w:val="006F2939"/>
    <w:rsid w:val="00711BAE"/>
    <w:rsid w:val="00711DB3"/>
    <w:rsid w:val="00715C4D"/>
    <w:rsid w:val="007248DD"/>
    <w:rsid w:val="00750013"/>
    <w:rsid w:val="007539A5"/>
    <w:rsid w:val="00753AA5"/>
    <w:rsid w:val="00753E78"/>
    <w:rsid w:val="0075555A"/>
    <w:rsid w:val="00793922"/>
    <w:rsid w:val="00797276"/>
    <w:rsid w:val="007A08BB"/>
    <w:rsid w:val="007A288A"/>
    <w:rsid w:val="007A295D"/>
    <w:rsid w:val="007B4829"/>
    <w:rsid w:val="007C2972"/>
    <w:rsid w:val="007C7248"/>
    <w:rsid w:val="007D6631"/>
    <w:rsid w:val="007E2879"/>
    <w:rsid w:val="007F04D5"/>
    <w:rsid w:val="00821D4B"/>
    <w:rsid w:val="00835C7D"/>
    <w:rsid w:val="00842307"/>
    <w:rsid w:val="008524AE"/>
    <w:rsid w:val="00855534"/>
    <w:rsid w:val="0087450B"/>
    <w:rsid w:val="00876FE2"/>
    <w:rsid w:val="008970B0"/>
    <w:rsid w:val="00897B67"/>
    <w:rsid w:val="008A2A7B"/>
    <w:rsid w:val="008A3F17"/>
    <w:rsid w:val="008B1CB2"/>
    <w:rsid w:val="008C046C"/>
    <w:rsid w:val="008C2A5B"/>
    <w:rsid w:val="008C6167"/>
    <w:rsid w:val="008D11C8"/>
    <w:rsid w:val="008D61C3"/>
    <w:rsid w:val="008D6354"/>
    <w:rsid w:val="008F16B1"/>
    <w:rsid w:val="008F5C9E"/>
    <w:rsid w:val="00903290"/>
    <w:rsid w:val="00921994"/>
    <w:rsid w:val="00924905"/>
    <w:rsid w:val="00927928"/>
    <w:rsid w:val="00930DDA"/>
    <w:rsid w:val="009319A3"/>
    <w:rsid w:val="009379E3"/>
    <w:rsid w:val="00942FE4"/>
    <w:rsid w:val="00946E41"/>
    <w:rsid w:val="00953109"/>
    <w:rsid w:val="00954BC2"/>
    <w:rsid w:val="00956E4C"/>
    <w:rsid w:val="009575BC"/>
    <w:rsid w:val="00957780"/>
    <w:rsid w:val="00960971"/>
    <w:rsid w:val="00984A6E"/>
    <w:rsid w:val="0099765C"/>
    <w:rsid w:val="009A438A"/>
    <w:rsid w:val="009B18AF"/>
    <w:rsid w:val="009B1967"/>
    <w:rsid w:val="009B5071"/>
    <w:rsid w:val="009C185E"/>
    <w:rsid w:val="009D066B"/>
    <w:rsid w:val="009F08ED"/>
    <w:rsid w:val="009F47AD"/>
    <w:rsid w:val="009F542B"/>
    <w:rsid w:val="00A02A28"/>
    <w:rsid w:val="00A02D52"/>
    <w:rsid w:val="00A044B5"/>
    <w:rsid w:val="00A07D4B"/>
    <w:rsid w:val="00A117AC"/>
    <w:rsid w:val="00A1383E"/>
    <w:rsid w:val="00A15717"/>
    <w:rsid w:val="00A20147"/>
    <w:rsid w:val="00A241A0"/>
    <w:rsid w:val="00A3170C"/>
    <w:rsid w:val="00A4500F"/>
    <w:rsid w:val="00A47C22"/>
    <w:rsid w:val="00A55F5D"/>
    <w:rsid w:val="00A646AA"/>
    <w:rsid w:val="00A835F9"/>
    <w:rsid w:val="00A90CDA"/>
    <w:rsid w:val="00AC3973"/>
    <w:rsid w:val="00AC56CC"/>
    <w:rsid w:val="00AC75E1"/>
    <w:rsid w:val="00AC7C3B"/>
    <w:rsid w:val="00AD110A"/>
    <w:rsid w:val="00AD25B4"/>
    <w:rsid w:val="00AD57E9"/>
    <w:rsid w:val="00AE4561"/>
    <w:rsid w:val="00AF086C"/>
    <w:rsid w:val="00B04CE5"/>
    <w:rsid w:val="00B11F53"/>
    <w:rsid w:val="00B17B23"/>
    <w:rsid w:val="00B23DB3"/>
    <w:rsid w:val="00B330BD"/>
    <w:rsid w:val="00B34B97"/>
    <w:rsid w:val="00B34EF2"/>
    <w:rsid w:val="00B351A2"/>
    <w:rsid w:val="00B36966"/>
    <w:rsid w:val="00B42A89"/>
    <w:rsid w:val="00B47825"/>
    <w:rsid w:val="00B5124D"/>
    <w:rsid w:val="00B51E39"/>
    <w:rsid w:val="00B54A8B"/>
    <w:rsid w:val="00B55399"/>
    <w:rsid w:val="00B62DAB"/>
    <w:rsid w:val="00B64F9D"/>
    <w:rsid w:val="00B6528E"/>
    <w:rsid w:val="00B677C9"/>
    <w:rsid w:val="00B74046"/>
    <w:rsid w:val="00B750DC"/>
    <w:rsid w:val="00B90BCD"/>
    <w:rsid w:val="00BB6AC2"/>
    <w:rsid w:val="00BB6B0D"/>
    <w:rsid w:val="00BC1171"/>
    <w:rsid w:val="00BC79AB"/>
    <w:rsid w:val="00BD07B0"/>
    <w:rsid w:val="00BD126E"/>
    <w:rsid w:val="00BD4A0C"/>
    <w:rsid w:val="00BE0020"/>
    <w:rsid w:val="00BE004B"/>
    <w:rsid w:val="00BE3329"/>
    <w:rsid w:val="00C0550B"/>
    <w:rsid w:val="00C108BD"/>
    <w:rsid w:val="00C14B55"/>
    <w:rsid w:val="00C158D5"/>
    <w:rsid w:val="00C1714E"/>
    <w:rsid w:val="00C50096"/>
    <w:rsid w:val="00C53529"/>
    <w:rsid w:val="00C6353A"/>
    <w:rsid w:val="00C6450B"/>
    <w:rsid w:val="00C64F62"/>
    <w:rsid w:val="00C659B4"/>
    <w:rsid w:val="00C7682D"/>
    <w:rsid w:val="00C76A83"/>
    <w:rsid w:val="00C8014D"/>
    <w:rsid w:val="00C82117"/>
    <w:rsid w:val="00C96870"/>
    <w:rsid w:val="00C97AB5"/>
    <w:rsid w:val="00CA0085"/>
    <w:rsid w:val="00CA345D"/>
    <w:rsid w:val="00CB2BE8"/>
    <w:rsid w:val="00CB3064"/>
    <w:rsid w:val="00CB5EC7"/>
    <w:rsid w:val="00CC3471"/>
    <w:rsid w:val="00CC7C2D"/>
    <w:rsid w:val="00CD3831"/>
    <w:rsid w:val="00CE3F6D"/>
    <w:rsid w:val="00CE4D02"/>
    <w:rsid w:val="00CE6AF3"/>
    <w:rsid w:val="00CF039B"/>
    <w:rsid w:val="00CF4C0D"/>
    <w:rsid w:val="00D04335"/>
    <w:rsid w:val="00D14825"/>
    <w:rsid w:val="00D16CC8"/>
    <w:rsid w:val="00D26D62"/>
    <w:rsid w:val="00D34269"/>
    <w:rsid w:val="00D35239"/>
    <w:rsid w:val="00D41FFE"/>
    <w:rsid w:val="00D42F27"/>
    <w:rsid w:val="00D440FB"/>
    <w:rsid w:val="00D53E08"/>
    <w:rsid w:val="00D55BD0"/>
    <w:rsid w:val="00D621F9"/>
    <w:rsid w:val="00D66528"/>
    <w:rsid w:val="00D67725"/>
    <w:rsid w:val="00D70A7B"/>
    <w:rsid w:val="00D767A3"/>
    <w:rsid w:val="00D860B7"/>
    <w:rsid w:val="00D93776"/>
    <w:rsid w:val="00D958B5"/>
    <w:rsid w:val="00D96F8A"/>
    <w:rsid w:val="00DA0D8C"/>
    <w:rsid w:val="00DA22DF"/>
    <w:rsid w:val="00DA6002"/>
    <w:rsid w:val="00DA60FF"/>
    <w:rsid w:val="00DA6F2E"/>
    <w:rsid w:val="00DB4BF0"/>
    <w:rsid w:val="00DB6BF9"/>
    <w:rsid w:val="00DD3C2C"/>
    <w:rsid w:val="00DE4CDD"/>
    <w:rsid w:val="00DE7A75"/>
    <w:rsid w:val="00DF03FF"/>
    <w:rsid w:val="00DF640F"/>
    <w:rsid w:val="00DF6EEB"/>
    <w:rsid w:val="00E0302F"/>
    <w:rsid w:val="00E05EC7"/>
    <w:rsid w:val="00E200A0"/>
    <w:rsid w:val="00E237E0"/>
    <w:rsid w:val="00E2733A"/>
    <w:rsid w:val="00E31CBD"/>
    <w:rsid w:val="00E32445"/>
    <w:rsid w:val="00E326BE"/>
    <w:rsid w:val="00E33B9E"/>
    <w:rsid w:val="00E35302"/>
    <w:rsid w:val="00E44E42"/>
    <w:rsid w:val="00E61BD5"/>
    <w:rsid w:val="00E64F9E"/>
    <w:rsid w:val="00E812E3"/>
    <w:rsid w:val="00E81970"/>
    <w:rsid w:val="00E8408A"/>
    <w:rsid w:val="00EB212A"/>
    <w:rsid w:val="00EB4CD9"/>
    <w:rsid w:val="00EB635F"/>
    <w:rsid w:val="00EC088D"/>
    <w:rsid w:val="00ED1259"/>
    <w:rsid w:val="00ED1388"/>
    <w:rsid w:val="00ED606C"/>
    <w:rsid w:val="00EE0DEF"/>
    <w:rsid w:val="00EF3FE7"/>
    <w:rsid w:val="00EF79CB"/>
    <w:rsid w:val="00F00662"/>
    <w:rsid w:val="00F30B0C"/>
    <w:rsid w:val="00F41C18"/>
    <w:rsid w:val="00F60EB4"/>
    <w:rsid w:val="00F62D8E"/>
    <w:rsid w:val="00F77952"/>
    <w:rsid w:val="00F86339"/>
    <w:rsid w:val="00F913DD"/>
    <w:rsid w:val="00F9531F"/>
    <w:rsid w:val="00F95EB8"/>
    <w:rsid w:val="00FA2386"/>
    <w:rsid w:val="00FA5BC6"/>
    <w:rsid w:val="00FB3B7F"/>
    <w:rsid w:val="00FC3953"/>
    <w:rsid w:val="00FD349A"/>
    <w:rsid w:val="00FE0CDD"/>
    <w:rsid w:val="00FE129D"/>
    <w:rsid w:val="00FE589C"/>
    <w:rsid w:val="00FF5061"/>
    <w:rsid w:val="00FF5D07"/>
    <w:rsid w:val="00FF65C2"/>
    <w:rsid w:val="00FF7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C185E"/>
    <w:pPr>
      <w:keepNext/>
      <w:spacing w:after="240"/>
      <w:ind w:left="720" w:hanging="720"/>
      <w:outlineLvl w:val="0"/>
    </w:pPr>
    <w:rPr>
      <w:b/>
      <w:caps/>
      <w:szCs w:val="24"/>
    </w:rPr>
  </w:style>
  <w:style w:type="paragraph" w:styleId="Heading2">
    <w:name w:val="heading 2"/>
    <w:basedOn w:val="Normal"/>
    <w:next w:val="Normal"/>
    <w:link w:val="Heading2Char"/>
    <w:uiPriority w:val="9"/>
    <w:unhideWhenUsed/>
    <w:qFormat/>
    <w:rsid w:val="009C185E"/>
    <w:pPr>
      <w:keepNext/>
      <w:keepLines/>
      <w:spacing w:after="240"/>
      <w:ind w:left="1440" w:hanging="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E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BE0020"/>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BE0020"/>
    <w:pPr>
      <w:spacing w:after="120"/>
    </w:pPr>
    <w:rPr>
      <w:sz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BE002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BE0020"/>
    <w:rPr>
      <w:vertAlign w:val="superscript"/>
    </w:rPr>
  </w:style>
  <w:style w:type="paragraph" w:styleId="ListParagraph">
    <w:name w:val="List Paragraph"/>
    <w:basedOn w:val="Normal"/>
    <w:uiPriority w:val="34"/>
    <w:qFormat/>
    <w:rsid w:val="00BE004B"/>
    <w:pPr>
      <w:ind w:left="720"/>
      <w:contextualSpacing/>
    </w:pPr>
  </w:style>
  <w:style w:type="paragraph" w:styleId="Header">
    <w:name w:val="header"/>
    <w:basedOn w:val="Normal"/>
    <w:link w:val="HeaderChar"/>
    <w:uiPriority w:val="99"/>
    <w:unhideWhenUsed/>
    <w:rsid w:val="0052094D"/>
    <w:pPr>
      <w:tabs>
        <w:tab w:val="center" w:pos="4680"/>
        <w:tab w:val="right" w:pos="9360"/>
      </w:tabs>
    </w:pPr>
  </w:style>
  <w:style w:type="character" w:customStyle="1" w:styleId="HeaderChar">
    <w:name w:val="Header Char"/>
    <w:basedOn w:val="DefaultParagraphFont"/>
    <w:link w:val="Header"/>
    <w:uiPriority w:val="99"/>
    <w:rsid w:val="005209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094D"/>
    <w:pPr>
      <w:tabs>
        <w:tab w:val="center" w:pos="4680"/>
        <w:tab w:val="right" w:pos="9360"/>
      </w:tabs>
    </w:pPr>
  </w:style>
  <w:style w:type="character" w:customStyle="1" w:styleId="FooterChar">
    <w:name w:val="Footer Char"/>
    <w:basedOn w:val="DefaultParagraphFont"/>
    <w:link w:val="Footer"/>
    <w:uiPriority w:val="99"/>
    <w:rsid w:val="0052094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C185E"/>
    <w:rPr>
      <w:rFonts w:ascii="Times New Roman" w:eastAsia="Times New Roman" w:hAnsi="Times New Roman" w:cs="Times New Roman"/>
      <w:b/>
      <w:caps/>
      <w:sz w:val="24"/>
      <w:szCs w:val="24"/>
    </w:rPr>
  </w:style>
  <w:style w:type="character" w:styleId="Hyperlink">
    <w:name w:val="Hyperlink"/>
    <w:uiPriority w:val="99"/>
    <w:rsid w:val="00264F1B"/>
    <w:rPr>
      <w:color w:val="0000FF"/>
      <w:u w:val="single"/>
    </w:rPr>
  </w:style>
  <w:style w:type="paragraph" w:styleId="EndnoteText">
    <w:name w:val="endnote text"/>
    <w:basedOn w:val="Normal"/>
    <w:link w:val="EndnoteTextChar"/>
    <w:semiHidden/>
    <w:rsid w:val="00264F1B"/>
    <w:pPr>
      <w:widowControl w:val="0"/>
    </w:pPr>
    <w:rPr>
      <w:rFonts w:ascii="Courier New" w:hAnsi="Courier New"/>
      <w:snapToGrid w:val="0"/>
    </w:rPr>
  </w:style>
  <w:style w:type="character" w:customStyle="1" w:styleId="EndnoteTextChar">
    <w:name w:val="Endnote Text Char"/>
    <w:basedOn w:val="DefaultParagraphFont"/>
    <w:link w:val="EndnoteText"/>
    <w:semiHidden/>
    <w:rsid w:val="00264F1B"/>
    <w:rPr>
      <w:rFonts w:ascii="Courier New" w:eastAsia="Times New Roman" w:hAnsi="Courier New" w:cs="Times New Roman"/>
      <w:snapToGrid w:val="0"/>
      <w:sz w:val="24"/>
      <w:szCs w:val="20"/>
    </w:rPr>
  </w:style>
  <w:style w:type="paragraph" w:styleId="CommentText">
    <w:name w:val="annotation text"/>
    <w:basedOn w:val="Normal"/>
    <w:link w:val="CommentTextChar"/>
    <w:unhideWhenUsed/>
    <w:rsid w:val="00264F1B"/>
    <w:rPr>
      <w:sz w:val="20"/>
    </w:rPr>
  </w:style>
  <w:style w:type="character" w:customStyle="1" w:styleId="CommentTextChar">
    <w:name w:val="Comment Text Char"/>
    <w:basedOn w:val="DefaultParagraphFont"/>
    <w:link w:val="CommentText"/>
    <w:rsid w:val="00264F1B"/>
    <w:rPr>
      <w:rFonts w:ascii="Times New Roman" w:eastAsia="Times New Roman" w:hAnsi="Times New Roman" w:cs="Times New Roman"/>
      <w:sz w:val="20"/>
      <w:szCs w:val="20"/>
    </w:rPr>
  </w:style>
  <w:style w:type="paragraph" w:styleId="BodyText">
    <w:name w:val="Body Text"/>
    <w:basedOn w:val="Normal"/>
    <w:link w:val="BodyTextChar"/>
    <w:uiPriority w:val="99"/>
    <w:rsid w:val="00264F1B"/>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264F1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64F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4F1B"/>
    <w:rPr>
      <w:rFonts w:ascii="Times New Roman" w:eastAsia="Times New Roman" w:hAnsi="Times New Roman" w:cs="Times New Roman"/>
      <w:sz w:val="16"/>
      <w:szCs w:val="16"/>
    </w:rPr>
  </w:style>
  <w:style w:type="character" w:customStyle="1" w:styleId="UnresolvedMention1">
    <w:name w:val="Unresolved Mention1"/>
    <w:basedOn w:val="DefaultParagraphFont"/>
    <w:uiPriority w:val="99"/>
    <w:semiHidden/>
    <w:unhideWhenUsed/>
    <w:rsid w:val="004E6458"/>
    <w:rPr>
      <w:color w:val="605E5C"/>
      <w:shd w:val="clear" w:color="auto" w:fill="E1DFDD"/>
    </w:rPr>
  </w:style>
  <w:style w:type="character" w:styleId="CommentReference">
    <w:name w:val="annotation reference"/>
    <w:basedOn w:val="DefaultParagraphFont"/>
    <w:uiPriority w:val="99"/>
    <w:semiHidden/>
    <w:unhideWhenUsed/>
    <w:rsid w:val="000E53E5"/>
    <w:rPr>
      <w:sz w:val="16"/>
      <w:szCs w:val="16"/>
    </w:rPr>
  </w:style>
  <w:style w:type="paragraph" w:styleId="CommentSubject">
    <w:name w:val="annotation subject"/>
    <w:basedOn w:val="CommentText"/>
    <w:next w:val="CommentText"/>
    <w:link w:val="CommentSubjectChar"/>
    <w:uiPriority w:val="99"/>
    <w:semiHidden/>
    <w:unhideWhenUsed/>
    <w:rsid w:val="000E53E5"/>
    <w:rPr>
      <w:b/>
      <w:bCs/>
    </w:rPr>
  </w:style>
  <w:style w:type="character" w:customStyle="1" w:styleId="CommentSubjectChar">
    <w:name w:val="Comment Subject Char"/>
    <w:basedOn w:val="CommentTextChar"/>
    <w:link w:val="CommentSubject"/>
    <w:uiPriority w:val="99"/>
    <w:semiHidden/>
    <w:rsid w:val="000E53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3E5"/>
    <w:rPr>
      <w:rFonts w:ascii="Tahoma" w:hAnsi="Tahoma" w:cs="Tahoma"/>
      <w:sz w:val="16"/>
      <w:szCs w:val="16"/>
    </w:rPr>
  </w:style>
  <w:style w:type="character" w:customStyle="1" w:styleId="BalloonTextChar">
    <w:name w:val="Balloon Text Char"/>
    <w:basedOn w:val="DefaultParagraphFont"/>
    <w:link w:val="BalloonText"/>
    <w:uiPriority w:val="99"/>
    <w:semiHidden/>
    <w:rsid w:val="000E53E5"/>
    <w:rPr>
      <w:rFonts w:ascii="Tahoma" w:eastAsia="Times New Roman" w:hAnsi="Tahoma" w:cs="Tahoma"/>
      <w:sz w:val="16"/>
      <w:szCs w:val="16"/>
    </w:rPr>
  </w:style>
  <w:style w:type="character" w:customStyle="1" w:styleId="Heading2Char">
    <w:name w:val="Heading 2 Char"/>
    <w:basedOn w:val="DefaultParagraphFont"/>
    <w:link w:val="Heading2"/>
    <w:uiPriority w:val="9"/>
    <w:rsid w:val="009C185E"/>
    <w:rPr>
      <w:rFonts w:ascii="Times New Roman" w:hAnsi="Times New Roman" w:eastAsiaTheme="majorEastAsia" w:cstheme="majorBidi"/>
      <w:b/>
      <w:sz w:val="24"/>
      <w:szCs w:val="26"/>
    </w:rPr>
  </w:style>
  <w:style w:type="paragraph" w:styleId="TOC1">
    <w:name w:val="toc 1"/>
    <w:basedOn w:val="Normal"/>
    <w:next w:val="Normal"/>
    <w:autoRedefine/>
    <w:uiPriority w:val="39"/>
    <w:unhideWhenUsed/>
    <w:rsid w:val="00B6528E"/>
    <w:pPr>
      <w:tabs>
        <w:tab w:val="left" w:pos="720"/>
        <w:tab w:val="decimal" w:leader="dot" w:pos="8640"/>
      </w:tabs>
      <w:spacing w:after="240"/>
      <w:ind w:left="720" w:hanging="720"/>
    </w:pPr>
  </w:style>
  <w:style w:type="paragraph" w:styleId="TOC2">
    <w:name w:val="toc 2"/>
    <w:basedOn w:val="Normal"/>
    <w:next w:val="Normal"/>
    <w:autoRedefine/>
    <w:uiPriority w:val="39"/>
    <w:unhideWhenUsed/>
    <w:rsid w:val="00B6528E"/>
    <w:pPr>
      <w:tabs>
        <w:tab w:val="left" w:pos="720"/>
        <w:tab w:val="decimal" w:leader="dot" w:pos="8640"/>
      </w:tabs>
      <w:spacing w:after="240"/>
      <w:ind w:left="1440" w:hanging="720"/>
    </w:pPr>
  </w:style>
  <w:style w:type="paragraph" w:styleId="TOC3">
    <w:name w:val="toc 3"/>
    <w:basedOn w:val="Normal"/>
    <w:next w:val="Normal"/>
    <w:autoRedefine/>
    <w:uiPriority w:val="39"/>
    <w:semiHidden/>
    <w:unhideWhenUsed/>
    <w:rsid w:val="00B6528E"/>
    <w:pPr>
      <w:tabs>
        <w:tab w:val="left" w:pos="720"/>
        <w:tab w:val="left" w:pos="1440"/>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Thomas.lindgren@ohioattorneygeneral.gov" TargetMode="External" /><Relationship Id="rId12" Type="http://schemas.openxmlformats.org/officeDocument/2006/relationships/hyperlink" Target="mailto:Andrew.shaffer@ohioattorneygeneral.gov" TargetMode="External" /><Relationship Id="rId13" Type="http://schemas.openxmlformats.org/officeDocument/2006/relationships/hyperlink" Target="mailto:dproano@bakerlaw.com" TargetMode="External" /><Relationship Id="rId14" Type="http://schemas.openxmlformats.org/officeDocument/2006/relationships/hyperlink" Target="mailto:kkash@bakerlaw.com" TargetMode="External" /><Relationship Id="rId15" Type="http://schemas.openxmlformats.org/officeDocument/2006/relationships/hyperlink" Target="mailto:dlemon@bakerlaw.com" TargetMode="External" /><Relationship Id="rId16" Type="http://schemas.openxmlformats.org/officeDocument/2006/relationships/hyperlink" Target="mailto:tathompson@bakerlaw.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rhooper@bakerlaw.com" TargetMode="External" /><Relationship Id="rId21" Type="http://schemas.openxmlformats.org/officeDocument/2006/relationships/hyperlink" Target="mailto:Anna.Sanyal@puco.ohio.gov" TargetMode="External" /><Relationship Id="rId22" Type="http://schemas.openxmlformats.org/officeDocument/2006/relationships/hyperlink" Target="mailto:gregory.price@puco.ohio.gov" TargetMode="External" /><Relationship Id="rId23" Type="http://schemas.openxmlformats.org/officeDocument/2006/relationships/hyperlink" Target="mailto:akeene@sparkenergy.com" TargetMode="External" /><Relationship Id="rId24" Type="http://schemas.openxmlformats.org/officeDocument/2006/relationships/hyperlink" Target="mailto:kwhite@sparkenergy.com" TargetMode="External"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3.xml" /><Relationship Id="rId28" Type="http://schemas.openxmlformats.org/officeDocument/2006/relationships/header" Target="header3.xml" /><Relationship Id="rId29" Type="http://schemas.openxmlformats.org/officeDocument/2006/relationships/footer" Target="footer4.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Terry.etter@occ.ohio.gov" TargetMode="External" /><Relationship Id="rId8" Type="http://schemas.openxmlformats.org/officeDocument/2006/relationships/hyperlink" Target="mailto:bojko@carpenterlipps.co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18DA-E75B-4D3E-805F-8EB40029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OCC Memo Contra Verde (6th and 7th Sets)  (00139154.DOCX;5)</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2019-10-03T15:36:43Z</dcterms:created>
  <dcterms:modified xsi:type="dcterms:W3CDTF">2019-10-03T15:36:43Z</dcterms:modified>
</cp:coreProperties>
</file>