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A7A96" w:rsidP="00DA7A96" w14:paraId="3E2631D7" w14:textId="77777777">
      <w:pPr>
        <w:pStyle w:val="HTMLPreformatted"/>
        <w:jc w:val="center"/>
        <w:rPr>
          <w:rFonts w:ascii="Times New Roman" w:hAnsi="Times New Roman"/>
          <w:b/>
          <w:bCs/>
          <w:sz w:val="24"/>
        </w:rPr>
      </w:pPr>
      <w:r>
        <w:rPr>
          <w:rFonts w:ascii="Times New Roman" w:hAnsi="Times New Roman"/>
          <w:b/>
          <w:bCs/>
          <w:sz w:val="24"/>
        </w:rPr>
        <w:t>BEFORE</w:t>
      </w:r>
    </w:p>
    <w:p w:rsidR="00DA7A96" w:rsidP="00DA7A96" w14:paraId="5A52D175"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DA7A96" w:rsidP="00DA7A96" w14:paraId="363A52DE" w14:textId="77777777">
      <w:pPr>
        <w:pStyle w:val="HTMLPreformatted"/>
        <w:rPr>
          <w:rFonts w:ascii="Times New Roman" w:hAnsi="Times New Roman"/>
          <w:sz w:val="24"/>
        </w:rPr>
      </w:pPr>
    </w:p>
    <w:tbl>
      <w:tblPr>
        <w:tblW w:w="8640" w:type="dxa"/>
        <w:tblLook w:val="01E0"/>
      </w:tblPr>
      <w:tblGrid>
        <w:gridCol w:w="4332"/>
        <w:gridCol w:w="360"/>
        <w:gridCol w:w="3948"/>
      </w:tblGrid>
      <w:tr w14:paraId="1EDCE689" w14:textId="77777777" w:rsidTr="00BA65DA">
        <w:tblPrEx>
          <w:tblW w:w="8640" w:type="dxa"/>
          <w:tblLook w:val="01E0"/>
        </w:tblPrEx>
        <w:trPr>
          <w:trHeight w:val="807"/>
        </w:trPr>
        <w:tc>
          <w:tcPr>
            <w:tcW w:w="4332" w:type="dxa"/>
            <w:shd w:val="clear" w:color="auto" w:fill="auto"/>
          </w:tcPr>
          <w:p w:rsidR="00DA7A96" w:rsidP="00BA65DA" w14:paraId="7689CE8F"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East Ohio Gas Company d/b/a</w:t>
            </w:r>
          </w:p>
          <w:p w:rsidR="00DA7A96" w:rsidRPr="00A044B5" w:rsidP="00BA65DA" w14:paraId="1FC641D5" w14:textId="77777777">
            <w:pPr>
              <w:pStyle w:val="HTMLPreformatted"/>
              <w:rPr>
                <w:rFonts w:ascii="Times New Roman" w:hAnsi="Times New Roman"/>
                <w:sz w:val="24"/>
                <w:szCs w:val="24"/>
              </w:rPr>
            </w:pPr>
            <w:r>
              <w:rPr>
                <w:rFonts w:ascii="Times New Roman" w:hAnsi="Times New Roman" w:cs="Times New Roman"/>
                <w:sz w:val="24"/>
                <w:szCs w:val="24"/>
              </w:rPr>
              <w:t>Dominion Energy Ohio to Adjust its Pipeline Infrastructure Cost Recovery Charge and Related Matters.</w:t>
            </w:r>
          </w:p>
        </w:tc>
        <w:tc>
          <w:tcPr>
            <w:tcW w:w="360" w:type="dxa"/>
            <w:shd w:val="clear" w:color="auto" w:fill="auto"/>
          </w:tcPr>
          <w:p w:rsidR="00DA7A96" w:rsidRPr="00A044B5" w:rsidP="00BA65DA" w14:paraId="13D841DA" w14:textId="77777777">
            <w:pPr>
              <w:pStyle w:val="HTMLPreformatted"/>
              <w:rPr>
                <w:rFonts w:ascii="Times New Roman" w:hAnsi="Times New Roman"/>
                <w:sz w:val="24"/>
              </w:rPr>
            </w:pPr>
            <w:r w:rsidRPr="00A044B5">
              <w:rPr>
                <w:rFonts w:ascii="Times New Roman" w:hAnsi="Times New Roman"/>
                <w:sz w:val="24"/>
              </w:rPr>
              <w:t>)</w:t>
            </w:r>
          </w:p>
          <w:p w:rsidR="00DA7A96" w:rsidRPr="00A044B5" w:rsidP="00BA65DA" w14:paraId="6A6307E2" w14:textId="77777777">
            <w:pPr>
              <w:pStyle w:val="HTMLPreformatted"/>
              <w:rPr>
                <w:rFonts w:ascii="Times New Roman" w:hAnsi="Times New Roman"/>
                <w:sz w:val="24"/>
              </w:rPr>
            </w:pPr>
            <w:r w:rsidRPr="00A044B5">
              <w:rPr>
                <w:rFonts w:ascii="Times New Roman" w:hAnsi="Times New Roman"/>
                <w:sz w:val="24"/>
              </w:rPr>
              <w:t>)</w:t>
            </w:r>
          </w:p>
          <w:p w:rsidR="00DA7A96" w:rsidP="00BA65DA" w14:paraId="74325213" w14:textId="77777777">
            <w:pPr>
              <w:pStyle w:val="HTMLPreformatted"/>
              <w:rPr>
                <w:rFonts w:ascii="Times New Roman" w:hAnsi="Times New Roman"/>
                <w:sz w:val="24"/>
              </w:rPr>
            </w:pPr>
            <w:r w:rsidRPr="00A044B5">
              <w:rPr>
                <w:rFonts w:ascii="Times New Roman" w:hAnsi="Times New Roman"/>
                <w:sz w:val="24"/>
              </w:rPr>
              <w:t>)</w:t>
            </w:r>
          </w:p>
          <w:p w:rsidR="00DA7A96" w:rsidP="00BA65DA" w14:paraId="49838F19" w14:textId="77777777">
            <w:pPr>
              <w:pStyle w:val="HTMLPreformatted"/>
              <w:rPr>
                <w:rFonts w:ascii="Times New Roman" w:hAnsi="Times New Roman"/>
                <w:sz w:val="24"/>
              </w:rPr>
            </w:pPr>
            <w:r>
              <w:rPr>
                <w:rFonts w:ascii="Times New Roman" w:hAnsi="Times New Roman"/>
                <w:sz w:val="24"/>
              </w:rPr>
              <w:t>)</w:t>
            </w:r>
          </w:p>
          <w:p w:rsidR="00DA7A96" w:rsidRPr="00A044B5" w:rsidP="00BA65DA" w14:paraId="57159702" w14:textId="77777777">
            <w:pPr>
              <w:pStyle w:val="HTMLPreformatted"/>
              <w:rPr>
                <w:rFonts w:ascii="Times New Roman" w:hAnsi="Times New Roman"/>
                <w:sz w:val="24"/>
              </w:rPr>
            </w:pPr>
            <w:r>
              <w:rPr>
                <w:rFonts w:ascii="Times New Roman" w:hAnsi="Times New Roman"/>
                <w:sz w:val="24"/>
              </w:rPr>
              <w:t>)</w:t>
            </w:r>
          </w:p>
        </w:tc>
        <w:tc>
          <w:tcPr>
            <w:tcW w:w="3948" w:type="dxa"/>
            <w:shd w:val="clear" w:color="auto" w:fill="auto"/>
          </w:tcPr>
          <w:p w:rsidR="00DA7A96" w:rsidRPr="00A044B5" w:rsidP="00BA65DA" w14:paraId="724F1B43" w14:textId="77777777">
            <w:pPr>
              <w:pStyle w:val="HTMLPreformatted"/>
              <w:rPr>
                <w:rFonts w:ascii="Times New Roman" w:hAnsi="Times New Roman"/>
                <w:sz w:val="24"/>
              </w:rPr>
            </w:pPr>
          </w:p>
          <w:p w:rsidR="00DA7A96" w:rsidRPr="00A044B5" w:rsidP="00BA65DA" w14:paraId="5FD5DCFD"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21-1095-GA-RDR</w:t>
            </w:r>
          </w:p>
          <w:p w:rsidR="00DA7A96" w:rsidRPr="00A044B5" w:rsidP="00BA65DA" w14:paraId="2A8BB54C" w14:textId="77777777">
            <w:pPr>
              <w:pStyle w:val="HTMLPreformatted"/>
              <w:rPr>
                <w:rFonts w:ascii="Times New Roman" w:hAnsi="Times New Roman"/>
                <w:sz w:val="24"/>
              </w:rPr>
            </w:pPr>
          </w:p>
          <w:p w:rsidR="00DA7A96" w:rsidRPr="00A044B5" w:rsidP="00BA65DA" w14:paraId="4CB6E0DA" w14:textId="77777777">
            <w:pPr>
              <w:pStyle w:val="HTMLPreformatted"/>
              <w:rPr>
                <w:rFonts w:ascii="Times New Roman" w:hAnsi="Times New Roman"/>
                <w:sz w:val="24"/>
              </w:rPr>
            </w:pPr>
          </w:p>
        </w:tc>
      </w:tr>
    </w:tbl>
    <w:p w:rsidR="00DA7A96" w:rsidP="00DA7A96" w14:paraId="1B84D95B" w14:textId="77777777">
      <w:pPr>
        <w:pStyle w:val="HTMLPreformatted"/>
        <w:rPr>
          <w:rFonts w:ascii="Times New Roman" w:hAnsi="Times New Roman"/>
          <w:sz w:val="24"/>
        </w:rPr>
      </w:pPr>
    </w:p>
    <w:p w:rsidR="00DA7A96" w:rsidP="00DA7A96" w14:paraId="52934BC1" w14:textId="77777777">
      <w:pPr>
        <w:pStyle w:val="HTMLPreformatted"/>
        <w:pBdr>
          <w:top w:val="single" w:sz="12" w:space="1" w:color="auto"/>
        </w:pBdr>
        <w:rPr>
          <w:rFonts w:ascii="Times New Roman" w:hAnsi="Times New Roman"/>
          <w:sz w:val="24"/>
        </w:rPr>
      </w:pPr>
    </w:p>
    <w:p w:rsidR="00DA7A96" w:rsidRPr="00CB76F9" w:rsidP="00DA7A96" w14:paraId="77CE00D4" w14:textId="77777777">
      <w:pPr>
        <w:jc w:val="center"/>
        <w:rPr>
          <w:b/>
          <w:szCs w:val="24"/>
        </w:rPr>
      </w:pPr>
      <w:r>
        <w:rPr>
          <w:b/>
          <w:szCs w:val="24"/>
        </w:rPr>
        <w:t xml:space="preserve">INITIAL BRIEF FOR CONSUMER PROTECTION </w:t>
      </w:r>
    </w:p>
    <w:p w:rsidR="00DA7A96" w:rsidP="00DA7A96" w14:paraId="3502BD6D" w14:textId="77777777">
      <w:pPr>
        <w:jc w:val="center"/>
        <w:rPr>
          <w:b/>
          <w:bCs/>
        </w:rPr>
      </w:pPr>
      <w:r>
        <w:rPr>
          <w:b/>
          <w:bCs/>
        </w:rPr>
        <w:t>BY</w:t>
      </w:r>
    </w:p>
    <w:p w:rsidR="00DA7A96" w:rsidP="00DA7A96" w14:paraId="4529D48A" w14:textId="77777777">
      <w:pPr>
        <w:jc w:val="center"/>
        <w:rPr>
          <w:b/>
          <w:bCs/>
        </w:rPr>
      </w:pPr>
      <w:r>
        <w:rPr>
          <w:b/>
          <w:bCs/>
        </w:rPr>
        <w:t>OFFICE OF THE OHIO CONSUMERS’ COUNSEL</w:t>
      </w:r>
    </w:p>
    <w:p w:rsidR="00DA7A96" w:rsidP="00DA7A96" w14:paraId="70CB9915" w14:textId="77777777">
      <w:pPr>
        <w:pBdr>
          <w:bottom w:val="single" w:sz="12" w:space="1" w:color="auto"/>
        </w:pBdr>
        <w:tabs>
          <w:tab w:val="left" w:pos="4320"/>
        </w:tabs>
      </w:pPr>
    </w:p>
    <w:p w:rsidR="00DA7A96" w14:paraId="65AC6772" w14:textId="77777777">
      <w:pPr>
        <w:pStyle w:val="HTMLPreformatted"/>
        <w:jc w:val="center"/>
        <w:rPr>
          <w:rFonts w:ascii="Times New Roman" w:hAnsi="Times New Roman"/>
          <w:b/>
          <w:bCs/>
          <w:sz w:val="24"/>
        </w:rPr>
      </w:pPr>
    </w:p>
    <w:p w:rsidR="00DA7A96" w14:paraId="5F9B35F6" w14:textId="5E375968">
      <w:pPr>
        <w:pStyle w:val="HTMLPreformatted"/>
        <w:jc w:val="center"/>
        <w:rPr>
          <w:rFonts w:ascii="Times New Roman" w:hAnsi="Times New Roman"/>
          <w:b/>
          <w:bCs/>
          <w:sz w:val="24"/>
        </w:rPr>
      </w:pPr>
    </w:p>
    <w:p w:rsidR="00DA7A96" w14:paraId="0C6DD854" w14:textId="6D10D76B">
      <w:pPr>
        <w:pStyle w:val="HTMLPreformatted"/>
        <w:jc w:val="center"/>
        <w:rPr>
          <w:rFonts w:ascii="Times New Roman" w:hAnsi="Times New Roman"/>
          <w:b/>
          <w:bCs/>
          <w:sz w:val="24"/>
        </w:rPr>
      </w:pPr>
    </w:p>
    <w:p w:rsidR="00DA7A96" w14:paraId="3A2519F5" w14:textId="77777777">
      <w:pPr>
        <w:pStyle w:val="HTMLPreformatted"/>
        <w:jc w:val="center"/>
        <w:rPr>
          <w:rFonts w:ascii="Times New Roman" w:hAnsi="Times New Roman"/>
          <w:b/>
          <w:bCs/>
          <w:sz w:val="24"/>
        </w:rPr>
      </w:pPr>
    </w:p>
    <w:p w:rsidR="00DA7A96" w:rsidRPr="00313201" w:rsidP="00DA7A96" w14:paraId="570B7E81" w14:textId="77777777">
      <w:pPr>
        <w:widowControl w:val="0"/>
        <w:ind w:left="3600" w:right="-672" w:firstLine="720"/>
        <w:rPr>
          <w:szCs w:val="24"/>
        </w:rPr>
      </w:pPr>
      <w:r w:rsidRPr="00313201">
        <w:rPr>
          <w:szCs w:val="24"/>
        </w:rPr>
        <w:t>Bruce Weston (0016973)</w:t>
      </w:r>
    </w:p>
    <w:p w:rsidR="00DA7A96" w:rsidRPr="00313201" w:rsidP="00DA7A96" w14:paraId="6F011059" w14:textId="77777777">
      <w:pPr>
        <w:tabs>
          <w:tab w:val="left" w:pos="4320"/>
        </w:tabs>
        <w:rPr>
          <w:szCs w:val="24"/>
        </w:rPr>
      </w:pPr>
      <w:r w:rsidRPr="00313201">
        <w:rPr>
          <w:szCs w:val="24"/>
        </w:rPr>
        <w:tab/>
        <w:t>Ohio Consumers’ Counsel</w:t>
      </w:r>
    </w:p>
    <w:p w:rsidR="00DA7A96" w:rsidRPr="00313201" w:rsidP="00DA7A96" w14:paraId="16DD1F58" w14:textId="77777777">
      <w:pPr>
        <w:tabs>
          <w:tab w:val="left" w:pos="4320"/>
        </w:tabs>
        <w:rPr>
          <w:szCs w:val="24"/>
        </w:rPr>
      </w:pPr>
      <w:r w:rsidRPr="00313201">
        <w:rPr>
          <w:szCs w:val="24"/>
        </w:rPr>
        <w:tab/>
      </w:r>
    </w:p>
    <w:p w:rsidR="00DA7A96" w:rsidRPr="00313201" w:rsidP="00DA7A96" w14:paraId="21BD1DCF" w14:textId="322F5E09">
      <w:pPr>
        <w:tabs>
          <w:tab w:val="left" w:pos="4320"/>
        </w:tabs>
        <w:rPr>
          <w:szCs w:val="24"/>
        </w:rPr>
      </w:pPr>
      <w:r w:rsidRPr="00313201">
        <w:rPr>
          <w:szCs w:val="24"/>
        </w:rPr>
        <w:tab/>
        <w:t>Amy Botschner O’Brien (0074423)</w:t>
      </w:r>
    </w:p>
    <w:p w:rsidR="00DA7A96" w:rsidRPr="00313201" w:rsidP="00DA7A96" w14:paraId="6F2D5AB3" w14:textId="77777777">
      <w:pPr>
        <w:tabs>
          <w:tab w:val="left" w:pos="4320"/>
        </w:tabs>
        <w:ind w:firstLine="4320"/>
        <w:rPr>
          <w:szCs w:val="24"/>
        </w:rPr>
      </w:pPr>
      <w:r w:rsidRPr="00313201">
        <w:rPr>
          <w:szCs w:val="24"/>
        </w:rPr>
        <w:t>Counsel of Record</w:t>
      </w:r>
    </w:p>
    <w:p w:rsidR="00DA7A96" w:rsidRPr="00313201" w:rsidP="00DA7A96" w14:paraId="39FD7053" w14:textId="77777777">
      <w:pPr>
        <w:tabs>
          <w:tab w:val="left" w:pos="4320"/>
        </w:tabs>
        <w:ind w:left="4320"/>
        <w:jc w:val="both"/>
      </w:pPr>
      <w:r w:rsidRPr="00313201">
        <w:t>Ambrosia E. Wilson (0096598)</w:t>
      </w:r>
    </w:p>
    <w:p w:rsidR="00DA7A96" w:rsidRPr="00313201" w:rsidP="00DA7A96" w14:paraId="4ACAFE30" w14:textId="77777777">
      <w:pPr>
        <w:tabs>
          <w:tab w:val="left" w:pos="4320"/>
        </w:tabs>
        <w:rPr>
          <w:szCs w:val="24"/>
        </w:rPr>
      </w:pPr>
      <w:r w:rsidRPr="00313201">
        <w:rPr>
          <w:szCs w:val="24"/>
        </w:rPr>
        <w:tab/>
        <w:t>Assistant Consumers’ Counsel</w:t>
      </w:r>
    </w:p>
    <w:p w:rsidR="00DA7A96" w:rsidRPr="00313201" w:rsidP="00DA7A96" w14:paraId="68864FB3" w14:textId="77777777">
      <w:r w:rsidRPr="00313201">
        <w:tab/>
      </w:r>
    </w:p>
    <w:p w:rsidR="00DA7A96" w:rsidRPr="00313201" w:rsidP="00DA7A96" w14:paraId="03AC852F" w14:textId="77777777">
      <w:pPr>
        <w:ind w:left="4320"/>
        <w:rPr>
          <w:b/>
          <w:bCs/>
        </w:rPr>
      </w:pPr>
      <w:r w:rsidRPr="00313201">
        <w:rPr>
          <w:b/>
          <w:bCs/>
        </w:rPr>
        <w:t>Office of the Ohio Consumers’ Counsel</w:t>
      </w:r>
    </w:p>
    <w:p w:rsidR="00DA7A96" w:rsidRPr="00313201" w:rsidP="00DA7A96" w14:paraId="0C7E18EB" w14:textId="77777777">
      <w:pPr>
        <w:ind w:left="4320"/>
        <w:rPr>
          <w:b/>
        </w:rPr>
      </w:pPr>
      <w:r w:rsidRPr="00313201">
        <w:t xml:space="preserve">65 East State Street, </w:t>
      </w:r>
      <w:r>
        <w:t>Suite 700</w:t>
      </w:r>
    </w:p>
    <w:p w:rsidR="00DA7A96" w:rsidRPr="00313201" w:rsidP="00DA7A96" w14:paraId="5C8EB5BA" w14:textId="77777777">
      <w:pPr>
        <w:ind w:left="4320"/>
        <w:rPr>
          <w:b/>
        </w:rPr>
      </w:pPr>
      <w:r w:rsidRPr="00313201">
        <w:t>Columbus, Ohio 43215</w:t>
      </w:r>
    </w:p>
    <w:p w:rsidR="00DA7A96" w:rsidRPr="00313201" w:rsidP="00DA7A96" w14:paraId="69DE8FE9" w14:textId="77777777">
      <w:pPr>
        <w:autoSpaceDE w:val="0"/>
        <w:autoSpaceDN w:val="0"/>
        <w:adjustRightInd w:val="0"/>
        <w:ind w:left="3600" w:firstLine="720"/>
        <w:rPr>
          <w:szCs w:val="24"/>
        </w:rPr>
      </w:pPr>
      <w:r w:rsidRPr="00313201">
        <w:rPr>
          <w:szCs w:val="24"/>
        </w:rPr>
        <w:t>Telephone [Botschner]: (614) 466-9575</w:t>
      </w:r>
    </w:p>
    <w:p w:rsidR="00DA7A96" w:rsidRPr="00313201" w:rsidP="00DA7A96" w14:paraId="1A43DAB4" w14:textId="77777777">
      <w:pPr>
        <w:autoSpaceDE w:val="0"/>
        <w:autoSpaceDN w:val="0"/>
        <w:adjustRightInd w:val="0"/>
        <w:ind w:left="3600" w:firstLine="720"/>
        <w:rPr>
          <w:szCs w:val="24"/>
        </w:rPr>
      </w:pPr>
      <w:r w:rsidRPr="00313201">
        <w:rPr>
          <w:szCs w:val="24"/>
        </w:rPr>
        <w:t>Telephone [Wilson]: (614) 466-1292</w:t>
      </w:r>
    </w:p>
    <w:p w:rsidR="00DA7A96" w:rsidRPr="00313201" w:rsidP="00DA7A96" w14:paraId="3829E4F0" w14:textId="77777777">
      <w:pPr>
        <w:rPr>
          <w:szCs w:val="24"/>
        </w:rPr>
      </w:pPr>
      <w:r w:rsidRPr="00313201">
        <w:rPr>
          <w:szCs w:val="24"/>
        </w:rPr>
        <w:tab/>
      </w:r>
      <w:r w:rsidRPr="00313201">
        <w:rPr>
          <w:szCs w:val="24"/>
        </w:rPr>
        <w:tab/>
      </w:r>
      <w:r w:rsidRPr="00313201">
        <w:rPr>
          <w:szCs w:val="24"/>
        </w:rPr>
        <w:tab/>
      </w:r>
      <w:r w:rsidRPr="00313201">
        <w:rPr>
          <w:szCs w:val="24"/>
        </w:rPr>
        <w:tab/>
      </w:r>
      <w:r w:rsidRPr="00313201">
        <w:rPr>
          <w:szCs w:val="24"/>
        </w:rPr>
        <w:tab/>
      </w:r>
      <w:r w:rsidRPr="00313201">
        <w:rPr>
          <w:szCs w:val="24"/>
        </w:rPr>
        <w:tab/>
      </w:r>
      <w:hyperlink r:id="rId6" w:history="1">
        <w:r w:rsidRPr="00313201">
          <w:rPr>
            <w:rFonts w:eastAsia="SimSun"/>
            <w:color w:val="0000FF"/>
            <w:szCs w:val="24"/>
            <w:u w:val="single"/>
          </w:rPr>
          <w:t>amy.botschner.obrien@occ.ohio.gov</w:t>
        </w:r>
      </w:hyperlink>
    </w:p>
    <w:p w:rsidR="00DA7A96" w:rsidRPr="00313201" w:rsidP="00DA7A96" w14:paraId="3A4091D8" w14:textId="77777777">
      <w:pPr>
        <w:ind w:left="4320"/>
        <w:jc w:val="both"/>
        <w:rPr>
          <w:color w:val="0000FF"/>
        </w:rPr>
      </w:pPr>
      <w:hyperlink r:id="rId7" w:history="1">
        <w:r w:rsidRPr="00313201" w:rsidR="00F14EA5">
          <w:rPr>
            <w:rFonts w:eastAsia="SimSun"/>
            <w:color w:val="0000FF"/>
            <w:u w:val="single"/>
          </w:rPr>
          <w:t>ambrosia.wilson@occ.ohio.gov</w:t>
        </w:r>
      </w:hyperlink>
      <w:r w:rsidRPr="00313201" w:rsidR="00F14EA5">
        <w:rPr>
          <w:color w:val="0000FF"/>
        </w:rPr>
        <w:t xml:space="preserve"> </w:t>
      </w:r>
    </w:p>
    <w:p w:rsidR="00DA7A96" w:rsidRPr="00313201" w:rsidP="00DA7A96" w14:paraId="5A27F052" w14:textId="22BD84D1">
      <w:pPr>
        <w:rPr>
          <w:szCs w:val="24"/>
        </w:rPr>
      </w:pPr>
      <w:r>
        <w:rPr>
          <w:szCs w:val="24"/>
        </w:rPr>
        <w:t>April 20, 2022</w:t>
      </w:r>
      <w:r>
        <w:rPr>
          <w:szCs w:val="24"/>
        </w:rPr>
        <w:tab/>
      </w:r>
      <w:r>
        <w:rPr>
          <w:szCs w:val="24"/>
        </w:rPr>
        <w:tab/>
      </w:r>
      <w:r>
        <w:rPr>
          <w:szCs w:val="24"/>
        </w:rPr>
        <w:tab/>
      </w:r>
      <w:r>
        <w:rPr>
          <w:szCs w:val="24"/>
        </w:rPr>
        <w:tab/>
      </w:r>
      <w:r>
        <w:rPr>
          <w:szCs w:val="24"/>
        </w:rPr>
        <w:tab/>
      </w:r>
      <w:r w:rsidRPr="00313201">
        <w:rPr>
          <w:szCs w:val="24"/>
        </w:rPr>
        <w:t>(</w:t>
      </w:r>
      <w:r>
        <w:rPr>
          <w:szCs w:val="24"/>
        </w:rPr>
        <w:t>willing</w:t>
      </w:r>
      <w:r w:rsidRPr="00313201">
        <w:t xml:space="preserve"> to accept service by e-mail)</w:t>
      </w:r>
      <w:r w:rsidRPr="00313201">
        <w:rPr>
          <w:szCs w:val="24"/>
        </w:rPr>
        <w:tab/>
      </w:r>
    </w:p>
    <w:p w:rsidR="00DA7A96" w14:paraId="5CF8FB93" w14:textId="77777777">
      <w:pPr>
        <w:pStyle w:val="HTMLPreformatted"/>
        <w:jc w:val="center"/>
        <w:rPr>
          <w:rFonts w:ascii="Times New Roman" w:hAnsi="Times New Roman"/>
          <w:b/>
          <w:bCs/>
          <w:sz w:val="24"/>
        </w:rPr>
      </w:pPr>
    </w:p>
    <w:p w:rsidR="00DA7A96" w14:paraId="0F4EBACD" w14:textId="77777777">
      <w:pPr>
        <w:pStyle w:val="HTMLPreformatted"/>
        <w:jc w:val="center"/>
        <w:rPr>
          <w:rFonts w:ascii="Times New Roman" w:hAnsi="Times New Roman"/>
          <w:b/>
          <w:bCs/>
          <w:sz w:val="24"/>
        </w:rPr>
      </w:pPr>
    </w:p>
    <w:p w:rsidR="00DA7A96" w14:paraId="6C6D74C9" w14:textId="6071F848">
      <w:pPr>
        <w:pStyle w:val="HTMLPreformatted"/>
        <w:jc w:val="center"/>
        <w:rPr>
          <w:rFonts w:ascii="Times New Roman" w:hAnsi="Times New Roman"/>
          <w:b/>
          <w:bCs/>
          <w:sz w:val="24"/>
        </w:rPr>
        <w:sectPr>
          <w:footerReference w:type="default" r:id="rId8"/>
          <w:pgSz w:w="12240" w:h="15840"/>
          <w:pgMar w:top="1440" w:right="1800" w:bottom="1440" w:left="1800" w:header="720" w:footer="720" w:gutter="0"/>
          <w:pgNumType w:start="1"/>
          <w:cols w:space="720"/>
          <w:titlePg/>
          <w:docGrid w:linePitch="65"/>
        </w:sectPr>
      </w:pPr>
    </w:p>
    <w:p w:rsidR="00DA7A96" w14:paraId="14BB2D57" w14:textId="77777777">
      <w:pPr>
        <w:pStyle w:val="HTMLPreformatted"/>
        <w:jc w:val="center"/>
        <w:rPr>
          <w:rFonts w:ascii="Times New Roman" w:hAnsi="Times New Roman"/>
          <w:b/>
          <w:bCs/>
          <w:sz w:val="24"/>
          <w:u w:val="single"/>
        </w:rPr>
      </w:pPr>
      <w:r>
        <w:rPr>
          <w:rFonts w:ascii="Times New Roman" w:hAnsi="Times New Roman"/>
          <w:b/>
          <w:bCs/>
          <w:sz w:val="24"/>
          <w:u w:val="single"/>
        </w:rPr>
        <w:t>TABLE OF CONTENTS</w:t>
      </w:r>
    </w:p>
    <w:p w:rsidR="00DA7A96" w14:paraId="537B2933" w14:textId="77777777">
      <w:pPr>
        <w:pStyle w:val="HTMLPreformatted"/>
        <w:jc w:val="center"/>
        <w:rPr>
          <w:rFonts w:ascii="Times New Roman" w:hAnsi="Times New Roman"/>
          <w:b/>
          <w:bCs/>
          <w:sz w:val="24"/>
          <w:u w:val="single"/>
        </w:rPr>
      </w:pPr>
    </w:p>
    <w:p w:rsidR="00DA7A96" w:rsidP="00DA7A96" w14:paraId="6456ECCD" w14:textId="77777777">
      <w:pPr>
        <w:pStyle w:val="HTMLPreformatted"/>
        <w:jc w:val="right"/>
        <w:rPr>
          <w:rFonts w:ascii="Times New Roman" w:hAnsi="Times New Roman"/>
          <w:b/>
          <w:bCs/>
          <w:sz w:val="24"/>
        </w:rPr>
      </w:pPr>
      <w:r>
        <w:rPr>
          <w:rFonts w:ascii="Times New Roman" w:hAnsi="Times New Roman"/>
          <w:b/>
          <w:bCs/>
          <w:sz w:val="24"/>
        </w:rPr>
        <w:t>PAGE</w:t>
      </w:r>
    </w:p>
    <w:p w:rsidR="00335D44" w14:paraId="6F644BDE" w14:textId="3D0E0EC1">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01364565" w:history="1">
        <w:r w:rsidRPr="00805B78">
          <w:rPr>
            <w:rStyle w:val="Hyperlink"/>
            <w:noProof/>
          </w:rPr>
          <w:t>I.</w:t>
        </w:r>
        <w:r>
          <w:rPr>
            <w:rFonts w:asciiTheme="minorHAnsi" w:eastAsiaTheme="minorEastAsia" w:hAnsiTheme="minorHAnsi" w:cstheme="minorBidi"/>
            <w:noProof/>
            <w:sz w:val="22"/>
            <w:szCs w:val="22"/>
          </w:rPr>
          <w:tab/>
        </w:r>
        <w:r w:rsidRPr="00805B78">
          <w:rPr>
            <w:rStyle w:val="Hyperlink"/>
            <w:noProof/>
          </w:rPr>
          <w:t>INTRODUCTION</w:t>
        </w:r>
        <w:r>
          <w:rPr>
            <w:noProof/>
            <w:webHidden/>
          </w:rPr>
          <w:tab/>
        </w:r>
        <w:r>
          <w:rPr>
            <w:noProof/>
            <w:webHidden/>
          </w:rPr>
          <w:fldChar w:fldCharType="begin"/>
        </w:r>
        <w:r>
          <w:rPr>
            <w:noProof/>
            <w:webHidden/>
          </w:rPr>
          <w:instrText xml:space="preserve"> PAGEREF _Toc101364565 \h </w:instrText>
        </w:r>
        <w:r>
          <w:rPr>
            <w:noProof/>
            <w:webHidden/>
          </w:rPr>
          <w:fldChar w:fldCharType="separate"/>
        </w:r>
        <w:r>
          <w:rPr>
            <w:noProof/>
            <w:webHidden/>
          </w:rPr>
          <w:t>1</w:t>
        </w:r>
        <w:r>
          <w:rPr>
            <w:noProof/>
            <w:webHidden/>
          </w:rPr>
          <w:fldChar w:fldCharType="end"/>
        </w:r>
      </w:hyperlink>
    </w:p>
    <w:p w:rsidR="00335D44" w14:paraId="75BF770A" w14:textId="0A3E3589">
      <w:pPr>
        <w:pStyle w:val="TOC1"/>
        <w:rPr>
          <w:rFonts w:asciiTheme="minorHAnsi" w:eastAsiaTheme="minorEastAsia" w:hAnsiTheme="minorHAnsi" w:cstheme="minorBidi"/>
          <w:noProof/>
          <w:sz w:val="22"/>
          <w:szCs w:val="22"/>
        </w:rPr>
      </w:pPr>
      <w:hyperlink w:anchor="_Toc101364566" w:history="1">
        <w:r w:rsidRPr="00805B78">
          <w:rPr>
            <w:rStyle w:val="Hyperlink"/>
            <w:noProof/>
          </w:rPr>
          <w:t>II.</w:t>
        </w:r>
        <w:r>
          <w:rPr>
            <w:rFonts w:asciiTheme="minorHAnsi" w:eastAsiaTheme="minorEastAsia" w:hAnsiTheme="minorHAnsi" w:cstheme="minorBidi"/>
            <w:noProof/>
            <w:sz w:val="22"/>
            <w:szCs w:val="22"/>
          </w:rPr>
          <w:tab/>
        </w:r>
        <w:r w:rsidRPr="00805B78">
          <w:rPr>
            <w:rStyle w:val="Hyperlink"/>
            <w:noProof/>
          </w:rPr>
          <w:t>RECOMMENDATIONS</w:t>
        </w:r>
        <w:r>
          <w:rPr>
            <w:noProof/>
            <w:webHidden/>
          </w:rPr>
          <w:tab/>
        </w:r>
        <w:r>
          <w:rPr>
            <w:noProof/>
            <w:webHidden/>
          </w:rPr>
          <w:fldChar w:fldCharType="begin"/>
        </w:r>
        <w:r>
          <w:rPr>
            <w:noProof/>
            <w:webHidden/>
          </w:rPr>
          <w:instrText xml:space="preserve"> PAGEREF _Toc101364566 \h </w:instrText>
        </w:r>
        <w:r>
          <w:rPr>
            <w:noProof/>
            <w:webHidden/>
          </w:rPr>
          <w:fldChar w:fldCharType="separate"/>
        </w:r>
        <w:r>
          <w:rPr>
            <w:noProof/>
            <w:webHidden/>
          </w:rPr>
          <w:t>3</w:t>
        </w:r>
        <w:r>
          <w:rPr>
            <w:noProof/>
            <w:webHidden/>
          </w:rPr>
          <w:fldChar w:fldCharType="end"/>
        </w:r>
      </w:hyperlink>
    </w:p>
    <w:p w:rsidR="00335D44" w14:paraId="4D46A10F" w14:textId="545577F2">
      <w:pPr>
        <w:pStyle w:val="TOC2"/>
        <w:tabs>
          <w:tab w:val="left" w:pos="1440"/>
        </w:tabs>
        <w:rPr>
          <w:rFonts w:asciiTheme="minorHAnsi" w:eastAsiaTheme="minorEastAsia" w:hAnsiTheme="minorHAnsi" w:cstheme="minorBidi"/>
          <w:noProof/>
          <w:sz w:val="22"/>
          <w:szCs w:val="22"/>
        </w:rPr>
      </w:pPr>
      <w:hyperlink w:anchor="_Toc101364567" w:history="1">
        <w:r w:rsidRPr="00805B78">
          <w:rPr>
            <w:rStyle w:val="Hyperlink"/>
            <w:rFonts w:eastAsia="SimSun"/>
            <w:noProof/>
          </w:rPr>
          <w:t>A.</w:t>
        </w:r>
        <w:r>
          <w:rPr>
            <w:rFonts w:asciiTheme="minorHAnsi" w:eastAsiaTheme="minorEastAsia" w:hAnsiTheme="minorHAnsi" w:cstheme="minorBidi"/>
            <w:noProof/>
            <w:sz w:val="22"/>
            <w:szCs w:val="22"/>
          </w:rPr>
          <w:tab/>
        </w:r>
        <w:r w:rsidRPr="00805B78">
          <w:rPr>
            <w:rStyle w:val="Hyperlink"/>
            <w:rFonts w:eastAsia="SimSun"/>
            <w:noProof/>
          </w:rPr>
          <w:t xml:space="preserve">To protect consumers, the PUCO should find that utilizing Dominion’s proposed rate of return as set in its last base rate case thirteen years ago </w:t>
        </w:r>
        <w:r>
          <w:rPr>
            <w:rStyle w:val="Hyperlink"/>
            <w:rFonts w:eastAsia="SimSun"/>
            <w:noProof/>
          </w:rPr>
          <w:br/>
        </w:r>
        <w:r w:rsidRPr="00805B78">
          <w:rPr>
            <w:rStyle w:val="Hyperlink"/>
            <w:rFonts w:eastAsia="SimSun"/>
            <w:noProof/>
          </w:rPr>
          <w:t>is unjust and unreasonable and should not be adopted.</w:t>
        </w:r>
        <w:r>
          <w:rPr>
            <w:noProof/>
            <w:webHidden/>
          </w:rPr>
          <w:tab/>
        </w:r>
        <w:r>
          <w:rPr>
            <w:noProof/>
            <w:webHidden/>
          </w:rPr>
          <w:fldChar w:fldCharType="begin"/>
        </w:r>
        <w:r>
          <w:rPr>
            <w:noProof/>
            <w:webHidden/>
          </w:rPr>
          <w:instrText xml:space="preserve"> PAGEREF _Toc101364567 \h </w:instrText>
        </w:r>
        <w:r>
          <w:rPr>
            <w:noProof/>
            <w:webHidden/>
          </w:rPr>
          <w:fldChar w:fldCharType="separate"/>
        </w:r>
        <w:r>
          <w:rPr>
            <w:noProof/>
            <w:webHidden/>
          </w:rPr>
          <w:t>3</w:t>
        </w:r>
        <w:r>
          <w:rPr>
            <w:noProof/>
            <w:webHidden/>
          </w:rPr>
          <w:fldChar w:fldCharType="end"/>
        </w:r>
      </w:hyperlink>
    </w:p>
    <w:p w:rsidR="00335D44" w14:paraId="299DA1FB" w14:textId="156F1CD9">
      <w:pPr>
        <w:pStyle w:val="TOC3"/>
        <w:tabs>
          <w:tab w:val="left" w:pos="2160"/>
        </w:tabs>
        <w:rPr>
          <w:rFonts w:asciiTheme="minorHAnsi" w:eastAsiaTheme="minorEastAsia" w:hAnsiTheme="minorHAnsi" w:cstheme="minorBidi"/>
          <w:noProof/>
          <w:sz w:val="22"/>
          <w:szCs w:val="22"/>
        </w:rPr>
      </w:pPr>
      <w:hyperlink w:anchor="_Toc101364568" w:history="1">
        <w:r w:rsidRPr="00805B78">
          <w:rPr>
            <w:rStyle w:val="Hyperlink"/>
            <w:noProof/>
          </w:rPr>
          <w:t xml:space="preserve">1. </w:t>
        </w:r>
        <w:r>
          <w:rPr>
            <w:rFonts w:asciiTheme="minorHAnsi" w:eastAsiaTheme="minorEastAsia" w:hAnsiTheme="minorHAnsi" w:cstheme="minorBidi"/>
            <w:noProof/>
            <w:sz w:val="22"/>
            <w:szCs w:val="22"/>
          </w:rPr>
          <w:tab/>
        </w:r>
        <w:r w:rsidRPr="00805B78">
          <w:rPr>
            <w:rStyle w:val="Hyperlink"/>
            <w:noProof/>
          </w:rPr>
          <w:t xml:space="preserve">Dominion has the burden of proof and has failed to demonstrate </w:t>
        </w:r>
        <w:r>
          <w:rPr>
            <w:rStyle w:val="Hyperlink"/>
            <w:noProof/>
          </w:rPr>
          <w:br/>
        </w:r>
        <w:r w:rsidRPr="00805B78">
          <w:rPr>
            <w:rStyle w:val="Hyperlink"/>
            <w:noProof/>
          </w:rPr>
          <w:t>its proposed pre-tax rate of return of 9.91% is just and reasonable in setting consumer charges.</w:t>
        </w:r>
        <w:r>
          <w:rPr>
            <w:noProof/>
            <w:webHidden/>
          </w:rPr>
          <w:tab/>
        </w:r>
        <w:r>
          <w:rPr>
            <w:noProof/>
            <w:webHidden/>
          </w:rPr>
          <w:fldChar w:fldCharType="begin"/>
        </w:r>
        <w:r>
          <w:rPr>
            <w:noProof/>
            <w:webHidden/>
          </w:rPr>
          <w:instrText xml:space="preserve"> PAGEREF _Toc101364568 \h </w:instrText>
        </w:r>
        <w:r>
          <w:rPr>
            <w:noProof/>
            <w:webHidden/>
          </w:rPr>
          <w:fldChar w:fldCharType="separate"/>
        </w:r>
        <w:r>
          <w:rPr>
            <w:noProof/>
            <w:webHidden/>
          </w:rPr>
          <w:t>3</w:t>
        </w:r>
        <w:r>
          <w:rPr>
            <w:noProof/>
            <w:webHidden/>
          </w:rPr>
          <w:fldChar w:fldCharType="end"/>
        </w:r>
      </w:hyperlink>
    </w:p>
    <w:p w:rsidR="00335D44" w14:paraId="1F5BD262" w14:textId="728DC78C">
      <w:pPr>
        <w:pStyle w:val="TOC3"/>
        <w:tabs>
          <w:tab w:val="left" w:pos="2160"/>
        </w:tabs>
        <w:rPr>
          <w:rFonts w:asciiTheme="minorHAnsi" w:eastAsiaTheme="minorEastAsia" w:hAnsiTheme="minorHAnsi" w:cstheme="minorBidi"/>
          <w:noProof/>
          <w:sz w:val="22"/>
          <w:szCs w:val="22"/>
        </w:rPr>
      </w:pPr>
      <w:hyperlink w:anchor="_Toc101364569" w:history="1">
        <w:r w:rsidRPr="00805B78">
          <w:rPr>
            <w:rStyle w:val="Hyperlink"/>
            <w:noProof/>
          </w:rPr>
          <w:t>2.</w:t>
        </w:r>
        <w:r>
          <w:rPr>
            <w:rFonts w:asciiTheme="minorHAnsi" w:eastAsiaTheme="minorEastAsia" w:hAnsiTheme="minorHAnsi" w:cstheme="minorBidi"/>
            <w:noProof/>
            <w:sz w:val="22"/>
            <w:szCs w:val="22"/>
          </w:rPr>
          <w:tab/>
        </w:r>
        <w:r w:rsidRPr="00805B78">
          <w:rPr>
            <w:rStyle w:val="Hyperlink"/>
            <w:noProof/>
          </w:rPr>
          <w:t xml:space="preserve">The PUCO is not required to use the rate of return set 13 years </w:t>
        </w:r>
        <w:r>
          <w:rPr>
            <w:rStyle w:val="Hyperlink"/>
            <w:noProof/>
          </w:rPr>
          <w:br/>
        </w:r>
        <w:r w:rsidRPr="00805B78">
          <w:rPr>
            <w:rStyle w:val="Hyperlink"/>
            <w:noProof/>
          </w:rPr>
          <w:t xml:space="preserve">ago in Dominion’s last rate case and the PUCO’s past practice cannot justify unreasonable and unjust rates that harm </w:t>
        </w:r>
        <w:r>
          <w:rPr>
            <w:rStyle w:val="Hyperlink"/>
            <w:noProof/>
          </w:rPr>
          <w:br/>
        </w:r>
        <w:r w:rsidRPr="00805B78">
          <w:rPr>
            <w:rStyle w:val="Hyperlink"/>
            <w:noProof/>
          </w:rPr>
          <w:t>consumers.</w:t>
        </w:r>
        <w:r>
          <w:rPr>
            <w:noProof/>
            <w:webHidden/>
          </w:rPr>
          <w:tab/>
        </w:r>
        <w:r>
          <w:rPr>
            <w:noProof/>
            <w:webHidden/>
          </w:rPr>
          <w:fldChar w:fldCharType="begin"/>
        </w:r>
        <w:r>
          <w:rPr>
            <w:noProof/>
            <w:webHidden/>
          </w:rPr>
          <w:instrText xml:space="preserve"> PAGEREF _Toc101364569 \h </w:instrText>
        </w:r>
        <w:r>
          <w:rPr>
            <w:noProof/>
            <w:webHidden/>
          </w:rPr>
          <w:fldChar w:fldCharType="separate"/>
        </w:r>
        <w:r>
          <w:rPr>
            <w:noProof/>
            <w:webHidden/>
          </w:rPr>
          <w:t>4</w:t>
        </w:r>
        <w:r>
          <w:rPr>
            <w:noProof/>
            <w:webHidden/>
          </w:rPr>
          <w:fldChar w:fldCharType="end"/>
        </w:r>
      </w:hyperlink>
    </w:p>
    <w:p w:rsidR="00335D44" w14:paraId="20A2B5EC" w14:textId="442D3A4C">
      <w:pPr>
        <w:pStyle w:val="TOC3"/>
        <w:tabs>
          <w:tab w:val="left" w:pos="2160"/>
        </w:tabs>
        <w:rPr>
          <w:rFonts w:asciiTheme="minorHAnsi" w:eastAsiaTheme="minorEastAsia" w:hAnsiTheme="minorHAnsi" w:cstheme="minorBidi"/>
          <w:noProof/>
          <w:sz w:val="22"/>
          <w:szCs w:val="22"/>
        </w:rPr>
      </w:pPr>
      <w:hyperlink w:anchor="_Toc101364570" w:history="1">
        <w:r w:rsidRPr="00805B78">
          <w:rPr>
            <w:rStyle w:val="Hyperlink"/>
            <w:noProof/>
          </w:rPr>
          <w:t>3.</w:t>
        </w:r>
        <w:r>
          <w:rPr>
            <w:rFonts w:asciiTheme="minorHAnsi" w:eastAsiaTheme="minorEastAsia" w:hAnsiTheme="minorHAnsi" w:cstheme="minorBidi"/>
            <w:noProof/>
            <w:sz w:val="22"/>
            <w:szCs w:val="22"/>
          </w:rPr>
          <w:tab/>
        </w:r>
        <w:r w:rsidRPr="00805B78">
          <w:rPr>
            <w:rStyle w:val="Hyperlink"/>
            <w:noProof/>
          </w:rPr>
          <w:t xml:space="preserve">The rate case filing requirement ordered by the PUCO does not eliminate the need to adopt a just and reasonable rate of return </w:t>
        </w:r>
        <w:r>
          <w:rPr>
            <w:rStyle w:val="Hyperlink"/>
            <w:noProof/>
          </w:rPr>
          <w:br/>
        </w:r>
        <w:r w:rsidRPr="00805B78">
          <w:rPr>
            <w:rStyle w:val="Hyperlink"/>
            <w:noProof/>
          </w:rPr>
          <w:t>for use in setting consumer charges.</w:t>
        </w:r>
        <w:r>
          <w:rPr>
            <w:noProof/>
            <w:webHidden/>
          </w:rPr>
          <w:tab/>
        </w:r>
        <w:r>
          <w:rPr>
            <w:noProof/>
            <w:webHidden/>
          </w:rPr>
          <w:fldChar w:fldCharType="begin"/>
        </w:r>
        <w:r>
          <w:rPr>
            <w:noProof/>
            <w:webHidden/>
          </w:rPr>
          <w:instrText xml:space="preserve"> PAGEREF _Toc101364570 \h </w:instrText>
        </w:r>
        <w:r>
          <w:rPr>
            <w:noProof/>
            <w:webHidden/>
          </w:rPr>
          <w:fldChar w:fldCharType="separate"/>
        </w:r>
        <w:r>
          <w:rPr>
            <w:noProof/>
            <w:webHidden/>
          </w:rPr>
          <w:t>8</w:t>
        </w:r>
        <w:r>
          <w:rPr>
            <w:noProof/>
            <w:webHidden/>
          </w:rPr>
          <w:fldChar w:fldCharType="end"/>
        </w:r>
      </w:hyperlink>
    </w:p>
    <w:p w:rsidR="00335D44" w14:paraId="1D29DAAE" w14:textId="76F952FF">
      <w:pPr>
        <w:pStyle w:val="TOC2"/>
        <w:tabs>
          <w:tab w:val="left" w:pos="1440"/>
        </w:tabs>
        <w:rPr>
          <w:rFonts w:asciiTheme="minorHAnsi" w:eastAsiaTheme="minorEastAsia" w:hAnsiTheme="minorHAnsi" w:cstheme="minorBidi"/>
          <w:noProof/>
          <w:sz w:val="22"/>
          <w:szCs w:val="22"/>
        </w:rPr>
      </w:pPr>
      <w:hyperlink w:anchor="_Toc101364571" w:history="1">
        <w:r w:rsidRPr="00805B78">
          <w:rPr>
            <w:rStyle w:val="Hyperlink"/>
            <w:rFonts w:eastAsia="SimSun"/>
            <w:noProof/>
          </w:rPr>
          <w:t xml:space="preserve">B. </w:t>
        </w:r>
        <w:r>
          <w:rPr>
            <w:rFonts w:asciiTheme="minorHAnsi" w:eastAsiaTheme="minorEastAsia" w:hAnsiTheme="minorHAnsi" w:cstheme="minorBidi"/>
            <w:noProof/>
            <w:sz w:val="22"/>
            <w:szCs w:val="22"/>
          </w:rPr>
          <w:tab/>
        </w:r>
        <w:r w:rsidRPr="00805B78">
          <w:rPr>
            <w:rStyle w:val="Hyperlink"/>
            <w:rFonts w:eastAsia="SimSun"/>
            <w:noProof/>
          </w:rPr>
          <w:t>The PUCO should adopt an updated rate of return of 7.20%, as recommended by OCC, to protect consumers.</w:t>
        </w:r>
        <w:r>
          <w:rPr>
            <w:noProof/>
            <w:webHidden/>
          </w:rPr>
          <w:tab/>
        </w:r>
        <w:r>
          <w:rPr>
            <w:noProof/>
            <w:webHidden/>
          </w:rPr>
          <w:fldChar w:fldCharType="begin"/>
        </w:r>
        <w:r>
          <w:rPr>
            <w:noProof/>
            <w:webHidden/>
          </w:rPr>
          <w:instrText xml:space="preserve"> PAGEREF _Toc101364571 \h </w:instrText>
        </w:r>
        <w:r>
          <w:rPr>
            <w:noProof/>
            <w:webHidden/>
          </w:rPr>
          <w:fldChar w:fldCharType="separate"/>
        </w:r>
        <w:r>
          <w:rPr>
            <w:noProof/>
            <w:webHidden/>
          </w:rPr>
          <w:t>9</w:t>
        </w:r>
        <w:r>
          <w:rPr>
            <w:noProof/>
            <w:webHidden/>
          </w:rPr>
          <w:fldChar w:fldCharType="end"/>
        </w:r>
      </w:hyperlink>
    </w:p>
    <w:p w:rsidR="00335D44" w14:paraId="69B704AC" w14:textId="162259F1">
      <w:pPr>
        <w:pStyle w:val="TOC3"/>
        <w:tabs>
          <w:tab w:val="left" w:pos="2160"/>
        </w:tabs>
        <w:rPr>
          <w:rFonts w:asciiTheme="minorHAnsi" w:eastAsiaTheme="minorEastAsia" w:hAnsiTheme="minorHAnsi" w:cstheme="minorBidi"/>
          <w:noProof/>
          <w:sz w:val="22"/>
          <w:szCs w:val="22"/>
        </w:rPr>
      </w:pPr>
      <w:hyperlink w:anchor="_Toc101364572" w:history="1">
        <w:r w:rsidRPr="00805B78">
          <w:rPr>
            <w:rStyle w:val="Hyperlink"/>
            <w:noProof/>
          </w:rPr>
          <w:t xml:space="preserve">1. </w:t>
        </w:r>
        <w:r>
          <w:rPr>
            <w:rFonts w:asciiTheme="minorHAnsi" w:eastAsiaTheme="minorEastAsia" w:hAnsiTheme="minorHAnsi" w:cstheme="minorBidi"/>
            <w:noProof/>
            <w:sz w:val="22"/>
            <w:szCs w:val="22"/>
          </w:rPr>
          <w:tab/>
        </w:r>
        <w:r w:rsidRPr="00805B78">
          <w:rPr>
            <w:rStyle w:val="Hyperlink"/>
            <w:noProof/>
          </w:rPr>
          <w:t xml:space="preserve">OCC is the only party to address and quantify a just and </w:t>
        </w:r>
        <w:r>
          <w:rPr>
            <w:rStyle w:val="Hyperlink"/>
            <w:noProof/>
          </w:rPr>
          <w:br/>
        </w:r>
        <w:r w:rsidRPr="00805B78">
          <w:rPr>
            <w:rStyle w:val="Hyperlink"/>
            <w:noProof/>
          </w:rPr>
          <w:t>reasonable rate of return and its recommended rate of return of 7.20% should be adopted for use in setting consumer charges.</w:t>
        </w:r>
        <w:r>
          <w:rPr>
            <w:noProof/>
            <w:webHidden/>
          </w:rPr>
          <w:tab/>
        </w:r>
        <w:r>
          <w:rPr>
            <w:noProof/>
            <w:webHidden/>
          </w:rPr>
          <w:fldChar w:fldCharType="begin"/>
        </w:r>
        <w:r>
          <w:rPr>
            <w:noProof/>
            <w:webHidden/>
          </w:rPr>
          <w:instrText xml:space="preserve"> PAGEREF _Toc101364572 \h </w:instrText>
        </w:r>
        <w:r>
          <w:rPr>
            <w:noProof/>
            <w:webHidden/>
          </w:rPr>
          <w:fldChar w:fldCharType="separate"/>
        </w:r>
        <w:r>
          <w:rPr>
            <w:noProof/>
            <w:webHidden/>
          </w:rPr>
          <w:t>9</w:t>
        </w:r>
        <w:r>
          <w:rPr>
            <w:noProof/>
            <w:webHidden/>
          </w:rPr>
          <w:fldChar w:fldCharType="end"/>
        </w:r>
      </w:hyperlink>
    </w:p>
    <w:p w:rsidR="00335D44" w14:paraId="2D3B34EB" w14:textId="53304907">
      <w:pPr>
        <w:pStyle w:val="TOC3"/>
        <w:tabs>
          <w:tab w:val="left" w:pos="2160"/>
        </w:tabs>
        <w:rPr>
          <w:rFonts w:asciiTheme="minorHAnsi" w:eastAsiaTheme="minorEastAsia" w:hAnsiTheme="minorHAnsi" w:cstheme="minorBidi"/>
          <w:noProof/>
          <w:sz w:val="22"/>
          <w:szCs w:val="22"/>
        </w:rPr>
      </w:pPr>
      <w:hyperlink w:anchor="_Toc101364573" w:history="1">
        <w:r w:rsidRPr="00805B78">
          <w:rPr>
            <w:rStyle w:val="Hyperlink"/>
            <w:noProof/>
          </w:rPr>
          <w:t>2.</w:t>
        </w:r>
        <w:r>
          <w:rPr>
            <w:rFonts w:asciiTheme="minorHAnsi" w:eastAsiaTheme="minorEastAsia" w:hAnsiTheme="minorHAnsi" w:cstheme="minorBidi"/>
            <w:noProof/>
            <w:sz w:val="22"/>
            <w:szCs w:val="22"/>
          </w:rPr>
          <w:tab/>
        </w:r>
        <w:r w:rsidRPr="00805B78">
          <w:rPr>
            <w:rStyle w:val="Hyperlink"/>
            <w:noProof/>
          </w:rPr>
          <w:t>Adopting a 7.20% pre-tax rate return will save consumers approximately $45.8 million annually.</w:t>
        </w:r>
        <w:r>
          <w:rPr>
            <w:noProof/>
            <w:webHidden/>
          </w:rPr>
          <w:tab/>
        </w:r>
        <w:r>
          <w:rPr>
            <w:noProof/>
            <w:webHidden/>
          </w:rPr>
          <w:fldChar w:fldCharType="begin"/>
        </w:r>
        <w:r>
          <w:rPr>
            <w:noProof/>
            <w:webHidden/>
          </w:rPr>
          <w:instrText xml:space="preserve"> PAGEREF _Toc101364573 \h </w:instrText>
        </w:r>
        <w:r>
          <w:rPr>
            <w:noProof/>
            <w:webHidden/>
          </w:rPr>
          <w:fldChar w:fldCharType="separate"/>
        </w:r>
        <w:r>
          <w:rPr>
            <w:noProof/>
            <w:webHidden/>
          </w:rPr>
          <w:t>9</w:t>
        </w:r>
        <w:r>
          <w:rPr>
            <w:noProof/>
            <w:webHidden/>
          </w:rPr>
          <w:fldChar w:fldCharType="end"/>
        </w:r>
      </w:hyperlink>
    </w:p>
    <w:p w:rsidR="00335D44" w14:paraId="5369ED91" w14:textId="5FBBBDDC">
      <w:pPr>
        <w:pStyle w:val="TOC3"/>
        <w:tabs>
          <w:tab w:val="left" w:pos="2160"/>
        </w:tabs>
        <w:rPr>
          <w:rFonts w:asciiTheme="minorHAnsi" w:eastAsiaTheme="minorEastAsia" w:hAnsiTheme="minorHAnsi" w:cstheme="minorBidi"/>
          <w:noProof/>
          <w:sz w:val="22"/>
          <w:szCs w:val="22"/>
        </w:rPr>
      </w:pPr>
      <w:hyperlink w:anchor="_Toc101364574" w:history="1">
        <w:r w:rsidRPr="00805B78">
          <w:rPr>
            <w:rStyle w:val="Hyperlink"/>
            <w:noProof/>
          </w:rPr>
          <w:t xml:space="preserve">3. </w:t>
        </w:r>
        <w:r>
          <w:rPr>
            <w:rFonts w:asciiTheme="minorHAnsi" w:eastAsiaTheme="minorEastAsia" w:hAnsiTheme="minorHAnsi" w:cstheme="minorBidi"/>
            <w:noProof/>
            <w:sz w:val="22"/>
            <w:szCs w:val="22"/>
          </w:rPr>
          <w:tab/>
        </w:r>
        <w:r w:rsidRPr="00805B78">
          <w:rPr>
            <w:rStyle w:val="Hyperlink"/>
            <w:noProof/>
          </w:rPr>
          <w:t xml:space="preserve">Adopting a reasonable 7.20% pre-tax rate of return will not </w:t>
        </w:r>
        <w:r>
          <w:rPr>
            <w:rStyle w:val="Hyperlink"/>
            <w:noProof/>
          </w:rPr>
          <w:br/>
        </w:r>
        <w:r w:rsidRPr="00805B78">
          <w:rPr>
            <w:rStyle w:val="Hyperlink"/>
            <w:noProof/>
          </w:rPr>
          <w:t xml:space="preserve">disrupt Dominion’s pipeline infrastructure program and will still allow Dominion to earn reasonable profits and cover its actual </w:t>
        </w:r>
        <w:r>
          <w:rPr>
            <w:rStyle w:val="Hyperlink"/>
            <w:noProof/>
          </w:rPr>
          <w:br/>
        </w:r>
        <w:r w:rsidRPr="00805B78">
          <w:rPr>
            <w:rStyle w:val="Hyperlink"/>
            <w:noProof/>
          </w:rPr>
          <w:t>cost of debt.</w:t>
        </w:r>
        <w:r>
          <w:rPr>
            <w:noProof/>
            <w:webHidden/>
          </w:rPr>
          <w:tab/>
        </w:r>
        <w:r>
          <w:rPr>
            <w:noProof/>
            <w:webHidden/>
          </w:rPr>
          <w:fldChar w:fldCharType="begin"/>
        </w:r>
        <w:r>
          <w:rPr>
            <w:noProof/>
            <w:webHidden/>
          </w:rPr>
          <w:instrText xml:space="preserve"> PAGEREF _Toc101364574 \h </w:instrText>
        </w:r>
        <w:r>
          <w:rPr>
            <w:noProof/>
            <w:webHidden/>
          </w:rPr>
          <w:fldChar w:fldCharType="separate"/>
        </w:r>
        <w:r>
          <w:rPr>
            <w:noProof/>
            <w:webHidden/>
          </w:rPr>
          <w:t>10</w:t>
        </w:r>
        <w:r>
          <w:rPr>
            <w:noProof/>
            <w:webHidden/>
          </w:rPr>
          <w:fldChar w:fldCharType="end"/>
        </w:r>
      </w:hyperlink>
    </w:p>
    <w:p w:rsidR="00335D44" w14:paraId="21CBB77C" w14:textId="2D7C3273">
      <w:pPr>
        <w:pStyle w:val="TOC1"/>
        <w:rPr>
          <w:rFonts w:asciiTheme="minorHAnsi" w:eastAsiaTheme="minorEastAsia" w:hAnsiTheme="minorHAnsi" w:cstheme="minorBidi"/>
          <w:noProof/>
          <w:sz w:val="22"/>
          <w:szCs w:val="22"/>
        </w:rPr>
      </w:pPr>
      <w:hyperlink w:anchor="_Toc101364575" w:history="1">
        <w:r w:rsidRPr="00805B78">
          <w:rPr>
            <w:rStyle w:val="Hyperlink"/>
            <w:rFonts w:eastAsia="SimSun"/>
            <w:noProof/>
          </w:rPr>
          <w:t xml:space="preserve">III. </w:t>
        </w:r>
        <w:r>
          <w:rPr>
            <w:rFonts w:asciiTheme="minorHAnsi" w:eastAsiaTheme="minorEastAsia" w:hAnsiTheme="minorHAnsi" w:cstheme="minorBidi"/>
            <w:noProof/>
            <w:sz w:val="22"/>
            <w:szCs w:val="22"/>
          </w:rPr>
          <w:tab/>
        </w:r>
        <w:r w:rsidRPr="00805B78">
          <w:rPr>
            <w:rStyle w:val="Hyperlink"/>
            <w:rFonts w:eastAsia="SimSun"/>
            <w:noProof/>
          </w:rPr>
          <w:t>CONCLUSION</w:t>
        </w:r>
        <w:r>
          <w:rPr>
            <w:noProof/>
            <w:webHidden/>
          </w:rPr>
          <w:tab/>
        </w:r>
        <w:r>
          <w:rPr>
            <w:noProof/>
            <w:webHidden/>
          </w:rPr>
          <w:fldChar w:fldCharType="begin"/>
        </w:r>
        <w:r>
          <w:rPr>
            <w:noProof/>
            <w:webHidden/>
          </w:rPr>
          <w:instrText xml:space="preserve"> PAGEREF _Toc101364575 \h </w:instrText>
        </w:r>
        <w:r>
          <w:rPr>
            <w:noProof/>
            <w:webHidden/>
          </w:rPr>
          <w:fldChar w:fldCharType="separate"/>
        </w:r>
        <w:r>
          <w:rPr>
            <w:noProof/>
            <w:webHidden/>
          </w:rPr>
          <w:t>11</w:t>
        </w:r>
        <w:r>
          <w:rPr>
            <w:noProof/>
            <w:webHidden/>
          </w:rPr>
          <w:fldChar w:fldCharType="end"/>
        </w:r>
      </w:hyperlink>
    </w:p>
    <w:p w:rsidR="00DA7A96" w:rsidP="00DA7A96" w14:paraId="7F60E7B0" w14:textId="1F4AC16D">
      <w:pPr>
        <w:pStyle w:val="HTMLPreformatted"/>
        <w:jc w:val="right"/>
        <w:rPr>
          <w:rFonts w:ascii="Times New Roman" w:hAnsi="Times New Roman"/>
          <w:b/>
          <w:bCs/>
          <w:sz w:val="24"/>
        </w:rPr>
      </w:pPr>
      <w:r>
        <w:rPr>
          <w:rFonts w:ascii="Times New Roman" w:hAnsi="Times New Roman"/>
          <w:b/>
          <w:bCs/>
          <w:sz w:val="24"/>
        </w:rPr>
        <w:fldChar w:fldCharType="end"/>
      </w:r>
    </w:p>
    <w:p w:rsidR="00DA7A96" w:rsidRPr="00DA7A96" w:rsidP="00DA7A96" w14:paraId="0AAB0F8E" w14:textId="75C771AD">
      <w:pPr>
        <w:pStyle w:val="HTMLPreformatted"/>
        <w:jc w:val="right"/>
        <w:rPr>
          <w:rFonts w:ascii="Times New Roman" w:hAnsi="Times New Roman"/>
          <w:b/>
          <w:bCs/>
          <w:sz w:val="24"/>
        </w:rPr>
        <w:sectPr w:rsidSect="00DA7A96">
          <w:footerReference w:type="first" r:id="rId9"/>
          <w:pgSz w:w="12240" w:h="15840"/>
          <w:pgMar w:top="1440" w:right="1800" w:bottom="1440" w:left="1800" w:header="720" w:footer="720" w:gutter="0"/>
          <w:pgNumType w:fmt="lowerRoman" w:start="1"/>
          <w:cols w:space="720"/>
          <w:titlePg/>
          <w:docGrid w:linePitch="65"/>
        </w:sectPr>
      </w:pPr>
    </w:p>
    <w:p w:rsidR="00A044B5" w14:paraId="02FEC815" w14:textId="3C61B009">
      <w:pPr>
        <w:pStyle w:val="HTMLPreformatted"/>
        <w:jc w:val="center"/>
        <w:rPr>
          <w:rFonts w:ascii="Times New Roman" w:hAnsi="Times New Roman"/>
          <w:b/>
          <w:bCs/>
          <w:sz w:val="24"/>
        </w:rPr>
      </w:pPr>
      <w:r>
        <w:rPr>
          <w:rFonts w:ascii="Times New Roman" w:hAnsi="Times New Roman"/>
          <w:b/>
          <w:bCs/>
          <w:sz w:val="24"/>
        </w:rPr>
        <w:t>BEFORE</w:t>
      </w:r>
    </w:p>
    <w:p w:rsidR="00A044B5" w14:paraId="034E8B26"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73CE926" w14:textId="77777777">
      <w:pPr>
        <w:pStyle w:val="HTMLPreformatted"/>
        <w:rPr>
          <w:rFonts w:ascii="Times New Roman" w:hAnsi="Times New Roman"/>
          <w:sz w:val="24"/>
        </w:rPr>
      </w:pPr>
    </w:p>
    <w:tbl>
      <w:tblPr>
        <w:tblW w:w="8640" w:type="dxa"/>
        <w:tblLook w:val="01E0"/>
      </w:tblPr>
      <w:tblGrid>
        <w:gridCol w:w="4332"/>
        <w:gridCol w:w="360"/>
        <w:gridCol w:w="3948"/>
      </w:tblGrid>
      <w:tr w14:paraId="1760A085" w14:textId="77777777" w:rsidTr="00E567EE">
        <w:tblPrEx>
          <w:tblW w:w="8640" w:type="dxa"/>
          <w:tblLook w:val="01E0"/>
        </w:tblPrEx>
        <w:trPr>
          <w:trHeight w:val="807"/>
        </w:trPr>
        <w:tc>
          <w:tcPr>
            <w:tcW w:w="4332" w:type="dxa"/>
            <w:shd w:val="clear" w:color="auto" w:fill="auto"/>
          </w:tcPr>
          <w:p w:rsidR="00113D54" w:rsidP="005A4A50" w14:paraId="767605E8"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5A4A50">
              <w:rPr>
                <w:rFonts w:ascii="Times New Roman" w:hAnsi="Times New Roman" w:cs="Times New Roman"/>
                <w:sz w:val="24"/>
                <w:szCs w:val="24"/>
              </w:rPr>
              <w:t xml:space="preserve">Application of </w:t>
            </w:r>
            <w:r>
              <w:rPr>
                <w:rFonts w:ascii="Times New Roman" w:hAnsi="Times New Roman" w:cs="Times New Roman"/>
                <w:sz w:val="24"/>
                <w:szCs w:val="24"/>
              </w:rPr>
              <w:t>The East Ohio Gas Company d/b/a</w:t>
            </w:r>
          </w:p>
          <w:p w:rsidR="00A044B5" w:rsidRPr="00A044B5" w:rsidP="005A4A50" w14:paraId="76C95E6B" w14:textId="23FCCFA9">
            <w:pPr>
              <w:pStyle w:val="HTMLPreformatted"/>
              <w:rPr>
                <w:rFonts w:ascii="Times New Roman" w:hAnsi="Times New Roman"/>
                <w:sz w:val="24"/>
                <w:szCs w:val="24"/>
              </w:rPr>
            </w:pPr>
            <w:r>
              <w:rPr>
                <w:rFonts w:ascii="Times New Roman" w:hAnsi="Times New Roman" w:cs="Times New Roman"/>
                <w:sz w:val="24"/>
                <w:szCs w:val="24"/>
              </w:rPr>
              <w:t xml:space="preserve">Dominion Energy Ohio </w:t>
            </w:r>
            <w:r w:rsidR="0064238F">
              <w:rPr>
                <w:rFonts w:ascii="Times New Roman" w:hAnsi="Times New Roman" w:cs="Times New Roman"/>
                <w:sz w:val="24"/>
                <w:szCs w:val="24"/>
              </w:rPr>
              <w:t>to Adjust its Pipeline Infrastructure Cost Recovery Charge and Related Matters.</w:t>
            </w:r>
          </w:p>
        </w:tc>
        <w:tc>
          <w:tcPr>
            <w:tcW w:w="360" w:type="dxa"/>
            <w:shd w:val="clear" w:color="auto" w:fill="auto"/>
          </w:tcPr>
          <w:p w:rsidR="00A044B5" w:rsidRPr="00A044B5" w14:paraId="26381EBE" w14:textId="77777777">
            <w:pPr>
              <w:pStyle w:val="HTMLPreformatted"/>
              <w:rPr>
                <w:rFonts w:ascii="Times New Roman" w:hAnsi="Times New Roman"/>
                <w:sz w:val="24"/>
              </w:rPr>
            </w:pPr>
            <w:r w:rsidRPr="00A044B5">
              <w:rPr>
                <w:rFonts w:ascii="Times New Roman" w:hAnsi="Times New Roman"/>
                <w:sz w:val="24"/>
              </w:rPr>
              <w:t>)</w:t>
            </w:r>
          </w:p>
          <w:p w:rsidR="00A044B5" w:rsidRPr="00A044B5" w14:paraId="520019D7" w14:textId="77777777">
            <w:pPr>
              <w:pStyle w:val="HTMLPreformatted"/>
              <w:rPr>
                <w:rFonts w:ascii="Times New Roman" w:hAnsi="Times New Roman"/>
                <w:sz w:val="24"/>
              </w:rPr>
            </w:pPr>
            <w:r w:rsidRPr="00A044B5">
              <w:rPr>
                <w:rFonts w:ascii="Times New Roman" w:hAnsi="Times New Roman"/>
                <w:sz w:val="24"/>
              </w:rPr>
              <w:t>)</w:t>
            </w:r>
          </w:p>
          <w:p w:rsidR="00A044B5" w:rsidP="00E567EE" w14:paraId="6BA1C172" w14:textId="77777777">
            <w:pPr>
              <w:pStyle w:val="HTMLPreformatted"/>
              <w:rPr>
                <w:rFonts w:ascii="Times New Roman" w:hAnsi="Times New Roman"/>
                <w:sz w:val="24"/>
              </w:rPr>
            </w:pPr>
            <w:r w:rsidRPr="00A044B5">
              <w:rPr>
                <w:rFonts w:ascii="Times New Roman" w:hAnsi="Times New Roman"/>
                <w:sz w:val="24"/>
              </w:rPr>
              <w:t>)</w:t>
            </w:r>
          </w:p>
          <w:p w:rsidR="002F4BA7" w:rsidP="00E567EE" w14:paraId="03C011EA" w14:textId="77777777">
            <w:pPr>
              <w:pStyle w:val="HTMLPreformatted"/>
              <w:rPr>
                <w:rFonts w:ascii="Times New Roman" w:hAnsi="Times New Roman"/>
                <w:sz w:val="24"/>
              </w:rPr>
            </w:pPr>
            <w:r>
              <w:rPr>
                <w:rFonts w:ascii="Times New Roman" w:hAnsi="Times New Roman"/>
                <w:sz w:val="24"/>
              </w:rPr>
              <w:t>)</w:t>
            </w:r>
          </w:p>
          <w:p w:rsidR="007D5580" w:rsidRPr="00A044B5" w:rsidP="00E567EE" w14:paraId="4A001CA9" w14:textId="7A7BF2AE">
            <w:pPr>
              <w:pStyle w:val="HTMLPreformatted"/>
              <w:rPr>
                <w:rFonts w:ascii="Times New Roman" w:hAnsi="Times New Roman"/>
                <w:sz w:val="24"/>
              </w:rPr>
            </w:pPr>
            <w:r>
              <w:rPr>
                <w:rFonts w:ascii="Times New Roman" w:hAnsi="Times New Roman"/>
                <w:sz w:val="24"/>
              </w:rPr>
              <w:t>)</w:t>
            </w:r>
          </w:p>
        </w:tc>
        <w:tc>
          <w:tcPr>
            <w:tcW w:w="3948" w:type="dxa"/>
            <w:shd w:val="clear" w:color="auto" w:fill="auto"/>
          </w:tcPr>
          <w:p w:rsidR="00A044B5" w:rsidRPr="00A044B5" w14:paraId="01584BFA" w14:textId="77777777">
            <w:pPr>
              <w:pStyle w:val="HTMLPreformatted"/>
              <w:rPr>
                <w:rFonts w:ascii="Times New Roman" w:hAnsi="Times New Roman"/>
                <w:sz w:val="24"/>
              </w:rPr>
            </w:pPr>
          </w:p>
          <w:p w:rsidR="00A044B5" w:rsidRPr="00A044B5" w14:paraId="33675B5C" w14:textId="4A07C4CE">
            <w:pPr>
              <w:pStyle w:val="HTMLPreformatted"/>
              <w:rPr>
                <w:rFonts w:ascii="Times New Roman" w:hAnsi="Times New Roman"/>
                <w:sz w:val="24"/>
              </w:rPr>
            </w:pPr>
            <w:r w:rsidRPr="00A044B5">
              <w:rPr>
                <w:rFonts w:ascii="Times New Roman" w:hAnsi="Times New Roman"/>
                <w:sz w:val="24"/>
              </w:rPr>
              <w:t xml:space="preserve">Case No. </w:t>
            </w:r>
            <w:r w:rsidR="005A4A50">
              <w:rPr>
                <w:rFonts w:ascii="Times New Roman" w:hAnsi="Times New Roman"/>
                <w:sz w:val="24"/>
              </w:rPr>
              <w:t>2</w:t>
            </w:r>
            <w:r w:rsidR="0064238F">
              <w:rPr>
                <w:rFonts w:ascii="Times New Roman" w:hAnsi="Times New Roman"/>
                <w:sz w:val="24"/>
              </w:rPr>
              <w:t>1-109</w:t>
            </w:r>
            <w:r w:rsidR="00DE0FD7">
              <w:rPr>
                <w:rFonts w:ascii="Times New Roman" w:hAnsi="Times New Roman"/>
                <w:sz w:val="24"/>
              </w:rPr>
              <w:t>5</w:t>
            </w:r>
            <w:r w:rsidR="0064238F">
              <w:rPr>
                <w:rFonts w:ascii="Times New Roman" w:hAnsi="Times New Roman"/>
                <w:sz w:val="24"/>
              </w:rPr>
              <w:t>-GA-RDR</w:t>
            </w:r>
          </w:p>
          <w:p w:rsidR="00A044B5" w:rsidRPr="00A044B5" w14:paraId="1F28B257" w14:textId="77777777">
            <w:pPr>
              <w:pStyle w:val="HTMLPreformatted"/>
              <w:rPr>
                <w:rFonts w:ascii="Times New Roman" w:hAnsi="Times New Roman"/>
                <w:sz w:val="24"/>
              </w:rPr>
            </w:pPr>
          </w:p>
          <w:p w:rsidR="00A044B5" w:rsidRPr="00A044B5" w14:paraId="774E7161" w14:textId="77777777">
            <w:pPr>
              <w:pStyle w:val="HTMLPreformatted"/>
              <w:rPr>
                <w:rFonts w:ascii="Times New Roman" w:hAnsi="Times New Roman"/>
                <w:sz w:val="24"/>
              </w:rPr>
            </w:pPr>
          </w:p>
        </w:tc>
      </w:tr>
    </w:tbl>
    <w:p w:rsidR="00A044B5" w14:paraId="70FADD5D" w14:textId="77777777">
      <w:pPr>
        <w:pStyle w:val="HTMLPreformatted"/>
        <w:rPr>
          <w:rFonts w:ascii="Times New Roman" w:hAnsi="Times New Roman"/>
          <w:sz w:val="24"/>
        </w:rPr>
      </w:pPr>
    </w:p>
    <w:p w:rsidR="00A044B5" w14:paraId="630B2AD3" w14:textId="77777777">
      <w:pPr>
        <w:pStyle w:val="HTMLPreformatted"/>
        <w:pBdr>
          <w:top w:val="single" w:sz="12" w:space="1" w:color="auto"/>
        </w:pBdr>
        <w:rPr>
          <w:rFonts w:ascii="Times New Roman" w:hAnsi="Times New Roman"/>
          <w:sz w:val="24"/>
        </w:rPr>
      </w:pPr>
    </w:p>
    <w:p w:rsidR="00AA063A" w:rsidRPr="00CB76F9" w:rsidP="00AA063A" w14:paraId="5692A6F7" w14:textId="0F51B03C">
      <w:pPr>
        <w:jc w:val="center"/>
        <w:rPr>
          <w:b/>
          <w:szCs w:val="24"/>
        </w:rPr>
      </w:pPr>
      <w:r>
        <w:rPr>
          <w:b/>
          <w:szCs w:val="24"/>
        </w:rPr>
        <w:t xml:space="preserve">INITIAL BRIEF FOR CONSUMER PROTECTION </w:t>
      </w:r>
    </w:p>
    <w:p w:rsidR="00A044B5" w14:paraId="6E83A6EC" w14:textId="77777777">
      <w:pPr>
        <w:jc w:val="center"/>
        <w:rPr>
          <w:b/>
          <w:bCs/>
        </w:rPr>
      </w:pPr>
      <w:r>
        <w:rPr>
          <w:b/>
          <w:bCs/>
        </w:rPr>
        <w:t>BY</w:t>
      </w:r>
    </w:p>
    <w:p w:rsidR="00A044B5" w14:paraId="4BA79E00" w14:textId="0019F1A7">
      <w:pPr>
        <w:jc w:val="center"/>
        <w:rPr>
          <w:b/>
          <w:bCs/>
        </w:rPr>
      </w:pPr>
      <w:r>
        <w:rPr>
          <w:b/>
          <w:bCs/>
        </w:rPr>
        <w:t>OFFICE OF THE OHIO CONSUMERS’ COUNSEL</w:t>
      </w:r>
    </w:p>
    <w:p w:rsidR="00A044B5" w14:paraId="78653FFC" w14:textId="77777777">
      <w:pPr>
        <w:pBdr>
          <w:bottom w:val="single" w:sz="12" w:space="1" w:color="auto"/>
        </w:pBdr>
        <w:tabs>
          <w:tab w:val="left" w:pos="4320"/>
        </w:tabs>
      </w:pPr>
    </w:p>
    <w:p w:rsidR="00A044B5" w14:paraId="5F54AC84" w14:textId="77777777">
      <w:pPr>
        <w:tabs>
          <w:tab w:val="left" w:pos="4320"/>
        </w:tabs>
      </w:pPr>
    </w:p>
    <w:p w:rsidR="00AA063A" w:rsidRPr="00D97B1C" w:rsidP="006B4C9F" w14:paraId="4F15F442" w14:textId="1BDE0E84">
      <w:pPr>
        <w:pStyle w:val="Heading1"/>
        <w:numPr>
          <w:ilvl w:val="0"/>
          <w:numId w:val="7"/>
        </w:numPr>
        <w:ind w:left="720"/>
      </w:pPr>
      <w:bookmarkStart w:id="0" w:name="_Toc101364565"/>
      <w:bookmarkStart w:id="1" w:name="_Toc444787517"/>
      <w:bookmarkStart w:id="2" w:name="_Toc445824332"/>
      <w:r w:rsidRPr="00D97B1C">
        <w:t>INTRODUCTION</w:t>
      </w:r>
      <w:bookmarkEnd w:id="0"/>
      <w:r w:rsidRPr="00D97B1C">
        <w:t xml:space="preserve"> </w:t>
      </w:r>
      <w:bookmarkEnd w:id="1"/>
      <w:bookmarkEnd w:id="2"/>
    </w:p>
    <w:p w:rsidR="007B35D7" w14:paraId="3C3D5D4B" w14:textId="7C89FFA7">
      <w:pPr>
        <w:pStyle w:val="BodyTextIndent3"/>
        <w:widowControl w:val="0"/>
        <w:spacing w:line="480" w:lineRule="auto"/>
        <w:ind w:right="-312"/>
      </w:pPr>
      <w:r>
        <w:t>Dominion Energy Ohio (“Dominion”</w:t>
      </w:r>
      <w:r w:rsidR="000E73E2">
        <w:t>)</w:t>
      </w:r>
      <w:r>
        <w:t xml:space="preserve"> proposes to</w:t>
      </w:r>
      <w:r w:rsidR="0064238F">
        <w:t xml:space="preserve"> increase the rates </w:t>
      </w:r>
      <w:r w:rsidR="00D628A8">
        <w:t>consumers</w:t>
      </w:r>
      <w:r w:rsidR="00DE0FD7">
        <w:t xml:space="preserve"> pay to fund </w:t>
      </w:r>
      <w:r w:rsidR="00862BE5">
        <w:t xml:space="preserve">its </w:t>
      </w:r>
      <w:r w:rsidR="00DB0196">
        <w:t xml:space="preserve">pipeline infrastructure replacement </w:t>
      </w:r>
      <w:r w:rsidR="000E73E2">
        <w:t xml:space="preserve">(“PIR”) </w:t>
      </w:r>
      <w:r w:rsidR="00DB0196">
        <w:t xml:space="preserve">program </w:t>
      </w:r>
      <w:r w:rsidR="002706C9">
        <w:t>(</w:t>
      </w:r>
      <w:r w:rsidR="00DB0196">
        <w:t xml:space="preserve">that has been ongoing for </w:t>
      </w:r>
      <w:r w:rsidR="00C92D1E">
        <w:t>fourteen</w:t>
      </w:r>
      <w:r w:rsidR="00DB0196">
        <w:t xml:space="preserve"> years</w:t>
      </w:r>
      <w:r w:rsidR="002706C9">
        <w:t>)</w:t>
      </w:r>
      <w:r w:rsidR="007C0801">
        <w:t>.</w:t>
      </w:r>
      <w:r>
        <w:rPr>
          <w:rStyle w:val="FootnoteReference"/>
        </w:rPr>
        <w:footnoteReference w:id="2"/>
      </w:r>
      <w:r w:rsidR="00F45119">
        <w:t xml:space="preserve"> </w:t>
      </w:r>
      <w:r w:rsidR="003439E8">
        <w:t xml:space="preserve">Dominion </w:t>
      </w:r>
      <w:r w:rsidR="000E73E2">
        <w:t>seeks</w:t>
      </w:r>
      <w:r w:rsidR="00DE0FD7">
        <w:t xml:space="preserve"> approval to increase </w:t>
      </w:r>
      <w:r w:rsidR="000914AB">
        <w:t xml:space="preserve">the monthly </w:t>
      </w:r>
      <w:r w:rsidR="002706C9">
        <w:t xml:space="preserve">charge </w:t>
      </w:r>
      <w:r w:rsidR="00E3296C">
        <w:t>to</w:t>
      </w:r>
      <w:r w:rsidR="002706C9">
        <w:t xml:space="preserve"> its 1.2 million residential customers </w:t>
      </w:r>
      <w:r w:rsidR="001A51D4">
        <w:t xml:space="preserve">by more than 12% </w:t>
      </w:r>
      <w:r w:rsidR="000914AB">
        <w:t xml:space="preserve">to </w:t>
      </w:r>
      <w:r w:rsidR="003C08DE">
        <w:t>$16.81</w:t>
      </w:r>
      <w:r>
        <w:rPr>
          <w:rStyle w:val="FootnoteReference"/>
        </w:rPr>
        <w:footnoteReference w:id="3"/>
      </w:r>
      <w:r w:rsidR="00C92D1E">
        <w:t xml:space="preserve"> </w:t>
      </w:r>
      <w:r w:rsidR="00E3296C">
        <w:t>(</w:t>
      </w:r>
      <w:r w:rsidR="00C92D1E">
        <w:t>a total charge</w:t>
      </w:r>
      <w:r w:rsidR="00186B4F">
        <w:t xml:space="preserve"> of $201 per year to each of </w:t>
      </w:r>
      <w:r w:rsidR="00E3296C">
        <w:t>its</w:t>
      </w:r>
      <w:r w:rsidR="00186B4F">
        <w:t xml:space="preserve"> residential consumers</w:t>
      </w:r>
      <w:r w:rsidR="00E3296C">
        <w:t>)</w:t>
      </w:r>
      <w:r w:rsidR="00186B4F">
        <w:t xml:space="preserve"> </w:t>
      </w:r>
      <w:r w:rsidR="003C08DE">
        <w:t>for</w:t>
      </w:r>
      <w:r w:rsidR="000914AB">
        <w:t xml:space="preserve"> </w:t>
      </w:r>
      <w:r w:rsidR="003C08DE">
        <w:t xml:space="preserve">program </w:t>
      </w:r>
      <w:r w:rsidR="00530AD0">
        <w:t>spending</w:t>
      </w:r>
      <w:r w:rsidR="003C08DE">
        <w:t xml:space="preserve"> </w:t>
      </w:r>
      <w:r>
        <w:t>f</w:t>
      </w:r>
      <w:r w:rsidR="000E73E2">
        <w:t>or calendar year 2021.</w:t>
      </w:r>
      <w:r w:rsidR="002706C9">
        <w:t xml:space="preserve"> </w:t>
      </w:r>
    </w:p>
    <w:p w:rsidR="00131313" w:rsidP="00B0334A" w14:paraId="41B67BD6" w14:textId="52BB037E">
      <w:pPr>
        <w:spacing w:line="480" w:lineRule="auto"/>
        <w:ind w:firstLine="720"/>
      </w:pPr>
      <w:r>
        <w:t xml:space="preserve">But </w:t>
      </w:r>
      <w:r w:rsidR="008D3BFC">
        <w:t xml:space="preserve">Dominion’s </w:t>
      </w:r>
      <w:r w:rsidR="001C6961">
        <w:t>increase is based on earning excessive profits on its investment –</w:t>
      </w:r>
      <w:r w:rsidR="00D53BD0">
        <w:t>relying</w:t>
      </w:r>
      <w:r w:rsidR="001C6961">
        <w:t xml:space="preserve"> on a thirteen</w:t>
      </w:r>
      <w:r w:rsidR="00D53BD0">
        <w:t>-</w:t>
      </w:r>
      <w:r w:rsidR="001C6961">
        <w:t>year</w:t>
      </w:r>
      <w:r w:rsidR="00902228">
        <w:t>-</w:t>
      </w:r>
      <w:r w:rsidR="001C6961">
        <w:t xml:space="preserve">old </w:t>
      </w:r>
      <w:r w:rsidR="008D3BFC">
        <w:t xml:space="preserve">pre-tax rate of return </w:t>
      </w:r>
      <w:r w:rsidR="00C8028B">
        <w:t>(9.91%)</w:t>
      </w:r>
      <w:r w:rsidR="008D3BFC">
        <w:t>.</w:t>
      </w:r>
      <w:r>
        <w:rPr>
          <w:rStyle w:val="FootnoteReference"/>
        </w:rPr>
        <w:footnoteReference w:id="4"/>
      </w:r>
      <w:r w:rsidR="008D3BFC">
        <w:t xml:space="preserve"> </w:t>
      </w:r>
      <w:r w:rsidR="00B0334A">
        <w:t xml:space="preserve">It is neither just nor reasonable to </w:t>
      </w:r>
      <w:r w:rsidR="001C6961">
        <w:t>require Dominions’ consumers to</w:t>
      </w:r>
      <w:r w:rsidR="004D24AD">
        <w:t xml:space="preserve"> </w:t>
      </w:r>
      <w:r w:rsidR="001C6961">
        <w:t>pay rates that are based on an</w:t>
      </w:r>
      <w:r w:rsidR="00B0334A">
        <w:t xml:space="preserve"> excessive 9.91% pre-tax rate of return.</w:t>
      </w:r>
      <w:r>
        <w:rPr>
          <w:rStyle w:val="FootnoteReference"/>
        </w:rPr>
        <w:footnoteReference w:id="5"/>
      </w:r>
      <w:r w:rsidR="00B0334A">
        <w:t xml:space="preserve"> </w:t>
      </w:r>
    </w:p>
    <w:p w:rsidR="00B0334A" w:rsidP="00B0334A" w14:paraId="18642728" w14:textId="1F30CFFE">
      <w:pPr>
        <w:spacing w:line="480" w:lineRule="auto"/>
        <w:ind w:firstLine="720"/>
      </w:pPr>
      <w:r>
        <w:t>Th</w:t>
      </w:r>
      <w:r w:rsidR="004D24AD">
        <w:t xml:space="preserve">is </w:t>
      </w:r>
      <w:r>
        <w:t xml:space="preserve">stale </w:t>
      </w:r>
      <w:r w:rsidR="004D24AD">
        <w:t xml:space="preserve">and unreasonable </w:t>
      </w:r>
      <w:r w:rsidR="00CD372A">
        <w:t xml:space="preserve">pre-tax </w:t>
      </w:r>
      <w:r>
        <w:t xml:space="preserve">rate of return will result in consumers overpaying </w:t>
      </w:r>
      <w:r w:rsidR="00523FA0">
        <w:t>(approximately $45.8 million over a 12-month period)</w:t>
      </w:r>
      <w:r w:rsidR="00CD372A">
        <w:t>.</w:t>
      </w:r>
      <w:r>
        <w:rPr>
          <w:rStyle w:val="FootnoteReference"/>
        </w:rPr>
        <w:footnoteReference w:id="6"/>
      </w:r>
      <w:r w:rsidR="00523FA0">
        <w:t xml:space="preserve"> </w:t>
      </w:r>
      <w:r w:rsidR="00CD372A">
        <w:t xml:space="preserve">It </w:t>
      </w:r>
      <w:r w:rsidR="004D24AD">
        <w:t xml:space="preserve">also </w:t>
      </w:r>
      <w:r w:rsidR="003439E8">
        <w:t>allow</w:t>
      </w:r>
      <w:r w:rsidR="00CD372A">
        <w:t>s</w:t>
      </w:r>
      <w:r w:rsidR="003439E8">
        <w:t xml:space="preserve"> </w:t>
      </w:r>
      <w:r>
        <w:t xml:space="preserve">Dominion </w:t>
      </w:r>
      <w:r w:rsidR="003439E8">
        <w:t xml:space="preserve">to earn </w:t>
      </w:r>
      <w:r>
        <w:t xml:space="preserve">profits that are too high for current financial market conditions. </w:t>
      </w:r>
      <w:r w:rsidR="008D3BFC">
        <w:t>I</w:t>
      </w:r>
      <w:r w:rsidR="003439E8">
        <w:t xml:space="preserve">f the </w:t>
      </w:r>
      <w:r w:rsidR="000E73E2">
        <w:t>a</w:t>
      </w:r>
      <w:r>
        <w:t>pplication</w:t>
      </w:r>
      <w:r w:rsidR="003439E8">
        <w:t xml:space="preserve"> were approved </w:t>
      </w:r>
      <w:r w:rsidR="00CD372A">
        <w:t>as filed</w:t>
      </w:r>
      <w:r w:rsidR="00056B63">
        <w:t xml:space="preserve"> (which it should not be)</w:t>
      </w:r>
      <w:r>
        <w:t xml:space="preserve">, </w:t>
      </w:r>
      <w:r w:rsidR="003439E8">
        <w:t xml:space="preserve">Dominion will </w:t>
      </w:r>
      <w:r w:rsidR="005D3A4E">
        <w:t xml:space="preserve">unreasonably </w:t>
      </w:r>
      <w:r>
        <w:t xml:space="preserve">collect a cost of debt from </w:t>
      </w:r>
      <w:r w:rsidR="003439E8">
        <w:t xml:space="preserve">consumers </w:t>
      </w:r>
      <w:r w:rsidR="00934677">
        <w:t xml:space="preserve">(6.50%) </w:t>
      </w:r>
      <w:r>
        <w:t>that is nearly three times its actual cost of debt</w:t>
      </w:r>
      <w:r w:rsidR="0079555F">
        <w:t xml:space="preserve"> (2.29%)</w:t>
      </w:r>
      <w:r>
        <w:t>.</w:t>
      </w:r>
      <w:r>
        <w:rPr>
          <w:rStyle w:val="FootnoteReference"/>
        </w:rPr>
        <w:footnoteReference w:id="7"/>
      </w:r>
      <w:r>
        <w:t xml:space="preserve"> </w:t>
      </w:r>
    </w:p>
    <w:p w:rsidR="003439E8" w:rsidP="003439E8" w14:paraId="6A91873A" w14:textId="15802045">
      <w:pPr>
        <w:spacing w:line="480" w:lineRule="auto"/>
        <w:ind w:firstLine="720"/>
      </w:pPr>
      <w:r>
        <w:t>Overcharging consumers for utility services violates Ohio</w:t>
      </w:r>
      <w:r w:rsidR="008D3BFC">
        <w:t xml:space="preserve"> law </w:t>
      </w:r>
      <w:r>
        <w:t>which</w:t>
      </w:r>
      <w:r w:rsidR="008D3BFC">
        <w:t xml:space="preserve"> requires that all utility rates be just and reasonable.</w:t>
      </w:r>
      <w:r>
        <w:rPr>
          <w:rStyle w:val="FootnoteReference"/>
        </w:rPr>
        <w:footnoteReference w:id="8"/>
      </w:r>
      <w:r w:rsidR="008D3BFC">
        <w:t xml:space="preserve"> </w:t>
      </w:r>
      <w:r w:rsidR="00056B63">
        <w:t>Dominion’s use</w:t>
      </w:r>
      <w:r>
        <w:t xml:space="preserve"> of an outdated and inflated rate of return that requires consumers to pay more than is just and reasonable to enrich </w:t>
      </w:r>
      <w:r w:rsidR="00056B63">
        <w:t>the utility</w:t>
      </w:r>
      <w:r>
        <w:t xml:space="preserve"> is </w:t>
      </w:r>
      <w:r w:rsidR="00131313">
        <w:t xml:space="preserve">troublesome at any time. But it is </w:t>
      </w:r>
      <w:r>
        <w:t xml:space="preserve">especially </w:t>
      </w:r>
      <w:r w:rsidR="00131313">
        <w:t>unconscionable</w:t>
      </w:r>
      <w:r>
        <w:t xml:space="preserve"> during a pandemic, a period of rising gas prices, and a time of the highest rate of inflation in forty years.</w:t>
      </w:r>
      <w:r w:rsidR="00002C60">
        <w:t xml:space="preserve"> </w:t>
      </w:r>
    </w:p>
    <w:p w:rsidR="003439E8" w:rsidP="003439E8" w14:paraId="6AAB4126" w14:textId="6E34A5CF">
      <w:pPr>
        <w:spacing w:line="480" w:lineRule="auto"/>
        <w:ind w:firstLine="720"/>
        <w:rPr>
          <w:szCs w:val="24"/>
        </w:rPr>
      </w:pPr>
      <w:r w:rsidRPr="00313201">
        <w:rPr>
          <w:szCs w:val="24"/>
        </w:rPr>
        <w:t xml:space="preserve">Dominion's filed application, requesting to </w:t>
      </w:r>
      <w:r>
        <w:rPr>
          <w:szCs w:val="24"/>
        </w:rPr>
        <w:t>continue charging consumers an outdated and inflated rate of return</w:t>
      </w:r>
      <w:r w:rsidR="00862BE5">
        <w:rPr>
          <w:szCs w:val="24"/>
        </w:rPr>
        <w:t>,</w:t>
      </w:r>
      <w:r w:rsidRPr="00313201">
        <w:rPr>
          <w:szCs w:val="24"/>
        </w:rPr>
        <w:t xml:space="preserve"> should be </w:t>
      </w:r>
      <w:r w:rsidRPr="00313201" w:rsidR="00F37A27">
        <w:rPr>
          <w:szCs w:val="24"/>
        </w:rPr>
        <w:t>denied,</w:t>
      </w:r>
      <w:r w:rsidR="004D24AD">
        <w:rPr>
          <w:szCs w:val="24"/>
        </w:rPr>
        <w:t xml:space="preserve"> or </w:t>
      </w:r>
      <w:r w:rsidR="004A60E4">
        <w:rPr>
          <w:szCs w:val="24"/>
        </w:rPr>
        <w:t>in the alternative, m</w:t>
      </w:r>
      <w:r w:rsidR="004D24AD">
        <w:rPr>
          <w:szCs w:val="24"/>
        </w:rPr>
        <w:t>odif</w:t>
      </w:r>
      <w:r w:rsidR="00B067EA">
        <w:rPr>
          <w:szCs w:val="24"/>
        </w:rPr>
        <w:t>i</w:t>
      </w:r>
      <w:r w:rsidR="004D24AD">
        <w:rPr>
          <w:szCs w:val="24"/>
        </w:rPr>
        <w:t>ed</w:t>
      </w:r>
      <w:r w:rsidRPr="00313201">
        <w:rPr>
          <w:szCs w:val="24"/>
        </w:rPr>
        <w:t xml:space="preserve">. </w:t>
      </w:r>
      <w:r w:rsidR="000E73E2">
        <w:rPr>
          <w:szCs w:val="24"/>
        </w:rPr>
        <w:t>T</w:t>
      </w:r>
      <w:r w:rsidR="00F71114">
        <w:rPr>
          <w:szCs w:val="24"/>
        </w:rPr>
        <w:t xml:space="preserve">he PUCO </w:t>
      </w:r>
      <w:r w:rsidR="0047335E">
        <w:rPr>
          <w:szCs w:val="24"/>
        </w:rPr>
        <w:t xml:space="preserve">reasonably could protect consumers by adjusting Dominion’s rate of return in this proceeding. </w:t>
      </w:r>
      <w:r w:rsidR="00131313">
        <w:rPr>
          <w:szCs w:val="24"/>
        </w:rPr>
        <w:t>To protect consumers, t</w:t>
      </w:r>
      <w:r w:rsidR="0047335E">
        <w:rPr>
          <w:szCs w:val="24"/>
        </w:rPr>
        <w:t xml:space="preserve">he PUCO </w:t>
      </w:r>
      <w:r w:rsidR="00F71114">
        <w:rPr>
          <w:szCs w:val="24"/>
        </w:rPr>
        <w:t xml:space="preserve">should adopt </w:t>
      </w:r>
      <w:r w:rsidRPr="00313201">
        <w:rPr>
          <w:szCs w:val="24"/>
        </w:rPr>
        <w:t>O</w:t>
      </w:r>
      <w:r w:rsidR="00A907DF">
        <w:rPr>
          <w:szCs w:val="24"/>
        </w:rPr>
        <w:t>ffice of the Ohio Consumers’ Counsel’s (“OCC”)</w:t>
      </w:r>
      <w:r w:rsidR="00F71114">
        <w:rPr>
          <w:szCs w:val="24"/>
        </w:rPr>
        <w:t xml:space="preserve"> recommendation for a </w:t>
      </w:r>
      <w:r>
        <w:rPr>
          <w:szCs w:val="24"/>
        </w:rPr>
        <w:t xml:space="preserve">reasonable pre-tax rate of return of no higher than 7.20% </w:t>
      </w:r>
      <w:r w:rsidR="00862BE5">
        <w:rPr>
          <w:szCs w:val="24"/>
        </w:rPr>
        <w:t xml:space="preserve">for </w:t>
      </w:r>
      <w:r>
        <w:rPr>
          <w:szCs w:val="24"/>
        </w:rPr>
        <w:t xml:space="preserve">Dominion’s </w:t>
      </w:r>
      <w:r w:rsidR="00862BE5">
        <w:rPr>
          <w:szCs w:val="24"/>
        </w:rPr>
        <w:t xml:space="preserve">pipeline infrastructure replacement program. Adopting a just and reasonable pre-tax rate of return of 7.20% </w:t>
      </w:r>
      <w:r w:rsidR="008B5AD8">
        <w:rPr>
          <w:szCs w:val="24"/>
        </w:rPr>
        <w:t>will protect consumers at this challenging time while still allow</w:t>
      </w:r>
      <w:r w:rsidR="00056B63">
        <w:rPr>
          <w:szCs w:val="24"/>
        </w:rPr>
        <w:t>ing</w:t>
      </w:r>
      <w:r w:rsidR="008B5AD8">
        <w:rPr>
          <w:szCs w:val="24"/>
        </w:rPr>
        <w:t xml:space="preserve"> Dominion to continue its previously</w:t>
      </w:r>
      <w:r w:rsidR="00902228">
        <w:rPr>
          <w:szCs w:val="24"/>
        </w:rPr>
        <w:t>-</w:t>
      </w:r>
      <w:r w:rsidR="008B5AD8">
        <w:rPr>
          <w:szCs w:val="24"/>
        </w:rPr>
        <w:t xml:space="preserve">approved </w:t>
      </w:r>
      <w:r w:rsidR="008B5AD8">
        <w:t>pipeline infrastructure replacement program.</w:t>
      </w:r>
      <w:r w:rsidR="00002C60">
        <w:t xml:space="preserve"> </w:t>
      </w:r>
    </w:p>
    <w:p w:rsidR="006B4C9F" w:rsidP="006B4C9F" w14:paraId="6F0C968C" w14:textId="77777777">
      <w:pPr>
        <w:ind w:firstLine="720"/>
      </w:pPr>
    </w:p>
    <w:p w:rsidR="00313201" w:rsidP="000A0A83" w14:paraId="7306A192" w14:textId="5CFCD965">
      <w:pPr>
        <w:pStyle w:val="Heading1"/>
        <w:numPr>
          <w:ilvl w:val="0"/>
          <w:numId w:val="7"/>
        </w:numPr>
        <w:ind w:left="720"/>
      </w:pPr>
      <w:bookmarkStart w:id="3" w:name="_Toc101364566"/>
      <w:r w:rsidRPr="00F64C84">
        <w:t>RECOMMENDATIONS</w:t>
      </w:r>
      <w:bookmarkEnd w:id="3"/>
    </w:p>
    <w:p w:rsidR="00313201" w:rsidRPr="004A60E4" w:rsidP="000A0A83" w14:paraId="327A93E8" w14:textId="3BE46B17">
      <w:pPr>
        <w:pStyle w:val="Heading2"/>
        <w:numPr>
          <w:ilvl w:val="0"/>
          <w:numId w:val="18"/>
        </w:numPr>
        <w:ind w:left="1440" w:hanging="720"/>
        <w:rPr>
          <w:rFonts w:eastAsia="SimSun"/>
        </w:rPr>
      </w:pPr>
      <w:bookmarkStart w:id="4" w:name="_Toc101364567"/>
      <w:bookmarkStart w:id="5" w:name="_Toc445824337"/>
      <w:bookmarkStart w:id="6" w:name="_Toc444787522"/>
      <w:r w:rsidRPr="004A60E4">
        <w:rPr>
          <w:rFonts w:eastAsia="SimSun"/>
        </w:rPr>
        <w:t>T</w:t>
      </w:r>
      <w:r w:rsidR="00D53BD0">
        <w:rPr>
          <w:rFonts w:eastAsia="SimSun"/>
        </w:rPr>
        <w:t>o protect consumers, t</w:t>
      </w:r>
      <w:r w:rsidRPr="004A60E4">
        <w:rPr>
          <w:rFonts w:eastAsia="SimSun"/>
        </w:rPr>
        <w:t xml:space="preserve">he PUCO should find that </w:t>
      </w:r>
      <w:r w:rsidR="004A60E4">
        <w:rPr>
          <w:rFonts w:eastAsia="SimSun"/>
        </w:rPr>
        <w:t xml:space="preserve">utilizing </w:t>
      </w:r>
      <w:r w:rsidRPr="004A60E4">
        <w:rPr>
          <w:rFonts w:eastAsia="SimSun"/>
        </w:rPr>
        <w:t>Dominion’s propos</w:t>
      </w:r>
      <w:r w:rsidRPr="004A60E4" w:rsidR="00862BE5">
        <w:rPr>
          <w:rFonts w:eastAsia="SimSun"/>
        </w:rPr>
        <w:t>ed</w:t>
      </w:r>
      <w:r w:rsidRPr="004A60E4">
        <w:rPr>
          <w:rFonts w:eastAsia="SimSun"/>
        </w:rPr>
        <w:t xml:space="preserve"> rate of return </w:t>
      </w:r>
      <w:r w:rsidR="004A60E4">
        <w:rPr>
          <w:rFonts w:eastAsia="SimSun"/>
        </w:rPr>
        <w:t xml:space="preserve">as </w:t>
      </w:r>
      <w:r w:rsidRPr="004A60E4">
        <w:rPr>
          <w:rFonts w:eastAsia="SimSun"/>
        </w:rPr>
        <w:t>set in its last base rate</w:t>
      </w:r>
      <w:r w:rsidR="004A60E4">
        <w:rPr>
          <w:rFonts w:eastAsia="SimSun"/>
        </w:rPr>
        <w:t xml:space="preserve"> </w:t>
      </w:r>
      <w:r w:rsidRPr="004A60E4">
        <w:rPr>
          <w:rFonts w:eastAsia="SimSun"/>
        </w:rPr>
        <w:t xml:space="preserve">case </w:t>
      </w:r>
      <w:r w:rsidR="004A60E4">
        <w:rPr>
          <w:rFonts w:eastAsia="SimSun"/>
        </w:rPr>
        <w:t>thirteen years ago is</w:t>
      </w:r>
      <w:r w:rsidRPr="004A60E4">
        <w:rPr>
          <w:rFonts w:eastAsia="SimSun"/>
        </w:rPr>
        <w:t xml:space="preserve"> unjust and unreasonable</w:t>
      </w:r>
      <w:r w:rsidRPr="004A60E4" w:rsidR="00862BE5">
        <w:rPr>
          <w:rFonts w:eastAsia="SimSun"/>
        </w:rPr>
        <w:t xml:space="preserve"> and should not be adopted</w:t>
      </w:r>
      <w:r w:rsidRPr="004A60E4" w:rsidR="00FD5660">
        <w:rPr>
          <w:rFonts w:eastAsia="SimSun"/>
        </w:rPr>
        <w:t>.</w:t>
      </w:r>
      <w:bookmarkEnd w:id="4"/>
      <w:r w:rsidR="00002C60">
        <w:rPr>
          <w:rFonts w:eastAsia="SimSun"/>
        </w:rPr>
        <w:t xml:space="preserve"> </w:t>
      </w:r>
    </w:p>
    <w:p w:rsidR="006952F8" w:rsidRPr="004A60E4" w:rsidP="000A0A83" w14:paraId="587B0AB5" w14:textId="3A95BC25">
      <w:pPr>
        <w:pStyle w:val="Heading3"/>
      </w:pPr>
      <w:bookmarkStart w:id="7" w:name="_Toc101364568"/>
      <w:bookmarkStart w:id="8" w:name="_Hlk100481725"/>
      <w:r w:rsidRPr="004A60E4">
        <w:t xml:space="preserve">1. </w:t>
      </w:r>
      <w:r w:rsidR="000A0A83">
        <w:tab/>
      </w:r>
      <w:r w:rsidRPr="004A60E4">
        <w:t xml:space="preserve">Dominion has the burden </w:t>
      </w:r>
      <w:r>
        <w:t>of</w:t>
      </w:r>
      <w:r w:rsidRPr="004A60E4">
        <w:t xml:space="preserve"> proof and has failed to demonstrate its proposed pre-tax rate of return of 9.91% is just and </w:t>
      </w:r>
      <w:r w:rsidRPr="004A60E4" w:rsidR="00FD5660">
        <w:t>r</w:t>
      </w:r>
      <w:r w:rsidRPr="004A60E4">
        <w:t>easonable</w:t>
      </w:r>
      <w:r w:rsidR="00D53BD0">
        <w:t xml:space="preserve"> in setting consumer charges</w:t>
      </w:r>
      <w:r w:rsidRPr="004A60E4">
        <w:t>.</w:t>
      </w:r>
      <w:bookmarkEnd w:id="7"/>
    </w:p>
    <w:bookmarkEnd w:id="8"/>
    <w:p w:rsidR="008B5AD8" w:rsidP="00FD5660" w14:paraId="72672CFC" w14:textId="23139A2B">
      <w:pPr>
        <w:pStyle w:val="ListParagraph"/>
        <w:spacing w:line="480" w:lineRule="auto"/>
        <w:ind w:left="0" w:firstLine="720"/>
        <w:rPr>
          <w:szCs w:val="24"/>
        </w:rPr>
      </w:pPr>
      <w:r w:rsidRPr="006952F8">
        <w:rPr>
          <w:szCs w:val="24"/>
        </w:rPr>
        <w:t xml:space="preserve">Dominion proposes to use the rate of return that </w:t>
      </w:r>
      <w:r w:rsidR="009C5951">
        <w:rPr>
          <w:szCs w:val="24"/>
        </w:rPr>
        <w:t xml:space="preserve">was </w:t>
      </w:r>
      <w:r w:rsidRPr="006952F8">
        <w:rPr>
          <w:szCs w:val="24"/>
        </w:rPr>
        <w:t>set 1</w:t>
      </w:r>
      <w:r w:rsidRPr="006952F8" w:rsidR="00B0334A">
        <w:rPr>
          <w:szCs w:val="24"/>
        </w:rPr>
        <w:t>3</w:t>
      </w:r>
      <w:r w:rsidRPr="006952F8">
        <w:rPr>
          <w:szCs w:val="24"/>
        </w:rPr>
        <w:t xml:space="preserve"> years ago in Case No. 07-829-GA-AIR in charging customers </w:t>
      </w:r>
      <w:r w:rsidR="00902228">
        <w:rPr>
          <w:szCs w:val="24"/>
        </w:rPr>
        <w:t>for</w:t>
      </w:r>
      <w:r w:rsidRPr="006952F8">
        <w:rPr>
          <w:szCs w:val="24"/>
        </w:rPr>
        <w:t xml:space="preserve"> the pipeline investment</w:t>
      </w:r>
      <w:r w:rsidR="00B067EA">
        <w:rPr>
          <w:szCs w:val="24"/>
        </w:rPr>
        <w:t>s</w:t>
      </w:r>
      <w:r w:rsidRPr="006952F8" w:rsidR="00B0334A">
        <w:rPr>
          <w:szCs w:val="24"/>
        </w:rPr>
        <w:t xml:space="preserve"> in this </w:t>
      </w:r>
      <w:r w:rsidRPr="006952F8" w:rsidR="00E3296C">
        <w:rPr>
          <w:szCs w:val="24"/>
        </w:rPr>
        <w:t>a</w:t>
      </w:r>
      <w:r w:rsidRPr="006952F8" w:rsidR="00B0334A">
        <w:rPr>
          <w:szCs w:val="24"/>
        </w:rPr>
        <w:t>pplication</w:t>
      </w:r>
      <w:r w:rsidRPr="006952F8">
        <w:rPr>
          <w:szCs w:val="24"/>
        </w:rPr>
        <w:t>. Dominion filed this case under Revised Code 4929.05 governing approval of natural gas company alternative rate plans. Revised Code 4929.05(A)(3) expressly provides that alternative rate plans must be just and reasonable.</w:t>
      </w:r>
      <w:r w:rsidRPr="006952F8" w:rsidR="006B4C9F">
        <w:rPr>
          <w:szCs w:val="24"/>
        </w:rPr>
        <w:t xml:space="preserve"> </w:t>
      </w:r>
      <w:r w:rsidRPr="006952F8">
        <w:rPr>
          <w:szCs w:val="24"/>
        </w:rPr>
        <w:t>And Revised Code 4929.05(B) provides that the utility has the burden of proof.</w:t>
      </w:r>
      <w:r w:rsidR="00002C60">
        <w:rPr>
          <w:szCs w:val="24"/>
        </w:rPr>
        <w:t xml:space="preserve"> </w:t>
      </w:r>
    </w:p>
    <w:p w:rsidR="006952F8" w:rsidP="00FD5660" w14:paraId="092485FF" w14:textId="7576BBBA">
      <w:pPr>
        <w:pStyle w:val="ListParagraph"/>
        <w:spacing w:line="480" w:lineRule="auto"/>
        <w:ind w:left="0" w:firstLine="720"/>
      </w:pPr>
      <w:r>
        <w:rPr>
          <w:szCs w:val="24"/>
        </w:rPr>
        <w:t xml:space="preserve">Dominion did not sustain this burden of proof. </w:t>
      </w:r>
      <w:r>
        <w:t>Neither Dominion</w:t>
      </w:r>
      <w:r w:rsidR="0052391D">
        <w:t>’s application, the testimony of Dominion’s witness</w:t>
      </w:r>
      <w:r w:rsidR="00A965A3">
        <w:t>,</w:t>
      </w:r>
      <w:r>
        <w:rPr>
          <w:rStyle w:val="FootnoteReference"/>
        </w:rPr>
        <w:footnoteReference w:id="9"/>
      </w:r>
      <w:r w:rsidR="0052391D">
        <w:t xml:space="preserve"> or the testimony of the PUCO Staff witness</w:t>
      </w:r>
      <w:r>
        <w:rPr>
          <w:rStyle w:val="FootnoteReference"/>
        </w:rPr>
        <w:footnoteReference w:id="10"/>
      </w:r>
      <w:r w:rsidR="0052391D">
        <w:t xml:space="preserve"> </w:t>
      </w:r>
      <w:r>
        <w:t xml:space="preserve">provide any factual support for using the pre-tax rate of return of 9.91%. </w:t>
      </w:r>
      <w:r w:rsidR="009624E5">
        <w:t>PUCO Staff</w:t>
      </w:r>
      <w:r w:rsidR="00A907DF">
        <w:t xml:space="preserve"> failed to take any corrective actions regarding the unjust and unreasonable rate of return used in setting the pipeline infrastructure charges.</w:t>
      </w:r>
      <w:r>
        <w:rPr>
          <w:rStyle w:val="FootnoteReference"/>
        </w:rPr>
        <w:footnoteReference w:id="11"/>
      </w:r>
      <w:r w:rsidR="009624E5">
        <w:t xml:space="preserve"> </w:t>
      </w:r>
      <w:r>
        <w:t>Dominion and the PUCO Staff have provided no rate of return expert witness or any testimony (or comments) regarding Dominion’s current actual cost of long-term debt and estimated cost of equity.</w:t>
      </w:r>
      <w:r>
        <w:rPr>
          <w:rStyle w:val="FootnoteReference"/>
        </w:rPr>
        <w:footnoteReference w:id="12"/>
      </w:r>
      <w:r w:rsidR="00DA7A96">
        <w:t xml:space="preserve"> </w:t>
      </w:r>
    </w:p>
    <w:p w:rsidR="00733442" w:rsidP="00FD5660" w14:paraId="32DFB95D" w14:textId="4B50960C">
      <w:pPr>
        <w:pStyle w:val="ListParagraph"/>
        <w:spacing w:line="480" w:lineRule="auto"/>
        <w:ind w:left="0" w:firstLine="720"/>
        <w:rPr>
          <w:szCs w:val="24"/>
        </w:rPr>
      </w:pPr>
      <w:r>
        <w:t>OCC is the only party in this case t</w:t>
      </w:r>
      <w:r w:rsidR="00B269E8">
        <w:t>o</w:t>
      </w:r>
      <w:r>
        <w:t xml:space="preserve"> address and quantify issues related to a proper pre-tax rate of return applicable to Dominion’s pipeline infrastructure replacement program.</w:t>
      </w:r>
      <w:r>
        <w:rPr>
          <w:rStyle w:val="FootnoteReference"/>
        </w:rPr>
        <w:footnoteReference w:id="13"/>
      </w:r>
      <w:r>
        <w:t xml:space="preserve"> </w:t>
      </w:r>
      <w:r w:rsidR="00C1272D">
        <w:t xml:space="preserve">OCC’s testimony is undisputed. </w:t>
      </w:r>
      <w:r>
        <w:t>Specifically, OCC demonstrated that a reasonable pre-tax rate of return for Dominion should be no higher than 7.20% based on Dominion’s actual cost of debt of 2.29% and cost of equity of 9.36%.</w:t>
      </w:r>
      <w:r>
        <w:rPr>
          <w:rStyle w:val="FootnoteReference"/>
        </w:rPr>
        <w:footnoteReference w:id="14"/>
      </w:r>
      <w:r w:rsidR="00002C60">
        <w:t xml:space="preserve"> </w:t>
      </w:r>
      <w:r>
        <w:t xml:space="preserve">More importantly, the PUCO has </w:t>
      </w:r>
      <w:r w:rsidR="00A96F6A">
        <w:t xml:space="preserve">also </w:t>
      </w:r>
      <w:r>
        <w:t>concluded that “the Company’s current cost of debt rate has significantly decreased since its last rate case “</w:t>
      </w:r>
      <w:r>
        <w:rPr>
          <w:rStyle w:val="FootnoteReference"/>
        </w:rPr>
        <w:footnoteReference w:id="15"/>
      </w:r>
      <w:r>
        <w:t xml:space="preserve"> and t</w:t>
      </w:r>
      <w:r w:rsidR="00A965A3">
        <w:t>hat the</w:t>
      </w:r>
      <w:r>
        <w:t xml:space="preserve"> cost of capital has recently fallen.</w:t>
      </w:r>
      <w:r>
        <w:rPr>
          <w:rStyle w:val="FootnoteReference"/>
        </w:rPr>
        <w:footnoteReference w:id="16"/>
      </w:r>
      <w:r>
        <w:t xml:space="preserve"> </w:t>
      </w:r>
    </w:p>
    <w:p w:rsidR="00AA0799" w:rsidRPr="00A965A3" w:rsidP="000A0A83" w14:paraId="2ADB8138" w14:textId="14EE3EA9">
      <w:pPr>
        <w:pStyle w:val="Heading3"/>
      </w:pPr>
      <w:bookmarkStart w:id="9" w:name="_Toc101364569"/>
      <w:r>
        <w:t>2.</w:t>
      </w:r>
      <w:r>
        <w:tab/>
      </w:r>
      <w:r w:rsidR="00A965A3">
        <w:t xml:space="preserve">The </w:t>
      </w:r>
      <w:r w:rsidRPr="00A965A3">
        <w:t xml:space="preserve">PUCO is not required to use the rate of return set </w:t>
      </w:r>
      <w:r w:rsidRPr="00A965A3" w:rsidR="008A3891">
        <w:t xml:space="preserve">13 years ago </w:t>
      </w:r>
      <w:r w:rsidRPr="00A965A3">
        <w:t xml:space="preserve">in </w:t>
      </w:r>
      <w:r w:rsidRPr="00A965A3" w:rsidR="008A3891">
        <w:t xml:space="preserve">Dominion’s </w:t>
      </w:r>
      <w:r w:rsidRPr="00A965A3">
        <w:t xml:space="preserve">last rate case and </w:t>
      </w:r>
      <w:r w:rsidRPr="00A965A3" w:rsidR="008B5AD8">
        <w:t xml:space="preserve">the </w:t>
      </w:r>
      <w:r w:rsidRPr="00A965A3">
        <w:t>PUCO</w:t>
      </w:r>
      <w:r w:rsidRPr="00A965A3" w:rsidR="00A96F6A">
        <w:t xml:space="preserve">’s past practice </w:t>
      </w:r>
      <w:r w:rsidRPr="00A965A3">
        <w:t xml:space="preserve">cannot justify unreasonable </w:t>
      </w:r>
      <w:r w:rsidRPr="00A965A3" w:rsidR="00A96F6A">
        <w:t xml:space="preserve">and unjust </w:t>
      </w:r>
      <w:r w:rsidRPr="00A965A3">
        <w:t>rates that harm consumers.</w:t>
      </w:r>
      <w:bookmarkEnd w:id="9"/>
      <w:r w:rsidRPr="00A965A3">
        <w:t xml:space="preserve"> </w:t>
      </w:r>
    </w:p>
    <w:p w:rsidR="003060D0" w:rsidP="008A3891" w14:paraId="1C26816E" w14:textId="1CE134D6">
      <w:pPr>
        <w:spacing w:line="480" w:lineRule="auto"/>
        <w:ind w:firstLine="720"/>
      </w:pPr>
      <w:r>
        <w:rPr>
          <w:szCs w:val="24"/>
        </w:rPr>
        <w:t>Dominion asserts that the PUCO should use the cost of capital and capital structure approved in the utility’s last base rate case</w:t>
      </w:r>
      <w:r w:rsidR="001A3446">
        <w:rPr>
          <w:szCs w:val="24"/>
        </w:rPr>
        <w:t xml:space="preserve"> because that is the PUCO’s long-standing practice.</w:t>
      </w:r>
      <w:r>
        <w:rPr>
          <w:rStyle w:val="FootnoteReference"/>
          <w:szCs w:val="24"/>
        </w:rPr>
        <w:footnoteReference w:id="17"/>
      </w:r>
      <w:r>
        <w:rPr>
          <w:szCs w:val="24"/>
        </w:rPr>
        <w:t xml:space="preserve"> </w:t>
      </w:r>
      <w:r w:rsidR="00902228">
        <w:t xml:space="preserve">In recent cases, the PUCO did rely on past “practice” in setting the pre-tax rate of return used for certain rider cases. </w:t>
      </w:r>
      <w:r>
        <w:rPr>
          <w:szCs w:val="24"/>
        </w:rPr>
        <w:t>But the</w:t>
      </w:r>
      <w:r w:rsidRPr="004C47CF" w:rsidR="008A3891">
        <w:rPr>
          <w:szCs w:val="24"/>
        </w:rPr>
        <w:t xml:space="preserve"> PUCO is not required to </w:t>
      </w:r>
      <w:r w:rsidR="001A3446">
        <w:rPr>
          <w:szCs w:val="24"/>
        </w:rPr>
        <w:t>do this. The PUCO is not required to use t</w:t>
      </w:r>
      <w:r w:rsidR="008A3891">
        <w:t>he rate of return decided in the last rate case fo</w:t>
      </w:r>
      <w:r w:rsidR="00902228">
        <w:t xml:space="preserve">r subsequent </w:t>
      </w:r>
      <w:r w:rsidR="008A3891">
        <w:t xml:space="preserve">rider cases or </w:t>
      </w:r>
      <w:r w:rsidR="001A3446">
        <w:t>any other proceeding</w:t>
      </w:r>
      <w:r w:rsidR="00902228">
        <w:t>s</w:t>
      </w:r>
      <w:r w:rsidR="008A3891">
        <w:t xml:space="preserve"> that involve a return on rate base.</w:t>
      </w:r>
      <w:r>
        <w:rPr>
          <w:rStyle w:val="FootnoteReference"/>
        </w:rPr>
        <w:footnoteReference w:id="18"/>
      </w:r>
      <w:r w:rsidR="00002C60">
        <w:t xml:space="preserve"> </w:t>
      </w:r>
      <w:r w:rsidR="00902228">
        <w:t>E</w:t>
      </w:r>
      <w:r w:rsidR="0027600C">
        <w:t>ven if the</w:t>
      </w:r>
      <w:r w:rsidR="00A96F6A">
        <w:t xml:space="preserve"> so-called past practice </w:t>
      </w:r>
      <w:r w:rsidR="0027600C">
        <w:t xml:space="preserve">can be considered, </w:t>
      </w:r>
      <w:r>
        <w:t xml:space="preserve">the </w:t>
      </w:r>
      <w:r w:rsidR="00A96F6A">
        <w:t xml:space="preserve">reliance on past practice </w:t>
      </w:r>
      <w:r>
        <w:t>is mainly for regulatory efficiency and consistency.</w:t>
      </w:r>
      <w:r w:rsidR="00002C60">
        <w:t xml:space="preserve"> </w:t>
      </w:r>
      <w:r w:rsidR="00902228">
        <w:t xml:space="preserve">But </w:t>
      </w:r>
      <w:r w:rsidR="00A96F6A">
        <w:t xml:space="preserve">reliance on past practice </w:t>
      </w:r>
      <w:r>
        <w:t>is not a substitut</w:t>
      </w:r>
      <w:r w:rsidR="00B067EA">
        <w:t xml:space="preserve">e </w:t>
      </w:r>
      <w:r>
        <w:t xml:space="preserve">for </w:t>
      </w:r>
      <w:r w:rsidR="00B067EA">
        <w:t xml:space="preserve">exercising </w:t>
      </w:r>
      <w:r>
        <w:t xml:space="preserve">sound policy and regulatory judgment. </w:t>
      </w:r>
    </w:p>
    <w:p w:rsidR="001A3446" w:rsidP="008A3891" w14:paraId="24BF5708" w14:textId="4AFAA64F">
      <w:pPr>
        <w:spacing w:line="480" w:lineRule="auto"/>
        <w:ind w:firstLine="720"/>
      </w:pPr>
      <w:r>
        <w:t>No law, rule, or PUCO precedent requires that the PUCO apply the rate of return from a utility’s most recent base rate case to determine a rider rate. Instead, t</w:t>
      </w:r>
      <w:r w:rsidR="008A3891">
        <w:t xml:space="preserve">he proper </w:t>
      </w:r>
      <w:r w:rsidR="00B067EA">
        <w:t xml:space="preserve">policy and regulatory </w:t>
      </w:r>
      <w:r w:rsidR="008A3891">
        <w:t>standards for the PUCO</w:t>
      </w:r>
      <w:r w:rsidR="00B067EA">
        <w:t xml:space="preserve"> </w:t>
      </w:r>
      <w:r w:rsidR="008A3891">
        <w:t xml:space="preserve">in ratemaking </w:t>
      </w:r>
      <w:r w:rsidR="00A96F6A">
        <w:t xml:space="preserve">should </w:t>
      </w:r>
      <w:r w:rsidR="008A3891">
        <w:t>always be</w:t>
      </w:r>
      <w:r>
        <w:t>:</w:t>
      </w:r>
    </w:p>
    <w:p w:rsidR="001A3446" w:rsidP="000A0A83" w14:paraId="25155404" w14:textId="67B1928A">
      <w:pPr>
        <w:pStyle w:val="ListParagraph"/>
        <w:numPr>
          <w:ilvl w:val="0"/>
          <w:numId w:val="16"/>
        </w:numPr>
        <w:spacing w:line="480" w:lineRule="auto"/>
        <w:ind w:left="1440" w:hanging="720"/>
        <w:rPr>
          <w:bCs/>
          <w:iCs/>
        </w:rPr>
      </w:pPr>
      <w:r>
        <w:t>T</w:t>
      </w:r>
      <w:r w:rsidR="008A3891">
        <w:t xml:space="preserve">he </w:t>
      </w:r>
      <w:r w:rsidRPr="001A3446" w:rsidR="008A3891">
        <w:rPr>
          <w:bCs/>
          <w:iCs/>
        </w:rPr>
        <w:t>statutory requirements</w:t>
      </w:r>
      <w:r w:rsidRPr="001A3446" w:rsidR="00D60A0A">
        <w:rPr>
          <w:bCs/>
          <w:iCs/>
        </w:rPr>
        <w:t xml:space="preserve"> (that is</w:t>
      </w:r>
      <w:r>
        <w:rPr>
          <w:bCs/>
          <w:iCs/>
        </w:rPr>
        <w:t>,</w:t>
      </w:r>
      <w:r w:rsidRPr="001A3446" w:rsidR="00D60A0A">
        <w:rPr>
          <w:bCs/>
          <w:iCs/>
        </w:rPr>
        <w:t xml:space="preserve"> an alternative rate plan such as Dominion’s </w:t>
      </w:r>
      <w:r>
        <w:rPr>
          <w:bCs/>
          <w:iCs/>
        </w:rPr>
        <w:t>infrastructure replacement program must be just and reasonable.)</w:t>
      </w:r>
      <w:r>
        <w:rPr>
          <w:rStyle w:val="FootnoteReference"/>
          <w:bCs/>
          <w:iCs/>
        </w:rPr>
        <w:footnoteReference w:id="19"/>
      </w:r>
    </w:p>
    <w:p w:rsidR="0098098A" w:rsidP="000A0A83" w14:paraId="1343BAF9" w14:textId="5AB8150A">
      <w:pPr>
        <w:pStyle w:val="ListParagraph"/>
        <w:numPr>
          <w:ilvl w:val="0"/>
          <w:numId w:val="16"/>
        </w:numPr>
        <w:spacing w:line="480" w:lineRule="auto"/>
        <w:ind w:left="1440" w:hanging="720"/>
        <w:rPr>
          <w:bCs/>
          <w:iCs/>
        </w:rPr>
      </w:pPr>
      <w:r>
        <w:rPr>
          <w:bCs/>
          <w:iCs/>
        </w:rPr>
        <w:t>The</w:t>
      </w:r>
      <w:r w:rsidRPr="001A3446" w:rsidR="00A96F6A">
        <w:rPr>
          <w:bCs/>
          <w:iCs/>
        </w:rPr>
        <w:t xml:space="preserve"> </w:t>
      </w:r>
      <w:r w:rsidRPr="001A3446" w:rsidR="008A3891">
        <w:rPr>
          <w:bCs/>
          <w:iCs/>
        </w:rPr>
        <w:t>public interest</w:t>
      </w:r>
      <w:r w:rsidRPr="001A3446" w:rsidR="00D60A0A">
        <w:rPr>
          <w:bCs/>
          <w:iCs/>
        </w:rPr>
        <w:t xml:space="preserve"> (such as </w:t>
      </w:r>
      <w:r w:rsidR="00902228">
        <w:rPr>
          <w:bCs/>
          <w:iCs/>
        </w:rPr>
        <w:t>utility</w:t>
      </w:r>
      <w:r w:rsidRPr="001A3446" w:rsidR="00D60A0A">
        <w:rPr>
          <w:bCs/>
          <w:iCs/>
        </w:rPr>
        <w:t xml:space="preserve"> consumers, especially those at-risk population, should have adequate and affordable utility services)</w:t>
      </w:r>
      <w:r>
        <w:rPr>
          <w:rStyle w:val="FootnoteReference"/>
          <w:bCs/>
          <w:iCs/>
        </w:rPr>
        <w:footnoteReference w:id="20"/>
      </w:r>
      <w:r w:rsidR="00002C60">
        <w:rPr>
          <w:bCs/>
          <w:iCs/>
        </w:rPr>
        <w:t xml:space="preserve"> </w:t>
      </w:r>
    </w:p>
    <w:p w:rsidR="00D60A0A" w:rsidRPr="001A3446" w:rsidP="000A0A83" w14:paraId="471CF1B1" w14:textId="2874D646">
      <w:pPr>
        <w:pStyle w:val="ListParagraph"/>
        <w:numPr>
          <w:ilvl w:val="0"/>
          <w:numId w:val="16"/>
        </w:numPr>
        <w:spacing w:line="480" w:lineRule="auto"/>
        <w:ind w:left="1440" w:hanging="720"/>
        <w:rPr>
          <w:bCs/>
          <w:iCs/>
        </w:rPr>
      </w:pPr>
      <w:r>
        <w:rPr>
          <w:bCs/>
          <w:iCs/>
        </w:rPr>
        <w:t>Es</w:t>
      </w:r>
      <w:r w:rsidRPr="001A3446" w:rsidR="003060D0">
        <w:rPr>
          <w:bCs/>
          <w:iCs/>
        </w:rPr>
        <w:t xml:space="preserve">tablished </w:t>
      </w:r>
      <w:r w:rsidR="00A907DF">
        <w:rPr>
          <w:bCs/>
          <w:iCs/>
        </w:rPr>
        <w:t xml:space="preserve">case law and </w:t>
      </w:r>
      <w:r w:rsidRPr="001A3446" w:rsidR="008A3891">
        <w:rPr>
          <w:bCs/>
          <w:iCs/>
        </w:rPr>
        <w:t>regulatory principles</w:t>
      </w:r>
      <w:r w:rsidRPr="001A3446">
        <w:rPr>
          <w:bCs/>
          <w:iCs/>
        </w:rPr>
        <w:t xml:space="preserve"> (such as the rate of return should be based on current market conditions and returns available to other entities with comparable risks)</w:t>
      </w:r>
      <w:r>
        <w:rPr>
          <w:bCs/>
          <w:iCs/>
        </w:rPr>
        <w:t>.</w:t>
      </w:r>
      <w:r>
        <w:rPr>
          <w:rStyle w:val="FootnoteReference"/>
          <w:bCs/>
          <w:iCs/>
        </w:rPr>
        <w:footnoteReference w:id="21"/>
      </w:r>
      <w:r w:rsidR="00002C60">
        <w:rPr>
          <w:bCs/>
          <w:iCs/>
        </w:rPr>
        <w:t xml:space="preserve"> </w:t>
      </w:r>
    </w:p>
    <w:p w:rsidR="00C1272D" w:rsidP="00C1272D" w14:paraId="49195771" w14:textId="187DD205">
      <w:pPr>
        <w:spacing w:line="480" w:lineRule="auto"/>
        <w:ind w:firstLine="720"/>
        <w:rPr>
          <w:bCs/>
          <w:iCs/>
        </w:rPr>
      </w:pPr>
      <w:r>
        <w:rPr>
          <w:bCs/>
          <w:iCs/>
        </w:rPr>
        <w:t>Adherence to</w:t>
      </w:r>
      <w:r w:rsidRPr="001A3446">
        <w:rPr>
          <w:bCs/>
          <w:iCs/>
        </w:rPr>
        <w:t xml:space="preserve"> PUCO past practice should not be used as an excuse for ignoring important legal and regulatory requirements and responsibility in ratemaking.</w:t>
      </w:r>
      <w:r>
        <w:rPr>
          <w:bCs/>
          <w:iCs/>
        </w:rPr>
        <w:t xml:space="preserve"> Especially when applying past practice will obviously lead to unjust and unreasonable outcomes for consumers. As demonstrated by OCC in several recent cases, a rate of return of 9.91% based on cost of capital components set 13 years ago under vastly different market conditions is outdated and unreasonable.</w:t>
      </w:r>
      <w:r>
        <w:rPr>
          <w:rStyle w:val="FootnoteReference"/>
          <w:bCs/>
          <w:iCs/>
        </w:rPr>
        <w:footnoteReference w:id="22"/>
      </w:r>
      <w:r w:rsidR="00002C60">
        <w:rPr>
          <w:bCs/>
          <w:iCs/>
        </w:rPr>
        <w:t xml:space="preserve"> </w:t>
      </w:r>
    </w:p>
    <w:p w:rsidR="00F02A93" w:rsidP="004C47CF" w14:paraId="75083353" w14:textId="77777777">
      <w:pPr>
        <w:spacing w:line="480" w:lineRule="auto"/>
        <w:ind w:firstLine="720"/>
      </w:pPr>
      <w:r>
        <w:t>U</w:t>
      </w:r>
      <w:r w:rsidR="00163EEB">
        <w:t>se of the utility’s most recently-approved base rate case rate of return might make sense when the utility’s most recent base rate case was in fact recent. But here, Dominion’s approved rate of return was approved 1</w:t>
      </w:r>
      <w:r>
        <w:t>3</w:t>
      </w:r>
      <w:r w:rsidR="00163EEB">
        <w:t xml:space="preserve"> years ago in a substantially different financial climate. While the path of least resistance might be to simply rubber stamp the utility’s 1</w:t>
      </w:r>
      <w:r>
        <w:t>3</w:t>
      </w:r>
      <w:r w:rsidR="00163EEB">
        <w:t>-year-old rate of return, equity and reasonableness require the PUCO to consider whether charging customers that rate remains justified—and it does not, for all the reasons explained</w:t>
      </w:r>
      <w:r>
        <w:t xml:space="preserve"> herein.</w:t>
      </w:r>
    </w:p>
    <w:p w:rsidR="007B72FE" w:rsidP="004C47CF" w14:paraId="19385F1C" w14:textId="1B15C519">
      <w:pPr>
        <w:spacing w:line="480" w:lineRule="auto"/>
        <w:ind w:firstLine="720"/>
      </w:pPr>
      <w:r>
        <w:t xml:space="preserve">The PUCO’s “precedent,” in its role as judge, should change with the times to provide justice, and the legal standard involving precedent allows for that. </w:t>
      </w:r>
      <w:r w:rsidR="00F02A93">
        <w:t>A</w:t>
      </w:r>
      <w:r>
        <w:t>n</w:t>
      </w:r>
      <w:r w:rsidR="00F02A93">
        <w:t xml:space="preserve"> assessment of this point of law recently was provided by the Ohio Supreme Court in </w:t>
      </w:r>
      <w:r w:rsidRPr="00934677" w:rsidR="00F02A93">
        <w:rPr>
          <w:i/>
          <w:iCs/>
        </w:rPr>
        <w:t>In re Complaint of Suburban Gas Company</w:t>
      </w:r>
      <w:r w:rsidR="00F02A93">
        <w:t>,</w:t>
      </w:r>
      <w:r>
        <w:rPr>
          <w:rStyle w:val="FootnoteReference"/>
        </w:rPr>
        <w:footnoteReference w:id="23"/>
      </w:r>
      <w:r w:rsidR="00DA7A96">
        <w:t xml:space="preserve"> </w:t>
      </w:r>
      <w:r w:rsidR="00F02A93">
        <w:t xml:space="preserve">in which the Court stated: </w:t>
      </w:r>
    </w:p>
    <w:p w:rsidR="007B72FE" w:rsidP="007B72FE" w14:paraId="5885683E" w14:textId="2D676C85">
      <w:pPr>
        <w:ind w:left="720"/>
      </w:pPr>
      <w:r>
        <w:t xml:space="preserve">We have instructed the commission to “respect its own precedents in its decisions to assure the </w:t>
      </w:r>
      <w:r w:rsidR="00DA7A96">
        <w:t>predictability,</w:t>
      </w:r>
      <w:r>
        <w:t xml:space="preserve"> which is essential in all areas of the law, including administrative law.” If the commission departs from precedent, it must explain why, though the explanatory hurdle is not particularly high. </w:t>
      </w:r>
      <w:r w:rsidRPr="00934677">
        <w:rPr>
          <w:i/>
          <w:iCs/>
        </w:rPr>
        <w:t>See In re Application of Columbus S. Power Co</w:t>
      </w:r>
      <w:r>
        <w:t xml:space="preserve">., 128 Ohio St.3d 512, 2011-Ohio-1788, 947 N.E.2d 655, ¶ 52 [quoting </w:t>
      </w:r>
      <w:r w:rsidRPr="00934677">
        <w:rPr>
          <w:i/>
          <w:iCs/>
        </w:rPr>
        <w:t>Office of Consumers' Counsel v. Pub. Util. Comm</w:t>
      </w:r>
      <w:r>
        <w:t xml:space="preserve">. (1985), 16 Ohio St.3d 21, 21–22, 16 OBR 371, 475 N.E.2d 786 (“‘A few simple sentences in </w:t>
      </w:r>
    </w:p>
    <w:p w:rsidR="007B72FE" w:rsidP="007B72FE" w14:paraId="5368ED6B" w14:textId="504A1EDB">
      <w:pPr>
        <w:ind w:left="720"/>
      </w:pPr>
      <w:r>
        <w:t>the commission's order in this case would have sufficed’ to explain why a previous order had been overruled”)].</w:t>
      </w:r>
    </w:p>
    <w:p w:rsidR="007B72FE" w:rsidP="007B72FE" w14:paraId="09645A90" w14:textId="77777777">
      <w:pPr>
        <w:ind w:left="720"/>
      </w:pPr>
    </w:p>
    <w:p w:rsidR="007B72FE" w:rsidP="007B72FE" w14:paraId="24CFC7BC" w14:textId="77777777">
      <w:pPr>
        <w:spacing w:line="480" w:lineRule="auto"/>
        <w:ind w:left="720" w:firstLine="720"/>
      </w:pPr>
    </w:p>
    <w:p w:rsidR="00C1272D" w:rsidP="00DA7A96" w14:paraId="25A2188B" w14:textId="6F62B99A">
      <w:pPr>
        <w:spacing w:line="480" w:lineRule="auto"/>
        <w:ind w:firstLine="720"/>
        <w:rPr>
          <w:bCs/>
          <w:iCs/>
        </w:rPr>
      </w:pPr>
      <w:r>
        <w:t>The PUCO clearly has the authority to depart from past precedent as long as it explains its reasoning.</w:t>
      </w:r>
      <w:r>
        <w:rPr>
          <w:rStyle w:val="FootnoteReference"/>
        </w:rPr>
        <w:footnoteReference w:id="24"/>
      </w:r>
      <w:r>
        <w:t xml:space="preserve"> That is part of the PUCO’s role in administering justice. In this </w:t>
      </w:r>
      <w:r w:rsidR="00622D94">
        <w:t>case, the reasoning is simple: (1) Dominion’s existing 6.5% cost of debt used for ratemaking purposes is 13 years old, (2) Dominion’s current cost of debt is 2.2</w:t>
      </w:r>
      <w:r w:rsidR="00C8028B">
        <w:t>9</w:t>
      </w:r>
      <w:r w:rsidR="00622D94">
        <w:t xml:space="preserve">%, (3) Dominion still is charging its customers 6.5% for the cost of debt through base rates, and (4) by doing so, </w:t>
      </w:r>
      <w:r>
        <w:rPr>
          <w:bCs/>
          <w:iCs/>
        </w:rPr>
        <w:t xml:space="preserve">Dominion </w:t>
      </w:r>
      <w:r w:rsidR="00A5774E">
        <w:rPr>
          <w:bCs/>
          <w:iCs/>
        </w:rPr>
        <w:t>is enriched by windfall profits and debt costs that far exceed current obligations.</w:t>
      </w:r>
      <w:r>
        <w:rPr>
          <w:bCs/>
          <w:iCs/>
        </w:rPr>
        <w:t xml:space="preserve"> </w:t>
      </w:r>
    </w:p>
    <w:p w:rsidR="000A0A83" w:rsidP="004C47CF" w14:paraId="467F3560" w14:textId="680CA8ED">
      <w:pPr>
        <w:spacing w:line="480" w:lineRule="auto"/>
        <w:ind w:firstLine="720"/>
        <w:rPr>
          <w:bCs/>
          <w:iCs/>
        </w:rPr>
      </w:pPr>
      <w:r>
        <w:rPr>
          <w:bCs/>
          <w:iCs/>
        </w:rPr>
        <w:t xml:space="preserve">Dominion has </w:t>
      </w:r>
      <w:r w:rsidR="00A907DF">
        <w:rPr>
          <w:bCs/>
          <w:iCs/>
        </w:rPr>
        <w:t xml:space="preserve">had </w:t>
      </w:r>
      <w:r>
        <w:rPr>
          <w:bCs/>
          <w:iCs/>
        </w:rPr>
        <w:t xml:space="preserve">many </w:t>
      </w:r>
      <w:r w:rsidR="008B3E7A">
        <w:rPr>
          <w:bCs/>
          <w:iCs/>
        </w:rPr>
        <w:t xml:space="preserve">opportunities </w:t>
      </w:r>
      <w:r w:rsidR="00404731">
        <w:rPr>
          <w:bCs/>
          <w:iCs/>
        </w:rPr>
        <w:t xml:space="preserve">over the last two years in several rider cases </w:t>
      </w:r>
      <w:r>
        <w:rPr>
          <w:bCs/>
          <w:iCs/>
        </w:rPr>
        <w:t xml:space="preserve">to </w:t>
      </w:r>
      <w:r w:rsidR="004C47CF">
        <w:rPr>
          <w:bCs/>
          <w:iCs/>
        </w:rPr>
        <w:t xml:space="preserve">propose and </w:t>
      </w:r>
      <w:r>
        <w:rPr>
          <w:bCs/>
          <w:iCs/>
        </w:rPr>
        <w:t>demonstrate a</w:t>
      </w:r>
      <w:r w:rsidR="004C47CF">
        <w:rPr>
          <w:bCs/>
          <w:iCs/>
        </w:rPr>
        <w:t xml:space="preserve"> just and </w:t>
      </w:r>
      <w:r>
        <w:rPr>
          <w:bCs/>
          <w:iCs/>
        </w:rPr>
        <w:t xml:space="preserve">reasonable </w:t>
      </w:r>
      <w:r w:rsidR="004C47CF">
        <w:rPr>
          <w:bCs/>
          <w:iCs/>
        </w:rPr>
        <w:t xml:space="preserve">rate of return </w:t>
      </w:r>
      <w:r w:rsidR="00404731">
        <w:rPr>
          <w:bCs/>
          <w:iCs/>
        </w:rPr>
        <w:t xml:space="preserve">applicable in setting </w:t>
      </w:r>
      <w:r w:rsidR="00AE151D">
        <w:rPr>
          <w:bCs/>
          <w:iCs/>
        </w:rPr>
        <w:t>its</w:t>
      </w:r>
      <w:r w:rsidR="00404731">
        <w:rPr>
          <w:bCs/>
          <w:iCs/>
        </w:rPr>
        <w:t xml:space="preserve"> rider charges</w:t>
      </w:r>
      <w:r w:rsidR="004C47CF">
        <w:rPr>
          <w:bCs/>
          <w:iCs/>
        </w:rPr>
        <w:t>.</w:t>
      </w:r>
      <w:r>
        <w:rPr>
          <w:rStyle w:val="FootnoteReference"/>
          <w:bCs/>
          <w:iCs/>
        </w:rPr>
        <w:footnoteReference w:id="25"/>
      </w:r>
      <w:r w:rsidR="004C47CF">
        <w:rPr>
          <w:bCs/>
          <w:iCs/>
        </w:rPr>
        <w:t xml:space="preserve"> </w:t>
      </w:r>
      <w:r w:rsidR="00404731">
        <w:rPr>
          <w:bCs/>
          <w:iCs/>
        </w:rPr>
        <w:t xml:space="preserve">Dominion </w:t>
      </w:r>
      <w:r w:rsidR="004C47CF">
        <w:rPr>
          <w:bCs/>
          <w:iCs/>
        </w:rPr>
        <w:t>refused</w:t>
      </w:r>
      <w:r w:rsidR="00404731">
        <w:rPr>
          <w:bCs/>
          <w:iCs/>
        </w:rPr>
        <w:t xml:space="preserve"> to do so</w:t>
      </w:r>
      <w:r w:rsidR="00B067EA">
        <w:rPr>
          <w:bCs/>
          <w:iCs/>
        </w:rPr>
        <w:t xml:space="preserve">. </w:t>
      </w:r>
      <w:r w:rsidR="004C47CF">
        <w:rPr>
          <w:bCs/>
          <w:iCs/>
        </w:rPr>
        <w:t xml:space="preserve">Dominion </w:t>
      </w:r>
      <w:r w:rsidR="00AE151D">
        <w:rPr>
          <w:bCs/>
          <w:iCs/>
        </w:rPr>
        <w:t xml:space="preserve">should have recognized that </w:t>
      </w:r>
      <w:r w:rsidR="004C47CF">
        <w:rPr>
          <w:bCs/>
          <w:iCs/>
        </w:rPr>
        <w:t xml:space="preserve">any reasonable rate of return under current market conditions will be much lower than </w:t>
      </w:r>
      <w:r w:rsidR="00B067EA">
        <w:rPr>
          <w:bCs/>
          <w:iCs/>
        </w:rPr>
        <w:t xml:space="preserve">the </w:t>
      </w:r>
      <w:r w:rsidR="004C47CF">
        <w:rPr>
          <w:bCs/>
          <w:iCs/>
        </w:rPr>
        <w:t>9.91%</w:t>
      </w:r>
      <w:r w:rsidR="00B067EA">
        <w:rPr>
          <w:bCs/>
          <w:iCs/>
        </w:rPr>
        <w:t xml:space="preserve"> it currently charge</w:t>
      </w:r>
      <w:r w:rsidR="00F37A27">
        <w:rPr>
          <w:bCs/>
          <w:iCs/>
        </w:rPr>
        <w:t>s</w:t>
      </w:r>
      <w:r w:rsidR="004C47CF">
        <w:rPr>
          <w:bCs/>
          <w:iCs/>
        </w:rPr>
        <w:t>. Dominion cho</w:t>
      </w:r>
      <w:r w:rsidR="008B3E7A">
        <w:rPr>
          <w:bCs/>
          <w:iCs/>
        </w:rPr>
        <w:t>se</w:t>
      </w:r>
      <w:r w:rsidR="004C47CF">
        <w:rPr>
          <w:bCs/>
          <w:iCs/>
        </w:rPr>
        <w:t xml:space="preserve"> to earn more </w:t>
      </w:r>
      <w:r w:rsidR="00F37A27">
        <w:rPr>
          <w:bCs/>
          <w:iCs/>
        </w:rPr>
        <w:t xml:space="preserve">unwarranted </w:t>
      </w:r>
      <w:r w:rsidR="004C47CF">
        <w:rPr>
          <w:bCs/>
          <w:iCs/>
        </w:rPr>
        <w:t xml:space="preserve">profits at the expense of its </w:t>
      </w:r>
      <w:r w:rsidR="00F37A27">
        <w:rPr>
          <w:bCs/>
          <w:iCs/>
        </w:rPr>
        <w:t xml:space="preserve">customers, including </w:t>
      </w:r>
      <w:r w:rsidR="000E73E2">
        <w:rPr>
          <w:bCs/>
          <w:iCs/>
        </w:rPr>
        <w:t>its</w:t>
      </w:r>
      <w:r w:rsidR="00F37A27">
        <w:rPr>
          <w:bCs/>
          <w:iCs/>
        </w:rPr>
        <w:t xml:space="preserve"> </w:t>
      </w:r>
      <w:r w:rsidR="004C47CF">
        <w:rPr>
          <w:bCs/>
          <w:iCs/>
        </w:rPr>
        <w:t xml:space="preserve">1.2 million </w:t>
      </w:r>
      <w:r w:rsidR="00F37A27">
        <w:rPr>
          <w:bCs/>
          <w:iCs/>
        </w:rPr>
        <w:t xml:space="preserve">residential </w:t>
      </w:r>
      <w:r w:rsidR="004C47CF">
        <w:rPr>
          <w:bCs/>
          <w:iCs/>
        </w:rPr>
        <w:t xml:space="preserve">consumers. The PUCO should not </w:t>
      </w:r>
      <w:r w:rsidR="00404731">
        <w:rPr>
          <w:bCs/>
          <w:iCs/>
        </w:rPr>
        <w:t xml:space="preserve">allow or </w:t>
      </w:r>
      <w:r w:rsidR="004C47CF">
        <w:rPr>
          <w:bCs/>
          <w:iCs/>
        </w:rPr>
        <w:t xml:space="preserve">help Dominion to </w:t>
      </w:r>
      <w:r w:rsidR="00AE151D">
        <w:rPr>
          <w:bCs/>
          <w:iCs/>
        </w:rPr>
        <w:t>continue this.</w:t>
      </w:r>
      <w:r w:rsidR="00002C60">
        <w:rPr>
          <w:bCs/>
          <w:iCs/>
        </w:rPr>
        <w:t xml:space="preserve"> </w:t>
      </w:r>
    </w:p>
    <w:p w:rsidR="000A0A83" w14:paraId="48B96D0E" w14:textId="77777777">
      <w:pPr>
        <w:rPr>
          <w:bCs/>
          <w:iCs/>
        </w:rPr>
      </w:pPr>
      <w:r>
        <w:rPr>
          <w:bCs/>
          <w:iCs/>
        </w:rPr>
        <w:br w:type="page"/>
      </w:r>
    </w:p>
    <w:p w:rsidR="00947F82" w:rsidRPr="000A0A83" w:rsidP="000A0A83" w14:paraId="32AC21C0" w14:textId="39772E2D">
      <w:pPr>
        <w:pStyle w:val="Heading3"/>
      </w:pPr>
      <w:bookmarkStart w:id="10" w:name="_Toc101364570"/>
      <w:r>
        <w:t>3.</w:t>
      </w:r>
      <w:r>
        <w:tab/>
      </w:r>
      <w:r w:rsidRPr="000A0A83" w:rsidR="00AA0799">
        <w:t xml:space="preserve">The </w:t>
      </w:r>
      <w:r w:rsidRPr="000A0A83">
        <w:t>r</w:t>
      </w:r>
      <w:r w:rsidRPr="000A0A83" w:rsidR="00AA0799">
        <w:t xml:space="preserve">ate </w:t>
      </w:r>
      <w:r w:rsidRPr="000A0A83">
        <w:t>c</w:t>
      </w:r>
      <w:r w:rsidRPr="000A0A83" w:rsidR="00AA0799">
        <w:t xml:space="preserve">ase </w:t>
      </w:r>
      <w:r w:rsidRPr="000A0A83" w:rsidR="00404731">
        <w:t xml:space="preserve">filing </w:t>
      </w:r>
      <w:r w:rsidRPr="000A0A83">
        <w:t>r</w:t>
      </w:r>
      <w:r w:rsidRPr="000A0A83" w:rsidR="00AA0799">
        <w:t xml:space="preserve">equirement </w:t>
      </w:r>
      <w:r w:rsidRPr="000A0A83" w:rsidR="00404731">
        <w:t>o</w:t>
      </w:r>
      <w:r w:rsidRPr="000A0A83" w:rsidR="00AA0799">
        <w:t>rdered by the PUCO does not</w:t>
      </w:r>
      <w:r w:rsidRPr="000A0A83" w:rsidR="008D2F91">
        <w:t xml:space="preserve"> </w:t>
      </w:r>
      <w:r w:rsidRPr="000A0A83">
        <w:t xml:space="preserve">eliminate </w:t>
      </w:r>
      <w:r w:rsidRPr="000A0A83" w:rsidR="008D2F91">
        <w:t>t</w:t>
      </w:r>
      <w:r w:rsidRPr="000A0A83" w:rsidR="00AA0799">
        <w:t xml:space="preserve">he need to adopt a just and reasonable rate of return </w:t>
      </w:r>
      <w:r w:rsidR="00D53BD0">
        <w:t>for use in setting consumer charges</w:t>
      </w:r>
      <w:r w:rsidRPr="000A0A83" w:rsidR="00AA0799">
        <w:t>.</w:t>
      </w:r>
      <w:bookmarkEnd w:id="10"/>
    </w:p>
    <w:p w:rsidR="009F0ADB" w:rsidP="00F37A27" w14:paraId="7F1B8C63" w14:textId="1E67FBFD">
      <w:pPr>
        <w:spacing w:line="480" w:lineRule="auto"/>
        <w:ind w:firstLine="720"/>
      </w:pPr>
      <w:r>
        <w:rPr>
          <w:szCs w:val="24"/>
        </w:rPr>
        <w:t>I</w:t>
      </w:r>
      <w:r>
        <w:t xml:space="preserve">n its </w:t>
      </w:r>
      <w:r w:rsidR="00404731">
        <w:t xml:space="preserve">Opinion and Order </w:t>
      </w:r>
      <w:r>
        <w:t xml:space="preserve">in Case No. </w:t>
      </w:r>
      <w:r w:rsidR="00404731">
        <w:t>21-619</w:t>
      </w:r>
      <w:r>
        <w:t>-GA-</w:t>
      </w:r>
      <w:r w:rsidR="00404731">
        <w:t>RDR</w:t>
      </w:r>
      <w:r>
        <w:t xml:space="preserve">, the PUCO </w:t>
      </w:r>
      <w:r w:rsidR="005B698B">
        <w:t xml:space="preserve">directed Dominion to </w:t>
      </w:r>
      <w:r w:rsidR="00404731">
        <w:t xml:space="preserve">file </w:t>
      </w:r>
      <w:r w:rsidR="005B698B">
        <w:t xml:space="preserve">a base rate case no later than </w:t>
      </w:r>
      <w:r w:rsidR="00404731">
        <w:t>October 2023, a year earlier than previously determined.</w:t>
      </w:r>
      <w:r>
        <w:rPr>
          <w:rStyle w:val="FootnoteReference"/>
        </w:rPr>
        <w:footnoteReference w:id="26"/>
      </w:r>
      <w:r w:rsidR="00002C60">
        <w:t xml:space="preserve"> </w:t>
      </w:r>
      <w:r w:rsidR="00404731">
        <w:t>This modification might bring some relief to Dominion’s 1.2 million residential consumers.</w:t>
      </w:r>
      <w:r w:rsidR="00002C60">
        <w:t xml:space="preserve"> </w:t>
      </w:r>
      <w:r w:rsidR="00404731">
        <w:t xml:space="preserve">But there is no guarantee about the timing </w:t>
      </w:r>
      <w:r w:rsidR="00AE151D">
        <w:t xml:space="preserve">or </w:t>
      </w:r>
      <w:r w:rsidR="00404731">
        <w:t>the outcome of the yet-to-</w:t>
      </w:r>
      <w:r w:rsidR="00AE151D">
        <w:t>be-</w:t>
      </w:r>
      <w:r w:rsidR="00404731">
        <w:t>file</w:t>
      </w:r>
      <w:r w:rsidR="00AE151D">
        <w:t>d</w:t>
      </w:r>
      <w:r w:rsidR="00404731">
        <w:t xml:space="preserve"> base rate case. </w:t>
      </w:r>
      <w:r>
        <w:t>Even under the most optimistic assumptions about the filing and decision of the rate case</w:t>
      </w:r>
      <w:r w:rsidR="00AE151D">
        <w:t>, a</w:t>
      </w:r>
      <w:r>
        <w:t>n updated rate of return will not materialize until the end of 2024</w:t>
      </w:r>
      <w:r w:rsidR="00AE151D">
        <w:t>. T</w:t>
      </w:r>
      <w:r>
        <w:t>he flow-through of this updated rate of return to the pipeline infrastructure replacement charges may be further delayed. In other words, the PUCO’s objective of “a more expedient alignment of the Company’s cost of capital and capital structure with the market conditions”</w:t>
      </w:r>
      <w:r>
        <w:rPr>
          <w:rStyle w:val="FootnoteReference"/>
        </w:rPr>
        <w:footnoteReference w:id="27"/>
      </w:r>
      <w:r>
        <w:t xml:space="preserve"> will not be achieved for approximately three more years. </w:t>
      </w:r>
    </w:p>
    <w:p w:rsidR="005B698B" w:rsidP="00F37A27" w14:paraId="32C0991E" w14:textId="11CF629F">
      <w:pPr>
        <w:spacing w:line="480" w:lineRule="auto"/>
        <w:ind w:firstLine="720"/>
      </w:pPr>
      <w:r>
        <w:t>There is no reason to ask the residential consumers served by Dominion to continue to pay this excessive and unreasonable pre-tax rate of return of 9.91%.</w:t>
      </w:r>
      <w:r w:rsidR="00002C60">
        <w:t xml:space="preserve"> </w:t>
      </w:r>
      <w:r>
        <w:t>The PUCO’s modification of the timing of the filing of the</w:t>
      </w:r>
      <w:r w:rsidR="00482C43">
        <w:t xml:space="preserve"> Utility’s </w:t>
      </w:r>
      <w:r>
        <w:t>next base rate case is a further indication of the need to update the rate of return</w:t>
      </w:r>
      <w:r w:rsidR="00AE151D">
        <w:t xml:space="preserve"> sooner rather than later. </w:t>
      </w:r>
      <w:r w:rsidR="0047335E">
        <w:t>Consumers continue to overpay while the PUCO waits</w:t>
      </w:r>
      <w:r w:rsidR="00AE151D">
        <w:t xml:space="preserve"> </w:t>
      </w:r>
      <w:r w:rsidR="0047335E">
        <w:t>until Dominion’s next rate case to consider the rate of return embedded in the PIR revenue requirement</w:t>
      </w:r>
      <w:r w:rsidR="00AE151D">
        <w:t>, as its witness proposes.</w:t>
      </w:r>
      <w:r>
        <w:rPr>
          <w:rStyle w:val="FootnoteReference"/>
        </w:rPr>
        <w:footnoteReference w:id="28"/>
      </w:r>
      <w:r w:rsidR="00DA7A96">
        <w:t xml:space="preserve">         </w:t>
      </w:r>
    </w:p>
    <w:p w:rsidR="00FD5660" w:rsidP="005B698B" w14:paraId="638CFC73" w14:textId="4597D579">
      <w:pPr>
        <w:spacing w:line="480" w:lineRule="auto"/>
        <w:rPr>
          <w:b/>
          <w:bCs/>
          <w:szCs w:val="24"/>
        </w:rPr>
      </w:pPr>
    </w:p>
    <w:p w:rsidR="00FD5660" w:rsidRPr="005B698B" w:rsidP="000A0A83" w14:paraId="35062482" w14:textId="71C40E3E">
      <w:pPr>
        <w:pStyle w:val="Heading2"/>
        <w:rPr>
          <w:rFonts w:eastAsia="SimSun"/>
        </w:rPr>
      </w:pPr>
      <w:bookmarkStart w:id="11" w:name="_Toc101364571"/>
      <w:r>
        <w:rPr>
          <w:rFonts w:eastAsia="SimSun"/>
        </w:rPr>
        <w:t xml:space="preserve">B. </w:t>
      </w:r>
      <w:r w:rsidR="000A0A83">
        <w:rPr>
          <w:rFonts w:eastAsia="SimSun"/>
        </w:rPr>
        <w:tab/>
      </w:r>
      <w:r w:rsidRPr="005B698B">
        <w:rPr>
          <w:rFonts w:eastAsia="SimSun"/>
        </w:rPr>
        <w:t xml:space="preserve">The PUCO should adopt an updated rate of return </w:t>
      </w:r>
      <w:r w:rsidRPr="005B698B" w:rsidR="008D2F91">
        <w:rPr>
          <w:rFonts w:eastAsia="SimSun"/>
        </w:rPr>
        <w:t>of 7.20%</w:t>
      </w:r>
      <w:r w:rsidR="001B2E6B">
        <w:rPr>
          <w:rFonts w:eastAsia="SimSun"/>
        </w:rPr>
        <w:t xml:space="preserve">, as </w:t>
      </w:r>
      <w:r w:rsidRPr="005B698B">
        <w:rPr>
          <w:rFonts w:eastAsia="SimSun"/>
        </w:rPr>
        <w:t>recommended by OCC</w:t>
      </w:r>
      <w:r w:rsidR="001B2E6B">
        <w:rPr>
          <w:rFonts w:eastAsia="SimSun"/>
        </w:rPr>
        <w:t>,</w:t>
      </w:r>
      <w:r w:rsidRPr="005B698B" w:rsidR="008D2F91">
        <w:rPr>
          <w:rFonts w:eastAsia="SimSun"/>
        </w:rPr>
        <w:t xml:space="preserve"> to protect consumers</w:t>
      </w:r>
      <w:r w:rsidRPr="005B698B">
        <w:rPr>
          <w:rFonts w:eastAsia="SimSun"/>
        </w:rPr>
        <w:t>.</w:t>
      </w:r>
      <w:bookmarkEnd w:id="11"/>
      <w:r w:rsidRPr="005B698B">
        <w:rPr>
          <w:rFonts w:eastAsia="SimSun"/>
        </w:rPr>
        <w:t xml:space="preserve"> </w:t>
      </w:r>
    </w:p>
    <w:p w:rsidR="00AA0799" w:rsidP="000A0A83" w14:paraId="3D49804F" w14:textId="5E1FBA96">
      <w:pPr>
        <w:pStyle w:val="Heading3"/>
      </w:pPr>
      <w:bookmarkStart w:id="12" w:name="_Toc101364572"/>
      <w:r>
        <w:t>1.</w:t>
      </w:r>
      <w:r w:rsidR="005B698B">
        <w:t xml:space="preserve"> </w:t>
      </w:r>
      <w:r w:rsidR="000A0A83">
        <w:tab/>
      </w:r>
      <w:r>
        <w:t>OCC is the only party t</w:t>
      </w:r>
      <w:r w:rsidR="00482C43">
        <w:t>o</w:t>
      </w:r>
      <w:r>
        <w:t xml:space="preserve"> </w:t>
      </w:r>
      <w:r w:rsidR="005B698B">
        <w:t xml:space="preserve">address and quantify a just and reasonable rate of return and </w:t>
      </w:r>
      <w:r>
        <w:t>its recommended rate of return of 7.20% should be adopted</w:t>
      </w:r>
      <w:r w:rsidR="00D53BD0">
        <w:t xml:space="preserve"> for use in setting consumer charges</w:t>
      </w:r>
      <w:r>
        <w:t>.</w:t>
      </w:r>
      <w:bookmarkEnd w:id="12"/>
    </w:p>
    <w:p w:rsidR="00A36B32" w:rsidP="00A36B32" w14:paraId="060B1FCF" w14:textId="6B7238BD">
      <w:pPr>
        <w:pStyle w:val="ListParagraph"/>
        <w:spacing w:line="480" w:lineRule="auto"/>
        <w:ind w:left="0" w:firstLine="720"/>
        <w:rPr>
          <w:szCs w:val="24"/>
        </w:rPr>
      </w:pPr>
      <w:r>
        <w:rPr>
          <w:szCs w:val="24"/>
        </w:rPr>
        <w:t xml:space="preserve">As discussed earlier, both Dominion and the PUCO </w:t>
      </w:r>
      <w:r w:rsidR="005D3A4E">
        <w:rPr>
          <w:szCs w:val="24"/>
        </w:rPr>
        <w:t>S</w:t>
      </w:r>
      <w:r>
        <w:rPr>
          <w:szCs w:val="24"/>
        </w:rPr>
        <w:t xml:space="preserve">taff chose to ignore </w:t>
      </w:r>
      <w:r w:rsidR="00855416">
        <w:rPr>
          <w:szCs w:val="24"/>
        </w:rPr>
        <w:t xml:space="preserve">OCC’s recommendation for </w:t>
      </w:r>
      <w:r>
        <w:rPr>
          <w:szCs w:val="24"/>
        </w:rPr>
        <w:t xml:space="preserve">a reasonable pre-tax rate of return under current financial market conditions and Dominion’s current business and financial risks. OCC is the only party </w:t>
      </w:r>
      <w:r w:rsidR="0047335E">
        <w:rPr>
          <w:szCs w:val="24"/>
        </w:rPr>
        <w:t>t</w:t>
      </w:r>
      <w:r w:rsidR="00007DDB">
        <w:rPr>
          <w:szCs w:val="24"/>
        </w:rPr>
        <w:t xml:space="preserve">o demonstrate </w:t>
      </w:r>
      <w:r w:rsidRPr="00AA0799">
        <w:rPr>
          <w:szCs w:val="24"/>
        </w:rPr>
        <w:t xml:space="preserve">that the return on equity component of Dominion’s rate of return no longer reflects Dominion’s current financial risks and </w:t>
      </w:r>
      <w:r w:rsidRPr="00FD5660">
        <w:rPr>
          <w:szCs w:val="24"/>
        </w:rPr>
        <w:t>is far higher than recent returns on equity for comparable utilities.</w:t>
      </w:r>
      <w:r w:rsidRPr="00AA0799">
        <w:rPr>
          <w:szCs w:val="24"/>
        </w:rPr>
        <w:t xml:space="preserve"> </w:t>
      </w:r>
      <w:r>
        <w:rPr>
          <w:szCs w:val="24"/>
        </w:rPr>
        <w:t xml:space="preserve">OCC’s witness </w:t>
      </w:r>
      <w:r w:rsidRPr="00AA0799">
        <w:rPr>
          <w:szCs w:val="24"/>
        </w:rPr>
        <w:t>testified that Dominion’s return on equity should be no higher than 9.36% instead of the 10.38% embedded in Dominion’s proposed rate of return.</w:t>
      </w:r>
      <w:r>
        <w:rPr>
          <w:rStyle w:val="FootnoteReference"/>
          <w:szCs w:val="24"/>
        </w:rPr>
        <w:footnoteReference w:id="29"/>
      </w:r>
      <w:r w:rsidRPr="00AA0799">
        <w:rPr>
          <w:szCs w:val="24"/>
        </w:rPr>
        <w:t xml:space="preserve"> Similarly, </w:t>
      </w:r>
      <w:r>
        <w:rPr>
          <w:szCs w:val="24"/>
        </w:rPr>
        <w:t xml:space="preserve">OCC’s witness </w:t>
      </w:r>
      <w:r w:rsidRPr="00AA0799">
        <w:rPr>
          <w:szCs w:val="24"/>
        </w:rPr>
        <w:t>showed that Dominion’s outdated rate of return includes an embedded cost of debt component of 6.50%, since its actual cost of debt is only 2.29%, as shown in DEO’s own filing with the PUCO.</w:t>
      </w:r>
      <w:r>
        <w:rPr>
          <w:rStyle w:val="FootnoteReference"/>
          <w:szCs w:val="24"/>
        </w:rPr>
        <w:footnoteReference w:id="30"/>
      </w:r>
      <w:r w:rsidRPr="00AA0799">
        <w:rPr>
          <w:szCs w:val="24"/>
        </w:rPr>
        <w:t xml:space="preserve"> Taken together (updated return on equity and current cost of debt), the OCC expert showed conclusively</w:t>
      </w:r>
      <w:r w:rsidR="005D3A4E">
        <w:rPr>
          <w:szCs w:val="24"/>
        </w:rPr>
        <w:t xml:space="preserve"> (and exclusively)</w:t>
      </w:r>
      <w:r w:rsidRPr="00AA0799">
        <w:rPr>
          <w:szCs w:val="24"/>
        </w:rPr>
        <w:t xml:space="preserve"> that Dominion’s updated pre-tax rate of return should be no </w:t>
      </w:r>
      <w:r w:rsidR="005D3A4E">
        <w:rPr>
          <w:szCs w:val="24"/>
        </w:rPr>
        <w:t>more than 7.2%.</w:t>
      </w:r>
      <w:r>
        <w:rPr>
          <w:rStyle w:val="FootnoteReference"/>
          <w:szCs w:val="24"/>
        </w:rPr>
        <w:footnoteReference w:id="31"/>
      </w:r>
      <w:r w:rsidRPr="00AA0799">
        <w:rPr>
          <w:szCs w:val="24"/>
        </w:rPr>
        <w:t xml:space="preserve"> </w:t>
      </w:r>
    </w:p>
    <w:p w:rsidR="005B698B" w:rsidP="000A0A83" w14:paraId="0C95C4E1" w14:textId="1E7BD8B4">
      <w:pPr>
        <w:pStyle w:val="Heading3"/>
      </w:pPr>
      <w:bookmarkStart w:id="13" w:name="_Toc101364573"/>
      <w:r>
        <w:t>2.</w:t>
      </w:r>
      <w:r w:rsidR="000A0A83">
        <w:tab/>
      </w:r>
      <w:r>
        <w:t>Adopting a 7.20% pre-tax rate return will save consumers approximately $45.8 million</w:t>
      </w:r>
      <w:r w:rsidR="00A04388">
        <w:t xml:space="preserve"> annually.</w:t>
      </w:r>
      <w:bookmarkEnd w:id="13"/>
      <w:r>
        <w:t xml:space="preserve"> </w:t>
      </w:r>
    </w:p>
    <w:p w:rsidR="005B698B" w:rsidRPr="00171E93" w:rsidP="00171E93" w14:paraId="1678A74C" w14:textId="46A263D1">
      <w:pPr>
        <w:pStyle w:val="ListParagraph"/>
        <w:spacing w:line="480" w:lineRule="auto"/>
        <w:ind w:left="0"/>
        <w:rPr>
          <w:szCs w:val="24"/>
        </w:rPr>
      </w:pPr>
      <w:r>
        <w:rPr>
          <w:b/>
          <w:bCs/>
          <w:szCs w:val="24"/>
        </w:rPr>
        <w:tab/>
      </w:r>
      <w:r w:rsidRPr="00171E93" w:rsidR="00A04388">
        <w:rPr>
          <w:szCs w:val="24"/>
        </w:rPr>
        <w:t xml:space="preserve">OCC also </w:t>
      </w:r>
      <w:r w:rsidR="00A04388">
        <w:rPr>
          <w:szCs w:val="24"/>
        </w:rPr>
        <w:t xml:space="preserve">demonstrated that </w:t>
      </w:r>
      <w:r w:rsidRPr="00340405" w:rsidR="00A04388">
        <w:rPr>
          <w:bCs/>
          <w:szCs w:val="24"/>
        </w:rPr>
        <w:t>the use of the 9.</w:t>
      </w:r>
      <w:r w:rsidR="00A04388">
        <w:rPr>
          <w:bCs/>
          <w:szCs w:val="24"/>
        </w:rPr>
        <w:t>91</w:t>
      </w:r>
      <w:r w:rsidRPr="00340405" w:rsidR="00A04388">
        <w:rPr>
          <w:bCs/>
          <w:szCs w:val="24"/>
        </w:rPr>
        <w:t xml:space="preserve">% pre-tax rate of return </w:t>
      </w:r>
      <w:r w:rsidR="00A04388">
        <w:rPr>
          <w:bCs/>
          <w:szCs w:val="24"/>
        </w:rPr>
        <w:t xml:space="preserve">proposed by Dominion </w:t>
      </w:r>
      <w:r w:rsidRPr="00340405" w:rsidR="00A04388">
        <w:rPr>
          <w:bCs/>
          <w:szCs w:val="24"/>
        </w:rPr>
        <w:t xml:space="preserve">(vs. the </w:t>
      </w:r>
      <w:r w:rsidR="00A04388">
        <w:rPr>
          <w:bCs/>
          <w:szCs w:val="24"/>
        </w:rPr>
        <w:t>7.20</w:t>
      </w:r>
      <w:r w:rsidRPr="00340405" w:rsidR="00A04388">
        <w:rPr>
          <w:bCs/>
          <w:szCs w:val="24"/>
        </w:rPr>
        <w:t xml:space="preserve">% pre-tax rate of return </w:t>
      </w:r>
      <w:r w:rsidR="00A04388">
        <w:rPr>
          <w:bCs/>
          <w:szCs w:val="24"/>
        </w:rPr>
        <w:t xml:space="preserve">OCC </w:t>
      </w:r>
      <w:r w:rsidRPr="00340405" w:rsidR="00A04388">
        <w:rPr>
          <w:bCs/>
          <w:szCs w:val="24"/>
        </w:rPr>
        <w:t>recommend</w:t>
      </w:r>
      <w:r w:rsidR="00A04388">
        <w:rPr>
          <w:bCs/>
          <w:szCs w:val="24"/>
        </w:rPr>
        <w:t>s</w:t>
      </w:r>
      <w:r w:rsidRPr="00340405" w:rsidR="00A04388">
        <w:rPr>
          <w:bCs/>
          <w:szCs w:val="24"/>
        </w:rPr>
        <w:t xml:space="preserve">) would increase the </w:t>
      </w:r>
      <w:r w:rsidR="00A04388">
        <w:rPr>
          <w:bCs/>
          <w:szCs w:val="24"/>
        </w:rPr>
        <w:t>PIR</w:t>
      </w:r>
      <w:r w:rsidRPr="00340405" w:rsidR="00A04388">
        <w:rPr>
          <w:bCs/>
          <w:szCs w:val="24"/>
        </w:rPr>
        <w:t xml:space="preserve"> </w:t>
      </w:r>
      <w:r w:rsidR="00A04388">
        <w:rPr>
          <w:bCs/>
          <w:szCs w:val="24"/>
        </w:rPr>
        <w:t xml:space="preserve">Rider </w:t>
      </w:r>
      <w:r w:rsidRPr="00340405" w:rsidR="00A04388">
        <w:rPr>
          <w:bCs/>
          <w:szCs w:val="24"/>
        </w:rPr>
        <w:t xml:space="preserve">charges </w:t>
      </w:r>
      <w:r w:rsidR="005D3A4E">
        <w:rPr>
          <w:bCs/>
          <w:szCs w:val="24"/>
        </w:rPr>
        <w:t xml:space="preserve">to consumers </w:t>
      </w:r>
      <w:r w:rsidR="00A04388">
        <w:rPr>
          <w:bCs/>
          <w:szCs w:val="24"/>
        </w:rPr>
        <w:t xml:space="preserve">by </w:t>
      </w:r>
      <w:r w:rsidRPr="008F1179" w:rsidR="00A04388">
        <w:rPr>
          <w:bCs/>
          <w:szCs w:val="24"/>
        </w:rPr>
        <w:t>approximately $45.8 million for the twelve-month period</w:t>
      </w:r>
      <w:r w:rsidR="00A04388">
        <w:rPr>
          <w:bCs/>
          <w:szCs w:val="24"/>
        </w:rPr>
        <w:t xml:space="preserve"> under review in this case</w:t>
      </w:r>
      <w:r w:rsidRPr="008F1179" w:rsidR="00A04388">
        <w:rPr>
          <w:bCs/>
          <w:szCs w:val="24"/>
        </w:rPr>
        <w:t>.</w:t>
      </w:r>
      <w:r>
        <w:rPr>
          <w:rStyle w:val="FootnoteReference"/>
          <w:bCs/>
          <w:szCs w:val="24"/>
        </w:rPr>
        <w:footnoteReference w:id="32"/>
      </w:r>
      <w:r w:rsidR="00002C60">
        <w:rPr>
          <w:bCs/>
          <w:szCs w:val="24"/>
        </w:rPr>
        <w:t xml:space="preserve"> </w:t>
      </w:r>
      <w:r w:rsidR="000E73E2">
        <w:rPr>
          <w:bCs/>
          <w:szCs w:val="24"/>
        </w:rPr>
        <w:t xml:space="preserve">Conversely, </w:t>
      </w:r>
      <w:r w:rsidR="00A04388">
        <w:rPr>
          <w:bCs/>
          <w:szCs w:val="24"/>
        </w:rPr>
        <w:t>adopting the 7.20% pre-tax rate of return, as recommended by OCC, will save Dominion’s customers $45.8 million over the next twelve months. For Dominion’s 1.2 million residential consumers, this will translate into a monthly saving of $2.82.</w:t>
      </w:r>
      <w:r>
        <w:rPr>
          <w:rStyle w:val="FootnoteReference"/>
          <w:bCs/>
          <w:szCs w:val="24"/>
        </w:rPr>
        <w:footnoteReference w:id="33"/>
      </w:r>
      <w:r w:rsidR="00002C60">
        <w:rPr>
          <w:bCs/>
          <w:szCs w:val="24"/>
        </w:rPr>
        <w:t xml:space="preserve"> </w:t>
      </w:r>
      <w:r w:rsidR="00A04388">
        <w:rPr>
          <w:bCs/>
          <w:szCs w:val="24"/>
        </w:rPr>
        <w:t xml:space="preserve">There is no justification, when many Ohioans are struggling </w:t>
      </w:r>
      <w:r w:rsidR="00007DDB">
        <w:rPr>
          <w:bCs/>
          <w:szCs w:val="24"/>
        </w:rPr>
        <w:t>to pay</w:t>
      </w:r>
      <w:r w:rsidR="00A04388">
        <w:rPr>
          <w:bCs/>
          <w:szCs w:val="24"/>
        </w:rPr>
        <w:t xml:space="preserve"> their monthly bills, for Dominion to keep</w:t>
      </w:r>
      <w:r w:rsidR="000E73E2">
        <w:rPr>
          <w:bCs/>
          <w:szCs w:val="24"/>
        </w:rPr>
        <w:t xml:space="preserve"> approximately $45.8 million in </w:t>
      </w:r>
      <w:r w:rsidR="00F37A27">
        <w:rPr>
          <w:bCs/>
          <w:szCs w:val="24"/>
        </w:rPr>
        <w:t>excessive profits</w:t>
      </w:r>
      <w:r w:rsidR="00A04388">
        <w:rPr>
          <w:bCs/>
          <w:szCs w:val="24"/>
        </w:rPr>
        <w:t xml:space="preserve"> million simply because the PUCO refuse</w:t>
      </w:r>
      <w:r w:rsidR="000E73E2">
        <w:rPr>
          <w:bCs/>
          <w:szCs w:val="24"/>
        </w:rPr>
        <w:t>s</w:t>
      </w:r>
      <w:r w:rsidR="00A04388">
        <w:rPr>
          <w:bCs/>
          <w:szCs w:val="24"/>
        </w:rPr>
        <w:t xml:space="preserve"> to adopt an updated rate of return.</w:t>
      </w:r>
    </w:p>
    <w:p w:rsidR="005B698B" w:rsidP="000A0A83" w14:paraId="5255973A" w14:textId="1A1FA0FD">
      <w:pPr>
        <w:pStyle w:val="Heading3"/>
      </w:pPr>
      <w:bookmarkStart w:id="14" w:name="_Toc101364574"/>
      <w:r>
        <w:t>3.</w:t>
      </w:r>
      <w:r w:rsidRPr="005B698B">
        <w:t xml:space="preserve"> </w:t>
      </w:r>
      <w:r w:rsidR="000A0A83">
        <w:tab/>
      </w:r>
      <w:r>
        <w:t xml:space="preserve">Adopting a reasonable 7.20% pre-tax rate of return will </w:t>
      </w:r>
      <w:r w:rsidR="00171E93">
        <w:t xml:space="preserve">not disrupt </w:t>
      </w:r>
      <w:r w:rsidR="00F37A27">
        <w:t xml:space="preserve">Dominion’s </w:t>
      </w:r>
      <w:r w:rsidR="00171E93">
        <w:t xml:space="preserve">pipeline infrastructure program </w:t>
      </w:r>
      <w:r w:rsidR="001B2E6B">
        <w:t xml:space="preserve">and </w:t>
      </w:r>
      <w:r w:rsidR="0082488C">
        <w:t xml:space="preserve">will </w:t>
      </w:r>
      <w:r>
        <w:t>still allow</w:t>
      </w:r>
      <w:r w:rsidR="0082488C">
        <w:t xml:space="preserve"> </w:t>
      </w:r>
      <w:r>
        <w:t>Dominion to earn reasonable profits and cover its actual cost of debt.</w:t>
      </w:r>
      <w:bookmarkEnd w:id="14"/>
      <w:r w:rsidR="00DA7A96">
        <w:t xml:space="preserve"> </w:t>
      </w:r>
    </w:p>
    <w:p w:rsidR="001B2E6B" w:rsidP="00171E93" w14:paraId="69D1FD5D" w14:textId="3CB2C5C6">
      <w:pPr>
        <w:pStyle w:val="ListParagraph"/>
        <w:spacing w:line="480" w:lineRule="auto"/>
        <w:ind w:left="0"/>
        <w:rPr>
          <w:szCs w:val="24"/>
        </w:rPr>
      </w:pPr>
      <w:r w:rsidRPr="00171E93">
        <w:rPr>
          <w:szCs w:val="24"/>
        </w:rPr>
        <w:tab/>
      </w:r>
      <w:r w:rsidR="0082488C">
        <w:rPr>
          <w:szCs w:val="24"/>
        </w:rPr>
        <w:t>The PUCO’s adoption of an</w:t>
      </w:r>
      <w:r>
        <w:rPr>
          <w:szCs w:val="24"/>
        </w:rPr>
        <w:t xml:space="preserve"> updated and reasonable rate of return will </w:t>
      </w:r>
      <w:r w:rsidR="0082488C">
        <w:rPr>
          <w:szCs w:val="24"/>
        </w:rPr>
        <w:t>not</w:t>
      </w:r>
      <w:r>
        <w:rPr>
          <w:szCs w:val="24"/>
        </w:rPr>
        <w:t xml:space="preserve"> jeopardize Dominion’s pipeline infrastructure replacement program. There is no evidence presented </w:t>
      </w:r>
      <w:r w:rsidR="0082488C">
        <w:rPr>
          <w:szCs w:val="24"/>
        </w:rPr>
        <w:t>in any of Dominion’s rider proceedings that the utility</w:t>
      </w:r>
      <w:r>
        <w:rPr>
          <w:szCs w:val="24"/>
        </w:rPr>
        <w:t xml:space="preserve"> cannot continue its pipeline infrastructure replacement program if a lower rate of return, such as the 7.20% recommended by OCC, were adopted.</w:t>
      </w:r>
      <w:r w:rsidR="00DA7A96">
        <w:rPr>
          <w:szCs w:val="24"/>
        </w:rPr>
        <w:t xml:space="preserve"> </w:t>
      </w:r>
    </w:p>
    <w:p w:rsidR="00A35614" w:rsidP="0082488C" w14:paraId="14DD73D6" w14:textId="77777777">
      <w:pPr>
        <w:pStyle w:val="ListParagraph"/>
        <w:spacing w:line="480" w:lineRule="auto"/>
        <w:ind w:left="0"/>
        <w:rPr>
          <w:szCs w:val="24"/>
        </w:rPr>
      </w:pPr>
      <w:r>
        <w:rPr>
          <w:szCs w:val="24"/>
        </w:rPr>
        <w:tab/>
        <w:t>T</w:t>
      </w:r>
      <w:r w:rsidR="001B2E6B">
        <w:rPr>
          <w:szCs w:val="24"/>
        </w:rPr>
        <w:t xml:space="preserve">he pre-tax rate of return of 7.20%, as demonstrated by OCC, is just and reasonable. It will allow Dominion to cover its actual cost of debt of 2.29%. It will also </w:t>
      </w:r>
      <w:r w:rsidR="006F23BC">
        <w:rPr>
          <w:szCs w:val="24"/>
        </w:rPr>
        <w:t xml:space="preserve">allow </w:t>
      </w:r>
      <w:r w:rsidR="001B2E6B">
        <w:rPr>
          <w:szCs w:val="24"/>
        </w:rPr>
        <w:t xml:space="preserve">Dominion to earn a </w:t>
      </w:r>
      <w:r w:rsidR="006F23BC">
        <w:rPr>
          <w:szCs w:val="24"/>
        </w:rPr>
        <w:t xml:space="preserve">return of 9.36% on equity investment that is comparable to the </w:t>
      </w:r>
    </w:p>
    <w:p w:rsidR="00A35614" w14:paraId="4EE0F50C" w14:textId="77777777">
      <w:pPr>
        <w:rPr>
          <w:szCs w:val="24"/>
        </w:rPr>
      </w:pPr>
      <w:r>
        <w:rPr>
          <w:szCs w:val="24"/>
        </w:rPr>
        <w:br w:type="page"/>
      </w:r>
    </w:p>
    <w:p w:rsidR="005B698B" w:rsidP="0082488C" w14:paraId="235768B8" w14:textId="72114081">
      <w:pPr>
        <w:pStyle w:val="ListParagraph"/>
        <w:spacing w:line="480" w:lineRule="auto"/>
        <w:ind w:left="0"/>
        <w:rPr>
          <w:color w:val="000000"/>
        </w:rPr>
      </w:pPr>
      <w:r>
        <w:rPr>
          <w:szCs w:val="24"/>
        </w:rPr>
        <w:t xml:space="preserve">return earned on equity investments with comparable risk. </w:t>
      </w:r>
      <w:r w:rsidR="0082488C">
        <w:rPr>
          <w:szCs w:val="24"/>
        </w:rPr>
        <w:t>T</w:t>
      </w:r>
      <w:r w:rsidR="001B2E6B">
        <w:rPr>
          <w:szCs w:val="24"/>
        </w:rPr>
        <w:t xml:space="preserve">his proposed rate of return </w:t>
      </w:r>
      <w:r>
        <w:rPr>
          <w:szCs w:val="24"/>
        </w:rPr>
        <w:t xml:space="preserve">of 7.20% recommended </w:t>
      </w:r>
      <w:r w:rsidR="001B2E6B">
        <w:rPr>
          <w:szCs w:val="24"/>
        </w:rPr>
        <w:t xml:space="preserve">by OCC </w:t>
      </w:r>
      <w:r>
        <w:rPr>
          <w:szCs w:val="24"/>
        </w:rPr>
        <w:t xml:space="preserve">is consistent with </w:t>
      </w:r>
      <w:r w:rsidR="0082488C">
        <w:rPr>
          <w:szCs w:val="24"/>
        </w:rPr>
        <w:t>sound</w:t>
      </w:r>
      <w:r>
        <w:rPr>
          <w:szCs w:val="24"/>
        </w:rPr>
        <w:t xml:space="preserve"> regulatory principles</w:t>
      </w:r>
      <w:r w:rsidR="0082488C">
        <w:rPr>
          <w:szCs w:val="24"/>
        </w:rPr>
        <w:t>.</w:t>
      </w:r>
      <w:r>
        <w:rPr>
          <w:rStyle w:val="FootnoteReference"/>
          <w:color w:val="000000"/>
        </w:rPr>
        <w:footnoteReference w:id="34"/>
      </w:r>
      <w:r w:rsidR="001B2E6B">
        <w:rPr>
          <w:color w:val="000000"/>
        </w:rPr>
        <w:t xml:space="preserve"> </w:t>
      </w:r>
    </w:p>
    <w:p w:rsidR="00A35614" w:rsidP="00A35614" w14:paraId="6A1EE61C" w14:textId="77777777">
      <w:pPr>
        <w:pStyle w:val="ListParagraph"/>
        <w:ind w:left="0"/>
        <w:rPr>
          <w:b/>
          <w:bCs/>
          <w:szCs w:val="24"/>
        </w:rPr>
      </w:pPr>
    </w:p>
    <w:p w:rsidR="00313201" w:rsidRPr="009624E5" w:rsidP="000A0A83" w14:paraId="60223F6A" w14:textId="56D896AB">
      <w:pPr>
        <w:pStyle w:val="Heading1"/>
        <w:rPr>
          <w:rFonts w:eastAsia="SimSun"/>
        </w:rPr>
      </w:pPr>
      <w:bookmarkStart w:id="15" w:name="_Toc101364575"/>
      <w:r w:rsidRPr="009624E5">
        <w:rPr>
          <w:rFonts w:eastAsia="SimSun"/>
        </w:rPr>
        <w:t xml:space="preserve">III. </w:t>
      </w:r>
      <w:r w:rsidR="00FE7DAE">
        <w:rPr>
          <w:rFonts w:eastAsia="SimSun"/>
        </w:rPr>
        <w:tab/>
      </w:r>
      <w:r w:rsidR="000A0A83">
        <w:rPr>
          <w:rFonts w:eastAsia="SimSun"/>
        </w:rPr>
        <w:t>CONCLUSION</w:t>
      </w:r>
      <w:bookmarkEnd w:id="15"/>
    </w:p>
    <w:p w:rsidR="00F37A27" w:rsidP="00F37A27" w14:paraId="2C930A0C" w14:textId="6F71EC0C">
      <w:pPr>
        <w:widowControl w:val="0"/>
        <w:spacing w:line="480" w:lineRule="auto"/>
        <w:ind w:right="-677" w:firstLine="720"/>
        <w:rPr>
          <w:szCs w:val="24"/>
        </w:rPr>
      </w:pPr>
      <w:r w:rsidRPr="00313201">
        <w:rPr>
          <w:szCs w:val="24"/>
        </w:rPr>
        <w:t xml:space="preserve">Dominion's filed application, requesting to </w:t>
      </w:r>
      <w:r w:rsidR="00F64C84">
        <w:rPr>
          <w:szCs w:val="24"/>
        </w:rPr>
        <w:t xml:space="preserve">continue charging consumers an outdated and inflated rate of return </w:t>
      </w:r>
      <w:r w:rsidRPr="00313201">
        <w:rPr>
          <w:szCs w:val="24"/>
        </w:rPr>
        <w:t>through single issue ratemaking</w:t>
      </w:r>
      <w:r w:rsidR="00A27DA8">
        <w:rPr>
          <w:szCs w:val="24"/>
        </w:rPr>
        <w:t>,</w:t>
      </w:r>
      <w:r w:rsidRPr="00313201">
        <w:rPr>
          <w:szCs w:val="24"/>
        </w:rPr>
        <w:t xml:space="preserve"> should be denied</w:t>
      </w:r>
      <w:r w:rsidR="0082488C">
        <w:rPr>
          <w:szCs w:val="24"/>
        </w:rPr>
        <w:t xml:space="preserve"> or modified</w:t>
      </w:r>
      <w:r w:rsidRPr="00313201">
        <w:rPr>
          <w:szCs w:val="24"/>
        </w:rPr>
        <w:t xml:space="preserve">. Single issue ratemaking, coupled with base distribution rates that have not been reviewed in </w:t>
      </w:r>
      <w:r w:rsidR="009624E5">
        <w:rPr>
          <w:szCs w:val="24"/>
        </w:rPr>
        <w:t>thirteen</w:t>
      </w:r>
      <w:r w:rsidRPr="00313201">
        <w:rPr>
          <w:szCs w:val="24"/>
        </w:rPr>
        <w:t xml:space="preserve"> years, is not good public policy. OCC recommends that the PUCO </w:t>
      </w:r>
      <w:r w:rsidR="00F64C84">
        <w:rPr>
          <w:szCs w:val="24"/>
        </w:rPr>
        <w:t>adopt a reasonable pre-tax rate of return of no higher than 7.20%</w:t>
      </w:r>
      <w:r w:rsidR="00131313">
        <w:rPr>
          <w:szCs w:val="24"/>
        </w:rPr>
        <w:t xml:space="preserve"> (</w:t>
      </w:r>
      <w:r w:rsidR="0082488C">
        <w:rPr>
          <w:szCs w:val="24"/>
        </w:rPr>
        <w:t>as supported by the only witness testifying on rate of return in this proceeding</w:t>
      </w:r>
      <w:r w:rsidR="00131313">
        <w:rPr>
          <w:szCs w:val="24"/>
        </w:rPr>
        <w:t>)</w:t>
      </w:r>
      <w:r w:rsidR="0082488C">
        <w:rPr>
          <w:szCs w:val="24"/>
        </w:rPr>
        <w:t xml:space="preserve"> </w:t>
      </w:r>
      <w:r w:rsidR="00F64C84">
        <w:rPr>
          <w:szCs w:val="24"/>
        </w:rPr>
        <w:t>in updating Dominion’s Rider PIR</w:t>
      </w:r>
      <w:r w:rsidR="00E5502E">
        <w:rPr>
          <w:szCs w:val="24"/>
        </w:rPr>
        <w:t xml:space="preserve"> revenue requirement</w:t>
      </w:r>
      <w:r w:rsidR="00F64C84">
        <w:rPr>
          <w:szCs w:val="24"/>
        </w:rPr>
        <w:t xml:space="preserve">. </w:t>
      </w:r>
    </w:p>
    <w:p w:rsidR="00A35614" w:rsidP="0082488C" w14:paraId="536F0A21" w14:textId="0282A884">
      <w:pPr>
        <w:pStyle w:val="ListParagraph"/>
        <w:spacing w:line="480" w:lineRule="auto"/>
        <w:ind w:left="0" w:firstLine="720"/>
        <w:rPr>
          <w:szCs w:val="24"/>
        </w:rPr>
      </w:pPr>
      <w:r w:rsidRPr="00171E93">
        <w:rPr>
          <w:szCs w:val="24"/>
        </w:rPr>
        <w:t>The PUCO should find in this case that Dominion’s use of an outdated and inflated rate of return set 13 years ago is neither just nor reasonable. The PUCO should take the opportunity presented in th</w:t>
      </w:r>
      <w:r>
        <w:rPr>
          <w:szCs w:val="24"/>
        </w:rPr>
        <w:t>is</w:t>
      </w:r>
      <w:r w:rsidRPr="00171E93">
        <w:rPr>
          <w:szCs w:val="24"/>
        </w:rPr>
        <w:t xml:space="preserve"> annual </w:t>
      </w:r>
      <w:r>
        <w:rPr>
          <w:szCs w:val="24"/>
        </w:rPr>
        <w:t xml:space="preserve">rider </w:t>
      </w:r>
      <w:r w:rsidRPr="00171E93">
        <w:rPr>
          <w:szCs w:val="24"/>
        </w:rPr>
        <w:t xml:space="preserve">update </w:t>
      </w:r>
      <w:r>
        <w:rPr>
          <w:szCs w:val="24"/>
        </w:rPr>
        <w:t>to also</w:t>
      </w:r>
      <w:r w:rsidRPr="00171E93">
        <w:rPr>
          <w:szCs w:val="24"/>
        </w:rPr>
        <w:t xml:space="preserve"> update of the rate of return </w:t>
      </w:r>
      <w:r>
        <w:rPr>
          <w:szCs w:val="24"/>
        </w:rPr>
        <w:t>embedded in the PIR revenue requirement.</w:t>
      </w:r>
      <w:r w:rsidR="00002C60">
        <w:rPr>
          <w:szCs w:val="24"/>
        </w:rPr>
        <w:t xml:space="preserve"> </w:t>
      </w:r>
      <w:r w:rsidRPr="00171E93">
        <w:rPr>
          <w:szCs w:val="24"/>
        </w:rPr>
        <w:t>Equity and reasonableness require the PUCO to consider whether charging c</w:t>
      </w:r>
      <w:r w:rsidR="00B21758">
        <w:rPr>
          <w:szCs w:val="24"/>
        </w:rPr>
        <w:t>onsumers</w:t>
      </w:r>
      <w:r w:rsidRPr="00171E93">
        <w:rPr>
          <w:szCs w:val="24"/>
        </w:rPr>
        <w:t xml:space="preserve"> a rate of return set 13 years ago remains justified—and it does not, for the reasons explained above.</w:t>
      </w:r>
    </w:p>
    <w:p w:rsidR="00A35614" w14:paraId="4497E683" w14:textId="77777777">
      <w:pPr>
        <w:rPr>
          <w:szCs w:val="24"/>
        </w:rPr>
      </w:pPr>
      <w:r>
        <w:rPr>
          <w:szCs w:val="24"/>
        </w:rPr>
        <w:br w:type="page"/>
      </w:r>
    </w:p>
    <w:p w:rsidR="00FE7DAE" w:rsidP="00F37A27" w14:paraId="32E13C84" w14:textId="0C20CAD6">
      <w:pPr>
        <w:widowControl w:val="0"/>
        <w:ind w:right="-672"/>
        <w:rPr>
          <w:szCs w:val="24"/>
        </w:rPr>
      </w:pPr>
      <w:r>
        <w:rPr>
          <w:szCs w:val="24"/>
        </w:rPr>
        <w:tab/>
      </w:r>
      <w:r>
        <w:rPr>
          <w:szCs w:val="24"/>
        </w:rPr>
        <w:tab/>
      </w:r>
      <w:r>
        <w:rPr>
          <w:szCs w:val="24"/>
        </w:rPr>
        <w:tab/>
      </w:r>
      <w:r>
        <w:rPr>
          <w:szCs w:val="24"/>
        </w:rPr>
        <w:tab/>
      </w:r>
      <w:r>
        <w:rPr>
          <w:szCs w:val="24"/>
        </w:rPr>
        <w:tab/>
      </w:r>
      <w:r>
        <w:rPr>
          <w:szCs w:val="24"/>
        </w:rPr>
        <w:tab/>
        <w:t>Respectfully submitted,</w:t>
      </w:r>
    </w:p>
    <w:p w:rsidR="00FE7DAE" w:rsidP="00F37A27" w14:paraId="61122FD5" w14:textId="77777777">
      <w:pPr>
        <w:widowControl w:val="0"/>
        <w:ind w:right="-672"/>
        <w:rPr>
          <w:szCs w:val="24"/>
        </w:rPr>
      </w:pPr>
    </w:p>
    <w:p w:rsidR="00313201" w:rsidRPr="00313201" w:rsidP="00F37A27" w14:paraId="23183B2F" w14:textId="7535CD8E">
      <w:pPr>
        <w:widowControl w:val="0"/>
        <w:ind w:left="3600" w:right="-672" w:firstLine="720"/>
        <w:rPr>
          <w:szCs w:val="24"/>
        </w:rPr>
      </w:pPr>
      <w:r w:rsidRPr="00313201">
        <w:rPr>
          <w:szCs w:val="24"/>
        </w:rPr>
        <w:t>Bruce Weston (0016973)</w:t>
      </w:r>
    </w:p>
    <w:p w:rsidR="00313201" w:rsidRPr="00313201" w:rsidP="00313201" w14:paraId="73A331AB" w14:textId="77777777">
      <w:pPr>
        <w:tabs>
          <w:tab w:val="left" w:pos="4320"/>
        </w:tabs>
        <w:rPr>
          <w:szCs w:val="24"/>
        </w:rPr>
      </w:pPr>
      <w:r w:rsidRPr="00313201">
        <w:rPr>
          <w:szCs w:val="24"/>
        </w:rPr>
        <w:tab/>
        <w:t>Ohio Consumers’ Counsel</w:t>
      </w:r>
    </w:p>
    <w:p w:rsidR="00313201" w:rsidRPr="00313201" w:rsidP="00313201" w14:paraId="56B564C8" w14:textId="77777777">
      <w:pPr>
        <w:tabs>
          <w:tab w:val="left" w:pos="4320"/>
        </w:tabs>
        <w:rPr>
          <w:szCs w:val="24"/>
        </w:rPr>
      </w:pPr>
      <w:r w:rsidRPr="00313201">
        <w:rPr>
          <w:szCs w:val="24"/>
        </w:rPr>
        <w:tab/>
      </w:r>
    </w:p>
    <w:p w:rsidR="00313201" w:rsidRPr="00313201" w:rsidP="00313201" w14:paraId="07E829A5" w14:textId="77777777">
      <w:pPr>
        <w:tabs>
          <w:tab w:val="left" w:pos="4320"/>
        </w:tabs>
        <w:rPr>
          <w:i/>
          <w:iCs/>
          <w:szCs w:val="24"/>
          <w:u w:val="single"/>
        </w:rPr>
      </w:pPr>
      <w:r w:rsidRPr="00313201">
        <w:rPr>
          <w:szCs w:val="24"/>
        </w:rPr>
        <w:tab/>
      </w:r>
      <w:r w:rsidRPr="00313201">
        <w:rPr>
          <w:i/>
          <w:iCs/>
          <w:szCs w:val="24"/>
          <w:u w:val="single"/>
        </w:rPr>
        <w:t>/s/ Amy Botschner O’Brien</w:t>
      </w:r>
    </w:p>
    <w:p w:rsidR="00313201" w:rsidRPr="00313201" w:rsidP="00313201" w14:paraId="70926260" w14:textId="77777777">
      <w:pPr>
        <w:tabs>
          <w:tab w:val="left" w:pos="4320"/>
        </w:tabs>
        <w:rPr>
          <w:szCs w:val="24"/>
        </w:rPr>
      </w:pPr>
      <w:r w:rsidRPr="00313201">
        <w:rPr>
          <w:szCs w:val="24"/>
        </w:rPr>
        <w:tab/>
        <w:t>Amy Botschner O’Brien (0074423)</w:t>
      </w:r>
    </w:p>
    <w:p w:rsidR="00313201" w:rsidRPr="00313201" w:rsidP="00313201" w14:paraId="3AD4E8FF" w14:textId="77777777">
      <w:pPr>
        <w:tabs>
          <w:tab w:val="left" w:pos="4320"/>
        </w:tabs>
        <w:ind w:firstLine="4320"/>
        <w:rPr>
          <w:szCs w:val="24"/>
        </w:rPr>
      </w:pPr>
      <w:r w:rsidRPr="00313201">
        <w:rPr>
          <w:szCs w:val="24"/>
        </w:rPr>
        <w:t>Counsel of Record</w:t>
      </w:r>
    </w:p>
    <w:p w:rsidR="00313201" w:rsidRPr="00313201" w:rsidP="00313201" w14:paraId="14FB5CAD" w14:textId="77777777">
      <w:pPr>
        <w:tabs>
          <w:tab w:val="left" w:pos="4320"/>
        </w:tabs>
        <w:ind w:left="4320"/>
        <w:jc w:val="both"/>
      </w:pPr>
      <w:r w:rsidRPr="00313201">
        <w:t>Ambrosia E. Wilson (0096598)</w:t>
      </w:r>
    </w:p>
    <w:p w:rsidR="00313201" w:rsidRPr="00313201" w:rsidP="00313201" w14:paraId="0A1F0AC1" w14:textId="77777777">
      <w:pPr>
        <w:tabs>
          <w:tab w:val="left" w:pos="4320"/>
        </w:tabs>
        <w:rPr>
          <w:szCs w:val="24"/>
        </w:rPr>
      </w:pPr>
      <w:r w:rsidRPr="00313201">
        <w:rPr>
          <w:szCs w:val="24"/>
        </w:rPr>
        <w:tab/>
        <w:t>Assistant Consumers’ Counsel</w:t>
      </w:r>
    </w:p>
    <w:p w:rsidR="00313201" w:rsidRPr="00313201" w:rsidP="00313201" w14:paraId="63EC408A" w14:textId="77777777">
      <w:r w:rsidRPr="00313201">
        <w:tab/>
      </w:r>
    </w:p>
    <w:p w:rsidR="00313201" w:rsidRPr="00313201" w:rsidP="00313201" w14:paraId="7974D156" w14:textId="77777777">
      <w:pPr>
        <w:ind w:left="4320"/>
        <w:rPr>
          <w:b/>
          <w:bCs/>
        </w:rPr>
      </w:pPr>
      <w:r w:rsidRPr="00313201">
        <w:rPr>
          <w:b/>
          <w:bCs/>
        </w:rPr>
        <w:t>Office of the Ohio Consumers’ Counsel</w:t>
      </w:r>
    </w:p>
    <w:p w:rsidR="00313201" w:rsidRPr="00313201" w:rsidP="00313201" w14:paraId="118FBCF7" w14:textId="6CD43FAB">
      <w:pPr>
        <w:ind w:left="4320"/>
        <w:rPr>
          <w:b/>
        </w:rPr>
      </w:pPr>
      <w:r w:rsidRPr="00313201">
        <w:t xml:space="preserve">65 East State Street, </w:t>
      </w:r>
      <w:r w:rsidR="006B4C9F">
        <w:t>Suite 700</w:t>
      </w:r>
    </w:p>
    <w:p w:rsidR="00313201" w:rsidRPr="00313201" w:rsidP="00313201" w14:paraId="525118C9" w14:textId="11C1F225">
      <w:pPr>
        <w:ind w:left="4320"/>
        <w:rPr>
          <w:b/>
        </w:rPr>
      </w:pPr>
      <w:r w:rsidRPr="00313201">
        <w:t>Columbus, Ohio 43215</w:t>
      </w:r>
    </w:p>
    <w:p w:rsidR="00313201" w:rsidRPr="00313201" w:rsidP="00313201" w14:paraId="0C30B4AF" w14:textId="77777777">
      <w:pPr>
        <w:autoSpaceDE w:val="0"/>
        <w:autoSpaceDN w:val="0"/>
        <w:adjustRightInd w:val="0"/>
        <w:ind w:left="3600" w:firstLine="720"/>
        <w:rPr>
          <w:szCs w:val="24"/>
        </w:rPr>
      </w:pPr>
      <w:r w:rsidRPr="00313201">
        <w:rPr>
          <w:szCs w:val="24"/>
        </w:rPr>
        <w:t>Telephone [Botschner]: (614) 466-9575</w:t>
      </w:r>
    </w:p>
    <w:p w:rsidR="00313201" w:rsidRPr="00313201" w:rsidP="00313201" w14:paraId="43905300" w14:textId="77777777">
      <w:pPr>
        <w:autoSpaceDE w:val="0"/>
        <w:autoSpaceDN w:val="0"/>
        <w:adjustRightInd w:val="0"/>
        <w:ind w:left="3600" w:firstLine="720"/>
        <w:rPr>
          <w:szCs w:val="24"/>
        </w:rPr>
      </w:pPr>
      <w:r w:rsidRPr="00313201">
        <w:rPr>
          <w:szCs w:val="24"/>
        </w:rPr>
        <w:t>Telephone [Wilson]: (614) 466-1292</w:t>
      </w:r>
    </w:p>
    <w:p w:rsidR="00313201" w:rsidRPr="00313201" w:rsidP="00313201" w14:paraId="12CCEE09" w14:textId="77777777">
      <w:pPr>
        <w:rPr>
          <w:szCs w:val="24"/>
        </w:rPr>
      </w:pPr>
      <w:r w:rsidRPr="00313201">
        <w:rPr>
          <w:szCs w:val="24"/>
        </w:rPr>
        <w:tab/>
      </w:r>
      <w:r w:rsidRPr="00313201">
        <w:rPr>
          <w:szCs w:val="24"/>
        </w:rPr>
        <w:tab/>
      </w:r>
      <w:r w:rsidRPr="00313201">
        <w:rPr>
          <w:szCs w:val="24"/>
        </w:rPr>
        <w:tab/>
      </w:r>
      <w:r w:rsidRPr="00313201">
        <w:rPr>
          <w:szCs w:val="24"/>
        </w:rPr>
        <w:tab/>
      </w:r>
      <w:r w:rsidRPr="00313201">
        <w:rPr>
          <w:szCs w:val="24"/>
        </w:rPr>
        <w:tab/>
      </w:r>
      <w:r w:rsidRPr="00313201">
        <w:rPr>
          <w:szCs w:val="24"/>
        </w:rPr>
        <w:tab/>
      </w:r>
      <w:hyperlink r:id="rId6" w:history="1">
        <w:r w:rsidRPr="00313201">
          <w:rPr>
            <w:rFonts w:eastAsia="SimSun"/>
            <w:color w:val="0000FF"/>
            <w:szCs w:val="24"/>
            <w:u w:val="single"/>
          </w:rPr>
          <w:t>amy.botschner.obrien@occ.ohio.gov</w:t>
        </w:r>
      </w:hyperlink>
    </w:p>
    <w:p w:rsidR="00313201" w:rsidRPr="00313201" w:rsidP="00313201" w14:paraId="5AD48A3D" w14:textId="77777777">
      <w:pPr>
        <w:ind w:left="4320"/>
        <w:jc w:val="both"/>
        <w:rPr>
          <w:color w:val="0000FF"/>
        </w:rPr>
      </w:pPr>
      <w:hyperlink r:id="rId7" w:history="1">
        <w:r w:rsidRPr="00313201" w:rsidR="00F14EA5">
          <w:rPr>
            <w:rFonts w:eastAsia="SimSun"/>
            <w:color w:val="0000FF"/>
            <w:u w:val="single"/>
          </w:rPr>
          <w:t>ambrosia.wilson@occ.ohio.gov</w:t>
        </w:r>
      </w:hyperlink>
      <w:r w:rsidRPr="00313201" w:rsidR="00F14EA5">
        <w:rPr>
          <w:color w:val="0000FF"/>
        </w:rPr>
        <w:t xml:space="preserve"> </w:t>
      </w:r>
    </w:p>
    <w:p w:rsidR="00313201" w:rsidRPr="00313201" w:rsidP="00313201" w14:paraId="26C81E21" w14:textId="54602EF2">
      <w:pPr>
        <w:rPr>
          <w:szCs w:val="24"/>
        </w:rPr>
      </w:pPr>
      <w:r w:rsidRPr="00313201">
        <w:rPr>
          <w:szCs w:val="24"/>
        </w:rPr>
        <w:tab/>
      </w:r>
      <w:r w:rsidRPr="00313201">
        <w:rPr>
          <w:szCs w:val="24"/>
        </w:rPr>
        <w:tab/>
      </w:r>
      <w:r w:rsidRPr="00313201">
        <w:rPr>
          <w:szCs w:val="24"/>
        </w:rPr>
        <w:tab/>
      </w:r>
      <w:r w:rsidRPr="00313201">
        <w:rPr>
          <w:szCs w:val="24"/>
        </w:rPr>
        <w:tab/>
      </w:r>
      <w:r w:rsidRPr="00313201">
        <w:rPr>
          <w:szCs w:val="24"/>
        </w:rPr>
        <w:tab/>
      </w:r>
      <w:r w:rsidRPr="00313201">
        <w:rPr>
          <w:szCs w:val="24"/>
        </w:rPr>
        <w:tab/>
        <w:t>(</w:t>
      </w:r>
      <w:r w:rsidR="0091075E">
        <w:rPr>
          <w:szCs w:val="24"/>
        </w:rPr>
        <w:t>willing</w:t>
      </w:r>
      <w:r w:rsidRPr="00313201">
        <w:t xml:space="preserve"> to accept service by e-mail)</w:t>
      </w:r>
      <w:r w:rsidRPr="00313201">
        <w:rPr>
          <w:szCs w:val="24"/>
        </w:rPr>
        <w:tab/>
      </w:r>
    </w:p>
    <w:p w:rsidR="00313201" w:rsidRPr="00313201" w:rsidP="00313201" w14:paraId="663894E7" w14:textId="77777777">
      <w:pPr>
        <w:rPr>
          <w:szCs w:val="24"/>
        </w:rPr>
      </w:pPr>
      <w:r w:rsidRPr="00313201">
        <w:rPr>
          <w:szCs w:val="24"/>
        </w:rPr>
        <w:br w:type="page"/>
      </w:r>
    </w:p>
    <w:p w:rsidR="006B4C9F" w:rsidP="006B4C9F" w14:paraId="2DE55BB0" w14:textId="77777777">
      <w:pPr>
        <w:jc w:val="center"/>
        <w:rPr>
          <w:b/>
          <w:bCs/>
          <w:u w:val="single"/>
        </w:rPr>
      </w:pPr>
      <w:r>
        <w:rPr>
          <w:szCs w:val="24"/>
        </w:rPr>
        <w:tab/>
      </w:r>
      <w:bookmarkEnd w:id="5"/>
      <w:bookmarkEnd w:id="6"/>
      <w:r>
        <w:rPr>
          <w:b/>
          <w:bCs/>
          <w:u w:val="single"/>
        </w:rPr>
        <w:t>CERTIFICATE OF SERVICE</w:t>
      </w:r>
    </w:p>
    <w:p w:rsidR="006B4C9F" w:rsidP="006B4C9F" w14:paraId="52FB2EB3" w14:textId="17B3C8D2">
      <w:pPr>
        <w:spacing w:line="480" w:lineRule="atLeast"/>
      </w:pPr>
      <w:r>
        <w:tab/>
        <w:t xml:space="preserve">I hereby certify that a copy of </w:t>
      </w:r>
      <w:r w:rsidRPr="006B4C9F">
        <w:t>th</w:t>
      </w:r>
      <w:r w:rsidR="00DA368D">
        <w:t>is</w:t>
      </w:r>
      <w:r w:rsidRPr="006B4C9F">
        <w:t xml:space="preserve"> </w:t>
      </w:r>
      <w:r w:rsidR="00DA368D">
        <w:t xml:space="preserve">Initial Brief for </w:t>
      </w:r>
      <w:r w:rsidRPr="006B4C9F">
        <w:t>Consumer Protection</w:t>
      </w:r>
      <w:r>
        <w:t xml:space="preserve"> was served on the persons stated below </w:t>
      </w:r>
      <w:r w:rsidRPr="009D37EA">
        <w:t xml:space="preserve">via </w:t>
      </w:r>
      <w:r>
        <w:t xml:space="preserve">electronic transmission, this </w:t>
      </w:r>
      <w:r w:rsidR="00DA368D">
        <w:t>20th</w:t>
      </w:r>
      <w:r>
        <w:t xml:space="preserve"> day of </w:t>
      </w:r>
      <w:r w:rsidR="00DA368D">
        <w:t xml:space="preserve">April </w:t>
      </w:r>
      <w:r>
        <w:t>2022.</w:t>
      </w:r>
    </w:p>
    <w:p w:rsidR="006B4C9F" w:rsidP="006B4C9F" w14:paraId="093B78F9" w14:textId="77777777">
      <w:pPr>
        <w:spacing w:line="480" w:lineRule="atLeast"/>
      </w:pPr>
    </w:p>
    <w:p w:rsidR="006B4C9F" w:rsidRPr="00460D90" w:rsidP="006B4C9F" w14:paraId="499CAA2B" w14:textId="77777777">
      <w:pPr>
        <w:tabs>
          <w:tab w:val="left" w:pos="4320"/>
        </w:tabs>
        <w:rPr>
          <w:iCs/>
          <w:u w:val="single"/>
        </w:rPr>
      </w:pPr>
      <w:r>
        <w:tab/>
      </w:r>
      <w:r>
        <w:rPr>
          <w:i/>
          <w:iCs/>
          <w:u w:val="single"/>
        </w:rPr>
        <w:t>/s/ Amy Botschner O’Brien</w:t>
      </w:r>
      <w:r>
        <w:rPr>
          <w:iCs/>
          <w:u w:val="single"/>
        </w:rPr>
        <w:tab/>
      </w:r>
      <w:r>
        <w:rPr>
          <w:iCs/>
          <w:u w:val="single"/>
        </w:rPr>
        <w:tab/>
      </w:r>
    </w:p>
    <w:p w:rsidR="006B4C9F" w:rsidP="006B4C9F" w14:paraId="1A3918ED" w14:textId="77777777">
      <w:pPr>
        <w:tabs>
          <w:tab w:val="left" w:pos="4320"/>
        </w:tabs>
      </w:pPr>
      <w:r>
        <w:tab/>
        <w:t>Amy Botschner O’Brien</w:t>
      </w:r>
    </w:p>
    <w:p w:rsidR="006B4C9F" w:rsidP="006B4C9F" w14:paraId="1B7E05C1" w14:textId="77777777">
      <w:pPr>
        <w:tabs>
          <w:tab w:val="left" w:pos="4320"/>
        </w:tabs>
      </w:pPr>
      <w:r>
        <w:tab/>
        <w:t>Assistant Consumers’ Counsel</w:t>
      </w:r>
    </w:p>
    <w:p w:rsidR="006B4C9F" w:rsidP="006B4C9F" w14:paraId="4CAF85CB" w14:textId="77777777">
      <w:pPr>
        <w:pStyle w:val="CommentSubject"/>
      </w:pPr>
    </w:p>
    <w:p w:rsidR="006B4C9F" w:rsidRPr="005D4EA5" w:rsidP="006B4C9F" w14:paraId="04AC9DEF" w14:textId="77777777">
      <w:pPr>
        <w:rPr>
          <w:b/>
          <w:bCs/>
        </w:rPr>
      </w:pPr>
      <w:r w:rsidRPr="005D4EA5">
        <w:t>The PUCO’s e-filing system will electronically serve notice of the filing of this document on the following parties:</w:t>
      </w:r>
    </w:p>
    <w:p w:rsidR="006B4C9F" w:rsidRPr="005D4EA5" w:rsidP="006B4C9F" w14:paraId="6D337D7D" w14:textId="77777777">
      <w:pPr>
        <w:widowControl w:val="0"/>
        <w:autoSpaceDE w:val="0"/>
        <w:autoSpaceDN w:val="0"/>
        <w:adjustRightInd w:val="0"/>
      </w:pPr>
    </w:p>
    <w:p w:rsidR="006B4C9F" w:rsidRPr="00CE1566" w:rsidP="006B4C9F" w14:paraId="6B620FEE" w14:textId="77777777">
      <w:pPr>
        <w:jc w:val="center"/>
        <w:rPr>
          <w:b/>
          <w:bCs/>
          <w:u w:val="single"/>
        </w:rPr>
      </w:pPr>
      <w:r w:rsidRPr="00CE1566">
        <w:rPr>
          <w:b/>
          <w:bCs/>
          <w:u w:val="single"/>
        </w:rPr>
        <w:t>SERVICE LIST</w:t>
      </w:r>
    </w:p>
    <w:p w:rsidR="006B4C9F" w:rsidRPr="002F4BA7" w:rsidP="006B4C9F" w14:paraId="2C0A107A" w14:textId="77777777">
      <w:pPr>
        <w:jc w:val="center"/>
        <w:rPr>
          <w:u w:val="single"/>
        </w:rPr>
      </w:pPr>
    </w:p>
    <w:tbl>
      <w:tblPr>
        <w:tblW w:w="0" w:type="auto"/>
        <w:tblLook w:val="01E0"/>
      </w:tblPr>
      <w:tblGrid>
        <w:gridCol w:w="3748"/>
        <w:gridCol w:w="4892"/>
      </w:tblGrid>
      <w:tr w14:paraId="265D8C18" w14:textId="77777777" w:rsidTr="00DD0C02">
        <w:tblPrEx>
          <w:tblW w:w="0" w:type="auto"/>
          <w:tblLook w:val="01E0"/>
        </w:tblPrEx>
        <w:trPr>
          <w:trHeight w:val="1647"/>
        </w:trPr>
        <w:tc>
          <w:tcPr>
            <w:tcW w:w="3748" w:type="dxa"/>
            <w:shd w:val="clear" w:color="auto" w:fill="auto"/>
          </w:tcPr>
          <w:p w:rsidR="006B4C9F" w:rsidRPr="00A93456" w:rsidP="00DD0C02" w14:paraId="1926EB45" w14:textId="77777777">
            <w:pPr>
              <w:rPr>
                <w:bCs/>
              </w:rPr>
            </w:pPr>
            <w:hyperlink r:id="rId10" w:history="1">
              <w:r w:rsidRPr="00A93456" w:rsidR="00F14EA5">
                <w:rPr>
                  <w:rStyle w:val="Hyperlink"/>
                  <w:bCs/>
                </w:rPr>
                <w:t>Sarah.feldkamp@ohioAGO.gov</w:t>
              </w:r>
            </w:hyperlink>
          </w:p>
          <w:p w:rsidR="006B4C9F" w:rsidP="00DD0C02" w14:paraId="051C6C78" w14:textId="77777777">
            <w:pPr>
              <w:rPr>
                <w:bCs/>
              </w:rPr>
            </w:pPr>
            <w:hyperlink r:id="rId11" w:history="1">
              <w:r w:rsidRPr="00A93456" w:rsidR="00F14EA5">
                <w:rPr>
                  <w:rStyle w:val="Hyperlink"/>
                  <w:bCs/>
                </w:rPr>
                <w:t>Jodi.bair@ohioAGO.gov</w:t>
              </w:r>
            </w:hyperlink>
          </w:p>
          <w:p w:rsidR="006B4C9F" w:rsidRPr="00A93456" w:rsidP="00DD0C02" w14:paraId="2E79E620" w14:textId="77777777">
            <w:pPr>
              <w:rPr>
                <w:bCs/>
              </w:rPr>
            </w:pPr>
          </w:p>
          <w:p w:rsidR="006B4C9F" w:rsidRPr="00A93456" w:rsidP="00DD0C02" w14:paraId="157E2BC0" w14:textId="77777777">
            <w:pPr>
              <w:rPr>
                <w:bCs/>
              </w:rPr>
            </w:pPr>
            <w:r w:rsidRPr="00A93456">
              <w:rPr>
                <w:bCs/>
              </w:rPr>
              <w:t>Attorney Examiner:</w:t>
            </w:r>
          </w:p>
          <w:p w:rsidR="006B4C9F" w:rsidRPr="005D4EA5" w:rsidP="00DD0C02" w14:paraId="24611B3A" w14:textId="77777777">
            <w:pPr>
              <w:spacing w:line="480" w:lineRule="auto"/>
              <w:rPr>
                <w:b/>
              </w:rPr>
            </w:pPr>
            <w:hyperlink r:id="rId12" w:history="1">
              <w:r w:rsidRPr="00A93456" w:rsidR="00F14EA5">
                <w:rPr>
                  <w:rStyle w:val="Hyperlink"/>
                  <w:bCs/>
                </w:rPr>
                <w:t>Greta.see@puco.ohio.gov</w:t>
              </w:r>
            </w:hyperlink>
          </w:p>
        </w:tc>
        <w:tc>
          <w:tcPr>
            <w:tcW w:w="4892" w:type="dxa"/>
            <w:shd w:val="clear" w:color="auto" w:fill="auto"/>
          </w:tcPr>
          <w:p w:rsidR="006B4C9F" w:rsidRPr="00A93456" w:rsidP="00DD0C02" w14:paraId="3C5E3592" w14:textId="77777777">
            <w:pPr>
              <w:autoSpaceDE w:val="0"/>
              <w:autoSpaceDN w:val="0"/>
              <w:adjustRightInd w:val="0"/>
              <w:ind w:left="636"/>
              <w:rPr>
                <w:bCs/>
              </w:rPr>
            </w:pPr>
            <w:hyperlink r:id="rId13" w:history="1">
              <w:r w:rsidRPr="00A93456" w:rsidR="00F14EA5">
                <w:rPr>
                  <w:rStyle w:val="Hyperlink"/>
                  <w:bCs/>
                </w:rPr>
                <w:t>whitt@whitt-sturtevant.com</w:t>
              </w:r>
            </w:hyperlink>
          </w:p>
          <w:p w:rsidR="006B4C9F" w:rsidRPr="00A93456" w:rsidP="00DD0C02" w14:paraId="0539F00B" w14:textId="77777777">
            <w:pPr>
              <w:autoSpaceDE w:val="0"/>
              <w:autoSpaceDN w:val="0"/>
              <w:adjustRightInd w:val="0"/>
              <w:ind w:left="636"/>
              <w:rPr>
                <w:bCs/>
              </w:rPr>
            </w:pPr>
            <w:hyperlink r:id="rId14" w:history="1">
              <w:r w:rsidRPr="00A93456" w:rsidR="00F14EA5">
                <w:rPr>
                  <w:rStyle w:val="Hyperlink"/>
                  <w:bCs/>
                </w:rPr>
                <w:t>kennedy@whitt-sturtevant.com</w:t>
              </w:r>
            </w:hyperlink>
          </w:p>
          <w:p w:rsidR="006B4C9F" w:rsidRPr="00A93456" w:rsidP="00DD0C02" w14:paraId="1ABA8CD9" w14:textId="77777777">
            <w:pPr>
              <w:autoSpaceDE w:val="0"/>
              <w:autoSpaceDN w:val="0"/>
              <w:adjustRightInd w:val="0"/>
              <w:ind w:left="636"/>
              <w:rPr>
                <w:bCs/>
              </w:rPr>
            </w:pPr>
            <w:hyperlink r:id="rId15" w:history="1">
              <w:r w:rsidRPr="00A93456" w:rsidR="00F14EA5">
                <w:rPr>
                  <w:rStyle w:val="Hyperlink"/>
                  <w:bCs/>
                </w:rPr>
                <w:t>fykes@whitt-sturtevant.com</w:t>
              </w:r>
            </w:hyperlink>
          </w:p>
          <w:p w:rsidR="006B4C9F" w:rsidRPr="00A93456" w:rsidP="00DD0C02" w14:paraId="01BA12D0" w14:textId="77777777">
            <w:pPr>
              <w:autoSpaceDE w:val="0"/>
              <w:autoSpaceDN w:val="0"/>
              <w:adjustRightInd w:val="0"/>
              <w:ind w:left="636"/>
              <w:rPr>
                <w:bCs/>
              </w:rPr>
            </w:pPr>
            <w:hyperlink r:id="rId16" w:history="1">
              <w:r w:rsidRPr="00A93456" w:rsidR="00F14EA5">
                <w:rPr>
                  <w:rStyle w:val="Hyperlink"/>
                  <w:bCs/>
                </w:rPr>
                <w:t>andrew.j.campbell@dominionenergy.com</w:t>
              </w:r>
            </w:hyperlink>
          </w:p>
          <w:p w:rsidR="006B4C9F" w:rsidRPr="005D4EA5" w:rsidP="00DD0C02" w14:paraId="5A706EF5" w14:textId="77777777">
            <w:pPr>
              <w:autoSpaceDE w:val="0"/>
              <w:autoSpaceDN w:val="0"/>
              <w:adjustRightInd w:val="0"/>
              <w:ind w:left="636"/>
              <w:rPr>
                <w:b/>
              </w:rPr>
            </w:pPr>
          </w:p>
        </w:tc>
      </w:tr>
    </w:tbl>
    <w:p w:rsidR="006B4C9F" w:rsidP="006B4C9F" w14:paraId="6DD42C17" w14:textId="77777777">
      <w:pPr>
        <w:rPr>
          <w:b/>
          <w:bCs/>
        </w:rPr>
      </w:pPr>
    </w:p>
    <w:p w:rsidR="00A044B5" w:rsidP="002F4BA7" w14:paraId="1A4811E1" w14:textId="7FAC511B">
      <w:pPr>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14:paraId="15358668"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2</w:t>
        </w:r>
        <w:r w:rsidRPr="00FE7F0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5135352"/>
      <w:docPartObj>
        <w:docPartGallery w:val="Page Numbers (Bottom of Page)"/>
        <w:docPartUnique/>
      </w:docPartObj>
    </w:sdtPr>
    <w:sdtEndPr>
      <w:rPr>
        <w:noProof/>
        <w:sz w:val="24"/>
        <w:szCs w:val="24"/>
      </w:rPr>
    </w:sdtEndPr>
    <w:sdtContent>
      <w:p w:rsidR="00DA7A96" w:rsidRPr="00DA7A96" w14:paraId="16209063" w14:textId="668BDC3E">
        <w:pPr>
          <w:pStyle w:val="Footer"/>
          <w:jc w:val="center"/>
          <w:rPr>
            <w:sz w:val="24"/>
            <w:szCs w:val="24"/>
          </w:rPr>
        </w:pPr>
        <w:r w:rsidRPr="00DA7A96">
          <w:rPr>
            <w:sz w:val="24"/>
            <w:szCs w:val="24"/>
          </w:rPr>
          <w:fldChar w:fldCharType="begin"/>
        </w:r>
        <w:r w:rsidRPr="00DA7A96">
          <w:rPr>
            <w:sz w:val="24"/>
            <w:szCs w:val="24"/>
          </w:rPr>
          <w:instrText xml:space="preserve"> PAGE   \* MERGEFORMAT </w:instrText>
        </w:r>
        <w:r w:rsidRPr="00DA7A96">
          <w:rPr>
            <w:sz w:val="24"/>
            <w:szCs w:val="24"/>
          </w:rPr>
          <w:fldChar w:fldCharType="separate"/>
        </w:r>
        <w:r w:rsidRPr="00DA7A96">
          <w:rPr>
            <w:noProof/>
            <w:sz w:val="24"/>
            <w:szCs w:val="24"/>
          </w:rPr>
          <w:t>2</w:t>
        </w:r>
        <w:r w:rsidRPr="00DA7A96">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05D9" w14:paraId="7B67FB9A" w14:textId="77777777">
      <w:r>
        <w:separator/>
      </w:r>
    </w:p>
  </w:footnote>
  <w:footnote w:type="continuationSeparator" w:id="1">
    <w:p w:rsidR="00F805D9" w14:paraId="41F8E507" w14:textId="77777777">
      <w:r>
        <w:continuationSeparator/>
      </w:r>
    </w:p>
  </w:footnote>
  <w:footnote w:id="2">
    <w:p w:rsidR="007C0801" w:rsidP="00DA7A96" w14:paraId="6C5227F5" w14:textId="7D633CAD">
      <w:pPr>
        <w:pStyle w:val="FootnoteText"/>
        <w:spacing w:after="120"/>
      </w:pPr>
      <w:r>
        <w:rPr>
          <w:rStyle w:val="FootnoteReference"/>
        </w:rPr>
        <w:footnoteRef/>
      </w:r>
      <w:r>
        <w:t xml:space="preserve"> </w:t>
      </w:r>
      <w:r w:rsidR="00056B63">
        <w:t xml:space="preserve">DEO Ex. 1.0, </w:t>
      </w:r>
      <w:r w:rsidR="002706C9">
        <w:t xml:space="preserve">Application </w:t>
      </w:r>
      <w:r w:rsidR="008D3BFC">
        <w:t>to</w:t>
      </w:r>
      <w:r w:rsidR="002706C9">
        <w:t xml:space="preserve"> A</w:t>
      </w:r>
      <w:r w:rsidR="0064238F">
        <w:t>djust the Pipeline Infrastructure Replacement Cost Recovery Charge</w:t>
      </w:r>
      <w:r w:rsidR="00C92D1E">
        <w:t xml:space="preserve"> </w:t>
      </w:r>
      <w:r w:rsidR="008D3BFC">
        <w:t xml:space="preserve">(“Application”) </w:t>
      </w:r>
      <w:r w:rsidR="00C92D1E">
        <w:t>at 2</w:t>
      </w:r>
      <w:r w:rsidR="00A93456">
        <w:t xml:space="preserve"> </w:t>
      </w:r>
      <w:r w:rsidR="0064238F">
        <w:t>(Feb</w:t>
      </w:r>
      <w:r w:rsidR="006B4C9F">
        <w:t>ruary</w:t>
      </w:r>
      <w:r w:rsidR="0064238F">
        <w:t xml:space="preserve"> 25, 2022</w:t>
      </w:r>
      <w:r w:rsidR="00C92D1E">
        <w:t>)</w:t>
      </w:r>
      <w:r w:rsidR="00EF1FEC">
        <w:t>.</w:t>
      </w:r>
    </w:p>
  </w:footnote>
  <w:footnote w:id="3">
    <w:p w:rsidR="00C92D1E" w:rsidP="00DA7A96" w14:paraId="74F100D3" w14:textId="1B26A4F8">
      <w:pPr>
        <w:pStyle w:val="FootnoteText"/>
        <w:spacing w:after="120"/>
      </w:pPr>
      <w:r>
        <w:rPr>
          <w:rStyle w:val="FootnoteReference"/>
        </w:rPr>
        <w:footnoteRef/>
      </w:r>
      <w:r>
        <w:t xml:space="preserve"> </w:t>
      </w:r>
      <w:r w:rsidR="00056B63">
        <w:t>DEO Ex. 1.0,</w:t>
      </w:r>
      <w:r>
        <w:t xml:space="preserve"> Attachment B.</w:t>
      </w:r>
    </w:p>
  </w:footnote>
  <w:footnote w:id="4">
    <w:p w:rsidR="00056B63" w:rsidP="00DA7A96" w14:paraId="1C0E5083" w14:textId="03D133B7">
      <w:pPr>
        <w:pStyle w:val="FootnoteText"/>
        <w:spacing w:after="120"/>
      </w:pPr>
      <w:r>
        <w:rPr>
          <w:rStyle w:val="FootnoteReference"/>
        </w:rPr>
        <w:footnoteRef/>
      </w:r>
      <w:r>
        <w:t xml:space="preserve"> </w:t>
      </w:r>
      <w:r w:rsidRPr="00934677" w:rsidR="00934677">
        <w:rPr>
          <w:i/>
          <w:iCs/>
        </w:rPr>
        <w:t>See</w:t>
      </w:r>
      <w:r w:rsidR="00934677">
        <w:t xml:space="preserve">, </w:t>
      </w:r>
      <w:r>
        <w:t>OCC Ex. 2.0, Consumer Protection Comments by Office of the Ohio Consumers’ Counsel (March 23, 2022).</w:t>
      </w:r>
    </w:p>
  </w:footnote>
  <w:footnote w:id="5">
    <w:p w:rsidR="00523FA0" w:rsidP="00DA7A96" w14:paraId="4EF59365" w14:textId="349388F3">
      <w:pPr>
        <w:pStyle w:val="FootnoteText"/>
        <w:spacing w:after="120"/>
      </w:pPr>
      <w:r>
        <w:rPr>
          <w:rStyle w:val="FootnoteReference"/>
        </w:rPr>
        <w:footnoteRef/>
      </w:r>
      <w:r>
        <w:t xml:space="preserve"> </w:t>
      </w:r>
      <w:r w:rsidR="00056B63">
        <w:t>OCC. Ex. 1.0, T</w:t>
      </w:r>
      <w:r w:rsidR="008D3BFC">
        <w:t xml:space="preserve">estimony of Daniel J. </w:t>
      </w:r>
      <w:r>
        <w:t>Duann</w:t>
      </w:r>
      <w:r w:rsidR="008D3BFC">
        <w:t xml:space="preserve"> </w:t>
      </w:r>
      <w:r>
        <w:t>at 4-5</w:t>
      </w:r>
      <w:r w:rsidR="008D3BFC">
        <w:t xml:space="preserve"> (March 31, 2022)</w:t>
      </w:r>
      <w:r>
        <w:t>.</w:t>
      </w:r>
    </w:p>
  </w:footnote>
  <w:footnote w:id="6">
    <w:p w:rsidR="00523FA0" w:rsidP="00DA7A96" w14:paraId="6DD7A99F" w14:textId="75F0AD98">
      <w:pPr>
        <w:pStyle w:val="FootnoteText"/>
        <w:spacing w:after="120"/>
      </w:pPr>
      <w:r>
        <w:rPr>
          <w:rStyle w:val="FootnoteReference"/>
        </w:rPr>
        <w:footnoteRef/>
      </w:r>
      <w:r>
        <w:t xml:space="preserve"> </w:t>
      </w:r>
      <w:r w:rsidR="00056B63">
        <w:t>OCC Ex. 1.0</w:t>
      </w:r>
      <w:r w:rsidR="0098098A">
        <w:t xml:space="preserve"> (</w:t>
      </w:r>
      <w:r w:rsidR="00B269E8">
        <w:t>Duann Testimony</w:t>
      </w:r>
      <w:r w:rsidR="0098098A">
        <w:t>)</w:t>
      </w:r>
      <w:r>
        <w:t xml:space="preserve"> at 6.</w:t>
      </w:r>
    </w:p>
  </w:footnote>
  <w:footnote w:id="7">
    <w:p w:rsidR="0079555F" w:rsidP="00DA7A96" w14:paraId="0D5F639A" w14:textId="67C04564">
      <w:pPr>
        <w:pStyle w:val="FootnoteText"/>
        <w:spacing w:after="120"/>
      </w:pPr>
      <w:r>
        <w:rPr>
          <w:rStyle w:val="FootnoteReference"/>
        </w:rPr>
        <w:footnoteRef/>
      </w:r>
      <w:r>
        <w:t xml:space="preserve"> </w:t>
      </w:r>
      <w:r w:rsidR="00056B63">
        <w:t>OCC Ex. 1.0</w:t>
      </w:r>
      <w:r w:rsidR="0098098A">
        <w:t xml:space="preserve"> (</w:t>
      </w:r>
      <w:r w:rsidR="00B269E8">
        <w:t>Duann Testimony</w:t>
      </w:r>
      <w:r w:rsidR="0098098A">
        <w:t>)</w:t>
      </w:r>
      <w:r w:rsidR="00056B63">
        <w:t xml:space="preserve"> </w:t>
      </w:r>
      <w:r>
        <w:t>at 6, Footno</w:t>
      </w:r>
      <w:r w:rsidR="003439E8">
        <w:t xml:space="preserve">te 4. </w:t>
      </w:r>
    </w:p>
  </w:footnote>
  <w:footnote w:id="8">
    <w:p w:rsidR="008D3BFC" w:rsidRPr="001572D1" w:rsidP="00DA7A96" w14:paraId="509CC454" w14:textId="2AEC74F5">
      <w:pPr>
        <w:pStyle w:val="FootnoteText"/>
        <w:spacing w:after="120"/>
      </w:pPr>
      <w:r w:rsidRPr="001572D1">
        <w:rPr>
          <w:rStyle w:val="FootnoteReference"/>
        </w:rPr>
        <w:footnoteRef/>
      </w:r>
      <w:r w:rsidRPr="001572D1">
        <w:t xml:space="preserve"> </w:t>
      </w:r>
      <w:r w:rsidRPr="001572D1">
        <w:rPr>
          <w:i/>
        </w:rPr>
        <w:t xml:space="preserve">See </w:t>
      </w:r>
      <w:r w:rsidRPr="001572D1">
        <w:t>R.C. 4905.22</w:t>
      </w:r>
      <w:r w:rsidR="00902228">
        <w:t>; R.C. 4929.05(A)(3)</w:t>
      </w:r>
      <w:r w:rsidRPr="001572D1">
        <w:t xml:space="preserve">. </w:t>
      </w:r>
    </w:p>
  </w:footnote>
  <w:footnote w:id="9">
    <w:p w:rsidR="0052391D" w:rsidP="00DA7A96" w14:paraId="69300E40" w14:textId="367CF957">
      <w:pPr>
        <w:pStyle w:val="FootnoteText"/>
        <w:spacing w:after="120"/>
      </w:pPr>
      <w:r>
        <w:rPr>
          <w:rStyle w:val="FootnoteReference"/>
        </w:rPr>
        <w:footnoteRef/>
      </w:r>
      <w:r>
        <w:t xml:space="preserve"> </w:t>
      </w:r>
      <w:r w:rsidR="00B269E8">
        <w:t xml:space="preserve">DEO Ex. 2.0, </w:t>
      </w:r>
      <w:r>
        <w:t>Supplemental Direct Testimony of Lori S. Parker on Behalf of the East Ohio Gas Company d/b/a Dominion Energy Ohio (March 31, 2022).</w:t>
      </w:r>
    </w:p>
  </w:footnote>
  <w:footnote w:id="10">
    <w:p w:rsidR="00B269E8" w:rsidP="00DA7A96" w14:paraId="1A7749C4" w14:textId="3CE522F4">
      <w:pPr>
        <w:pStyle w:val="FootnoteText"/>
        <w:spacing w:after="120"/>
      </w:pPr>
      <w:r>
        <w:rPr>
          <w:rStyle w:val="FootnoteReference"/>
        </w:rPr>
        <w:footnoteRef/>
      </w:r>
      <w:r>
        <w:t xml:space="preserve"> Staff Ex. 1.0, Prefiled Testimony of Jonathan J. Borer on Behalf of the Staff of the Public Utilities Commission of Ohio Rates and Analysis Department (March 31, 2022).</w:t>
      </w:r>
      <w:r w:rsidR="00131313">
        <w:t xml:space="preserve"> </w:t>
      </w:r>
      <w:r w:rsidR="001A3446">
        <w:t>(</w:t>
      </w:r>
      <w:r w:rsidR="00131313">
        <w:t>The Staff</w:t>
      </w:r>
      <w:r w:rsidR="001A3446">
        <w:t xml:space="preserve"> witness does not opine in any way on the rate of return issue).</w:t>
      </w:r>
    </w:p>
  </w:footnote>
  <w:footnote w:id="11">
    <w:p w:rsidR="00A907DF" w:rsidP="00DA7A96" w14:paraId="0BE56FD4" w14:textId="494A14DB">
      <w:pPr>
        <w:pStyle w:val="FootnoteText"/>
        <w:spacing w:after="120"/>
      </w:pPr>
      <w:r>
        <w:rPr>
          <w:rStyle w:val="FootnoteReference"/>
        </w:rPr>
        <w:footnoteRef/>
      </w:r>
      <w:r>
        <w:t xml:space="preserve"> Staff Ex. 2.0, </w:t>
      </w:r>
      <w:r w:rsidR="009624E5">
        <w:t xml:space="preserve">Comments Submitted on Behalf of the Staff of the Public Utilities Commission of Ohio </w:t>
      </w:r>
      <w:r>
        <w:t xml:space="preserve">(March 23, 2022). </w:t>
      </w:r>
    </w:p>
  </w:footnote>
  <w:footnote w:id="12">
    <w:p w:rsidR="006952F8" w:rsidP="00DA7A96" w14:paraId="45CFED22" w14:textId="78639DBA">
      <w:pPr>
        <w:pStyle w:val="FootnoteText"/>
        <w:spacing w:after="120"/>
      </w:pPr>
      <w:r>
        <w:rPr>
          <w:rStyle w:val="FootnoteReference"/>
        </w:rPr>
        <w:footnoteRef/>
      </w:r>
      <w:r>
        <w:t xml:space="preserve"> </w:t>
      </w:r>
      <w:r w:rsidR="00B269E8">
        <w:t>OCC Ex. 1.0</w:t>
      </w:r>
      <w:r w:rsidR="0098098A">
        <w:t xml:space="preserve"> (</w:t>
      </w:r>
      <w:r>
        <w:t>Duann Testimony</w:t>
      </w:r>
      <w:r w:rsidR="0098098A">
        <w:t>)</w:t>
      </w:r>
      <w:r>
        <w:t xml:space="preserve"> at 8.</w:t>
      </w:r>
    </w:p>
  </w:footnote>
  <w:footnote w:id="13">
    <w:p w:rsidR="00A965A3" w:rsidP="00DA7A96" w14:paraId="27221FC8" w14:textId="1AC1F6C4">
      <w:pPr>
        <w:pStyle w:val="FootnoteText"/>
        <w:spacing w:after="120"/>
      </w:pPr>
      <w:r>
        <w:rPr>
          <w:rStyle w:val="FootnoteReference"/>
        </w:rPr>
        <w:footnoteRef/>
      </w:r>
      <w:r>
        <w:t xml:space="preserve"> </w:t>
      </w:r>
      <w:r w:rsidRPr="00F41C8D" w:rsidR="0098098A">
        <w:rPr>
          <w:i/>
          <w:iCs/>
        </w:rPr>
        <w:t>See</w:t>
      </w:r>
      <w:r w:rsidR="0098098A">
        <w:t xml:space="preserve">, </w:t>
      </w:r>
      <w:r>
        <w:t>OCC Ex. 1.0</w:t>
      </w:r>
      <w:r w:rsidR="0098098A">
        <w:t xml:space="preserve"> (Duann Testimony)</w:t>
      </w:r>
      <w:r>
        <w:t>.</w:t>
      </w:r>
    </w:p>
  </w:footnote>
  <w:footnote w:id="14">
    <w:p w:rsidR="008B5AD8" w:rsidP="00DA7A96" w14:paraId="38EDB6D6" w14:textId="30FE8656">
      <w:pPr>
        <w:pStyle w:val="FootnoteText"/>
        <w:spacing w:after="120"/>
      </w:pPr>
      <w:r>
        <w:rPr>
          <w:rStyle w:val="FootnoteReference"/>
        </w:rPr>
        <w:footnoteRef/>
      </w:r>
      <w:r>
        <w:t xml:space="preserve"> </w:t>
      </w:r>
      <w:r w:rsidR="00B269E8">
        <w:t>OCC Ex. 1.0</w:t>
      </w:r>
      <w:r w:rsidR="0098098A">
        <w:t xml:space="preserve"> (</w:t>
      </w:r>
      <w:r>
        <w:t>Duann Testimony</w:t>
      </w:r>
      <w:r w:rsidR="0098098A">
        <w:t>)</w:t>
      </w:r>
      <w:r>
        <w:t xml:space="preserve"> at 10.</w:t>
      </w:r>
    </w:p>
  </w:footnote>
  <w:footnote w:id="15">
    <w:p w:rsidR="00733442" w:rsidP="00DA7A96" w14:paraId="4274ECED" w14:textId="5864C376">
      <w:pPr>
        <w:pStyle w:val="FootnoteText"/>
        <w:spacing w:after="120"/>
      </w:pPr>
      <w:r>
        <w:rPr>
          <w:rStyle w:val="FootnoteReference"/>
        </w:rPr>
        <w:footnoteRef/>
      </w:r>
      <w:r>
        <w:t xml:space="preserve"> </w:t>
      </w:r>
      <w:r w:rsidR="00A96F6A">
        <w:t xml:space="preserve">PUCO Case No. 21-619-GA-RDR, Opinion and Order at 28 (February 23, 2022). </w:t>
      </w:r>
      <w:r w:rsidRPr="00A5774E" w:rsidR="00622D94">
        <w:rPr>
          <w:i/>
          <w:iCs/>
        </w:rPr>
        <w:t>See also</w:t>
      </w:r>
      <w:r w:rsidR="00622D94">
        <w:t>, the PUCO’s O</w:t>
      </w:r>
      <w:r w:rsidR="00A5774E">
        <w:t>pinion and Order</w:t>
      </w:r>
      <w:r w:rsidR="00622D94">
        <w:t xml:space="preserve"> in Case No. 19-468-GA-ALT</w:t>
      </w:r>
      <w:r w:rsidR="009C5951">
        <w:t xml:space="preserve"> at 41</w:t>
      </w:r>
      <w:r w:rsidR="00622D94">
        <w:t xml:space="preserve">, where the PUCO </w:t>
      </w:r>
      <w:r w:rsidR="00A5774E">
        <w:t>recognized Dominion’s “decrease in the cost of debt and the resultant impact on the [rider] revenue requirement” (December 30, 2020).</w:t>
      </w:r>
    </w:p>
  </w:footnote>
  <w:footnote w:id="16">
    <w:p w:rsidR="00A96F6A" w:rsidP="00DA7A96" w14:paraId="352631D8" w14:textId="68701C4B">
      <w:pPr>
        <w:pStyle w:val="FootnoteText"/>
        <w:spacing w:after="120"/>
      </w:pPr>
      <w:r>
        <w:rPr>
          <w:rStyle w:val="FootnoteReference"/>
        </w:rPr>
        <w:footnoteRef/>
      </w:r>
      <w:r>
        <w:t xml:space="preserve"> </w:t>
      </w:r>
      <w:r w:rsidR="00131313">
        <w:t xml:space="preserve">PUCO Case No. 21-619-GA-RDR, Opinion and Order </w:t>
      </w:r>
      <w:r>
        <w:t>at 21.</w:t>
      </w:r>
    </w:p>
  </w:footnote>
  <w:footnote w:id="17">
    <w:p w:rsidR="00A965A3" w:rsidP="00DA7A96" w14:paraId="09C26C25" w14:textId="0292FAB4">
      <w:pPr>
        <w:pStyle w:val="FootnoteText"/>
        <w:spacing w:after="120"/>
      </w:pPr>
      <w:r>
        <w:rPr>
          <w:rStyle w:val="FootnoteReference"/>
        </w:rPr>
        <w:footnoteRef/>
      </w:r>
      <w:r>
        <w:t xml:space="preserve"> DEO Ex. 2.0 at 3.</w:t>
      </w:r>
    </w:p>
  </w:footnote>
  <w:footnote w:id="18">
    <w:p w:rsidR="008A3891" w:rsidP="00DA7A96" w14:paraId="6B40226E" w14:textId="20BD845F">
      <w:pPr>
        <w:pStyle w:val="FootnoteText"/>
        <w:spacing w:after="120"/>
      </w:pPr>
      <w:r>
        <w:rPr>
          <w:rStyle w:val="FootnoteReference"/>
        </w:rPr>
        <w:footnoteRef/>
      </w:r>
      <w:r>
        <w:t xml:space="preserve"> </w:t>
      </w:r>
      <w:r w:rsidR="001A3446">
        <w:t xml:space="preserve">OCC Ex. </w:t>
      </w:r>
      <w:r w:rsidR="0098098A">
        <w:t>1.0 (</w:t>
      </w:r>
      <w:r>
        <w:t>Duann Testimony</w:t>
      </w:r>
      <w:r w:rsidR="0098098A">
        <w:t>)</w:t>
      </w:r>
      <w:r>
        <w:t xml:space="preserve"> at 8.</w:t>
      </w:r>
      <w:r w:rsidR="00904CA6">
        <w:t xml:space="preserve"> </w:t>
      </w:r>
      <w:r w:rsidRPr="00622D94" w:rsidR="009C5951">
        <w:rPr>
          <w:i/>
          <w:iCs/>
        </w:rPr>
        <w:t>See</w:t>
      </w:r>
      <w:r w:rsidR="009C5951">
        <w:rPr>
          <w:i/>
          <w:iCs/>
        </w:rPr>
        <w:t>,</w:t>
      </w:r>
      <w:r w:rsidRPr="00622D94" w:rsidR="009C5951">
        <w:rPr>
          <w:i/>
          <w:iCs/>
        </w:rPr>
        <w:t xml:space="preserve"> </w:t>
      </w:r>
      <w:r w:rsidR="009C5951">
        <w:rPr>
          <w:i/>
          <w:iCs/>
        </w:rPr>
        <w:t xml:space="preserve">In re Complaint of Suburban Natural Gas Company, </w:t>
      </w:r>
      <w:r w:rsidRPr="00934677" w:rsidR="009C5951">
        <w:t>162 Ohio St.3d 162</w:t>
      </w:r>
      <w:r w:rsidR="00482C43">
        <w:t>, 2020-Ohio-5221, 164 N.E.3d 425</w:t>
      </w:r>
      <w:r w:rsidR="009C5951">
        <w:rPr>
          <w:i/>
          <w:iCs/>
        </w:rPr>
        <w:t xml:space="preserve">; </w:t>
      </w:r>
      <w:r w:rsidRPr="00622D94" w:rsidR="009C5951">
        <w:rPr>
          <w:i/>
          <w:iCs/>
        </w:rPr>
        <w:t>In re Application of Columbus S. Power Co</w:t>
      </w:r>
      <w:r w:rsidR="009C5951">
        <w:t xml:space="preserve">., 128 Ohio St.3d 512, 2011-Ohio-1788, 947 N.E.2d 655, ¶ 52 and </w:t>
      </w:r>
      <w:r w:rsidRPr="00622D94" w:rsidR="009C5951">
        <w:rPr>
          <w:i/>
          <w:iCs/>
        </w:rPr>
        <w:t>Office of Consumers' Counsel v. Pub. Util. Comm</w:t>
      </w:r>
      <w:r w:rsidR="009C5951">
        <w:t>., 16 Ohio St.3d 21, 21–22, 16 OBR 371, 475 N.E.2d 786 (1985).</w:t>
      </w:r>
      <w:r w:rsidR="00904CA6">
        <w:t xml:space="preserve"> </w:t>
      </w:r>
    </w:p>
  </w:footnote>
  <w:footnote w:id="19">
    <w:p w:rsidR="001A3446" w:rsidP="00DA7A96" w14:paraId="4F8208D8" w14:textId="223D9C7A">
      <w:pPr>
        <w:pStyle w:val="FootnoteText"/>
        <w:spacing w:after="120"/>
      </w:pPr>
      <w:r>
        <w:rPr>
          <w:rStyle w:val="FootnoteReference"/>
        </w:rPr>
        <w:footnoteRef/>
      </w:r>
      <w:r>
        <w:t xml:space="preserve"> R.C. 49229.05(A)(3), expressly providing that alternative rate plans must be just and reasonable.</w:t>
      </w:r>
    </w:p>
  </w:footnote>
  <w:footnote w:id="20">
    <w:p w:rsidR="001A3446" w:rsidP="00DA7A96" w14:paraId="1FEC8947" w14:textId="556B2081">
      <w:pPr>
        <w:pStyle w:val="FootnoteText"/>
        <w:spacing w:after="120"/>
      </w:pPr>
      <w:r>
        <w:rPr>
          <w:rStyle w:val="FootnoteReference"/>
        </w:rPr>
        <w:footnoteRef/>
      </w:r>
      <w:r>
        <w:t xml:space="preserve"> R.C. </w:t>
      </w:r>
      <w:r w:rsidR="0098098A">
        <w:t>4905.22.</w:t>
      </w:r>
    </w:p>
  </w:footnote>
  <w:footnote w:id="21">
    <w:p w:rsidR="00A96F6A" w:rsidP="00DA7A96" w14:paraId="342D1776" w14:textId="12BE2428">
      <w:pPr>
        <w:pStyle w:val="FootnoteText"/>
        <w:spacing w:after="120"/>
      </w:pPr>
      <w:r>
        <w:rPr>
          <w:rStyle w:val="FootnoteReference"/>
        </w:rPr>
        <w:footnoteRef/>
      </w:r>
      <w:r>
        <w:t xml:space="preserve"> </w:t>
      </w:r>
      <w:r w:rsidRPr="00A907DF" w:rsidR="00A907DF">
        <w:rPr>
          <w:i/>
          <w:iCs/>
        </w:rPr>
        <w:t>Bluefield Water Works v. Public Service Comm’n</w:t>
      </w:r>
      <w:r w:rsidR="00A907DF">
        <w:t>, 262 U.S. 679 (1923): “ A public utility is entitle</w:t>
      </w:r>
      <w:r w:rsidR="00482C43">
        <w:t>d</w:t>
      </w:r>
      <w:r w:rsidR="00A907DF">
        <w:t xml:space="preserve">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w:t>
      </w:r>
      <w:r w:rsidR="00002C60">
        <w:t xml:space="preserve"> </w:t>
      </w:r>
      <w:r w:rsidRPr="00A907DF" w:rsidR="0098098A">
        <w:rPr>
          <w:i/>
          <w:iCs/>
        </w:rPr>
        <w:t>See also</w:t>
      </w:r>
      <w:r w:rsidR="0098098A">
        <w:t xml:space="preserve">, </w:t>
      </w:r>
      <w:r w:rsidRPr="00934677" w:rsidR="009C5951">
        <w:rPr>
          <w:i/>
          <w:iCs/>
        </w:rPr>
        <w:t>In re Application of Dayton Power &amp; Light Co</w:t>
      </w:r>
      <w:r w:rsidR="009C5951">
        <w:t>., Case No. 78-92-EL-AIR, Opinion &amp; Order (Mar</w:t>
      </w:r>
      <w:r w:rsidR="00482C43">
        <w:t>ch</w:t>
      </w:r>
      <w:r w:rsidR="009C5951">
        <w:t xml:space="preserve"> 9, 1979) (“It is not the function of this Commission to guarantee a particular rate of return to an applicant utility but merely to afford the company an opportunity to earn a fair rate of return.”) (quoting Case No. 76-704-GA-CMR (June 29, 1977))</w:t>
      </w:r>
      <w:r w:rsidR="009C5951">
        <w:rPr>
          <w:color w:val="000000"/>
        </w:rPr>
        <w:t xml:space="preserve">. </w:t>
      </w:r>
      <w:r w:rsidRPr="0082488C" w:rsidR="009C5951">
        <w:rPr>
          <w:i/>
          <w:iCs/>
          <w:color w:val="000000"/>
        </w:rPr>
        <w:t>See</w:t>
      </w:r>
      <w:r w:rsidR="009C5951">
        <w:rPr>
          <w:i/>
          <w:iCs/>
          <w:color w:val="000000"/>
        </w:rPr>
        <w:t xml:space="preserve"> also</w:t>
      </w:r>
      <w:r w:rsidR="009C5951">
        <w:rPr>
          <w:color w:val="000000"/>
        </w:rPr>
        <w:t>, OCC Ex. 1.0 (</w:t>
      </w:r>
      <w:r w:rsidR="009C5951">
        <w:t>Duann Testimony) at 7</w:t>
      </w:r>
      <w:r w:rsidR="00482C43">
        <w:t>-8</w:t>
      </w:r>
      <w:r w:rsidR="009C5951">
        <w:t>.</w:t>
      </w:r>
    </w:p>
  </w:footnote>
  <w:footnote w:id="22">
    <w:p w:rsidR="00C1272D" w:rsidP="00DA7A96" w14:paraId="61A62C75" w14:textId="77777777">
      <w:pPr>
        <w:pStyle w:val="FootnoteText"/>
        <w:spacing w:after="120"/>
      </w:pPr>
      <w:r>
        <w:rPr>
          <w:rStyle w:val="FootnoteReference"/>
        </w:rPr>
        <w:footnoteRef/>
      </w:r>
      <w:r>
        <w:t xml:space="preserve"> </w:t>
      </w:r>
      <w:r w:rsidRPr="0098098A">
        <w:rPr>
          <w:i/>
          <w:iCs/>
        </w:rPr>
        <w:t>See, e.g</w:t>
      </w:r>
      <w:r>
        <w:t xml:space="preserve">., PUCO Case Nos. 19-468-GA-ALT and 20-1634-GA-ALT. </w:t>
      </w:r>
    </w:p>
  </w:footnote>
  <w:footnote w:id="23">
    <w:p w:rsidR="007B72FE" w:rsidP="00DA7A96" w14:paraId="5ECBD4AF" w14:textId="2260B19D">
      <w:pPr>
        <w:pStyle w:val="FootnoteText"/>
        <w:spacing w:after="120"/>
      </w:pPr>
      <w:r>
        <w:rPr>
          <w:rStyle w:val="FootnoteReference"/>
        </w:rPr>
        <w:footnoteRef/>
      </w:r>
      <w:r w:rsidR="00B34969">
        <w:t xml:space="preserve"> 162</w:t>
      </w:r>
      <w:r>
        <w:t xml:space="preserve"> Ohio St.3d </w:t>
      </w:r>
      <w:r w:rsidR="00B34969">
        <w:t>162</w:t>
      </w:r>
      <w:r>
        <w:t xml:space="preserve">, </w:t>
      </w:r>
      <w:r w:rsidR="00B34969">
        <w:t>169</w:t>
      </w:r>
      <w:r w:rsidR="00007DDB">
        <w:t>,</w:t>
      </w:r>
      <w:r w:rsidR="00B34969">
        <w:t xml:space="preserve"> </w:t>
      </w:r>
      <w:r>
        <w:t xml:space="preserve">2020-Ohio-5221 ¶ 29, </w:t>
      </w:r>
      <w:r w:rsidR="00B34969">
        <w:t>164</w:t>
      </w:r>
      <w:r>
        <w:t xml:space="preserve"> N.E.3d </w:t>
      </w:r>
      <w:r w:rsidR="00B34969">
        <w:t>425 (2020)</w:t>
      </w:r>
      <w:r>
        <w:t xml:space="preserve"> (internal citations omitted</w:t>
      </w:r>
      <w:r w:rsidR="00B34969">
        <w:t>)</w:t>
      </w:r>
      <w:r w:rsidR="00DA7A96">
        <w:t>.</w:t>
      </w:r>
      <w:r>
        <w:t xml:space="preserve"> </w:t>
      </w:r>
    </w:p>
  </w:footnote>
  <w:footnote w:id="24">
    <w:p w:rsidR="00C1272D" w:rsidP="00DA7A96" w14:paraId="08D8D14B" w14:textId="454BF520">
      <w:pPr>
        <w:pStyle w:val="FootnoteText"/>
        <w:spacing w:after="120"/>
      </w:pPr>
      <w:r>
        <w:rPr>
          <w:rStyle w:val="FootnoteReference"/>
        </w:rPr>
        <w:footnoteRef/>
      </w:r>
      <w:r>
        <w:t xml:space="preserve"> </w:t>
      </w:r>
      <w:r w:rsidRPr="00622D94">
        <w:rPr>
          <w:i/>
          <w:iCs/>
        </w:rPr>
        <w:t>See</w:t>
      </w:r>
      <w:r>
        <w:rPr>
          <w:i/>
          <w:iCs/>
        </w:rPr>
        <w:t>,</w:t>
      </w:r>
      <w:r w:rsidRPr="00622D94">
        <w:rPr>
          <w:i/>
          <w:iCs/>
        </w:rPr>
        <w:t xml:space="preserve"> </w:t>
      </w:r>
      <w:r w:rsidR="00934677">
        <w:rPr>
          <w:i/>
          <w:iCs/>
        </w:rPr>
        <w:t xml:space="preserve">In re Complaint of Suburban Natural Gas Company, </w:t>
      </w:r>
      <w:r w:rsidRPr="00934677" w:rsidR="00934677">
        <w:t>162 Ohio St.3d 162, 2020-Ohio-5221,</w:t>
      </w:r>
      <w:r w:rsidR="00482C43">
        <w:t xml:space="preserve"> </w:t>
      </w:r>
      <w:r w:rsidRPr="00934677" w:rsidR="00934677">
        <w:t>164 N.E.3d 425</w:t>
      </w:r>
      <w:r w:rsidR="00934677">
        <w:rPr>
          <w:i/>
          <w:iCs/>
        </w:rPr>
        <w:t xml:space="preserve">; </w:t>
      </w:r>
      <w:r w:rsidRPr="00622D94">
        <w:rPr>
          <w:i/>
          <w:iCs/>
        </w:rPr>
        <w:t>In re Application of Columbus S. Power Co</w:t>
      </w:r>
      <w:r>
        <w:t xml:space="preserve">., 128 Ohio St.3d 512, 2011-Ohio-1788, 947 N.E.2d 655, ¶ 52 and </w:t>
      </w:r>
      <w:r w:rsidRPr="00622D94">
        <w:rPr>
          <w:i/>
          <w:iCs/>
        </w:rPr>
        <w:t>Office of Consumers' Counsel v. Pub. Util. Comm</w:t>
      </w:r>
      <w:r>
        <w:t>., 16 Ohio St.3d 21, 21–22, 16 OBR 371, 475 N.E.2d 786 (1985).</w:t>
      </w:r>
    </w:p>
  </w:footnote>
  <w:footnote w:id="25">
    <w:p w:rsidR="00007DDB" w:rsidP="00007DDB" w14:paraId="510823DE" w14:textId="77777777">
      <w:pPr>
        <w:pStyle w:val="FootnoteText"/>
        <w:spacing w:after="120"/>
      </w:pPr>
      <w:r>
        <w:rPr>
          <w:rStyle w:val="FootnoteReference"/>
        </w:rPr>
        <w:footnoteRef/>
      </w:r>
      <w:r>
        <w:t xml:space="preserve"> </w:t>
      </w:r>
      <w:r w:rsidRPr="0098098A">
        <w:rPr>
          <w:i/>
          <w:iCs/>
        </w:rPr>
        <w:t>See, e.g</w:t>
      </w:r>
      <w:r>
        <w:t xml:space="preserve">., PUCO Case Nos. 19-468-GA-ALT and 20-1634-GA-ALT. </w:t>
      </w:r>
    </w:p>
    <w:p w:rsidR="00AE151D" w:rsidP="00DA7A96" w14:paraId="2B1BB592" w14:textId="1AA514C7">
      <w:pPr>
        <w:pStyle w:val="FootnoteText"/>
        <w:spacing w:after="120"/>
      </w:pPr>
    </w:p>
  </w:footnote>
  <w:footnote w:id="26">
    <w:p w:rsidR="00404731" w:rsidP="00DA7A96" w14:paraId="313C4A35" w14:textId="230CCAD4">
      <w:pPr>
        <w:pStyle w:val="FootnoteText"/>
        <w:spacing w:after="120"/>
      </w:pPr>
      <w:r>
        <w:rPr>
          <w:rStyle w:val="FootnoteReference"/>
        </w:rPr>
        <w:footnoteRef/>
      </w:r>
      <w:r>
        <w:t xml:space="preserve"> </w:t>
      </w:r>
      <w:r w:rsidR="009F0ADB">
        <w:t xml:space="preserve">PUCO Case No. 21-619-GA-RDR, Opinion and Order at 28 (February 23, 2022). </w:t>
      </w:r>
    </w:p>
  </w:footnote>
  <w:footnote w:id="27">
    <w:p w:rsidR="009F0ADB" w:rsidP="00DA7A96" w14:paraId="218F6668" w14:textId="1AB3B76D">
      <w:pPr>
        <w:pStyle w:val="FootnoteText"/>
        <w:spacing w:after="120"/>
      </w:pPr>
      <w:r>
        <w:rPr>
          <w:rStyle w:val="FootnoteReference"/>
        </w:rPr>
        <w:footnoteRef/>
      </w:r>
      <w:r>
        <w:t xml:space="preserve"> </w:t>
      </w:r>
      <w:r w:rsidRPr="00AE151D" w:rsidR="00AE151D">
        <w:rPr>
          <w:i/>
          <w:iCs/>
        </w:rPr>
        <w:t>Id</w:t>
      </w:r>
      <w:r w:rsidR="00AE151D">
        <w:t>.</w:t>
      </w:r>
    </w:p>
  </w:footnote>
  <w:footnote w:id="28">
    <w:p w:rsidR="009F0ADB" w:rsidP="00DA7A96" w14:paraId="49D1C73E" w14:textId="2B877C08">
      <w:pPr>
        <w:pStyle w:val="FootnoteText"/>
        <w:spacing w:after="120"/>
      </w:pPr>
      <w:r>
        <w:rPr>
          <w:rStyle w:val="FootnoteReference"/>
        </w:rPr>
        <w:footnoteRef/>
      </w:r>
      <w:r>
        <w:t xml:space="preserve"> </w:t>
      </w:r>
      <w:r w:rsidR="00AE151D">
        <w:t xml:space="preserve">DEO Ex. 2.0 </w:t>
      </w:r>
      <w:r w:rsidR="001B2E6B">
        <w:t>at 3 (March 31, 2022).</w:t>
      </w:r>
    </w:p>
  </w:footnote>
  <w:footnote w:id="29">
    <w:p w:rsidR="00A36B32" w:rsidP="00DA7A96" w14:paraId="0EE55747" w14:textId="1F043225">
      <w:pPr>
        <w:pStyle w:val="FootnoteText"/>
        <w:spacing w:after="120"/>
      </w:pPr>
      <w:r>
        <w:rPr>
          <w:rStyle w:val="FootnoteReference"/>
        </w:rPr>
        <w:footnoteRef/>
      </w:r>
      <w:r>
        <w:t xml:space="preserve"> </w:t>
      </w:r>
      <w:r w:rsidR="005D3A4E">
        <w:t>OCC Ex. 1.0 (</w:t>
      </w:r>
      <w:r>
        <w:t>Duann Testimony</w:t>
      </w:r>
      <w:r w:rsidR="005D3A4E">
        <w:t>)</w:t>
      </w:r>
      <w:r>
        <w:t xml:space="preserve"> at 9-10.</w:t>
      </w:r>
    </w:p>
  </w:footnote>
  <w:footnote w:id="30">
    <w:p w:rsidR="005D3A4E" w:rsidP="00DA7A96" w14:paraId="1E8E7E45" w14:textId="3CCDF637">
      <w:pPr>
        <w:pStyle w:val="FootnoteText"/>
        <w:spacing w:after="120"/>
      </w:pPr>
      <w:r>
        <w:rPr>
          <w:rStyle w:val="FootnoteReference"/>
        </w:rPr>
        <w:footnoteRef/>
      </w:r>
      <w:r>
        <w:t xml:space="preserve"> </w:t>
      </w:r>
      <w:r w:rsidRPr="005D3A4E">
        <w:rPr>
          <w:i/>
          <w:iCs/>
        </w:rPr>
        <w:t>Id</w:t>
      </w:r>
      <w:r>
        <w:t>. at 9.</w:t>
      </w:r>
    </w:p>
  </w:footnote>
  <w:footnote w:id="31">
    <w:p w:rsidR="005D3A4E" w:rsidP="00DA7A96" w14:paraId="096261C3" w14:textId="078F1E21">
      <w:pPr>
        <w:pStyle w:val="FootnoteText"/>
        <w:spacing w:after="120"/>
      </w:pPr>
      <w:r>
        <w:rPr>
          <w:rStyle w:val="FootnoteReference"/>
        </w:rPr>
        <w:footnoteRef/>
      </w:r>
      <w:r>
        <w:t xml:space="preserve"> </w:t>
      </w:r>
      <w:r w:rsidRPr="005D3A4E">
        <w:rPr>
          <w:i/>
          <w:iCs/>
        </w:rPr>
        <w:t>Id</w:t>
      </w:r>
      <w:r>
        <w:t>. at 10.</w:t>
      </w:r>
    </w:p>
  </w:footnote>
  <w:footnote w:id="32">
    <w:p w:rsidR="00A04388" w:rsidP="00DA7A96" w14:paraId="23D42EF6" w14:textId="17B48A74">
      <w:pPr>
        <w:pStyle w:val="FootnoteText"/>
        <w:spacing w:after="120"/>
      </w:pPr>
      <w:r>
        <w:rPr>
          <w:rStyle w:val="FootnoteReference"/>
        </w:rPr>
        <w:footnoteRef/>
      </w:r>
      <w:r>
        <w:t xml:space="preserve"> </w:t>
      </w:r>
      <w:r w:rsidRPr="005D3A4E" w:rsidR="005D3A4E">
        <w:rPr>
          <w:i/>
          <w:iCs/>
        </w:rPr>
        <w:t>Id</w:t>
      </w:r>
      <w:r w:rsidR="005D3A4E">
        <w:t xml:space="preserve">. at </w:t>
      </w:r>
      <w:r>
        <w:t>10-11.</w:t>
      </w:r>
    </w:p>
  </w:footnote>
  <w:footnote w:id="33">
    <w:p w:rsidR="00A04388" w:rsidP="00DA7A96" w14:paraId="743ED8BA" w14:textId="75A675C6">
      <w:pPr>
        <w:pStyle w:val="FootnoteText"/>
        <w:spacing w:after="120"/>
      </w:pPr>
      <w:r>
        <w:rPr>
          <w:rStyle w:val="FootnoteReference"/>
        </w:rPr>
        <w:footnoteRef/>
      </w:r>
      <w:r>
        <w:t xml:space="preserve"> </w:t>
      </w:r>
      <w:r w:rsidRPr="005D3A4E" w:rsidR="005D3A4E">
        <w:rPr>
          <w:i/>
          <w:iCs/>
        </w:rPr>
        <w:t>Id</w:t>
      </w:r>
      <w:r w:rsidR="005D3A4E">
        <w:t>.</w:t>
      </w:r>
      <w:r>
        <w:t xml:space="preserve"> at 11.</w:t>
      </w:r>
    </w:p>
  </w:footnote>
  <w:footnote w:id="34">
    <w:p w:rsidR="001B2E6B" w:rsidP="00DA7A96" w14:paraId="3D4ECB9E" w14:textId="2B366DEF">
      <w:pPr>
        <w:pStyle w:val="FootnoteText"/>
        <w:spacing w:after="120"/>
      </w:pPr>
      <w:r>
        <w:rPr>
          <w:rStyle w:val="FootnoteReference"/>
        </w:rPr>
        <w:footnoteRef/>
      </w:r>
      <w:r>
        <w:t xml:space="preserve"> </w:t>
      </w:r>
      <w:r w:rsidRPr="005B67E8" w:rsidR="0082488C">
        <w:rPr>
          <w:i/>
          <w:color w:val="000000"/>
        </w:rPr>
        <w:t xml:space="preserve">Bluefield Water Works v. Public Service Comm'n, </w:t>
      </w:r>
      <w:r w:rsidRPr="005B67E8" w:rsidR="0082488C">
        <w:rPr>
          <w:color w:val="000000"/>
        </w:rPr>
        <w:t>262 U.S. 679 (1923)</w:t>
      </w:r>
      <w:r w:rsidR="00F02A93">
        <w:rPr>
          <w:color w:val="000000"/>
        </w:rPr>
        <w:t>.</w:t>
      </w:r>
      <w:r w:rsidRPr="00F02A93" w:rsidR="00F02A93">
        <w:t xml:space="preserve"> </w:t>
      </w:r>
      <w:r w:rsidRPr="00934677" w:rsidR="00F02A93">
        <w:rPr>
          <w:i/>
          <w:iCs/>
        </w:rPr>
        <w:t>See</w:t>
      </w:r>
      <w:r w:rsidR="006D726E">
        <w:rPr>
          <w:i/>
          <w:iCs/>
        </w:rPr>
        <w:t>,</w:t>
      </w:r>
      <w:r w:rsidRPr="00934677" w:rsidR="00F02A93">
        <w:rPr>
          <w:i/>
          <w:iCs/>
        </w:rPr>
        <w:t xml:space="preserve"> In re Application of Columbus S. Power Co</w:t>
      </w:r>
      <w:r w:rsidR="00F02A93">
        <w:t>., Case No. 11-346-EL-SSO, Opinion &amp; Order (Aug</w:t>
      </w:r>
      <w:r w:rsidR="00A35614">
        <w:t>ust</w:t>
      </w:r>
      <w:r w:rsidR="00F02A93">
        <w:t xml:space="preserve"> 8, 2012) (while the utility “should have the opportunity to earn a reasonable rate of return, there is not a right to a guaranteed rate of return”); </w:t>
      </w:r>
      <w:r w:rsidRPr="00934677" w:rsidR="00F02A93">
        <w:rPr>
          <w:i/>
          <w:iCs/>
        </w:rPr>
        <w:t>In re Application of Dayton Power &amp; Light Co</w:t>
      </w:r>
      <w:r w:rsidR="00F02A93">
        <w:t>., Case No. 78-92-EL-AIR, Opinion &amp; Order (Mar</w:t>
      </w:r>
      <w:r w:rsidR="00A35614">
        <w:t>ch</w:t>
      </w:r>
      <w:r w:rsidR="00F02A93">
        <w:t xml:space="preserve"> 9, 1979) (“It is not the function of this Commission to guarantee a particular rate of return to an applicant utility but merely to afford the company an opportunity to earn a fair rate of return.”) (</w:t>
      </w:r>
      <w:r w:rsidR="00B34969">
        <w:t>quoting</w:t>
      </w:r>
      <w:r w:rsidR="00F02A93">
        <w:t xml:space="preserve"> Case No. 76-704-GA-CMR (June 29, 1977))</w:t>
      </w:r>
      <w:r w:rsidR="0082488C">
        <w:rPr>
          <w:color w:val="000000"/>
        </w:rPr>
        <w:t xml:space="preserve">. </w:t>
      </w:r>
      <w:r w:rsidRPr="0082488C" w:rsidR="0082488C">
        <w:rPr>
          <w:i/>
          <w:iCs/>
          <w:color w:val="000000"/>
        </w:rPr>
        <w:t>See</w:t>
      </w:r>
      <w:r w:rsidR="00F02A93">
        <w:rPr>
          <w:i/>
          <w:iCs/>
          <w:color w:val="000000"/>
        </w:rPr>
        <w:t xml:space="preserve"> also</w:t>
      </w:r>
      <w:r w:rsidR="0082488C">
        <w:rPr>
          <w:color w:val="000000"/>
        </w:rPr>
        <w:t>, OCC Ex. 1.0 (</w:t>
      </w:r>
      <w:r>
        <w:t>Duann Testimony</w:t>
      </w:r>
      <w:r w:rsidR="0082488C">
        <w:t>)</w:t>
      </w:r>
      <w:r>
        <w:t xml:space="preserve"> at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11D04D8"/>
    <w:multiLevelType w:val="hybridMultilevel"/>
    <w:tmpl w:val="1A767ACE"/>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224079D"/>
    <w:multiLevelType w:val="hybridMultilevel"/>
    <w:tmpl w:val="E58A857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8F3373F"/>
    <w:multiLevelType w:val="hybridMultilevel"/>
    <w:tmpl w:val="B17EC76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9CB0FD4"/>
    <w:multiLevelType w:val="hybridMultilevel"/>
    <w:tmpl w:val="6040F3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C306626"/>
    <w:multiLevelType w:val="hybridMultilevel"/>
    <w:tmpl w:val="7B62DC0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EAC4883"/>
    <w:multiLevelType w:val="hybridMultilevel"/>
    <w:tmpl w:val="71867C2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D8971FA"/>
    <w:multiLevelType w:val="hybridMultilevel"/>
    <w:tmpl w:val="E006CF86"/>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EC81354"/>
    <w:multiLevelType w:val="hybridMultilevel"/>
    <w:tmpl w:val="6B22636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6BEE4CE2"/>
    <w:multiLevelType w:val="hybridMultilevel"/>
    <w:tmpl w:val="2FF2DFF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3F12727"/>
    <w:multiLevelType w:val="hybridMultilevel"/>
    <w:tmpl w:val="5F4A28F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1B5FAF"/>
    <w:multiLevelType w:val="hybridMultilevel"/>
    <w:tmpl w:val="7AFEF1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54B0E0C"/>
    <w:multiLevelType w:val="hybridMultilevel"/>
    <w:tmpl w:val="6E148B9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7FF0662F"/>
    <w:multiLevelType w:val="hybridMultilevel"/>
    <w:tmpl w:val="8F64925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9"/>
  </w:num>
  <w:num w:numId="3">
    <w:abstractNumId w:val="12"/>
  </w:num>
  <w:num w:numId="4">
    <w:abstractNumId w:val="11"/>
  </w:num>
  <w:num w:numId="5">
    <w:abstractNumId w:val="0"/>
  </w:num>
  <w:num w:numId="6">
    <w:abstractNumId w:val="17"/>
  </w:num>
  <w:num w:numId="7">
    <w:abstractNumId w:val="14"/>
  </w:num>
  <w:num w:numId="8">
    <w:abstractNumId w:val="16"/>
  </w:num>
  <w:num w:numId="9">
    <w:abstractNumId w:val="2"/>
  </w:num>
  <w:num w:numId="10">
    <w:abstractNumId w:val="18"/>
  </w:num>
  <w:num w:numId="11">
    <w:abstractNumId w:val="4"/>
  </w:num>
  <w:num w:numId="12">
    <w:abstractNumId w:val="3"/>
  </w:num>
  <w:num w:numId="13">
    <w:abstractNumId w:val="15"/>
  </w:num>
  <w:num w:numId="14">
    <w:abstractNumId w:val="13"/>
  </w:num>
  <w:num w:numId="15">
    <w:abstractNumId w:val="7"/>
  </w:num>
  <w:num w:numId="16">
    <w:abstractNumId w:val="8"/>
  </w:num>
  <w:num w:numId="17">
    <w:abstractNumId w:val="5"/>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58"/>
    <w:rsid w:val="00002C60"/>
    <w:rsid w:val="00007DDB"/>
    <w:rsid w:val="00020E0B"/>
    <w:rsid w:val="00030E6F"/>
    <w:rsid w:val="00056B63"/>
    <w:rsid w:val="00077662"/>
    <w:rsid w:val="000830FB"/>
    <w:rsid w:val="000914AB"/>
    <w:rsid w:val="000A0A83"/>
    <w:rsid w:val="000C766E"/>
    <w:rsid w:val="000D1D58"/>
    <w:rsid w:val="000D7EDF"/>
    <w:rsid w:val="000E73E2"/>
    <w:rsid w:val="00113D54"/>
    <w:rsid w:val="0011517F"/>
    <w:rsid w:val="00131313"/>
    <w:rsid w:val="001572D1"/>
    <w:rsid w:val="001573CC"/>
    <w:rsid w:val="0016164D"/>
    <w:rsid w:val="00163EEB"/>
    <w:rsid w:val="00165AF9"/>
    <w:rsid w:val="00171048"/>
    <w:rsid w:val="00171E93"/>
    <w:rsid w:val="00177519"/>
    <w:rsid w:val="00182CC4"/>
    <w:rsid w:val="00186B4F"/>
    <w:rsid w:val="001A3446"/>
    <w:rsid w:val="001A51D4"/>
    <w:rsid w:val="001A5325"/>
    <w:rsid w:val="001B2E6B"/>
    <w:rsid w:val="001C3193"/>
    <w:rsid w:val="001C5BFB"/>
    <w:rsid w:val="001C6961"/>
    <w:rsid w:val="001D1E49"/>
    <w:rsid w:val="001F4809"/>
    <w:rsid w:val="001F66DD"/>
    <w:rsid w:val="0020720A"/>
    <w:rsid w:val="002103FD"/>
    <w:rsid w:val="00222CAF"/>
    <w:rsid w:val="00232029"/>
    <w:rsid w:val="002706C9"/>
    <w:rsid w:val="00274033"/>
    <w:rsid w:val="0027600C"/>
    <w:rsid w:val="00282B56"/>
    <w:rsid w:val="002A57B6"/>
    <w:rsid w:val="002E252A"/>
    <w:rsid w:val="002F4BA7"/>
    <w:rsid w:val="0030568E"/>
    <w:rsid w:val="003060D0"/>
    <w:rsid w:val="0031242C"/>
    <w:rsid w:val="00313201"/>
    <w:rsid w:val="00335D44"/>
    <w:rsid w:val="00340405"/>
    <w:rsid w:val="003439E8"/>
    <w:rsid w:val="003513EB"/>
    <w:rsid w:val="00387674"/>
    <w:rsid w:val="003C08DE"/>
    <w:rsid w:val="003F4042"/>
    <w:rsid w:val="00404731"/>
    <w:rsid w:val="0041019C"/>
    <w:rsid w:val="00415210"/>
    <w:rsid w:val="0043192F"/>
    <w:rsid w:val="00434043"/>
    <w:rsid w:val="0044647A"/>
    <w:rsid w:val="00457A68"/>
    <w:rsid w:val="00460D90"/>
    <w:rsid w:val="0047335E"/>
    <w:rsid w:val="0047354D"/>
    <w:rsid w:val="00482C43"/>
    <w:rsid w:val="0048490D"/>
    <w:rsid w:val="00486336"/>
    <w:rsid w:val="00493097"/>
    <w:rsid w:val="004A60E4"/>
    <w:rsid w:val="004C19D3"/>
    <w:rsid w:val="004C3EBD"/>
    <w:rsid w:val="004C47CF"/>
    <w:rsid w:val="004C682A"/>
    <w:rsid w:val="004D24AD"/>
    <w:rsid w:val="00514389"/>
    <w:rsid w:val="0052391D"/>
    <w:rsid w:val="00523FA0"/>
    <w:rsid w:val="00530AD0"/>
    <w:rsid w:val="00543D28"/>
    <w:rsid w:val="00543FB0"/>
    <w:rsid w:val="0055299A"/>
    <w:rsid w:val="005673E0"/>
    <w:rsid w:val="005705A1"/>
    <w:rsid w:val="00572055"/>
    <w:rsid w:val="00584B15"/>
    <w:rsid w:val="00592142"/>
    <w:rsid w:val="005966EF"/>
    <w:rsid w:val="005A4A50"/>
    <w:rsid w:val="005B033C"/>
    <w:rsid w:val="005B67E8"/>
    <w:rsid w:val="005B698B"/>
    <w:rsid w:val="005D3A4E"/>
    <w:rsid w:val="005D4EA5"/>
    <w:rsid w:val="005F0BF2"/>
    <w:rsid w:val="00616A60"/>
    <w:rsid w:val="00622D94"/>
    <w:rsid w:val="0064238F"/>
    <w:rsid w:val="006521A3"/>
    <w:rsid w:val="00653EFA"/>
    <w:rsid w:val="00654E5D"/>
    <w:rsid w:val="006952F8"/>
    <w:rsid w:val="006A1731"/>
    <w:rsid w:val="006A31F2"/>
    <w:rsid w:val="006B4C9F"/>
    <w:rsid w:val="006B63DF"/>
    <w:rsid w:val="006B7B05"/>
    <w:rsid w:val="006D726E"/>
    <w:rsid w:val="006E53F3"/>
    <w:rsid w:val="006F23BC"/>
    <w:rsid w:val="0071605A"/>
    <w:rsid w:val="00733442"/>
    <w:rsid w:val="00737871"/>
    <w:rsid w:val="007523AC"/>
    <w:rsid w:val="00761D6D"/>
    <w:rsid w:val="00773157"/>
    <w:rsid w:val="0079244C"/>
    <w:rsid w:val="0079555F"/>
    <w:rsid w:val="007A3C04"/>
    <w:rsid w:val="007B35D7"/>
    <w:rsid w:val="007B72FE"/>
    <w:rsid w:val="007C0801"/>
    <w:rsid w:val="007C0F00"/>
    <w:rsid w:val="007D5580"/>
    <w:rsid w:val="00805B78"/>
    <w:rsid w:val="00815FA1"/>
    <w:rsid w:val="0082488C"/>
    <w:rsid w:val="00824D53"/>
    <w:rsid w:val="00837128"/>
    <w:rsid w:val="008371F9"/>
    <w:rsid w:val="0084358C"/>
    <w:rsid w:val="00846800"/>
    <w:rsid w:val="00855416"/>
    <w:rsid w:val="00862543"/>
    <w:rsid w:val="00862BE5"/>
    <w:rsid w:val="0089046B"/>
    <w:rsid w:val="008916C8"/>
    <w:rsid w:val="008A3891"/>
    <w:rsid w:val="008A53D5"/>
    <w:rsid w:val="008B3E7A"/>
    <w:rsid w:val="008B5AD8"/>
    <w:rsid w:val="008D2F91"/>
    <w:rsid w:val="008D3BFC"/>
    <w:rsid w:val="008F1179"/>
    <w:rsid w:val="008F44F9"/>
    <w:rsid w:val="00902228"/>
    <w:rsid w:val="00904CA6"/>
    <w:rsid w:val="0091075E"/>
    <w:rsid w:val="00934677"/>
    <w:rsid w:val="00947F82"/>
    <w:rsid w:val="009624E5"/>
    <w:rsid w:val="00973651"/>
    <w:rsid w:val="00976C12"/>
    <w:rsid w:val="0098098A"/>
    <w:rsid w:val="0098323E"/>
    <w:rsid w:val="00985BCC"/>
    <w:rsid w:val="009B2C25"/>
    <w:rsid w:val="009C5951"/>
    <w:rsid w:val="009D37EA"/>
    <w:rsid w:val="009E313B"/>
    <w:rsid w:val="009F0ADB"/>
    <w:rsid w:val="009F72AB"/>
    <w:rsid w:val="00A04388"/>
    <w:rsid w:val="00A044B5"/>
    <w:rsid w:val="00A27DA8"/>
    <w:rsid w:val="00A35614"/>
    <w:rsid w:val="00A36B32"/>
    <w:rsid w:val="00A45086"/>
    <w:rsid w:val="00A5774E"/>
    <w:rsid w:val="00A907DF"/>
    <w:rsid w:val="00A93456"/>
    <w:rsid w:val="00A965A3"/>
    <w:rsid w:val="00A96C12"/>
    <w:rsid w:val="00A96F6A"/>
    <w:rsid w:val="00AA063A"/>
    <w:rsid w:val="00AA0799"/>
    <w:rsid w:val="00AC0E6A"/>
    <w:rsid w:val="00AC3771"/>
    <w:rsid w:val="00AD30C2"/>
    <w:rsid w:val="00AD40E1"/>
    <w:rsid w:val="00AE151D"/>
    <w:rsid w:val="00B0334A"/>
    <w:rsid w:val="00B067EA"/>
    <w:rsid w:val="00B12B8F"/>
    <w:rsid w:val="00B21758"/>
    <w:rsid w:val="00B23790"/>
    <w:rsid w:val="00B269E8"/>
    <w:rsid w:val="00B34969"/>
    <w:rsid w:val="00B41F85"/>
    <w:rsid w:val="00B47115"/>
    <w:rsid w:val="00B61087"/>
    <w:rsid w:val="00B81E54"/>
    <w:rsid w:val="00B943E5"/>
    <w:rsid w:val="00BA65DA"/>
    <w:rsid w:val="00BB5B89"/>
    <w:rsid w:val="00BD7BCE"/>
    <w:rsid w:val="00BD7F7B"/>
    <w:rsid w:val="00BF3CC9"/>
    <w:rsid w:val="00C1151D"/>
    <w:rsid w:val="00C1272D"/>
    <w:rsid w:val="00C25AEB"/>
    <w:rsid w:val="00C74E53"/>
    <w:rsid w:val="00C8028B"/>
    <w:rsid w:val="00C9050C"/>
    <w:rsid w:val="00C92D1E"/>
    <w:rsid w:val="00C930B0"/>
    <w:rsid w:val="00C93B14"/>
    <w:rsid w:val="00CB76F9"/>
    <w:rsid w:val="00CD372A"/>
    <w:rsid w:val="00CE1566"/>
    <w:rsid w:val="00D026EC"/>
    <w:rsid w:val="00D042EE"/>
    <w:rsid w:val="00D24446"/>
    <w:rsid w:val="00D53BD0"/>
    <w:rsid w:val="00D54BCE"/>
    <w:rsid w:val="00D56145"/>
    <w:rsid w:val="00D60A0A"/>
    <w:rsid w:val="00D628A8"/>
    <w:rsid w:val="00D74797"/>
    <w:rsid w:val="00D74FF1"/>
    <w:rsid w:val="00D9752F"/>
    <w:rsid w:val="00D97B1C"/>
    <w:rsid w:val="00DA368D"/>
    <w:rsid w:val="00DA5859"/>
    <w:rsid w:val="00DA7A96"/>
    <w:rsid w:val="00DB0196"/>
    <w:rsid w:val="00DB2831"/>
    <w:rsid w:val="00DD0C02"/>
    <w:rsid w:val="00DD5E85"/>
    <w:rsid w:val="00DE0FD7"/>
    <w:rsid w:val="00DE1F0E"/>
    <w:rsid w:val="00E05AB8"/>
    <w:rsid w:val="00E06134"/>
    <w:rsid w:val="00E10C89"/>
    <w:rsid w:val="00E3296C"/>
    <w:rsid w:val="00E5502E"/>
    <w:rsid w:val="00E567EE"/>
    <w:rsid w:val="00E71D00"/>
    <w:rsid w:val="00E94266"/>
    <w:rsid w:val="00EA1FC7"/>
    <w:rsid w:val="00EB1CE1"/>
    <w:rsid w:val="00EF1FEC"/>
    <w:rsid w:val="00EF5FDB"/>
    <w:rsid w:val="00EF74EA"/>
    <w:rsid w:val="00F00274"/>
    <w:rsid w:val="00F02990"/>
    <w:rsid w:val="00F02A93"/>
    <w:rsid w:val="00F146F2"/>
    <w:rsid w:val="00F14EA5"/>
    <w:rsid w:val="00F16A10"/>
    <w:rsid w:val="00F21B7D"/>
    <w:rsid w:val="00F312B7"/>
    <w:rsid w:val="00F37A27"/>
    <w:rsid w:val="00F41C8D"/>
    <w:rsid w:val="00F45119"/>
    <w:rsid w:val="00F577D8"/>
    <w:rsid w:val="00F64C84"/>
    <w:rsid w:val="00F71114"/>
    <w:rsid w:val="00F773A5"/>
    <w:rsid w:val="00F775BD"/>
    <w:rsid w:val="00F805D9"/>
    <w:rsid w:val="00F87EAC"/>
    <w:rsid w:val="00FB0059"/>
    <w:rsid w:val="00FC37A4"/>
    <w:rsid w:val="00FD0572"/>
    <w:rsid w:val="00FD55F5"/>
    <w:rsid w:val="00FD5660"/>
    <w:rsid w:val="00FE7DAE"/>
    <w:rsid w:val="00FE7F0A"/>
    <w:rsid w:val="00FF760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96"/>
    <w:rPr>
      <w:sz w:val="24"/>
    </w:rPr>
  </w:style>
  <w:style w:type="paragraph" w:styleId="Heading1">
    <w:name w:val="heading 1"/>
    <w:basedOn w:val="Normal"/>
    <w:next w:val="Normal"/>
    <w:link w:val="Heading1Char"/>
    <w:qFormat/>
    <w:rsid w:val="000A0A83"/>
    <w:pPr>
      <w:keepNext/>
      <w:spacing w:after="240"/>
      <w:ind w:left="720" w:hanging="720"/>
      <w:outlineLvl w:val="0"/>
    </w:pPr>
    <w:rPr>
      <w:b/>
      <w:szCs w:val="24"/>
    </w:rPr>
  </w:style>
  <w:style w:type="paragraph" w:styleId="Heading2">
    <w:name w:val="heading 2"/>
    <w:basedOn w:val="Normal"/>
    <w:next w:val="Normal"/>
    <w:qFormat/>
    <w:rsid w:val="000A0A83"/>
    <w:pPr>
      <w:keepNext/>
      <w:tabs>
        <w:tab w:val="left" w:pos="4320"/>
      </w:tabs>
      <w:spacing w:after="240"/>
      <w:ind w:left="1440" w:hanging="720"/>
      <w:outlineLvl w:val="1"/>
    </w:pPr>
    <w:rPr>
      <w:b/>
    </w:rPr>
  </w:style>
  <w:style w:type="paragraph" w:styleId="Heading3">
    <w:name w:val="heading 3"/>
    <w:basedOn w:val="Normal"/>
    <w:next w:val="Normal"/>
    <w:qFormat/>
    <w:rsid w:val="000A0A83"/>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UnresolvedMention2">
    <w:name w:val="Unresolved Mention2"/>
    <w:basedOn w:val="DefaultParagraphFont"/>
    <w:rsid w:val="005A4A50"/>
    <w:rPr>
      <w:color w:val="605E5C"/>
      <w:shd w:val="clear" w:color="auto" w:fill="E1DFDD"/>
    </w:rPr>
  </w:style>
  <w:style w:type="character" w:customStyle="1" w:styleId="Heading1Char">
    <w:name w:val="Heading 1 Char"/>
    <w:basedOn w:val="DefaultParagraphFont"/>
    <w:link w:val="Heading1"/>
    <w:rsid w:val="000A0A83"/>
    <w:rPr>
      <w:b/>
      <w:sz w:val="24"/>
      <w:szCs w:val="24"/>
    </w:rPr>
  </w:style>
  <w:style w:type="character" w:customStyle="1" w:styleId="BodyTextIndent3Char">
    <w:name w:val="Body Text Indent 3 Char"/>
    <w:basedOn w:val="DefaultParagraphFont"/>
    <w:link w:val="BodyTextIndent3"/>
    <w:rsid w:val="00020E0B"/>
    <w:rPr>
      <w:sz w:val="24"/>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B61087"/>
  </w:style>
  <w:style w:type="character" w:customStyle="1" w:styleId="UnresolvedMention3">
    <w:name w:val="Unresolved Mention3"/>
    <w:basedOn w:val="DefaultParagraphFont"/>
    <w:rsid w:val="007D5580"/>
    <w:rPr>
      <w:color w:val="605E5C"/>
      <w:shd w:val="clear" w:color="auto" w:fill="E1DFDD"/>
    </w:rPr>
  </w:style>
  <w:style w:type="character" w:customStyle="1" w:styleId="CommentTextChar">
    <w:name w:val="Comment Text Char"/>
    <w:basedOn w:val="DefaultParagraphFont"/>
    <w:link w:val="CommentText"/>
    <w:uiPriority w:val="99"/>
    <w:semiHidden/>
    <w:rsid w:val="00313201"/>
    <w:rPr>
      <w:sz w:val="24"/>
      <w:szCs w:val="24"/>
    </w:rPr>
  </w:style>
  <w:style w:type="paragraph" w:styleId="ListParagraph">
    <w:name w:val="List Paragraph"/>
    <w:basedOn w:val="Normal"/>
    <w:uiPriority w:val="34"/>
    <w:qFormat/>
    <w:rsid w:val="00313201"/>
    <w:pPr>
      <w:ind w:left="720"/>
      <w:contextualSpacing/>
    </w:pPr>
  </w:style>
  <w:style w:type="character" w:customStyle="1" w:styleId="CommentSubjectChar">
    <w:name w:val="Comment Subject Char"/>
    <w:basedOn w:val="CommentTextChar"/>
    <w:link w:val="CommentSubject"/>
    <w:semiHidden/>
    <w:rsid w:val="006B4C9F"/>
    <w:rPr>
      <w:sz w:val="24"/>
      <w:szCs w:val="24"/>
    </w:rPr>
  </w:style>
  <w:style w:type="character" w:customStyle="1" w:styleId="HTMLPreformattedChar">
    <w:name w:val="HTML Preformatted Char"/>
    <w:basedOn w:val="DefaultParagraphFont"/>
    <w:link w:val="HTMLPreformatted"/>
    <w:rsid w:val="00DA7A96"/>
    <w:rPr>
      <w:rFonts w:ascii="Courier New" w:eastAsia="Courier New" w:hAnsi="Courier New" w:cs="Courier New"/>
    </w:rPr>
  </w:style>
  <w:style w:type="paragraph" w:styleId="TOC1">
    <w:name w:val="toc 1"/>
    <w:basedOn w:val="Normal"/>
    <w:next w:val="Normal"/>
    <w:autoRedefine/>
    <w:uiPriority w:val="39"/>
    <w:rsid w:val="00A35614"/>
    <w:pPr>
      <w:tabs>
        <w:tab w:val="decimal" w:leader="dot" w:pos="8640"/>
      </w:tabs>
      <w:spacing w:after="240"/>
      <w:ind w:left="720" w:hanging="720"/>
    </w:pPr>
  </w:style>
  <w:style w:type="paragraph" w:styleId="TOC2">
    <w:name w:val="toc 2"/>
    <w:basedOn w:val="Normal"/>
    <w:next w:val="Normal"/>
    <w:autoRedefine/>
    <w:uiPriority w:val="39"/>
    <w:rsid w:val="00A35614"/>
    <w:pPr>
      <w:tabs>
        <w:tab w:val="decimal" w:leader="dot" w:pos="8640"/>
      </w:tabs>
      <w:spacing w:after="240"/>
      <w:ind w:left="1440" w:hanging="720"/>
    </w:pPr>
  </w:style>
  <w:style w:type="paragraph" w:styleId="TOC3">
    <w:name w:val="toc 3"/>
    <w:basedOn w:val="Normal"/>
    <w:next w:val="Normal"/>
    <w:autoRedefine/>
    <w:uiPriority w:val="39"/>
    <w:rsid w:val="00A35614"/>
    <w:pPr>
      <w:tabs>
        <w:tab w:val="decimal" w:leader="dot" w:pos="864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arah.feldkamp@ohioAGO.gov" TargetMode="External" /><Relationship Id="rId11" Type="http://schemas.openxmlformats.org/officeDocument/2006/relationships/hyperlink" Target="mailto:Jodi.bair@ohioAGO.gov" TargetMode="External" /><Relationship Id="rId12" Type="http://schemas.openxmlformats.org/officeDocument/2006/relationships/hyperlink" Target="mailto:Greta.see@puco.ohio.gov" TargetMode="External" /><Relationship Id="rId13" Type="http://schemas.openxmlformats.org/officeDocument/2006/relationships/hyperlink" Target="mailto:whitt@whitt-sturtevant.com" TargetMode="External" /><Relationship Id="rId14" Type="http://schemas.openxmlformats.org/officeDocument/2006/relationships/hyperlink" Target="mailto:kennedy@whitt-sturtevant.com" TargetMode="External" /><Relationship Id="rId15" Type="http://schemas.openxmlformats.org/officeDocument/2006/relationships/hyperlink" Target="mailto:fykes@whitt-sturtevant.com" TargetMode="External" /><Relationship Id="rId16" Type="http://schemas.openxmlformats.org/officeDocument/2006/relationships/hyperlink" Target="mailto:andrew.j.campbell@dominionenergy.com"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8070-6990-4A15-A6C0-7013D20E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2022-04-20T20:30:15Z</dcterms:created>
  <dcterms:modified xsi:type="dcterms:W3CDTF">2022-04-20T20:30:15Z</dcterms:modified>
</cp:coreProperties>
</file>