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89"/>
        <w:gridCol w:w="289"/>
        <w:gridCol w:w="4482"/>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E24E7">
              <w:rPr>
                <w:rFonts w:ascii="Times New Roman" w:hAnsi="Times New Roman"/>
                <w:sz w:val="26"/>
                <w:szCs w:val="26"/>
              </w:rPr>
              <w:t xml:space="preserve"> the Application of Duke Energy Ohio, Inc., to Adjust Rider DR-IM and Rider AU for 2013 SmartGrid Costs.</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550B6C" w:rsidRPr="00221496" w:rsidRDefault="00550B6C"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AA3B30" w:rsidRDefault="00AA3B30"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FE24E7">
              <w:rPr>
                <w:rFonts w:ascii="Times New Roman" w:hAnsi="Times New Roman"/>
                <w:sz w:val="26"/>
                <w:szCs w:val="26"/>
              </w:rPr>
              <w:t>14-1051-GE-RDR</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663D6A" w:rsidRPr="0094413A" w:rsidRDefault="00663D6A" w:rsidP="0094413A">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94413A">
        <w:rPr>
          <w:sz w:val="28"/>
          <w:szCs w:val="28"/>
        </w:rPr>
        <w:t>SUBMITTED ON BEHALF OF THE STAFF OF</w:t>
      </w:r>
      <w:bookmarkEnd w:id="0"/>
      <w:bookmarkEnd w:id="1"/>
      <w:bookmarkEnd w:id="2"/>
      <w:bookmarkEnd w:id="3"/>
      <w:bookmarkEnd w:id="4"/>
      <w:bookmarkEnd w:id="5"/>
      <w:bookmarkEnd w:id="6"/>
    </w:p>
    <w:p w:rsidR="00663D6A" w:rsidRPr="0094413A" w:rsidRDefault="00663D6A" w:rsidP="0094413A">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94413A">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lastRenderedPageBreak/>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b/>
          <w:sz w:val="26"/>
          <w:szCs w:val="26"/>
        </w:rPr>
        <w:tab/>
      </w:r>
      <w:r w:rsidR="0094413A">
        <w:rPr>
          <w:rFonts w:ascii="Times New Roman" w:hAnsi="Times New Roman"/>
          <w:b/>
          <w:sz w:val="26"/>
          <w:szCs w:val="26"/>
        </w:rPr>
        <w:t>Katie L. Johnson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0094413A" w:rsidRPr="00CF0FEC">
          <w:rPr>
            <w:rStyle w:val="Hyperlink"/>
            <w:rFonts w:ascii="Times New Roman" w:hAnsi="Times New Roman"/>
            <w:sz w:val="26"/>
            <w:szCs w:val="26"/>
          </w:rPr>
          <w:t>katie.johnson@puc.state.oh.us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94413A" w:rsidRDefault="0094413A" w:rsidP="00663D6A">
      <w:pPr>
        <w:pStyle w:val="Title"/>
        <w:tabs>
          <w:tab w:val="left" w:pos="5130"/>
          <w:tab w:val="left" w:pos="5670"/>
        </w:tabs>
        <w:jc w:val="left"/>
        <w:rPr>
          <w:rFonts w:ascii="Times New Roman" w:hAnsi="Times New Roman"/>
          <w:sz w:val="26"/>
          <w:szCs w:val="26"/>
        </w:rPr>
      </w:pPr>
    </w:p>
    <w:p w:rsidR="0094413A" w:rsidRPr="002D54AC" w:rsidRDefault="0094413A" w:rsidP="00663D6A">
      <w:pPr>
        <w:pStyle w:val="Title"/>
        <w:tabs>
          <w:tab w:val="left" w:pos="5130"/>
          <w:tab w:val="left" w:pos="5670"/>
        </w:tabs>
        <w:jc w:val="left"/>
        <w:rPr>
          <w:rFonts w:ascii="Times New Roman" w:hAnsi="Times New Roman"/>
          <w:sz w:val="26"/>
          <w:szCs w:val="26"/>
        </w:rPr>
      </w:pPr>
    </w:p>
    <w:p w:rsidR="00663D6A" w:rsidRPr="002D54AC" w:rsidRDefault="0094413A" w:rsidP="004B6358">
      <w:pPr>
        <w:pStyle w:val="PlainText"/>
        <w:rPr>
          <w:rFonts w:ascii="Times New Roman" w:hAnsi="Times New Roman"/>
          <w:sz w:val="26"/>
          <w:szCs w:val="26"/>
        </w:rPr>
      </w:pPr>
      <w:r>
        <w:rPr>
          <w:rFonts w:ascii="Times New Roman" w:hAnsi="Times New Roman"/>
          <w:sz w:val="26"/>
          <w:szCs w:val="26"/>
        </w:rPr>
        <w:t>March 9, 2015</w:t>
      </w:r>
    </w:p>
    <w:p w:rsidR="003B12DD" w:rsidRDefault="003B12DD" w:rsidP="00663D6A">
      <w:pPr>
        <w:jc w:val="center"/>
        <w:rPr>
          <w:b/>
          <w:sz w:val="26"/>
          <w:szCs w:val="26"/>
        </w:rPr>
        <w:sectPr w:rsidR="003B12DD"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p>
    <w:p w:rsidR="00550B6C" w:rsidRDefault="00632C54">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Pr>
          <w:b/>
          <w:i/>
          <w:sz w:val="28"/>
          <w:szCs w:val="28"/>
          <w:u w:val="single"/>
        </w:rPr>
        <w:instrText xml:space="preserve"> TOC \o "1-4" \u </w:instrText>
      </w:r>
      <w:r>
        <w:rPr>
          <w:b/>
          <w:i/>
          <w:sz w:val="28"/>
          <w:szCs w:val="28"/>
          <w:u w:val="single"/>
        </w:rPr>
        <w:fldChar w:fldCharType="separate"/>
      </w:r>
      <w:r w:rsidR="00550B6C">
        <w:rPr>
          <w:noProof/>
        </w:rPr>
        <w:t>INTRODUCTION</w:t>
      </w:r>
      <w:r w:rsidR="00550B6C">
        <w:rPr>
          <w:noProof/>
        </w:rPr>
        <w:tab/>
      </w:r>
      <w:r w:rsidR="00550B6C">
        <w:rPr>
          <w:noProof/>
        </w:rPr>
        <w:fldChar w:fldCharType="begin"/>
      </w:r>
      <w:r w:rsidR="00550B6C">
        <w:rPr>
          <w:noProof/>
        </w:rPr>
        <w:instrText xml:space="preserve"> PAGEREF _Toc413660665 \h </w:instrText>
      </w:r>
      <w:r w:rsidR="00550B6C">
        <w:rPr>
          <w:noProof/>
        </w:rPr>
      </w:r>
      <w:r w:rsidR="00550B6C">
        <w:rPr>
          <w:noProof/>
        </w:rPr>
        <w:fldChar w:fldCharType="separate"/>
      </w:r>
      <w:r w:rsidR="009E6255">
        <w:rPr>
          <w:noProof/>
        </w:rPr>
        <w:t>1</w:t>
      </w:r>
      <w:r w:rsidR="00550B6C">
        <w:rPr>
          <w:noProof/>
        </w:rPr>
        <w:fldChar w:fldCharType="end"/>
      </w:r>
    </w:p>
    <w:p w:rsidR="00550B6C" w:rsidRDefault="00550B6C">
      <w:pPr>
        <w:pStyle w:val="TOC1"/>
        <w:rPr>
          <w:rFonts w:asciiTheme="minorHAnsi" w:eastAsiaTheme="minorEastAsia" w:hAnsiTheme="minorHAnsi" w:cstheme="minorBidi"/>
          <w:noProof/>
          <w:sz w:val="22"/>
          <w:szCs w:val="22"/>
        </w:rPr>
      </w:pPr>
      <w:r>
        <w:rPr>
          <w:noProof/>
        </w:rPr>
        <w:t>ARGUMENT</w:t>
      </w:r>
      <w:r>
        <w:rPr>
          <w:noProof/>
        </w:rPr>
        <w:tab/>
      </w:r>
      <w:r>
        <w:rPr>
          <w:noProof/>
        </w:rPr>
        <w:fldChar w:fldCharType="begin"/>
      </w:r>
      <w:r>
        <w:rPr>
          <w:noProof/>
        </w:rPr>
        <w:instrText xml:space="preserve"> PAGEREF _Toc413660666 \h </w:instrText>
      </w:r>
      <w:r>
        <w:rPr>
          <w:noProof/>
        </w:rPr>
      </w:r>
      <w:r>
        <w:rPr>
          <w:noProof/>
        </w:rPr>
        <w:fldChar w:fldCharType="separate"/>
      </w:r>
      <w:r w:rsidR="009E6255">
        <w:rPr>
          <w:noProof/>
        </w:rPr>
        <w:t>2</w:t>
      </w:r>
      <w:r>
        <w:rPr>
          <w:noProof/>
        </w:rPr>
        <w:fldChar w:fldCharType="end"/>
      </w:r>
    </w:p>
    <w:p w:rsidR="00550B6C" w:rsidRDefault="00550B6C">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Gas Module Cost Recovery</w:t>
      </w:r>
      <w:r>
        <w:rPr>
          <w:noProof/>
        </w:rPr>
        <w:tab/>
      </w:r>
      <w:r>
        <w:rPr>
          <w:noProof/>
        </w:rPr>
        <w:fldChar w:fldCharType="begin"/>
      </w:r>
      <w:r>
        <w:rPr>
          <w:noProof/>
        </w:rPr>
        <w:instrText xml:space="preserve"> PAGEREF _Toc413660667 \h </w:instrText>
      </w:r>
      <w:r>
        <w:rPr>
          <w:noProof/>
        </w:rPr>
      </w:r>
      <w:r>
        <w:rPr>
          <w:noProof/>
        </w:rPr>
        <w:fldChar w:fldCharType="separate"/>
      </w:r>
      <w:r w:rsidR="009E6255">
        <w:rPr>
          <w:noProof/>
        </w:rPr>
        <w:t>2</w:t>
      </w:r>
      <w:r>
        <w:rPr>
          <w:noProof/>
        </w:rPr>
        <w:fldChar w:fldCharType="end"/>
      </w:r>
    </w:p>
    <w:p w:rsidR="00550B6C" w:rsidRDefault="00550B6C">
      <w:pPr>
        <w:pStyle w:val="TOC2"/>
        <w:tabs>
          <w:tab w:val="left" w:pos="14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Relocation Expense Recovery</w:t>
      </w:r>
      <w:r>
        <w:rPr>
          <w:noProof/>
        </w:rPr>
        <w:tab/>
      </w:r>
      <w:r>
        <w:rPr>
          <w:noProof/>
        </w:rPr>
        <w:fldChar w:fldCharType="begin"/>
      </w:r>
      <w:r>
        <w:rPr>
          <w:noProof/>
        </w:rPr>
        <w:instrText xml:space="preserve"> PAGEREF _Toc413660668 \h </w:instrText>
      </w:r>
      <w:r>
        <w:rPr>
          <w:noProof/>
        </w:rPr>
      </w:r>
      <w:r>
        <w:rPr>
          <w:noProof/>
        </w:rPr>
        <w:fldChar w:fldCharType="separate"/>
      </w:r>
      <w:r w:rsidR="009E6255">
        <w:rPr>
          <w:noProof/>
        </w:rPr>
        <w:t>4</w:t>
      </w:r>
      <w:r>
        <w:rPr>
          <w:noProof/>
        </w:rPr>
        <w:fldChar w:fldCharType="end"/>
      </w:r>
    </w:p>
    <w:p w:rsidR="00550B6C" w:rsidRDefault="00550B6C">
      <w:pPr>
        <w:pStyle w:val="TOC2"/>
        <w:tabs>
          <w:tab w:val="left" w:pos="14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Self-healing Team Performance</w:t>
      </w:r>
      <w:r>
        <w:rPr>
          <w:noProof/>
        </w:rPr>
        <w:tab/>
      </w:r>
      <w:r>
        <w:rPr>
          <w:noProof/>
        </w:rPr>
        <w:fldChar w:fldCharType="begin"/>
      </w:r>
      <w:r>
        <w:rPr>
          <w:noProof/>
        </w:rPr>
        <w:instrText xml:space="preserve"> PAGEREF _Toc413660669 \h </w:instrText>
      </w:r>
      <w:r>
        <w:rPr>
          <w:noProof/>
        </w:rPr>
      </w:r>
      <w:r>
        <w:rPr>
          <w:noProof/>
        </w:rPr>
        <w:fldChar w:fldCharType="separate"/>
      </w:r>
      <w:r w:rsidR="009E6255">
        <w:rPr>
          <w:noProof/>
        </w:rPr>
        <w:t>5</w:t>
      </w:r>
      <w:r>
        <w:rPr>
          <w:noProof/>
        </w:rPr>
        <w:fldChar w:fldCharType="end"/>
      </w:r>
    </w:p>
    <w:p w:rsidR="00550B6C" w:rsidRDefault="00550B6C">
      <w:pPr>
        <w:pStyle w:val="TOC2"/>
        <w:tabs>
          <w:tab w:val="left" w:pos="144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Commercial Activities Tax Recovery</w:t>
      </w:r>
      <w:r>
        <w:rPr>
          <w:noProof/>
        </w:rPr>
        <w:tab/>
      </w:r>
      <w:r>
        <w:rPr>
          <w:noProof/>
        </w:rPr>
        <w:fldChar w:fldCharType="begin"/>
      </w:r>
      <w:r>
        <w:rPr>
          <w:noProof/>
        </w:rPr>
        <w:instrText xml:space="preserve"> PAGEREF _Toc413660670 \h </w:instrText>
      </w:r>
      <w:r>
        <w:rPr>
          <w:noProof/>
        </w:rPr>
      </w:r>
      <w:r>
        <w:rPr>
          <w:noProof/>
        </w:rPr>
        <w:fldChar w:fldCharType="separate"/>
      </w:r>
      <w:r w:rsidR="009E6255">
        <w:rPr>
          <w:noProof/>
        </w:rPr>
        <w:t>6</w:t>
      </w:r>
      <w:r>
        <w:rPr>
          <w:noProof/>
        </w:rPr>
        <w:fldChar w:fldCharType="end"/>
      </w:r>
    </w:p>
    <w:p w:rsidR="00550B6C" w:rsidRDefault="00550B6C">
      <w:pPr>
        <w:pStyle w:val="TOC2"/>
        <w:tabs>
          <w:tab w:val="left" w:pos="144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Recovery of Triple Paid Invoice</w:t>
      </w:r>
      <w:r>
        <w:rPr>
          <w:noProof/>
        </w:rPr>
        <w:tab/>
      </w:r>
      <w:r>
        <w:rPr>
          <w:noProof/>
        </w:rPr>
        <w:fldChar w:fldCharType="begin"/>
      </w:r>
      <w:r>
        <w:rPr>
          <w:noProof/>
        </w:rPr>
        <w:instrText xml:space="preserve"> PAGEREF _Toc413660671 \h </w:instrText>
      </w:r>
      <w:r>
        <w:rPr>
          <w:noProof/>
        </w:rPr>
      </w:r>
      <w:r>
        <w:rPr>
          <w:noProof/>
        </w:rPr>
        <w:fldChar w:fldCharType="separate"/>
      </w:r>
      <w:r w:rsidR="009E6255">
        <w:rPr>
          <w:noProof/>
        </w:rPr>
        <w:t>7</w:t>
      </w:r>
      <w:r>
        <w:rPr>
          <w:noProof/>
        </w:rPr>
        <w:fldChar w:fldCharType="end"/>
      </w:r>
    </w:p>
    <w:p w:rsidR="00550B6C" w:rsidRDefault="00550B6C">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_Toc413660672 \h </w:instrText>
      </w:r>
      <w:r>
        <w:rPr>
          <w:noProof/>
        </w:rPr>
      </w:r>
      <w:r>
        <w:rPr>
          <w:noProof/>
        </w:rPr>
        <w:fldChar w:fldCharType="separate"/>
      </w:r>
      <w:r w:rsidR="009E6255">
        <w:rPr>
          <w:noProof/>
        </w:rPr>
        <w:t>8</w:t>
      </w:r>
      <w:r>
        <w:rPr>
          <w:noProof/>
        </w:rPr>
        <w:fldChar w:fldCharType="end"/>
      </w:r>
    </w:p>
    <w:p w:rsidR="00550B6C" w:rsidRDefault="00550B6C">
      <w:pPr>
        <w:pStyle w:val="TOC1"/>
        <w:rPr>
          <w:rFonts w:asciiTheme="minorHAnsi" w:eastAsiaTheme="minorEastAsia" w:hAnsiTheme="minorHAnsi" w:cstheme="minorBidi"/>
          <w:noProof/>
          <w:sz w:val="22"/>
          <w:szCs w:val="22"/>
        </w:rPr>
      </w:pPr>
      <w:r w:rsidRPr="002D2878">
        <w:rPr>
          <w:noProof/>
        </w:rPr>
        <w:t>PROOF OF SERVICE</w:t>
      </w:r>
      <w:r>
        <w:rPr>
          <w:noProof/>
        </w:rPr>
        <w:tab/>
      </w:r>
      <w:r>
        <w:rPr>
          <w:noProof/>
        </w:rPr>
        <w:fldChar w:fldCharType="begin"/>
      </w:r>
      <w:r>
        <w:rPr>
          <w:noProof/>
        </w:rPr>
        <w:instrText xml:space="preserve"> PAGEREF _Toc413660673 \h </w:instrText>
      </w:r>
      <w:r>
        <w:rPr>
          <w:noProof/>
        </w:rPr>
      </w:r>
      <w:r>
        <w:rPr>
          <w:noProof/>
        </w:rPr>
        <w:fldChar w:fldCharType="separate"/>
      </w:r>
      <w:r w:rsidR="009E6255">
        <w:rPr>
          <w:noProof/>
        </w:rPr>
        <w:t>9</w:t>
      </w:r>
      <w:r>
        <w:rPr>
          <w:noProof/>
        </w:rPr>
        <w:fldChar w:fldCharType="end"/>
      </w:r>
    </w:p>
    <w:p w:rsidR="0064436A" w:rsidRDefault="00632C54" w:rsidP="00CB5644">
      <w:pPr>
        <w:jc w:val="center"/>
        <w:rPr>
          <w:b/>
          <w:sz w:val="26"/>
          <w:szCs w:val="26"/>
        </w:rPr>
        <w:sectPr w:rsidR="0064436A" w:rsidSect="00C95499">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r>
        <w:rPr>
          <w:b/>
          <w:i/>
          <w:sz w:val="28"/>
          <w:szCs w:val="28"/>
          <w:u w:val="single"/>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E10679" w:rsidRDefault="00E10679" w:rsidP="00CB5644">
      <w:pPr>
        <w:jc w:val="center"/>
        <w:rPr>
          <w:b/>
          <w:sz w:val="26"/>
          <w:szCs w:val="26"/>
        </w:rPr>
      </w:pPr>
    </w:p>
    <w:tbl>
      <w:tblPr>
        <w:tblW w:w="0" w:type="auto"/>
        <w:tblLook w:val="01E0" w:firstRow="1" w:lastRow="1" w:firstColumn="1" w:lastColumn="1" w:noHBand="0" w:noVBand="0"/>
      </w:tblPr>
      <w:tblGrid>
        <w:gridCol w:w="4589"/>
        <w:gridCol w:w="289"/>
        <w:gridCol w:w="4482"/>
      </w:tblGrid>
      <w:tr w:rsidR="0094413A" w:rsidTr="002B49FB">
        <w:tc>
          <w:tcPr>
            <w:tcW w:w="4698" w:type="dxa"/>
          </w:tcPr>
          <w:p w:rsidR="0094413A" w:rsidRPr="00221496" w:rsidRDefault="0094413A" w:rsidP="002B49FB">
            <w:pPr>
              <w:pStyle w:val="Title"/>
              <w:tabs>
                <w:tab w:val="left" w:pos="5130"/>
                <w:tab w:val="left" w:pos="5670"/>
              </w:tabs>
              <w:jc w:val="left"/>
              <w:rPr>
                <w:rFonts w:ascii="Times New Roman" w:hAnsi="Times New Roman"/>
                <w:sz w:val="26"/>
                <w:szCs w:val="26"/>
              </w:rPr>
            </w:pPr>
            <w:bookmarkStart w:id="14" w:name="_Toc260212957"/>
            <w:r w:rsidRPr="00221496">
              <w:rPr>
                <w:rFonts w:ascii="Times New Roman" w:hAnsi="Times New Roman"/>
                <w:sz w:val="26"/>
                <w:szCs w:val="26"/>
              </w:rPr>
              <w:t>In the Matter of</w:t>
            </w:r>
            <w:r>
              <w:rPr>
                <w:rFonts w:ascii="Times New Roman" w:hAnsi="Times New Roman"/>
                <w:sz w:val="26"/>
                <w:szCs w:val="26"/>
              </w:rPr>
              <w:t xml:space="preserve"> the Application of Duke Energy Ohio, Inc., to Adjust Rider DR-IM and Rider AU for 2013 SmartGrid Costs.</w:t>
            </w:r>
          </w:p>
        </w:tc>
        <w:tc>
          <w:tcPr>
            <w:tcW w:w="270" w:type="dxa"/>
          </w:tcPr>
          <w:p w:rsidR="0094413A" w:rsidRPr="00221496" w:rsidRDefault="0094413A" w:rsidP="002B49F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94413A" w:rsidRPr="00221496" w:rsidRDefault="0094413A" w:rsidP="002B49F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94413A" w:rsidRDefault="0094413A" w:rsidP="002B49F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550B6C" w:rsidRPr="00221496" w:rsidRDefault="00550B6C" w:rsidP="002B49FB">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AA3B30" w:rsidRDefault="00AA3B30" w:rsidP="002B49FB">
            <w:pPr>
              <w:pStyle w:val="Title"/>
              <w:tabs>
                <w:tab w:val="left" w:pos="1142"/>
                <w:tab w:val="left" w:pos="5130"/>
                <w:tab w:val="left" w:pos="5670"/>
              </w:tabs>
              <w:jc w:val="left"/>
              <w:rPr>
                <w:rFonts w:ascii="Times New Roman" w:hAnsi="Times New Roman"/>
                <w:sz w:val="26"/>
                <w:szCs w:val="26"/>
              </w:rPr>
            </w:pPr>
          </w:p>
          <w:p w:rsidR="0094413A" w:rsidRPr="00221496" w:rsidRDefault="0094413A" w:rsidP="002B49FB">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14-1051-GE-RDR</w:t>
            </w:r>
          </w:p>
        </w:tc>
      </w:tr>
    </w:tbl>
    <w:p w:rsidR="0094413A" w:rsidRPr="002D54AC" w:rsidRDefault="0094413A" w:rsidP="0094413A">
      <w:pPr>
        <w:pStyle w:val="Title"/>
        <w:tabs>
          <w:tab w:val="left" w:pos="5130"/>
          <w:tab w:val="left" w:pos="5670"/>
        </w:tabs>
        <w:rPr>
          <w:rFonts w:ascii="Times New Roman" w:hAnsi="Times New Roman"/>
          <w:sz w:val="26"/>
          <w:szCs w:val="26"/>
        </w:rPr>
      </w:pPr>
    </w:p>
    <w:p w:rsidR="0094413A" w:rsidRDefault="0094413A" w:rsidP="0094413A">
      <w:pPr>
        <w:pStyle w:val="Title"/>
        <w:tabs>
          <w:tab w:val="left" w:pos="5130"/>
          <w:tab w:val="left" w:pos="5670"/>
        </w:tabs>
        <w:jc w:val="left"/>
        <w:rPr>
          <w:rFonts w:ascii="Times New Roman" w:hAnsi="Times New Roman"/>
          <w:sz w:val="26"/>
          <w:szCs w:val="26"/>
        </w:rPr>
      </w:pPr>
    </w:p>
    <w:p w:rsidR="0094413A" w:rsidRDefault="0094413A" w:rsidP="0094413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94413A" w:rsidRPr="00E10679" w:rsidRDefault="0094413A" w:rsidP="0094413A">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94413A" w:rsidRPr="0094413A" w:rsidRDefault="0094413A" w:rsidP="0094413A">
      <w:pPr>
        <w:jc w:val="center"/>
        <w:rPr>
          <w:sz w:val="28"/>
          <w:szCs w:val="28"/>
        </w:rPr>
      </w:pPr>
      <w:r w:rsidRPr="0094413A">
        <w:rPr>
          <w:sz w:val="28"/>
          <w:szCs w:val="28"/>
        </w:rPr>
        <w:t>SUBMITTED ON BEHALF OF THE STAFF OF</w:t>
      </w:r>
    </w:p>
    <w:p w:rsidR="0094413A" w:rsidRPr="0094413A" w:rsidRDefault="0094413A" w:rsidP="0094413A">
      <w:pPr>
        <w:jc w:val="center"/>
        <w:rPr>
          <w:sz w:val="28"/>
          <w:szCs w:val="28"/>
        </w:rPr>
      </w:pPr>
      <w:r w:rsidRPr="0094413A">
        <w:rPr>
          <w:sz w:val="28"/>
          <w:szCs w:val="28"/>
        </w:rPr>
        <w:t>THE PUBLIC UTILITIES COMMISSION OF OHIO</w:t>
      </w:r>
    </w:p>
    <w:p w:rsidR="0094413A" w:rsidRDefault="0094413A" w:rsidP="0094413A">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64436A">
      <w:pPr>
        <w:pStyle w:val="Heading1"/>
      </w:pPr>
      <w:bookmarkStart w:id="15" w:name="_Toc413660665"/>
      <w:r w:rsidRPr="00613023">
        <w:lastRenderedPageBreak/>
        <w:t>INTRODUCTION</w:t>
      </w:r>
      <w:bookmarkEnd w:id="14"/>
      <w:bookmarkEnd w:id="15"/>
    </w:p>
    <w:p w:rsidR="0094413A" w:rsidRDefault="0064436A" w:rsidP="0094413A">
      <w:pPr>
        <w:pStyle w:val="textstyle0"/>
      </w:pPr>
      <w:r>
        <w:tab/>
      </w:r>
      <w:r w:rsidR="0094413A">
        <w:t>This case involves Duke Energy Ohio, Inc.’s (Duke or the Company) application to adjust its advanced utility rider (Rider AU) and its distribution reliability – infrastruc</w:t>
      </w:r>
      <w:r w:rsidR="00C76BEB">
        <w:softHyphen/>
      </w:r>
      <w:r w:rsidR="0094413A">
        <w:t>ture modernization rider (Rider DR-IM).  Duke requests an adjustment to Rider AU and Rider DR-IM to allow recovery of 2013 costs for the deployment of Duke’s grid modern</w:t>
      </w:r>
      <w:r w:rsidR="00C76BEB">
        <w:softHyphen/>
      </w:r>
      <w:r w:rsidR="0094413A">
        <w:t xml:space="preserve">ization systems (SmartGrid).  Duke also requests tariff approval and accounting recovery as may be necessary for recovery. </w:t>
      </w:r>
    </w:p>
    <w:p w:rsidR="0094413A" w:rsidRDefault="0094413A" w:rsidP="0094413A">
      <w:pPr>
        <w:pStyle w:val="textstyle0"/>
      </w:pPr>
      <w:r>
        <w:lastRenderedPageBreak/>
        <w:tab/>
        <w:t xml:space="preserve">The Staff of the Public Utilities Commission of Ohio (Staff) audited and reviewed the Company’s filing in this case.  In sum, Staff believes the Commission should approve the Company’s adjustment to Riders AU and DR-IM for 2013 subject to the conditions set forth in the argument below. </w:t>
      </w:r>
    </w:p>
    <w:p w:rsidR="00E10679" w:rsidRDefault="0094413A" w:rsidP="0094413A">
      <w:pPr>
        <w:pStyle w:val="Heading1"/>
      </w:pPr>
      <w:bookmarkStart w:id="16" w:name="_Toc413660666"/>
      <w:r>
        <w:t>ARGUMENT</w:t>
      </w:r>
      <w:bookmarkEnd w:id="16"/>
    </w:p>
    <w:p w:rsidR="006A3730" w:rsidRDefault="006A3730" w:rsidP="006A3730">
      <w:pPr>
        <w:pStyle w:val="Heading2"/>
      </w:pPr>
      <w:bookmarkStart w:id="17" w:name="_Toc413660667"/>
      <w:r>
        <w:t>A.</w:t>
      </w:r>
      <w:r>
        <w:tab/>
      </w:r>
      <w:r w:rsidR="00C565B9">
        <w:rPr>
          <w:sz w:val="26"/>
          <w:szCs w:val="26"/>
        </w:rPr>
        <w:t>Gas Module</w:t>
      </w:r>
      <w:r w:rsidR="0094413A" w:rsidRPr="001A3C9E">
        <w:rPr>
          <w:sz w:val="26"/>
          <w:szCs w:val="26"/>
        </w:rPr>
        <w:t xml:space="preserve"> Cost Recovery</w:t>
      </w:r>
      <w:bookmarkEnd w:id="17"/>
    </w:p>
    <w:p w:rsidR="0094413A" w:rsidRDefault="006A3730" w:rsidP="0094413A">
      <w:pPr>
        <w:pStyle w:val="textstyle0"/>
      </w:pPr>
      <w:r>
        <w:tab/>
      </w:r>
      <w:r w:rsidR="00A36BAE">
        <w:t>Duke is installing gas modules</w:t>
      </w:r>
      <w:r w:rsidR="0094413A">
        <w:t xml:space="preserve"> on all of its gas meters to improve the efficiency and effectiveness of its </w:t>
      </w:r>
      <w:r w:rsidR="0094413A">
        <w:lastRenderedPageBreak/>
        <w:t>collection of gas usage data.</w:t>
      </w:r>
      <w:r w:rsidR="0094413A">
        <w:rPr>
          <w:rStyle w:val="FootnoteReference"/>
        </w:rPr>
        <w:footnoteReference w:id="1"/>
      </w:r>
      <w:r w:rsidR="0094413A">
        <w:t xml:space="preserve">  The gas modules transmit meter data and therefore increase the frequency and accuracy of meter readings and reduce the need for meter readers.</w:t>
      </w:r>
      <w:r w:rsidR="0094413A">
        <w:rPr>
          <w:rStyle w:val="FootnoteReference"/>
        </w:rPr>
        <w:footnoteReference w:id="2"/>
      </w:r>
      <w:r w:rsidR="0094413A">
        <w:t xml:space="preserve">  Before 2011, Duke charged gas modules to the “Meters” account of the FERC Uniform System of </w:t>
      </w:r>
      <w:r w:rsidR="0094413A">
        <w:lastRenderedPageBreak/>
        <w:t>Accounts (USOA).</w:t>
      </w:r>
      <w:r w:rsidR="0094413A">
        <w:rPr>
          <w:rStyle w:val="FootnoteReference"/>
          <w:szCs w:val="26"/>
        </w:rPr>
        <w:footnoteReference w:id="3"/>
      </w:r>
      <w:r w:rsidR="0094413A">
        <w:t xml:space="preserve">  For the Meters account, the USOA allows utilities to record plant in service as soon as the equipment is pur</w:t>
      </w:r>
      <w:r w:rsidR="00C76BEB">
        <w:softHyphen/>
      </w:r>
      <w:r w:rsidR="0094413A">
        <w:t>chased, even if that equipment is not “used and useful.”</w:t>
      </w:r>
      <w:r w:rsidR="0094413A">
        <w:rPr>
          <w:rStyle w:val="FootnoteReference"/>
        </w:rPr>
        <w:footnoteReference w:id="4"/>
      </w:r>
      <w:r w:rsidR="0094413A">
        <w:t xml:space="preserve">  Beginning in 2011, however, Duke began charging the cost of gas modules to the “Communications Equipment—Gas” account, which is not al</w:t>
      </w:r>
      <w:r w:rsidR="0094413A">
        <w:lastRenderedPageBreak/>
        <w:t>lowed the same accounting treatment as the Meters account.</w:t>
      </w:r>
      <w:r w:rsidR="0094413A">
        <w:rPr>
          <w:rStyle w:val="FootnoteReference"/>
        </w:rPr>
        <w:footnoteReference w:id="5"/>
      </w:r>
      <w:r w:rsidR="0094413A">
        <w:t xml:space="preserve">  Instead, the gas modules charged to this account must be used and useful before their costs are recoverable in rates.</w:t>
      </w:r>
      <w:r w:rsidR="0094413A">
        <w:rPr>
          <w:rStyle w:val="FootnoteReference"/>
        </w:rPr>
        <w:footnoteReference w:id="6"/>
      </w:r>
      <w:r w:rsidR="0094413A">
        <w:t xml:space="preserve">  </w:t>
      </w:r>
    </w:p>
    <w:p w:rsidR="0094413A" w:rsidRPr="0094413A" w:rsidRDefault="0094413A" w:rsidP="0094413A">
      <w:pPr>
        <w:pStyle w:val="textstyle0"/>
      </w:pPr>
      <w:r w:rsidRPr="0094413A">
        <w:tab/>
        <w:t>In 2013, Duke charged the cost of 15,846 gas modules to the “Communications Equipment—Gas” account.</w:t>
      </w:r>
      <w:r>
        <w:rPr>
          <w:rStyle w:val="FootnoteReference"/>
        </w:rPr>
        <w:footnoteReference w:id="7"/>
      </w:r>
      <w:r>
        <w:t xml:space="preserve"> </w:t>
      </w:r>
      <w:r w:rsidRPr="0094413A">
        <w:t xml:space="preserve"> These gas modules had been installed, but had </w:t>
      </w:r>
      <w:r w:rsidRPr="0094413A">
        <w:lastRenderedPageBreak/>
        <w:t>not trans</w:t>
      </w:r>
      <w:r w:rsidR="00B81507">
        <w:softHyphen/>
      </w:r>
      <w:r w:rsidRPr="0094413A">
        <w:t>mitted meter readings as of the end of 2013 because they had not completed Duke’s test</w:t>
      </w:r>
      <w:r w:rsidR="00C76BEB">
        <w:softHyphen/>
      </w:r>
      <w:r w:rsidRPr="0094413A">
        <w:t>ing and certification procedures.</w:t>
      </w:r>
      <w:r>
        <w:rPr>
          <w:rStyle w:val="FootnoteReference"/>
        </w:rPr>
        <w:footnoteReference w:id="8"/>
      </w:r>
      <w:r w:rsidRPr="0094413A">
        <w:t xml:space="preserve"> </w:t>
      </w:r>
      <w:r>
        <w:t xml:space="preserve"> </w:t>
      </w:r>
      <w:r w:rsidRPr="0094413A">
        <w:t xml:space="preserve">Therefore, Staff does not consider these gas modules to be used and useful. </w:t>
      </w:r>
      <w:r>
        <w:t xml:space="preserve"> </w:t>
      </w:r>
      <w:r w:rsidRPr="0094413A">
        <w:t xml:space="preserve">The cost of these uncertified gas modules is $983,966, which includes purchase price, installation, overhead, and a credit for AFUDC (Allowance for Funds Used </w:t>
      </w:r>
      <w:proofErr w:type="gramStart"/>
      <w:r w:rsidRPr="0094413A">
        <w:t>During</w:t>
      </w:r>
      <w:proofErr w:type="gramEnd"/>
      <w:r w:rsidRPr="0094413A">
        <w:t xml:space="preserve"> Construction).</w:t>
      </w:r>
      <w:r>
        <w:rPr>
          <w:rStyle w:val="FootnoteReference"/>
        </w:rPr>
        <w:footnoteReference w:id="9"/>
      </w:r>
      <w:r w:rsidRPr="0094413A">
        <w:t xml:space="preserve"> </w:t>
      </w:r>
      <w:r>
        <w:t xml:space="preserve"> </w:t>
      </w:r>
    </w:p>
    <w:p w:rsidR="0094413A" w:rsidRPr="00F40B64" w:rsidRDefault="0094413A" w:rsidP="0094413A">
      <w:pPr>
        <w:pStyle w:val="textstyle0"/>
      </w:pPr>
      <w:r>
        <w:lastRenderedPageBreak/>
        <w:tab/>
        <w:t xml:space="preserve">Staff believes it was appropriate for Duke to </w:t>
      </w:r>
      <w:r w:rsidR="00C565B9">
        <w:t>begin considering the gas modules</w:t>
      </w:r>
      <w:r>
        <w:t xml:space="preserve"> as communications equipment because gas modules are actually transmitters.</w:t>
      </w:r>
      <w:r>
        <w:rPr>
          <w:rStyle w:val="FootnoteReference"/>
        </w:rPr>
        <w:footnoteReference w:id="10"/>
      </w:r>
      <w:r w:rsidR="00C565B9">
        <w:t xml:space="preserve">  However, Staff recommends</w:t>
      </w:r>
      <w:r>
        <w:t xml:space="preserve"> (1)</w:t>
      </w:r>
      <w:r w:rsidR="00C565B9">
        <w:t xml:space="preserve"> that</w:t>
      </w:r>
      <w:r>
        <w:t xml:space="preserve"> the $983,966 cost associated with the uncertified gas modules be removed from Rider AU capital costs until Duke completes the requisite procedures to certify these gas modules as used an</w:t>
      </w:r>
      <w:r w:rsidR="00F04C08">
        <w:t>d</w:t>
      </w:r>
      <w:r>
        <w:t xml:space="preserve"> useful and (2) </w:t>
      </w:r>
      <w:r w:rsidR="00C565B9">
        <w:t xml:space="preserve">that </w:t>
      </w:r>
      <w:r>
        <w:t xml:space="preserve">the Commission direct Duke to stop charging gas module costs to Rider AU </w:t>
      </w:r>
      <w:r>
        <w:lastRenderedPageBreak/>
        <w:t>until the gas modules are installed and certi</w:t>
      </w:r>
      <w:r w:rsidR="00B81507">
        <w:softHyphen/>
      </w:r>
      <w:r>
        <w:t>fied.</w:t>
      </w:r>
      <w:r w:rsidR="00B1678F">
        <w:rPr>
          <w:rStyle w:val="FootnoteReference"/>
        </w:rPr>
        <w:footnoteReference w:id="11"/>
      </w:r>
      <w:r w:rsidR="00A36BAE">
        <w:t xml:space="preserve"> </w:t>
      </w:r>
      <w:r w:rsidR="008934F9">
        <w:t xml:space="preserve"> </w:t>
      </w:r>
      <w:r>
        <w:t>This will ensure Duke will not recover</w:t>
      </w:r>
      <w:r w:rsidR="00757DC3">
        <w:t xml:space="preserve"> the cost of gas modules until they are </w:t>
      </w:r>
      <w:r>
        <w:t>used and useful, as is required by the USOA.</w:t>
      </w:r>
      <w:r>
        <w:rPr>
          <w:rStyle w:val="FootnoteReference"/>
          <w:szCs w:val="26"/>
        </w:rPr>
        <w:footnoteReference w:id="12"/>
      </w:r>
    </w:p>
    <w:p w:rsidR="00587D9C" w:rsidRDefault="00587D9C" w:rsidP="00587D9C">
      <w:pPr>
        <w:pStyle w:val="Heading2"/>
        <w:rPr>
          <w:sz w:val="26"/>
          <w:szCs w:val="26"/>
        </w:rPr>
      </w:pPr>
      <w:bookmarkStart w:id="18" w:name="_Toc413660668"/>
      <w:r>
        <w:lastRenderedPageBreak/>
        <w:t>B.</w:t>
      </w:r>
      <w:r>
        <w:tab/>
      </w:r>
      <w:r w:rsidR="00B1678F" w:rsidRPr="001A3C9E">
        <w:rPr>
          <w:sz w:val="26"/>
          <w:szCs w:val="26"/>
        </w:rPr>
        <w:t>Relocation Expense Recovery</w:t>
      </w:r>
      <w:bookmarkEnd w:id="18"/>
    </w:p>
    <w:p w:rsidR="00B1678F" w:rsidRPr="00B1678F" w:rsidRDefault="00B1678F" w:rsidP="00B1678F">
      <w:pPr>
        <w:pStyle w:val="textstyle0"/>
      </w:pPr>
      <w:r>
        <w:tab/>
        <w:t>During Staff’s audit of Rider DR-IM and Rider AU, Staff found relocation expenses related to one employee that amounted to $40,610.  Of this amount, 17.1% was allocated to DR-IM, which amounted to $6,944.</w:t>
      </w:r>
      <w:r>
        <w:rPr>
          <w:rStyle w:val="FootnoteReference"/>
        </w:rPr>
        <w:footnoteReference w:id="13"/>
      </w:r>
      <w:r>
        <w:t xml:space="preserve">  Staff requested information, including source documen</w:t>
      </w:r>
      <w:r w:rsidR="00492054">
        <w:t>ts and invoices, regarding this expense</w:t>
      </w:r>
      <w:r>
        <w:t xml:space="preserve"> via data requests to determine the prudency of the expenditure </w:t>
      </w:r>
      <w:r>
        <w:lastRenderedPageBreak/>
        <w:t>and whether it was properly included in Rider DR-IM.</w:t>
      </w:r>
      <w:r>
        <w:rPr>
          <w:rStyle w:val="FootnoteReference"/>
        </w:rPr>
        <w:footnoteReference w:id="14"/>
      </w:r>
      <w:r>
        <w:t xml:space="preserve">  However, Duke did not provide Staff with the requested information.</w:t>
      </w:r>
      <w:r>
        <w:rPr>
          <w:rStyle w:val="FootnoteReference"/>
        </w:rPr>
        <w:footnoteReference w:id="15"/>
      </w:r>
      <w:r>
        <w:t xml:space="preserve">  Absent the requested supporting documentation, Staff could not conduct the investigation necessary to determine whether the expense was incremental, prudent, reasonable, and appropriate for recovery in </w:t>
      </w:r>
      <w:r>
        <w:lastRenderedPageBreak/>
        <w:t>Rider DR-IM.  Therefore, Staff recommends an adjustment to Rider DR-IM to exclude the $6,944 amount.</w:t>
      </w:r>
      <w:r>
        <w:rPr>
          <w:rStyle w:val="FootnoteReference"/>
        </w:rPr>
        <w:footnoteReference w:id="16"/>
      </w:r>
      <w:r>
        <w:t xml:space="preserve">  </w:t>
      </w:r>
    </w:p>
    <w:p w:rsidR="00FB4C8A" w:rsidRDefault="00FB4C8A" w:rsidP="00FB4C8A">
      <w:pPr>
        <w:pStyle w:val="Heading2"/>
        <w:rPr>
          <w:sz w:val="26"/>
          <w:szCs w:val="26"/>
        </w:rPr>
      </w:pPr>
      <w:bookmarkStart w:id="19" w:name="_Toc413660669"/>
      <w:r>
        <w:t>C.</w:t>
      </w:r>
      <w:r>
        <w:tab/>
      </w:r>
      <w:r w:rsidR="00B1678F" w:rsidRPr="001A3C9E">
        <w:rPr>
          <w:sz w:val="26"/>
          <w:szCs w:val="26"/>
        </w:rPr>
        <w:t>Self-healing Team Performance</w:t>
      </w:r>
      <w:bookmarkEnd w:id="19"/>
    </w:p>
    <w:p w:rsidR="00B1678F" w:rsidRDefault="00B1678F" w:rsidP="00B1678F">
      <w:pPr>
        <w:pStyle w:val="textstyle0"/>
      </w:pPr>
      <w:r>
        <w:tab/>
        <w:t>Distribution automation (DA) constitutes a major portion of Duke’s grid modern</w:t>
      </w:r>
      <w:r w:rsidR="00B81507">
        <w:softHyphen/>
      </w:r>
      <w:r>
        <w:t>ization program and Staff expects DA to improve Duke’s service reliability perfor</w:t>
      </w:r>
      <w:r w:rsidR="00C76BEB">
        <w:softHyphen/>
      </w:r>
      <w:r>
        <w:t>mance.</w:t>
      </w:r>
      <w:r>
        <w:rPr>
          <w:rStyle w:val="FootnoteReference"/>
        </w:rPr>
        <w:footnoteReference w:id="17"/>
      </w:r>
      <w:r>
        <w:t xml:space="preserve">  A key component of DA involves a set of </w:t>
      </w:r>
      <w:r>
        <w:lastRenderedPageBreak/>
        <w:t>automated switches, which Duke calls “self-healing teams.”</w:t>
      </w:r>
      <w:r>
        <w:rPr>
          <w:rStyle w:val="FootnoteReference"/>
        </w:rPr>
        <w:footnoteReference w:id="18"/>
      </w:r>
      <w:r>
        <w:t xml:space="preserve">  These devices can reconfigure circuits and reroute electric</w:t>
      </w:r>
      <w:r w:rsidR="00C76BEB">
        <w:softHyphen/>
      </w:r>
      <w:r>
        <w:t>ity around a fault, which reduces the number of customers that an outage affects.</w:t>
      </w:r>
      <w:r>
        <w:rPr>
          <w:rStyle w:val="FootnoteReference"/>
        </w:rPr>
        <w:footnoteReference w:id="19"/>
      </w:r>
      <w:r>
        <w:t xml:space="preserve">  Staff measures self-healing team performance by computing the percent of instances when the teams operate successfully.</w:t>
      </w:r>
      <w:r>
        <w:rPr>
          <w:rStyle w:val="FootnoteReference"/>
        </w:rPr>
        <w:footnoteReference w:id="20"/>
      </w:r>
      <w:r>
        <w:t xml:space="preserve">  </w:t>
      </w:r>
    </w:p>
    <w:p w:rsidR="00B1678F" w:rsidRDefault="00B1678F" w:rsidP="00B1678F">
      <w:pPr>
        <w:pStyle w:val="textstyle0"/>
      </w:pPr>
      <w:r>
        <w:lastRenderedPageBreak/>
        <w:tab/>
        <w:t xml:space="preserve">Staff analyzed the Company’s 2013 </w:t>
      </w:r>
      <w:r w:rsidR="00D753C8">
        <w:t xml:space="preserve">DA performance </w:t>
      </w:r>
      <w:r>
        <w:t>data and found that Duke’s self-healing teams operated in 64% of the instances that they had opportunities to oper</w:t>
      </w:r>
      <w:r w:rsidR="00B81507">
        <w:softHyphen/>
      </w:r>
      <w:r>
        <w:t>ate.</w:t>
      </w:r>
      <w:r>
        <w:rPr>
          <w:rStyle w:val="FootnoteReference"/>
        </w:rPr>
        <w:footnoteReference w:id="21"/>
      </w:r>
      <w:r>
        <w:t xml:space="preserve">  Staff believes Duke can improve on that performance.</w:t>
      </w:r>
      <w:r>
        <w:rPr>
          <w:rStyle w:val="FootnoteReference"/>
        </w:rPr>
        <w:footnoteReference w:id="22"/>
      </w:r>
      <w:r>
        <w:t xml:space="preserve">  Staff’s belief is based on Staff’s experience with another Ohio electric utility, which improved its performance from comparable lev</w:t>
      </w:r>
      <w:r w:rsidR="00C76BEB">
        <w:softHyphen/>
      </w:r>
      <w:r>
        <w:t xml:space="preserve">els to more </w:t>
      </w:r>
      <w:r>
        <w:lastRenderedPageBreak/>
        <w:t>than 90%.</w:t>
      </w:r>
      <w:r>
        <w:rPr>
          <w:rStyle w:val="FootnoteReference"/>
        </w:rPr>
        <w:footnoteReference w:id="23"/>
      </w:r>
      <w:r>
        <w:t xml:space="preserve">  To improve the Company’s performance, Staff believes the Company should: (1) identify the instances where a team failed to oper</w:t>
      </w:r>
      <w:r w:rsidR="00B81507">
        <w:softHyphen/>
      </w:r>
      <w:r>
        <w:t>ate, (2) investigate each failure, and (3) take corrective actions to prevent failures in the future.</w:t>
      </w:r>
      <w:r>
        <w:rPr>
          <w:rStyle w:val="FootnoteReference"/>
        </w:rPr>
        <w:footnoteReference w:id="24"/>
      </w:r>
      <w:r>
        <w:t xml:space="preserve"> </w:t>
      </w:r>
    </w:p>
    <w:p w:rsidR="00B1678F" w:rsidRDefault="00B1678F" w:rsidP="00B1678F">
      <w:pPr>
        <w:pStyle w:val="textstyle0"/>
      </w:pPr>
      <w:r>
        <w:tab/>
        <w:t xml:space="preserve">Duke has acknowledged that it agrees with Staff on this matter.  Duke agrees that it can improve upon the 64% self-healing team performance and agrees to follow </w:t>
      </w:r>
      <w:r>
        <w:lastRenderedPageBreak/>
        <w:t>the three steps that Staff has set forth to improve the performance of Duke’s self-healing teams.</w:t>
      </w:r>
      <w:r>
        <w:rPr>
          <w:rStyle w:val="FootnoteReference"/>
        </w:rPr>
        <w:footnoteReference w:id="25"/>
      </w:r>
      <w:r>
        <w:t xml:space="preserve">  </w:t>
      </w:r>
    </w:p>
    <w:p w:rsidR="00B1678F" w:rsidRDefault="00B1678F" w:rsidP="00B1678F">
      <w:pPr>
        <w:pStyle w:val="Heading2"/>
      </w:pPr>
      <w:bookmarkStart w:id="20" w:name="_Toc413660670"/>
      <w:r>
        <w:t>D.</w:t>
      </w:r>
      <w:r>
        <w:tab/>
        <w:t>Commercial Activities Tax Recovery</w:t>
      </w:r>
      <w:bookmarkEnd w:id="20"/>
    </w:p>
    <w:p w:rsidR="00B1678F" w:rsidRDefault="00B1678F" w:rsidP="00B1678F">
      <w:pPr>
        <w:pStyle w:val="textstyle0"/>
      </w:pPr>
      <w:r>
        <w:tab/>
        <w:t>In its Application, Duke included recovery for the Ohio Commercial Activities Tax (CAT) in Rider DR-IM twice.</w:t>
      </w:r>
      <w:r>
        <w:rPr>
          <w:rStyle w:val="FootnoteReference"/>
        </w:rPr>
        <w:footnoteReference w:id="26"/>
      </w:r>
      <w:r>
        <w:t xml:space="preserve">  Therefore, to ensure Duke only recovers </w:t>
      </w:r>
      <w:r>
        <w:lastRenderedPageBreak/>
        <w:t>for CAT once, Staff recommends that the Company remove</w:t>
      </w:r>
      <w:r w:rsidR="008A39F0">
        <w:t xml:space="preserve"> </w:t>
      </w:r>
      <w:r w:rsidR="006E3C7D">
        <w:t xml:space="preserve">CAT </w:t>
      </w:r>
      <w:r>
        <w:t>from the gross revenue conver</w:t>
      </w:r>
      <w:r w:rsidR="00B81507">
        <w:softHyphen/>
      </w:r>
      <w:r>
        <w:t>sion factor in Schedule 7.</w:t>
      </w:r>
      <w:r>
        <w:rPr>
          <w:rStyle w:val="FootnoteReference"/>
        </w:rPr>
        <w:footnoteReference w:id="27"/>
      </w:r>
      <w:r>
        <w:t xml:space="preserve">  This change results in a lower rate of return on Schedule 7 from 10.70% to 10.68% and a revenue requirement that is decreased by $37,277.</w:t>
      </w:r>
      <w:r>
        <w:rPr>
          <w:rStyle w:val="FootnoteReference"/>
        </w:rPr>
        <w:footnoteReference w:id="28"/>
      </w:r>
      <w:r>
        <w:t xml:space="preserve">  The Company agrees with Staff on this matter.  Specifically, Duke</w:t>
      </w:r>
      <w:r w:rsidR="00F04C08">
        <w:t xml:space="preserve"> agrees</w:t>
      </w:r>
      <w:r>
        <w:t xml:space="preserve"> (1)</w:t>
      </w:r>
      <w:r w:rsidR="00F04C08">
        <w:t xml:space="preserve"> that</w:t>
      </w:r>
      <w:r>
        <w:t xml:space="preserve"> CAT shou</w:t>
      </w:r>
      <w:r w:rsidR="00B31341">
        <w:t xml:space="preserve">ld be removed from the </w:t>
      </w:r>
      <w:r>
        <w:t>gross revenue con</w:t>
      </w:r>
      <w:r w:rsidR="00C76BEB">
        <w:softHyphen/>
      </w:r>
      <w:r>
        <w:t xml:space="preserve">version factor in Schedule 7, (2) </w:t>
      </w:r>
      <w:r w:rsidR="00F04C08">
        <w:t xml:space="preserve">that </w:t>
      </w:r>
      <w:r>
        <w:lastRenderedPageBreak/>
        <w:t>the rate of return on Schedule 7 should be 10.68%, and (3)</w:t>
      </w:r>
      <w:r w:rsidR="00F04C08">
        <w:t xml:space="preserve"> that</w:t>
      </w:r>
      <w:r>
        <w:t xml:space="preserve"> the revenue requirement should be decreased by $37,277.</w:t>
      </w:r>
      <w:r>
        <w:rPr>
          <w:rStyle w:val="FootnoteReference"/>
        </w:rPr>
        <w:footnoteReference w:id="29"/>
      </w:r>
      <w:r>
        <w:t xml:space="preserve">  </w:t>
      </w:r>
    </w:p>
    <w:p w:rsidR="00B1678F" w:rsidRDefault="00B1678F" w:rsidP="00B1678F">
      <w:pPr>
        <w:pStyle w:val="Heading2"/>
      </w:pPr>
      <w:bookmarkStart w:id="21" w:name="_Toc413660671"/>
      <w:r>
        <w:t>E.</w:t>
      </w:r>
      <w:r>
        <w:tab/>
        <w:t>Recovery of Triple Paid Invoice</w:t>
      </w:r>
      <w:bookmarkEnd w:id="21"/>
    </w:p>
    <w:p w:rsidR="00B1678F" w:rsidRPr="00B1678F" w:rsidRDefault="00B1678F" w:rsidP="00B1678F">
      <w:pPr>
        <w:pStyle w:val="textstyle0"/>
      </w:pPr>
      <w:r>
        <w:tab/>
        <w:t>During Staff’s audit of Rider DR-IM, Staff found an invoice amount that was paid to a vendor three times when it should have been paid only once.</w:t>
      </w:r>
      <w:r>
        <w:rPr>
          <w:rStyle w:val="FootnoteReference"/>
        </w:rPr>
        <w:footnoteReference w:id="30"/>
      </w:r>
      <w:r>
        <w:t xml:space="preserve">  Therefore, </w:t>
      </w:r>
      <w:r>
        <w:lastRenderedPageBreak/>
        <w:t>Staff rec</w:t>
      </w:r>
      <w:r w:rsidR="00C76BEB">
        <w:softHyphen/>
      </w:r>
      <w:r>
        <w:t>ommends that the operation and maintenance (O&amp;M) expense amount of Rider DR-IM be adjusted to exclude $1,825, which is the amount that the invoice was over paid to the vendor.</w:t>
      </w:r>
      <w:r>
        <w:rPr>
          <w:rStyle w:val="FootnoteReference"/>
        </w:rPr>
        <w:footnoteReference w:id="31"/>
      </w:r>
      <w:r>
        <w:t xml:space="preserve">  This will prevent the Company from recovering the two duplicate payments that the Company made in error.</w:t>
      </w:r>
      <w:r>
        <w:rPr>
          <w:rStyle w:val="FootnoteReference"/>
        </w:rPr>
        <w:footnoteReference w:id="32"/>
      </w:r>
      <w:r>
        <w:t xml:space="preserve">  The Company </w:t>
      </w:r>
      <w:r>
        <w:lastRenderedPageBreak/>
        <w:t>agrees with Staff’s adjustment to exclude $1,825 from the O&amp;M expense amount of Rider DR-IM.</w:t>
      </w:r>
      <w:r>
        <w:rPr>
          <w:rStyle w:val="FootnoteReference"/>
        </w:rPr>
        <w:footnoteReference w:id="33"/>
      </w:r>
      <w:r>
        <w:t xml:space="preserve">  </w:t>
      </w:r>
    </w:p>
    <w:p w:rsidR="00632C54" w:rsidRDefault="00632C54" w:rsidP="001A5C2F">
      <w:pPr>
        <w:pStyle w:val="Heading1"/>
      </w:pPr>
      <w:r>
        <w:br w:type="page"/>
      </w:r>
    </w:p>
    <w:p w:rsidR="001A5C2F" w:rsidRDefault="001A5C2F" w:rsidP="001A5C2F">
      <w:pPr>
        <w:pStyle w:val="Heading1"/>
      </w:pPr>
      <w:bookmarkStart w:id="22" w:name="_Toc413660672"/>
      <w:r>
        <w:lastRenderedPageBreak/>
        <w:t>CONCLUSION</w:t>
      </w:r>
      <w:bookmarkEnd w:id="22"/>
    </w:p>
    <w:p w:rsidR="00E10679" w:rsidRDefault="001A5C2F" w:rsidP="006A3730">
      <w:pPr>
        <w:pStyle w:val="textstyle0"/>
      </w:pPr>
      <w:r>
        <w:tab/>
      </w:r>
      <w:r w:rsidR="00B1678F">
        <w:rPr>
          <w:szCs w:val="26"/>
        </w:rPr>
        <w:t>In sum, Staff has audited and reviewed Duke’s application and believes that, sub</w:t>
      </w:r>
      <w:r w:rsidR="00C76BEB">
        <w:rPr>
          <w:szCs w:val="26"/>
        </w:rPr>
        <w:softHyphen/>
      </w:r>
      <w:r w:rsidR="00B1678F">
        <w:rPr>
          <w:szCs w:val="26"/>
        </w:rPr>
        <w:t>ject to the conditions set forth herein by Staff, the Commission should approve the Com</w:t>
      </w:r>
      <w:r w:rsidR="00C76BEB">
        <w:rPr>
          <w:szCs w:val="26"/>
        </w:rPr>
        <w:softHyphen/>
      </w:r>
      <w:r w:rsidR="00B1678F">
        <w:rPr>
          <w:szCs w:val="26"/>
        </w:rPr>
        <w:t>pany’s adjustment to Riders AU and DR-IM for 2013.</w:t>
      </w:r>
    </w:p>
    <w:p w:rsidR="00200A0A" w:rsidRPr="0064436A" w:rsidRDefault="00200A0A" w:rsidP="007A2B5F">
      <w:pPr>
        <w:tabs>
          <w:tab w:val="left" w:pos="9348"/>
        </w:tabs>
        <w:spacing w:line="480" w:lineRule="auto"/>
        <w:ind w:left="5040"/>
        <w:rPr>
          <w:sz w:val="26"/>
          <w:szCs w:val="26"/>
        </w:rPr>
      </w:pPr>
      <w:r w:rsidRPr="0064436A">
        <w:rPr>
          <w:sz w:val="26"/>
          <w:szCs w:val="26"/>
        </w:rPr>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64436A" w:rsidRDefault="00200A0A" w:rsidP="00200A0A">
      <w:pPr>
        <w:tabs>
          <w:tab w:val="left" w:pos="9348"/>
        </w:tabs>
        <w:ind w:left="5040"/>
        <w:rPr>
          <w:sz w:val="26"/>
          <w:szCs w:val="26"/>
        </w:rPr>
      </w:pPr>
    </w:p>
    <w:p w:rsidR="00200A0A" w:rsidRPr="0064436A" w:rsidRDefault="004A6A9F" w:rsidP="00200A0A">
      <w:pPr>
        <w:tabs>
          <w:tab w:val="left" w:pos="9348"/>
        </w:tabs>
        <w:ind w:left="5040"/>
        <w:rPr>
          <w:sz w:val="26"/>
          <w:szCs w:val="26"/>
          <w:u w:val="single"/>
        </w:rPr>
      </w:pPr>
      <w:r>
        <w:rPr>
          <w:rFonts w:ascii="Viner Hand ITC" w:hAnsi="Viner Hand ITC"/>
          <w:sz w:val="26"/>
          <w:szCs w:val="26"/>
          <w:u w:val="single"/>
        </w:rPr>
        <w:lastRenderedPageBreak/>
        <w:t>/s/ Katie L. Johnson</w:t>
      </w:r>
      <w:r w:rsidR="00200A0A" w:rsidRPr="0064436A">
        <w:rPr>
          <w:sz w:val="26"/>
          <w:szCs w:val="26"/>
          <w:u w:val="single"/>
        </w:rPr>
        <w:tab/>
      </w:r>
    </w:p>
    <w:p w:rsidR="00E45A7D" w:rsidRPr="0064436A" w:rsidRDefault="00B1678F" w:rsidP="00E45A7D">
      <w:pPr>
        <w:tabs>
          <w:tab w:val="left" w:pos="9348"/>
        </w:tabs>
        <w:ind w:left="5040"/>
        <w:rPr>
          <w:b/>
          <w:sz w:val="26"/>
          <w:szCs w:val="26"/>
        </w:rPr>
      </w:pPr>
      <w:r>
        <w:rPr>
          <w:b/>
          <w:sz w:val="26"/>
          <w:szCs w:val="26"/>
        </w:rPr>
        <w:t>Katie L. Johnson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Pr="0064436A" w:rsidRDefault="009E6255" w:rsidP="00E45A7D">
      <w:pPr>
        <w:tabs>
          <w:tab w:val="left" w:pos="9348"/>
        </w:tabs>
        <w:ind w:left="5040"/>
        <w:rPr>
          <w:sz w:val="26"/>
          <w:szCs w:val="26"/>
        </w:rPr>
      </w:pPr>
      <w:hyperlink r:id="rId15" w:history="1">
        <w:r w:rsidR="00B1678F" w:rsidRPr="00CF0FEC">
          <w:rPr>
            <w:rStyle w:val="Hyperlink"/>
            <w:sz w:val="26"/>
            <w:szCs w:val="26"/>
          </w:rPr>
          <w:t>katie.johnson@puc.state.oh.us</w:t>
        </w:r>
      </w:hyperlink>
    </w:p>
    <w:p w:rsidR="00200A0A" w:rsidRPr="0064436A" w:rsidRDefault="00200A0A" w:rsidP="00200A0A">
      <w:pPr>
        <w:tabs>
          <w:tab w:val="left" w:pos="9348"/>
        </w:tabs>
        <w:ind w:left="5040"/>
        <w:rPr>
          <w:b/>
          <w:sz w:val="26"/>
          <w:szCs w:val="26"/>
        </w:rPr>
      </w:pPr>
    </w:p>
    <w:p w:rsidR="00200A0A" w:rsidRPr="00934B92" w:rsidRDefault="00200A0A" w:rsidP="0064436A">
      <w:pPr>
        <w:pStyle w:val="Heading1"/>
      </w:pPr>
      <w:r w:rsidRPr="00955E20">
        <w:br w:type="page"/>
      </w:r>
      <w:bookmarkStart w:id="23" w:name="_Toc205862526"/>
      <w:bookmarkStart w:id="24" w:name="_Toc413660673"/>
      <w:bookmarkStart w:id="25" w:name="_GoBack"/>
      <w:bookmarkEnd w:id="25"/>
      <w:r w:rsidR="00C95499" w:rsidRPr="00934B92">
        <w:rPr>
          <w:caps w:val="0"/>
        </w:rPr>
        <w:lastRenderedPageBreak/>
        <w:t>PROOF OF SERVICE</w:t>
      </w:r>
      <w:bookmarkEnd w:id="23"/>
      <w:bookmarkEnd w:id="24"/>
    </w:p>
    <w:p w:rsidR="00200A0A" w:rsidRPr="00934B92" w:rsidRDefault="0064436A" w:rsidP="006A3730">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paid,</w:t>
      </w:r>
      <w:r w:rsidR="004A6A9F">
        <w:t xml:space="preserve"> electronic mail,</w:t>
      </w:r>
      <w:r w:rsidR="00200A0A" w:rsidRPr="00934B92">
        <w:t xml:space="preserve"> or hand-delivered, upon </w:t>
      </w:r>
      <w:r w:rsidR="00977F01">
        <w:t>the following Parties of Record</w:t>
      </w:r>
      <w:r w:rsidR="00721F2D">
        <w:t xml:space="preserve">, </w:t>
      </w:r>
      <w:r w:rsidR="00200A0A" w:rsidRPr="00934B92">
        <w:t xml:space="preserve">this </w:t>
      </w:r>
      <w:r w:rsidR="00B1678F">
        <w:t>9</w:t>
      </w:r>
      <w:r w:rsidR="00B1678F" w:rsidRPr="00B1678F">
        <w:rPr>
          <w:vertAlign w:val="superscript"/>
        </w:rPr>
        <w:t>th</w:t>
      </w:r>
      <w:r w:rsidR="00B1678F">
        <w:t xml:space="preserve"> </w:t>
      </w:r>
      <w:r w:rsidR="004B6358">
        <w:t>d</w:t>
      </w:r>
      <w:r w:rsidR="00200A0A" w:rsidRPr="00934B92">
        <w:t xml:space="preserve">ay of </w:t>
      </w:r>
      <w:r w:rsidR="00B1678F">
        <w:t>March, 2015</w:t>
      </w:r>
      <w:r w:rsidR="00200A0A" w:rsidRPr="00934B92">
        <w:t>.</w:t>
      </w:r>
    </w:p>
    <w:p w:rsidR="00200A0A" w:rsidRPr="00DF3D54" w:rsidRDefault="004A6A9F" w:rsidP="00200A0A">
      <w:pPr>
        <w:tabs>
          <w:tab w:val="right" w:pos="9360"/>
        </w:tabs>
        <w:ind w:left="4320"/>
        <w:jc w:val="both"/>
        <w:rPr>
          <w:u w:val="single"/>
        </w:rPr>
      </w:pPr>
      <w:r>
        <w:rPr>
          <w:rFonts w:ascii="Viner Hand ITC" w:hAnsi="Viner Hand ITC"/>
          <w:sz w:val="26"/>
          <w:szCs w:val="26"/>
          <w:u w:val="single"/>
        </w:rPr>
        <w:t>/s/ Katie L. Johnson</w:t>
      </w:r>
      <w:r w:rsidR="00200A0A" w:rsidRPr="00DF3D54">
        <w:rPr>
          <w:u w:val="single"/>
        </w:rPr>
        <w:tab/>
      </w:r>
    </w:p>
    <w:p w:rsidR="00200A0A" w:rsidRPr="00DF3D54" w:rsidRDefault="00B1678F" w:rsidP="00200A0A">
      <w:pPr>
        <w:ind w:left="4332"/>
        <w:jc w:val="both"/>
        <w:rPr>
          <w:b/>
          <w:sz w:val="26"/>
          <w:szCs w:val="26"/>
        </w:rPr>
      </w:pPr>
      <w:r>
        <w:rPr>
          <w:b/>
          <w:sz w:val="26"/>
          <w:szCs w:val="26"/>
        </w:rPr>
        <w:t>Katie L. Johnson</w:t>
      </w:r>
    </w:p>
    <w:p w:rsidR="00200A0A" w:rsidRDefault="00200A0A" w:rsidP="00200A0A">
      <w:pPr>
        <w:ind w:left="4332"/>
        <w:jc w:val="both"/>
        <w:rPr>
          <w:sz w:val="26"/>
          <w:szCs w:val="26"/>
        </w:rPr>
      </w:pPr>
      <w:r w:rsidRPr="00DF3D54">
        <w:rPr>
          <w:sz w:val="26"/>
          <w:szCs w:val="26"/>
        </w:rPr>
        <w:t>Assistant Attorney General</w:t>
      </w: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695"/>
        <w:gridCol w:w="4665"/>
      </w:tblGrid>
      <w:tr w:rsidR="00977F01" w:rsidRPr="00D2703A" w:rsidTr="002B49FB">
        <w:tc>
          <w:tcPr>
            <w:tcW w:w="4788" w:type="dxa"/>
          </w:tcPr>
          <w:p w:rsidR="00977F01" w:rsidRDefault="00977F01" w:rsidP="002B49FB">
            <w:pPr>
              <w:rPr>
                <w:sz w:val="26"/>
                <w:szCs w:val="26"/>
              </w:rPr>
            </w:pPr>
            <w:r>
              <w:rPr>
                <w:sz w:val="26"/>
                <w:szCs w:val="26"/>
              </w:rPr>
              <w:t>Terry Etter</w:t>
            </w:r>
          </w:p>
          <w:p w:rsidR="00977F01" w:rsidRDefault="00977F01" w:rsidP="002B49FB">
            <w:pPr>
              <w:rPr>
                <w:sz w:val="26"/>
                <w:szCs w:val="26"/>
              </w:rPr>
            </w:pPr>
            <w:r>
              <w:rPr>
                <w:sz w:val="26"/>
                <w:szCs w:val="26"/>
              </w:rPr>
              <w:t>Assistant Consumers’ Counsel</w:t>
            </w:r>
          </w:p>
          <w:p w:rsidR="00977F01" w:rsidRDefault="00977F01" w:rsidP="002B49FB">
            <w:pPr>
              <w:rPr>
                <w:sz w:val="26"/>
                <w:szCs w:val="26"/>
              </w:rPr>
            </w:pPr>
            <w:r>
              <w:rPr>
                <w:sz w:val="26"/>
                <w:szCs w:val="26"/>
              </w:rPr>
              <w:lastRenderedPageBreak/>
              <w:t>Office of the Ohio Consumers’ Counsel</w:t>
            </w:r>
          </w:p>
          <w:p w:rsidR="00977F01" w:rsidRDefault="00977F01" w:rsidP="002B49FB">
            <w:pPr>
              <w:rPr>
                <w:sz w:val="26"/>
                <w:szCs w:val="26"/>
              </w:rPr>
            </w:pPr>
            <w:r>
              <w:rPr>
                <w:sz w:val="26"/>
                <w:szCs w:val="26"/>
              </w:rPr>
              <w:t>10 West Broad Street</w:t>
            </w:r>
          </w:p>
          <w:p w:rsidR="00977F01" w:rsidRDefault="00977F01" w:rsidP="002B49FB">
            <w:pPr>
              <w:rPr>
                <w:sz w:val="26"/>
                <w:szCs w:val="26"/>
              </w:rPr>
            </w:pPr>
            <w:r>
              <w:rPr>
                <w:sz w:val="26"/>
                <w:szCs w:val="26"/>
              </w:rPr>
              <w:t>Suite 1800</w:t>
            </w:r>
          </w:p>
          <w:p w:rsidR="00977F01" w:rsidRDefault="00977F01" w:rsidP="002B49FB">
            <w:pPr>
              <w:rPr>
                <w:sz w:val="26"/>
                <w:szCs w:val="26"/>
              </w:rPr>
            </w:pPr>
            <w:r>
              <w:rPr>
                <w:sz w:val="26"/>
                <w:szCs w:val="26"/>
              </w:rPr>
              <w:t>Columbus, OH  43215</w:t>
            </w:r>
          </w:p>
          <w:p w:rsidR="00977F01" w:rsidRDefault="009E6255" w:rsidP="002B49FB">
            <w:pPr>
              <w:rPr>
                <w:sz w:val="26"/>
                <w:szCs w:val="26"/>
              </w:rPr>
            </w:pPr>
            <w:hyperlink r:id="rId16" w:history="1">
              <w:r w:rsidR="00977F01" w:rsidRPr="00A22376">
                <w:rPr>
                  <w:rStyle w:val="Hyperlink"/>
                  <w:sz w:val="26"/>
                  <w:szCs w:val="26"/>
                </w:rPr>
                <w:t>etter@occ.state.oh.us</w:t>
              </w:r>
            </w:hyperlink>
          </w:p>
          <w:p w:rsidR="00977F01" w:rsidRDefault="00977F01" w:rsidP="002B49FB">
            <w:pPr>
              <w:rPr>
                <w:sz w:val="26"/>
                <w:szCs w:val="26"/>
              </w:rPr>
            </w:pPr>
          </w:p>
          <w:p w:rsidR="00B1678F" w:rsidRDefault="00B1678F" w:rsidP="002B49FB">
            <w:pPr>
              <w:rPr>
                <w:sz w:val="26"/>
                <w:szCs w:val="26"/>
              </w:rPr>
            </w:pPr>
            <w:r>
              <w:rPr>
                <w:sz w:val="26"/>
                <w:szCs w:val="26"/>
              </w:rPr>
              <w:t>Elizabeth H. Watts</w:t>
            </w:r>
          </w:p>
          <w:p w:rsidR="00B1678F" w:rsidRDefault="00B1678F" w:rsidP="002B49FB">
            <w:pPr>
              <w:rPr>
                <w:sz w:val="26"/>
                <w:szCs w:val="26"/>
              </w:rPr>
            </w:pPr>
            <w:r>
              <w:rPr>
                <w:sz w:val="26"/>
                <w:szCs w:val="26"/>
              </w:rPr>
              <w:t>Amy B. Spiller</w:t>
            </w:r>
          </w:p>
          <w:p w:rsidR="00B1678F" w:rsidRDefault="00B1678F" w:rsidP="002B49FB">
            <w:pPr>
              <w:rPr>
                <w:sz w:val="26"/>
                <w:szCs w:val="26"/>
              </w:rPr>
            </w:pPr>
            <w:r>
              <w:rPr>
                <w:sz w:val="26"/>
                <w:szCs w:val="26"/>
              </w:rPr>
              <w:t>Duke Energy Ohio</w:t>
            </w:r>
          </w:p>
          <w:p w:rsidR="00B1678F" w:rsidRDefault="00B1678F" w:rsidP="002B49FB">
            <w:pPr>
              <w:rPr>
                <w:sz w:val="26"/>
                <w:szCs w:val="26"/>
              </w:rPr>
            </w:pPr>
            <w:r>
              <w:rPr>
                <w:sz w:val="26"/>
                <w:szCs w:val="26"/>
              </w:rPr>
              <w:t>155 East Broad Street, 21</w:t>
            </w:r>
            <w:r w:rsidRPr="00B1678F">
              <w:rPr>
                <w:sz w:val="26"/>
                <w:szCs w:val="26"/>
                <w:vertAlign w:val="superscript"/>
              </w:rPr>
              <w:t>st</w:t>
            </w:r>
            <w:r>
              <w:rPr>
                <w:sz w:val="26"/>
                <w:szCs w:val="26"/>
              </w:rPr>
              <w:t xml:space="preserve"> Floor</w:t>
            </w:r>
          </w:p>
          <w:p w:rsidR="00B1678F" w:rsidRDefault="00B1678F" w:rsidP="002B49FB">
            <w:pPr>
              <w:rPr>
                <w:sz w:val="26"/>
                <w:szCs w:val="26"/>
              </w:rPr>
            </w:pPr>
            <w:r>
              <w:rPr>
                <w:sz w:val="26"/>
                <w:szCs w:val="26"/>
              </w:rPr>
              <w:t>Columbus, OH  43215</w:t>
            </w:r>
          </w:p>
          <w:p w:rsidR="00B1678F" w:rsidRDefault="009E6255" w:rsidP="002B49FB">
            <w:pPr>
              <w:rPr>
                <w:sz w:val="26"/>
                <w:szCs w:val="26"/>
              </w:rPr>
            </w:pPr>
            <w:hyperlink r:id="rId17" w:history="1">
              <w:r w:rsidR="00B1678F" w:rsidRPr="00CF0FEC">
                <w:rPr>
                  <w:rStyle w:val="Hyperlink"/>
                  <w:sz w:val="26"/>
                  <w:szCs w:val="26"/>
                </w:rPr>
                <w:t>elizabeth.watts@duke-energy.com</w:t>
              </w:r>
            </w:hyperlink>
          </w:p>
          <w:p w:rsidR="00B1678F" w:rsidRDefault="009E6255" w:rsidP="002B49FB">
            <w:pPr>
              <w:rPr>
                <w:sz w:val="26"/>
                <w:szCs w:val="26"/>
              </w:rPr>
            </w:pPr>
            <w:hyperlink r:id="rId18" w:history="1">
              <w:r w:rsidR="00B1678F" w:rsidRPr="00CF0FEC">
                <w:rPr>
                  <w:rStyle w:val="Hyperlink"/>
                  <w:sz w:val="26"/>
                  <w:szCs w:val="26"/>
                </w:rPr>
                <w:t>amy.spiller@duke-energy.com</w:t>
              </w:r>
            </w:hyperlink>
          </w:p>
          <w:p w:rsidR="00B1678F" w:rsidRDefault="00B1678F" w:rsidP="002B49FB">
            <w:pPr>
              <w:rPr>
                <w:sz w:val="26"/>
                <w:szCs w:val="26"/>
              </w:rPr>
            </w:pPr>
          </w:p>
          <w:p w:rsidR="00B1678F" w:rsidRDefault="00BE209C" w:rsidP="002B49FB">
            <w:pPr>
              <w:rPr>
                <w:sz w:val="26"/>
                <w:szCs w:val="26"/>
              </w:rPr>
            </w:pPr>
            <w:r>
              <w:rPr>
                <w:sz w:val="26"/>
                <w:szCs w:val="26"/>
              </w:rPr>
              <w:t>Joseph E. Oliker</w:t>
            </w:r>
          </w:p>
          <w:p w:rsidR="00BE209C" w:rsidRDefault="00BE209C" w:rsidP="002B49FB">
            <w:pPr>
              <w:rPr>
                <w:sz w:val="26"/>
                <w:szCs w:val="26"/>
              </w:rPr>
            </w:pPr>
            <w:r>
              <w:rPr>
                <w:sz w:val="26"/>
                <w:szCs w:val="26"/>
              </w:rPr>
              <w:t>IGS Energy</w:t>
            </w:r>
          </w:p>
          <w:p w:rsidR="00BE209C" w:rsidRDefault="00BE209C" w:rsidP="002B49FB">
            <w:pPr>
              <w:rPr>
                <w:sz w:val="26"/>
                <w:szCs w:val="26"/>
              </w:rPr>
            </w:pPr>
            <w:r>
              <w:rPr>
                <w:sz w:val="26"/>
                <w:szCs w:val="26"/>
              </w:rPr>
              <w:t>6100 Emerald Parkway</w:t>
            </w:r>
          </w:p>
          <w:p w:rsidR="00BE209C" w:rsidRDefault="00BE209C" w:rsidP="002B49FB">
            <w:pPr>
              <w:rPr>
                <w:sz w:val="26"/>
                <w:szCs w:val="26"/>
              </w:rPr>
            </w:pPr>
            <w:r>
              <w:rPr>
                <w:sz w:val="26"/>
                <w:szCs w:val="26"/>
              </w:rPr>
              <w:t>Dublin, OH  43016</w:t>
            </w:r>
          </w:p>
          <w:p w:rsidR="00BE209C" w:rsidRDefault="009E6255" w:rsidP="002B49FB">
            <w:pPr>
              <w:rPr>
                <w:sz w:val="26"/>
                <w:szCs w:val="26"/>
              </w:rPr>
            </w:pPr>
            <w:hyperlink r:id="rId19" w:history="1">
              <w:r w:rsidR="00BE209C" w:rsidRPr="00CF0FEC">
                <w:rPr>
                  <w:rStyle w:val="Hyperlink"/>
                  <w:sz w:val="26"/>
                  <w:szCs w:val="26"/>
                </w:rPr>
                <w:t>joliker@igsenergy.com</w:t>
              </w:r>
            </w:hyperlink>
          </w:p>
          <w:p w:rsidR="00BE209C" w:rsidRDefault="00BE209C" w:rsidP="002B49FB">
            <w:pPr>
              <w:rPr>
                <w:sz w:val="26"/>
                <w:szCs w:val="26"/>
              </w:rPr>
            </w:pPr>
          </w:p>
          <w:p w:rsidR="006E5B7B" w:rsidRDefault="006E5B7B" w:rsidP="002B49FB">
            <w:pPr>
              <w:rPr>
                <w:sz w:val="26"/>
                <w:szCs w:val="26"/>
              </w:rPr>
            </w:pPr>
            <w:r>
              <w:rPr>
                <w:sz w:val="26"/>
                <w:szCs w:val="26"/>
              </w:rPr>
              <w:t>Joseph Clark</w:t>
            </w:r>
          </w:p>
          <w:p w:rsidR="006E5B7B" w:rsidRDefault="006E5B7B" w:rsidP="002B49FB">
            <w:pPr>
              <w:rPr>
                <w:sz w:val="26"/>
                <w:szCs w:val="26"/>
              </w:rPr>
            </w:pPr>
            <w:r>
              <w:rPr>
                <w:sz w:val="26"/>
                <w:szCs w:val="26"/>
              </w:rPr>
              <w:t>Direct Energy Services</w:t>
            </w:r>
          </w:p>
          <w:p w:rsidR="006E5B7B" w:rsidRDefault="006E5B7B" w:rsidP="002B49FB">
            <w:pPr>
              <w:rPr>
                <w:sz w:val="26"/>
                <w:szCs w:val="26"/>
              </w:rPr>
            </w:pPr>
            <w:r>
              <w:rPr>
                <w:sz w:val="26"/>
                <w:szCs w:val="26"/>
              </w:rPr>
              <w:t>21 East State Street, 19</w:t>
            </w:r>
            <w:r w:rsidRPr="006E5B7B">
              <w:rPr>
                <w:sz w:val="26"/>
                <w:szCs w:val="26"/>
                <w:vertAlign w:val="superscript"/>
              </w:rPr>
              <w:t>th</w:t>
            </w:r>
            <w:r>
              <w:rPr>
                <w:sz w:val="26"/>
                <w:szCs w:val="26"/>
              </w:rPr>
              <w:t xml:space="preserve"> Floor</w:t>
            </w:r>
          </w:p>
          <w:p w:rsidR="006E5B7B" w:rsidRDefault="006E5B7B" w:rsidP="002B49FB">
            <w:pPr>
              <w:rPr>
                <w:sz w:val="26"/>
                <w:szCs w:val="26"/>
              </w:rPr>
            </w:pPr>
            <w:r>
              <w:rPr>
                <w:sz w:val="26"/>
                <w:szCs w:val="26"/>
              </w:rPr>
              <w:t>Columbus, OH  43215</w:t>
            </w:r>
          </w:p>
          <w:p w:rsidR="006E5B7B" w:rsidRPr="00221496" w:rsidRDefault="009E6255" w:rsidP="002B49FB">
            <w:pPr>
              <w:rPr>
                <w:sz w:val="26"/>
                <w:szCs w:val="26"/>
              </w:rPr>
            </w:pPr>
            <w:hyperlink r:id="rId20" w:history="1">
              <w:r w:rsidR="006E5B7B" w:rsidRPr="00CF0FEC">
                <w:rPr>
                  <w:rStyle w:val="Hyperlink"/>
                  <w:sz w:val="26"/>
                  <w:szCs w:val="26"/>
                </w:rPr>
                <w:t>joseph.clark@directenergy.com</w:t>
              </w:r>
            </w:hyperlink>
          </w:p>
        </w:tc>
        <w:tc>
          <w:tcPr>
            <w:tcW w:w="4788" w:type="dxa"/>
          </w:tcPr>
          <w:p w:rsidR="00977F01" w:rsidRDefault="00977F01" w:rsidP="002B49FB">
            <w:pPr>
              <w:rPr>
                <w:sz w:val="26"/>
                <w:szCs w:val="26"/>
              </w:rPr>
            </w:pPr>
            <w:r>
              <w:rPr>
                <w:sz w:val="26"/>
                <w:szCs w:val="26"/>
              </w:rPr>
              <w:lastRenderedPageBreak/>
              <w:t>Colleen L. Mooney</w:t>
            </w:r>
          </w:p>
          <w:p w:rsidR="00977F01" w:rsidRPr="00F70EF6" w:rsidRDefault="00977F01" w:rsidP="002B49FB">
            <w:pPr>
              <w:ind w:left="720" w:hanging="720"/>
              <w:rPr>
                <w:sz w:val="26"/>
                <w:szCs w:val="26"/>
              </w:rPr>
            </w:pPr>
            <w:r w:rsidRPr="00F70EF6">
              <w:rPr>
                <w:sz w:val="26"/>
                <w:szCs w:val="26"/>
              </w:rPr>
              <w:t>1431 Mulford Road</w:t>
            </w:r>
          </w:p>
          <w:p w:rsidR="00977F01" w:rsidRPr="00F70EF6" w:rsidRDefault="00977F01" w:rsidP="002B49FB">
            <w:pPr>
              <w:ind w:left="720" w:hanging="720"/>
              <w:rPr>
                <w:sz w:val="26"/>
                <w:szCs w:val="26"/>
              </w:rPr>
            </w:pPr>
            <w:smartTag w:uri="urn:schemas-microsoft-com:office:smarttags" w:element="place">
              <w:smartTag w:uri="urn:schemas-microsoft-com:office:smarttags" w:element="City">
                <w:r w:rsidRPr="00F70EF6">
                  <w:rPr>
                    <w:sz w:val="26"/>
                    <w:szCs w:val="26"/>
                  </w:rPr>
                  <w:lastRenderedPageBreak/>
                  <w:t>Columbus</w:t>
                </w:r>
              </w:smartTag>
              <w:r w:rsidRPr="00F70EF6">
                <w:rPr>
                  <w:sz w:val="26"/>
                  <w:szCs w:val="26"/>
                </w:rPr>
                <w:t xml:space="preserve">, </w:t>
              </w:r>
              <w:smartTag w:uri="urn:schemas-microsoft-com:office:smarttags" w:element="State">
                <w:r w:rsidRPr="00F70EF6">
                  <w:rPr>
                    <w:sz w:val="26"/>
                    <w:szCs w:val="26"/>
                  </w:rPr>
                  <w:t>OH</w:t>
                </w:r>
              </w:smartTag>
              <w:r w:rsidRPr="00F70EF6">
                <w:rPr>
                  <w:sz w:val="26"/>
                  <w:szCs w:val="26"/>
                </w:rPr>
                <w:t xml:space="preserve">  </w:t>
              </w:r>
              <w:smartTag w:uri="urn:schemas-microsoft-com:office:smarttags" w:element="PostalCode">
                <w:r w:rsidRPr="00F70EF6">
                  <w:rPr>
                    <w:sz w:val="26"/>
                    <w:szCs w:val="26"/>
                  </w:rPr>
                  <w:t>43212</w:t>
                </w:r>
              </w:smartTag>
            </w:smartTag>
          </w:p>
          <w:p w:rsidR="00977F01" w:rsidRPr="00F70EF6" w:rsidRDefault="00977F01" w:rsidP="002B49FB">
            <w:pPr>
              <w:ind w:left="720" w:hanging="720"/>
              <w:rPr>
                <w:sz w:val="26"/>
                <w:szCs w:val="26"/>
              </w:rPr>
            </w:pPr>
            <w:r w:rsidRPr="00F70EF6">
              <w:rPr>
                <w:sz w:val="26"/>
                <w:szCs w:val="26"/>
              </w:rPr>
              <w:t>614.488.5739 (telephone)</w:t>
            </w:r>
          </w:p>
          <w:p w:rsidR="00977F01" w:rsidRPr="00F70EF6" w:rsidRDefault="00977F01" w:rsidP="002B49FB">
            <w:pPr>
              <w:ind w:left="720" w:hanging="720"/>
              <w:rPr>
                <w:sz w:val="26"/>
                <w:szCs w:val="26"/>
              </w:rPr>
            </w:pPr>
            <w:r w:rsidRPr="00F70EF6">
              <w:rPr>
                <w:sz w:val="26"/>
                <w:szCs w:val="26"/>
              </w:rPr>
              <w:t>419.425.8862 (fax)</w:t>
            </w:r>
          </w:p>
          <w:p w:rsidR="00977F01" w:rsidRPr="00F70EF6" w:rsidRDefault="009E6255" w:rsidP="002B49FB">
            <w:pPr>
              <w:ind w:left="720" w:hanging="720"/>
              <w:rPr>
                <w:sz w:val="26"/>
                <w:szCs w:val="26"/>
              </w:rPr>
            </w:pPr>
            <w:hyperlink r:id="rId21" w:history="1">
              <w:r w:rsidR="00BE209C" w:rsidRPr="00CF0FEC">
                <w:rPr>
                  <w:rStyle w:val="Hyperlink"/>
                  <w:sz w:val="26"/>
                  <w:szCs w:val="26"/>
                </w:rPr>
                <w:t>cmooney@ohiopartners.org</w:t>
              </w:r>
            </w:hyperlink>
          </w:p>
          <w:p w:rsidR="00977F01" w:rsidRDefault="00977F01" w:rsidP="002B49FB">
            <w:pPr>
              <w:rPr>
                <w:sz w:val="26"/>
                <w:szCs w:val="26"/>
              </w:rPr>
            </w:pPr>
          </w:p>
          <w:p w:rsidR="00BE209C" w:rsidRDefault="00BE209C" w:rsidP="002B49FB">
            <w:pPr>
              <w:rPr>
                <w:sz w:val="26"/>
                <w:szCs w:val="26"/>
              </w:rPr>
            </w:pPr>
            <w:r>
              <w:rPr>
                <w:sz w:val="26"/>
                <w:szCs w:val="26"/>
              </w:rPr>
              <w:t>Kimberly J. Bojko</w:t>
            </w:r>
          </w:p>
          <w:p w:rsidR="00BE209C" w:rsidRDefault="00BE209C" w:rsidP="002B49FB">
            <w:pPr>
              <w:rPr>
                <w:sz w:val="26"/>
                <w:szCs w:val="26"/>
              </w:rPr>
            </w:pPr>
            <w:r>
              <w:rPr>
                <w:sz w:val="26"/>
                <w:szCs w:val="26"/>
              </w:rPr>
              <w:t>Carpenter Lipps &amp; Leland</w:t>
            </w:r>
          </w:p>
          <w:p w:rsidR="00BE209C" w:rsidRDefault="00BE209C" w:rsidP="002B49FB">
            <w:pPr>
              <w:rPr>
                <w:sz w:val="26"/>
                <w:szCs w:val="26"/>
              </w:rPr>
            </w:pPr>
            <w:r>
              <w:rPr>
                <w:sz w:val="26"/>
                <w:szCs w:val="26"/>
              </w:rPr>
              <w:t>280 North High Street</w:t>
            </w:r>
          </w:p>
          <w:p w:rsidR="00BE209C" w:rsidRDefault="00BE209C" w:rsidP="002B49FB">
            <w:pPr>
              <w:rPr>
                <w:sz w:val="26"/>
                <w:szCs w:val="26"/>
              </w:rPr>
            </w:pPr>
            <w:r>
              <w:rPr>
                <w:sz w:val="26"/>
                <w:szCs w:val="26"/>
              </w:rPr>
              <w:t>280 Plaza Suite 1300</w:t>
            </w:r>
          </w:p>
          <w:p w:rsidR="00BE209C" w:rsidRDefault="00BE209C" w:rsidP="002B49FB">
            <w:pPr>
              <w:rPr>
                <w:sz w:val="26"/>
                <w:szCs w:val="26"/>
              </w:rPr>
            </w:pPr>
            <w:r>
              <w:rPr>
                <w:sz w:val="26"/>
                <w:szCs w:val="26"/>
              </w:rPr>
              <w:t>Columbus, OH  43215</w:t>
            </w:r>
          </w:p>
          <w:p w:rsidR="00BE209C" w:rsidRDefault="009E6255" w:rsidP="002B49FB">
            <w:pPr>
              <w:rPr>
                <w:sz w:val="26"/>
                <w:szCs w:val="26"/>
              </w:rPr>
            </w:pPr>
            <w:hyperlink r:id="rId22" w:history="1">
              <w:r w:rsidR="00BE209C" w:rsidRPr="00CF0FEC">
                <w:rPr>
                  <w:rStyle w:val="Hyperlink"/>
                  <w:sz w:val="26"/>
                  <w:szCs w:val="26"/>
                </w:rPr>
                <w:t>bojko@carpenterlipps.com</w:t>
              </w:r>
            </w:hyperlink>
          </w:p>
          <w:p w:rsidR="00BE209C" w:rsidRDefault="00BE209C" w:rsidP="002B49FB">
            <w:pPr>
              <w:rPr>
                <w:sz w:val="26"/>
                <w:szCs w:val="26"/>
              </w:rPr>
            </w:pPr>
          </w:p>
          <w:p w:rsidR="006E5B7B" w:rsidRDefault="006E5B7B" w:rsidP="002B49FB">
            <w:pPr>
              <w:rPr>
                <w:sz w:val="26"/>
                <w:szCs w:val="26"/>
              </w:rPr>
            </w:pPr>
            <w:r>
              <w:rPr>
                <w:sz w:val="26"/>
                <w:szCs w:val="26"/>
              </w:rPr>
              <w:t>M. Howard Petricoff</w:t>
            </w:r>
          </w:p>
          <w:p w:rsidR="006E5B7B" w:rsidRDefault="006E5B7B" w:rsidP="002B49FB">
            <w:pPr>
              <w:rPr>
                <w:sz w:val="26"/>
                <w:szCs w:val="26"/>
              </w:rPr>
            </w:pPr>
            <w:r>
              <w:rPr>
                <w:sz w:val="26"/>
                <w:szCs w:val="26"/>
              </w:rPr>
              <w:t>Gretchen L. Petrucci</w:t>
            </w:r>
          </w:p>
          <w:p w:rsidR="006E5B7B" w:rsidRDefault="006E5B7B" w:rsidP="002B49FB">
            <w:pPr>
              <w:rPr>
                <w:sz w:val="26"/>
                <w:szCs w:val="26"/>
              </w:rPr>
            </w:pPr>
            <w:r>
              <w:rPr>
                <w:sz w:val="26"/>
                <w:szCs w:val="26"/>
              </w:rPr>
              <w:t>Vorys Sater Seymour &amp; Pease</w:t>
            </w:r>
          </w:p>
          <w:p w:rsidR="006E5B7B" w:rsidRDefault="006E5B7B" w:rsidP="002B49FB">
            <w:pPr>
              <w:rPr>
                <w:sz w:val="26"/>
                <w:szCs w:val="26"/>
              </w:rPr>
            </w:pPr>
            <w:r>
              <w:rPr>
                <w:sz w:val="26"/>
                <w:szCs w:val="26"/>
              </w:rPr>
              <w:t>52 East Gay Street</w:t>
            </w:r>
          </w:p>
          <w:p w:rsidR="006E5B7B" w:rsidRDefault="006E5B7B" w:rsidP="002B49FB">
            <w:pPr>
              <w:rPr>
                <w:sz w:val="26"/>
                <w:szCs w:val="26"/>
              </w:rPr>
            </w:pPr>
            <w:r>
              <w:rPr>
                <w:sz w:val="26"/>
                <w:szCs w:val="26"/>
              </w:rPr>
              <w:t>P.O. Box 1008</w:t>
            </w:r>
          </w:p>
          <w:p w:rsidR="006E5B7B" w:rsidRDefault="006E5B7B" w:rsidP="002B49FB">
            <w:pPr>
              <w:rPr>
                <w:sz w:val="26"/>
                <w:szCs w:val="26"/>
              </w:rPr>
            </w:pPr>
            <w:r>
              <w:rPr>
                <w:sz w:val="26"/>
                <w:szCs w:val="26"/>
              </w:rPr>
              <w:t>Columbus, OH  43216-1008</w:t>
            </w:r>
          </w:p>
          <w:p w:rsidR="006E5B7B" w:rsidRDefault="009E6255" w:rsidP="002B49FB">
            <w:pPr>
              <w:rPr>
                <w:sz w:val="26"/>
                <w:szCs w:val="26"/>
              </w:rPr>
            </w:pPr>
            <w:hyperlink r:id="rId23" w:history="1">
              <w:r w:rsidR="006E5B7B" w:rsidRPr="00CF0FEC">
                <w:rPr>
                  <w:rStyle w:val="Hyperlink"/>
                  <w:sz w:val="26"/>
                  <w:szCs w:val="26"/>
                </w:rPr>
                <w:t>mhpetricoff@vorys.com</w:t>
              </w:r>
            </w:hyperlink>
          </w:p>
          <w:p w:rsidR="006E5B7B" w:rsidRDefault="009E6255" w:rsidP="002B49FB">
            <w:pPr>
              <w:rPr>
                <w:sz w:val="26"/>
                <w:szCs w:val="26"/>
              </w:rPr>
            </w:pPr>
            <w:hyperlink r:id="rId24" w:history="1">
              <w:r w:rsidR="006E5B7B" w:rsidRPr="00CF0FEC">
                <w:rPr>
                  <w:rStyle w:val="Hyperlink"/>
                  <w:sz w:val="26"/>
                  <w:szCs w:val="26"/>
                </w:rPr>
                <w:t>glpetrucci@vorys.com</w:t>
              </w:r>
            </w:hyperlink>
          </w:p>
          <w:p w:rsidR="006E5B7B" w:rsidRDefault="006E5B7B" w:rsidP="002B49FB">
            <w:pPr>
              <w:rPr>
                <w:sz w:val="26"/>
                <w:szCs w:val="26"/>
              </w:rPr>
            </w:pPr>
          </w:p>
          <w:p w:rsidR="006E5B7B" w:rsidRPr="00221496" w:rsidRDefault="006E5B7B" w:rsidP="002B49FB">
            <w:pPr>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25"/>
      <w:footerReference w:type="default" r:id="rId26"/>
      <w:headerReference w:type="first" r:id="rId27"/>
      <w:footerReference w:type="first" r:id="rId2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FB" w:rsidRDefault="002B49FB" w:rsidP="008866FC">
      <w:pPr>
        <w:pStyle w:val="Title"/>
      </w:pPr>
      <w:r>
        <w:separator/>
      </w:r>
    </w:p>
  </w:endnote>
  <w:endnote w:type="continuationSeparator" w:id="0">
    <w:p w:rsidR="002B49FB" w:rsidRDefault="002B49FB"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Default="002B49FB"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7F5520" w:rsidRDefault="002B49FB"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C95499" w:rsidRDefault="002B49FB"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9E6255">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7F5520" w:rsidRDefault="002B49FB"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9E6255">
      <w:rPr>
        <w:rStyle w:val="PageNumber"/>
        <w:noProof/>
        <w:sz w:val="24"/>
        <w:szCs w:val="24"/>
      </w:rPr>
      <w:t>8</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C95499" w:rsidRDefault="002B49FB"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FB" w:rsidRDefault="002B49FB" w:rsidP="00663D6A">
      <w:pPr>
        <w:pStyle w:val="Title"/>
        <w:jc w:val="left"/>
      </w:pPr>
      <w:r>
        <w:separator/>
      </w:r>
    </w:p>
  </w:footnote>
  <w:footnote w:type="continuationSeparator" w:id="0">
    <w:p w:rsidR="002B49FB" w:rsidRDefault="002B49FB" w:rsidP="008866FC">
      <w:pPr>
        <w:pStyle w:val="Title"/>
      </w:pPr>
      <w:r>
        <w:continuationSeparator/>
      </w:r>
    </w:p>
  </w:footnote>
  <w:footnote w:id="1">
    <w:p w:rsidR="002B49FB" w:rsidRDefault="002B49FB">
      <w:pPr>
        <w:pStyle w:val="FootnoteText"/>
      </w:pPr>
      <w:r>
        <w:rPr>
          <w:rStyle w:val="FootnoteReference"/>
        </w:rPr>
        <w:footnoteRef/>
      </w:r>
      <w:r>
        <w:t xml:space="preserve"> </w:t>
      </w:r>
      <w:r>
        <w:tab/>
      </w:r>
      <w:r>
        <w:tab/>
      </w:r>
      <w:r>
        <w:rPr>
          <w:i/>
        </w:rPr>
        <w:t>In the Matter of the Application of Duke Energy Ohio, Inc. to Adjust Rider DR-IM and Rider AU for 2013 Grid Modernization Costs</w:t>
      </w:r>
      <w:r>
        <w:t>, Case No. 14-1051-GE-RDR (“</w:t>
      </w:r>
      <w:r>
        <w:rPr>
          <w:i/>
        </w:rPr>
        <w:t>In re Duke</w:t>
      </w:r>
      <w:r>
        <w:t>”) (Prefiled Testimony of Peter K. Baker at 5) (Dec. 31, 2013) (“Baker Testimony”).</w:t>
      </w:r>
    </w:p>
  </w:footnote>
  <w:footnote w:id="2">
    <w:p w:rsidR="002B49FB" w:rsidRDefault="002B49FB">
      <w:pPr>
        <w:pStyle w:val="FootnoteText"/>
      </w:pPr>
      <w:r>
        <w:rPr>
          <w:rStyle w:val="FootnoteReference"/>
        </w:rPr>
        <w:footnoteRef/>
      </w:r>
      <w:r>
        <w:t xml:space="preserve"> </w:t>
      </w:r>
      <w:r>
        <w:tab/>
      </w:r>
      <w:r>
        <w:tab/>
      </w:r>
      <w:r>
        <w:rPr>
          <w:i/>
        </w:rPr>
        <w:t>Id</w:t>
      </w:r>
      <w:r>
        <w:t>.</w:t>
      </w:r>
    </w:p>
  </w:footnote>
  <w:footnote w:id="3">
    <w:p w:rsidR="002B49FB" w:rsidRDefault="002B49FB" w:rsidP="0094413A">
      <w:pPr>
        <w:pStyle w:val="FootnoteText"/>
      </w:pPr>
      <w:r>
        <w:rPr>
          <w:rStyle w:val="FootnoteReference"/>
        </w:rPr>
        <w:footnoteRef/>
      </w:r>
      <w:r>
        <w:t xml:space="preserve"> </w:t>
      </w:r>
      <w:r>
        <w:tab/>
      </w:r>
      <w:r>
        <w:tab/>
      </w:r>
      <w:r w:rsidRPr="00CB2DD5">
        <w:t>Duke is required to keep its books in acco</w:t>
      </w:r>
      <w:r>
        <w:t>rdance with the USOA.  Ohio Adm.</w:t>
      </w:r>
      <w:r w:rsidRPr="00CB2DD5">
        <w:t>Code 4901:1-13-13(A).</w:t>
      </w:r>
      <w:r>
        <w:t xml:space="preserve"> </w:t>
      </w:r>
    </w:p>
  </w:footnote>
  <w:footnote w:id="4">
    <w:p w:rsidR="002B49FB" w:rsidRDefault="002B49FB">
      <w:pPr>
        <w:pStyle w:val="FootnoteText"/>
      </w:pPr>
      <w:r>
        <w:rPr>
          <w:rStyle w:val="FootnoteReference"/>
        </w:rPr>
        <w:footnoteRef/>
      </w:r>
      <w:r>
        <w:t xml:space="preserve"> </w:t>
      </w:r>
      <w:r>
        <w:tab/>
      </w:r>
      <w:r>
        <w:tab/>
        <w:t>Baker Testimony at 5-6.</w:t>
      </w:r>
    </w:p>
  </w:footnote>
  <w:footnote w:id="5">
    <w:p w:rsidR="002B49FB" w:rsidRDefault="002B49FB">
      <w:pPr>
        <w:pStyle w:val="FootnoteText"/>
      </w:pPr>
      <w:r>
        <w:rPr>
          <w:rStyle w:val="FootnoteReference"/>
        </w:rPr>
        <w:footnoteRef/>
      </w:r>
      <w:r>
        <w:t xml:space="preserve"> </w:t>
      </w:r>
      <w:r>
        <w:tab/>
      </w:r>
      <w:r>
        <w:tab/>
      </w:r>
      <w:r>
        <w:rPr>
          <w:i/>
        </w:rPr>
        <w:t>Id</w:t>
      </w:r>
      <w:r>
        <w:t>.</w:t>
      </w:r>
    </w:p>
  </w:footnote>
  <w:footnote w:id="6">
    <w:p w:rsidR="002B49FB" w:rsidRDefault="002B49FB">
      <w:pPr>
        <w:pStyle w:val="FootnoteText"/>
      </w:pPr>
      <w:r>
        <w:rPr>
          <w:rStyle w:val="FootnoteReference"/>
        </w:rPr>
        <w:footnoteRef/>
      </w:r>
      <w:r>
        <w:t xml:space="preserve"> </w:t>
      </w:r>
      <w:r>
        <w:tab/>
      </w:r>
      <w:r>
        <w:tab/>
      </w:r>
      <w:r>
        <w:rPr>
          <w:i/>
        </w:rPr>
        <w:t>Id</w:t>
      </w:r>
      <w:r>
        <w:t>.</w:t>
      </w:r>
    </w:p>
  </w:footnote>
  <w:footnote w:id="7">
    <w:p w:rsidR="002B49FB" w:rsidRDefault="002B49FB">
      <w:pPr>
        <w:pStyle w:val="FootnoteText"/>
      </w:pPr>
      <w:r>
        <w:rPr>
          <w:rStyle w:val="FootnoteReference"/>
        </w:rPr>
        <w:footnoteRef/>
      </w:r>
      <w:r>
        <w:t xml:space="preserve"> </w:t>
      </w:r>
      <w:r>
        <w:tab/>
      </w:r>
      <w:r>
        <w:tab/>
        <w:t>Baker T</w:t>
      </w:r>
      <w:r w:rsidRPr="0094413A">
        <w:t>estimony at 6-7.</w:t>
      </w:r>
    </w:p>
  </w:footnote>
  <w:footnote w:id="8">
    <w:p w:rsidR="002B49FB" w:rsidRDefault="002B49FB">
      <w:pPr>
        <w:pStyle w:val="FootnoteText"/>
      </w:pPr>
      <w:r>
        <w:rPr>
          <w:rStyle w:val="FootnoteReference"/>
        </w:rPr>
        <w:footnoteRef/>
      </w:r>
      <w:r>
        <w:t xml:space="preserve"> </w:t>
      </w:r>
      <w:r>
        <w:tab/>
      </w:r>
      <w:r>
        <w:tab/>
      </w:r>
      <w:r>
        <w:rPr>
          <w:i/>
        </w:rPr>
        <w:t>Id</w:t>
      </w:r>
      <w:r w:rsidRPr="0094413A">
        <w:t>.</w:t>
      </w:r>
    </w:p>
  </w:footnote>
  <w:footnote w:id="9">
    <w:p w:rsidR="002B49FB" w:rsidRDefault="002B49FB">
      <w:pPr>
        <w:pStyle w:val="FootnoteText"/>
      </w:pPr>
      <w:r>
        <w:rPr>
          <w:rStyle w:val="FootnoteReference"/>
        </w:rPr>
        <w:footnoteRef/>
      </w:r>
      <w:r>
        <w:t xml:space="preserve"> </w:t>
      </w:r>
      <w:r>
        <w:tab/>
      </w:r>
      <w:r>
        <w:tab/>
      </w:r>
      <w:r>
        <w:rPr>
          <w:i/>
        </w:rPr>
        <w:t>Id</w:t>
      </w:r>
      <w:r>
        <w:t>.</w:t>
      </w:r>
      <w:r w:rsidRPr="0094413A">
        <w:t xml:space="preserve"> at 7.</w:t>
      </w:r>
    </w:p>
  </w:footnote>
  <w:footnote w:id="10">
    <w:p w:rsidR="002B49FB" w:rsidRDefault="002B49FB">
      <w:pPr>
        <w:pStyle w:val="FootnoteText"/>
      </w:pPr>
      <w:r>
        <w:rPr>
          <w:rStyle w:val="FootnoteReference"/>
        </w:rPr>
        <w:footnoteRef/>
      </w:r>
      <w:r>
        <w:t xml:space="preserve"> </w:t>
      </w:r>
      <w:r>
        <w:tab/>
      </w:r>
      <w:r>
        <w:tab/>
      </w:r>
      <w:r>
        <w:rPr>
          <w:i/>
        </w:rPr>
        <w:t>Id</w:t>
      </w:r>
      <w:r>
        <w:t>. at 6.</w:t>
      </w:r>
    </w:p>
  </w:footnote>
  <w:footnote w:id="11">
    <w:p w:rsidR="002B49FB" w:rsidRDefault="002B49FB">
      <w:pPr>
        <w:pStyle w:val="FootnoteText"/>
      </w:pPr>
      <w:r>
        <w:rPr>
          <w:rStyle w:val="FootnoteReference"/>
        </w:rPr>
        <w:footnoteRef/>
      </w:r>
      <w:r>
        <w:t xml:space="preserve"> </w:t>
      </w:r>
      <w:r>
        <w:tab/>
      </w:r>
      <w:r>
        <w:tab/>
      </w:r>
      <w:r w:rsidR="008934F9">
        <w:t>Baker T</w:t>
      </w:r>
      <w:r w:rsidR="008934F9" w:rsidRPr="0094413A">
        <w:t>estimony</w:t>
      </w:r>
      <w:r>
        <w:t xml:space="preserve"> at 7.</w:t>
      </w:r>
    </w:p>
  </w:footnote>
  <w:footnote w:id="12">
    <w:p w:rsidR="002B49FB" w:rsidRDefault="002B49FB" w:rsidP="0094413A">
      <w:pPr>
        <w:pStyle w:val="FootnoteText"/>
      </w:pPr>
      <w:r>
        <w:rPr>
          <w:rStyle w:val="FootnoteReference"/>
        </w:rPr>
        <w:footnoteRef/>
      </w:r>
      <w:r>
        <w:t xml:space="preserve"> </w:t>
      </w:r>
      <w:r>
        <w:tab/>
      </w:r>
      <w:r>
        <w:tab/>
        <w:t>To the extent that the gas modules are put in service and certified as used and use</w:t>
      </w:r>
      <w:r w:rsidR="00C76BEB">
        <w:softHyphen/>
      </w:r>
      <w:r w:rsidR="00492054">
        <w:t>ful in 2014</w:t>
      </w:r>
      <w:r>
        <w:t xml:space="preserve"> Staff would deem them to be ap</w:t>
      </w:r>
      <w:r w:rsidR="00A36BAE">
        <w:t xml:space="preserve">propriately included </w:t>
      </w:r>
      <w:r w:rsidR="00DD11DC">
        <w:t>for recovery as part of</w:t>
      </w:r>
      <w:r w:rsidR="00A36BAE">
        <w:t xml:space="preserve"> 2014 Rider AU costs</w:t>
      </w:r>
      <w:r>
        <w:t xml:space="preserve">.  </w:t>
      </w:r>
      <w:r w:rsidR="00B903E4">
        <w:t>Transcript</w:t>
      </w:r>
      <w:r>
        <w:t xml:space="preserve"> at 224</w:t>
      </w:r>
      <w:r w:rsidR="008A6B6F">
        <w:t xml:space="preserve"> (Feb. 19, 2015)</w:t>
      </w:r>
      <w:r>
        <w:t xml:space="preserve">. </w:t>
      </w:r>
    </w:p>
  </w:footnote>
  <w:footnote w:id="13">
    <w:p w:rsidR="002B49FB" w:rsidRDefault="002B49FB">
      <w:pPr>
        <w:pStyle w:val="FootnoteText"/>
      </w:pPr>
      <w:r>
        <w:rPr>
          <w:rStyle w:val="FootnoteReference"/>
        </w:rPr>
        <w:footnoteRef/>
      </w:r>
      <w:r>
        <w:t xml:space="preserve"> </w:t>
      </w:r>
      <w:r>
        <w:tab/>
      </w:r>
      <w:r>
        <w:tab/>
      </w:r>
      <w:r w:rsidR="00B903E4">
        <w:rPr>
          <w:i/>
        </w:rPr>
        <w:t>In re Duke</w:t>
      </w:r>
      <w:r w:rsidR="00B903E4">
        <w:t xml:space="preserve"> (Prefiled Testimony of Kimberly Child</w:t>
      </w:r>
      <w:r>
        <w:t>s at 3</w:t>
      </w:r>
      <w:r w:rsidR="00492054">
        <w:t>) (Dec. 31, 2014) (“Childs</w:t>
      </w:r>
      <w:r w:rsidR="00B903E4">
        <w:t xml:space="preserve"> Testimony”)</w:t>
      </w:r>
      <w:r>
        <w:t xml:space="preserve">.  </w:t>
      </w:r>
    </w:p>
  </w:footnote>
  <w:footnote w:id="14">
    <w:p w:rsidR="002B49FB" w:rsidRDefault="002B49FB">
      <w:pPr>
        <w:pStyle w:val="FootnoteText"/>
      </w:pPr>
      <w:r>
        <w:rPr>
          <w:rStyle w:val="FootnoteReference"/>
        </w:rPr>
        <w:footnoteRef/>
      </w:r>
      <w:r>
        <w:t xml:space="preserve"> </w:t>
      </w:r>
      <w:r>
        <w:tab/>
      </w:r>
      <w:r>
        <w:tab/>
      </w:r>
      <w:r w:rsidR="00B903E4">
        <w:rPr>
          <w:i/>
        </w:rPr>
        <w:t>In re Duke</w:t>
      </w:r>
      <w:r w:rsidR="00B903E4">
        <w:t xml:space="preserve"> (Prefiled Testimony of Kimberly Childs at 3) (Dec. 31, 2014)</w:t>
      </w:r>
      <w:r>
        <w:t>; Staff Comments at 7</w:t>
      </w:r>
      <w:r w:rsidR="00B903E4">
        <w:t xml:space="preserve"> (Oct. 17, 2014)</w:t>
      </w:r>
      <w:r>
        <w:t>.</w:t>
      </w:r>
    </w:p>
  </w:footnote>
  <w:footnote w:id="15">
    <w:p w:rsidR="002B49FB" w:rsidRDefault="002B49FB">
      <w:pPr>
        <w:pStyle w:val="FootnoteText"/>
      </w:pPr>
      <w:r>
        <w:rPr>
          <w:rStyle w:val="FootnoteReference"/>
        </w:rPr>
        <w:footnoteRef/>
      </w:r>
      <w:r>
        <w:t xml:space="preserve"> </w:t>
      </w:r>
      <w:r>
        <w:tab/>
      </w:r>
      <w:r>
        <w:tab/>
      </w:r>
      <w:r w:rsidR="00492054">
        <w:t>Childs</w:t>
      </w:r>
      <w:r w:rsidR="00B903E4">
        <w:t xml:space="preserve"> T</w:t>
      </w:r>
      <w:r>
        <w:t>estimony at 3.</w:t>
      </w:r>
    </w:p>
  </w:footnote>
  <w:footnote w:id="16">
    <w:p w:rsidR="002B49FB" w:rsidRDefault="002B49FB">
      <w:pPr>
        <w:pStyle w:val="FootnoteText"/>
      </w:pPr>
      <w:r>
        <w:rPr>
          <w:rStyle w:val="FootnoteReference"/>
        </w:rPr>
        <w:footnoteRef/>
      </w:r>
      <w:r>
        <w:t xml:space="preserve"> </w:t>
      </w:r>
      <w:r>
        <w:tab/>
      </w:r>
      <w:r>
        <w:tab/>
      </w:r>
      <w:r w:rsidR="002A3A2C">
        <w:t>Childs Testimony at 3</w:t>
      </w:r>
      <w:r w:rsidR="002A3A2C">
        <w:t>.</w:t>
      </w:r>
    </w:p>
  </w:footnote>
  <w:footnote w:id="17">
    <w:p w:rsidR="002B49FB" w:rsidRDefault="002B49FB">
      <w:pPr>
        <w:pStyle w:val="FootnoteText"/>
      </w:pPr>
      <w:r>
        <w:rPr>
          <w:rStyle w:val="FootnoteReference"/>
        </w:rPr>
        <w:footnoteRef/>
      </w:r>
      <w:r>
        <w:t xml:space="preserve"> </w:t>
      </w:r>
      <w:r>
        <w:tab/>
      </w:r>
      <w:r>
        <w:tab/>
      </w:r>
      <w:r w:rsidR="00B903E4">
        <w:t>Baker T</w:t>
      </w:r>
      <w:r>
        <w:t>estimony at 3.</w:t>
      </w:r>
    </w:p>
  </w:footnote>
  <w:footnote w:id="18">
    <w:p w:rsidR="002B49FB" w:rsidRDefault="002B49FB">
      <w:pPr>
        <w:pStyle w:val="FootnoteText"/>
      </w:pPr>
      <w:r>
        <w:rPr>
          <w:rStyle w:val="FootnoteReference"/>
        </w:rPr>
        <w:footnoteRef/>
      </w:r>
      <w:r>
        <w:t xml:space="preserve"> </w:t>
      </w:r>
      <w:r>
        <w:tab/>
      </w:r>
      <w:r>
        <w:tab/>
      </w:r>
      <w:r w:rsidR="00B903E4">
        <w:rPr>
          <w:i/>
        </w:rPr>
        <w:t>Id</w:t>
      </w:r>
      <w:r>
        <w:t>.</w:t>
      </w:r>
    </w:p>
  </w:footnote>
  <w:footnote w:id="19">
    <w:p w:rsidR="002B49FB" w:rsidRDefault="002B49FB">
      <w:pPr>
        <w:pStyle w:val="FootnoteText"/>
      </w:pPr>
      <w:r>
        <w:rPr>
          <w:rStyle w:val="FootnoteReference"/>
        </w:rPr>
        <w:footnoteRef/>
      </w:r>
      <w:r>
        <w:t xml:space="preserve"> </w:t>
      </w:r>
      <w:r>
        <w:tab/>
      </w:r>
      <w:r>
        <w:tab/>
      </w:r>
      <w:r w:rsidR="00B903E4">
        <w:rPr>
          <w:i/>
        </w:rPr>
        <w:t>Id</w:t>
      </w:r>
      <w:r w:rsidR="00B903E4">
        <w:t>.</w:t>
      </w:r>
    </w:p>
  </w:footnote>
  <w:footnote w:id="20">
    <w:p w:rsidR="002B49FB" w:rsidRDefault="002B49FB">
      <w:pPr>
        <w:pStyle w:val="FootnoteText"/>
      </w:pPr>
      <w:r>
        <w:rPr>
          <w:rStyle w:val="FootnoteReference"/>
        </w:rPr>
        <w:footnoteRef/>
      </w:r>
      <w:r>
        <w:t xml:space="preserve"> </w:t>
      </w:r>
      <w:r>
        <w:tab/>
      </w:r>
      <w:r>
        <w:tab/>
      </w:r>
      <w:r w:rsidR="00B903E4">
        <w:rPr>
          <w:i/>
        </w:rPr>
        <w:t>Id</w:t>
      </w:r>
      <w:r w:rsidR="00B903E4">
        <w:t>.</w:t>
      </w:r>
    </w:p>
  </w:footnote>
  <w:footnote w:id="21">
    <w:p w:rsidR="002B49FB" w:rsidRDefault="002B49FB">
      <w:pPr>
        <w:pStyle w:val="FootnoteText"/>
      </w:pPr>
      <w:r>
        <w:rPr>
          <w:rStyle w:val="FootnoteReference"/>
        </w:rPr>
        <w:footnoteRef/>
      </w:r>
      <w:r>
        <w:t xml:space="preserve"> </w:t>
      </w:r>
      <w:r>
        <w:tab/>
      </w:r>
      <w:r>
        <w:tab/>
      </w:r>
      <w:r w:rsidR="00B903E4">
        <w:rPr>
          <w:i/>
        </w:rPr>
        <w:t>Id</w:t>
      </w:r>
      <w:r w:rsidR="00B903E4">
        <w:t>.</w:t>
      </w:r>
      <w:r>
        <w:t xml:space="preserve"> at 4.</w:t>
      </w:r>
    </w:p>
  </w:footnote>
  <w:footnote w:id="22">
    <w:p w:rsidR="002B49FB" w:rsidRDefault="002B49FB">
      <w:pPr>
        <w:pStyle w:val="FootnoteText"/>
      </w:pPr>
      <w:r>
        <w:rPr>
          <w:rStyle w:val="FootnoteReference"/>
        </w:rPr>
        <w:footnoteRef/>
      </w:r>
      <w:r>
        <w:t xml:space="preserve"> </w:t>
      </w:r>
      <w:r>
        <w:tab/>
      </w:r>
      <w:r>
        <w:tab/>
      </w:r>
      <w:r w:rsidR="00B903E4">
        <w:rPr>
          <w:i/>
        </w:rPr>
        <w:t>Id</w:t>
      </w:r>
      <w:r>
        <w:t>.</w:t>
      </w:r>
    </w:p>
  </w:footnote>
  <w:footnote w:id="23">
    <w:p w:rsidR="002B49FB" w:rsidRDefault="002B49FB">
      <w:pPr>
        <w:pStyle w:val="FootnoteText"/>
      </w:pPr>
      <w:r>
        <w:rPr>
          <w:rStyle w:val="FootnoteReference"/>
        </w:rPr>
        <w:footnoteRef/>
      </w:r>
      <w:r>
        <w:t xml:space="preserve"> </w:t>
      </w:r>
      <w:r>
        <w:tab/>
      </w:r>
      <w:r>
        <w:tab/>
      </w:r>
      <w:r w:rsidR="002A3A2C">
        <w:t>Baker T</w:t>
      </w:r>
      <w:r w:rsidR="002A3A2C">
        <w:t>estimony at 4.</w:t>
      </w:r>
    </w:p>
  </w:footnote>
  <w:footnote w:id="24">
    <w:p w:rsidR="002B49FB" w:rsidRDefault="002B49FB">
      <w:pPr>
        <w:pStyle w:val="FootnoteText"/>
      </w:pPr>
      <w:r>
        <w:rPr>
          <w:rStyle w:val="FootnoteReference"/>
        </w:rPr>
        <w:footnoteRef/>
      </w:r>
      <w:r>
        <w:t xml:space="preserve"> </w:t>
      </w:r>
      <w:r>
        <w:tab/>
      </w:r>
      <w:r>
        <w:tab/>
      </w:r>
      <w:r w:rsidR="002A3A2C">
        <w:rPr>
          <w:i/>
        </w:rPr>
        <w:t>Id</w:t>
      </w:r>
      <w:r>
        <w:t>.</w:t>
      </w:r>
    </w:p>
  </w:footnote>
  <w:footnote w:id="25">
    <w:p w:rsidR="002B49FB" w:rsidRDefault="002B49FB">
      <w:pPr>
        <w:pStyle w:val="FootnoteText"/>
      </w:pPr>
      <w:r>
        <w:rPr>
          <w:rStyle w:val="FootnoteReference"/>
        </w:rPr>
        <w:footnoteRef/>
      </w:r>
      <w:r w:rsidR="008A6B6F">
        <w:t xml:space="preserve"> </w:t>
      </w:r>
      <w:r w:rsidR="008A6B6F">
        <w:tab/>
      </w:r>
      <w:r w:rsidR="008A6B6F">
        <w:tab/>
        <w:t>Transcript</w:t>
      </w:r>
      <w:r>
        <w:t xml:space="preserve"> at 104-105</w:t>
      </w:r>
      <w:r w:rsidR="008A6B6F">
        <w:t xml:space="preserve"> (Feb. 19, 2015)</w:t>
      </w:r>
      <w:r>
        <w:t>.</w:t>
      </w:r>
    </w:p>
  </w:footnote>
  <w:footnote w:id="26">
    <w:p w:rsidR="002B49FB" w:rsidRDefault="002B49FB">
      <w:pPr>
        <w:pStyle w:val="FootnoteText"/>
      </w:pPr>
      <w:r>
        <w:rPr>
          <w:rStyle w:val="FootnoteReference"/>
        </w:rPr>
        <w:footnoteRef/>
      </w:r>
      <w:r>
        <w:t xml:space="preserve"> </w:t>
      </w:r>
      <w:r>
        <w:tab/>
      </w:r>
      <w:r>
        <w:tab/>
      </w:r>
      <w:r w:rsidR="00B903E4">
        <w:rPr>
          <w:i/>
        </w:rPr>
        <w:t>In re Duke</w:t>
      </w:r>
      <w:r w:rsidR="00B903E4">
        <w:t xml:space="preserve"> (Prefiled </w:t>
      </w:r>
      <w:r>
        <w:t>Testimony of Craig Smith at 2</w:t>
      </w:r>
      <w:r w:rsidR="00B903E4">
        <w:t>) (Dec. 31, 2014) (“Smith Testimony”)</w:t>
      </w:r>
      <w:r>
        <w:t>.</w:t>
      </w:r>
    </w:p>
  </w:footnote>
  <w:footnote w:id="27">
    <w:p w:rsidR="002B49FB" w:rsidRDefault="002B49FB">
      <w:pPr>
        <w:pStyle w:val="FootnoteText"/>
      </w:pPr>
      <w:r>
        <w:rPr>
          <w:rStyle w:val="FootnoteReference"/>
        </w:rPr>
        <w:footnoteRef/>
      </w:r>
      <w:r>
        <w:t xml:space="preserve"> </w:t>
      </w:r>
      <w:r>
        <w:tab/>
      </w:r>
      <w:r>
        <w:tab/>
        <w:t xml:space="preserve">Smith </w:t>
      </w:r>
      <w:r w:rsidR="00B903E4">
        <w:t xml:space="preserve">Testimony </w:t>
      </w:r>
      <w:r>
        <w:t xml:space="preserve">at 4.  </w:t>
      </w:r>
    </w:p>
  </w:footnote>
  <w:footnote w:id="28">
    <w:p w:rsidR="002B49FB" w:rsidRDefault="002B49FB">
      <w:pPr>
        <w:pStyle w:val="FootnoteText"/>
      </w:pPr>
      <w:r>
        <w:rPr>
          <w:rStyle w:val="FootnoteReference"/>
        </w:rPr>
        <w:footnoteRef/>
      </w:r>
      <w:r>
        <w:t xml:space="preserve"> </w:t>
      </w:r>
      <w:r>
        <w:tab/>
      </w:r>
      <w:r>
        <w:tab/>
      </w:r>
      <w:r w:rsidR="00B903E4">
        <w:rPr>
          <w:i/>
        </w:rPr>
        <w:t>Id</w:t>
      </w:r>
      <w:r>
        <w:t>.</w:t>
      </w:r>
    </w:p>
  </w:footnote>
  <w:footnote w:id="29">
    <w:p w:rsidR="002B49FB" w:rsidRDefault="002B49FB">
      <w:pPr>
        <w:pStyle w:val="FootnoteText"/>
      </w:pPr>
      <w:r>
        <w:rPr>
          <w:rStyle w:val="FootnoteReference"/>
        </w:rPr>
        <w:footnoteRef/>
      </w:r>
      <w:r>
        <w:t xml:space="preserve"> </w:t>
      </w:r>
      <w:r>
        <w:tab/>
      </w:r>
      <w:r>
        <w:tab/>
        <w:t>Tr</w:t>
      </w:r>
      <w:r w:rsidR="008A6B6F">
        <w:t>anscript</w:t>
      </w:r>
      <w:r>
        <w:t xml:space="preserve"> at 9, 10, 204</w:t>
      </w:r>
      <w:r w:rsidR="008A6B6F">
        <w:t xml:space="preserve"> (Feb. 19, 2015)</w:t>
      </w:r>
      <w:r>
        <w:t>.</w:t>
      </w:r>
    </w:p>
  </w:footnote>
  <w:footnote w:id="30">
    <w:p w:rsidR="002B49FB" w:rsidRDefault="002B49FB">
      <w:pPr>
        <w:pStyle w:val="FootnoteText"/>
      </w:pPr>
      <w:r>
        <w:rPr>
          <w:rStyle w:val="FootnoteReference"/>
        </w:rPr>
        <w:footnoteRef/>
      </w:r>
      <w:r>
        <w:t xml:space="preserve"> </w:t>
      </w:r>
      <w:r>
        <w:tab/>
      </w:r>
      <w:r>
        <w:tab/>
      </w:r>
      <w:r w:rsidR="00492054">
        <w:t>Childs</w:t>
      </w:r>
      <w:r w:rsidR="00B903E4">
        <w:t xml:space="preserve"> T</w:t>
      </w:r>
      <w:r>
        <w:t>estimony at 2-3, Tr. at 21.</w:t>
      </w:r>
    </w:p>
  </w:footnote>
  <w:footnote w:id="31">
    <w:p w:rsidR="002B49FB" w:rsidRDefault="002B49FB">
      <w:pPr>
        <w:pStyle w:val="FootnoteText"/>
      </w:pPr>
      <w:r>
        <w:rPr>
          <w:rStyle w:val="FootnoteReference"/>
        </w:rPr>
        <w:footnoteRef/>
      </w:r>
      <w:r>
        <w:t xml:space="preserve"> </w:t>
      </w:r>
      <w:r>
        <w:tab/>
      </w:r>
      <w:r>
        <w:tab/>
      </w:r>
      <w:r w:rsidR="00492054">
        <w:t>Childs</w:t>
      </w:r>
      <w:r w:rsidR="00B903E4">
        <w:t xml:space="preserve"> T</w:t>
      </w:r>
      <w:r>
        <w:t>estimony at 2-3.</w:t>
      </w:r>
    </w:p>
  </w:footnote>
  <w:footnote w:id="32">
    <w:p w:rsidR="002B49FB" w:rsidRDefault="002B49FB">
      <w:pPr>
        <w:pStyle w:val="FootnoteText"/>
      </w:pPr>
      <w:r>
        <w:rPr>
          <w:rStyle w:val="FootnoteReference"/>
        </w:rPr>
        <w:footnoteRef/>
      </w:r>
      <w:r>
        <w:t xml:space="preserve"> </w:t>
      </w:r>
      <w:r>
        <w:tab/>
      </w:r>
      <w:r>
        <w:tab/>
      </w:r>
      <w:r w:rsidR="00B903E4">
        <w:rPr>
          <w:i/>
        </w:rPr>
        <w:t>Id</w:t>
      </w:r>
      <w:r w:rsidR="00B903E4">
        <w:t>.</w:t>
      </w:r>
    </w:p>
  </w:footnote>
  <w:footnote w:id="33">
    <w:p w:rsidR="002B49FB" w:rsidRDefault="002B49FB">
      <w:pPr>
        <w:pStyle w:val="FootnoteText"/>
      </w:pPr>
      <w:r>
        <w:rPr>
          <w:rStyle w:val="FootnoteReference"/>
        </w:rPr>
        <w:footnoteRef/>
      </w:r>
      <w:r>
        <w:t xml:space="preserve"> </w:t>
      </w:r>
      <w:r>
        <w:tab/>
      </w:r>
      <w:r>
        <w:tab/>
        <w:t>T</w:t>
      </w:r>
      <w:r w:rsidR="008A6B6F">
        <w:t>ranscript</w:t>
      </w:r>
      <w:r>
        <w:t xml:space="preserve"> at 21</w:t>
      </w:r>
      <w:r w:rsidR="008A6B6F">
        <w:t xml:space="preserve"> (Feb. 19,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Default="002B49FB"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E6255">
      <w:rPr>
        <w:b/>
        <w:noProof/>
        <w:color w:val="FF0000"/>
      </w:rPr>
      <w:t>3/9/2015</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E6255">
      <w:rPr>
        <w:b/>
        <w:noProof/>
        <w:color w:val="FF0000"/>
      </w:rPr>
      <w:t>10:36:38 AM</w:t>
    </w:r>
    <w:r>
      <w:rPr>
        <w:b/>
        <w:color w:val="FF0000"/>
      </w:rPr>
      <w:fldChar w:fldCharType="end"/>
    </w:r>
  </w:p>
  <w:p w:rsidR="002B49FB" w:rsidRPr="003B12DD" w:rsidRDefault="002B49FB"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E6255">
      <w:rPr>
        <w:b/>
        <w:noProof/>
        <w:color w:val="FF0000"/>
      </w:rPr>
      <w:t>\\puc\shares\Departments\Attorney General\Attorneys\Johnson\PUCO\Electricity\14-1051-GE-RDR\Brief\Initial Brief 030915.docx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Default="002B49FB"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9E6255">
      <w:rPr>
        <w:b/>
        <w:noProof/>
        <w:color w:val="FF0000"/>
      </w:rPr>
      <w:t>3/9/2015</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9E6255">
      <w:rPr>
        <w:b/>
        <w:noProof/>
        <w:color w:val="FF0000"/>
      </w:rPr>
      <w:t>10:36:38 AM</w:t>
    </w:r>
    <w:r>
      <w:rPr>
        <w:b/>
        <w:color w:val="FF0000"/>
      </w:rPr>
      <w:fldChar w:fldCharType="end"/>
    </w:r>
  </w:p>
  <w:p w:rsidR="002B49FB" w:rsidRPr="003B12DD" w:rsidRDefault="002B49FB"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9E6255">
      <w:rPr>
        <w:b/>
        <w:noProof/>
        <w:color w:val="FF0000"/>
      </w:rPr>
      <w:t>\\puc\shares\Departments\Attorney General\Attorneys\Johnson\PUCO\Electricity\14-1051-GE-RDR\Brief\Initial Brief 030915.docx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Default="002B49FB" w:rsidP="003B12DD">
    <w:pPr>
      <w:pStyle w:val="Header"/>
      <w:jc w:val="center"/>
      <w:rPr>
        <w:b/>
        <w:sz w:val="28"/>
        <w:szCs w:val="28"/>
      </w:rPr>
    </w:pPr>
    <w:r>
      <w:rPr>
        <w:b/>
        <w:sz w:val="28"/>
        <w:szCs w:val="28"/>
      </w:rPr>
      <w:t>TABLE OF CONTENTS</w:t>
    </w:r>
  </w:p>
  <w:p w:rsidR="002B49FB" w:rsidRDefault="002B49FB" w:rsidP="00C95499">
    <w:pPr>
      <w:pStyle w:val="Header"/>
      <w:jc w:val="right"/>
      <w:rPr>
        <w:b/>
        <w:sz w:val="28"/>
        <w:szCs w:val="28"/>
      </w:rPr>
    </w:pPr>
    <w:r>
      <w:rPr>
        <w:b/>
        <w:sz w:val="28"/>
        <w:szCs w:val="28"/>
      </w:rPr>
      <w:t>Page</w:t>
    </w:r>
  </w:p>
  <w:p w:rsidR="002B49FB" w:rsidRPr="00C95499" w:rsidRDefault="002B49FB"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8934F9" w:rsidRDefault="002B49FB" w:rsidP="008934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B" w:rsidRPr="008934F9" w:rsidRDefault="002B49FB" w:rsidP="00893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E7"/>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369"/>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3B5"/>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A2C"/>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9FB"/>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54"/>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A9F"/>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6C"/>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54"/>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C7D"/>
    <w:rsid w:val="006E3F3D"/>
    <w:rsid w:val="006E456C"/>
    <w:rsid w:val="006E46E4"/>
    <w:rsid w:val="006E489A"/>
    <w:rsid w:val="006E4AA0"/>
    <w:rsid w:val="006E4E81"/>
    <w:rsid w:val="006E4EFE"/>
    <w:rsid w:val="006E524E"/>
    <w:rsid w:val="006E56BF"/>
    <w:rsid w:val="006E5822"/>
    <w:rsid w:val="006E5A91"/>
    <w:rsid w:val="006E5B7B"/>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DC3"/>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0DD"/>
    <w:rsid w:val="008324A2"/>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4F9"/>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9F0"/>
    <w:rsid w:val="008A3EA6"/>
    <w:rsid w:val="008A433C"/>
    <w:rsid w:val="008A45A0"/>
    <w:rsid w:val="008A471B"/>
    <w:rsid w:val="008A4DEE"/>
    <w:rsid w:val="008A53AD"/>
    <w:rsid w:val="008A5692"/>
    <w:rsid w:val="008A5AFA"/>
    <w:rsid w:val="008A5D4A"/>
    <w:rsid w:val="008A5E0A"/>
    <w:rsid w:val="008A64B3"/>
    <w:rsid w:val="008A6B24"/>
    <w:rsid w:val="008A6B6F"/>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13A"/>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255"/>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BAE"/>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0D1C"/>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3B30"/>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78F"/>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341"/>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507"/>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3E4"/>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09C"/>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5B9"/>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BEB"/>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3C8"/>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11DC"/>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08"/>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7C8"/>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4E7"/>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6DFE578-0AD2-4C3B-9233-94830629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johnson@puc.state.oh.us" TargetMode="External"/><Relationship Id="rId13" Type="http://schemas.openxmlformats.org/officeDocument/2006/relationships/header" Target="header3.xml"/><Relationship Id="rId18" Type="http://schemas.openxmlformats.org/officeDocument/2006/relationships/hyperlink" Target="mailto:amy.spiller@duke-energy.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cmooney@ohiopartners.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lizabeth.watts@duke-energy.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tter@occ.state.oh.us" TargetMode="External"/><Relationship Id="rId20" Type="http://schemas.openxmlformats.org/officeDocument/2006/relationships/hyperlink" Target="mailto:joseph.clark@directenergy.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petrucci@vorys.com" TargetMode="External"/><Relationship Id="rId5" Type="http://schemas.openxmlformats.org/officeDocument/2006/relationships/webSettings" Target="webSettings.xml"/><Relationship Id="rId15" Type="http://schemas.openxmlformats.org/officeDocument/2006/relationships/hyperlink" Target="mailto:katie.johnson@puc.state.oh.us" TargetMode="External"/><Relationship Id="rId23" Type="http://schemas.openxmlformats.org/officeDocument/2006/relationships/hyperlink" Target="mailto:mhpetricoff@vorys.com"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joliker@igsenerg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ojko@carpenterlipps.com"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67E9-FEF3-4D26-B736-1309DBC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7</TotalTime>
  <Pages>11</Pages>
  <Words>1448</Words>
  <Characters>8960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10388</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7</cp:revision>
  <cp:lastPrinted>2015-03-09T14:36:00Z</cp:lastPrinted>
  <dcterms:created xsi:type="dcterms:W3CDTF">2015-03-09T14:32:00Z</dcterms:created>
  <dcterms:modified xsi:type="dcterms:W3CDTF">2015-03-09T14:36:00Z</dcterms:modified>
</cp:coreProperties>
</file>