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15657" w:rsidRPr="00027842" w:rsidP="00015657" w14:paraId="50501C32" w14:textId="7EC430AF">
      <w:pPr>
        <w:jc w:val="center"/>
        <w:rPr>
          <w:b/>
        </w:rPr>
      </w:pPr>
      <w:r w:rsidRPr="00027842">
        <w:rPr>
          <w:b/>
        </w:rPr>
        <w:t xml:space="preserve">BEFORE </w:t>
      </w:r>
    </w:p>
    <w:p w:rsidR="00015657" w:rsidRPr="00027842" w:rsidP="00015657" w14:paraId="2C568EA5" w14:textId="04C4FCC3">
      <w:pPr>
        <w:jc w:val="center"/>
        <w:rPr>
          <w:b/>
        </w:rPr>
      </w:pPr>
      <w:r w:rsidRPr="00027842">
        <w:rPr>
          <w:b/>
        </w:rPr>
        <w:t>THE PUBLIC UTILITIES COMMISSION OF OHIO</w:t>
      </w:r>
    </w:p>
    <w:p w:rsidR="00A17668" w:rsidRPr="00027842" w:rsidP="00015657" w14:paraId="1421831C" w14:textId="77777777">
      <w:pPr>
        <w:jc w:val="center"/>
        <w:rPr>
          <w:b/>
        </w:rPr>
      </w:pPr>
    </w:p>
    <w:tbl>
      <w:tblPr>
        <w:tblW w:w="8640" w:type="dxa"/>
        <w:tblLook w:val="01E0"/>
      </w:tblPr>
      <w:tblGrid>
        <w:gridCol w:w="4332"/>
        <w:gridCol w:w="360"/>
        <w:gridCol w:w="3948"/>
      </w:tblGrid>
      <w:tr w14:paraId="540770B9" w14:textId="77777777" w:rsidTr="00D26E0D">
        <w:tblPrEx>
          <w:tblW w:w="8640" w:type="dxa"/>
          <w:tblLook w:val="01E0"/>
        </w:tblPrEx>
        <w:trPr>
          <w:trHeight w:val="807"/>
        </w:trPr>
        <w:tc>
          <w:tcPr>
            <w:tcW w:w="4332" w:type="dxa"/>
            <w:shd w:val="clear" w:color="auto" w:fill="auto"/>
          </w:tcPr>
          <w:p w:rsidR="00A17668" w:rsidRPr="00027842" w:rsidP="00D26E0D" w14:paraId="2D8B6B5A"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In the Matter of the Application of the Duke Energy Ohio, Inc., for an Increase in Electric Distribution Rates.</w:t>
            </w:r>
          </w:p>
          <w:p w:rsidR="00A17668" w:rsidRPr="00027842" w:rsidP="00D26E0D" w14:paraId="58A215C3" w14:textId="77777777">
            <w:pPr>
              <w:pStyle w:val="HTMLPreformatted"/>
              <w:rPr>
                <w:rFonts w:ascii="Times New Roman" w:hAnsi="Times New Roman" w:cs="Times New Roman"/>
                <w:sz w:val="24"/>
                <w:szCs w:val="24"/>
              </w:rPr>
            </w:pPr>
          </w:p>
          <w:p w:rsidR="00A17668" w:rsidRPr="00027842" w:rsidP="00D26E0D" w14:paraId="5D29D14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In the Matter of the Application of Duke Energy Ohio, Inc., for Tariff Approval.</w:t>
            </w:r>
          </w:p>
          <w:p w:rsidR="00A17668" w:rsidRPr="00027842" w:rsidP="00D26E0D" w14:paraId="284E58CD" w14:textId="77777777">
            <w:pPr>
              <w:pStyle w:val="HTMLPreformatted"/>
              <w:rPr>
                <w:rFonts w:ascii="Times New Roman" w:hAnsi="Times New Roman" w:cs="Times New Roman"/>
                <w:sz w:val="24"/>
                <w:szCs w:val="24"/>
              </w:rPr>
            </w:pPr>
          </w:p>
          <w:p w:rsidR="00A17668" w:rsidRPr="00027842" w:rsidP="00D26E0D" w14:paraId="60B1794D"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In the Matter of the Application of Duke Energy Inc., for Approval to Change Accounting Methods.</w:t>
            </w:r>
          </w:p>
        </w:tc>
        <w:tc>
          <w:tcPr>
            <w:tcW w:w="360" w:type="dxa"/>
            <w:shd w:val="clear" w:color="auto" w:fill="auto"/>
          </w:tcPr>
          <w:p w:rsidR="00A17668" w:rsidRPr="00027842" w:rsidP="00D26E0D" w14:paraId="13876E18"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4D975081"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40F85123"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114D7140" w14:textId="77777777">
            <w:pPr>
              <w:pStyle w:val="HTMLPreformatted"/>
              <w:rPr>
                <w:rFonts w:ascii="Times New Roman" w:hAnsi="Times New Roman" w:cs="Times New Roman"/>
                <w:sz w:val="24"/>
                <w:szCs w:val="24"/>
              </w:rPr>
            </w:pPr>
          </w:p>
          <w:p w:rsidR="00A17668" w:rsidRPr="00027842" w:rsidP="00D26E0D" w14:paraId="62FE6D4E"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55B426FF"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7B48E06C" w14:textId="77777777">
            <w:pPr>
              <w:pStyle w:val="HTMLPreformatted"/>
              <w:rPr>
                <w:rFonts w:ascii="Times New Roman" w:hAnsi="Times New Roman" w:cs="Times New Roman"/>
                <w:sz w:val="24"/>
                <w:szCs w:val="24"/>
              </w:rPr>
            </w:pPr>
          </w:p>
          <w:p w:rsidR="00A17668" w:rsidRPr="00027842" w:rsidP="00D26E0D" w14:paraId="35D67CA1"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00780DD3"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A17668" w:rsidRPr="00027842" w:rsidP="00D26E0D" w14:paraId="18B70942"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tc>
        <w:tc>
          <w:tcPr>
            <w:tcW w:w="3948" w:type="dxa"/>
            <w:shd w:val="clear" w:color="auto" w:fill="auto"/>
          </w:tcPr>
          <w:p w:rsidR="00A17668" w:rsidRPr="00027842" w:rsidP="00D26E0D" w14:paraId="40EAE5E5" w14:textId="77777777">
            <w:pPr>
              <w:pStyle w:val="HTMLPreformatted"/>
              <w:rPr>
                <w:rFonts w:ascii="Times New Roman" w:hAnsi="Times New Roman" w:cs="Times New Roman"/>
                <w:sz w:val="24"/>
                <w:szCs w:val="24"/>
              </w:rPr>
            </w:pPr>
          </w:p>
          <w:p w:rsidR="00A17668" w:rsidRPr="00027842" w:rsidP="00D26E0D" w14:paraId="0E825B0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Case No. 21-887-EL-AIR</w:t>
            </w:r>
          </w:p>
          <w:p w:rsidR="00A17668" w:rsidRPr="00027842" w:rsidP="00D26E0D" w14:paraId="39EAA24A" w14:textId="77777777">
            <w:pPr>
              <w:pStyle w:val="HTMLPreformatted"/>
              <w:rPr>
                <w:rFonts w:ascii="Times New Roman" w:hAnsi="Times New Roman" w:cs="Times New Roman"/>
                <w:sz w:val="24"/>
                <w:szCs w:val="24"/>
              </w:rPr>
            </w:pPr>
          </w:p>
          <w:p w:rsidR="00A17668" w:rsidRPr="00027842" w:rsidP="00D26E0D" w14:paraId="7960B1B1" w14:textId="77777777">
            <w:pPr>
              <w:pStyle w:val="HTMLPreformatted"/>
              <w:rPr>
                <w:rFonts w:ascii="Times New Roman" w:hAnsi="Times New Roman" w:cs="Times New Roman"/>
                <w:sz w:val="24"/>
                <w:szCs w:val="24"/>
              </w:rPr>
            </w:pPr>
          </w:p>
          <w:p w:rsidR="00A17668" w:rsidRPr="00027842" w:rsidP="00D26E0D" w14:paraId="0D8DD814" w14:textId="77777777">
            <w:pPr>
              <w:pStyle w:val="HTMLPreformatted"/>
              <w:rPr>
                <w:rFonts w:ascii="Times New Roman" w:hAnsi="Times New Roman" w:cs="Times New Roman"/>
                <w:sz w:val="24"/>
                <w:szCs w:val="24"/>
              </w:rPr>
            </w:pPr>
          </w:p>
          <w:p w:rsidR="00A17668" w:rsidRPr="00027842" w:rsidP="00D26E0D" w14:paraId="15A725A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Case No. 21-888-EL-ATA</w:t>
            </w:r>
          </w:p>
          <w:p w:rsidR="00A17668" w:rsidRPr="00027842" w:rsidP="00D26E0D" w14:paraId="485C157D" w14:textId="77777777">
            <w:pPr>
              <w:pStyle w:val="HTMLPreformatted"/>
              <w:rPr>
                <w:rFonts w:ascii="Times New Roman" w:hAnsi="Times New Roman" w:cs="Times New Roman"/>
                <w:sz w:val="24"/>
                <w:szCs w:val="24"/>
              </w:rPr>
            </w:pPr>
          </w:p>
          <w:p w:rsidR="00A17668" w:rsidRPr="00027842" w:rsidP="00D26E0D" w14:paraId="0FB1417E" w14:textId="77777777">
            <w:pPr>
              <w:pStyle w:val="HTMLPreformatted"/>
              <w:rPr>
                <w:rFonts w:ascii="Times New Roman" w:hAnsi="Times New Roman" w:cs="Times New Roman"/>
                <w:sz w:val="24"/>
                <w:szCs w:val="24"/>
              </w:rPr>
            </w:pPr>
          </w:p>
          <w:p w:rsidR="00A17668" w:rsidRPr="00027842" w:rsidP="00D26E0D" w14:paraId="1E2A338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Case No. 21-889-EL-AAM</w:t>
            </w:r>
          </w:p>
        </w:tc>
      </w:tr>
    </w:tbl>
    <w:p w:rsidR="00015657" w:rsidRPr="00027842" w:rsidP="00015657" w14:paraId="0FAB19AD" w14:textId="77777777">
      <w:pPr>
        <w:rPr>
          <w:b/>
        </w:rPr>
      </w:pPr>
    </w:p>
    <w:p w:rsidR="00015657" w:rsidRPr="00027842" w:rsidP="00015657" w14:paraId="3D0668CA" w14:textId="77777777">
      <w:pPr>
        <w:pBdr>
          <w:top w:val="single" w:sz="12" w:space="0" w:color="auto"/>
        </w:pBdr>
        <w:tabs>
          <w:tab w:val="left" w:pos="-720"/>
        </w:tabs>
        <w:suppressAutoHyphens/>
        <w:jc w:val="center"/>
        <w:rPr>
          <w:b/>
          <w:bCs/>
          <w:spacing w:val="-3"/>
        </w:rPr>
      </w:pPr>
    </w:p>
    <w:p w:rsidR="00015657" w:rsidRPr="00027842" w:rsidP="00015657" w14:paraId="1DB0614E" w14:textId="64C0A770">
      <w:pPr>
        <w:tabs>
          <w:tab w:val="left" w:pos="4770"/>
          <w:tab w:val="left" w:pos="6480"/>
        </w:tabs>
        <w:jc w:val="center"/>
        <w:rPr>
          <w:b/>
        </w:rPr>
      </w:pPr>
      <w:r w:rsidRPr="00027842">
        <w:rPr>
          <w:b/>
        </w:rPr>
        <w:t>OBJECTIONS TO THE PUCO STAFF’S REPORT OF INVESTIGATION</w:t>
      </w:r>
    </w:p>
    <w:p w:rsidR="00015657" w:rsidRPr="00027842" w:rsidP="00015657" w14:paraId="12919E7E" w14:textId="6CBF16F5">
      <w:pPr>
        <w:tabs>
          <w:tab w:val="left" w:pos="4770"/>
          <w:tab w:val="left" w:pos="6480"/>
        </w:tabs>
        <w:jc w:val="center"/>
        <w:rPr>
          <w:b/>
        </w:rPr>
      </w:pPr>
      <w:r w:rsidRPr="00027842">
        <w:rPr>
          <w:b/>
        </w:rPr>
        <w:t>BY</w:t>
      </w:r>
    </w:p>
    <w:p w:rsidR="00015657" w:rsidRPr="00027842" w:rsidP="00015657" w14:paraId="777A013E" w14:textId="77777777">
      <w:pPr>
        <w:tabs>
          <w:tab w:val="left" w:pos="4770"/>
          <w:tab w:val="left" w:pos="6480"/>
        </w:tabs>
        <w:jc w:val="center"/>
        <w:rPr>
          <w:b/>
        </w:rPr>
      </w:pPr>
      <w:r w:rsidRPr="00027842">
        <w:rPr>
          <w:b/>
        </w:rPr>
        <w:t>OFFICE OF THE OHIO CONSUMERS’ COUNSEL</w:t>
      </w:r>
    </w:p>
    <w:p w:rsidR="00015657" w:rsidRPr="00027842" w:rsidP="00015657" w14:paraId="1E8E8D94" w14:textId="77777777">
      <w:pPr>
        <w:pBdr>
          <w:bottom w:val="single" w:sz="12" w:space="1" w:color="auto"/>
        </w:pBdr>
        <w:tabs>
          <w:tab w:val="left" w:pos="-720"/>
        </w:tabs>
        <w:suppressAutoHyphens/>
        <w:jc w:val="center"/>
        <w:rPr>
          <w:b/>
          <w:bCs/>
          <w:spacing w:val="-3"/>
        </w:rPr>
      </w:pPr>
    </w:p>
    <w:p w:rsidR="00015657" w:rsidRPr="00027842" w:rsidP="00015657" w14:paraId="5DDA2986" w14:textId="77777777">
      <w:pPr>
        <w:tabs>
          <w:tab w:val="left" w:pos="4770"/>
          <w:tab w:val="left" w:pos="6480"/>
        </w:tabs>
        <w:rPr>
          <w:b/>
          <w:u w:val="single"/>
        </w:rPr>
      </w:pPr>
    </w:p>
    <w:p w:rsidR="00015657" w:rsidRPr="00027842" w:rsidP="00015657" w14:paraId="1577F3D1" w14:textId="77777777">
      <w:pPr>
        <w:jc w:val="center"/>
        <w:rPr>
          <w:b/>
        </w:rPr>
      </w:pPr>
    </w:p>
    <w:p w:rsidR="00001221" w:rsidRPr="00027842" w:rsidP="00E13060" w14:paraId="0C5E0E3B" w14:textId="77777777">
      <w:pPr>
        <w:tabs>
          <w:tab w:val="right" w:pos="8640"/>
        </w:tabs>
        <w:ind w:left="4230"/>
      </w:pPr>
      <w:r w:rsidRPr="00027842">
        <w:t>Bruce Weston (0016973)</w:t>
      </w:r>
    </w:p>
    <w:p w:rsidR="00001221" w:rsidRPr="00027842" w:rsidP="00E13060" w14:paraId="0F54AC74" w14:textId="77777777">
      <w:pPr>
        <w:ind w:left="4230"/>
        <w:contextualSpacing/>
        <w:rPr>
          <w:rFonts w:eastAsia="Calibri"/>
        </w:rPr>
      </w:pPr>
      <w:r w:rsidRPr="00027842">
        <w:rPr>
          <w:rFonts w:eastAsia="Calibri"/>
        </w:rPr>
        <w:t>Ohio Consumers’ Counsel</w:t>
      </w:r>
    </w:p>
    <w:p w:rsidR="00001221" w:rsidRPr="00027842" w:rsidP="00E13060" w14:paraId="3E688867" w14:textId="77777777">
      <w:pPr>
        <w:ind w:left="4230"/>
        <w:contextualSpacing/>
        <w:rPr>
          <w:rFonts w:eastAsia="Calibri"/>
        </w:rPr>
      </w:pPr>
      <w:r w:rsidRPr="00027842">
        <w:rPr>
          <w:rFonts w:eastAsia="Calibri"/>
        </w:rPr>
        <w:tab/>
      </w:r>
    </w:p>
    <w:p w:rsidR="00E8409D" w:rsidRPr="00027842" w:rsidP="00E13060" w14:paraId="7CCAD88D" w14:textId="0DD194F4">
      <w:pPr>
        <w:ind w:left="4230"/>
        <w:rPr>
          <w:rFonts w:eastAsiaTheme="minorHAnsi"/>
          <w:lang w:bidi="ar-SA"/>
        </w:rPr>
      </w:pPr>
      <w:r w:rsidRPr="00027842">
        <w:rPr>
          <w:rFonts w:eastAsiaTheme="minorHAnsi"/>
          <w:lang w:bidi="ar-SA"/>
        </w:rPr>
        <w:t>Angela D. O’Brien (0097579)</w:t>
      </w:r>
    </w:p>
    <w:p w:rsidR="00E8409D" w:rsidRPr="00027842" w:rsidP="00E13060" w14:paraId="0CE29C94" w14:textId="77777777">
      <w:pPr>
        <w:tabs>
          <w:tab w:val="left" w:pos="4320"/>
        </w:tabs>
        <w:ind w:left="4230"/>
        <w:rPr>
          <w:rFonts w:eastAsiaTheme="minorHAnsi"/>
          <w:lang w:bidi="ar-SA"/>
        </w:rPr>
      </w:pPr>
      <w:r w:rsidRPr="00027842">
        <w:rPr>
          <w:rFonts w:eastAsiaTheme="minorHAnsi"/>
          <w:lang w:bidi="ar-SA"/>
        </w:rPr>
        <w:t>Counsel of Record</w:t>
      </w:r>
    </w:p>
    <w:p w:rsidR="00E8409D" w:rsidRPr="00027842" w:rsidP="00E13060" w14:paraId="6C9D8273" w14:textId="77777777">
      <w:pPr>
        <w:tabs>
          <w:tab w:val="left" w:pos="4320"/>
        </w:tabs>
        <w:ind w:left="4230"/>
        <w:rPr>
          <w:rFonts w:eastAsiaTheme="minorHAnsi"/>
          <w:lang w:bidi="ar-SA"/>
        </w:rPr>
      </w:pPr>
      <w:r w:rsidRPr="00027842">
        <w:rPr>
          <w:rFonts w:eastAsiaTheme="minorHAnsi"/>
          <w:lang w:bidi="ar-SA"/>
        </w:rPr>
        <w:t>Ambrosia E. Wilson (0096598)</w:t>
      </w:r>
    </w:p>
    <w:p w:rsidR="00E8409D" w:rsidRPr="00027842" w:rsidP="00E13060" w14:paraId="71A267D1" w14:textId="77777777">
      <w:pPr>
        <w:tabs>
          <w:tab w:val="left" w:pos="4320"/>
        </w:tabs>
        <w:ind w:left="4230"/>
        <w:rPr>
          <w:rFonts w:eastAsiaTheme="minorHAnsi"/>
          <w:lang w:bidi="ar-SA"/>
        </w:rPr>
      </w:pPr>
      <w:r w:rsidRPr="00027842">
        <w:rPr>
          <w:rFonts w:eastAsiaTheme="minorHAnsi"/>
          <w:lang w:bidi="ar-SA"/>
        </w:rPr>
        <w:t>Assistant Consumers’ Counsel</w:t>
      </w:r>
    </w:p>
    <w:p w:rsidR="00E8409D" w:rsidRPr="00027842" w:rsidP="00E13060" w14:paraId="7E75A872" w14:textId="77777777">
      <w:pPr>
        <w:tabs>
          <w:tab w:val="left" w:pos="4320"/>
        </w:tabs>
        <w:ind w:left="4230"/>
        <w:rPr>
          <w:rFonts w:eastAsiaTheme="minorHAnsi"/>
          <w:lang w:bidi="ar-SA"/>
        </w:rPr>
      </w:pPr>
      <w:r w:rsidRPr="00027842">
        <w:rPr>
          <w:rFonts w:eastAsiaTheme="minorHAnsi"/>
          <w:lang w:bidi="ar-SA"/>
        </w:rPr>
        <w:tab/>
      </w:r>
    </w:p>
    <w:p w:rsidR="00E8409D" w:rsidRPr="00027842" w:rsidP="00E13060" w14:paraId="02CC106F" w14:textId="77777777">
      <w:pPr>
        <w:ind w:left="4230"/>
        <w:rPr>
          <w:rFonts w:eastAsiaTheme="minorHAnsi"/>
          <w:b/>
          <w:bCs/>
          <w:lang w:bidi="ar-SA"/>
        </w:rPr>
      </w:pPr>
      <w:r w:rsidRPr="00027842">
        <w:rPr>
          <w:rFonts w:eastAsiaTheme="minorHAnsi"/>
          <w:b/>
          <w:bCs/>
          <w:lang w:bidi="ar-SA"/>
        </w:rPr>
        <w:t>Office of the Ohio Consumers’ Counsel</w:t>
      </w:r>
    </w:p>
    <w:p w:rsidR="00E8409D" w:rsidRPr="00027842" w:rsidP="00E13060" w14:paraId="699F1EE8" w14:textId="77777777">
      <w:pPr>
        <w:ind w:left="4230"/>
        <w:rPr>
          <w:rFonts w:eastAsiaTheme="minorHAnsi"/>
          <w:lang w:bidi="ar-SA"/>
        </w:rPr>
      </w:pPr>
      <w:r w:rsidRPr="00027842">
        <w:rPr>
          <w:rFonts w:eastAsiaTheme="minorHAnsi"/>
          <w:lang w:bidi="ar-SA"/>
        </w:rPr>
        <w:t>65 East State Street, Suite 700</w:t>
      </w:r>
    </w:p>
    <w:p w:rsidR="00E8409D" w:rsidRPr="00027842" w:rsidP="00E13060" w14:paraId="1871870C" w14:textId="77777777">
      <w:pPr>
        <w:ind w:left="4230"/>
        <w:rPr>
          <w:rFonts w:eastAsiaTheme="minorHAnsi"/>
          <w:lang w:bidi="ar-SA"/>
        </w:rPr>
      </w:pPr>
      <w:r w:rsidRPr="00027842">
        <w:rPr>
          <w:rFonts w:eastAsiaTheme="minorHAnsi"/>
          <w:lang w:bidi="ar-SA"/>
        </w:rPr>
        <w:t>Columbus, Ohio 43215</w:t>
      </w:r>
    </w:p>
    <w:p w:rsidR="00E8409D" w:rsidRPr="00027842" w:rsidP="00E13060" w14:paraId="56569CE4" w14:textId="77777777">
      <w:pPr>
        <w:autoSpaceDE w:val="0"/>
        <w:autoSpaceDN w:val="0"/>
        <w:adjustRightInd w:val="0"/>
        <w:ind w:left="4230"/>
        <w:rPr>
          <w:rFonts w:eastAsiaTheme="minorHAnsi"/>
          <w:lang w:bidi="ar-SA"/>
        </w:rPr>
      </w:pPr>
      <w:r w:rsidRPr="00027842">
        <w:rPr>
          <w:rFonts w:eastAsiaTheme="minorHAnsi"/>
          <w:lang w:bidi="ar-SA"/>
        </w:rPr>
        <w:t>Telephone [O’Brien]: (614)-466-9531</w:t>
      </w:r>
    </w:p>
    <w:p w:rsidR="00E8409D" w:rsidRPr="00027842" w:rsidP="00E13060" w14:paraId="53CDC63F" w14:textId="77777777">
      <w:pPr>
        <w:autoSpaceDE w:val="0"/>
        <w:autoSpaceDN w:val="0"/>
        <w:adjustRightInd w:val="0"/>
        <w:ind w:left="4230"/>
        <w:rPr>
          <w:rFonts w:eastAsiaTheme="minorHAnsi"/>
          <w:lang w:bidi="ar-SA"/>
        </w:rPr>
      </w:pPr>
      <w:r w:rsidRPr="00027842">
        <w:rPr>
          <w:rFonts w:eastAsiaTheme="minorHAnsi"/>
          <w:lang w:bidi="ar-SA"/>
        </w:rPr>
        <w:t>Telephone [Wilson]: (614)-466-1292</w:t>
      </w:r>
    </w:p>
    <w:p w:rsidR="00E8409D" w:rsidRPr="00027842" w:rsidP="00E13060" w14:paraId="183B3C8D" w14:textId="33C8F25D">
      <w:pPr>
        <w:autoSpaceDE w:val="0"/>
        <w:autoSpaceDN w:val="0"/>
        <w:adjustRightInd w:val="0"/>
        <w:ind w:left="4230"/>
        <w:rPr>
          <w:rFonts w:eastAsiaTheme="minorHAnsi"/>
          <w:lang w:bidi="ar-SA"/>
        </w:rPr>
      </w:pPr>
      <w:hyperlink r:id="rId6" w:history="1">
        <w:r w:rsidRPr="00027842">
          <w:rPr>
            <w:rStyle w:val="Hyperlink"/>
            <w:rFonts w:eastAsiaTheme="minorHAnsi"/>
            <w:lang w:bidi="ar-SA"/>
          </w:rPr>
          <w:t>angela.obrien@occ.ohio.gov</w:t>
        </w:r>
      </w:hyperlink>
    </w:p>
    <w:p w:rsidR="00E8409D" w:rsidRPr="00027842" w:rsidP="00E13060" w14:paraId="338EA2A6" w14:textId="62AFBEC8">
      <w:pPr>
        <w:autoSpaceDE w:val="0"/>
        <w:autoSpaceDN w:val="0"/>
        <w:adjustRightInd w:val="0"/>
        <w:ind w:left="4230"/>
        <w:rPr>
          <w:rFonts w:eastAsiaTheme="minorHAnsi"/>
          <w:lang w:bidi="ar-SA"/>
        </w:rPr>
      </w:pPr>
      <w:hyperlink r:id="rId7" w:history="1">
        <w:r w:rsidRPr="00027842">
          <w:rPr>
            <w:rStyle w:val="Hyperlink"/>
            <w:rFonts w:eastAsiaTheme="minorHAnsi"/>
            <w:lang w:bidi="ar-SA"/>
          </w:rPr>
          <w:t>ambrosia.wilson@occ.ohio.gov</w:t>
        </w:r>
      </w:hyperlink>
    </w:p>
    <w:p w:rsidR="00E8409D" w:rsidRPr="00027842" w:rsidP="00804272" w14:paraId="02028157" w14:textId="5F9A8465">
      <w:pPr>
        <w:autoSpaceDE w:val="0"/>
        <w:autoSpaceDN w:val="0"/>
        <w:adjustRightInd w:val="0"/>
        <w:ind w:left="4230" w:hanging="4230"/>
        <w:rPr>
          <w:rFonts w:eastAsiaTheme="minorHAnsi"/>
          <w:lang w:bidi="ar-SA"/>
        </w:rPr>
        <w:sectPr w:rsidSect="004B1647">
          <w:footerReference w:type="default" r:id="rId8"/>
          <w:pgSz w:w="11906" w:h="16838"/>
          <w:pgMar w:top="1440" w:right="1800" w:bottom="1440" w:left="1800" w:header="708" w:footer="708" w:gutter="0"/>
          <w:pgNumType w:start="2"/>
          <w:cols w:space="708"/>
          <w:docGrid w:linePitch="360"/>
        </w:sectPr>
      </w:pPr>
      <w:r w:rsidRPr="00027842">
        <w:rPr>
          <w:rFonts w:eastAsiaTheme="minorHAnsi"/>
          <w:color w:val="000000"/>
        </w:rPr>
        <w:t>June 21, 2022</w:t>
      </w:r>
      <w:r w:rsidRPr="00027842">
        <w:rPr>
          <w:rFonts w:eastAsiaTheme="minorHAnsi"/>
          <w:lang w:bidi="ar-SA"/>
        </w:rPr>
        <w:t xml:space="preserve"> </w:t>
      </w:r>
      <w:r w:rsidRPr="00027842">
        <w:rPr>
          <w:rFonts w:eastAsiaTheme="minorHAnsi"/>
          <w:lang w:bidi="ar-SA"/>
        </w:rPr>
        <w:tab/>
      </w:r>
      <w:r w:rsidRPr="00027842">
        <w:rPr>
          <w:rFonts w:eastAsiaTheme="minorHAnsi"/>
          <w:lang w:bidi="ar-SA"/>
        </w:rPr>
        <w:t>(willing to accept service by e-mail)</w:t>
      </w:r>
    </w:p>
    <w:p w:rsidR="00015657" w:rsidRPr="00027842" w:rsidP="00236164" w14:paraId="084F8990" w14:textId="2323CAE2">
      <w:pPr>
        <w:jc w:val="center"/>
        <w:rPr>
          <w:b/>
          <w:u w:val="single"/>
        </w:rPr>
      </w:pPr>
      <w:r w:rsidRPr="00027842">
        <w:rPr>
          <w:b/>
          <w:u w:val="single"/>
        </w:rPr>
        <w:t>TABLE OF CONTENTS</w:t>
      </w:r>
    </w:p>
    <w:p w:rsidR="00015657" w:rsidRPr="00027842" w:rsidP="00015657" w14:paraId="6E5D072B" w14:textId="77777777">
      <w:pPr>
        <w:rPr>
          <w:b/>
        </w:rPr>
      </w:pPr>
      <w:r w:rsidRPr="00027842">
        <w:rPr>
          <w:b/>
        </w:rPr>
        <w:tab/>
      </w:r>
      <w:r w:rsidRPr="00027842">
        <w:rPr>
          <w:b/>
        </w:rPr>
        <w:tab/>
      </w:r>
      <w:r w:rsidRPr="00027842">
        <w:rPr>
          <w:b/>
        </w:rPr>
        <w:tab/>
      </w:r>
      <w:r w:rsidRPr="00027842">
        <w:rPr>
          <w:b/>
        </w:rPr>
        <w:tab/>
      </w:r>
      <w:r w:rsidRPr="00027842">
        <w:rPr>
          <w:b/>
        </w:rPr>
        <w:tab/>
      </w:r>
      <w:r w:rsidRPr="00027842">
        <w:rPr>
          <w:b/>
        </w:rPr>
        <w:tab/>
      </w:r>
      <w:r w:rsidRPr="00027842">
        <w:rPr>
          <w:b/>
        </w:rPr>
        <w:tab/>
      </w:r>
      <w:r w:rsidRPr="00027842">
        <w:rPr>
          <w:b/>
        </w:rPr>
        <w:tab/>
      </w:r>
      <w:r w:rsidRPr="00027842">
        <w:rPr>
          <w:b/>
        </w:rPr>
        <w:tab/>
      </w:r>
      <w:r w:rsidRPr="00027842">
        <w:rPr>
          <w:b/>
        </w:rPr>
        <w:tab/>
      </w:r>
      <w:r w:rsidRPr="00027842">
        <w:rPr>
          <w:b/>
        </w:rPr>
        <w:tab/>
        <w:t>PAGE</w:t>
      </w:r>
    </w:p>
    <w:p w:rsidR="004F2BD4" w:rsidRPr="00027842" w:rsidP="00015657" w14:paraId="01E8DCC2" w14:textId="77777777">
      <w:pPr>
        <w:rPr>
          <w:b/>
        </w:rPr>
      </w:pPr>
    </w:p>
    <w:p w:rsidR="005737A4" w14:paraId="0169F5CE" w14:textId="25E55284">
      <w:pPr>
        <w:pStyle w:val="TOC1"/>
        <w:rPr>
          <w:rFonts w:asciiTheme="minorHAnsi" w:eastAsiaTheme="minorEastAsia" w:hAnsiTheme="minorHAnsi" w:cstheme="minorBidi"/>
          <w:noProof/>
          <w:sz w:val="22"/>
          <w:szCs w:val="22"/>
          <w:lang w:bidi="ar-SA"/>
        </w:rPr>
      </w:pPr>
      <w:r w:rsidRPr="00027842">
        <w:rPr>
          <w:b/>
        </w:rPr>
        <w:fldChar w:fldCharType="begin"/>
      </w:r>
      <w:r w:rsidRPr="00027842">
        <w:rPr>
          <w:b/>
        </w:rPr>
        <w:instrText xml:space="preserve"> TOC \o "1-3" \h \z \u </w:instrText>
      </w:r>
      <w:r w:rsidRPr="00027842">
        <w:rPr>
          <w:b/>
        </w:rPr>
        <w:fldChar w:fldCharType="separate"/>
      </w:r>
      <w:hyperlink w:anchor="_Toc106717605" w:history="1">
        <w:r w:rsidRPr="004C6A63">
          <w:rPr>
            <w:rStyle w:val="Hyperlink"/>
            <w:noProof/>
          </w:rPr>
          <w:t>I.</w:t>
        </w:r>
        <w:r>
          <w:rPr>
            <w:rFonts w:asciiTheme="minorHAnsi" w:eastAsiaTheme="minorEastAsia" w:hAnsiTheme="minorHAnsi" w:cstheme="minorBidi"/>
            <w:noProof/>
            <w:sz w:val="22"/>
            <w:szCs w:val="22"/>
            <w:lang w:bidi="ar-SA"/>
          </w:rPr>
          <w:tab/>
        </w:r>
        <w:r w:rsidRPr="004C6A63">
          <w:rPr>
            <w:rStyle w:val="Hyperlink"/>
            <w:noProof/>
          </w:rPr>
          <w:t>INTRODUCTION</w:t>
        </w:r>
        <w:r>
          <w:rPr>
            <w:noProof/>
            <w:webHidden/>
          </w:rPr>
          <w:tab/>
        </w:r>
        <w:r>
          <w:rPr>
            <w:noProof/>
            <w:webHidden/>
          </w:rPr>
          <w:fldChar w:fldCharType="begin"/>
        </w:r>
        <w:r>
          <w:rPr>
            <w:noProof/>
            <w:webHidden/>
          </w:rPr>
          <w:instrText xml:space="preserve"> PAGEREF _Toc106717605 \h </w:instrText>
        </w:r>
        <w:r>
          <w:rPr>
            <w:noProof/>
            <w:webHidden/>
          </w:rPr>
          <w:fldChar w:fldCharType="separate"/>
        </w:r>
        <w:r>
          <w:rPr>
            <w:noProof/>
            <w:webHidden/>
          </w:rPr>
          <w:t>1</w:t>
        </w:r>
        <w:r>
          <w:rPr>
            <w:noProof/>
            <w:webHidden/>
          </w:rPr>
          <w:fldChar w:fldCharType="end"/>
        </w:r>
      </w:hyperlink>
    </w:p>
    <w:p w:rsidR="005737A4" w14:paraId="59079B41" w14:textId="6469FD92">
      <w:pPr>
        <w:pStyle w:val="TOC1"/>
        <w:rPr>
          <w:rFonts w:asciiTheme="minorHAnsi" w:eastAsiaTheme="minorEastAsia" w:hAnsiTheme="minorHAnsi" w:cstheme="minorBidi"/>
          <w:noProof/>
          <w:sz w:val="22"/>
          <w:szCs w:val="22"/>
          <w:lang w:bidi="ar-SA"/>
        </w:rPr>
      </w:pPr>
      <w:hyperlink w:anchor="_Toc106717606" w:history="1">
        <w:r w:rsidRPr="004C6A63">
          <w:rPr>
            <w:rStyle w:val="Hyperlink"/>
            <w:noProof/>
          </w:rPr>
          <w:t xml:space="preserve">II. </w:t>
        </w:r>
        <w:r>
          <w:rPr>
            <w:rFonts w:asciiTheme="minorHAnsi" w:eastAsiaTheme="minorEastAsia" w:hAnsiTheme="minorHAnsi" w:cstheme="minorBidi"/>
            <w:noProof/>
            <w:sz w:val="22"/>
            <w:szCs w:val="22"/>
            <w:lang w:bidi="ar-SA"/>
          </w:rPr>
          <w:tab/>
        </w:r>
        <w:r w:rsidRPr="004C6A63">
          <w:rPr>
            <w:rStyle w:val="Hyperlink"/>
            <w:rFonts w:eastAsiaTheme="majorEastAsia"/>
            <w:noProof/>
          </w:rPr>
          <w:t xml:space="preserve">SUMMARY OF STAFF REPORT RECOMMENDATIONS SUPPORTED </w:t>
        </w:r>
        <w:r w:rsidR="000909C4">
          <w:rPr>
            <w:rStyle w:val="Hyperlink"/>
            <w:rFonts w:eastAsiaTheme="majorEastAsia"/>
            <w:noProof/>
          </w:rPr>
          <w:br/>
        </w:r>
        <w:r w:rsidRPr="004C6A63">
          <w:rPr>
            <w:rStyle w:val="Hyperlink"/>
            <w:rFonts w:eastAsiaTheme="majorEastAsia"/>
            <w:noProof/>
          </w:rPr>
          <w:t>OR NOT OPPOSED BY OCC</w:t>
        </w:r>
        <w:r>
          <w:rPr>
            <w:noProof/>
            <w:webHidden/>
          </w:rPr>
          <w:tab/>
        </w:r>
        <w:r>
          <w:rPr>
            <w:noProof/>
            <w:webHidden/>
          </w:rPr>
          <w:fldChar w:fldCharType="begin"/>
        </w:r>
        <w:r>
          <w:rPr>
            <w:noProof/>
            <w:webHidden/>
          </w:rPr>
          <w:instrText xml:space="preserve"> PAGEREF _Toc106717606 \h </w:instrText>
        </w:r>
        <w:r>
          <w:rPr>
            <w:noProof/>
            <w:webHidden/>
          </w:rPr>
          <w:fldChar w:fldCharType="separate"/>
        </w:r>
        <w:r>
          <w:rPr>
            <w:noProof/>
            <w:webHidden/>
          </w:rPr>
          <w:t>3</w:t>
        </w:r>
        <w:r>
          <w:rPr>
            <w:noProof/>
            <w:webHidden/>
          </w:rPr>
          <w:fldChar w:fldCharType="end"/>
        </w:r>
      </w:hyperlink>
    </w:p>
    <w:p w:rsidR="005737A4" w14:paraId="13DBE808" w14:textId="6ADF1531">
      <w:pPr>
        <w:pStyle w:val="TOC2"/>
        <w:tabs>
          <w:tab w:val="left" w:pos="1440"/>
        </w:tabs>
        <w:rPr>
          <w:rFonts w:asciiTheme="minorHAnsi" w:eastAsiaTheme="minorEastAsia" w:hAnsiTheme="minorHAnsi" w:cstheme="minorBidi"/>
          <w:noProof/>
          <w:sz w:val="22"/>
          <w:szCs w:val="22"/>
          <w:lang w:bidi="ar-SA"/>
        </w:rPr>
      </w:pPr>
      <w:hyperlink w:anchor="_Toc106717607" w:history="1">
        <w:r w:rsidRPr="004C6A63">
          <w:rPr>
            <w:rStyle w:val="Hyperlink"/>
            <w:noProof/>
          </w:rPr>
          <w:t>A.</w:t>
        </w:r>
        <w:r>
          <w:rPr>
            <w:rFonts w:asciiTheme="minorHAnsi" w:eastAsiaTheme="minorEastAsia" w:hAnsiTheme="minorHAnsi" w:cstheme="minorBidi"/>
            <w:noProof/>
            <w:sz w:val="22"/>
            <w:szCs w:val="22"/>
            <w:lang w:bidi="ar-SA"/>
          </w:rPr>
          <w:tab/>
        </w:r>
        <w:r w:rsidRPr="004C6A63">
          <w:rPr>
            <w:rStyle w:val="Hyperlink"/>
            <w:noProof/>
          </w:rPr>
          <w:t>Rate Base</w:t>
        </w:r>
        <w:r>
          <w:rPr>
            <w:noProof/>
            <w:webHidden/>
          </w:rPr>
          <w:tab/>
        </w:r>
        <w:r>
          <w:rPr>
            <w:noProof/>
            <w:webHidden/>
          </w:rPr>
          <w:fldChar w:fldCharType="begin"/>
        </w:r>
        <w:r>
          <w:rPr>
            <w:noProof/>
            <w:webHidden/>
          </w:rPr>
          <w:instrText xml:space="preserve"> PAGEREF _Toc106717607 \h </w:instrText>
        </w:r>
        <w:r>
          <w:rPr>
            <w:noProof/>
            <w:webHidden/>
          </w:rPr>
          <w:fldChar w:fldCharType="separate"/>
        </w:r>
        <w:r>
          <w:rPr>
            <w:noProof/>
            <w:webHidden/>
          </w:rPr>
          <w:t>3</w:t>
        </w:r>
        <w:r>
          <w:rPr>
            <w:noProof/>
            <w:webHidden/>
          </w:rPr>
          <w:fldChar w:fldCharType="end"/>
        </w:r>
      </w:hyperlink>
    </w:p>
    <w:p w:rsidR="005737A4" w14:paraId="76612A8F" w14:textId="20D5D8D4">
      <w:pPr>
        <w:pStyle w:val="TOC2"/>
        <w:tabs>
          <w:tab w:val="left" w:pos="1440"/>
        </w:tabs>
        <w:rPr>
          <w:rFonts w:asciiTheme="minorHAnsi" w:eastAsiaTheme="minorEastAsia" w:hAnsiTheme="minorHAnsi" w:cstheme="minorBidi"/>
          <w:noProof/>
          <w:sz w:val="22"/>
          <w:szCs w:val="22"/>
          <w:lang w:bidi="ar-SA"/>
        </w:rPr>
      </w:pPr>
      <w:hyperlink w:anchor="_Toc106717608" w:history="1">
        <w:r w:rsidRPr="004C6A63">
          <w:rPr>
            <w:rStyle w:val="Hyperlink"/>
            <w:noProof/>
          </w:rPr>
          <w:t>B.</w:t>
        </w:r>
        <w:r>
          <w:rPr>
            <w:rFonts w:asciiTheme="minorHAnsi" w:eastAsiaTheme="minorEastAsia" w:hAnsiTheme="minorHAnsi" w:cstheme="minorBidi"/>
            <w:noProof/>
            <w:sz w:val="22"/>
            <w:szCs w:val="22"/>
            <w:lang w:bidi="ar-SA"/>
          </w:rPr>
          <w:tab/>
        </w:r>
        <w:r w:rsidRPr="004C6A63">
          <w:rPr>
            <w:rStyle w:val="Hyperlink"/>
            <w:noProof/>
          </w:rPr>
          <w:t>Operating Income</w:t>
        </w:r>
        <w:r>
          <w:rPr>
            <w:noProof/>
            <w:webHidden/>
          </w:rPr>
          <w:tab/>
        </w:r>
        <w:r>
          <w:rPr>
            <w:noProof/>
            <w:webHidden/>
          </w:rPr>
          <w:fldChar w:fldCharType="begin"/>
        </w:r>
        <w:r>
          <w:rPr>
            <w:noProof/>
            <w:webHidden/>
          </w:rPr>
          <w:instrText xml:space="preserve"> PAGEREF _Toc106717608 \h </w:instrText>
        </w:r>
        <w:r>
          <w:rPr>
            <w:noProof/>
            <w:webHidden/>
          </w:rPr>
          <w:fldChar w:fldCharType="separate"/>
        </w:r>
        <w:r>
          <w:rPr>
            <w:noProof/>
            <w:webHidden/>
          </w:rPr>
          <w:t>4</w:t>
        </w:r>
        <w:r>
          <w:rPr>
            <w:noProof/>
            <w:webHidden/>
          </w:rPr>
          <w:fldChar w:fldCharType="end"/>
        </w:r>
      </w:hyperlink>
    </w:p>
    <w:p w:rsidR="005737A4" w14:paraId="08AA9DDF" w14:textId="19CA588E">
      <w:pPr>
        <w:pStyle w:val="TOC2"/>
        <w:tabs>
          <w:tab w:val="left" w:pos="1440"/>
        </w:tabs>
        <w:rPr>
          <w:rFonts w:asciiTheme="minorHAnsi" w:eastAsiaTheme="minorEastAsia" w:hAnsiTheme="minorHAnsi" w:cstheme="minorBidi"/>
          <w:noProof/>
          <w:sz w:val="22"/>
          <w:szCs w:val="22"/>
          <w:lang w:bidi="ar-SA"/>
        </w:rPr>
      </w:pPr>
      <w:hyperlink w:anchor="_Toc106717609" w:history="1">
        <w:r w:rsidRPr="004C6A63">
          <w:rPr>
            <w:rStyle w:val="Hyperlink"/>
            <w:noProof/>
          </w:rPr>
          <w:t>C.</w:t>
        </w:r>
        <w:r>
          <w:rPr>
            <w:rFonts w:asciiTheme="minorHAnsi" w:eastAsiaTheme="minorEastAsia" w:hAnsiTheme="minorHAnsi" w:cstheme="minorBidi"/>
            <w:noProof/>
            <w:sz w:val="22"/>
            <w:szCs w:val="22"/>
            <w:lang w:bidi="ar-SA"/>
          </w:rPr>
          <w:tab/>
        </w:r>
        <w:r w:rsidRPr="004C6A63">
          <w:rPr>
            <w:rStyle w:val="Hyperlink"/>
            <w:noProof/>
          </w:rPr>
          <w:t>Rates and Tariffs</w:t>
        </w:r>
        <w:r>
          <w:rPr>
            <w:noProof/>
            <w:webHidden/>
          </w:rPr>
          <w:tab/>
        </w:r>
        <w:r>
          <w:rPr>
            <w:noProof/>
            <w:webHidden/>
          </w:rPr>
          <w:fldChar w:fldCharType="begin"/>
        </w:r>
        <w:r>
          <w:rPr>
            <w:noProof/>
            <w:webHidden/>
          </w:rPr>
          <w:instrText xml:space="preserve"> PAGEREF _Toc106717609 \h </w:instrText>
        </w:r>
        <w:r>
          <w:rPr>
            <w:noProof/>
            <w:webHidden/>
          </w:rPr>
          <w:fldChar w:fldCharType="separate"/>
        </w:r>
        <w:r>
          <w:rPr>
            <w:noProof/>
            <w:webHidden/>
          </w:rPr>
          <w:t>7</w:t>
        </w:r>
        <w:r>
          <w:rPr>
            <w:noProof/>
            <w:webHidden/>
          </w:rPr>
          <w:fldChar w:fldCharType="end"/>
        </w:r>
      </w:hyperlink>
    </w:p>
    <w:p w:rsidR="005737A4" w14:paraId="14773979" w14:textId="7E7829AA">
      <w:pPr>
        <w:pStyle w:val="TOC2"/>
        <w:tabs>
          <w:tab w:val="left" w:pos="1440"/>
        </w:tabs>
        <w:rPr>
          <w:rFonts w:asciiTheme="minorHAnsi" w:eastAsiaTheme="minorEastAsia" w:hAnsiTheme="minorHAnsi" w:cstheme="minorBidi"/>
          <w:noProof/>
          <w:sz w:val="22"/>
          <w:szCs w:val="22"/>
          <w:lang w:bidi="ar-SA"/>
        </w:rPr>
      </w:pPr>
      <w:hyperlink w:anchor="_Toc106717610" w:history="1">
        <w:r w:rsidRPr="004C6A63">
          <w:rPr>
            <w:rStyle w:val="Hyperlink"/>
            <w:noProof/>
          </w:rPr>
          <w:t>D.</w:t>
        </w:r>
        <w:r>
          <w:rPr>
            <w:rFonts w:asciiTheme="minorHAnsi" w:eastAsiaTheme="minorEastAsia" w:hAnsiTheme="minorHAnsi" w:cstheme="minorBidi"/>
            <w:noProof/>
            <w:sz w:val="22"/>
            <w:szCs w:val="22"/>
            <w:lang w:bidi="ar-SA"/>
          </w:rPr>
          <w:tab/>
        </w:r>
        <w:r w:rsidRPr="004C6A63">
          <w:rPr>
            <w:rStyle w:val="Hyperlink"/>
            <w:noProof/>
          </w:rPr>
          <w:t>Riders, Deferral Request, and Other Matters</w:t>
        </w:r>
        <w:r>
          <w:rPr>
            <w:noProof/>
            <w:webHidden/>
          </w:rPr>
          <w:tab/>
        </w:r>
        <w:r>
          <w:rPr>
            <w:noProof/>
            <w:webHidden/>
          </w:rPr>
          <w:fldChar w:fldCharType="begin"/>
        </w:r>
        <w:r>
          <w:rPr>
            <w:noProof/>
            <w:webHidden/>
          </w:rPr>
          <w:instrText xml:space="preserve"> PAGEREF _Toc106717610 \h </w:instrText>
        </w:r>
        <w:r>
          <w:rPr>
            <w:noProof/>
            <w:webHidden/>
          </w:rPr>
          <w:fldChar w:fldCharType="separate"/>
        </w:r>
        <w:r>
          <w:rPr>
            <w:noProof/>
            <w:webHidden/>
          </w:rPr>
          <w:t>7</w:t>
        </w:r>
        <w:r>
          <w:rPr>
            <w:noProof/>
            <w:webHidden/>
          </w:rPr>
          <w:fldChar w:fldCharType="end"/>
        </w:r>
      </w:hyperlink>
    </w:p>
    <w:p w:rsidR="005737A4" w14:paraId="3CE4990B" w14:textId="0B802836">
      <w:pPr>
        <w:pStyle w:val="TOC1"/>
        <w:rPr>
          <w:rFonts w:asciiTheme="minorHAnsi" w:eastAsiaTheme="minorEastAsia" w:hAnsiTheme="minorHAnsi" w:cstheme="minorBidi"/>
          <w:noProof/>
          <w:sz w:val="22"/>
          <w:szCs w:val="22"/>
          <w:lang w:bidi="ar-SA"/>
        </w:rPr>
      </w:pPr>
      <w:hyperlink w:anchor="_Toc106717611" w:history="1">
        <w:r w:rsidRPr="004C6A63">
          <w:rPr>
            <w:rStyle w:val="Hyperlink"/>
            <w:noProof/>
          </w:rPr>
          <w:t>III.</w:t>
        </w:r>
        <w:r>
          <w:rPr>
            <w:rFonts w:asciiTheme="minorHAnsi" w:eastAsiaTheme="minorEastAsia" w:hAnsiTheme="minorHAnsi" w:cstheme="minorBidi"/>
            <w:noProof/>
            <w:sz w:val="22"/>
            <w:szCs w:val="22"/>
            <w:lang w:bidi="ar-SA"/>
          </w:rPr>
          <w:tab/>
        </w:r>
        <w:r w:rsidRPr="004C6A63">
          <w:rPr>
            <w:rStyle w:val="Hyperlink"/>
            <w:noProof/>
          </w:rPr>
          <w:t>OBJECTIONS TO THE STAFF REPORT</w:t>
        </w:r>
        <w:r>
          <w:rPr>
            <w:noProof/>
            <w:webHidden/>
          </w:rPr>
          <w:tab/>
        </w:r>
        <w:r>
          <w:rPr>
            <w:noProof/>
            <w:webHidden/>
          </w:rPr>
          <w:fldChar w:fldCharType="begin"/>
        </w:r>
        <w:r>
          <w:rPr>
            <w:noProof/>
            <w:webHidden/>
          </w:rPr>
          <w:instrText xml:space="preserve"> PAGEREF _Toc106717611 \h </w:instrText>
        </w:r>
        <w:r>
          <w:rPr>
            <w:noProof/>
            <w:webHidden/>
          </w:rPr>
          <w:fldChar w:fldCharType="separate"/>
        </w:r>
        <w:r>
          <w:rPr>
            <w:noProof/>
            <w:webHidden/>
          </w:rPr>
          <w:t>8</w:t>
        </w:r>
        <w:r>
          <w:rPr>
            <w:noProof/>
            <w:webHidden/>
          </w:rPr>
          <w:fldChar w:fldCharType="end"/>
        </w:r>
      </w:hyperlink>
    </w:p>
    <w:p w:rsidR="005737A4" w14:paraId="28D01CC7" w14:textId="7682F26D">
      <w:pPr>
        <w:pStyle w:val="TOC2"/>
        <w:tabs>
          <w:tab w:val="left" w:pos="1440"/>
        </w:tabs>
        <w:rPr>
          <w:rFonts w:asciiTheme="minorHAnsi" w:eastAsiaTheme="minorEastAsia" w:hAnsiTheme="minorHAnsi" w:cstheme="minorBidi"/>
          <w:noProof/>
          <w:sz w:val="22"/>
          <w:szCs w:val="22"/>
          <w:lang w:bidi="ar-SA"/>
        </w:rPr>
      </w:pPr>
      <w:hyperlink w:anchor="_Toc106717612" w:history="1">
        <w:r w:rsidRPr="004C6A63">
          <w:rPr>
            <w:rStyle w:val="Hyperlink"/>
            <w:noProof/>
          </w:rPr>
          <w:t>A.</w:t>
        </w:r>
        <w:r>
          <w:rPr>
            <w:rFonts w:asciiTheme="minorHAnsi" w:eastAsiaTheme="minorEastAsia" w:hAnsiTheme="minorHAnsi" w:cstheme="minorBidi"/>
            <w:noProof/>
            <w:sz w:val="22"/>
            <w:szCs w:val="22"/>
            <w:lang w:bidi="ar-SA"/>
          </w:rPr>
          <w:tab/>
        </w:r>
        <w:r w:rsidRPr="004C6A63">
          <w:rPr>
            <w:rStyle w:val="Hyperlink"/>
            <w:noProof/>
          </w:rPr>
          <w:t>Revenue Requirement</w:t>
        </w:r>
        <w:r>
          <w:rPr>
            <w:noProof/>
            <w:webHidden/>
          </w:rPr>
          <w:tab/>
        </w:r>
        <w:r>
          <w:rPr>
            <w:noProof/>
            <w:webHidden/>
          </w:rPr>
          <w:fldChar w:fldCharType="begin"/>
        </w:r>
        <w:r>
          <w:rPr>
            <w:noProof/>
            <w:webHidden/>
          </w:rPr>
          <w:instrText xml:space="preserve"> PAGEREF _Toc106717612 \h </w:instrText>
        </w:r>
        <w:r>
          <w:rPr>
            <w:noProof/>
            <w:webHidden/>
          </w:rPr>
          <w:fldChar w:fldCharType="separate"/>
        </w:r>
        <w:r>
          <w:rPr>
            <w:noProof/>
            <w:webHidden/>
          </w:rPr>
          <w:t>8</w:t>
        </w:r>
        <w:r>
          <w:rPr>
            <w:noProof/>
            <w:webHidden/>
          </w:rPr>
          <w:fldChar w:fldCharType="end"/>
        </w:r>
      </w:hyperlink>
    </w:p>
    <w:p w:rsidR="005737A4" w:rsidP="00CD4802" w14:paraId="52ECD9B4" w14:textId="419B97C8">
      <w:pPr>
        <w:pStyle w:val="TOC3"/>
        <w:rPr>
          <w:rFonts w:asciiTheme="minorHAnsi" w:eastAsiaTheme="minorEastAsia" w:hAnsiTheme="minorHAnsi" w:cstheme="minorBidi"/>
          <w:noProof/>
          <w:sz w:val="22"/>
          <w:szCs w:val="22"/>
          <w:lang w:bidi="ar-SA"/>
        </w:rPr>
      </w:pPr>
      <w:hyperlink w:anchor="_Toc106717613" w:history="1">
        <w:r w:rsidRPr="004C6A63">
          <w:rPr>
            <w:rStyle w:val="Hyperlink"/>
            <w:noProof/>
          </w:rPr>
          <w:t>1.</w:t>
        </w:r>
        <w:r>
          <w:rPr>
            <w:rFonts w:asciiTheme="minorHAnsi" w:eastAsiaTheme="minorEastAsia" w:hAnsiTheme="minorHAnsi" w:cstheme="minorBidi"/>
            <w:noProof/>
            <w:sz w:val="22"/>
            <w:szCs w:val="22"/>
            <w:lang w:bidi="ar-SA"/>
          </w:rPr>
          <w:tab/>
        </w:r>
        <w:r w:rsidRPr="004C6A63">
          <w:rPr>
            <w:rStyle w:val="Hyperlink"/>
            <w:noProof/>
          </w:rPr>
          <w:t xml:space="preserve">Objection No. 1: The Staff Report harms consumers by </w:t>
        </w:r>
        <w:r w:rsidR="000909C4">
          <w:rPr>
            <w:rStyle w:val="Hyperlink"/>
            <w:noProof/>
          </w:rPr>
          <w:br/>
        </w:r>
        <w:r w:rsidRPr="004C6A63">
          <w:rPr>
            <w:rStyle w:val="Hyperlink"/>
            <w:noProof/>
          </w:rPr>
          <w:t xml:space="preserve">proposing a revenue requirement for base rates and other </w:t>
        </w:r>
        <w:r w:rsidR="000909C4">
          <w:rPr>
            <w:rStyle w:val="Hyperlink"/>
            <w:noProof/>
          </w:rPr>
          <w:br/>
        </w:r>
        <w:r w:rsidRPr="004C6A63">
          <w:rPr>
            <w:rStyle w:val="Hyperlink"/>
            <w:noProof/>
          </w:rPr>
          <w:t xml:space="preserve">charges to Duke’s consumers, that are unjust and </w:t>
        </w:r>
        <w:r w:rsidR="000909C4">
          <w:rPr>
            <w:rStyle w:val="Hyperlink"/>
            <w:noProof/>
          </w:rPr>
          <w:br/>
        </w:r>
        <w:r w:rsidRPr="004C6A63">
          <w:rPr>
            <w:rStyle w:val="Hyperlink"/>
            <w:noProof/>
          </w:rPr>
          <w:t>unreasonable under R.C. 4909.15 and other authority.</w:t>
        </w:r>
        <w:r>
          <w:rPr>
            <w:noProof/>
            <w:webHidden/>
          </w:rPr>
          <w:tab/>
        </w:r>
        <w:r>
          <w:rPr>
            <w:noProof/>
            <w:webHidden/>
          </w:rPr>
          <w:fldChar w:fldCharType="begin"/>
        </w:r>
        <w:r>
          <w:rPr>
            <w:noProof/>
            <w:webHidden/>
          </w:rPr>
          <w:instrText xml:space="preserve"> PAGEREF _Toc106717613 \h </w:instrText>
        </w:r>
        <w:r>
          <w:rPr>
            <w:noProof/>
            <w:webHidden/>
          </w:rPr>
          <w:fldChar w:fldCharType="separate"/>
        </w:r>
        <w:r>
          <w:rPr>
            <w:noProof/>
            <w:webHidden/>
          </w:rPr>
          <w:t>8</w:t>
        </w:r>
        <w:r>
          <w:rPr>
            <w:noProof/>
            <w:webHidden/>
          </w:rPr>
          <w:fldChar w:fldCharType="end"/>
        </w:r>
      </w:hyperlink>
    </w:p>
    <w:p w:rsidR="005737A4" w:rsidP="00CD4802" w14:paraId="6368BF4E" w14:textId="7FBCC620">
      <w:pPr>
        <w:pStyle w:val="TOC3"/>
        <w:rPr>
          <w:rFonts w:asciiTheme="minorHAnsi" w:eastAsiaTheme="minorEastAsia" w:hAnsiTheme="minorHAnsi" w:cstheme="minorBidi"/>
          <w:noProof/>
          <w:sz w:val="22"/>
          <w:szCs w:val="22"/>
          <w:lang w:bidi="ar-SA"/>
        </w:rPr>
      </w:pPr>
      <w:hyperlink w:anchor="_Toc106717614" w:history="1">
        <w:r w:rsidRPr="004C6A63">
          <w:rPr>
            <w:rStyle w:val="Hyperlink"/>
            <w:noProof/>
          </w:rPr>
          <w:t>2.</w:t>
        </w:r>
        <w:r>
          <w:rPr>
            <w:rFonts w:asciiTheme="minorHAnsi" w:eastAsiaTheme="minorEastAsia" w:hAnsiTheme="minorHAnsi" w:cstheme="minorBidi"/>
            <w:noProof/>
            <w:sz w:val="22"/>
            <w:szCs w:val="22"/>
            <w:lang w:bidi="ar-SA"/>
          </w:rPr>
          <w:tab/>
        </w:r>
        <w:r w:rsidRPr="004C6A63">
          <w:rPr>
            <w:rStyle w:val="Hyperlink"/>
            <w:noProof/>
          </w:rPr>
          <w:t xml:space="preserve">Objection No. 2: The Staff Report harms consumers by </w:t>
        </w:r>
        <w:r w:rsidR="000909C4">
          <w:rPr>
            <w:rStyle w:val="Hyperlink"/>
            <w:noProof/>
          </w:rPr>
          <w:br/>
        </w:r>
        <w:r w:rsidRPr="004C6A63">
          <w:rPr>
            <w:rStyle w:val="Hyperlink"/>
            <w:noProof/>
          </w:rPr>
          <w:t xml:space="preserve">failing to adjust the annual revenue cap for the Delivery </w:t>
        </w:r>
        <w:r w:rsidR="000909C4">
          <w:rPr>
            <w:rStyle w:val="Hyperlink"/>
            <w:noProof/>
          </w:rPr>
          <w:br/>
        </w:r>
        <w:r w:rsidRPr="004C6A63">
          <w:rPr>
            <w:rStyle w:val="Hyperlink"/>
            <w:noProof/>
          </w:rPr>
          <w:t xml:space="preserve">Capital Investment (“DCI”) Rider to reflect Duke’s failure </w:t>
        </w:r>
        <w:r w:rsidR="000909C4">
          <w:rPr>
            <w:rStyle w:val="Hyperlink"/>
            <w:noProof/>
          </w:rPr>
          <w:br/>
        </w:r>
        <w:r w:rsidRPr="004C6A63">
          <w:rPr>
            <w:rStyle w:val="Hyperlink"/>
            <w:noProof/>
          </w:rPr>
          <w:t>to</w:t>
        </w:r>
        <w:r w:rsidR="000909C4">
          <w:rPr>
            <w:rStyle w:val="Hyperlink"/>
            <w:noProof/>
          </w:rPr>
          <w:t xml:space="preserve"> </w:t>
        </w:r>
        <w:r w:rsidRPr="004C6A63">
          <w:rPr>
            <w:rStyle w:val="Hyperlink"/>
            <w:noProof/>
          </w:rPr>
          <w:t xml:space="preserve">meet its minimum PUCO required reliability standards in </w:t>
        </w:r>
        <w:r w:rsidR="000909C4">
          <w:rPr>
            <w:rStyle w:val="Hyperlink"/>
            <w:noProof/>
          </w:rPr>
          <w:br/>
        </w:r>
        <w:r w:rsidRPr="004C6A63">
          <w:rPr>
            <w:rStyle w:val="Hyperlink"/>
            <w:noProof/>
          </w:rPr>
          <w:t>2021.</w:t>
        </w:r>
        <w:r>
          <w:rPr>
            <w:noProof/>
            <w:webHidden/>
          </w:rPr>
          <w:tab/>
        </w:r>
        <w:r>
          <w:rPr>
            <w:noProof/>
            <w:webHidden/>
          </w:rPr>
          <w:fldChar w:fldCharType="begin"/>
        </w:r>
        <w:r>
          <w:rPr>
            <w:noProof/>
            <w:webHidden/>
          </w:rPr>
          <w:instrText xml:space="preserve"> PAGEREF _Toc106717614 \h </w:instrText>
        </w:r>
        <w:r>
          <w:rPr>
            <w:noProof/>
            <w:webHidden/>
          </w:rPr>
          <w:fldChar w:fldCharType="separate"/>
        </w:r>
        <w:r>
          <w:rPr>
            <w:noProof/>
            <w:webHidden/>
          </w:rPr>
          <w:t>9</w:t>
        </w:r>
        <w:r>
          <w:rPr>
            <w:noProof/>
            <w:webHidden/>
          </w:rPr>
          <w:fldChar w:fldCharType="end"/>
        </w:r>
      </w:hyperlink>
    </w:p>
    <w:p w:rsidR="005737A4" w14:paraId="44800946" w14:textId="03565B90">
      <w:pPr>
        <w:pStyle w:val="TOC2"/>
        <w:tabs>
          <w:tab w:val="left" w:pos="1440"/>
        </w:tabs>
        <w:rPr>
          <w:rFonts w:asciiTheme="minorHAnsi" w:eastAsiaTheme="minorEastAsia" w:hAnsiTheme="minorHAnsi" w:cstheme="minorBidi"/>
          <w:noProof/>
          <w:sz w:val="22"/>
          <w:szCs w:val="22"/>
          <w:lang w:bidi="ar-SA"/>
        </w:rPr>
      </w:pPr>
      <w:hyperlink w:anchor="_Toc106717615" w:history="1">
        <w:r w:rsidRPr="004C6A63">
          <w:rPr>
            <w:rStyle w:val="Hyperlink"/>
            <w:noProof/>
          </w:rPr>
          <w:t>B.</w:t>
        </w:r>
        <w:r>
          <w:rPr>
            <w:rFonts w:asciiTheme="minorHAnsi" w:eastAsiaTheme="minorEastAsia" w:hAnsiTheme="minorHAnsi" w:cstheme="minorBidi"/>
            <w:noProof/>
            <w:sz w:val="22"/>
            <w:szCs w:val="22"/>
            <w:lang w:bidi="ar-SA"/>
          </w:rPr>
          <w:tab/>
        </w:r>
        <w:r w:rsidRPr="004C6A63">
          <w:rPr>
            <w:rStyle w:val="Hyperlink"/>
            <w:noProof/>
          </w:rPr>
          <w:t>Rate Base and Operating Income</w:t>
        </w:r>
        <w:r>
          <w:rPr>
            <w:noProof/>
            <w:webHidden/>
          </w:rPr>
          <w:tab/>
        </w:r>
        <w:r>
          <w:rPr>
            <w:noProof/>
            <w:webHidden/>
          </w:rPr>
          <w:fldChar w:fldCharType="begin"/>
        </w:r>
        <w:r>
          <w:rPr>
            <w:noProof/>
            <w:webHidden/>
          </w:rPr>
          <w:instrText xml:space="preserve"> PAGEREF _Toc106717615 \h </w:instrText>
        </w:r>
        <w:r>
          <w:rPr>
            <w:noProof/>
            <w:webHidden/>
          </w:rPr>
          <w:fldChar w:fldCharType="separate"/>
        </w:r>
        <w:r>
          <w:rPr>
            <w:noProof/>
            <w:webHidden/>
          </w:rPr>
          <w:t>10</w:t>
        </w:r>
        <w:r>
          <w:rPr>
            <w:noProof/>
            <w:webHidden/>
          </w:rPr>
          <w:fldChar w:fldCharType="end"/>
        </w:r>
      </w:hyperlink>
    </w:p>
    <w:p w:rsidR="005737A4" w:rsidP="00CD4802" w14:paraId="7EF09885" w14:textId="319FFC19">
      <w:pPr>
        <w:pStyle w:val="TOC3"/>
        <w:rPr>
          <w:rFonts w:asciiTheme="minorHAnsi" w:eastAsiaTheme="minorEastAsia" w:hAnsiTheme="minorHAnsi" w:cstheme="minorBidi"/>
          <w:noProof/>
          <w:sz w:val="22"/>
          <w:szCs w:val="22"/>
          <w:lang w:bidi="ar-SA"/>
        </w:rPr>
      </w:pPr>
      <w:hyperlink w:anchor="_Toc106717616" w:history="1">
        <w:r w:rsidRPr="004C6A63">
          <w:rPr>
            <w:rStyle w:val="Hyperlink"/>
            <w:noProof/>
          </w:rPr>
          <w:t>1.</w:t>
        </w:r>
        <w:r>
          <w:rPr>
            <w:rFonts w:asciiTheme="minorHAnsi" w:eastAsiaTheme="minorEastAsia" w:hAnsiTheme="minorHAnsi" w:cstheme="minorBidi"/>
            <w:noProof/>
            <w:sz w:val="22"/>
            <w:szCs w:val="22"/>
            <w:lang w:bidi="ar-SA"/>
          </w:rPr>
          <w:tab/>
        </w:r>
        <w:r w:rsidRPr="004C6A63">
          <w:rPr>
            <w:rStyle w:val="Hyperlink"/>
            <w:noProof/>
          </w:rPr>
          <w:t xml:space="preserve">Objection No. 3: The Staff Report harms consumers by </w:t>
        </w:r>
        <w:r w:rsidR="00737A7A">
          <w:rPr>
            <w:rStyle w:val="Hyperlink"/>
            <w:noProof/>
          </w:rPr>
          <w:br/>
        </w:r>
        <w:r w:rsidRPr="004C6A63">
          <w:rPr>
            <w:rStyle w:val="Hyperlink"/>
            <w:noProof/>
          </w:rPr>
          <w:t xml:space="preserve">adopting Duke’s method of calculating normalization of </w:t>
        </w:r>
        <w:r w:rsidR="00737A7A">
          <w:rPr>
            <w:rStyle w:val="Hyperlink"/>
            <w:noProof/>
          </w:rPr>
          <w:br/>
        </w:r>
        <w:r w:rsidRPr="004C6A63">
          <w:rPr>
            <w:rStyle w:val="Hyperlink"/>
            <w:noProof/>
          </w:rPr>
          <w:t>major event day distribution storm recovery expense.</w:t>
        </w:r>
        <w:r>
          <w:rPr>
            <w:noProof/>
            <w:webHidden/>
          </w:rPr>
          <w:tab/>
        </w:r>
        <w:r>
          <w:rPr>
            <w:noProof/>
            <w:webHidden/>
          </w:rPr>
          <w:fldChar w:fldCharType="begin"/>
        </w:r>
        <w:r>
          <w:rPr>
            <w:noProof/>
            <w:webHidden/>
          </w:rPr>
          <w:instrText xml:space="preserve"> PAGEREF _Toc106717616 \h </w:instrText>
        </w:r>
        <w:r>
          <w:rPr>
            <w:noProof/>
            <w:webHidden/>
          </w:rPr>
          <w:fldChar w:fldCharType="separate"/>
        </w:r>
        <w:r>
          <w:rPr>
            <w:noProof/>
            <w:webHidden/>
          </w:rPr>
          <w:t>10</w:t>
        </w:r>
        <w:r>
          <w:rPr>
            <w:noProof/>
            <w:webHidden/>
          </w:rPr>
          <w:fldChar w:fldCharType="end"/>
        </w:r>
      </w:hyperlink>
    </w:p>
    <w:p w:rsidR="005737A4" w:rsidP="00CD4802" w14:paraId="6F181B34" w14:textId="7EC95F65">
      <w:pPr>
        <w:pStyle w:val="TOC3"/>
        <w:rPr>
          <w:rFonts w:asciiTheme="minorHAnsi" w:eastAsiaTheme="minorEastAsia" w:hAnsiTheme="minorHAnsi" w:cstheme="minorBidi"/>
          <w:noProof/>
          <w:sz w:val="22"/>
          <w:szCs w:val="22"/>
          <w:lang w:bidi="ar-SA"/>
        </w:rPr>
      </w:pPr>
      <w:hyperlink w:anchor="_Toc106717617" w:history="1">
        <w:r w:rsidRPr="004C6A63">
          <w:rPr>
            <w:rStyle w:val="Hyperlink"/>
            <w:noProof/>
          </w:rPr>
          <w:t>2.</w:t>
        </w:r>
        <w:r>
          <w:rPr>
            <w:rFonts w:asciiTheme="minorHAnsi" w:eastAsiaTheme="minorEastAsia" w:hAnsiTheme="minorHAnsi" w:cstheme="minorBidi"/>
            <w:noProof/>
            <w:sz w:val="22"/>
            <w:szCs w:val="22"/>
            <w:lang w:bidi="ar-SA"/>
          </w:rPr>
          <w:tab/>
        </w:r>
        <w:r w:rsidRPr="004C6A63">
          <w:rPr>
            <w:rStyle w:val="Hyperlink"/>
            <w:noProof/>
          </w:rPr>
          <w:t xml:space="preserve">Objection No. 4: The Staff Report harms consumers, under </w:t>
        </w:r>
        <w:r w:rsidR="00737A7A">
          <w:rPr>
            <w:rStyle w:val="Hyperlink"/>
            <w:noProof/>
          </w:rPr>
          <w:br/>
        </w:r>
        <w:r w:rsidRPr="004C6A63">
          <w:rPr>
            <w:rStyle w:val="Hyperlink"/>
            <w:noProof/>
          </w:rPr>
          <w:t xml:space="preserve">R.C. 4909.15 and other authority, by not removing all </w:t>
        </w:r>
        <w:r w:rsidR="00737A7A">
          <w:rPr>
            <w:rStyle w:val="Hyperlink"/>
            <w:noProof/>
          </w:rPr>
          <w:br/>
        </w:r>
        <w:r w:rsidRPr="004C6A63">
          <w:rPr>
            <w:rStyle w:val="Hyperlink"/>
            <w:noProof/>
          </w:rPr>
          <w:t>short-term incentive compensation expense from operating expenses and rate base.</w:t>
        </w:r>
        <w:r>
          <w:rPr>
            <w:noProof/>
            <w:webHidden/>
          </w:rPr>
          <w:tab/>
        </w:r>
        <w:r>
          <w:rPr>
            <w:noProof/>
            <w:webHidden/>
          </w:rPr>
          <w:fldChar w:fldCharType="begin"/>
        </w:r>
        <w:r>
          <w:rPr>
            <w:noProof/>
            <w:webHidden/>
          </w:rPr>
          <w:instrText xml:space="preserve"> PAGEREF _Toc106717617 \h </w:instrText>
        </w:r>
        <w:r>
          <w:rPr>
            <w:noProof/>
            <w:webHidden/>
          </w:rPr>
          <w:fldChar w:fldCharType="separate"/>
        </w:r>
        <w:r>
          <w:rPr>
            <w:noProof/>
            <w:webHidden/>
          </w:rPr>
          <w:t>10</w:t>
        </w:r>
        <w:r>
          <w:rPr>
            <w:noProof/>
            <w:webHidden/>
          </w:rPr>
          <w:fldChar w:fldCharType="end"/>
        </w:r>
      </w:hyperlink>
    </w:p>
    <w:p w:rsidR="005737A4" w:rsidP="00CD4802" w14:paraId="0AD88185" w14:textId="58A0F961">
      <w:pPr>
        <w:pStyle w:val="TOC3"/>
        <w:rPr>
          <w:rFonts w:asciiTheme="minorHAnsi" w:eastAsiaTheme="minorEastAsia" w:hAnsiTheme="minorHAnsi" w:cstheme="minorBidi"/>
          <w:noProof/>
          <w:sz w:val="22"/>
          <w:szCs w:val="22"/>
          <w:lang w:bidi="ar-SA"/>
        </w:rPr>
      </w:pPr>
      <w:hyperlink w:anchor="_Toc106717618" w:history="1">
        <w:r w:rsidRPr="004C6A63">
          <w:rPr>
            <w:rStyle w:val="Hyperlink"/>
            <w:noProof/>
          </w:rPr>
          <w:t>3.</w:t>
        </w:r>
        <w:r>
          <w:rPr>
            <w:rFonts w:asciiTheme="minorHAnsi" w:eastAsiaTheme="minorEastAsia" w:hAnsiTheme="minorHAnsi" w:cstheme="minorBidi"/>
            <w:noProof/>
            <w:sz w:val="22"/>
            <w:szCs w:val="22"/>
            <w:lang w:bidi="ar-SA"/>
          </w:rPr>
          <w:tab/>
        </w:r>
        <w:r w:rsidRPr="004C6A63">
          <w:rPr>
            <w:rStyle w:val="Hyperlink"/>
            <w:noProof/>
          </w:rPr>
          <w:t xml:space="preserve">Objection No. 5: The Staff Report harms consumers by </w:t>
        </w:r>
        <w:r w:rsidR="00737A7A">
          <w:rPr>
            <w:rStyle w:val="Hyperlink"/>
            <w:noProof/>
          </w:rPr>
          <w:br/>
        </w:r>
        <w:r w:rsidRPr="004C6A63">
          <w:rPr>
            <w:rStyle w:val="Hyperlink"/>
            <w:noProof/>
          </w:rPr>
          <w:t>failing to reflect gains on the disposition of property.</w:t>
        </w:r>
        <w:r>
          <w:rPr>
            <w:noProof/>
            <w:webHidden/>
          </w:rPr>
          <w:tab/>
        </w:r>
        <w:r>
          <w:rPr>
            <w:noProof/>
            <w:webHidden/>
          </w:rPr>
          <w:fldChar w:fldCharType="begin"/>
        </w:r>
        <w:r>
          <w:rPr>
            <w:noProof/>
            <w:webHidden/>
          </w:rPr>
          <w:instrText xml:space="preserve"> PAGEREF _Toc106717618 \h </w:instrText>
        </w:r>
        <w:r>
          <w:rPr>
            <w:noProof/>
            <w:webHidden/>
          </w:rPr>
          <w:fldChar w:fldCharType="separate"/>
        </w:r>
        <w:r>
          <w:rPr>
            <w:noProof/>
            <w:webHidden/>
          </w:rPr>
          <w:t>11</w:t>
        </w:r>
        <w:r>
          <w:rPr>
            <w:noProof/>
            <w:webHidden/>
          </w:rPr>
          <w:fldChar w:fldCharType="end"/>
        </w:r>
      </w:hyperlink>
    </w:p>
    <w:p w:rsidR="005737A4" w:rsidP="00CD4802" w14:paraId="2EED86E3" w14:textId="3D993EA6">
      <w:pPr>
        <w:pStyle w:val="TOC3"/>
        <w:rPr>
          <w:rFonts w:asciiTheme="minorHAnsi" w:eastAsiaTheme="minorEastAsia" w:hAnsiTheme="minorHAnsi" w:cstheme="minorBidi"/>
          <w:noProof/>
          <w:sz w:val="22"/>
          <w:szCs w:val="22"/>
          <w:lang w:bidi="ar-SA"/>
        </w:rPr>
      </w:pPr>
      <w:hyperlink w:anchor="_Toc106717619" w:history="1">
        <w:r w:rsidRPr="004C6A63">
          <w:rPr>
            <w:rStyle w:val="Hyperlink"/>
            <w:noProof/>
          </w:rPr>
          <w:t>4.</w:t>
        </w:r>
        <w:r>
          <w:rPr>
            <w:rFonts w:asciiTheme="minorHAnsi" w:eastAsiaTheme="minorEastAsia" w:hAnsiTheme="minorHAnsi" w:cstheme="minorBidi"/>
            <w:noProof/>
            <w:sz w:val="22"/>
            <w:szCs w:val="22"/>
            <w:lang w:bidi="ar-SA"/>
          </w:rPr>
          <w:tab/>
        </w:r>
        <w:r w:rsidRPr="004C6A63">
          <w:rPr>
            <w:rStyle w:val="Hyperlink"/>
            <w:noProof/>
          </w:rPr>
          <w:t xml:space="preserve">Objection No. 6: The Staff Report harms consumers by </w:t>
        </w:r>
        <w:r w:rsidR="00737A7A">
          <w:rPr>
            <w:rStyle w:val="Hyperlink"/>
            <w:noProof/>
          </w:rPr>
          <w:br/>
        </w:r>
        <w:r w:rsidRPr="004C6A63">
          <w:rPr>
            <w:rStyle w:val="Hyperlink"/>
            <w:noProof/>
          </w:rPr>
          <w:t xml:space="preserve">failing to remove costs and fees related to the Board of </w:t>
        </w:r>
        <w:r w:rsidR="00737A7A">
          <w:rPr>
            <w:rStyle w:val="Hyperlink"/>
            <w:noProof/>
          </w:rPr>
          <w:br/>
        </w:r>
        <w:r w:rsidRPr="004C6A63">
          <w:rPr>
            <w:rStyle w:val="Hyperlink"/>
            <w:noProof/>
          </w:rPr>
          <w:t>Directors.</w:t>
        </w:r>
        <w:r>
          <w:rPr>
            <w:noProof/>
            <w:webHidden/>
          </w:rPr>
          <w:tab/>
        </w:r>
        <w:r>
          <w:rPr>
            <w:noProof/>
            <w:webHidden/>
          </w:rPr>
          <w:fldChar w:fldCharType="begin"/>
        </w:r>
        <w:r>
          <w:rPr>
            <w:noProof/>
            <w:webHidden/>
          </w:rPr>
          <w:instrText xml:space="preserve"> PAGEREF _Toc106717619 \h </w:instrText>
        </w:r>
        <w:r>
          <w:rPr>
            <w:noProof/>
            <w:webHidden/>
          </w:rPr>
          <w:fldChar w:fldCharType="separate"/>
        </w:r>
        <w:r>
          <w:rPr>
            <w:noProof/>
            <w:webHidden/>
          </w:rPr>
          <w:t>12</w:t>
        </w:r>
        <w:r>
          <w:rPr>
            <w:noProof/>
            <w:webHidden/>
          </w:rPr>
          <w:fldChar w:fldCharType="end"/>
        </w:r>
      </w:hyperlink>
    </w:p>
    <w:p w:rsidR="005737A4" w14:paraId="695C7573" w14:textId="5379A82B">
      <w:pPr>
        <w:pStyle w:val="TOC2"/>
        <w:tabs>
          <w:tab w:val="left" w:pos="1440"/>
        </w:tabs>
        <w:rPr>
          <w:rFonts w:asciiTheme="minorHAnsi" w:eastAsiaTheme="minorEastAsia" w:hAnsiTheme="minorHAnsi" w:cstheme="minorBidi"/>
          <w:noProof/>
          <w:sz w:val="22"/>
          <w:szCs w:val="22"/>
          <w:lang w:bidi="ar-SA"/>
        </w:rPr>
      </w:pPr>
      <w:hyperlink w:anchor="_Toc106717620" w:history="1">
        <w:r w:rsidRPr="004C6A63">
          <w:rPr>
            <w:rStyle w:val="Hyperlink"/>
            <w:noProof/>
          </w:rPr>
          <w:t>C.</w:t>
        </w:r>
        <w:r>
          <w:rPr>
            <w:rFonts w:asciiTheme="minorHAnsi" w:eastAsiaTheme="minorEastAsia" w:hAnsiTheme="minorHAnsi" w:cstheme="minorBidi"/>
            <w:noProof/>
            <w:sz w:val="22"/>
            <w:szCs w:val="22"/>
            <w:lang w:bidi="ar-SA"/>
          </w:rPr>
          <w:tab/>
        </w:r>
        <w:r w:rsidRPr="004C6A63">
          <w:rPr>
            <w:rStyle w:val="Hyperlink"/>
            <w:noProof/>
          </w:rPr>
          <w:t>Rate of Return</w:t>
        </w:r>
        <w:r>
          <w:rPr>
            <w:noProof/>
            <w:webHidden/>
          </w:rPr>
          <w:tab/>
        </w:r>
        <w:r>
          <w:rPr>
            <w:noProof/>
            <w:webHidden/>
          </w:rPr>
          <w:fldChar w:fldCharType="begin"/>
        </w:r>
        <w:r>
          <w:rPr>
            <w:noProof/>
            <w:webHidden/>
          </w:rPr>
          <w:instrText xml:space="preserve"> PAGEREF _Toc106717620 \h </w:instrText>
        </w:r>
        <w:r>
          <w:rPr>
            <w:noProof/>
            <w:webHidden/>
          </w:rPr>
          <w:fldChar w:fldCharType="separate"/>
        </w:r>
        <w:r>
          <w:rPr>
            <w:noProof/>
            <w:webHidden/>
          </w:rPr>
          <w:t>12</w:t>
        </w:r>
        <w:r>
          <w:rPr>
            <w:noProof/>
            <w:webHidden/>
          </w:rPr>
          <w:fldChar w:fldCharType="end"/>
        </w:r>
      </w:hyperlink>
    </w:p>
    <w:p w:rsidR="005737A4" w:rsidP="00CD4802" w14:paraId="1B12A574" w14:textId="0C62DCB1">
      <w:pPr>
        <w:pStyle w:val="TOC3"/>
        <w:rPr>
          <w:rFonts w:asciiTheme="minorHAnsi" w:eastAsiaTheme="minorEastAsia" w:hAnsiTheme="minorHAnsi" w:cstheme="minorBidi"/>
          <w:noProof/>
          <w:sz w:val="22"/>
          <w:szCs w:val="22"/>
          <w:lang w:bidi="ar-SA"/>
        </w:rPr>
      </w:pPr>
      <w:hyperlink w:anchor="_Toc106717621" w:history="1">
        <w:r w:rsidRPr="004C6A63">
          <w:rPr>
            <w:rStyle w:val="Hyperlink"/>
            <w:noProof/>
          </w:rPr>
          <w:t>1.</w:t>
        </w:r>
        <w:r>
          <w:rPr>
            <w:rFonts w:asciiTheme="minorHAnsi" w:eastAsiaTheme="minorEastAsia" w:hAnsiTheme="minorHAnsi" w:cstheme="minorBidi"/>
            <w:noProof/>
            <w:sz w:val="22"/>
            <w:szCs w:val="22"/>
            <w:lang w:bidi="ar-SA"/>
          </w:rPr>
          <w:tab/>
        </w:r>
        <w:r w:rsidRPr="004C6A63">
          <w:rPr>
            <w:rStyle w:val="Hyperlink"/>
            <w:noProof/>
          </w:rPr>
          <w:t xml:space="preserve">Objection No. 7: The Staff Report harms consumers by </w:t>
        </w:r>
        <w:r w:rsidR="00737A7A">
          <w:rPr>
            <w:rStyle w:val="Hyperlink"/>
            <w:noProof/>
          </w:rPr>
          <w:br/>
        </w:r>
        <w:r w:rsidRPr="004C6A63">
          <w:rPr>
            <w:rStyle w:val="Hyperlink"/>
            <w:noProof/>
          </w:rPr>
          <w:t xml:space="preserve">proposing an excessive rate of return that will result in </w:t>
        </w:r>
        <w:r w:rsidR="00737A7A">
          <w:rPr>
            <w:rStyle w:val="Hyperlink"/>
            <w:noProof/>
          </w:rPr>
          <w:br/>
        </w:r>
        <w:r w:rsidRPr="004C6A63">
          <w:rPr>
            <w:rStyle w:val="Hyperlink"/>
            <w:noProof/>
          </w:rPr>
          <w:t xml:space="preserve">unjust and unreasonable charges to consumers in violation </w:t>
        </w:r>
        <w:r w:rsidR="00737A7A">
          <w:rPr>
            <w:rStyle w:val="Hyperlink"/>
            <w:noProof/>
          </w:rPr>
          <w:br/>
        </w:r>
        <w:r w:rsidRPr="004C6A63">
          <w:rPr>
            <w:rStyle w:val="Hyperlink"/>
            <w:noProof/>
          </w:rPr>
          <w:t>of R.C. 4909.15(A)(2) and other authority.</w:t>
        </w:r>
        <w:r>
          <w:rPr>
            <w:noProof/>
            <w:webHidden/>
          </w:rPr>
          <w:tab/>
        </w:r>
        <w:r>
          <w:rPr>
            <w:noProof/>
            <w:webHidden/>
          </w:rPr>
          <w:fldChar w:fldCharType="begin"/>
        </w:r>
        <w:r>
          <w:rPr>
            <w:noProof/>
            <w:webHidden/>
          </w:rPr>
          <w:instrText xml:space="preserve"> PAGEREF _Toc106717621 \h </w:instrText>
        </w:r>
        <w:r>
          <w:rPr>
            <w:noProof/>
            <w:webHidden/>
          </w:rPr>
          <w:fldChar w:fldCharType="separate"/>
        </w:r>
        <w:r>
          <w:rPr>
            <w:noProof/>
            <w:webHidden/>
          </w:rPr>
          <w:t>12</w:t>
        </w:r>
        <w:r>
          <w:rPr>
            <w:noProof/>
            <w:webHidden/>
          </w:rPr>
          <w:fldChar w:fldCharType="end"/>
        </w:r>
      </w:hyperlink>
    </w:p>
    <w:p w:rsidR="005737A4" w:rsidP="00CD4802" w14:paraId="35622377" w14:textId="7E50E5E6">
      <w:pPr>
        <w:pStyle w:val="TOC3"/>
        <w:rPr>
          <w:rFonts w:asciiTheme="minorHAnsi" w:eastAsiaTheme="minorEastAsia" w:hAnsiTheme="minorHAnsi" w:cstheme="minorBidi"/>
          <w:noProof/>
          <w:sz w:val="22"/>
          <w:szCs w:val="22"/>
          <w:lang w:bidi="ar-SA"/>
        </w:rPr>
      </w:pPr>
      <w:hyperlink w:anchor="_Toc106717622" w:history="1">
        <w:r w:rsidRPr="004C6A63">
          <w:rPr>
            <w:rStyle w:val="Hyperlink"/>
            <w:noProof/>
          </w:rPr>
          <w:t>2.</w:t>
        </w:r>
        <w:r>
          <w:rPr>
            <w:rFonts w:asciiTheme="minorHAnsi" w:eastAsiaTheme="minorEastAsia" w:hAnsiTheme="minorHAnsi" w:cstheme="minorBidi"/>
            <w:noProof/>
            <w:sz w:val="22"/>
            <w:szCs w:val="22"/>
            <w:lang w:bidi="ar-SA"/>
          </w:rPr>
          <w:tab/>
        </w:r>
        <w:r w:rsidRPr="004C6A63">
          <w:rPr>
            <w:rStyle w:val="Hyperlink"/>
            <w:noProof/>
          </w:rPr>
          <w:t xml:space="preserve">Objection No. 8: The Staff Report harms consumers by </w:t>
        </w:r>
        <w:r w:rsidR="00737A7A">
          <w:rPr>
            <w:rStyle w:val="Hyperlink"/>
            <w:noProof/>
          </w:rPr>
          <w:br/>
        </w:r>
        <w:r w:rsidRPr="004C6A63">
          <w:rPr>
            <w:rStyle w:val="Hyperlink"/>
            <w:noProof/>
          </w:rPr>
          <w:t xml:space="preserve">proposing profits (“cost of common equity” or “ROE”) </w:t>
        </w:r>
        <w:r w:rsidR="00737A7A">
          <w:rPr>
            <w:rStyle w:val="Hyperlink"/>
            <w:noProof/>
          </w:rPr>
          <w:br/>
        </w:r>
        <w:r w:rsidRPr="004C6A63">
          <w:rPr>
            <w:rStyle w:val="Hyperlink"/>
            <w:noProof/>
          </w:rPr>
          <w:t xml:space="preserve">that are not fair and reasonable under current market </w:t>
        </w:r>
        <w:r w:rsidR="00737A7A">
          <w:rPr>
            <w:rStyle w:val="Hyperlink"/>
            <w:noProof/>
          </w:rPr>
          <w:br/>
        </w:r>
        <w:r w:rsidRPr="004C6A63">
          <w:rPr>
            <w:rStyle w:val="Hyperlink"/>
            <w:noProof/>
          </w:rPr>
          <w:t xml:space="preserve">conditions and the business and financial risks of Duke. </w:t>
        </w:r>
        <w:r w:rsidR="00737A7A">
          <w:rPr>
            <w:rStyle w:val="Hyperlink"/>
            <w:noProof/>
          </w:rPr>
          <w:br/>
        </w:r>
        <w:r w:rsidRPr="004C6A63">
          <w:rPr>
            <w:rStyle w:val="Hyperlink"/>
            <w:noProof/>
          </w:rPr>
          <w:t xml:space="preserve">This will result in excessive rates and charges to </w:t>
        </w:r>
        <w:r w:rsidR="00737A7A">
          <w:rPr>
            <w:rStyle w:val="Hyperlink"/>
            <w:noProof/>
          </w:rPr>
          <w:br/>
        </w:r>
        <w:r w:rsidRPr="004C6A63">
          <w:rPr>
            <w:rStyle w:val="Hyperlink"/>
            <w:noProof/>
          </w:rPr>
          <w:t>consumers in violation of R.C. 4909.15.</w:t>
        </w:r>
        <w:r>
          <w:rPr>
            <w:noProof/>
            <w:webHidden/>
          </w:rPr>
          <w:tab/>
        </w:r>
        <w:r>
          <w:rPr>
            <w:noProof/>
            <w:webHidden/>
          </w:rPr>
          <w:fldChar w:fldCharType="begin"/>
        </w:r>
        <w:r>
          <w:rPr>
            <w:noProof/>
            <w:webHidden/>
          </w:rPr>
          <w:instrText xml:space="preserve"> PAGEREF _Toc106717622 \h </w:instrText>
        </w:r>
        <w:r>
          <w:rPr>
            <w:noProof/>
            <w:webHidden/>
          </w:rPr>
          <w:fldChar w:fldCharType="separate"/>
        </w:r>
        <w:r>
          <w:rPr>
            <w:noProof/>
            <w:webHidden/>
          </w:rPr>
          <w:t>13</w:t>
        </w:r>
        <w:r>
          <w:rPr>
            <w:noProof/>
            <w:webHidden/>
          </w:rPr>
          <w:fldChar w:fldCharType="end"/>
        </w:r>
      </w:hyperlink>
    </w:p>
    <w:p w:rsidR="005737A4" w:rsidP="00CD4802" w14:paraId="10F75B48" w14:textId="2F305402">
      <w:pPr>
        <w:pStyle w:val="TOC3"/>
        <w:rPr>
          <w:rFonts w:asciiTheme="minorHAnsi" w:eastAsiaTheme="minorEastAsia" w:hAnsiTheme="minorHAnsi" w:cstheme="minorBidi"/>
          <w:noProof/>
          <w:sz w:val="22"/>
          <w:szCs w:val="22"/>
          <w:lang w:bidi="ar-SA"/>
        </w:rPr>
      </w:pPr>
      <w:hyperlink w:anchor="_Toc106717623" w:history="1">
        <w:r w:rsidRPr="004C6A63">
          <w:rPr>
            <w:rStyle w:val="Hyperlink"/>
            <w:noProof/>
          </w:rPr>
          <w:t>3.</w:t>
        </w:r>
        <w:r>
          <w:rPr>
            <w:rFonts w:asciiTheme="minorHAnsi" w:eastAsiaTheme="minorEastAsia" w:hAnsiTheme="minorHAnsi" w:cstheme="minorBidi"/>
            <w:noProof/>
            <w:sz w:val="22"/>
            <w:szCs w:val="22"/>
            <w:lang w:bidi="ar-SA"/>
          </w:rPr>
          <w:tab/>
        </w:r>
        <w:r w:rsidRPr="004C6A63">
          <w:rPr>
            <w:rStyle w:val="Hyperlink"/>
            <w:noProof/>
          </w:rPr>
          <w:t xml:space="preserve">Objection No. 9: The Staff Report harms consumers by </w:t>
        </w:r>
        <w:r w:rsidR="00737A7A">
          <w:rPr>
            <w:rStyle w:val="Hyperlink"/>
            <w:noProof/>
          </w:rPr>
          <w:br/>
        </w:r>
        <w:r w:rsidRPr="004C6A63">
          <w:rPr>
            <w:rStyle w:val="Hyperlink"/>
            <w:noProof/>
          </w:rPr>
          <w:t xml:space="preserve">developing a rate of return based on a capital structure </w:t>
        </w:r>
        <w:r w:rsidR="00737A7A">
          <w:rPr>
            <w:rStyle w:val="Hyperlink"/>
            <w:noProof/>
          </w:rPr>
          <w:br/>
        </w:r>
        <w:r w:rsidRPr="004C6A63">
          <w:rPr>
            <w:rStyle w:val="Hyperlink"/>
            <w:noProof/>
          </w:rPr>
          <w:t xml:space="preserve">that is not more reflective of the capital structures of </w:t>
        </w:r>
        <w:r w:rsidR="00737A7A">
          <w:rPr>
            <w:rStyle w:val="Hyperlink"/>
            <w:noProof/>
          </w:rPr>
          <w:br/>
        </w:r>
        <w:r w:rsidRPr="004C6A63">
          <w:rPr>
            <w:rStyle w:val="Hyperlink"/>
            <w:noProof/>
          </w:rPr>
          <w:t xml:space="preserve">other publicly held electric distribution companies. This </w:t>
        </w:r>
        <w:r w:rsidR="00737A7A">
          <w:rPr>
            <w:rStyle w:val="Hyperlink"/>
            <w:noProof/>
          </w:rPr>
          <w:br/>
        </w:r>
        <w:r w:rsidRPr="004C6A63">
          <w:rPr>
            <w:rStyle w:val="Hyperlink"/>
            <w:noProof/>
          </w:rPr>
          <w:t xml:space="preserve">will result in excessive rates and charges to consumers </w:t>
        </w:r>
        <w:r w:rsidR="00737A7A">
          <w:rPr>
            <w:rStyle w:val="Hyperlink"/>
            <w:noProof/>
          </w:rPr>
          <w:br/>
        </w:r>
        <w:r w:rsidRPr="004C6A63">
          <w:rPr>
            <w:rStyle w:val="Hyperlink"/>
            <w:noProof/>
          </w:rPr>
          <w:t>in violation of R.C. 4909.15.</w:t>
        </w:r>
        <w:r>
          <w:rPr>
            <w:noProof/>
            <w:webHidden/>
          </w:rPr>
          <w:tab/>
        </w:r>
        <w:r>
          <w:rPr>
            <w:noProof/>
            <w:webHidden/>
          </w:rPr>
          <w:fldChar w:fldCharType="begin"/>
        </w:r>
        <w:r>
          <w:rPr>
            <w:noProof/>
            <w:webHidden/>
          </w:rPr>
          <w:instrText xml:space="preserve"> PAGEREF _Toc106717623 \h </w:instrText>
        </w:r>
        <w:r>
          <w:rPr>
            <w:noProof/>
            <w:webHidden/>
          </w:rPr>
          <w:fldChar w:fldCharType="separate"/>
        </w:r>
        <w:r>
          <w:rPr>
            <w:noProof/>
            <w:webHidden/>
          </w:rPr>
          <w:t>13</w:t>
        </w:r>
        <w:r>
          <w:rPr>
            <w:noProof/>
            <w:webHidden/>
          </w:rPr>
          <w:fldChar w:fldCharType="end"/>
        </w:r>
      </w:hyperlink>
    </w:p>
    <w:p w:rsidR="005737A4" w:rsidP="00CD4802" w14:paraId="7C75A4D5" w14:textId="1E000EE9">
      <w:pPr>
        <w:pStyle w:val="TOC3"/>
        <w:rPr>
          <w:rFonts w:asciiTheme="minorHAnsi" w:eastAsiaTheme="minorEastAsia" w:hAnsiTheme="minorHAnsi" w:cstheme="minorBidi"/>
          <w:noProof/>
          <w:sz w:val="22"/>
          <w:szCs w:val="22"/>
          <w:lang w:bidi="ar-SA"/>
        </w:rPr>
      </w:pPr>
      <w:hyperlink w:anchor="_Toc106717624" w:history="1">
        <w:r w:rsidRPr="004C6A63">
          <w:rPr>
            <w:rStyle w:val="Hyperlink"/>
            <w:noProof/>
          </w:rPr>
          <w:t>4.</w:t>
        </w:r>
        <w:r>
          <w:rPr>
            <w:rFonts w:asciiTheme="minorHAnsi" w:eastAsiaTheme="minorEastAsia" w:hAnsiTheme="minorHAnsi" w:cstheme="minorBidi"/>
            <w:noProof/>
            <w:sz w:val="22"/>
            <w:szCs w:val="22"/>
            <w:lang w:bidi="ar-SA"/>
          </w:rPr>
          <w:tab/>
        </w:r>
        <w:r w:rsidRPr="004C6A63">
          <w:rPr>
            <w:rStyle w:val="Hyperlink"/>
            <w:noProof/>
          </w:rPr>
          <w:t xml:space="preserve">Objection No. 10: The Staff Report harms consumers by </w:t>
        </w:r>
        <w:r w:rsidR="00737A7A">
          <w:rPr>
            <w:rStyle w:val="Hyperlink"/>
            <w:noProof/>
          </w:rPr>
          <w:br/>
        </w:r>
        <w:r w:rsidRPr="004C6A63">
          <w:rPr>
            <w:rStyle w:val="Hyperlink"/>
            <w:noProof/>
          </w:rPr>
          <w:t xml:space="preserve">not proposing a lower rate of return (than that applicable </w:t>
        </w:r>
        <w:r w:rsidR="00737A7A">
          <w:rPr>
            <w:rStyle w:val="Hyperlink"/>
            <w:noProof/>
          </w:rPr>
          <w:br/>
        </w:r>
        <w:r w:rsidRPr="004C6A63">
          <w:rPr>
            <w:rStyle w:val="Hyperlink"/>
            <w:noProof/>
          </w:rPr>
          <w:t xml:space="preserve">to the base distribution rates) for setting rider charges. </w:t>
        </w:r>
        <w:r w:rsidR="00737A7A">
          <w:rPr>
            <w:rStyle w:val="Hyperlink"/>
            <w:noProof/>
          </w:rPr>
          <w:br/>
        </w:r>
        <w:r w:rsidRPr="004C6A63">
          <w:rPr>
            <w:rStyle w:val="Hyperlink"/>
            <w:noProof/>
          </w:rPr>
          <w:t xml:space="preserve">Duke’s business and financial risks associated with these </w:t>
        </w:r>
        <w:r w:rsidR="00737A7A">
          <w:rPr>
            <w:rStyle w:val="Hyperlink"/>
            <w:noProof/>
          </w:rPr>
          <w:br/>
        </w:r>
        <w:r w:rsidRPr="004C6A63">
          <w:rPr>
            <w:rStyle w:val="Hyperlink"/>
            <w:noProof/>
          </w:rPr>
          <w:t xml:space="preserve">riders are lower than those associated with the base </w:t>
        </w:r>
        <w:r w:rsidR="00737A7A">
          <w:rPr>
            <w:rStyle w:val="Hyperlink"/>
            <w:noProof/>
          </w:rPr>
          <w:br/>
        </w:r>
        <w:r w:rsidRPr="004C6A63">
          <w:rPr>
            <w:rStyle w:val="Hyperlink"/>
            <w:noProof/>
          </w:rPr>
          <w:t>distribution rates.</w:t>
        </w:r>
        <w:r>
          <w:rPr>
            <w:noProof/>
            <w:webHidden/>
          </w:rPr>
          <w:tab/>
        </w:r>
        <w:r>
          <w:rPr>
            <w:noProof/>
            <w:webHidden/>
          </w:rPr>
          <w:fldChar w:fldCharType="begin"/>
        </w:r>
        <w:r>
          <w:rPr>
            <w:noProof/>
            <w:webHidden/>
          </w:rPr>
          <w:instrText xml:space="preserve"> PAGEREF _Toc106717624 \h </w:instrText>
        </w:r>
        <w:r>
          <w:rPr>
            <w:noProof/>
            <w:webHidden/>
          </w:rPr>
          <w:fldChar w:fldCharType="separate"/>
        </w:r>
        <w:r>
          <w:rPr>
            <w:noProof/>
            <w:webHidden/>
          </w:rPr>
          <w:t>14</w:t>
        </w:r>
        <w:r>
          <w:rPr>
            <w:noProof/>
            <w:webHidden/>
          </w:rPr>
          <w:fldChar w:fldCharType="end"/>
        </w:r>
      </w:hyperlink>
    </w:p>
    <w:p w:rsidR="005737A4" w:rsidP="00CD4802" w14:paraId="48416AC0" w14:textId="48D358FF">
      <w:pPr>
        <w:pStyle w:val="TOC3"/>
        <w:rPr>
          <w:rFonts w:asciiTheme="minorHAnsi" w:eastAsiaTheme="minorEastAsia" w:hAnsiTheme="minorHAnsi" w:cstheme="minorBidi"/>
          <w:noProof/>
          <w:sz w:val="22"/>
          <w:szCs w:val="22"/>
          <w:lang w:bidi="ar-SA"/>
        </w:rPr>
      </w:pPr>
      <w:hyperlink w:anchor="_Toc106717625" w:history="1">
        <w:r w:rsidRPr="004C6A63">
          <w:rPr>
            <w:rStyle w:val="Hyperlink"/>
            <w:noProof/>
          </w:rPr>
          <w:t>5.</w:t>
        </w:r>
        <w:r>
          <w:rPr>
            <w:rFonts w:asciiTheme="minorHAnsi" w:eastAsiaTheme="minorEastAsia" w:hAnsiTheme="minorHAnsi" w:cstheme="minorBidi"/>
            <w:noProof/>
            <w:sz w:val="22"/>
            <w:szCs w:val="22"/>
            <w:lang w:bidi="ar-SA"/>
          </w:rPr>
          <w:tab/>
        </w:r>
        <w:r w:rsidRPr="004C6A63">
          <w:rPr>
            <w:rStyle w:val="Hyperlink"/>
            <w:noProof/>
          </w:rPr>
          <w:t xml:space="preserve">Objection No. 11: The Staff Report harms consumers by developing a cost of equity based on its selected proxy </w:t>
        </w:r>
        <w:r w:rsidR="00737A7A">
          <w:rPr>
            <w:rStyle w:val="Hyperlink"/>
            <w:noProof/>
          </w:rPr>
          <w:br/>
        </w:r>
        <w:r w:rsidRPr="004C6A63">
          <w:rPr>
            <w:rStyle w:val="Hyperlink"/>
            <w:noProof/>
          </w:rPr>
          <w:t xml:space="preserve">group that results in an imprecise measurement of the </w:t>
        </w:r>
        <w:r w:rsidR="00737A7A">
          <w:rPr>
            <w:rStyle w:val="Hyperlink"/>
            <w:noProof/>
          </w:rPr>
          <w:br/>
        </w:r>
        <w:r w:rsidRPr="004C6A63">
          <w:rPr>
            <w:rStyle w:val="Hyperlink"/>
            <w:noProof/>
          </w:rPr>
          <w:t xml:space="preserve">required returns on equity and an excessive Return on </w:t>
        </w:r>
        <w:r w:rsidR="00737A7A">
          <w:rPr>
            <w:rStyle w:val="Hyperlink"/>
            <w:noProof/>
          </w:rPr>
          <w:br/>
        </w:r>
        <w:r w:rsidRPr="004C6A63">
          <w:rPr>
            <w:rStyle w:val="Hyperlink"/>
            <w:noProof/>
          </w:rPr>
          <w:t xml:space="preserve">Equity that is not fair and reasonable to charge consumers </w:t>
        </w:r>
        <w:r w:rsidR="00737A7A">
          <w:rPr>
            <w:rStyle w:val="Hyperlink"/>
            <w:noProof/>
          </w:rPr>
          <w:br/>
        </w:r>
        <w:r w:rsidRPr="004C6A63">
          <w:rPr>
            <w:rStyle w:val="Hyperlink"/>
            <w:noProof/>
          </w:rPr>
          <w:t>in violation of R.C. 4909.15.</w:t>
        </w:r>
        <w:r>
          <w:rPr>
            <w:noProof/>
            <w:webHidden/>
          </w:rPr>
          <w:tab/>
        </w:r>
        <w:r>
          <w:rPr>
            <w:noProof/>
            <w:webHidden/>
          </w:rPr>
          <w:fldChar w:fldCharType="begin"/>
        </w:r>
        <w:r>
          <w:rPr>
            <w:noProof/>
            <w:webHidden/>
          </w:rPr>
          <w:instrText xml:space="preserve"> PAGEREF _Toc106717625 \h </w:instrText>
        </w:r>
        <w:r>
          <w:rPr>
            <w:noProof/>
            <w:webHidden/>
          </w:rPr>
          <w:fldChar w:fldCharType="separate"/>
        </w:r>
        <w:r>
          <w:rPr>
            <w:noProof/>
            <w:webHidden/>
          </w:rPr>
          <w:t>14</w:t>
        </w:r>
        <w:r>
          <w:rPr>
            <w:noProof/>
            <w:webHidden/>
          </w:rPr>
          <w:fldChar w:fldCharType="end"/>
        </w:r>
      </w:hyperlink>
    </w:p>
    <w:p w:rsidR="005737A4" w:rsidP="00CD4802" w14:paraId="10A92CD5" w14:textId="18580E22">
      <w:pPr>
        <w:pStyle w:val="TOC3"/>
        <w:rPr>
          <w:rFonts w:asciiTheme="minorHAnsi" w:eastAsiaTheme="minorEastAsia" w:hAnsiTheme="minorHAnsi" w:cstheme="minorBidi"/>
          <w:noProof/>
          <w:sz w:val="22"/>
          <w:szCs w:val="22"/>
          <w:lang w:bidi="ar-SA"/>
        </w:rPr>
      </w:pPr>
      <w:hyperlink w:anchor="_Toc106717626" w:history="1">
        <w:r w:rsidRPr="004C6A63">
          <w:rPr>
            <w:rStyle w:val="Hyperlink"/>
            <w:noProof/>
          </w:rPr>
          <w:t>6.</w:t>
        </w:r>
        <w:r>
          <w:rPr>
            <w:rFonts w:asciiTheme="minorHAnsi" w:eastAsiaTheme="minorEastAsia" w:hAnsiTheme="minorHAnsi" w:cstheme="minorBidi"/>
            <w:noProof/>
            <w:sz w:val="22"/>
            <w:szCs w:val="22"/>
            <w:lang w:bidi="ar-SA"/>
          </w:rPr>
          <w:tab/>
        </w:r>
        <w:r w:rsidRPr="004C6A63">
          <w:rPr>
            <w:rStyle w:val="Hyperlink"/>
            <w:noProof/>
          </w:rPr>
          <w:t xml:space="preserve">Objection No. 12: The Staff Report harms consumers by </w:t>
        </w:r>
        <w:r w:rsidR="00737A7A">
          <w:rPr>
            <w:rStyle w:val="Hyperlink"/>
            <w:noProof/>
          </w:rPr>
          <w:br/>
        </w:r>
        <w:r w:rsidRPr="004C6A63">
          <w:rPr>
            <w:rStyle w:val="Hyperlink"/>
            <w:noProof/>
          </w:rPr>
          <w:t xml:space="preserve">applying an unreasonable risk-free rate in its Capital Asset </w:t>
        </w:r>
        <w:r w:rsidR="00737A7A">
          <w:rPr>
            <w:rStyle w:val="Hyperlink"/>
            <w:noProof/>
          </w:rPr>
          <w:br/>
        </w:r>
        <w:r w:rsidRPr="004C6A63">
          <w:rPr>
            <w:rStyle w:val="Hyperlink"/>
            <w:noProof/>
          </w:rPr>
          <w:t xml:space="preserve">Pricing Model (“CAPM”), which will lead to excessive </w:t>
        </w:r>
        <w:r w:rsidR="00737A7A">
          <w:rPr>
            <w:rStyle w:val="Hyperlink"/>
            <w:noProof/>
          </w:rPr>
          <w:br/>
        </w:r>
        <w:r w:rsidRPr="004C6A63">
          <w:rPr>
            <w:rStyle w:val="Hyperlink"/>
            <w:noProof/>
          </w:rPr>
          <w:t xml:space="preserve">rates and charges to consumers than are not fair and </w:t>
        </w:r>
        <w:r w:rsidR="00737A7A">
          <w:rPr>
            <w:rStyle w:val="Hyperlink"/>
            <w:noProof/>
          </w:rPr>
          <w:br/>
        </w:r>
        <w:r w:rsidRPr="004C6A63">
          <w:rPr>
            <w:rStyle w:val="Hyperlink"/>
            <w:noProof/>
          </w:rPr>
          <w:t>reasonable as required by R.C. 4909.15.</w:t>
        </w:r>
        <w:r>
          <w:rPr>
            <w:noProof/>
            <w:webHidden/>
          </w:rPr>
          <w:tab/>
        </w:r>
        <w:r>
          <w:rPr>
            <w:noProof/>
            <w:webHidden/>
          </w:rPr>
          <w:fldChar w:fldCharType="begin"/>
        </w:r>
        <w:r>
          <w:rPr>
            <w:noProof/>
            <w:webHidden/>
          </w:rPr>
          <w:instrText xml:space="preserve"> PAGEREF _Toc106717626 \h </w:instrText>
        </w:r>
        <w:r>
          <w:rPr>
            <w:noProof/>
            <w:webHidden/>
          </w:rPr>
          <w:fldChar w:fldCharType="separate"/>
        </w:r>
        <w:r>
          <w:rPr>
            <w:noProof/>
            <w:webHidden/>
          </w:rPr>
          <w:t>14</w:t>
        </w:r>
        <w:r>
          <w:rPr>
            <w:noProof/>
            <w:webHidden/>
          </w:rPr>
          <w:fldChar w:fldCharType="end"/>
        </w:r>
      </w:hyperlink>
    </w:p>
    <w:p w:rsidR="005737A4" w:rsidP="00CD4802" w14:paraId="45299C21" w14:textId="2999CD05">
      <w:pPr>
        <w:pStyle w:val="TOC3"/>
        <w:rPr>
          <w:rFonts w:asciiTheme="minorHAnsi" w:eastAsiaTheme="minorEastAsia" w:hAnsiTheme="minorHAnsi" w:cstheme="minorBidi"/>
          <w:noProof/>
          <w:sz w:val="22"/>
          <w:szCs w:val="22"/>
          <w:lang w:bidi="ar-SA"/>
        </w:rPr>
      </w:pPr>
      <w:hyperlink w:anchor="_Toc106717627" w:history="1">
        <w:r w:rsidRPr="004C6A63">
          <w:rPr>
            <w:rStyle w:val="Hyperlink"/>
            <w:noProof/>
          </w:rPr>
          <w:t>7.</w:t>
        </w:r>
        <w:r>
          <w:rPr>
            <w:rFonts w:asciiTheme="minorHAnsi" w:eastAsiaTheme="minorEastAsia" w:hAnsiTheme="minorHAnsi" w:cstheme="minorBidi"/>
            <w:noProof/>
            <w:sz w:val="22"/>
            <w:szCs w:val="22"/>
            <w:lang w:bidi="ar-SA"/>
          </w:rPr>
          <w:tab/>
        </w:r>
        <w:r w:rsidRPr="004C6A63">
          <w:rPr>
            <w:rStyle w:val="Hyperlink"/>
            <w:noProof/>
          </w:rPr>
          <w:t xml:space="preserve">Objection No. 13: The Staff Report harms consumers by developing a cost of equity that uses a risk premium of 7.15 percent in the CAPM model, which will lead to too-high rates </w:t>
        </w:r>
        <w:r w:rsidR="00737A7A">
          <w:rPr>
            <w:rStyle w:val="Hyperlink"/>
            <w:noProof/>
          </w:rPr>
          <w:br/>
        </w:r>
        <w:r w:rsidRPr="004C6A63">
          <w:rPr>
            <w:rStyle w:val="Hyperlink"/>
            <w:noProof/>
          </w:rPr>
          <w:t>and charges to consumers</w:t>
        </w:r>
        <w:r w:rsidRPr="004C6A63">
          <w:rPr>
            <w:rStyle w:val="Hyperlink"/>
            <w:noProof/>
            <w:kern w:val="32"/>
          </w:rPr>
          <w:t xml:space="preserve"> </w:t>
        </w:r>
        <w:r w:rsidRPr="004C6A63">
          <w:rPr>
            <w:rStyle w:val="Hyperlink"/>
            <w:noProof/>
          </w:rPr>
          <w:t xml:space="preserve">than are fair and reasonable per </w:t>
        </w:r>
        <w:r w:rsidR="00737A7A">
          <w:rPr>
            <w:rStyle w:val="Hyperlink"/>
            <w:noProof/>
          </w:rPr>
          <w:br/>
        </w:r>
        <w:r w:rsidRPr="004C6A63">
          <w:rPr>
            <w:rStyle w:val="Hyperlink"/>
            <w:noProof/>
          </w:rPr>
          <w:t>R.C. 4909.15.</w:t>
        </w:r>
        <w:r>
          <w:rPr>
            <w:noProof/>
            <w:webHidden/>
          </w:rPr>
          <w:tab/>
        </w:r>
        <w:r>
          <w:rPr>
            <w:noProof/>
            <w:webHidden/>
          </w:rPr>
          <w:fldChar w:fldCharType="begin"/>
        </w:r>
        <w:r>
          <w:rPr>
            <w:noProof/>
            <w:webHidden/>
          </w:rPr>
          <w:instrText xml:space="preserve"> PAGEREF _Toc106717627 \h </w:instrText>
        </w:r>
        <w:r>
          <w:rPr>
            <w:noProof/>
            <w:webHidden/>
          </w:rPr>
          <w:fldChar w:fldCharType="separate"/>
        </w:r>
        <w:r>
          <w:rPr>
            <w:noProof/>
            <w:webHidden/>
          </w:rPr>
          <w:t>15</w:t>
        </w:r>
        <w:r>
          <w:rPr>
            <w:noProof/>
            <w:webHidden/>
          </w:rPr>
          <w:fldChar w:fldCharType="end"/>
        </w:r>
      </w:hyperlink>
    </w:p>
    <w:p w:rsidR="005737A4" w:rsidP="00CD4802" w14:paraId="68577308" w14:textId="1E06DB4C">
      <w:pPr>
        <w:pStyle w:val="TOC3"/>
        <w:rPr>
          <w:rFonts w:asciiTheme="minorHAnsi" w:eastAsiaTheme="minorEastAsia" w:hAnsiTheme="minorHAnsi" w:cstheme="minorBidi"/>
          <w:noProof/>
          <w:sz w:val="22"/>
          <w:szCs w:val="22"/>
          <w:lang w:bidi="ar-SA"/>
        </w:rPr>
      </w:pPr>
      <w:hyperlink w:anchor="_Toc106717628" w:history="1">
        <w:r w:rsidRPr="004C6A63">
          <w:rPr>
            <w:rStyle w:val="Hyperlink"/>
            <w:noProof/>
          </w:rPr>
          <w:t>8.</w:t>
        </w:r>
        <w:r>
          <w:rPr>
            <w:rFonts w:asciiTheme="minorHAnsi" w:eastAsiaTheme="minorEastAsia" w:hAnsiTheme="minorHAnsi" w:cstheme="minorBidi"/>
            <w:noProof/>
            <w:sz w:val="22"/>
            <w:szCs w:val="22"/>
            <w:lang w:bidi="ar-SA"/>
          </w:rPr>
          <w:tab/>
        </w:r>
        <w:r w:rsidRPr="004C6A63">
          <w:rPr>
            <w:rStyle w:val="Hyperlink"/>
            <w:noProof/>
          </w:rPr>
          <w:t xml:space="preserve">Objection No. 14: The Staff Report harms consumers by developing a cost of equity that uses the historical Gross </w:t>
        </w:r>
        <w:r w:rsidR="00737A7A">
          <w:rPr>
            <w:rStyle w:val="Hyperlink"/>
            <w:noProof/>
          </w:rPr>
          <w:br/>
        </w:r>
        <w:r w:rsidRPr="004C6A63">
          <w:rPr>
            <w:rStyle w:val="Hyperlink"/>
            <w:noProof/>
          </w:rPr>
          <w:t xml:space="preserve">National Product (“GNP”) growth rate in its Discounted </w:t>
        </w:r>
        <w:r w:rsidR="00737A7A">
          <w:rPr>
            <w:rStyle w:val="Hyperlink"/>
            <w:noProof/>
          </w:rPr>
          <w:br/>
        </w:r>
        <w:r w:rsidRPr="004C6A63">
          <w:rPr>
            <w:rStyle w:val="Hyperlink"/>
            <w:noProof/>
          </w:rPr>
          <w:t xml:space="preserve">Cash Flow (“DCF”) model. This will lead to excessive </w:t>
        </w:r>
        <w:r w:rsidR="00737A7A">
          <w:rPr>
            <w:rStyle w:val="Hyperlink"/>
            <w:noProof/>
          </w:rPr>
          <w:br/>
        </w:r>
        <w:r w:rsidRPr="004C6A63">
          <w:rPr>
            <w:rStyle w:val="Hyperlink"/>
            <w:noProof/>
          </w:rPr>
          <w:t>rates and charges to consumers</w:t>
        </w:r>
        <w:r w:rsidRPr="004C6A63">
          <w:rPr>
            <w:rStyle w:val="Hyperlink"/>
            <w:noProof/>
            <w:kern w:val="32"/>
          </w:rPr>
          <w:t xml:space="preserve"> </w:t>
        </w:r>
        <w:r w:rsidRPr="004C6A63">
          <w:rPr>
            <w:rStyle w:val="Hyperlink"/>
            <w:noProof/>
          </w:rPr>
          <w:t xml:space="preserve">than are not fair and </w:t>
        </w:r>
        <w:r w:rsidR="00737A7A">
          <w:rPr>
            <w:rStyle w:val="Hyperlink"/>
            <w:noProof/>
          </w:rPr>
          <w:br/>
        </w:r>
        <w:r w:rsidRPr="004C6A63">
          <w:rPr>
            <w:rStyle w:val="Hyperlink"/>
            <w:noProof/>
          </w:rPr>
          <w:t>reasonable in violation of R.C. 4909.15.</w:t>
        </w:r>
        <w:r>
          <w:rPr>
            <w:noProof/>
            <w:webHidden/>
          </w:rPr>
          <w:tab/>
        </w:r>
        <w:r>
          <w:rPr>
            <w:noProof/>
            <w:webHidden/>
          </w:rPr>
          <w:fldChar w:fldCharType="begin"/>
        </w:r>
        <w:r>
          <w:rPr>
            <w:noProof/>
            <w:webHidden/>
          </w:rPr>
          <w:instrText xml:space="preserve"> PAGEREF _Toc106717628 \h </w:instrText>
        </w:r>
        <w:r>
          <w:rPr>
            <w:noProof/>
            <w:webHidden/>
          </w:rPr>
          <w:fldChar w:fldCharType="separate"/>
        </w:r>
        <w:r>
          <w:rPr>
            <w:noProof/>
            <w:webHidden/>
          </w:rPr>
          <w:t>15</w:t>
        </w:r>
        <w:r>
          <w:rPr>
            <w:noProof/>
            <w:webHidden/>
          </w:rPr>
          <w:fldChar w:fldCharType="end"/>
        </w:r>
      </w:hyperlink>
    </w:p>
    <w:p w:rsidR="005737A4" w:rsidP="00CD4802" w14:paraId="7DE4D9F6" w14:textId="12CC17CF">
      <w:pPr>
        <w:pStyle w:val="TOC3"/>
        <w:rPr>
          <w:rFonts w:asciiTheme="minorHAnsi" w:eastAsiaTheme="minorEastAsia" w:hAnsiTheme="minorHAnsi" w:cstheme="minorBidi"/>
          <w:noProof/>
          <w:sz w:val="22"/>
          <w:szCs w:val="22"/>
          <w:lang w:bidi="ar-SA"/>
        </w:rPr>
      </w:pPr>
      <w:hyperlink w:anchor="_Toc106717629" w:history="1">
        <w:r w:rsidRPr="004C6A63">
          <w:rPr>
            <w:rStyle w:val="Hyperlink"/>
            <w:noProof/>
          </w:rPr>
          <w:t>9.</w:t>
        </w:r>
        <w:r>
          <w:rPr>
            <w:rFonts w:asciiTheme="minorHAnsi" w:eastAsiaTheme="minorEastAsia" w:hAnsiTheme="minorHAnsi" w:cstheme="minorBidi"/>
            <w:noProof/>
            <w:sz w:val="22"/>
            <w:szCs w:val="22"/>
            <w:lang w:bidi="ar-SA"/>
          </w:rPr>
          <w:tab/>
        </w:r>
        <w:r w:rsidRPr="004C6A63">
          <w:rPr>
            <w:rStyle w:val="Hyperlink"/>
            <w:noProof/>
          </w:rPr>
          <w:t xml:space="preserve">Objection No. 15: The Staff Report harms consumers by inappropriately increasing the rate of return and the cost of common equity by allowing an adjustment for equity </w:t>
        </w:r>
        <w:r w:rsidR="00737A7A">
          <w:rPr>
            <w:rStyle w:val="Hyperlink"/>
            <w:noProof/>
          </w:rPr>
          <w:br/>
        </w:r>
        <w:r w:rsidRPr="004C6A63">
          <w:rPr>
            <w:rStyle w:val="Hyperlink"/>
            <w:noProof/>
          </w:rPr>
          <w:t xml:space="preserve">issuance and other costs, resulting in an excessive rate of </w:t>
        </w:r>
        <w:r w:rsidR="00737A7A">
          <w:rPr>
            <w:rStyle w:val="Hyperlink"/>
            <w:noProof/>
          </w:rPr>
          <w:br/>
        </w:r>
        <w:r w:rsidRPr="004C6A63">
          <w:rPr>
            <w:rStyle w:val="Hyperlink"/>
            <w:noProof/>
          </w:rPr>
          <w:t>return that is not fair and reasonable under R.C. 4909.15.</w:t>
        </w:r>
        <w:r>
          <w:rPr>
            <w:noProof/>
            <w:webHidden/>
          </w:rPr>
          <w:tab/>
        </w:r>
        <w:r>
          <w:rPr>
            <w:noProof/>
            <w:webHidden/>
          </w:rPr>
          <w:fldChar w:fldCharType="begin"/>
        </w:r>
        <w:r>
          <w:rPr>
            <w:noProof/>
            <w:webHidden/>
          </w:rPr>
          <w:instrText xml:space="preserve"> PAGEREF _Toc106717629 \h </w:instrText>
        </w:r>
        <w:r>
          <w:rPr>
            <w:noProof/>
            <w:webHidden/>
          </w:rPr>
          <w:fldChar w:fldCharType="separate"/>
        </w:r>
        <w:r>
          <w:rPr>
            <w:noProof/>
            <w:webHidden/>
          </w:rPr>
          <w:t>16</w:t>
        </w:r>
        <w:r>
          <w:rPr>
            <w:noProof/>
            <w:webHidden/>
          </w:rPr>
          <w:fldChar w:fldCharType="end"/>
        </w:r>
      </w:hyperlink>
    </w:p>
    <w:p w:rsidR="005737A4" w14:paraId="4F8AAD53" w14:textId="3748CFAA">
      <w:pPr>
        <w:pStyle w:val="TOC2"/>
        <w:tabs>
          <w:tab w:val="left" w:pos="1440"/>
        </w:tabs>
        <w:rPr>
          <w:rFonts w:asciiTheme="minorHAnsi" w:eastAsiaTheme="minorEastAsia" w:hAnsiTheme="minorHAnsi" w:cstheme="minorBidi"/>
          <w:noProof/>
          <w:sz w:val="22"/>
          <w:szCs w:val="22"/>
          <w:lang w:bidi="ar-SA"/>
        </w:rPr>
      </w:pPr>
      <w:hyperlink w:anchor="_Toc106717630" w:history="1">
        <w:r w:rsidRPr="004C6A63">
          <w:rPr>
            <w:rStyle w:val="Hyperlink"/>
            <w:noProof/>
          </w:rPr>
          <w:t>D.</w:t>
        </w:r>
        <w:r>
          <w:rPr>
            <w:rFonts w:asciiTheme="minorHAnsi" w:eastAsiaTheme="minorEastAsia" w:hAnsiTheme="minorHAnsi" w:cstheme="minorBidi"/>
            <w:noProof/>
            <w:sz w:val="22"/>
            <w:szCs w:val="22"/>
            <w:lang w:bidi="ar-SA"/>
          </w:rPr>
          <w:tab/>
        </w:r>
        <w:r w:rsidRPr="004C6A63">
          <w:rPr>
            <w:rStyle w:val="Hyperlink"/>
            <w:noProof/>
          </w:rPr>
          <w:t>Rates and Tariffs</w:t>
        </w:r>
        <w:r>
          <w:rPr>
            <w:noProof/>
            <w:webHidden/>
          </w:rPr>
          <w:tab/>
        </w:r>
        <w:r>
          <w:rPr>
            <w:noProof/>
            <w:webHidden/>
          </w:rPr>
          <w:fldChar w:fldCharType="begin"/>
        </w:r>
        <w:r>
          <w:rPr>
            <w:noProof/>
            <w:webHidden/>
          </w:rPr>
          <w:instrText xml:space="preserve"> PAGEREF _Toc106717630 \h </w:instrText>
        </w:r>
        <w:r>
          <w:rPr>
            <w:noProof/>
            <w:webHidden/>
          </w:rPr>
          <w:fldChar w:fldCharType="separate"/>
        </w:r>
        <w:r>
          <w:rPr>
            <w:noProof/>
            <w:webHidden/>
          </w:rPr>
          <w:t>17</w:t>
        </w:r>
        <w:r>
          <w:rPr>
            <w:noProof/>
            <w:webHidden/>
          </w:rPr>
          <w:fldChar w:fldCharType="end"/>
        </w:r>
      </w:hyperlink>
    </w:p>
    <w:p w:rsidR="005737A4" w:rsidP="00CD4802" w14:paraId="162825D7" w14:textId="7F271B9F">
      <w:pPr>
        <w:pStyle w:val="TOC3"/>
        <w:rPr>
          <w:rFonts w:asciiTheme="minorHAnsi" w:eastAsiaTheme="minorEastAsia" w:hAnsiTheme="minorHAnsi" w:cstheme="minorBidi"/>
          <w:noProof/>
          <w:sz w:val="22"/>
          <w:szCs w:val="22"/>
          <w:lang w:bidi="ar-SA"/>
        </w:rPr>
      </w:pPr>
      <w:hyperlink w:anchor="_Toc106717631" w:history="1">
        <w:r w:rsidRPr="004C6A63">
          <w:rPr>
            <w:rStyle w:val="Hyperlink"/>
            <w:noProof/>
          </w:rPr>
          <w:t>1.</w:t>
        </w:r>
        <w:r>
          <w:rPr>
            <w:rFonts w:asciiTheme="minorHAnsi" w:eastAsiaTheme="minorEastAsia" w:hAnsiTheme="minorHAnsi" w:cstheme="minorBidi"/>
            <w:noProof/>
            <w:sz w:val="22"/>
            <w:szCs w:val="22"/>
            <w:lang w:bidi="ar-SA"/>
          </w:rPr>
          <w:tab/>
        </w:r>
        <w:r w:rsidRPr="004C6A63">
          <w:rPr>
            <w:rStyle w:val="Hyperlink"/>
            <w:noProof/>
          </w:rPr>
          <w:t xml:space="preserve">Objection No. 16: The Staff Report harms consumers by </w:t>
        </w:r>
        <w:r w:rsidR="00737A7A">
          <w:rPr>
            <w:rStyle w:val="Hyperlink"/>
            <w:noProof/>
          </w:rPr>
          <w:br/>
        </w:r>
        <w:r w:rsidRPr="004C6A63">
          <w:rPr>
            <w:rStyle w:val="Hyperlink"/>
            <w:noProof/>
          </w:rPr>
          <w:t xml:space="preserve">failing to recommend that Duke be prohibited from </w:t>
        </w:r>
        <w:r w:rsidR="00737A7A">
          <w:rPr>
            <w:rStyle w:val="Hyperlink"/>
            <w:noProof/>
          </w:rPr>
          <w:br/>
        </w:r>
        <w:r w:rsidRPr="004C6A63">
          <w:rPr>
            <w:rStyle w:val="Hyperlink"/>
            <w:noProof/>
          </w:rPr>
          <w:t xml:space="preserve">modifying its existing riders or proposing new riders as </w:t>
        </w:r>
        <w:r w:rsidR="00737A7A">
          <w:rPr>
            <w:rStyle w:val="Hyperlink"/>
            <w:noProof/>
          </w:rPr>
          <w:br/>
        </w:r>
        <w:r w:rsidRPr="004C6A63">
          <w:rPr>
            <w:rStyle w:val="Hyperlink"/>
            <w:noProof/>
          </w:rPr>
          <w:t>part of this base distribution rate case.</w:t>
        </w:r>
        <w:r>
          <w:rPr>
            <w:noProof/>
            <w:webHidden/>
          </w:rPr>
          <w:tab/>
        </w:r>
        <w:r>
          <w:rPr>
            <w:noProof/>
            <w:webHidden/>
          </w:rPr>
          <w:fldChar w:fldCharType="begin"/>
        </w:r>
        <w:r>
          <w:rPr>
            <w:noProof/>
            <w:webHidden/>
          </w:rPr>
          <w:instrText xml:space="preserve"> PAGEREF _Toc106717631 \h </w:instrText>
        </w:r>
        <w:r>
          <w:rPr>
            <w:noProof/>
            <w:webHidden/>
          </w:rPr>
          <w:fldChar w:fldCharType="separate"/>
        </w:r>
        <w:r>
          <w:rPr>
            <w:noProof/>
            <w:webHidden/>
          </w:rPr>
          <w:t>17</w:t>
        </w:r>
        <w:r>
          <w:rPr>
            <w:noProof/>
            <w:webHidden/>
          </w:rPr>
          <w:fldChar w:fldCharType="end"/>
        </w:r>
      </w:hyperlink>
    </w:p>
    <w:p w:rsidR="005737A4" w:rsidP="00CD4802" w14:paraId="1D407709" w14:textId="74B2553E">
      <w:pPr>
        <w:pStyle w:val="TOC3"/>
        <w:rPr>
          <w:rFonts w:asciiTheme="minorHAnsi" w:eastAsiaTheme="minorEastAsia" w:hAnsiTheme="minorHAnsi" w:cstheme="minorBidi"/>
          <w:noProof/>
          <w:sz w:val="22"/>
          <w:szCs w:val="22"/>
          <w:lang w:bidi="ar-SA"/>
        </w:rPr>
      </w:pPr>
      <w:hyperlink w:anchor="_Toc106717632" w:history="1">
        <w:r w:rsidRPr="004C6A63">
          <w:rPr>
            <w:rStyle w:val="Hyperlink"/>
            <w:noProof/>
          </w:rPr>
          <w:t>2.</w:t>
        </w:r>
        <w:r>
          <w:rPr>
            <w:rFonts w:asciiTheme="minorHAnsi" w:eastAsiaTheme="minorEastAsia" w:hAnsiTheme="minorHAnsi" w:cstheme="minorBidi"/>
            <w:noProof/>
            <w:sz w:val="22"/>
            <w:szCs w:val="22"/>
            <w:lang w:bidi="ar-SA"/>
          </w:rPr>
          <w:tab/>
        </w:r>
        <w:r w:rsidRPr="004C6A63">
          <w:rPr>
            <w:rStyle w:val="Hyperlink"/>
            <w:noProof/>
          </w:rPr>
          <w:t xml:space="preserve">Objection No. 17: The Staff Report harms consumers by </w:t>
        </w:r>
        <w:r w:rsidR="00737A7A">
          <w:rPr>
            <w:rStyle w:val="Hyperlink"/>
            <w:noProof/>
          </w:rPr>
          <w:br/>
        </w:r>
        <w:r w:rsidRPr="004C6A63">
          <w:rPr>
            <w:rStyle w:val="Hyperlink"/>
            <w:noProof/>
          </w:rPr>
          <w:t xml:space="preserve">not recommending a fair and reasonable distribution </w:t>
        </w:r>
        <w:r w:rsidR="00737A7A">
          <w:rPr>
            <w:rStyle w:val="Hyperlink"/>
            <w:noProof/>
          </w:rPr>
          <w:br/>
        </w:r>
        <w:r w:rsidRPr="004C6A63">
          <w:rPr>
            <w:rStyle w:val="Hyperlink"/>
            <w:noProof/>
          </w:rPr>
          <w:t xml:space="preserve">(allocation) of revenue by customer class if the PUCO </w:t>
        </w:r>
        <w:r w:rsidR="00737A7A">
          <w:rPr>
            <w:rStyle w:val="Hyperlink"/>
            <w:noProof/>
          </w:rPr>
          <w:br/>
        </w:r>
        <w:r w:rsidRPr="004C6A63">
          <w:rPr>
            <w:rStyle w:val="Hyperlink"/>
            <w:noProof/>
          </w:rPr>
          <w:t>grants a revenue increase.</w:t>
        </w:r>
        <w:r>
          <w:rPr>
            <w:noProof/>
            <w:webHidden/>
          </w:rPr>
          <w:tab/>
        </w:r>
        <w:r>
          <w:rPr>
            <w:noProof/>
            <w:webHidden/>
          </w:rPr>
          <w:fldChar w:fldCharType="begin"/>
        </w:r>
        <w:r>
          <w:rPr>
            <w:noProof/>
            <w:webHidden/>
          </w:rPr>
          <w:instrText xml:space="preserve"> PAGEREF _Toc106717632 \h </w:instrText>
        </w:r>
        <w:r>
          <w:rPr>
            <w:noProof/>
            <w:webHidden/>
          </w:rPr>
          <w:fldChar w:fldCharType="separate"/>
        </w:r>
        <w:r>
          <w:rPr>
            <w:noProof/>
            <w:webHidden/>
          </w:rPr>
          <w:t>18</w:t>
        </w:r>
        <w:r>
          <w:rPr>
            <w:noProof/>
            <w:webHidden/>
          </w:rPr>
          <w:fldChar w:fldCharType="end"/>
        </w:r>
      </w:hyperlink>
    </w:p>
    <w:p w:rsidR="005737A4" w:rsidP="00CD4802" w14:paraId="4D234426" w14:textId="74511855">
      <w:pPr>
        <w:pStyle w:val="TOC3"/>
        <w:rPr>
          <w:rFonts w:asciiTheme="minorHAnsi" w:eastAsiaTheme="minorEastAsia" w:hAnsiTheme="minorHAnsi" w:cstheme="minorBidi"/>
          <w:noProof/>
          <w:sz w:val="22"/>
          <w:szCs w:val="22"/>
          <w:lang w:bidi="ar-SA"/>
        </w:rPr>
      </w:pPr>
      <w:hyperlink w:anchor="_Toc106717633" w:history="1">
        <w:r w:rsidRPr="004C6A63">
          <w:rPr>
            <w:rStyle w:val="Hyperlink"/>
            <w:noProof/>
          </w:rPr>
          <w:t>3.</w:t>
        </w:r>
        <w:r>
          <w:rPr>
            <w:rFonts w:asciiTheme="minorHAnsi" w:eastAsiaTheme="minorEastAsia" w:hAnsiTheme="minorHAnsi" w:cstheme="minorBidi"/>
            <w:noProof/>
            <w:sz w:val="22"/>
            <w:szCs w:val="22"/>
            <w:lang w:bidi="ar-SA"/>
          </w:rPr>
          <w:tab/>
        </w:r>
        <w:r w:rsidRPr="004C6A63">
          <w:rPr>
            <w:rStyle w:val="Hyperlink"/>
            <w:noProof/>
          </w:rPr>
          <w:t xml:space="preserve">Objection No. 18: The Staff Report harms consumers by recommending a residential customer charge of $7.32 </w:t>
        </w:r>
        <w:r w:rsidR="00737A7A">
          <w:rPr>
            <w:rStyle w:val="Hyperlink"/>
            <w:noProof/>
          </w:rPr>
          <w:br/>
        </w:r>
        <w:r w:rsidRPr="004C6A63">
          <w:rPr>
            <w:rStyle w:val="Hyperlink"/>
            <w:noProof/>
          </w:rPr>
          <w:t xml:space="preserve">because it's too high and improperly includes carrying </w:t>
        </w:r>
        <w:r w:rsidR="00737A7A">
          <w:rPr>
            <w:rStyle w:val="Hyperlink"/>
            <w:noProof/>
          </w:rPr>
          <w:br/>
        </w:r>
        <w:r w:rsidRPr="004C6A63">
          <w:rPr>
            <w:rStyle w:val="Hyperlink"/>
            <w:noProof/>
          </w:rPr>
          <w:t>charges for line transformers.</w:t>
        </w:r>
        <w:r>
          <w:rPr>
            <w:noProof/>
            <w:webHidden/>
          </w:rPr>
          <w:tab/>
        </w:r>
        <w:r>
          <w:rPr>
            <w:noProof/>
            <w:webHidden/>
          </w:rPr>
          <w:fldChar w:fldCharType="begin"/>
        </w:r>
        <w:r>
          <w:rPr>
            <w:noProof/>
            <w:webHidden/>
          </w:rPr>
          <w:instrText xml:space="preserve"> PAGEREF _Toc106717633 \h </w:instrText>
        </w:r>
        <w:r>
          <w:rPr>
            <w:noProof/>
            <w:webHidden/>
          </w:rPr>
          <w:fldChar w:fldCharType="separate"/>
        </w:r>
        <w:r>
          <w:rPr>
            <w:noProof/>
            <w:webHidden/>
          </w:rPr>
          <w:t>18</w:t>
        </w:r>
        <w:r>
          <w:rPr>
            <w:noProof/>
            <w:webHidden/>
          </w:rPr>
          <w:fldChar w:fldCharType="end"/>
        </w:r>
      </w:hyperlink>
    </w:p>
    <w:p w:rsidR="005737A4" w:rsidP="00CD4802" w14:paraId="5CFA4244" w14:textId="75FE48A2">
      <w:pPr>
        <w:pStyle w:val="TOC3"/>
        <w:rPr>
          <w:rFonts w:asciiTheme="minorHAnsi" w:eastAsiaTheme="minorEastAsia" w:hAnsiTheme="minorHAnsi" w:cstheme="minorBidi"/>
          <w:noProof/>
          <w:sz w:val="22"/>
          <w:szCs w:val="22"/>
          <w:lang w:bidi="ar-SA"/>
        </w:rPr>
      </w:pPr>
      <w:hyperlink w:anchor="_Toc106717634" w:history="1">
        <w:r w:rsidRPr="004C6A63">
          <w:rPr>
            <w:rStyle w:val="Hyperlink"/>
            <w:noProof/>
          </w:rPr>
          <w:t>4.</w:t>
        </w:r>
        <w:r>
          <w:rPr>
            <w:rFonts w:asciiTheme="minorHAnsi" w:eastAsiaTheme="minorEastAsia" w:hAnsiTheme="minorHAnsi" w:cstheme="minorBidi"/>
            <w:noProof/>
            <w:sz w:val="22"/>
            <w:szCs w:val="22"/>
            <w:lang w:bidi="ar-SA"/>
          </w:rPr>
          <w:tab/>
        </w:r>
        <w:r w:rsidRPr="004C6A63">
          <w:rPr>
            <w:rStyle w:val="Hyperlink"/>
            <w:noProof/>
          </w:rPr>
          <w:t xml:space="preserve">Objection No. 19: The Staff Report harms consumers by </w:t>
        </w:r>
        <w:r w:rsidR="00737A7A">
          <w:rPr>
            <w:rStyle w:val="Hyperlink"/>
            <w:noProof/>
          </w:rPr>
          <w:br/>
        </w:r>
        <w:r w:rsidRPr="004C6A63">
          <w:rPr>
            <w:rStyle w:val="Hyperlink"/>
            <w:noProof/>
          </w:rPr>
          <w:t xml:space="preserve">failing to recommend that the $10 Remote Reconnection </w:t>
        </w:r>
        <w:r w:rsidR="00737A7A">
          <w:rPr>
            <w:rStyle w:val="Hyperlink"/>
            <w:noProof/>
          </w:rPr>
          <w:br/>
        </w:r>
        <w:r w:rsidRPr="004C6A63">
          <w:rPr>
            <w:rStyle w:val="Hyperlink"/>
            <w:noProof/>
          </w:rPr>
          <w:t xml:space="preserve">Fee proposed by Duke be reduced to $0 because Duke has </w:t>
        </w:r>
        <w:r w:rsidR="00737A7A">
          <w:rPr>
            <w:rStyle w:val="Hyperlink"/>
            <w:noProof/>
          </w:rPr>
          <w:br/>
        </w:r>
        <w:r w:rsidRPr="004C6A63">
          <w:rPr>
            <w:rStyle w:val="Hyperlink"/>
            <w:noProof/>
          </w:rPr>
          <w:t>not justified the proposed charge.</w:t>
        </w:r>
        <w:r>
          <w:rPr>
            <w:noProof/>
            <w:webHidden/>
          </w:rPr>
          <w:tab/>
        </w:r>
        <w:r>
          <w:rPr>
            <w:noProof/>
            <w:webHidden/>
          </w:rPr>
          <w:fldChar w:fldCharType="begin"/>
        </w:r>
        <w:r>
          <w:rPr>
            <w:noProof/>
            <w:webHidden/>
          </w:rPr>
          <w:instrText xml:space="preserve"> PAGEREF _Toc106717634 \h </w:instrText>
        </w:r>
        <w:r>
          <w:rPr>
            <w:noProof/>
            <w:webHidden/>
          </w:rPr>
          <w:fldChar w:fldCharType="separate"/>
        </w:r>
        <w:r>
          <w:rPr>
            <w:noProof/>
            <w:webHidden/>
          </w:rPr>
          <w:t>19</w:t>
        </w:r>
        <w:r>
          <w:rPr>
            <w:noProof/>
            <w:webHidden/>
          </w:rPr>
          <w:fldChar w:fldCharType="end"/>
        </w:r>
      </w:hyperlink>
    </w:p>
    <w:p w:rsidR="005737A4" w:rsidP="00CD4802" w14:paraId="07CD0A17" w14:textId="21C4FE7A">
      <w:pPr>
        <w:pStyle w:val="TOC3"/>
        <w:rPr>
          <w:rFonts w:asciiTheme="minorHAnsi" w:eastAsiaTheme="minorEastAsia" w:hAnsiTheme="minorHAnsi" w:cstheme="minorBidi"/>
          <w:noProof/>
          <w:sz w:val="22"/>
          <w:szCs w:val="22"/>
          <w:lang w:bidi="ar-SA"/>
        </w:rPr>
      </w:pPr>
      <w:hyperlink w:anchor="_Toc106717635" w:history="1">
        <w:r w:rsidRPr="004C6A63">
          <w:rPr>
            <w:rStyle w:val="Hyperlink"/>
            <w:noProof/>
          </w:rPr>
          <w:t>5.</w:t>
        </w:r>
        <w:r>
          <w:rPr>
            <w:rFonts w:asciiTheme="minorHAnsi" w:eastAsiaTheme="minorEastAsia" w:hAnsiTheme="minorHAnsi" w:cstheme="minorBidi"/>
            <w:noProof/>
            <w:sz w:val="22"/>
            <w:szCs w:val="22"/>
            <w:lang w:bidi="ar-SA"/>
          </w:rPr>
          <w:tab/>
        </w:r>
        <w:r w:rsidRPr="004C6A63">
          <w:rPr>
            <w:rStyle w:val="Hyperlink"/>
            <w:noProof/>
          </w:rPr>
          <w:t xml:space="preserve">Objection No. 20: The Staff Report harms consumers by </w:t>
        </w:r>
        <w:r w:rsidR="00737A7A">
          <w:rPr>
            <w:rStyle w:val="Hyperlink"/>
            <w:noProof/>
          </w:rPr>
          <w:br/>
        </w:r>
        <w:r w:rsidRPr="004C6A63">
          <w:rPr>
            <w:rStyle w:val="Hyperlink"/>
            <w:noProof/>
          </w:rPr>
          <w:t xml:space="preserve">failing to recommend that Duke make every available </w:t>
        </w:r>
        <w:r w:rsidR="00A31E42">
          <w:rPr>
            <w:rStyle w:val="Hyperlink"/>
            <w:noProof/>
          </w:rPr>
          <w:br/>
        </w:r>
        <w:r w:rsidRPr="004C6A63">
          <w:rPr>
            <w:rStyle w:val="Hyperlink"/>
            <w:noProof/>
          </w:rPr>
          <w:t>effort with its authorized vendors to reduce the level of the convenience fees charged to consumers</w:t>
        </w:r>
        <w:r w:rsidR="00CD4802">
          <w:rPr>
            <w:rStyle w:val="Hyperlink"/>
            <w:noProof/>
          </w:rPr>
          <w:t xml:space="preserve">. </w:t>
        </w:r>
        <w:r w:rsidR="00CD4802">
          <w:t xml:space="preserve">The PUCO should </w:t>
        </w:r>
        <w:r w:rsidR="001268A0">
          <w:br/>
        </w:r>
        <w:r w:rsidR="00CD4802">
          <w:t>ideally prohibit charging convenience fees to consumers.</w:t>
        </w:r>
        <w:r w:rsidRPr="004C6A63">
          <w:rPr>
            <w:rStyle w:val="Hyperlink"/>
            <w:noProof/>
          </w:rPr>
          <w:t>.</w:t>
        </w:r>
        <w:r>
          <w:rPr>
            <w:noProof/>
            <w:webHidden/>
          </w:rPr>
          <w:tab/>
        </w:r>
        <w:r>
          <w:rPr>
            <w:noProof/>
            <w:webHidden/>
          </w:rPr>
          <w:fldChar w:fldCharType="begin"/>
        </w:r>
        <w:r>
          <w:rPr>
            <w:noProof/>
            <w:webHidden/>
          </w:rPr>
          <w:instrText xml:space="preserve"> PAGEREF _Toc106717635 \h </w:instrText>
        </w:r>
        <w:r>
          <w:rPr>
            <w:noProof/>
            <w:webHidden/>
          </w:rPr>
          <w:fldChar w:fldCharType="separate"/>
        </w:r>
        <w:r>
          <w:rPr>
            <w:noProof/>
            <w:webHidden/>
          </w:rPr>
          <w:t>19</w:t>
        </w:r>
        <w:r>
          <w:rPr>
            <w:noProof/>
            <w:webHidden/>
          </w:rPr>
          <w:fldChar w:fldCharType="end"/>
        </w:r>
      </w:hyperlink>
    </w:p>
    <w:p w:rsidR="005737A4" w:rsidP="00CD4802" w14:paraId="6008D099" w14:textId="26D43308">
      <w:pPr>
        <w:pStyle w:val="TOC3"/>
        <w:rPr>
          <w:rFonts w:asciiTheme="minorHAnsi" w:eastAsiaTheme="minorEastAsia" w:hAnsiTheme="minorHAnsi" w:cstheme="minorBidi"/>
          <w:noProof/>
          <w:sz w:val="22"/>
          <w:szCs w:val="22"/>
          <w:lang w:bidi="ar-SA"/>
        </w:rPr>
      </w:pPr>
      <w:hyperlink w:anchor="_Toc106717636" w:history="1">
        <w:r w:rsidRPr="004C6A63">
          <w:rPr>
            <w:rStyle w:val="Hyperlink"/>
            <w:noProof/>
          </w:rPr>
          <w:t>6.</w:t>
        </w:r>
        <w:r>
          <w:rPr>
            <w:rFonts w:asciiTheme="minorHAnsi" w:eastAsiaTheme="minorEastAsia" w:hAnsiTheme="minorHAnsi" w:cstheme="minorBidi"/>
            <w:noProof/>
            <w:sz w:val="22"/>
            <w:szCs w:val="22"/>
            <w:lang w:bidi="ar-SA"/>
          </w:rPr>
          <w:tab/>
        </w:r>
        <w:r w:rsidRPr="004C6A63">
          <w:rPr>
            <w:rStyle w:val="Hyperlink"/>
            <w:noProof/>
          </w:rPr>
          <w:t xml:space="preserve">Objection No. 21: The Staff Report harms consumers by </w:t>
        </w:r>
        <w:r w:rsidR="00A31E42">
          <w:rPr>
            <w:rStyle w:val="Hyperlink"/>
            <w:noProof/>
          </w:rPr>
          <w:br/>
        </w:r>
        <w:r w:rsidRPr="004C6A63">
          <w:rPr>
            <w:rStyle w:val="Hyperlink"/>
            <w:noProof/>
          </w:rPr>
          <w:t xml:space="preserve">failing to recommend that Duke be required to file an </w:t>
        </w:r>
        <w:r w:rsidR="00A31E42">
          <w:rPr>
            <w:rStyle w:val="Hyperlink"/>
            <w:noProof/>
          </w:rPr>
          <w:br/>
        </w:r>
        <w:r w:rsidRPr="004C6A63">
          <w:rPr>
            <w:rStyle w:val="Hyperlink"/>
            <w:noProof/>
          </w:rPr>
          <w:t xml:space="preserve">Application for Tariff Approval (“ATA”) to update the </w:t>
        </w:r>
        <w:r w:rsidR="00A31E42">
          <w:rPr>
            <w:rStyle w:val="Hyperlink"/>
            <w:noProof/>
          </w:rPr>
          <w:br/>
        </w:r>
        <w:r w:rsidRPr="004C6A63">
          <w:rPr>
            <w:rStyle w:val="Hyperlink"/>
            <w:noProof/>
          </w:rPr>
          <w:t>Net Metering Rider.</w:t>
        </w:r>
        <w:r>
          <w:rPr>
            <w:noProof/>
            <w:webHidden/>
          </w:rPr>
          <w:tab/>
        </w:r>
        <w:r>
          <w:rPr>
            <w:noProof/>
            <w:webHidden/>
          </w:rPr>
          <w:fldChar w:fldCharType="begin"/>
        </w:r>
        <w:r>
          <w:rPr>
            <w:noProof/>
            <w:webHidden/>
          </w:rPr>
          <w:instrText xml:space="preserve"> PAGEREF _Toc106717636 \h </w:instrText>
        </w:r>
        <w:r>
          <w:rPr>
            <w:noProof/>
            <w:webHidden/>
          </w:rPr>
          <w:fldChar w:fldCharType="separate"/>
        </w:r>
        <w:r>
          <w:rPr>
            <w:noProof/>
            <w:webHidden/>
          </w:rPr>
          <w:t>20</w:t>
        </w:r>
        <w:r>
          <w:rPr>
            <w:noProof/>
            <w:webHidden/>
          </w:rPr>
          <w:fldChar w:fldCharType="end"/>
        </w:r>
      </w:hyperlink>
    </w:p>
    <w:p w:rsidR="005737A4" w:rsidP="00CD4802" w14:paraId="4D3758EB" w14:textId="1EA7BAC6">
      <w:pPr>
        <w:pStyle w:val="TOC3"/>
        <w:rPr>
          <w:rFonts w:asciiTheme="minorHAnsi" w:eastAsiaTheme="minorEastAsia" w:hAnsiTheme="minorHAnsi" w:cstheme="minorBidi"/>
          <w:noProof/>
          <w:sz w:val="22"/>
          <w:szCs w:val="22"/>
          <w:lang w:bidi="ar-SA"/>
        </w:rPr>
      </w:pPr>
      <w:hyperlink w:anchor="_Toc106717637" w:history="1">
        <w:r w:rsidRPr="004C6A63">
          <w:rPr>
            <w:rStyle w:val="Hyperlink"/>
            <w:noProof/>
          </w:rPr>
          <w:t>7.</w:t>
        </w:r>
        <w:r>
          <w:rPr>
            <w:rFonts w:asciiTheme="minorHAnsi" w:eastAsiaTheme="minorEastAsia" w:hAnsiTheme="minorHAnsi" w:cstheme="minorBidi"/>
            <w:noProof/>
            <w:sz w:val="22"/>
            <w:szCs w:val="22"/>
            <w:lang w:bidi="ar-SA"/>
          </w:rPr>
          <w:tab/>
        </w:r>
        <w:r w:rsidRPr="004C6A63">
          <w:rPr>
            <w:rStyle w:val="Hyperlink"/>
            <w:noProof/>
          </w:rPr>
          <w:t xml:space="preserve">Objection No. 22: The Staff Report harms consumers by </w:t>
        </w:r>
        <w:r w:rsidR="00A31E42">
          <w:rPr>
            <w:rStyle w:val="Hyperlink"/>
            <w:noProof/>
          </w:rPr>
          <w:br/>
        </w:r>
        <w:r w:rsidRPr="004C6A63">
          <w:rPr>
            <w:rStyle w:val="Hyperlink"/>
            <w:noProof/>
          </w:rPr>
          <w:t xml:space="preserve">failing to recommend that Duke be required to continue </w:t>
        </w:r>
        <w:r w:rsidR="00A31E42">
          <w:rPr>
            <w:rStyle w:val="Hyperlink"/>
            <w:noProof/>
          </w:rPr>
          <w:br/>
        </w:r>
        <w:r w:rsidRPr="004C6A63">
          <w:rPr>
            <w:rStyle w:val="Hyperlink"/>
            <w:noProof/>
          </w:rPr>
          <w:t xml:space="preserve">offering the current Time of Day rate (“Rate TD”) as a </w:t>
        </w:r>
        <w:r w:rsidR="00A31E42">
          <w:rPr>
            <w:rStyle w:val="Hyperlink"/>
            <w:noProof/>
          </w:rPr>
          <w:br/>
        </w:r>
        <w:r w:rsidRPr="004C6A63">
          <w:rPr>
            <w:rStyle w:val="Hyperlink"/>
            <w:noProof/>
          </w:rPr>
          <w:t>default Time of Use (“TOU”) rate.</w:t>
        </w:r>
        <w:r>
          <w:rPr>
            <w:noProof/>
            <w:webHidden/>
          </w:rPr>
          <w:tab/>
        </w:r>
        <w:r>
          <w:rPr>
            <w:noProof/>
            <w:webHidden/>
          </w:rPr>
          <w:fldChar w:fldCharType="begin"/>
        </w:r>
        <w:r>
          <w:rPr>
            <w:noProof/>
            <w:webHidden/>
          </w:rPr>
          <w:instrText xml:space="preserve"> PAGEREF _Toc106717637 \h </w:instrText>
        </w:r>
        <w:r>
          <w:rPr>
            <w:noProof/>
            <w:webHidden/>
          </w:rPr>
          <w:fldChar w:fldCharType="separate"/>
        </w:r>
        <w:r>
          <w:rPr>
            <w:noProof/>
            <w:webHidden/>
          </w:rPr>
          <w:t>20</w:t>
        </w:r>
        <w:r>
          <w:rPr>
            <w:noProof/>
            <w:webHidden/>
          </w:rPr>
          <w:fldChar w:fldCharType="end"/>
        </w:r>
      </w:hyperlink>
    </w:p>
    <w:p w:rsidR="005737A4" w14:paraId="5F5B1951" w14:textId="361BDC97">
      <w:pPr>
        <w:pStyle w:val="TOC2"/>
        <w:tabs>
          <w:tab w:val="left" w:pos="1440"/>
        </w:tabs>
        <w:rPr>
          <w:rFonts w:asciiTheme="minorHAnsi" w:eastAsiaTheme="minorEastAsia" w:hAnsiTheme="minorHAnsi" w:cstheme="minorBidi"/>
          <w:noProof/>
          <w:sz w:val="22"/>
          <w:szCs w:val="22"/>
          <w:lang w:bidi="ar-SA"/>
        </w:rPr>
      </w:pPr>
      <w:hyperlink w:anchor="_Toc106717638" w:history="1">
        <w:r w:rsidRPr="004C6A63">
          <w:rPr>
            <w:rStyle w:val="Hyperlink"/>
            <w:noProof/>
          </w:rPr>
          <w:t>E.</w:t>
        </w:r>
        <w:r>
          <w:rPr>
            <w:rFonts w:asciiTheme="minorHAnsi" w:eastAsiaTheme="minorEastAsia" w:hAnsiTheme="minorHAnsi" w:cstheme="minorBidi"/>
            <w:noProof/>
            <w:sz w:val="22"/>
            <w:szCs w:val="22"/>
            <w:lang w:bidi="ar-SA"/>
          </w:rPr>
          <w:tab/>
        </w:r>
        <w:r w:rsidRPr="004C6A63">
          <w:rPr>
            <w:rStyle w:val="Hyperlink"/>
            <w:noProof/>
          </w:rPr>
          <w:t>Riders</w:t>
        </w:r>
        <w:r>
          <w:rPr>
            <w:noProof/>
            <w:webHidden/>
          </w:rPr>
          <w:tab/>
        </w:r>
        <w:r>
          <w:rPr>
            <w:noProof/>
            <w:webHidden/>
          </w:rPr>
          <w:fldChar w:fldCharType="begin"/>
        </w:r>
        <w:r>
          <w:rPr>
            <w:noProof/>
            <w:webHidden/>
          </w:rPr>
          <w:instrText xml:space="preserve"> PAGEREF _Toc106717638 \h </w:instrText>
        </w:r>
        <w:r>
          <w:rPr>
            <w:noProof/>
            <w:webHidden/>
          </w:rPr>
          <w:fldChar w:fldCharType="separate"/>
        </w:r>
        <w:r>
          <w:rPr>
            <w:noProof/>
            <w:webHidden/>
          </w:rPr>
          <w:t>21</w:t>
        </w:r>
        <w:r>
          <w:rPr>
            <w:noProof/>
            <w:webHidden/>
          </w:rPr>
          <w:fldChar w:fldCharType="end"/>
        </w:r>
      </w:hyperlink>
    </w:p>
    <w:p w:rsidR="005737A4" w:rsidP="00CD4802" w14:paraId="44E7327C" w14:textId="79FD356C">
      <w:pPr>
        <w:pStyle w:val="TOC3"/>
        <w:rPr>
          <w:rFonts w:asciiTheme="minorHAnsi" w:eastAsiaTheme="minorEastAsia" w:hAnsiTheme="minorHAnsi" w:cstheme="minorBidi"/>
          <w:noProof/>
          <w:sz w:val="22"/>
          <w:szCs w:val="22"/>
          <w:lang w:bidi="ar-SA"/>
        </w:rPr>
      </w:pPr>
      <w:hyperlink w:anchor="_Toc106717639" w:history="1">
        <w:r w:rsidRPr="004C6A63">
          <w:rPr>
            <w:rStyle w:val="Hyperlink"/>
            <w:noProof/>
          </w:rPr>
          <w:t>1.</w:t>
        </w:r>
        <w:r>
          <w:rPr>
            <w:rFonts w:asciiTheme="minorHAnsi" w:eastAsiaTheme="minorEastAsia" w:hAnsiTheme="minorHAnsi" w:cstheme="minorBidi"/>
            <w:noProof/>
            <w:sz w:val="22"/>
            <w:szCs w:val="22"/>
            <w:lang w:bidi="ar-SA"/>
          </w:rPr>
          <w:tab/>
        </w:r>
        <w:r w:rsidRPr="004C6A63">
          <w:rPr>
            <w:rStyle w:val="Hyperlink"/>
            <w:noProof/>
          </w:rPr>
          <w:t xml:space="preserve">Objection No. 23: The Staff Report harms consumers by </w:t>
        </w:r>
        <w:r w:rsidR="00A31E42">
          <w:rPr>
            <w:rStyle w:val="Hyperlink"/>
            <w:noProof/>
          </w:rPr>
          <w:br/>
        </w:r>
        <w:r w:rsidRPr="004C6A63">
          <w:rPr>
            <w:rStyle w:val="Hyperlink"/>
            <w:noProof/>
          </w:rPr>
          <w:t xml:space="preserve">failing to consider if there is a need for contractor </w:t>
        </w:r>
        <w:r w:rsidR="00A31E42">
          <w:rPr>
            <w:rStyle w:val="Hyperlink"/>
            <w:noProof/>
          </w:rPr>
          <w:br/>
        </w:r>
        <w:r w:rsidRPr="004C6A63">
          <w:rPr>
            <w:rStyle w:val="Hyperlink"/>
            <w:noProof/>
          </w:rPr>
          <w:t xml:space="preserve">vegetation management spending that exceeds the $22.5 </w:t>
        </w:r>
        <w:r w:rsidR="00A31E42">
          <w:rPr>
            <w:rStyle w:val="Hyperlink"/>
            <w:noProof/>
          </w:rPr>
          <w:br/>
        </w:r>
        <w:r w:rsidRPr="004C6A63">
          <w:rPr>
            <w:rStyle w:val="Hyperlink"/>
            <w:noProof/>
          </w:rPr>
          <w:t xml:space="preserve">million that it recommends be included in base rates. In </w:t>
        </w:r>
        <w:r w:rsidR="00A31E42">
          <w:rPr>
            <w:rStyle w:val="Hyperlink"/>
            <w:noProof/>
          </w:rPr>
          <w:br/>
        </w:r>
        <w:r w:rsidRPr="004C6A63">
          <w:rPr>
            <w:rStyle w:val="Hyperlink"/>
            <w:noProof/>
          </w:rPr>
          <w:t xml:space="preserve">addition, the Staff Report harms consumers by failing to recommend spending caps for any additional vegetation management costs that exceeds the $22.5 million that can </w:t>
        </w:r>
        <w:r w:rsidR="00A31E42">
          <w:rPr>
            <w:rStyle w:val="Hyperlink"/>
            <w:noProof/>
          </w:rPr>
          <w:br/>
        </w:r>
        <w:r w:rsidRPr="004C6A63">
          <w:rPr>
            <w:rStyle w:val="Hyperlink"/>
            <w:noProof/>
          </w:rPr>
          <w:t>be collected through the Electric Service Reliability Rider (“ESRR”).</w:t>
        </w:r>
        <w:r>
          <w:rPr>
            <w:noProof/>
            <w:webHidden/>
          </w:rPr>
          <w:tab/>
        </w:r>
        <w:r>
          <w:rPr>
            <w:noProof/>
            <w:webHidden/>
          </w:rPr>
          <w:fldChar w:fldCharType="begin"/>
        </w:r>
        <w:r>
          <w:rPr>
            <w:noProof/>
            <w:webHidden/>
          </w:rPr>
          <w:instrText xml:space="preserve"> PAGEREF _Toc106717639 \h </w:instrText>
        </w:r>
        <w:r>
          <w:rPr>
            <w:noProof/>
            <w:webHidden/>
          </w:rPr>
          <w:fldChar w:fldCharType="separate"/>
        </w:r>
        <w:r>
          <w:rPr>
            <w:noProof/>
            <w:webHidden/>
          </w:rPr>
          <w:t>21</w:t>
        </w:r>
        <w:r>
          <w:rPr>
            <w:noProof/>
            <w:webHidden/>
          </w:rPr>
          <w:fldChar w:fldCharType="end"/>
        </w:r>
      </w:hyperlink>
    </w:p>
    <w:p w:rsidR="005737A4" w:rsidP="00CD4802" w14:paraId="748894C3" w14:textId="1EC3FE39">
      <w:pPr>
        <w:pStyle w:val="TOC3"/>
        <w:rPr>
          <w:rFonts w:asciiTheme="minorHAnsi" w:eastAsiaTheme="minorEastAsia" w:hAnsiTheme="minorHAnsi" w:cstheme="minorBidi"/>
          <w:noProof/>
          <w:sz w:val="22"/>
          <w:szCs w:val="22"/>
          <w:lang w:bidi="ar-SA"/>
        </w:rPr>
      </w:pPr>
      <w:hyperlink w:anchor="_Toc106717640" w:history="1">
        <w:r w:rsidRPr="004C6A63">
          <w:rPr>
            <w:rStyle w:val="Hyperlink"/>
            <w:noProof/>
          </w:rPr>
          <w:t>2.</w:t>
        </w:r>
        <w:r>
          <w:rPr>
            <w:rFonts w:asciiTheme="minorHAnsi" w:eastAsiaTheme="minorEastAsia" w:hAnsiTheme="minorHAnsi" w:cstheme="minorBidi"/>
            <w:noProof/>
            <w:sz w:val="22"/>
            <w:szCs w:val="22"/>
            <w:lang w:bidi="ar-SA"/>
          </w:rPr>
          <w:tab/>
        </w:r>
        <w:r w:rsidRPr="004C6A63">
          <w:rPr>
            <w:rStyle w:val="Hyperlink"/>
            <w:noProof/>
          </w:rPr>
          <w:t xml:space="preserve">Objection </w:t>
        </w:r>
        <w:r w:rsidR="008A3C88">
          <w:rPr>
            <w:rStyle w:val="Hyperlink"/>
            <w:noProof/>
          </w:rPr>
          <w:t xml:space="preserve">No. </w:t>
        </w:r>
        <w:r w:rsidRPr="004C6A63">
          <w:rPr>
            <w:rStyle w:val="Hyperlink"/>
            <w:noProof/>
          </w:rPr>
          <w:t xml:space="preserve">24. The Staff Report harms consumers by </w:t>
        </w:r>
        <w:r w:rsidR="005050DB">
          <w:rPr>
            <w:rStyle w:val="Hyperlink"/>
            <w:noProof/>
          </w:rPr>
          <w:br/>
        </w:r>
        <w:r w:rsidRPr="004C6A63">
          <w:rPr>
            <w:rStyle w:val="Hyperlink"/>
            <w:noProof/>
          </w:rPr>
          <w:t>failing to provide a current evaluation of the Rider UE-GEN (Uncollectible Expenses) to determine if changes are needed in Duke's Purchase of Accounts Receivable ("PAR") program to protect consumers from paying unjust and unreasonable competitive retail electric supplier charges.</w:t>
        </w:r>
        <w:r>
          <w:rPr>
            <w:noProof/>
            <w:webHidden/>
          </w:rPr>
          <w:tab/>
        </w:r>
        <w:r>
          <w:rPr>
            <w:noProof/>
            <w:webHidden/>
          </w:rPr>
          <w:fldChar w:fldCharType="begin"/>
        </w:r>
        <w:r>
          <w:rPr>
            <w:noProof/>
            <w:webHidden/>
          </w:rPr>
          <w:instrText xml:space="preserve"> PAGEREF _Toc106717640 \h </w:instrText>
        </w:r>
        <w:r>
          <w:rPr>
            <w:noProof/>
            <w:webHidden/>
          </w:rPr>
          <w:fldChar w:fldCharType="separate"/>
        </w:r>
        <w:r>
          <w:rPr>
            <w:noProof/>
            <w:webHidden/>
          </w:rPr>
          <w:t>22</w:t>
        </w:r>
        <w:r>
          <w:rPr>
            <w:noProof/>
            <w:webHidden/>
          </w:rPr>
          <w:fldChar w:fldCharType="end"/>
        </w:r>
      </w:hyperlink>
    </w:p>
    <w:p w:rsidR="005737A4" w14:paraId="36BFF540" w14:textId="6092B5DD">
      <w:pPr>
        <w:pStyle w:val="TOC2"/>
        <w:tabs>
          <w:tab w:val="left" w:pos="1440"/>
        </w:tabs>
        <w:rPr>
          <w:rFonts w:asciiTheme="minorHAnsi" w:eastAsiaTheme="minorEastAsia" w:hAnsiTheme="minorHAnsi" w:cstheme="minorBidi"/>
          <w:noProof/>
          <w:sz w:val="22"/>
          <w:szCs w:val="22"/>
          <w:lang w:bidi="ar-SA"/>
        </w:rPr>
      </w:pPr>
      <w:hyperlink w:anchor="_Toc106717641" w:history="1">
        <w:r w:rsidRPr="004C6A63">
          <w:rPr>
            <w:rStyle w:val="Hyperlink"/>
            <w:noProof/>
          </w:rPr>
          <w:t>F.</w:t>
        </w:r>
        <w:r>
          <w:rPr>
            <w:rFonts w:asciiTheme="minorHAnsi" w:eastAsiaTheme="minorEastAsia" w:hAnsiTheme="minorHAnsi" w:cstheme="minorBidi"/>
            <w:noProof/>
            <w:sz w:val="22"/>
            <w:szCs w:val="22"/>
            <w:lang w:bidi="ar-SA"/>
          </w:rPr>
          <w:tab/>
        </w:r>
        <w:r w:rsidRPr="004C6A63">
          <w:rPr>
            <w:rStyle w:val="Hyperlink"/>
            <w:noProof/>
          </w:rPr>
          <w:t>Service Monitoring and Enforcement</w:t>
        </w:r>
        <w:r>
          <w:rPr>
            <w:noProof/>
            <w:webHidden/>
          </w:rPr>
          <w:tab/>
        </w:r>
        <w:r>
          <w:rPr>
            <w:noProof/>
            <w:webHidden/>
          </w:rPr>
          <w:fldChar w:fldCharType="begin"/>
        </w:r>
        <w:r>
          <w:rPr>
            <w:noProof/>
            <w:webHidden/>
          </w:rPr>
          <w:instrText xml:space="preserve"> PAGEREF _Toc106717641 \h </w:instrText>
        </w:r>
        <w:r>
          <w:rPr>
            <w:noProof/>
            <w:webHidden/>
          </w:rPr>
          <w:fldChar w:fldCharType="separate"/>
        </w:r>
        <w:r>
          <w:rPr>
            <w:noProof/>
            <w:webHidden/>
          </w:rPr>
          <w:t>22</w:t>
        </w:r>
        <w:r>
          <w:rPr>
            <w:noProof/>
            <w:webHidden/>
          </w:rPr>
          <w:fldChar w:fldCharType="end"/>
        </w:r>
      </w:hyperlink>
    </w:p>
    <w:p w:rsidR="005737A4" w:rsidP="00CD4802" w14:paraId="7D306E30" w14:textId="488CA16C">
      <w:pPr>
        <w:pStyle w:val="TOC3"/>
        <w:rPr>
          <w:rFonts w:asciiTheme="minorHAnsi" w:eastAsiaTheme="minorEastAsia" w:hAnsiTheme="minorHAnsi" w:cstheme="minorBidi"/>
          <w:noProof/>
          <w:sz w:val="22"/>
          <w:szCs w:val="22"/>
          <w:lang w:bidi="ar-SA"/>
        </w:rPr>
      </w:pPr>
      <w:hyperlink w:anchor="_Toc106717642" w:history="1">
        <w:r w:rsidRPr="004C6A63">
          <w:rPr>
            <w:rStyle w:val="Hyperlink"/>
            <w:noProof/>
          </w:rPr>
          <w:t>1.</w:t>
        </w:r>
        <w:r>
          <w:rPr>
            <w:rFonts w:asciiTheme="minorHAnsi" w:eastAsiaTheme="minorEastAsia" w:hAnsiTheme="minorHAnsi" w:cstheme="minorBidi"/>
            <w:noProof/>
            <w:sz w:val="22"/>
            <w:szCs w:val="22"/>
            <w:lang w:bidi="ar-SA"/>
          </w:rPr>
          <w:tab/>
        </w:r>
        <w:r w:rsidRPr="004C6A63">
          <w:rPr>
            <w:rStyle w:val="Hyperlink"/>
            <w:noProof/>
          </w:rPr>
          <w:t xml:space="preserve">Objection No. 25: The Staff Report harms consumers by </w:t>
        </w:r>
        <w:r w:rsidR="00BE2AE8">
          <w:rPr>
            <w:rStyle w:val="Hyperlink"/>
            <w:noProof/>
          </w:rPr>
          <w:br/>
        </w:r>
        <w:r w:rsidRPr="004C6A63">
          <w:rPr>
            <w:rStyle w:val="Hyperlink"/>
            <w:noProof/>
          </w:rPr>
          <w:t xml:space="preserve">failing to perform any analysis of Duke’s failure to meet its minimum PUCO required reliability standards in 2021 </w:t>
        </w:r>
        <w:r w:rsidR="00BE2AE8">
          <w:rPr>
            <w:rStyle w:val="Hyperlink"/>
            <w:noProof/>
          </w:rPr>
          <w:br/>
        </w:r>
        <w:r w:rsidRPr="004C6A63">
          <w:rPr>
            <w:rStyle w:val="Hyperlink"/>
            <w:noProof/>
          </w:rPr>
          <w:t xml:space="preserve">and/or to assess the effectiveness of additional reliability </w:t>
        </w:r>
        <w:r w:rsidR="00BE2AE8">
          <w:rPr>
            <w:rStyle w:val="Hyperlink"/>
            <w:noProof/>
          </w:rPr>
          <w:br/>
        </w:r>
        <w:r w:rsidRPr="004C6A63">
          <w:rPr>
            <w:rStyle w:val="Hyperlink"/>
            <w:noProof/>
          </w:rPr>
          <w:t xml:space="preserve">spending consumers are paying for through the Delivery </w:t>
        </w:r>
        <w:r w:rsidR="00BE2AE8">
          <w:rPr>
            <w:rStyle w:val="Hyperlink"/>
            <w:noProof/>
          </w:rPr>
          <w:br/>
        </w:r>
        <w:r w:rsidRPr="004C6A63">
          <w:rPr>
            <w:rStyle w:val="Hyperlink"/>
            <w:noProof/>
          </w:rPr>
          <w:t>Capital Investment (“DCI”) Rider and the Electric Service Reliability Rider (“ESRR”).</w:t>
        </w:r>
        <w:r>
          <w:rPr>
            <w:noProof/>
            <w:webHidden/>
          </w:rPr>
          <w:tab/>
        </w:r>
        <w:r>
          <w:rPr>
            <w:noProof/>
            <w:webHidden/>
          </w:rPr>
          <w:fldChar w:fldCharType="begin"/>
        </w:r>
        <w:r>
          <w:rPr>
            <w:noProof/>
            <w:webHidden/>
          </w:rPr>
          <w:instrText xml:space="preserve"> PAGEREF _Toc106717642 \h </w:instrText>
        </w:r>
        <w:r>
          <w:rPr>
            <w:noProof/>
            <w:webHidden/>
          </w:rPr>
          <w:fldChar w:fldCharType="separate"/>
        </w:r>
        <w:r>
          <w:rPr>
            <w:noProof/>
            <w:webHidden/>
          </w:rPr>
          <w:t>22</w:t>
        </w:r>
        <w:r>
          <w:rPr>
            <w:noProof/>
            <w:webHidden/>
          </w:rPr>
          <w:fldChar w:fldCharType="end"/>
        </w:r>
      </w:hyperlink>
    </w:p>
    <w:p w:rsidR="005737A4" w:rsidP="00CD4802" w14:paraId="460034C1" w14:textId="38521655">
      <w:pPr>
        <w:pStyle w:val="TOC3"/>
        <w:rPr>
          <w:rFonts w:asciiTheme="minorHAnsi" w:eastAsiaTheme="minorEastAsia" w:hAnsiTheme="minorHAnsi" w:cstheme="minorBidi"/>
          <w:noProof/>
          <w:sz w:val="22"/>
          <w:szCs w:val="22"/>
          <w:lang w:bidi="ar-SA"/>
        </w:rPr>
      </w:pPr>
      <w:hyperlink w:anchor="_Toc106717643" w:history="1">
        <w:r w:rsidRPr="004C6A63">
          <w:rPr>
            <w:rStyle w:val="Hyperlink"/>
            <w:noProof/>
          </w:rPr>
          <w:t>2.</w:t>
        </w:r>
        <w:r>
          <w:rPr>
            <w:rFonts w:asciiTheme="minorHAnsi" w:eastAsiaTheme="minorEastAsia" w:hAnsiTheme="minorHAnsi" w:cstheme="minorBidi"/>
            <w:noProof/>
            <w:sz w:val="22"/>
            <w:szCs w:val="22"/>
            <w:lang w:bidi="ar-SA"/>
          </w:rPr>
          <w:tab/>
        </w:r>
        <w:r w:rsidRPr="004C6A63">
          <w:rPr>
            <w:rStyle w:val="Hyperlink"/>
            <w:noProof/>
          </w:rPr>
          <w:t xml:space="preserve">Objection No. 26: The Staff Report harms consumers </w:t>
        </w:r>
        <w:r w:rsidR="00BE2AE8">
          <w:rPr>
            <w:rStyle w:val="Hyperlink"/>
            <w:noProof/>
          </w:rPr>
          <w:br/>
        </w:r>
        <w:r w:rsidRPr="004C6A63">
          <w:rPr>
            <w:rStyle w:val="Hyperlink"/>
            <w:noProof/>
          </w:rPr>
          <w:t xml:space="preserve">because it fails to require Duke to provide shopping </w:t>
        </w:r>
        <w:r w:rsidR="00BE2AE8">
          <w:rPr>
            <w:rStyle w:val="Hyperlink"/>
            <w:noProof/>
          </w:rPr>
          <w:br/>
        </w:r>
        <w:r w:rsidRPr="004C6A63">
          <w:rPr>
            <w:rStyle w:val="Hyperlink"/>
            <w:noProof/>
          </w:rPr>
          <w:t xml:space="preserve">customers’ billing information to show a comparison to </w:t>
        </w:r>
        <w:r w:rsidR="00BE2AE8">
          <w:rPr>
            <w:rStyle w:val="Hyperlink"/>
            <w:noProof/>
          </w:rPr>
          <w:br/>
        </w:r>
        <w:r w:rsidRPr="004C6A63">
          <w:rPr>
            <w:rStyle w:val="Hyperlink"/>
            <w:noProof/>
          </w:rPr>
          <w:t xml:space="preserve">what they would pay under a standard service offer. The </w:t>
        </w:r>
        <w:r w:rsidR="00BE2AE8">
          <w:rPr>
            <w:rStyle w:val="Hyperlink"/>
            <w:noProof/>
          </w:rPr>
          <w:br/>
        </w:r>
        <w:r w:rsidRPr="004C6A63">
          <w:rPr>
            <w:rStyle w:val="Hyperlink"/>
            <w:noProof/>
          </w:rPr>
          <w:t xml:space="preserve">Staff Report also fails to perform an analysis of the </w:t>
        </w:r>
        <w:r w:rsidR="00BE2AE8">
          <w:rPr>
            <w:rStyle w:val="Hyperlink"/>
            <w:noProof/>
          </w:rPr>
          <w:br/>
        </w:r>
        <w:r w:rsidRPr="004C6A63">
          <w:rPr>
            <w:rStyle w:val="Hyperlink"/>
            <w:noProof/>
          </w:rPr>
          <w:t xml:space="preserve">consumer contact information that is collects through its </w:t>
        </w:r>
        <w:r w:rsidR="00BE2AE8">
          <w:rPr>
            <w:rStyle w:val="Hyperlink"/>
            <w:noProof/>
          </w:rPr>
          <w:br/>
        </w:r>
        <w:r w:rsidRPr="004C6A63">
          <w:rPr>
            <w:rStyle w:val="Hyperlink"/>
            <w:noProof/>
          </w:rPr>
          <w:t xml:space="preserve">call center, and the supplier rate information it collects on </w:t>
        </w:r>
        <w:r w:rsidR="00BE2AE8">
          <w:rPr>
            <w:rStyle w:val="Hyperlink"/>
            <w:noProof/>
          </w:rPr>
          <w:br/>
        </w:r>
        <w:r w:rsidRPr="004C6A63">
          <w:rPr>
            <w:rStyle w:val="Hyperlink"/>
            <w:noProof/>
          </w:rPr>
          <w:t xml:space="preserve">the Energy Choice Ohio website to determine if </w:t>
        </w:r>
        <w:r w:rsidR="00BE2AE8">
          <w:rPr>
            <w:rStyle w:val="Hyperlink"/>
            <w:noProof/>
          </w:rPr>
          <w:br/>
        </w:r>
        <w:r w:rsidRPr="004C6A63">
          <w:rPr>
            <w:rStyle w:val="Hyperlink"/>
            <w:noProof/>
          </w:rPr>
          <w:t xml:space="preserve">improvements in Duke’s Choice Program are necessary </w:t>
        </w:r>
        <w:r w:rsidR="00BE2AE8">
          <w:rPr>
            <w:rStyle w:val="Hyperlink"/>
            <w:noProof/>
          </w:rPr>
          <w:br/>
        </w:r>
        <w:r w:rsidRPr="004C6A63">
          <w:rPr>
            <w:rStyle w:val="Hyperlink"/>
            <w:noProof/>
          </w:rPr>
          <w:t>to help consumers reduce their energy costs.</w:t>
        </w:r>
        <w:r>
          <w:rPr>
            <w:noProof/>
            <w:webHidden/>
          </w:rPr>
          <w:tab/>
        </w:r>
        <w:r>
          <w:rPr>
            <w:noProof/>
            <w:webHidden/>
          </w:rPr>
          <w:fldChar w:fldCharType="begin"/>
        </w:r>
        <w:r>
          <w:rPr>
            <w:noProof/>
            <w:webHidden/>
          </w:rPr>
          <w:instrText xml:space="preserve"> PAGEREF _Toc106717643 \h </w:instrText>
        </w:r>
        <w:r>
          <w:rPr>
            <w:noProof/>
            <w:webHidden/>
          </w:rPr>
          <w:fldChar w:fldCharType="separate"/>
        </w:r>
        <w:r>
          <w:rPr>
            <w:noProof/>
            <w:webHidden/>
          </w:rPr>
          <w:t>24</w:t>
        </w:r>
        <w:r>
          <w:rPr>
            <w:noProof/>
            <w:webHidden/>
          </w:rPr>
          <w:fldChar w:fldCharType="end"/>
        </w:r>
      </w:hyperlink>
    </w:p>
    <w:p w:rsidR="005737A4" w:rsidP="00CD4802" w14:paraId="10F499C5" w14:textId="74169414">
      <w:pPr>
        <w:pStyle w:val="TOC3"/>
        <w:rPr>
          <w:rFonts w:asciiTheme="minorHAnsi" w:eastAsiaTheme="minorEastAsia" w:hAnsiTheme="minorHAnsi" w:cstheme="minorBidi"/>
          <w:noProof/>
          <w:sz w:val="22"/>
          <w:szCs w:val="22"/>
          <w:lang w:bidi="ar-SA"/>
        </w:rPr>
      </w:pPr>
      <w:hyperlink w:anchor="_Toc106717644" w:history="1">
        <w:r w:rsidRPr="004C6A63">
          <w:rPr>
            <w:rStyle w:val="Hyperlink"/>
            <w:noProof/>
          </w:rPr>
          <w:t>3.</w:t>
        </w:r>
        <w:r>
          <w:rPr>
            <w:rFonts w:asciiTheme="minorHAnsi" w:eastAsiaTheme="minorEastAsia" w:hAnsiTheme="minorHAnsi" w:cstheme="minorBidi"/>
            <w:noProof/>
            <w:sz w:val="22"/>
            <w:szCs w:val="22"/>
            <w:lang w:bidi="ar-SA"/>
          </w:rPr>
          <w:tab/>
        </w:r>
        <w:r w:rsidRPr="004C6A63">
          <w:rPr>
            <w:rStyle w:val="Hyperlink"/>
            <w:noProof/>
          </w:rPr>
          <w:t xml:space="preserve">Objection No. 27: The Staff Report harms consumers by </w:t>
        </w:r>
        <w:r w:rsidR="00BE2AE8">
          <w:rPr>
            <w:rStyle w:val="Hyperlink"/>
            <w:noProof/>
          </w:rPr>
          <w:br/>
        </w:r>
        <w:r w:rsidRPr="004C6A63">
          <w:rPr>
            <w:rStyle w:val="Hyperlink"/>
            <w:noProof/>
          </w:rPr>
          <w:t xml:space="preserve">failing to recommend that Duke provide consumers </w:t>
        </w:r>
        <w:r w:rsidR="00BE2AE8">
          <w:rPr>
            <w:rStyle w:val="Hyperlink"/>
            <w:noProof/>
          </w:rPr>
          <w:br/>
        </w:r>
        <w:r w:rsidRPr="004C6A63">
          <w:rPr>
            <w:rStyle w:val="Hyperlink"/>
            <w:noProof/>
          </w:rPr>
          <w:t xml:space="preserve">with more options to opt-out of having their personal </w:t>
        </w:r>
        <w:r w:rsidR="00BE2AE8">
          <w:rPr>
            <w:rStyle w:val="Hyperlink"/>
            <w:noProof/>
          </w:rPr>
          <w:br/>
        </w:r>
        <w:r w:rsidRPr="004C6A63">
          <w:rPr>
            <w:rStyle w:val="Hyperlink"/>
            <w:noProof/>
          </w:rPr>
          <w:t xml:space="preserve">account information included on eligible customer lists </w:t>
        </w:r>
        <w:r w:rsidR="00BE2AE8">
          <w:rPr>
            <w:rStyle w:val="Hyperlink"/>
            <w:noProof/>
          </w:rPr>
          <w:br/>
        </w:r>
        <w:r w:rsidRPr="004C6A63">
          <w:rPr>
            <w:rStyle w:val="Hyperlink"/>
            <w:noProof/>
          </w:rPr>
          <w:t xml:space="preserve">provided to competitive retail electric service (“CRES”) </w:t>
        </w:r>
        <w:r w:rsidR="00BE2AE8">
          <w:rPr>
            <w:rStyle w:val="Hyperlink"/>
            <w:noProof/>
          </w:rPr>
          <w:br/>
        </w:r>
        <w:r w:rsidRPr="004C6A63">
          <w:rPr>
            <w:rStyle w:val="Hyperlink"/>
            <w:noProof/>
          </w:rPr>
          <w:t>providers.</w:t>
        </w:r>
        <w:r>
          <w:rPr>
            <w:noProof/>
            <w:webHidden/>
          </w:rPr>
          <w:tab/>
        </w:r>
        <w:r>
          <w:rPr>
            <w:noProof/>
            <w:webHidden/>
          </w:rPr>
          <w:fldChar w:fldCharType="begin"/>
        </w:r>
        <w:r>
          <w:rPr>
            <w:noProof/>
            <w:webHidden/>
          </w:rPr>
          <w:instrText xml:space="preserve"> PAGEREF _Toc106717644 \h </w:instrText>
        </w:r>
        <w:r>
          <w:rPr>
            <w:noProof/>
            <w:webHidden/>
          </w:rPr>
          <w:fldChar w:fldCharType="separate"/>
        </w:r>
        <w:r>
          <w:rPr>
            <w:noProof/>
            <w:webHidden/>
          </w:rPr>
          <w:t>25</w:t>
        </w:r>
        <w:r>
          <w:rPr>
            <w:noProof/>
            <w:webHidden/>
          </w:rPr>
          <w:fldChar w:fldCharType="end"/>
        </w:r>
      </w:hyperlink>
    </w:p>
    <w:p w:rsidR="005737A4" w:rsidP="00CD4802" w14:paraId="12BBE340" w14:textId="1430BBA1">
      <w:pPr>
        <w:pStyle w:val="TOC3"/>
        <w:rPr>
          <w:rFonts w:asciiTheme="minorHAnsi" w:eastAsiaTheme="minorEastAsia" w:hAnsiTheme="minorHAnsi" w:cstheme="minorBidi"/>
          <w:noProof/>
          <w:sz w:val="22"/>
          <w:szCs w:val="22"/>
          <w:lang w:bidi="ar-SA"/>
        </w:rPr>
      </w:pPr>
      <w:hyperlink w:anchor="_Toc106717645" w:history="1">
        <w:r w:rsidRPr="004C6A63">
          <w:rPr>
            <w:rStyle w:val="Hyperlink"/>
            <w:noProof/>
          </w:rPr>
          <w:t>4.</w:t>
        </w:r>
        <w:r>
          <w:rPr>
            <w:rFonts w:asciiTheme="minorHAnsi" w:eastAsiaTheme="minorEastAsia" w:hAnsiTheme="minorHAnsi" w:cstheme="minorBidi"/>
            <w:noProof/>
            <w:sz w:val="22"/>
            <w:szCs w:val="22"/>
            <w:lang w:bidi="ar-SA"/>
          </w:rPr>
          <w:tab/>
        </w:r>
        <w:r w:rsidRPr="004C6A63">
          <w:rPr>
            <w:rStyle w:val="Hyperlink"/>
            <w:noProof/>
          </w:rPr>
          <w:t xml:space="preserve">Objection No. 28: The Staff Report potentially harms </w:t>
        </w:r>
        <w:r w:rsidR="00BE2AE8">
          <w:rPr>
            <w:rStyle w:val="Hyperlink"/>
            <w:noProof/>
          </w:rPr>
          <w:br/>
        </w:r>
        <w:r w:rsidRPr="004C6A63">
          <w:rPr>
            <w:rStyle w:val="Hyperlink"/>
            <w:noProof/>
          </w:rPr>
          <w:t xml:space="preserve">consumers by failing to evaluate the sufficiency of </w:t>
        </w:r>
        <w:r w:rsidR="00BE2AE8">
          <w:rPr>
            <w:rStyle w:val="Hyperlink"/>
            <w:noProof/>
          </w:rPr>
          <w:br/>
        </w:r>
        <w:r w:rsidRPr="004C6A63">
          <w:rPr>
            <w:rStyle w:val="Hyperlink"/>
            <w:noProof/>
          </w:rPr>
          <w:t xml:space="preserve">Duke’s Data Privacy Policy in protecting consumers’ </w:t>
        </w:r>
        <w:r w:rsidR="00BE2AE8">
          <w:rPr>
            <w:rStyle w:val="Hyperlink"/>
            <w:noProof/>
          </w:rPr>
          <w:br/>
        </w:r>
        <w:r w:rsidRPr="004C6A63">
          <w:rPr>
            <w:rStyle w:val="Hyperlink"/>
            <w:noProof/>
          </w:rPr>
          <w:t xml:space="preserve">personal information from unauthorized or inadvertent </w:t>
        </w:r>
        <w:r w:rsidR="00BE2AE8">
          <w:rPr>
            <w:rStyle w:val="Hyperlink"/>
            <w:noProof/>
          </w:rPr>
          <w:br/>
        </w:r>
        <w:r w:rsidRPr="004C6A63">
          <w:rPr>
            <w:rStyle w:val="Hyperlink"/>
            <w:noProof/>
          </w:rPr>
          <w:t>disclosure.</w:t>
        </w:r>
        <w:r>
          <w:rPr>
            <w:noProof/>
            <w:webHidden/>
          </w:rPr>
          <w:tab/>
        </w:r>
        <w:r>
          <w:rPr>
            <w:noProof/>
            <w:webHidden/>
          </w:rPr>
          <w:fldChar w:fldCharType="begin"/>
        </w:r>
        <w:r>
          <w:rPr>
            <w:noProof/>
            <w:webHidden/>
          </w:rPr>
          <w:instrText xml:space="preserve"> PAGEREF _Toc106717645 \h </w:instrText>
        </w:r>
        <w:r>
          <w:rPr>
            <w:noProof/>
            <w:webHidden/>
          </w:rPr>
          <w:fldChar w:fldCharType="separate"/>
        </w:r>
        <w:r>
          <w:rPr>
            <w:noProof/>
            <w:webHidden/>
          </w:rPr>
          <w:t>26</w:t>
        </w:r>
        <w:r>
          <w:rPr>
            <w:noProof/>
            <w:webHidden/>
          </w:rPr>
          <w:fldChar w:fldCharType="end"/>
        </w:r>
      </w:hyperlink>
    </w:p>
    <w:p w:rsidR="005737A4" w:rsidP="00CD4802" w14:paraId="4D09C911" w14:textId="45FA6163">
      <w:pPr>
        <w:pStyle w:val="TOC3"/>
        <w:rPr>
          <w:rFonts w:asciiTheme="minorHAnsi" w:eastAsiaTheme="minorEastAsia" w:hAnsiTheme="minorHAnsi" w:cstheme="minorBidi"/>
          <w:noProof/>
          <w:sz w:val="22"/>
          <w:szCs w:val="22"/>
          <w:lang w:bidi="ar-SA"/>
        </w:rPr>
      </w:pPr>
      <w:hyperlink w:anchor="_Toc106717646" w:history="1">
        <w:r w:rsidRPr="004C6A63">
          <w:rPr>
            <w:rStyle w:val="Hyperlink"/>
            <w:noProof/>
          </w:rPr>
          <w:t>5.</w:t>
        </w:r>
        <w:r>
          <w:rPr>
            <w:rFonts w:asciiTheme="minorHAnsi" w:eastAsiaTheme="minorEastAsia" w:hAnsiTheme="minorHAnsi" w:cstheme="minorBidi"/>
            <w:noProof/>
            <w:sz w:val="22"/>
            <w:szCs w:val="22"/>
            <w:lang w:bidi="ar-SA"/>
          </w:rPr>
          <w:tab/>
        </w:r>
        <w:r w:rsidRPr="004C6A63">
          <w:rPr>
            <w:rStyle w:val="Hyperlink"/>
            <w:noProof/>
          </w:rPr>
          <w:t xml:space="preserve">Objection No. 29: The Staff Report fails to protect </w:t>
        </w:r>
        <w:r w:rsidR="00BE2AE8">
          <w:rPr>
            <w:rStyle w:val="Hyperlink"/>
            <w:noProof/>
          </w:rPr>
          <w:br/>
        </w:r>
        <w:r w:rsidRPr="004C6A63">
          <w:rPr>
            <w:rStyle w:val="Hyperlink"/>
            <w:noProof/>
          </w:rPr>
          <w:t xml:space="preserve">Duke’s consumers by not proposing adequate </w:t>
        </w:r>
        <w:r w:rsidR="00BE2AE8">
          <w:rPr>
            <w:rStyle w:val="Hyperlink"/>
            <w:noProof/>
          </w:rPr>
          <w:br/>
        </w:r>
        <w:r w:rsidRPr="004C6A63">
          <w:rPr>
            <w:rStyle w:val="Hyperlink"/>
            <w:noProof/>
          </w:rPr>
          <w:t xml:space="preserve">consumer protections, including bill-payment assistance </w:t>
        </w:r>
        <w:r w:rsidR="00BE2AE8">
          <w:rPr>
            <w:rStyle w:val="Hyperlink"/>
            <w:noProof/>
          </w:rPr>
          <w:br/>
        </w:r>
        <w:r w:rsidRPr="004C6A63">
          <w:rPr>
            <w:rStyle w:val="Hyperlink"/>
            <w:noProof/>
          </w:rPr>
          <w:t xml:space="preserve">for energy justice and equity, that can make electric </w:t>
        </w:r>
        <w:r w:rsidR="00BE2AE8">
          <w:rPr>
            <w:rStyle w:val="Hyperlink"/>
            <w:noProof/>
          </w:rPr>
          <w:br/>
        </w:r>
        <w:r w:rsidRPr="004C6A63">
          <w:rPr>
            <w:rStyle w:val="Hyperlink"/>
            <w:noProof/>
          </w:rPr>
          <w:t xml:space="preserve">services more affordable for all consumers and protect </w:t>
        </w:r>
        <w:r w:rsidR="00BE2AE8">
          <w:rPr>
            <w:rStyle w:val="Hyperlink"/>
            <w:noProof/>
          </w:rPr>
          <w:br/>
        </w:r>
        <w:r w:rsidRPr="004C6A63">
          <w:rPr>
            <w:rStyle w:val="Hyperlink"/>
            <w:noProof/>
          </w:rPr>
          <w:t xml:space="preserve">at-risk, low-income, working poor, and fixed-income </w:t>
        </w:r>
        <w:r w:rsidR="00BE2AE8">
          <w:rPr>
            <w:rStyle w:val="Hyperlink"/>
            <w:noProof/>
          </w:rPr>
          <w:br/>
        </w:r>
        <w:r w:rsidRPr="004C6A63">
          <w:rPr>
            <w:rStyle w:val="Hyperlink"/>
            <w:noProof/>
          </w:rPr>
          <w:t>senior Ohioans from potential loss of electric services.</w:t>
        </w:r>
        <w:r>
          <w:rPr>
            <w:noProof/>
            <w:webHidden/>
          </w:rPr>
          <w:tab/>
        </w:r>
        <w:r>
          <w:rPr>
            <w:noProof/>
            <w:webHidden/>
          </w:rPr>
          <w:fldChar w:fldCharType="begin"/>
        </w:r>
        <w:r>
          <w:rPr>
            <w:noProof/>
            <w:webHidden/>
          </w:rPr>
          <w:instrText xml:space="preserve"> PAGEREF _Toc106717646 \h </w:instrText>
        </w:r>
        <w:r>
          <w:rPr>
            <w:noProof/>
            <w:webHidden/>
          </w:rPr>
          <w:fldChar w:fldCharType="separate"/>
        </w:r>
        <w:r>
          <w:rPr>
            <w:noProof/>
            <w:webHidden/>
          </w:rPr>
          <w:t>26</w:t>
        </w:r>
        <w:r>
          <w:rPr>
            <w:noProof/>
            <w:webHidden/>
          </w:rPr>
          <w:fldChar w:fldCharType="end"/>
        </w:r>
      </w:hyperlink>
    </w:p>
    <w:p w:rsidR="005737A4" w14:paraId="0B738192" w14:textId="3421E022">
      <w:pPr>
        <w:pStyle w:val="TOC1"/>
        <w:rPr>
          <w:rFonts w:asciiTheme="minorHAnsi" w:eastAsiaTheme="minorEastAsia" w:hAnsiTheme="minorHAnsi" w:cstheme="minorBidi"/>
          <w:noProof/>
          <w:sz w:val="22"/>
          <w:szCs w:val="22"/>
          <w:lang w:bidi="ar-SA"/>
        </w:rPr>
      </w:pPr>
      <w:hyperlink w:anchor="_Toc106717647" w:history="1">
        <w:r w:rsidRPr="004C6A63">
          <w:rPr>
            <w:rStyle w:val="Hyperlink"/>
            <w:noProof/>
          </w:rPr>
          <w:t>IV.</w:t>
        </w:r>
        <w:r>
          <w:rPr>
            <w:rFonts w:asciiTheme="minorHAnsi" w:eastAsiaTheme="minorEastAsia" w:hAnsiTheme="minorHAnsi" w:cstheme="minorBidi"/>
            <w:noProof/>
            <w:sz w:val="22"/>
            <w:szCs w:val="22"/>
            <w:lang w:bidi="ar-SA"/>
          </w:rPr>
          <w:tab/>
        </w:r>
        <w:r w:rsidRPr="004C6A63">
          <w:rPr>
            <w:rStyle w:val="Hyperlink"/>
            <w:noProof/>
          </w:rPr>
          <w:t>CONCLUSION</w:t>
        </w:r>
        <w:r>
          <w:rPr>
            <w:noProof/>
            <w:webHidden/>
          </w:rPr>
          <w:tab/>
        </w:r>
        <w:r>
          <w:rPr>
            <w:noProof/>
            <w:webHidden/>
          </w:rPr>
          <w:fldChar w:fldCharType="begin"/>
        </w:r>
        <w:r>
          <w:rPr>
            <w:noProof/>
            <w:webHidden/>
          </w:rPr>
          <w:instrText xml:space="preserve"> PAGEREF _Toc106717647 \h </w:instrText>
        </w:r>
        <w:r>
          <w:rPr>
            <w:noProof/>
            <w:webHidden/>
          </w:rPr>
          <w:fldChar w:fldCharType="separate"/>
        </w:r>
        <w:r>
          <w:rPr>
            <w:noProof/>
            <w:webHidden/>
          </w:rPr>
          <w:t>27</w:t>
        </w:r>
        <w:r>
          <w:rPr>
            <w:noProof/>
            <w:webHidden/>
          </w:rPr>
          <w:fldChar w:fldCharType="end"/>
        </w:r>
      </w:hyperlink>
    </w:p>
    <w:p w:rsidR="005A587B" w:rsidRPr="00027842" w:rsidP="00FA7053" w14:paraId="021170C9" w14:textId="693E8332">
      <w:pPr>
        <w:rPr>
          <w:b/>
        </w:rPr>
      </w:pPr>
      <w:r w:rsidRPr="00027842">
        <w:rPr>
          <w:b/>
        </w:rPr>
        <w:fldChar w:fldCharType="end"/>
      </w:r>
    </w:p>
    <w:p w:rsidR="005A587B" w:rsidRPr="00027842" w:rsidP="00015657" w14:paraId="72208A23" w14:textId="77777777">
      <w:pPr>
        <w:jc w:val="center"/>
        <w:rPr>
          <w:b/>
        </w:rPr>
      </w:pPr>
    </w:p>
    <w:p w:rsidR="00904ACF" w:rsidRPr="00027842" w:rsidP="00015657" w14:paraId="43CE6E4C" w14:textId="77777777">
      <w:pPr>
        <w:jc w:val="center"/>
        <w:rPr>
          <w:b/>
        </w:rPr>
        <w:sectPr w:rsidSect="00015657">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pgNumType w:fmt="lowerRoman" w:start="1"/>
          <w:cols w:space="720"/>
          <w:titlePg/>
          <w:docGrid w:linePitch="360"/>
        </w:sectPr>
      </w:pPr>
    </w:p>
    <w:p w:rsidR="00015657" w:rsidRPr="00027842" w:rsidP="00015657" w14:paraId="58A7782A" w14:textId="77777777">
      <w:pPr>
        <w:jc w:val="center"/>
        <w:rPr>
          <w:b/>
        </w:rPr>
      </w:pPr>
      <w:r w:rsidRPr="00027842">
        <w:rPr>
          <w:b/>
        </w:rPr>
        <w:t xml:space="preserve">BEFORE </w:t>
      </w:r>
    </w:p>
    <w:p w:rsidR="00015657" w:rsidRPr="00027842" w:rsidP="00015657" w14:paraId="2BB9BD40" w14:textId="7764C95F">
      <w:pPr>
        <w:jc w:val="center"/>
        <w:rPr>
          <w:b/>
        </w:rPr>
      </w:pPr>
      <w:r w:rsidRPr="00027842">
        <w:rPr>
          <w:b/>
        </w:rPr>
        <w:t>THE PUBLIC UTILITIES COMMISSION OF OHIO</w:t>
      </w:r>
    </w:p>
    <w:p w:rsidR="00382E7B" w:rsidRPr="00027842" w:rsidP="00015657" w14:paraId="708E37D2" w14:textId="77777777">
      <w:pPr>
        <w:jc w:val="center"/>
        <w:rPr>
          <w:b/>
        </w:rPr>
      </w:pPr>
    </w:p>
    <w:tbl>
      <w:tblPr>
        <w:tblW w:w="8640" w:type="dxa"/>
        <w:tblLook w:val="01E0"/>
      </w:tblPr>
      <w:tblGrid>
        <w:gridCol w:w="4332"/>
        <w:gridCol w:w="360"/>
        <w:gridCol w:w="3948"/>
      </w:tblGrid>
      <w:tr w14:paraId="796E9EC7" w14:textId="77777777" w:rsidTr="00D26E0D">
        <w:tblPrEx>
          <w:tblW w:w="8640" w:type="dxa"/>
          <w:tblLook w:val="01E0"/>
        </w:tblPrEx>
        <w:trPr>
          <w:trHeight w:val="807"/>
        </w:trPr>
        <w:tc>
          <w:tcPr>
            <w:tcW w:w="4332" w:type="dxa"/>
            <w:shd w:val="clear" w:color="auto" w:fill="auto"/>
          </w:tcPr>
          <w:p w:rsidR="00382E7B" w:rsidRPr="00027842" w:rsidP="00D26E0D" w14:paraId="550782EA"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In the Matter of the Application of the Duke Energy Ohio, Inc., for an Increase in Electric Distribution Rates.</w:t>
            </w:r>
          </w:p>
          <w:p w:rsidR="00382E7B" w:rsidRPr="00027842" w:rsidP="00D26E0D" w14:paraId="1C361B55" w14:textId="77777777">
            <w:pPr>
              <w:pStyle w:val="HTMLPreformatted"/>
              <w:rPr>
                <w:rFonts w:ascii="Times New Roman" w:hAnsi="Times New Roman" w:cs="Times New Roman"/>
                <w:sz w:val="24"/>
                <w:szCs w:val="24"/>
              </w:rPr>
            </w:pPr>
          </w:p>
          <w:p w:rsidR="00382E7B" w:rsidRPr="00027842" w:rsidP="00D26E0D" w14:paraId="62C35AED"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In the Matter of the Application of Duke Energy Ohio, Inc., for Tariff Approval.</w:t>
            </w:r>
          </w:p>
          <w:p w:rsidR="00382E7B" w:rsidRPr="00027842" w:rsidP="00D26E0D" w14:paraId="7B842823" w14:textId="77777777">
            <w:pPr>
              <w:pStyle w:val="HTMLPreformatted"/>
              <w:rPr>
                <w:rFonts w:ascii="Times New Roman" w:hAnsi="Times New Roman" w:cs="Times New Roman"/>
                <w:sz w:val="24"/>
                <w:szCs w:val="24"/>
              </w:rPr>
            </w:pPr>
          </w:p>
          <w:p w:rsidR="00382E7B" w:rsidRPr="00027842" w:rsidP="00D26E0D" w14:paraId="1804B217"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In the Matter of the Application of Duke Energy Inc., for Approval to Change Accounting Methods.</w:t>
            </w:r>
          </w:p>
        </w:tc>
        <w:tc>
          <w:tcPr>
            <w:tcW w:w="360" w:type="dxa"/>
            <w:shd w:val="clear" w:color="auto" w:fill="auto"/>
          </w:tcPr>
          <w:p w:rsidR="00382E7B" w:rsidRPr="00027842" w:rsidP="00D26E0D" w14:paraId="0730DB13"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78511CA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5AC507B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53C5B140" w14:textId="77777777">
            <w:pPr>
              <w:pStyle w:val="HTMLPreformatted"/>
              <w:rPr>
                <w:rFonts w:ascii="Times New Roman" w:hAnsi="Times New Roman" w:cs="Times New Roman"/>
                <w:sz w:val="24"/>
                <w:szCs w:val="24"/>
              </w:rPr>
            </w:pPr>
          </w:p>
          <w:p w:rsidR="00382E7B" w:rsidRPr="00027842" w:rsidP="00D26E0D" w14:paraId="622DBFD0"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1024670E"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5F924B6B" w14:textId="77777777">
            <w:pPr>
              <w:pStyle w:val="HTMLPreformatted"/>
              <w:rPr>
                <w:rFonts w:ascii="Times New Roman" w:hAnsi="Times New Roman" w:cs="Times New Roman"/>
                <w:sz w:val="24"/>
                <w:szCs w:val="24"/>
              </w:rPr>
            </w:pPr>
          </w:p>
          <w:p w:rsidR="00382E7B" w:rsidRPr="00027842" w:rsidP="00D26E0D" w14:paraId="0A641EB7"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3DFB19F6"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p w:rsidR="00382E7B" w:rsidRPr="00027842" w:rsidP="00D26E0D" w14:paraId="651FD725"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w:t>
            </w:r>
          </w:p>
        </w:tc>
        <w:tc>
          <w:tcPr>
            <w:tcW w:w="3948" w:type="dxa"/>
            <w:shd w:val="clear" w:color="auto" w:fill="auto"/>
          </w:tcPr>
          <w:p w:rsidR="00382E7B" w:rsidRPr="00027842" w:rsidP="00D26E0D" w14:paraId="118D8C0C" w14:textId="77777777">
            <w:pPr>
              <w:pStyle w:val="HTMLPreformatted"/>
              <w:rPr>
                <w:rFonts w:ascii="Times New Roman" w:hAnsi="Times New Roman" w:cs="Times New Roman"/>
                <w:sz w:val="24"/>
                <w:szCs w:val="24"/>
              </w:rPr>
            </w:pPr>
          </w:p>
          <w:p w:rsidR="00382E7B" w:rsidRPr="00027842" w:rsidP="00D26E0D" w14:paraId="7E426785"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Case No. 21-887-EL-AIR</w:t>
            </w:r>
          </w:p>
          <w:p w:rsidR="00382E7B" w:rsidRPr="00027842" w:rsidP="00D26E0D" w14:paraId="548A5E3D" w14:textId="77777777">
            <w:pPr>
              <w:pStyle w:val="HTMLPreformatted"/>
              <w:rPr>
                <w:rFonts w:ascii="Times New Roman" w:hAnsi="Times New Roman" w:cs="Times New Roman"/>
                <w:sz w:val="24"/>
                <w:szCs w:val="24"/>
              </w:rPr>
            </w:pPr>
          </w:p>
          <w:p w:rsidR="00382E7B" w:rsidRPr="00027842" w:rsidP="00D26E0D" w14:paraId="5B4E2CFD" w14:textId="77777777">
            <w:pPr>
              <w:pStyle w:val="HTMLPreformatted"/>
              <w:rPr>
                <w:rFonts w:ascii="Times New Roman" w:hAnsi="Times New Roman" w:cs="Times New Roman"/>
                <w:sz w:val="24"/>
                <w:szCs w:val="24"/>
              </w:rPr>
            </w:pPr>
          </w:p>
          <w:p w:rsidR="00382E7B" w:rsidRPr="00027842" w:rsidP="00D26E0D" w14:paraId="6120D627" w14:textId="77777777">
            <w:pPr>
              <w:pStyle w:val="HTMLPreformatted"/>
              <w:rPr>
                <w:rFonts w:ascii="Times New Roman" w:hAnsi="Times New Roman" w:cs="Times New Roman"/>
                <w:sz w:val="24"/>
                <w:szCs w:val="24"/>
              </w:rPr>
            </w:pPr>
          </w:p>
          <w:p w:rsidR="00382E7B" w:rsidRPr="00027842" w:rsidP="00D26E0D" w14:paraId="43C473C1"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Case No. 21-888-EL-ATA</w:t>
            </w:r>
          </w:p>
          <w:p w:rsidR="00382E7B" w:rsidRPr="00027842" w:rsidP="00D26E0D" w14:paraId="629987EE" w14:textId="77777777">
            <w:pPr>
              <w:pStyle w:val="HTMLPreformatted"/>
              <w:rPr>
                <w:rFonts w:ascii="Times New Roman" w:hAnsi="Times New Roman" w:cs="Times New Roman"/>
                <w:sz w:val="24"/>
                <w:szCs w:val="24"/>
              </w:rPr>
            </w:pPr>
          </w:p>
          <w:p w:rsidR="00382E7B" w:rsidRPr="00027842" w:rsidP="00D26E0D" w14:paraId="3700A6FA" w14:textId="77777777">
            <w:pPr>
              <w:pStyle w:val="HTMLPreformatted"/>
              <w:rPr>
                <w:rFonts w:ascii="Times New Roman" w:hAnsi="Times New Roman" w:cs="Times New Roman"/>
                <w:sz w:val="24"/>
                <w:szCs w:val="24"/>
              </w:rPr>
            </w:pPr>
          </w:p>
          <w:p w:rsidR="00382E7B" w:rsidRPr="00027842" w:rsidP="00D26E0D" w14:paraId="2F12A5C7" w14:textId="77777777">
            <w:pPr>
              <w:pStyle w:val="HTMLPreformatted"/>
              <w:rPr>
                <w:rFonts w:ascii="Times New Roman" w:hAnsi="Times New Roman" w:cs="Times New Roman"/>
                <w:sz w:val="24"/>
                <w:szCs w:val="24"/>
              </w:rPr>
            </w:pPr>
            <w:r w:rsidRPr="00027842">
              <w:rPr>
                <w:rFonts w:ascii="Times New Roman" w:hAnsi="Times New Roman" w:cs="Times New Roman"/>
                <w:sz w:val="24"/>
                <w:szCs w:val="24"/>
              </w:rPr>
              <w:t>Case No. 21-889-EL-AAM</w:t>
            </w:r>
          </w:p>
        </w:tc>
      </w:tr>
    </w:tbl>
    <w:p w:rsidR="00015657" w:rsidRPr="00027842" w:rsidP="00015657" w14:paraId="0F9DF980" w14:textId="77777777">
      <w:pPr>
        <w:rPr>
          <w:b/>
        </w:rPr>
      </w:pPr>
    </w:p>
    <w:p w:rsidR="00015657" w:rsidRPr="00027842" w:rsidP="00015657" w14:paraId="052C8738" w14:textId="77777777">
      <w:pPr>
        <w:pBdr>
          <w:top w:val="single" w:sz="12" w:space="0" w:color="auto"/>
        </w:pBdr>
        <w:tabs>
          <w:tab w:val="left" w:pos="-720"/>
        </w:tabs>
        <w:suppressAutoHyphens/>
        <w:jc w:val="center"/>
        <w:rPr>
          <w:b/>
          <w:bCs/>
          <w:spacing w:val="-3"/>
        </w:rPr>
      </w:pPr>
    </w:p>
    <w:p w:rsidR="00015657" w:rsidRPr="00027842" w:rsidP="00015657" w14:paraId="3B53CA4C" w14:textId="1F931DB3">
      <w:pPr>
        <w:tabs>
          <w:tab w:val="left" w:pos="4770"/>
          <w:tab w:val="left" w:pos="6480"/>
        </w:tabs>
        <w:jc w:val="center"/>
        <w:rPr>
          <w:b/>
        </w:rPr>
      </w:pPr>
      <w:r w:rsidRPr="00027842">
        <w:rPr>
          <w:b/>
        </w:rPr>
        <w:t>OBJECTIONS TO THE PUCO STAFF’S REPORT OF INVESTIGATION</w:t>
      </w:r>
    </w:p>
    <w:p w:rsidR="00015657" w:rsidRPr="00027842" w:rsidP="00015657" w14:paraId="1884A91E" w14:textId="05402AC0">
      <w:pPr>
        <w:tabs>
          <w:tab w:val="left" w:pos="4770"/>
          <w:tab w:val="left" w:pos="6480"/>
        </w:tabs>
        <w:jc w:val="center"/>
        <w:rPr>
          <w:b/>
        </w:rPr>
      </w:pPr>
      <w:r w:rsidRPr="00027842">
        <w:rPr>
          <w:b/>
        </w:rPr>
        <w:t>BY</w:t>
      </w:r>
    </w:p>
    <w:p w:rsidR="00015657" w:rsidRPr="00027842" w:rsidP="00015657" w14:paraId="34589FC4" w14:textId="40357F3F">
      <w:pPr>
        <w:tabs>
          <w:tab w:val="left" w:pos="4770"/>
          <w:tab w:val="left" w:pos="6480"/>
        </w:tabs>
        <w:jc w:val="center"/>
        <w:rPr>
          <w:b/>
        </w:rPr>
      </w:pPr>
      <w:r w:rsidRPr="00027842">
        <w:rPr>
          <w:b/>
        </w:rPr>
        <w:t>OFFICE OF THE OHIO CONSUMERS’ COUNSEL</w:t>
      </w:r>
      <w:r w:rsidRPr="00027842" w:rsidR="00256B06">
        <w:rPr>
          <w:b/>
        </w:rPr>
        <w:t xml:space="preserve"> </w:t>
      </w:r>
    </w:p>
    <w:p w:rsidR="00015657" w:rsidRPr="00027842" w:rsidP="00015657" w14:paraId="46F60110" w14:textId="77777777">
      <w:pPr>
        <w:pBdr>
          <w:bottom w:val="single" w:sz="12" w:space="1" w:color="auto"/>
        </w:pBdr>
        <w:tabs>
          <w:tab w:val="left" w:pos="-720"/>
        </w:tabs>
        <w:suppressAutoHyphens/>
        <w:jc w:val="center"/>
        <w:rPr>
          <w:b/>
          <w:bCs/>
          <w:spacing w:val="-3"/>
        </w:rPr>
      </w:pPr>
    </w:p>
    <w:p w:rsidR="00015657" w:rsidRPr="00027842" w:rsidP="00015657" w14:paraId="66939B00" w14:textId="77777777">
      <w:pPr>
        <w:tabs>
          <w:tab w:val="left" w:pos="4770"/>
          <w:tab w:val="left" w:pos="6480"/>
        </w:tabs>
        <w:rPr>
          <w:b/>
          <w:u w:val="single"/>
        </w:rPr>
      </w:pPr>
    </w:p>
    <w:p w:rsidR="00015657" w:rsidRPr="00027842" w:rsidP="0043639F" w14:paraId="47AE472F" w14:textId="77777777">
      <w:pPr>
        <w:pStyle w:val="Heading1"/>
        <w:jc w:val="both"/>
      </w:pPr>
      <w:bookmarkStart w:id="0" w:name="_Toc2936384"/>
      <w:bookmarkStart w:id="1" w:name="_Toc102143385"/>
      <w:bookmarkStart w:id="2" w:name="_Toc102143556"/>
      <w:bookmarkStart w:id="3" w:name="_Toc106717605"/>
      <w:r w:rsidRPr="00027842">
        <w:t>I.</w:t>
      </w:r>
      <w:r w:rsidRPr="00027842">
        <w:tab/>
        <w:t>INTRODUCTION</w:t>
      </w:r>
      <w:bookmarkEnd w:id="0"/>
      <w:bookmarkEnd w:id="1"/>
      <w:bookmarkEnd w:id="2"/>
      <w:bookmarkEnd w:id="3"/>
    </w:p>
    <w:p w:rsidR="00FC4E7F" w:rsidRPr="00027842" w:rsidP="00FC4E7F" w14:paraId="1D5CE9DB" w14:textId="0F0D2B44">
      <w:pPr>
        <w:pStyle w:val="BodyTextIndent3"/>
        <w:widowControl w:val="0"/>
        <w:spacing w:after="0" w:line="480" w:lineRule="auto"/>
        <w:ind w:left="0" w:right="-24" w:firstLine="720"/>
        <w:rPr>
          <w:sz w:val="24"/>
          <w:szCs w:val="24"/>
        </w:rPr>
      </w:pPr>
      <w:r w:rsidRPr="00027842">
        <w:rPr>
          <w:sz w:val="24"/>
          <w:szCs w:val="24"/>
        </w:rPr>
        <w:t xml:space="preserve"> Moderating rates </w:t>
      </w:r>
      <w:r w:rsidRPr="00027842" w:rsidR="00690535">
        <w:rPr>
          <w:sz w:val="24"/>
          <w:szCs w:val="24"/>
        </w:rPr>
        <w:t>is</w:t>
      </w:r>
      <w:r w:rsidRPr="00027842">
        <w:rPr>
          <w:sz w:val="24"/>
          <w:szCs w:val="24"/>
        </w:rPr>
        <w:t xml:space="preserve"> especially important for consumers now</w:t>
      </w:r>
      <w:r w:rsidRPr="00027842" w:rsidR="00690535">
        <w:rPr>
          <w:sz w:val="24"/>
          <w:szCs w:val="24"/>
        </w:rPr>
        <w:t xml:space="preserve"> more than ever</w:t>
      </w:r>
      <w:r w:rsidRPr="00027842" w:rsidR="004566A7">
        <w:rPr>
          <w:sz w:val="24"/>
          <w:szCs w:val="24"/>
        </w:rPr>
        <w:t>.</w:t>
      </w:r>
      <w:r w:rsidRPr="00027842">
        <w:rPr>
          <w:sz w:val="24"/>
          <w:szCs w:val="24"/>
        </w:rPr>
        <w:t xml:space="preserve"> </w:t>
      </w:r>
      <w:r w:rsidRPr="00027842" w:rsidR="004566A7">
        <w:rPr>
          <w:sz w:val="24"/>
          <w:szCs w:val="24"/>
        </w:rPr>
        <w:t>Consumers are</w:t>
      </w:r>
      <w:r w:rsidRPr="00027842">
        <w:rPr>
          <w:sz w:val="24"/>
          <w:szCs w:val="24"/>
        </w:rPr>
        <w:t xml:space="preserve"> emerging from a pandemic with financial challenges, energy prices are soaring, inflation is on the rise, and a recession </w:t>
      </w:r>
      <w:r w:rsidRPr="00027842" w:rsidR="00A80D4D">
        <w:rPr>
          <w:sz w:val="24"/>
          <w:szCs w:val="24"/>
        </w:rPr>
        <w:t xml:space="preserve">may be </w:t>
      </w:r>
      <w:r w:rsidRPr="00027842" w:rsidR="00694834">
        <w:rPr>
          <w:sz w:val="24"/>
          <w:szCs w:val="24"/>
        </w:rPr>
        <w:t>looming</w:t>
      </w:r>
      <w:r w:rsidRPr="00027842">
        <w:rPr>
          <w:sz w:val="24"/>
          <w:szCs w:val="24"/>
        </w:rPr>
        <w:t>.</w:t>
      </w:r>
      <w:r w:rsidRPr="00027842">
        <w:rPr>
          <w:sz w:val="24"/>
          <w:szCs w:val="24"/>
          <w:lang w:bidi="ar-SA"/>
        </w:rPr>
        <w:t xml:space="preserve"> </w:t>
      </w:r>
      <w:r w:rsidRPr="00027842">
        <w:rPr>
          <w:sz w:val="24"/>
          <w:szCs w:val="24"/>
        </w:rPr>
        <w:t xml:space="preserve">The Office of the Ohio Consumers’ Counsel (“OCC”) is the statutory representative of over 657,000 residential </w:t>
      </w:r>
      <w:r w:rsidRPr="00027842" w:rsidR="00A35C70">
        <w:rPr>
          <w:sz w:val="24"/>
          <w:szCs w:val="24"/>
        </w:rPr>
        <w:t xml:space="preserve">consumers </w:t>
      </w:r>
      <w:r w:rsidRPr="00027842">
        <w:rPr>
          <w:sz w:val="24"/>
          <w:szCs w:val="24"/>
        </w:rPr>
        <w:t xml:space="preserve">of Duke who </w:t>
      </w:r>
      <w:r w:rsidRPr="00027842" w:rsidR="00694834">
        <w:rPr>
          <w:sz w:val="24"/>
          <w:szCs w:val="24"/>
        </w:rPr>
        <w:t xml:space="preserve">may have to </w:t>
      </w:r>
      <w:r w:rsidRPr="00027842">
        <w:rPr>
          <w:sz w:val="24"/>
          <w:szCs w:val="24"/>
        </w:rPr>
        <w:t xml:space="preserve">pay </w:t>
      </w:r>
      <w:r w:rsidRPr="00027842" w:rsidR="00694834">
        <w:rPr>
          <w:sz w:val="24"/>
          <w:szCs w:val="24"/>
        </w:rPr>
        <w:t>i</w:t>
      </w:r>
      <w:r w:rsidRPr="00027842">
        <w:rPr>
          <w:sz w:val="24"/>
          <w:szCs w:val="24"/>
        </w:rPr>
        <w:t xml:space="preserve">ncreased </w:t>
      </w:r>
      <w:r w:rsidRPr="00027842" w:rsidR="00694834">
        <w:rPr>
          <w:sz w:val="24"/>
          <w:szCs w:val="24"/>
        </w:rPr>
        <w:t>rates as a result of this proceeding.</w:t>
      </w:r>
      <w:r>
        <w:rPr>
          <w:rStyle w:val="FootnoteReference"/>
          <w:sz w:val="24"/>
          <w:szCs w:val="24"/>
        </w:rPr>
        <w:footnoteReference w:id="3"/>
      </w:r>
      <w:r w:rsidRPr="00027842" w:rsidR="00C60CCF">
        <w:rPr>
          <w:sz w:val="24"/>
          <w:szCs w:val="24"/>
        </w:rPr>
        <w:t xml:space="preserve"> </w:t>
      </w:r>
    </w:p>
    <w:p w:rsidR="00EA382E" w:rsidRPr="00027842" w:rsidP="00A602AA" w14:paraId="4E645535" w14:textId="205337B3">
      <w:pPr>
        <w:pStyle w:val="BodyTextIndent3"/>
        <w:widowControl w:val="0"/>
        <w:spacing w:after="0" w:line="480" w:lineRule="auto"/>
        <w:ind w:left="0" w:right="-24" w:firstLine="720"/>
        <w:rPr>
          <w:sz w:val="24"/>
          <w:szCs w:val="24"/>
          <w:lang w:bidi="ar-SA"/>
        </w:rPr>
      </w:pPr>
      <w:r w:rsidRPr="00027842">
        <w:rPr>
          <w:sz w:val="24"/>
          <w:szCs w:val="24"/>
          <w:lang w:bidi="ar-SA"/>
        </w:rPr>
        <w:t xml:space="preserve">On October 1, 2021, </w:t>
      </w:r>
      <w:r w:rsidRPr="00027842" w:rsidR="00344D4E">
        <w:rPr>
          <w:sz w:val="24"/>
          <w:szCs w:val="24"/>
          <w:lang w:bidi="ar-SA"/>
        </w:rPr>
        <w:t xml:space="preserve">Duke Energy Ohio, Inc. </w:t>
      </w:r>
      <w:r w:rsidRPr="00027842" w:rsidR="00386990">
        <w:rPr>
          <w:sz w:val="24"/>
          <w:szCs w:val="24"/>
          <w:lang w:bidi="ar-SA"/>
        </w:rPr>
        <w:t>(“</w:t>
      </w:r>
      <w:r w:rsidRPr="00027842" w:rsidR="00344D4E">
        <w:rPr>
          <w:sz w:val="24"/>
          <w:szCs w:val="24"/>
          <w:lang w:bidi="ar-SA"/>
        </w:rPr>
        <w:t>Duke</w:t>
      </w:r>
      <w:r w:rsidRPr="00027842" w:rsidR="00386990">
        <w:rPr>
          <w:sz w:val="24"/>
          <w:szCs w:val="24"/>
          <w:lang w:bidi="ar-SA"/>
        </w:rPr>
        <w:t xml:space="preserve">” or “Utility”) </w:t>
      </w:r>
      <w:r w:rsidRPr="00027842">
        <w:rPr>
          <w:sz w:val="24"/>
          <w:szCs w:val="24"/>
          <w:lang w:bidi="ar-SA"/>
        </w:rPr>
        <w:t xml:space="preserve">filed an Application to increase </w:t>
      </w:r>
      <w:r w:rsidRPr="00027842" w:rsidR="00824E4B">
        <w:rPr>
          <w:sz w:val="24"/>
          <w:szCs w:val="24"/>
          <w:lang w:bidi="ar-SA"/>
        </w:rPr>
        <w:t xml:space="preserve">its </w:t>
      </w:r>
      <w:r w:rsidRPr="00027842">
        <w:rPr>
          <w:sz w:val="24"/>
          <w:szCs w:val="24"/>
          <w:lang w:bidi="ar-SA"/>
        </w:rPr>
        <w:t xml:space="preserve">base rates for distribution services </w:t>
      </w:r>
      <w:r w:rsidRPr="00027842" w:rsidR="00824E4B">
        <w:rPr>
          <w:sz w:val="24"/>
          <w:szCs w:val="24"/>
          <w:lang w:bidi="ar-SA"/>
        </w:rPr>
        <w:t>by $</w:t>
      </w:r>
      <w:r w:rsidRPr="00027842" w:rsidR="00344D4E">
        <w:rPr>
          <w:sz w:val="24"/>
          <w:szCs w:val="24"/>
          <w:lang w:bidi="ar-SA"/>
        </w:rPr>
        <w:t xml:space="preserve">54.7 </w:t>
      </w:r>
      <w:r w:rsidRPr="00027842" w:rsidR="00824E4B">
        <w:rPr>
          <w:sz w:val="24"/>
          <w:szCs w:val="24"/>
          <w:lang w:bidi="ar-SA"/>
        </w:rPr>
        <w:t>million, which would increase</w:t>
      </w:r>
      <w:r w:rsidRPr="00027842" w:rsidR="00A6600B">
        <w:rPr>
          <w:sz w:val="24"/>
          <w:szCs w:val="24"/>
          <w:lang w:bidi="ar-SA"/>
        </w:rPr>
        <w:t xml:space="preserve"> the </w:t>
      </w:r>
      <w:r w:rsidRPr="00027842" w:rsidR="00B549BE">
        <w:rPr>
          <w:sz w:val="24"/>
          <w:szCs w:val="24"/>
          <w:lang w:bidi="ar-SA"/>
        </w:rPr>
        <w:t xml:space="preserve">total </w:t>
      </w:r>
      <w:r w:rsidRPr="00027842" w:rsidR="00A6600B">
        <w:rPr>
          <w:sz w:val="24"/>
          <w:szCs w:val="24"/>
          <w:lang w:bidi="ar-SA"/>
        </w:rPr>
        <w:t xml:space="preserve">amount that consumers pay for </w:t>
      </w:r>
      <w:r w:rsidRPr="00027842" w:rsidR="00934274">
        <w:rPr>
          <w:sz w:val="24"/>
          <w:szCs w:val="24"/>
          <w:lang w:bidi="ar-SA"/>
        </w:rPr>
        <w:t>electric</w:t>
      </w:r>
      <w:r w:rsidRPr="00027842" w:rsidR="00A6600B">
        <w:rPr>
          <w:sz w:val="24"/>
          <w:szCs w:val="24"/>
          <w:lang w:bidi="ar-SA"/>
        </w:rPr>
        <w:t xml:space="preserve"> distribution service</w:t>
      </w:r>
      <w:r w:rsidRPr="00027842" w:rsidR="00A95343">
        <w:rPr>
          <w:sz w:val="24"/>
          <w:szCs w:val="24"/>
          <w:lang w:bidi="ar-SA"/>
        </w:rPr>
        <w:t xml:space="preserve"> by </w:t>
      </w:r>
      <w:r w:rsidRPr="00027842" w:rsidR="00344D4E">
        <w:rPr>
          <w:sz w:val="24"/>
          <w:szCs w:val="24"/>
          <w:lang w:bidi="ar-SA"/>
        </w:rPr>
        <w:t>10</w:t>
      </w:r>
      <w:r w:rsidRPr="00027842" w:rsidR="00A95343">
        <w:rPr>
          <w:sz w:val="24"/>
          <w:szCs w:val="24"/>
        </w:rPr>
        <w:t>%.</w:t>
      </w:r>
      <w:r>
        <w:rPr>
          <w:sz w:val="24"/>
          <w:szCs w:val="24"/>
          <w:vertAlign w:val="superscript"/>
        </w:rPr>
        <w:footnoteReference w:id="4"/>
      </w:r>
      <w:r w:rsidRPr="00027842" w:rsidR="00A6600B">
        <w:rPr>
          <w:sz w:val="24"/>
          <w:szCs w:val="24"/>
          <w:lang w:bidi="ar-SA"/>
        </w:rPr>
        <w:t xml:space="preserve"> </w:t>
      </w:r>
      <w:r w:rsidRPr="00027842" w:rsidR="00B549BE">
        <w:rPr>
          <w:sz w:val="24"/>
          <w:szCs w:val="24"/>
          <w:lang w:bidi="ar-SA"/>
        </w:rPr>
        <w:t xml:space="preserve">However, a typical residential consumer </w:t>
      </w:r>
      <w:r w:rsidRPr="00027842" w:rsidR="005F307C">
        <w:rPr>
          <w:sz w:val="24"/>
          <w:szCs w:val="24"/>
          <w:lang w:bidi="ar-SA"/>
        </w:rPr>
        <w:t>(using 1,000 kW</w:t>
      </w:r>
      <w:r w:rsidRPr="00027842" w:rsidR="00005FC3">
        <w:rPr>
          <w:sz w:val="24"/>
          <w:szCs w:val="24"/>
          <w:lang w:bidi="ar-SA"/>
        </w:rPr>
        <w:t>h</w:t>
      </w:r>
      <w:r w:rsidRPr="00027842" w:rsidR="005F307C">
        <w:rPr>
          <w:sz w:val="24"/>
          <w:szCs w:val="24"/>
          <w:lang w:bidi="ar-SA"/>
        </w:rPr>
        <w:t xml:space="preserve"> per month) </w:t>
      </w:r>
      <w:r w:rsidRPr="00027842" w:rsidR="00B549BE">
        <w:rPr>
          <w:sz w:val="24"/>
          <w:szCs w:val="24"/>
          <w:lang w:bidi="ar-SA"/>
        </w:rPr>
        <w:t>served by Duke</w:t>
      </w:r>
      <w:r w:rsidRPr="00027842" w:rsidR="00A602AA">
        <w:rPr>
          <w:sz w:val="24"/>
          <w:szCs w:val="24"/>
          <w:lang w:bidi="ar-SA"/>
        </w:rPr>
        <w:t xml:space="preserve"> will face a much higher increase.</w:t>
      </w:r>
      <w:r w:rsidRPr="00027842" w:rsidR="00C60CCF">
        <w:rPr>
          <w:sz w:val="24"/>
          <w:szCs w:val="24"/>
          <w:lang w:bidi="ar-SA"/>
        </w:rPr>
        <w:t xml:space="preserve"> </w:t>
      </w:r>
      <w:r w:rsidRPr="00027842" w:rsidR="00A602AA">
        <w:rPr>
          <w:sz w:val="24"/>
          <w:szCs w:val="24"/>
          <w:lang w:bidi="ar-SA"/>
        </w:rPr>
        <w:t>T</w:t>
      </w:r>
      <w:r w:rsidRPr="00027842" w:rsidR="00802C52">
        <w:rPr>
          <w:sz w:val="24"/>
          <w:szCs w:val="24"/>
          <w:lang w:bidi="ar-SA"/>
        </w:rPr>
        <w:t xml:space="preserve">he total monthly </w:t>
      </w:r>
      <w:r w:rsidRPr="00027842" w:rsidR="00913BEB">
        <w:rPr>
          <w:sz w:val="24"/>
          <w:szCs w:val="24"/>
          <w:lang w:bidi="ar-SA"/>
        </w:rPr>
        <w:t xml:space="preserve">base </w:t>
      </w:r>
      <w:r w:rsidRPr="00027842" w:rsidR="00802C52">
        <w:rPr>
          <w:sz w:val="24"/>
          <w:szCs w:val="24"/>
          <w:lang w:bidi="ar-SA"/>
        </w:rPr>
        <w:t>distribution charge will increase from $37.48</w:t>
      </w:r>
      <w:r>
        <w:rPr>
          <w:rStyle w:val="FootnoteReference"/>
          <w:sz w:val="24"/>
          <w:szCs w:val="24"/>
          <w:lang w:bidi="ar-SA"/>
        </w:rPr>
        <w:footnoteReference w:id="5"/>
      </w:r>
      <w:r w:rsidRPr="00027842" w:rsidR="00802C52">
        <w:rPr>
          <w:sz w:val="24"/>
          <w:szCs w:val="24"/>
          <w:lang w:bidi="ar-SA"/>
        </w:rPr>
        <w:t xml:space="preserve"> to $49.44.</w:t>
      </w:r>
      <w:r>
        <w:rPr>
          <w:rStyle w:val="FootnoteReference"/>
          <w:sz w:val="24"/>
          <w:szCs w:val="24"/>
          <w:lang w:bidi="ar-SA"/>
        </w:rPr>
        <w:footnoteReference w:id="6"/>
      </w:r>
      <w:r w:rsidRPr="00027842" w:rsidR="00C60CCF">
        <w:rPr>
          <w:sz w:val="24"/>
          <w:szCs w:val="24"/>
          <w:lang w:bidi="ar-SA"/>
        </w:rPr>
        <w:t xml:space="preserve"> </w:t>
      </w:r>
      <w:r w:rsidRPr="00027842" w:rsidR="00802C52">
        <w:rPr>
          <w:sz w:val="24"/>
          <w:szCs w:val="24"/>
          <w:lang w:bidi="ar-SA"/>
        </w:rPr>
        <w:t xml:space="preserve">This represents a 32% increase in total </w:t>
      </w:r>
      <w:r w:rsidRPr="00027842" w:rsidR="004551F8">
        <w:rPr>
          <w:sz w:val="24"/>
          <w:szCs w:val="24"/>
          <w:lang w:bidi="ar-SA"/>
        </w:rPr>
        <w:t xml:space="preserve">base </w:t>
      </w:r>
      <w:r w:rsidRPr="00027842" w:rsidR="00802C52">
        <w:rPr>
          <w:sz w:val="24"/>
          <w:szCs w:val="24"/>
          <w:lang w:bidi="ar-SA"/>
        </w:rPr>
        <w:t xml:space="preserve">distribution charge. </w:t>
      </w:r>
      <w:r w:rsidRPr="00027842" w:rsidR="00322FFB">
        <w:rPr>
          <w:sz w:val="24"/>
          <w:szCs w:val="24"/>
          <w:lang w:bidi="ar-SA"/>
        </w:rPr>
        <w:t>A</w:t>
      </w:r>
      <w:r w:rsidRPr="00027842" w:rsidR="00B549BE">
        <w:rPr>
          <w:sz w:val="24"/>
          <w:szCs w:val="24"/>
          <w:lang w:bidi="ar-SA"/>
        </w:rPr>
        <w:t xml:space="preserve"> typical residential consumer using 1,000 kW</w:t>
      </w:r>
      <w:r w:rsidRPr="00027842" w:rsidR="00005FC3">
        <w:rPr>
          <w:sz w:val="24"/>
          <w:szCs w:val="24"/>
          <w:lang w:bidi="ar-SA"/>
        </w:rPr>
        <w:t>h</w:t>
      </w:r>
      <w:r w:rsidRPr="00027842" w:rsidR="00B549BE">
        <w:rPr>
          <w:sz w:val="24"/>
          <w:szCs w:val="24"/>
          <w:lang w:bidi="ar-SA"/>
        </w:rPr>
        <w:t xml:space="preserve"> per month would pay an additional $144 per year in base </w:t>
      </w:r>
      <w:r w:rsidRPr="00027842" w:rsidR="00322FFB">
        <w:rPr>
          <w:sz w:val="24"/>
          <w:szCs w:val="24"/>
          <w:lang w:bidi="ar-SA"/>
        </w:rPr>
        <w:t xml:space="preserve">distribution </w:t>
      </w:r>
      <w:r w:rsidRPr="00027842" w:rsidR="009F0ED8">
        <w:rPr>
          <w:sz w:val="24"/>
          <w:szCs w:val="24"/>
          <w:lang w:bidi="ar-SA"/>
        </w:rPr>
        <w:t>charge</w:t>
      </w:r>
      <w:r w:rsidRPr="00027842" w:rsidR="00B549BE">
        <w:rPr>
          <w:sz w:val="24"/>
          <w:szCs w:val="24"/>
          <w:lang w:bidi="ar-SA"/>
        </w:rPr>
        <w:t>.</w:t>
      </w:r>
      <w:r w:rsidRPr="00027842" w:rsidR="00C60CCF">
        <w:rPr>
          <w:sz w:val="24"/>
          <w:szCs w:val="24"/>
          <w:lang w:bidi="ar-SA"/>
        </w:rPr>
        <w:t xml:space="preserve"> </w:t>
      </w:r>
      <w:r w:rsidRPr="00027842">
        <w:rPr>
          <w:sz w:val="24"/>
          <w:szCs w:val="24"/>
          <w:lang w:bidi="ar-SA"/>
        </w:rPr>
        <w:t>Duke also asked to amend its tariff</w:t>
      </w:r>
      <w:r w:rsidRPr="00027842" w:rsidR="00157322">
        <w:rPr>
          <w:sz w:val="24"/>
          <w:szCs w:val="24"/>
          <w:lang w:bidi="ar-SA"/>
        </w:rPr>
        <w:t>, add new tariff schedules,</w:t>
      </w:r>
      <w:r w:rsidRPr="00027842">
        <w:rPr>
          <w:sz w:val="24"/>
          <w:szCs w:val="24"/>
          <w:lang w:bidi="ar-SA"/>
        </w:rPr>
        <w:t xml:space="preserve"> and obtain </w:t>
      </w:r>
      <w:r w:rsidRPr="00027842" w:rsidR="001C7049">
        <w:rPr>
          <w:sz w:val="24"/>
          <w:szCs w:val="24"/>
          <w:lang w:bidi="ar-SA"/>
        </w:rPr>
        <w:t xml:space="preserve">certain </w:t>
      </w:r>
      <w:r w:rsidRPr="00027842">
        <w:rPr>
          <w:sz w:val="24"/>
          <w:szCs w:val="24"/>
          <w:lang w:bidi="ar-SA"/>
        </w:rPr>
        <w:t xml:space="preserve">accounting authority </w:t>
      </w:r>
      <w:r w:rsidRPr="00027842" w:rsidR="001C7049">
        <w:rPr>
          <w:sz w:val="24"/>
          <w:szCs w:val="24"/>
          <w:lang w:bidi="ar-SA"/>
        </w:rPr>
        <w:t xml:space="preserve">associated with existing and new riders </w:t>
      </w:r>
      <w:r w:rsidRPr="00027842">
        <w:rPr>
          <w:sz w:val="24"/>
          <w:szCs w:val="24"/>
          <w:lang w:bidi="ar-SA"/>
        </w:rPr>
        <w:t xml:space="preserve">in connection with the proposed rate increase. </w:t>
      </w:r>
    </w:p>
    <w:p w:rsidR="00610F97" w:rsidRPr="00027842" w:rsidP="00610F97" w14:paraId="5DB0ECBC" w14:textId="77DCA7A8">
      <w:pPr>
        <w:pStyle w:val="BodyTextIndent3"/>
        <w:widowControl w:val="0"/>
        <w:spacing w:after="0" w:line="480" w:lineRule="auto"/>
        <w:ind w:left="0" w:right="-24" w:firstLine="720"/>
        <w:rPr>
          <w:sz w:val="24"/>
          <w:szCs w:val="24"/>
          <w:lang w:bidi="ar-SA"/>
        </w:rPr>
      </w:pPr>
      <w:r w:rsidRPr="00027842">
        <w:rPr>
          <w:sz w:val="24"/>
          <w:szCs w:val="24"/>
        </w:rPr>
        <w:t xml:space="preserve">The Staff of the Public Utilities Commission of Ohio (“PUCO”) recommends </w:t>
      </w:r>
      <w:r w:rsidRPr="00027842" w:rsidR="00C9183A">
        <w:rPr>
          <w:sz w:val="24"/>
          <w:szCs w:val="24"/>
        </w:rPr>
        <w:t xml:space="preserve">a </w:t>
      </w:r>
      <w:r w:rsidRPr="00027842" w:rsidR="00125706">
        <w:rPr>
          <w:sz w:val="24"/>
          <w:szCs w:val="24"/>
        </w:rPr>
        <w:t xml:space="preserve">lower </w:t>
      </w:r>
      <w:r w:rsidRPr="00027842" w:rsidR="00C9183A">
        <w:rPr>
          <w:sz w:val="24"/>
          <w:szCs w:val="24"/>
        </w:rPr>
        <w:t xml:space="preserve">revenue increase </w:t>
      </w:r>
      <w:r w:rsidRPr="00027842" w:rsidR="0001316E">
        <w:rPr>
          <w:sz w:val="24"/>
          <w:szCs w:val="24"/>
        </w:rPr>
        <w:t xml:space="preserve">in comparison to that proposed in </w:t>
      </w:r>
      <w:r w:rsidRPr="00027842" w:rsidR="00E66FE4">
        <w:rPr>
          <w:sz w:val="24"/>
          <w:szCs w:val="24"/>
        </w:rPr>
        <w:t>Duke</w:t>
      </w:r>
      <w:r w:rsidRPr="00027842" w:rsidR="0001316E">
        <w:rPr>
          <w:sz w:val="24"/>
          <w:szCs w:val="24"/>
        </w:rPr>
        <w:t>’s Application</w:t>
      </w:r>
      <w:r w:rsidRPr="00027842" w:rsidR="00A602AA">
        <w:rPr>
          <w:sz w:val="24"/>
          <w:szCs w:val="24"/>
        </w:rPr>
        <w:t xml:space="preserve">. </w:t>
      </w:r>
      <w:r w:rsidRPr="00027842" w:rsidR="00E66FE4">
        <w:rPr>
          <w:sz w:val="24"/>
          <w:szCs w:val="24"/>
        </w:rPr>
        <w:t xml:space="preserve">The </w:t>
      </w:r>
      <w:r w:rsidRPr="00027842">
        <w:rPr>
          <w:sz w:val="24"/>
          <w:szCs w:val="24"/>
        </w:rPr>
        <w:t xml:space="preserve">PUCO </w:t>
      </w:r>
      <w:r w:rsidRPr="00027842" w:rsidR="00E66FE4">
        <w:rPr>
          <w:sz w:val="24"/>
          <w:szCs w:val="24"/>
        </w:rPr>
        <w:t xml:space="preserve">Staff recommended a rate increase </w:t>
      </w:r>
      <w:r w:rsidRPr="00027842" w:rsidR="00C9183A">
        <w:rPr>
          <w:sz w:val="24"/>
          <w:szCs w:val="24"/>
        </w:rPr>
        <w:t>between $</w:t>
      </w:r>
      <w:r w:rsidRPr="00027842" w:rsidR="00A9747A">
        <w:rPr>
          <w:sz w:val="24"/>
          <w:szCs w:val="24"/>
        </w:rPr>
        <w:t xml:space="preserve">1.9 </w:t>
      </w:r>
      <w:r w:rsidRPr="00027842" w:rsidR="00C9183A">
        <w:rPr>
          <w:sz w:val="24"/>
          <w:szCs w:val="24"/>
        </w:rPr>
        <w:t>million and $</w:t>
      </w:r>
      <w:r w:rsidRPr="00027842" w:rsidR="00A9747A">
        <w:rPr>
          <w:sz w:val="24"/>
          <w:szCs w:val="24"/>
        </w:rPr>
        <w:t xml:space="preserve">15.3 </w:t>
      </w:r>
      <w:r w:rsidRPr="00027842" w:rsidR="00C9183A">
        <w:rPr>
          <w:sz w:val="24"/>
          <w:szCs w:val="24"/>
        </w:rPr>
        <w:t>million</w:t>
      </w:r>
      <w:r w:rsidRPr="00027842" w:rsidR="00322FFB">
        <w:rPr>
          <w:sz w:val="24"/>
          <w:szCs w:val="24"/>
        </w:rPr>
        <w:t xml:space="preserve"> that was </w:t>
      </w:r>
      <w:r w:rsidRPr="00027842" w:rsidR="00E66FE4">
        <w:rPr>
          <w:sz w:val="24"/>
          <w:szCs w:val="24"/>
        </w:rPr>
        <w:t xml:space="preserve">calculated based on a rate of return of 6.52% to 7.03%, a rate base </w:t>
      </w:r>
      <w:r w:rsidRPr="00027842" w:rsidR="00E148D6">
        <w:rPr>
          <w:sz w:val="24"/>
          <w:szCs w:val="24"/>
        </w:rPr>
        <w:t>of $2,036 million and a current operating income of $131 million.</w:t>
      </w:r>
      <w:r>
        <w:rPr>
          <w:rStyle w:val="FootnoteReference"/>
          <w:sz w:val="24"/>
          <w:szCs w:val="24"/>
        </w:rPr>
        <w:footnoteReference w:id="7"/>
      </w:r>
      <w:r w:rsidRPr="00027842" w:rsidR="00C60CCF">
        <w:rPr>
          <w:sz w:val="24"/>
          <w:szCs w:val="24"/>
        </w:rPr>
        <w:t xml:space="preserve"> </w:t>
      </w:r>
    </w:p>
    <w:p w:rsidR="00D054BF" w:rsidRPr="00027842" w:rsidP="00C60CCF" w14:paraId="547536EC" w14:textId="338C9788">
      <w:pPr>
        <w:pStyle w:val="BodyTextIndent3"/>
        <w:widowControl w:val="0"/>
        <w:spacing w:after="0" w:line="480" w:lineRule="auto"/>
        <w:ind w:left="0" w:right="-24" w:firstLine="720"/>
        <w:rPr>
          <w:sz w:val="24"/>
          <w:szCs w:val="24"/>
        </w:rPr>
      </w:pPr>
      <w:r w:rsidRPr="00027842">
        <w:rPr>
          <w:sz w:val="24"/>
          <w:szCs w:val="24"/>
        </w:rPr>
        <w:t xml:space="preserve">OCC supports or does not oppose some of </w:t>
      </w:r>
      <w:r w:rsidRPr="00027842" w:rsidR="007859B0">
        <w:rPr>
          <w:sz w:val="24"/>
          <w:szCs w:val="24"/>
        </w:rPr>
        <w:t xml:space="preserve">the </w:t>
      </w:r>
      <w:r w:rsidRPr="00027842">
        <w:rPr>
          <w:sz w:val="24"/>
          <w:szCs w:val="24"/>
        </w:rPr>
        <w:t xml:space="preserve">recommendations in the Report of Investigation (“Staff Report”) filed by the Staff of the Public Utilities Commission of Ohio on May 19, </w:t>
      </w:r>
      <w:r w:rsidRPr="00027842" w:rsidR="00EC7711">
        <w:rPr>
          <w:sz w:val="24"/>
          <w:szCs w:val="24"/>
        </w:rPr>
        <w:t>2022,</w:t>
      </w:r>
      <w:r w:rsidRPr="00027842">
        <w:rPr>
          <w:sz w:val="24"/>
          <w:szCs w:val="24"/>
        </w:rPr>
        <w:t xml:space="preserve"> that benefit consumers. However, the Staff Report falls short of fully protecting consumers in many ways, as explained in the following Objections. </w:t>
      </w:r>
    </w:p>
    <w:p w:rsidR="004D6945" w:rsidRPr="00027842" w:rsidP="004D6945" w14:paraId="4140EEF8" w14:textId="5C01158F">
      <w:pPr>
        <w:spacing w:line="480" w:lineRule="auto"/>
        <w:ind w:firstLine="720"/>
      </w:pPr>
      <w:r w:rsidRPr="00027842">
        <w:t xml:space="preserve">OCC reserves the right to amend and/or supplement these objections if the PUCO Staff changes, modifies, or withdraws its position, at any time prior to the closing of the record, on any issue contained in the Staff Report. Additionally, if the PUCO Staff has indicated that its position on a particular issue is not known at the date of the Staff Report, OCC reserves the right to later supplement these objections once the PUCO Staff’s position is </w:t>
      </w:r>
      <w:r w:rsidRPr="00027842" w:rsidR="000E6767">
        <w:t xml:space="preserve">ultimately </w:t>
      </w:r>
      <w:r w:rsidRPr="00027842">
        <w:t xml:space="preserve">made known. OCC also reserves the right to file additional expert testimony, produce fact witnesses and introduce additional evidence. </w:t>
      </w:r>
    </w:p>
    <w:p w:rsidR="004D6945" w:rsidRPr="00027842" w:rsidP="004D6945" w14:paraId="731C82D9" w14:textId="3B9FF069">
      <w:pPr>
        <w:spacing w:line="480" w:lineRule="auto"/>
        <w:ind w:firstLine="720"/>
      </w:pPr>
      <w:r w:rsidRPr="00027842">
        <w:t>In addition, OCC submits that the lack of an objection in this pleading to any aspect of the Staff Report does not preclude OCC from cross-examination or introduction of evidence or argument regarding issues on which the PUCO Staff changes, modifies, newly raises, or withdraws its position on any issue between the issuance of the Staff Report and the close of the record. Moreover,</w:t>
      </w:r>
      <w:r w:rsidRPr="00027842" w:rsidR="00C60CCF">
        <w:t xml:space="preserve"> </w:t>
      </w:r>
      <w:r w:rsidRPr="00027842">
        <w:t>OCC reserve</w:t>
      </w:r>
      <w:r w:rsidRPr="00027842" w:rsidR="009B4030">
        <w:t>s</w:t>
      </w:r>
      <w:r w:rsidRPr="00027842">
        <w:t xml:space="preserve"> the right to contest other aspects of Duke’s Application not specifically addressed by the Staff Report.</w:t>
      </w:r>
    </w:p>
    <w:p w:rsidR="004B02F5" w:rsidRPr="00027842" w:rsidP="00C60CCF" w14:paraId="1D095B4A" w14:textId="4801F536">
      <w:pPr>
        <w:pStyle w:val="BodyTextIndent3"/>
        <w:widowControl w:val="0"/>
        <w:spacing w:after="0"/>
        <w:ind w:left="0" w:right="-24" w:firstLine="720"/>
        <w:rPr>
          <w:sz w:val="24"/>
          <w:szCs w:val="24"/>
          <w:lang w:bidi="ar-SA"/>
        </w:rPr>
      </w:pPr>
    </w:p>
    <w:p w:rsidR="00663A08" w:rsidRPr="00027842" w:rsidP="00663A08" w14:paraId="1FC547D6" w14:textId="0C9ED1A5">
      <w:pPr>
        <w:pStyle w:val="Heading1"/>
        <w:ind w:left="720" w:hanging="720"/>
        <w:rPr>
          <w:rFonts w:eastAsiaTheme="majorEastAsia"/>
          <w:kern w:val="0"/>
          <w:lang w:bidi="ar-SA"/>
        </w:rPr>
      </w:pPr>
      <w:bookmarkStart w:id="6" w:name="_Toc102143386"/>
      <w:bookmarkStart w:id="7" w:name="_Toc102143557"/>
      <w:bookmarkStart w:id="8" w:name="_Toc106717606"/>
      <w:r w:rsidRPr="00027842">
        <w:t>II</w:t>
      </w:r>
      <w:r w:rsidRPr="00027842" w:rsidR="004237A8">
        <w:t>.</w:t>
      </w:r>
      <w:r w:rsidRPr="00027842">
        <w:t xml:space="preserve"> </w:t>
      </w:r>
      <w:r w:rsidRPr="00027842">
        <w:tab/>
      </w:r>
      <w:r w:rsidRPr="00027842">
        <w:rPr>
          <w:rFonts w:eastAsiaTheme="majorEastAsia"/>
          <w:kern w:val="0"/>
          <w:lang w:bidi="ar-SA"/>
        </w:rPr>
        <w:t xml:space="preserve">SUMMARY OF STAFF REPORT RECOMMENDATIONS SUPPORTED OR NOT OPPOSED BY </w:t>
      </w:r>
      <w:bookmarkEnd w:id="6"/>
      <w:bookmarkEnd w:id="7"/>
      <w:r w:rsidRPr="00027842" w:rsidR="007E67ED">
        <w:rPr>
          <w:rFonts w:eastAsiaTheme="majorEastAsia"/>
          <w:kern w:val="0"/>
          <w:lang w:bidi="ar-SA"/>
        </w:rPr>
        <w:t>OCC</w:t>
      </w:r>
      <w:bookmarkEnd w:id="8"/>
    </w:p>
    <w:p w:rsidR="00015657" w:rsidRPr="00027842" w:rsidP="004D6945" w14:paraId="5287DE66" w14:textId="281FBE97">
      <w:pPr>
        <w:spacing w:line="480" w:lineRule="auto"/>
        <w:ind w:firstLine="720"/>
      </w:pPr>
      <w:r w:rsidRPr="00027842">
        <w:t xml:space="preserve">OCC </w:t>
      </w:r>
      <w:r w:rsidRPr="00027842" w:rsidR="00663A08">
        <w:t>support</w:t>
      </w:r>
      <w:r w:rsidRPr="00027842">
        <w:t>s</w:t>
      </w:r>
      <w:r w:rsidRPr="00027842" w:rsidR="00663A08">
        <w:t xml:space="preserve"> </w:t>
      </w:r>
      <w:r w:rsidRPr="00027842" w:rsidR="009B4030">
        <w:t>a number of</w:t>
      </w:r>
      <w:r w:rsidRPr="00027842" w:rsidR="00D054BF">
        <w:t xml:space="preserve"> </w:t>
      </w:r>
      <w:r w:rsidRPr="00027842" w:rsidR="00663A08">
        <w:t>findings</w:t>
      </w:r>
      <w:r w:rsidRPr="00027842" w:rsidR="00911489">
        <w:t xml:space="preserve"> </w:t>
      </w:r>
      <w:r w:rsidRPr="00027842" w:rsidR="00663A08">
        <w:t>and recommendations in the Staff Report</w:t>
      </w:r>
      <w:r w:rsidRPr="00027842" w:rsidR="009B4030">
        <w:t xml:space="preserve"> that benefit consumers</w:t>
      </w:r>
      <w:r w:rsidRPr="00027842" w:rsidR="00911489">
        <w:t>.</w:t>
      </w:r>
      <w:r w:rsidRPr="00027842" w:rsidR="00663A08">
        <w:t xml:space="preserve"> </w:t>
      </w:r>
      <w:r w:rsidRPr="00027842">
        <w:t xml:space="preserve">OCC </w:t>
      </w:r>
      <w:r w:rsidRPr="00027842" w:rsidR="00663A08">
        <w:t>also do</w:t>
      </w:r>
      <w:r w:rsidRPr="00027842">
        <w:t>es</w:t>
      </w:r>
      <w:r w:rsidRPr="00027842" w:rsidR="00663A08">
        <w:t xml:space="preserve"> not oppose certain</w:t>
      </w:r>
      <w:r w:rsidRPr="00027842" w:rsidR="009B4030">
        <w:t xml:space="preserve"> other</w:t>
      </w:r>
      <w:r w:rsidRPr="00027842" w:rsidR="00663A08">
        <w:t xml:space="preserve"> positions and adjustments</w:t>
      </w:r>
      <w:r w:rsidRPr="00027842" w:rsidR="00250874">
        <w:t xml:space="preserve"> </w:t>
      </w:r>
      <w:r w:rsidRPr="00027842" w:rsidR="00663A08">
        <w:t>proposed in the Staff Report</w:t>
      </w:r>
      <w:r w:rsidRPr="00027842" w:rsidR="00911489">
        <w:t>.</w:t>
      </w:r>
      <w:r w:rsidRPr="00027842" w:rsidR="004D6945">
        <w:t xml:space="preserve"> </w:t>
      </w:r>
      <w:r w:rsidRPr="00027842" w:rsidR="005A0793">
        <w:t>The</w:t>
      </w:r>
      <w:r w:rsidRPr="00027842" w:rsidR="00D054BF">
        <w:t xml:space="preserve">se items </w:t>
      </w:r>
      <w:r w:rsidRPr="00027842" w:rsidR="005A0793">
        <w:t>include</w:t>
      </w:r>
      <w:r w:rsidRPr="00027842" w:rsidR="00D054BF">
        <w:t xml:space="preserve">, but may not be limited to, </w:t>
      </w:r>
      <w:r w:rsidRPr="00027842" w:rsidR="005A0793">
        <w:t>the following:</w:t>
      </w:r>
      <w:r w:rsidRPr="00027842" w:rsidR="00C60CCF">
        <w:t xml:space="preserve"> </w:t>
      </w:r>
    </w:p>
    <w:p w:rsidR="00CB024A" w:rsidRPr="00027842" w:rsidP="00B559EF" w14:paraId="3294781A" w14:textId="7021A16F">
      <w:pPr>
        <w:pStyle w:val="Heading2"/>
        <w:rPr>
          <w:rFonts w:ascii="Times New Roman" w:hAnsi="Times New Roman"/>
        </w:rPr>
      </w:pPr>
      <w:bookmarkStart w:id="9" w:name="_Toc106717607"/>
      <w:bookmarkStart w:id="10" w:name="_Hlk105577840"/>
      <w:r w:rsidRPr="00027842">
        <w:rPr>
          <w:rFonts w:ascii="Times New Roman" w:hAnsi="Times New Roman"/>
        </w:rPr>
        <w:t>A.</w:t>
      </w:r>
      <w:r w:rsidRPr="00027842">
        <w:rPr>
          <w:rFonts w:ascii="Times New Roman" w:hAnsi="Times New Roman"/>
        </w:rPr>
        <w:tab/>
      </w:r>
      <w:r w:rsidRPr="00027842">
        <w:rPr>
          <w:rFonts w:ascii="Times New Roman" w:hAnsi="Times New Roman"/>
        </w:rPr>
        <w:t>Rate Base</w:t>
      </w:r>
      <w:bookmarkEnd w:id="9"/>
    </w:p>
    <w:bookmarkEnd w:id="10"/>
    <w:p w:rsidR="00B43AF1" w:rsidRPr="00027842" w:rsidP="00B43AF1" w14:paraId="186BAFDF" w14:textId="339E1D84">
      <w:pPr>
        <w:pStyle w:val="ListParagraph"/>
        <w:numPr>
          <w:ilvl w:val="0"/>
          <w:numId w:val="52"/>
        </w:numPr>
        <w:ind w:left="1980" w:hanging="540"/>
      </w:pPr>
      <w:r w:rsidRPr="00027842">
        <w:t xml:space="preserve">The PUCO Staff correctly </w:t>
      </w:r>
      <w:r w:rsidRPr="00027842" w:rsidR="00307776">
        <w:t>removed the entire working capital allowance of $31,710,429 because Duke’s requested allowance for working capital is fundamentally deficient. The failure to include the cash component of working capital results in an allowance for working capital that does not reasonably represent the operating needs of Duke.</w:t>
      </w:r>
      <w:r>
        <w:rPr>
          <w:rStyle w:val="FootnoteReference"/>
        </w:rPr>
        <w:footnoteReference w:id="8"/>
      </w:r>
      <w:r w:rsidRPr="00027842" w:rsidR="00C60CCF">
        <w:t xml:space="preserve"> </w:t>
      </w:r>
    </w:p>
    <w:p w:rsidR="00B43AF1" w:rsidRPr="00027842" w:rsidP="00B43AF1" w14:paraId="113C1846" w14:textId="77777777">
      <w:pPr>
        <w:pStyle w:val="ListParagraph"/>
        <w:ind w:left="1980"/>
      </w:pPr>
    </w:p>
    <w:p w:rsidR="009B4030" w:rsidRPr="00027842" w:rsidP="00B43AF1" w14:paraId="24FEEB3F" w14:textId="7DAAB196">
      <w:pPr>
        <w:pStyle w:val="ListParagraph"/>
        <w:numPr>
          <w:ilvl w:val="0"/>
          <w:numId w:val="52"/>
        </w:numPr>
        <w:ind w:left="1980" w:hanging="540"/>
      </w:pPr>
      <w:r w:rsidRPr="00027842">
        <w:t>OCC does not oppose the PUCO Staff</w:t>
      </w:r>
      <w:r w:rsidRPr="00027842">
        <w:t>’s</w:t>
      </w:r>
      <w:r w:rsidRPr="00027842">
        <w:t xml:space="preserve"> remov</w:t>
      </w:r>
      <w:r w:rsidRPr="00027842">
        <w:t>al of</w:t>
      </w:r>
      <w:r w:rsidRPr="00027842">
        <w:t xml:space="preserve"> the PUCO and OCC assessment fees from the gross revenue conversion factor because there is no direct, causal relationship between the revenues collected by Duke and the amount that Duke is assessed. Additionally, Duke has already included the PUCO and OCC assessment fees in its test year expenses.</w:t>
      </w:r>
      <w:r>
        <w:rPr>
          <w:rStyle w:val="FootnoteReference"/>
        </w:rPr>
        <w:footnoteReference w:id="9"/>
      </w:r>
      <w:r w:rsidRPr="00027842" w:rsidR="00C60CCF">
        <w:t xml:space="preserve"> </w:t>
      </w:r>
    </w:p>
    <w:p w:rsidR="00860A7C" w:rsidRPr="00027842" w:rsidP="00B43AF1" w14:paraId="4D9357D6" w14:textId="4F6F9995">
      <w:pPr>
        <w:pStyle w:val="ListParagraph"/>
        <w:numPr>
          <w:ilvl w:val="0"/>
          <w:numId w:val="52"/>
        </w:numPr>
        <w:ind w:left="1980" w:hanging="540"/>
      </w:pPr>
      <w:r w:rsidRPr="00027842">
        <w:t>OCC does not oppose the PUCO Staff</w:t>
      </w:r>
      <w:r w:rsidRPr="00027842" w:rsidR="009B4030">
        <w:t>’s</w:t>
      </w:r>
      <w:r w:rsidRPr="00027842">
        <w:t xml:space="preserve"> remov</w:t>
      </w:r>
      <w:r w:rsidRPr="00027842" w:rsidR="009B4030">
        <w:t>al of</w:t>
      </w:r>
      <w:r w:rsidRPr="00027842">
        <w:t xml:space="preserve"> the portion of Silverhawk Electric System Operation facility ($13,184,293) attributable to distribution service outside of Ohio.</w:t>
      </w:r>
      <w:r>
        <w:rPr>
          <w:rStyle w:val="FootnoteReference"/>
        </w:rPr>
        <w:footnoteReference w:id="10"/>
      </w:r>
      <w:r w:rsidRPr="00027842" w:rsidR="00C60CCF">
        <w:t xml:space="preserve"> </w:t>
      </w:r>
    </w:p>
    <w:p w:rsidR="009B4030" w:rsidRPr="00027842" w:rsidP="00B43AF1" w14:paraId="6F48A1CA" w14:textId="77777777">
      <w:pPr>
        <w:pStyle w:val="ListParagraph"/>
        <w:ind w:left="1980" w:hanging="540"/>
      </w:pPr>
    </w:p>
    <w:p w:rsidR="003850D1" w:rsidRPr="00027842" w:rsidP="00B43AF1" w14:paraId="69DCC81E" w14:textId="4B4C69AF">
      <w:pPr>
        <w:pStyle w:val="ListParagraph"/>
        <w:numPr>
          <w:ilvl w:val="0"/>
          <w:numId w:val="52"/>
        </w:numPr>
        <w:ind w:left="1980" w:hanging="540"/>
        <w:rPr>
          <w:lang w:bidi="ar-SA"/>
        </w:rPr>
      </w:pPr>
      <w:r w:rsidRPr="00027842">
        <w:t>OCC does not oppose the PUCO Staff</w:t>
      </w:r>
      <w:r w:rsidRPr="00027842" w:rsidR="009B4030">
        <w:t>’s</w:t>
      </w:r>
      <w:r w:rsidRPr="00027842">
        <w:t xml:space="preserve"> remov</w:t>
      </w:r>
      <w:r w:rsidRPr="00027842" w:rsidR="009B4030">
        <w:t>al of</w:t>
      </w:r>
      <w:r w:rsidRPr="00027842">
        <w:t xml:space="preserve"> plant-in-service costs of $1,453,596 related to adjustments to plant-in-service ordered by the PUCO </w:t>
      </w:r>
      <w:r w:rsidRPr="00027842" w:rsidR="00977F5C">
        <w:t xml:space="preserve">in Duke’s previous rate case </w:t>
      </w:r>
      <w:r w:rsidRPr="00027842">
        <w:t>that had not been fully processed.</w:t>
      </w:r>
      <w:r>
        <w:rPr>
          <w:rStyle w:val="FootnoteReference"/>
        </w:rPr>
        <w:footnoteReference w:id="11"/>
      </w:r>
    </w:p>
    <w:p w:rsidR="009B4030" w:rsidRPr="00027842" w:rsidP="00B43AF1" w14:paraId="2BBBECC5" w14:textId="77777777">
      <w:pPr>
        <w:ind w:left="1980" w:hanging="540"/>
        <w:rPr>
          <w:lang w:bidi="ar-SA"/>
        </w:rPr>
      </w:pPr>
    </w:p>
    <w:p w:rsidR="003850D1" w:rsidRPr="00027842" w:rsidP="00B43AF1" w14:paraId="2D587FF4" w14:textId="106E24EB">
      <w:pPr>
        <w:pStyle w:val="ListParagraph"/>
        <w:numPr>
          <w:ilvl w:val="0"/>
          <w:numId w:val="52"/>
        </w:numPr>
        <w:ind w:left="1980" w:hanging="540"/>
      </w:pPr>
      <w:r w:rsidRPr="00027842">
        <w:t>OCC does not oppose the PUCO Staff</w:t>
      </w:r>
      <w:r w:rsidRPr="00027842" w:rsidR="00B26D80">
        <w:t>’s</w:t>
      </w:r>
      <w:r w:rsidRPr="00027842">
        <w:t xml:space="preserve"> exclu</w:t>
      </w:r>
      <w:r w:rsidRPr="00027842" w:rsidR="00B26D80">
        <w:t>sion of</w:t>
      </w:r>
      <w:r w:rsidRPr="00027842">
        <w:t xml:space="preserve"> costs ($6,494) </w:t>
      </w:r>
      <w:r w:rsidRPr="00027842" w:rsidR="00B26D80">
        <w:t>for</w:t>
      </w:r>
      <w:r w:rsidRPr="00027842">
        <w:t xml:space="preserve"> meals and flowers that were improperly capitalized or excessive.</w:t>
      </w:r>
      <w:r>
        <w:rPr>
          <w:rStyle w:val="FootnoteReference"/>
        </w:rPr>
        <w:footnoteReference w:id="12"/>
      </w:r>
    </w:p>
    <w:p w:rsidR="00860A7C" w:rsidRPr="00027842" w:rsidP="00B43AF1" w14:paraId="0957FC85" w14:textId="77777777">
      <w:pPr>
        <w:pStyle w:val="ListParagraph"/>
        <w:ind w:left="1980" w:hanging="540"/>
      </w:pPr>
    </w:p>
    <w:p w:rsidR="00B26D80" w:rsidRPr="00027842" w:rsidP="00B43AF1" w14:paraId="7988068E" w14:textId="45DDE383">
      <w:pPr>
        <w:pStyle w:val="ListParagraph"/>
        <w:numPr>
          <w:ilvl w:val="0"/>
          <w:numId w:val="52"/>
        </w:numPr>
        <w:ind w:left="1980" w:hanging="540"/>
      </w:pPr>
      <w:r w:rsidRPr="00027842">
        <w:t>OCC does not oppose the PUCO Staff</w:t>
      </w:r>
      <w:r w:rsidRPr="00027842">
        <w:t>’s</w:t>
      </w:r>
      <w:r w:rsidRPr="00027842">
        <w:t xml:space="preserve"> acceptance of </w:t>
      </w:r>
      <w:r w:rsidRPr="00027842" w:rsidR="00742718">
        <w:t xml:space="preserve">Duke’s </w:t>
      </w:r>
      <w:r w:rsidRPr="00027842">
        <w:t>reduction to plant-in-service of $30,967,410</w:t>
      </w:r>
      <w:r w:rsidRPr="00027842" w:rsidR="00454A88">
        <w:t xml:space="preserve"> as shown in Schedule B-2.2</w:t>
      </w:r>
      <w:r w:rsidRPr="00027842">
        <w:t>.</w:t>
      </w:r>
      <w:r>
        <w:rPr>
          <w:rStyle w:val="FootnoteReference"/>
        </w:rPr>
        <w:footnoteReference w:id="13"/>
      </w:r>
    </w:p>
    <w:p w:rsidR="00B43AF1" w:rsidRPr="00027842" w:rsidP="00B43AF1" w14:paraId="505F0C4A" w14:textId="77777777">
      <w:pPr>
        <w:ind w:left="1980" w:hanging="540"/>
      </w:pPr>
    </w:p>
    <w:p w:rsidR="00CB024A" w:rsidRPr="00027842" w:rsidP="00B43AF1" w14:paraId="134B903C" w14:textId="1B3551A8">
      <w:pPr>
        <w:pStyle w:val="ListParagraph"/>
        <w:numPr>
          <w:ilvl w:val="0"/>
          <w:numId w:val="52"/>
        </w:numPr>
        <w:ind w:left="1980" w:hanging="540"/>
      </w:pPr>
      <w:r w:rsidRPr="00027842">
        <w:t>OCC does not oppose the PUCO Staff</w:t>
      </w:r>
      <w:r w:rsidRPr="00027842" w:rsidR="00F954AC">
        <w:t>’s</w:t>
      </w:r>
      <w:r w:rsidRPr="00027842">
        <w:t xml:space="preserve"> remov</w:t>
      </w:r>
      <w:r w:rsidRPr="00027842" w:rsidR="00F954AC">
        <w:t>al of</w:t>
      </w:r>
      <w:r w:rsidRPr="00027842">
        <w:t xml:space="preserve"> $1,495,023 from plant-in-service</w:t>
      </w:r>
      <w:r w:rsidRPr="00027842" w:rsidR="0057715F">
        <w:t xml:space="preserve"> associated with information technology</w:t>
      </w:r>
      <w:r w:rsidRPr="00027842">
        <w:t>. In addition, OCC does not oppose</w:t>
      </w:r>
      <w:r w:rsidRPr="00027842" w:rsidR="00F954AC">
        <w:t xml:space="preserve"> the PUCO</w:t>
      </w:r>
      <w:r w:rsidRPr="00027842">
        <w:t xml:space="preserve"> Staff</w:t>
      </w:r>
      <w:r w:rsidRPr="00027842" w:rsidR="00F954AC">
        <w:t>’s</w:t>
      </w:r>
      <w:r w:rsidRPr="00027842">
        <w:t xml:space="preserve"> remov</w:t>
      </w:r>
      <w:r w:rsidRPr="00027842" w:rsidR="00F954AC">
        <w:t>al of</w:t>
      </w:r>
      <w:r w:rsidRPr="00027842">
        <w:t xml:space="preserve"> $530,545.73 </w:t>
      </w:r>
      <w:r w:rsidRPr="00027842" w:rsidR="0057715F">
        <w:t xml:space="preserve">from rate base for </w:t>
      </w:r>
      <w:r w:rsidRPr="00027842">
        <w:t>software maintenance expense allocation that was miscalculated to plant-in-service balances.</w:t>
      </w:r>
      <w:r>
        <w:rPr>
          <w:rStyle w:val="FootnoteReference"/>
        </w:rPr>
        <w:footnoteReference w:id="14"/>
      </w:r>
    </w:p>
    <w:p w:rsidR="00F954AC" w:rsidRPr="00027842" w:rsidP="00B43AF1" w14:paraId="4EDFB1DC" w14:textId="77777777">
      <w:pPr>
        <w:pStyle w:val="ListParagraph"/>
        <w:ind w:left="1980" w:hanging="540"/>
      </w:pPr>
    </w:p>
    <w:p w:rsidR="00D57671" w:rsidP="00033CDD" w14:paraId="1E911C2F" w14:textId="3D388AEE">
      <w:pPr>
        <w:pStyle w:val="ListParagraph"/>
        <w:numPr>
          <w:ilvl w:val="0"/>
          <w:numId w:val="52"/>
        </w:numPr>
        <w:ind w:left="1980" w:hanging="540"/>
      </w:pPr>
      <w:r w:rsidRPr="00027842">
        <w:t>OCC does not oppose the PUCO Staff reducing plant-in-service by $188,483 for equipment inadvertently charged to Duke.</w:t>
      </w:r>
      <w:r>
        <w:rPr>
          <w:rStyle w:val="FootnoteReference"/>
        </w:rPr>
        <w:footnoteReference w:id="15"/>
      </w:r>
    </w:p>
    <w:p w:rsidR="00477261" w:rsidRPr="00027842" w:rsidP="00477261" w14:paraId="3D36919F" w14:textId="77777777"/>
    <w:p w:rsidR="005D3B33" w:rsidRPr="00027842" w:rsidP="00B559EF" w14:paraId="2930690B" w14:textId="06115C3A">
      <w:pPr>
        <w:pStyle w:val="Heading2"/>
        <w:rPr>
          <w:rFonts w:ascii="Times New Roman" w:hAnsi="Times New Roman"/>
        </w:rPr>
      </w:pPr>
      <w:bookmarkStart w:id="11" w:name="_Toc106717608"/>
      <w:r w:rsidRPr="00027842">
        <w:rPr>
          <w:rFonts w:ascii="Times New Roman" w:hAnsi="Times New Roman"/>
        </w:rPr>
        <w:t>B.</w:t>
      </w:r>
      <w:r w:rsidRPr="00027842">
        <w:rPr>
          <w:rFonts w:ascii="Times New Roman" w:hAnsi="Times New Roman"/>
        </w:rPr>
        <w:tab/>
      </w:r>
      <w:r w:rsidRPr="00027842" w:rsidR="001C5134">
        <w:rPr>
          <w:rFonts w:ascii="Times New Roman" w:hAnsi="Times New Roman"/>
        </w:rPr>
        <w:t>Operating Income</w:t>
      </w:r>
      <w:bookmarkEnd w:id="11"/>
    </w:p>
    <w:p w:rsidR="005768F2" w:rsidRPr="00027842" w:rsidP="00033CDD" w14:paraId="54D5BBFE" w14:textId="694367BE">
      <w:pPr>
        <w:pStyle w:val="ListParagraph"/>
        <w:numPr>
          <w:ilvl w:val="0"/>
          <w:numId w:val="52"/>
        </w:numPr>
        <w:ind w:left="1980" w:hanging="540"/>
      </w:pPr>
      <w:r w:rsidRPr="00027842">
        <w:t xml:space="preserve">The Staff Report correctly removed </w:t>
      </w:r>
      <w:r w:rsidRPr="00027842" w:rsidR="0099364F">
        <w:t xml:space="preserve">the $1,000,000 </w:t>
      </w:r>
      <w:r w:rsidRPr="00027842" w:rsidR="007E384C">
        <w:t xml:space="preserve">in </w:t>
      </w:r>
      <w:r w:rsidRPr="00027842">
        <w:t>expenses related to the proposed public service advertising and customer education campaign.</w:t>
      </w:r>
      <w:r>
        <w:rPr>
          <w:rStyle w:val="FootnoteReference"/>
        </w:rPr>
        <w:footnoteReference w:id="16"/>
      </w:r>
      <w:r w:rsidRPr="00027842">
        <w:t xml:space="preserve"> </w:t>
      </w:r>
    </w:p>
    <w:p w:rsidR="00F954AC" w:rsidRPr="00027842" w:rsidP="00033CDD" w14:paraId="7516BC38" w14:textId="77777777">
      <w:pPr>
        <w:pStyle w:val="ListParagraph"/>
        <w:ind w:left="1980" w:hanging="540"/>
      </w:pPr>
    </w:p>
    <w:p w:rsidR="0099364F" w:rsidRPr="00027842" w:rsidP="00033CDD" w14:paraId="212CCB12" w14:textId="53DF1403">
      <w:pPr>
        <w:pStyle w:val="ListParagraph"/>
        <w:numPr>
          <w:ilvl w:val="0"/>
          <w:numId w:val="52"/>
        </w:numPr>
        <w:ind w:left="1980" w:hanging="540"/>
      </w:pPr>
      <w:r w:rsidRPr="00027842">
        <w:t>The PUCO Staff correctly removed labor and non-labor expenses associated with Demonstrating and Selling, a reduction of $2,706,172</w:t>
      </w:r>
      <w:r>
        <w:rPr>
          <w:rStyle w:val="FootnoteReference"/>
        </w:rPr>
        <w:footnoteReference w:id="17"/>
      </w:r>
      <w:r w:rsidRPr="00027842" w:rsidR="00C172F2">
        <w:t>,</w:t>
      </w:r>
      <w:r w:rsidRPr="00027842" w:rsidR="00F40D5C">
        <w:t xml:space="preserve"> </w:t>
      </w:r>
      <w:r w:rsidRPr="00027842" w:rsidR="00C172F2">
        <w:t xml:space="preserve">and </w:t>
      </w:r>
      <w:r w:rsidRPr="00027842" w:rsidR="00F40D5C">
        <w:t>the related payroll tax expense of $101,481</w:t>
      </w:r>
      <w:r>
        <w:rPr>
          <w:rStyle w:val="FootnoteReference"/>
        </w:rPr>
        <w:footnoteReference w:id="18"/>
      </w:r>
      <w:r w:rsidRPr="00027842" w:rsidR="00F40D5C">
        <w:t>.</w:t>
      </w:r>
    </w:p>
    <w:p w:rsidR="00FA0B2E" w:rsidRPr="00027842" w:rsidP="00033CDD" w14:paraId="084AF145" w14:textId="77777777"/>
    <w:p w:rsidR="0099364F" w:rsidRPr="00027842" w:rsidP="00033CDD" w14:paraId="3053A718" w14:textId="7BD5F2C4">
      <w:pPr>
        <w:pStyle w:val="ListParagraph"/>
        <w:numPr>
          <w:ilvl w:val="0"/>
          <w:numId w:val="52"/>
        </w:numPr>
        <w:ind w:left="1980" w:hanging="540"/>
      </w:pPr>
      <w:r w:rsidRPr="00027842">
        <w:t xml:space="preserve">The PUCO Staff correctly </w:t>
      </w:r>
      <w:r w:rsidRPr="00027842" w:rsidR="00DF30BC">
        <w:t xml:space="preserve">reduced Duke’s requested amortization of vegetation </w:t>
      </w:r>
      <w:r w:rsidRPr="00027842" w:rsidR="0044307D">
        <w:t xml:space="preserve">management </w:t>
      </w:r>
      <w:r w:rsidRPr="00027842" w:rsidR="00DF30BC">
        <w:t xml:space="preserve">from $2.33 million to $1.4 million annually and the </w:t>
      </w:r>
      <w:r w:rsidRPr="00027842" w:rsidR="00BA7267">
        <w:t xml:space="preserve">recommendation of </w:t>
      </w:r>
      <w:r w:rsidRPr="00027842">
        <w:t>a five-year amortization period.</w:t>
      </w:r>
      <w:r>
        <w:rPr>
          <w:rStyle w:val="FootnoteReference"/>
        </w:rPr>
        <w:footnoteReference w:id="19"/>
      </w:r>
    </w:p>
    <w:p w:rsidR="00FA0B2E" w:rsidRPr="00027842" w:rsidP="00033CDD" w14:paraId="3C43A4A7" w14:textId="77777777">
      <w:pPr>
        <w:pStyle w:val="ListParagraph"/>
        <w:ind w:left="1980" w:hanging="540"/>
      </w:pPr>
    </w:p>
    <w:p w:rsidR="005D3B33" w:rsidRPr="00027842" w:rsidP="00033CDD" w14:paraId="08266FD5" w14:textId="442644CF">
      <w:pPr>
        <w:pStyle w:val="ListParagraph"/>
        <w:numPr>
          <w:ilvl w:val="0"/>
          <w:numId w:val="52"/>
        </w:numPr>
        <w:ind w:left="1980" w:hanging="540"/>
      </w:pPr>
      <w:r w:rsidRPr="00027842">
        <w:t>OCC does not oppose the PUCO Staff decreasing test year revenue by $6,109,912</w:t>
      </w:r>
      <w:r w:rsidRPr="00027842" w:rsidR="00CB10D4">
        <w:t>,</w:t>
      </w:r>
      <w:r w:rsidRPr="00027842">
        <w:t xml:space="preserve"> including elimination of unbilled revenue, adjusting test year revenue to reflect actual billing determinants, accepting the Company’s test year billing determinants related to lighting service, and adjusting other revenue associated with pole and line attachments.</w:t>
      </w:r>
      <w:r>
        <w:rPr>
          <w:rStyle w:val="FootnoteReference"/>
        </w:rPr>
        <w:footnoteReference w:id="20"/>
      </w:r>
    </w:p>
    <w:p w:rsidR="00FA0B2E" w:rsidRPr="00027842" w:rsidP="00033CDD" w14:paraId="04A80727" w14:textId="77777777"/>
    <w:p w:rsidR="005D3B33" w:rsidRPr="00027842" w:rsidP="00033CDD" w14:paraId="459CEFC2" w14:textId="5BE5EE6C">
      <w:pPr>
        <w:pStyle w:val="ListParagraph"/>
        <w:numPr>
          <w:ilvl w:val="0"/>
          <w:numId w:val="52"/>
        </w:numPr>
        <w:ind w:left="1980" w:hanging="540"/>
      </w:pPr>
      <w:r w:rsidRPr="00027842">
        <w:t xml:space="preserve">OCC does not oppose the PUCO Staff </w:t>
      </w:r>
      <w:r w:rsidRPr="00027842" w:rsidR="001C5134">
        <w:t xml:space="preserve">removing various rider revenues and expenses </w:t>
      </w:r>
      <w:r w:rsidRPr="00027842" w:rsidR="00CB10D4">
        <w:t>that</w:t>
      </w:r>
      <w:r w:rsidRPr="00027842" w:rsidR="007E6794">
        <w:t xml:space="preserve"> </w:t>
      </w:r>
      <w:r w:rsidRPr="00027842" w:rsidR="00FA0B2E">
        <w:t>result</w:t>
      </w:r>
      <w:r w:rsidRPr="00027842" w:rsidR="007E6794">
        <w:t xml:space="preserve"> in an </w:t>
      </w:r>
      <w:r w:rsidRPr="00027842">
        <w:t>increase in revenue of $16,765,993 and increase in expense of $384,546.</w:t>
      </w:r>
      <w:r>
        <w:rPr>
          <w:rStyle w:val="FootnoteReference"/>
        </w:rPr>
        <w:footnoteReference w:id="21"/>
      </w:r>
    </w:p>
    <w:p w:rsidR="00FA0B2E" w:rsidRPr="00027842" w:rsidP="00033CDD" w14:paraId="0C1634F0" w14:textId="77777777">
      <w:pPr>
        <w:pStyle w:val="ListParagraph"/>
        <w:ind w:left="1980" w:hanging="540"/>
      </w:pPr>
    </w:p>
    <w:p w:rsidR="005D3B33" w:rsidRPr="00027842" w:rsidP="00033CDD" w14:paraId="30A6B3DA" w14:textId="12FA4172">
      <w:pPr>
        <w:pStyle w:val="ListParagraph"/>
        <w:numPr>
          <w:ilvl w:val="0"/>
          <w:numId w:val="52"/>
        </w:numPr>
        <w:ind w:left="1980" w:hanging="540"/>
      </w:pPr>
      <w:r w:rsidRPr="00027842">
        <w:t xml:space="preserve">OCC does not oppose </w:t>
      </w:r>
      <w:r w:rsidRPr="00027842" w:rsidR="00FE081E">
        <w:t>t</w:t>
      </w:r>
      <w:r w:rsidRPr="00027842">
        <w:t xml:space="preserve">he PUCO Staff </w:t>
      </w:r>
      <w:r w:rsidRPr="00027842" w:rsidR="00D548AB">
        <w:t xml:space="preserve">adjusting the </w:t>
      </w:r>
      <w:r w:rsidRPr="00027842">
        <w:t xml:space="preserve">rate case expense </w:t>
      </w:r>
      <w:r w:rsidRPr="00027842" w:rsidR="00D548AB">
        <w:t xml:space="preserve">to </w:t>
      </w:r>
      <w:r w:rsidRPr="00027842">
        <w:t>$50,067</w:t>
      </w:r>
      <w:r w:rsidR="00027842">
        <w:t xml:space="preserve"> </w:t>
      </w:r>
      <w:r w:rsidRPr="00027842">
        <w:t xml:space="preserve">by increasing amortization to 5 years </w:t>
      </w:r>
      <w:r w:rsidRPr="00027842" w:rsidR="00D548AB">
        <w:t xml:space="preserve">(from 3 years proposed by Duke) </w:t>
      </w:r>
      <w:r w:rsidRPr="00027842">
        <w:t>and reflecting actual miscellaneous expenses.</w:t>
      </w:r>
      <w:r>
        <w:rPr>
          <w:rStyle w:val="FootnoteReference"/>
        </w:rPr>
        <w:footnoteReference w:id="22"/>
      </w:r>
    </w:p>
    <w:p w:rsidR="00CB10D4" w:rsidRPr="00027842" w:rsidP="00033CDD" w14:paraId="3E46CC8A" w14:textId="77777777"/>
    <w:p w:rsidR="005D3B33" w:rsidRPr="00027842" w:rsidP="00033CDD" w14:paraId="064E8BE3" w14:textId="03DBF028">
      <w:pPr>
        <w:pStyle w:val="ListParagraph"/>
        <w:numPr>
          <w:ilvl w:val="0"/>
          <w:numId w:val="52"/>
        </w:numPr>
        <w:ind w:left="1980" w:hanging="540"/>
      </w:pPr>
      <w:r w:rsidRPr="00027842">
        <w:t>OCC does not oppose the PUCO Staff reducing depreciation expense by $2,258,480 to reflect</w:t>
      </w:r>
      <w:r w:rsidRPr="00027842" w:rsidR="00CB10D4">
        <w:t xml:space="preserve"> the PUCO</w:t>
      </w:r>
      <w:r w:rsidRPr="00027842">
        <w:t xml:space="preserve"> Staff’s recommended depreciable plant-in-service.</w:t>
      </w:r>
      <w:r>
        <w:rPr>
          <w:rStyle w:val="FootnoteReference"/>
        </w:rPr>
        <w:footnoteReference w:id="23"/>
      </w:r>
    </w:p>
    <w:p w:rsidR="00FA0B2E" w:rsidRPr="00027842" w:rsidP="00033CDD" w14:paraId="4E0F56A2" w14:textId="77777777">
      <w:pPr>
        <w:pStyle w:val="ListParagraph"/>
        <w:ind w:left="1980" w:hanging="540"/>
      </w:pPr>
    </w:p>
    <w:p w:rsidR="00FA0B2E" w:rsidRPr="00027842" w:rsidP="00D7751E" w14:paraId="304A514F" w14:textId="2CEACAED">
      <w:pPr>
        <w:pStyle w:val="ListParagraph"/>
        <w:numPr>
          <w:ilvl w:val="0"/>
          <w:numId w:val="52"/>
        </w:numPr>
        <w:ind w:left="1980" w:hanging="540"/>
      </w:pPr>
      <w:r w:rsidRPr="00027842">
        <w:t xml:space="preserve">OCC does not oppose the PUCO Staff increasing operating expenses by $367,427 </w:t>
      </w:r>
      <w:r w:rsidRPr="00027842" w:rsidR="00AC0098">
        <w:t xml:space="preserve">(after removing Duke’s requested amount of $417,975) </w:t>
      </w:r>
      <w:r w:rsidRPr="00027842">
        <w:t>to remove customer deposit interest expenses on balances held less than six months.</w:t>
      </w:r>
      <w:r>
        <w:rPr>
          <w:rStyle w:val="FootnoteReference"/>
        </w:rPr>
        <w:footnoteReference w:id="24"/>
      </w:r>
    </w:p>
    <w:p w:rsidR="00FA0B2E" w:rsidRPr="00027842" w:rsidP="00033CDD" w14:paraId="65BD754F" w14:textId="77777777">
      <w:pPr>
        <w:pStyle w:val="ListParagraph"/>
        <w:ind w:left="1980" w:hanging="540"/>
      </w:pPr>
    </w:p>
    <w:p w:rsidR="005D3B33" w:rsidRPr="00027842" w:rsidP="00033CDD" w14:paraId="120D5129" w14:textId="2CCE7A2E">
      <w:pPr>
        <w:pStyle w:val="ListParagraph"/>
        <w:numPr>
          <w:ilvl w:val="0"/>
          <w:numId w:val="52"/>
        </w:numPr>
        <w:ind w:left="1980" w:hanging="540"/>
      </w:pPr>
      <w:r w:rsidRPr="00027842">
        <w:t>OCC does not oppose</w:t>
      </w:r>
      <w:r w:rsidRPr="00027842" w:rsidR="00FA0B2E">
        <w:t xml:space="preserve"> the</w:t>
      </w:r>
      <w:r w:rsidRPr="00027842">
        <w:t xml:space="preserve"> PUCO Staff reducing tax expense by $2,115,719 based on latest available rates and valuation percentages.</w:t>
      </w:r>
      <w:r>
        <w:rPr>
          <w:rStyle w:val="FootnoteReference"/>
        </w:rPr>
        <w:footnoteReference w:id="25"/>
      </w:r>
    </w:p>
    <w:p w:rsidR="00FA0B2E" w:rsidRPr="00027842" w:rsidP="00033CDD" w14:paraId="60A25AC5" w14:textId="77777777">
      <w:pPr>
        <w:pStyle w:val="ListParagraph"/>
        <w:ind w:left="1980" w:hanging="540"/>
      </w:pPr>
    </w:p>
    <w:p w:rsidR="005D3B33" w:rsidRPr="00027842" w:rsidP="00033CDD" w14:paraId="23EF5F5F" w14:textId="6CF4542C">
      <w:pPr>
        <w:pStyle w:val="ListParagraph"/>
        <w:numPr>
          <w:ilvl w:val="0"/>
          <w:numId w:val="52"/>
        </w:numPr>
        <w:ind w:left="1980" w:hanging="540"/>
      </w:pPr>
      <w:r w:rsidRPr="00027842">
        <w:t xml:space="preserve">OCC does not oppose the PUCO Staff accepting </w:t>
      </w:r>
      <w:r w:rsidRPr="00027842" w:rsidR="00FA0B2E">
        <w:t>Duke</w:t>
      </w:r>
      <w:r w:rsidRPr="00027842">
        <w:t>’s calculation of interest expense for federal income tax purposes, reducing operating income by $1,468,821.</w:t>
      </w:r>
      <w:r>
        <w:rPr>
          <w:rStyle w:val="FootnoteReference"/>
        </w:rPr>
        <w:footnoteReference w:id="26"/>
      </w:r>
    </w:p>
    <w:p w:rsidR="00FA0B2E" w:rsidRPr="00027842" w:rsidP="00033CDD" w14:paraId="3DB1B22E" w14:textId="77777777"/>
    <w:p w:rsidR="005D3B33" w:rsidRPr="00027842" w:rsidP="00033CDD" w14:paraId="312A924F" w14:textId="2DA59BCF">
      <w:pPr>
        <w:pStyle w:val="ListParagraph"/>
        <w:numPr>
          <w:ilvl w:val="0"/>
          <w:numId w:val="52"/>
        </w:numPr>
        <w:ind w:left="1980" w:hanging="540"/>
      </w:pPr>
      <w:r w:rsidRPr="00027842">
        <w:t>OCC does not oppose the PUCO Staff</w:t>
      </w:r>
      <w:r w:rsidRPr="00027842" w:rsidR="00CB10D4">
        <w:t>’s</w:t>
      </w:r>
      <w:r w:rsidRPr="00027842">
        <w:t xml:space="preserve"> acceptance of </w:t>
      </w:r>
      <w:r w:rsidRPr="00027842" w:rsidR="003632B6">
        <w:t>Duke</w:t>
      </w:r>
      <w:r w:rsidRPr="00027842">
        <w:t>’s flow through operating income increase of $111,761 related to Ohio Excise Tax Rider.</w:t>
      </w:r>
      <w:r>
        <w:rPr>
          <w:rStyle w:val="FootnoteReference"/>
        </w:rPr>
        <w:footnoteReference w:id="27"/>
      </w:r>
    </w:p>
    <w:p w:rsidR="00FA0B2E" w:rsidRPr="00027842" w:rsidP="00033CDD" w14:paraId="383F58B3" w14:textId="77777777">
      <w:pPr>
        <w:pStyle w:val="ListParagraph"/>
        <w:ind w:left="1980" w:hanging="540"/>
      </w:pPr>
    </w:p>
    <w:p w:rsidR="005D3B33" w:rsidRPr="00027842" w:rsidP="00033CDD" w14:paraId="493BAF86" w14:textId="4BBC0372">
      <w:pPr>
        <w:pStyle w:val="ListParagraph"/>
        <w:numPr>
          <w:ilvl w:val="0"/>
          <w:numId w:val="52"/>
        </w:numPr>
        <w:ind w:left="1980" w:hanging="540"/>
      </w:pPr>
      <w:r w:rsidRPr="00027842">
        <w:t xml:space="preserve">OCC does not oppose </w:t>
      </w:r>
      <w:r w:rsidRPr="00027842" w:rsidR="003632B6">
        <w:t xml:space="preserve">the </w:t>
      </w:r>
      <w:r w:rsidRPr="00027842">
        <w:t>PUCO Staff</w:t>
      </w:r>
      <w:r w:rsidRPr="00027842" w:rsidR="003632B6">
        <w:t>’s</w:t>
      </w:r>
      <w:r w:rsidRPr="00027842">
        <w:t xml:space="preserve"> and </w:t>
      </w:r>
      <w:r w:rsidRPr="00027842" w:rsidR="003632B6">
        <w:t>Duke’s</w:t>
      </w:r>
      <w:r w:rsidRPr="00027842">
        <w:t xml:space="preserve"> reduc</w:t>
      </w:r>
      <w:r w:rsidRPr="00027842" w:rsidR="003632B6">
        <w:t>tion of</w:t>
      </w:r>
      <w:r w:rsidRPr="00027842">
        <w:t xml:space="preserve"> test year expenses by $957,943 by eliminating non-jurisdictional operating expenses.</w:t>
      </w:r>
      <w:r>
        <w:rPr>
          <w:rStyle w:val="FootnoteReference"/>
        </w:rPr>
        <w:footnoteReference w:id="28"/>
      </w:r>
    </w:p>
    <w:p w:rsidR="00FA0B2E" w:rsidRPr="00027842" w:rsidP="00033CDD" w14:paraId="65C17CA7" w14:textId="77777777"/>
    <w:p w:rsidR="005D3B33" w:rsidRPr="00027842" w:rsidP="00033CDD" w14:paraId="11C984D2" w14:textId="4CC0AD13">
      <w:pPr>
        <w:pStyle w:val="ListParagraph"/>
        <w:numPr>
          <w:ilvl w:val="0"/>
          <w:numId w:val="52"/>
        </w:numPr>
        <w:ind w:left="1980" w:hanging="540"/>
      </w:pPr>
      <w:r w:rsidRPr="00027842">
        <w:t>OCC does not oppose the PUCO Staff</w:t>
      </w:r>
      <w:r w:rsidRPr="00027842" w:rsidR="003632B6">
        <w:t>’s</w:t>
      </w:r>
      <w:r w:rsidRPr="00027842">
        <w:t xml:space="preserve"> increase</w:t>
      </w:r>
      <w:r w:rsidRPr="00027842" w:rsidR="003632B6">
        <w:t xml:space="preserve"> of</w:t>
      </w:r>
      <w:r w:rsidRPr="00027842">
        <w:t xml:space="preserve"> test year expenses by $232,283 by annualizing PUCO/OCC assessments to latest level.</w:t>
      </w:r>
      <w:r>
        <w:rPr>
          <w:rStyle w:val="FootnoteReference"/>
        </w:rPr>
        <w:footnoteReference w:id="29"/>
      </w:r>
    </w:p>
    <w:p w:rsidR="00FA0B2E" w:rsidRPr="00027842" w:rsidP="00033CDD" w14:paraId="3499D49A" w14:textId="77777777">
      <w:pPr>
        <w:pStyle w:val="ListParagraph"/>
        <w:ind w:left="1980" w:hanging="540"/>
      </w:pPr>
    </w:p>
    <w:p w:rsidR="005D3B33" w:rsidRPr="00027842" w:rsidP="00033CDD" w14:paraId="7AF9174B" w14:textId="5D1C7F98">
      <w:pPr>
        <w:pStyle w:val="ListParagraph"/>
        <w:numPr>
          <w:ilvl w:val="0"/>
          <w:numId w:val="52"/>
        </w:numPr>
        <w:ind w:left="1980" w:hanging="540"/>
      </w:pPr>
      <w:bookmarkStart w:id="12" w:name="_Hlk105422658"/>
      <w:r w:rsidRPr="00027842">
        <w:t xml:space="preserve">OCC does not oppose </w:t>
      </w:r>
      <w:bookmarkEnd w:id="12"/>
      <w:r w:rsidRPr="00027842">
        <w:t xml:space="preserve">the PUCO Staff increasing operating income by $164,551 by adjusting test year uncollectible accounts expense to reflect </w:t>
      </w:r>
      <w:r w:rsidRPr="00027842" w:rsidR="003632B6">
        <w:t xml:space="preserve">the PUCO </w:t>
      </w:r>
      <w:r w:rsidRPr="00027842">
        <w:t>Staff’s annualized revenue.</w:t>
      </w:r>
      <w:r>
        <w:rPr>
          <w:rStyle w:val="FootnoteReference"/>
        </w:rPr>
        <w:footnoteReference w:id="30"/>
      </w:r>
    </w:p>
    <w:p w:rsidR="00460A57" w:rsidRPr="00027842" w:rsidP="000C26B9" w14:paraId="2957DB4A" w14:textId="77777777"/>
    <w:p w:rsidR="005D3B33" w:rsidRPr="00027842" w:rsidP="00033CDD" w14:paraId="40FFA27D" w14:textId="4A830EB0">
      <w:pPr>
        <w:pStyle w:val="ListParagraph"/>
        <w:numPr>
          <w:ilvl w:val="0"/>
          <w:numId w:val="52"/>
        </w:numPr>
        <w:ind w:left="1980" w:hanging="540"/>
      </w:pPr>
      <w:r w:rsidRPr="00027842">
        <w:t xml:space="preserve">OCC does not oppose the PUCO Staff and </w:t>
      </w:r>
      <w:r w:rsidRPr="00027842" w:rsidR="003632B6">
        <w:t>Duke</w:t>
      </w:r>
      <w:r w:rsidRPr="00027842">
        <w:t xml:space="preserve"> reflecting annualized level of CAT expense, increasing test year expenses by $182,170.</w:t>
      </w:r>
      <w:r>
        <w:rPr>
          <w:rStyle w:val="FootnoteReference"/>
        </w:rPr>
        <w:footnoteReference w:id="31"/>
      </w:r>
    </w:p>
    <w:p w:rsidR="003632B6" w:rsidRPr="00027842" w:rsidP="00033CDD" w14:paraId="7F564C2B" w14:textId="77777777">
      <w:pPr>
        <w:pStyle w:val="ListParagraph"/>
        <w:ind w:left="1980" w:hanging="540"/>
      </w:pPr>
    </w:p>
    <w:p w:rsidR="003632B6" w:rsidRPr="00027842" w:rsidP="00033CDD" w14:paraId="6A5C0484" w14:textId="32309703">
      <w:pPr>
        <w:pStyle w:val="ListParagraph"/>
        <w:numPr>
          <w:ilvl w:val="0"/>
          <w:numId w:val="52"/>
        </w:numPr>
        <w:ind w:left="1980" w:hanging="540"/>
      </w:pPr>
      <w:r w:rsidRPr="00027842">
        <w:t>OCC does not oppose the PUCO Staff decreasing annualized wages by $480,765</w:t>
      </w:r>
      <w:r w:rsidRPr="00027842" w:rsidR="00C67040">
        <w:t>. The PUCO Staff adjusted test year operating income by calculating the latest 12 months of salaries and wages using April 2021 through March 2022 data for labor and unproductive labor.</w:t>
      </w:r>
      <w:r w:rsidRPr="00027842">
        <w:t xml:space="preserve"> PUCO</w:t>
      </w:r>
      <w:r w:rsidRPr="00027842" w:rsidR="00C67040">
        <w:t xml:space="preserve"> Staff calculated a three-year average for premium pay and overtime pay.</w:t>
      </w:r>
      <w:r>
        <w:rPr>
          <w:rStyle w:val="FootnoteReference"/>
        </w:rPr>
        <w:footnoteReference w:id="32"/>
      </w:r>
    </w:p>
    <w:p w:rsidR="003632B6" w:rsidRPr="00027842" w:rsidP="00033CDD" w14:paraId="6B6705F2" w14:textId="77777777">
      <w:pPr>
        <w:pStyle w:val="ListParagraph"/>
        <w:ind w:left="1980" w:hanging="540"/>
      </w:pPr>
    </w:p>
    <w:p w:rsidR="00A86E79" w:rsidRPr="00027842" w:rsidP="00033CDD" w14:paraId="5D26D1DF" w14:textId="4FA298E7">
      <w:pPr>
        <w:pStyle w:val="ListParagraph"/>
        <w:numPr>
          <w:ilvl w:val="0"/>
          <w:numId w:val="52"/>
        </w:numPr>
        <w:ind w:left="1980" w:hanging="540"/>
      </w:pPr>
      <w:r w:rsidRPr="00027842">
        <w:t>OCC does not oppose the PUCO Staff</w:t>
      </w:r>
      <w:r w:rsidRPr="00027842" w:rsidR="003632B6">
        <w:t>’s</w:t>
      </w:r>
      <w:r w:rsidRPr="00027842">
        <w:t xml:space="preserve"> increas</w:t>
      </w:r>
      <w:r w:rsidRPr="00027842" w:rsidR="003632B6">
        <w:t>e in</w:t>
      </w:r>
      <w:r w:rsidRPr="00027842">
        <w:t xml:space="preserve"> test year pension and benefits by $856,674, including the removal of SERP and other services for executives.</w:t>
      </w:r>
      <w:r>
        <w:rPr>
          <w:rStyle w:val="FootnoteReference"/>
        </w:rPr>
        <w:footnoteReference w:id="33"/>
      </w:r>
    </w:p>
    <w:p w:rsidR="00A86E79" w:rsidRPr="00027842" w:rsidP="001D724A" w14:paraId="2BD0A56B" w14:textId="77777777"/>
    <w:p w:rsidR="005D3B33" w:rsidRPr="00027842" w:rsidP="00033CDD" w14:paraId="3DADF2D2" w14:textId="35BE4D6D">
      <w:pPr>
        <w:pStyle w:val="ListParagraph"/>
        <w:numPr>
          <w:ilvl w:val="0"/>
          <w:numId w:val="52"/>
        </w:numPr>
        <w:ind w:left="1980" w:hanging="540"/>
      </w:pPr>
      <w:r w:rsidRPr="00027842">
        <w:t xml:space="preserve">OCC does not oppose the PUCO Staff and </w:t>
      </w:r>
      <w:r w:rsidRPr="00027842" w:rsidR="00A86E79">
        <w:t>Duke</w:t>
      </w:r>
      <w:r w:rsidRPr="00027842">
        <w:t xml:space="preserve"> removing $1,432,916 related to elimination of the E</w:t>
      </w:r>
      <w:r w:rsidRPr="00027842" w:rsidR="000457B3">
        <w:t>lectric Service Reliability</w:t>
      </w:r>
      <w:r w:rsidRPr="00027842">
        <w:t xml:space="preserve"> </w:t>
      </w:r>
      <w:r w:rsidRPr="00027842" w:rsidR="000457B3">
        <w:t>R</w:t>
      </w:r>
      <w:r w:rsidRPr="00027842">
        <w:t>ider</w:t>
      </w:r>
      <w:r w:rsidRPr="00027842" w:rsidR="000457B3">
        <w:t xml:space="preserve"> (“ESRR”)</w:t>
      </w:r>
      <w:r w:rsidRPr="00027842">
        <w:t xml:space="preserve"> revenue and expenses.</w:t>
      </w:r>
      <w:r>
        <w:rPr>
          <w:rStyle w:val="FootnoteReference"/>
        </w:rPr>
        <w:footnoteReference w:id="34"/>
      </w:r>
    </w:p>
    <w:p w:rsidR="00A86E79" w:rsidRPr="00027842" w:rsidP="00033CDD" w14:paraId="41392316" w14:textId="77777777">
      <w:pPr>
        <w:pStyle w:val="ListParagraph"/>
        <w:ind w:left="1980" w:hanging="540"/>
      </w:pPr>
    </w:p>
    <w:p w:rsidR="005D3B33" w:rsidRPr="00027842" w:rsidP="00033CDD" w14:paraId="5549439F" w14:textId="2DAEE13D">
      <w:pPr>
        <w:pStyle w:val="ListParagraph"/>
        <w:numPr>
          <w:ilvl w:val="0"/>
          <w:numId w:val="52"/>
        </w:numPr>
        <w:ind w:left="1980" w:hanging="540"/>
      </w:pPr>
      <w:bookmarkStart w:id="13" w:name="_Hlk105488732"/>
      <w:r w:rsidRPr="00027842">
        <w:t xml:space="preserve">OCC does not oppose </w:t>
      </w:r>
      <w:bookmarkEnd w:id="13"/>
      <w:r w:rsidRPr="00027842" w:rsidR="000457B3">
        <w:t xml:space="preserve">the </w:t>
      </w:r>
      <w:r w:rsidRPr="00027842">
        <w:t xml:space="preserve">PUCO Staff and </w:t>
      </w:r>
      <w:r w:rsidRPr="00027842" w:rsidR="00A86E79">
        <w:t>Duke</w:t>
      </w:r>
      <w:r w:rsidRPr="00027842">
        <w:t xml:space="preserve"> removing $9,147 of customer connect expenses.</w:t>
      </w:r>
    </w:p>
    <w:p w:rsidR="00A86E79" w:rsidRPr="00027842" w:rsidP="00934FB3" w14:paraId="56EDA0D2" w14:textId="77777777"/>
    <w:p w:rsidR="009E6306" w:rsidRPr="00027842" w:rsidP="00566F09" w14:paraId="47C45440" w14:textId="6FD0AF4E">
      <w:pPr>
        <w:pStyle w:val="ListParagraph"/>
        <w:numPr>
          <w:ilvl w:val="0"/>
          <w:numId w:val="52"/>
        </w:numPr>
        <w:ind w:left="1980" w:hanging="540"/>
      </w:pPr>
      <w:r w:rsidRPr="00027842">
        <w:t xml:space="preserve">OCC does not oppose </w:t>
      </w:r>
      <w:r w:rsidRPr="00027842" w:rsidR="00A86E79">
        <w:t>t</w:t>
      </w:r>
      <w:r w:rsidRPr="00027842">
        <w:t>he PUCO Staff removing $34,469 of miscellaneous expenses associated with dues to inappropriate organizations.</w:t>
      </w:r>
      <w:bookmarkStart w:id="14" w:name="_Hlk101591583"/>
      <w:bookmarkStart w:id="15" w:name="_Hlk101593013"/>
    </w:p>
    <w:p w:rsidR="00566F09" w:rsidRPr="00027842" w:rsidP="00566F09" w14:paraId="0891F86C" w14:textId="77777777"/>
    <w:p w:rsidR="00E4031B" w:rsidRPr="00027842" w:rsidP="00B559EF" w14:paraId="52405723" w14:textId="34A5DBC6">
      <w:pPr>
        <w:pStyle w:val="Heading2"/>
        <w:rPr>
          <w:rFonts w:ascii="Times New Roman" w:hAnsi="Times New Roman"/>
          <w:highlight w:val="yellow"/>
        </w:rPr>
      </w:pPr>
      <w:bookmarkStart w:id="16" w:name="_Toc106717609"/>
      <w:r w:rsidRPr="00027842">
        <w:rPr>
          <w:rFonts w:ascii="Times New Roman" w:hAnsi="Times New Roman"/>
        </w:rPr>
        <w:t>C.</w:t>
      </w:r>
      <w:r w:rsidRPr="00027842">
        <w:rPr>
          <w:rFonts w:ascii="Times New Roman" w:hAnsi="Times New Roman"/>
        </w:rPr>
        <w:tab/>
      </w:r>
      <w:r w:rsidRPr="00027842" w:rsidR="00C53E10">
        <w:rPr>
          <w:rFonts w:ascii="Times New Roman" w:hAnsi="Times New Roman"/>
        </w:rPr>
        <w:t>Rates and Tariffs</w:t>
      </w:r>
      <w:bookmarkEnd w:id="16"/>
    </w:p>
    <w:p w:rsidR="009F1C1A" w:rsidRPr="00027842" w:rsidP="00033CDD" w14:paraId="2BF4B71A" w14:textId="0EC80676">
      <w:pPr>
        <w:pStyle w:val="ListParagraph"/>
        <w:numPr>
          <w:ilvl w:val="0"/>
          <w:numId w:val="52"/>
        </w:numPr>
        <w:ind w:left="1980" w:hanging="540"/>
        <w:rPr>
          <w:rFonts w:eastAsiaTheme="minorHAnsi"/>
          <w:lang w:bidi="ar-SA"/>
        </w:rPr>
      </w:pPr>
      <w:r w:rsidRPr="00027842">
        <w:rPr>
          <w:rFonts w:eastAsiaTheme="minorHAnsi"/>
          <w:lang w:bidi="ar-SA"/>
        </w:rPr>
        <w:t xml:space="preserve">The Staff Report correctly recommended </w:t>
      </w:r>
      <w:r w:rsidRPr="00027842">
        <w:rPr>
          <w:rFonts w:eastAsiaTheme="minorHAnsi"/>
          <w:lang w:bidi="ar-SA"/>
        </w:rPr>
        <w:t>reduc</w:t>
      </w:r>
      <w:r w:rsidRPr="00027842">
        <w:rPr>
          <w:rFonts w:eastAsiaTheme="minorHAnsi"/>
          <w:lang w:bidi="ar-SA"/>
        </w:rPr>
        <w:t xml:space="preserve">ing </w:t>
      </w:r>
      <w:r w:rsidRPr="00027842">
        <w:rPr>
          <w:rFonts w:eastAsiaTheme="minorHAnsi"/>
          <w:lang w:bidi="ar-SA"/>
        </w:rPr>
        <w:t xml:space="preserve">the customer charge for </w:t>
      </w:r>
      <w:r w:rsidRPr="00027842" w:rsidR="00E965C6">
        <w:rPr>
          <w:rFonts w:eastAsiaTheme="minorHAnsi"/>
          <w:lang w:bidi="ar-SA"/>
        </w:rPr>
        <w:t xml:space="preserve">the </w:t>
      </w:r>
      <w:r w:rsidRPr="00027842">
        <w:rPr>
          <w:rFonts w:eastAsiaTheme="minorHAnsi"/>
          <w:lang w:bidi="ar-SA"/>
        </w:rPr>
        <w:t>proposed</w:t>
      </w:r>
      <w:r w:rsidRPr="00027842" w:rsidR="00E965C6">
        <w:rPr>
          <w:rFonts w:eastAsiaTheme="minorHAnsi"/>
          <w:lang w:bidi="ar-SA"/>
        </w:rPr>
        <w:t xml:space="preserve"> Optional Time of Day Rate with Critical Peak Pricing for residential service (“Rate</w:t>
      </w:r>
      <w:r w:rsidRPr="00027842">
        <w:rPr>
          <w:rFonts w:eastAsiaTheme="minorHAnsi"/>
          <w:lang w:bidi="ar-SA"/>
        </w:rPr>
        <w:t xml:space="preserve"> TD-CPP</w:t>
      </w:r>
      <w:r w:rsidRPr="00027842" w:rsidR="00E965C6">
        <w:rPr>
          <w:rFonts w:eastAsiaTheme="minorHAnsi"/>
          <w:lang w:bidi="ar-SA"/>
        </w:rPr>
        <w:t>”)</w:t>
      </w:r>
      <w:r w:rsidRPr="00027842">
        <w:rPr>
          <w:rFonts w:eastAsiaTheme="minorHAnsi"/>
          <w:lang w:bidi="ar-SA"/>
        </w:rPr>
        <w:t xml:space="preserve"> to be consistent with the customer charge under Rate RS. OCC further supports the elimination of the provision regarding repayment of savings if customers do not remain on TD-CPP for the full term.</w:t>
      </w:r>
      <w:r>
        <w:rPr>
          <w:rStyle w:val="FootnoteReference"/>
          <w:rFonts w:eastAsiaTheme="minorHAnsi"/>
          <w:lang w:bidi="ar-SA"/>
        </w:rPr>
        <w:footnoteReference w:id="35"/>
      </w:r>
      <w:r w:rsidRPr="00027842">
        <w:rPr>
          <w:rFonts w:eastAsiaTheme="minorHAnsi"/>
          <w:lang w:bidi="ar-SA"/>
        </w:rPr>
        <w:t xml:space="preserve"> </w:t>
      </w:r>
    </w:p>
    <w:p w:rsidR="00F26612" w:rsidRPr="00027842" w:rsidP="00033CDD" w14:paraId="2AAC869B" w14:textId="77777777">
      <w:pPr>
        <w:pStyle w:val="ListParagraph"/>
        <w:ind w:left="1980" w:hanging="540"/>
        <w:rPr>
          <w:rFonts w:eastAsiaTheme="minorHAnsi"/>
          <w:lang w:bidi="ar-SA"/>
        </w:rPr>
      </w:pPr>
    </w:p>
    <w:p w:rsidR="009F1C1A" w:rsidRPr="00027842" w:rsidP="00B5613D" w14:paraId="662127A0" w14:textId="6DD380F6">
      <w:pPr>
        <w:pStyle w:val="ListParagraph"/>
        <w:numPr>
          <w:ilvl w:val="0"/>
          <w:numId w:val="52"/>
        </w:numPr>
        <w:ind w:left="1980" w:hanging="540"/>
        <w:rPr>
          <w:rFonts w:eastAsiaTheme="minorHAnsi"/>
          <w:lang w:bidi="ar-SA"/>
        </w:rPr>
      </w:pPr>
      <w:r w:rsidRPr="00027842">
        <w:rPr>
          <w:rFonts w:eastAsiaTheme="minorHAnsi"/>
          <w:lang w:bidi="ar-SA"/>
        </w:rPr>
        <w:t xml:space="preserve">The Staff Report correctly recommended to </w:t>
      </w:r>
      <w:r w:rsidRPr="00027842">
        <w:rPr>
          <w:rFonts w:eastAsiaTheme="minorHAnsi"/>
          <w:lang w:bidi="ar-SA"/>
        </w:rPr>
        <w:t>maintain the current $15 field collection charge.</w:t>
      </w:r>
      <w:r>
        <w:rPr>
          <w:rStyle w:val="FootnoteReference"/>
          <w:rFonts w:eastAsiaTheme="minorHAnsi"/>
          <w:lang w:bidi="ar-SA"/>
        </w:rPr>
        <w:footnoteReference w:id="36"/>
      </w:r>
    </w:p>
    <w:p w:rsidR="00B5613D" w:rsidRPr="00027842" w:rsidP="00B5613D" w14:paraId="660742BE" w14:textId="77777777">
      <w:pPr>
        <w:rPr>
          <w:rFonts w:eastAsiaTheme="minorHAnsi"/>
          <w:lang w:bidi="ar-SA"/>
        </w:rPr>
      </w:pPr>
    </w:p>
    <w:p w:rsidR="00DE41EA" w:rsidRPr="00027842" w:rsidP="00B5613D" w14:paraId="19C4B5E5" w14:textId="39A4704F">
      <w:pPr>
        <w:pStyle w:val="ListParagraph"/>
        <w:numPr>
          <w:ilvl w:val="0"/>
          <w:numId w:val="52"/>
        </w:numPr>
        <w:ind w:left="1980" w:hanging="540"/>
        <w:rPr>
          <w:rFonts w:eastAsiaTheme="minorHAnsi"/>
          <w:lang w:bidi="ar-SA"/>
        </w:rPr>
      </w:pPr>
      <w:r w:rsidRPr="00027842">
        <w:rPr>
          <w:rFonts w:eastAsiaTheme="minorHAnsi"/>
          <w:lang w:bidi="ar-SA"/>
        </w:rPr>
        <w:t xml:space="preserve">The Staff Report correctly recommended to </w:t>
      </w:r>
      <w:r w:rsidRPr="00027842" w:rsidR="009F1C1A">
        <w:rPr>
          <w:rFonts w:eastAsiaTheme="minorHAnsi"/>
          <w:lang w:bidi="ar-SA"/>
        </w:rPr>
        <w:t>moderate the magnitude of the proposed increase in the Residential Service Low Income (</w:t>
      </w:r>
      <w:r w:rsidRPr="00027842" w:rsidR="00F26612">
        <w:rPr>
          <w:rFonts w:eastAsiaTheme="minorHAnsi"/>
          <w:lang w:bidi="ar-SA"/>
        </w:rPr>
        <w:t>“</w:t>
      </w:r>
      <w:r w:rsidRPr="00027842" w:rsidR="009F1C1A">
        <w:rPr>
          <w:rFonts w:eastAsiaTheme="minorHAnsi"/>
          <w:lang w:bidi="ar-SA"/>
        </w:rPr>
        <w:t>RSLI</w:t>
      </w:r>
      <w:r w:rsidRPr="00027842" w:rsidR="00F26612">
        <w:rPr>
          <w:rFonts w:eastAsiaTheme="minorHAnsi"/>
          <w:lang w:bidi="ar-SA"/>
        </w:rPr>
        <w:t>”</w:t>
      </w:r>
      <w:r w:rsidRPr="00027842" w:rsidR="009F1C1A">
        <w:rPr>
          <w:rFonts w:eastAsiaTheme="minorHAnsi"/>
          <w:lang w:bidi="ar-SA"/>
        </w:rPr>
        <w:t>) customer charge to $2.44.</w:t>
      </w:r>
      <w:r>
        <w:rPr>
          <w:rStyle w:val="FootnoteReference"/>
          <w:rFonts w:eastAsiaTheme="minorHAnsi"/>
          <w:lang w:bidi="ar-SA"/>
        </w:rPr>
        <w:footnoteReference w:id="37"/>
      </w:r>
      <w:r w:rsidRPr="00027842" w:rsidR="009F1C1A">
        <w:rPr>
          <w:rFonts w:eastAsiaTheme="minorHAnsi"/>
          <w:lang w:bidi="ar-SA"/>
        </w:rPr>
        <w:t xml:space="preserve"> </w:t>
      </w:r>
      <w:bookmarkEnd w:id="14"/>
    </w:p>
    <w:p w:rsidR="00B5613D" w:rsidRPr="00027842" w:rsidP="00B5613D" w14:paraId="74755C0A" w14:textId="77777777">
      <w:pPr>
        <w:rPr>
          <w:rFonts w:eastAsiaTheme="minorHAnsi"/>
          <w:lang w:bidi="ar-SA"/>
        </w:rPr>
      </w:pPr>
    </w:p>
    <w:p w:rsidR="00142C9C" w:rsidRPr="00027842" w:rsidP="00B559EF" w14:paraId="58F99C00" w14:textId="605DE85A">
      <w:pPr>
        <w:pStyle w:val="Heading2"/>
        <w:rPr>
          <w:rFonts w:ascii="Times New Roman" w:hAnsi="Times New Roman"/>
        </w:rPr>
      </w:pPr>
      <w:bookmarkStart w:id="17" w:name="_Toc106717610"/>
      <w:r w:rsidRPr="00027842">
        <w:rPr>
          <w:rFonts w:ascii="Times New Roman" w:hAnsi="Times New Roman"/>
        </w:rPr>
        <w:t>D.</w:t>
      </w:r>
      <w:r w:rsidRPr="00027842">
        <w:rPr>
          <w:rFonts w:ascii="Times New Roman" w:hAnsi="Times New Roman"/>
        </w:rPr>
        <w:tab/>
      </w:r>
      <w:r w:rsidRPr="00027842" w:rsidR="00DE41EA">
        <w:rPr>
          <w:rFonts w:ascii="Times New Roman" w:hAnsi="Times New Roman"/>
        </w:rPr>
        <w:t>R</w:t>
      </w:r>
      <w:r w:rsidRPr="00027842" w:rsidR="00DA2F34">
        <w:rPr>
          <w:rFonts w:ascii="Times New Roman" w:hAnsi="Times New Roman"/>
        </w:rPr>
        <w:t xml:space="preserve">iders, </w:t>
      </w:r>
      <w:r w:rsidRPr="00027842" w:rsidR="00C53E10">
        <w:rPr>
          <w:rFonts w:ascii="Times New Roman" w:hAnsi="Times New Roman"/>
        </w:rPr>
        <w:t>Deferral Request</w:t>
      </w:r>
      <w:r w:rsidRPr="00027842" w:rsidR="00DA2F34">
        <w:rPr>
          <w:rFonts w:ascii="Times New Roman" w:hAnsi="Times New Roman"/>
        </w:rPr>
        <w:t>,</w:t>
      </w:r>
      <w:r w:rsidRPr="00027842" w:rsidR="00C53E10">
        <w:rPr>
          <w:rFonts w:ascii="Times New Roman" w:hAnsi="Times New Roman"/>
        </w:rPr>
        <w:t xml:space="preserve"> and Other Matters</w:t>
      </w:r>
      <w:bookmarkEnd w:id="17"/>
    </w:p>
    <w:p w:rsidR="00F26612" w:rsidRPr="00027842" w:rsidP="00033CDD" w14:paraId="59B71F82" w14:textId="3B02797C">
      <w:pPr>
        <w:pStyle w:val="ListParagraph"/>
        <w:numPr>
          <w:ilvl w:val="0"/>
          <w:numId w:val="52"/>
        </w:numPr>
        <w:ind w:left="1980" w:hanging="540"/>
        <w:rPr>
          <w:rFonts w:eastAsiaTheme="minorHAnsi"/>
          <w:lang w:bidi="ar-SA"/>
        </w:rPr>
      </w:pPr>
      <w:bookmarkStart w:id="18" w:name="_Hlk105395518"/>
      <w:r w:rsidRPr="00027842">
        <w:rPr>
          <w:rFonts w:eastAsiaTheme="minorHAnsi"/>
          <w:color w:val="000000" w:themeColor="text1"/>
          <w:lang w:bidi="ar-SA"/>
        </w:rPr>
        <w:t xml:space="preserve">The Staff Report correctly </w:t>
      </w:r>
      <w:r w:rsidRPr="00027842">
        <w:rPr>
          <w:rFonts w:eastAsiaTheme="minorHAnsi"/>
          <w:lang w:bidi="ar-SA"/>
        </w:rPr>
        <w:t>recommended</w:t>
      </w:r>
      <w:r w:rsidRPr="00027842">
        <w:rPr>
          <w:rFonts w:eastAsiaTheme="minorHAnsi"/>
          <w:color w:val="000000" w:themeColor="text1"/>
          <w:lang w:bidi="ar-SA"/>
        </w:rPr>
        <w:t xml:space="preserve"> the denial of Duke’s </w:t>
      </w:r>
      <w:r w:rsidRPr="00027842" w:rsidR="005768F2">
        <w:rPr>
          <w:rFonts w:eastAsiaTheme="minorHAnsi"/>
          <w:color w:val="000000" w:themeColor="text1"/>
          <w:lang w:bidi="ar-SA"/>
        </w:rPr>
        <w:t xml:space="preserve">request to implement </w:t>
      </w:r>
      <w:r w:rsidRPr="00027842">
        <w:rPr>
          <w:rFonts w:eastAsiaTheme="minorHAnsi"/>
          <w:color w:val="000000" w:themeColor="text1"/>
          <w:lang w:bidi="ar-SA"/>
        </w:rPr>
        <w:t xml:space="preserve">the </w:t>
      </w:r>
      <w:r w:rsidRPr="00027842" w:rsidR="005768F2">
        <w:rPr>
          <w:rFonts w:eastAsiaTheme="minorHAnsi"/>
          <w:color w:val="000000" w:themeColor="text1"/>
          <w:lang w:bidi="ar-SA"/>
        </w:rPr>
        <w:t>Co</w:t>
      </w:r>
      <w:r w:rsidRPr="00027842" w:rsidR="005768F2">
        <w:rPr>
          <w:rFonts w:eastAsiaTheme="minorHAnsi"/>
          <w:lang w:bidi="ar-SA"/>
        </w:rPr>
        <w:t>mmunity Driven Investment Rider</w:t>
      </w:r>
      <w:r w:rsidRPr="00027842">
        <w:rPr>
          <w:rFonts w:eastAsiaTheme="minorHAnsi"/>
          <w:lang w:bidi="ar-SA"/>
        </w:rPr>
        <w:t xml:space="preserve"> (“Rider CDI”)</w:t>
      </w:r>
      <w:r w:rsidRPr="00027842" w:rsidR="005768F2">
        <w:rPr>
          <w:rFonts w:eastAsiaTheme="minorHAnsi"/>
          <w:lang w:bidi="ar-SA"/>
        </w:rPr>
        <w:t xml:space="preserve">. </w:t>
      </w:r>
      <w:r w:rsidRPr="00027842" w:rsidR="00E22D50">
        <w:rPr>
          <w:rFonts w:eastAsiaTheme="minorHAnsi"/>
          <w:lang w:bidi="ar-SA"/>
        </w:rPr>
        <w:t xml:space="preserve">Duke </w:t>
      </w:r>
      <w:r w:rsidRPr="00027842" w:rsidR="005768F2">
        <w:rPr>
          <w:rFonts w:eastAsiaTheme="minorHAnsi"/>
          <w:lang w:bidi="ar-SA"/>
        </w:rPr>
        <w:t xml:space="preserve">has requested to implement </w:t>
      </w:r>
      <w:r w:rsidRPr="00027842" w:rsidR="00E22D50">
        <w:rPr>
          <w:rFonts w:eastAsiaTheme="minorHAnsi"/>
          <w:lang w:bidi="ar-SA"/>
        </w:rPr>
        <w:t xml:space="preserve">this </w:t>
      </w:r>
      <w:r w:rsidRPr="00027842" w:rsidR="005768F2">
        <w:rPr>
          <w:rFonts w:eastAsiaTheme="minorHAnsi"/>
          <w:lang w:bidi="ar-SA"/>
        </w:rPr>
        <w:t>new rider</w:t>
      </w:r>
      <w:r w:rsidRPr="00027842" w:rsidR="00E22D50">
        <w:rPr>
          <w:rFonts w:eastAsiaTheme="minorHAnsi"/>
          <w:lang w:bidi="ar-SA"/>
        </w:rPr>
        <w:t xml:space="preserve"> </w:t>
      </w:r>
      <w:r w:rsidRPr="00027842" w:rsidR="005768F2">
        <w:rPr>
          <w:rFonts w:eastAsiaTheme="minorHAnsi"/>
          <w:lang w:bidi="ar-SA"/>
        </w:rPr>
        <w:t>to recover the costs of certain distribution system investments made pursuant to requests from local communities. As proposed, cities, townships, villages, and other types of municipal corporations within the Company’s service territory would be able to propose projects that could be eligible for cost recovery through Rider CDI.</w:t>
      </w:r>
      <w:r>
        <w:rPr>
          <w:rStyle w:val="FootnoteReference"/>
          <w:rFonts w:eastAsiaTheme="minorHAnsi"/>
          <w:lang w:bidi="ar-SA"/>
        </w:rPr>
        <w:footnoteReference w:id="38"/>
      </w:r>
      <w:r w:rsidRPr="00027842" w:rsidR="00C60CCF">
        <w:rPr>
          <w:rFonts w:eastAsiaTheme="minorHAnsi"/>
          <w:lang w:bidi="ar-SA"/>
        </w:rPr>
        <w:t xml:space="preserve"> </w:t>
      </w:r>
      <w:bookmarkStart w:id="19" w:name="_Hlk106352519"/>
      <w:r w:rsidRPr="00027842" w:rsidR="00E22D50">
        <w:rPr>
          <w:rFonts w:eastAsiaTheme="minorHAnsi"/>
          <w:lang w:bidi="ar-SA"/>
        </w:rPr>
        <w:t>The OCC supports the denial of Rider CDI.</w:t>
      </w:r>
      <w:r w:rsidRPr="00027842" w:rsidR="00C60CCF">
        <w:rPr>
          <w:rFonts w:eastAsiaTheme="minorHAnsi"/>
          <w:lang w:bidi="ar-SA"/>
        </w:rPr>
        <w:t xml:space="preserve"> </w:t>
      </w:r>
      <w:r w:rsidRPr="00027842" w:rsidR="00E22D50">
        <w:rPr>
          <w:rFonts w:eastAsiaTheme="minorHAnsi"/>
          <w:lang w:bidi="ar-SA"/>
        </w:rPr>
        <w:t xml:space="preserve">However, OCC </w:t>
      </w:r>
      <w:r w:rsidRPr="00027842" w:rsidR="005768F2">
        <w:rPr>
          <w:rFonts w:eastAsiaTheme="minorHAnsi"/>
          <w:lang w:bidi="ar-SA"/>
        </w:rPr>
        <w:t>object</w:t>
      </w:r>
      <w:r w:rsidRPr="00027842" w:rsidR="00E22D50">
        <w:rPr>
          <w:rFonts w:eastAsiaTheme="minorHAnsi"/>
          <w:lang w:bidi="ar-SA"/>
        </w:rPr>
        <w:t>s</w:t>
      </w:r>
      <w:r w:rsidRPr="00027842" w:rsidR="005768F2">
        <w:rPr>
          <w:rFonts w:eastAsiaTheme="minorHAnsi"/>
          <w:lang w:bidi="ar-SA"/>
        </w:rPr>
        <w:t xml:space="preserve"> to the Staff Report’s failure to consider the illegality of the Rider CDI as an additional reason why the Rider CDI should </w:t>
      </w:r>
      <w:r w:rsidRPr="00027842">
        <w:rPr>
          <w:rFonts w:eastAsiaTheme="minorHAnsi"/>
          <w:lang w:bidi="ar-SA"/>
        </w:rPr>
        <w:t>not</w:t>
      </w:r>
      <w:r w:rsidRPr="00027842" w:rsidR="005768F2">
        <w:rPr>
          <w:rFonts w:eastAsiaTheme="minorHAnsi"/>
          <w:lang w:bidi="ar-SA"/>
        </w:rPr>
        <w:t xml:space="preserve"> be approved.</w:t>
      </w:r>
    </w:p>
    <w:bookmarkEnd w:id="19"/>
    <w:p w:rsidR="005768F2" w:rsidRPr="00027842" w:rsidP="00033CDD" w14:paraId="154A734F" w14:textId="354957B9">
      <w:pPr>
        <w:pStyle w:val="ListParagraph"/>
        <w:ind w:left="1980" w:hanging="540"/>
        <w:rPr>
          <w:rFonts w:eastAsiaTheme="minorHAnsi"/>
          <w:lang w:bidi="ar-SA"/>
        </w:rPr>
      </w:pPr>
      <w:r w:rsidRPr="00027842">
        <w:rPr>
          <w:rFonts w:eastAsiaTheme="minorHAnsi"/>
          <w:lang w:bidi="ar-SA"/>
        </w:rPr>
        <w:t xml:space="preserve"> </w:t>
      </w:r>
    </w:p>
    <w:p w:rsidR="00C270FB" w:rsidRPr="00027842" w:rsidP="00360693" w14:paraId="36E76215" w14:textId="6A295B48">
      <w:pPr>
        <w:pStyle w:val="ListParagraph"/>
        <w:numPr>
          <w:ilvl w:val="0"/>
          <w:numId w:val="52"/>
        </w:numPr>
        <w:ind w:left="1980" w:hanging="540"/>
        <w:rPr>
          <w:rFonts w:eastAsiaTheme="minorHAnsi"/>
          <w:lang w:bidi="ar-SA"/>
        </w:rPr>
      </w:pPr>
      <w:r w:rsidRPr="00027842">
        <w:rPr>
          <w:rFonts w:eastAsiaTheme="minorHAnsi"/>
          <w:lang w:bidi="ar-SA"/>
        </w:rPr>
        <w:t>The Staff Report correctly recommended the denial of Duke’s proposed new rider, Retail Reconciliation Rider.</w:t>
      </w:r>
      <w:r>
        <w:rPr>
          <w:rStyle w:val="FootnoteReference"/>
          <w:rFonts w:eastAsiaTheme="minorHAnsi"/>
          <w:lang w:bidi="ar-SA"/>
        </w:rPr>
        <w:footnoteReference w:id="39"/>
      </w:r>
      <w:r w:rsidRPr="00027842" w:rsidR="00C60CCF">
        <w:rPr>
          <w:rFonts w:eastAsiaTheme="minorHAnsi"/>
          <w:lang w:bidi="ar-SA"/>
        </w:rPr>
        <w:t xml:space="preserve"> </w:t>
      </w:r>
      <w:r w:rsidRPr="00027842" w:rsidR="005E6E31">
        <w:rPr>
          <w:rFonts w:eastAsiaTheme="minorHAnsi"/>
          <w:lang w:bidi="ar-SA"/>
        </w:rPr>
        <w:t>This rider is to reallocate costs between Standard Service Offer generation service customers and Competitive Retail Electric Service (</w:t>
      </w:r>
      <w:r w:rsidRPr="00027842" w:rsidR="00F26612">
        <w:rPr>
          <w:rFonts w:eastAsiaTheme="minorHAnsi"/>
          <w:lang w:bidi="ar-SA"/>
        </w:rPr>
        <w:t>“</w:t>
      </w:r>
      <w:r w:rsidRPr="00027842" w:rsidR="005E6E31">
        <w:rPr>
          <w:rFonts w:eastAsiaTheme="minorHAnsi"/>
          <w:lang w:bidi="ar-SA"/>
        </w:rPr>
        <w:t>CRES</w:t>
      </w:r>
      <w:r w:rsidRPr="00027842" w:rsidR="00F26612">
        <w:rPr>
          <w:rFonts w:eastAsiaTheme="minorHAnsi"/>
          <w:lang w:bidi="ar-SA"/>
        </w:rPr>
        <w:t>”</w:t>
      </w:r>
      <w:r w:rsidRPr="00027842" w:rsidR="005E6E31">
        <w:rPr>
          <w:rFonts w:eastAsiaTheme="minorHAnsi"/>
          <w:lang w:bidi="ar-SA"/>
        </w:rPr>
        <w:t xml:space="preserve">) customers. </w:t>
      </w:r>
      <w:bookmarkEnd w:id="18"/>
    </w:p>
    <w:bookmarkEnd w:id="15"/>
    <w:p w:rsidR="00055635" w:rsidRPr="00027842" w:rsidP="00360693" w14:paraId="0E36EC3F" w14:textId="77777777">
      <w:pPr>
        <w:pStyle w:val="ListParagraph"/>
      </w:pPr>
    </w:p>
    <w:p w:rsidR="00015657" w:rsidRPr="00027842" w:rsidP="00015657" w14:paraId="7172C86B" w14:textId="77777777">
      <w:pPr>
        <w:ind w:firstLine="720"/>
      </w:pPr>
    </w:p>
    <w:p w:rsidR="000B30BA" w:rsidRPr="00027842" w:rsidP="00B3588F" w14:paraId="5B7F9EDD" w14:textId="027C6427">
      <w:pPr>
        <w:pStyle w:val="Heading1"/>
      </w:pPr>
      <w:bookmarkStart w:id="20" w:name="_Toc2936385"/>
      <w:bookmarkStart w:id="21" w:name="_Toc102143387"/>
      <w:bookmarkStart w:id="22" w:name="_Toc102143558"/>
      <w:bookmarkStart w:id="23" w:name="_Toc106717611"/>
      <w:r w:rsidRPr="00027842">
        <w:t>II</w:t>
      </w:r>
      <w:r w:rsidRPr="00027842" w:rsidR="00CA6C50">
        <w:t>I</w:t>
      </w:r>
      <w:r w:rsidRPr="00027842">
        <w:t>.</w:t>
      </w:r>
      <w:r w:rsidRPr="00027842">
        <w:tab/>
        <w:t>OBJECTIONS</w:t>
      </w:r>
      <w:r w:rsidRPr="00027842" w:rsidR="00E44CE2">
        <w:t xml:space="preserve"> TO THE STAFF REPORT</w:t>
      </w:r>
      <w:bookmarkStart w:id="24" w:name="_Toc2936386"/>
      <w:bookmarkEnd w:id="20"/>
      <w:bookmarkEnd w:id="21"/>
      <w:bookmarkEnd w:id="22"/>
      <w:bookmarkEnd w:id="23"/>
    </w:p>
    <w:p w:rsidR="00E44CE2" w:rsidRPr="00027842" w:rsidP="00BD1734" w14:paraId="032D9C24" w14:textId="292BE488">
      <w:pPr>
        <w:spacing w:line="480" w:lineRule="auto"/>
        <w:ind w:firstLine="720"/>
      </w:pPr>
      <w:r w:rsidRPr="00027842">
        <w:t xml:space="preserve">The </w:t>
      </w:r>
      <w:r w:rsidRPr="00027842" w:rsidR="00407327">
        <w:t xml:space="preserve">PUCO Staff, in its </w:t>
      </w:r>
      <w:r w:rsidRPr="00027842">
        <w:t>Staff Report</w:t>
      </w:r>
      <w:r w:rsidRPr="00027842" w:rsidR="00407327">
        <w:t>,</w:t>
      </w:r>
      <w:r w:rsidRPr="00027842">
        <w:t xml:space="preserve"> should have made additional recommendations </w:t>
      </w:r>
      <w:r w:rsidRPr="00027842" w:rsidR="00CD1302">
        <w:t xml:space="preserve">or revised some of its recommendations </w:t>
      </w:r>
      <w:r w:rsidRPr="00027842" w:rsidR="004D6F0B">
        <w:t xml:space="preserve">to protect </w:t>
      </w:r>
      <w:r w:rsidRPr="00027842" w:rsidR="006A59A0">
        <w:t xml:space="preserve">Duke’s </w:t>
      </w:r>
      <w:r w:rsidRPr="00027842" w:rsidR="004D6F0B">
        <w:t>consumers</w:t>
      </w:r>
      <w:r w:rsidRPr="00027842" w:rsidR="003151D5">
        <w:t xml:space="preserve"> from unlawful, unjust</w:t>
      </w:r>
      <w:r w:rsidRPr="00027842" w:rsidR="001C5737">
        <w:t>,</w:t>
      </w:r>
      <w:r w:rsidRPr="00027842" w:rsidR="00E82630">
        <w:t xml:space="preserve"> and</w:t>
      </w:r>
      <w:r w:rsidRPr="00027842" w:rsidR="003151D5">
        <w:t xml:space="preserve"> unreasonable rates</w:t>
      </w:r>
      <w:r w:rsidRPr="00027842">
        <w:t xml:space="preserve">. </w:t>
      </w:r>
      <w:r w:rsidRPr="00027842" w:rsidR="006A59A0">
        <w:t xml:space="preserve">OCC </w:t>
      </w:r>
      <w:r w:rsidRPr="00027842" w:rsidR="004D6F0B">
        <w:t>request</w:t>
      </w:r>
      <w:r w:rsidRPr="00027842" w:rsidR="006A59A0">
        <w:t>s</w:t>
      </w:r>
      <w:r w:rsidRPr="00027842" w:rsidR="004D6F0B">
        <w:t xml:space="preserve"> that</w:t>
      </w:r>
      <w:r w:rsidRPr="00027842" w:rsidR="00CA5913">
        <w:t>, pursuant to R.C. 4909.19</w:t>
      </w:r>
      <w:r w:rsidRPr="00027842" w:rsidR="00F20F24">
        <w:t>, R.C. 4909.15</w:t>
      </w:r>
      <w:r w:rsidRPr="00027842" w:rsidR="00F9150D">
        <w:t xml:space="preserve"> and other authority</w:t>
      </w:r>
      <w:r w:rsidRPr="00027842" w:rsidR="00CA5913">
        <w:t>,</w:t>
      </w:r>
      <w:r w:rsidRPr="00027842">
        <w:t xml:space="preserve"> the PUCO adopt the following </w:t>
      </w:r>
      <w:r w:rsidRPr="00027842" w:rsidR="00CD1302">
        <w:t>O</w:t>
      </w:r>
      <w:r w:rsidRPr="00027842">
        <w:t xml:space="preserve">bjections to the Staff Report when </w:t>
      </w:r>
      <w:r w:rsidRPr="00027842" w:rsidR="004D6F0B">
        <w:t xml:space="preserve">determining </w:t>
      </w:r>
      <w:r w:rsidRPr="00027842">
        <w:t xml:space="preserve">how much </w:t>
      </w:r>
      <w:r w:rsidRPr="00027842" w:rsidR="006A59A0">
        <w:t xml:space="preserve">Duke’s </w:t>
      </w:r>
      <w:r w:rsidRPr="00027842" w:rsidR="004D6F0B">
        <w:t>consumers</w:t>
      </w:r>
      <w:r w:rsidRPr="00027842">
        <w:t xml:space="preserve"> should pay for </w:t>
      </w:r>
      <w:r w:rsidRPr="00027842" w:rsidR="006A59A0">
        <w:t xml:space="preserve">electric </w:t>
      </w:r>
      <w:r w:rsidRPr="00027842">
        <w:t>distribution service and rider charges</w:t>
      </w:r>
      <w:r w:rsidRPr="00027842" w:rsidR="00CD1302">
        <w:t xml:space="preserve">. </w:t>
      </w:r>
    </w:p>
    <w:p w:rsidR="00015657" w:rsidRPr="00027842" w:rsidP="00B559EF" w14:paraId="49FE7700" w14:textId="2A8E9D2F">
      <w:pPr>
        <w:pStyle w:val="Heading2"/>
        <w:rPr>
          <w:rFonts w:ascii="Times New Roman" w:hAnsi="Times New Roman"/>
        </w:rPr>
      </w:pPr>
      <w:bookmarkStart w:id="25" w:name="_Toc102143388"/>
      <w:bookmarkStart w:id="26" w:name="_Toc102143559"/>
      <w:bookmarkStart w:id="27" w:name="_Toc106717612"/>
      <w:bookmarkStart w:id="28" w:name="_Hlk105585067"/>
      <w:bookmarkEnd w:id="24"/>
      <w:r w:rsidRPr="00027842">
        <w:rPr>
          <w:rFonts w:ascii="Times New Roman" w:hAnsi="Times New Roman"/>
        </w:rPr>
        <w:t>A.</w:t>
      </w:r>
      <w:r w:rsidRPr="00027842">
        <w:rPr>
          <w:rFonts w:ascii="Times New Roman" w:hAnsi="Times New Roman"/>
        </w:rPr>
        <w:tab/>
        <w:t>Revenue Requirement</w:t>
      </w:r>
      <w:bookmarkEnd w:id="25"/>
      <w:bookmarkEnd w:id="26"/>
      <w:bookmarkEnd w:id="27"/>
    </w:p>
    <w:p w:rsidR="0045101F" w:rsidRPr="00027842" w:rsidP="00B87B59" w14:paraId="6A9A0F86" w14:textId="5F55FC6F">
      <w:pPr>
        <w:pStyle w:val="Heading3"/>
      </w:pPr>
      <w:bookmarkStart w:id="29" w:name="_Hlk101632833"/>
      <w:bookmarkStart w:id="30" w:name="_Toc102143560"/>
      <w:bookmarkStart w:id="31" w:name="_Toc106717613"/>
      <w:bookmarkStart w:id="32" w:name="_Hlk105591459"/>
      <w:bookmarkEnd w:id="28"/>
      <w:r w:rsidRPr="00027842">
        <w:rPr>
          <w:rStyle w:val="Heading4Char"/>
          <w:rFonts w:ascii="Times New Roman" w:hAnsi="Times New Roman"/>
          <w:b/>
          <w:bCs/>
          <w:szCs w:val="24"/>
          <w:lang w:bidi="ar-SA"/>
        </w:rPr>
        <w:t>1.</w:t>
      </w:r>
      <w:r w:rsidRPr="00027842">
        <w:rPr>
          <w:rStyle w:val="Heading4Char"/>
          <w:rFonts w:ascii="Times New Roman" w:hAnsi="Times New Roman"/>
          <w:b/>
          <w:bCs/>
          <w:szCs w:val="24"/>
          <w:lang w:bidi="ar-SA"/>
        </w:rPr>
        <w:tab/>
      </w:r>
      <w:r w:rsidRPr="00027842" w:rsidR="00C53E10">
        <w:rPr>
          <w:rStyle w:val="Heading4Char"/>
          <w:rFonts w:ascii="Times New Roman" w:hAnsi="Times New Roman"/>
          <w:b/>
          <w:bCs/>
          <w:szCs w:val="24"/>
          <w:lang w:bidi="ar-SA"/>
        </w:rPr>
        <w:t>Objection No. 1:</w:t>
      </w:r>
      <w:r w:rsidRPr="00027842" w:rsidR="00001221">
        <w:rPr>
          <w:rStyle w:val="Heading4Char"/>
          <w:rFonts w:ascii="Times New Roman" w:hAnsi="Times New Roman"/>
          <w:b/>
          <w:bCs/>
          <w:szCs w:val="24"/>
          <w:lang w:bidi="ar-SA"/>
        </w:rPr>
        <w:t xml:space="preserve"> </w:t>
      </w:r>
      <w:bookmarkEnd w:id="29"/>
      <w:r w:rsidRPr="00027842" w:rsidR="00C53E10">
        <w:rPr>
          <w:rStyle w:val="Heading4Char"/>
          <w:rFonts w:ascii="Times New Roman" w:hAnsi="Times New Roman"/>
          <w:b/>
          <w:bCs/>
          <w:szCs w:val="24"/>
          <w:lang w:bidi="ar-SA"/>
        </w:rPr>
        <w:t xml:space="preserve">The Staff Report </w:t>
      </w:r>
      <w:r w:rsidRPr="00027842" w:rsidR="00B26377">
        <w:rPr>
          <w:rStyle w:val="Heading4Char"/>
          <w:rFonts w:ascii="Times New Roman" w:hAnsi="Times New Roman"/>
          <w:b/>
          <w:bCs/>
          <w:szCs w:val="24"/>
          <w:lang w:bidi="ar-SA"/>
        </w:rPr>
        <w:t>harms consumers by</w:t>
      </w:r>
      <w:r w:rsidRPr="00027842" w:rsidR="00C53E10">
        <w:rPr>
          <w:rStyle w:val="Heading4Char"/>
          <w:rFonts w:ascii="Times New Roman" w:hAnsi="Times New Roman"/>
          <w:b/>
          <w:bCs/>
          <w:szCs w:val="24"/>
          <w:lang w:bidi="ar-SA"/>
        </w:rPr>
        <w:t xml:space="preserve"> proposing a </w:t>
      </w:r>
      <w:r w:rsidRPr="00027842" w:rsidR="00B85C99">
        <w:rPr>
          <w:rStyle w:val="Heading4Char"/>
          <w:rFonts w:ascii="Times New Roman" w:hAnsi="Times New Roman"/>
          <w:b/>
          <w:bCs/>
          <w:szCs w:val="24"/>
          <w:lang w:bidi="ar-SA"/>
        </w:rPr>
        <w:t>revenue requirement for base rates and other charges</w:t>
      </w:r>
      <w:r w:rsidRPr="00027842" w:rsidR="0015298E">
        <w:rPr>
          <w:rStyle w:val="Heading4Char"/>
          <w:rFonts w:ascii="Times New Roman" w:hAnsi="Times New Roman"/>
          <w:b/>
          <w:bCs/>
          <w:szCs w:val="24"/>
          <w:lang w:bidi="ar-SA"/>
        </w:rPr>
        <w:t xml:space="preserve"> to </w:t>
      </w:r>
      <w:r w:rsidRPr="00027842" w:rsidR="00D86782">
        <w:rPr>
          <w:rStyle w:val="Heading4Char"/>
          <w:rFonts w:ascii="Times New Roman" w:hAnsi="Times New Roman"/>
          <w:b/>
          <w:bCs/>
          <w:szCs w:val="24"/>
          <w:lang w:bidi="ar-SA"/>
        </w:rPr>
        <w:t xml:space="preserve">Duke’s </w:t>
      </w:r>
      <w:r w:rsidRPr="00027842" w:rsidR="0015298E">
        <w:rPr>
          <w:rStyle w:val="Heading4Char"/>
          <w:rFonts w:ascii="Times New Roman" w:hAnsi="Times New Roman"/>
          <w:b/>
          <w:bCs/>
          <w:szCs w:val="24"/>
          <w:lang w:bidi="ar-SA"/>
        </w:rPr>
        <w:t>consumers</w:t>
      </w:r>
      <w:r w:rsidRPr="00027842" w:rsidR="00485DD9">
        <w:rPr>
          <w:rStyle w:val="Heading4Char"/>
          <w:rFonts w:ascii="Times New Roman" w:hAnsi="Times New Roman"/>
          <w:b/>
          <w:bCs/>
          <w:szCs w:val="24"/>
          <w:lang w:bidi="ar-SA"/>
        </w:rPr>
        <w:t>, tha</w:t>
      </w:r>
      <w:r w:rsidRPr="00027842" w:rsidR="005859CB">
        <w:rPr>
          <w:rStyle w:val="Heading4Char"/>
          <w:rFonts w:ascii="Times New Roman" w:hAnsi="Times New Roman"/>
          <w:b/>
          <w:bCs/>
          <w:szCs w:val="24"/>
          <w:lang w:bidi="ar-SA"/>
        </w:rPr>
        <w:t>t</w:t>
      </w:r>
      <w:r w:rsidRPr="00027842" w:rsidR="00485DD9">
        <w:rPr>
          <w:rStyle w:val="Heading4Char"/>
          <w:rFonts w:ascii="Times New Roman" w:hAnsi="Times New Roman"/>
          <w:b/>
          <w:bCs/>
          <w:szCs w:val="24"/>
          <w:lang w:bidi="ar-SA"/>
        </w:rPr>
        <w:t xml:space="preserve"> </w:t>
      </w:r>
      <w:r w:rsidRPr="00027842" w:rsidR="00DF002F">
        <w:rPr>
          <w:rStyle w:val="Heading4Char"/>
          <w:rFonts w:ascii="Times New Roman" w:hAnsi="Times New Roman"/>
          <w:b/>
          <w:bCs/>
          <w:szCs w:val="24"/>
          <w:lang w:bidi="ar-SA"/>
        </w:rPr>
        <w:t>are</w:t>
      </w:r>
      <w:r w:rsidRPr="00027842" w:rsidR="00485DD9">
        <w:rPr>
          <w:rStyle w:val="Heading4Char"/>
          <w:rFonts w:ascii="Times New Roman" w:hAnsi="Times New Roman"/>
          <w:b/>
          <w:bCs/>
          <w:szCs w:val="24"/>
          <w:lang w:bidi="ar-SA"/>
        </w:rPr>
        <w:t xml:space="preserve"> </w:t>
      </w:r>
      <w:r w:rsidRPr="00027842" w:rsidR="00872732">
        <w:rPr>
          <w:rStyle w:val="Heading4Char"/>
          <w:rFonts w:ascii="Times New Roman" w:hAnsi="Times New Roman"/>
          <w:b/>
          <w:bCs/>
          <w:szCs w:val="24"/>
          <w:lang w:bidi="ar-SA"/>
        </w:rPr>
        <w:t>unjust</w:t>
      </w:r>
      <w:r w:rsidRPr="00027842" w:rsidR="00485DD9">
        <w:rPr>
          <w:rStyle w:val="Heading4Char"/>
          <w:rFonts w:ascii="Times New Roman" w:hAnsi="Times New Roman"/>
          <w:b/>
          <w:bCs/>
          <w:szCs w:val="24"/>
          <w:lang w:bidi="ar-SA"/>
        </w:rPr>
        <w:t xml:space="preserve"> and </w:t>
      </w:r>
      <w:r w:rsidRPr="00027842" w:rsidR="00872732">
        <w:rPr>
          <w:rStyle w:val="Heading4Char"/>
          <w:rFonts w:ascii="Times New Roman" w:hAnsi="Times New Roman"/>
          <w:b/>
          <w:bCs/>
          <w:szCs w:val="24"/>
          <w:lang w:bidi="ar-SA"/>
        </w:rPr>
        <w:t>un</w:t>
      </w:r>
      <w:r w:rsidRPr="00027842" w:rsidR="00485DD9">
        <w:rPr>
          <w:rStyle w:val="Heading4Char"/>
          <w:rFonts w:ascii="Times New Roman" w:hAnsi="Times New Roman"/>
          <w:b/>
          <w:bCs/>
          <w:szCs w:val="24"/>
          <w:lang w:bidi="ar-SA"/>
        </w:rPr>
        <w:t>reasonable under R.C. 4909.15</w:t>
      </w:r>
      <w:r w:rsidRPr="00027842" w:rsidR="00BF141F">
        <w:rPr>
          <w:rStyle w:val="Heading4Char"/>
          <w:rFonts w:ascii="Times New Roman" w:hAnsi="Times New Roman"/>
          <w:b/>
          <w:bCs/>
          <w:szCs w:val="24"/>
          <w:lang w:bidi="ar-SA"/>
        </w:rPr>
        <w:t xml:space="preserve"> and other authority</w:t>
      </w:r>
      <w:r w:rsidRPr="00027842" w:rsidR="00B85C99">
        <w:rPr>
          <w:rStyle w:val="Heading4Char"/>
          <w:rFonts w:ascii="Times New Roman" w:hAnsi="Times New Roman"/>
          <w:b/>
          <w:bCs/>
          <w:szCs w:val="24"/>
          <w:lang w:bidi="ar-SA"/>
        </w:rPr>
        <w:t>.</w:t>
      </w:r>
      <w:bookmarkEnd w:id="30"/>
      <w:bookmarkEnd w:id="31"/>
      <w:r w:rsidRPr="00027842" w:rsidR="00001221">
        <w:t xml:space="preserve"> </w:t>
      </w:r>
    </w:p>
    <w:bookmarkEnd w:id="32"/>
    <w:p w:rsidR="00CA6C50" w:rsidRPr="00027842" w:rsidP="00001221" w14:paraId="037B1EEE" w14:textId="546BE003">
      <w:pPr>
        <w:spacing w:line="480" w:lineRule="auto"/>
        <w:ind w:firstLine="720"/>
      </w:pPr>
      <w:r w:rsidRPr="00027842">
        <w:t xml:space="preserve">OCC </w:t>
      </w:r>
      <w:r w:rsidRPr="00027842" w:rsidR="00B85C99">
        <w:t>object</w:t>
      </w:r>
      <w:r w:rsidRPr="00027842">
        <w:t>s</w:t>
      </w:r>
      <w:r w:rsidRPr="00027842" w:rsidR="00B85C99">
        <w:t xml:space="preserve"> to the recommended revenue increase </w:t>
      </w:r>
      <w:r w:rsidRPr="00027842" w:rsidR="00872732">
        <w:t>set forth on the PUCO Staff’s</w:t>
      </w:r>
      <w:r w:rsidRPr="00027842" w:rsidR="00B85C99">
        <w:t xml:space="preserve"> Schedule A-1</w:t>
      </w:r>
      <w:r w:rsidRPr="00027842" w:rsidR="00DD45DA">
        <w:t>. The PUCO Staff’s proposed revenue increase is based on t</w:t>
      </w:r>
      <w:r w:rsidRPr="00027842" w:rsidR="00B85C99">
        <w:t xml:space="preserve">he use of </w:t>
      </w:r>
      <w:r w:rsidRPr="00027842" w:rsidR="00872732">
        <w:t xml:space="preserve">an </w:t>
      </w:r>
      <w:r w:rsidRPr="00027842" w:rsidR="00B85C99">
        <w:t xml:space="preserve">inappropriate and incorrect rate base, operating </w:t>
      </w:r>
      <w:r w:rsidRPr="00027842" w:rsidR="00EC796D">
        <w:t xml:space="preserve">income </w:t>
      </w:r>
      <w:r w:rsidRPr="00027842" w:rsidR="00A114BD">
        <w:t xml:space="preserve">(including revenues and </w:t>
      </w:r>
      <w:r w:rsidRPr="00027842" w:rsidR="00B85C99">
        <w:t>expenses</w:t>
      </w:r>
      <w:r w:rsidRPr="00027842" w:rsidR="00A114BD">
        <w:t>)</w:t>
      </w:r>
      <w:r w:rsidRPr="00027842" w:rsidR="00B85C99">
        <w:t>, and rate of return</w:t>
      </w:r>
      <w:r w:rsidRPr="00027842" w:rsidR="00872732">
        <w:t xml:space="preserve">. </w:t>
      </w:r>
      <w:r w:rsidRPr="00027842">
        <w:t xml:space="preserve">OCC </w:t>
      </w:r>
      <w:r w:rsidRPr="00027842" w:rsidR="00B85C99">
        <w:t>object</w:t>
      </w:r>
      <w:r w:rsidRPr="00027842">
        <w:t>s</w:t>
      </w:r>
      <w:r w:rsidRPr="00027842" w:rsidR="00B85C99">
        <w:t xml:space="preserve"> to each component</w:t>
      </w:r>
      <w:r w:rsidRPr="00027842" w:rsidR="00DD45DA">
        <w:t xml:space="preserve"> of the Staff Report</w:t>
      </w:r>
      <w:r w:rsidRPr="00027842" w:rsidR="000B498E">
        <w:t>’</w:t>
      </w:r>
      <w:r w:rsidRPr="00027842" w:rsidR="00DD45DA">
        <w:t>s Schedule A-1</w:t>
      </w:r>
      <w:r w:rsidRPr="00027842" w:rsidR="00F24B76">
        <w:t xml:space="preserve">, </w:t>
      </w:r>
      <w:r w:rsidRPr="00027842" w:rsidR="00295ED2">
        <w:t xml:space="preserve">including </w:t>
      </w:r>
      <w:r w:rsidRPr="00027842" w:rsidR="000B498E">
        <w:t xml:space="preserve">the </w:t>
      </w:r>
      <w:r w:rsidRPr="00027842" w:rsidR="00F24B76">
        <w:t>rate base, operating income</w:t>
      </w:r>
      <w:r w:rsidRPr="00027842" w:rsidR="006D784F">
        <w:t>,</w:t>
      </w:r>
      <w:r w:rsidRPr="00027842" w:rsidR="00F24B76">
        <w:t xml:space="preserve"> and rate of return, </w:t>
      </w:r>
      <w:r w:rsidRPr="00027842" w:rsidR="00B85C99">
        <w:t xml:space="preserve">to the extent </w:t>
      </w:r>
      <w:r w:rsidRPr="00027842" w:rsidR="000B498E">
        <w:t>they are impacted by OCC’s</w:t>
      </w:r>
      <w:r w:rsidRPr="00027842">
        <w:t xml:space="preserve"> </w:t>
      </w:r>
      <w:r w:rsidRPr="00027842" w:rsidR="000B498E">
        <w:t xml:space="preserve">specific </w:t>
      </w:r>
      <w:r w:rsidRPr="00027842" w:rsidR="00B85C99">
        <w:t xml:space="preserve">objections </w:t>
      </w:r>
      <w:r w:rsidRPr="00027842" w:rsidR="000B498E">
        <w:t xml:space="preserve">(explained below) to the PUCO Staff’s </w:t>
      </w:r>
      <w:r w:rsidRPr="00027842" w:rsidR="00B85C99">
        <w:t>calculation of the recommended revenue increase</w:t>
      </w:r>
      <w:r w:rsidRPr="00027842" w:rsidR="0015298E">
        <w:t xml:space="preserve"> </w:t>
      </w:r>
      <w:r w:rsidRPr="00027842">
        <w:t>and total revenue requirement</w:t>
      </w:r>
      <w:r w:rsidRPr="00027842" w:rsidR="00F24B76">
        <w:t>.</w:t>
      </w:r>
      <w:r w:rsidRPr="00027842" w:rsidR="00B85C99">
        <w:t xml:space="preserve"> </w:t>
      </w:r>
    </w:p>
    <w:p w:rsidR="00E138E7" w:rsidRPr="00027842" w:rsidP="00B87B59" w14:paraId="24E82FA1" w14:textId="24FF7A77">
      <w:pPr>
        <w:pStyle w:val="Heading3"/>
      </w:pPr>
      <w:bookmarkStart w:id="33" w:name="_Toc106717614"/>
      <w:r w:rsidRPr="00027842">
        <w:rPr>
          <w:rStyle w:val="Heading4Char"/>
          <w:rFonts w:ascii="Times New Roman" w:hAnsi="Times New Roman"/>
          <w:b/>
          <w:bCs/>
          <w:szCs w:val="24"/>
        </w:rPr>
        <w:t>2.</w:t>
      </w:r>
      <w:r w:rsidRPr="00027842">
        <w:rPr>
          <w:rStyle w:val="Heading4Char"/>
          <w:rFonts w:ascii="Times New Roman" w:hAnsi="Times New Roman"/>
          <w:b/>
          <w:bCs/>
          <w:szCs w:val="24"/>
        </w:rPr>
        <w:tab/>
      </w:r>
      <w:r w:rsidRPr="00027842">
        <w:rPr>
          <w:rStyle w:val="Heading4Char"/>
          <w:rFonts w:ascii="Times New Roman" w:hAnsi="Times New Roman"/>
          <w:b/>
          <w:bCs/>
          <w:szCs w:val="24"/>
        </w:rPr>
        <w:t xml:space="preserve">Objection No. </w:t>
      </w:r>
      <w:r w:rsidRPr="00027842" w:rsidR="00D7041F">
        <w:rPr>
          <w:rStyle w:val="Heading4Char"/>
          <w:rFonts w:ascii="Times New Roman" w:hAnsi="Times New Roman"/>
          <w:b/>
          <w:bCs/>
          <w:szCs w:val="24"/>
        </w:rPr>
        <w:t>2</w:t>
      </w:r>
      <w:r w:rsidRPr="00027842">
        <w:rPr>
          <w:rStyle w:val="Heading4Char"/>
          <w:rFonts w:ascii="Times New Roman" w:hAnsi="Times New Roman"/>
          <w:b/>
          <w:bCs/>
          <w:szCs w:val="24"/>
        </w:rPr>
        <w:t xml:space="preserve">: The Staff Report </w:t>
      </w:r>
      <w:r w:rsidRPr="00027842" w:rsidR="000B498E">
        <w:rPr>
          <w:rStyle w:val="Heading4Char"/>
          <w:rFonts w:ascii="Times New Roman" w:hAnsi="Times New Roman"/>
          <w:b/>
          <w:bCs/>
          <w:szCs w:val="24"/>
        </w:rPr>
        <w:t xml:space="preserve">harms consumers </w:t>
      </w:r>
      <w:r w:rsidRPr="00027842">
        <w:rPr>
          <w:rStyle w:val="Heading4Char"/>
          <w:rFonts w:ascii="Times New Roman" w:hAnsi="Times New Roman"/>
          <w:b/>
          <w:bCs/>
          <w:szCs w:val="24"/>
        </w:rPr>
        <w:t xml:space="preserve">by </w:t>
      </w:r>
      <w:r w:rsidRPr="00027842" w:rsidR="00D7041F">
        <w:t>failing to adjust the annual revenue cap for the Delivery Capital Investment (“DCI”) Rider to reflect Duke’s failure to meet its minimum PUCO required reliability standards in 2021.</w:t>
      </w:r>
      <w:bookmarkEnd w:id="33"/>
      <w:r w:rsidRPr="00027842">
        <w:t xml:space="preserve"> </w:t>
      </w:r>
    </w:p>
    <w:p w:rsidR="00D7041F" w:rsidRPr="00027842" w:rsidP="00CA1840" w14:paraId="263C2673" w14:textId="072DB8E2">
      <w:pPr>
        <w:spacing w:line="480" w:lineRule="auto"/>
        <w:ind w:firstLine="720"/>
        <w:rPr>
          <w:rFonts w:eastAsiaTheme="minorHAnsi"/>
          <w:lang w:bidi="ar-SA"/>
        </w:rPr>
      </w:pPr>
      <w:r w:rsidRPr="00027842">
        <w:rPr>
          <w:rFonts w:eastAsiaTheme="minorHAnsi"/>
          <w:lang w:bidi="ar-SA"/>
        </w:rPr>
        <w:t xml:space="preserve">OCC </w:t>
      </w:r>
      <w:r w:rsidRPr="00027842" w:rsidR="000B498E">
        <w:rPr>
          <w:rFonts w:eastAsiaTheme="minorHAnsi"/>
          <w:lang w:bidi="ar-SA"/>
        </w:rPr>
        <w:t>o</w:t>
      </w:r>
      <w:r w:rsidRPr="00027842">
        <w:rPr>
          <w:rFonts w:eastAsiaTheme="minorHAnsi"/>
          <w:lang w:bidi="ar-SA"/>
        </w:rPr>
        <w:t xml:space="preserve">bjects </w:t>
      </w:r>
      <w:r w:rsidRPr="00027842" w:rsidR="00694834">
        <w:rPr>
          <w:rFonts w:eastAsiaTheme="minorHAnsi"/>
          <w:lang w:bidi="ar-SA"/>
        </w:rPr>
        <w:t>becau</w:t>
      </w:r>
      <w:r w:rsidRPr="00027842" w:rsidR="005859CB">
        <w:rPr>
          <w:rFonts w:eastAsiaTheme="minorHAnsi"/>
          <w:lang w:bidi="ar-SA"/>
        </w:rPr>
        <w:t>s</w:t>
      </w:r>
      <w:r w:rsidRPr="00027842" w:rsidR="00694834">
        <w:rPr>
          <w:rFonts w:eastAsiaTheme="minorHAnsi"/>
          <w:lang w:bidi="ar-SA"/>
        </w:rPr>
        <w:t>e the PUCO Staff recommended</w:t>
      </w:r>
      <w:r w:rsidR="00027842">
        <w:rPr>
          <w:rFonts w:eastAsiaTheme="minorHAnsi"/>
          <w:lang w:bidi="ar-SA"/>
        </w:rPr>
        <w:t xml:space="preserve"> </w:t>
      </w:r>
      <w:r w:rsidRPr="00027842">
        <w:rPr>
          <w:rFonts w:eastAsiaTheme="minorHAnsi"/>
          <w:lang w:bidi="ar-SA"/>
        </w:rPr>
        <w:t xml:space="preserve">DCI annual revenue caps </w:t>
      </w:r>
      <w:r w:rsidRPr="00027842" w:rsidR="005859CB">
        <w:rPr>
          <w:rFonts w:eastAsiaTheme="minorHAnsi"/>
          <w:lang w:bidi="ar-SA"/>
        </w:rPr>
        <w:t xml:space="preserve">that </w:t>
      </w:r>
      <w:r w:rsidRPr="00027842" w:rsidR="00694834">
        <w:rPr>
          <w:rFonts w:eastAsiaTheme="minorHAnsi"/>
          <w:lang w:bidi="ar-SA"/>
        </w:rPr>
        <w:t>are too high</w:t>
      </w:r>
      <w:r w:rsidRPr="00027842">
        <w:rPr>
          <w:rFonts w:eastAsiaTheme="minorHAnsi"/>
          <w:lang w:bidi="ar-SA"/>
        </w:rPr>
        <w:t>.</w:t>
      </w:r>
      <w:r>
        <w:rPr>
          <w:rStyle w:val="FootnoteReference"/>
          <w:rFonts w:eastAsiaTheme="minorHAnsi"/>
          <w:lang w:bidi="ar-SA"/>
        </w:rPr>
        <w:footnoteReference w:id="40"/>
      </w:r>
      <w:r w:rsidRPr="00027842">
        <w:rPr>
          <w:rFonts w:eastAsiaTheme="minorHAnsi"/>
          <w:lang w:bidi="ar-SA"/>
        </w:rPr>
        <w:t xml:space="preserve"> </w:t>
      </w:r>
      <w:r w:rsidRPr="00027842" w:rsidR="00B70535">
        <w:rPr>
          <w:rFonts w:eastAsiaTheme="minorHAnsi"/>
          <w:lang w:bidi="ar-SA"/>
        </w:rPr>
        <w:t>The PUCO Staff recommended a $17 million DCI annual revenue cap for 2022 (prorated for whenever new base rates go into effect), $34 million for 2023, $51 million for 2024, and $28 million for the first five months of 2025.</w:t>
      </w:r>
      <w:r>
        <w:rPr>
          <w:rFonts w:eastAsiaTheme="minorHAnsi"/>
          <w:vertAlign w:val="superscript"/>
          <w:lang w:bidi="ar-SA"/>
        </w:rPr>
        <w:footnoteReference w:id="41"/>
      </w:r>
      <w:r w:rsidRPr="00027842" w:rsidR="00B70535">
        <w:rPr>
          <w:rFonts w:eastAsiaTheme="minorHAnsi"/>
          <w:lang w:bidi="ar-SA"/>
        </w:rPr>
        <w:t xml:space="preserve"> However, t</w:t>
      </w:r>
      <w:r w:rsidRPr="00027842">
        <w:rPr>
          <w:rFonts w:eastAsiaTheme="minorHAnsi"/>
          <w:lang w:bidi="ar-SA"/>
        </w:rPr>
        <w:t xml:space="preserve">he </w:t>
      </w:r>
      <w:r w:rsidRPr="00027842" w:rsidR="00B70535">
        <w:rPr>
          <w:rFonts w:eastAsiaTheme="minorHAnsi"/>
          <w:lang w:bidi="ar-SA"/>
        </w:rPr>
        <w:t>PUCO Staff</w:t>
      </w:r>
      <w:r w:rsidRPr="00027842">
        <w:rPr>
          <w:rFonts w:eastAsiaTheme="minorHAnsi"/>
          <w:lang w:bidi="ar-SA"/>
        </w:rPr>
        <w:t xml:space="preserve"> should have recommended </w:t>
      </w:r>
      <w:r w:rsidRPr="00027842" w:rsidR="00E45C94">
        <w:rPr>
          <w:rFonts w:eastAsiaTheme="minorHAnsi"/>
          <w:lang w:bidi="ar-SA"/>
        </w:rPr>
        <w:t xml:space="preserve">lower </w:t>
      </w:r>
      <w:r w:rsidRPr="00027842">
        <w:rPr>
          <w:rFonts w:eastAsiaTheme="minorHAnsi"/>
          <w:lang w:bidi="ar-SA"/>
        </w:rPr>
        <w:t>DCI revenue cap</w:t>
      </w:r>
      <w:r w:rsidRPr="00027842" w:rsidR="00A114BD">
        <w:rPr>
          <w:rFonts w:eastAsiaTheme="minorHAnsi"/>
          <w:lang w:bidi="ar-SA"/>
        </w:rPr>
        <w:t>s</w:t>
      </w:r>
      <w:r w:rsidRPr="00027842">
        <w:rPr>
          <w:rFonts w:eastAsiaTheme="minorHAnsi"/>
          <w:lang w:bidi="ar-SA"/>
        </w:rPr>
        <w:t xml:space="preserve"> </w:t>
      </w:r>
      <w:r w:rsidRPr="00027842" w:rsidR="00B70535">
        <w:rPr>
          <w:rFonts w:eastAsiaTheme="minorHAnsi"/>
          <w:lang w:bidi="ar-SA"/>
        </w:rPr>
        <w:t>that</w:t>
      </w:r>
      <w:r w:rsidRPr="00027842">
        <w:rPr>
          <w:rFonts w:eastAsiaTheme="minorHAnsi"/>
          <w:lang w:bidi="ar-SA"/>
        </w:rPr>
        <w:t xml:space="preserve"> reflect Duke’s failure to meet the PUCO required reliability standards in 2021 or thereafter.</w:t>
      </w:r>
      <w:r w:rsidRPr="00027842" w:rsidR="00C60CCF">
        <w:rPr>
          <w:rFonts w:eastAsiaTheme="minorHAnsi"/>
          <w:lang w:bidi="ar-SA"/>
        </w:rPr>
        <w:t xml:space="preserve"> </w:t>
      </w:r>
    </w:p>
    <w:p w:rsidR="00E138E7" w:rsidRPr="00027842" w:rsidP="00CA1840" w14:paraId="3743C15D" w14:textId="5C3FA75A">
      <w:pPr>
        <w:spacing w:line="480" w:lineRule="auto"/>
        <w:ind w:firstLine="720"/>
        <w:rPr>
          <w:rFonts w:eastAsiaTheme="minorHAnsi"/>
          <w:lang w:bidi="ar-SA"/>
        </w:rPr>
      </w:pPr>
      <w:r w:rsidRPr="00027842">
        <w:rPr>
          <w:rFonts w:eastAsiaTheme="minorHAnsi"/>
          <w:lang w:bidi="ar-SA"/>
        </w:rPr>
        <w:t xml:space="preserve">The PUCO </w:t>
      </w:r>
      <w:r w:rsidRPr="00027842" w:rsidR="00E23EB7">
        <w:rPr>
          <w:rFonts w:eastAsiaTheme="minorHAnsi"/>
          <w:lang w:bidi="ar-SA"/>
        </w:rPr>
        <w:t xml:space="preserve">previously </w:t>
      </w:r>
      <w:r w:rsidRPr="00027842">
        <w:rPr>
          <w:rFonts w:eastAsiaTheme="minorHAnsi"/>
          <w:lang w:bidi="ar-SA"/>
        </w:rPr>
        <w:t xml:space="preserve">approved a </w:t>
      </w:r>
      <w:r w:rsidRPr="00027842" w:rsidR="00E23EB7">
        <w:rPr>
          <w:rFonts w:eastAsiaTheme="minorHAnsi"/>
          <w:lang w:bidi="ar-SA"/>
        </w:rPr>
        <w:t>s</w:t>
      </w:r>
      <w:r w:rsidRPr="00027842">
        <w:rPr>
          <w:rFonts w:eastAsiaTheme="minorHAnsi"/>
          <w:lang w:bidi="ar-SA"/>
        </w:rPr>
        <w:t xml:space="preserve">ettlement </w:t>
      </w:r>
      <w:r w:rsidRPr="00027842" w:rsidR="00E23EB7">
        <w:rPr>
          <w:rFonts w:eastAsiaTheme="minorHAnsi"/>
          <w:lang w:bidi="ar-SA"/>
        </w:rPr>
        <w:t>among</w:t>
      </w:r>
      <w:r w:rsidRPr="00027842">
        <w:rPr>
          <w:rFonts w:eastAsiaTheme="minorHAnsi"/>
          <w:lang w:bidi="ar-SA"/>
        </w:rPr>
        <w:t xml:space="preserve"> Duke,</w:t>
      </w:r>
      <w:r w:rsidRPr="00027842" w:rsidR="00E23EB7">
        <w:rPr>
          <w:rFonts w:eastAsiaTheme="minorHAnsi"/>
          <w:lang w:bidi="ar-SA"/>
        </w:rPr>
        <w:t xml:space="preserve"> the PUCO</w:t>
      </w:r>
      <w:r w:rsidRPr="00027842">
        <w:rPr>
          <w:rFonts w:eastAsiaTheme="minorHAnsi"/>
          <w:lang w:bidi="ar-SA"/>
        </w:rPr>
        <w:t xml:space="preserve"> Staff</w:t>
      </w:r>
      <w:r w:rsidRPr="00027842" w:rsidR="00E23EB7">
        <w:rPr>
          <w:rFonts w:eastAsiaTheme="minorHAnsi"/>
          <w:lang w:bidi="ar-SA"/>
        </w:rPr>
        <w:t>,</w:t>
      </w:r>
      <w:r w:rsidRPr="00027842">
        <w:rPr>
          <w:rFonts w:eastAsiaTheme="minorHAnsi"/>
          <w:lang w:bidi="ar-SA"/>
        </w:rPr>
        <w:t xml:space="preserve"> and other parties in Duke’s last distribution rate case, </w:t>
      </w:r>
      <w:r w:rsidRPr="00027842" w:rsidR="00E23EB7">
        <w:rPr>
          <w:rFonts w:eastAsiaTheme="minorHAnsi"/>
          <w:lang w:bidi="ar-SA"/>
        </w:rPr>
        <w:t>which</w:t>
      </w:r>
      <w:r w:rsidRPr="00027842">
        <w:rPr>
          <w:rFonts w:eastAsiaTheme="minorHAnsi"/>
          <w:lang w:bidi="ar-SA"/>
        </w:rPr>
        <w:t xml:space="preserve"> established annual revenue caps for the DCI Rider based in part on incentives for Duke to meet certain specified minimum reliability performance standards between 2018 and 2025.</w:t>
      </w:r>
      <w:r>
        <w:rPr>
          <w:rFonts w:eastAsiaTheme="minorHAnsi"/>
          <w:vertAlign w:val="superscript"/>
          <w:lang w:bidi="ar-SA"/>
        </w:rPr>
        <w:footnoteReference w:id="42"/>
      </w:r>
      <w:r w:rsidRPr="00027842">
        <w:rPr>
          <w:rFonts w:eastAsiaTheme="minorHAnsi"/>
          <w:lang w:bidi="ar-SA"/>
        </w:rPr>
        <w:t xml:space="preserve"> </w:t>
      </w:r>
      <w:r w:rsidRPr="00027842" w:rsidR="00E23EB7">
        <w:rPr>
          <w:rFonts w:eastAsiaTheme="minorHAnsi"/>
          <w:lang w:bidi="ar-SA"/>
        </w:rPr>
        <w:t xml:space="preserve">However, </w:t>
      </w:r>
      <w:r w:rsidRPr="00027842">
        <w:rPr>
          <w:rFonts w:eastAsiaTheme="minorHAnsi"/>
          <w:lang w:bidi="ar-SA"/>
        </w:rPr>
        <w:t xml:space="preserve">Duke failed to meet its minimum reliability performance standard as measured by a System Average Interruption Frequency Index (“SAIFI”) of 0.83 in 2021. </w:t>
      </w:r>
      <w:r w:rsidRPr="00027842" w:rsidR="00E23EB7">
        <w:rPr>
          <w:rFonts w:eastAsiaTheme="minorHAnsi"/>
          <w:lang w:bidi="ar-SA"/>
        </w:rPr>
        <w:t xml:space="preserve">Thus, consumers should not be required to pay for reliability improvements under the DCI Rider </w:t>
      </w:r>
      <w:r w:rsidRPr="00027842" w:rsidR="00712AC1">
        <w:rPr>
          <w:rFonts w:eastAsiaTheme="minorHAnsi"/>
          <w:lang w:bidi="ar-SA"/>
        </w:rPr>
        <w:t xml:space="preserve">now or in the future when </w:t>
      </w:r>
      <w:r w:rsidRPr="00027842" w:rsidR="00E23EB7">
        <w:rPr>
          <w:rFonts w:eastAsiaTheme="minorHAnsi"/>
          <w:lang w:bidi="ar-SA"/>
        </w:rPr>
        <w:t xml:space="preserve">Duke fails to </w:t>
      </w:r>
      <w:r w:rsidRPr="00027842" w:rsidR="00A114BD">
        <w:rPr>
          <w:rFonts w:eastAsiaTheme="minorHAnsi"/>
          <w:lang w:bidi="ar-SA"/>
        </w:rPr>
        <w:t>meet the minimum reliability performance standard</w:t>
      </w:r>
      <w:r w:rsidRPr="00027842" w:rsidR="007B65C8">
        <w:rPr>
          <w:rFonts w:eastAsiaTheme="minorHAnsi"/>
          <w:lang w:bidi="ar-SA"/>
        </w:rPr>
        <w:t xml:space="preserve">. </w:t>
      </w:r>
    </w:p>
    <w:p w:rsidR="00FD5CE2" w:rsidRPr="00027842" w:rsidP="00B559EF" w14:paraId="34EFE501" w14:textId="566D7123">
      <w:pPr>
        <w:pStyle w:val="Heading2"/>
        <w:rPr>
          <w:rFonts w:ascii="Times New Roman" w:hAnsi="Times New Roman"/>
        </w:rPr>
      </w:pPr>
      <w:bookmarkStart w:id="34" w:name="_Toc106717615"/>
      <w:r w:rsidRPr="00027842">
        <w:rPr>
          <w:rFonts w:ascii="Times New Roman" w:hAnsi="Times New Roman"/>
        </w:rPr>
        <w:t>B.</w:t>
      </w:r>
      <w:r w:rsidRPr="00027842">
        <w:rPr>
          <w:rFonts w:ascii="Times New Roman" w:hAnsi="Times New Roman"/>
        </w:rPr>
        <w:tab/>
        <w:t>Rate Base and Operating Income</w:t>
      </w:r>
      <w:bookmarkEnd w:id="34"/>
    </w:p>
    <w:p w:rsidR="00B8593A" w:rsidRPr="00027842" w:rsidP="00B87B59" w14:paraId="457D4F7F" w14:textId="7AFCB7D0">
      <w:pPr>
        <w:pStyle w:val="Heading3"/>
      </w:pPr>
      <w:bookmarkStart w:id="35" w:name="_Toc106717616"/>
      <w:r w:rsidRPr="00027842">
        <w:rPr>
          <w:rStyle w:val="Heading4Char"/>
          <w:rFonts w:ascii="Times New Roman" w:hAnsi="Times New Roman"/>
          <w:b/>
          <w:bCs/>
          <w:szCs w:val="24"/>
          <w:lang w:bidi="ar-SA"/>
        </w:rPr>
        <w:t>1.</w:t>
      </w:r>
      <w:r w:rsidRPr="00027842">
        <w:rPr>
          <w:rStyle w:val="Heading4Char"/>
          <w:rFonts w:ascii="Times New Roman" w:hAnsi="Times New Roman"/>
          <w:b/>
          <w:bCs/>
          <w:szCs w:val="24"/>
          <w:lang w:bidi="ar-SA"/>
        </w:rPr>
        <w:tab/>
      </w:r>
      <w:r w:rsidRPr="00027842">
        <w:rPr>
          <w:rStyle w:val="Heading4Char"/>
          <w:rFonts w:ascii="Times New Roman" w:hAnsi="Times New Roman"/>
          <w:b/>
          <w:bCs/>
          <w:szCs w:val="24"/>
          <w:lang w:bidi="ar-SA"/>
        </w:rPr>
        <w:t xml:space="preserve">Objection No. </w:t>
      </w:r>
      <w:r w:rsidRPr="00027842" w:rsidR="00E77B2B">
        <w:rPr>
          <w:rStyle w:val="Heading4Char"/>
          <w:rFonts w:ascii="Times New Roman" w:hAnsi="Times New Roman"/>
          <w:b/>
          <w:bCs/>
          <w:szCs w:val="24"/>
          <w:lang w:bidi="ar-SA"/>
        </w:rPr>
        <w:t>3</w:t>
      </w:r>
      <w:r w:rsidRPr="00027842">
        <w:rPr>
          <w:rStyle w:val="Heading4Char"/>
          <w:rFonts w:ascii="Times New Roman" w:hAnsi="Times New Roman"/>
          <w:b/>
          <w:bCs/>
          <w:szCs w:val="24"/>
          <w:lang w:bidi="ar-SA"/>
        </w:rPr>
        <w:t xml:space="preserve">: </w:t>
      </w:r>
      <w:r w:rsidRPr="00027842">
        <w:t xml:space="preserve">The Staff Report </w:t>
      </w:r>
      <w:r w:rsidRPr="00027842" w:rsidR="00B7263A">
        <w:t xml:space="preserve">harms consumers </w:t>
      </w:r>
      <w:r w:rsidRPr="00027842">
        <w:t>by a</w:t>
      </w:r>
      <w:r w:rsidRPr="00027842" w:rsidR="00B7263A">
        <w:t>dopting</w:t>
      </w:r>
      <w:r w:rsidRPr="00027842">
        <w:t xml:space="preserve"> </w:t>
      </w:r>
      <w:r w:rsidRPr="00027842" w:rsidR="00B7263A">
        <w:t>Duke</w:t>
      </w:r>
      <w:r w:rsidRPr="00027842">
        <w:t>’s method of calculating normalization of major event day distribution storm recovery</w:t>
      </w:r>
      <w:r w:rsidRPr="00027842" w:rsidR="007B65C8">
        <w:t xml:space="preserve"> expense</w:t>
      </w:r>
      <w:r w:rsidRPr="00027842">
        <w:t>.</w:t>
      </w:r>
      <w:bookmarkEnd w:id="35"/>
      <w:r w:rsidRPr="00027842" w:rsidR="00C60CCF">
        <w:t xml:space="preserve"> </w:t>
      </w:r>
      <w:bookmarkStart w:id="36" w:name="_Hlk105584516"/>
    </w:p>
    <w:p w:rsidR="00B8593A" w:rsidRPr="00027842" w:rsidP="00E40A7D" w14:paraId="09C19810" w14:textId="1E3CF452">
      <w:pPr>
        <w:spacing w:line="480" w:lineRule="auto"/>
        <w:ind w:firstLine="720"/>
        <w:rPr>
          <w:lang w:bidi="ar-SA"/>
        </w:rPr>
      </w:pPr>
      <w:r w:rsidRPr="00027842">
        <w:rPr>
          <w:lang w:bidi="ar-SA"/>
        </w:rPr>
        <w:t>OCC objects</w:t>
      </w:r>
      <w:r w:rsidRPr="00027842" w:rsidR="00B7263A">
        <w:rPr>
          <w:lang w:bidi="ar-SA"/>
        </w:rPr>
        <w:t xml:space="preserve"> </w:t>
      </w:r>
      <w:r w:rsidRPr="00027842" w:rsidR="004A6BC1">
        <w:rPr>
          <w:lang w:bidi="ar-SA"/>
        </w:rPr>
        <w:t xml:space="preserve">to </w:t>
      </w:r>
      <w:r w:rsidRPr="00027842" w:rsidR="00B7263A">
        <w:rPr>
          <w:lang w:bidi="ar-SA"/>
        </w:rPr>
        <w:t>the Staff Report because it adopted</w:t>
      </w:r>
      <w:r w:rsidRPr="00027842">
        <w:rPr>
          <w:lang w:bidi="ar-SA"/>
        </w:rPr>
        <w:t xml:space="preserve"> Duke’s use of an average of the years 2016 through 2020 to calculate th</w:t>
      </w:r>
      <w:r w:rsidRPr="00027842" w:rsidR="007B65C8">
        <w:rPr>
          <w:lang w:bidi="ar-SA"/>
        </w:rPr>
        <w:t xml:space="preserve">e normalization of major event day distribution storm recovery </w:t>
      </w:r>
      <w:r w:rsidRPr="00027842">
        <w:rPr>
          <w:lang w:bidi="ar-SA"/>
        </w:rPr>
        <w:t>expense.</w:t>
      </w:r>
      <w:r>
        <w:rPr>
          <w:rStyle w:val="FootnoteReference"/>
          <w:lang w:bidi="ar-SA"/>
        </w:rPr>
        <w:footnoteReference w:id="43"/>
      </w:r>
      <w:r w:rsidRPr="00027842">
        <w:rPr>
          <w:lang w:bidi="ar-SA"/>
        </w:rPr>
        <w:t xml:space="preserve"> </w:t>
      </w:r>
      <w:r w:rsidRPr="00027842" w:rsidR="0073617A">
        <w:rPr>
          <w:lang w:bidi="ar-SA"/>
        </w:rPr>
        <w:t>Th</w:t>
      </w:r>
      <w:r w:rsidRPr="00027842" w:rsidR="00246342">
        <w:rPr>
          <w:lang w:bidi="ar-SA"/>
        </w:rPr>
        <w:t>e Staff Report unreasonably</w:t>
      </w:r>
      <w:r w:rsidRPr="00027842" w:rsidR="0073617A">
        <w:rPr>
          <w:lang w:bidi="ar-SA"/>
        </w:rPr>
        <w:t xml:space="preserve"> increased test year expense by $780,780.</w:t>
      </w:r>
      <w:r>
        <w:rPr>
          <w:rStyle w:val="FootnoteReference"/>
          <w:lang w:bidi="ar-SA"/>
        </w:rPr>
        <w:footnoteReference w:id="44"/>
      </w:r>
      <w:r w:rsidRPr="00027842" w:rsidR="0073617A">
        <w:rPr>
          <w:lang w:bidi="ar-SA"/>
        </w:rPr>
        <w:t xml:space="preserve"> </w:t>
      </w:r>
      <w:r w:rsidRPr="00027842" w:rsidR="004075D7">
        <w:rPr>
          <w:lang w:bidi="ar-SA"/>
        </w:rPr>
        <w:t xml:space="preserve">Because the </w:t>
      </w:r>
      <w:r w:rsidRPr="00027842" w:rsidR="004141F0">
        <w:rPr>
          <w:lang w:bidi="ar-SA"/>
        </w:rPr>
        <w:t>costs</w:t>
      </w:r>
      <w:r w:rsidRPr="00027842" w:rsidR="00CA1B3D">
        <w:rPr>
          <w:lang w:bidi="ar-SA"/>
        </w:rPr>
        <w:t xml:space="preserve"> for the years</w:t>
      </w:r>
      <w:r w:rsidRPr="00027842" w:rsidR="004141F0">
        <w:rPr>
          <w:lang w:bidi="ar-SA"/>
        </w:rPr>
        <w:t xml:space="preserve"> from 2017 through 2021 are more </w:t>
      </w:r>
      <w:r w:rsidRPr="00027842" w:rsidR="002523DA">
        <w:rPr>
          <w:lang w:bidi="ar-SA"/>
        </w:rPr>
        <w:t>recent, they can be expected to be more reflective of costs likely to be incurred during the rate effective period</w:t>
      </w:r>
      <w:r w:rsidRPr="00027842" w:rsidR="007B65C8">
        <w:rPr>
          <w:lang w:bidi="ar-SA"/>
        </w:rPr>
        <w:t xml:space="preserve"> going forward</w:t>
      </w:r>
      <w:r w:rsidRPr="00027842" w:rsidR="002523DA">
        <w:rPr>
          <w:lang w:bidi="ar-SA"/>
        </w:rPr>
        <w:t>.</w:t>
      </w:r>
      <w:r w:rsidR="00027842">
        <w:rPr>
          <w:lang w:bidi="ar-SA"/>
        </w:rPr>
        <w:t xml:space="preserve"> </w:t>
      </w:r>
      <w:r w:rsidRPr="00027842" w:rsidR="002523DA">
        <w:rPr>
          <w:lang w:bidi="ar-SA"/>
        </w:rPr>
        <w:t xml:space="preserve">For this </w:t>
      </w:r>
      <w:r w:rsidRPr="00027842" w:rsidR="0026559E">
        <w:rPr>
          <w:lang w:bidi="ar-SA"/>
        </w:rPr>
        <w:t>reason,</w:t>
      </w:r>
      <w:r w:rsidRPr="00027842" w:rsidR="002523DA">
        <w:rPr>
          <w:lang w:bidi="ar-SA"/>
        </w:rPr>
        <w:t xml:space="preserve"> the most current expenses should </w:t>
      </w:r>
      <w:r w:rsidRPr="00027842" w:rsidR="002E2AC5">
        <w:rPr>
          <w:lang w:bidi="ar-SA"/>
        </w:rPr>
        <w:t>be</w:t>
      </w:r>
      <w:r w:rsidRPr="00027842" w:rsidR="002523DA">
        <w:rPr>
          <w:lang w:bidi="ar-SA"/>
        </w:rPr>
        <w:t xml:space="preserve"> used</w:t>
      </w:r>
      <w:r w:rsidRPr="00027842" w:rsidR="004141F0">
        <w:rPr>
          <w:lang w:bidi="ar-SA"/>
        </w:rPr>
        <w:t>.</w:t>
      </w:r>
      <w:r w:rsidRPr="00027842" w:rsidR="00C60CCF">
        <w:rPr>
          <w:lang w:bidi="ar-SA"/>
        </w:rPr>
        <w:t xml:space="preserve"> </w:t>
      </w:r>
      <w:r w:rsidRPr="00027842" w:rsidR="004075D7">
        <w:rPr>
          <w:lang w:bidi="ar-SA"/>
        </w:rPr>
        <w:t>Further, in calculating this average</w:t>
      </w:r>
      <w:r w:rsidRPr="00027842" w:rsidR="0061391D">
        <w:rPr>
          <w:lang w:bidi="ar-SA"/>
        </w:rPr>
        <w:t xml:space="preserve"> distribution storm recovery expense</w:t>
      </w:r>
      <w:r w:rsidRPr="00027842" w:rsidR="004075D7">
        <w:rPr>
          <w:lang w:bidi="ar-SA"/>
        </w:rPr>
        <w:t xml:space="preserve">, </w:t>
      </w:r>
      <w:r w:rsidRPr="00027842" w:rsidR="0073617A">
        <w:rPr>
          <w:lang w:bidi="ar-SA"/>
        </w:rPr>
        <w:t>Duke</w:t>
      </w:r>
      <w:r w:rsidRPr="00027842" w:rsidR="004075D7">
        <w:rPr>
          <w:lang w:bidi="ar-SA"/>
        </w:rPr>
        <w:t xml:space="preserve"> used </w:t>
      </w:r>
      <w:r w:rsidRPr="00027842" w:rsidR="006935E0">
        <w:rPr>
          <w:lang w:bidi="ar-SA"/>
        </w:rPr>
        <w:t>the as</w:t>
      </w:r>
      <w:r w:rsidRPr="00027842" w:rsidR="00CA1B3D">
        <w:rPr>
          <w:lang w:bidi="ar-SA"/>
        </w:rPr>
        <w:t>-</w:t>
      </w:r>
      <w:r w:rsidRPr="00027842" w:rsidR="006935E0">
        <w:rPr>
          <w:lang w:bidi="ar-SA"/>
        </w:rPr>
        <w:t xml:space="preserve">filed </w:t>
      </w:r>
      <w:r w:rsidRPr="00027842" w:rsidR="007A521A">
        <w:rPr>
          <w:lang w:bidi="ar-SA"/>
        </w:rPr>
        <w:t>costs</w:t>
      </w:r>
      <w:r w:rsidRPr="00027842" w:rsidR="004141F0">
        <w:rPr>
          <w:lang w:bidi="ar-SA"/>
        </w:rPr>
        <w:t xml:space="preserve"> rather than the approved </w:t>
      </w:r>
      <w:r w:rsidRPr="00027842" w:rsidR="007A521A">
        <w:rPr>
          <w:lang w:bidi="ar-SA"/>
        </w:rPr>
        <w:t>costs</w:t>
      </w:r>
      <w:r w:rsidRPr="00027842" w:rsidR="004141F0">
        <w:rPr>
          <w:lang w:bidi="ar-SA"/>
        </w:rPr>
        <w:t xml:space="preserve"> from the </w:t>
      </w:r>
      <w:r w:rsidRPr="00027842" w:rsidR="002538FC">
        <w:rPr>
          <w:lang w:bidi="ar-SA"/>
        </w:rPr>
        <w:t xml:space="preserve">PUCO’s September 23, 2021 Finding and </w:t>
      </w:r>
      <w:r w:rsidRPr="00027842" w:rsidR="004141F0">
        <w:rPr>
          <w:lang w:bidi="ar-SA"/>
        </w:rPr>
        <w:t>Order</w:t>
      </w:r>
      <w:r w:rsidRPr="00027842" w:rsidR="002538FC">
        <w:rPr>
          <w:lang w:bidi="ar-SA"/>
        </w:rPr>
        <w:t xml:space="preserve"> in Case No. 21-165-EL-RDR</w:t>
      </w:r>
      <w:r w:rsidRPr="00027842" w:rsidR="004141F0">
        <w:rPr>
          <w:lang w:bidi="ar-SA"/>
        </w:rPr>
        <w:t>.</w:t>
      </w:r>
      <w:r>
        <w:rPr>
          <w:rStyle w:val="FootnoteReference"/>
          <w:lang w:bidi="ar-SA"/>
        </w:rPr>
        <w:footnoteReference w:id="45"/>
      </w:r>
      <w:r w:rsidRPr="00027842" w:rsidR="00C60CCF">
        <w:rPr>
          <w:lang w:bidi="ar-SA"/>
        </w:rPr>
        <w:t xml:space="preserve"> </w:t>
      </w:r>
      <w:r w:rsidRPr="00027842" w:rsidR="004141F0">
        <w:rPr>
          <w:lang w:bidi="ar-SA"/>
        </w:rPr>
        <w:t xml:space="preserve">The calculation of this expense should be updated to use the most recent 5 year of data and </w:t>
      </w:r>
      <w:r w:rsidRPr="00027842" w:rsidR="00CA1B3D">
        <w:rPr>
          <w:lang w:bidi="ar-SA"/>
        </w:rPr>
        <w:t xml:space="preserve">the </w:t>
      </w:r>
      <w:r w:rsidRPr="00027842" w:rsidR="004141F0">
        <w:rPr>
          <w:lang w:bidi="ar-SA"/>
        </w:rPr>
        <w:t xml:space="preserve">approved cost from the </w:t>
      </w:r>
      <w:r w:rsidRPr="00027842" w:rsidR="002538FC">
        <w:rPr>
          <w:lang w:bidi="ar-SA"/>
        </w:rPr>
        <w:t>Order in Case No. 21-165-EL-RDR</w:t>
      </w:r>
      <w:r>
        <w:rPr>
          <w:rStyle w:val="FootnoteReference"/>
          <w:lang w:bidi="ar-SA"/>
        </w:rPr>
        <w:footnoteReference w:id="46"/>
      </w:r>
      <w:r w:rsidRPr="00027842" w:rsidR="0061391D">
        <w:rPr>
          <w:lang w:bidi="ar-SA"/>
        </w:rPr>
        <w:t>.</w:t>
      </w:r>
      <w:r w:rsidR="00027842">
        <w:rPr>
          <w:lang w:bidi="ar-SA"/>
        </w:rPr>
        <w:t xml:space="preserve"> </w:t>
      </w:r>
      <w:bookmarkEnd w:id="36"/>
    </w:p>
    <w:p w:rsidR="007C03C7" w:rsidRPr="00027842" w:rsidP="00B87B59" w14:paraId="49286A2C" w14:textId="290FE0D7">
      <w:pPr>
        <w:pStyle w:val="Heading3"/>
      </w:pPr>
      <w:bookmarkStart w:id="37" w:name="_Toc106717617"/>
      <w:r w:rsidRPr="00027842">
        <w:rPr>
          <w:rStyle w:val="Heading4Char"/>
          <w:rFonts w:ascii="Times New Roman" w:hAnsi="Times New Roman"/>
          <w:b/>
          <w:bCs/>
          <w:szCs w:val="24"/>
          <w:lang w:bidi="ar-SA"/>
        </w:rPr>
        <w:t>2.</w:t>
      </w:r>
      <w:r w:rsidRPr="00027842">
        <w:rPr>
          <w:rStyle w:val="Heading4Char"/>
          <w:rFonts w:ascii="Times New Roman" w:hAnsi="Times New Roman"/>
          <w:b/>
          <w:bCs/>
          <w:szCs w:val="24"/>
          <w:lang w:bidi="ar-SA"/>
        </w:rPr>
        <w:tab/>
      </w:r>
      <w:r w:rsidRPr="00027842" w:rsidR="00F5018E">
        <w:rPr>
          <w:rStyle w:val="Heading4Char"/>
          <w:rFonts w:ascii="Times New Roman" w:hAnsi="Times New Roman"/>
          <w:b/>
          <w:bCs/>
          <w:szCs w:val="24"/>
          <w:lang w:bidi="ar-SA"/>
        </w:rPr>
        <w:t xml:space="preserve">Objection No. </w:t>
      </w:r>
      <w:r w:rsidRPr="00027842" w:rsidR="001958FA">
        <w:rPr>
          <w:rStyle w:val="Heading4Char"/>
          <w:rFonts w:ascii="Times New Roman" w:hAnsi="Times New Roman"/>
          <w:b/>
          <w:bCs/>
          <w:szCs w:val="24"/>
          <w:lang w:bidi="ar-SA"/>
        </w:rPr>
        <w:t>4</w:t>
      </w:r>
      <w:r w:rsidRPr="00027842" w:rsidR="00F5018E">
        <w:rPr>
          <w:rStyle w:val="Heading4Char"/>
          <w:rFonts w:ascii="Times New Roman" w:hAnsi="Times New Roman"/>
          <w:b/>
          <w:bCs/>
          <w:szCs w:val="24"/>
          <w:lang w:bidi="ar-SA"/>
        </w:rPr>
        <w:t xml:space="preserve">: </w:t>
      </w:r>
      <w:r w:rsidRPr="00027842" w:rsidR="00F5018E">
        <w:t xml:space="preserve">The Staff Report </w:t>
      </w:r>
      <w:r w:rsidRPr="00027842" w:rsidR="004A63DF">
        <w:t>harms consumers</w:t>
      </w:r>
      <w:r w:rsidRPr="00027842" w:rsidR="0061391D">
        <w:t>,</w:t>
      </w:r>
      <w:r w:rsidRPr="00027842" w:rsidR="0056407B">
        <w:t xml:space="preserve"> under R.C. 4909.15 and other authority</w:t>
      </w:r>
      <w:r w:rsidRPr="00027842" w:rsidR="0061391D">
        <w:t>,</w:t>
      </w:r>
      <w:r w:rsidRPr="00027842" w:rsidR="004A63DF">
        <w:t xml:space="preserve"> by</w:t>
      </w:r>
      <w:r w:rsidRPr="00027842" w:rsidR="00F5018E">
        <w:t xml:space="preserve"> </w:t>
      </w:r>
      <w:bookmarkStart w:id="38" w:name="_Toc105492913"/>
      <w:r w:rsidRPr="00027842" w:rsidR="00B8593A">
        <w:t>not removing all short-term incentive compensation expense</w:t>
      </w:r>
      <w:r w:rsidRPr="00027842" w:rsidR="006221C3">
        <w:t xml:space="preserve"> from operating expenses and</w:t>
      </w:r>
      <w:r w:rsidRPr="00027842" w:rsidR="003B589F">
        <w:t xml:space="preserve"> rate base</w:t>
      </w:r>
      <w:r w:rsidRPr="00027842" w:rsidR="00B8593A">
        <w:t>.</w:t>
      </w:r>
      <w:bookmarkEnd w:id="37"/>
      <w:bookmarkEnd w:id="38"/>
      <w:r w:rsidRPr="00027842" w:rsidR="00C60CCF">
        <w:t xml:space="preserve"> </w:t>
      </w:r>
    </w:p>
    <w:p w:rsidR="00B8593A" w:rsidRPr="00027842" w:rsidP="00F5018E" w14:paraId="08E03D4F" w14:textId="430806F2">
      <w:pPr>
        <w:spacing w:line="480" w:lineRule="auto"/>
        <w:ind w:firstLine="720"/>
        <w:rPr>
          <w:lang w:bidi="ar-SA"/>
        </w:rPr>
      </w:pPr>
      <w:r w:rsidRPr="00027842">
        <w:rPr>
          <w:lang w:bidi="ar-SA"/>
        </w:rPr>
        <w:t xml:space="preserve">OCC objects that the PUCO </w:t>
      </w:r>
      <w:r w:rsidRPr="00027842" w:rsidR="009B4C56">
        <w:rPr>
          <w:lang w:bidi="ar-SA"/>
        </w:rPr>
        <w:t xml:space="preserve">Staff </w:t>
      </w:r>
      <w:r w:rsidRPr="00027842">
        <w:rPr>
          <w:lang w:bidi="ar-SA"/>
        </w:rPr>
        <w:t>did not remove all short-term incentive compensation expense</w:t>
      </w:r>
      <w:r w:rsidRPr="00027842" w:rsidR="004A63DF">
        <w:rPr>
          <w:lang w:bidi="ar-SA"/>
        </w:rPr>
        <w:t>s</w:t>
      </w:r>
      <w:r w:rsidRPr="00027842" w:rsidR="006221C3">
        <w:rPr>
          <w:lang w:bidi="ar-SA"/>
        </w:rPr>
        <w:t xml:space="preserve"> </w:t>
      </w:r>
      <w:r w:rsidRPr="00027842" w:rsidR="00D15790">
        <w:rPr>
          <w:lang w:bidi="ar-SA"/>
        </w:rPr>
        <w:t>from</w:t>
      </w:r>
      <w:r w:rsidRPr="00027842" w:rsidR="006221C3">
        <w:rPr>
          <w:lang w:bidi="ar-SA"/>
        </w:rPr>
        <w:t xml:space="preserve"> operating expenses</w:t>
      </w:r>
      <w:r w:rsidRPr="00027842">
        <w:rPr>
          <w:lang w:bidi="ar-SA"/>
        </w:rPr>
        <w:t xml:space="preserve">. </w:t>
      </w:r>
      <w:r w:rsidRPr="00027842" w:rsidR="004A6BC1">
        <w:rPr>
          <w:lang w:bidi="ar-SA"/>
        </w:rPr>
        <w:t xml:space="preserve">The PUCO </w:t>
      </w:r>
      <w:r w:rsidRPr="00027842">
        <w:rPr>
          <w:lang w:bidi="ar-SA"/>
        </w:rPr>
        <w:t>Staff removed incentive compensation amounts related to financial metrics, advertising for new business, and limited availability to a few highly compensated individuals.</w:t>
      </w:r>
      <w:r>
        <w:rPr>
          <w:rStyle w:val="FootnoteReference"/>
          <w:lang w:bidi="ar-SA"/>
        </w:rPr>
        <w:footnoteReference w:id="47"/>
      </w:r>
      <w:r w:rsidRPr="00027842">
        <w:rPr>
          <w:lang w:bidi="ar-SA"/>
        </w:rPr>
        <w:t xml:space="preserve"> </w:t>
      </w:r>
      <w:r w:rsidRPr="00027842" w:rsidR="00B81D68">
        <w:rPr>
          <w:lang w:bidi="ar-SA"/>
        </w:rPr>
        <w:t>However, the short</w:t>
      </w:r>
      <w:r w:rsidRPr="00027842" w:rsidR="00C707BA">
        <w:rPr>
          <w:lang w:bidi="ar-SA"/>
        </w:rPr>
        <w:t>-</w:t>
      </w:r>
      <w:r w:rsidRPr="00027842" w:rsidR="00B81D68">
        <w:rPr>
          <w:lang w:bidi="ar-SA"/>
        </w:rPr>
        <w:t xml:space="preserve">term incentive plan rewards all employees, bases </w:t>
      </w:r>
      <w:r w:rsidRPr="00027842" w:rsidR="00D15790">
        <w:rPr>
          <w:lang w:bidi="ar-SA"/>
        </w:rPr>
        <w:t>a</w:t>
      </w:r>
      <w:r w:rsidRPr="00027842" w:rsidR="00B81D68">
        <w:rPr>
          <w:lang w:bidi="ar-SA"/>
        </w:rPr>
        <w:t xml:space="preserve">wards on group goals, and has a financial goal that if not met, </w:t>
      </w:r>
      <w:r w:rsidRPr="00027842" w:rsidR="00D15790">
        <w:rPr>
          <w:lang w:bidi="ar-SA"/>
        </w:rPr>
        <w:t>results in no awards paid</w:t>
      </w:r>
      <w:r w:rsidRPr="00027842" w:rsidR="00B26377">
        <w:rPr>
          <w:lang w:bidi="ar-SA"/>
        </w:rPr>
        <w:t xml:space="preserve">. </w:t>
      </w:r>
      <w:r w:rsidRPr="00027842" w:rsidR="00BC7C6A">
        <w:rPr>
          <w:lang w:bidi="ar-SA"/>
        </w:rPr>
        <w:t>Such expenses are not necessary costs associated with rendering utility service to consumers for the test period, under R.C. 4909.15(A)(4).</w:t>
      </w:r>
      <w:r w:rsidR="00027842">
        <w:rPr>
          <w:lang w:bidi="ar-SA"/>
        </w:rPr>
        <w:t xml:space="preserve"> </w:t>
      </w:r>
      <w:r w:rsidRPr="00027842" w:rsidR="00C43F77">
        <w:rPr>
          <w:lang w:bidi="ar-SA"/>
        </w:rPr>
        <w:t>Shareholders should shoulder these costs</w:t>
      </w:r>
      <w:r w:rsidRPr="00027842" w:rsidR="00B23ECF">
        <w:rPr>
          <w:lang w:bidi="ar-SA"/>
        </w:rPr>
        <w:t xml:space="preserve"> of the short-term incentive plan</w:t>
      </w:r>
      <w:r w:rsidRPr="00027842" w:rsidR="00C43F77">
        <w:rPr>
          <w:lang w:bidi="ar-SA"/>
        </w:rPr>
        <w:t>.</w:t>
      </w:r>
      <w:r w:rsidR="00027842">
        <w:rPr>
          <w:lang w:bidi="ar-SA"/>
        </w:rPr>
        <w:t xml:space="preserve"> </w:t>
      </w:r>
      <w:r w:rsidRPr="00027842" w:rsidR="00B26377">
        <w:rPr>
          <w:lang w:bidi="ar-SA"/>
        </w:rPr>
        <w:t>The plan</w:t>
      </w:r>
      <w:r w:rsidRPr="00027842" w:rsidR="00B81D68">
        <w:rPr>
          <w:lang w:bidi="ar-SA"/>
        </w:rPr>
        <w:t xml:space="preserve"> fails to provide employees with sufficient incentive </w:t>
      </w:r>
      <w:r w:rsidRPr="00027842" w:rsidR="002372CE">
        <w:rPr>
          <w:lang w:bidi="ar-SA"/>
        </w:rPr>
        <w:t xml:space="preserve">to </w:t>
      </w:r>
      <w:r w:rsidRPr="00027842" w:rsidR="00B81D68">
        <w:rPr>
          <w:lang w:bidi="ar-SA"/>
        </w:rPr>
        <w:t>greater</w:t>
      </w:r>
      <w:r w:rsidRPr="00027842" w:rsidR="002372CE">
        <w:rPr>
          <w:lang w:bidi="ar-SA"/>
        </w:rPr>
        <w:t xml:space="preserve"> </w:t>
      </w:r>
      <w:r w:rsidRPr="00027842" w:rsidR="00B81D68">
        <w:rPr>
          <w:lang w:bidi="ar-SA"/>
        </w:rPr>
        <w:t>effort</w:t>
      </w:r>
      <w:r w:rsidR="006A3F1D">
        <w:rPr>
          <w:lang w:bidi="ar-SA"/>
        </w:rPr>
        <w:t>.</w:t>
      </w:r>
      <w:r w:rsidRPr="00027842" w:rsidR="00B81D68">
        <w:rPr>
          <w:lang w:bidi="ar-SA"/>
        </w:rPr>
        <w:t xml:space="preserve"> </w:t>
      </w:r>
      <w:r w:rsidRPr="00027842" w:rsidR="00D15790">
        <w:rPr>
          <w:lang w:bidi="ar-SA"/>
        </w:rPr>
        <w:t>As</w:t>
      </w:r>
      <w:r w:rsidRPr="00027842">
        <w:rPr>
          <w:lang w:bidi="ar-SA"/>
        </w:rPr>
        <w:t xml:space="preserve"> </w:t>
      </w:r>
      <w:r w:rsidRPr="00027842" w:rsidR="00AD03D2">
        <w:rPr>
          <w:lang w:bidi="ar-SA"/>
        </w:rPr>
        <w:t>Duke’s</w:t>
      </w:r>
      <w:r w:rsidRPr="00027842">
        <w:rPr>
          <w:lang w:bidi="ar-SA"/>
        </w:rPr>
        <w:t xml:space="preserve"> incentive compensation plan fails to provide incentive for greater</w:t>
      </w:r>
      <w:r w:rsidRPr="00027842" w:rsidR="002372CE">
        <w:rPr>
          <w:lang w:bidi="ar-SA"/>
        </w:rPr>
        <w:t xml:space="preserve"> </w:t>
      </w:r>
      <w:r w:rsidRPr="00027842">
        <w:rPr>
          <w:lang w:bidi="ar-SA"/>
        </w:rPr>
        <w:t xml:space="preserve">effort from employees, the entire </w:t>
      </w:r>
      <w:r w:rsidRPr="00027842" w:rsidR="002372CE">
        <w:rPr>
          <w:lang w:bidi="ar-SA"/>
        </w:rPr>
        <w:t xml:space="preserve">short-term incentive </w:t>
      </w:r>
      <w:r w:rsidRPr="00027842">
        <w:rPr>
          <w:lang w:bidi="ar-SA"/>
        </w:rPr>
        <w:t>amount should be removed</w:t>
      </w:r>
      <w:r w:rsidR="006A3F1D">
        <w:rPr>
          <w:lang w:bidi="ar-SA"/>
        </w:rPr>
        <w:t>.</w:t>
      </w:r>
    </w:p>
    <w:p w:rsidR="006221C3" w:rsidRPr="00027842" w:rsidP="00AF2124" w14:paraId="6317CBE4" w14:textId="6B58B8A5">
      <w:pPr>
        <w:spacing w:line="480" w:lineRule="auto"/>
        <w:ind w:firstLine="720"/>
        <w:rPr>
          <w:lang w:bidi="ar-SA"/>
        </w:rPr>
      </w:pPr>
      <w:r w:rsidRPr="00027842">
        <w:rPr>
          <w:lang w:bidi="ar-SA"/>
        </w:rPr>
        <w:t xml:space="preserve">In addition, </w:t>
      </w:r>
      <w:r w:rsidRPr="00027842" w:rsidR="00B23ECF">
        <w:rPr>
          <w:lang w:bidi="ar-SA"/>
        </w:rPr>
        <w:t>the PUCO Staff should have removed all capitalized short-term incentive plan costs from rate base.</w:t>
      </w:r>
      <w:r w:rsidR="00027842">
        <w:rPr>
          <w:lang w:bidi="ar-SA"/>
        </w:rPr>
        <w:t xml:space="preserve"> </w:t>
      </w:r>
      <w:r w:rsidRPr="00027842" w:rsidR="00B23ECF">
        <w:rPr>
          <w:lang w:bidi="ar-SA"/>
        </w:rPr>
        <w:t>T</w:t>
      </w:r>
      <w:r w:rsidRPr="00027842">
        <w:rPr>
          <w:lang w:bidi="ar-SA"/>
        </w:rPr>
        <w:t xml:space="preserve">he Staff Report removes </w:t>
      </w:r>
      <w:r w:rsidRPr="00027842" w:rsidR="00E433AC">
        <w:rPr>
          <w:lang w:bidi="ar-SA"/>
        </w:rPr>
        <w:t>c</w:t>
      </w:r>
      <w:r w:rsidRPr="00027842">
        <w:rPr>
          <w:lang w:bidi="ar-SA"/>
        </w:rPr>
        <w:t xml:space="preserve">apitalized </w:t>
      </w:r>
      <w:r w:rsidRPr="00027842" w:rsidR="003B589F">
        <w:rPr>
          <w:lang w:bidi="ar-SA"/>
        </w:rPr>
        <w:t>i</w:t>
      </w:r>
      <w:r w:rsidRPr="00027842">
        <w:rPr>
          <w:lang w:bidi="ar-SA"/>
        </w:rPr>
        <w:t xml:space="preserve">ncentive </w:t>
      </w:r>
      <w:r w:rsidRPr="00027842" w:rsidR="003B589F">
        <w:rPr>
          <w:lang w:bidi="ar-SA"/>
        </w:rPr>
        <w:t>c</w:t>
      </w:r>
      <w:r w:rsidRPr="00027842">
        <w:rPr>
          <w:lang w:bidi="ar-SA"/>
        </w:rPr>
        <w:t>ompensation</w:t>
      </w:r>
      <w:r w:rsidRPr="00027842" w:rsidR="00E433AC">
        <w:rPr>
          <w:lang w:bidi="ar-SA"/>
        </w:rPr>
        <w:t xml:space="preserve"> related to the achievement of financial goals</w:t>
      </w:r>
      <w:r w:rsidRPr="00027842">
        <w:rPr>
          <w:lang w:bidi="ar-SA"/>
        </w:rPr>
        <w:t xml:space="preserve"> </w:t>
      </w:r>
      <w:r w:rsidRPr="00027842" w:rsidR="00E433AC">
        <w:rPr>
          <w:lang w:bidi="ar-SA"/>
        </w:rPr>
        <w:t>from June 1, 2016 through the date certain</w:t>
      </w:r>
      <w:r w:rsidRPr="00027842" w:rsidR="00894FA1">
        <w:rPr>
          <w:lang w:bidi="ar-SA"/>
        </w:rPr>
        <w:t xml:space="preserve"> from rate base</w:t>
      </w:r>
      <w:r w:rsidRPr="00027842" w:rsidR="00E433AC">
        <w:rPr>
          <w:lang w:bidi="ar-SA"/>
        </w:rPr>
        <w:t>.</w:t>
      </w:r>
      <w:r>
        <w:rPr>
          <w:rStyle w:val="FootnoteReference"/>
          <w:lang w:bidi="ar-SA"/>
        </w:rPr>
        <w:footnoteReference w:id="48"/>
      </w:r>
      <w:r w:rsidRPr="00027842" w:rsidR="00E433AC">
        <w:rPr>
          <w:lang w:bidi="ar-SA"/>
        </w:rPr>
        <w:t xml:space="preserve"> For the reasons </w:t>
      </w:r>
      <w:r w:rsidRPr="00027842" w:rsidR="00B23ECF">
        <w:rPr>
          <w:lang w:bidi="ar-SA"/>
        </w:rPr>
        <w:t xml:space="preserve">discussed </w:t>
      </w:r>
      <w:r w:rsidRPr="00027842" w:rsidR="00E433AC">
        <w:rPr>
          <w:lang w:bidi="ar-SA"/>
        </w:rPr>
        <w:t xml:space="preserve">above, </w:t>
      </w:r>
      <w:r w:rsidRPr="00027842" w:rsidR="00AD03D2">
        <w:rPr>
          <w:lang w:bidi="ar-SA"/>
        </w:rPr>
        <w:t>Duke’s</w:t>
      </w:r>
      <w:r w:rsidRPr="00027842" w:rsidR="00E433AC">
        <w:rPr>
          <w:lang w:bidi="ar-SA"/>
        </w:rPr>
        <w:t xml:space="preserve"> short-term incentive plan fails to provide sufficient incentive to employees</w:t>
      </w:r>
      <w:r w:rsidRPr="00027842" w:rsidR="00B23ECF">
        <w:rPr>
          <w:lang w:bidi="ar-SA"/>
        </w:rPr>
        <w:t xml:space="preserve"> to make greater efforts </w:t>
      </w:r>
      <w:r w:rsidRPr="00027842" w:rsidR="00DE2BB9">
        <w:rPr>
          <w:lang w:bidi="ar-SA"/>
        </w:rPr>
        <w:t>in providing utility service to consumers and</w:t>
      </w:r>
      <w:r w:rsidR="00027842">
        <w:rPr>
          <w:lang w:bidi="ar-SA"/>
        </w:rPr>
        <w:t xml:space="preserve"> </w:t>
      </w:r>
      <w:r w:rsidRPr="00027842" w:rsidR="00E433AC">
        <w:rPr>
          <w:lang w:bidi="ar-SA"/>
        </w:rPr>
        <w:t>the</w:t>
      </w:r>
      <w:r w:rsidRPr="00027842" w:rsidR="00AD03D2">
        <w:rPr>
          <w:lang w:bidi="ar-SA"/>
        </w:rPr>
        <w:t xml:space="preserve"> PUCO</w:t>
      </w:r>
      <w:r w:rsidRPr="00027842" w:rsidR="00E433AC">
        <w:rPr>
          <w:lang w:bidi="ar-SA"/>
        </w:rPr>
        <w:t xml:space="preserve"> Staff should remove all capitalized short</w:t>
      </w:r>
      <w:r w:rsidRPr="00027842" w:rsidR="00894FA1">
        <w:rPr>
          <w:lang w:bidi="ar-SA"/>
        </w:rPr>
        <w:t>-</w:t>
      </w:r>
      <w:r w:rsidRPr="00027842" w:rsidR="00E433AC">
        <w:rPr>
          <w:lang w:bidi="ar-SA"/>
        </w:rPr>
        <w:t>term incentive plan costs</w:t>
      </w:r>
      <w:r w:rsidRPr="00027842" w:rsidR="004A2C90">
        <w:rPr>
          <w:lang w:bidi="ar-SA"/>
        </w:rPr>
        <w:t xml:space="preserve"> from rate base</w:t>
      </w:r>
      <w:r w:rsidRPr="00027842" w:rsidR="00E433AC">
        <w:rPr>
          <w:lang w:bidi="ar-SA"/>
        </w:rPr>
        <w:t>.</w:t>
      </w:r>
    </w:p>
    <w:p w:rsidR="00B8593A" w:rsidRPr="00027842" w:rsidP="00B87B59" w14:paraId="72FA7FCD" w14:textId="435856B3">
      <w:pPr>
        <w:pStyle w:val="Heading3"/>
      </w:pPr>
      <w:bookmarkStart w:id="39" w:name="_Toc106717618"/>
      <w:r w:rsidRPr="00027842">
        <w:rPr>
          <w:rStyle w:val="Heading4Char"/>
          <w:rFonts w:ascii="Times New Roman" w:hAnsi="Times New Roman"/>
          <w:b/>
          <w:bCs/>
          <w:szCs w:val="24"/>
        </w:rPr>
        <w:t>3.</w:t>
      </w:r>
      <w:r w:rsidRPr="00027842">
        <w:rPr>
          <w:rStyle w:val="Heading4Char"/>
          <w:rFonts w:ascii="Times New Roman" w:hAnsi="Times New Roman"/>
          <w:b/>
          <w:bCs/>
          <w:szCs w:val="24"/>
        </w:rPr>
        <w:tab/>
      </w:r>
      <w:r w:rsidRPr="00027842" w:rsidR="00F5018E">
        <w:rPr>
          <w:rStyle w:val="Heading4Char"/>
          <w:rFonts w:ascii="Times New Roman" w:hAnsi="Times New Roman"/>
          <w:b/>
          <w:bCs/>
          <w:szCs w:val="24"/>
        </w:rPr>
        <w:t xml:space="preserve">Objection No. </w:t>
      </w:r>
      <w:r w:rsidRPr="00027842" w:rsidR="00082ACD">
        <w:rPr>
          <w:rStyle w:val="Heading4Char"/>
          <w:rFonts w:ascii="Times New Roman" w:hAnsi="Times New Roman"/>
          <w:b/>
          <w:bCs/>
          <w:szCs w:val="24"/>
        </w:rPr>
        <w:t>5</w:t>
      </w:r>
      <w:r w:rsidRPr="00027842" w:rsidR="00F5018E">
        <w:rPr>
          <w:rStyle w:val="Heading4Char"/>
          <w:rFonts w:ascii="Times New Roman" w:hAnsi="Times New Roman"/>
          <w:b/>
          <w:bCs/>
          <w:szCs w:val="24"/>
        </w:rPr>
        <w:t xml:space="preserve">: </w:t>
      </w:r>
      <w:r w:rsidRPr="00027842" w:rsidR="00F5018E">
        <w:t xml:space="preserve">The Staff Report </w:t>
      </w:r>
      <w:r w:rsidRPr="00027842" w:rsidR="00873DB3">
        <w:t xml:space="preserve">harms consumers </w:t>
      </w:r>
      <w:r w:rsidRPr="00027842" w:rsidR="00F5018E">
        <w:t xml:space="preserve">by </w:t>
      </w:r>
      <w:bookmarkStart w:id="40" w:name="_Toc105492914"/>
      <w:r w:rsidRPr="00027842">
        <w:t>failing to reflect gains on the disposition of property.</w:t>
      </w:r>
      <w:bookmarkEnd w:id="39"/>
      <w:bookmarkEnd w:id="40"/>
      <w:r w:rsidRPr="00027842">
        <w:t xml:space="preserve"> </w:t>
      </w:r>
    </w:p>
    <w:p w:rsidR="00B8593A" w:rsidRPr="00027842" w:rsidP="00270D8C" w14:paraId="6FB7E2EF" w14:textId="3C64DC3B">
      <w:pPr>
        <w:spacing w:line="480" w:lineRule="auto"/>
        <w:ind w:firstLine="720"/>
        <w:rPr>
          <w:lang w:bidi="ar-SA"/>
        </w:rPr>
      </w:pPr>
      <w:r w:rsidRPr="00027842">
        <w:rPr>
          <w:lang w:bidi="ar-SA"/>
        </w:rPr>
        <w:t>OCC objects that the PUCO Staff has not reflected gains on sale of property.</w:t>
      </w:r>
      <w:r w:rsidRPr="00027842" w:rsidR="00C60CCF">
        <w:rPr>
          <w:lang w:bidi="ar-SA"/>
        </w:rPr>
        <w:t xml:space="preserve"> </w:t>
      </w:r>
      <w:r w:rsidRPr="00027842" w:rsidR="00873DB3">
        <w:rPr>
          <w:lang w:bidi="ar-SA"/>
        </w:rPr>
        <w:t>Duke</w:t>
      </w:r>
      <w:r w:rsidRPr="00027842">
        <w:rPr>
          <w:lang w:bidi="ar-SA"/>
        </w:rPr>
        <w:t xml:space="preserve"> received $1,440,850 of gains on sale of property </w:t>
      </w:r>
      <w:r w:rsidRPr="00027842" w:rsidR="00D553E4">
        <w:rPr>
          <w:lang w:bidi="ar-SA"/>
        </w:rPr>
        <w:t xml:space="preserve">from </w:t>
      </w:r>
      <w:r w:rsidRPr="00027842">
        <w:rPr>
          <w:lang w:bidi="ar-SA"/>
        </w:rPr>
        <w:t>2016 until the present.</w:t>
      </w:r>
      <w:r w:rsidRPr="00027842" w:rsidR="00C60CCF">
        <w:rPr>
          <w:lang w:bidi="ar-SA"/>
        </w:rPr>
        <w:t xml:space="preserve"> </w:t>
      </w:r>
      <w:r w:rsidRPr="00027842" w:rsidR="00873DB3">
        <w:rPr>
          <w:lang w:bidi="ar-SA"/>
        </w:rPr>
        <w:t xml:space="preserve">Consumers </w:t>
      </w:r>
      <w:r w:rsidRPr="00027842" w:rsidR="00DE2BB9">
        <w:rPr>
          <w:lang w:bidi="ar-SA"/>
        </w:rPr>
        <w:t>pay through utility rates and charges</w:t>
      </w:r>
      <w:r w:rsidR="00027842">
        <w:rPr>
          <w:lang w:bidi="ar-SA"/>
        </w:rPr>
        <w:t xml:space="preserve"> </w:t>
      </w:r>
      <w:r w:rsidRPr="00027842" w:rsidR="003943E8">
        <w:rPr>
          <w:lang w:bidi="ar-SA"/>
        </w:rPr>
        <w:t xml:space="preserve">a return on and of </w:t>
      </w:r>
      <w:r w:rsidRPr="00027842" w:rsidR="00A92C89">
        <w:rPr>
          <w:lang w:bidi="ar-SA"/>
        </w:rPr>
        <w:t>plant in rate base</w:t>
      </w:r>
      <w:r w:rsidR="00027842">
        <w:rPr>
          <w:lang w:bidi="ar-SA"/>
        </w:rPr>
        <w:t xml:space="preserve"> </w:t>
      </w:r>
      <w:r w:rsidRPr="00027842" w:rsidR="0029716F">
        <w:rPr>
          <w:lang w:bidi="ar-SA"/>
        </w:rPr>
        <w:t>Along with the burden, consumers should receive the benefit.</w:t>
      </w:r>
      <w:r w:rsidR="00027842">
        <w:rPr>
          <w:lang w:bidi="ar-SA"/>
        </w:rPr>
        <w:t xml:space="preserve"> </w:t>
      </w:r>
      <w:r w:rsidRPr="00027842" w:rsidR="00A92C89">
        <w:rPr>
          <w:lang w:bidi="ar-SA"/>
        </w:rPr>
        <w:t>As such,</w:t>
      </w:r>
      <w:r w:rsidRPr="00027842" w:rsidR="003943E8">
        <w:rPr>
          <w:lang w:bidi="ar-SA"/>
        </w:rPr>
        <w:t xml:space="preserve"> any gain</w:t>
      </w:r>
      <w:r w:rsidRPr="00027842" w:rsidR="00873DB3">
        <w:rPr>
          <w:lang w:bidi="ar-SA"/>
        </w:rPr>
        <w:t>s</w:t>
      </w:r>
      <w:r w:rsidRPr="00027842" w:rsidR="003943E8">
        <w:rPr>
          <w:lang w:bidi="ar-SA"/>
        </w:rPr>
        <w:t xml:space="preserve"> that </w:t>
      </w:r>
      <w:r w:rsidRPr="00027842" w:rsidR="00873DB3">
        <w:rPr>
          <w:lang w:bidi="ar-SA"/>
        </w:rPr>
        <w:t>come</w:t>
      </w:r>
      <w:r w:rsidRPr="00027842" w:rsidR="003943E8">
        <w:rPr>
          <w:lang w:bidi="ar-SA"/>
        </w:rPr>
        <w:t xml:space="preserve"> from </w:t>
      </w:r>
      <w:r w:rsidRPr="00027842" w:rsidR="00A92C89">
        <w:rPr>
          <w:lang w:bidi="ar-SA"/>
        </w:rPr>
        <w:t xml:space="preserve">the </w:t>
      </w:r>
      <w:r w:rsidRPr="00027842" w:rsidR="003943E8">
        <w:rPr>
          <w:lang w:bidi="ar-SA"/>
        </w:rPr>
        <w:t xml:space="preserve">disposition </w:t>
      </w:r>
      <w:r w:rsidRPr="00027842" w:rsidR="00A92C89">
        <w:rPr>
          <w:lang w:bidi="ar-SA"/>
        </w:rPr>
        <w:t>of this property</w:t>
      </w:r>
      <w:r w:rsidRPr="00027842" w:rsidR="00DF58AE">
        <w:rPr>
          <w:lang w:bidi="ar-SA"/>
        </w:rPr>
        <w:t xml:space="preserve"> that was paid for by consumers </w:t>
      </w:r>
      <w:r w:rsidRPr="00027842" w:rsidR="003943E8">
        <w:rPr>
          <w:lang w:bidi="ar-SA"/>
        </w:rPr>
        <w:t xml:space="preserve">should </w:t>
      </w:r>
      <w:r w:rsidRPr="00027842" w:rsidR="003B589F">
        <w:rPr>
          <w:lang w:bidi="ar-SA"/>
        </w:rPr>
        <w:t>be returned</w:t>
      </w:r>
      <w:r w:rsidRPr="00027842" w:rsidR="003943E8">
        <w:rPr>
          <w:lang w:bidi="ar-SA"/>
        </w:rPr>
        <w:t xml:space="preserve"> to </w:t>
      </w:r>
      <w:r w:rsidRPr="00027842" w:rsidR="00873DB3">
        <w:rPr>
          <w:lang w:bidi="ar-SA"/>
        </w:rPr>
        <w:t>consumers</w:t>
      </w:r>
      <w:r w:rsidRPr="00027842" w:rsidR="003943E8">
        <w:rPr>
          <w:lang w:bidi="ar-SA"/>
        </w:rPr>
        <w:t xml:space="preserve">. </w:t>
      </w:r>
      <w:r w:rsidRPr="00027842">
        <w:rPr>
          <w:lang w:bidi="ar-SA"/>
        </w:rPr>
        <w:t xml:space="preserve">If </w:t>
      </w:r>
      <w:r w:rsidRPr="00027842" w:rsidR="00612B11">
        <w:rPr>
          <w:lang w:bidi="ar-SA"/>
        </w:rPr>
        <w:t>gains that have occurred from the disposition of this property in each of the years 2016 through 2021</w:t>
      </w:r>
      <w:r w:rsidRPr="00027842" w:rsidR="00873DB3">
        <w:rPr>
          <w:lang w:bidi="ar-SA"/>
        </w:rPr>
        <w:t xml:space="preserve"> are</w:t>
      </w:r>
      <w:r w:rsidRPr="00027842">
        <w:rPr>
          <w:lang w:bidi="ar-SA"/>
        </w:rPr>
        <w:t xml:space="preserve"> not reflected in the adjusted test year </w:t>
      </w:r>
      <w:r w:rsidRPr="00027842" w:rsidR="00873DB3">
        <w:rPr>
          <w:lang w:bidi="ar-SA"/>
        </w:rPr>
        <w:t xml:space="preserve">Duke </w:t>
      </w:r>
      <w:r w:rsidRPr="00027842">
        <w:rPr>
          <w:lang w:bidi="ar-SA"/>
        </w:rPr>
        <w:t xml:space="preserve">will </w:t>
      </w:r>
      <w:r w:rsidRPr="00027842" w:rsidR="00873DB3">
        <w:rPr>
          <w:lang w:bidi="ar-SA"/>
        </w:rPr>
        <w:t>keep</w:t>
      </w:r>
      <w:r w:rsidRPr="00027842">
        <w:rPr>
          <w:lang w:bidi="ar-SA"/>
        </w:rPr>
        <w:t xml:space="preserve"> these funds to the</w:t>
      </w:r>
      <w:r w:rsidRPr="00027842" w:rsidR="00873DB3">
        <w:rPr>
          <w:lang w:bidi="ar-SA"/>
        </w:rPr>
        <w:t xml:space="preserve"> detriment of consumers</w:t>
      </w:r>
      <w:r w:rsidRPr="00027842">
        <w:rPr>
          <w:lang w:bidi="ar-SA"/>
        </w:rPr>
        <w:t>.</w:t>
      </w:r>
    </w:p>
    <w:p w:rsidR="00B8593A" w:rsidRPr="00027842" w:rsidP="00B87B59" w14:paraId="4ECB82BD" w14:textId="3E00A0F8">
      <w:pPr>
        <w:pStyle w:val="Heading3"/>
      </w:pPr>
      <w:bookmarkStart w:id="41" w:name="_Toc106717619"/>
      <w:r w:rsidRPr="00027842">
        <w:rPr>
          <w:rStyle w:val="Heading4Char"/>
          <w:rFonts w:ascii="Times New Roman" w:hAnsi="Times New Roman"/>
          <w:b/>
          <w:bCs/>
          <w:szCs w:val="24"/>
        </w:rPr>
        <w:t>4.</w:t>
      </w:r>
      <w:r w:rsidRPr="00027842">
        <w:rPr>
          <w:rStyle w:val="Heading4Char"/>
          <w:rFonts w:ascii="Times New Roman" w:hAnsi="Times New Roman"/>
          <w:b/>
          <w:bCs/>
          <w:szCs w:val="24"/>
        </w:rPr>
        <w:tab/>
      </w:r>
      <w:r w:rsidRPr="00027842" w:rsidR="00F5018E">
        <w:rPr>
          <w:rStyle w:val="Heading4Char"/>
          <w:rFonts w:ascii="Times New Roman" w:hAnsi="Times New Roman"/>
          <w:b/>
          <w:bCs/>
          <w:szCs w:val="24"/>
        </w:rPr>
        <w:t xml:space="preserve">Objection No. </w:t>
      </w:r>
      <w:r w:rsidRPr="00027842" w:rsidR="00082ACD">
        <w:rPr>
          <w:rStyle w:val="Heading4Char"/>
          <w:rFonts w:ascii="Times New Roman" w:hAnsi="Times New Roman"/>
          <w:b/>
          <w:bCs/>
          <w:szCs w:val="24"/>
        </w:rPr>
        <w:t>6</w:t>
      </w:r>
      <w:r w:rsidRPr="00027842" w:rsidR="00F5018E">
        <w:rPr>
          <w:rStyle w:val="Heading4Char"/>
          <w:rFonts w:ascii="Times New Roman" w:hAnsi="Times New Roman"/>
          <w:b/>
          <w:bCs/>
          <w:szCs w:val="24"/>
        </w:rPr>
        <w:t xml:space="preserve">: </w:t>
      </w:r>
      <w:r w:rsidRPr="00027842" w:rsidR="00F5018E">
        <w:t xml:space="preserve">The Staff Report </w:t>
      </w:r>
      <w:r w:rsidRPr="00027842" w:rsidR="00873DB3">
        <w:t>harms consumers</w:t>
      </w:r>
      <w:r w:rsidRPr="00027842" w:rsidR="00F5018E">
        <w:t xml:space="preserve"> by </w:t>
      </w:r>
      <w:bookmarkStart w:id="42" w:name="_Toc105492915"/>
      <w:bookmarkStart w:id="43" w:name="_Hlk104991462"/>
      <w:r w:rsidRPr="00027842" w:rsidR="007C03C7">
        <w:t>f</w:t>
      </w:r>
      <w:r w:rsidRPr="00027842">
        <w:t>ailing to remove costs and fees related to</w:t>
      </w:r>
      <w:r w:rsidRPr="00027842" w:rsidR="00E747F8">
        <w:t xml:space="preserve"> the</w:t>
      </w:r>
      <w:r w:rsidRPr="00027842">
        <w:t xml:space="preserve"> Board of Directors.</w:t>
      </w:r>
      <w:bookmarkEnd w:id="41"/>
      <w:bookmarkEnd w:id="42"/>
      <w:r w:rsidRPr="00027842">
        <w:t xml:space="preserve"> </w:t>
      </w:r>
    </w:p>
    <w:p w:rsidR="00B8593A" w:rsidRPr="00027842" w:rsidP="007C03C7" w14:paraId="706375C8" w14:textId="21DB0316">
      <w:pPr>
        <w:spacing w:line="480" w:lineRule="auto"/>
        <w:ind w:firstLine="720"/>
        <w:rPr>
          <w:lang w:bidi="ar-SA"/>
        </w:rPr>
      </w:pPr>
      <w:r w:rsidRPr="00027842">
        <w:rPr>
          <w:lang w:bidi="ar-SA"/>
        </w:rPr>
        <w:t xml:space="preserve">OCC objects </w:t>
      </w:r>
      <w:r w:rsidRPr="00027842" w:rsidR="00873DB3">
        <w:rPr>
          <w:lang w:bidi="ar-SA"/>
        </w:rPr>
        <w:t>to the Staff Report because it fails to</w:t>
      </w:r>
      <w:r w:rsidRPr="00027842">
        <w:rPr>
          <w:lang w:bidi="ar-SA"/>
        </w:rPr>
        <w:t xml:space="preserve"> make an adjustment to remove </w:t>
      </w:r>
      <w:r w:rsidRPr="00027842" w:rsidR="004F0D6B">
        <w:rPr>
          <w:lang w:bidi="ar-SA"/>
        </w:rPr>
        <w:t xml:space="preserve">the </w:t>
      </w:r>
      <w:r w:rsidRPr="00027842" w:rsidR="005F4345">
        <w:rPr>
          <w:lang w:bidi="ar-SA"/>
        </w:rPr>
        <w:t xml:space="preserve">costs </w:t>
      </w:r>
      <w:r w:rsidRPr="00027842" w:rsidR="004F0D6B">
        <w:rPr>
          <w:lang w:bidi="ar-SA"/>
        </w:rPr>
        <w:t xml:space="preserve">(such as compensation, transportation, lodging, and meals) </w:t>
      </w:r>
      <w:r w:rsidRPr="00027842" w:rsidR="005F4345">
        <w:rPr>
          <w:lang w:bidi="ar-SA"/>
        </w:rPr>
        <w:t xml:space="preserve">for Duke’s </w:t>
      </w:r>
      <w:r w:rsidRPr="00027842" w:rsidR="00E747F8">
        <w:rPr>
          <w:lang w:bidi="ar-SA"/>
        </w:rPr>
        <w:t>B</w:t>
      </w:r>
      <w:r w:rsidRPr="00027842">
        <w:rPr>
          <w:lang w:bidi="ar-SA"/>
        </w:rPr>
        <w:t xml:space="preserve">oard of </w:t>
      </w:r>
      <w:r w:rsidRPr="00027842" w:rsidR="00E747F8">
        <w:rPr>
          <w:lang w:bidi="ar-SA"/>
        </w:rPr>
        <w:t>D</w:t>
      </w:r>
      <w:r w:rsidRPr="00027842" w:rsidR="00EC7711">
        <w:rPr>
          <w:lang w:bidi="ar-SA"/>
        </w:rPr>
        <w:t>irectors</w:t>
      </w:r>
      <w:r w:rsidRPr="00027842">
        <w:rPr>
          <w:lang w:bidi="ar-SA"/>
        </w:rPr>
        <w:t>.</w:t>
      </w:r>
      <w:r w:rsidRPr="00027842" w:rsidR="00C60CCF">
        <w:rPr>
          <w:lang w:bidi="ar-SA"/>
        </w:rPr>
        <w:t xml:space="preserve"> </w:t>
      </w:r>
      <w:r w:rsidRPr="00027842" w:rsidR="005F4345">
        <w:rPr>
          <w:lang w:bidi="ar-SA"/>
        </w:rPr>
        <w:t>Duke</w:t>
      </w:r>
      <w:r w:rsidRPr="00027842">
        <w:rPr>
          <w:lang w:bidi="ar-SA"/>
        </w:rPr>
        <w:t xml:space="preserve"> and its shareholders are the primary beneficiaries of the </w:t>
      </w:r>
      <w:r w:rsidRPr="00027842" w:rsidR="00E747F8">
        <w:rPr>
          <w:lang w:bidi="ar-SA"/>
        </w:rPr>
        <w:t>B</w:t>
      </w:r>
      <w:r w:rsidRPr="00027842">
        <w:rPr>
          <w:lang w:bidi="ar-SA"/>
        </w:rPr>
        <w:t xml:space="preserve">oard of </w:t>
      </w:r>
      <w:r w:rsidRPr="00027842" w:rsidR="00E747F8">
        <w:rPr>
          <w:lang w:bidi="ar-SA"/>
        </w:rPr>
        <w:t>D</w:t>
      </w:r>
      <w:r w:rsidRPr="00027842">
        <w:rPr>
          <w:lang w:bidi="ar-SA"/>
        </w:rPr>
        <w:t>irectors</w:t>
      </w:r>
      <w:r w:rsidRPr="00027842" w:rsidR="005F4345">
        <w:rPr>
          <w:lang w:bidi="ar-SA"/>
        </w:rPr>
        <w:t xml:space="preserve"> and thus, consumers should not be forced to pay for all of the costs. OCC recommends that</w:t>
      </w:r>
      <w:r w:rsidRPr="00027842">
        <w:rPr>
          <w:lang w:bidi="ar-SA"/>
        </w:rPr>
        <w:t xml:space="preserve"> 75% of board of </w:t>
      </w:r>
      <w:r w:rsidRPr="00027842" w:rsidR="00EC7711">
        <w:rPr>
          <w:lang w:bidi="ar-SA"/>
        </w:rPr>
        <w:t>directors’</w:t>
      </w:r>
      <w:r w:rsidRPr="00027842">
        <w:rPr>
          <w:lang w:bidi="ar-SA"/>
        </w:rPr>
        <w:t xml:space="preserve"> costs should be removed. </w:t>
      </w:r>
    </w:p>
    <w:p w:rsidR="00015657" w:rsidRPr="00027842" w:rsidP="00B559EF" w14:paraId="70B7CCC4" w14:textId="3C9623DF">
      <w:pPr>
        <w:pStyle w:val="Heading2"/>
        <w:rPr>
          <w:rFonts w:ascii="Times New Roman" w:hAnsi="Times New Roman"/>
        </w:rPr>
      </w:pPr>
      <w:bookmarkStart w:id="44" w:name="_Toc102143391"/>
      <w:bookmarkStart w:id="45" w:name="_Toc102143582"/>
      <w:bookmarkStart w:id="46" w:name="_Toc106717620"/>
      <w:bookmarkEnd w:id="43"/>
      <w:r w:rsidRPr="00027842">
        <w:rPr>
          <w:rFonts w:ascii="Times New Roman" w:hAnsi="Times New Roman"/>
        </w:rPr>
        <w:t>C.</w:t>
      </w:r>
      <w:r w:rsidRPr="00027842">
        <w:rPr>
          <w:rFonts w:ascii="Times New Roman" w:hAnsi="Times New Roman"/>
        </w:rPr>
        <w:tab/>
        <w:t>Rate of Return</w:t>
      </w:r>
      <w:bookmarkEnd w:id="44"/>
      <w:bookmarkEnd w:id="45"/>
      <w:bookmarkEnd w:id="46"/>
    </w:p>
    <w:p w:rsidR="00A21D55" w:rsidRPr="00027842" w:rsidP="00B87B59" w14:paraId="7EEB76DD" w14:textId="3F7993A4">
      <w:pPr>
        <w:pStyle w:val="Heading3"/>
      </w:pPr>
      <w:bookmarkStart w:id="47" w:name="_Toc102143583"/>
      <w:bookmarkStart w:id="48" w:name="_Toc106717621"/>
      <w:bookmarkStart w:id="49" w:name="_Hlk105586037"/>
      <w:r w:rsidRPr="00027842">
        <w:rPr>
          <w:rStyle w:val="Heading4Char"/>
          <w:rFonts w:ascii="Times New Roman" w:hAnsi="Times New Roman"/>
          <w:b/>
          <w:bCs/>
          <w:szCs w:val="24"/>
        </w:rPr>
        <w:t>1.</w:t>
      </w:r>
      <w:r w:rsidRPr="00027842">
        <w:rPr>
          <w:rStyle w:val="Heading4Char"/>
          <w:rFonts w:ascii="Times New Roman" w:hAnsi="Times New Roman"/>
          <w:b/>
          <w:bCs/>
          <w:szCs w:val="24"/>
        </w:rPr>
        <w:tab/>
      </w:r>
      <w:r w:rsidRPr="00027842" w:rsidR="00C53E10">
        <w:rPr>
          <w:rStyle w:val="Heading4Char"/>
          <w:rFonts w:ascii="Times New Roman" w:hAnsi="Times New Roman"/>
          <w:b/>
          <w:bCs/>
          <w:szCs w:val="24"/>
        </w:rPr>
        <w:t xml:space="preserve">Objection No. </w:t>
      </w:r>
      <w:r w:rsidRPr="00027842" w:rsidR="00AD2724">
        <w:rPr>
          <w:rStyle w:val="Heading4Char"/>
          <w:rFonts w:ascii="Times New Roman" w:hAnsi="Times New Roman"/>
          <w:b/>
          <w:bCs/>
          <w:szCs w:val="24"/>
        </w:rPr>
        <w:t>7</w:t>
      </w:r>
      <w:r w:rsidRPr="00027842" w:rsidR="00AA6C3C">
        <w:rPr>
          <w:rStyle w:val="Heading4Char"/>
          <w:rFonts w:ascii="Times New Roman" w:hAnsi="Times New Roman"/>
          <w:b/>
          <w:bCs/>
          <w:szCs w:val="24"/>
        </w:rPr>
        <w:t>:</w:t>
      </w:r>
      <w:bookmarkStart w:id="50" w:name="_Hlk101632653"/>
      <w:r w:rsidRPr="00027842" w:rsidR="00081AA3">
        <w:rPr>
          <w:rStyle w:val="Heading4Char"/>
          <w:rFonts w:ascii="Times New Roman" w:hAnsi="Times New Roman"/>
          <w:b/>
          <w:bCs/>
          <w:szCs w:val="24"/>
        </w:rPr>
        <w:t xml:space="preserve"> </w:t>
      </w:r>
      <w:r w:rsidRPr="00027842" w:rsidR="00C53E10">
        <w:rPr>
          <w:rStyle w:val="Heading4Char"/>
          <w:rFonts w:ascii="Times New Roman" w:hAnsi="Times New Roman"/>
          <w:b/>
          <w:bCs/>
          <w:szCs w:val="24"/>
        </w:rPr>
        <w:t xml:space="preserve">The Staff Report </w:t>
      </w:r>
      <w:r w:rsidRPr="00027842" w:rsidR="005F4345">
        <w:rPr>
          <w:rStyle w:val="Heading4Char"/>
          <w:rFonts w:ascii="Times New Roman" w:hAnsi="Times New Roman"/>
          <w:b/>
          <w:bCs/>
          <w:szCs w:val="24"/>
        </w:rPr>
        <w:t>harms consumers</w:t>
      </w:r>
      <w:r w:rsidRPr="00027842" w:rsidR="00C53E10">
        <w:rPr>
          <w:rStyle w:val="Heading4Char"/>
          <w:rFonts w:ascii="Times New Roman" w:hAnsi="Times New Roman"/>
          <w:b/>
          <w:bCs/>
          <w:szCs w:val="24"/>
        </w:rPr>
        <w:t xml:space="preserve"> by proposing a</w:t>
      </w:r>
      <w:r w:rsidRPr="00027842" w:rsidR="005F4345">
        <w:rPr>
          <w:rStyle w:val="Heading4Char"/>
          <w:rFonts w:ascii="Times New Roman" w:hAnsi="Times New Roman"/>
          <w:b/>
          <w:bCs/>
          <w:szCs w:val="24"/>
        </w:rPr>
        <w:t>n excessive</w:t>
      </w:r>
      <w:r w:rsidRPr="00027842" w:rsidR="00C53E10">
        <w:rPr>
          <w:rStyle w:val="Heading4Char"/>
          <w:rFonts w:ascii="Times New Roman" w:hAnsi="Times New Roman"/>
          <w:b/>
          <w:bCs/>
          <w:szCs w:val="24"/>
        </w:rPr>
        <w:t xml:space="preserve"> rate of return tha</w:t>
      </w:r>
      <w:r w:rsidRPr="00027842" w:rsidR="005F4345">
        <w:rPr>
          <w:rStyle w:val="Heading4Char"/>
          <w:rFonts w:ascii="Times New Roman" w:hAnsi="Times New Roman"/>
          <w:b/>
          <w:bCs/>
          <w:szCs w:val="24"/>
        </w:rPr>
        <w:t>t will result in unjust</w:t>
      </w:r>
      <w:r w:rsidRPr="00027842" w:rsidR="007D6BB1">
        <w:rPr>
          <w:rStyle w:val="Heading4Char"/>
          <w:rFonts w:ascii="Times New Roman" w:hAnsi="Times New Roman"/>
          <w:b/>
          <w:bCs/>
          <w:szCs w:val="24"/>
        </w:rPr>
        <w:t xml:space="preserve"> </w:t>
      </w:r>
      <w:r w:rsidRPr="00027842" w:rsidR="00C53E10">
        <w:rPr>
          <w:rStyle w:val="Heading4Char"/>
          <w:rFonts w:ascii="Times New Roman" w:hAnsi="Times New Roman"/>
          <w:b/>
          <w:bCs/>
          <w:szCs w:val="24"/>
        </w:rPr>
        <w:t xml:space="preserve">and </w:t>
      </w:r>
      <w:r w:rsidRPr="00027842" w:rsidR="005F4345">
        <w:rPr>
          <w:rStyle w:val="Heading4Char"/>
          <w:rFonts w:ascii="Times New Roman" w:hAnsi="Times New Roman"/>
          <w:b/>
          <w:bCs/>
          <w:szCs w:val="24"/>
        </w:rPr>
        <w:t>un</w:t>
      </w:r>
      <w:r w:rsidRPr="00027842" w:rsidR="00C53E10">
        <w:rPr>
          <w:rStyle w:val="Heading4Char"/>
          <w:rFonts w:ascii="Times New Roman" w:hAnsi="Times New Roman"/>
          <w:b/>
          <w:bCs/>
          <w:szCs w:val="24"/>
        </w:rPr>
        <w:t>reasonable</w:t>
      </w:r>
      <w:r w:rsidRPr="00027842" w:rsidR="005F4345">
        <w:rPr>
          <w:rStyle w:val="Heading4Char"/>
          <w:rFonts w:ascii="Times New Roman" w:hAnsi="Times New Roman"/>
          <w:b/>
          <w:bCs/>
          <w:szCs w:val="24"/>
        </w:rPr>
        <w:t xml:space="preserve"> charges to consumers in violation of</w:t>
      </w:r>
      <w:r w:rsidRPr="00027842" w:rsidR="007D6BB1">
        <w:rPr>
          <w:rStyle w:val="Heading4Char"/>
          <w:rFonts w:ascii="Times New Roman" w:hAnsi="Times New Roman"/>
          <w:b/>
          <w:bCs/>
          <w:szCs w:val="24"/>
        </w:rPr>
        <w:t xml:space="preserve"> R.C. 4909.15</w:t>
      </w:r>
      <w:r w:rsidRPr="00027842" w:rsidR="00A27E45">
        <w:rPr>
          <w:rStyle w:val="Heading4Char"/>
          <w:rFonts w:ascii="Times New Roman" w:hAnsi="Times New Roman"/>
          <w:b/>
          <w:bCs/>
          <w:szCs w:val="24"/>
        </w:rPr>
        <w:t>(A)(2)</w:t>
      </w:r>
      <w:r w:rsidRPr="00027842" w:rsidR="00BF141F">
        <w:rPr>
          <w:rStyle w:val="Heading4Char"/>
          <w:rFonts w:ascii="Times New Roman" w:hAnsi="Times New Roman"/>
          <w:b/>
          <w:bCs/>
          <w:szCs w:val="24"/>
        </w:rPr>
        <w:t xml:space="preserve"> and other authority</w:t>
      </w:r>
      <w:r w:rsidRPr="00027842" w:rsidR="00C53E10">
        <w:rPr>
          <w:rStyle w:val="Heading4Char"/>
          <w:rFonts w:ascii="Times New Roman" w:hAnsi="Times New Roman"/>
          <w:b/>
          <w:bCs/>
          <w:szCs w:val="24"/>
        </w:rPr>
        <w:t>.</w:t>
      </w:r>
      <w:bookmarkEnd w:id="47"/>
      <w:bookmarkEnd w:id="48"/>
      <w:bookmarkEnd w:id="50"/>
    </w:p>
    <w:p w:rsidR="00716236" w:rsidRPr="00027842" w:rsidP="00270D8C" w14:paraId="60DC0EEB" w14:textId="3621D0AC">
      <w:pPr>
        <w:spacing w:line="480" w:lineRule="auto"/>
        <w:ind w:firstLine="720"/>
        <w:rPr>
          <w:rStyle w:val="Heading4Char"/>
          <w:rFonts w:ascii="Times New Roman" w:hAnsi="Times New Roman" w:eastAsiaTheme="minorHAnsi"/>
          <w:b w:val="0"/>
          <w:bCs w:val="0"/>
          <w:szCs w:val="24"/>
          <w:lang w:bidi="ar-SA"/>
        </w:rPr>
      </w:pPr>
      <w:r w:rsidRPr="00027842">
        <w:rPr>
          <w:rFonts w:eastAsiaTheme="minorHAnsi"/>
          <w:lang w:bidi="ar-SA"/>
        </w:rPr>
        <w:t xml:space="preserve">The Staff Report </w:t>
      </w:r>
      <w:r w:rsidRPr="00027842" w:rsidR="006E67A0">
        <w:rPr>
          <w:rFonts w:eastAsiaTheme="minorHAnsi"/>
          <w:lang w:bidi="ar-SA"/>
        </w:rPr>
        <w:t>recommends a rate of return in the 6.</w:t>
      </w:r>
      <w:r w:rsidRPr="00027842" w:rsidR="00D956D9">
        <w:rPr>
          <w:rFonts w:eastAsiaTheme="minorHAnsi"/>
          <w:lang w:bidi="ar-SA"/>
        </w:rPr>
        <w:t>52</w:t>
      </w:r>
      <w:r w:rsidRPr="00027842" w:rsidR="006E67A0">
        <w:rPr>
          <w:rFonts w:eastAsiaTheme="minorHAnsi"/>
          <w:lang w:bidi="ar-SA"/>
        </w:rPr>
        <w:t xml:space="preserve"> to 7.</w:t>
      </w:r>
      <w:r w:rsidRPr="00027842" w:rsidR="00D956D9">
        <w:rPr>
          <w:rFonts w:eastAsiaTheme="minorHAnsi"/>
          <w:lang w:bidi="ar-SA"/>
        </w:rPr>
        <w:t>03</w:t>
      </w:r>
      <w:r w:rsidRPr="00027842" w:rsidR="006E67A0">
        <w:rPr>
          <w:rFonts w:eastAsiaTheme="minorHAnsi"/>
          <w:lang w:bidi="ar-SA"/>
        </w:rPr>
        <w:t xml:space="preserve"> percent range.</w:t>
      </w:r>
      <w:r>
        <w:rPr>
          <w:rStyle w:val="FootnoteReference"/>
          <w:rFonts w:eastAsiaTheme="minorHAnsi"/>
          <w:lang w:bidi="ar-SA"/>
        </w:rPr>
        <w:footnoteReference w:id="49"/>
      </w:r>
      <w:r w:rsidRPr="00027842" w:rsidR="00001221">
        <w:rPr>
          <w:rFonts w:eastAsiaTheme="minorHAnsi"/>
          <w:lang w:bidi="ar-SA"/>
        </w:rPr>
        <w:t xml:space="preserve"> </w:t>
      </w:r>
      <w:r w:rsidRPr="00027842" w:rsidR="00264EC5">
        <w:rPr>
          <w:rFonts w:eastAsiaTheme="minorHAnsi"/>
          <w:lang w:bidi="ar-SA"/>
        </w:rPr>
        <w:t xml:space="preserve">OCC </w:t>
      </w:r>
      <w:r w:rsidRPr="00027842">
        <w:rPr>
          <w:rFonts w:eastAsiaTheme="minorHAnsi"/>
          <w:lang w:bidi="ar-SA"/>
        </w:rPr>
        <w:t>object</w:t>
      </w:r>
      <w:r w:rsidRPr="00027842" w:rsidR="00264EC5">
        <w:rPr>
          <w:rFonts w:eastAsiaTheme="minorHAnsi"/>
          <w:lang w:bidi="ar-SA"/>
        </w:rPr>
        <w:t>s</w:t>
      </w:r>
      <w:r w:rsidRPr="00027842">
        <w:rPr>
          <w:rFonts w:eastAsiaTheme="minorHAnsi"/>
          <w:lang w:bidi="ar-SA"/>
        </w:rPr>
        <w:t xml:space="preserve"> to the Staff Report because it </w:t>
      </w:r>
      <w:r w:rsidRPr="00027842" w:rsidR="00907A69">
        <w:rPr>
          <w:rFonts w:eastAsiaTheme="minorHAnsi"/>
          <w:lang w:bidi="ar-SA"/>
        </w:rPr>
        <w:t xml:space="preserve">contains a </w:t>
      </w:r>
      <w:r w:rsidRPr="00027842">
        <w:rPr>
          <w:rFonts w:eastAsiaTheme="minorHAnsi"/>
          <w:lang w:bidi="ar-SA"/>
        </w:rPr>
        <w:t xml:space="preserve">proposed rate of return for </w:t>
      </w:r>
      <w:r w:rsidRPr="00027842" w:rsidR="00264EC5">
        <w:rPr>
          <w:rFonts w:eastAsiaTheme="minorHAnsi"/>
          <w:lang w:bidi="ar-SA"/>
        </w:rPr>
        <w:t>Duke t</w:t>
      </w:r>
      <w:r w:rsidRPr="00027842" w:rsidR="00907A69">
        <w:rPr>
          <w:rFonts w:eastAsiaTheme="minorHAnsi"/>
          <w:lang w:bidi="ar-SA"/>
        </w:rPr>
        <w:t xml:space="preserve">hat is not fair and reasonable. The </w:t>
      </w:r>
      <w:r w:rsidRPr="00027842" w:rsidR="00E747F8">
        <w:rPr>
          <w:rFonts w:eastAsiaTheme="minorHAnsi"/>
          <w:lang w:bidi="ar-SA"/>
        </w:rPr>
        <w:t xml:space="preserve">PUCO </w:t>
      </w:r>
      <w:r w:rsidRPr="00027842" w:rsidR="00907A69">
        <w:rPr>
          <w:rFonts w:eastAsiaTheme="minorHAnsi"/>
          <w:lang w:bidi="ar-SA"/>
        </w:rPr>
        <w:t xml:space="preserve">Staff </w:t>
      </w:r>
      <w:r w:rsidRPr="00027842">
        <w:rPr>
          <w:rFonts w:eastAsiaTheme="minorHAnsi"/>
          <w:lang w:bidi="ar-SA"/>
        </w:rPr>
        <w:t>us</w:t>
      </w:r>
      <w:r w:rsidRPr="00027842" w:rsidR="00907A69">
        <w:rPr>
          <w:rFonts w:eastAsiaTheme="minorHAnsi"/>
          <w:lang w:bidi="ar-SA"/>
        </w:rPr>
        <w:t>ed</w:t>
      </w:r>
      <w:r w:rsidRPr="00027842">
        <w:rPr>
          <w:rFonts w:eastAsiaTheme="minorHAnsi"/>
          <w:lang w:bidi="ar-SA"/>
        </w:rPr>
        <w:t xml:space="preserve"> data and </w:t>
      </w:r>
      <w:r w:rsidRPr="00027842" w:rsidR="00907A69">
        <w:rPr>
          <w:rFonts w:eastAsiaTheme="minorHAnsi"/>
          <w:lang w:bidi="ar-SA"/>
        </w:rPr>
        <w:t xml:space="preserve">a </w:t>
      </w:r>
      <w:r w:rsidRPr="00027842">
        <w:rPr>
          <w:rFonts w:eastAsiaTheme="minorHAnsi"/>
          <w:lang w:bidi="ar-SA"/>
        </w:rPr>
        <w:t xml:space="preserve">methodology that are inconsistent with current </w:t>
      </w:r>
      <w:r w:rsidRPr="00027842" w:rsidR="00264EC5">
        <w:rPr>
          <w:rFonts w:eastAsiaTheme="minorHAnsi"/>
          <w:lang w:bidi="ar-SA"/>
        </w:rPr>
        <w:t xml:space="preserve">capital </w:t>
      </w:r>
      <w:r w:rsidRPr="00027842">
        <w:rPr>
          <w:rFonts w:eastAsiaTheme="minorHAnsi"/>
          <w:lang w:bidi="ar-SA"/>
        </w:rPr>
        <w:t>market conditions, recognized financial analysis, and established regulatory principles and state policies.</w:t>
      </w:r>
      <w:r w:rsidRPr="00027842" w:rsidR="006E67A0">
        <w:rPr>
          <w:rFonts w:eastAsiaTheme="minorHAnsi"/>
          <w:lang w:bidi="ar-SA"/>
        </w:rPr>
        <w:t xml:space="preserve"> Instead, </w:t>
      </w:r>
      <w:r w:rsidRPr="00027842" w:rsidR="00264EC5">
        <w:rPr>
          <w:rFonts w:eastAsiaTheme="minorHAnsi"/>
          <w:lang w:bidi="ar-SA"/>
        </w:rPr>
        <w:t xml:space="preserve">OCC </w:t>
      </w:r>
      <w:r w:rsidRPr="00027842" w:rsidR="006E67A0">
        <w:rPr>
          <w:rFonts w:eastAsiaTheme="minorHAnsi"/>
          <w:lang w:bidi="ar-SA"/>
        </w:rPr>
        <w:t>recommend</w:t>
      </w:r>
      <w:r w:rsidRPr="00027842" w:rsidR="0056407B">
        <w:rPr>
          <w:rFonts w:eastAsiaTheme="minorHAnsi"/>
          <w:lang w:bidi="ar-SA"/>
        </w:rPr>
        <w:t>s</w:t>
      </w:r>
      <w:r w:rsidRPr="00027842" w:rsidR="006E67A0">
        <w:rPr>
          <w:rFonts w:eastAsiaTheme="minorHAnsi"/>
          <w:lang w:bidi="ar-SA"/>
        </w:rPr>
        <w:t xml:space="preserve"> a rate of return </w:t>
      </w:r>
      <w:r w:rsidRPr="00027842" w:rsidR="00264EC5">
        <w:rPr>
          <w:rFonts w:eastAsiaTheme="minorHAnsi"/>
          <w:lang w:bidi="ar-SA"/>
        </w:rPr>
        <w:t>of 6.53%</w:t>
      </w:r>
      <w:r w:rsidRPr="00027842" w:rsidR="00691CFB">
        <w:rPr>
          <w:rFonts w:eastAsiaTheme="minorHAnsi"/>
          <w:lang w:bidi="ar-SA"/>
        </w:rPr>
        <w:t xml:space="preserve"> or lower</w:t>
      </w:r>
      <w:r w:rsidRPr="00027842" w:rsidR="008A16FF">
        <w:rPr>
          <w:rFonts w:eastAsiaTheme="minorHAnsi"/>
          <w:lang w:bidi="ar-SA"/>
        </w:rPr>
        <w:t xml:space="preserve">, which will result in </w:t>
      </w:r>
      <w:r w:rsidRPr="00027842" w:rsidR="00022D7E">
        <w:rPr>
          <w:rFonts w:eastAsiaTheme="minorHAnsi"/>
          <w:lang w:bidi="ar-SA"/>
        </w:rPr>
        <w:t>a fair</w:t>
      </w:r>
      <w:r w:rsidRPr="00027842" w:rsidR="008A16FF">
        <w:rPr>
          <w:rFonts w:eastAsiaTheme="minorHAnsi"/>
          <w:lang w:bidi="ar-SA"/>
        </w:rPr>
        <w:t xml:space="preserve"> and reasonable rate</w:t>
      </w:r>
      <w:r w:rsidRPr="00027842" w:rsidR="00022D7E">
        <w:rPr>
          <w:rFonts w:eastAsiaTheme="minorHAnsi"/>
          <w:lang w:bidi="ar-SA"/>
        </w:rPr>
        <w:t xml:space="preserve"> of return to be charged</w:t>
      </w:r>
      <w:r w:rsidRPr="00027842" w:rsidR="008A16FF">
        <w:rPr>
          <w:rFonts w:eastAsiaTheme="minorHAnsi"/>
          <w:lang w:bidi="ar-SA"/>
        </w:rPr>
        <w:t xml:space="preserve"> to consumers.</w:t>
      </w:r>
      <w:r w:rsidRPr="00027842" w:rsidR="00001221">
        <w:rPr>
          <w:rFonts w:eastAsiaTheme="minorHAnsi"/>
          <w:lang w:bidi="ar-SA"/>
        </w:rPr>
        <w:t xml:space="preserve"> </w:t>
      </w:r>
      <w:bookmarkEnd w:id="49"/>
    </w:p>
    <w:p w:rsidR="006F4AE4" w14:paraId="50A77C12" w14:textId="77777777">
      <w:pPr>
        <w:rPr>
          <w:rStyle w:val="Heading4Char"/>
          <w:rFonts w:ascii="Times New Roman" w:hAnsi="Times New Roman" w:eastAsiaTheme="minorHAnsi"/>
          <w:szCs w:val="24"/>
        </w:rPr>
      </w:pPr>
      <w:r>
        <w:rPr>
          <w:rStyle w:val="Heading4Char"/>
          <w:rFonts w:ascii="Times New Roman" w:hAnsi="Times New Roman"/>
          <w:b w:val="0"/>
          <w:bCs w:val="0"/>
          <w:szCs w:val="24"/>
        </w:rPr>
        <w:br w:type="page"/>
      </w:r>
    </w:p>
    <w:p w:rsidR="00716236" w:rsidRPr="00027842" w:rsidP="00B87B59" w14:paraId="7BDA029E" w14:textId="54C97C04">
      <w:pPr>
        <w:pStyle w:val="Heading3"/>
      </w:pPr>
      <w:bookmarkStart w:id="51" w:name="_Toc106717622"/>
      <w:r w:rsidRPr="00027842">
        <w:rPr>
          <w:rStyle w:val="Heading4Char"/>
          <w:rFonts w:ascii="Times New Roman" w:hAnsi="Times New Roman"/>
          <w:b/>
          <w:bCs/>
          <w:szCs w:val="24"/>
        </w:rPr>
        <w:t>2.</w:t>
      </w:r>
      <w:r w:rsidRPr="00027842">
        <w:rPr>
          <w:rStyle w:val="Heading4Char"/>
          <w:rFonts w:ascii="Times New Roman" w:hAnsi="Times New Roman"/>
          <w:b/>
          <w:bCs/>
          <w:szCs w:val="24"/>
        </w:rPr>
        <w:tab/>
      </w:r>
      <w:r w:rsidRPr="00027842">
        <w:rPr>
          <w:rStyle w:val="Heading4Char"/>
          <w:rFonts w:ascii="Times New Roman" w:hAnsi="Times New Roman"/>
          <w:b/>
          <w:bCs/>
          <w:szCs w:val="24"/>
        </w:rPr>
        <w:t xml:space="preserve">Objection No. </w:t>
      </w:r>
      <w:r w:rsidRPr="00027842" w:rsidR="00AD2724">
        <w:rPr>
          <w:rStyle w:val="Heading4Char"/>
          <w:rFonts w:ascii="Times New Roman" w:hAnsi="Times New Roman"/>
          <w:b/>
          <w:bCs/>
          <w:szCs w:val="24"/>
        </w:rPr>
        <w:t>8</w:t>
      </w:r>
      <w:r w:rsidRPr="00027842">
        <w:rPr>
          <w:rStyle w:val="Heading4Char"/>
          <w:rFonts w:ascii="Times New Roman" w:hAnsi="Times New Roman"/>
          <w:b/>
          <w:bCs/>
          <w:szCs w:val="24"/>
        </w:rPr>
        <w:t xml:space="preserve">: The Staff Report </w:t>
      </w:r>
      <w:r w:rsidRPr="00027842" w:rsidR="0056407B">
        <w:rPr>
          <w:rStyle w:val="Heading4Char"/>
          <w:rFonts w:ascii="Times New Roman" w:hAnsi="Times New Roman"/>
          <w:b/>
          <w:bCs/>
          <w:szCs w:val="24"/>
        </w:rPr>
        <w:t>harms consume</w:t>
      </w:r>
      <w:r w:rsidRPr="00027842" w:rsidR="00EA4FF7">
        <w:rPr>
          <w:rStyle w:val="Heading4Char"/>
          <w:rFonts w:ascii="Times New Roman" w:hAnsi="Times New Roman"/>
          <w:b/>
          <w:bCs/>
          <w:szCs w:val="24"/>
        </w:rPr>
        <w:t>r</w:t>
      </w:r>
      <w:r w:rsidRPr="00027842" w:rsidR="0056407B">
        <w:rPr>
          <w:rStyle w:val="Heading4Char"/>
          <w:rFonts w:ascii="Times New Roman" w:hAnsi="Times New Roman"/>
          <w:b/>
          <w:bCs/>
          <w:szCs w:val="24"/>
        </w:rPr>
        <w:t>s by</w:t>
      </w:r>
      <w:r w:rsidRPr="00027842">
        <w:rPr>
          <w:rStyle w:val="Heading4Char"/>
          <w:rFonts w:ascii="Times New Roman" w:hAnsi="Times New Roman"/>
          <w:b/>
          <w:bCs/>
          <w:szCs w:val="24"/>
        </w:rPr>
        <w:t xml:space="preserve"> proposing profit</w:t>
      </w:r>
      <w:r w:rsidRPr="00027842" w:rsidR="00E747F8">
        <w:rPr>
          <w:rStyle w:val="Heading4Char"/>
          <w:rFonts w:ascii="Times New Roman" w:hAnsi="Times New Roman"/>
          <w:b/>
          <w:bCs/>
          <w:szCs w:val="24"/>
        </w:rPr>
        <w:t>s</w:t>
      </w:r>
      <w:r w:rsidRPr="00027842">
        <w:rPr>
          <w:rStyle w:val="Heading4Char"/>
          <w:rFonts w:ascii="Times New Roman" w:hAnsi="Times New Roman"/>
          <w:b/>
          <w:bCs/>
          <w:szCs w:val="24"/>
        </w:rPr>
        <w:t xml:space="preserve"> (</w:t>
      </w:r>
      <w:r w:rsidRPr="00027842" w:rsidR="00D90643">
        <w:rPr>
          <w:rStyle w:val="Heading4Char"/>
          <w:rFonts w:ascii="Times New Roman" w:hAnsi="Times New Roman"/>
          <w:b/>
          <w:bCs/>
          <w:szCs w:val="24"/>
        </w:rPr>
        <w:t xml:space="preserve">“cost of common equity” </w:t>
      </w:r>
      <w:r w:rsidRPr="00027842">
        <w:rPr>
          <w:rStyle w:val="Heading4Char"/>
          <w:rFonts w:ascii="Times New Roman" w:hAnsi="Times New Roman"/>
          <w:b/>
          <w:bCs/>
          <w:szCs w:val="24"/>
        </w:rPr>
        <w:t xml:space="preserve">or </w:t>
      </w:r>
      <w:r w:rsidRPr="00027842" w:rsidR="00D90643">
        <w:rPr>
          <w:rStyle w:val="Heading4Char"/>
          <w:rFonts w:ascii="Times New Roman" w:hAnsi="Times New Roman"/>
          <w:b/>
          <w:bCs/>
          <w:szCs w:val="24"/>
        </w:rPr>
        <w:t>“</w:t>
      </w:r>
      <w:r w:rsidRPr="00027842">
        <w:rPr>
          <w:rStyle w:val="Heading4Char"/>
          <w:rFonts w:ascii="Times New Roman" w:hAnsi="Times New Roman"/>
          <w:b/>
          <w:bCs/>
          <w:szCs w:val="24"/>
        </w:rPr>
        <w:t>ROE</w:t>
      </w:r>
      <w:r w:rsidRPr="00027842" w:rsidR="00D90643">
        <w:rPr>
          <w:rStyle w:val="Heading4Char"/>
          <w:rFonts w:ascii="Times New Roman" w:hAnsi="Times New Roman"/>
          <w:b/>
          <w:bCs/>
          <w:szCs w:val="24"/>
        </w:rPr>
        <w:t>”</w:t>
      </w:r>
      <w:r w:rsidRPr="00027842">
        <w:rPr>
          <w:rStyle w:val="Heading4Char"/>
          <w:rFonts w:ascii="Times New Roman" w:hAnsi="Times New Roman"/>
          <w:b/>
          <w:bCs/>
          <w:szCs w:val="24"/>
        </w:rPr>
        <w:t>) th</w:t>
      </w:r>
      <w:r w:rsidRPr="00027842" w:rsidR="00E747F8">
        <w:rPr>
          <w:rStyle w:val="Heading4Char"/>
          <w:rFonts w:ascii="Times New Roman" w:hAnsi="Times New Roman"/>
          <w:b/>
          <w:bCs/>
          <w:szCs w:val="24"/>
        </w:rPr>
        <w:t>at are not</w:t>
      </w:r>
      <w:r w:rsidRPr="00027842">
        <w:rPr>
          <w:rStyle w:val="Heading4Char"/>
          <w:rFonts w:ascii="Times New Roman" w:hAnsi="Times New Roman"/>
          <w:b/>
          <w:bCs/>
          <w:szCs w:val="24"/>
        </w:rPr>
        <w:t xml:space="preserve"> fair and reasonable under current market conditions and the business and financial risks of Duke</w:t>
      </w:r>
      <w:r w:rsidRPr="00027842" w:rsidR="0056407B">
        <w:rPr>
          <w:rStyle w:val="Heading4Char"/>
          <w:rFonts w:ascii="Times New Roman" w:hAnsi="Times New Roman"/>
          <w:b/>
          <w:bCs/>
          <w:szCs w:val="24"/>
        </w:rPr>
        <w:t>. This</w:t>
      </w:r>
      <w:r w:rsidRPr="00027842">
        <w:rPr>
          <w:rStyle w:val="Heading4Char"/>
          <w:rFonts w:ascii="Times New Roman" w:hAnsi="Times New Roman"/>
          <w:b/>
          <w:bCs/>
          <w:szCs w:val="24"/>
        </w:rPr>
        <w:t xml:space="preserve"> wi</w:t>
      </w:r>
      <w:r w:rsidRPr="00027842" w:rsidR="0056407B">
        <w:rPr>
          <w:rStyle w:val="Heading4Char"/>
          <w:rFonts w:ascii="Times New Roman" w:hAnsi="Times New Roman"/>
          <w:b/>
          <w:bCs/>
          <w:szCs w:val="24"/>
        </w:rPr>
        <w:t xml:space="preserve">ll </w:t>
      </w:r>
      <w:r w:rsidRPr="00027842">
        <w:rPr>
          <w:rStyle w:val="Heading4Char"/>
          <w:rFonts w:ascii="Times New Roman" w:hAnsi="Times New Roman"/>
          <w:b/>
          <w:bCs/>
          <w:szCs w:val="24"/>
        </w:rPr>
        <w:t xml:space="preserve">result in </w:t>
      </w:r>
      <w:r w:rsidRPr="00027842" w:rsidR="00E747F8">
        <w:rPr>
          <w:rStyle w:val="Heading4Char"/>
          <w:rFonts w:ascii="Times New Roman" w:hAnsi="Times New Roman"/>
          <w:b/>
          <w:bCs/>
          <w:szCs w:val="24"/>
        </w:rPr>
        <w:t>excessive</w:t>
      </w:r>
      <w:r w:rsidRPr="00027842">
        <w:rPr>
          <w:rStyle w:val="Heading4Char"/>
          <w:rFonts w:ascii="Times New Roman" w:hAnsi="Times New Roman"/>
          <w:b/>
          <w:bCs/>
          <w:szCs w:val="24"/>
        </w:rPr>
        <w:t xml:space="preserve"> rates and charges to consumers</w:t>
      </w:r>
      <w:r w:rsidRPr="00027842" w:rsidR="0056407B">
        <w:rPr>
          <w:rStyle w:val="Heading4Char"/>
          <w:rFonts w:ascii="Times New Roman" w:hAnsi="Times New Roman"/>
          <w:b/>
          <w:bCs/>
          <w:szCs w:val="24"/>
        </w:rPr>
        <w:t xml:space="preserve"> in violation of R.C. 4909.15</w:t>
      </w:r>
      <w:r w:rsidRPr="00027842">
        <w:rPr>
          <w:rStyle w:val="Heading4Char"/>
          <w:rFonts w:ascii="Times New Roman" w:hAnsi="Times New Roman"/>
          <w:b/>
          <w:bCs/>
          <w:szCs w:val="24"/>
        </w:rPr>
        <w:t>.</w:t>
      </w:r>
      <w:bookmarkEnd w:id="51"/>
    </w:p>
    <w:p w:rsidR="00716236" w:rsidRPr="00027842" w:rsidP="002A44FB" w14:paraId="42440941" w14:textId="2E07A138">
      <w:pPr>
        <w:spacing w:line="480" w:lineRule="auto"/>
        <w:ind w:firstLine="720"/>
        <w:rPr>
          <w:rStyle w:val="Heading4Char"/>
          <w:rFonts w:ascii="Times New Roman" w:hAnsi="Times New Roman" w:eastAsiaTheme="minorHAnsi"/>
          <w:b w:val="0"/>
          <w:bCs w:val="0"/>
          <w:szCs w:val="24"/>
          <w:lang w:bidi="ar-SA"/>
        </w:rPr>
      </w:pPr>
      <w:r w:rsidRPr="00027842">
        <w:rPr>
          <w:rFonts w:eastAsiaTheme="minorHAnsi"/>
          <w:lang w:bidi="ar-SA"/>
        </w:rPr>
        <w:t xml:space="preserve">The Staff Report recommends a </w:t>
      </w:r>
      <w:r w:rsidRPr="00027842" w:rsidR="00D90643">
        <w:rPr>
          <w:rFonts w:eastAsiaTheme="minorHAnsi"/>
          <w:lang w:bidi="ar-SA"/>
        </w:rPr>
        <w:t xml:space="preserve">cost of common equity </w:t>
      </w:r>
      <w:r w:rsidRPr="00027842" w:rsidR="00CB468F">
        <w:rPr>
          <w:rFonts w:eastAsiaTheme="minorHAnsi"/>
          <w:lang w:bidi="ar-SA"/>
        </w:rPr>
        <w:t xml:space="preserve">(profit) </w:t>
      </w:r>
      <w:r w:rsidRPr="00027842">
        <w:rPr>
          <w:rFonts w:eastAsiaTheme="minorHAnsi"/>
          <w:lang w:bidi="ar-SA"/>
        </w:rPr>
        <w:t xml:space="preserve">in the </w:t>
      </w:r>
      <w:r w:rsidRPr="00027842" w:rsidR="00D90643">
        <w:rPr>
          <w:rFonts w:eastAsiaTheme="minorHAnsi"/>
          <w:lang w:bidi="ar-SA"/>
        </w:rPr>
        <w:t xml:space="preserve">8.84 </w:t>
      </w:r>
      <w:r w:rsidRPr="00027842">
        <w:rPr>
          <w:rFonts w:eastAsiaTheme="minorHAnsi"/>
          <w:lang w:bidi="ar-SA"/>
        </w:rPr>
        <w:t xml:space="preserve">to </w:t>
      </w:r>
      <w:r w:rsidRPr="00027842" w:rsidR="00D90643">
        <w:rPr>
          <w:rFonts w:eastAsiaTheme="minorHAnsi"/>
          <w:lang w:bidi="ar-SA"/>
        </w:rPr>
        <w:t>9.85</w:t>
      </w:r>
      <w:r w:rsidRPr="00027842">
        <w:rPr>
          <w:rFonts w:eastAsiaTheme="minorHAnsi"/>
          <w:lang w:bidi="ar-SA"/>
        </w:rPr>
        <w:t xml:space="preserve"> percent range.</w:t>
      </w:r>
      <w:r>
        <w:rPr>
          <w:rStyle w:val="FootnoteReference"/>
          <w:rFonts w:eastAsiaTheme="minorHAnsi"/>
          <w:lang w:bidi="ar-SA"/>
        </w:rPr>
        <w:footnoteReference w:id="50"/>
      </w:r>
      <w:r w:rsidRPr="00027842">
        <w:rPr>
          <w:rFonts w:eastAsiaTheme="minorHAnsi"/>
          <w:lang w:bidi="ar-SA"/>
        </w:rPr>
        <w:t xml:space="preserve"> OCC objects to the Staff Report because it contains a proposed </w:t>
      </w:r>
      <w:r w:rsidRPr="00027842" w:rsidR="00D90643">
        <w:rPr>
          <w:rFonts w:eastAsiaTheme="minorHAnsi"/>
          <w:lang w:bidi="ar-SA"/>
        </w:rPr>
        <w:t>cost of equity f</w:t>
      </w:r>
      <w:r w:rsidRPr="00027842">
        <w:rPr>
          <w:rFonts w:eastAsiaTheme="minorHAnsi"/>
          <w:lang w:bidi="ar-SA"/>
        </w:rPr>
        <w:t xml:space="preserve">or Duke that is not fair and reasonable. The </w:t>
      </w:r>
      <w:r w:rsidRPr="00027842" w:rsidR="001F1357">
        <w:rPr>
          <w:rFonts w:eastAsiaTheme="minorHAnsi"/>
          <w:lang w:bidi="ar-SA"/>
        </w:rPr>
        <w:t xml:space="preserve">PUCO </w:t>
      </w:r>
      <w:r w:rsidRPr="00027842">
        <w:rPr>
          <w:rFonts w:eastAsiaTheme="minorHAnsi"/>
          <w:lang w:bidi="ar-SA"/>
        </w:rPr>
        <w:t>Staff used data and a methodology that are inconsistent with current capital market conditions, recognized financial analysis, and established regulatory principles and state policies. Instead, OCC recommend</w:t>
      </w:r>
      <w:r w:rsidRPr="00027842" w:rsidR="001F1357">
        <w:rPr>
          <w:rFonts w:eastAsiaTheme="minorHAnsi"/>
          <w:lang w:bidi="ar-SA"/>
        </w:rPr>
        <w:t>s</w:t>
      </w:r>
      <w:r w:rsidRPr="00027842">
        <w:rPr>
          <w:rFonts w:eastAsiaTheme="minorHAnsi"/>
          <w:lang w:bidi="ar-SA"/>
        </w:rPr>
        <w:t xml:space="preserve"> a</w:t>
      </w:r>
      <w:r w:rsidRPr="00027842" w:rsidR="00DF58AE">
        <w:rPr>
          <w:rFonts w:eastAsiaTheme="minorHAnsi"/>
          <w:lang w:bidi="ar-SA"/>
        </w:rPr>
        <w:t xml:space="preserve"> </w:t>
      </w:r>
      <w:r w:rsidRPr="00027842" w:rsidR="00280BEF">
        <w:rPr>
          <w:rFonts w:eastAsiaTheme="minorHAnsi"/>
          <w:lang w:bidi="ar-SA"/>
        </w:rPr>
        <w:t xml:space="preserve">cost of equity or profit </w:t>
      </w:r>
      <w:r w:rsidRPr="00027842">
        <w:rPr>
          <w:rFonts w:eastAsiaTheme="minorHAnsi"/>
          <w:lang w:bidi="ar-SA"/>
        </w:rPr>
        <w:t xml:space="preserve">of </w:t>
      </w:r>
      <w:r w:rsidRPr="00027842" w:rsidR="00D90643">
        <w:rPr>
          <w:rFonts w:eastAsiaTheme="minorHAnsi"/>
          <w:lang w:bidi="ar-SA"/>
        </w:rPr>
        <w:t>8.95</w:t>
      </w:r>
      <w:r w:rsidRPr="00027842">
        <w:rPr>
          <w:rFonts w:eastAsiaTheme="minorHAnsi"/>
          <w:lang w:bidi="ar-SA"/>
        </w:rPr>
        <w:t>%</w:t>
      </w:r>
      <w:r w:rsidRPr="00027842" w:rsidR="00280BEF">
        <w:rPr>
          <w:rFonts w:eastAsiaTheme="minorHAnsi"/>
          <w:lang w:bidi="ar-SA"/>
        </w:rPr>
        <w:t xml:space="preserve"> or lower</w:t>
      </w:r>
      <w:r w:rsidRPr="00027842">
        <w:rPr>
          <w:rFonts w:eastAsiaTheme="minorHAnsi"/>
          <w:lang w:bidi="ar-SA"/>
        </w:rPr>
        <w:t xml:space="preserve">, which </w:t>
      </w:r>
      <w:r w:rsidRPr="00027842" w:rsidR="00D90643">
        <w:rPr>
          <w:rFonts w:eastAsiaTheme="minorHAnsi"/>
          <w:lang w:bidi="ar-SA"/>
        </w:rPr>
        <w:t xml:space="preserve">is a </w:t>
      </w:r>
      <w:r w:rsidRPr="00027842">
        <w:rPr>
          <w:rFonts w:eastAsiaTheme="minorHAnsi"/>
          <w:lang w:bidi="ar-SA"/>
        </w:rPr>
        <w:t xml:space="preserve">fair and reasonable </w:t>
      </w:r>
      <w:r w:rsidRPr="00027842" w:rsidR="00D90643">
        <w:rPr>
          <w:rFonts w:eastAsiaTheme="minorHAnsi"/>
          <w:lang w:bidi="ar-SA"/>
        </w:rPr>
        <w:t xml:space="preserve">profit for Duke </w:t>
      </w:r>
      <w:r w:rsidRPr="00027842">
        <w:rPr>
          <w:rFonts w:eastAsiaTheme="minorHAnsi"/>
          <w:lang w:bidi="ar-SA"/>
        </w:rPr>
        <w:t>charged to consumers</w:t>
      </w:r>
      <w:r w:rsidRPr="00027842" w:rsidR="00D90643">
        <w:rPr>
          <w:rFonts w:eastAsiaTheme="minorHAnsi"/>
          <w:lang w:bidi="ar-SA"/>
        </w:rPr>
        <w:t xml:space="preserve"> for providing the electric distribution services</w:t>
      </w:r>
      <w:r w:rsidRPr="00027842">
        <w:rPr>
          <w:rFonts w:eastAsiaTheme="minorHAnsi"/>
          <w:lang w:bidi="ar-SA"/>
        </w:rPr>
        <w:t xml:space="preserve">. </w:t>
      </w:r>
    </w:p>
    <w:p w:rsidR="00264EC5" w:rsidRPr="00027842" w:rsidP="00B87B59" w14:paraId="3DDCAEF8" w14:textId="7A74973C">
      <w:pPr>
        <w:pStyle w:val="Heading3"/>
      </w:pPr>
      <w:bookmarkStart w:id="52" w:name="_Toc106717623"/>
      <w:r w:rsidRPr="00027842">
        <w:rPr>
          <w:rStyle w:val="Heading4Char"/>
          <w:rFonts w:ascii="Times New Roman" w:hAnsi="Times New Roman"/>
          <w:b/>
          <w:bCs/>
          <w:szCs w:val="24"/>
        </w:rPr>
        <w:t>3.</w:t>
      </w:r>
      <w:r w:rsidRPr="00027842">
        <w:rPr>
          <w:rStyle w:val="Heading4Char"/>
          <w:rFonts w:ascii="Times New Roman" w:hAnsi="Times New Roman"/>
          <w:b/>
          <w:bCs/>
          <w:szCs w:val="24"/>
        </w:rPr>
        <w:tab/>
      </w:r>
      <w:r w:rsidRPr="00027842" w:rsidR="008D2738">
        <w:rPr>
          <w:rStyle w:val="Heading4Char"/>
          <w:rFonts w:ascii="Times New Roman" w:hAnsi="Times New Roman"/>
          <w:b/>
          <w:bCs/>
          <w:szCs w:val="24"/>
        </w:rPr>
        <w:t xml:space="preserve">Objection No. </w:t>
      </w:r>
      <w:r w:rsidRPr="00027842" w:rsidR="00AD2724">
        <w:rPr>
          <w:rStyle w:val="Heading4Char"/>
          <w:rFonts w:ascii="Times New Roman" w:hAnsi="Times New Roman"/>
          <w:b/>
          <w:bCs/>
          <w:szCs w:val="24"/>
        </w:rPr>
        <w:t>9</w:t>
      </w:r>
      <w:r w:rsidRPr="00027842" w:rsidR="008D2738">
        <w:rPr>
          <w:rStyle w:val="Heading4Char"/>
          <w:rFonts w:ascii="Times New Roman" w:hAnsi="Times New Roman"/>
          <w:b/>
          <w:bCs/>
          <w:szCs w:val="24"/>
        </w:rPr>
        <w:t xml:space="preserve">: The Staff Report </w:t>
      </w:r>
      <w:r w:rsidRPr="00027842" w:rsidR="001F1357">
        <w:rPr>
          <w:rStyle w:val="Heading4Char"/>
          <w:rFonts w:ascii="Times New Roman" w:hAnsi="Times New Roman"/>
          <w:b/>
          <w:bCs/>
          <w:szCs w:val="24"/>
        </w:rPr>
        <w:t>harms consumers by developing a</w:t>
      </w:r>
      <w:r w:rsidRPr="00027842" w:rsidR="008D2738">
        <w:rPr>
          <w:rStyle w:val="Heading4Char"/>
          <w:rFonts w:ascii="Times New Roman" w:hAnsi="Times New Roman"/>
          <w:b/>
          <w:bCs/>
          <w:szCs w:val="24"/>
        </w:rPr>
        <w:t xml:space="preserve"> </w:t>
      </w:r>
      <w:r w:rsidRPr="00027842" w:rsidR="00280BEF">
        <w:rPr>
          <w:rStyle w:val="Heading4Char"/>
          <w:rFonts w:ascii="Times New Roman" w:hAnsi="Times New Roman"/>
          <w:b/>
          <w:bCs/>
          <w:szCs w:val="24"/>
        </w:rPr>
        <w:t>r</w:t>
      </w:r>
      <w:r w:rsidRPr="00027842" w:rsidR="008D2738">
        <w:rPr>
          <w:rStyle w:val="Heading4Char"/>
          <w:rFonts w:ascii="Times New Roman" w:hAnsi="Times New Roman"/>
          <w:b/>
          <w:bCs/>
          <w:szCs w:val="24"/>
        </w:rPr>
        <w:t xml:space="preserve">ate of </w:t>
      </w:r>
      <w:r w:rsidRPr="00027842" w:rsidR="00280BEF">
        <w:rPr>
          <w:rStyle w:val="Heading4Char"/>
          <w:rFonts w:ascii="Times New Roman" w:hAnsi="Times New Roman"/>
          <w:b/>
          <w:bCs/>
          <w:szCs w:val="24"/>
        </w:rPr>
        <w:t>r</w:t>
      </w:r>
      <w:r w:rsidRPr="00027842" w:rsidR="008D2738">
        <w:rPr>
          <w:rStyle w:val="Heading4Char"/>
          <w:rFonts w:ascii="Times New Roman" w:hAnsi="Times New Roman"/>
          <w:b/>
          <w:bCs/>
          <w:szCs w:val="24"/>
        </w:rPr>
        <w:t xml:space="preserve">eturn </w:t>
      </w:r>
      <w:r w:rsidRPr="00027842" w:rsidR="001F1357">
        <w:rPr>
          <w:rStyle w:val="Heading4Char"/>
          <w:rFonts w:ascii="Times New Roman" w:hAnsi="Times New Roman"/>
          <w:b/>
          <w:bCs/>
          <w:szCs w:val="24"/>
        </w:rPr>
        <w:t>based on</w:t>
      </w:r>
      <w:r w:rsidRPr="00027842" w:rsidR="008D2738">
        <w:rPr>
          <w:rStyle w:val="Heading4Char"/>
          <w:rFonts w:ascii="Times New Roman" w:hAnsi="Times New Roman"/>
          <w:b/>
          <w:bCs/>
          <w:szCs w:val="24"/>
        </w:rPr>
        <w:t xml:space="preserve"> a capital structure that is not more reflective of the </w:t>
      </w:r>
      <w:r w:rsidRPr="00027842" w:rsidR="008D2738">
        <w:t>capital structures of other publicly held electric distribution companies</w:t>
      </w:r>
      <w:r w:rsidRPr="00027842" w:rsidR="001F1357">
        <w:t xml:space="preserve">. This </w:t>
      </w:r>
      <w:r w:rsidRPr="00027842" w:rsidR="00B16FB4">
        <w:t xml:space="preserve">will </w:t>
      </w:r>
      <w:r w:rsidRPr="00027842" w:rsidR="008D2738">
        <w:rPr>
          <w:rStyle w:val="Heading4Char"/>
          <w:rFonts w:ascii="Times New Roman" w:hAnsi="Times New Roman"/>
          <w:b/>
          <w:bCs/>
          <w:szCs w:val="24"/>
        </w:rPr>
        <w:t xml:space="preserve">result in </w:t>
      </w:r>
      <w:r w:rsidRPr="00027842" w:rsidR="00E747F8">
        <w:rPr>
          <w:rStyle w:val="Heading4Char"/>
          <w:rFonts w:ascii="Times New Roman" w:hAnsi="Times New Roman"/>
          <w:b/>
          <w:bCs/>
          <w:szCs w:val="24"/>
        </w:rPr>
        <w:t>excessive</w:t>
      </w:r>
      <w:r w:rsidRPr="00027842" w:rsidR="00B16FB4">
        <w:rPr>
          <w:rStyle w:val="Heading4Char"/>
          <w:rFonts w:ascii="Times New Roman" w:hAnsi="Times New Roman"/>
          <w:b/>
          <w:bCs/>
          <w:szCs w:val="24"/>
        </w:rPr>
        <w:t xml:space="preserve"> rates and charges to consumers</w:t>
      </w:r>
      <w:r w:rsidRPr="00027842" w:rsidR="001F1357">
        <w:rPr>
          <w:rStyle w:val="Heading4Char"/>
          <w:rFonts w:ascii="Times New Roman" w:hAnsi="Times New Roman"/>
          <w:b/>
          <w:bCs/>
          <w:szCs w:val="24"/>
        </w:rPr>
        <w:t xml:space="preserve"> in violation of R.C. 4909.15</w:t>
      </w:r>
      <w:r w:rsidRPr="00027842" w:rsidR="008D2738">
        <w:rPr>
          <w:rStyle w:val="Heading4Char"/>
          <w:rFonts w:ascii="Times New Roman" w:hAnsi="Times New Roman"/>
          <w:b/>
          <w:bCs/>
          <w:szCs w:val="24"/>
        </w:rPr>
        <w:t>.</w:t>
      </w:r>
      <w:bookmarkEnd w:id="52"/>
      <w:r w:rsidRPr="00027842" w:rsidR="008D2738">
        <w:t xml:space="preserve"> </w:t>
      </w:r>
    </w:p>
    <w:p w:rsidR="008D2738" w:rsidRPr="00027842" w:rsidP="002A44FB" w14:paraId="1EC8DF29" w14:textId="5A57D45F">
      <w:pPr>
        <w:spacing w:line="480" w:lineRule="auto"/>
        <w:ind w:firstLine="720"/>
        <w:rPr>
          <w:rFonts w:eastAsiaTheme="minorHAnsi"/>
          <w:lang w:bidi="ar-SA"/>
        </w:rPr>
      </w:pPr>
      <w:bookmarkStart w:id="53" w:name="_Hlk105590744"/>
      <w:r w:rsidRPr="00027842">
        <w:rPr>
          <w:rFonts w:eastAsiaTheme="minorHAnsi"/>
          <w:lang w:bidi="ar-SA"/>
        </w:rPr>
        <w:t>The Staff Report used a capital structure of 49.5 percent debt and 50.5 percent equity as of date certain, which is the same as the one proposed by Duke.</w:t>
      </w:r>
      <w:r>
        <w:rPr>
          <w:rStyle w:val="FootnoteReference"/>
          <w:rFonts w:eastAsiaTheme="minorHAnsi"/>
          <w:lang w:bidi="ar-SA"/>
        </w:rPr>
        <w:footnoteReference w:id="51"/>
      </w:r>
      <w:r w:rsidRPr="00027842">
        <w:rPr>
          <w:rFonts w:eastAsiaTheme="minorHAnsi"/>
          <w:lang w:bidi="ar-SA"/>
        </w:rPr>
        <w:t xml:space="preserve"> OCC objects to the Staff Report because this proposed capital structure is not more reflective of the capital structure of other </w:t>
      </w:r>
      <w:r w:rsidRPr="00027842" w:rsidR="008A41E0">
        <w:rPr>
          <w:rFonts w:eastAsiaTheme="minorHAnsi"/>
          <w:lang w:bidi="ar-SA"/>
        </w:rPr>
        <w:t xml:space="preserve">publicly held electric distribution companies. OCC proposes to use a capital structure of 50% </w:t>
      </w:r>
      <w:r w:rsidRPr="00027842" w:rsidR="00FB5758">
        <w:rPr>
          <w:rFonts w:eastAsiaTheme="minorHAnsi"/>
          <w:lang w:bidi="ar-SA"/>
        </w:rPr>
        <w:t>debt and 50% equity.</w:t>
      </w:r>
      <w:r w:rsidRPr="00027842" w:rsidR="00C60CCF">
        <w:rPr>
          <w:rFonts w:eastAsiaTheme="minorHAnsi"/>
          <w:lang w:bidi="ar-SA"/>
        </w:rPr>
        <w:t xml:space="preserve"> </w:t>
      </w:r>
      <w:bookmarkEnd w:id="53"/>
    </w:p>
    <w:p w:rsidR="006F4AE4" w14:paraId="3C731476" w14:textId="77777777">
      <w:pPr>
        <w:rPr>
          <w:rStyle w:val="Heading4Char"/>
          <w:rFonts w:ascii="Times New Roman" w:hAnsi="Times New Roman" w:eastAsiaTheme="minorHAnsi"/>
          <w:szCs w:val="24"/>
        </w:rPr>
      </w:pPr>
      <w:bookmarkStart w:id="54" w:name="_Hlk101592267"/>
      <w:bookmarkStart w:id="55" w:name="_Toc102143584"/>
      <w:r>
        <w:rPr>
          <w:rStyle w:val="Heading4Char"/>
          <w:rFonts w:ascii="Times New Roman" w:hAnsi="Times New Roman"/>
          <w:b w:val="0"/>
          <w:bCs w:val="0"/>
          <w:szCs w:val="24"/>
        </w:rPr>
        <w:br w:type="page"/>
      </w:r>
    </w:p>
    <w:p w:rsidR="00D74D17" w:rsidRPr="00027842" w:rsidP="00B87B59" w14:paraId="1A9FC0BC" w14:textId="444F977B">
      <w:pPr>
        <w:pStyle w:val="Heading3"/>
      </w:pPr>
      <w:bookmarkStart w:id="56" w:name="_Toc106717624"/>
      <w:r w:rsidRPr="00027842">
        <w:rPr>
          <w:rStyle w:val="Heading4Char"/>
          <w:rFonts w:ascii="Times New Roman" w:hAnsi="Times New Roman"/>
          <w:b/>
          <w:bCs/>
          <w:szCs w:val="24"/>
        </w:rPr>
        <w:t>4.</w:t>
      </w:r>
      <w:r w:rsidRPr="00027842">
        <w:rPr>
          <w:rStyle w:val="Heading4Char"/>
          <w:rFonts w:ascii="Times New Roman" w:hAnsi="Times New Roman"/>
          <w:b/>
          <w:bCs/>
          <w:szCs w:val="24"/>
        </w:rPr>
        <w:tab/>
      </w:r>
      <w:r w:rsidRPr="00027842">
        <w:rPr>
          <w:rStyle w:val="Heading4Char"/>
          <w:rFonts w:ascii="Times New Roman" w:hAnsi="Times New Roman"/>
          <w:b/>
          <w:bCs/>
          <w:szCs w:val="24"/>
        </w:rPr>
        <w:t>Objection No. 1</w:t>
      </w:r>
      <w:r w:rsidRPr="00027842" w:rsidR="00AD2724">
        <w:rPr>
          <w:rStyle w:val="Heading4Char"/>
          <w:rFonts w:ascii="Times New Roman" w:hAnsi="Times New Roman"/>
          <w:b/>
          <w:bCs/>
          <w:szCs w:val="24"/>
        </w:rPr>
        <w:t>0</w:t>
      </w:r>
      <w:r w:rsidRPr="00027842">
        <w:rPr>
          <w:rStyle w:val="Heading4Char"/>
          <w:rFonts w:ascii="Times New Roman" w:hAnsi="Times New Roman"/>
          <w:b/>
          <w:bCs/>
          <w:szCs w:val="24"/>
        </w:rPr>
        <w:t xml:space="preserve">: The Staff Report </w:t>
      </w:r>
      <w:r w:rsidRPr="00027842" w:rsidR="001F1357">
        <w:rPr>
          <w:rStyle w:val="Heading4Char"/>
          <w:rFonts w:ascii="Times New Roman" w:hAnsi="Times New Roman"/>
          <w:b/>
          <w:bCs/>
          <w:szCs w:val="24"/>
        </w:rPr>
        <w:t>harms consumers by not</w:t>
      </w:r>
      <w:r w:rsidRPr="00027842">
        <w:rPr>
          <w:rStyle w:val="Heading4Char"/>
          <w:rFonts w:ascii="Times New Roman" w:hAnsi="Times New Roman"/>
          <w:b/>
          <w:bCs/>
          <w:szCs w:val="24"/>
        </w:rPr>
        <w:t xml:space="preserve"> proposing a lower rate of return (than that applicable to the base distribution rates) for </w:t>
      </w:r>
      <w:r w:rsidRPr="00027842" w:rsidR="0065173A">
        <w:rPr>
          <w:rStyle w:val="Heading4Char"/>
          <w:rFonts w:ascii="Times New Roman" w:hAnsi="Times New Roman"/>
          <w:b/>
          <w:bCs/>
          <w:szCs w:val="24"/>
        </w:rPr>
        <w:t>setting rider charges</w:t>
      </w:r>
      <w:r w:rsidRPr="00027842" w:rsidR="001F1357">
        <w:rPr>
          <w:rStyle w:val="Heading4Char"/>
          <w:rFonts w:ascii="Times New Roman" w:hAnsi="Times New Roman"/>
          <w:b/>
          <w:bCs/>
          <w:szCs w:val="24"/>
        </w:rPr>
        <w:t xml:space="preserve">. </w:t>
      </w:r>
      <w:r w:rsidRPr="00027842" w:rsidR="0065173A">
        <w:rPr>
          <w:rStyle w:val="Heading4Char"/>
          <w:rFonts w:ascii="Times New Roman" w:hAnsi="Times New Roman"/>
          <w:b/>
          <w:bCs/>
          <w:szCs w:val="24"/>
        </w:rPr>
        <w:t>Duke’s business and financial risks associated with these riders are lower than those associated with the base distribution rates.</w:t>
      </w:r>
      <w:bookmarkEnd w:id="56"/>
      <w:r w:rsidRPr="00027842" w:rsidR="0065173A">
        <w:rPr>
          <w:rStyle w:val="Heading4Char"/>
          <w:rFonts w:ascii="Times New Roman" w:hAnsi="Times New Roman"/>
          <w:b/>
          <w:bCs/>
          <w:szCs w:val="24"/>
        </w:rPr>
        <w:t xml:space="preserve"> </w:t>
      </w:r>
    </w:p>
    <w:p w:rsidR="00D74D17" w:rsidRPr="00027842" w:rsidP="002A44FB" w14:paraId="5338C12C" w14:textId="1764EB43">
      <w:pPr>
        <w:spacing w:line="480" w:lineRule="auto"/>
        <w:ind w:firstLine="720"/>
        <w:rPr>
          <w:rStyle w:val="Heading4Char"/>
          <w:rFonts w:ascii="Times New Roman" w:hAnsi="Times New Roman" w:eastAsiaTheme="minorHAnsi"/>
          <w:szCs w:val="24"/>
          <w:u w:val="single"/>
        </w:rPr>
      </w:pPr>
      <w:r w:rsidRPr="00027842">
        <w:rPr>
          <w:rFonts w:eastAsiaTheme="minorHAnsi"/>
          <w:lang w:bidi="ar-SA"/>
        </w:rPr>
        <w:t xml:space="preserve">The Staff Report </w:t>
      </w:r>
      <w:r w:rsidRPr="00027842" w:rsidR="00570BD4">
        <w:rPr>
          <w:rFonts w:eastAsiaTheme="minorHAnsi"/>
          <w:lang w:bidi="ar-SA"/>
        </w:rPr>
        <w:t xml:space="preserve">should have proposed (but it did </w:t>
      </w:r>
      <w:r w:rsidRPr="00027842">
        <w:rPr>
          <w:rFonts w:eastAsiaTheme="minorHAnsi"/>
          <w:lang w:bidi="ar-SA"/>
        </w:rPr>
        <w:t>not</w:t>
      </w:r>
      <w:r w:rsidRPr="00027842" w:rsidR="00570BD4">
        <w:rPr>
          <w:rFonts w:eastAsiaTheme="minorHAnsi"/>
          <w:lang w:bidi="ar-SA"/>
        </w:rPr>
        <w:t>)</w:t>
      </w:r>
      <w:r w:rsidRPr="00027842">
        <w:rPr>
          <w:rFonts w:eastAsiaTheme="minorHAnsi"/>
          <w:lang w:bidi="ar-SA"/>
        </w:rPr>
        <w:t xml:space="preserve"> a lower rate of return applicable to riders such as the </w:t>
      </w:r>
      <w:r w:rsidRPr="00027842" w:rsidR="00570BD4">
        <w:t>Delivery Capital Investment Rider</w:t>
      </w:r>
      <w:r w:rsidRPr="00027842" w:rsidR="001F1357">
        <w:t xml:space="preserve"> and</w:t>
      </w:r>
      <w:r w:rsidRPr="00027842" w:rsidR="00570BD4">
        <w:t xml:space="preserve"> Electric Service Reliability Rider</w:t>
      </w:r>
      <w:r w:rsidRPr="00027842" w:rsidR="001F1357">
        <w:rPr>
          <w:rFonts w:eastAsiaTheme="minorHAnsi"/>
          <w:lang w:bidi="ar-SA"/>
        </w:rPr>
        <w:t xml:space="preserve">. </w:t>
      </w:r>
      <w:r w:rsidRPr="00027842">
        <w:rPr>
          <w:rFonts w:eastAsiaTheme="minorHAnsi"/>
          <w:lang w:bidi="ar-SA"/>
        </w:rPr>
        <w:t>Duke is assured of collecting charges</w:t>
      </w:r>
      <w:r w:rsidRPr="00027842" w:rsidR="001F1357">
        <w:rPr>
          <w:rFonts w:eastAsiaTheme="minorHAnsi"/>
          <w:lang w:bidi="ar-SA"/>
        </w:rPr>
        <w:t xml:space="preserve"> from consumers under these riders</w:t>
      </w:r>
      <w:r w:rsidRPr="00027842">
        <w:rPr>
          <w:rFonts w:eastAsiaTheme="minorHAnsi"/>
          <w:lang w:bidi="ar-SA"/>
        </w:rPr>
        <w:t xml:space="preserve"> </w:t>
      </w:r>
      <w:r w:rsidRPr="00027842" w:rsidR="00570BD4">
        <w:rPr>
          <w:rFonts w:eastAsiaTheme="minorHAnsi"/>
          <w:lang w:bidi="ar-SA"/>
        </w:rPr>
        <w:t xml:space="preserve">on an accelerated basis and typically with less rigorous review as compared to a rate case proceeding. </w:t>
      </w:r>
      <w:r w:rsidRPr="00027842" w:rsidR="004E69C0">
        <w:rPr>
          <w:rFonts w:eastAsiaTheme="minorHAnsi"/>
          <w:lang w:bidi="ar-SA"/>
        </w:rPr>
        <w:t xml:space="preserve">Accordingly, there is less risk to Duke with respect to </w:t>
      </w:r>
      <w:r w:rsidRPr="00027842" w:rsidR="00280BEF">
        <w:rPr>
          <w:rFonts w:eastAsiaTheme="minorHAnsi"/>
          <w:lang w:bidi="ar-SA"/>
        </w:rPr>
        <w:t xml:space="preserve">the collection </w:t>
      </w:r>
      <w:r w:rsidRPr="00027842" w:rsidR="004E69C0">
        <w:rPr>
          <w:rFonts w:eastAsiaTheme="minorHAnsi"/>
          <w:lang w:bidi="ar-SA"/>
        </w:rPr>
        <w:t>of costs under these riders.</w:t>
      </w:r>
      <w:r w:rsidRPr="00027842" w:rsidR="00570BD4">
        <w:rPr>
          <w:rFonts w:eastAsiaTheme="minorHAnsi"/>
          <w:lang w:bidi="ar-SA"/>
        </w:rPr>
        <w:t xml:space="preserve"> </w:t>
      </w:r>
      <w:r w:rsidRPr="00027842" w:rsidR="00EA133B">
        <w:rPr>
          <w:rFonts w:eastAsiaTheme="minorHAnsi"/>
          <w:lang w:bidi="ar-SA"/>
        </w:rPr>
        <w:t>The reduced ris</w:t>
      </w:r>
      <w:r w:rsidRPr="00027842" w:rsidR="00015236">
        <w:rPr>
          <w:rFonts w:eastAsiaTheme="minorHAnsi"/>
          <w:lang w:bidi="ar-SA"/>
        </w:rPr>
        <w:t xml:space="preserve">k </w:t>
      </w:r>
      <w:r w:rsidRPr="00027842" w:rsidR="00280BEF">
        <w:rPr>
          <w:rFonts w:eastAsiaTheme="minorHAnsi"/>
          <w:lang w:bidi="ar-SA"/>
        </w:rPr>
        <w:t xml:space="preserve">associated with </w:t>
      </w:r>
      <w:r w:rsidRPr="00027842" w:rsidR="00015236">
        <w:rPr>
          <w:rFonts w:eastAsiaTheme="minorHAnsi"/>
          <w:lang w:bidi="ar-SA"/>
        </w:rPr>
        <w:t>Duke’s riders should be reflected in a lower rate of return used to develop rider charges to consumers.</w:t>
      </w:r>
    </w:p>
    <w:p w:rsidR="00A21D55" w:rsidRPr="00027842" w:rsidP="00B87B59" w14:paraId="198128B1" w14:textId="61D0753F">
      <w:pPr>
        <w:pStyle w:val="Heading3"/>
        <w:rPr>
          <w:noProof/>
        </w:rPr>
      </w:pPr>
      <w:bookmarkStart w:id="57" w:name="_Toc106717625"/>
      <w:r w:rsidRPr="00027842">
        <w:rPr>
          <w:rStyle w:val="Heading4Char"/>
          <w:rFonts w:ascii="Times New Roman" w:hAnsi="Times New Roman"/>
          <w:b/>
          <w:bCs/>
          <w:szCs w:val="24"/>
        </w:rPr>
        <w:t>5.</w:t>
      </w:r>
      <w:r w:rsidRPr="00027842">
        <w:rPr>
          <w:rStyle w:val="Heading4Char"/>
          <w:rFonts w:ascii="Times New Roman" w:hAnsi="Times New Roman"/>
          <w:b/>
          <w:bCs/>
          <w:szCs w:val="24"/>
        </w:rPr>
        <w:tab/>
      </w:r>
      <w:r w:rsidRPr="00027842" w:rsidR="00C53E10">
        <w:rPr>
          <w:rStyle w:val="Heading4Char"/>
          <w:rFonts w:ascii="Times New Roman" w:hAnsi="Times New Roman"/>
          <w:b/>
          <w:bCs/>
          <w:szCs w:val="24"/>
        </w:rPr>
        <w:t xml:space="preserve">Objection No. </w:t>
      </w:r>
      <w:bookmarkEnd w:id="54"/>
      <w:r w:rsidRPr="00027842" w:rsidR="001F1357">
        <w:rPr>
          <w:rStyle w:val="Heading4Char"/>
          <w:rFonts w:ascii="Times New Roman" w:hAnsi="Times New Roman"/>
          <w:b/>
          <w:bCs/>
          <w:szCs w:val="24"/>
        </w:rPr>
        <w:t>1</w:t>
      </w:r>
      <w:r w:rsidRPr="00027842" w:rsidR="00AD2724">
        <w:rPr>
          <w:rStyle w:val="Heading4Char"/>
          <w:rFonts w:ascii="Times New Roman" w:hAnsi="Times New Roman"/>
          <w:b/>
          <w:bCs/>
          <w:szCs w:val="24"/>
        </w:rPr>
        <w:t>1</w:t>
      </w:r>
      <w:r w:rsidRPr="00027842" w:rsidR="00AA6C3C">
        <w:rPr>
          <w:rStyle w:val="Heading4Char"/>
          <w:rFonts w:ascii="Times New Roman" w:hAnsi="Times New Roman"/>
          <w:b/>
          <w:bCs/>
          <w:szCs w:val="24"/>
        </w:rPr>
        <w:t>:</w:t>
      </w:r>
      <w:r w:rsidRPr="00027842" w:rsidR="00081AA3">
        <w:rPr>
          <w:rStyle w:val="Heading4Char"/>
          <w:rFonts w:ascii="Times New Roman" w:hAnsi="Times New Roman"/>
          <w:b/>
          <w:bCs/>
          <w:szCs w:val="24"/>
        </w:rPr>
        <w:t xml:space="preserve"> </w:t>
      </w:r>
      <w:r w:rsidRPr="00027842" w:rsidR="00C53E10">
        <w:rPr>
          <w:rStyle w:val="Heading4Char"/>
          <w:rFonts w:ascii="Times New Roman" w:hAnsi="Times New Roman"/>
          <w:b/>
          <w:bCs/>
          <w:szCs w:val="24"/>
        </w:rPr>
        <w:t xml:space="preserve">The Staff Report </w:t>
      </w:r>
      <w:r w:rsidRPr="00027842" w:rsidR="001F1357">
        <w:rPr>
          <w:rStyle w:val="Heading4Char"/>
          <w:rFonts w:ascii="Times New Roman" w:hAnsi="Times New Roman"/>
          <w:b/>
          <w:bCs/>
          <w:szCs w:val="24"/>
        </w:rPr>
        <w:t>harms consumers by</w:t>
      </w:r>
      <w:r w:rsidRPr="00027842" w:rsidR="00C56993">
        <w:rPr>
          <w:rStyle w:val="Heading4Char"/>
          <w:rFonts w:ascii="Times New Roman" w:hAnsi="Times New Roman"/>
          <w:b/>
          <w:bCs/>
          <w:szCs w:val="24"/>
        </w:rPr>
        <w:t xml:space="preserve"> develop</w:t>
      </w:r>
      <w:r w:rsidRPr="00027842" w:rsidR="001F1357">
        <w:rPr>
          <w:rStyle w:val="Heading4Char"/>
          <w:rFonts w:ascii="Times New Roman" w:hAnsi="Times New Roman"/>
          <w:b/>
          <w:bCs/>
          <w:szCs w:val="24"/>
        </w:rPr>
        <w:t>ing a</w:t>
      </w:r>
      <w:r w:rsidRPr="00027842" w:rsidR="00C56993">
        <w:rPr>
          <w:rStyle w:val="Heading4Char"/>
          <w:rFonts w:ascii="Times New Roman" w:hAnsi="Times New Roman"/>
          <w:b/>
          <w:bCs/>
          <w:szCs w:val="24"/>
        </w:rPr>
        <w:t xml:space="preserve"> </w:t>
      </w:r>
      <w:r w:rsidRPr="00027842" w:rsidR="00E112B7">
        <w:rPr>
          <w:rStyle w:val="Heading4Char"/>
          <w:rFonts w:ascii="Times New Roman" w:hAnsi="Times New Roman"/>
          <w:b/>
          <w:bCs/>
          <w:szCs w:val="24"/>
        </w:rPr>
        <w:t>cost of e</w:t>
      </w:r>
      <w:r w:rsidRPr="00027842" w:rsidR="00C56993">
        <w:rPr>
          <w:rStyle w:val="Heading4Char"/>
          <w:rFonts w:ascii="Times New Roman" w:hAnsi="Times New Roman"/>
          <w:b/>
          <w:bCs/>
          <w:szCs w:val="24"/>
        </w:rPr>
        <w:t xml:space="preserve">quity </w:t>
      </w:r>
      <w:r w:rsidRPr="00027842" w:rsidR="001F1357">
        <w:rPr>
          <w:rStyle w:val="Heading4Char"/>
          <w:rFonts w:ascii="Times New Roman" w:hAnsi="Times New Roman"/>
          <w:b/>
          <w:bCs/>
          <w:szCs w:val="24"/>
        </w:rPr>
        <w:t xml:space="preserve">based on </w:t>
      </w:r>
      <w:r w:rsidRPr="00027842" w:rsidR="00E112B7">
        <w:rPr>
          <w:rStyle w:val="Heading4Char"/>
          <w:rFonts w:ascii="Times New Roman" w:hAnsi="Times New Roman"/>
          <w:b/>
          <w:bCs/>
          <w:szCs w:val="24"/>
        </w:rPr>
        <w:t xml:space="preserve">its selected </w:t>
      </w:r>
      <w:r w:rsidRPr="00027842" w:rsidR="00C53E10">
        <w:rPr>
          <w:rStyle w:val="Heading4Char"/>
          <w:rFonts w:ascii="Times New Roman" w:hAnsi="Times New Roman"/>
          <w:b/>
          <w:bCs/>
          <w:szCs w:val="24"/>
        </w:rPr>
        <w:t xml:space="preserve">proxy group </w:t>
      </w:r>
      <w:r w:rsidRPr="00027842" w:rsidR="00E112B7">
        <w:rPr>
          <w:rStyle w:val="Heading4Char"/>
          <w:rFonts w:ascii="Times New Roman" w:hAnsi="Times New Roman"/>
          <w:b/>
          <w:bCs/>
          <w:szCs w:val="24"/>
        </w:rPr>
        <w:t xml:space="preserve">that </w:t>
      </w:r>
      <w:r w:rsidRPr="00027842" w:rsidR="00C53E10">
        <w:rPr>
          <w:rStyle w:val="Heading4Char"/>
          <w:rFonts w:ascii="Times New Roman" w:hAnsi="Times New Roman"/>
          <w:b/>
          <w:bCs/>
          <w:szCs w:val="24"/>
        </w:rPr>
        <w:t>result</w:t>
      </w:r>
      <w:r w:rsidRPr="00027842" w:rsidR="003831D7">
        <w:rPr>
          <w:rStyle w:val="Heading4Char"/>
          <w:rFonts w:ascii="Times New Roman" w:hAnsi="Times New Roman"/>
          <w:b/>
          <w:bCs/>
          <w:szCs w:val="24"/>
        </w:rPr>
        <w:t>s</w:t>
      </w:r>
      <w:r w:rsidRPr="00027842" w:rsidR="00C53E10">
        <w:rPr>
          <w:rStyle w:val="Heading4Char"/>
          <w:rFonts w:ascii="Times New Roman" w:hAnsi="Times New Roman"/>
          <w:b/>
          <w:bCs/>
          <w:szCs w:val="24"/>
        </w:rPr>
        <w:t xml:space="preserve"> in</w:t>
      </w:r>
      <w:r w:rsidRPr="00027842" w:rsidR="006845E8">
        <w:rPr>
          <w:rStyle w:val="Heading4Char"/>
          <w:rFonts w:ascii="Times New Roman" w:hAnsi="Times New Roman"/>
          <w:b/>
          <w:bCs/>
          <w:szCs w:val="24"/>
        </w:rPr>
        <w:t xml:space="preserve"> an</w:t>
      </w:r>
      <w:r w:rsidRPr="00027842" w:rsidR="00C53E10">
        <w:rPr>
          <w:rStyle w:val="Heading4Char"/>
          <w:rFonts w:ascii="Times New Roman" w:hAnsi="Times New Roman"/>
          <w:b/>
          <w:bCs/>
          <w:szCs w:val="24"/>
        </w:rPr>
        <w:t xml:space="preserve"> imprecise measurement of the required returns on equity</w:t>
      </w:r>
      <w:r w:rsidRPr="00027842" w:rsidR="008A16FF">
        <w:rPr>
          <w:rStyle w:val="Heading4Char"/>
          <w:rFonts w:ascii="Times New Roman" w:hAnsi="Times New Roman"/>
          <w:b/>
          <w:bCs/>
          <w:szCs w:val="24"/>
        </w:rPr>
        <w:t xml:space="preserve"> </w:t>
      </w:r>
      <w:r w:rsidRPr="00027842" w:rsidR="004F6920">
        <w:rPr>
          <w:rStyle w:val="Heading4Char"/>
          <w:rFonts w:ascii="Times New Roman" w:hAnsi="Times New Roman"/>
          <w:b/>
          <w:bCs/>
          <w:szCs w:val="24"/>
        </w:rPr>
        <w:t>a</w:t>
      </w:r>
      <w:r w:rsidRPr="00027842" w:rsidR="006845E8">
        <w:rPr>
          <w:rStyle w:val="Heading4Char"/>
          <w:rFonts w:ascii="Times New Roman" w:hAnsi="Times New Roman"/>
          <w:b/>
          <w:bCs/>
          <w:szCs w:val="24"/>
        </w:rPr>
        <w:t>nd a</w:t>
      </w:r>
      <w:r w:rsidRPr="00027842" w:rsidR="004E69C0">
        <w:rPr>
          <w:rStyle w:val="Heading4Char"/>
          <w:rFonts w:ascii="Times New Roman" w:hAnsi="Times New Roman"/>
          <w:b/>
          <w:bCs/>
          <w:szCs w:val="24"/>
        </w:rPr>
        <w:t>n excessive</w:t>
      </w:r>
      <w:r w:rsidRPr="00027842" w:rsidR="004F6920">
        <w:rPr>
          <w:rStyle w:val="Heading4Char"/>
          <w:rFonts w:ascii="Times New Roman" w:hAnsi="Times New Roman"/>
          <w:b/>
          <w:bCs/>
          <w:szCs w:val="24"/>
        </w:rPr>
        <w:t xml:space="preserve"> Return on Equity that is not fair and reasonable </w:t>
      </w:r>
      <w:r w:rsidRPr="00027842" w:rsidR="006845E8">
        <w:rPr>
          <w:rStyle w:val="Heading4Char"/>
          <w:rFonts w:ascii="Times New Roman" w:hAnsi="Times New Roman"/>
          <w:b/>
          <w:bCs/>
          <w:szCs w:val="24"/>
        </w:rPr>
        <w:t xml:space="preserve">to charge consumers </w:t>
      </w:r>
      <w:r w:rsidRPr="00027842" w:rsidR="003831D7">
        <w:rPr>
          <w:rStyle w:val="Heading4Char"/>
          <w:rFonts w:ascii="Times New Roman" w:hAnsi="Times New Roman"/>
          <w:b/>
          <w:bCs/>
          <w:szCs w:val="24"/>
        </w:rPr>
        <w:t>in violation of</w:t>
      </w:r>
      <w:r w:rsidRPr="00027842" w:rsidR="004F6920">
        <w:rPr>
          <w:rStyle w:val="Heading4Char"/>
          <w:rFonts w:ascii="Times New Roman" w:hAnsi="Times New Roman"/>
          <w:b/>
          <w:bCs/>
          <w:szCs w:val="24"/>
        </w:rPr>
        <w:t xml:space="preserve"> R.C. 4909.15</w:t>
      </w:r>
      <w:r w:rsidRPr="00027842" w:rsidR="00C53E10">
        <w:rPr>
          <w:rStyle w:val="Heading4Char"/>
          <w:rFonts w:ascii="Times New Roman" w:hAnsi="Times New Roman"/>
          <w:b/>
          <w:bCs/>
          <w:szCs w:val="24"/>
        </w:rPr>
        <w:t>.</w:t>
      </w:r>
      <w:bookmarkEnd w:id="55"/>
      <w:bookmarkEnd w:id="57"/>
      <w:r w:rsidRPr="00027842" w:rsidR="00C53E10">
        <w:t xml:space="preserve"> </w:t>
      </w:r>
    </w:p>
    <w:p w:rsidR="00C707BA" w:rsidRPr="00027842" w:rsidP="002A44FB" w14:paraId="18A23BF6" w14:textId="26F8A141">
      <w:pPr>
        <w:spacing w:line="480" w:lineRule="auto"/>
        <w:ind w:firstLine="720"/>
        <w:rPr>
          <w:rStyle w:val="Heading4Char"/>
          <w:rFonts w:ascii="Times New Roman" w:hAnsi="Times New Roman"/>
          <w:b w:val="0"/>
          <w:bCs w:val="0"/>
          <w:noProof/>
          <w:szCs w:val="24"/>
        </w:rPr>
      </w:pPr>
      <w:r w:rsidRPr="00027842">
        <w:rPr>
          <w:rFonts w:eastAsiaTheme="minorHAnsi"/>
          <w:lang w:bidi="ar-SA"/>
        </w:rPr>
        <w:t xml:space="preserve">OCC </w:t>
      </w:r>
      <w:r w:rsidRPr="00027842" w:rsidR="00C53E10">
        <w:rPr>
          <w:rFonts w:eastAsiaTheme="minorHAnsi"/>
          <w:lang w:bidi="ar-SA"/>
        </w:rPr>
        <w:t>object</w:t>
      </w:r>
      <w:r w:rsidRPr="00027842">
        <w:rPr>
          <w:rFonts w:eastAsiaTheme="minorHAnsi"/>
          <w:lang w:bidi="ar-SA"/>
        </w:rPr>
        <w:t>s</w:t>
      </w:r>
      <w:r w:rsidRPr="00027842" w:rsidR="00C53E10">
        <w:rPr>
          <w:rFonts w:eastAsiaTheme="minorHAnsi"/>
          <w:lang w:bidi="ar-SA"/>
        </w:rPr>
        <w:t xml:space="preserve"> to the Staff Report’s selection of comparable companies for the estimation of the required return on equity. T</w:t>
      </w:r>
      <w:r w:rsidRPr="00027842" w:rsidR="003439C9">
        <w:rPr>
          <w:rFonts w:eastAsiaTheme="minorHAnsi"/>
          <w:lang w:bidi="ar-SA"/>
        </w:rPr>
        <w:t>h</w:t>
      </w:r>
      <w:r w:rsidRPr="00027842" w:rsidR="00C53E10">
        <w:rPr>
          <w:rFonts w:eastAsiaTheme="minorHAnsi"/>
          <w:lang w:bidi="ar-SA"/>
        </w:rPr>
        <w:t xml:space="preserve">e </w:t>
      </w:r>
      <w:r w:rsidRPr="00027842" w:rsidR="00250072">
        <w:rPr>
          <w:rFonts w:eastAsiaTheme="minorHAnsi"/>
          <w:lang w:bidi="ar-SA"/>
        </w:rPr>
        <w:t xml:space="preserve">PUCO </w:t>
      </w:r>
      <w:r w:rsidRPr="00027842" w:rsidR="00C53E10">
        <w:rPr>
          <w:rFonts w:eastAsiaTheme="minorHAnsi"/>
          <w:lang w:bidi="ar-SA"/>
        </w:rPr>
        <w:t xml:space="preserve">Staff selected a group of </w:t>
      </w:r>
      <w:r w:rsidRPr="00027842" w:rsidR="00FB5758">
        <w:rPr>
          <w:rFonts w:eastAsiaTheme="minorHAnsi"/>
          <w:lang w:bidi="ar-SA"/>
        </w:rPr>
        <w:t xml:space="preserve">12 </w:t>
      </w:r>
      <w:r w:rsidRPr="00027842" w:rsidR="00C53E10">
        <w:rPr>
          <w:rFonts w:eastAsiaTheme="minorHAnsi"/>
          <w:lang w:bidi="ar-SA"/>
        </w:rPr>
        <w:t>companies</w:t>
      </w:r>
      <w:r w:rsidRPr="00027842" w:rsidR="00FB5758">
        <w:rPr>
          <w:rFonts w:eastAsiaTheme="minorHAnsi"/>
          <w:lang w:bidi="ar-SA"/>
        </w:rPr>
        <w:t>.</w:t>
      </w:r>
      <w:r w:rsidRPr="00027842" w:rsidR="00C60CCF">
        <w:rPr>
          <w:rFonts w:eastAsiaTheme="minorHAnsi"/>
          <w:lang w:bidi="ar-SA"/>
        </w:rPr>
        <w:t xml:space="preserve"> </w:t>
      </w:r>
      <w:r w:rsidRPr="00027842" w:rsidR="00C13D45">
        <w:rPr>
          <w:rFonts w:eastAsiaTheme="minorHAnsi"/>
          <w:lang w:bidi="ar-SA"/>
        </w:rPr>
        <w:t xml:space="preserve">This </w:t>
      </w:r>
      <w:r w:rsidRPr="00027842" w:rsidR="004E69C0">
        <w:rPr>
          <w:rFonts w:eastAsiaTheme="minorHAnsi"/>
          <w:lang w:bidi="ar-SA"/>
        </w:rPr>
        <w:t>could</w:t>
      </w:r>
      <w:r w:rsidRPr="00027842" w:rsidR="00360412">
        <w:rPr>
          <w:rFonts w:eastAsiaTheme="minorHAnsi"/>
          <w:lang w:bidi="ar-SA"/>
        </w:rPr>
        <w:t xml:space="preserve"> overstate</w:t>
      </w:r>
      <w:r w:rsidRPr="00027842" w:rsidR="00C53E10">
        <w:rPr>
          <w:rFonts w:eastAsiaTheme="minorHAnsi"/>
          <w:lang w:bidi="ar-SA"/>
        </w:rPr>
        <w:t xml:space="preserve"> </w:t>
      </w:r>
      <w:r w:rsidRPr="00027842" w:rsidR="004E69C0">
        <w:rPr>
          <w:rFonts w:eastAsiaTheme="minorHAnsi"/>
          <w:lang w:bidi="ar-SA"/>
        </w:rPr>
        <w:t xml:space="preserve">the </w:t>
      </w:r>
      <w:r w:rsidRPr="00027842" w:rsidR="00C53E10">
        <w:rPr>
          <w:rFonts w:eastAsiaTheme="minorHAnsi"/>
          <w:lang w:bidi="ar-SA"/>
        </w:rPr>
        <w:t xml:space="preserve">risks to </w:t>
      </w:r>
      <w:r w:rsidRPr="00027842" w:rsidR="004E69C0">
        <w:rPr>
          <w:rFonts w:eastAsiaTheme="minorHAnsi"/>
          <w:lang w:bidi="ar-SA"/>
        </w:rPr>
        <w:t>Duke</w:t>
      </w:r>
      <w:r w:rsidRPr="00027842" w:rsidR="00C53E10">
        <w:rPr>
          <w:rFonts w:eastAsiaTheme="minorHAnsi"/>
          <w:lang w:bidi="ar-SA"/>
        </w:rPr>
        <w:t xml:space="preserve">, </w:t>
      </w:r>
      <w:r w:rsidRPr="00027842" w:rsidR="00250072">
        <w:rPr>
          <w:rFonts w:eastAsiaTheme="minorHAnsi"/>
          <w:lang w:bidi="ar-SA"/>
        </w:rPr>
        <w:t xml:space="preserve">which would result in an </w:t>
      </w:r>
      <w:r w:rsidRPr="00027842" w:rsidR="00C56993">
        <w:rPr>
          <w:rFonts w:eastAsiaTheme="minorHAnsi"/>
          <w:lang w:bidi="ar-SA"/>
        </w:rPr>
        <w:t xml:space="preserve">excessive </w:t>
      </w:r>
      <w:r w:rsidRPr="00027842" w:rsidR="00C53E10">
        <w:rPr>
          <w:rFonts w:eastAsiaTheme="minorHAnsi"/>
          <w:lang w:bidi="ar-SA"/>
        </w:rPr>
        <w:t>estimation of the</w:t>
      </w:r>
      <w:r w:rsidRPr="00027842" w:rsidR="00250072">
        <w:rPr>
          <w:rFonts w:eastAsiaTheme="minorHAnsi"/>
          <w:lang w:bidi="ar-SA"/>
        </w:rPr>
        <w:t xml:space="preserve"> return on equity</w:t>
      </w:r>
      <w:r w:rsidRPr="00027842" w:rsidR="00C56993">
        <w:rPr>
          <w:rFonts w:eastAsiaTheme="minorHAnsi"/>
          <w:lang w:bidi="ar-SA"/>
        </w:rPr>
        <w:t xml:space="preserve"> </w:t>
      </w:r>
      <w:r w:rsidRPr="00027842" w:rsidR="00360412">
        <w:rPr>
          <w:rFonts w:eastAsiaTheme="minorHAnsi"/>
          <w:lang w:bidi="ar-SA"/>
        </w:rPr>
        <w:t>that is unfair and unreasonable to charge to consumers per R.C. 4909.15</w:t>
      </w:r>
      <w:r w:rsidRPr="00027842" w:rsidR="00C53E10">
        <w:rPr>
          <w:rFonts w:eastAsiaTheme="minorHAnsi"/>
          <w:lang w:bidi="ar-SA"/>
        </w:rPr>
        <w:t>.</w:t>
      </w:r>
      <w:bookmarkStart w:id="58" w:name="_Toc102143585"/>
    </w:p>
    <w:p w:rsidR="00A21D55" w:rsidRPr="00027842" w:rsidP="00B87B59" w14:paraId="0485595A" w14:textId="5302E328">
      <w:pPr>
        <w:pStyle w:val="Heading3"/>
      </w:pPr>
      <w:bookmarkStart w:id="59" w:name="_Toc106717626"/>
      <w:r w:rsidRPr="00027842">
        <w:rPr>
          <w:rStyle w:val="Heading4Char"/>
          <w:rFonts w:ascii="Times New Roman" w:hAnsi="Times New Roman"/>
          <w:b/>
          <w:bCs/>
          <w:szCs w:val="24"/>
        </w:rPr>
        <w:t>6.</w:t>
      </w:r>
      <w:r w:rsidRPr="00027842">
        <w:rPr>
          <w:rStyle w:val="Heading4Char"/>
          <w:rFonts w:ascii="Times New Roman" w:hAnsi="Times New Roman"/>
          <w:b/>
          <w:bCs/>
          <w:szCs w:val="24"/>
        </w:rPr>
        <w:tab/>
      </w:r>
      <w:r w:rsidRPr="00027842" w:rsidR="00C53E10">
        <w:rPr>
          <w:rStyle w:val="Heading4Char"/>
          <w:rFonts w:ascii="Times New Roman" w:hAnsi="Times New Roman"/>
          <w:b/>
          <w:bCs/>
          <w:szCs w:val="24"/>
        </w:rPr>
        <w:t xml:space="preserve">Objection No. </w:t>
      </w:r>
      <w:r w:rsidRPr="00027842" w:rsidR="00AD2724">
        <w:rPr>
          <w:rStyle w:val="Heading4Char"/>
          <w:rFonts w:ascii="Times New Roman" w:hAnsi="Times New Roman"/>
          <w:b/>
          <w:bCs/>
          <w:szCs w:val="24"/>
        </w:rPr>
        <w:t>12</w:t>
      </w:r>
      <w:r w:rsidRPr="00027842" w:rsidR="00AA6C3C">
        <w:rPr>
          <w:rStyle w:val="Heading4Char"/>
          <w:rFonts w:ascii="Times New Roman" w:hAnsi="Times New Roman"/>
          <w:b/>
          <w:bCs/>
          <w:szCs w:val="24"/>
        </w:rPr>
        <w:t>:</w:t>
      </w:r>
      <w:r w:rsidRPr="00027842" w:rsidR="00001221">
        <w:rPr>
          <w:rStyle w:val="Heading4Char"/>
          <w:rFonts w:ascii="Times New Roman" w:hAnsi="Times New Roman"/>
          <w:b/>
          <w:bCs/>
          <w:szCs w:val="24"/>
        </w:rPr>
        <w:t xml:space="preserve"> </w:t>
      </w:r>
      <w:r w:rsidRPr="00027842" w:rsidR="00C53E10">
        <w:rPr>
          <w:rStyle w:val="Heading4Char"/>
          <w:rFonts w:ascii="Times New Roman" w:hAnsi="Times New Roman"/>
          <w:b/>
          <w:bCs/>
          <w:szCs w:val="24"/>
        </w:rPr>
        <w:t xml:space="preserve">The Staff Report </w:t>
      </w:r>
      <w:r w:rsidRPr="00027842" w:rsidR="006A00DF">
        <w:rPr>
          <w:rStyle w:val="Heading4Char"/>
          <w:rFonts w:ascii="Times New Roman" w:hAnsi="Times New Roman"/>
          <w:b/>
          <w:bCs/>
          <w:szCs w:val="24"/>
        </w:rPr>
        <w:t xml:space="preserve">harms consumers </w:t>
      </w:r>
      <w:r w:rsidRPr="00027842" w:rsidR="00C53E10">
        <w:rPr>
          <w:rStyle w:val="Heading4Char"/>
          <w:rFonts w:ascii="Times New Roman" w:hAnsi="Times New Roman"/>
          <w:b/>
          <w:bCs/>
          <w:szCs w:val="24"/>
        </w:rPr>
        <w:t>by applying a</w:t>
      </w:r>
      <w:r w:rsidRPr="00027842" w:rsidR="00A57CB1">
        <w:rPr>
          <w:rStyle w:val="Heading4Char"/>
          <w:rFonts w:ascii="Times New Roman" w:hAnsi="Times New Roman"/>
          <w:b/>
          <w:bCs/>
          <w:szCs w:val="24"/>
        </w:rPr>
        <w:t xml:space="preserve">n unreasonable </w:t>
      </w:r>
      <w:r w:rsidRPr="00027842" w:rsidR="00C53E10">
        <w:rPr>
          <w:rStyle w:val="Heading4Char"/>
          <w:rFonts w:ascii="Times New Roman" w:hAnsi="Times New Roman"/>
          <w:b/>
          <w:bCs/>
          <w:szCs w:val="24"/>
        </w:rPr>
        <w:t xml:space="preserve">risk-free rate in </w:t>
      </w:r>
      <w:r w:rsidRPr="00027842" w:rsidR="00E112B7">
        <w:rPr>
          <w:rStyle w:val="Heading4Char"/>
          <w:rFonts w:ascii="Times New Roman" w:hAnsi="Times New Roman"/>
          <w:b/>
          <w:bCs/>
          <w:szCs w:val="24"/>
        </w:rPr>
        <w:t xml:space="preserve">its </w:t>
      </w:r>
      <w:r w:rsidRPr="00027842" w:rsidR="00C53E10">
        <w:rPr>
          <w:rStyle w:val="Heading4Char"/>
          <w:rFonts w:ascii="Times New Roman" w:hAnsi="Times New Roman"/>
          <w:b/>
          <w:bCs/>
          <w:szCs w:val="24"/>
        </w:rPr>
        <w:t>C</w:t>
      </w:r>
      <w:r w:rsidRPr="00027842" w:rsidR="006A00DF">
        <w:rPr>
          <w:rStyle w:val="Heading4Char"/>
          <w:rFonts w:ascii="Times New Roman" w:hAnsi="Times New Roman"/>
          <w:b/>
          <w:bCs/>
          <w:szCs w:val="24"/>
        </w:rPr>
        <w:t>apital Asset Pricing</w:t>
      </w:r>
      <w:r w:rsidRPr="00027842" w:rsidR="00C53E10">
        <w:rPr>
          <w:rStyle w:val="Heading4Char"/>
          <w:rFonts w:ascii="Times New Roman" w:hAnsi="Times New Roman"/>
          <w:b/>
          <w:bCs/>
          <w:szCs w:val="24"/>
        </w:rPr>
        <w:t xml:space="preserve"> </w:t>
      </w:r>
      <w:r w:rsidRPr="00027842" w:rsidR="006A00DF">
        <w:rPr>
          <w:rStyle w:val="Heading4Char"/>
          <w:rFonts w:ascii="Times New Roman" w:hAnsi="Times New Roman"/>
          <w:b/>
          <w:bCs/>
          <w:szCs w:val="24"/>
        </w:rPr>
        <w:t>M</w:t>
      </w:r>
      <w:r w:rsidRPr="00027842" w:rsidR="00C53E10">
        <w:rPr>
          <w:rStyle w:val="Heading4Char"/>
          <w:rFonts w:ascii="Times New Roman" w:hAnsi="Times New Roman"/>
          <w:b/>
          <w:bCs/>
          <w:szCs w:val="24"/>
        </w:rPr>
        <w:t>odel</w:t>
      </w:r>
      <w:r w:rsidRPr="00027842" w:rsidR="006A00DF">
        <w:rPr>
          <w:rStyle w:val="Heading4Char"/>
          <w:rFonts w:ascii="Times New Roman" w:hAnsi="Times New Roman"/>
          <w:b/>
          <w:bCs/>
          <w:szCs w:val="24"/>
        </w:rPr>
        <w:t xml:space="preserve"> (“CAPM”)</w:t>
      </w:r>
      <w:r w:rsidRPr="00027842" w:rsidR="00C53E10">
        <w:rPr>
          <w:rStyle w:val="Heading4Char"/>
          <w:rFonts w:ascii="Times New Roman" w:hAnsi="Times New Roman"/>
          <w:b/>
          <w:bCs/>
          <w:szCs w:val="24"/>
        </w:rPr>
        <w:t xml:space="preserve">, which will lead to </w:t>
      </w:r>
      <w:r w:rsidRPr="00027842" w:rsidR="004E69C0">
        <w:rPr>
          <w:rStyle w:val="Heading4Char"/>
          <w:rFonts w:ascii="Times New Roman" w:hAnsi="Times New Roman"/>
          <w:b/>
          <w:bCs/>
          <w:szCs w:val="24"/>
        </w:rPr>
        <w:t>excessive</w:t>
      </w:r>
      <w:r w:rsidRPr="00027842" w:rsidR="00C53E10">
        <w:rPr>
          <w:rStyle w:val="Heading4Char"/>
          <w:rFonts w:ascii="Times New Roman" w:hAnsi="Times New Roman"/>
          <w:b/>
          <w:bCs/>
          <w:szCs w:val="24"/>
        </w:rPr>
        <w:t xml:space="preserve"> rates and charges to consumers</w:t>
      </w:r>
      <w:bookmarkEnd w:id="58"/>
      <w:r w:rsidRPr="00027842" w:rsidR="00D51D58">
        <w:rPr>
          <w:rStyle w:val="Heading4Char"/>
          <w:rFonts w:ascii="Times New Roman" w:hAnsi="Times New Roman"/>
          <w:b/>
          <w:bCs/>
          <w:szCs w:val="24"/>
        </w:rPr>
        <w:t xml:space="preserve"> than are </w:t>
      </w:r>
      <w:r w:rsidRPr="00027842" w:rsidR="004E69C0">
        <w:rPr>
          <w:rStyle w:val="Heading4Char"/>
          <w:rFonts w:ascii="Times New Roman" w:hAnsi="Times New Roman"/>
          <w:b/>
          <w:bCs/>
          <w:szCs w:val="24"/>
        </w:rPr>
        <w:t xml:space="preserve">not </w:t>
      </w:r>
      <w:r w:rsidRPr="00027842" w:rsidR="00D51D58">
        <w:rPr>
          <w:rStyle w:val="Heading4Char"/>
          <w:rFonts w:ascii="Times New Roman" w:hAnsi="Times New Roman"/>
          <w:b/>
          <w:bCs/>
          <w:szCs w:val="24"/>
        </w:rPr>
        <w:t xml:space="preserve">fair and reasonable </w:t>
      </w:r>
      <w:r w:rsidRPr="00027842" w:rsidR="004E69C0">
        <w:rPr>
          <w:rStyle w:val="Heading4Char"/>
          <w:rFonts w:ascii="Times New Roman" w:hAnsi="Times New Roman"/>
          <w:b/>
          <w:bCs/>
          <w:szCs w:val="24"/>
        </w:rPr>
        <w:t>as required by</w:t>
      </w:r>
      <w:r w:rsidRPr="00027842" w:rsidR="00D51D58">
        <w:rPr>
          <w:rStyle w:val="Heading4Char"/>
          <w:rFonts w:ascii="Times New Roman" w:hAnsi="Times New Roman"/>
          <w:b/>
          <w:bCs/>
          <w:szCs w:val="24"/>
        </w:rPr>
        <w:t xml:space="preserve"> R.C. 4909.15</w:t>
      </w:r>
      <w:r w:rsidRPr="00027842" w:rsidR="00C53E10">
        <w:t>.</w:t>
      </w:r>
      <w:bookmarkEnd w:id="59"/>
    </w:p>
    <w:p w:rsidR="00A21D55" w:rsidRPr="00027842" w:rsidP="00001221" w14:paraId="0AC17D62" w14:textId="7D967FA2">
      <w:pPr>
        <w:spacing w:line="480" w:lineRule="auto"/>
        <w:ind w:firstLine="720"/>
        <w:rPr>
          <w:rFonts w:eastAsiaTheme="minorHAnsi"/>
          <w:lang w:bidi="ar-SA"/>
        </w:rPr>
      </w:pPr>
      <w:r w:rsidRPr="00027842">
        <w:rPr>
          <w:rFonts w:eastAsiaTheme="minorHAnsi"/>
          <w:lang w:bidi="ar-SA"/>
        </w:rPr>
        <w:t xml:space="preserve">OCC </w:t>
      </w:r>
      <w:r w:rsidRPr="00027842" w:rsidR="00C53E10">
        <w:rPr>
          <w:rFonts w:eastAsiaTheme="minorHAnsi"/>
          <w:lang w:bidi="ar-SA"/>
        </w:rPr>
        <w:t>object</w:t>
      </w:r>
      <w:r w:rsidRPr="00027842">
        <w:rPr>
          <w:rFonts w:eastAsiaTheme="minorHAnsi"/>
          <w:lang w:bidi="ar-SA"/>
        </w:rPr>
        <w:t>s</w:t>
      </w:r>
      <w:r w:rsidRPr="00027842" w:rsidR="00C53E10">
        <w:rPr>
          <w:rFonts w:eastAsiaTheme="minorHAnsi"/>
          <w:lang w:bidi="ar-SA"/>
        </w:rPr>
        <w:t xml:space="preserve"> to the Staff Report’s selection of risk-free rate in the CAPM model. The </w:t>
      </w:r>
      <w:r w:rsidRPr="00027842" w:rsidR="002F4A48">
        <w:rPr>
          <w:rFonts w:eastAsiaTheme="minorHAnsi"/>
          <w:lang w:bidi="ar-SA"/>
        </w:rPr>
        <w:t xml:space="preserve">PUCO </w:t>
      </w:r>
      <w:r w:rsidRPr="00027842" w:rsidR="00C53E10">
        <w:rPr>
          <w:rFonts w:eastAsiaTheme="minorHAnsi"/>
          <w:lang w:bidi="ar-SA"/>
        </w:rPr>
        <w:t xml:space="preserve">Staff </w:t>
      </w:r>
      <w:r w:rsidRPr="00027842" w:rsidR="00E112B7">
        <w:rPr>
          <w:rFonts w:eastAsiaTheme="minorHAnsi"/>
          <w:lang w:bidi="ar-SA"/>
        </w:rPr>
        <w:t>used</w:t>
      </w:r>
      <w:r w:rsidR="00027842">
        <w:rPr>
          <w:rFonts w:eastAsiaTheme="minorHAnsi"/>
          <w:lang w:bidi="ar-SA"/>
        </w:rPr>
        <w:t xml:space="preserve"> </w:t>
      </w:r>
      <w:r w:rsidRPr="00027842" w:rsidR="00C53E10">
        <w:rPr>
          <w:rFonts w:eastAsiaTheme="minorHAnsi"/>
          <w:lang w:bidi="ar-SA"/>
        </w:rPr>
        <w:t xml:space="preserve">the </w:t>
      </w:r>
      <w:r w:rsidRPr="00027842">
        <w:rPr>
          <w:rFonts w:eastAsiaTheme="minorHAnsi"/>
          <w:lang w:bidi="ar-SA"/>
        </w:rPr>
        <w:t xml:space="preserve">forecasted yield </w:t>
      </w:r>
      <w:r w:rsidRPr="00027842" w:rsidR="00C53E10">
        <w:rPr>
          <w:rFonts w:eastAsiaTheme="minorHAnsi"/>
          <w:lang w:bidi="ar-SA"/>
        </w:rPr>
        <w:t xml:space="preserve">of </w:t>
      </w:r>
      <w:r w:rsidRPr="00027842">
        <w:rPr>
          <w:rFonts w:eastAsiaTheme="minorHAnsi"/>
          <w:lang w:bidi="ar-SA"/>
        </w:rPr>
        <w:t>30</w:t>
      </w:r>
      <w:r w:rsidRPr="00027842" w:rsidR="00C53E10">
        <w:rPr>
          <w:rFonts w:eastAsiaTheme="minorHAnsi"/>
          <w:lang w:bidi="ar-SA"/>
        </w:rPr>
        <w:t xml:space="preserve">-year </w:t>
      </w:r>
      <w:r w:rsidRPr="00027842">
        <w:rPr>
          <w:rFonts w:eastAsiaTheme="minorHAnsi"/>
          <w:lang w:bidi="ar-SA"/>
        </w:rPr>
        <w:t>U.S. Treasury Bonds</w:t>
      </w:r>
      <w:r w:rsidRPr="00027842" w:rsidR="00E112B7">
        <w:rPr>
          <w:rFonts w:eastAsiaTheme="minorHAnsi"/>
          <w:lang w:bidi="ar-SA"/>
        </w:rPr>
        <w:t xml:space="preserve"> based on the average of Blue Chip consensus Forecasts</w:t>
      </w:r>
      <w:r w:rsidRPr="00027842">
        <w:rPr>
          <w:rFonts w:eastAsiaTheme="minorHAnsi"/>
          <w:lang w:bidi="ar-SA"/>
        </w:rPr>
        <w:t>.</w:t>
      </w:r>
      <w:r w:rsidR="00027842">
        <w:rPr>
          <w:rFonts w:eastAsiaTheme="minorHAnsi"/>
          <w:lang w:bidi="ar-SA"/>
        </w:rPr>
        <w:t xml:space="preserve"> </w:t>
      </w:r>
      <w:bookmarkStart w:id="60" w:name="_Hlk105493212"/>
      <w:r w:rsidRPr="00027842" w:rsidR="00C53E10">
        <w:rPr>
          <w:rFonts w:eastAsiaTheme="minorHAnsi"/>
          <w:lang w:bidi="ar-SA"/>
        </w:rPr>
        <w:t>The use of</w:t>
      </w:r>
      <w:r w:rsidRPr="00027842" w:rsidR="00C60CCF">
        <w:rPr>
          <w:rFonts w:eastAsiaTheme="minorHAnsi"/>
          <w:lang w:bidi="ar-SA"/>
        </w:rPr>
        <w:t xml:space="preserve"> </w:t>
      </w:r>
      <w:r w:rsidRPr="00027842" w:rsidR="009C20CD">
        <w:rPr>
          <w:rFonts w:eastAsiaTheme="minorHAnsi"/>
          <w:lang w:bidi="ar-SA"/>
        </w:rPr>
        <w:t xml:space="preserve">forecasted </w:t>
      </w:r>
      <w:r w:rsidRPr="00027842" w:rsidR="00C53E10">
        <w:rPr>
          <w:rFonts w:eastAsiaTheme="minorHAnsi"/>
          <w:lang w:bidi="ar-SA"/>
        </w:rPr>
        <w:t>interest rate does not reflect the current capital market condition</w:t>
      </w:r>
      <w:r w:rsidRPr="00027842" w:rsidR="009C20CD">
        <w:rPr>
          <w:rFonts w:eastAsiaTheme="minorHAnsi"/>
          <w:lang w:bidi="ar-SA"/>
        </w:rPr>
        <w:t xml:space="preserve"> and tends to over-estimate the risk-free rate applicable in the CAPM</w:t>
      </w:r>
      <w:r w:rsidRPr="00027842" w:rsidR="00C53E10">
        <w:rPr>
          <w:rFonts w:eastAsiaTheme="minorHAnsi"/>
          <w:lang w:bidi="ar-SA"/>
        </w:rPr>
        <w:t xml:space="preserve">. </w:t>
      </w:r>
      <w:r w:rsidRPr="00027842" w:rsidR="009C20CD">
        <w:rPr>
          <w:rFonts w:eastAsiaTheme="minorHAnsi"/>
          <w:lang w:bidi="ar-SA"/>
        </w:rPr>
        <w:t xml:space="preserve">By using a higher than reasonable risk-free rate, this will </w:t>
      </w:r>
      <w:r w:rsidRPr="00027842" w:rsidR="00C53E10">
        <w:rPr>
          <w:rFonts w:eastAsiaTheme="minorHAnsi"/>
          <w:lang w:bidi="ar-SA"/>
        </w:rPr>
        <w:t>result in a significantly higher estimate of R</w:t>
      </w:r>
      <w:r w:rsidRPr="00027842" w:rsidR="000C2F8C">
        <w:rPr>
          <w:rFonts w:eastAsiaTheme="minorHAnsi"/>
          <w:lang w:bidi="ar-SA"/>
        </w:rPr>
        <w:t>eturn on Equity</w:t>
      </w:r>
      <w:r w:rsidRPr="00027842" w:rsidR="00C53E10">
        <w:rPr>
          <w:rFonts w:eastAsiaTheme="minorHAnsi"/>
          <w:lang w:bidi="ar-SA"/>
        </w:rPr>
        <w:t xml:space="preserve"> and </w:t>
      </w:r>
      <w:r w:rsidRPr="00027842" w:rsidR="001857D4">
        <w:rPr>
          <w:rFonts w:eastAsiaTheme="minorHAnsi"/>
          <w:lang w:bidi="ar-SA"/>
        </w:rPr>
        <w:t>excessive</w:t>
      </w:r>
      <w:r w:rsidRPr="00027842" w:rsidR="00C53E10">
        <w:rPr>
          <w:rFonts w:eastAsiaTheme="minorHAnsi"/>
          <w:lang w:bidi="ar-SA"/>
        </w:rPr>
        <w:t xml:space="preserve"> charges to customers</w:t>
      </w:r>
      <w:r w:rsidRPr="00027842" w:rsidR="004F0A67">
        <w:rPr>
          <w:rFonts w:eastAsiaTheme="minorHAnsi"/>
          <w:lang w:bidi="ar-SA"/>
        </w:rPr>
        <w:t xml:space="preserve"> that are not fair and reasonable </w:t>
      </w:r>
      <w:r w:rsidRPr="00027842" w:rsidR="000C2F8C">
        <w:rPr>
          <w:rFonts w:eastAsiaTheme="minorHAnsi"/>
          <w:lang w:bidi="ar-SA"/>
        </w:rPr>
        <w:t>in violation of</w:t>
      </w:r>
      <w:r w:rsidRPr="00027842" w:rsidR="004F0A67">
        <w:rPr>
          <w:rFonts w:eastAsiaTheme="minorHAnsi"/>
          <w:lang w:bidi="ar-SA"/>
        </w:rPr>
        <w:t xml:space="preserve"> R.C. 4909.15</w:t>
      </w:r>
      <w:r w:rsidRPr="00027842" w:rsidR="00C53E10">
        <w:rPr>
          <w:rFonts w:eastAsiaTheme="minorHAnsi"/>
          <w:lang w:bidi="ar-SA"/>
        </w:rPr>
        <w:t>.</w:t>
      </w:r>
    </w:p>
    <w:p w:rsidR="00B01369" w:rsidRPr="00027842" w:rsidP="00B87B59" w14:paraId="23EA2A7A" w14:textId="081423DB">
      <w:pPr>
        <w:pStyle w:val="Heading3"/>
      </w:pPr>
      <w:bookmarkStart w:id="61" w:name="_Toc106717627"/>
      <w:bookmarkEnd w:id="60"/>
      <w:r w:rsidRPr="00027842">
        <w:rPr>
          <w:rStyle w:val="Heading4Char"/>
          <w:rFonts w:ascii="Times New Roman" w:hAnsi="Times New Roman"/>
          <w:b/>
          <w:bCs/>
          <w:szCs w:val="24"/>
        </w:rPr>
        <w:t>7.</w:t>
      </w:r>
      <w:r w:rsidRPr="00027842">
        <w:rPr>
          <w:rStyle w:val="Heading4Char"/>
          <w:rFonts w:ascii="Times New Roman" w:hAnsi="Times New Roman"/>
          <w:b/>
          <w:bCs/>
          <w:szCs w:val="24"/>
        </w:rPr>
        <w:tab/>
      </w:r>
      <w:r w:rsidRPr="00027842">
        <w:rPr>
          <w:rStyle w:val="Heading4Char"/>
          <w:rFonts w:ascii="Times New Roman" w:hAnsi="Times New Roman"/>
          <w:b/>
          <w:bCs/>
          <w:szCs w:val="24"/>
        </w:rPr>
        <w:t xml:space="preserve">Objection No. </w:t>
      </w:r>
      <w:r w:rsidRPr="00027842" w:rsidR="00510A77">
        <w:rPr>
          <w:rStyle w:val="Heading4Char"/>
          <w:rFonts w:ascii="Times New Roman" w:hAnsi="Times New Roman"/>
          <w:b/>
          <w:bCs/>
          <w:szCs w:val="24"/>
        </w:rPr>
        <w:t>1</w:t>
      </w:r>
      <w:r w:rsidRPr="00027842" w:rsidR="00AD2724">
        <w:rPr>
          <w:rStyle w:val="Heading4Char"/>
          <w:rFonts w:ascii="Times New Roman" w:hAnsi="Times New Roman"/>
          <w:b/>
          <w:bCs/>
          <w:szCs w:val="24"/>
        </w:rPr>
        <w:t>3</w:t>
      </w:r>
      <w:r w:rsidRPr="00027842">
        <w:rPr>
          <w:rStyle w:val="Heading4Char"/>
          <w:rFonts w:ascii="Times New Roman" w:hAnsi="Times New Roman"/>
          <w:b/>
          <w:bCs/>
          <w:szCs w:val="24"/>
        </w:rPr>
        <w:t xml:space="preserve">: The Staff Report </w:t>
      </w:r>
      <w:r w:rsidRPr="00027842" w:rsidR="003E0868">
        <w:rPr>
          <w:rStyle w:val="Heading4Char"/>
          <w:rFonts w:ascii="Times New Roman" w:hAnsi="Times New Roman"/>
          <w:b/>
          <w:bCs/>
          <w:szCs w:val="24"/>
        </w:rPr>
        <w:t>harms consumers by</w:t>
      </w:r>
      <w:r w:rsidRPr="00027842">
        <w:rPr>
          <w:rStyle w:val="Heading4Char"/>
          <w:rFonts w:ascii="Times New Roman" w:hAnsi="Times New Roman"/>
          <w:b/>
          <w:bCs/>
          <w:szCs w:val="24"/>
        </w:rPr>
        <w:t xml:space="preserve"> develop</w:t>
      </w:r>
      <w:r w:rsidRPr="00027842" w:rsidR="003E0868">
        <w:rPr>
          <w:rStyle w:val="Heading4Char"/>
          <w:rFonts w:ascii="Times New Roman" w:hAnsi="Times New Roman"/>
          <w:b/>
          <w:bCs/>
          <w:szCs w:val="24"/>
        </w:rPr>
        <w:t>ing a</w:t>
      </w:r>
      <w:r w:rsidRPr="00027842">
        <w:rPr>
          <w:rStyle w:val="Heading4Char"/>
          <w:rFonts w:ascii="Times New Roman" w:hAnsi="Times New Roman"/>
          <w:b/>
          <w:bCs/>
          <w:szCs w:val="24"/>
        </w:rPr>
        <w:t xml:space="preserve"> </w:t>
      </w:r>
      <w:r w:rsidRPr="00027842" w:rsidR="0040673A">
        <w:rPr>
          <w:rStyle w:val="Heading4Char"/>
          <w:rFonts w:ascii="Times New Roman" w:hAnsi="Times New Roman"/>
          <w:b/>
          <w:bCs/>
          <w:szCs w:val="24"/>
        </w:rPr>
        <w:t xml:space="preserve">cost of equity </w:t>
      </w:r>
      <w:r w:rsidRPr="00027842" w:rsidR="003E0868">
        <w:rPr>
          <w:rStyle w:val="Heading4Char"/>
          <w:rFonts w:ascii="Times New Roman" w:hAnsi="Times New Roman"/>
          <w:b/>
          <w:bCs/>
          <w:szCs w:val="24"/>
        </w:rPr>
        <w:t>that</w:t>
      </w:r>
      <w:r w:rsidRPr="00027842">
        <w:rPr>
          <w:rStyle w:val="Heading4Char"/>
          <w:rFonts w:ascii="Times New Roman" w:hAnsi="Times New Roman"/>
          <w:b/>
          <w:bCs/>
          <w:szCs w:val="24"/>
        </w:rPr>
        <w:t xml:space="preserve"> </w:t>
      </w:r>
      <w:r w:rsidRPr="00027842" w:rsidR="0040673A">
        <w:rPr>
          <w:rStyle w:val="Heading4Char"/>
          <w:rFonts w:ascii="Times New Roman" w:hAnsi="Times New Roman"/>
          <w:b/>
          <w:bCs/>
          <w:szCs w:val="24"/>
        </w:rPr>
        <w:t xml:space="preserve">uses </w:t>
      </w:r>
      <w:r w:rsidRPr="00027842" w:rsidR="008D05C8">
        <w:rPr>
          <w:rStyle w:val="Heading4Char"/>
          <w:rFonts w:ascii="Times New Roman" w:hAnsi="Times New Roman"/>
          <w:b/>
          <w:bCs/>
          <w:szCs w:val="24"/>
        </w:rPr>
        <w:t>a</w:t>
      </w:r>
      <w:r w:rsidRPr="00027842">
        <w:rPr>
          <w:rStyle w:val="Heading4Char"/>
          <w:rFonts w:ascii="Times New Roman" w:hAnsi="Times New Roman"/>
          <w:b/>
          <w:bCs/>
          <w:szCs w:val="24"/>
        </w:rPr>
        <w:t xml:space="preserve"> risk premium of 7.15</w:t>
      </w:r>
      <w:r w:rsidRPr="00027842" w:rsidR="00D27314">
        <w:rPr>
          <w:rStyle w:val="Heading4Char"/>
          <w:rFonts w:ascii="Times New Roman" w:hAnsi="Times New Roman"/>
          <w:b/>
          <w:bCs/>
          <w:szCs w:val="24"/>
        </w:rPr>
        <w:t xml:space="preserve"> percent </w:t>
      </w:r>
      <w:r w:rsidRPr="00027842">
        <w:rPr>
          <w:rStyle w:val="Heading4Char"/>
          <w:rFonts w:ascii="Times New Roman" w:hAnsi="Times New Roman"/>
          <w:b/>
          <w:bCs/>
          <w:szCs w:val="24"/>
        </w:rPr>
        <w:t xml:space="preserve">in the </w:t>
      </w:r>
      <w:r w:rsidRPr="00027842" w:rsidR="00D27314">
        <w:rPr>
          <w:rStyle w:val="Heading4Char"/>
          <w:rFonts w:ascii="Times New Roman" w:hAnsi="Times New Roman"/>
          <w:b/>
          <w:bCs/>
          <w:szCs w:val="24"/>
        </w:rPr>
        <w:t xml:space="preserve">CAPM </w:t>
      </w:r>
      <w:r w:rsidRPr="00027842">
        <w:rPr>
          <w:rStyle w:val="Heading4Char"/>
          <w:rFonts w:ascii="Times New Roman" w:hAnsi="Times New Roman"/>
          <w:b/>
          <w:bCs/>
          <w:szCs w:val="24"/>
        </w:rPr>
        <w:t>model, which will lead to too-high rates and charges to consumers</w:t>
      </w:r>
      <w:r w:rsidRPr="00027842">
        <w:rPr>
          <w:rStyle w:val="Heading1Char"/>
          <w:b/>
          <w:bCs/>
        </w:rPr>
        <w:t xml:space="preserve"> </w:t>
      </w:r>
      <w:r w:rsidRPr="00027842">
        <w:rPr>
          <w:rStyle w:val="Heading4Char"/>
          <w:rFonts w:ascii="Times New Roman" w:hAnsi="Times New Roman"/>
          <w:b/>
          <w:bCs/>
          <w:szCs w:val="24"/>
        </w:rPr>
        <w:t>than are fair and reasonable per R.C. 4909.15.</w:t>
      </w:r>
      <w:bookmarkEnd w:id="61"/>
    </w:p>
    <w:p w:rsidR="00BA0DEC" w:rsidRPr="00027842" w:rsidP="002A44FB" w14:paraId="6D504FC1" w14:textId="09EF207A">
      <w:pPr>
        <w:spacing w:line="480" w:lineRule="auto"/>
        <w:ind w:firstLine="720"/>
        <w:rPr>
          <w:rStyle w:val="Heading4Char"/>
          <w:rFonts w:ascii="Times New Roman" w:hAnsi="Times New Roman" w:eastAsiaTheme="minorHAnsi"/>
          <w:b w:val="0"/>
          <w:bCs w:val="0"/>
          <w:szCs w:val="24"/>
          <w:lang w:bidi="ar-SA"/>
        </w:rPr>
      </w:pPr>
      <w:r w:rsidRPr="00027842">
        <w:rPr>
          <w:rFonts w:eastAsiaTheme="minorHAnsi"/>
          <w:lang w:bidi="ar-SA"/>
        </w:rPr>
        <w:t xml:space="preserve">OCC objects </w:t>
      </w:r>
      <w:r w:rsidRPr="00027842" w:rsidR="00B01369">
        <w:rPr>
          <w:rFonts w:eastAsiaTheme="minorHAnsi"/>
          <w:lang w:bidi="ar-SA"/>
        </w:rPr>
        <w:t xml:space="preserve">to the Staff Report’s selection of </w:t>
      </w:r>
      <w:r w:rsidRPr="00027842" w:rsidR="008D05C8">
        <w:rPr>
          <w:rFonts w:eastAsiaTheme="minorHAnsi"/>
          <w:lang w:bidi="ar-SA"/>
        </w:rPr>
        <w:t xml:space="preserve">the </w:t>
      </w:r>
      <w:r w:rsidRPr="00027842">
        <w:rPr>
          <w:rFonts w:eastAsiaTheme="minorHAnsi"/>
          <w:lang w:bidi="ar-SA"/>
        </w:rPr>
        <w:t xml:space="preserve">risk-premium </w:t>
      </w:r>
      <w:r w:rsidRPr="00027842" w:rsidR="00B01369">
        <w:rPr>
          <w:rFonts w:eastAsiaTheme="minorHAnsi"/>
          <w:lang w:bidi="ar-SA"/>
        </w:rPr>
        <w:t xml:space="preserve">rate </w:t>
      </w:r>
      <w:r w:rsidRPr="00027842" w:rsidR="008D05C8">
        <w:rPr>
          <w:rFonts w:eastAsiaTheme="minorHAnsi"/>
          <w:lang w:bidi="ar-SA"/>
        </w:rPr>
        <w:t xml:space="preserve">of 7.15% </w:t>
      </w:r>
      <w:r w:rsidRPr="00027842">
        <w:rPr>
          <w:rFonts w:eastAsiaTheme="minorHAnsi"/>
          <w:lang w:bidi="ar-SA"/>
        </w:rPr>
        <w:t>in the CAPM.</w:t>
      </w:r>
      <w:r>
        <w:rPr>
          <w:rStyle w:val="FootnoteReference"/>
          <w:rFonts w:eastAsiaTheme="minorHAnsi"/>
          <w:lang w:bidi="ar-SA"/>
        </w:rPr>
        <w:footnoteReference w:id="52"/>
      </w:r>
      <w:r w:rsidRPr="00027842" w:rsidR="00B01369">
        <w:rPr>
          <w:rFonts w:eastAsiaTheme="minorHAnsi"/>
          <w:lang w:bidi="ar-SA"/>
        </w:rPr>
        <w:t xml:space="preserve"> The PUCO Staff used a </w:t>
      </w:r>
      <w:r w:rsidRPr="00027842">
        <w:rPr>
          <w:rFonts w:eastAsiaTheme="minorHAnsi"/>
          <w:lang w:bidi="ar-SA"/>
        </w:rPr>
        <w:t>historical equity risk premium as published in the SBBI 2021 Annual Yearbook.</w:t>
      </w:r>
      <w:r w:rsidRPr="00027842" w:rsidR="00C60CCF">
        <w:rPr>
          <w:rFonts w:eastAsiaTheme="minorHAnsi"/>
          <w:lang w:bidi="ar-SA"/>
        </w:rPr>
        <w:t xml:space="preserve"> </w:t>
      </w:r>
      <w:r w:rsidRPr="00027842">
        <w:rPr>
          <w:rFonts w:eastAsiaTheme="minorHAnsi"/>
          <w:lang w:bidi="ar-SA"/>
        </w:rPr>
        <w:t>The use of this historical risk premium</w:t>
      </w:r>
      <w:r w:rsidRPr="00027842" w:rsidR="00C60CCF">
        <w:rPr>
          <w:rFonts w:eastAsiaTheme="minorHAnsi"/>
          <w:lang w:bidi="ar-SA"/>
        </w:rPr>
        <w:t xml:space="preserve"> </w:t>
      </w:r>
      <w:r w:rsidRPr="00027842">
        <w:rPr>
          <w:rFonts w:eastAsiaTheme="minorHAnsi"/>
          <w:lang w:bidi="ar-SA"/>
        </w:rPr>
        <w:t xml:space="preserve">rate does not reflect the current capital market condition or investor expectation and tends to over-estimate the risk premium applicable in the CAPM. By using a higher than reasonable risk premium rate, this will result in a significantly higher estimate of </w:t>
      </w:r>
      <w:r w:rsidRPr="00027842" w:rsidR="00D96AA1">
        <w:rPr>
          <w:rFonts w:eastAsiaTheme="minorHAnsi"/>
          <w:lang w:bidi="ar-SA"/>
        </w:rPr>
        <w:t xml:space="preserve">cost of equity </w:t>
      </w:r>
      <w:r w:rsidRPr="00027842">
        <w:rPr>
          <w:rFonts w:eastAsiaTheme="minorHAnsi"/>
          <w:lang w:bidi="ar-SA"/>
        </w:rPr>
        <w:t>and too-high charges to customers that are not fair and reasonable per R.C. 4909.15</w:t>
      </w:r>
      <w:bookmarkStart w:id="62" w:name="_Toc102143587"/>
      <w:r w:rsidRPr="00027842" w:rsidR="002A44FB">
        <w:rPr>
          <w:rFonts w:eastAsiaTheme="minorHAnsi"/>
          <w:lang w:bidi="ar-SA"/>
        </w:rPr>
        <w:t>.</w:t>
      </w:r>
    </w:p>
    <w:p w:rsidR="00A21D55" w:rsidRPr="00027842" w:rsidP="00B87B59" w14:paraId="79384C69" w14:textId="21BE9C1E">
      <w:pPr>
        <w:pStyle w:val="Heading3"/>
      </w:pPr>
      <w:bookmarkStart w:id="63" w:name="_Toc106717628"/>
      <w:r w:rsidRPr="00027842">
        <w:rPr>
          <w:rStyle w:val="Heading4Char"/>
          <w:rFonts w:ascii="Times New Roman" w:hAnsi="Times New Roman"/>
          <w:b/>
          <w:bCs/>
          <w:szCs w:val="24"/>
        </w:rPr>
        <w:t>8.</w:t>
      </w:r>
      <w:r w:rsidRPr="00027842">
        <w:rPr>
          <w:rStyle w:val="Heading4Char"/>
          <w:rFonts w:ascii="Times New Roman" w:hAnsi="Times New Roman"/>
          <w:b/>
          <w:bCs/>
          <w:szCs w:val="24"/>
        </w:rPr>
        <w:tab/>
      </w:r>
      <w:r w:rsidRPr="00027842" w:rsidR="00C53E10">
        <w:rPr>
          <w:rStyle w:val="Heading4Char"/>
          <w:rFonts w:ascii="Times New Roman" w:hAnsi="Times New Roman"/>
          <w:b/>
          <w:bCs/>
          <w:szCs w:val="24"/>
        </w:rPr>
        <w:t xml:space="preserve">Objection No. </w:t>
      </w:r>
      <w:r w:rsidRPr="00027842" w:rsidR="00716236">
        <w:rPr>
          <w:rStyle w:val="Heading4Char"/>
          <w:rFonts w:ascii="Times New Roman" w:hAnsi="Times New Roman"/>
          <w:b/>
          <w:bCs/>
          <w:szCs w:val="24"/>
        </w:rPr>
        <w:t>1</w:t>
      </w:r>
      <w:r w:rsidRPr="00027842" w:rsidR="00AD2724">
        <w:rPr>
          <w:rStyle w:val="Heading4Char"/>
          <w:rFonts w:ascii="Times New Roman" w:hAnsi="Times New Roman"/>
          <w:b/>
          <w:bCs/>
          <w:szCs w:val="24"/>
        </w:rPr>
        <w:t>4</w:t>
      </w:r>
      <w:r w:rsidRPr="00027842" w:rsidR="00AA6C3C">
        <w:rPr>
          <w:rStyle w:val="Heading4Char"/>
          <w:rFonts w:ascii="Times New Roman" w:hAnsi="Times New Roman"/>
          <w:b/>
          <w:bCs/>
          <w:szCs w:val="24"/>
        </w:rPr>
        <w:t>:</w:t>
      </w:r>
      <w:r w:rsidRPr="00027842" w:rsidR="00DA2149">
        <w:rPr>
          <w:rStyle w:val="Heading4Char"/>
          <w:rFonts w:ascii="Times New Roman" w:hAnsi="Times New Roman"/>
          <w:b/>
          <w:bCs/>
          <w:szCs w:val="24"/>
        </w:rPr>
        <w:t xml:space="preserve"> </w:t>
      </w:r>
      <w:r w:rsidRPr="00027842" w:rsidR="00C53E10">
        <w:rPr>
          <w:rStyle w:val="Heading4Char"/>
          <w:rFonts w:ascii="Times New Roman" w:hAnsi="Times New Roman"/>
          <w:b/>
          <w:bCs/>
          <w:szCs w:val="24"/>
        </w:rPr>
        <w:t xml:space="preserve">The Staff Report </w:t>
      </w:r>
      <w:r w:rsidRPr="00027842" w:rsidR="003E0868">
        <w:rPr>
          <w:rStyle w:val="Heading4Char"/>
          <w:rFonts w:ascii="Times New Roman" w:hAnsi="Times New Roman"/>
          <w:b/>
          <w:bCs/>
          <w:szCs w:val="24"/>
        </w:rPr>
        <w:t>harms consumers by</w:t>
      </w:r>
      <w:r w:rsidRPr="00027842" w:rsidR="003439C9">
        <w:rPr>
          <w:rStyle w:val="Heading4Char"/>
          <w:rFonts w:ascii="Times New Roman" w:hAnsi="Times New Roman"/>
          <w:b/>
          <w:bCs/>
          <w:szCs w:val="24"/>
        </w:rPr>
        <w:t xml:space="preserve"> develo</w:t>
      </w:r>
      <w:r w:rsidRPr="00027842" w:rsidR="003E0868">
        <w:rPr>
          <w:rStyle w:val="Heading4Char"/>
          <w:rFonts w:ascii="Times New Roman" w:hAnsi="Times New Roman"/>
          <w:b/>
          <w:bCs/>
          <w:szCs w:val="24"/>
        </w:rPr>
        <w:t>ping</w:t>
      </w:r>
      <w:r w:rsidRPr="00027842" w:rsidR="003439C9">
        <w:rPr>
          <w:rStyle w:val="Heading4Char"/>
          <w:rFonts w:ascii="Times New Roman" w:hAnsi="Times New Roman"/>
          <w:b/>
          <w:bCs/>
          <w:szCs w:val="24"/>
        </w:rPr>
        <w:t xml:space="preserve"> </w:t>
      </w:r>
      <w:r w:rsidRPr="00027842" w:rsidR="003E0868">
        <w:rPr>
          <w:rStyle w:val="Heading4Char"/>
          <w:rFonts w:ascii="Times New Roman" w:hAnsi="Times New Roman"/>
          <w:b/>
          <w:bCs/>
          <w:szCs w:val="24"/>
        </w:rPr>
        <w:t>a</w:t>
      </w:r>
      <w:r w:rsidRPr="00027842" w:rsidR="003439C9">
        <w:rPr>
          <w:rStyle w:val="Heading4Char"/>
          <w:rFonts w:ascii="Times New Roman" w:hAnsi="Times New Roman"/>
          <w:b/>
          <w:bCs/>
          <w:szCs w:val="24"/>
        </w:rPr>
        <w:t xml:space="preserve"> </w:t>
      </w:r>
      <w:r w:rsidRPr="00027842" w:rsidR="0040673A">
        <w:rPr>
          <w:rStyle w:val="Heading4Char"/>
          <w:rFonts w:ascii="Times New Roman" w:hAnsi="Times New Roman"/>
          <w:b/>
          <w:bCs/>
          <w:szCs w:val="24"/>
        </w:rPr>
        <w:t xml:space="preserve">cost of equity </w:t>
      </w:r>
      <w:r w:rsidRPr="00027842" w:rsidR="003E0868">
        <w:rPr>
          <w:rStyle w:val="Heading4Char"/>
          <w:rFonts w:ascii="Times New Roman" w:hAnsi="Times New Roman"/>
          <w:b/>
          <w:bCs/>
          <w:szCs w:val="24"/>
        </w:rPr>
        <w:t>that</w:t>
      </w:r>
      <w:r w:rsidRPr="00027842" w:rsidR="00C53E10">
        <w:rPr>
          <w:rStyle w:val="Heading4Char"/>
          <w:rFonts w:ascii="Times New Roman" w:hAnsi="Times New Roman"/>
          <w:b/>
          <w:bCs/>
          <w:szCs w:val="24"/>
        </w:rPr>
        <w:t xml:space="preserve"> </w:t>
      </w:r>
      <w:r w:rsidRPr="00027842" w:rsidR="0040673A">
        <w:rPr>
          <w:rStyle w:val="Heading4Char"/>
          <w:rFonts w:ascii="Times New Roman" w:hAnsi="Times New Roman"/>
          <w:b/>
          <w:bCs/>
          <w:szCs w:val="24"/>
        </w:rPr>
        <w:t>uses</w:t>
      </w:r>
      <w:r w:rsidR="00027842">
        <w:rPr>
          <w:rStyle w:val="Heading4Char"/>
          <w:rFonts w:ascii="Times New Roman" w:hAnsi="Times New Roman"/>
          <w:b/>
          <w:bCs/>
          <w:szCs w:val="24"/>
        </w:rPr>
        <w:t xml:space="preserve"> </w:t>
      </w:r>
      <w:r w:rsidRPr="00027842" w:rsidR="001857D4">
        <w:rPr>
          <w:rStyle w:val="Heading4Char"/>
          <w:rFonts w:ascii="Times New Roman" w:hAnsi="Times New Roman"/>
          <w:b/>
          <w:bCs/>
          <w:szCs w:val="24"/>
        </w:rPr>
        <w:t>the</w:t>
      </w:r>
      <w:r w:rsidRPr="00027842" w:rsidR="00C53E10">
        <w:rPr>
          <w:rStyle w:val="Heading4Char"/>
          <w:rFonts w:ascii="Times New Roman" w:hAnsi="Times New Roman"/>
          <w:b/>
          <w:bCs/>
          <w:szCs w:val="24"/>
        </w:rPr>
        <w:t xml:space="preserve"> historical </w:t>
      </w:r>
      <w:r w:rsidRPr="00027842" w:rsidR="003E0868">
        <w:rPr>
          <w:rStyle w:val="Heading4Char"/>
          <w:rFonts w:ascii="Times New Roman" w:hAnsi="Times New Roman"/>
          <w:b/>
          <w:bCs/>
          <w:szCs w:val="24"/>
        </w:rPr>
        <w:t>Gross National Product (“GNP”)</w:t>
      </w:r>
      <w:r w:rsidRPr="00027842" w:rsidR="00C53E10">
        <w:rPr>
          <w:rStyle w:val="Heading4Char"/>
          <w:rFonts w:ascii="Times New Roman" w:hAnsi="Times New Roman"/>
          <w:b/>
          <w:bCs/>
          <w:szCs w:val="24"/>
        </w:rPr>
        <w:t xml:space="preserve"> growth rate in </w:t>
      </w:r>
      <w:r w:rsidRPr="00027842" w:rsidR="0040673A">
        <w:rPr>
          <w:rStyle w:val="Heading4Char"/>
          <w:rFonts w:ascii="Times New Roman" w:hAnsi="Times New Roman"/>
          <w:b/>
          <w:bCs/>
          <w:szCs w:val="24"/>
        </w:rPr>
        <w:t xml:space="preserve">its </w:t>
      </w:r>
      <w:r w:rsidRPr="00027842" w:rsidR="003E0868">
        <w:rPr>
          <w:rStyle w:val="Heading4Char"/>
          <w:rFonts w:ascii="Times New Roman" w:hAnsi="Times New Roman"/>
          <w:b/>
          <w:bCs/>
          <w:szCs w:val="24"/>
        </w:rPr>
        <w:t>Discounted Cash Flow (“</w:t>
      </w:r>
      <w:r w:rsidRPr="00027842" w:rsidR="00C53E10">
        <w:rPr>
          <w:rStyle w:val="Heading4Char"/>
          <w:rFonts w:ascii="Times New Roman" w:hAnsi="Times New Roman"/>
          <w:b/>
          <w:bCs/>
          <w:szCs w:val="24"/>
        </w:rPr>
        <w:t>DCF</w:t>
      </w:r>
      <w:r w:rsidRPr="00027842" w:rsidR="003E0868">
        <w:rPr>
          <w:rStyle w:val="Heading4Char"/>
          <w:rFonts w:ascii="Times New Roman" w:hAnsi="Times New Roman"/>
          <w:b/>
          <w:bCs/>
          <w:szCs w:val="24"/>
        </w:rPr>
        <w:t>”)</w:t>
      </w:r>
      <w:r w:rsidRPr="00027842" w:rsidR="00C53E10">
        <w:rPr>
          <w:rStyle w:val="Heading4Char"/>
          <w:rFonts w:ascii="Times New Roman" w:hAnsi="Times New Roman"/>
          <w:b/>
          <w:bCs/>
          <w:szCs w:val="24"/>
        </w:rPr>
        <w:t xml:space="preserve"> model</w:t>
      </w:r>
      <w:r w:rsidRPr="00027842" w:rsidR="003E0868">
        <w:rPr>
          <w:rStyle w:val="Heading4Char"/>
          <w:rFonts w:ascii="Times New Roman" w:hAnsi="Times New Roman"/>
          <w:b/>
          <w:bCs/>
          <w:szCs w:val="24"/>
        </w:rPr>
        <w:t>. This</w:t>
      </w:r>
      <w:r w:rsidRPr="00027842" w:rsidR="00C53E10">
        <w:rPr>
          <w:rStyle w:val="Heading4Char"/>
          <w:rFonts w:ascii="Times New Roman" w:hAnsi="Times New Roman"/>
          <w:b/>
          <w:bCs/>
          <w:szCs w:val="24"/>
        </w:rPr>
        <w:t xml:space="preserve"> will lead to </w:t>
      </w:r>
      <w:r w:rsidRPr="00027842" w:rsidR="001857D4">
        <w:rPr>
          <w:rStyle w:val="Heading4Char"/>
          <w:rFonts w:ascii="Times New Roman" w:hAnsi="Times New Roman"/>
          <w:b/>
          <w:bCs/>
          <w:szCs w:val="24"/>
        </w:rPr>
        <w:t>excessive</w:t>
      </w:r>
      <w:r w:rsidRPr="00027842" w:rsidR="00C53E10">
        <w:rPr>
          <w:rStyle w:val="Heading4Char"/>
          <w:rFonts w:ascii="Times New Roman" w:hAnsi="Times New Roman"/>
          <w:b/>
          <w:bCs/>
          <w:szCs w:val="24"/>
        </w:rPr>
        <w:t xml:space="preserve"> rates and charges to consumers</w:t>
      </w:r>
      <w:r w:rsidRPr="00027842" w:rsidR="007F2744">
        <w:rPr>
          <w:rStyle w:val="Heading1Char"/>
          <w:b/>
          <w:bCs/>
        </w:rPr>
        <w:t xml:space="preserve"> </w:t>
      </w:r>
      <w:r w:rsidRPr="00027842" w:rsidR="007F2744">
        <w:rPr>
          <w:rStyle w:val="Heading4Char"/>
          <w:rFonts w:ascii="Times New Roman" w:hAnsi="Times New Roman"/>
          <w:b/>
          <w:bCs/>
          <w:szCs w:val="24"/>
        </w:rPr>
        <w:t xml:space="preserve">than are </w:t>
      </w:r>
      <w:r w:rsidRPr="00027842" w:rsidR="001857D4">
        <w:rPr>
          <w:rStyle w:val="Heading4Char"/>
          <w:rFonts w:ascii="Times New Roman" w:hAnsi="Times New Roman"/>
          <w:b/>
          <w:bCs/>
          <w:szCs w:val="24"/>
        </w:rPr>
        <w:t xml:space="preserve">not </w:t>
      </w:r>
      <w:r w:rsidRPr="00027842" w:rsidR="007F2744">
        <w:rPr>
          <w:rStyle w:val="Heading4Char"/>
          <w:rFonts w:ascii="Times New Roman" w:hAnsi="Times New Roman"/>
          <w:b/>
          <w:bCs/>
          <w:szCs w:val="24"/>
        </w:rPr>
        <w:t xml:space="preserve">fair and reasonable </w:t>
      </w:r>
      <w:r w:rsidRPr="00027842" w:rsidR="003E0868">
        <w:rPr>
          <w:rStyle w:val="Heading4Char"/>
          <w:rFonts w:ascii="Times New Roman" w:hAnsi="Times New Roman"/>
          <w:b/>
          <w:bCs/>
          <w:szCs w:val="24"/>
        </w:rPr>
        <w:t>in violation of</w:t>
      </w:r>
      <w:r w:rsidRPr="00027842" w:rsidR="007F2744">
        <w:rPr>
          <w:rStyle w:val="Heading4Char"/>
          <w:rFonts w:ascii="Times New Roman" w:hAnsi="Times New Roman"/>
          <w:b/>
          <w:bCs/>
          <w:szCs w:val="24"/>
        </w:rPr>
        <w:t xml:space="preserve"> R.C. 4909.15</w:t>
      </w:r>
      <w:r w:rsidRPr="00027842" w:rsidR="00C53E10">
        <w:rPr>
          <w:rStyle w:val="Heading4Char"/>
          <w:rFonts w:ascii="Times New Roman" w:hAnsi="Times New Roman"/>
          <w:b/>
          <w:bCs/>
          <w:szCs w:val="24"/>
        </w:rPr>
        <w:t>.</w:t>
      </w:r>
      <w:bookmarkEnd w:id="62"/>
      <w:bookmarkEnd w:id="63"/>
    </w:p>
    <w:p w:rsidR="007F2744" w:rsidRPr="00027842" w:rsidP="00001221" w14:paraId="7193C8E5" w14:textId="58F02794">
      <w:pPr>
        <w:spacing w:line="480" w:lineRule="auto"/>
        <w:ind w:firstLine="720"/>
        <w:rPr>
          <w:rFonts w:eastAsiaTheme="minorHAnsi"/>
          <w:lang w:bidi="ar-SA"/>
        </w:rPr>
      </w:pPr>
      <w:r w:rsidRPr="00027842">
        <w:rPr>
          <w:rFonts w:eastAsiaTheme="minorHAnsi"/>
          <w:lang w:bidi="ar-SA"/>
        </w:rPr>
        <w:t xml:space="preserve">OCC </w:t>
      </w:r>
      <w:r w:rsidRPr="00027842" w:rsidR="00A21D55">
        <w:rPr>
          <w:rFonts w:eastAsiaTheme="minorHAnsi"/>
          <w:lang w:bidi="ar-SA"/>
        </w:rPr>
        <w:t>object</w:t>
      </w:r>
      <w:r w:rsidRPr="00027842">
        <w:rPr>
          <w:rFonts w:eastAsiaTheme="minorHAnsi"/>
          <w:lang w:bidi="ar-SA"/>
        </w:rPr>
        <w:t>s</w:t>
      </w:r>
      <w:r w:rsidRPr="00027842" w:rsidR="00A21D55">
        <w:rPr>
          <w:rFonts w:eastAsiaTheme="minorHAnsi"/>
          <w:lang w:bidi="ar-SA"/>
        </w:rPr>
        <w:t xml:space="preserve"> to the Staff Report’s selection of </w:t>
      </w:r>
      <w:r w:rsidRPr="00027842" w:rsidR="0040673A">
        <w:rPr>
          <w:rFonts w:eastAsiaTheme="minorHAnsi"/>
          <w:lang w:bidi="ar-SA"/>
        </w:rPr>
        <w:t xml:space="preserve">the </w:t>
      </w:r>
      <w:r w:rsidRPr="00027842" w:rsidR="00A21D55">
        <w:rPr>
          <w:rFonts w:eastAsiaTheme="minorHAnsi"/>
          <w:lang w:bidi="ar-SA"/>
        </w:rPr>
        <w:t>historical GNP growth rate as the expected long-term dividend growth rate in the model of DCF.</w:t>
      </w:r>
      <w:r>
        <w:rPr>
          <w:rStyle w:val="FootnoteReference"/>
          <w:rFonts w:eastAsiaTheme="minorHAnsi"/>
          <w:lang w:bidi="ar-SA"/>
        </w:rPr>
        <w:footnoteReference w:id="53"/>
      </w:r>
      <w:r w:rsidRPr="00027842" w:rsidR="00A21D55">
        <w:rPr>
          <w:rFonts w:eastAsiaTheme="minorHAnsi"/>
          <w:lang w:bidi="ar-SA"/>
        </w:rPr>
        <w:t xml:space="preserve"> The </w:t>
      </w:r>
      <w:r w:rsidRPr="00027842" w:rsidR="00F57242">
        <w:rPr>
          <w:rFonts w:eastAsiaTheme="minorHAnsi"/>
          <w:lang w:bidi="ar-SA"/>
        </w:rPr>
        <w:t xml:space="preserve">PUCO </w:t>
      </w:r>
      <w:r w:rsidRPr="00027842" w:rsidR="00A21D55">
        <w:rPr>
          <w:rFonts w:eastAsiaTheme="minorHAnsi"/>
          <w:lang w:bidi="ar-SA"/>
        </w:rPr>
        <w:t xml:space="preserve">Staff used a non-constant growth DCF model which requires an estimate of long-term earnings growth rate. The </w:t>
      </w:r>
      <w:r w:rsidRPr="00027842" w:rsidR="00F57242">
        <w:rPr>
          <w:rFonts w:eastAsiaTheme="minorHAnsi"/>
          <w:lang w:bidi="ar-SA"/>
        </w:rPr>
        <w:t xml:space="preserve">PUCO </w:t>
      </w:r>
      <w:r w:rsidRPr="00027842" w:rsidR="00A21D55">
        <w:rPr>
          <w:rFonts w:eastAsiaTheme="minorHAnsi"/>
          <w:lang w:bidi="ar-SA"/>
        </w:rPr>
        <w:t xml:space="preserve">Staff is correct in assuming the long-term growth rate to be the growth rate of the overall economy. </w:t>
      </w:r>
    </w:p>
    <w:p w:rsidR="00060EC6" w:rsidRPr="00027842" w:rsidP="00954AC5" w14:paraId="26E231F0" w14:textId="47C60B54">
      <w:pPr>
        <w:spacing w:line="480" w:lineRule="auto"/>
        <w:ind w:firstLine="720"/>
        <w:rPr>
          <w:rStyle w:val="Heading4Char"/>
          <w:rFonts w:ascii="Times New Roman" w:hAnsi="Times New Roman"/>
          <w:b w:val="0"/>
          <w:bCs w:val="0"/>
          <w:noProof/>
          <w:szCs w:val="24"/>
        </w:rPr>
      </w:pPr>
      <w:r w:rsidRPr="00027842">
        <w:rPr>
          <w:rFonts w:eastAsiaTheme="minorHAnsi"/>
          <w:lang w:bidi="ar-SA"/>
        </w:rPr>
        <w:t xml:space="preserve">However, the </w:t>
      </w:r>
      <w:r w:rsidRPr="00027842" w:rsidR="00F57242">
        <w:rPr>
          <w:rFonts w:eastAsiaTheme="minorHAnsi"/>
          <w:lang w:bidi="ar-SA"/>
        </w:rPr>
        <w:t xml:space="preserve">PUCO </w:t>
      </w:r>
      <w:r w:rsidRPr="00027842">
        <w:rPr>
          <w:rFonts w:eastAsiaTheme="minorHAnsi"/>
          <w:lang w:bidi="ar-SA"/>
        </w:rPr>
        <w:t>Staff used the average GNP growth rate of 6.</w:t>
      </w:r>
      <w:r w:rsidRPr="00027842" w:rsidR="00715529">
        <w:rPr>
          <w:rFonts w:eastAsiaTheme="minorHAnsi"/>
          <w:lang w:bidi="ar-SA"/>
        </w:rPr>
        <w:t>23</w:t>
      </w:r>
      <w:r w:rsidRPr="00027842">
        <w:rPr>
          <w:rFonts w:eastAsiaTheme="minorHAnsi"/>
          <w:lang w:bidi="ar-SA"/>
        </w:rPr>
        <w:t>% for the period of 1929-2020, which is too high for the expected future GNP growth rate.</w:t>
      </w:r>
      <w:r>
        <w:rPr>
          <w:rStyle w:val="FootnoteReference"/>
          <w:rFonts w:eastAsiaTheme="minorHAnsi"/>
          <w:lang w:bidi="ar-SA"/>
        </w:rPr>
        <w:footnoteReference w:id="54"/>
      </w:r>
      <w:r w:rsidRPr="00027842">
        <w:rPr>
          <w:rFonts w:eastAsiaTheme="minorHAnsi"/>
          <w:lang w:bidi="ar-SA"/>
        </w:rPr>
        <w:t xml:space="preserve"> The </w:t>
      </w:r>
      <w:r w:rsidRPr="00027842" w:rsidR="00F57242">
        <w:rPr>
          <w:rFonts w:eastAsiaTheme="minorHAnsi"/>
          <w:lang w:bidi="ar-SA"/>
        </w:rPr>
        <w:t xml:space="preserve">PUCO </w:t>
      </w:r>
      <w:r w:rsidRPr="00027842">
        <w:rPr>
          <w:rFonts w:eastAsiaTheme="minorHAnsi"/>
          <w:lang w:bidi="ar-SA"/>
        </w:rPr>
        <w:t xml:space="preserve">Staff’s long-term growth rate assumption ignores the fact that the GNP/GDP growth rate has declined over the last several decades and the expected long-term growth rate has been considerably lower. As </w:t>
      </w:r>
      <w:r w:rsidRPr="00027842" w:rsidR="007F2744">
        <w:rPr>
          <w:rFonts w:eastAsiaTheme="minorHAnsi"/>
          <w:lang w:bidi="ar-SA"/>
        </w:rPr>
        <w:t xml:space="preserve">a </w:t>
      </w:r>
      <w:r w:rsidRPr="00027842">
        <w:rPr>
          <w:rFonts w:eastAsiaTheme="minorHAnsi"/>
          <w:lang w:bidi="ar-SA"/>
        </w:rPr>
        <w:t xml:space="preserve">result, the </w:t>
      </w:r>
      <w:r w:rsidRPr="00027842" w:rsidR="00F57242">
        <w:rPr>
          <w:rFonts w:eastAsiaTheme="minorHAnsi"/>
          <w:lang w:bidi="ar-SA"/>
        </w:rPr>
        <w:t xml:space="preserve">PUCO </w:t>
      </w:r>
      <w:r w:rsidRPr="00027842">
        <w:rPr>
          <w:rFonts w:eastAsiaTheme="minorHAnsi"/>
          <w:lang w:bidi="ar-SA"/>
        </w:rPr>
        <w:t xml:space="preserve">Staff’s DCF model overestimates the ROE and will lead to </w:t>
      </w:r>
      <w:r w:rsidRPr="00027842" w:rsidR="0020587E">
        <w:rPr>
          <w:rFonts w:eastAsiaTheme="minorHAnsi"/>
          <w:lang w:bidi="ar-SA"/>
        </w:rPr>
        <w:t xml:space="preserve">charging consumers </w:t>
      </w:r>
      <w:r w:rsidRPr="00027842" w:rsidR="007F2744">
        <w:rPr>
          <w:rFonts w:eastAsiaTheme="minorHAnsi"/>
          <w:lang w:bidi="ar-SA"/>
        </w:rPr>
        <w:t xml:space="preserve">an </w:t>
      </w:r>
      <w:r w:rsidRPr="00027842">
        <w:rPr>
          <w:rFonts w:eastAsiaTheme="minorHAnsi"/>
          <w:lang w:bidi="ar-SA"/>
        </w:rPr>
        <w:t>un</w:t>
      </w:r>
      <w:r w:rsidRPr="00027842" w:rsidR="007F2744">
        <w:rPr>
          <w:rFonts w:eastAsiaTheme="minorHAnsi"/>
          <w:lang w:bidi="ar-SA"/>
        </w:rPr>
        <w:t>fair</w:t>
      </w:r>
      <w:r w:rsidRPr="00027842">
        <w:rPr>
          <w:rFonts w:eastAsiaTheme="minorHAnsi"/>
          <w:lang w:bidi="ar-SA"/>
        </w:rPr>
        <w:t xml:space="preserve"> and unreasonable rate of return</w:t>
      </w:r>
      <w:r w:rsidRPr="00027842" w:rsidR="0020587E">
        <w:rPr>
          <w:rFonts w:eastAsiaTheme="minorHAnsi"/>
          <w:lang w:bidi="ar-SA"/>
        </w:rPr>
        <w:t xml:space="preserve"> </w:t>
      </w:r>
      <w:r w:rsidRPr="00027842" w:rsidR="007F2744">
        <w:rPr>
          <w:rFonts w:eastAsiaTheme="minorHAnsi"/>
          <w:lang w:bidi="ar-SA"/>
        </w:rPr>
        <w:t>under R.C. 4909.15</w:t>
      </w:r>
      <w:r w:rsidRPr="00027842">
        <w:rPr>
          <w:rFonts w:eastAsiaTheme="minorHAnsi"/>
          <w:lang w:bidi="ar-SA"/>
        </w:rPr>
        <w:t>.</w:t>
      </w:r>
      <w:r w:rsidRPr="00027842" w:rsidR="00001221">
        <w:rPr>
          <w:rFonts w:eastAsiaTheme="minorHAnsi"/>
          <w:lang w:bidi="ar-SA"/>
        </w:rPr>
        <w:t xml:space="preserve"> </w:t>
      </w:r>
      <w:bookmarkStart w:id="64" w:name="_Toc102143588"/>
    </w:p>
    <w:p w:rsidR="00A21D55" w:rsidRPr="00027842" w:rsidP="00B87B59" w14:paraId="026124BB" w14:textId="13AD823D">
      <w:pPr>
        <w:pStyle w:val="Heading3"/>
      </w:pPr>
      <w:bookmarkStart w:id="65" w:name="_Toc106717629"/>
      <w:r w:rsidRPr="00027842">
        <w:rPr>
          <w:rStyle w:val="Heading4Char"/>
          <w:rFonts w:ascii="Times New Roman" w:hAnsi="Times New Roman"/>
          <w:b/>
          <w:bCs/>
          <w:szCs w:val="24"/>
        </w:rPr>
        <w:t>9.</w:t>
      </w:r>
      <w:r w:rsidRPr="00027842">
        <w:rPr>
          <w:rStyle w:val="Heading4Char"/>
          <w:rFonts w:ascii="Times New Roman" w:hAnsi="Times New Roman"/>
          <w:b/>
          <w:bCs/>
          <w:szCs w:val="24"/>
        </w:rPr>
        <w:tab/>
      </w:r>
      <w:r w:rsidRPr="00027842" w:rsidR="00C53E10">
        <w:rPr>
          <w:rStyle w:val="Heading4Char"/>
          <w:rFonts w:ascii="Times New Roman" w:hAnsi="Times New Roman"/>
          <w:b/>
          <w:bCs/>
          <w:szCs w:val="24"/>
        </w:rPr>
        <w:t xml:space="preserve">Objection No. </w:t>
      </w:r>
      <w:r w:rsidRPr="00027842" w:rsidR="00716236">
        <w:rPr>
          <w:rStyle w:val="Heading4Char"/>
          <w:rFonts w:ascii="Times New Roman" w:hAnsi="Times New Roman"/>
          <w:b/>
          <w:bCs/>
          <w:szCs w:val="24"/>
        </w:rPr>
        <w:t>1</w:t>
      </w:r>
      <w:r w:rsidRPr="00027842" w:rsidR="00AD2724">
        <w:rPr>
          <w:rStyle w:val="Heading4Char"/>
          <w:rFonts w:ascii="Times New Roman" w:hAnsi="Times New Roman"/>
          <w:b/>
          <w:bCs/>
          <w:szCs w:val="24"/>
        </w:rPr>
        <w:t>5</w:t>
      </w:r>
      <w:r w:rsidRPr="00027842" w:rsidR="00AA6C3C">
        <w:rPr>
          <w:rStyle w:val="Heading4Char"/>
          <w:rFonts w:ascii="Times New Roman" w:hAnsi="Times New Roman"/>
          <w:b/>
          <w:bCs/>
          <w:szCs w:val="24"/>
        </w:rPr>
        <w:t>:</w:t>
      </w:r>
      <w:r w:rsidRPr="00027842" w:rsidR="00C53E10">
        <w:rPr>
          <w:rStyle w:val="Heading4Char"/>
          <w:rFonts w:ascii="Times New Roman" w:hAnsi="Times New Roman"/>
          <w:b/>
          <w:bCs/>
          <w:szCs w:val="24"/>
        </w:rPr>
        <w:t xml:space="preserve"> The Staff Report</w:t>
      </w:r>
      <w:r w:rsidRPr="00027842" w:rsidR="00024E10">
        <w:rPr>
          <w:rStyle w:val="Heading4Char"/>
          <w:rFonts w:ascii="Times New Roman" w:hAnsi="Times New Roman"/>
          <w:b/>
          <w:bCs/>
          <w:szCs w:val="24"/>
        </w:rPr>
        <w:t xml:space="preserve"> harms consumers</w:t>
      </w:r>
      <w:r w:rsidRPr="00027842" w:rsidR="00C53E10">
        <w:rPr>
          <w:rStyle w:val="Heading4Char"/>
          <w:rFonts w:ascii="Times New Roman" w:hAnsi="Times New Roman"/>
          <w:b/>
          <w:bCs/>
          <w:szCs w:val="24"/>
        </w:rPr>
        <w:t xml:space="preserve"> </w:t>
      </w:r>
      <w:r w:rsidRPr="00027842" w:rsidR="00024E10">
        <w:rPr>
          <w:rStyle w:val="Heading4Char"/>
          <w:rFonts w:ascii="Times New Roman" w:hAnsi="Times New Roman"/>
          <w:b/>
          <w:bCs/>
          <w:szCs w:val="24"/>
        </w:rPr>
        <w:t xml:space="preserve">by </w:t>
      </w:r>
      <w:r w:rsidRPr="00027842" w:rsidR="00C53E10">
        <w:rPr>
          <w:rStyle w:val="Heading4Char"/>
          <w:rFonts w:ascii="Times New Roman" w:hAnsi="Times New Roman"/>
          <w:b/>
          <w:bCs/>
          <w:szCs w:val="24"/>
        </w:rPr>
        <w:t>inappropriately increas</w:t>
      </w:r>
      <w:r w:rsidRPr="00027842" w:rsidR="00024E10">
        <w:rPr>
          <w:rStyle w:val="Heading4Char"/>
          <w:rFonts w:ascii="Times New Roman" w:hAnsi="Times New Roman"/>
          <w:b/>
          <w:bCs/>
          <w:szCs w:val="24"/>
        </w:rPr>
        <w:t>ing</w:t>
      </w:r>
      <w:r w:rsidRPr="00027842" w:rsidR="00C53E10">
        <w:rPr>
          <w:rStyle w:val="Heading4Char"/>
          <w:rFonts w:ascii="Times New Roman" w:hAnsi="Times New Roman"/>
          <w:b/>
          <w:bCs/>
          <w:szCs w:val="24"/>
        </w:rPr>
        <w:t xml:space="preserve"> the rate of return and the cost of common equity by allowing an adjustment for equity issuance and other costs</w:t>
      </w:r>
      <w:r w:rsidRPr="00027842" w:rsidR="00F721FA">
        <w:rPr>
          <w:rStyle w:val="Heading4Char"/>
          <w:rFonts w:ascii="Times New Roman" w:hAnsi="Times New Roman"/>
          <w:b/>
          <w:bCs/>
          <w:szCs w:val="24"/>
        </w:rPr>
        <w:t>, resulting in a</w:t>
      </w:r>
      <w:r w:rsidRPr="00027842" w:rsidR="001857D4">
        <w:rPr>
          <w:rStyle w:val="Heading4Char"/>
          <w:rFonts w:ascii="Times New Roman" w:hAnsi="Times New Roman"/>
          <w:b/>
          <w:bCs/>
          <w:szCs w:val="24"/>
        </w:rPr>
        <w:t>n excessive</w:t>
      </w:r>
      <w:r w:rsidRPr="00027842" w:rsidR="00F721FA">
        <w:rPr>
          <w:rStyle w:val="Heading4Char"/>
          <w:rFonts w:ascii="Times New Roman" w:hAnsi="Times New Roman"/>
          <w:b/>
          <w:bCs/>
          <w:szCs w:val="24"/>
        </w:rPr>
        <w:t xml:space="preserve"> rate of return th</w:t>
      </w:r>
      <w:r w:rsidRPr="00027842" w:rsidR="001857D4">
        <w:rPr>
          <w:rStyle w:val="Heading4Char"/>
          <w:rFonts w:ascii="Times New Roman" w:hAnsi="Times New Roman"/>
          <w:b/>
          <w:bCs/>
          <w:szCs w:val="24"/>
        </w:rPr>
        <w:t>at</w:t>
      </w:r>
      <w:r w:rsidRPr="00027842" w:rsidR="00F721FA">
        <w:rPr>
          <w:rStyle w:val="Heading4Char"/>
          <w:rFonts w:ascii="Times New Roman" w:hAnsi="Times New Roman"/>
          <w:b/>
          <w:bCs/>
          <w:szCs w:val="24"/>
        </w:rPr>
        <w:t xml:space="preserve"> is</w:t>
      </w:r>
      <w:r w:rsidRPr="00027842" w:rsidR="001857D4">
        <w:rPr>
          <w:rStyle w:val="Heading4Char"/>
          <w:rFonts w:ascii="Times New Roman" w:hAnsi="Times New Roman"/>
          <w:b/>
          <w:bCs/>
          <w:szCs w:val="24"/>
        </w:rPr>
        <w:t xml:space="preserve"> not</w:t>
      </w:r>
      <w:r w:rsidRPr="00027842" w:rsidR="00F721FA">
        <w:rPr>
          <w:rStyle w:val="Heading4Char"/>
          <w:rFonts w:ascii="Times New Roman" w:hAnsi="Times New Roman"/>
          <w:b/>
          <w:bCs/>
          <w:szCs w:val="24"/>
        </w:rPr>
        <w:t xml:space="preserve"> fair and reasonable under R.C. 4909.15</w:t>
      </w:r>
      <w:r w:rsidRPr="00027842" w:rsidR="00C53E10">
        <w:rPr>
          <w:rStyle w:val="Heading4Char"/>
          <w:rFonts w:ascii="Times New Roman" w:hAnsi="Times New Roman"/>
          <w:b/>
          <w:bCs/>
          <w:szCs w:val="24"/>
        </w:rPr>
        <w:t>.</w:t>
      </w:r>
      <w:bookmarkEnd w:id="64"/>
      <w:bookmarkEnd w:id="65"/>
    </w:p>
    <w:p w:rsidR="00F8267D" w:rsidRPr="00027842" w:rsidP="00001221" w14:paraId="29B50E20" w14:textId="77777777">
      <w:pPr>
        <w:spacing w:line="480" w:lineRule="auto"/>
        <w:ind w:firstLine="720"/>
        <w:rPr>
          <w:rFonts w:eastAsiaTheme="minorHAnsi"/>
          <w:lang w:bidi="ar-SA"/>
        </w:rPr>
      </w:pPr>
      <w:r w:rsidRPr="00027842">
        <w:rPr>
          <w:rFonts w:eastAsiaTheme="minorHAnsi"/>
          <w:lang w:bidi="ar-SA"/>
        </w:rPr>
        <w:t xml:space="preserve">OCC </w:t>
      </w:r>
      <w:r w:rsidRPr="00027842" w:rsidR="00C53E10">
        <w:rPr>
          <w:rFonts w:eastAsiaTheme="minorHAnsi"/>
          <w:lang w:bidi="ar-SA"/>
        </w:rPr>
        <w:t>object</w:t>
      </w:r>
      <w:r w:rsidRPr="00027842">
        <w:rPr>
          <w:rFonts w:eastAsiaTheme="minorHAnsi"/>
          <w:lang w:bidi="ar-SA"/>
        </w:rPr>
        <w:t>s</w:t>
      </w:r>
      <w:r w:rsidRPr="00027842" w:rsidR="00C53E10">
        <w:rPr>
          <w:rFonts w:eastAsiaTheme="minorHAnsi"/>
          <w:lang w:bidi="ar-SA"/>
        </w:rPr>
        <w:t xml:space="preserve"> to the</w:t>
      </w:r>
      <w:r w:rsidRPr="00027842" w:rsidR="00024E10">
        <w:rPr>
          <w:rFonts w:eastAsiaTheme="minorHAnsi"/>
          <w:lang w:bidi="ar-SA"/>
        </w:rPr>
        <w:t xml:space="preserve"> PUCO</w:t>
      </w:r>
      <w:r w:rsidRPr="00027842" w:rsidR="00C53E10">
        <w:rPr>
          <w:rFonts w:eastAsiaTheme="minorHAnsi"/>
          <w:lang w:bidi="ar-SA"/>
        </w:rPr>
        <w:t xml:space="preserve"> Staff’s inclusion of an equity issuance and other costs to the </w:t>
      </w:r>
      <w:r w:rsidRPr="00027842" w:rsidR="00024E10">
        <w:rPr>
          <w:rFonts w:eastAsiaTheme="minorHAnsi"/>
          <w:lang w:bidi="ar-SA"/>
        </w:rPr>
        <w:t xml:space="preserve">PUCO </w:t>
      </w:r>
      <w:r w:rsidRPr="00027842" w:rsidR="00C53E10">
        <w:rPr>
          <w:rFonts w:eastAsiaTheme="minorHAnsi"/>
          <w:lang w:bidi="ar-SA"/>
        </w:rPr>
        <w:t>Staff’s estimate of cost of common equity.</w:t>
      </w:r>
      <w:r>
        <w:rPr>
          <w:rStyle w:val="FootnoteReference"/>
          <w:rFonts w:eastAsiaTheme="minorHAnsi"/>
          <w:lang w:bidi="ar-SA"/>
        </w:rPr>
        <w:footnoteReference w:id="55"/>
      </w:r>
      <w:r w:rsidRPr="00027842" w:rsidR="00C53E10">
        <w:rPr>
          <w:rFonts w:eastAsiaTheme="minorHAnsi"/>
          <w:lang w:bidi="ar-SA"/>
        </w:rPr>
        <w:t xml:space="preserve"> The inclusion of these costs is not supported by sound regulatory principles. Even if an adjustment for equity issuance and other costs were allowed, the Staff Report inappropriately increased the cost of common equity by using a hypothetical and generic issuance cost factor of 3.5%. The Staff Report has not explained why this generic issuance cost factor is reasonable or why it should be applied in this proceeding. </w:t>
      </w:r>
    </w:p>
    <w:p w:rsidR="00716236" w:rsidRPr="00027842" w:rsidP="000546A5" w14:paraId="59AC6968" w14:textId="55F9A54B">
      <w:pPr>
        <w:spacing w:line="480" w:lineRule="auto"/>
        <w:ind w:firstLine="720"/>
        <w:rPr>
          <w:rFonts w:eastAsiaTheme="minorHAnsi"/>
          <w:lang w:bidi="ar-SA"/>
        </w:rPr>
      </w:pPr>
      <w:r w:rsidRPr="00027842">
        <w:rPr>
          <w:rFonts w:eastAsiaTheme="minorHAnsi"/>
          <w:lang w:bidi="ar-SA"/>
        </w:rPr>
        <w:t xml:space="preserve">In addition, there is no demonstration in the Staff Report that </w:t>
      </w:r>
      <w:r w:rsidRPr="00027842" w:rsidR="00060EC6">
        <w:rPr>
          <w:rFonts w:eastAsiaTheme="minorHAnsi"/>
          <w:lang w:bidi="ar-SA"/>
        </w:rPr>
        <w:t xml:space="preserve">Duke </w:t>
      </w:r>
      <w:r w:rsidRPr="00027842">
        <w:rPr>
          <w:rFonts w:eastAsiaTheme="minorHAnsi"/>
          <w:lang w:bidi="ar-SA"/>
        </w:rPr>
        <w:t xml:space="preserve">is likely to incur these costs </w:t>
      </w:r>
      <w:r w:rsidRPr="00027842" w:rsidR="00384059">
        <w:rPr>
          <w:rFonts w:eastAsiaTheme="minorHAnsi"/>
          <w:lang w:bidi="ar-SA"/>
        </w:rPr>
        <w:t>soon</w:t>
      </w:r>
      <w:r w:rsidRPr="00027842">
        <w:rPr>
          <w:rFonts w:eastAsiaTheme="minorHAnsi"/>
          <w:lang w:bidi="ar-SA"/>
        </w:rPr>
        <w:t xml:space="preserve"> or the magnitude of these costs. The addition of arbitrary and unproven equity issuance and other costs will </w:t>
      </w:r>
      <w:r w:rsidRPr="00027842" w:rsidR="00C46917">
        <w:rPr>
          <w:rFonts w:eastAsiaTheme="minorHAnsi"/>
          <w:lang w:bidi="ar-SA"/>
        </w:rPr>
        <w:t xml:space="preserve">unfairly </w:t>
      </w:r>
      <w:r w:rsidRPr="00027842">
        <w:rPr>
          <w:rFonts w:eastAsiaTheme="minorHAnsi"/>
          <w:lang w:bidi="ar-SA"/>
        </w:rPr>
        <w:t>and unreasonably increase the cost of gas services to Columbia</w:t>
      </w:r>
      <w:r w:rsidRPr="00027842" w:rsidR="005B26CD">
        <w:rPr>
          <w:rFonts w:eastAsiaTheme="minorHAnsi"/>
          <w:lang w:bidi="ar-SA"/>
        </w:rPr>
        <w:t>’s</w:t>
      </w:r>
      <w:r w:rsidRPr="00027842">
        <w:rPr>
          <w:rFonts w:eastAsiaTheme="minorHAnsi"/>
          <w:lang w:bidi="ar-SA"/>
        </w:rPr>
        <w:t xml:space="preserve"> customers</w:t>
      </w:r>
      <w:r w:rsidRPr="00027842" w:rsidR="00C46917">
        <w:rPr>
          <w:rFonts w:eastAsiaTheme="minorHAnsi"/>
          <w:lang w:bidi="ar-SA"/>
        </w:rPr>
        <w:t>, in contradiction of R.C. 4909.15</w:t>
      </w:r>
      <w:r w:rsidRPr="00027842">
        <w:rPr>
          <w:rFonts w:eastAsiaTheme="minorHAnsi"/>
          <w:lang w:bidi="ar-SA"/>
        </w:rPr>
        <w:t>.</w:t>
      </w:r>
    </w:p>
    <w:p w:rsidR="001F2C4C" w:rsidRPr="00027842" w:rsidP="00B559EF" w14:paraId="31B3D29F" w14:textId="3821F3A8">
      <w:pPr>
        <w:pStyle w:val="Heading2"/>
        <w:rPr>
          <w:rFonts w:ascii="Times New Roman" w:hAnsi="Times New Roman"/>
        </w:rPr>
      </w:pPr>
      <w:bookmarkStart w:id="66" w:name="_Toc102143392"/>
      <w:bookmarkStart w:id="67" w:name="_Toc102143589"/>
      <w:bookmarkStart w:id="68" w:name="_Toc106717630"/>
      <w:r w:rsidRPr="00027842">
        <w:rPr>
          <w:rFonts w:ascii="Times New Roman" w:hAnsi="Times New Roman"/>
        </w:rPr>
        <w:t>D.</w:t>
      </w:r>
      <w:r w:rsidRPr="00027842">
        <w:rPr>
          <w:rFonts w:ascii="Times New Roman" w:hAnsi="Times New Roman"/>
        </w:rPr>
        <w:tab/>
        <w:t>Rates and Tariffs</w:t>
      </w:r>
      <w:bookmarkEnd w:id="66"/>
      <w:bookmarkEnd w:id="67"/>
      <w:bookmarkEnd w:id="68"/>
    </w:p>
    <w:p w:rsidR="005B1B9D" w:rsidRPr="00027842" w:rsidP="00B87B59" w14:paraId="45D69ABA" w14:textId="79AB1B3E">
      <w:pPr>
        <w:pStyle w:val="Heading3"/>
      </w:pPr>
      <w:bookmarkStart w:id="69" w:name="_Toc106717631"/>
      <w:bookmarkStart w:id="70" w:name="_Hlk105592027"/>
      <w:r w:rsidRPr="00027842">
        <w:t>1.</w:t>
      </w:r>
      <w:r w:rsidRPr="00027842">
        <w:tab/>
      </w:r>
      <w:r w:rsidRPr="00027842" w:rsidR="004E1108">
        <w:t>Objection No. 1</w:t>
      </w:r>
      <w:r w:rsidRPr="00027842" w:rsidR="00AD2724">
        <w:t>6</w:t>
      </w:r>
      <w:r w:rsidRPr="00027842" w:rsidR="004E1108">
        <w:t xml:space="preserve">: The Staff Report </w:t>
      </w:r>
      <w:r w:rsidRPr="00027842" w:rsidR="00BC39A3">
        <w:t>harms consumers</w:t>
      </w:r>
      <w:r w:rsidRPr="00027842" w:rsidR="004E1108">
        <w:t xml:space="preserve"> by failing to </w:t>
      </w:r>
      <w:r w:rsidRPr="00027842" w:rsidR="00680E7E">
        <w:t xml:space="preserve">recommend that </w:t>
      </w:r>
      <w:r w:rsidRPr="00027842" w:rsidR="009F6E5F">
        <w:t xml:space="preserve">Duke </w:t>
      </w:r>
      <w:r w:rsidRPr="00027842" w:rsidR="00680E7E">
        <w:t xml:space="preserve">be prohibited </w:t>
      </w:r>
      <w:r w:rsidRPr="00027842" w:rsidR="004E1108">
        <w:t xml:space="preserve">from modifying its </w:t>
      </w:r>
      <w:r w:rsidRPr="00027842" w:rsidR="009F6E5F">
        <w:t xml:space="preserve">existing </w:t>
      </w:r>
      <w:r w:rsidRPr="00027842" w:rsidR="004E1108">
        <w:t xml:space="preserve">riders </w:t>
      </w:r>
      <w:r w:rsidRPr="00027842" w:rsidR="009F6E5F">
        <w:t xml:space="preserve">or proposing new riders </w:t>
      </w:r>
      <w:r w:rsidRPr="00027842" w:rsidR="004E1108">
        <w:t>as part of this base distribution rate case.</w:t>
      </w:r>
      <w:bookmarkEnd w:id="69"/>
      <w:r w:rsidRPr="00027842" w:rsidR="004E1108">
        <w:t xml:space="preserve"> </w:t>
      </w:r>
    </w:p>
    <w:p w:rsidR="005B1B9D" w:rsidRPr="00027842" w:rsidP="00BC39A3" w14:paraId="2776DE4B" w14:textId="36072A08">
      <w:pPr>
        <w:spacing w:line="480" w:lineRule="auto"/>
        <w:ind w:firstLine="720"/>
      </w:pPr>
      <w:r w:rsidRPr="00027842">
        <w:t xml:space="preserve">The Staff Report should have stated that </w:t>
      </w:r>
      <w:r w:rsidRPr="00027842" w:rsidR="009F6E5F">
        <w:t xml:space="preserve">Duke </w:t>
      </w:r>
      <w:r w:rsidRPr="00027842">
        <w:t xml:space="preserve">is not permitted to modify riders that were approved as part of </w:t>
      </w:r>
      <w:r w:rsidRPr="00027842" w:rsidR="009F6E5F">
        <w:t xml:space="preserve">Duke’s current </w:t>
      </w:r>
      <w:r w:rsidRPr="00027842">
        <w:t>electric security plan. Single-issue ratemaking is not permitted in base rate cases like this one. Nothing in R.C. Chapter 4909 allows the PUCO to engage in single-issue ratemaking</w:t>
      </w:r>
      <w:r w:rsidRPr="00027842" w:rsidR="00860C0B">
        <w:t xml:space="preserve"> in this case</w:t>
      </w:r>
      <w:r w:rsidRPr="00027842">
        <w:t xml:space="preserve">. And because the PUCO is a </w:t>
      </w:r>
      <w:bookmarkStart w:id="71" w:name="_Hlk105494336"/>
      <w:bookmarkEnd w:id="70"/>
      <w:r w:rsidRPr="00027842">
        <w:t>creature of statute, it cannot exercise authority beyond that explicitly permitted under R.C. Chapter 4909</w:t>
      </w:r>
      <w:r w:rsidRPr="00027842" w:rsidR="00BC39A3">
        <w:t>.</w:t>
      </w:r>
      <w:r w:rsidRPr="00027842">
        <w:t xml:space="preserve"> </w:t>
      </w:r>
    </w:p>
    <w:p w:rsidR="005B1B9D" w:rsidRPr="00027842" w:rsidP="00B559EF" w14:paraId="49DAC561" w14:textId="47041FCE">
      <w:pPr>
        <w:spacing w:line="480" w:lineRule="auto"/>
        <w:ind w:firstLine="720"/>
        <w:rPr>
          <w:rFonts w:eastAsiaTheme="minorHAnsi"/>
          <w:lang w:bidi="ar-SA"/>
        </w:rPr>
      </w:pPr>
      <w:r w:rsidRPr="00027842">
        <w:t xml:space="preserve">In its application, </w:t>
      </w:r>
      <w:r w:rsidRPr="00027842" w:rsidR="009F6E5F">
        <w:t xml:space="preserve">Duke </w:t>
      </w:r>
      <w:r w:rsidRPr="00027842">
        <w:t xml:space="preserve">sought to modify </w:t>
      </w:r>
      <w:r w:rsidRPr="00027842" w:rsidR="00C96189">
        <w:t xml:space="preserve">certain </w:t>
      </w:r>
      <w:r w:rsidRPr="00027842">
        <w:t xml:space="preserve">riders that were approved in its most recent electric security plan case. This includes riders like the </w:t>
      </w:r>
      <w:bookmarkStart w:id="72" w:name="_Hlk105591020"/>
      <w:r w:rsidRPr="00027842">
        <w:t>D</w:t>
      </w:r>
      <w:r w:rsidRPr="00027842" w:rsidR="00C96189">
        <w:t>elivery Capital Investment Rider, Electric Service Reliability Rider</w:t>
      </w:r>
      <w:bookmarkEnd w:id="72"/>
      <w:r w:rsidRPr="00027842" w:rsidR="00C96189">
        <w:t xml:space="preserve">, Development Incentive Rider, </w:t>
      </w:r>
      <w:r w:rsidRPr="00027842" w:rsidR="0051009F">
        <w:t>and GoGreen Ohio Rider.</w:t>
      </w:r>
      <w:r>
        <w:rPr>
          <w:rStyle w:val="FootnoteReference"/>
        </w:rPr>
        <w:footnoteReference w:id="56"/>
      </w:r>
      <w:r w:rsidRPr="00027842" w:rsidR="00C60CCF">
        <w:t xml:space="preserve"> </w:t>
      </w:r>
      <w:r w:rsidRPr="00027842" w:rsidR="0051009F">
        <w:t>Duke also proposed to implement two new riders, the Community Driven Investment Rider and the Retail Reconciliation Rider.</w:t>
      </w:r>
      <w:r>
        <w:rPr>
          <w:rStyle w:val="FootnoteReference"/>
        </w:rPr>
        <w:footnoteReference w:id="57"/>
      </w:r>
      <w:r w:rsidRPr="00027842" w:rsidR="00C60CCF">
        <w:t xml:space="preserve"> </w:t>
      </w:r>
      <w:r w:rsidRPr="00027842">
        <w:t xml:space="preserve">The Staff Report should have stated that riders cannot be modified unless and until </w:t>
      </w:r>
      <w:r w:rsidRPr="00027842" w:rsidR="009F6E5F">
        <w:t xml:space="preserve">Duke </w:t>
      </w:r>
      <w:r w:rsidRPr="00027842">
        <w:t>files its next electric security plan case.</w:t>
      </w:r>
      <w:bookmarkEnd w:id="71"/>
      <w:r w:rsidR="00027842">
        <w:t xml:space="preserve"> </w:t>
      </w:r>
      <w:r w:rsidRPr="00027842" w:rsidR="00860C0B">
        <w:t xml:space="preserve">In addition, </w:t>
      </w:r>
      <w:r w:rsidRPr="00027842" w:rsidR="00A05C8D">
        <w:t xml:space="preserve">even though </w:t>
      </w:r>
      <w:r w:rsidRPr="00027842" w:rsidR="00860C0B">
        <w:t xml:space="preserve">the Staff Report </w:t>
      </w:r>
      <w:r w:rsidRPr="00027842" w:rsidR="00A05C8D">
        <w:t xml:space="preserve">recommends denial of the two new riders, it </w:t>
      </w:r>
      <w:r w:rsidRPr="00027842" w:rsidR="00860C0B">
        <w:t xml:space="preserve">should </w:t>
      </w:r>
      <w:r w:rsidRPr="00027842" w:rsidR="00860C0B">
        <w:rPr>
          <w:rFonts w:eastAsiaTheme="minorHAnsi"/>
          <w:lang w:bidi="ar-SA"/>
        </w:rPr>
        <w:t xml:space="preserve">consider the illegality of the two new </w:t>
      </w:r>
      <w:r w:rsidRPr="00027842" w:rsidR="00A05C8D">
        <w:rPr>
          <w:rFonts w:eastAsiaTheme="minorHAnsi"/>
          <w:lang w:bidi="ar-SA"/>
        </w:rPr>
        <w:t>r</w:t>
      </w:r>
      <w:r w:rsidRPr="00027842" w:rsidR="00860C0B">
        <w:rPr>
          <w:rFonts w:eastAsiaTheme="minorHAnsi"/>
          <w:lang w:bidi="ar-SA"/>
        </w:rPr>
        <w:t>ider</w:t>
      </w:r>
      <w:r w:rsidRPr="00027842" w:rsidR="00A05C8D">
        <w:rPr>
          <w:rFonts w:eastAsiaTheme="minorHAnsi"/>
          <w:lang w:bidi="ar-SA"/>
        </w:rPr>
        <w:t>s</w:t>
      </w:r>
      <w:r w:rsidRPr="00027842" w:rsidR="00860C0B">
        <w:rPr>
          <w:rFonts w:eastAsiaTheme="minorHAnsi"/>
          <w:lang w:bidi="ar-SA"/>
        </w:rPr>
        <w:t xml:space="preserve"> </w:t>
      </w:r>
      <w:r w:rsidRPr="00027842" w:rsidR="00A05C8D">
        <w:rPr>
          <w:rFonts w:eastAsiaTheme="minorHAnsi"/>
          <w:lang w:bidi="ar-SA"/>
        </w:rPr>
        <w:t>(</w:t>
      </w:r>
      <w:r w:rsidRPr="00027842" w:rsidR="00A05C8D">
        <w:t>Community Driven Investment Rider and the Retail Reconciliation Rider)</w:t>
      </w:r>
      <w:r w:rsidRPr="00027842" w:rsidR="00A05C8D">
        <w:rPr>
          <w:rFonts w:eastAsiaTheme="minorHAnsi"/>
          <w:lang w:bidi="ar-SA"/>
        </w:rPr>
        <w:t xml:space="preserve"> </w:t>
      </w:r>
      <w:r w:rsidRPr="00027842" w:rsidR="00860C0B">
        <w:rPr>
          <w:rFonts w:eastAsiaTheme="minorHAnsi"/>
          <w:lang w:bidi="ar-SA"/>
        </w:rPr>
        <w:t>as an additional reason why the</w:t>
      </w:r>
      <w:r w:rsidRPr="00027842" w:rsidR="00A05C8D">
        <w:rPr>
          <w:rFonts w:eastAsiaTheme="minorHAnsi"/>
          <w:lang w:bidi="ar-SA"/>
        </w:rPr>
        <w:t xml:space="preserve">y </w:t>
      </w:r>
      <w:r w:rsidRPr="00027842" w:rsidR="00860C0B">
        <w:rPr>
          <w:rFonts w:eastAsiaTheme="minorHAnsi"/>
          <w:lang w:bidi="ar-SA"/>
        </w:rPr>
        <w:t>should not be approved.</w:t>
      </w:r>
    </w:p>
    <w:p w:rsidR="00A97112" w:rsidRPr="00027842" w:rsidP="00B87B59" w14:paraId="714A2ADB" w14:textId="55E315FC">
      <w:pPr>
        <w:pStyle w:val="Heading3"/>
      </w:pPr>
      <w:bookmarkStart w:id="73" w:name="_Toc106717632"/>
      <w:r w:rsidRPr="00027842">
        <w:t>2.</w:t>
      </w:r>
      <w:r w:rsidRPr="00027842">
        <w:tab/>
      </w:r>
      <w:r w:rsidRPr="00027842" w:rsidR="004E1108">
        <w:t>Objection No. 1</w:t>
      </w:r>
      <w:r w:rsidRPr="00027842" w:rsidR="00D64106">
        <w:t>7</w:t>
      </w:r>
      <w:r w:rsidRPr="00027842" w:rsidR="004E1108">
        <w:t xml:space="preserve">: The Staff Report </w:t>
      </w:r>
      <w:r w:rsidRPr="00027842" w:rsidR="00BC39A3">
        <w:t>harms consumers</w:t>
      </w:r>
      <w:r w:rsidRPr="00027842">
        <w:t xml:space="preserve"> by not </w:t>
      </w:r>
      <w:r w:rsidRPr="00027842" w:rsidR="004E1108">
        <w:t>recommen</w:t>
      </w:r>
      <w:r w:rsidRPr="00027842" w:rsidR="00BC39A3">
        <w:t>ding</w:t>
      </w:r>
      <w:r w:rsidRPr="00027842" w:rsidR="004E1108">
        <w:t xml:space="preserve"> a </w:t>
      </w:r>
      <w:r w:rsidRPr="00027842">
        <w:t xml:space="preserve">fair and reasonable </w:t>
      </w:r>
      <w:r w:rsidRPr="00027842" w:rsidR="004E1108">
        <w:t>distribution (allocation) of revenue by customer class if the PUCO grants a revenue increase.</w:t>
      </w:r>
      <w:bookmarkEnd w:id="73"/>
      <w:r w:rsidRPr="00027842" w:rsidR="004E1108">
        <w:t xml:space="preserve"> </w:t>
      </w:r>
    </w:p>
    <w:p w:rsidR="00A97112" w:rsidRPr="00027842" w:rsidP="00EE3874" w14:paraId="7DFCC5AD" w14:textId="78CB5D6D">
      <w:pPr>
        <w:spacing w:line="480" w:lineRule="auto"/>
        <w:ind w:firstLine="720"/>
        <w:rPr>
          <w:rFonts w:eastAsiaTheme="minorHAnsi"/>
          <w:lang w:bidi="ar-SA"/>
        </w:rPr>
      </w:pPr>
      <w:r w:rsidRPr="00027842">
        <w:rPr>
          <w:rFonts w:eastAsiaTheme="minorHAnsi"/>
          <w:lang w:bidi="ar-SA"/>
        </w:rPr>
        <w:t>The OCC objects to the Staff</w:t>
      </w:r>
      <w:r w:rsidRPr="00027842" w:rsidR="00D64106">
        <w:rPr>
          <w:rFonts w:eastAsiaTheme="minorHAnsi"/>
          <w:lang w:bidi="ar-SA"/>
        </w:rPr>
        <w:t xml:space="preserve"> Report’s </w:t>
      </w:r>
      <w:r w:rsidRPr="00027842">
        <w:rPr>
          <w:rFonts w:eastAsiaTheme="minorHAnsi"/>
          <w:lang w:bidi="ar-SA"/>
        </w:rPr>
        <w:t xml:space="preserve">allocation of 191.7% (or $15,573,962) of the proposed increase of $8,121,044 to the Residential Class, while </w:t>
      </w:r>
      <w:r w:rsidRPr="00027842" w:rsidR="00A05C8D">
        <w:rPr>
          <w:rFonts w:eastAsiaTheme="minorHAnsi"/>
          <w:lang w:bidi="ar-SA"/>
        </w:rPr>
        <w:t xml:space="preserve">at the same time </w:t>
      </w:r>
      <w:r w:rsidRPr="00027842">
        <w:rPr>
          <w:rFonts w:eastAsiaTheme="minorHAnsi"/>
          <w:lang w:bidi="ar-SA"/>
        </w:rPr>
        <w:t>proposing revenue decreases to all the other classes, except for the GSFL Class.</w:t>
      </w:r>
      <w:r>
        <w:rPr>
          <w:rStyle w:val="FootnoteReference"/>
          <w:rFonts w:eastAsiaTheme="minorHAnsi"/>
          <w:lang w:bidi="ar-SA"/>
        </w:rPr>
        <w:footnoteReference w:id="58"/>
      </w:r>
      <w:r w:rsidRPr="00027842" w:rsidR="00C60CCF">
        <w:rPr>
          <w:rFonts w:eastAsiaTheme="minorHAnsi"/>
          <w:lang w:bidi="ar-SA"/>
        </w:rPr>
        <w:t xml:space="preserve"> </w:t>
      </w:r>
      <w:r w:rsidRPr="00027842">
        <w:rPr>
          <w:rFonts w:eastAsiaTheme="minorHAnsi"/>
          <w:lang w:bidi="ar-SA"/>
        </w:rPr>
        <w:t>Th</w:t>
      </w:r>
      <w:r w:rsidRPr="00027842" w:rsidR="00D64106">
        <w:rPr>
          <w:rFonts w:eastAsiaTheme="minorHAnsi"/>
          <w:lang w:bidi="ar-SA"/>
        </w:rPr>
        <w:t xml:space="preserve">is proposed amount of revenue </w:t>
      </w:r>
      <w:r w:rsidRPr="00027842">
        <w:rPr>
          <w:rFonts w:eastAsiaTheme="minorHAnsi"/>
          <w:lang w:bidi="ar-SA"/>
        </w:rPr>
        <w:t xml:space="preserve">increase </w:t>
      </w:r>
      <w:r w:rsidRPr="00027842" w:rsidR="00D64106">
        <w:rPr>
          <w:rFonts w:eastAsiaTheme="minorHAnsi"/>
          <w:lang w:bidi="ar-SA"/>
        </w:rPr>
        <w:t xml:space="preserve">to Residential Class </w:t>
      </w:r>
      <w:r w:rsidRPr="00027842">
        <w:rPr>
          <w:rFonts w:eastAsiaTheme="minorHAnsi"/>
          <w:lang w:bidi="ar-SA"/>
        </w:rPr>
        <w:t>is unjust, unreasonable and excessive</w:t>
      </w:r>
      <w:r w:rsidRPr="00027842" w:rsidR="0029716F">
        <w:rPr>
          <w:rFonts w:eastAsiaTheme="minorHAnsi"/>
          <w:lang w:bidi="ar-SA"/>
        </w:rPr>
        <w:t xml:space="preserve"> and could cause rate shock to consumers</w:t>
      </w:r>
      <w:r w:rsidRPr="00027842">
        <w:rPr>
          <w:rFonts w:eastAsiaTheme="minorHAnsi"/>
          <w:lang w:bidi="ar-SA"/>
        </w:rPr>
        <w:t>.</w:t>
      </w:r>
      <w:r w:rsidRPr="00027842" w:rsidR="00C60CCF">
        <w:rPr>
          <w:rFonts w:eastAsiaTheme="minorHAnsi"/>
          <w:lang w:bidi="ar-SA"/>
        </w:rPr>
        <w:t xml:space="preserve"> </w:t>
      </w:r>
      <w:r w:rsidRPr="00027842">
        <w:rPr>
          <w:rFonts w:eastAsiaTheme="minorHAnsi"/>
          <w:lang w:bidi="ar-SA"/>
        </w:rPr>
        <w:t xml:space="preserve">The Staff </w:t>
      </w:r>
      <w:r w:rsidRPr="00027842" w:rsidR="00D64106">
        <w:rPr>
          <w:rFonts w:eastAsiaTheme="minorHAnsi"/>
          <w:lang w:bidi="ar-SA"/>
        </w:rPr>
        <w:t xml:space="preserve">Report </w:t>
      </w:r>
      <w:r w:rsidRPr="00027842">
        <w:rPr>
          <w:rFonts w:eastAsiaTheme="minorHAnsi"/>
          <w:lang w:bidi="ar-SA"/>
        </w:rPr>
        <w:t xml:space="preserve">should have recommended using </w:t>
      </w:r>
      <w:r w:rsidRPr="00027842" w:rsidR="00D64106">
        <w:rPr>
          <w:rFonts w:eastAsiaTheme="minorHAnsi"/>
          <w:lang w:bidi="ar-SA"/>
        </w:rPr>
        <w:t xml:space="preserve">Duke’s </w:t>
      </w:r>
      <w:r w:rsidRPr="00027842">
        <w:rPr>
          <w:rFonts w:eastAsiaTheme="minorHAnsi"/>
          <w:lang w:bidi="ar-SA"/>
        </w:rPr>
        <w:t>proposed distribution of the revenue increase which gradually moves the rates of each class towards the cost of service.</w:t>
      </w:r>
      <w:r w:rsidRPr="00027842" w:rsidR="00C60CCF">
        <w:rPr>
          <w:rFonts w:eastAsiaTheme="minorHAnsi"/>
          <w:lang w:bidi="ar-SA"/>
        </w:rPr>
        <w:t xml:space="preserve"> </w:t>
      </w:r>
    </w:p>
    <w:p w:rsidR="005B1B9D" w:rsidRPr="00027842" w:rsidP="00B87B59" w14:paraId="3BF69BEB" w14:textId="11F6E706">
      <w:pPr>
        <w:pStyle w:val="Heading3"/>
      </w:pPr>
      <w:bookmarkStart w:id="74" w:name="_Toc106717633"/>
      <w:r w:rsidRPr="00027842">
        <w:t>3.</w:t>
      </w:r>
      <w:r w:rsidRPr="00027842">
        <w:tab/>
      </w:r>
      <w:r w:rsidRPr="00027842" w:rsidR="004E1108">
        <w:t>Objection No. 1</w:t>
      </w:r>
      <w:r w:rsidRPr="00027842" w:rsidR="00D64106">
        <w:t>8</w:t>
      </w:r>
      <w:r w:rsidRPr="00027842" w:rsidR="004E1108">
        <w:t xml:space="preserve">: The </w:t>
      </w:r>
      <w:r w:rsidRPr="00027842" w:rsidR="00230ABD">
        <w:t xml:space="preserve">Staff Report </w:t>
      </w:r>
      <w:r w:rsidRPr="00027842" w:rsidR="00BC39A3">
        <w:t>harms consumers</w:t>
      </w:r>
      <w:r w:rsidRPr="00027842" w:rsidR="00230ABD">
        <w:t xml:space="preserve"> by </w:t>
      </w:r>
      <w:r w:rsidRPr="00027842" w:rsidR="004E1108">
        <w:t>recommend</w:t>
      </w:r>
      <w:r w:rsidRPr="00027842" w:rsidR="00230ABD">
        <w:t xml:space="preserve">ing </w:t>
      </w:r>
      <w:r w:rsidRPr="00027842" w:rsidR="004E1108">
        <w:t>a residential customer charge of $</w:t>
      </w:r>
      <w:r w:rsidRPr="00027842" w:rsidR="00230ABD">
        <w:t>7.32</w:t>
      </w:r>
      <w:r w:rsidRPr="00027842" w:rsidR="00EA4FF7">
        <w:t xml:space="preserve"> because it's too high and improperly includes carrying charges for line transformers</w:t>
      </w:r>
      <w:r w:rsidRPr="00027842" w:rsidR="00BC6D37">
        <w:t>.</w:t>
      </w:r>
      <w:bookmarkEnd w:id="74"/>
      <w:r w:rsidRPr="00027842" w:rsidR="00C60CCF">
        <w:t xml:space="preserve"> </w:t>
      </w:r>
    </w:p>
    <w:p w:rsidR="00D64106" w:rsidRPr="00027842" w:rsidP="004F3C81" w14:paraId="3DEC815A" w14:textId="2D9F30D5">
      <w:pPr>
        <w:spacing w:line="480" w:lineRule="auto"/>
        <w:ind w:firstLine="720"/>
        <w:rPr>
          <w:rFonts w:eastAsiaTheme="minorHAnsi"/>
          <w:color w:val="FF0000"/>
          <w:lang w:bidi="ar-SA"/>
        </w:rPr>
      </w:pPr>
      <w:r w:rsidRPr="00027842">
        <w:rPr>
          <w:rFonts w:eastAsiaTheme="minorHAnsi"/>
          <w:lang w:bidi="ar-SA"/>
        </w:rPr>
        <w:t xml:space="preserve">The OCC objects to the Customer Charge for Residential Class proposed in the Staff Report. </w:t>
      </w:r>
      <w:r w:rsidRPr="00027842">
        <w:rPr>
          <w:rFonts w:eastAsiaTheme="minorHAnsi"/>
          <w:lang w:bidi="ar-SA"/>
        </w:rPr>
        <w:t xml:space="preserve">While OCC concurs with </w:t>
      </w:r>
      <w:r w:rsidRPr="00027842">
        <w:rPr>
          <w:rFonts w:eastAsiaTheme="minorHAnsi"/>
          <w:lang w:bidi="ar-SA"/>
        </w:rPr>
        <w:t>the</w:t>
      </w:r>
      <w:r w:rsidRPr="00027842" w:rsidR="00F41B0E">
        <w:rPr>
          <w:rFonts w:eastAsiaTheme="minorHAnsi"/>
          <w:lang w:bidi="ar-SA"/>
        </w:rPr>
        <w:t xml:space="preserve"> PUCO</w:t>
      </w:r>
      <w:r w:rsidRPr="00027842">
        <w:rPr>
          <w:rFonts w:eastAsiaTheme="minorHAnsi"/>
          <w:lang w:bidi="ar-SA"/>
        </w:rPr>
        <w:t xml:space="preserve"> </w:t>
      </w:r>
      <w:r w:rsidRPr="00027842">
        <w:rPr>
          <w:rFonts w:eastAsiaTheme="minorHAnsi"/>
          <w:lang w:bidi="ar-SA"/>
        </w:rPr>
        <w:t>Staff’s use of a minimally compensatory methodology to calculate the Residential Customer Charge</w:t>
      </w:r>
      <w:r w:rsidRPr="00027842">
        <w:rPr>
          <w:rFonts w:eastAsiaTheme="minorHAnsi"/>
          <w:lang w:bidi="ar-SA"/>
        </w:rPr>
        <w:t xml:space="preserve">, </w:t>
      </w:r>
      <w:r w:rsidRPr="00027842">
        <w:rPr>
          <w:rFonts w:eastAsiaTheme="minorHAnsi"/>
          <w:lang w:bidi="ar-SA"/>
        </w:rPr>
        <w:t xml:space="preserve">OCC objects to </w:t>
      </w:r>
      <w:r w:rsidRPr="00027842" w:rsidR="00F41B0E">
        <w:rPr>
          <w:rFonts w:eastAsiaTheme="minorHAnsi"/>
          <w:lang w:bidi="ar-SA"/>
        </w:rPr>
        <w:t xml:space="preserve">the PUCO </w:t>
      </w:r>
      <w:r w:rsidRPr="00027842">
        <w:rPr>
          <w:rFonts w:eastAsiaTheme="minorHAnsi"/>
          <w:lang w:bidi="ar-SA"/>
        </w:rPr>
        <w:t>Staff’s inclusion of a carrying charge on the plant account 368, Line Transformers.</w:t>
      </w:r>
      <w:r>
        <w:rPr>
          <w:rStyle w:val="FootnoteReference"/>
          <w:rFonts w:eastAsiaTheme="minorHAnsi"/>
          <w:lang w:bidi="ar-SA"/>
        </w:rPr>
        <w:footnoteReference w:id="59"/>
      </w:r>
      <w:r w:rsidRPr="00027842">
        <w:rPr>
          <w:rFonts w:eastAsiaTheme="minorHAnsi"/>
          <w:lang w:bidi="ar-SA"/>
        </w:rPr>
        <w:t xml:space="preserve"> A minimally compensatory formula should not include a carrying charge </w:t>
      </w:r>
      <w:r w:rsidRPr="00027842" w:rsidR="00EC7711">
        <w:rPr>
          <w:rFonts w:eastAsiaTheme="minorHAnsi"/>
          <w:lang w:bidi="ar-SA"/>
        </w:rPr>
        <w:t>on</w:t>
      </w:r>
      <w:r w:rsidRPr="00027842" w:rsidR="00DB4FF5">
        <w:rPr>
          <w:rFonts w:eastAsiaTheme="minorHAnsi"/>
          <w:lang w:bidi="ar-SA"/>
        </w:rPr>
        <w:t xml:space="preserve"> L</w:t>
      </w:r>
      <w:r w:rsidRPr="00027842" w:rsidR="00EC7711">
        <w:rPr>
          <w:rFonts w:eastAsiaTheme="minorHAnsi"/>
          <w:lang w:bidi="ar-SA"/>
        </w:rPr>
        <w:t>ine</w:t>
      </w:r>
      <w:r w:rsidRPr="00027842">
        <w:rPr>
          <w:rFonts w:eastAsiaTheme="minorHAnsi"/>
          <w:lang w:bidi="ar-SA"/>
        </w:rPr>
        <w:t xml:space="preserve"> Transformers.</w:t>
      </w:r>
      <w:r w:rsidRPr="00027842" w:rsidR="00C60CCF">
        <w:rPr>
          <w:rFonts w:eastAsiaTheme="minorHAnsi"/>
          <w:lang w:bidi="ar-SA"/>
        </w:rPr>
        <w:t xml:space="preserve"> </w:t>
      </w:r>
      <w:r w:rsidRPr="00027842">
        <w:rPr>
          <w:rFonts w:eastAsiaTheme="minorHAnsi"/>
          <w:lang w:bidi="ar-SA"/>
        </w:rPr>
        <w:t xml:space="preserve">If the carrying charge </w:t>
      </w:r>
      <w:r w:rsidRPr="00027842" w:rsidR="00A843CD">
        <w:rPr>
          <w:rFonts w:eastAsiaTheme="minorHAnsi"/>
          <w:lang w:bidi="ar-SA"/>
        </w:rPr>
        <w:t xml:space="preserve">on Line Transformers </w:t>
      </w:r>
      <w:r w:rsidRPr="00027842">
        <w:rPr>
          <w:rFonts w:eastAsiaTheme="minorHAnsi"/>
          <w:lang w:bidi="ar-SA"/>
        </w:rPr>
        <w:t xml:space="preserve">is removed, the residential customer charge based on </w:t>
      </w:r>
      <w:r w:rsidRPr="00027842" w:rsidR="00976804">
        <w:rPr>
          <w:rFonts w:eastAsiaTheme="minorHAnsi"/>
          <w:lang w:bidi="ar-SA"/>
        </w:rPr>
        <w:t xml:space="preserve">the </w:t>
      </w:r>
      <w:r w:rsidRPr="00027842">
        <w:rPr>
          <w:rFonts w:eastAsiaTheme="minorHAnsi"/>
          <w:lang w:bidi="ar-SA"/>
        </w:rPr>
        <w:t xml:space="preserve">minimally compensatory </w:t>
      </w:r>
      <w:r w:rsidRPr="00027842" w:rsidR="00976804">
        <w:rPr>
          <w:rFonts w:eastAsiaTheme="minorHAnsi"/>
          <w:lang w:bidi="ar-SA"/>
        </w:rPr>
        <w:t xml:space="preserve">methodology </w:t>
      </w:r>
      <w:r w:rsidRPr="00027842">
        <w:rPr>
          <w:rFonts w:eastAsiaTheme="minorHAnsi"/>
          <w:lang w:bidi="ar-SA"/>
        </w:rPr>
        <w:t xml:space="preserve">should be </w:t>
      </w:r>
      <w:r w:rsidRPr="00027842" w:rsidR="00976804">
        <w:rPr>
          <w:rFonts w:eastAsiaTheme="minorHAnsi"/>
          <w:lang w:bidi="ar-SA"/>
        </w:rPr>
        <w:t xml:space="preserve">no higher than </w:t>
      </w:r>
      <w:r w:rsidRPr="00027842">
        <w:rPr>
          <w:rFonts w:eastAsiaTheme="minorHAnsi"/>
          <w:lang w:bidi="ar-SA"/>
        </w:rPr>
        <w:t xml:space="preserve">$5.66. </w:t>
      </w:r>
      <w:bookmarkStart w:id="75" w:name="_Hlk105652547"/>
    </w:p>
    <w:p w:rsidR="00A038E7" w14:paraId="3EBCE1E7" w14:textId="77777777">
      <w:pPr>
        <w:rPr>
          <w:rFonts w:eastAsiaTheme="minorHAnsi"/>
          <w:b/>
          <w:bCs/>
          <w:lang w:bidi="ar-SA"/>
        </w:rPr>
      </w:pPr>
      <w:bookmarkStart w:id="76" w:name="_Hlk105653148"/>
      <w:bookmarkEnd w:id="75"/>
      <w:r>
        <w:br w:type="page"/>
      </w:r>
    </w:p>
    <w:p w:rsidR="005B1B9D" w:rsidRPr="00027842" w:rsidP="00B87B59" w14:paraId="7A5CBCE4" w14:textId="5A5D0CB2">
      <w:pPr>
        <w:pStyle w:val="Heading3"/>
      </w:pPr>
      <w:bookmarkStart w:id="77" w:name="_Toc106717634"/>
      <w:r w:rsidRPr="00027842">
        <w:t>4.</w:t>
      </w:r>
      <w:r w:rsidRPr="00027842">
        <w:tab/>
      </w:r>
      <w:r w:rsidRPr="00027842" w:rsidR="004E1108">
        <w:t xml:space="preserve">Objection No. </w:t>
      </w:r>
      <w:r w:rsidRPr="00027842" w:rsidR="00976804">
        <w:t>19</w:t>
      </w:r>
      <w:r w:rsidRPr="00027842" w:rsidR="004E1108">
        <w:t xml:space="preserve">: The Staff Report </w:t>
      </w:r>
      <w:r w:rsidRPr="00027842" w:rsidR="00F41B0E">
        <w:t>harms consumers by failing to</w:t>
      </w:r>
      <w:r w:rsidRPr="00027842" w:rsidR="00976804">
        <w:t xml:space="preserve"> </w:t>
      </w:r>
      <w:r w:rsidRPr="00027842" w:rsidR="004E1108">
        <w:t>recommend</w:t>
      </w:r>
      <w:r w:rsidRPr="00027842" w:rsidR="00F41B0E">
        <w:t xml:space="preserve"> that</w:t>
      </w:r>
      <w:r w:rsidRPr="00027842" w:rsidR="004E1108">
        <w:t xml:space="preserve"> </w:t>
      </w:r>
      <w:r w:rsidRPr="00027842" w:rsidR="001C76EC">
        <w:t xml:space="preserve">the $10 </w:t>
      </w:r>
      <w:r w:rsidRPr="00027842" w:rsidR="00976804">
        <w:t xml:space="preserve">Remote </w:t>
      </w:r>
      <w:r w:rsidRPr="00027842" w:rsidR="00BC6D37">
        <w:t xml:space="preserve">Reconnection </w:t>
      </w:r>
      <w:r w:rsidRPr="00027842" w:rsidR="00976804">
        <w:t>Fee</w:t>
      </w:r>
      <w:r w:rsidRPr="00027842" w:rsidR="00F41B0E">
        <w:t xml:space="preserve"> </w:t>
      </w:r>
      <w:r w:rsidRPr="00027842" w:rsidR="001C76EC">
        <w:t>proposed by Duke be reduced to $0 because Duke has not justified the proposed charge.</w:t>
      </w:r>
      <w:bookmarkEnd w:id="77"/>
      <w:r w:rsidRPr="00027842" w:rsidR="00C60CCF">
        <w:t xml:space="preserve"> </w:t>
      </w:r>
    </w:p>
    <w:p w:rsidR="005B1B9D" w:rsidRPr="00027842" w:rsidP="004F3C81" w14:paraId="59428B43" w14:textId="62D74BC8">
      <w:pPr>
        <w:spacing w:line="480" w:lineRule="auto"/>
        <w:ind w:firstLine="720"/>
        <w:rPr>
          <w:rFonts w:eastAsiaTheme="minorHAnsi"/>
          <w:lang w:bidi="ar-SA"/>
        </w:rPr>
      </w:pPr>
      <w:r w:rsidRPr="00027842">
        <w:rPr>
          <w:rFonts w:eastAsiaTheme="minorHAnsi"/>
          <w:lang w:bidi="ar-SA"/>
        </w:rPr>
        <w:t xml:space="preserve">OCC objects </w:t>
      </w:r>
      <w:r w:rsidRPr="00027842" w:rsidR="001C76EC">
        <w:rPr>
          <w:rFonts w:eastAsiaTheme="minorHAnsi"/>
          <w:lang w:bidi="ar-SA"/>
        </w:rPr>
        <w:t xml:space="preserve">that the Staff Report failed to </w:t>
      </w:r>
      <w:r w:rsidRPr="00027842">
        <w:rPr>
          <w:rFonts w:eastAsiaTheme="minorHAnsi"/>
          <w:lang w:bidi="ar-SA"/>
        </w:rPr>
        <w:t xml:space="preserve">recommend that the Remote </w:t>
      </w:r>
      <w:r w:rsidRPr="00027842" w:rsidR="00A843CD">
        <w:rPr>
          <w:rFonts w:eastAsiaTheme="minorHAnsi"/>
          <w:lang w:bidi="ar-SA"/>
        </w:rPr>
        <w:t xml:space="preserve">Reconnection </w:t>
      </w:r>
      <w:r w:rsidRPr="00027842">
        <w:rPr>
          <w:rFonts w:eastAsiaTheme="minorHAnsi"/>
          <w:lang w:bidi="ar-SA"/>
        </w:rPr>
        <w:t>Fee be reduced to $0 until such a time as applicant can provide documentation justifying a $10</w:t>
      </w:r>
      <w:r w:rsidRPr="00027842" w:rsidR="00A419C0">
        <w:rPr>
          <w:rFonts w:eastAsiaTheme="minorHAnsi"/>
          <w:lang w:bidi="ar-SA"/>
        </w:rPr>
        <w:t>.</w:t>
      </w:r>
      <w:r w:rsidRPr="00027842">
        <w:rPr>
          <w:rFonts w:eastAsiaTheme="minorHAnsi"/>
          <w:lang w:bidi="ar-SA"/>
        </w:rPr>
        <w:t>00 charge.</w:t>
      </w:r>
      <w:r w:rsidRPr="00027842" w:rsidR="001C76EC">
        <w:rPr>
          <w:rFonts w:eastAsiaTheme="minorHAnsi"/>
          <w:lang w:bidi="ar-SA"/>
        </w:rPr>
        <w:t xml:space="preserve"> Duke has the burden of demonstrating the proposed Remote </w:t>
      </w:r>
      <w:r w:rsidRPr="00027842" w:rsidR="00A843CD">
        <w:rPr>
          <w:rFonts w:eastAsiaTheme="minorHAnsi"/>
          <w:lang w:bidi="ar-SA"/>
        </w:rPr>
        <w:t xml:space="preserve">Reconnection </w:t>
      </w:r>
      <w:r w:rsidRPr="00027842" w:rsidR="001C76EC">
        <w:rPr>
          <w:rFonts w:eastAsiaTheme="minorHAnsi"/>
          <w:lang w:bidi="ar-SA"/>
        </w:rPr>
        <w:t xml:space="preserve">Fee is just and reasonable and </w:t>
      </w:r>
      <w:r w:rsidRPr="00027842" w:rsidR="00BC7C6A">
        <w:rPr>
          <w:rFonts w:eastAsiaTheme="minorHAnsi"/>
          <w:lang w:bidi="ar-SA"/>
        </w:rPr>
        <w:t>is a cost to the utility of rendering public utility service for the tes</w:t>
      </w:r>
      <w:r w:rsidRPr="00027842" w:rsidR="00EA641F">
        <w:rPr>
          <w:rFonts w:eastAsiaTheme="minorHAnsi"/>
          <w:lang w:bidi="ar-SA"/>
        </w:rPr>
        <w:t>t</w:t>
      </w:r>
      <w:r w:rsidR="00027842">
        <w:rPr>
          <w:rFonts w:eastAsiaTheme="minorHAnsi"/>
          <w:lang w:bidi="ar-SA"/>
        </w:rPr>
        <w:t xml:space="preserve"> </w:t>
      </w:r>
      <w:r w:rsidRPr="00027842" w:rsidR="00BC7C6A">
        <w:rPr>
          <w:rFonts w:eastAsiaTheme="minorHAnsi"/>
          <w:lang w:bidi="ar-SA"/>
        </w:rPr>
        <w:t>period</w:t>
      </w:r>
      <w:r w:rsidRPr="00027842" w:rsidR="00EA641F">
        <w:rPr>
          <w:rFonts w:eastAsiaTheme="minorHAnsi"/>
          <w:lang w:bidi="ar-SA"/>
        </w:rPr>
        <w:t>. I</w:t>
      </w:r>
      <w:r w:rsidRPr="00027842" w:rsidR="001C76EC">
        <w:rPr>
          <w:rFonts w:eastAsiaTheme="minorHAnsi"/>
          <w:lang w:bidi="ar-SA"/>
        </w:rPr>
        <w:t>t has failed to do so. The</w:t>
      </w:r>
      <w:r w:rsidRPr="00027842" w:rsidR="00A419C0">
        <w:rPr>
          <w:rFonts w:eastAsiaTheme="minorHAnsi"/>
          <w:lang w:bidi="ar-SA"/>
        </w:rPr>
        <w:t xml:space="preserve"> PUCO</w:t>
      </w:r>
      <w:r w:rsidRPr="00027842" w:rsidR="001C76EC">
        <w:rPr>
          <w:rFonts w:eastAsiaTheme="minorHAnsi"/>
          <w:lang w:bidi="ar-SA"/>
        </w:rPr>
        <w:t xml:space="preserve"> Staff should have recommended the Remote </w:t>
      </w:r>
      <w:r w:rsidRPr="00027842" w:rsidR="00A843CD">
        <w:rPr>
          <w:rFonts w:eastAsiaTheme="minorHAnsi"/>
          <w:lang w:bidi="ar-SA"/>
        </w:rPr>
        <w:t xml:space="preserve">Reconnection </w:t>
      </w:r>
      <w:r w:rsidRPr="00027842" w:rsidR="001C76EC">
        <w:rPr>
          <w:rFonts w:eastAsiaTheme="minorHAnsi"/>
          <w:lang w:bidi="ar-SA"/>
        </w:rPr>
        <w:t>Fee be reduced to $0.</w:t>
      </w:r>
      <w:bookmarkEnd w:id="76"/>
    </w:p>
    <w:p w:rsidR="0041632A" w:rsidRPr="00027842" w:rsidP="00B87B59" w14:paraId="6E295F93" w14:textId="2FE1F79D">
      <w:pPr>
        <w:pStyle w:val="Heading3"/>
      </w:pPr>
      <w:bookmarkStart w:id="78" w:name="_Toc106717635"/>
      <w:r w:rsidRPr="00027842">
        <w:t>5.</w:t>
      </w:r>
      <w:r w:rsidRPr="00027842">
        <w:tab/>
      </w:r>
      <w:r w:rsidRPr="00027842">
        <w:t xml:space="preserve">Objection No. 20: The Staff Report </w:t>
      </w:r>
      <w:r w:rsidRPr="00027842" w:rsidR="00A419C0">
        <w:t xml:space="preserve">harms consumers by failing to </w:t>
      </w:r>
      <w:r w:rsidRPr="00027842">
        <w:t>recommend th</w:t>
      </w:r>
      <w:r w:rsidRPr="00027842" w:rsidR="00A419C0">
        <w:t>at</w:t>
      </w:r>
      <w:r w:rsidRPr="00027842">
        <w:t xml:space="preserve"> Duke make every available effort with its authorized vendors to reduce the level of the convenience fee</w:t>
      </w:r>
      <w:r w:rsidRPr="00027842" w:rsidR="00A419C0">
        <w:t>s</w:t>
      </w:r>
      <w:r w:rsidRPr="00027842">
        <w:t xml:space="preserve"> charged to consumers.</w:t>
      </w:r>
      <w:bookmarkEnd w:id="78"/>
      <w:r w:rsidRPr="00027842" w:rsidR="00C60CCF">
        <w:t xml:space="preserve"> </w:t>
      </w:r>
      <w:r w:rsidR="00B87B59">
        <w:t>The PUCO should ideally prohib</w:t>
      </w:r>
      <w:r w:rsidR="00CD4802">
        <w:t>it charging convenience fees to consumers.</w:t>
      </w:r>
    </w:p>
    <w:p w:rsidR="0041632A" w:rsidRPr="00027842" w:rsidP="00B51804" w14:paraId="3EFE8E73" w14:textId="0D86F53A">
      <w:pPr>
        <w:spacing w:line="480" w:lineRule="auto"/>
        <w:ind w:firstLine="720"/>
        <w:rPr>
          <w:rFonts w:eastAsiaTheme="minorHAnsi"/>
          <w:b/>
          <w:bCs/>
          <w:lang w:bidi="ar-SA"/>
        </w:rPr>
      </w:pPr>
      <w:r w:rsidRPr="00027842">
        <w:rPr>
          <w:rFonts w:eastAsiaTheme="minorHAnsi"/>
          <w:lang w:bidi="ar-SA"/>
        </w:rPr>
        <w:t xml:space="preserve">The OCC objects to the Staff Report </w:t>
      </w:r>
      <w:r w:rsidRPr="00027842" w:rsidR="001C13C6">
        <w:rPr>
          <w:rFonts w:eastAsiaTheme="minorHAnsi"/>
          <w:lang w:bidi="ar-SA"/>
        </w:rPr>
        <w:t xml:space="preserve">because it </w:t>
      </w:r>
      <w:r w:rsidRPr="00027842">
        <w:rPr>
          <w:rFonts w:eastAsiaTheme="minorHAnsi"/>
          <w:lang w:bidi="ar-SA"/>
        </w:rPr>
        <w:t xml:space="preserve">failed to </w:t>
      </w:r>
      <w:r w:rsidRPr="00027842" w:rsidR="001C13C6">
        <w:rPr>
          <w:rFonts w:eastAsiaTheme="minorHAnsi"/>
          <w:lang w:bidi="ar-SA"/>
        </w:rPr>
        <w:t xml:space="preserve">recommend </w:t>
      </w:r>
      <w:r w:rsidRPr="00027842">
        <w:rPr>
          <w:rFonts w:eastAsiaTheme="minorHAnsi"/>
          <w:lang w:bidi="ar-SA"/>
        </w:rPr>
        <w:t>that Duke make every available effort with its authorized vendors to reduce the level of the convenience fee</w:t>
      </w:r>
      <w:r w:rsidRPr="00027842" w:rsidR="001C13C6">
        <w:rPr>
          <w:rFonts w:eastAsiaTheme="minorHAnsi"/>
          <w:lang w:bidi="ar-SA"/>
        </w:rPr>
        <w:t>s</w:t>
      </w:r>
      <w:r w:rsidRPr="00027842">
        <w:rPr>
          <w:rFonts w:eastAsiaTheme="minorHAnsi"/>
          <w:lang w:bidi="ar-SA"/>
        </w:rPr>
        <w:t xml:space="preserve"> charged to consumers. Duke proposed that </w:t>
      </w:r>
      <w:r w:rsidRPr="00027842">
        <w:rPr>
          <w:rFonts w:eastAsiaTheme="minorHAnsi"/>
          <w:lang w:bidi="ar-SA"/>
        </w:rPr>
        <w:t>convenience fees for credit and debit cards, as well as for walk-in customers no longer be charged to the c</w:t>
      </w:r>
      <w:r w:rsidRPr="00027842" w:rsidR="001E68FE">
        <w:rPr>
          <w:rFonts w:eastAsiaTheme="minorHAnsi"/>
          <w:lang w:bidi="ar-SA"/>
        </w:rPr>
        <w:t>onsumer</w:t>
      </w:r>
      <w:r w:rsidRPr="00027842">
        <w:rPr>
          <w:rFonts w:eastAsiaTheme="minorHAnsi"/>
          <w:lang w:bidi="ar-SA"/>
        </w:rPr>
        <w:t xml:space="preserve"> but rather be included in base rates. </w:t>
      </w:r>
      <w:r w:rsidRPr="00027842" w:rsidR="001E68FE">
        <w:rPr>
          <w:rFonts w:eastAsiaTheme="minorHAnsi"/>
          <w:lang w:bidi="ar-SA"/>
        </w:rPr>
        <w:t xml:space="preserve">The PUCO </w:t>
      </w:r>
      <w:r w:rsidRPr="00027842">
        <w:rPr>
          <w:rFonts w:eastAsiaTheme="minorHAnsi"/>
          <w:lang w:bidi="ar-SA"/>
        </w:rPr>
        <w:t>Staff recommends that convenience fees continue to be charged to the customer and not included in base rates.</w:t>
      </w:r>
      <w:r>
        <w:rPr>
          <w:rStyle w:val="FootnoteReference"/>
          <w:rFonts w:eastAsiaTheme="minorHAnsi"/>
          <w:lang w:bidi="ar-SA"/>
        </w:rPr>
        <w:footnoteReference w:id="60"/>
      </w:r>
      <w:r w:rsidRPr="00027842" w:rsidR="00C60CCF">
        <w:rPr>
          <w:rFonts w:eastAsiaTheme="minorHAnsi"/>
          <w:lang w:bidi="ar-SA"/>
        </w:rPr>
        <w:t xml:space="preserve"> </w:t>
      </w:r>
      <w:r w:rsidRPr="00027842">
        <w:rPr>
          <w:rFonts w:eastAsiaTheme="minorHAnsi"/>
          <w:lang w:bidi="ar-SA"/>
        </w:rPr>
        <w:t xml:space="preserve">OCC </w:t>
      </w:r>
      <w:r w:rsidRPr="00027842" w:rsidR="001E68FE">
        <w:rPr>
          <w:rFonts w:eastAsiaTheme="minorHAnsi"/>
          <w:lang w:bidi="ar-SA"/>
        </w:rPr>
        <w:t>agrees that</w:t>
      </w:r>
      <w:r w:rsidRPr="00027842">
        <w:rPr>
          <w:rFonts w:eastAsiaTheme="minorHAnsi"/>
          <w:lang w:bidi="ar-SA"/>
        </w:rPr>
        <w:t xml:space="preserve"> convenience fees should not be </w:t>
      </w:r>
      <w:r w:rsidRPr="00027842" w:rsidR="001E68FE">
        <w:rPr>
          <w:rFonts w:eastAsiaTheme="minorHAnsi"/>
          <w:lang w:bidi="ar-SA"/>
        </w:rPr>
        <w:t>charged to consumers</w:t>
      </w:r>
      <w:r w:rsidRPr="00027842">
        <w:rPr>
          <w:rFonts w:eastAsiaTheme="minorHAnsi"/>
          <w:lang w:bidi="ar-SA"/>
        </w:rPr>
        <w:t xml:space="preserve"> through base rates</w:t>
      </w:r>
      <w:r w:rsidRPr="00027842">
        <w:rPr>
          <w:rFonts w:eastAsiaTheme="minorHAnsi"/>
          <w:lang w:bidi="ar-SA"/>
        </w:rPr>
        <w:t xml:space="preserve">. </w:t>
      </w:r>
      <w:r w:rsidRPr="00027842" w:rsidR="001E68FE">
        <w:rPr>
          <w:rFonts w:eastAsiaTheme="minorHAnsi"/>
          <w:lang w:bidi="ar-SA"/>
        </w:rPr>
        <w:t>However, the PUCO</w:t>
      </w:r>
      <w:r w:rsidRPr="00027842">
        <w:rPr>
          <w:rFonts w:eastAsiaTheme="minorHAnsi"/>
          <w:lang w:bidi="ar-SA"/>
        </w:rPr>
        <w:t xml:space="preserve"> Staff should </w:t>
      </w:r>
      <w:r w:rsidRPr="00027842" w:rsidR="001E68FE">
        <w:rPr>
          <w:rFonts w:eastAsiaTheme="minorHAnsi"/>
          <w:lang w:bidi="ar-SA"/>
        </w:rPr>
        <w:t>take action</w:t>
      </w:r>
      <w:r w:rsidRPr="00027842">
        <w:rPr>
          <w:rFonts w:eastAsiaTheme="minorHAnsi"/>
          <w:lang w:bidi="ar-SA"/>
        </w:rPr>
        <w:t xml:space="preserve"> to</w:t>
      </w:r>
      <w:r w:rsidRPr="00027842" w:rsidR="001E68FE">
        <w:rPr>
          <w:rFonts w:eastAsiaTheme="minorHAnsi"/>
          <w:lang w:bidi="ar-SA"/>
        </w:rPr>
        <w:t xml:space="preserve"> require Duke to</w:t>
      </w:r>
      <w:r w:rsidRPr="00027842">
        <w:rPr>
          <w:rFonts w:eastAsiaTheme="minorHAnsi"/>
          <w:lang w:bidi="ar-SA"/>
        </w:rPr>
        <w:t xml:space="preserve"> </w:t>
      </w:r>
      <w:r w:rsidRPr="00027842" w:rsidR="001E68FE">
        <w:rPr>
          <w:rFonts w:eastAsiaTheme="minorHAnsi"/>
          <w:lang w:bidi="ar-SA"/>
        </w:rPr>
        <w:t>work with vendors to reduce these</w:t>
      </w:r>
      <w:r w:rsidRPr="00027842">
        <w:rPr>
          <w:rFonts w:eastAsiaTheme="minorHAnsi"/>
          <w:lang w:bidi="ar-SA"/>
        </w:rPr>
        <w:t xml:space="preserve"> costs to consumers.</w:t>
      </w:r>
      <w:r w:rsidRPr="00027842" w:rsidR="009145A0">
        <w:rPr>
          <w:rFonts w:eastAsiaTheme="minorHAnsi"/>
          <w:lang w:bidi="ar-SA"/>
        </w:rPr>
        <w:t xml:space="preserve"> </w:t>
      </w:r>
      <w:r w:rsidR="00411CCF">
        <w:rPr>
          <w:rFonts w:eastAsiaTheme="minorHAnsi"/>
          <w:lang w:bidi="ar-SA"/>
        </w:rPr>
        <w:t>C</w:t>
      </w:r>
      <w:r w:rsidRPr="00027842" w:rsidR="009145A0">
        <w:rPr>
          <w:rFonts w:eastAsiaTheme="minorHAnsi"/>
          <w:lang w:bidi="ar-SA"/>
        </w:rPr>
        <w:t>onvenience fees should not be permitted to be charged to consumers. This could be accomplished through Duke’s shareholders paying the convenience fees or vendors ending the convenience fees.</w:t>
      </w:r>
    </w:p>
    <w:p w:rsidR="00290AB4" w:rsidRPr="00027842" w:rsidP="00B87B59" w14:paraId="29D81706" w14:textId="3CA8ABE1">
      <w:pPr>
        <w:pStyle w:val="Heading3"/>
      </w:pPr>
      <w:bookmarkStart w:id="79" w:name="_Toc106717636"/>
      <w:r w:rsidRPr="00027842">
        <w:t>6.</w:t>
      </w:r>
      <w:r w:rsidRPr="00027842">
        <w:tab/>
      </w:r>
      <w:r w:rsidRPr="00027842" w:rsidR="00BB5A9C">
        <w:t>Objection No. 2</w:t>
      </w:r>
      <w:r w:rsidRPr="00027842" w:rsidR="00AD2724">
        <w:t>1</w:t>
      </w:r>
      <w:r w:rsidRPr="00027842" w:rsidR="00BB5A9C">
        <w:t xml:space="preserve">: The Staff Report </w:t>
      </w:r>
      <w:r w:rsidRPr="00027842">
        <w:t>harms consumers</w:t>
      </w:r>
      <w:r w:rsidRPr="00027842" w:rsidR="00BB5A9C">
        <w:t xml:space="preserve"> </w:t>
      </w:r>
      <w:r w:rsidRPr="00027842">
        <w:t>by failing to</w:t>
      </w:r>
      <w:r w:rsidRPr="00027842" w:rsidR="00BB5A9C">
        <w:t xml:space="preserve"> recommend</w:t>
      </w:r>
      <w:r w:rsidRPr="00027842">
        <w:t xml:space="preserve"> that</w:t>
      </w:r>
      <w:r w:rsidRPr="00027842" w:rsidR="00BB5A9C">
        <w:t xml:space="preserve"> Duke be required </w:t>
      </w:r>
      <w:r w:rsidRPr="00027842" w:rsidR="004C183F">
        <w:t>to file an A</w:t>
      </w:r>
      <w:r w:rsidRPr="00027842">
        <w:t xml:space="preserve">pplication for Tariff Approval </w:t>
      </w:r>
      <w:r w:rsidRPr="00027842" w:rsidR="00255142">
        <w:t xml:space="preserve">(“ATA”) </w:t>
      </w:r>
      <w:r w:rsidRPr="00027842">
        <w:t>to</w:t>
      </w:r>
      <w:r w:rsidRPr="00027842" w:rsidR="004C183F">
        <w:t xml:space="preserve"> updat</w:t>
      </w:r>
      <w:r w:rsidRPr="00027842">
        <w:t>e</w:t>
      </w:r>
      <w:r w:rsidRPr="00027842" w:rsidR="004C183F">
        <w:t xml:space="preserve"> the Net Metering Rider.</w:t>
      </w:r>
      <w:bookmarkEnd w:id="79"/>
      <w:r w:rsidRPr="00027842" w:rsidR="00C60CCF">
        <w:t xml:space="preserve"> </w:t>
      </w:r>
    </w:p>
    <w:p w:rsidR="00BB5A9C" w:rsidRPr="00027842" w:rsidP="00B51804" w14:paraId="06160AA0" w14:textId="0A869A33">
      <w:pPr>
        <w:spacing w:line="480" w:lineRule="auto"/>
        <w:ind w:firstLine="720"/>
        <w:rPr>
          <w:rFonts w:eastAsiaTheme="minorHAnsi"/>
          <w:lang w:bidi="ar-SA"/>
        </w:rPr>
      </w:pPr>
      <w:r w:rsidRPr="00027842">
        <w:rPr>
          <w:rFonts w:eastAsiaTheme="minorHAnsi"/>
          <w:lang w:bidi="ar-SA"/>
        </w:rPr>
        <w:t xml:space="preserve">OCC objects </w:t>
      </w:r>
      <w:r w:rsidRPr="00027842" w:rsidR="00290AB4">
        <w:rPr>
          <w:rFonts w:eastAsiaTheme="minorHAnsi"/>
          <w:lang w:bidi="ar-SA"/>
        </w:rPr>
        <w:t>to the</w:t>
      </w:r>
      <w:r w:rsidRPr="00027842">
        <w:rPr>
          <w:rFonts w:eastAsiaTheme="minorHAnsi"/>
          <w:lang w:bidi="ar-SA"/>
        </w:rPr>
        <w:t xml:space="preserve"> Staff Report </w:t>
      </w:r>
      <w:r w:rsidRPr="00027842" w:rsidR="00290AB4">
        <w:rPr>
          <w:rFonts w:eastAsiaTheme="minorHAnsi"/>
          <w:lang w:bidi="ar-SA"/>
        </w:rPr>
        <w:t xml:space="preserve">because it </w:t>
      </w:r>
      <w:r w:rsidRPr="00027842">
        <w:rPr>
          <w:rFonts w:eastAsiaTheme="minorHAnsi"/>
          <w:lang w:bidi="ar-SA"/>
        </w:rPr>
        <w:t xml:space="preserve">did not recommend that Duke be </w:t>
      </w:r>
      <w:r w:rsidRPr="00027842">
        <w:rPr>
          <w:rFonts w:eastAsiaTheme="minorHAnsi"/>
          <w:i/>
          <w:iCs/>
          <w:lang w:bidi="ar-SA"/>
        </w:rPr>
        <w:t>required</w:t>
      </w:r>
      <w:r w:rsidRPr="00027842">
        <w:rPr>
          <w:rFonts w:eastAsiaTheme="minorHAnsi"/>
          <w:lang w:bidi="ar-SA"/>
        </w:rPr>
        <w:t xml:space="preserve"> to update its Net Metering Rider. OCC agrees with the</w:t>
      </w:r>
      <w:r w:rsidRPr="00027842" w:rsidR="00255142">
        <w:rPr>
          <w:rFonts w:eastAsiaTheme="minorHAnsi"/>
          <w:lang w:bidi="ar-SA"/>
        </w:rPr>
        <w:t xml:space="preserve"> PUCO</w:t>
      </w:r>
      <w:r w:rsidRPr="00027842">
        <w:rPr>
          <w:rFonts w:eastAsiaTheme="minorHAnsi"/>
          <w:lang w:bidi="ar-SA"/>
        </w:rPr>
        <w:t xml:space="preserve"> Staff that </w:t>
      </w:r>
      <w:r w:rsidRPr="00027842">
        <w:rPr>
          <w:rFonts w:eastAsiaTheme="minorHAnsi"/>
          <w:lang w:bidi="ar-SA"/>
        </w:rPr>
        <w:t xml:space="preserve">Net Metering Sheet No. 48 Rider NM, regarding net metering has not been updated for compliance with the most recent changes in Ohio Administrative Code Section 4901:1-10-28. </w:t>
      </w:r>
      <w:r w:rsidRPr="00027842" w:rsidR="00255142">
        <w:rPr>
          <w:rFonts w:eastAsiaTheme="minorHAnsi"/>
          <w:lang w:bidi="ar-SA"/>
        </w:rPr>
        <w:t>However, the</w:t>
      </w:r>
      <w:r w:rsidRPr="00027842">
        <w:rPr>
          <w:rFonts w:eastAsiaTheme="minorHAnsi"/>
          <w:lang w:bidi="ar-SA"/>
        </w:rPr>
        <w:t xml:space="preserve"> Staff Report </w:t>
      </w:r>
      <w:r w:rsidRPr="00027842" w:rsidR="001F1D61">
        <w:rPr>
          <w:rFonts w:eastAsiaTheme="minorHAnsi"/>
          <w:lang w:bidi="ar-SA"/>
        </w:rPr>
        <w:t xml:space="preserve">merely </w:t>
      </w:r>
      <w:r w:rsidRPr="00027842">
        <w:rPr>
          <w:rFonts w:eastAsiaTheme="minorHAnsi"/>
          <w:lang w:bidi="ar-SA"/>
        </w:rPr>
        <w:t xml:space="preserve">noted that Duke </w:t>
      </w:r>
      <w:r w:rsidRPr="00027842" w:rsidR="001F1D61">
        <w:rPr>
          <w:rFonts w:eastAsiaTheme="minorHAnsi"/>
          <w:lang w:bidi="ar-SA"/>
        </w:rPr>
        <w:t xml:space="preserve">had </w:t>
      </w:r>
      <w:r w:rsidRPr="00027842">
        <w:rPr>
          <w:rFonts w:eastAsiaTheme="minorHAnsi"/>
          <w:lang w:bidi="ar-SA"/>
        </w:rPr>
        <w:t xml:space="preserve">indicated an </w:t>
      </w:r>
      <w:r w:rsidRPr="00027842" w:rsidR="00255142">
        <w:rPr>
          <w:rFonts w:eastAsiaTheme="minorHAnsi"/>
          <w:lang w:bidi="ar-SA"/>
        </w:rPr>
        <w:t>update in an</w:t>
      </w:r>
      <w:r w:rsidRPr="00027842">
        <w:rPr>
          <w:rFonts w:eastAsiaTheme="minorHAnsi"/>
          <w:lang w:bidi="ar-SA"/>
        </w:rPr>
        <w:t xml:space="preserve"> upcoming ATA filing.</w:t>
      </w:r>
      <w:r>
        <w:rPr>
          <w:rStyle w:val="FootnoteReference"/>
          <w:rFonts w:eastAsiaTheme="minorHAnsi"/>
          <w:lang w:bidi="ar-SA"/>
        </w:rPr>
        <w:footnoteReference w:id="61"/>
      </w:r>
      <w:r w:rsidRPr="00027842">
        <w:rPr>
          <w:rFonts w:eastAsiaTheme="minorHAnsi"/>
          <w:lang w:bidi="ar-SA"/>
        </w:rPr>
        <w:t xml:space="preserve"> </w:t>
      </w:r>
      <w:r w:rsidRPr="00027842" w:rsidR="00255142">
        <w:rPr>
          <w:rFonts w:eastAsiaTheme="minorHAnsi"/>
          <w:lang w:bidi="ar-SA"/>
        </w:rPr>
        <w:t>But that</w:t>
      </w:r>
      <w:r w:rsidRPr="00027842" w:rsidR="001F1D61">
        <w:rPr>
          <w:rFonts w:eastAsiaTheme="minorHAnsi"/>
          <w:lang w:bidi="ar-SA"/>
        </w:rPr>
        <w:t xml:space="preserve"> is insufficient and unclear.</w:t>
      </w:r>
      <w:r w:rsidRPr="00027842" w:rsidR="00255142">
        <w:rPr>
          <w:rFonts w:eastAsiaTheme="minorHAnsi"/>
          <w:lang w:bidi="ar-SA"/>
        </w:rPr>
        <w:t xml:space="preserve"> The PUCO Staff should specifically direct Duke to update Rider NM within a certain time period.</w:t>
      </w:r>
      <w:r w:rsidRPr="00027842" w:rsidR="001F1D61">
        <w:rPr>
          <w:rFonts w:eastAsiaTheme="minorHAnsi"/>
          <w:lang w:bidi="ar-SA"/>
        </w:rPr>
        <w:t xml:space="preserve"> </w:t>
      </w:r>
    </w:p>
    <w:p w:rsidR="001F1D61" w:rsidRPr="00027842" w:rsidP="00B87B59" w14:paraId="52D21D96" w14:textId="43E0932B">
      <w:pPr>
        <w:pStyle w:val="Heading3"/>
      </w:pPr>
      <w:bookmarkStart w:id="80" w:name="_Toc106717637"/>
      <w:r w:rsidRPr="00027842">
        <w:t>7.</w:t>
      </w:r>
      <w:r w:rsidRPr="00027842">
        <w:tab/>
      </w:r>
      <w:r w:rsidRPr="00027842">
        <w:t>Objection No. 2</w:t>
      </w:r>
      <w:r w:rsidRPr="00027842" w:rsidR="00AD2724">
        <w:t>2</w:t>
      </w:r>
      <w:r w:rsidRPr="00027842">
        <w:t xml:space="preserve">: The Staff Report </w:t>
      </w:r>
      <w:r w:rsidRPr="00027842" w:rsidR="00F97AA9">
        <w:t xml:space="preserve">harms consumers by failing to </w:t>
      </w:r>
      <w:r w:rsidRPr="00027842">
        <w:t>recommend</w:t>
      </w:r>
      <w:r w:rsidRPr="00027842" w:rsidR="000C0E93">
        <w:t xml:space="preserve"> that</w:t>
      </w:r>
      <w:r w:rsidRPr="00027842">
        <w:t xml:space="preserve"> Duke be required to continue offering the current </w:t>
      </w:r>
      <w:r w:rsidRPr="00027842" w:rsidR="00884159">
        <w:t>Time of Day rate (“</w:t>
      </w:r>
      <w:r w:rsidRPr="00027842">
        <w:t>Rate TD</w:t>
      </w:r>
      <w:r w:rsidRPr="00027842" w:rsidR="00884159">
        <w:t>”)</w:t>
      </w:r>
      <w:r w:rsidRPr="00027842">
        <w:t xml:space="preserve"> as a default </w:t>
      </w:r>
      <w:r w:rsidRPr="00027842" w:rsidR="00884159">
        <w:t>Time of Use (“</w:t>
      </w:r>
      <w:r w:rsidRPr="00027842">
        <w:t>TOU</w:t>
      </w:r>
      <w:r w:rsidRPr="00027842" w:rsidR="00884159">
        <w:t>”)</w:t>
      </w:r>
      <w:r w:rsidRPr="00027842">
        <w:t xml:space="preserve"> rate.</w:t>
      </w:r>
      <w:bookmarkEnd w:id="80"/>
      <w:r w:rsidRPr="00027842" w:rsidR="00C60CCF">
        <w:t xml:space="preserve"> </w:t>
      </w:r>
    </w:p>
    <w:p w:rsidR="00B85EEC" w:rsidRPr="00027842" w:rsidP="00B85EEC" w14:paraId="08C1A5D0" w14:textId="0A98752D">
      <w:pPr>
        <w:pStyle w:val="CommentText"/>
        <w:spacing w:line="480" w:lineRule="auto"/>
        <w:ind w:firstLine="720"/>
        <w:rPr>
          <w:sz w:val="24"/>
          <w:szCs w:val="24"/>
        </w:rPr>
      </w:pPr>
      <w:r w:rsidRPr="00027842">
        <w:rPr>
          <w:rFonts w:eastAsiaTheme="minorHAnsi"/>
          <w:sz w:val="24"/>
          <w:szCs w:val="24"/>
          <w:lang w:bidi="ar-SA"/>
        </w:rPr>
        <w:t xml:space="preserve">OCC objects that the Staff Report did not recommend that Duke be required </w:t>
      </w:r>
      <w:r w:rsidRPr="00027842" w:rsidR="00884159">
        <w:rPr>
          <w:rFonts w:eastAsiaTheme="minorHAnsi"/>
          <w:sz w:val="24"/>
          <w:szCs w:val="24"/>
          <w:lang w:bidi="ar-SA"/>
        </w:rPr>
        <w:t xml:space="preserve">to continue </w:t>
      </w:r>
      <w:r w:rsidRPr="00027842">
        <w:rPr>
          <w:rFonts w:eastAsiaTheme="minorHAnsi"/>
          <w:sz w:val="24"/>
          <w:szCs w:val="24"/>
          <w:lang w:bidi="ar-SA"/>
        </w:rPr>
        <w:t>offering the current Rate TD as a default TOU rate.</w:t>
      </w:r>
      <w:r w:rsidRPr="00027842" w:rsidR="00C60CCF">
        <w:rPr>
          <w:rFonts w:eastAsiaTheme="minorHAnsi"/>
          <w:sz w:val="24"/>
          <w:szCs w:val="24"/>
          <w:lang w:bidi="ar-SA"/>
        </w:rPr>
        <w:t xml:space="preserve"> </w:t>
      </w:r>
      <w:r w:rsidRPr="00027842">
        <w:rPr>
          <w:rFonts w:eastAsiaTheme="minorHAnsi"/>
          <w:sz w:val="24"/>
          <w:szCs w:val="24"/>
          <w:lang w:bidi="ar-SA"/>
        </w:rPr>
        <w:t xml:space="preserve">Duke has proposed to offer </w:t>
      </w:r>
      <w:r w:rsidRPr="00027842">
        <w:rPr>
          <w:sz w:val="24"/>
          <w:szCs w:val="24"/>
        </w:rPr>
        <w:t>a new TOU-Critical Peak Pricing rate and indicated that at some time in the future they might withdraw the current TOU rate.</w:t>
      </w:r>
      <w:r>
        <w:rPr>
          <w:rStyle w:val="FootnoteReference"/>
          <w:sz w:val="24"/>
          <w:szCs w:val="24"/>
        </w:rPr>
        <w:footnoteReference w:id="62"/>
      </w:r>
      <w:r w:rsidRPr="00027842">
        <w:rPr>
          <w:sz w:val="24"/>
          <w:szCs w:val="24"/>
        </w:rPr>
        <w:t xml:space="preserve"> </w:t>
      </w:r>
      <w:r w:rsidRPr="00027842" w:rsidR="00884159">
        <w:rPr>
          <w:sz w:val="24"/>
          <w:szCs w:val="24"/>
        </w:rPr>
        <w:t xml:space="preserve">The PUCO Staff should have directed Duke to maintain </w:t>
      </w:r>
      <w:r w:rsidRPr="00027842">
        <w:rPr>
          <w:sz w:val="24"/>
          <w:szCs w:val="24"/>
        </w:rPr>
        <w:t>the current Rate TD as an option for those consumers already on it</w:t>
      </w:r>
      <w:r w:rsidRPr="00027842" w:rsidR="00177BF6">
        <w:rPr>
          <w:sz w:val="24"/>
          <w:szCs w:val="24"/>
        </w:rPr>
        <w:t xml:space="preserve"> to maintain continuity and serve the policy purposes set forth in R.C. 4928.02(D)</w:t>
      </w:r>
      <w:r w:rsidRPr="00027842">
        <w:rPr>
          <w:sz w:val="24"/>
          <w:szCs w:val="24"/>
        </w:rPr>
        <w:t>.</w:t>
      </w:r>
    </w:p>
    <w:p w:rsidR="00B559EF" w:rsidRPr="00027842" w14:paraId="44F2E428" w14:textId="77777777">
      <w:pPr>
        <w:rPr>
          <w:rFonts w:eastAsiaTheme="minorHAnsi"/>
          <w:b/>
          <w:iCs/>
          <w:lang w:bidi="ar-SA"/>
        </w:rPr>
      </w:pPr>
      <w:r w:rsidRPr="00027842">
        <w:br w:type="page"/>
      </w:r>
    </w:p>
    <w:p w:rsidR="005A2E20" w:rsidRPr="00027842" w:rsidP="00B559EF" w14:paraId="58511E90" w14:textId="0E32910A">
      <w:pPr>
        <w:pStyle w:val="Heading2"/>
        <w:rPr>
          <w:rFonts w:ascii="Times New Roman" w:hAnsi="Times New Roman"/>
        </w:rPr>
      </w:pPr>
      <w:bookmarkStart w:id="81" w:name="_Toc106717638"/>
      <w:r w:rsidRPr="00027842">
        <w:rPr>
          <w:rFonts w:ascii="Times New Roman" w:hAnsi="Times New Roman"/>
        </w:rPr>
        <w:t>E.</w:t>
      </w:r>
      <w:r w:rsidRPr="00027842">
        <w:rPr>
          <w:rFonts w:ascii="Times New Roman" w:hAnsi="Times New Roman"/>
        </w:rPr>
        <w:tab/>
      </w:r>
      <w:r w:rsidRPr="00027842" w:rsidR="0086707F">
        <w:rPr>
          <w:rFonts w:ascii="Times New Roman" w:hAnsi="Times New Roman"/>
        </w:rPr>
        <w:t>Riders</w:t>
      </w:r>
      <w:bookmarkEnd w:id="81"/>
      <w:r w:rsidRPr="00027842" w:rsidR="0086707F">
        <w:rPr>
          <w:rFonts w:ascii="Times New Roman" w:hAnsi="Times New Roman"/>
        </w:rPr>
        <w:t xml:space="preserve"> </w:t>
      </w:r>
    </w:p>
    <w:p w:rsidR="005A2E20" w:rsidRPr="00027842" w:rsidP="00B87B59" w14:paraId="3062141C" w14:textId="4A3DAEC3">
      <w:pPr>
        <w:pStyle w:val="Heading3"/>
      </w:pPr>
      <w:bookmarkStart w:id="82" w:name="_Toc106717639"/>
      <w:r w:rsidRPr="00027842">
        <w:t>1.</w:t>
      </w:r>
      <w:r w:rsidRPr="00027842">
        <w:tab/>
      </w:r>
      <w:r w:rsidRPr="00027842">
        <w:t>Objection No. 2</w:t>
      </w:r>
      <w:r w:rsidRPr="00027842" w:rsidR="00AD2724">
        <w:t>3</w:t>
      </w:r>
      <w:r w:rsidRPr="00027842">
        <w:t xml:space="preserve">: The Staff Report </w:t>
      </w:r>
      <w:r w:rsidRPr="00027842" w:rsidR="00B7065E">
        <w:t>harms consumers</w:t>
      </w:r>
      <w:r w:rsidRPr="00027842">
        <w:t xml:space="preserve"> by failing to consider if there is a need for contractor vegetation management spending that exceeds the $22.5 million that it recommends be included in base rates. In addition, the Staff Report </w:t>
      </w:r>
      <w:r w:rsidRPr="00027842" w:rsidR="00B7065E">
        <w:t>harms consumers</w:t>
      </w:r>
      <w:r w:rsidRPr="00027842">
        <w:t xml:space="preserve"> by failing to recommend spending caps for any additional vegetation management costs that exceeds the $22.5 million that can be collected through the Electric Service Reliability Rider (“ESRR”).</w:t>
      </w:r>
      <w:bookmarkEnd w:id="82"/>
    </w:p>
    <w:p w:rsidR="00EA641F" w:rsidRPr="00027842" w:rsidP="005A2E20" w14:paraId="76A5A1B3" w14:textId="661FC82A">
      <w:pPr>
        <w:spacing w:line="480" w:lineRule="auto"/>
      </w:pPr>
      <w:r w:rsidRPr="00027842">
        <w:tab/>
      </w:r>
      <w:r w:rsidRPr="00027842" w:rsidR="00E35A33">
        <w:t xml:space="preserve">The PUCO </w:t>
      </w:r>
      <w:r w:rsidRPr="00027842">
        <w:t>Staff recommended approval of Duke’s proposal to include $22,505,088 of test year contractor vegetation management O&amp;M expenses in base rates.</w:t>
      </w:r>
      <w:r>
        <w:rPr>
          <w:vertAlign w:val="superscript"/>
        </w:rPr>
        <w:footnoteReference w:id="63"/>
      </w:r>
      <w:r w:rsidRPr="00027842" w:rsidR="00C60CCF">
        <w:t xml:space="preserve"> </w:t>
      </w:r>
      <w:r w:rsidRPr="00027842">
        <w:t xml:space="preserve">Currently $10,720,877 of contractor vegetation management expenses are included in base rates and up to $10,000,000 can be included in the ESRR. </w:t>
      </w:r>
      <w:r w:rsidRPr="00027842" w:rsidR="00E35A33">
        <w:t xml:space="preserve">The PUCO </w:t>
      </w:r>
      <w:r w:rsidRPr="00027842">
        <w:t xml:space="preserve">Staff recommends approval of any contractor vegetation management costs that exceed the $22,505,088 being collected from customers through the ESRR. The Staff </w:t>
      </w:r>
      <w:r w:rsidRPr="00027842" w:rsidR="00E35A33">
        <w:t>R</w:t>
      </w:r>
      <w:r w:rsidRPr="00027842">
        <w:t xml:space="preserve">eport should have considered if </w:t>
      </w:r>
      <w:r w:rsidRPr="00027842">
        <w:t xml:space="preserve">it is </w:t>
      </w:r>
      <w:r w:rsidRPr="00027842" w:rsidR="00BA1823">
        <w:t xml:space="preserve">reasonable and </w:t>
      </w:r>
      <w:r w:rsidRPr="00027842">
        <w:t xml:space="preserve">prudent to allow </w:t>
      </w:r>
      <w:r w:rsidRPr="00027842">
        <w:t xml:space="preserve">for contractor vegetation management spending above the $22.5 million it recommends including in base rates. </w:t>
      </w:r>
      <w:r w:rsidRPr="00027842">
        <w:t xml:space="preserve">And the PUCO Staff failed to investigate whether the spending is a necessary cost to the utility of rendering public utility service for the test period. </w:t>
      </w:r>
    </w:p>
    <w:p w:rsidR="006F38B2" w:rsidRPr="00027842" w:rsidP="008473F7" w14:paraId="71A6780A" w14:textId="6C4EE466">
      <w:pPr>
        <w:spacing w:line="480" w:lineRule="auto"/>
        <w:ind w:firstLine="720"/>
      </w:pPr>
      <w:r w:rsidRPr="00027842">
        <w:t>And to the extent</w:t>
      </w:r>
      <w:r w:rsidRPr="00027842" w:rsidR="00E35A33">
        <w:t xml:space="preserve"> the PUCO</w:t>
      </w:r>
      <w:r w:rsidRPr="00027842">
        <w:t xml:space="preserve"> Staff concluded that there was a need, the Staff Report </w:t>
      </w:r>
      <w:r w:rsidRPr="00027842" w:rsidR="00745F7F">
        <w:t>harmed consumers</w:t>
      </w:r>
      <w:r w:rsidRPr="00027842">
        <w:t xml:space="preserve"> by not recommending any spending cap for money that can be collected from customers through the ESRR. </w:t>
      </w:r>
    </w:p>
    <w:p w:rsidR="00B559EF" w:rsidRPr="00027842" w14:paraId="4F630825" w14:textId="77777777">
      <w:pPr>
        <w:rPr>
          <w:rFonts w:eastAsiaTheme="minorHAnsi"/>
          <w:b/>
          <w:bCs/>
          <w:lang w:bidi="ar-SA"/>
        </w:rPr>
      </w:pPr>
      <w:r w:rsidRPr="00027842">
        <w:br w:type="page"/>
      </w:r>
    </w:p>
    <w:p w:rsidR="006F38B2" w:rsidRPr="00027842" w:rsidP="00B87B59" w14:paraId="728072A8" w14:textId="10E1A157">
      <w:pPr>
        <w:pStyle w:val="Heading3"/>
      </w:pPr>
      <w:bookmarkStart w:id="83" w:name="_Toc106717640"/>
      <w:r w:rsidRPr="00027842">
        <w:t>2.</w:t>
      </w:r>
      <w:r w:rsidRPr="00027842">
        <w:tab/>
      </w:r>
      <w:r w:rsidRPr="00027842">
        <w:t xml:space="preserve">Objection </w:t>
      </w:r>
      <w:r w:rsidR="006B6310">
        <w:t xml:space="preserve">No. </w:t>
      </w:r>
      <w:r w:rsidRPr="00027842" w:rsidR="00F320A3">
        <w:t>2</w:t>
      </w:r>
      <w:r w:rsidRPr="00027842" w:rsidR="00AD2724">
        <w:t>4</w:t>
      </w:r>
      <w:r w:rsidRPr="00027842">
        <w:t>.</w:t>
      </w:r>
      <w:r w:rsidRPr="00027842" w:rsidR="00C60CCF">
        <w:t xml:space="preserve"> </w:t>
      </w:r>
      <w:r w:rsidRPr="00027842">
        <w:t xml:space="preserve">The Staff Report </w:t>
      </w:r>
      <w:r w:rsidRPr="00027842" w:rsidR="00F320A3">
        <w:t>harms consumers</w:t>
      </w:r>
      <w:r w:rsidRPr="00027842">
        <w:t xml:space="preserve"> by failing to provide a current evaluation of the Rider UE-GEN </w:t>
      </w:r>
      <w:r w:rsidRPr="00027842" w:rsidR="00F320A3">
        <w:t>(Uncollec</w:t>
      </w:r>
      <w:r w:rsidRPr="00027842" w:rsidR="00E35A33">
        <w:t>tible</w:t>
      </w:r>
      <w:r w:rsidRPr="00027842" w:rsidR="00F320A3">
        <w:t xml:space="preserve"> Expenses) </w:t>
      </w:r>
      <w:r w:rsidRPr="00027842">
        <w:t xml:space="preserve">to determine if changes are needed in Duke's Purchase of Accounts Receivable ("PAR") program to protect consumers from paying unjust and unreasonable </w:t>
      </w:r>
      <w:r w:rsidRPr="00027842" w:rsidR="00F320A3">
        <w:t>competitive retail electric supplier</w:t>
      </w:r>
      <w:r w:rsidRPr="00027842">
        <w:t xml:space="preserve"> charges.</w:t>
      </w:r>
      <w:bookmarkEnd w:id="83"/>
      <w:r w:rsidRPr="00027842">
        <w:t xml:space="preserve"> </w:t>
      </w:r>
    </w:p>
    <w:p w:rsidR="005A2E20" w:rsidRPr="00027842" w:rsidP="0086707F" w14:paraId="4720338B" w14:textId="3CC230EE">
      <w:pPr>
        <w:spacing w:line="480" w:lineRule="auto"/>
        <w:ind w:firstLine="720"/>
        <w:rPr>
          <w:color w:val="000000"/>
        </w:rPr>
      </w:pPr>
      <w:r w:rsidRPr="00027842">
        <w:rPr>
          <w:color w:val="000000"/>
        </w:rPr>
        <w:t xml:space="preserve">The Staff Report in Duke's last distribution rate case recommended that an audit be performed of Duke's </w:t>
      </w:r>
      <w:r w:rsidRPr="00027842" w:rsidR="00533DF7">
        <w:rPr>
          <w:color w:val="000000"/>
        </w:rPr>
        <w:t xml:space="preserve">Purchase of Accounts Receivable (“PAR”) program to verify </w:t>
      </w:r>
      <w:r w:rsidRPr="00027842">
        <w:rPr>
          <w:color w:val="000000"/>
        </w:rPr>
        <w:t>that only authorized</w:t>
      </w:r>
      <w:r w:rsidRPr="00027842" w:rsidR="00F320A3">
        <w:rPr>
          <w:color w:val="000000"/>
        </w:rPr>
        <w:t xml:space="preserve"> </w:t>
      </w:r>
      <w:r w:rsidRPr="00027842" w:rsidR="00B20BC9">
        <w:rPr>
          <w:color w:val="000000"/>
        </w:rPr>
        <w:t>marketer</w:t>
      </w:r>
      <w:r w:rsidRPr="00027842" w:rsidR="00F320A3">
        <w:rPr>
          <w:color w:val="000000"/>
        </w:rPr>
        <w:t xml:space="preserve"> </w:t>
      </w:r>
      <w:r w:rsidRPr="00027842">
        <w:rPr>
          <w:color w:val="000000"/>
        </w:rPr>
        <w:t xml:space="preserve">charges are purchased through the PAR program. Under the PAR program, uncollected </w:t>
      </w:r>
      <w:r w:rsidRPr="00027842" w:rsidR="00533DF7">
        <w:rPr>
          <w:color w:val="000000"/>
        </w:rPr>
        <w:t xml:space="preserve">marketer </w:t>
      </w:r>
      <w:r w:rsidRPr="00027842">
        <w:rPr>
          <w:color w:val="000000"/>
        </w:rPr>
        <w:t xml:space="preserve">charges </w:t>
      </w:r>
      <w:r w:rsidRPr="00027842" w:rsidR="00533DF7">
        <w:rPr>
          <w:color w:val="000000"/>
        </w:rPr>
        <w:t xml:space="preserve">are </w:t>
      </w:r>
      <w:r w:rsidRPr="00027842">
        <w:rPr>
          <w:color w:val="000000"/>
        </w:rPr>
        <w:t>include</w:t>
      </w:r>
      <w:r w:rsidRPr="00027842" w:rsidR="00780494">
        <w:rPr>
          <w:color w:val="000000"/>
        </w:rPr>
        <w:t>d</w:t>
      </w:r>
      <w:r w:rsidRPr="00027842">
        <w:rPr>
          <w:color w:val="000000"/>
        </w:rPr>
        <w:t xml:space="preserve"> for collection from customers through the </w:t>
      </w:r>
      <w:r w:rsidRPr="00027842" w:rsidR="00533DF7">
        <w:rPr>
          <w:color w:val="000000"/>
        </w:rPr>
        <w:t xml:space="preserve">Uncollectible Expense – Generation </w:t>
      </w:r>
      <w:r w:rsidRPr="00027842">
        <w:rPr>
          <w:color w:val="000000"/>
        </w:rPr>
        <w:t xml:space="preserve">Rider </w:t>
      </w:r>
      <w:r w:rsidRPr="00027842" w:rsidR="00533DF7">
        <w:rPr>
          <w:color w:val="000000"/>
        </w:rPr>
        <w:t>(“</w:t>
      </w:r>
      <w:r w:rsidRPr="00027842">
        <w:rPr>
          <w:color w:val="000000"/>
        </w:rPr>
        <w:t>UE-GEN</w:t>
      </w:r>
      <w:r w:rsidRPr="00027842" w:rsidR="00533DF7">
        <w:rPr>
          <w:color w:val="000000"/>
        </w:rPr>
        <w:t>”)</w:t>
      </w:r>
      <w:r w:rsidRPr="00027842">
        <w:rPr>
          <w:color w:val="000000"/>
        </w:rPr>
        <w:t xml:space="preserve">. The Staff </w:t>
      </w:r>
      <w:r w:rsidRPr="00027842" w:rsidR="00F320A3">
        <w:rPr>
          <w:color w:val="000000"/>
        </w:rPr>
        <w:t>R</w:t>
      </w:r>
      <w:r w:rsidRPr="00027842">
        <w:rPr>
          <w:color w:val="000000"/>
        </w:rPr>
        <w:t>eport should have included a</w:t>
      </w:r>
      <w:r w:rsidRPr="00027842" w:rsidR="00533DF7">
        <w:rPr>
          <w:color w:val="000000"/>
        </w:rPr>
        <w:t xml:space="preserve"> current </w:t>
      </w:r>
      <w:r w:rsidRPr="00027842">
        <w:rPr>
          <w:color w:val="000000"/>
        </w:rPr>
        <w:t xml:space="preserve">evaluation of the </w:t>
      </w:r>
      <w:r w:rsidRPr="00027842" w:rsidR="00533DF7">
        <w:rPr>
          <w:color w:val="000000"/>
        </w:rPr>
        <w:t xml:space="preserve">Duke PAR and </w:t>
      </w:r>
      <w:r w:rsidRPr="00027842">
        <w:rPr>
          <w:color w:val="000000"/>
        </w:rPr>
        <w:t xml:space="preserve">UE-GEN to </w:t>
      </w:r>
      <w:r w:rsidRPr="00027842" w:rsidR="00533DF7">
        <w:rPr>
          <w:color w:val="000000"/>
        </w:rPr>
        <w:t xml:space="preserve">verify that </w:t>
      </w:r>
      <w:r w:rsidRPr="00027842">
        <w:rPr>
          <w:color w:val="000000"/>
        </w:rPr>
        <w:t xml:space="preserve">sufficient protections exist to protect Duke customers from paying </w:t>
      </w:r>
      <w:r w:rsidRPr="00027842" w:rsidR="00533DF7">
        <w:rPr>
          <w:color w:val="000000"/>
        </w:rPr>
        <w:t xml:space="preserve">unauthorized marketer </w:t>
      </w:r>
      <w:r w:rsidRPr="00027842">
        <w:rPr>
          <w:color w:val="000000"/>
        </w:rPr>
        <w:t>charges in the Rider UE-GEN</w:t>
      </w:r>
      <w:r w:rsidRPr="00027842" w:rsidR="00533DF7">
        <w:rPr>
          <w:color w:val="000000"/>
        </w:rPr>
        <w:t>.</w:t>
      </w:r>
      <w:r w:rsidR="00027842">
        <w:rPr>
          <w:color w:val="000000"/>
        </w:rPr>
        <w:t xml:space="preserve"> </w:t>
      </w:r>
    </w:p>
    <w:p w:rsidR="005A2E20" w:rsidRPr="00027842" w:rsidP="00B559EF" w14:paraId="39662441" w14:textId="638454FC">
      <w:pPr>
        <w:pStyle w:val="Heading2"/>
        <w:rPr>
          <w:rFonts w:ascii="Times New Roman" w:hAnsi="Times New Roman"/>
        </w:rPr>
      </w:pPr>
      <w:bookmarkStart w:id="84" w:name="_Toc106717641"/>
      <w:r w:rsidRPr="00027842">
        <w:rPr>
          <w:rFonts w:ascii="Times New Roman" w:hAnsi="Times New Roman"/>
        </w:rPr>
        <w:t>F.</w:t>
      </w:r>
      <w:r w:rsidRPr="00027842">
        <w:rPr>
          <w:rFonts w:ascii="Times New Roman" w:hAnsi="Times New Roman"/>
        </w:rPr>
        <w:tab/>
        <w:t>Service Monitoring and Enforcement</w:t>
      </w:r>
      <w:bookmarkEnd w:id="84"/>
      <w:r w:rsidRPr="00027842">
        <w:rPr>
          <w:rFonts w:ascii="Times New Roman" w:hAnsi="Times New Roman"/>
        </w:rPr>
        <w:t xml:space="preserve"> </w:t>
      </w:r>
    </w:p>
    <w:p w:rsidR="005A2E20" w:rsidRPr="00027842" w:rsidP="00B87B59" w14:paraId="1E899367" w14:textId="0C11E21D">
      <w:pPr>
        <w:pStyle w:val="Heading3"/>
      </w:pPr>
      <w:bookmarkStart w:id="85" w:name="_Toc106717642"/>
      <w:r w:rsidRPr="00027842">
        <w:t>1.</w:t>
      </w:r>
      <w:r w:rsidRPr="00027842">
        <w:tab/>
      </w:r>
      <w:r w:rsidRPr="00027842">
        <w:t>Objection No. 2</w:t>
      </w:r>
      <w:r w:rsidRPr="00027842" w:rsidR="00AD2724">
        <w:t>5</w:t>
      </w:r>
      <w:r w:rsidRPr="00027842">
        <w:t xml:space="preserve">: The Staff Report </w:t>
      </w:r>
      <w:r w:rsidRPr="00027842" w:rsidR="005B27FA">
        <w:t>harms consumers by</w:t>
      </w:r>
      <w:r w:rsidRPr="00027842">
        <w:t xml:space="preserve"> failing to perform any analysis of Duke’s failure to meet its minimum PUCO required reliability standards in 2021 and/or to assess the effectiveness of additional reliability spending consumers are paying for through the D</w:t>
      </w:r>
      <w:r w:rsidRPr="00027842" w:rsidR="005B27FA">
        <w:t>elivery Capital Investment</w:t>
      </w:r>
      <w:r w:rsidRPr="00027842">
        <w:t xml:space="preserve"> </w:t>
      </w:r>
      <w:r w:rsidRPr="00027842" w:rsidR="005B27FA">
        <w:t>(“DCI”) R</w:t>
      </w:r>
      <w:r w:rsidRPr="00027842">
        <w:t>ider and the E</w:t>
      </w:r>
      <w:r w:rsidRPr="00027842" w:rsidR="005B27FA">
        <w:t>lectric Service Reliability Rider (“ESRR”)</w:t>
      </w:r>
      <w:r w:rsidRPr="00027842">
        <w:t>.</w:t>
      </w:r>
      <w:bookmarkEnd w:id="85"/>
      <w:r w:rsidRPr="00027842">
        <w:t xml:space="preserve"> </w:t>
      </w:r>
    </w:p>
    <w:p w:rsidR="00C76003" w:rsidRPr="00027842" w:rsidP="00E11723" w14:paraId="34D0ECB0" w14:textId="121555B1">
      <w:pPr>
        <w:spacing w:line="480" w:lineRule="auto"/>
        <w:ind w:firstLine="720"/>
        <w:rPr>
          <w:rFonts w:eastAsiaTheme="minorHAnsi"/>
          <w:lang w:bidi="ar-SA"/>
        </w:rPr>
      </w:pPr>
      <w:r w:rsidRPr="00027842">
        <w:rPr>
          <w:rFonts w:eastAsiaTheme="minorHAnsi"/>
          <w:lang w:bidi="ar-SA"/>
        </w:rPr>
        <w:t>Ohio Revised Code 4928.11 requires the PUCO to prescribe specific minimum distribution standards for service quality, safe</w:t>
      </w:r>
      <w:r w:rsidRPr="00027842" w:rsidR="00B5457B">
        <w:rPr>
          <w:rFonts w:eastAsiaTheme="minorHAnsi"/>
          <w:lang w:bidi="ar-SA"/>
        </w:rPr>
        <w:t xml:space="preserve">ty, </w:t>
      </w:r>
      <w:r w:rsidRPr="00027842">
        <w:rPr>
          <w:rFonts w:eastAsiaTheme="minorHAnsi"/>
          <w:lang w:bidi="ar-SA"/>
        </w:rPr>
        <w:t>and reliab</w:t>
      </w:r>
      <w:r w:rsidRPr="00027842" w:rsidR="00B5457B">
        <w:rPr>
          <w:rFonts w:eastAsiaTheme="minorHAnsi"/>
          <w:lang w:bidi="ar-SA"/>
        </w:rPr>
        <w:t>ility requirements for non-competitive retail electric service.</w:t>
      </w:r>
      <w:r w:rsidR="00027842">
        <w:rPr>
          <w:rFonts w:eastAsiaTheme="minorHAnsi"/>
          <w:lang w:bidi="ar-SA"/>
        </w:rPr>
        <w:t xml:space="preserve"> </w:t>
      </w:r>
      <w:r w:rsidRPr="00027842" w:rsidR="005A2E20">
        <w:rPr>
          <w:rFonts w:eastAsiaTheme="minorHAnsi"/>
          <w:lang w:bidi="ar-SA"/>
        </w:rPr>
        <w:t xml:space="preserve">OCC objects to the Staff Report’s failure to perform </w:t>
      </w:r>
      <w:r w:rsidRPr="00027842" w:rsidR="004801A3">
        <w:rPr>
          <w:rFonts w:eastAsiaTheme="minorHAnsi"/>
          <w:lang w:bidi="ar-SA"/>
        </w:rPr>
        <w:t xml:space="preserve">an </w:t>
      </w:r>
      <w:r w:rsidRPr="00027842" w:rsidR="005A2E20">
        <w:rPr>
          <w:rFonts w:eastAsiaTheme="minorHAnsi"/>
          <w:lang w:bidi="ar-SA"/>
        </w:rPr>
        <w:t xml:space="preserve">analysis regarding Duke’s </w:t>
      </w:r>
      <w:r w:rsidRPr="00027842" w:rsidR="00B20BC9">
        <w:rPr>
          <w:rFonts w:eastAsiaTheme="minorHAnsi"/>
          <w:lang w:bidi="ar-SA"/>
        </w:rPr>
        <w:t xml:space="preserve">inability </w:t>
      </w:r>
      <w:r w:rsidRPr="00027842" w:rsidR="005A2E20">
        <w:rPr>
          <w:rFonts w:eastAsiaTheme="minorHAnsi"/>
          <w:lang w:bidi="ar-SA"/>
        </w:rPr>
        <w:t xml:space="preserve">to meet its </w:t>
      </w:r>
      <w:r w:rsidRPr="00027842" w:rsidR="00B5457B">
        <w:rPr>
          <w:rFonts w:eastAsiaTheme="minorHAnsi"/>
          <w:lang w:bidi="ar-SA"/>
        </w:rPr>
        <w:t xml:space="preserve">minimum </w:t>
      </w:r>
      <w:r w:rsidRPr="00027842" w:rsidR="005A2E20">
        <w:rPr>
          <w:rFonts w:eastAsiaTheme="minorHAnsi"/>
          <w:lang w:bidi="ar-SA"/>
        </w:rPr>
        <w:t xml:space="preserve">reliability </w:t>
      </w:r>
      <w:r w:rsidRPr="00027842" w:rsidR="00B5457B">
        <w:rPr>
          <w:rFonts w:eastAsiaTheme="minorHAnsi"/>
          <w:lang w:bidi="ar-SA"/>
        </w:rPr>
        <w:t xml:space="preserve">performance </w:t>
      </w:r>
      <w:r w:rsidRPr="00027842" w:rsidR="005A2E20">
        <w:rPr>
          <w:rFonts w:eastAsiaTheme="minorHAnsi"/>
          <w:lang w:bidi="ar-SA"/>
        </w:rPr>
        <w:t xml:space="preserve">standards in 2021 and the cost effectiveness of </w:t>
      </w:r>
      <w:r w:rsidRPr="00027842" w:rsidR="00B20BC9">
        <w:rPr>
          <w:rFonts w:eastAsiaTheme="minorHAnsi"/>
          <w:lang w:bidi="ar-SA"/>
        </w:rPr>
        <w:t xml:space="preserve">reliability programs </w:t>
      </w:r>
      <w:r w:rsidRPr="00027842" w:rsidR="005A2E20">
        <w:rPr>
          <w:rFonts w:eastAsiaTheme="minorHAnsi"/>
          <w:lang w:bidi="ar-SA"/>
        </w:rPr>
        <w:t xml:space="preserve">paid </w:t>
      </w:r>
      <w:r w:rsidRPr="00027842" w:rsidR="00B20BC9">
        <w:rPr>
          <w:rFonts w:eastAsiaTheme="minorHAnsi"/>
          <w:lang w:bidi="ar-SA"/>
        </w:rPr>
        <w:t xml:space="preserve">for </w:t>
      </w:r>
      <w:r w:rsidRPr="00027842" w:rsidR="005A2E20">
        <w:rPr>
          <w:rFonts w:eastAsiaTheme="minorHAnsi"/>
          <w:lang w:bidi="ar-SA"/>
        </w:rPr>
        <w:t>by</w:t>
      </w:r>
      <w:r w:rsidRPr="00027842" w:rsidR="009C14D7">
        <w:rPr>
          <w:rFonts w:eastAsiaTheme="minorHAnsi"/>
          <w:lang w:bidi="ar-SA"/>
        </w:rPr>
        <w:t xml:space="preserve"> </w:t>
      </w:r>
      <w:r w:rsidRPr="00027842" w:rsidR="00B20BC9">
        <w:rPr>
          <w:rFonts w:eastAsiaTheme="minorHAnsi"/>
          <w:lang w:bidi="ar-SA"/>
        </w:rPr>
        <w:t xml:space="preserve">Duke </w:t>
      </w:r>
      <w:r w:rsidRPr="00027842" w:rsidR="005A2E20">
        <w:rPr>
          <w:rFonts w:eastAsiaTheme="minorHAnsi"/>
          <w:lang w:bidi="ar-SA"/>
        </w:rPr>
        <w:t>consumers. The Staff Report provided a table that compared Duke’s reliability performance against its PUCO required reliability standards for 2018, 2019, and 2020.</w:t>
      </w:r>
      <w:r>
        <w:rPr>
          <w:rFonts w:eastAsiaTheme="minorHAnsi"/>
          <w:vertAlign w:val="superscript"/>
          <w:lang w:bidi="ar-SA"/>
        </w:rPr>
        <w:footnoteReference w:id="64"/>
      </w:r>
      <w:r w:rsidRPr="00027842" w:rsidR="005A2E20">
        <w:rPr>
          <w:rFonts w:eastAsiaTheme="minorHAnsi"/>
          <w:lang w:bidi="ar-SA"/>
        </w:rPr>
        <w:t xml:space="preserve"> However, the table did not include Duke’s reliability performance </w:t>
      </w:r>
      <w:r w:rsidRPr="00027842" w:rsidR="00D93CEC">
        <w:rPr>
          <w:rFonts w:eastAsiaTheme="minorHAnsi"/>
          <w:lang w:bidi="ar-SA"/>
        </w:rPr>
        <w:t xml:space="preserve">during its test year in </w:t>
      </w:r>
      <w:r w:rsidRPr="00027842" w:rsidR="005A2E20">
        <w:rPr>
          <w:rFonts w:eastAsiaTheme="minorHAnsi"/>
          <w:lang w:bidi="ar-SA"/>
        </w:rPr>
        <w:t>2021 compared with its reliability standard.</w:t>
      </w:r>
      <w:r>
        <w:rPr>
          <w:rStyle w:val="FootnoteReference"/>
          <w:rFonts w:eastAsiaTheme="minorHAnsi"/>
          <w:lang w:bidi="ar-SA"/>
        </w:rPr>
        <w:footnoteReference w:id="65"/>
      </w:r>
    </w:p>
    <w:p w:rsidR="004801A3" w:rsidRPr="00027842" w:rsidP="00E11723" w14:paraId="1DA9B022" w14:textId="1F153E0B">
      <w:pPr>
        <w:spacing w:line="480" w:lineRule="auto"/>
        <w:ind w:firstLine="720"/>
        <w:rPr>
          <w:rFonts w:eastAsiaTheme="minorHAnsi"/>
          <w:lang w:bidi="ar-SA"/>
        </w:rPr>
      </w:pPr>
      <w:r w:rsidRPr="00027842">
        <w:rPr>
          <w:rFonts w:eastAsiaTheme="minorHAnsi"/>
          <w:lang w:bidi="ar-SA"/>
        </w:rPr>
        <w:t xml:space="preserve"> </w:t>
      </w:r>
      <w:r w:rsidRPr="00027842" w:rsidR="00ED11E1">
        <w:rPr>
          <w:rFonts w:eastAsiaTheme="minorHAnsi"/>
          <w:lang w:bidi="ar-SA"/>
        </w:rPr>
        <w:t>Ohio Revised Code 4905.22 requires an electric utility to provide the necessary and ade</w:t>
      </w:r>
      <w:r w:rsidRPr="00027842" w:rsidR="00EB52B5">
        <w:rPr>
          <w:rFonts w:eastAsiaTheme="minorHAnsi"/>
          <w:lang w:bidi="ar-SA"/>
        </w:rPr>
        <w:t xml:space="preserve">quate </w:t>
      </w:r>
      <w:r w:rsidRPr="00027842" w:rsidR="00ED11E1">
        <w:rPr>
          <w:rFonts w:eastAsiaTheme="minorHAnsi"/>
          <w:lang w:bidi="ar-SA"/>
        </w:rPr>
        <w:t>service and facilities</w:t>
      </w:r>
      <w:r w:rsidRPr="00027842" w:rsidR="00EB52B5">
        <w:rPr>
          <w:rFonts w:eastAsiaTheme="minorHAnsi"/>
          <w:lang w:bidi="ar-SA"/>
        </w:rPr>
        <w:t xml:space="preserve"> to provide safe and reliable service for consumers. </w:t>
      </w:r>
      <w:r w:rsidRPr="00027842">
        <w:rPr>
          <w:rFonts w:eastAsiaTheme="minorHAnsi"/>
          <w:lang w:bidi="ar-SA"/>
        </w:rPr>
        <w:t>An analysis of Duke’s 2021 reliability shows that consumers experienc</w:t>
      </w:r>
      <w:r w:rsidRPr="00027842" w:rsidR="00CF3DBC">
        <w:rPr>
          <w:rFonts w:eastAsiaTheme="minorHAnsi"/>
          <w:lang w:bidi="ar-SA"/>
        </w:rPr>
        <w:t>ed</w:t>
      </w:r>
      <w:r w:rsidRPr="00027842">
        <w:rPr>
          <w:rFonts w:eastAsiaTheme="minorHAnsi"/>
          <w:lang w:bidi="ar-SA"/>
        </w:rPr>
        <w:t xml:space="preserve"> more outages and less reliable service than required under the PUCO standards. Under the PUCO standards, Duke consumers should experience on average fewer than 0.83 outages annually. But Duke</w:t>
      </w:r>
      <w:r w:rsidRPr="00027842">
        <w:rPr>
          <w:rFonts w:eastAsiaTheme="minorHAnsi"/>
          <w:lang w:bidi="ar-SA"/>
        </w:rPr>
        <w:t>’s</w:t>
      </w:r>
      <w:r w:rsidRPr="00027842">
        <w:rPr>
          <w:rFonts w:eastAsiaTheme="minorHAnsi"/>
          <w:lang w:bidi="ar-SA"/>
        </w:rPr>
        <w:t xml:space="preserve"> consumers were experiencing on average 0.91 outages annually in 2021 </w:t>
      </w:r>
      <w:r w:rsidRPr="00027842">
        <w:rPr>
          <w:rFonts w:eastAsiaTheme="minorHAnsi"/>
          <w:lang w:bidi="ar-SA"/>
        </w:rPr>
        <w:t>– almost</w:t>
      </w:r>
      <w:r w:rsidRPr="00027842">
        <w:rPr>
          <w:rFonts w:eastAsiaTheme="minorHAnsi"/>
          <w:lang w:bidi="ar-SA"/>
        </w:rPr>
        <w:t xml:space="preserve"> 10% more outages than required under the PUCO standards. </w:t>
      </w:r>
    </w:p>
    <w:p w:rsidR="002D49D2" w:rsidRPr="00A038E7" w:rsidP="00A038E7" w14:paraId="11CCD773" w14:textId="1C675209">
      <w:pPr>
        <w:spacing w:line="480" w:lineRule="auto"/>
        <w:ind w:firstLine="720"/>
        <w:rPr>
          <w:rFonts w:eastAsiaTheme="minorHAnsi"/>
          <w:lang w:bidi="ar-SA"/>
        </w:rPr>
      </w:pPr>
      <w:r w:rsidRPr="00027842">
        <w:rPr>
          <w:rFonts w:eastAsiaTheme="minorHAnsi"/>
          <w:lang w:bidi="ar-SA"/>
        </w:rPr>
        <w:t>The Staff Report should have examined the effectiveness of programs (funded through the DCI rider) that are intended to improve reliability to recommend any needed improvements. Also, the Staff Report should have examined the number of outages</w:t>
      </w:r>
      <w:r w:rsidRPr="00027842" w:rsidR="009C14D7">
        <w:rPr>
          <w:rFonts w:eastAsiaTheme="minorHAnsi"/>
          <w:lang w:bidi="ar-SA"/>
        </w:rPr>
        <w:t xml:space="preserve"> caused by vegetation</w:t>
      </w:r>
      <w:r w:rsidRPr="00027842">
        <w:rPr>
          <w:rFonts w:eastAsiaTheme="minorHAnsi"/>
          <w:lang w:bidi="ar-SA"/>
        </w:rPr>
        <w:t xml:space="preserve"> to determine the </w:t>
      </w:r>
      <w:r w:rsidRPr="00027842" w:rsidR="002C45F2">
        <w:rPr>
          <w:rFonts w:eastAsiaTheme="minorHAnsi"/>
          <w:lang w:bidi="ar-SA"/>
        </w:rPr>
        <w:t>just and reasonableness of the</w:t>
      </w:r>
      <w:r w:rsidR="00027842">
        <w:rPr>
          <w:rFonts w:eastAsiaTheme="minorHAnsi"/>
          <w:lang w:bidi="ar-SA"/>
        </w:rPr>
        <w:t xml:space="preserve"> </w:t>
      </w:r>
      <w:r w:rsidRPr="00027842">
        <w:rPr>
          <w:rFonts w:eastAsiaTheme="minorHAnsi"/>
          <w:lang w:bidi="ar-SA"/>
        </w:rPr>
        <w:t xml:space="preserve">additional tree-trimming costs that consumers are paying for through the ESRR. </w:t>
      </w:r>
    </w:p>
    <w:p w:rsidR="00F860F7" w14:paraId="2856E204" w14:textId="77777777">
      <w:pPr>
        <w:rPr>
          <w:rFonts w:eastAsiaTheme="minorHAnsi"/>
          <w:b/>
          <w:bCs/>
          <w:lang w:bidi="ar-SA"/>
        </w:rPr>
      </w:pPr>
      <w:r>
        <w:br w:type="page"/>
      </w:r>
    </w:p>
    <w:p w:rsidR="005A2E20" w:rsidRPr="00027842" w:rsidP="00B87B59" w14:paraId="5CC2080C" w14:textId="254A2414">
      <w:pPr>
        <w:pStyle w:val="Heading3"/>
      </w:pPr>
      <w:bookmarkStart w:id="86" w:name="_Toc106717643"/>
      <w:r w:rsidRPr="00027842">
        <w:t>2</w:t>
      </w:r>
      <w:r w:rsidRPr="00027842" w:rsidR="00127DF8">
        <w:t>.</w:t>
      </w:r>
      <w:r w:rsidRPr="00027842" w:rsidR="00127DF8">
        <w:tab/>
      </w:r>
      <w:r w:rsidRPr="00027842">
        <w:t>Objection No. 2</w:t>
      </w:r>
      <w:r w:rsidRPr="00027842" w:rsidR="00F46603">
        <w:t>6</w:t>
      </w:r>
      <w:r w:rsidRPr="00027842">
        <w:t>:</w:t>
      </w:r>
      <w:r w:rsidRPr="00027842" w:rsidR="00C60CCF">
        <w:t xml:space="preserve"> </w:t>
      </w:r>
      <w:r w:rsidRPr="00027842">
        <w:t xml:space="preserve">The Staff Report </w:t>
      </w:r>
      <w:r w:rsidRPr="00027842" w:rsidR="004801A3">
        <w:t xml:space="preserve">harms consumers because it </w:t>
      </w:r>
      <w:r w:rsidRPr="00027842">
        <w:t>fail</w:t>
      </w:r>
      <w:r w:rsidRPr="00027842" w:rsidR="004801A3">
        <w:t>s</w:t>
      </w:r>
      <w:r w:rsidRPr="00027842">
        <w:t xml:space="preserve"> to </w:t>
      </w:r>
      <w:r w:rsidRPr="00027842" w:rsidR="00F46603">
        <w:t>require Duke to provide shopping customers’ billing information to show a comparison to what they would pay under a standard service offer.</w:t>
      </w:r>
      <w:r w:rsidR="00027842">
        <w:t xml:space="preserve"> </w:t>
      </w:r>
      <w:r w:rsidRPr="00027842" w:rsidR="00F46603">
        <w:t xml:space="preserve">The Staff Report also fails to </w:t>
      </w:r>
      <w:r w:rsidRPr="00027842">
        <w:t>perform an analysis of the consumer contact information that is collects through its call center, and the supplier rate information it collects on the Energy Choice Ohio website to determine if improvements in Duke’s Choice Program are necessary to help consumers reduce their energy costs.</w:t>
      </w:r>
      <w:bookmarkEnd w:id="86"/>
    </w:p>
    <w:p w:rsidR="009F5610" w:rsidRPr="00027842" w:rsidP="009F5610" w14:paraId="196E5AD2" w14:textId="42C2EE93">
      <w:pPr>
        <w:spacing w:line="480" w:lineRule="auto"/>
        <w:ind w:firstLine="720"/>
        <w:rPr>
          <w:rFonts w:eastAsiaTheme="minorHAnsi"/>
          <w:lang w:bidi="ar-SA"/>
        </w:rPr>
      </w:pPr>
      <w:r w:rsidRPr="00027842">
        <w:rPr>
          <w:rFonts w:eastAsiaTheme="minorHAnsi"/>
          <w:lang w:bidi="ar-SA"/>
        </w:rPr>
        <w:t>OCC objects to the Staff Report because it does not recommend requiring Duke to provide informative “shadow billing” information to residential shopping customers. The Staff Report should have proposed, for the benefit of customers, that Duke’s bills be modified to show residential shopping customers what they paid to their marketer and what they would have paid that month had they been on the standard service offer. Ohio Revised Code 4928.02(A) requires the availability of adequate, safe, efficient, nondiscriminatory, and reasonably priced retail electric service. Having the costs for the standard service offer provided on the bill helps shopping consumers determine if they are receiving reasonably priced retail electric service. This information has been beneficial to consumers in other utilities, including Duke’s Ohio natural gas affiliate.</w:t>
      </w:r>
    </w:p>
    <w:p w:rsidR="00340C22" w:rsidRPr="00027842" w:rsidP="008473F7" w14:paraId="4EC8834A" w14:textId="3A2EF7C1">
      <w:pPr>
        <w:spacing w:line="480" w:lineRule="auto"/>
        <w:ind w:firstLine="720"/>
        <w:rPr>
          <w:rFonts w:eastAsiaTheme="minorHAnsi"/>
          <w:lang w:bidi="ar-SA"/>
        </w:rPr>
      </w:pPr>
      <w:r w:rsidRPr="00027842">
        <w:rPr>
          <w:rFonts w:eastAsiaTheme="minorHAnsi"/>
          <w:lang w:bidi="ar-SA"/>
        </w:rPr>
        <w:t xml:space="preserve">OCC </w:t>
      </w:r>
      <w:r w:rsidRPr="00027842" w:rsidR="00F46603">
        <w:rPr>
          <w:rFonts w:eastAsiaTheme="minorHAnsi"/>
          <w:lang w:bidi="ar-SA"/>
        </w:rPr>
        <w:t xml:space="preserve">also </w:t>
      </w:r>
      <w:r w:rsidRPr="00027842">
        <w:rPr>
          <w:rFonts w:eastAsiaTheme="minorHAnsi"/>
          <w:lang w:bidi="ar-SA"/>
        </w:rPr>
        <w:t>objects to the failure of the Staff Report to perform an analysis of the information that the PUCO call center collects from Duke consumers and the supplier rate information it collects on the Energy Choice Ohio website to recommend improvements to help consumers save on their energy costs. For example, there were approximately 200 contacts from consumers involving the Ohio Choice Program,</w:t>
      </w:r>
      <w:r>
        <w:rPr>
          <w:rFonts w:eastAsiaTheme="minorHAnsi"/>
          <w:vertAlign w:val="superscript"/>
          <w:lang w:bidi="ar-SA"/>
        </w:rPr>
        <w:footnoteReference w:id="66"/>
      </w:r>
      <w:r w:rsidRPr="00027842">
        <w:rPr>
          <w:rFonts w:eastAsiaTheme="minorHAnsi"/>
          <w:lang w:bidi="ar-SA"/>
        </w:rPr>
        <w:t xml:space="preserve"> likely from consumers seeking to reduce their energy costs. In addition, the PUCO Comparing Energy Choices website includes many marketer offers being available for Duke consumers that exceed the rates consumers would pay under the Duke Standard Service Offer (“SSO”). </w:t>
      </w:r>
    </w:p>
    <w:p w:rsidR="005A2E20" w:rsidRPr="00027842" w:rsidP="00E11723" w14:paraId="1ABBA3C8" w14:textId="5318FE68">
      <w:pPr>
        <w:spacing w:line="480" w:lineRule="auto"/>
        <w:ind w:firstLine="720"/>
        <w:rPr>
          <w:rFonts w:eastAsiaTheme="minorHAnsi"/>
          <w:b/>
          <w:bCs/>
          <w:lang w:bidi="ar-SA"/>
        </w:rPr>
      </w:pPr>
      <w:r w:rsidRPr="00027842">
        <w:rPr>
          <w:rFonts w:eastAsiaTheme="minorHAnsi"/>
          <w:lang w:bidi="ar-SA"/>
        </w:rPr>
        <w:t xml:space="preserve">At a minimum, the Staff Report should have recommended an enhanced price to compare message on shopping customer bills showing what the supply charges would have been for the month had they been on the Duke SSO. Furthermore, the Staff Report should have recommended that Duke provide </w:t>
      </w:r>
      <w:r w:rsidRPr="00027842" w:rsidR="00340C22">
        <w:rPr>
          <w:rFonts w:eastAsiaTheme="minorHAnsi"/>
          <w:lang w:bidi="ar-SA"/>
        </w:rPr>
        <w:t xml:space="preserve">the PUCO </w:t>
      </w:r>
      <w:r w:rsidRPr="00027842">
        <w:rPr>
          <w:rFonts w:eastAsiaTheme="minorHAnsi"/>
          <w:lang w:bidi="ar-SA"/>
        </w:rPr>
        <w:t xml:space="preserve">Staff and OCC with shadow billing reports that </w:t>
      </w:r>
      <w:r w:rsidRPr="00027842" w:rsidR="00881D42">
        <w:rPr>
          <w:rFonts w:eastAsiaTheme="minorHAnsi"/>
          <w:lang w:bidi="ar-SA"/>
        </w:rPr>
        <w:t>show,</w:t>
      </w:r>
      <w:r w:rsidRPr="00027842">
        <w:rPr>
          <w:rFonts w:eastAsiaTheme="minorHAnsi"/>
          <w:lang w:bidi="ar-SA"/>
        </w:rPr>
        <w:t xml:space="preserve"> over a several year period</w:t>
      </w:r>
      <w:r w:rsidRPr="00027842" w:rsidR="00881D42">
        <w:rPr>
          <w:rFonts w:eastAsiaTheme="minorHAnsi"/>
          <w:lang w:bidi="ar-SA"/>
        </w:rPr>
        <w:t>,</w:t>
      </w:r>
      <w:r w:rsidRPr="00027842">
        <w:rPr>
          <w:rFonts w:eastAsiaTheme="minorHAnsi"/>
          <w:lang w:bidi="ar-SA"/>
        </w:rPr>
        <w:t xml:space="preserve"> the aggregate costs that shopping customers paid for electricity</w:t>
      </w:r>
      <w:r w:rsidRPr="00027842" w:rsidR="00881D42">
        <w:rPr>
          <w:rFonts w:eastAsiaTheme="minorHAnsi"/>
          <w:lang w:bidi="ar-SA"/>
        </w:rPr>
        <w:t xml:space="preserve"> as</w:t>
      </w:r>
      <w:r w:rsidRPr="00027842">
        <w:rPr>
          <w:rFonts w:eastAsiaTheme="minorHAnsi"/>
          <w:lang w:bidi="ar-SA"/>
        </w:rPr>
        <w:t xml:space="preserve"> compared to what customers would have paid under the SSO.</w:t>
      </w:r>
      <w:r w:rsidRPr="00027842" w:rsidR="00C60CCF">
        <w:rPr>
          <w:rFonts w:eastAsiaTheme="minorHAnsi"/>
          <w:lang w:bidi="ar-SA"/>
        </w:rPr>
        <w:t xml:space="preserve"> </w:t>
      </w:r>
    </w:p>
    <w:p w:rsidR="005A2E20" w:rsidRPr="00027842" w:rsidP="00B87B59" w14:paraId="7156FA6D" w14:textId="23A9E5D8">
      <w:pPr>
        <w:pStyle w:val="Heading3"/>
      </w:pPr>
      <w:bookmarkStart w:id="87" w:name="_Toc106717644"/>
      <w:r w:rsidRPr="00027842">
        <w:t>3</w:t>
      </w:r>
      <w:r w:rsidRPr="00027842" w:rsidR="00127DF8">
        <w:t>.</w:t>
      </w:r>
      <w:r w:rsidRPr="00027842" w:rsidR="00127DF8">
        <w:tab/>
      </w:r>
      <w:r w:rsidRPr="00027842">
        <w:t>Objection No. 2</w:t>
      </w:r>
      <w:r w:rsidRPr="00027842" w:rsidR="00F46603">
        <w:t>7</w:t>
      </w:r>
      <w:r w:rsidRPr="00027842">
        <w:t xml:space="preserve">: The Staff Report </w:t>
      </w:r>
      <w:r w:rsidRPr="00027842" w:rsidR="00340C22">
        <w:t>harms consumers</w:t>
      </w:r>
      <w:r w:rsidRPr="00027842">
        <w:t xml:space="preserve"> by failing to recommend that Duke provide consumers with more options to opt</w:t>
      </w:r>
      <w:r w:rsidRPr="00027842" w:rsidR="00881D42">
        <w:t xml:space="preserve">-out of </w:t>
      </w:r>
      <w:r w:rsidRPr="00027842">
        <w:t>having their personal account information included on eligible customer list</w:t>
      </w:r>
      <w:r w:rsidRPr="00027842" w:rsidR="00881D42">
        <w:t>s</w:t>
      </w:r>
      <w:r w:rsidRPr="00027842">
        <w:t xml:space="preserve"> provided to </w:t>
      </w:r>
      <w:r w:rsidRPr="00027842" w:rsidR="00881D42">
        <w:t>competitive retail electric service (“CRES”)</w:t>
      </w:r>
      <w:r w:rsidRPr="00027842">
        <w:t xml:space="preserve"> providers.</w:t>
      </w:r>
      <w:bookmarkEnd w:id="87"/>
      <w:r w:rsidRPr="00027842" w:rsidR="00C60CCF">
        <w:t xml:space="preserve"> </w:t>
      </w:r>
    </w:p>
    <w:p w:rsidR="005A2E20" w:rsidRPr="00027842" w:rsidP="005A2E20" w14:paraId="30D214FF" w14:textId="570A2088">
      <w:pPr>
        <w:spacing w:line="480" w:lineRule="auto"/>
        <w:ind w:firstLine="720"/>
      </w:pPr>
      <w:r w:rsidRPr="00027842">
        <w:t>The OCC objects to the Staff Repor</w:t>
      </w:r>
      <w:r w:rsidRPr="00027842" w:rsidR="00881D42">
        <w:t>t’s</w:t>
      </w:r>
      <w:r w:rsidRPr="00027842">
        <w:t xml:space="preserve"> failure to recommend that consumers be provided multiple </w:t>
      </w:r>
      <w:r w:rsidRPr="00027842" w:rsidR="00744F57">
        <w:t>ways</w:t>
      </w:r>
      <w:r w:rsidR="00027842">
        <w:t xml:space="preserve"> </w:t>
      </w:r>
      <w:r w:rsidRPr="00027842">
        <w:t>to opt</w:t>
      </w:r>
      <w:r w:rsidRPr="00027842" w:rsidR="00881D42">
        <w:t>-out</w:t>
      </w:r>
      <w:r w:rsidRPr="00027842">
        <w:t xml:space="preserve"> </w:t>
      </w:r>
      <w:r w:rsidRPr="00027842" w:rsidR="00881D42">
        <w:t>of</w:t>
      </w:r>
      <w:r w:rsidRPr="00027842">
        <w:t xml:space="preserve"> having their personal information included on eligible customer list</w:t>
      </w:r>
      <w:r w:rsidRPr="00027842" w:rsidR="00881D42">
        <w:t>s provided to CRES providers. Consumers should be able to opt-out</w:t>
      </w:r>
      <w:r w:rsidRPr="00027842">
        <w:t xml:space="preserve"> telephonically, through</w:t>
      </w:r>
      <w:r w:rsidRPr="00027842" w:rsidR="00881D42">
        <w:t xml:space="preserve"> a</w:t>
      </w:r>
      <w:r w:rsidRPr="00027842">
        <w:t xml:space="preserve"> written request, </w:t>
      </w:r>
      <w:r w:rsidRPr="00027842" w:rsidR="00881D42">
        <w:t>through</w:t>
      </w:r>
      <w:r w:rsidRPr="00027842">
        <w:t xml:space="preserve"> Duke</w:t>
      </w:r>
      <w:r w:rsidRPr="00027842" w:rsidR="00881D42">
        <w:t>’s</w:t>
      </w:r>
      <w:r w:rsidRPr="00027842">
        <w:t xml:space="preserve"> website, </w:t>
      </w:r>
      <w:r w:rsidRPr="00027842" w:rsidR="00B16D7E">
        <w:t>and</w:t>
      </w:r>
      <w:r w:rsidRPr="00027842">
        <w:t xml:space="preserve"> through online account resources made available to consumers. Consumers should be able to easily prevent having their personal Duke account information provided to marketers or others.</w:t>
      </w:r>
    </w:p>
    <w:p w:rsidR="00F860F7" w14:paraId="523F971E" w14:textId="77777777">
      <w:pPr>
        <w:rPr>
          <w:rFonts w:eastAsiaTheme="minorHAnsi"/>
          <w:b/>
          <w:bCs/>
          <w:lang w:bidi="ar-SA"/>
        </w:rPr>
      </w:pPr>
      <w:r>
        <w:br w:type="page"/>
      </w:r>
    </w:p>
    <w:p w:rsidR="005A2E20" w:rsidRPr="00027842" w:rsidP="00B87B59" w14:paraId="66215346" w14:textId="5C916E41">
      <w:pPr>
        <w:pStyle w:val="Heading3"/>
      </w:pPr>
      <w:bookmarkStart w:id="88" w:name="_Toc106717645"/>
      <w:r w:rsidRPr="00027842">
        <w:t>4</w:t>
      </w:r>
      <w:r w:rsidRPr="00027842" w:rsidR="00304A17">
        <w:t>.</w:t>
      </w:r>
      <w:r w:rsidRPr="00027842" w:rsidR="00304A17">
        <w:tab/>
      </w:r>
      <w:r w:rsidRPr="00027842">
        <w:t xml:space="preserve">Objection No. </w:t>
      </w:r>
      <w:r w:rsidRPr="00027842" w:rsidR="00F46603">
        <w:t>28</w:t>
      </w:r>
      <w:r w:rsidRPr="00027842">
        <w:t>:</w:t>
      </w:r>
      <w:r w:rsidRPr="00027842" w:rsidR="00C60CCF">
        <w:t xml:space="preserve"> </w:t>
      </w:r>
      <w:r w:rsidRPr="00027842">
        <w:t xml:space="preserve">The Staff Report </w:t>
      </w:r>
      <w:r w:rsidRPr="00027842" w:rsidR="006312B5">
        <w:t xml:space="preserve">potentially </w:t>
      </w:r>
      <w:r w:rsidRPr="00027842" w:rsidR="006946B0">
        <w:t>harms consumers by</w:t>
      </w:r>
      <w:r w:rsidRPr="00027842">
        <w:t xml:space="preserve"> failing to evaluate the</w:t>
      </w:r>
      <w:r w:rsidRPr="00027842" w:rsidR="001446CC">
        <w:t xml:space="preserve"> sufficiency</w:t>
      </w:r>
      <w:r w:rsidRPr="00027842">
        <w:t xml:space="preserve"> of Duke’s Data Privacy Policy in protecting c</w:t>
      </w:r>
      <w:r w:rsidRPr="00027842" w:rsidR="001446CC">
        <w:t>onsumers’</w:t>
      </w:r>
      <w:r w:rsidRPr="00027842">
        <w:t xml:space="preserve"> personal information from unauthorized or inadvertent disclosure.</w:t>
      </w:r>
      <w:bookmarkEnd w:id="88"/>
      <w:r w:rsidRPr="00027842" w:rsidR="00C60CCF">
        <w:t xml:space="preserve"> </w:t>
      </w:r>
    </w:p>
    <w:p w:rsidR="00DA0B16" w:rsidRPr="00027842" w:rsidP="001446CC" w14:paraId="020CC803" w14:textId="261CF87C">
      <w:pPr>
        <w:spacing w:line="480" w:lineRule="auto"/>
        <w:ind w:firstLine="720"/>
      </w:pPr>
      <w:r w:rsidRPr="00027842">
        <w:t>The Staff Report describes a review it performed of the Duke Data Privacy Policy.</w:t>
      </w:r>
      <w:r>
        <w:rPr>
          <w:vertAlign w:val="superscript"/>
        </w:rPr>
        <w:footnoteReference w:id="67"/>
      </w:r>
      <w:r w:rsidRPr="00027842">
        <w:t xml:space="preserve"> However, the Staff Report provided no analysis of the sufficiency of the Data Privacy Policy in protecting </w:t>
      </w:r>
      <w:r w:rsidRPr="00027842" w:rsidR="001446CC">
        <w:t>consumer</w:t>
      </w:r>
      <w:r w:rsidRPr="00027842">
        <w:t xml:space="preserve"> information </w:t>
      </w:r>
      <w:r w:rsidRPr="00027842" w:rsidR="001446CC">
        <w:t>from</w:t>
      </w:r>
      <w:r w:rsidRPr="00027842">
        <w:t xml:space="preserve"> unauthorized or inadvertent disclosure.</w:t>
      </w:r>
      <w:r w:rsidRPr="00027842" w:rsidR="00C60CCF">
        <w:t xml:space="preserve"> </w:t>
      </w:r>
      <w:r w:rsidRPr="00027842">
        <w:t>This assessment is especially important given the policy implications of</w:t>
      </w:r>
      <w:r w:rsidRPr="00027842" w:rsidR="001446CC">
        <w:t xml:space="preserve"> potentially</w:t>
      </w:r>
      <w:r w:rsidRPr="00027842">
        <w:t xml:space="preserve"> expanding the customer information that can be made available to third parties.</w:t>
      </w:r>
      <w:r w:rsidRPr="00027842" w:rsidR="00C60CCF">
        <w:t xml:space="preserve"> </w:t>
      </w:r>
    </w:p>
    <w:p w:rsidR="00EA4FF7" w:rsidRPr="009E2B4D" w:rsidP="00B87B59" w14:paraId="11A58098" w14:textId="4B35D93D">
      <w:pPr>
        <w:pStyle w:val="Heading3"/>
      </w:pPr>
      <w:bookmarkStart w:id="89" w:name="_Toc102746344"/>
      <w:bookmarkStart w:id="90" w:name="_Toc106717646"/>
      <w:r w:rsidRPr="009E2B4D">
        <w:rPr>
          <w:rStyle w:val="Heading4Char"/>
          <w:rFonts w:ascii="Times New Roman" w:hAnsi="Times New Roman"/>
          <w:b/>
          <w:bCs/>
          <w:szCs w:val="24"/>
          <w:lang w:bidi="ar-SA"/>
        </w:rPr>
        <w:t>5.</w:t>
      </w:r>
      <w:r w:rsidRPr="009E2B4D">
        <w:rPr>
          <w:rStyle w:val="Heading4Char"/>
          <w:rFonts w:ascii="Times New Roman" w:hAnsi="Times New Roman"/>
          <w:b/>
          <w:bCs/>
          <w:szCs w:val="24"/>
          <w:lang w:bidi="ar-SA"/>
        </w:rPr>
        <w:tab/>
        <w:t xml:space="preserve">Objection No. 29: </w:t>
      </w:r>
      <w:bookmarkEnd w:id="89"/>
      <w:r w:rsidRPr="009E2B4D" w:rsidR="009E2B4D">
        <w:rPr>
          <w:rStyle w:val="Heading4Char"/>
          <w:rFonts w:ascii="Times New Roman" w:hAnsi="Times New Roman"/>
          <w:b/>
          <w:bCs/>
          <w:szCs w:val="24"/>
          <w:lang w:bidi="ar-SA"/>
        </w:rPr>
        <w:t>The Staff Report fails to protect Duke’s consumers by not proposing adequate consumer protections, including bill-payment assistance for energy justice and equity, that can make electric services more affordable for all consumers and protect at-risk, low-income, working poor, and fixed-income senior Ohioans from potential loss of electric services.</w:t>
      </w:r>
      <w:bookmarkEnd w:id="90"/>
      <w:r w:rsidRPr="009E2B4D" w:rsidR="009E2B4D">
        <w:rPr>
          <w:rStyle w:val="Heading4Char"/>
          <w:rFonts w:ascii="Times New Roman" w:hAnsi="Times New Roman"/>
          <w:b/>
          <w:bCs/>
          <w:szCs w:val="24"/>
          <w:lang w:bidi="ar-SA"/>
        </w:rPr>
        <w:t xml:space="preserve">  </w:t>
      </w:r>
    </w:p>
    <w:p w:rsidR="00454296" w:rsidP="00454296" w14:paraId="47292843" w14:textId="77777777">
      <w:pPr>
        <w:tabs>
          <w:tab w:val="num" w:pos="1440"/>
        </w:tabs>
        <w:spacing w:line="480" w:lineRule="auto"/>
        <w:ind w:firstLine="720"/>
      </w:pPr>
      <w:r>
        <w:t xml:space="preserve">OCC objects to the absence of adequate and reasonable consumer protections in the Staff Report. Those protections include but not are limited to disconnection moratoria and increased bill-payment assistance funded by Duke shareholders to help low-income, at-risk, working poor consumers, and seniors on fixed incomes avoid being disconnected from electric service for non-payment. Existing programs available to Duke consumers will not do enough to protect low-income consumers from the harms of increased fixed monthly customer charges including rider charges. This program is especially needed now given that consumers are subject to soaring energy prices, inflation increases affecting various products and services, and financial issues that resulted from the pandemic, and the potential for recession, among other things. </w:t>
      </w:r>
    </w:p>
    <w:p w:rsidR="00015657" w:rsidP="00454296" w14:paraId="40E8AAF8" w14:textId="10FA7DA4">
      <w:pPr>
        <w:tabs>
          <w:tab w:val="num" w:pos="1440"/>
        </w:tabs>
        <w:spacing w:line="480" w:lineRule="auto"/>
        <w:ind w:firstLine="720"/>
      </w:pPr>
      <w:r>
        <w:t>Accordingly, the PUCO should order Duke to offer a $4.5 million bill-payment assistance program, at shareholder expense. The funds shall be distributed by Duke within three years of the PUCO’s initial Order in this case or such longer period as is necessary to disburse all funds. Program eligibility would be for low-income, at-risk, fixed-income seniors, and working-poor Ohioans. Program terms would be resolved between Duke and OCC. Through reporting and other means, Duke will make the program completely transparent to OCC and the PUCO.</w:t>
      </w:r>
    </w:p>
    <w:p w:rsidR="00454296" w:rsidRPr="00027842" w:rsidP="00015657" w14:paraId="20A0AE82" w14:textId="77777777">
      <w:pPr>
        <w:tabs>
          <w:tab w:val="num" w:pos="1440"/>
        </w:tabs>
      </w:pPr>
    </w:p>
    <w:p w:rsidR="00015657" w:rsidRPr="00027842" w:rsidP="00015657" w14:paraId="38F3B513" w14:textId="12DEC35D">
      <w:pPr>
        <w:pStyle w:val="Heading1"/>
      </w:pPr>
      <w:bookmarkStart w:id="91" w:name="_Toc2936405"/>
      <w:bookmarkStart w:id="92" w:name="_Toc102143397"/>
      <w:bookmarkStart w:id="93" w:name="_Toc102143606"/>
      <w:bookmarkStart w:id="94" w:name="_Toc106717647"/>
      <w:r w:rsidRPr="00027842">
        <w:t>I</w:t>
      </w:r>
      <w:r w:rsidRPr="00027842" w:rsidR="00B37EE0">
        <w:t>V</w:t>
      </w:r>
      <w:r w:rsidRPr="00027842">
        <w:t>.</w:t>
      </w:r>
      <w:r w:rsidRPr="00027842">
        <w:tab/>
        <w:t>CONCLUSION</w:t>
      </w:r>
      <w:bookmarkEnd w:id="91"/>
      <w:bookmarkEnd w:id="92"/>
      <w:bookmarkEnd w:id="93"/>
      <w:bookmarkEnd w:id="94"/>
    </w:p>
    <w:p w:rsidR="00015657" w:rsidRPr="00027842" w:rsidP="00015657" w14:paraId="78767097" w14:textId="068CB608">
      <w:pPr>
        <w:spacing w:line="480" w:lineRule="auto"/>
        <w:ind w:right="254" w:firstLine="720"/>
      </w:pPr>
      <w:r w:rsidRPr="00027842">
        <w:t xml:space="preserve">To protect consumers from paying unjust and unreasonable rates, </w:t>
      </w:r>
      <w:r w:rsidRPr="00027842" w:rsidR="001446CC">
        <w:t>OCC</w:t>
      </w:r>
      <w:r w:rsidRPr="00027842">
        <w:t xml:space="preserve"> respectfully request</w:t>
      </w:r>
      <w:r w:rsidRPr="00027842" w:rsidR="001446CC">
        <w:t>s</w:t>
      </w:r>
      <w:r w:rsidRPr="00027842">
        <w:t xml:space="preserve"> that the PUCO adopt </w:t>
      </w:r>
      <w:r w:rsidRPr="00027842" w:rsidR="001446CC">
        <w:t>OCC</w:t>
      </w:r>
      <w:r w:rsidRPr="00027842">
        <w:t>’</w:t>
      </w:r>
      <w:r w:rsidRPr="00027842" w:rsidR="001446CC">
        <w:t>s</w:t>
      </w:r>
      <w:r w:rsidRPr="00027842">
        <w:t xml:space="preserve"> recommendations as set forth in these objections and in </w:t>
      </w:r>
      <w:r w:rsidRPr="00027842" w:rsidR="0057701B">
        <w:t>the</w:t>
      </w:r>
      <w:r w:rsidRPr="00027842">
        <w:t xml:space="preserve"> supporting testimony.</w:t>
      </w:r>
    </w:p>
    <w:p w:rsidR="00015657" w:rsidRPr="00027842" w:rsidP="00D75250" w14:paraId="577D53A5" w14:textId="373968ED">
      <w:pPr>
        <w:spacing w:after="200"/>
        <w:ind w:left="3600" w:firstLine="630"/>
      </w:pPr>
      <w:r w:rsidRPr="00027842">
        <w:t>Respectfully submitted,</w:t>
      </w:r>
    </w:p>
    <w:p w:rsidR="00D75250" w:rsidRPr="00027842" w:rsidP="00D75250" w14:paraId="7078D6ED" w14:textId="77777777">
      <w:pPr>
        <w:tabs>
          <w:tab w:val="right" w:pos="8640"/>
        </w:tabs>
        <w:ind w:left="4230"/>
      </w:pPr>
      <w:r w:rsidRPr="00027842">
        <w:t>Bruce Weston (0016973)</w:t>
      </w:r>
    </w:p>
    <w:p w:rsidR="00D75250" w:rsidRPr="00027842" w:rsidP="00D75250" w14:paraId="66DA291F" w14:textId="77777777">
      <w:pPr>
        <w:ind w:left="4230"/>
        <w:contextualSpacing/>
        <w:rPr>
          <w:rFonts w:eastAsia="Calibri"/>
        </w:rPr>
      </w:pPr>
      <w:r w:rsidRPr="00027842">
        <w:rPr>
          <w:rFonts w:eastAsia="Calibri"/>
        </w:rPr>
        <w:t>Ohio Consumers’ Counsel</w:t>
      </w:r>
    </w:p>
    <w:p w:rsidR="00D75250" w:rsidRPr="00027842" w:rsidP="00D75250" w14:paraId="5A68812C" w14:textId="77777777">
      <w:pPr>
        <w:ind w:left="4230"/>
        <w:contextualSpacing/>
        <w:rPr>
          <w:rFonts w:eastAsia="Calibri"/>
        </w:rPr>
      </w:pPr>
      <w:r w:rsidRPr="00027842">
        <w:rPr>
          <w:rFonts w:eastAsia="Calibri"/>
        </w:rPr>
        <w:tab/>
      </w:r>
    </w:p>
    <w:p w:rsidR="00D75250" w:rsidRPr="00027842" w:rsidP="00D75250" w14:paraId="7D548F2F" w14:textId="385D5D55">
      <w:pPr>
        <w:ind w:left="4230"/>
        <w:rPr>
          <w:rFonts w:eastAsiaTheme="minorHAnsi"/>
          <w:i/>
          <w:iCs/>
          <w:u w:val="single"/>
          <w:lang w:bidi="ar-SA"/>
        </w:rPr>
      </w:pPr>
      <w:r w:rsidRPr="00027842">
        <w:rPr>
          <w:rFonts w:eastAsiaTheme="minorHAnsi"/>
          <w:i/>
          <w:iCs/>
          <w:u w:val="single"/>
          <w:lang w:bidi="ar-SA"/>
        </w:rPr>
        <w:t>/s/ Angela D. O’Brien</w:t>
      </w:r>
    </w:p>
    <w:p w:rsidR="00D75250" w:rsidRPr="00027842" w:rsidP="00D75250" w14:paraId="763058F0" w14:textId="20E14659">
      <w:pPr>
        <w:ind w:left="4230"/>
        <w:rPr>
          <w:rFonts w:eastAsiaTheme="minorHAnsi"/>
          <w:lang w:bidi="ar-SA"/>
        </w:rPr>
      </w:pPr>
      <w:r w:rsidRPr="00027842">
        <w:rPr>
          <w:rFonts w:eastAsiaTheme="minorHAnsi"/>
          <w:lang w:bidi="ar-SA"/>
        </w:rPr>
        <w:t>Angela D. O’Brien (0097579)</w:t>
      </w:r>
    </w:p>
    <w:p w:rsidR="00D75250" w:rsidRPr="00027842" w:rsidP="00D75250" w14:paraId="37D0D4DE" w14:textId="77777777">
      <w:pPr>
        <w:tabs>
          <w:tab w:val="left" w:pos="4320"/>
        </w:tabs>
        <w:ind w:left="4230"/>
        <w:rPr>
          <w:rFonts w:eastAsiaTheme="minorHAnsi"/>
          <w:lang w:bidi="ar-SA"/>
        </w:rPr>
      </w:pPr>
      <w:r w:rsidRPr="00027842">
        <w:rPr>
          <w:rFonts w:eastAsiaTheme="minorHAnsi"/>
          <w:lang w:bidi="ar-SA"/>
        </w:rPr>
        <w:t>Counsel of Record</w:t>
      </w:r>
    </w:p>
    <w:p w:rsidR="00D75250" w:rsidRPr="00027842" w:rsidP="00D75250" w14:paraId="61830EDB" w14:textId="77777777">
      <w:pPr>
        <w:tabs>
          <w:tab w:val="left" w:pos="4320"/>
        </w:tabs>
        <w:ind w:left="4230"/>
        <w:rPr>
          <w:rFonts w:eastAsiaTheme="minorHAnsi"/>
          <w:lang w:bidi="ar-SA"/>
        </w:rPr>
      </w:pPr>
      <w:r w:rsidRPr="00027842">
        <w:rPr>
          <w:rFonts w:eastAsiaTheme="minorHAnsi"/>
          <w:lang w:bidi="ar-SA"/>
        </w:rPr>
        <w:t>Ambrosia E. Wilson (0096598)</w:t>
      </w:r>
    </w:p>
    <w:p w:rsidR="00D75250" w:rsidRPr="00027842" w:rsidP="00D75250" w14:paraId="7BDDC8F6" w14:textId="77777777">
      <w:pPr>
        <w:tabs>
          <w:tab w:val="left" w:pos="4320"/>
        </w:tabs>
        <w:ind w:left="4230"/>
        <w:rPr>
          <w:rFonts w:eastAsiaTheme="minorHAnsi"/>
          <w:lang w:bidi="ar-SA"/>
        </w:rPr>
      </w:pPr>
      <w:r w:rsidRPr="00027842">
        <w:rPr>
          <w:rFonts w:eastAsiaTheme="minorHAnsi"/>
          <w:lang w:bidi="ar-SA"/>
        </w:rPr>
        <w:t>Assistant Consumers’ Counsel</w:t>
      </w:r>
    </w:p>
    <w:p w:rsidR="00D75250" w:rsidRPr="00027842" w:rsidP="00D75250" w14:paraId="06738AAB" w14:textId="77777777">
      <w:pPr>
        <w:tabs>
          <w:tab w:val="left" w:pos="4320"/>
        </w:tabs>
        <w:ind w:left="4230"/>
        <w:rPr>
          <w:rFonts w:eastAsiaTheme="minorHAnsi"/>
          <w:lang w:bidi="ar-SA"/>
        </w:rPr>
      </w:pPr>
      <w:r w:rsidRPr="00027842">
        <w:rPr>
          <w:rFonts w:eastAsiaTheme="minorHAnsi"/>
          <w:lang w:bidi="ar-SA"/>
        </w:rPr>
        <w:tab/>
      </w:r>
    </w:p>
    <w:p w:rsidR="00D75250" w:rsidRPr="00027842" w:rsidP="00D75250" w14:paraId="199B7AFF" w14:textId="77777777">
      <w:pPr>
        <w:ind w:left="4230"/>
        <w:rPr>
          <w:rFonts w:eastAsiaTheme="minorHAnsi"/>
          <w:b/>
          <w:bCs/>
          <w:lang w:bidi="ar-SA"/>
        </w:rPr>
      </w:pPr>
      <w:r w:rsidRPr="00027842">
        <w:rPr>
          <w:rFonts w:eastAsiaTheme="minorHAnsi"/>
          <w:b/>
          <w:bCs/>
          <w:lang w:bidi="ar-SA"/>
        </w:rPr>
        <w:t>Office of the Ohio Consumers’ Counsel</w:t>
      </w:r>
    </w:p>
    <w:p w:rsidR="00D75250" w:rsidRPr="00027842" w:rsidP="00D75250" w14:paraId="7CCA36F0" w14:textId="77777777">
      <w:pPr>
        <w:ind w:left="4230"/>
        <w:rPr>
          <w:rFonts w:eastAsiaTheme="minorHAnsi"/>
          <w:lang w:bidi="ar-SA"/>
        </w:rPr>
      </w:pPr>
      <w:r w:rsidRPr="00027842">
        <w:rPr>
          <w:rFonts w:eastAsiaTheme="minorHAnsi"/>
          <w:lang w:bidi="ar-SA"/>
        </w:rPr>
        <w:t>65 East State Street, Suite 700</w:t>
      </w:r>
    </w:p>
    <w:p w:rsidR="00D75250" w:rsidRPr="00027842" w:rsidP="00D75250" w14:paraId="74AA9F21" w14:textId="77777777">
      <w:pPr>
        <w:ind w:left="4230"/>
        <w:rPr>
          <w:rFonts w:eastAsiaTheme="minorHAnsi"/>
          <w:lang w:bidi="ar-SA"/>
        </w:rPr>
      </w:pPr>
      <w:r w:rsidRPr="00027842">
        <w:rPr>
          <w:rFonts w:eastAsiaTheme="minorHAnsi"/>
          <w:lang w:bidi="ar-SA"/>
        </w:rPr>
        <w:t>Columbus, Ohio 43215</w:t>
      </w:r>
    </w:p>
    <w:p w:rsidR="00D75250" w:rsidRPr="00027842" w:rsidP="00D75250" w14:paraId="50A79E43" w14:textId="77777777">
      <w:pPr>
        <w:autoSpaceDE w:val="0"/>
        <w:autoSpaceDN w:val="0"/>
        <w:adjustRightInd w:val="0"/>
        <w:ind w:left="4230"/>
        <w:rPr>
          <w:rFonts w:eastAsiaTheme="minorHAnsi"/>
          <w:lang w:bidi="ar-SA"/>
        </w:rPr>
      </w:pPr>
      <w:r w:rsidRPr="00027842">
        <w:rPr>
          <w:rFonts w:eastAsiaTheme="minorHAnsi"/>
          <w:lang w:bidi="ar-SA"/>
        </w:rPr>
        <w:t>Telephone [O’Brien]: (614)-466-9531</w:t>
      </w:r>
    </w:p>
    <w:p w:rsidR="00D75250" w:rsidRPr="00027842" w:rsidP="00D75250" w14:paraId="496F521F" w14:textId="77777777">
      <w:pPr>
        <w:autoSpaceDE w:val="0"/>
        <w:autoSpaceDN w:val="0"/>
        <w:adjustRightInd w:val="0"/>
        <w:ind w:left="4230"/>
        <w:rPr>
          <w:rFonts w:eastAsiaTheme="minorHAnsi"/>
          <w:lang w:bidi="ar-SA"/>
        </w:rPr>
      </w:pPr>
      <w:r w:rsidRPr="00027842">
        <w:rPr>
          <w:rFonts w:eastAsiaTheme="minorHAnsi"/>
          <w:lang w:bidi="ar-SA"/>
        </w:rPr>
        <w:t>Telephone [Wilson]: (614)-466-1292</w:t>
      </w:r>
    </w:p>
    <w:p w:rsidR="00D75250" w:rsidRPr="00027842" w:rsidP="00D75250" w14:paraId="4EAE4AAC" w14:textId="77777777">
      <w:pPr>
        <w:autoSpaceDE w:val="0"/>
        <w:autoSpaceDN w:val="0"/>
        <w:adjustRightInd w:val="0"/>
        <w:ind w:left="4230"/>
        <w:rPr>
          <w:rFonts w:eastAsiaTheme="minorHAnsi"/>
          <w:lang w:bidi="ar-SA"/>
        </w:rPr>
      </w:pPr>
      <w:hyperlink r:id="rId6" w:history="1">
        <w:r w:rsidRPr="00027842">
          <w:rPr>
            <w:rStyle w:val="Hyperlink"/>
            <w:rFonts w:eastAsiaTheme="minorHAnsi"/>
            <w:lang w:bidi="ar-SA"/>
          </w:rPr>
          <w:t>angela.obrien@occ.ohio.gov</w:t>
        </w:r>
      </w:hyperlink>
    </w:p>
    <w:p w:rsidR="00D75250" w:rsidRPr="00027842" w:rsidP="00D75250" w14:paraId="0F739968" w14:textId="77777777">
      <w:pPr>
        <w:autoSpaceDE w:val="0"/>
        <w:autoSpaceDN w:val="0"/>
        <w:adjustRightInd w:val="0"/>
        <w:ind w:left="4230"/>
        <w:rPr>
          <w:rFonts w:eastAsiaTheme="minorHAnsi"/>
          <w:lang w:bidi="ar-SA"/>
        </w:rPr>
      </w:pPr>
      <w:hyperlink r:id="rId7" w:history="1">
        <w:r w:rsidRPr="00027842">
          <w:rPr>
            <w:rStyle w:val="Hyperlink"/>
            <w:rFonts w:eastAsiaTheme="minorHAnsi"/>
            <w:lang w:bidi="ar-SA"/>
          </w:rPr>
          <w:t>ambrosia.wilson@occ.ohio.gov</w:t>
        </w:r>
      </w:hyperlink>
    </w:p>
    <w:p w:rsidR="007A481F" w:rsidRPr="00027842" w:rsidP="007A481F" w14:paraId="4360FB34" w14:textId="77777777">
      <w:pPr>
        <w:autoSpaceDE w:val="0"/>
        <w:autoSpaceDN w:val="0"/>
        <w:adjustRightInd w:val="0"/>
        <w:ind w:left="4230"/>
        <w:rPr>
          <w:rFonts w:eastAsiaTheme="minorHAnsi"/>
          <w:lang w:bidi="ar-SA"/>
        </w:rPr>
      </w:pPr>
      <w:r w:rsidRPr="00027842">
        <w:rPr>
          <w:rFonts w:eastAsiaTheme="minorHAnsi"/>
          <w:lang w:bidi="ar-SA"/>
        </w:rPr>
        <w:t>(willing to accept service by e-mail)</w:t>
      </w:r>
    </w:p>
    <w:p w:rsidR="007A481F" w:rsidRPr="00027842" w14:paraId="489111CD" w14:textId="77777777">
      <w:pPr>
        <w:rPr>
          <w:rFonts w:eastAsiaTheme="minorHAnsi"/>
          <w:lang w:bidi="ar-SA"/>
        </w:rPr>
      </w:pPr>
      <w:r w:rsidRPr="00027842">
        <w:rPr>
          <w:rFonts w:eastAsiaTheme="minorHAnsi"/>
          <w:lang w:bidi="ar-SA"/>
        </w:rPr>
        <w:br w:type="page"/>
      </w:r>
    </w:p>
    <w:p w:rsidR="00015657" w:rsidRPr="00027842" w:rsidP="007A481F" w14:paraId="717214BE" w14:textId="7A91DB25">
      <w:pPr>
        <w:autoSpaceDE w:val="0"/>
        <w:autoSpaceDN w:val="0"/>
        <w:adjustRightInd w:val="0"/>
        <w:jc w:val="center"/>
        <w:rPr>
          <w:b/>
          <w:u w:val="single"/>
        </w:rPr>
      </w:pPr>
      <w:r w:rsidRPr="00027842">
        <w:rPr>
          <w:b/>
          <w:u w:val="single"/>
        </w:rPr>
        <w:t>CERTIFICATE OF SERVICE</w:t>
      </w:r>
    </w:p>
    <w:p w:rsidR="00015657" w:rsidRPr="00027842" w:rsidP="00015657" w14:paraId="4092A613" w14:textId="77777777">
      <w:pPr>
        <w:jc w:val="center"/>
      </w:pPr>
    </w:p>
    <w:p w:rsidR="00015657" w:rsidRPr="00027842" w:rsidP="007A481F" w14:paraId="140CE0F1" w14:textId="236D9B34">
      <w:pPr>
        <w:suppressAutoHyphens/>
        <w:spacing w:line="480" w:lineRule="auto"/>
        <w:ind w:firstLine="720"/>
        <w:rPr>
          <w:spacing w:val="-3"/>
        </w:rPr>
      </w:pPr>
      <w:r w:rsidRPr="00027842">
        <w:t xml:space="preserve">It is hereby certified that a true copy of the foregoing </w:t>
      </w:r>
      <w:r w:rsidRPr="00027842">
        <w:rPr>
          <w:iCs/>
        </w:rPr>
        <w:t xml:space="preserve">Objections </w:t>
      </w:r>
      <w:r w:rsidRPr="00027842">
        <w:t xml:space="preserve">was served by electronic transmission upon the parties below this </w:t>
      </w:r>
      <w:r w:rsidRPr="00027842" w:rsidR="007A481F">
        <w:t>21</w:t>
      </w:r>
      <w:r w:rsidRPr="00027842" w:rsidR="007A481F">
        <w:rPr>
          <w:vertAlign w:val="superscript"/>
        </w:rPr>
        <w:t>st</w:t>
      </w:r>
      <w:r w:rsidRPr="00027842" w:rsidR="007A481F">
        <w:t xml:space="preserve"> </w:t>
      </w:r>
      <w:r w:rsidRPr="00027842">
        <w:t>day of</w:t>
      </w:r>
      <w:r w:rsidRPr="00027842" w:rsidR="00FA3E4B">
        <w:t xml:space="preserve"> </w:t>
      </w:r>
      <w:r w:rsidRPr="00027842" w:rsidR="007A481F">
        <w:t>June</w:t>
      </w:r>
      <w:r w:rsidRPr="00027842">
        <w:t xml:space="preserve"> 20</w:t>
      </w:r>
      <w:r w:rsidRPr="00027842" w:rsidR="00FA3E4B">
        <w:t>2</w:t>
      </w:r>
      <w:r w:rsidRPr="00027842" w:rsidR="00CA5494">
        <w:t>2</w:t>
      </w:r>
      <w:r w:rsidRPr="00027842">
        <w:t>.</w:t>
      </w:r>
    </w:p>
    <w:p w:rsidR="00F36163" w:rsidRPr="00027842" w:rsidP="00015657" w14:paraId="4D1E42DC" w14:textId="77777777">
      <w:pPr>
        <w:pStyle w:val="EndnoteText"/>
        <w:widowControl/>
        <w:rPr>
          <w:rFonts w:ascii="Times New Roman" w:hAnsi="Times New Roman"/>
          <w:szCs w:val="24"/>
        </w:rPr>
      </w:pP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i/>
          <w:szCs w:val="24"/>
          <w:u w:val="single"/>
        </w:rPr>
        <w:t xml:space="preserve">/s/ </w:t>
      </w:r>
      <w:r w:rsidRPr="00027842" w:rsidR="00FA3E4B">
        <w:rPr>
          <w:rFonts w:ascii="Times New Roman" w:hAnsi="Times New Roman"/>
          <w:i/>
          <w:szCs w:val="24"/>
          <w:u w:val="single"/>
        </w:rPr>
        <w:t>Angela O’Brien</w:t>
      </w:r>
      <w:r w:rsidRPr="00027842" w:rsidR="00FA3E4B">
        <w:rPr>
          <w:rFonts w:ascii="Times New Roman" w:hAnsi="Times New Roman"/>
          <w:i/>
          <w:szCs w:val="24"/>
          <w:u w:val="single"/>
        </w:rPr>
        <w:tab/>
      </w:r>
      <w:r w:rsidRPr="00027842">
        <w:rPr>
          <w:rFonts w:ascii="Times New Roman" w:hAnsi="Times New Roman"/>
          <w:i/>
          <w:szCs w:val="24"/>
          <w:u w:val="single"/>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t>Angela O’Brien</w:t>
      </w:r>
    </w:p>
    <w:p w:rsidR="00015657" w:rsidRPr="00027842" w:rsidP="00015657" w14:paraId="1CF7CC70" w14:textId="77777777">
      <w:pPr>
        <w:pStyle w:val="EndnoteText"/>
        <w:widowControl/>
        <w:rPr>
          <w:rFonts w:ascii="Times New Roman" w:hAnsi="Times New Roman"/>
          <w:szCs w:val="24"/>
        </w:rPr>
      </w:pP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r>
      <w:r w:rsidRPr="00027842">
        <w:rPr>
          <w:rFonts w:ascii="Times New Roman" w:hAnsi="Times New Roman"/>
          <w:szCs w:val="24"/>
        </w:rPr>
        <w:tab/>
        <w:t xml:space="preserve">Counsel of Record </w:t>
      </w:r>
    </w:p>
    <w:p w:rsidR="00F36163" w:rsidRPr="00027842" w:rsidP="00015657" w14:paraId="696AA858" w14:textId="77777777">
      <w:pPr>
        <w:pStyle w:val="EndnoteText"/>
        <w:widowControl/>
        <w:rPr>
          <w:rFonts w:ascii="Times New Roman" w:hAnsi="Times New Roman"/>
          <w:szCs w:val="24"/>
        </w:rPr>
      </w:pPr>
    </w:p>
    <w:p w:rsidR="00F36163" w:rsidRPr="00027842" w:rsidP="00F36163" w14:paraId="3BC938FF" w14:textId="77777777">
      <w:pPr>
        <w:pStyle w:val="CommentText"/>
        <w:rPr>
          <w:sz w:val="24"/>
          <w:szCs w:val="24"/>
        </w:rPr>
      </w:pPr>
      <w:r w:rsidRPr="00027842">
        <w:rPr>
          <w:sz w:val="24"/>
          <w:szCs w:val="24"/>
        </w:rPr>
        <w:t>The PUCO’s e-filing system will electronically serve notice of the filing of this document on the following parties:</w:t>
      </w:r>
    </w:p>
    <w:p w:rsidR="00015657" w:rsidRPr="00027842" w:rsidP="00015657" w14:paraId="319C603C" w14:textId="77777777">
      <w:pPr>
        <w:pStyle w:val="EndnoteText"/>
        <w:widowControl/>
        <w:rPr>
          <w:rFonts w:ascii="Times New Roman" w:hAnsi="Times New Roman"/>
          <w:szCs w:val="24"/>
        </w:rPr>
      </w:pPr>
    </w:p>
    <w:p w:rsidR="00F36163" w:rsidRPr="00027842" w:rsidP="00F36163" w14:paraId="5724B038" w14:textId="77777777">
      <w:pPr>
        <w:pStyle w:val="CommentText"/>
        <w:jc w:val="center"/>
        <w:rPr>
          <w:b/>
          <w:sz w:val="24"/>
          <w:szCs w:val="24"/>
          <w:u w:val="single"/>
        </w:rPr>
      </w:pPr>
      <w:r w:rsidRPr="00027842">
        <w:rPr>
          <w:b/>
          <w:sz w:val="24"/>
          <w:szCs w:val="24"/>
          <w:u w:val="single"/>
        </w:rPr>
        <w:t>SERVICE LIST</w:t>
      </w:r>
    </w:p>
    <w:p w:rsidR="00F36163" w:rsidRPr="00027842" w:rsidP="00F36163" w14:paraId="358926B1" w14:textId="77777777">
      <w:pPr>
        <w:pStyle w:val="CommentText"/>
        <w:jc w:val="center"/>
        <w:rPr>
          <w:bCs/>
          <w:sz w:val="24"/>
          <w:szCs w:val="24"/>
          <w:u w:val="single"/>
        </w:rPr>
      </w:pPr>
    </w:p>
    <w:tbl>
      <w:tblPr>
        <w:tblW w:w="0" w:type="auto"/>
        <w:tblLook w:val="04A0"/>
      </w:tblPr>
      <w:tblGrid>
        <w:gridCol w:w="4251"/>
        <w:gridCol w:w="4389"/>
      </w:tblGrid>
      <w:tr w14:paraId="28FA0E20" w14:textId="77777777" w:rsidTr="00D26E0D">
        <w:tblPrEx>
          <w:tblW w:w="0" w:type="auto"/>
          <w:tblLook w:val="04A0"/>
        </w:tblPrEx>
        <w:tc>
          <w:tcPr>
            <w:tcW w:w="4428" w:type="dxa"/>
            <w:shd w:val="clear" w:color="auto" w:fill="auto"/>
          </w:tcPr>
          <w:p w:rsidR="00D43890" w:rsidRPr="00027842" w:rsidP="00D26E0D" w14:paraId="07D38721" w14:textId="77777777">
            <w:pPr>
              <w:autoSpaceDE w:val="0"/>
              <w:autoSpaceDN w:val="0"/>
              <w:adjustRightInd w:val="0"/>
              <w:rPr>
                <w:rStyle w:val="Hyperlink"/>
                <w:bCs/>
              </w:rPr>
            </w:pPr>
            <w:hyperlink r:id="rId14" w:history="1">
              <w:r w:rsidRPr="00027842">
                <w:rPr>
                  <w:rStyle w:val="Hyperlink"/>
                </w:rPr>
                <w:t>robert.eubanks@ohioAGO.gov</w:t>
              </w:r>
            </w:hyperlink>
          </w:p>
          <w:p w:rsidR="00D43890" w:rsidRPr="00027842" w:rsidP="00D26E0D" w14:paraId="58F3A483" w14:textId="77777777">
            <w:pPr>
              <w:autoSpaceDE w:val="0"/>
              <w:autoSpaceDN w:val="0"/>
              <w:adjustRightInd w:val="0"/>
              <w:rPr>
                <w:bCs/>
              </w:rPr>
            </w:pPr>
            <w:hyperlink r:id="rId15" w:history="1">
              <w:r w:rsidRPr="00027842">
                <w:rPr>
                  <w:rStyle w:val="Hyperlink"/>
                </w:rPr>
                <w:t>shaun.lyons@ohioAGO.gov</w:t>
              </w:r>
            </w:hyperlink>
          </w:p>
          <w:p w:rsidR="00D43890" w:rsidRPr="00027842" w:rsidP="00D26E0D" w14:paraId="15FB1B88" w14:textId="77777777">
            <w:pPr>
              <w:autoSpaceDE w:val="0"/>
              <w:autoSpaceDN w:val="0"/>
              <w:adjustRightInd w:val="0"/>
              <w:rPr>
                <w:bCs/>
              </w:rPr>
            </w:pPr>
            <w:hyperlink r:id="rId16" w:history="1">
              <w:r w:rsidRPr="00027842">
                <w:rPr>
                  <w:rStyle w:val="Hyperlink"/>
                </w:rPr>
                <w:t>werner.margard@ohioAGO.gov</w:t>
              </w:r>
            </w:hyperlink>
          </w:p>
          <w:p w:rsidR="00D43890" w:rsidRPr="00027842" w:rsidP="00D26E0D" w14:paraId="5D5BFBC8" w14:textId="77777777">
            <w:pPr>
              <w:autoSpaceDE w:val="0"/>
              <w:autoSpaceDN w:val="0"/>
              <w:adjustRightInd w:val="0"/>
              <w:rPr>
                <w:color w:val="0000FF"/>
              </w:rPr>
            </w:pPr>
            <w:hyperlink r:id="rId17" w:history="1">
              <w:r w:rsidRPr="00027842">
                <w:rPr>
                  <w:rStyle w:val="Hyperlink"/>
                </w:rPr>
                <w:t>mkurtz@BKLlawfirm.com</w:t>
              </w:r>
            </w:hyperlink>
          </w:p>
          <w:p w:rsidR="00D43890" w:rsidRPr="00027842" w:rsidP="00D26E0D" w14:paraId="2CD71D85" w14:textId="77777777">
            <w:pPr>
              <w:autoSpaceDE w:val="0"/>
              <w:autoSpaceDN w:val="0"/>
              <w:adjustRightInd w:val="0"/>
              <w:rPr>
                <w:color w:val="0000FF"/>
              </w:rPr>
            </w:pPr>
            <w:hyperlink r:id="rId18" w:history="1">
              <w:r w:rsidRPr="00027842">
                <w:rPr>
                  <w:rStyle w:val="Hyperlink"/>
                </w:rPr>
                <w:t>kboehm@BKLlawfirm.com</w:t>
              </w:r>
            </w:hyperlink>
          </w:p>
          <w:p w:rsidR="00D43890" w:rsidRPr="00027842" w:rsidP="00D26E0D" w14:paraId="53944671" w14:textId="77777777">
            <w:pPr>
              <w:autoSpaceDE w:val="0"/>
              <w:autoSpaceDN w:val="0"/>
              <w:adjustRightInd w:val="0"/>
              <w:rPr>
                <w:color w:val="0000FF"/>
              </w:rPr>
            </w:pPr>
            <w:hyperlink r:id="rId19" w:history="1">
              <w:r w:rsidRPr="00027842">
                <w:rPr>
                  <w:rStyle w:val="Hyperlink"/>
                </w:rPr>
                <w:t>jkylercohn@BKLlawfirm.com</w:t>
              </w:r>
            </w:hyperlink>
          </w:p>
          <w:p w:rsidR="00D43890" w:rsidRPr="00027842" w:rsidP="00D26E0D" w14:paraId="7A5F2FB2" w14:textId="77777777">
            <w:pPr>
              <w:autoSpaceDE w:val="0"/>
              <w:autoSpaceDN w:val="0"/>
              <w:adjustRightInd w:val="0"/>
              <w:rPr>
                <w:color w:val="0000FF"/>
              </w:rPr>
            </w:pPr>
            <w:hyperlink r:id="rId20" w:history="1">
              <w:r w:rsidRPr="00027842">
                <w:rPr>
                  <w:rStyle w:val="Hyperlink"/>
                </w:rPr>
                <w:t>mwarnock@bricker.com</w:t>
              </w:r>
            </w:hyperlink>
          </w:p>
          <w:p w:rsidR="00D43890" w:rsidRPr="00027842" w:rsidP="00D26E0D" w14:paraId="30B5A6EB" w14:textId="77777777">
            <w:pPr>
              <w:autoSpaceDE w:val="0"/>
              <w:autoSpaceDN w:val="0"/>
              <w:adjustRightInd w:val="0"/>
              <w:rPr>
                <w:color w:val="0000FF"/>
              </w:rPr>
            </w:pPr>
            <w:hyperlink r:id="rId21" w:history="1">
              <w:r w:rsidRPr="00027842">
                <w:rPr>
                  <w:rStyle w:val="Hyperlink"/>
                </w:rPr>
                <w:t>ktreadway@oneenergyllc.com</w:t>
              </w:r>
            </w:hyperlink>
          </w:p>
          <w:p w:rsidR="00D43890" w:rsidRPr="00027842" w:rsidP="00D26E0D" w14:paraId="43D14489" w14:textId="77777777">
            <w:pPr>
              <w:autoSpaceDE w:val="0"/>
              <w:autoSpaceDN w:val="0"/>
              <w:adjustRightInd w:val="0"/>
              <w:rPr>
                <w:rStyle w:val="Hyperlink"/>
              </w:rPr>
            </w:pPr>
            <w:hyperlink r:id="rId22" w:history="1">
              <w:r w:rsidRPr="00027842">
                <w:rPr>
                  <w:rStyle w:val="Hyperlink"/>
                </w:rPr>
                <w:t>jdunn@oneenergyllc.com</w:t>
              </w:r>
            </w:hyperlink>
          </w:p>
          <w:p w:rsidR="00D43890" w:rsidRPr="00027842" w:rsidP="00D26E0D" w14:paraId="4E3F1A54" w14:textId="77777777">
            <w:pPr>
              <w:autoSpaceDE w:val="0"/>
              <w:autoSpaceDN w:val="0"/>
              <w:adjustRightInd w:val="0"/>
              <w:rPr>
                <w:rStyle w:val="Hyperlink"/>
              </w:rPr>
            </w:pPr>
            <w:hyperlink r:id="rId23" w:history="1">
              <w:r w:rsidRPr="00027842">
                <w:rPr>
                  <w:rStyle w:val="Hyperlink"/>
                </w:rPr>
                <w:t>dborchers@bricker.com</w:t>
              </w:r>
            </w:hyperlink>
          </w:p>
          <w:p w:rsidR="00EE511E" w:rsidP="00D26E0D" w14:paraId="772BF5F1" w14:textId="4C400EFB">
            <w:pPr>
              <w:autoSpaceDE w:val="0"/>
              <w:autoSpaceDN w:val="0"/>
              <w:adjustRightInd w:val="0"/>
              <w:rPr>
                <w:rStyle w:val="Hyperlink"/>
              </w:rPr>
            </w:pPr>
            <w:hyperlink r:id="rId24" w:history="1">
              <w:r w:rsidRPr="00ED7CBE">
                <w:rPr>
                  <w:rStyle w:val="Hyperlink"/>
                </w:rPr>
                <w:t>dparram@bricker.com</w:t>
              </w:r>
            </w:hyperlink>
          </w:p>
          <w:p w:rsidR="00EE511E" w:rsidP="00D26E0D" w14:paraId="387934EB" w14:textId="3FC50AB8">
            <w:pPr>
              <w:autoSpaceDE w:val="0"/>
              <w:autoSpaceDN w:val="0"/>
              <w:adjustRightInd w:val="0"/>
              <w:rPr>
                <w:rStyle w:val="Hyperlink"/>
              </w:rPr>
            </w:pPr>
            <w:r w:rsidRPr="00EE511E">
              <w:rPr>
                <w:rStyle w:val="Hyperlink"/>
              </w:rPr>
              <w:t>kruffin@bricker.com</w:t>
            </w:r>
          </w:p>
          <w:p w:rsidR="00D43890" w:rsidRPr="00027842" w:rsidP="00D26E0D" w14:paraId="2708BF79" w14:textId="49C3CA12">
            <w:pPr>
              <w:autoSpaceDE w:val="0"/>
              <w:autoSpaceDN w:val="0"/>
              <w:adjustRightInd w:val="0"/>
              <w:rPr>
                <w:rStyle w:val="Hyperlink"/>
              </w:rPr>
            </w:pPr>
            <w:hyperlink r:id="rId25" w:history="1">
              <w:r w:rsidRPr="00027842">
                <w:rPr>
                  <w:rStyle w:val="Hyperlink"/>
                </w:rPr>
                <w:t>Fdarr2019@gmail.com</w:t>
              </w:r>
            </w:hyperlink>
          </w:p>
          <w:p w:rsidR="00D43890" w:rsidRPr="00027842" w:rsidP="00D26E0D" w14:paraId="15A6446D" w14:textId="77777777">
            <w:pPr>
              <w:autoSpaceDE w:val="0"/>
              <w:autoSpaceDN w:val="0"/>
              <w:adjustRightInd w:val="0"/>
              <w:rPr>
                <w:rStyle w:val="Hyperlink"/>
              </w:rPr>
            </w:pPr>
            <w:r w:rsidRPr="00027842">
              <w:rPr>
                <w:rStyle w:val="Hyperlink"/>
              </w:rPr>
              <w:t>paul@carpenterlipps.com</w:t>
            </w:r>
          </w:p>
          <w:p w:rsidR="00D43890" w:rsidRPr="00027842" w:rsidP="00D26E0D" w14:paraId="269BB74E" w14:textId="77777777">
            <w:pPr>
              <w:autoSpaceDE w:val="0"/>
              <w:autoSpaceDN w:val="0"/>
              <w:adjustRightInd w:val="0"/>
              <w:rPr>
                <w:color w:val="0000FF"/>
              </w:rPr>
            </w:pPr>
            <w:hyperlink r:id="rId26" w:history="1">
              <w:r w:rsidRPr="00027842">
                <w:rPr>
                  <w:rStyle w:val="Hyperlink"/>
                </w:rPr>
                <w:t>rdove@keglerbrown.com</w:t>
              </w:r>
            </w:hyperlink>
          </w:p>
          <w:p w:rsidR="00D43890" w:rsidRPr="00027842" w:rsidP="00D26E0D" w14:paraId="3ED3FD88" w14:textId="270346B7">
            <w:pPr>
              <w:autoSpaceDE w:val="0"/>
              <w:autoSpaceDN w:val="0"/>
              <w:adjustRightInd w:val="0"/>
              <w:rPr>
                <w:rStyle w:val="Hyperlink"/>
              </w:rPr>
            </w:pPr>
            <w:hyperlink r:id="rId27" w:history="1">
              <w:r w:rsidRPr="00027842">
                <w:rPr>
                  <w:rStyle w:val="Hyperlink"/>
                </w:rPr>
                <w:t>trent@hubaydougherty.com</w:t>
              </w:r>
            </w:hyperlink>
          </w:p>
          <w:p w:rsidR="00D43890" w:rsidRPr="00027842" w:rsidP="00D26E0D" w14:paraId="43BCA7E2" w14:textId="378154EE">
            <w:pPr>
              <w:autoSpaceDE w:val="0"/>
              <w:autoSpaceDN w:val="0"/>
              <w:adjustRightInd w:val="0"/>
              <w:rPr>
                <w:rStyle w:val="Hyperlink"/>
              </w:rPr>
            </w:pPr>
          </w:p>
          <w:p w:rsidR="00D43890" w:rsidRPr="00027842" w:rsidP="00D26E0D" w14:paraId="77A40167" w14:textId="371980AE">
            <w:pPr>
              <w:autoSpaceDE w:val="0"/>
              <w:autoSpaceDN w:val="0"/>
              <w:adjustRightInd w:val="0"/>
              <w:rPr>
                <w:rStyle w:val="Hyperlink"/>
                <w:color w:val="auto"/>
                <w:u w:val="none"/>
              </w:rPr>
            </w:pPr>
            <w:r w:rsidRPr="00027842">
              <w:rPr>
                <w:rStyle w:val="Hyperlink"/>
                <w:color w:val="auto"/>
                <w:u w:val="none"/>
              </w:rPr>
              <w:t>Attorney Examiners:</w:t>
            </w:r>
          </w:p>
          <w:p w:rsidR="00D43890" w:rsidRPr="00027842" w:rsidP="00D26E0D" w14:paraId="686A5EA9" w14:textId="27362DE7">
            <w:pPr>
              <w:autoSpaceDE w:val="0"/>
              <w:autoSpaceDN w:val="0"/>
              <w:adjustRightInd w:val="0"/>
              <w:rPr>
                <w:color w:val="0000FF"/>
              </w:rPr>
            </w:pPr>
            <w:hyperlink r:id="rId28" w:history="1">
              <w:r w:rsidRPr="00027842" w:rsidR="00954F1B">
                <w:rPr>
                  <w:rStyle w:val="Hyperlink"/>
                </w:rPr>
                <w:t>matthew.sandor@puco.ohio.gov</w:t>
              </w:r>
            </w:hyperlink>
          </w:p>
          <w:p w:rsidR="00954F1B" w:rsidRPr="00027842" w:rsidP="00D26E0D" w14:paraId="1BD4F86B" w14:textId="7776417A">
            <w:pPr>
              <w:autoSpaceDE w:val="0"/>
              <w:autoSpaceDN w:val="0"/>
              <w:adjustRightInd w:val="0"/>
              <w:rPr>
                <w:color w:val="0000FF"/>
              </w:rPr>
            </w:pPr>
            <w:hyperlink r:id="rId29" w:history="1">
              <w:r w:rsidRPr="00027842">
                <w:rPr>
                  <w:rStyle w:val="Hyperlink"/>
                </w:rPr>
                <w:t>nicholas.walstra@puco.ohio.gov</w:t>
              </w:r>
            </w:hyperlink>
          </w:p>
          <w:p w:rsidR="00954F1B" w:rsidRPr="00027842" w:rsidP="00D26E0D" w14:paraId="0C04C51C" w14:textId="77777777">
            <w:pPr>
              <w:autoSpaceDE w:val="0"/>
              <w:autoSpaceDN w:val="0"/>
              <w:adjustRightInd w:val="0"/>
              <w:rPr>
                <w:color w:val="0000FF"/>
              </w:rPr>
            </w:pPr>
          </w:p>
          <w:p w:rsidR="00D43890" w:rsidRPr="00027842" w:rsidP="00D26E0D" w14:paraId="65B22E35" w14:textId="77777777">
            <w:pPr>
              <w:autoSpaceDE w:val="0"/>
              <w:autoSpaceDN w:val="0"/>
              <w:adjustRightInd w:val="0"/>
              <w:rPr>
                <w:color w:val="0000FF"/>
              </w:rPr>
            </w:pPr>
          </w:p>
          <w:p w:rsidR="00D43890" w:rsidRPr="00027842" w:rsidP="00D26E0D" w14:paraId="7FA3A55B" w14:textId="77777777">
            <w:pPr>
              <w:autoSpaceDE w:val="0"/>
              <w:autoSpaceDN w:val="0"/>
              <w:adjustRightInd w:val="0"/>
              <w:rPr>
                <w:color w:val="0000FF"/>
              </w:rPr>
            </w:pPr>
          </w:p>
          <w:p w:rsidR="00D43890" w:rsidRPr="00027842" w:rsidP="00D26E0D" w14:paraId="440B88CC" w14:textId="77777777">
            <w:pPr>
              <w:autoSpaceDE w:val="0"/>
              <w:autoSpaceDN w:val="0"/>
              <w:adjustRightInd w:val="0"/>
              <w:rPr>
                <w:color w:val="0000FF"/>
              </w:rPr>
            </w:pPr>
          </w:p>
          <w:p w:rsidR="00D43890" w:rsidRPr="00027842" w:rsidP="00D26E0D" w14:paraId="098BD3F4" w14:textId="77777777">
            <w:pPr>
              <w:autoSpaceDE w:val="0"/>
              <w:autoSpaceDN w:val="0"/>
              <w:adjustRightInd w:val="0"/>
              <w:rPr>
                <w:bCs/>
              </w:rPr>
            </w:pPr>
          </w:p>
          <w:p w:rsidR="00D43890" w:rsidRPr="00027842" w:rsidP="00D26E0D" w14:paraId="544EE2F3" w14:textId="77777777">
            <w:pPr>
              <w:pStyle w:val="CommentText"/>
              <w:rPr>
                <w:sz w:val="24"/>
                <w:szCs w:val="24"/>
              </w:rPr>
            </w:pPr>
          </w:p>
        </w:tc>
        <w:tc>
          <w:tcPr>
            <w:tcW w:w="4428" w:type="dxa"/>
            <w:shd w:val="clear" w:color="auto" w:fill="auto"/>
          </w:tcPr>
          <w:p w:rsidR="00D43890" w:rsidRPr="00027842" w:rsidP="00D26E0D" w14:paraId="71655DAA" w14:textId="77777777">
            <w:pPr>
              <w:pStyle w:val="BodyText"/>
              <w:rPr>
                <w:bCs/>
              </w:rPr>
            </w:pPr>
            <w:hyperlink r:id="rId30" w:history="1">
              <w:r w:rsidRPr="00027842">
                <w:rPr>
                  <w:rStyle w:val="Hyperlink"/>
                </w:rPr>
                <w:t>Rocco.dascenzo@duke-energy.com</w:t>
              </w:r>
            </w:hyperlink>
          </w:p>
          <w:p w:rsidR="00D43890" w:rsidRPr="00027842" w:rsidP="00D26E0D" w14:paraId="58C73758" w14:textId="77777777">
            <w:pPr>
              <w:pStyle w:val="BodyText"/>
              <w:rPr>
                <w:bCs/>
              </w:rPr>
            </w:pPr>
            <w:hyperlink r:id="rId31" w:history="1">
              <w:r w:rsidRPr="00027842">
                <w:rPr>
                  <w:rStyle w:val="Hyperlink"/>
                </w:rPr>
                <w:t>Jeanne.kingery@duke-energy.com</w:t>
              </w:r>
            </w:hyperlink>
          </w:p>
          <w:p w:rsidR="00D43890" w:rsidRPr="00027842" w:rsidP="00D26E0D" w14:paraId="6DA31D15" w14:textId="77777777">
            <w:pPr>
              <w:pStyle w:val="BodyText"/>
              <w:rPr>
                <w:rStyle w:val="Hyperlink"/>
                <w:bCs/>
              </w:rPr>
            </w:pPr>
            <w:hyperlink r:id="rId32" w:history="1">
              <w:r w:rsidRPr="00027842">
                <w:rPr>
                  <w:rStyle w:val="Hyperlink"/>
                </w:rPr>
                <w:t>Larisa.vaysman@duke-energy.com</w:t>
              </w:r>
            </w:hyperlink>
          </w:p>
          <w:p w:rsidR="00D43890" w:rsidRPr="00027842" w:rsidP="00D26E0D" w14:paraId="259FA0F9" w14:textId="77777777">
            <w:pPr>
              <w:pStyle w:val="BodyText"/>
              <w:rPr>
                <w:bCs/>
              </w:rPr>
            </w:pPr>
            <w:hyperlink r:id="rId33" w:history="1">
              <w:r w:rsidRPr="00027842">
                <w:rPr>
                  <w:rStyle w:val="Hyperlink"/>
                </w:rPr>
                <w:t>elyse.akhbari@duke-energy.com</w:t>
              </w:r>
            </w:hyperlink>
          </w:p>
          <w:p w:rsidR="00D43890" w:rsidRPr="00027842" w:rsidP="00D26E0D" w14:paraId="77EF2B1F" w14:textId="77777777">
            <w:pPr>
              <w:pStyle w:val="BodyText"/>
              <w:rPr>
                <w:bCs/>
              </w:rPr>
            </w:pPr>
            <w:hyperlink r:id="rId34" w:history="1">
              <w:r w:rsidRPr="00027842">
                <w:rPr>
                  <w:rStyle w:val="Hyperlink"/>
                </w:rPr>
                <w:t>ebrama@taftlaw.com</w:t>
              </w:r>
            </w:hyperlink>
          </w:p>
          <w:p w:rsidR="00D43890" w:rsidRPr="00027842" w:rsidP="00D26E0D" w14:paraId="2D564D15" w14:textId="77777777">
            <w:pPr>
              <w:pStyle w:val="BodyText"/>
              <w:rPr>
                <w:bCs/>
              </w:rPr>
            </w:pPr>
            <w:hyperlink r:id="rId35" w:history="1">
              <w:r w:rsidRPr="00027842">
                <w:rPr>
                  <w:rStyle w:val="Hyperlink"/>
                </w:rPr>
                <w:t>Bethany.allen@igs.com</w:t>
              </w:r>
            </w:hyperlink>
          </w:p>
          <w:p w:rsidR="00D43890" w:rsidRPr="00027842" w:rsidP="00D26E0D" w14:paraId="62D7EC2E" w14:textId="77777777">
            <w:pPr>
              <w:pStyle w:val="BodyText"/>
              <w:rPr>
                <w:bCs/>
              </w:rPr>
            </w:pPr>
            <w:hyperlink r:id="rId36" w:history="1">
              <w:r w:rsidRPr="00027842">
                <w:rPr>
                  <w:rStyle w:val="Hyperlink"/>
                </w:rPr>
                <w:t>Joe.oliker@igs.com</w:t>
              </w:r>
            </w:hyperlink>
          </w:p>
          <w:p w:rsidR="00D43890" w:rsidRPr="00027842" w:rsidP="00D26E0D" w14:paraId="108C7A7A" w14:textId="6ECFFEB0">
            <w:pPr>
              <w:pStyle w:val="BodyText"/>
              <w:rPr>
                <w:rStyle w:val="Hyperlink"/>
                <w:bCs/>
              </w:rPr>
            </w:pPr>
            <w:hyperlink r:id="rId37" w:history="1">
              <w:r w:rsidRPr="00027842">
                <w:rPr>
                  <w:rStyle w:val="Hyperlink"/>
                </w:rPr>
                <w:t>Evan.betterton@igs.com</w:t>
              </w:r>
            </w:hyperlink>
          </w:p>
          <w:p w:rsidR="007E487F" w:rsidRPr="00027842" w:rsidP="00D26E0D" w14:paraId="3C6AAB63" w14:textId="0F1E8857">
            <w:pPr>
              <w:pStyle w:val="BodyText"/>
              <w:rPr>
                <w:rStyle w:val="Hyperlink"/>
                <w:bCs/>
              </w:rPr>
            </w:pPr>
            <w:hyperlink r:id="rId38" w:history="1">
              <w:r w:rsidRPr="00027842" w:rsidR="00000F52">
                <w:rPr>
                  <w:rStyle w:val="Hyperlink"/>
                  <w:bCs/>
                </w:rPr>
                <w:t>Stacie.e.cathcart@igs.com</w:t>
              </w:r>
            </w:hyperlink>
          </w:p>
          <w:p w:rsidR="00000F52" w:rsidRPr="00027842" w:rsidP="00D26E0D" w14:paraId="2B92DF7B" w14:textId="3914FAF7">
            <w:pPr>
              <w:pStyle w:val="BodyText"/>
              <w:rPr>
                <w:rStyle w:val="Hyperlink"/>
                <w:bCs/>
              </w:rPr>
            </w:pPr>
            <w:r w:rsidRPr="00027842">
              <w:rPr>
                <w:rStyle w:val="Hyperlink"/>
                <w:bCs/>
              </w:rPr>
              <w:t>michael.nugent@igs.com</w:t>
            </w:r>
          </w:p>
          <w:p w:rsidR="00D43890" w:rsidRPr="00027842" w:rsidP="00D26E0D" w14:paraId="78436505" w14:textId="77777777">
            <w:pPr>
              <w:pStyle w:val="BodyText"/>
              <w:rPr>
                <w:rStyle w:val="Hyperlink"/>
                <w:bCs/>
              </w:rPr>
            </w:pPr>
            <w:hyperlink r:id="rId39" w:history="1">
              <w:r w:rsidRPr="00027842">
                <w:rPr>
                  <w:rStyle w:val="Hyperlink"/>
                </w:rPr>
                <w:t>jlang@calfee.com</w:t>
              </w:r>
            </w:hyperlink>
          </w:p>
          <w:p w:rsidR="00D43890" w:rsidRPr="00027842" w:rsidP="00D26E0D" w14:paraId="4C8774B1" w14:textId="77777777">
            <w:pPr>
              <w:pStyle w:val="BodyText"/>
              <w:rPr>
                <w:rStyle w:val="Hyperlink"/>
              </w:rPr>
            </w:pPr>
            <w:hyperlink r:id="rId40" w:history="1">
              <w:r w:rsidRPr="00027842">
                <w:rPr>
                  <w:rStyle w:val="Hyperlink"/>
                </w:rPr>
                <w:t>gjewell@calfee.com</w:t>
              </w:r>
            </w:hyperlink>
          </w:p>
          <w:p w:rsidR="00D43890" w:rsidRPr="00027842" w:rsidP="00D26E0D" w14:paraId="03947828" w14:textId="77777777">
            <w:pPr>
              <w:pStyle w:val="BodyText"/>
              <w:rPr>
                <w:rStyle w:val="Hyperlink"/>
              </w:rPr>
            </w:pPr>
            <w:hyperlink r:id="rId41" w:history="1">
              <w:r w:rsidRPr="00027842">
                <w:rPr>
                  <w:rStyle w:val="Hyperlink"/>
                </w:rPr>
                <w:t>gwhaling@calfee.com</w:t>
              </w:r>
            </w:hyperlink>
          </w:p>
          <w:p w:rsidR="00D43890" w:rsidRPr="00027842" w:rsidP="00D26E0D" w14:paraId="71D23F70" w14:textId="77777777">
            <w:pPr>
              <w:pStyle w:val="BodyText"/>
              <w:rPr>
                <w:rStyle w:val="Hyperlink"/>
              </w:rPr>
            </w:pPr>
            <w:r w:rsidRPr="00027842">
              <w:rPr>
                <w:rStyle w:val="Hyperlink"/>
              </w:rPr>
              <w:t>sfranson@calfee.com</w:t>
            </w:r>
          </w:p>
          <w:p w:rsidR="00D43890" w:rsidRPr="00027842" w:rsidP="00D26E0D" w14:paraId="29D8B2A3" w14:textId="77777777">
            <w:pPr>
              <w:pStyle w:val="BodyText"/>
              <w:rPr>
                <w:bCs/>
              </w:rPr>
            </w:pPr>
            <w:hyperlink r:id="rId42" w:history="1">
              <w:r w:rsidRPr="00027842">
                <w:rPr>
                  <w:rStyle w:val="Hyperlink"/>
                </w:rPr>
                <w:t>dromig@nationwideenergypartners.com</w:t>
              </w:r>
            </w:hyperlink>
          </w:p>
          <w:p w:rsidR="00D43890" w:rsidRPr="00027842" w:rsidP="00D26E0D" w14:paraId="7949CFEF" w14:textId="77777777">
            <w:pPr>
              <w:pStyle w:val="BodyText"/>
              <w:rPr>
                <w:bCs/>
              </w:rPr>
            </w:pPr>
            <w:hyperlink r:id="rId43" w:history="1">
              <w:r w:rsidRPr="00027842">
                <w:rPr>
                  <w:rStyle w:val="Hyperlink"/>
                </w:rPr>
                <w:t>Bojko@carpenterlipps.com</w:t>
              </w:r>
            </w:hyperlink>
          </w:p>
          <w:p w:rsidR="00D43890" w:rsidRPr="00027842" w:rsidP="00D26E0D" w14:paraId="1FBAF0EC" w14:textId="77777777">
            <w:pPr>
              <w:pStyle w:val="BodyText"/>
              <w:rPr>
                <w:bCs/>
              </w:rPr>
            </w:pPr>
            <w:hyperlink r:id="rId44" w:history="1">
              <w:r w:rsidRPr="00027842">
                <w:rPr>
                  <w:rStyle w:val="Hyperlink"/>
                </w:rPr>
                <w:t>cgrundmann@spilmanlaw.com</w:t>
              </w:r>
            </w:hyperlink>
          </w:p>
          <w:p w:rsidR="00D43890" w:rsidRPr="00027842" w:rsidP="00D43890" w14:paraId="61B95331" w14:textId="77777777">
            <w:pPr>
              <w:pStyle w:val="BodyText"/>
              <w:rPr>
                <w:rStyle w:val="Hyperlink"/>
                <w:bCs/>
              </w:rPr>
            </w:pPr>
            <w:hyperlink r:id="rId45" w:history="1">
              <w:r w:rsidRPr="00027842">
                <w:rPr>
                  <w:rStyle w:val="Hyperlink"/>
                </w:rPr>
                <w:t>dwilliamson@spilmanlaw.com</w:t>
              </w:r>
            </w:hyperlink>
          </w:p>
          <w:p w:rsidR="00D43890" w:rsidRPr="00027842" w:rsidP="00D43890" w14:paraId="1DB96741" w14:textId="77777777">
            <w:pPr>
              <w:autoSpaceDE w:val="0"/>
              <w:autoSpaceDN w:val="0"/>
              <w:adjustRightInd w:val="0"/>
              <w:ind w:left="100"/>
              <w:rPr>
                <w:color w:val="0000FF"/>
              </w:rPr>
            </w:pPr>
            <w:hyperlink r:id="rId46" w:history="1">
              <w:r w:rsidRPr="00027842">
                <w:rPr>
                  <w:rStyle w:val="Hyperlink"/>
                </w:rPr>
                <w:t>cpirik@dickinsonwright.com</w:t>
              </w:r>
            </w:hyperlink>
          </w:p>
          <w:p w:rsidR="00D43890" w:rsidRPr="00027842" w:rsidP="00D43890" w14:paraId="6CBAE407" w14:textId="77777777">
            <w:pPr>
              <w:autoSpaceDE w:val="0"/>
              <w:autoSpaceDN w:val="0"/>
              <w:adjustRightInd w:val="0"/>
              <w:ind w:left="100"/>
              <w:rPr>
                <w:color w:val="0000FF"/>
              </w:rPr>
            </w:pPr>
            <w:hyperlink r:id="rId47" w:history="1">
              <w:r w:rsidRPr="00027842">
                <w:rPr>
                  <w:rStyle w:val="Hyperlink"/>
                </w:rPr>
                <w:t>todonnell@dickinsonwright.com</w:t>
              </w:r>
            </w:hyperlink>
          </w:p>
          <w:p w:rsidR="00D43890" w:rsidRPr="00027842" w:rsidP="00D43890" w14:paraId="58CAE251" w14:textId="77777777">
            <w:pPr>
              <w:autoSpaceDE w:val="0"/>
              <w:autoSpaceDN w:val="0"/>
              <w:adjustRightInd w:val="0"/>
              <w:ind w:left="100"/>
              <w:rPr>
                <w:color w:val="0000FF"/>
              </w:rPr>
            </w:pPr>
            <w:hyperlink r:id="rId48" w:history="1">
              <w:r w:rsidRPr="00027842">
                <w:rPr>
                  <w:rStyle w:val="Hyperlink"/>
                </w:rPr>
                <w:t>mmcdonnell@dickinsonwright.com</w:t>
              </w:r>
            </w:hyperlink>
          </w:p>
          <w:p w:rsidR="00D43890" w:rsidRPr="00027842" w:rsidP="00D26E0D" w14:paraId="7A592E57" w14:textId="77777777">
            <w:pPr>
              <w:pStyle w:val="BodyText"/>
              <w:rPr>
                <w:bCs/>
              </w:rPr>
            </w:pPr>
          </w:p>
          <w:p w:rsidR="00D43890" w:rsidRPr="00027842" w:rsidP="00D26E0D" w14:paraId="4A53B58B" w14:textId="77777777">
            <w:pPr>
              <w:pStyle w:val="BodyText"/>
              <w:rPr>
                <w:bCs/>
              </w:rPr>
            </w:pPr>
          </w:p>
          <w:p w:rsidR="00D43890" w:rsidRPr="00027842" w:rsidP="00D26E0D" w14:paraId="08686BBE" w14:textId="77777777">
            <w:pPr>
              <w:pStyle w:val="CommentText"/>
              <w:rPr>
                <w:sz w:val="24"/>
                <w:szCs w:val="24"/>
              </w:rPr>
            </w:pPr>
          </w:p>
        </w:tc>
      </w:tr>
    </w:tbl>
    <w:p w:rsidR="00015657" w:rsidRPr="00027842" w:rsidP="00F36163" w14:paraId="4A8560C0" w14:textId="77777777">
      <w:pPr>
        <w:jc w:val="center"/>
        <w:rPr>
          <w:b/>
          <w:u w:val="single"/>
        </w:rPr>
      </w:pPr>
    </w:p>
    <w:sectPr w:rsidSect="00CF5CA0">
      <w:headerReference w:type="even" r:id="rId49"/>
      <w:headerReference w:type="default" r:id="rId50"/>
      <w:headerReference w:type="first" r:id="rId51"/>
      <w:footerReference w:type="first" r:id="rId52"/>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09D" w14:paraId="72CB5C5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51D581BA" w14:textId="77777777">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2387F3F7"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22EDEDC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05A8D" w14:paraId="1D508BD8" w14:textId="77777777">
      <w:r>
        <w:separator/>
      </w:r>
    </w:p>
  </w:footnote>
  <w:footnote w:type="continuationSeparator" w:id="1">
    <w:p w:rsidR="00905A8D" w14:paraId="5C9BD272" w14:textId="77777777">
      <w:r>
        <w:continuationSeparator/>
      </w:r>
    </w:p>
  </w:footnote>
  <w:footnote w:type="continuationNotice" w:id="2">
    <w:p w:rsidR="00905A8D" w14:paraId="55567E56" w14:textId="77777777"/>
  </w:footnote>
  <w:footnote w:id="3">
    <w:p w:rsidR="00FC4E7F" w:rsidRPr="00027842" w:rsidP="00027842" w14:paraId="3E43F3C8"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Pr>
          <w:rFonts w:ascii="Times New Roman" w:hAnsi="Times New Roman"/>
          <w:i/>
        </w:rPr>
        <w:t>See</w:t>
      </w:r>
      <w:r w:rsidRPr="00027842">
        <w:rPr>
          <w:rFonts w:ascii="Times New Roman" w:hAnsi="Times New Roman"/>
        </w:rPr>
        <w:t xml:space="preserve"> R.C. Chapter 4911.</w:t>
      </w:r>
    </w:p>
  </w:footnote>
  <w:footnote w:id="4">
    <w:p w:rsidR="00A95343" w:rsidRPr="00027842" w:rsidP="00027842" w14:paraId="424A8DD3" w14:textId="73B75BA8">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bookmarkStart w:id="4" w:name="_Hlk105051922"/>
      <w:r w:rsidRPr="00027842" w:rsidR="00213B65">
        <w:rPr>
          <w:rFonts w:ascii="Times New Roman" w:hAnsi="Times New Roman"/>
          <w:i/>
        </w:rPr>
        <w:t>In the Matter of the Application of Duke Energy Ohio, Inc. for</w:t>
      </w:r>
      <w:r w:rsidRPr="00027842" w:rsidR="00213B65">
        <w:rPr>
          <w:rFonts w:ascii="Times New Roman" w:eastAsia="Courier New" w:hAnsi="Times New Roman"/>
          <w:i/>
        </w:rPr>
        <w:t xml:space="preserve"> an Increase in Electric Distribution Rates</w:t>
      </w:r>
      <w:r w:rsidRPr="00027842" w:rsidR="00213B65">
        <w:rPr>
          <w:rFonts w:ascii="Times New Roman" w:eastAsia="Courier New" w:hAnsi="Times New Roman"/>
        </w:rPr>
        <w:t xml:space="preserve">, </w:t>
      </w:r>
      <w:r w:rsidRPr="00027842" w:rsidR="00213B65">
        <w:rPr>
          <w:rFonts w:ascii="Times New Roman" w:hAnsi="Times New Roman"/>
        </w:rPr>
        <w:t xml:space="preserve">Case Nos. 21-887-EL-AIR, et al., </w:t>
      </w:r>
      <w:r w:rsidRPr="00027842" w:rsidR="00EA382E">
        <w:rPr>
          <w:rFonts w:ascii="Times New Roman" w:hAnsi="Times New Roman"/>
        </w:rPr>
        <w:t xml:space="preserve">Application </w:t>
      </w:r>
      <w:r w:rsidRPr="00027842" w:rsidR="00144419">
        <w:rPr>
          <w:rFonts w:ascii="Times New Roman" w:hAnsi="Times New Roman"/>
        </w:rPr>
        <w:t>Vol.1 at 3</w:t>
      </w:r>
      <w:r w:rsidRPr="00027842" w:rsidR="00213B65">
        <w:rPr>
          <w:rFonts w:ascii="Times New Roman" w:hAnsi="Times New Roman"/>
        </w:rPr>
        <w:t xml:space="preserve"> (</w:t>
      </w:r>
      <w:r w:rsidRPr="00027842" w:rsidR="00EA382E">
        <w:rPr>
          <w:rFonts w:ascii="Times New Roman" w:hAnsi="Times New Roman"/>
        </w:rPr>
        <w:t>October 1, 2021). (</w:t>
      </w:r>
      <w:r w:rsidRPr="00027842" w:rsidR="0098427D">
        <w:rPr>
          <w:rFonts w:ascii="Times New Roman" w:hAnsi="Times New Roman"/>
        </w:rPr>
        <w:t>“</w:t>
      </w:r>
      <w:r w:rsidRPr="00027842" w:rsidR="00EA382E">
        <w:rPr>
          <w:rFonts w:ascii="Times New Roman" w:hAnsi="Times New Roman"/>
        </w:rPr>
        <w:t>Application</w:t>
      </w:r>
      <w:r w:rsidRPr="00027842" w:rsidR="0098427D">
        <w:rPr>
          <w:rFonts w:ascii="Times New Roman" w:hAnsi="Times New Roman"/>
        </w:rPr>
        <w:t>”</w:t>
      </w:r>
      <w:r w:rsidRPr="00027842" w:rsidR="00EA382E">
        <w:rPr>
          <w:rFonts w:ascii="Times New Roman" w:hAnsi="Times New Roman"/>
        </w:rPr>
        <w:t>).</w:t>
      </w:r>
      <w:bookmarkEnd w:id="4"/>
    </w:p>
  </w:footnote>
  <w:footnote w:id="5">
    <w:p w:rsidR="00802C52" w:rsidRPr="00027842" w:rsidP="00027842" w14:paraId="11DED41C" w14:textId="1C580FED">
      <w:pPr>
        <w:pStyle w:val="BodyTextIndent3"/>
        <w:widowControl w:val="0"/>
        <w:ind w:left="0" w:right="-29"/>
        <w:rPr>
          <w:sz w:val="20"/>
          <w:szCs w:val="20"/>
        </w:rPr>
      </w:pPr>
      <w:r w:rsidRPr="00027842">
        <w:rPr>
          <w:rStyle w:val="FootnoteReference"/>
          <w:sz w:val="20"/>
          <w:szCs w:val="20"/>
        </w:rPr>
        <w:footnoteRef/>
      </w:r>
      <w:r w:rsidRPr="00027842">
        <w:rPr>
          <w:sz w:val="20"/>
          <w:szCs w:val="20"/>
        </w:rPr>
        <w:t xml:space="preserve"> </w:t>
      </w:r>
      <w:r w:rsidRPr="00027842">
        <w:rPr>
          <w:sz w:val="20"/>
          <w:szCs w:val="20"/>
          <w:lang w:bidi="ar-SA"/>
        </w:rPr>
        <w:t>The amount is calculated from a current $6 in Customer Charge and $0.031482/kWH in energy charge.</w:t>
      </w:r>
      <w:r w:rsidRPr="00027842" w:rsidR="006E753E">
        <w:rPr>
          <w:sz w:val="20"/>
          <w:szCs w:val="20"/>
        </w:rPr>
        <w:t xml:space="preserve"> </w:t>
      </w:r>
      <w:r w:rsidRPr="00027842" w:rsidR="006E753E">
        <w:rPr>
          <w:i/>
          <w:iCs/>
          <w:sz w:val="20"/>
          <w:szCs w:val="20"/>
        </w:rPr>
        <w:t>S</w:t>
      </w:r>
      <w:r w:rsidRPr="00027842">
        <w:rPr>
          <w:i/>
          <w:iCs/>
          <w:sz w:val="20"/>
          <w:szCs w:val="20"/>
          <w:lang w:bidi="ar-SA"/>
        </w:rPr>
        <w:t>ee</w:t>
      </w:r>
      <w:r w:rsidRPr="00027842">
        <w:rPr>
          <w:sz w:val="20"/>
          <w:szCs w:val="20"/>
          <w:lang w:bidi="ar-SA"/>
        </w:rPr>
        <w:t xml:space="preserve"> Application Schedule E-4.1.</w:t>
      </w:r>
      <w:r w:rsidRPr="00027842" w:rsidR="00C60CCF">
        <w:rPr>
          <w:sz w:val="20"/>
          <w:szCs w:val="20"/>
          <w:lang w:bidi="ar-SA"/>
        </w:rPr>
        <w:t xml:space="preserve"> </w:t>
      </w:r>
    </w:p>
  </w:footnote>
  <w:footnote w:id="6">
    <w:p w:rsidR="00802C52" w:rsidRPr="00027842" w:rsidP="00027842" w14:paraId="0D480CFF" w14:textId="0152D816">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bookmarkStart w:id="5" w:name="_Hlk105394432"/>
      <w:r w:rsidRPr="00027842">
        <w:rPr>
          <w:rFonts w:ascii="Times New Roman" w:hAnsi="Times New Roman"/>
        </w:rPr>
        <w:t xml:space="preserve">This amount is calculated from $12 in Customer Charge and $0.037438/kWH in Energy Charge proposed in the Application. </w:t>
      </w:r>
      <w:r w:rsidRPr="00027842">
        <w:rPr>
          <w:rFonts w:ascii="Times New Roman" w:hAnsi="Times New Roman"/>
          <w:i/>
          <w:iCs/>
        </w:rPr>
        <w:t>See</w:t>
      </w:r>
      <w:r w:rsidRPr="00027842">
        <w:rPr>
          <w:rFonts w:ascii="Times New Roman" w:hAnsi="Times New Roman"/>
        </w:rPr>
        <w:t xml:space="preserve"> Application Schedule E-4.1. </w:t>
      </w:r>
    </w:p>
    <w:bookmarkEnd w:id="5"/>
  </w:footnote>
  <w:footnote w:id="7">
    <w:p w:rsidR="00322FFB" w:rsidRPr="00027842" w:rsidP="00027842" w14:paraId="064B4F48" w14:textId="37D75749">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sidR="009302D8">
        <w:rPr>
          <w:rFonts w:ascii="Times New Roman" w:hAnsi="Times New Roman"/>
          <w:i/>
          <w:iCs/>
        </w:rPr>
        <w:t>See</w:t>
      </w:r>
      <w:r w:rsidRPr="00027842" w:rsidR="009302D8">
        <w:rPr>
          <w:rFonts w:ascii="Times New Roman" w:hAnsi="Times New Roman"/>
        </w:rPr>
        <w:t xml:space="preserve"> Report of Investigation filed by the Staff of the Public Utilities Commission of Ohio </w:t>
      </w:r>
      <w:r w:rsidRPr="00027842" w:rsidR="0098427D">
        <w:rPr>
          <w:rFonts w:ascii="Times New Roman" w:hAnsi="Times New Roman"/>
        </w:rPr>
        <w:t>(</w:t>
      </w:r>
      <w:r w:rsidRPr="00027842" w:rsidR="009302D8">
        <w:rPr>
          <w:rFonts w:ascii="Times New Roman" w:hAnsi="Times New Roman"/>
        </w:rPr>
        <w:t>May 19, 2022</w:t>
      </w:r>
      <w:r w:rsidRPr="00027842" w:rsidR="0098427D">
        <w:rPr>
          <w:rFonts w:ascii="Times New Roman" w:hAnsi="Times New Roman"/>
        </w:rPr>
        <w:t>) (“</w:t>
      </w:r>
      <w:r w:rsidRPr="00027842">
        <w:rPr>
          <w:rFonts w:ascii="Times New Roman" w:hAnsi="Times New Roman"/>
        </w:rPr>
        <w:t>Staff Report</w:t>
      </w:r>
      <w:r w:rsidRPr="00027842" w:rsidR="0098427D">
        <w:rPr>
          <w:rFonts w:ascii="Times New Roman" w:hAnsi="Times New Roman"/>
        </w:rPr>
        <w:t>”)</w:t>
      </w:r>
      <w:r w:rsidRPr="00027842">
        <w:rPr>
          <w:rFonts w:ascii="Times New Roman" w:hAnsi="Times New Roman"/>
        </w:rPr>
        <w:t xml:space="preserve"> at 48, Schedule A-1.</w:t>
      </w:r>
    </w:p>
  </w:footnote>
  <w:footnote w:id="8">
    <w:p w:rsidR="00307776" w:rsidRPr="00027842" w:rsidP="00027842" w14:paraId="4359968B" w14:textId="752E39B3">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12.</w:t>
      </w:r>
    </w:p>
  </w:footnote>
  <w:footnote w:id="9">
    <w:p w:rsidR="00860A7C" w:rsidRPr="00027842" w:rsidP="00027842" w14:paraId="0777931D"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7. </w:t>
      </w:r>
    </w:p>
  </w:footnote>
  <w:footnote w:id="10">
    <w:p w:rsidR="00860A7C" w:rsidRPr="00027842" w:rsidP="00027842" w14:paraId="2CBD422D"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9.</w:t>
      </w:r>
    </w:p>
  </w:footnote>
  <w:footnote w:id="11">
    <w:p w:rsidR="003850D1" w:rsidRPr="00027842" w:rsidP="00027842" w14:paraId="5EEDC620"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8.</w:t>
      </w:r>
    </w:p>
  </w:footnote>
  <w:footnote w:id="12">
    <w:p w:rsidR="003850D1" w:rsidRPr="00027842" w:rsidP="00027842" w14:paraId="01F0E62A"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9.</w:t>
      </w:r>
    </w:p>
  </w:footnote>
  <w:footnote w:id="13">
    <w:p w:rsidR="00CB024A" w:rsidRPr="00027842" w:rsidP="00027842" w14:paraId="56422D1A"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8.</w:t>
      </w:r>
    </w:p>
  </w:footnote>
  <w:footnote w:id="14">
    <w:p w:rsidR="00CB024A" w:rsidRPr="00027842" w:rsidP="00027842" w14:paraId="43C92BEA"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8-9.</w:t>
      </w:r>
    </w:p>
  </w:footnote>
  <w:footnote w:id="15">
    <w:p w:rsidR="00CB024A" w:rsidRPr="00027842" w:rsidP="00027842" w14:paraId="6D2DE28B"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9.</w:t>
      </w:r>
    </w:p>
  </w:footnote>
  <w:footnote w:id="16">
    <w:p w:rsidR="0099364F" w:rsidRPr="00027842" w:rsidP="00027842" w14:paraId="4ECF611C" w14:textId="1D3BBEF5">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16.</w:t>
      </w:r>
    </w:p>
  </w:footnote>
  <w:footnote w:id="17">
    <w:p w:rsidR="0099364F" w:rsidRPr="00027842" w:rsidP="00027842" w14:paraId="4E772F0E"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15.</w:t>
      </w:r>
    </w:p>
  </w:footnote>
  <w:footnote w:id="18">
    <w:p w:rsidR="00F40D5C" w:rsidRPr="00027842" w:rsidP="00027842" w14:paraId="31B27D9C" w14:textId="792DBB32">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w:t>
      </w:r>
      <w:r w:rsidRPr="00027842" w:rsidR="00BA7267">
        <w:rPr>
          <w:rFonts w:ascii="Times New Roman" w:hAnsi="Times New Roman"/>
        </w:rPr>
        <w:t xml:space="preserve"> 16.</w:t>
      </w:r>
    </w:p>
  </w:footnote>
  <w:footnote w:id="19">
    <w:p w:rsidR="0099364F" w:rsidRPr="00027842" w:rsidP="00027842" w14:paraId="3390166D"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16.</w:t>
      </w:r>
    </w:p>
  </w:footnote>
  <w:footnote w:id="20">
    <w:p w:rsidR="005D3B33" w:rsidRPr="00027842" w:rsidP="00027842" w14:paraId="0FFA47F7"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13.</w:t>
      </w:r>
    </w:p>
  </w:footnote>
  <w:footnote w:id="21">
    <w:p w:rsidR="005D3B33" w:rsidRPr="00027842" w:rsidP="00027842" w14:paraId="0FA78103"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13.</w:t>
      </w:r>
    </w:p>
  </w:footnote>
  <w:footnote w:id="22">
    <w:p w:rsidR="005D3B33" w:rsidRPr="00027842" w:rsidP="00027842" w14:paraId="280CFEFF"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13.</w:t>
      </w:r>
    </w:p>
  </w:footnote>
  <w:footnote w:id="23">
    <w:p w:rsidR="005D3B33" w:rsidRPr="00027842" w:rsidP="00027842" w14:paraId="159F4B3D"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14.</w:t>
      </w:r>
    </w:p>
  </w:footnote>
  <w:footnote w:id="24">
    <w:p w:rsidR="005D3B33" w:rsidRPr="00027842" w:rsidP="00027842" w14:paraId="1B162B65"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14.</w:t>
      </w:r>
    </w:p>
  </w:footnote>
  <w:footnote w:id="25">
    <w:p w:rsidR="005D3B33" w:rsidRPr="00027842" w:rsidP="00027842" w14:paraId="4DB03D91" w14:textId="07895EC9">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14.</w:t>
      </w:r>
    </w:p>
  </w:footnote>
  <w:footnote w:id="26">
    <w:p w:rsidR="005D3B33" w:rsidRPr="00027842" w:rsidP="00027842" w14:paraId="7D36CCF2"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14.</w:t>
      </w:r>
    </w:p>
  </w:footnote>
  <w:footnote w:id="27">
    <w:p w:rsidR="00E869FF" w:rsidRPr="00027842" w:rsidP="00027842" w14:paraId="455728CB" w14:textId="411EB274">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14-15.</w:t>
      </w:r>
    </w:p>
  </w:footnote>
  <w:footnote w:id="28">
    <w:p w:rsidR="00E869FF" w:rsidRPr="00027842" w:rsidP="00027842" w14:paraId="06DD0CDA" w14:textId="4ED66775">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15.</w:t>
      </w:r>
    </w:p>
  </w:footnote>
  <w:footnote w:id="29">
    <w:p w:rsidR="00E869FF" w:rsidRPr="00027842" w:rsidP="00027842" w14:paraId="16BC975C" w14:textId="0B6F8BE4">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15.</w:t>
      </w:r>
    </w:p>
  </w:footnote>
  <w:footnote w:id="30">
    <w:p w:rsidR="005D3B33" w:rsidRPr="00027842" w:rsidP="00027842" w14:paraId="12382EF0"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15.</w:t>
      </w:r>
    </w:p>
  </w:footnote>
  <w:footnote w:id="31">
    <w:p w:rsidR="007E27A3" w:rsidRPr="00027842" w:rsidP="00027842" w14:paraId="20D75DA4" w14:textId="3292A7B6">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15.</w:t>
      </w:r>
    </w:p>
  </w:footnote>
  <w:footnote w:id="32">
    <w:p w:rsidR="00C67040" w:rsidRPr="00027842" w:rsidP="00027842" w14:paraId="5E01F4E0" w14:textId="602B597E">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15.</w:t>
      </w:r>
    </w:p>
  </w:footnote>
  <w:footnote w:id="33">
    <w:p w:rsidR="005D3B33" w:rsidRPr="00027842" w:rsidP="00027842" w14:paraId="58E9C810"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16.</w:t>
      </w:r>
    </w:p>
  </w:footnote>
  <w:footnote w:id="34">
    <w:p w:rsidR="005D3B33" w:rsidRPr="00027842" w:rsidP="00027842" w14:paraId="736AABFF"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16.</w:t>
      </w:r>
    </w:p>
  </w:footnote>
  <w:footnote w:id="35">
    <w:p w:rsidR="00526359" w:rsidRPr="00027842" w:rsidP="00027842" w14:paraId="6F4DEDC9" w14:textId="3F81C25F">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22.</w:t>
      </w:r>
    </w:p>
  </w:footnote>
  <w:footnote w:id="36">
    <w:p w:rsidR="00526359" w:rsidRPr="00027842" w:rsidP="00027842" w14:paraId="61161061" w14:textId="6A1F470E">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26.</w:t>
      </w:r>
    </w:p>
  </w:footnote>
  <w:footnote w:id="37">
    <w:p w:rsidR="00DA2F34" w:rsidRPr="00027842" w:rsidP="00027842" w14:paraId="6B2055E0" w14:textId="00067999">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35. </w:t>
      </w:r>
    </w:p>
  </w:footnote>
  <w:footnote w:id="38">
    <w:p w:rsidR="00E22D50" w:rsidRPr="00027842" w:rsidP="00027842" w14:paraId="1E712A41" w14:textId="3617E4D2">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40.</w:t>
      </w:r>
    </w:p>
  </w:footnote>
  <w:footnote w:id="39">
    <w:p w:rsidR="00B85EEC" w:rsidRPr="00027842" w:rsidP="00027842" w14:paraId="6DF76432" w14:textId="2571B565">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41.</w:t>
      </w:r>
    </w:p>
  </w:footnote>
  <w:footnote w:id="40">
    <w:p w:rsidR="000B498E" w:rsidRPr="00027842" w:rsidP="00027842" w14:paraId="37B9EF63" w14:textId="5075CC61">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10-11.</w:t>
      </w:r>
    </w:p>
  </w:footnote>
  <w:footnote w:id="41">
    <w:p w:rsidR="00B70535" w:rsidRPr="00027842" w:rsidP="00027842" w14:paraId="59F6E5C0" w14:textId="76011AD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10</w:t>
      </w:r>
      <w:r w:rsidRPr="00027842" w:rsidR="00AD10D2">
        <w:rPr>
          <w:rFonts w:ascii="Times New Roman" w:hAnsi="Times New Roman"/>
        </w:rPr>
        <w:t>.</w:t>
      </w:r>
    </w:p>
  </w:footnote>
  <w:footnote w:id="42">
    <w:p w:rsidR="00E138E7" w:rsidRPr="00027842" w:rsidP="00027842" w14:paraId="56D574C1" w14:textId="6168C94C">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Pr>
          <w:rFonts w:ascii="Times New Roman" w:hAnsi="Times New Roman"/>
          <w:i/>
          <w:iCs/>
        </w:rPr>
        <w:t xml:space="preserve">In the Matter of the Application of Duke Energy Ohio, Inc. for an Increase in Electric Distribution Rates., </w:t>
      </w:r>
      <w:r w:rsidRPr="00027842">
        <w:rPr>
          <w:rFonts w:ascii="Times New Roman" w:hAnsi="Times New Roman"/>
        </w:rPr>
        <w:t>Case 17-32-EL-AIR, Opinion and Order (December 19, 2018) at 39</w:t>
      </w:r>
      <w:r w:rsidRPr="00027842" w:rsidR="0073617A">
        <w:rPr>
          <w:rFonts w:ascii="Times New Roman" w:hAnsi="Times New Roman"/>
        </w:rPr>
        <w:t>.</w:t>
      </w:r>
    </w:p>
  </w:footnote>
  <w:footnote w:id="43">
    <w:p w:rsidR="0073617A" w:rsidRPr="00027842" w:rsidP="00027842" w14:paraId="5B9C3C53" w14:textId="20C09C1C">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14.</w:t>
      </w:r>
    </w:p>
  </w:footnote>
  <w:footnote w:id="44">
    <w:p w:rsidR="0073617A" w:rsidRPr="00027842" w:rsidP="00027842" w14:paraId="08E4E456" w14:textId="30E9FDE6">
      <w:pPr>
        <w:pStyle w:val="FootnoteText"/>
        <w:spacing w:after="120"/>
        <w:rPr>
          <w:rFonts w:ascii="Times New Roman" w:hAnsi="Times New Roman"/>
          <w:i/>
          <w:iCs/>
        </w:rPr>
      </w:pPr>
      <w:r w:rsidRPr="00027842">
        <w:rPr>
          <w:rStyle w:val="FootnoteReference"/>
          <w:rFonts w:ascii="Times New Roman" w:hAnsi="Times New Roman"/>
        </w:rPr>
        <w:footnoteRef/>
      </w:r>
      <w:r w:rsidRPr="00027842">
        <w:rPr>
          <w:rFonts w:ascii="Times New Roman" w:hAnsi="Times New Roman"/>
        </w:rPr>
        <w:t xml:space="preserve"> </w:t>
      </w:r>
      <w:r w:rsidRPr="00027842">
        <w:rPr>
          <w:rFonts w:ascii="Times New Roman" w:hAnsi="Times New Roman"/>
          <w:i/>
          <w:iCs/>
        </w:rPr>
        <w:t>Id.</w:t>
      </w:r>
    </w:p>
  </w:footnote>
  <w:footnote w:id="45">
    <w:p w:rsidR="004141F0" w:rsidRPr="00027842" w:rsidP="00027842" w14:paraId="188865D2" w14:textId="219C754E">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sidR="007A521A">
        <w:rPr>
          <w:rFonts w:ascii="Times New Roman" w:hAnsi="Times New Roman"/>
          <w:i/>
          <w:iCs/>
        </w:rPr>
        <w:t>See</w:t>
      </w:r>
      <w:r w:rsidRPr="00027842" w:rsidR="007A521A">
        <w:rPr>
          <w:rFonts w:ascii="Times New Roman" w:hAnsi="Times New Roman"/>
        </w:rPr>
        <w:t xml:space="preserve"> WPC-3.8a.</w:t>
      </w:r>
    </w:p>
  </w:footnote>
  <w:footnote w:id="46">
    <w:p w:rsidR="002538FC" w:rsidRPr="00027842" w:rsidP="00027842" w14:paraId="726C077C" w14:textId="587DC98C">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Pr>
          <w:rFonts w:ascii="Times New Roman" w:hAnsi="Times New Roman"/>
          <w:i/>
          <w:iCs/>
        </w:rPr>
        <w:t>In the Matter of the Review of Duke Energy Ohio, Inc.’s Distribution Storm Rider</w:t>
      </w:r>
      <w:r w:rsidRPr="00027842">
        <w:rPr>
          <w:rFonts w:ascii="Times New Roman" w:hAnsi="Times New Roman"/>
        </w:rPr>
        <w:t>, Case No. 21-165-EL-RDR</w:t>
      </w:r>
      <w:r w:rsidRPr="00BF5002">
        <w:rPr>
          <w:rFonts w:ascii="Times New Roman" w:hAnsi="Times New Roman"/>
        </w:rPr>
        <w:t>, et al.,</w:t>
      </w:r>
      <w:r w:rsidRPr="00027842">
        <w:rPr>
          <w:rFonts w:ascii="Times New Roman" w:hAnsi="Times New Roman"/>
        </w:rPr>
        <w:t xml:space="preserve"> Finding and Order (Sept</w:t>
      </w:r>
      <w:r w:rsidRPr="00027842" w:rsidR="009E7D6C">
        <w:rPr>
          <w:rFonts w:ascii="Times New Roman" w:hAnsi="Times New Roman"/>
        </w:rPr>
        <w:t>ember</w:t>
      </w:r>
      <w:r w:rsidRPr="00027842">
        <w:rPr>
          <w:rFonts w:ascii="Times New Roman" w:hAnsi="Times New Roman"/>
        </w:rPr>
        <w:t xml:space="preserve"> </w:t>
      </w:r>
      <w:r w:rsidRPr="00027842" w:rsidR="00870536">
        <w:rPr>
          <w:rFonts w:ascii="Times New Roman" w:hAnsi="Times New Roman"/>
        </w:rPr>
        <w:t xml:space="preserve">23, 2021). </w:t>
      </w:r>
    </w:p>
  </w:footnote>
  <w:footnote w:id="47">
    <w:p w:rsidR="004D42D1" w:rsidRPr="00027842" w:rsidP="00027842" w14:paraId="3E381BBF" w14:textId="4080D908">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sidR="00B843E8">
        <w:rPr>
          <w:rFonts w:ascii="Times New Roman" w:hAnsi="Times New Roman"/>
        </w:rPr>
        <w:t>Staff Report at 15.</w:t>
      </w:r>
    </w:p>
  </w:footnote>
  <w:footnote w:id="48">
    <w:p w:rsidR="00E433AC" w:rsidRPr="00027842" w:rsidP="00027842" w14:paraId="1019AFD1" w14:textId="2A8E3F76">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9.</w:t>
      </w:r>
    </w:p>
  </w:footnote>
  <w:footnote w:id="49">
    <w:p w:rsidR="006E67A0" w:rsidRPr="00027842" w:rsidP="00027842" w14:paraId="1AEE3D19" w14:textId="5765F5A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w:t>
      </w:r>
      <w:r w:rsidRPr="00027842" w:rsidR="00D956D9">
        <w:rPr>
          <w:rFonts w:ascii="Times New Roman" w:hAnsi="Times New Roman"/>
        </w:rPr>
        <w:t>18</w:t>
      </w:r>
      <w:r w:rsidRPr="00027842">
        <w:rPr>
          <w:rFonts w:ascii="Times New Roman" w:hAnsi="Times New Roman"/>
        </w:rPr>
        <w:t>.</w:t>
      </w:r>
    </w:p>
  </w:footnote>
  <w:footnote w:id="50">
    <w:p w:rsidR="00716236" w:rsidRPr="00027842" w:rsidP="00027842" w14:paraId="185755DE" w14:textId="590BD75D">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w:t>
      </w:r>
      <w:r w:rsidRPr="00027842" w:rsidR="00D90643">
        <w:rPr>
          <w:rFonts w:ascii="Times New Roman" w:hAnsi="Times New Roman"/>
        </w:rPr>
        <w:t>19-20.</w:t>
      </w:r>
    </w:p>
  </w:footnote>
  <w:footnote w:id="51">
    <w:p w:rsidR="00264EC5" w:rsidRPr="00027842" w:rsidP="00027842" w14:paraId="56D256EB"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18.</w:t>
      </w:r>
    </w:p>
  </w:footnote>
  <w:footnote w:id="52">
    <w:p w:rsidR="008D05C8" w:rsidRPr="00027842" w:rsidP="00027842" w14:paraId="1C228AE7" w14:textId="0B06EA2B">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19.</w:t>
      </w:r>
    </w:p>
  </w:footnote>
  <w:footnote w:id="53">
    <w:p w:rsidR="00F57242" w:rsidRPr="00027842" w:rsidP="00027842" w14:paraId="791945C1" w14:textId="1713A77B">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w:t>
      </w:r>
      <w:r w:rsidRPr="00027842" w:rsidR="00060EC6">
        <w:rPr>
          <w:rFonts w:ascii="Times New Roman" w:hAnsi="Times New Roman"/>
        </w:rPr>
        <w:t>19-20</w:t>
      </w:r>
      <w:r w:rsidRPr="00027842">
        <w:rPr>
          <w:rFonts w:ascii="Times New Roman" w:hAnsi="Times New Roman"/>
        </w:rPr>
        <w:t>.</w:t>
      </w:r>
    </w:p>
  </w:footnote>
  <w:footnote w:id="54">
    <w:p w:rsidR="00715529" w:rsidRPr="00027842" w:rsidP="00027842" w14:paraId="3D8EA776" w14:textId="6C1A7C61">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Schedule D-1.17. </w:t>
      </w:r>
    </w:p>
  </w:footnote>
  <w:footnote w:id="55">
    <w:p w:rsidR="00A762C7" w:rsidRPr="00027842" w:rsidP="00027842" w14:paraId="1C5F8DB3" w14:textId="21B2FA92">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2</w:t>
      </w:r>
      <w:r w:rsidRPr="00027842" w:rsidR="00060EC6">
        <w:rPr>
          <w:rFonts w:ascii="Times New Roman" w:hAnsi="Times New Roman"/>
        </w:rPr>
        <w:t>0</w:t>
      </w:r>
      <w:r w:rsidRPr="00027842">
        <w:rPr>
          <w:rFonts w:ascii="Times New Roman" w:hAnsi="Times New Roman"/>
        </w:rPr>
        <w:t>.</w:t>
      </w:r>
    </w:p>
  </w:footnote>
  <w:footnote w:id="56">
    <w:p w:rsidR="0051009F" w:rsidRPr="00027842" w:rsidP="00027842" w14:paraId="5E57B99B" w14:textId="62692A1D">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40-42.</w:t>
      </w:r>
    </w:p>
  </w:footnote>
  <w:footnote w:id="57">
    <w:p w:rsidR="0051009F" w:rsidRPr="00027842" w:rsidP="00027842" w14:paraId="16EA4FEA" w14:textId="4816567D">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40-42.</w:t>
      </w:r>
    </w:p>
  </w:footnote>
  <w:footnote w:id="58">
    <w:p w:rsidR="00D64106" w:rsidRPr="00027842" w:rsidP="00027842" w14:paraId="742AF061" w14:textId="08F959F5">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28, Table 3.</w:t>
      </w:r>
    </w:p>
  </w:footnote>
  <w:footnote w:id="59">
    <w:p w:rsidR="00230ABD" w:rsidRPr="00027842" w:rsidP="00027842" w14:paraId="79AD48B1" w14:textId="73394404">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30, Table 5. </w:t>
      </w:r>
    </w:p>
  </w:footnote>
  <w:footnote w:id="60">
    <w:p w:rsidR="0093526B" w:rsidRPr="00027842" w:rsidP="00027842" w14:paraId="6E947392" w14:textId="4E29B7F8">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24.</w:t>
      </w:r>
    </w:p>
  </w:footnote>
  <w:footnote w:id="61">
    <w:p w:rsidR="001F1D61" w:rsidRPr="00027842" w:rsidP="00027842" w14:paraId="3C2722DB" w14:textId="1FE9AADF">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41. </w:t>
      </w:r>
    </w:p>
  </w:footnote>
  <w:footnote w:id="62">
    <w:p w:rsidR="00297FD1" w:rsidRPr="00027842" w:rsidP="00027842" w14:paraId="527A39AC" w14:textId="26A1E59E">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22. </w:t>
      </w:r>
    </w:p>
  </w:footnote>
  <w:footnote w:id="63">
    <w:p w:rsidR="005A2E20" w:rsidRPr="00027842" w:rsidP="00027842" w14:paraId="5BDD1CBB"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41.</w:t>
      </w:r>
    </w:p>
  </w:footnote>
  <w:footnote w:id="64">
    <w:p w:rsidR="005A2E20" w:rsidRPr="00027842" w:rsidP="00027842" w14:paraId="4CA40B9F"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44.</w:t>
      </w:r>
    </w:p>
  </w:footnote>
  <w:footnote w:id="65">
    <w:p w:rsidR="00D93CEC" w:rsidRPr="00027842" w:rsidP="00027842" w14:paraId="78244C09" w14:textId="32E5252A">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6.</w:t>
      </w:r>
      <w:r w:rsidRPr="00027842" w:rsidR="00ED11E1">
        <w:rPr>
          <w:rFonts w:ascii="Times New Roman" w:hAnsi="Times New Roman"/>
        </w:rPr>
        <w:t xml:space="preserve"> The test year was April 1, 2021 through March 31, 2022.</w:t>
      </w:r>
    </w:p>
  </w:footnote>
  <w:footnote w:id="66">
    <w:p w:rsidR="005A2E20" w:rsidRPr="00027842" w:rsidP="00027842" w14:paraId="4C5EBCDC"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w:t>
      </w:r>
      <w:r w:rsidRPr="00027842">
        <w:rPr>
          <w:rFonts w:ascii="Times New Roman" w:hAnsi="Times New Roman"/>
          <w:i/>
          <w:iCs/>
        </w:rPr>
        <w:t>Id.</w:t>
      </w:r>
    </w:p>
  </w:footnote>
  <w:footnote w:id="67">
    <w:p w:rsidR="005A2E20" w:rsidRPr="00027842" w:rsidP="00027842" w14:paraId="6980258D" w14:textId="77777777">
      <w:pPr>
        <w:pStyle w:val="FootnoteText"/>
        <w:spacing w:after="120"/>
        <w:rPr>
          <w:rFonts w:ascii="Times New Roman" w:hAnsi="Times New Roman"/>
        </w:rPr>
      </w:pPr>
      <w:r w:rsidRPr="00027842">
        <w:rPr>
          <w:rStyle w:val="FootnoteReference"/>
          <w:rFonts w:ascii="Times New Roman" w:hAnsi="Times New Roman"/>
        </w:rPr>
        <w:footnoteRef/>
      </w:r>
      <w:r w:rsidRPr="00027842">
        <w:rPr>
          <w:rFonts w:ascii="Times New Roman" w:hAnsi="Times New Roman"/>
        </w:rPr>
        <w:t xml:space="preserve"> Staff Report at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2E1E2FD7" w14:textId="79672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1F20DA5B" w14:textId="04EDC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2777F9EF" w14:textId="57BFF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31A20E0D" w14:textId="63FEDC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54CF00F4" w14:textId="4356CD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0F4F014E" w14:textId="1D37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F6A72"/>
    <w:multiLevelType w:val="hybridMultilevel"/>
    <w:tmpl w:val="D58E55DA"/>
    <w:lvl w:ilvl="0">
      <w:start w:val="2"/>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4E37D3"/>
    <w:multiLevelType w:val="hybridMultilevel"/>
    <w:tmpl w:val="8AD0F55E"/>
    <w:lvl w:ilvl="0">
      <w:start w:val="6"/>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0D5A3D"/>
    <w:multiLevelType w:val="hybridMultilevel"/>
    <w:tmpl w:val="0710741A"/>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2947A55"/>
    <w:multiLevelType w:val="hybridMultilevel"/>
    <w:tmpl w:val="94949578"/>
    <w:lvl w:ilvl="0">
      <w:start w:val="1"/>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12BA1635"/>
    <w:multiLevelType w:val="hybridMultilevel"/>
    <w:tmpl w:val="3A9A752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852F47"/>
    <w:multiLevelType w:val="hybridMultilevel"/>
    <w:tmpl w:val="6ECCF698"/>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170E1A75"/>
    <w:multiLevelType w:val="hybridMultilevel"/>
    <w:tmpl w:val="8FF650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9A0B4A"/>
    <w:multiLevelType w:val="hybridMultilevel"/>
    <w:tmpl w:val="47BEA26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BE30639"/>
    <w:multiLevelType w:val="hybridMultilevel"/>
    <w:tmpl w:val="D92C1CC2"/>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3">
    <w:nsid w:val="1CCB543B"/>
    <w:multiLevelType w:val="hybridMultilevel"/>
    <w:tmpl w:val="84DC731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23A3BBE"/>
    <w:multiLevelType w:val="hybridMultilevel"/>
    <w:tmpl w:val="F1F4CAC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2B034180"/>
    <w:multiLevelType w:val="hybridMultilevel"/>
    <w:tmpl w:val="C8FABFFA"/>
    <w:lvl w:ilvl="0">
      <w:start w:val="1"/>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7">
    <w:nsid w:val="2E0D5E33"/>
    <w:multiLevelType w:val="hybridMultilevel"/>
    <w:tmpl w:val="30C0B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987903"/>
    <w:multiLevelType w:val="hybridMultilevel"/>
    <w:tmpl w:val="C56078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2A04A1"/>
    <w:multiLevelType w:val="hybridMultilevel"/>
    <w:tmpl w:val="FE2EEE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90407E"/>
    <w:multiLevelType w:val="hybridMultilevel"/>
    <w:tmpl w:val="A4E43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F23668A"/>
    <w:multiLevelType w:val="hybridMultilevel"/>
    <w:tmpl w:val="33D02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9B514D"/>
    <w:multiLevelType w:val="hybridMultilevel"/>
    <w:tmpl w:val="EFB6C2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1546E1A"/>
    <w:multiLevelType w:val="hybridMultilevel"/>
    <w:tmpl w:val="11903D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38E6565"/>
    <w:multiLevelType w:val="hybridMultilevel"/>
    <w:tmpl w:val="613225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3B253C1"/>
    <w:multiLevelType w:val="hybridMultilevel"/>
    <w:tmpl w:val="67A8048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47EC6186"/>
    <w:multiLevelType w:val="hybridMultilevel"/>
    <w:tmpl w:val="19A403DE"/>
    <w:lvl w:ilvl="0">
      <w:start w:val="1"/>
      <w:numFmt w:val="upperLetter"/>
      <w:lvlText w:val="%1."/>
      <w:lvlJc w:val="left"/>
      <w:pPr>
        <w:ind w:left="10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CD0CDD"/>
    <w:multiLevelType w:val="hybridMultilevel"/>
    <w:tmpl w:val="23640136"/>
    <w:lvl w:ilvl="0">
      <w:start w:val="1"/>
      <w:numFmt w:val="decimal"/>
      <w:lvlText w:val="(%1)"/>
      <w:lvlJc w:val="left"/>
      <w:pPr>
        <w:ind w:left="1080" w:hanging="360"/>
      </w:pPr>
      <w:rPr>
        <w:rFonts w:hint="default"/>
        <w:b w:val="0"/>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F6798C"/>
    <w:multiLevelType w:val="hybridMultilevel"/>
    <w:tmpl w:val="CDB678B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88034CB"/>
    <w:multiLevelType w:val="hybridMultilevel"/>
    <w:tmpl w:val="F4BA4088"/>
    <w:lvl w:ilvl="0">
      <w:start w:val="6"/>
      <w:numFmt w:val="low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CE155C4"/>
    <w:multiLevelType w:val="hybridMultilevel"/>
    <w:tmpl w:val="1C52C22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9E1075"/>
    <w:multiLevelType w:val="hybridMultilevel"/>
    <w:tmpl w:val="3BC69D68"/>
    <w:lvl w:ilvl="0">
      <w:start w:val="4"/>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5">
    <w:nsid w:val="780070B7"/>
    <w:multiLevelType w:val="hybridMultilevel"/>
    <w:tmpl w:val="B8DE8C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AC525C6"/>
    <w:multiLevelType w:val="hybridMultilevel"/>
    <w:tmpl w:val="AFEC7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8">
    <w:nsid w:val="7BDB42B5"/>
    <w:multiLevelType w:val="hybridMultilevel"/>
    <w:tmpl w:val="9C887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43"/>
  </w:num>
  <w:num w:numId="4">
    <w:abstractNumId w:val="1"/>
  </w:num>
  <w:num w:numId="5">
    <w:abstractNumId w:val="38"/>
  </w:num>
  <w:num w:numId="6">
    <w:abstractNumId w:val="27"/>
  </w:num>
  <w:num w:numId="7">
    <w:abstractNumId w:val="32"/>
  </w:num>
  <w:num w:numId="8">
    <w:abstractNumId w:val="41"/>
  </w:num>
  <w:num w:numId="9">
    <w:abstractNumId w:val="35"/>
  </w:num>
  <w:num w:numId="10">
    <w:abstractNumId w:val="3"/>
  </w:num>
  <w:num w:numId="11">
    <w:abstractNumId w:val="15"/>
  </w:num>
  <w:num w:numId="12">
    <w:abstractNumId w:val="23"/>
  </w:num>
  <w:num w:numId="13">
    <w:abstractNumId w:val="21"/>
  </w:num>
  <w:num w:numId="14">
    <w:abstractNumId w:val="8"/>
  </w:num>
  <w:num w:numId="15">
    <w:abstractNumId w:val="47"/>
  </w:num>
  <w:num w:numId="16">
    <w:abstractNumId w:val="4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9"/>
  </w:num>
  <w:num w:numId="22">
    <w:abstractNumId w:val="13"/>
  </w:num>
  <w:num w:numId="23">
    <w:abstractNumId w:val="0"/>
  </w:num>
  <w:num w:numId="24">
    <w:abstractNumId w:val="12"/>
  </w:num>
  <w:num w:numId="25">
    <w:abstractNumId w:val="46"/>
  </w:num>
  <w:num w:numId="26">
    <w:abstractNumId w:val="28"/>
  </w:num>
  <w:num w:numId="27">
    <w:abstractNumId w:val="26"/>
  </w:num>
  <w:num w:numId="28">
    <w:abstractNumId w:val="25"/>
  </w:num>
  <w:num w:numId="29">
    <w:abstractNumId w:val="20"/>
  </w:num>
  <w:num w:numId="30">
    <w:abstractNumId w:val="34"/>
  </w:num>
  <w:num w:numId="31">
    <w:abstractNumId w:val="2"/>
  </w:num>
  <w:num w:numId="32">
    <w:abstractNumId w:val="17"/>
  </w:num>
  <w:num w:numId="33">
    <w:abstractNumId w:val="5"/>
  </w:num>
  <w:num w:numId="34">
    <w:abstractNumId w:val="39"/>
  </w:num>
  <w:num w:numId="35">
    <w:abstractNumId w:val="48"/>
  </w:num>
  <w:num w:numId="36">
    <w:abstractNumId w:val="30"/>
  </w:num>
  <w:num w:numId="37">
    <w:abstractNumId w:val="22"/>
  </w:num>
  <w:num w:numId="38">
    <w:abstractNumId w:val="14"/>
  </w:num>
  <w:num w:numId="39">
    <w:abstractNumId w:val="30"/>
  </w:num>
  <w:num w:numId="40">
    <w:abstractNumId w:val="45"/>
  </w:num>
  <w:num w:numId="41">
    <w:abstractNumId w:val="10"/>
  </w:num>
  <w:num w:numId="42">
    <w:abstractNumId w:val="24"/>
  </w:num>
  <w:num w:numId="43">
    <w:abstractNumId w:val="24"/>
  </w:num>
  <w:num w:numId="44">
    <w:abstractNumId w:val="29"/>
  </w:num>
  <w:num w:numId="45">
    <w:abstractNumId w:val="18"/>
  </w:num>
  <w:num w:numId="46">
    <w:abstractNumId w:val="11"/>
  </w:num>
  <w:num w:numId="47">
    <w:abstractNumId w:val="44"/>
  </w:num>
  <w:num w:numId="48">
    <w:abstractNumId w:val="31"/>
  </w:num>
  <w:num w:numId="49">
    <w:abstractNumId w:val="6"/>
  </w:num>
  <w:num w:numId="50">
    <w:abstractNumId w:val="16"/>
  </w:num>
  <w:num w:numId="51">
    <w:abstractNumId w:val="37"/>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06E"/>
    <w:rsid w:val="00000F52"/>
    <w:rsid w:val="00001221"/>
    <w:rsid w:val="00002B97"/>
    <w:rsid w:val="00002F66"/>
    <w:rsid w:val="00003BDE"/>
    <w:rsid w:val="000043C4"/>
    <w:rsid w:val="00004563"/>
    <w:rsid w:val="00005FC3"/>
    <w:rsid w:val="000066B8"/>
    <w:rsid w:val="00011FD6"/>
    <w:rsid w:val="0001316E"/>
    <w:rsid w:val="00013C56"/>
    <w:rsid w:val="000143E1"/>
    <w:rsid w:val="00015236"/>
    <w:rsid w:val="00015657"/>
    <w:rsid w:val="00017A50"/>
    <w:rsid w:val="00017AFB"/>
    <w:rsid w:val="00020305"/>
    <w:rsid w:val="00020E12"/>
    <w:rsid w:val="00021AD9"/>
    <w:rsid w:val="00021B7A"/>
    <w:rsid w:val="0002208C"/>
    <w:rsid w:val="00022513"/>
    <w:rsid w:val="00022573"/>
    <w:rsid w:val="00022632"/>
    <w:rsid w:val="000229D5"/>
    <w:rsid w:val="00022D7E"/>
    <w:rsid w:val="00023DB2"/>
    <w:rsid w:val="00024E10"/>
    <w:rsid w:val="000254B3"/>
    <w:rsid w:val="000263E6"/>
    <w:rsid w:val="00027842"/>
    <w:rsid w:val="000300DD"/>
    <w:rsid w:val="00031E64"/>
    <w:rsid w:val="00033CDD"/>
    <w:rsid w:val="0003412B"/>
    <w:rsid w:val="000350F7"/>
    <w:rsid w:val="00035BA8"/>
    <w:rsid w:val="00036114"/>
    <w:rsid w:val="00036A46"/>
    <w:rsid w:val="00036E65"/>
    <w:rsid w:val="00037ECA"/>
    <w:rsid w:val="00041F41"/>
    <w:rsid w:val="00044D6A"/>
    <w:rsid w:val="000457B3"/>
    <w:rsid w:val="00046894"/>
    <w:rsid w:val="00047E47"/>
    <w:rsid w:val="00050597"/>
    <w:rsid w:val="000525E6"/>
    <w:rsid w:val="00052C17"/>
    <w:rsid w:val="00052E77"/>
    <w:rsid w:val="000546A5"/>
    <w:rsid w:val="00055635"/>
    <w:rsid w:val="000557F9"/>
    <w:rsid w:val="00060347"/>
    <w:rsid w:val="00060581"/>
    <w:rsid w:val="00060E8C"/>
    <w:rsid w:val="00060EC6"/>
    <w:rsid w:val="00063E38"/>
    <w:rsid w:val="0006511F"/>
    <w:rsid w:val="00065809"/>
    <w:rsid w:val="00065B6F"/>
    <w:rsid w:val="00071A49"/>
    <w:rsid w:val="00074367"/>
    <w:rsid w:val="00074DAE"/>
    <w:rsid w:val="000809E7"/>
    <w:rsid w:val="00081AA3"/>
    <w:rsid w:val="00082025"/>
    <w:rsid w:val="000823E4"/>
    <w:rsid w:val="00082ACD"/>
    <w:rsid w:val="00082B0F"/>
    <w:rsid w:val="00083D09"/>
    <w:rsid w:val="00086676"/>
    <w:rsid w:val="000876C0"/>
    <w:rsid w:val="00090383"/>
    <w:rsid w:val="000909C4"/>
    <w:rsid w:val="00092889"/>
    <w:rsid w:val="00094150"/>
    <w:rsid w:val="00096835"/>
    <w:rsid w:val="000979AB"/>
    <w:rsid w:val="000A0293"/>
    <w:rsid w:val="000A2A0A"/>
    <w:rsid w:val="000A2C67"/>
    <w:rsid w:val="000A4B57"/>
    <w:rsid w:val="000A6F32"/>
    <w:rsid w:val="000A7705"/>
    <w:rsid w:val="000B2723"/>
    <w:rsid w:val="000B2810"/>
    <w:rsid w:val="000B30BA"/>
    <w:rsid w:val="000B498E"/>
    <w:rsid w:val="000B5183"/>
    <w:rsid w:val="000B5E0A"/>
    <w:rsid w:val="000B644C"/>
    <w:rsid w:val="000C0E93"/>
    <w:rsid w:val="000C2001"/>
    <w:rsid w:val="000C26B9"/>
    <w:rsid w:val="000C2F8C"/>
    <w:rsid w:val="000C5A28"/>
    <w:rsid w:val="000D3A0B"/>
    <w:rsid w:val="000D6A57"/>
    <w:rsid w:val="000E16E0"/>
    <w:rsid w:val="000E1A3D"/>
    <w:rsid w:val="000E284D"/>
    <w:rsid w:val="000E2A2D"/>
    <w:rsid w:val="000E3501"/>
    <w:rsid w:val="000E4EEF"/>
    <w:rsid w:val="000E5EB6"/>
    <w:rsid w:val="000E6767"/>
    <w:rsid w:val="000E67CD"/>
    <w:rsid w:val="000E69CF"/>
    <w:rsid w:val="000F0B4E"/>
    <w:rsid w:val="000F1A6D"/>
    <w:rsid w:val="000F37A3"/>
    <w:rsid w:val="000F448E"/>
    <w:rsid w:val="000F4DC7"/>
    <w:rsid w:val="000F71FC"/>
    <w:rsid w:val="001001EC"/>
    <w:rsid w:val="00101758"/>
    <w:rsid w:val="00101BDD"/>
    <w:rsid w:val="001035CE"/>
    <w:rsid w:val="00103B65"/>
    <w:rsid w:val="00103E2E"/>
    <w:rsid w:val="00104A93"/>
    <w:rsid w:val="00105296"/>
    <w:rsid w:val="00106D7C"/>
    <w:rsid w:val="00106FE9"/>
    <w:rsid w:val="00107BA3"/>
    <w:rsid w:val="00107D25"/>
    <w:rsid w:val="001124C2"/>
    <w:rsid w:val="00113E42"/>
    <w:rsid w:val="00114EB1"/>
    <w:rsid w:val="001169AF"/>
    <w:rsid w:val="0011742E"/>
    <w:rsid w:val="001179CF"/>
    <w:rsid w:val="00121322"/>
    <w:rsid w:val="0012269F"/>
    <w:rsid w:val="0012518C"/>
    <w:rsid w:val="00125706"/>
    <w:rsid w:val="00125D64"/>
    <w:rsid w:val="001268A0"/>
    <w:rsid w:val="00126A12"/>
    <w:rsid w:val="00127DF8"/>
    <w:rsid w:val="001353F4"/>
    <w:rsid w:val="00135437"/>
    <w:rsid w:val="001362B6"/>
    <w:rsid w:val="00136C65"/>
    <w:rsid w:val="0013780C"/>
    <w:rsid w:val="00142C9C"/>
    <w:rsid w:val="001436AB"/>
    <w:rsid w:val="00144419"/>
    <w:rsid w:val="001446CC"/>
    <w:rsid w:val="0014546D"/>
    <w:rsid w:val="001468E7"/>
    <w:rsid w:val="001471FF"/>
    <w:rsid w:val="0015151B"/>
    <w:rsid w:val="00151F0C"/>
    <w:rsid w:val="00152871"/>
    <w:rsid w:val="0015298E"/>
    <w:rsid w:val="001534D3"/>
    <w:rsid w:val="001537F1"/>
    <w:rsid w:val="00154E73"/>
    <w:rsid w:val="00155688"/>
    <w:rsid w:val="00156A84"/>
    <w:rsid w:val="00156C0A"/>
    <w:rsid w:val="0015721D"/>
    <w:rsid w:val="00157322"/>
    <w:rsid w:val="0015742F"/>
    <w:rsid w:val="0016041E"/>
    <w:rsid w:val="0016355F"/>
    <w:rsid w:val="0016371B"/>
    <w:rsid w:val="00167B6A"/>
    <w:rsid w:val="00170168"/>
    <w:rsid w:val="00175160"/>
    <w:rsid w:val="0017543B"/>
    <w:rsid w:val="001779C0"/>
    <w:rsid w:val="00177BF6"/>
    <w:rsid w:val="00181E5B"/>
    <w:rsid w:val="00182F77"/>
    <w:rsid w:val="00183C39"/>
    <w:rsid w:val="001857D4"/>
    <w:rsid w:val="00185F6D"/>
    <w:rsid w:val="001874C7"/>
    <w:rsid w:val="00187732"/>
    <w:rsid w:val="001916A0"/>
    <w:rsid w:val="00191954"/>
    <w:rsid w:val="00193FC7"/>
    <w:rsid w:val="0019460B"/>
    <w:rsid w:val="001958FA"/>
    <w:rsid w:val="00196081"/>
    <w:rsid w:val="001A0761"/>
    <w:rsid w:val="001A0FA0"/>
    <w:rsid w:val="001A12F4"/>
    <w:rsid w:val="001A16B4"/>
    <w:rsid w:val="001A2713"/>
    <w:rsid w:val="001A33BC"/>
    <w:rsid w:val="001A39C7"/>
    <w:rsid w:val="001A582D"/>
    <w:rsid w:val="001A5CF1"/>
    <w:rsid w:val="001A6044"/>
    <w:rsid w:val="001A669E"/>
    <w:rsid w:val="001A6997"/>
    <w:rsid w:val="001B0582"/>
    <w:rsid w:val="001B0681"/>
    <w:rsid w:val="001B6D08"/>
    <w:rsid w:val="001B77CC"/>
    <w:rsid w:val="001C13C6"/>
    <w:rsid w:val="001C1B21"/>
    <w:rsid w:val="001C2C67"/>
    <w:rsid w:val="001C414F"/>
    <w:rsid w:val="001C5134"/>
    <w:rsid w:val="001C54C8"/>
    <w:rsid w:val="001C5737"/>
    <w:rsid w:val="001C668A"/>
    <w:rsid w:val="001C7049"/>
    <w:rsid w:val="001C76EC"/>
    <w:rsid w:val="001D09CE"/>
    <w:rsid w:val="001D0E0E"/>
    <w:rsid w:val="001D179F"/>
    <w:rsid w:val="001D1BA8"/>
    <w:rsid w:val="001D25F4"/>
    <w:rsid w:val="001D3863"/>
    <w:rsid w:val="001D4BD6"/>
    <w:rsid w:val="001D5FFA"/>
    <w:rsid w:val="001D66D1"/>
    <w:rsid w:val="001D68FA"/>
    <w:rsid w:val="001D69FF"/>
    <w:rsid w:val="001D724A"/>
    <w:rsid w:val="001D784F"/>
    <w:rsid w:val="001D7D45"/>
    <w:rsid w:val="001E1364"/>
    <w:rsid w:val="001E1C70"/>
    <w:rsid w:val="001E268F"/>
    <w:rsid w:val="001E53D6"/>
    <w:rsid w:val="001E5741"/>
    <w:rsid w:val="001E59F8"/>
    <w:rsid w:val="001E68FE"/>
    <w:rsid w:val="001E7057"/>
    <w:rsid w:val="001E79B2"/>
    <w:rsid w:val="001F1357"/>
    <w:rsid w:val="001F1C7E"/>
    <w:rsid w:val="001F1D61"/>
    <w:rsid w:val="001F2129"/>
    <w:rsid w:val="001F2C4C"/>
    <w:rsid w:val="001F4443"/>
    <w:rsid w:val="001F4734"/>
    <w:rsid w:val="001F5BC1"/>
    <w:rsid w:val="001F5CEB"/>
    <w:rsid w:val="001F6860"/>
    <w:rsid w:val="001F72AC"/>
    <w:rsid w:val="001F738E"/>
    <w:rsid w:val="001F79C6"/>
    <w:rsid w:val="002002FD"/>
    <w:rsid w:val="00200354"/>
    <w:rsid w:val="00200CAF"/>
    <w:rsid w:val="0020180D"/>
    <w:rsid w:val="0020294B"/>
    <w:rsid w:val="00202C05"/>
    <w:rsid w:val="00202C21"/>
    <w:rsid w:val="00202C71"/>
    <w:rsid w:val="00203B69"/>
    <w:rsid w:val="00203FD8"/>
    <w:rsid w:val="00204523"/>
    <w:rsid w:val="0020577C"/>
    <w:rsid w:val="0020587E"/>
    <w:rsid w:val="0020646E"/>
    <w:rsid w:val="00206E6F"/>
    <w:rsid w:val="0020734B"/>
    <w:rsid w:val="00211F9A"/>
    <w:rsid w:val="00212FA7"/>
    <w:rsid w:val="00213A42"/>
    <w:rsid w:val="00213B65"/>
    <w:rsid w:val="0021410F"/>
    <w:rsid w:val="00215281"/>
    <w:rsid w:val="002200FE"/>
    <w:rsid w:val="002206DB"/>
    <w:rsid w:val="00220B78"/>
    <w:rsid w:val="002219F5"/>
    <w:rsid w:val="00223D95"/>
    <w:rsid w:val="00223E17"/>
    <w:rsid w:val="00224055"/>
    <w:rsid w:val="0022420F"/>
    <w:rsid w:val="00225398"/>
    <w:rsid w:val="00226BE4"/>
    <w:rsid w:val="00230ABD"/>
    <w:rsid w:val="00232E84"/>
    <w:rsid w:val="002346CF"/>
    <w:rsid w:val="00235781"/>
    <w:rsid w:val="00235A01"/>
    <w:rsid w:val="00236164"/>
    <w:rsid w:val="002361EE"/>
    <w:rsid w:val="002370D5"/>
    <w:rsid w:val="00237241"/>
    <w:rsid w:val="002372CE"/>
    <w:rsid w:val="002400BD"/>
    <w:rsid w:val="00241CD0"/>
    <w:rsid w:val="00243DFB"/>
    <w:rsid w:val="002458B6"/>
    <w:rsid w:val="0024604A"/>
    <w:rsid w:val="00246342"/>
    <w:rsid w:val="00246A84"/>
    <w:rsid w:val="00250072"/>
    <w:rsid w:val="0025063D"/>
    <w:rsid w:val="00250874"/>
    <w:rsid w:val="002514DA"/>
    <w:rsid w:val="002523DA"/>
    <w:rsid w:val="0025246D"/>
    <w:rsid w:val="00252E4F"/>
    <w:rsid w:val="002538FC"/>
    <w:rsid w:val="00255142"/>
    <w:rsid w:val="002551E3"/>
    <w:rsid w:val="00256B06"/>
    <w:rsid w:val="0025792A"/>
    <w:rsid w:val="002611D9"/>
    <w:rsid w:val="00261957"/>
    <w:rsid w:val="00261D20"/>
    <w:rsid w:val="002626E0"/>
    <w:rsid w:val="00263F99"/>
    <w:rsid w:val="002641CB"/>
    <w:rsid w:val="00264EC5"/>
    <w:rsid w:val="0026559E"/>
    <w:rsid w:val="00267293"/>
    <w:rsid w:val="0026748F"/>
    <w:rsid w:val="002678E0"/>
    <w:rsid w:val="0026796B"/>
    <w:rsid w:val="00270D8C"/>
    <w:rsid w:val="00271D97"/>
    <w:rsid w:val="00271F0B"/>
    <w:rsid w:val="00272405"/>
    <w:rsid w:val="00272536"/>
    <w:rsid w:val="002727B5"/>
    <w:rsid w:val="00272898"/>
    <w:rsid w:val="00274963"/>
    <w:rsid w:val="00276686"/>
    <w:rsid w:val="0027734B"/>
    <w:rsid w:val="0028070D"/>
    <w:rsid w:val="00280BEF"/>
    <w:rsid w:val="00282D48"/>
    <w:rsid w:val="0028385D"/>
    <w:rsid w:val="00284DDC"/>
    <w:rsid w:val="002865CD"/>
    <w:rsid w:val="002905F0"/>
    <w:rsid w:val="00290AB4"/>
    <w:rsid w:val="002917ED"/>
    <w:rsid w:val="0029482B"/>
    <w:rsid w:val="00295ED2"/>
    <w:rsid w:val="002960B1"/>
    <w:rsid w:val="00296725"/>
    <w:rsid w:val="0029716F"/>
    <w:rsid w:val="00297FD1"/>
    <w:rsid w:val="002A08EF"/>
    <w:rsid w:val="002A16BF"/>
    <w:rsid w:val="002A2067"/>
    <w:rsid w:val="002A231D"/>
    <w:rsid w:val="002A447E"/>
    <w:rsid w:val="002A44FB"/>
    <w:rsid w:val="002A5F36"/>
    <w:rsid w:val="002A6DAF"/>
    <w:rsid w:val="002B0DAE"/>
    <w:rsid w:val="002B2248"/>
    <w:rsid w:val="002B663A"/>
    <w:rsid w:val="002B6C5E"/>
    <w:rsid w:val="002C07FC"/>
    <w:rsid w:val="002C0D83"/>
    <w:rsid w:val="002C115F"/>
    <w:rsid w:val="002C2E92"/>
    <w:rsid w:val="002C3188"/>
    <w:rsid w:val="002C3931"/>
    <w:rsid w:val="002C45F2"/>
    <w:rsid w:val="002D062B"/>
    <w:rsid w:val="002D2246"/>
    <w:rsid w:val="002D28FD"/>
    <w:rsid w:val="002D3773"/>
    <w:rsid w:val="002D46FD"/>
    <w:rsid w:val="002D49D2"/>
    <w:rsid w:val="002D4A6B"/>
    <w:rsid w:val="002D4C08"/>
    <w:rsid w:val="002D50E5"/>
    <w:rsid w:val="002D65A5"/>
    <w:rsid w:val="002D7DE2"/>
    <w:rsid w:val="002E0D9F"/>
    <w:rsid w:val="002E136D"/>
    <w:rsid w:val="002E1434"/>
    <w:rsid w:val="002E17FC"/>
    <w:rsid w:val="002E2AC5"/>
    <w:rsid w:val="002E3475"/>
    <w:rsid w:val="002E4B77"/>
    <w:rsid w:val="002E57C2"/>
    <w:rsid w:val="002E7047"/>
    <w:rsid w:val="002F0E59"/>
    <w:rsid w:val="002F163D"/>
    <w:rsid w:val="002F419B"/>
    <w:rsid w:val="002F4A48"/>
    <w:rsid w:val="002F669B"/>
    <w:rsid w:val="002F780F"/>
    <w:rsid w:val="002F7E0E"/>
    <w:rsid w:val="00301FFB"/>
    <w:rsid w:val="0030239A"/>
    <w:rsid w:val="00302CA6"/>
    <w:rsid w:val="00304825"/>
    <w:rsid w:val="003049DD"/>
    <w:rsid w:val="00304A17"/>
    <w:rsid w:val="003055B0"/>
    <w:rsid w:val="00307776"/>
    <w:rsid w:val="003121B5"/>
    <w:rsid w:val="00312248"/>
    <w:rsid w:val="00313AF6"/>
    <w:rsid w:val="003151D5"/>
    <w:rsid w:val="00315AD6"/>
    <w:rsid w:val="00316952"/>
    <w:rsid w:val="00316E05"/>
    <w:rsid w:val="00317886"/>
    <w:rsid w:val="00322FFB"/>
    <w:rsid w:val="003236FA"/>
    <w:rsid w:val="00323952"/>
    <w:rsid w:val="00324D9E"/>
    <w:rsid w:val="003265EF"/>
    <w:rsid w:val="00326CEF"/>
    <w:rsid w:val="00327833"/>
    <w:rsid w:val="00331DA8"/>
    <w:rsid w:val="003357BA"/>
    <w:rsid w:val="00337E9B"/>
    <w:rsid w:val="00340730"/>
    <w:rsid w:val="00340813"/>
    <w:rsid w:val="00340C22"/>
    <w:rsid w:val="00341D07"/>
    <w:rsid w:val="003439C9"/>
    <w:rsid w:val="00343F64"/>
    <w:rsid w:val="0034478D"/>
    <w:rsid w:val="00344D4E"/>
    <w:rsid w:val="003452C1"/>
    <w:rsid w:val="00346490"/>
    <w:rsid w:val="00346ABC"/>
    <w:rsid w:val="00346F48"/>
    <w:rsid w:val="00347937"/>
    <w:rsid w:val="00353D83"/>
    <w:rsid w:val="00356FFF"/>
    <w:rsid w:val="00360412"/>
    <w:rsid w:val="00360693"/>
    <w:rsid w:val="00360AC3"/>
    <w:rsid w:val="003632B6"/>
    <w:rsid w:val="00365282"/>
    <w:rsid w:val="0036530D"/>
    <w:rsid w:val="00365A1D"/>
    <w:rsid w:val="00365FF0"/>
    <w:rsid w:val="00366C62"/>
    <w:rsid w:val="00367456"/>
    <w:rsid w:val="0037200C"/>
    <w:rsid w:val="003724F2"/>
    <w:rsid w:val="00372D6C"/>
    <w:rsid w:val="00374D82"/>
    <w:rsid w:val="00375F8D"/>
    <w:rsid w:val="00376B0D"/>
    <w:rsid w:val="00376DC9"/>
    <w:rsid w:val="00377D1E"/>
    <w:rsid w:val="00382E7B"/>
    <w:rsid w:val="0038305B"/>
    <w:rsid w:val="003831D7"/>
    <w:rsid w:val="00384059"/>
    <w:rsid w:val="0038442B"/>
    <w:rsid w:val="003850D1"/>
    <w:rsid w:val="003856ED"/>
    <w:rsid w:val="00386990"/>
    <w:rsid w:val="00386AA7"/>
    <w:rsid w:val="00386B92"/>
    <w:rsid w:val="00387F2C"/>
    <w:rsid w:val="003900F2"/>
    <w:rsid w:val="003905D3"/>
    <w:rsid w:val="003943E8"/>
    <w:rsid w:val="00395897"/>
    <w:rsid w:val="00397ECF"/>
    <w:rsid w:val="003A01B7"/>
    <w:rsid w:val="003A125A"/>
    <w:rsid w:val="003A2183"/>
    <w:rsid w:val="003A2231"/>
    <w:rsid w:val="003A38AB"/>
    <w:rsid w:val="003A407E"/>
    <w:rsid w:val="003A4E51"/>
    <w:rsid w:val="003A5E07"/>
    <w:rsid w:val="003A6087"/>
    <w:rsid w:val="003A63DF"/>
    <w:rsid w:val="003B1413"/>
    <w:rsid w:val="003B217A"/>
    <w:rsid w:val="003B2EFE"/>
    <w:rsid w:val="003B444C"/>
    <w:rsid w:val="003B57BF"/>
    <w:rsid w:val="003B589F"/>
    <w:rsid w:val="003B591C"/>
    <w:rsid w:val="003B5934"/>
    <w:rsid w:val="003B620B"/>
    <w:rsid w:val="003C4B7F"/>
    <w:rsid w:val="003C62E5"/>
    <w:rsid w:val="003C7357"/>
    <w:rsid w:val="003C7B07"/>
    <w:rsid w:val="003D0584"/>
    <w:rsid w:val="003D528F"/>
    <w:rsid w:val="003D6580"/>
    <w:rsid w:val="003D6C27"/>
    <w:rsid w:val="003D702A"/>
    <w:rsid w:val="003D76A2"/>
    <w:rsid w:val="003D7C7E"/>
    <w:rsid w:val="003E0868"/>
    <w:rsid w:val="003E2AB9"/>
    <w:rsid w:val="003E31D2"/>
    <w:rsid w:val="003E37EA"/>
    <w:rsid w:val="003E4751"/>
    <w:rsid w:val="003E4D58"/>
    <w:rsid w:val="003E64B9"/>
    <w:rsid w:val="003E69BC"/>
    <w:rsid w:val="003F09CC"/>
    <w:rsid w:val="003F0A85"/>
    <w:rsid w:val="003F3828"/>
    <w:rsid w:val="003F3882"/>
    <w:rsid w:val="003F5659"/>
    <w:rsid w:val="003F73CA"/>
    <w:rsid w:val="003F747A"/>
    <w:rsid w:val="00400FBE"/>
    <w:rsid w:val="004014BC"/>
    <w:rsid w:val="004022CD"/>
    <w:rsid w:val="0040345B"/>
    <w:rsid w:val="0040673A"/>
    <w:rsid w:val="00407327"/>
    <w:rsid w:val="004075D7"/>
    <w:rsid w:val="00407721"/>
    <w:rsid w:val="00407F24"/>
    <w:rsid w:val="004109DE"/>
    <w:rsid w:val="00411713"/>
    <w:rsid w:val="00411AB5"/>
    <w:rsid w:val="00411CCF"/>
    <w:rsid w:val="0041214B"/>
    <w:rsid w:val="004126DA"/>
    <w:rsid w:val="004141F0"/>
    <w:rsid w:val="004150EA"/>
    <w:rsid w:val="0041632A"/>
    <w:rsid w:val="004215FD"/>
    <w:rsid w:val="00421C8E"/>
    <w:rsid w:val="004237A8"/>
    <w:rsid w:val="004242FE"/>
    <w:rsid w:val="0042592F"/>
    <w:rsid w:val="00425AD9"/>
    <w:rsid w:val="00426A4E"/>
    <w:rsid w:val="0042772F"/>
    <w:rsid w:val="00427ECB"/>
    <w:rsid w:val="004311A7"/>
    <w:rsid w:val="004319AE"/>
    <w:rsid w:val="004349C3"/>
    <w:rsid w:val="0043639F"/>
    <w:rsid w:val="004368CA"/>
    <w:rsid w:val="004369D4"/>
    <w:rsid w:val="00436D6A"/>
    <w:rsid w:val="00437A6F"/>
    <w:rsid w:val="00440FB1"/>
    <w:rsid w:val="004410E2"/>
    <w:rsid w:val="0044131A"/>
    <w:rsid w:val="00441CFA"/>
    <w:rsid w:val="0044307D"/>
    <w:rsid w:val="004456D4"/>
    <w:rsid w:val="00446B29"/>
    <w:rsid w:val="00450BA3"/>
    <w:rsid w:val="0045101F"/>
    <w:rsid w:val="004523BB"/>
    <w:rsid w:val="00453B41"/>
    <w:rsid w:val="00454296"/>
    <w:rsid w:val="00454A88"/>
    <w:rsid w:val="004551F8"/>
    <w:rsid w:val="004566A7"/>
    <w:rsid w:val="004578A7"/>
    <w:rsid w:val="00457B91"/>
    <w:rsid w:val="00460496"/>
    <w:rsid w:val="00460A57"/>
    <w:rsid w:val="00460BA0"/>
    <w:rsid w:val="00461705"/>
    <w:rsid w:val="00461AD3"/>
    <w:rsid w:val="00461E66"/>
    <w:rsid w:val="00462DBB"/>
    <w:rsid w:val="00462F93"/>
    <w:rsid w:val="00463AFC"/>
    <w:rsid w:val="0046613A"/>
    <w:rsid w:val="0046621E"/>
    <w:rsid w:val="00470E45"/>
    <w:rsid w:val="00471244"/>
    <w:rsid w:val="0047274A"/>
    <w:rsid w:val="004728A2"/>
    <w:rsid w:val="00474382"/>
    <w:rsid w:val="004746C8"/>
    <w:rsid w:val="004762F2"/>
    <w:rsid w:val="00477261"/>
    <w:rsid w:val="004776EF"/>
    <w:rsid w:val="00477EE1"/>
    <w:rsid w:val="00477F78"/>
    <w:rsid w:val="004801A3"/>
    <w:rsid w:val="00480B49"/>
    <w:rsid w:val="00481A01"/>
    <w:rsid w:val="004825DD"/>
    <w:rsid w:val="00484C03"/>
    <w:rsid w:val="00485071"/>
    <w:rsid w:val="00485C47"/>
    <w:rsid w:val="00485DD9"/>
    <w:rsid w:val="004869E5"/>
    <w:rsid w:val="00490400"/>
    <w:rsid w:val="00490421"/>
    <w:rsid w:val="00492212"/>
    <w:rsid w:val="0049277B"/>
    <w:rsid w:val="00492855"/>
    <w:rsid w:val="004933E6"/>
    <w:rsid w:val="0049388A"/>
    <w:rsid w:val="00494262"/>
    <w:rsid w:val="00494915"/>
    <w:rsid w:val="004972AD"/>
    <w:rsid w:val="00497455"/>
    <w:rsid w:val="00497622"/>
    <w:rsid w:val="004A2B27"/>
    <w:rsid w:val="004A2C90"/>
    <w:rsid w:val="004A44C7"/>
    <w:rsid w:val="004A63DF"/>
    <w:rsid w:val="004A668B"/>
    <w:rsid w:val="004A6BC1"/>
    <w:rsid w:val="004B01AD"/>
    <w:rsid w:val="004B02F5"/>
    <w:rsid w:val="004B08F0"/>
    <w:rsid w:val="004B098D"/>
    <w:rsid w:val="004B1411"/>
    <w:rsid w:val="004B1685"/>
    <w:rsid w:val="004B1AD6"/>
    <w:rsid w:val="004B2B86"/>
    <w:rsid w:val="004B37F6"/>
    <w:rsid w:val="004B5D4F"/>
    <w:rsid w:val="004C04AD"/>
    <w:rsid w:val="004C0CEF"/>
    <w:rsid w:val="004C183F"/>
    <w:rsid w:val="004C39FB"/>
    <w:rsid w:val="004C48A7"/>
    <w:rsid w:val="004C58CD"/>
    <w:rsid w:val="004C5C33"/>
    <w:rsid w:val="004C67B6"/>
    <w:rsid w:val="004C6A63"/>
    <w:rsid w:val="004C6BB2"/>
    <w:rsid w:val="004C7E6D"/>
    <w:rsid w:val="004D1396"/>
    <w:rsid w:val="004D292A"/>
    <w:rsid w:val="004D39DE"/>
    <w:rsid w:val="004D3D0D"/>
    <w:rsid w:val="004D42D1"/>
    <w:rsid w:val="004D62CA"/>
    <w:rsid w:val="004D6945"/>
    <w:rsid w:val="004D6F0B"/>
    <w:rsid w:val="004D7A8F"/>
    <w:rsid w:val="004E1108"/>
    <w:rsid w:val="004E212A"/>
    <w:rsid w:val="004E2272"/>
    <w:rsid w:val="004E3F46"/>
    <w:rsid w:val="004E5BCA"/>
    <w:rsid w:val="004E69BE"/>
    <w:rsid w:val="004E69C0"/>
    <w:rsid w:val="004E6BB0"/>
    <w:rsid w:val="004E757B"/>
    <w:rsid w:val="004E7767"/>
    <w:rsid w:val="004F004B"/>
    <w:rsid w:val="004F0A67"/>
    <w:rsid w:val="004F0D6B"/>
    <w:rsid w:val="004F2718"/>
    <w:rsid w:val="004F2BD4"/>
    <w:rsid w:val="004F2C63"/>
    <w:rsid w:val="004F3507"/>
    <w:rsid w:val="004F3C81"/>
    <w:rsid w:val="004F3D38"/>
    <w:rsid w:val="004F5C55"/>
    <w:rsid w:val="004F6920"/>
    <w:rsid w:val="004F7339"/>
    <w:rsid w:val="00501934"/>
    <w:rsid w:val="00501FCB"/>
    <w:rsid w:val="0050289F"/>
    <w:rsid w:val="00504041"/>
    <w:rsid w:val="00504417"/>
    <w:rsid w:val="00504541"/>
    <w:rsid w:val="005050DB"/>
    <w:rsid w:val="00507FEC"/>
    <w:rsid w:val="0051009F"/>
    <w:rsid w:val="00510A77"/>
    <w:rsid w:val="00511EB8"/>
    <w:rsid w:val="005121F1"/>
    <w:rsid w:val="00512C5D"/>
    <w:rsid w:val="005139DB"/>
    <w:rsid w:val="00514282"/>
    <w:rsid w:val="00514DA3"/>
    <w:rsid w:val="00516EAD"/>
    <w:rsid w:val="005170F5"/>
    <w:rsid w:val="00517D51"/>
    <w:rsid w:val="0052037D"/>
    <w:rsid w:val="00521176"/>
    <w:rsid w:val="00525E6C"/>
    <w:rsid w:val="005261F9"/>
    <w:rsid w:val="00526359"/>
    <w:rsid w:val="00526A6C"/>
    <w:rsid w:val="00527D79"/>
    <w:rsid w:val="0053045F"/>
    <w:rsid w:val="00532B28"/>
    <w:rsid w:val="0053320D"/>
    <w:rsid w:val="00533DF7"/>
    <w:rsid w:val="00534E39"/>
    <w:rsid w:val="005350E8"/>
    <w:rsid w:val="005358E8"/>
    <w:rsid w:val="005366F3"/>
    <w:rsid w:val="00541E37"/>
    <w:rsid w:val="00543C56"/>
    <w:rsid w:val="00544E1F"/>
    <w:rsid w:val="005452B1"/>
    <w:rsid w:val="0054630F"/>
    <w:rsid w:val="00546DE2"/>
    <w:rsid w:val="00546E58"/>
    <w:rsid w:val="00547100"/>
    <w:rsid w:val="005477A2"/>
    <w:rsid w:val="00551545"/>
    <w:rsid w:val="00551622"/>
    <w:rsid w:val="005518D8"/>
    <w:rsid w:val="0055505E"/>
    <w:rsid w:val="00555B9D"/>
    <w:rsid w:val="00555EC2"/>
    <w:rsid w:val="00556511"/>
    <w:rsid w:val="005574AF"/>
    <w:rsid w:val="00557A53"/>
    <w:rsid w:val="00560170"/>
    <w:rsid w:val="00560224"/>
    <w:rsid w:val="00560809"/>
    <w:rsid w:val="00560EC7"/>
    <w:rsid w:val="00561122"/>
    <w:rsid w:val="00561702"/>
    <w:rsid w:val="0056407B"/>
    <w:rsid w:val="00566124"/>
    <w:rsid w:val="00566F09"/>
    <w:rsid w:val="0056739C"/>
    <w:rsid w:val="00567486"/>
    <w:rsid w:val="00567504"/>
    <w:rsid w:val="005678C7"/>
    <w:rsid w:val="00570BD4"/>
    <w:rsid w:val="00570BF6"/>
    <w:rsid w:val="005714EF"/>
    <w:rsid w:val="00571934"/>
    <w:rsid w:val="005737A4"/>
    <w:rsid w:val="00573A95"/>
    <w:rsid w:val="00574656"/>
    <w:rsid w:val="0057493D"/>
    <w:rsid w:val="0057520A"/>
    <w:rsid w:val="005759DC"/>
    <w:rsid w:val="00575C40"/>
    <w:rsid w:val="005768F2"/>
    <w:rsid w:val="00576AD3"/>
    <w:rsid w:val="0057701B"/>
    <w:rsid w:val="0057707B"/>
    <w:rsid w:val="0057715F"/>
    <w:rsid w:val="00582305"/>
    <w:rsid w:val="005859CB"/>
    <w:rsid w:val="00586243"/>
    <w:rsid w:val="00586D3B"/>
    <w:rsid w:val="0059032E"/>
    <w:rsid w:val="00591FF0"/>
    <w:rsid w:val="00592C63"/>
    <w:rsid w:val="00592FF2"/>
    <w:rsid w:val="005A034F"/>
    <w:rsid w:val="005A0793"/>
    <w:rsid w:val="005A0F39"/>
    <w:rsid w:val="005A0FB1"/>
    <w:rsid w:val="005A18D4"/>
    <w:rsid w:val="005A1999"/>
    <w:rsid w:val="005A2623"/>
    <w:rsid w:val="005A2E20"/>
    <w:rsid w:val="005A3936"/>
    <w:rsid w:val="005A3CC5"/>
    <w:rsid w:val="005A587B"/>
    <w:rsid w:val="005A5F66"/>
    <w:rsid w:val="005A6B6E"/>
    <w:rsid w:val="005A6F36"/>
    <w:rsid w:val="005B104E"/>
    <w:rsid w:val="005B1697"/>
    <w:rsid w:val="005B1B9D"/>
    <w:rsid w:val="005B26CD"/>
    <w:rsid w:val="005B27FA"/>
    <w:rsid w:val="005B2BA5"/>
    <w:rsid w:val="005B32C3"/>
    <w:rsid w:val="005B3339"/>
    <w:rsid w:val="005B51C2"/>
    <w:rsid w:val="005B7280"/>
    <w:rsid w:val="005B769C"/>
    <w:rsid w:val="005B7A9C"/>
    <w:rsid w:val="005B7E05"/>
    <w:rsid w:val="005B7FBD"/>
    <w:rsid w:val="005C04A6"/>
    <w:rsid w:val="005C129C"/>
    <w:rsid w:val="005C2A9B"/>
    <w:rsid w:val="005C39A1"/>
    <w:rsid w:val="005C522A"/>
    <w:rsid w:val="005C5EB1"/>
    <w:rsid w:val="005C7A01"/>
    <w:rsid w:val="005D02D3"/>
    <w:rsid w:val="005D0AD6"/>
    <w:rsid w:val="005D1951"/>
    <w:rsid w:val="005D245B"/>
    <w:rsid w:val="005D2689"/>
    <w:rsid w:val="005D2C5C"/>
    <w:rsid w:val="005D3761"/>
    <w:rsid w:val="005D3B33"/>
    <w:rsid w:val="005D5462"/>
    <w:rsid w:val="005D558A"/>
    <w:rsid w:val="005D7F2A"/>
    <w:rsid w:val="005E1F61"/>
    <w:rsid w:val="005E3460"/>
    <w:rsid w:val="005E34F1"/>
    <w:rsid w:val="005E36BD"/>
    <w:rsid w:val="005E4669"/>
    <w:rsid w:val="005E6E31"/>
    <w:rsid w:val="005E706C"/>
    <w:rsid w:val="005F1CB3"/>
    <w:rsid w:val="005F27CE"/>
    <w:rsid w:val="005F2E68"/>
    <w:rsid w:val="005F307C"/>
    <w:rsid w:val="005F4345"/>
    <w:rsid w:val="005F5E06"/>
    <w:rsid w:val="005F6CC5"/>
    <w:rsid w:val="005F71A0"/>
    <w:rsid w:val="005F7295"/>
    <w:rsid w:val="00601268"/>
    <w:rsid w:val="00605456"/>
    <w:rsid w:val="00606AE9"/>
    <w:rsid w:val="00610B5B"/>
    <w:rsid w:val="00610F97"/>
    <w:rsid w:val="006120B3"/>
    <w:rsid w:val="00612B11"/>
    <w:rsid w:val="00613079"/>
    <w:rsid w:val="0061391D"/>
    <w:rsid w:val="006152A4"/>
    <w:rsid w:val="00616372"/>
    <w:rsid w:val="00616736"/>
    <w:rsid w:val="006175BB"/>
    <w:rsid w:val="006176E7"/>
    <w:rsid w:val="00620B18"/>
    <w:rsid w:val="00620C50"/>
    <w:rsid w:val="006216DB"/>
    <w:rsid w:val="006221C3"/>
    <w:rsid w:val="00622B3B"/>
    <w:rsid w:val="00623210"/>
    <w:rsid w:val="00624344"/>
    <w:rsid w:val="006243ED"/>
    <w:rsid w:val="00624C08"/>
    <w:rsid w:val="0062651E"/>
    <w:rsid w:val="00626835"/>
    <w:rsid w:val="00626E5C"/>
    <w:rsid w:val="0063006B"/>
    <w:rsid w:val="006312B5"/>
    <w:rsid w:val="00631B81"/>
    <w:rsid w:val="00631B86"/>
    <w:rsid w:val="00632774"/>
    <w:rsid w:val="00632961"/>
    <w:rsid w:val="006329CC"/>
    <w:rsid w:val="00632B3C"/>
    <w:rsid w:val="0063453D"/>
    <w:rsid w:val="006359E9"/>
    <w:rsid w:val="00636DF3"/>
    <w:rsid w:val="00640527"/>
    <w:rsid w:val="00642E84"/>
    <w:rsid w:val="00643D40"/>
    <w:rsid w:val="006449F3"/>
    <w:rsid w:val="00644DE5"/>
    <w:rsid w:val="0064520A"/>
    <w:rsid w:val="006454F8"/>
    <w:rsid w:val="00645D8E"/>
    <w:rsid w:val="00646D39"/>
    <w:rsid w:val="006478D2"/>
    <w:rsid w:val="0065173A"/>
    <w:rsid w:val="006521C5"/>
    <w:rsid w:val="006522AE"/>
    <w:rsid w:val="00652F98"/>
    <w:rsid w:val="00654A45"/>
    <w:rsid w:val="0065652E"/>
    <w:rsid w:val="00660F88"/>
    <w:rsid w:val="006615EA"/>
    <w:rsid w:val="00661D7A"/>
    <w:rsid w:val="00663A08"/>
    <w:rsid w:val="00663F70"/>
    <w:rsid w:val="00664377"/>
    <w:rsid w:val="00665157"/>
    <w:rsid w:val="00666259"/>
    <w:rsid w:val="006665C5"/>
    <w:rsid w:val="00666BF8"/>
    <w:rsid w:val="00667A38"/>
    <w:rsid w:val="00670944"/>
    <w:rsid w:val="00670B74"/>
    <w:rsid w:val="0067152C"/>
    <w:rsid w:val="00672C06"/>
    <w:rsid w:val="0067335C"/>
    <w:rsid w:val="00675789"/>
    <w:rsid w:val="00675A6D"/>
    <w:rsid w:val="006771BA"/>
    <w:rsid w:val="00677409"/>
    <w:rsid w:val="00677F08"/>
    <w:rsid w:val="00680E7E"/>
    <w:rsid w:val="00681900"/>
    <w:rsid w:val="00683224"/>
    <w:rsid w:val="006845E8"/>
    <w:rsid w:val="00685D7E"/>
    <w:rsid w:val="0068633A"/>
    <w:rsid w:val="00686F13"/>
    <w:rsid w:val="006900EB"/>
    <w:rsid w:val="00690535"/>
    <w:rsid w:val="00691CFB"/>
    <w:rsid w:val="006935E0"/>
    <w:rsid w:val="00693ED6"/>
    <w:rsid w:val="0069429C"/>
    <w:rsid w:val="006946B0"/>
    <w:rsid w:val="00694834"/>
    <w:rsid w:val="0069595A"/>
    <w:rsid w:val="00695F57"/>
    <w:rsid w:val="00696DFC"/>
    <w:rsid w:val="00697BFC"/>
    <w:rsid w:val="006A00DF"/>
    <w:rsid w:val="006A303C"/>
    <w:rsid w:val="006A3A59"/>
    <w:rsid w:val="006A3F1D"/>
    <w:rsid w:val="006A402E"/>
    <w:rsid w:val="006A59A0"/>
    <w:rsid w:val="006A6606"/>
    <w:rsid w:val="006B247A"/>
    <w:rsid w:val="006B4B47"/>
    <w:rsid w:val="006B6310"/>
    <w:rsid w:val="006B6602"/>
    <w:rsid w:val="006B6696"/>
    <w:rsid w:val="006B6EAC"/>
    <w:rsid w:val="006B6F66"/>
    <w:rsid w:val="006B76BB"/>
    <w:rsid w:val="006C09A4"/>
    <w:rsid w:val="006C1A8B"/>
    <w:rsid w:val="006C1D79"/>
    <w:rsid w:val="006C1E72"/>
    <w:rsid w:val="006C3F9F"/>
    <w:rsid w:val="006C43C5"/>
    <w:rsid w:val="006C512C"/>
    <w:rsid w:val="006C51C1"/>
    <w:rsid w:val="006C6219"/>
    <w:rsid w:val="006C68C3"/>
    <w:rsid w:val="006D0F98"/>
    <w:rsid w:val="006D130D"/>
    <w:rsid w:val="006D21BA"/>
    <w:rsid w:val="006D2E19"/>
    <w:rsid w:val="006D4FCD"/>
    <w:rsid w:val="006D5B5B"/>
    <w:rsid w:val="006D6EDF"/>
    <w:rsid w:val="006D6FCD"/>
    <w:rsid w:val="006D73B6"/>
    <w:rsid w:val="006D784F"/>
    <w:rsid w:val="006D7B1B"/>
    <w:rsid w:val="006E0006"/>
    <w:rsid w:val="006E007B"/>
    <w:rsid w:val="006E0E35"/>
    <w:rsid w:val="006E19F9"/>
    <w:rsid w:val="006E248C"/>
    <w:rsid w:val="006E3DA1"/>
    <w:rsid w:val="006E5623"/>
    <w:rsid w:val="006E67A0"/>
    <w:rsid w:val="006E753C"/>
    <w:rsid w:val="006E753E"/>
    <w:rsid w:val="006E7E9F"/>
    <w:rsid w:val="006F0941"/>
    <w:rsid w:val="006F17CF"/>
    <w:rsid w:val="006F2344"/>
    <w:rsid w:val="006F2B15"/>
    <w:rsid w:val="006F35A8"/>
    <w:rsid w:val="006F35D4"/>
    <w:rsid w:val="006F38B2"/>
    <w:rsid w:val="006F4AE4"/>
    <w:rsid w:val="006F611A"/>
    <w:rsid w:val="006F73FD"/>
    <w:rsid w:val="00700415"/>
    <w:rsid w:val="007019FE"/>
    <w:rsid w:val="00701B1C"/>
    <w:rsid w:val="007024C0"/>
    <w:rsid w:val="007024E1"/>
    <w:rsid w:val="00704F4E"/>
    <w:rsid w:val="007060D7"/>
    <w:rsid w:val="007067E8"/>
    <w:rsid w:val="007068E7"/>
    <w:rsid w:val="00707A4F"/>
    <w:rsid w:val="007101FD"/>
    <w:rsid w:val="00710AA1"/>
    <w:rsid w:val="00712AC1"/>
    <w:rsid w:val="00715529"/>
    <w:rsid w:val="0071605B"/>
    <w:rsid w:val="00716068"/>
    <w:rsid w:val="00716236"/>
    <w:rsid w:val="007168FC"/>
    <w:rsid w:val="00716F95"/>
    <w:rsid w:val="00717584"/>
    <w:rsid w:val="0072020B"/>
    <w:rsid w:val="007262FA"/>
    <w:rsid w:val="00731981"/>
    <w:rsid w:val="0073335C"/>
    <w:rsid w:val="007341E4"/>
    <w:rsid w:val="0073556C"/>
    <w:rsid w:val="007355E0"/>
    <w:rsid w:val="0073617A"/>
    <w:rsid w:val="007374E0"/>
    <w:rsid w:val="007379F5"/>
    <w:rsid w:val="00737A7A"/>
    <w:rsid w:val="007404A4"/>
    <w:rsid w:val="00742718"/>
    <w:rsid w:val="00742FA7"/>
    <w:rsid w:val="00744F57"/>
    <w:rsid w:val="00745F7F"/>
    <w:rsid w:val="00747067"/>
    <w:rsid w:val="00747A11"/>
    <w:rsid w:val="00747B50"/>
    <w:rsid w:val="007504BC"/>
    <w:rsid w:val="007508CE"/>
    <w:rsid w:val="00751453"/>
    <w:rsid w:val="00753AB6"/>
    <w:rsid w:val="0075491D"/>
    <w:rsid w:val="00754CA4"/>
    <w:rsid w:val="007551A1"/>
    <w:rsid w:val="00756774"/>
    <w:rsid w:val="00757401"/>
    <w:rsid w:val="007575FD"/>
    <w:rsid w:val="00757DCC"/>
    <w:rsid w:val="00757F04"/>
    <w:rsid w:val="00762F15"/>
    <w:rsid w:val="00763B23"/>
    <w:rsid w:val="00764A2A"/>
    <w:rsid w:val="00773C49"/>
    <w:rsid w:val="007746C0"/>
    <w:rsid w:val="00776AD7"/>
    <w:rsid w:val="007772EB"/>
    <w:rsid w:val="007776A8"/>
    <w:rsid w:val="00780494"/>
    <w:rsid w:val="00781B2F"/>
    <w:rsid w:val="00781DA0"/>
    <w:rsid w:val="0078224A"/>
    <w:rsid w:val="0078262B"/>
    <w:rsid w:val="007828F7"/>
    <w:rsid w:val="00784482"/>
    <w:rsid w:val="00784C55"/>
    <w:rsid w:val="007859B0"/>
    <w:rsid w:val="00786B29"/>
    <w:rsid w:val="00792E8F"/>
    <w:rsid w:val="007936AB"/>
    <w:rsid w:val="00795B8E"/>
    <w:rsid w:val="00796376"/>
    <w:rsid w:val="00796D13"/>
    <w:rsid w:val="00796D4F"/>
    <w:rsid w:val="007A0463"/>
    <w:rsid w:val="007A087D"/>
    <w:rsid w:val="007A0F3C"/>
    <w:rsid w:val="007A2882"/>
    <w:rsid w:val="007A481F"/>
    <w:rsid w:val="007A4D52"/>
    <w:rsid w:val="007A521A"/>
    <w:rsid w:val="007A7C1E"/>
    <w:rsid w:val="007B2578"/>
    <w:rsid w:val="007B2FDD"/>
    <w:rsid w:val="007B479F"/>
    <w:rsid w:val="007B4BE1"/>
    <w:rsid w:val="007B51C0"/>
    <w:rsid w:val="007B5B6F"/>
    <w:rsid w:val="007B5F9B"/>
    <w:rsid w:val="007B65C8"/>
    <w:rsid w:val="007B7008"/>
    <w:rsid w:val="007B72EC"/>
    <w:rsid w:val="007B739D"/>
    <w:rsid w:val="007B792A"/>
    <w:rsid w:val="007B7B7B"/>
    <w:rsid w:val="007C03C7"/>
    <w:rsid w:val="007C0D4D"/>
    <w:rsid w:val="007C14D1"/>
    <w:rsid w:val="007C2251"/>
    <w:rsid w:val="007C236A"/>
    <w:rsid w:val="007C35EF"/>
    <w:rsid w:val="007D1915"/>
    <w:rsid w:val="007D3BF7"/>
    <w:rsid w:val="007D62EC"/>
    <w:rsid w:val="007D68C6"/>
    <w:rsid w:val="007D6BB1"/>
    <w:rsid w:val="007D75FB"/>
    <w:rsid w:val="007D7631"/>
    <w:rsid w:val="007D783E"/>
    <w:rsid w:val="007E27A3"/>
    <w:rsid w:val="007E384C"/>
    <w:rsid w:val="007E487F"/>
    <w:rsid w:val="007E4DF3"/>
    <w:rsid w:val="007E53F6"/>
    <w:rsid w:val="007E6794"/>
    <w:rsid w:val="007E67ED"/>
    <w:rsid w:val="007F0585"/>
    <w:rsid w:val="007F0591"/>
    <w:rsid w:val="007F10A5"/>
    <w:rsid w:val="007F141B"/>
    <w:rsid w:val="007F15B5"/>
    <w:rsid w:val="007F1AAD"/>
    <w:rsid w:val="007F2744"/>
    <w:rsid w:val="007F3C1A"/>
    <w:rsid w:val="007F3E60"/>
    <w:rsid w:val="007F5F1D"/>
    <w:rsid w:val="007F60EF"/>
    <w:rsid w:val="007F7327"/>
    <w:rsid w:val="007F7B3F"/>
    <w:rsid w:val="0080145F"/>
    <w:rsid w:val="00802C52"/>
    <w:rsid w:val="008031B8"/>
    <w:rsid w:val="008034E9"/>
    <w:rsid w:val="008037C2"/>
    <w:rsid w:val="008040C9"/>
    <w:rsid w:val="00804272"/>
    <w:rsid w:val="00804B9C"/>
    <w:rsid w:val="00805075"/>
    <w:rsid w:val="00805AA8"/>
    <w:rsid w:val="0080709B"/>
    <w:rsid w:val="00807343"/>
    <w:rsid w:val="00811AE4"/>
    <w:rsid w:val="00812B1C"/>
    <w:rsid w:val="00812ECC"/>
    <w:rsid w:val="00814615"/>
    <w:rsid w:val="008149FC"/>
    <w:rsid w:val="00814B4E"/>
    <w:rsid w:val="00815A89"/>
    <w:rsid w:val="008174D9"/>
    <w:rsid w:val="008179BA"/>
    <w:rsid w:val="0082144F"/>
    <w:rsid w:val="00823026"/>
    <w:rsid w:val="00824054"/>
    <w:rsid w:val="0082414C"/>
    <w:rsid w:val="008241D2"/>
    <w:rsid w:val="00824E4B"/>
    <w:rsid w:val="00825307"/>
    <w:rsid w:val="00827BC2"/>
    <w:rsid w:val="00827E64"/>
    <w:rsid w:val="00830087"/>
    <w:rsid w:val="00830C29"/>
    <w:rsid w:val="00830C9D"/>
    <w:rsid w:val="00832BA9"/>
    <w:rsid w:val="00832E85"/>
    <w:rsid w:val="00833834"/>
    <w:rsid w:val="00833E58"/>
    <w:rsid w:val="00834946"/>
    <w:rsid w:val="008354BE"/>
    <w:rsid w:val="00835A48"/>
    <w:rsid w:val="008367BF"/>
    <w:rsid w:val="00837572"/>
    <w:rsid w:val="00840F03"/>
    <w:rsid w:val="00841278"/>
    <w:rsid w:val="00842EAC"/>
    <w:rsid w:val="008437B5"/>
    <w:rsid w:val="00843929"/>
    <w:rsid w:val="008442BE"/>
    <w:rsid w:val="00844ADD"/>
    <w:rsid w:val="00844DFD"/>
    <w:rsid w:val="00845600"/>
    <w:rsid w:val="0084612F"/>
    <w:rsid w:val="00846E75"/>
    <w:rsid w:val="008471F8"/>
    <w:rsid w:val="008473F7"/>
    <w:rsid w:val="00847C3C"/>
    <w:rsid w:val="008501B8"/>
    <w:rsid w:val="00850CD0"/>
    <w:rsid w:val="008513D9"/>
    <w:rsid w:val="00853251"/>
    <w:rsid w:val="0085510F"/>
    <w:rsid w:val="008561F2"/>
    <w:rsid w:val="00857D0D"/>
    <w:rsid w:val="00860A7C"/>
    <w:rsid w:val="00860C0B"/>
    <w:rsid w:val="00861A91"/>
    <w:rsid w:val="00861D20"/>
    <w:rsid w:val="0086238A"/>
    <w:rsid w:val="00863102"/>
    <w:rsid w:val="00864711"/>
    <w:rsid w:val="00865634"/>
    <w:rsid w:val="0086707F"/>
    <w:rsid w:val="00867F4B"/>
    <w:rsid w:val="00870536"/>
    <w:rsid w:val="0087160C"/>
    <w:rsid w:val="00871A79"/>
    <w:rsid w:val="00872732"/>
    <w:rsid w:val="00873DB3"/>
    <w:rsid w:val="00875A45"/>
    <w:rsid w:val="00875FB1"/>
    <w:rsid w:val="00876855"/>
    <w:rsid w:val="00876BF1"/>
    <w:rsid w:val="008773D1"/>
    <w:rsid w:val="00877AA6"/>
    <w:rsid w:val="00880924"/>
    <w:rsid w:val="0088166E"/>
    <w:rsid w:val="00881D42"/>
    <w:rsid w:val="00882307"/>
    <w:rsid w:val="00884159"/>
    <w:rsid w:val="00884EC7"/>
    <w:rsid w:val="008852A0"/>
    <w:rsid w:val="00885658"/>
    <w:rsid w:val="00887CEB"/>
    <w:rsid w:val="00890855"/>
    <w:rsid w:val="0089352C"/>
    <w:rsid w:val="00893D00"/>
    <w:rsid w:val="00894FA1"/>
    <w:rsid w:val="008A16FF"/>
    <w:rsid w:val="008A20BC"/>
    <w:rsid w:val="008A230E"/>
    <w:rsid w:val="008A32D4"/>
    <w:rsid w:val="008A3C88"/>
    <w:rsid w:val="008A3E84"/>
    <w:rsid w:val="008A41E0"/>
    <w:rsid w:val="008A4F83"/>
    <w:rsid w:val="008A5A4F"/>
    <w:rsid w:val="008A643B"/>
    <w:rsid w:val="008A7367"/>
    <w:rsid w:val="008B0B2C"/>
    <w:rsid w:val="008B1359"/>
    <w:rsid w:val="008B1C84"/>
    <w:rsid w:val="008B23EF"/>
    <w:rsid w:val="008B3EA4"/>
    <w:rsid w:val="008B4E18"/>
    <w:rsid w:val="008B6A9A"/>
    <w:rsid w:val="008B6EEA"/>
    <w:rsid w:val="008C086E"/>
    <w:rsid w:val="008C0DDF"/>
    <w:rsid w:val="008C1AAA"/>
    <w:rsid w:val="008C2AF1"/>
    <w:rsid w:val="008C3691"/>
    <w:rsid w:val="008C5191"/>
    <w:rsid w:val="008C633D"/>
    <w:rsid w:val="008D05C8"/>
    <w:rsid w:val="008D26C8"/>
    <w:rsid w:val="008D2738"/>
    <w:rsid w:val="008D3511"/>
    <w:rsid w:val="008D377B"/>
    <w:rsid w:val="008D4207"/>
    <w:rsid w:val="008D4FB3"/>
    <w:rsid w:val="008D5D7E"/>
    <w:rsid w:val="008D6AB6"/>
    <w:rsid w:val="008D7797"/>
    <w:rsid w:val="008D7CD6"/>
    <w:rsid w:val="008D7EF7"/>
    <w:rsid w:val="008E1B5D"/>
    <w:rsid w:val="008E26E5"/>
    <w:rsid w:val="008E2EA2"/>
    <w:rsid w:val="008E35DE"/>
    <w:rsid w:val="008E3832"/>
    <w:rsid w:val="008E4205"/>
    <w:rsid w:val="008E5B96"/>
    <w:rsid w:val="008E638E"/>
    <w:rsid w:val="008E64D7"/>
    <w:rsid w:val="008E6F4E"/>
    <w:rsid w:val="008E7712"/>
    <w:rsid w:val="008F0418"/>
    <w:rsid w:val="008F116F"/>
    <w:rsid w:val="008F7C2A"/>
    <w:rsid w:val="008F7D3E"/>
    <w:rsid w:val="00900C36"/>
    <w:rsid w:val="00901514"/>
    <w:rsid w:val="00902A7C"/>
    <w:rsid w:val="00902B17"/>
    <w:rsid w:val="00902C74"/>
    <w:rsid w:val="0090339A"/>
    <w:rsid w:val="00904513"/>
    <w:rsid w:val="00904ACF"/>
    <w:rsid w:val="00905790"/>
    <w:rsid w:val="00905A8D"/>
    <w:rsid w:val="00906EFB"/>
    <w:rsid w:val="00907A69"/>
    <w:rsid w:val="00911489"/>
    <w:rsid w:val="00911D07"/>
    <w:rsid w:val="0091243C"/>
    <w:rsid w:val="009124D0"/>
    <w:rsid w:val="00912FC1"/>
    <w:rsid w:val="00913BEB"/>
    <w:rsid w:val="009145A0"/>
    <w:rsid w:val="00914802"/>
    <w:rsid w:val="009172FB"/>
    <w:rsid w:val="00920BDF"/>
    <w:rsid w:val="00922751"/>
    <w:rsid w:val="0092662B"/>
    <w:rsid w:val="00926FB1"/>
    <w:rsid w:val="00927D8B"/>
    <w:rsid w:val="00927F68"/>
    <w:rsid w:val="009302D8"/>
    <w:rsid w:val="00932C79"/>
    <w:rsid w:val="00934274"/>
    <w:rsid w:val="00934E63"/>
    <w:rsid w:val="00934FB3"/>
    <w:rsid w:val="0093526B"/>
    <w:rsid w:val="00935B7F"/>
    <w:rsid w:val="009403E7"/>
    <w:rsid w:val="00940647"/>
    <w:rsid w:val="0094070E"/>
    <w:rsid w:val="00942C7C"/>
    <w:rsid w:val="0094406C"/>
    <w:rsid w:val="009452CD"/>
    <w:rsid w:val="0095111A"/>
    <w:rsid w:val="009513B9"/>
    <w:rsid w:val="00951CA3"/>
    <w:rsid w:val="00953311"/>
    <w:rsid w:val="00953FF7"/>
    <w:rsid w:val="00954322"/>
    <w:rsid w:val="00954AC5"/>
    <w:rsid w:val="00954AE9"/>
    <w:rsid w:val="00954EBA"/>
    <w:rsid w:val="00954F1B"/>
    <w:rsid w:val="009550C4"/>
    <w:rsid w:val="00955FED"/>
    <w:rsid w:val="00956964"/>
    <w:rsid w:val="0095733F"/>
    <w:rsid w:val="0095752F"/>
    <w:rsid w:val="009618BE"/>
    <w:rsid w:val="00962DAA"/>
    <w:rsid w:val="00963FFE"/>
    <w:rsid w:val="00964ECA"/>
    <w:rsid w:val="009654B5"/>
    <w:rsid w:val="009703CE"/>
    <w:rsid w:val="00972007"/>
    <w:rsid w:val="00976804"/>
    <w:rsid w:val="0097689D"/>
    <w:rsid w:val="009769B9"/>
    <w:rsid w:val="00976A12"/>
    <w:rsid w:val="00977F5C"/>
    <w:rsid w:val="0098203D"/>
    <w:rsid w:val="00982B84"/>
    <w:rsid w:val="00982F69"/>
    <w:rsid w:val="009838C1"/>
    <w:rsid w:val="0098427D"/>
    <w:rsid w:val="00985130"/>
    <w:rsid w:val="00990184"/>
    <w:rsid w:val="009901B8"/>
    <w:rsid w:val="00991A53"/>
    <w:rsid w:val="0099364F"/>
    <w:rsid w:val="00993B5B"/>
    <w:rsid w:val="00993E37"/>
    <w:rsid w:val="00995292"/>
    <w:rsid w:val="009A04EC"/>
    <w:rsid w:val="009A207D"/>
    <w:rsid w:val="009A3476"/>
    <w:rsid w:val="009A4BEE"/>
    <w:rsid w:val="009A4ECB"/>
    <w:rsid w:val="009A5BAA"/>
    <w:rsid w:val="009A6ED7"/>
    <w:rsid w:val="009A7501"/>
    <w:rsid w:val="009B1190"/>
    <w:rsid w:val="009B1890"/>
    <w:rsid w:val="009B2808"/>
    <w:rsid w:val="009B34B4"/>
    <w:rsid w:val="009B3C77"/>
    <w:rsid w:val="009B3EDB"/>
    <w:rsid w:val="009B4030"/>
    <w:rsid w:val="009B4C1B"/>
    <w:rsid w:val="009B4C56"/>
    <w:rsid w:val="009B660D"/>
    <w:rsid w:val="009B774B"/>
    <w:rsid w:val="009C0365"/>
    <w:rsid w:val="009C14D7"/>
    <w:rsid w:val="009C20CD"/>
    <w:rsid w:val="009C2F43"/>
    <w:rsid w:val="009C49D3"/>
    <w:rsid w:val="009C5393"/>
    <w:rsid w:val="009C5625"/>
    <w:rsid w:val="009C7523"/>
    <w:rsid w:val="009D1C75"/>
    <w:rsid w:val="009D31B1"/>
    <w:rsid w:val="009D3F4C"/>
    <w:rsid w:val="009D3F9B"/>
    <w:rsid w:val="009D5CBE"/>
    <w:rsid w:val="009D5F98"/>
    <w:rsid w:val="009D688C"/>
    <w:rsid w:val="009D7991"/>
    <w:rsid w:val="009E1CE2"/>
    <w:rsid w:val="009E2811"/>
    <w:rsid w:val="009E2B4D"/>
    <w:rsid w:val="009E41BF"/>
    <w:rsid w:val="009E58E4"/>
    <w:rsid w:val="009E5D5B"/>
    <w:rsid w:val="009E6306"/>
    <w:rsid w:val="009E7D6C"/>
    <w:rsid w:val="009F0813"/>
    <w:rsid w:val="009F08E8"/>
    <w:rsid w:val="009F0ED8"/>
    <w:rsid w:val="009F1584"/>
    <w:rsid w:val="009F170D"/>
    <w:rsid w:val="009F1C1A"/>
    <w:rsid w:val="009F4CBD"/>
    <w:rsid w:val="009F4F7B"/>
    <w:rsid w:val="009F53A9"/>
    <w:rsid w:val="009F5610"/>
    <w:rsid w:val="009F63E6"/>
    <w:rsid w:val="009F6A02"/>
    <w:rsid w:val="009F6E5F"/>
    <w:rsid w:val="00A0002F"/>
    <w:rsid w:val="00A0162B"/>
    <w:rsid w:val="00A027B0"/>
    <w:rsid w:val="00A035F6"/>
    <w:rsid w:val="00A03611"/>
    <w:rsid w:val="00A038E7"/>
    <w:rsid w:val="00A04393"/>
    <w:rsid w:val="00A0575F"/>
    <w:rsid w:val="00A05C8D"/>
    <w:rsid w:val="00A0649E"/>
    <w:rsid w:val="00A07DA8"/>
    <w:rsid w:val="00A1030B"/>
    <w:rsid w:val="00A114BD"/>
    <w:rsid w:val="00A14D1F"/>
    <w:rsid w:val="00A14E5D"/>
    <w:rsid w:val="00A17668"/>
    <w:rsid w:val="00A21A0F"/>
    <w:rsid w:val="00A21D55"/>
    <w:rsid w:val="00A22BD1"/>
    <w:rsid w:val="00A24300"/>
    <w:rsid w:val="00A245D2"/>
    <w:rsid w:val="00A2612E"/>
    <w:rsid w:val="00A269DF"/>
    <w:rsid w:val="00A26D46"/>
    <w:rsid w:val="00A27E45"/>
    <w:rsid w:val="00A3133E"/>
    <w:rsid w:val="00A313F4"/>
    <w:rsid w:val="00A31E42"/>
    <w:rsid w:val="00A335DA"/>
    <w:rsid w:val="00A34A94"/>
    <w:rsid w:val="00A35C70"/>
    <w:rsid w:val="00A364A4"/>
    <w:rsid w:val="00A36EC6"/>
    <w:rsid w:val="00A406F0"/>
    <w:rsid w:val="00A40823"/>
    <w:rsid w:val="00A40863"/>
    <w:rsid w:val="00A419C0"/>
    <w:rsid w:val="00A41A47"/>
    <w:rsid w:val="00A431FB"/>
    <w:rsid w:val="00A443C7"/>
    <w:rsid w:val="00A46EAD"/>
    <w:rsid w:val="00A50A49"/>
    <w:rsid w:val="00A53797"/>
    <w:rsid w:val="00A53F7D"/>
    <w:rsid w:val="00A55C1B"/>
    <w:rsid w:val="00A56728"/>
    <w:rsid w:val="00A5690D"/>
    <w:rsid w:val="00A56D1C"/>
    <w:rsid w:val="00A56E05"/>
    <w:rsid w:val="00A57CB1"/>
    <w:rsid w:val="00A602AA"/>
    <w:rsid w:val="00A61480"/>
    <w:rsid w:val="00A61866"/>
    <w:rsid w:val="00A61E3F"/>
    <w:rsid w:val="00A6329A"/>
    <w:rsid w:val="00A64FC3"/>
    <w:rsid w:val="00A656C9"/>
    <w:rsid w:val="00A656DD"/>
    <w:rsid w:val="00A6600B"/>
    <w:rsid w:val="00A665F8"/>
    <w:rsid w:val="00A67C76"/>
    <w:rsid w:val="00A70A33"/>
    <w:rsid w:val="00A714D5"/>
    <w:rsid w:val="00A71509"/>
    <w:rsid w:val="00A71B8C"/>
    <w:rsid w:val="00A72B41"/>
    <w:rsid w:val="00A737D9"/>
    <w:rsid w:val="00A753C8"/>
    <w:rsid w:val="00A762C7"/>
    <w:rsid w:val="00A77A8C"/>
    <w:rsid w:val="00A77CCA"/>
    <w:rsid w:val="00A80D4D"/>
    <w:rsid w:val="00A82504"/>
    <w:rsid w:val="00A83405"/>
    <w:rsid w:val="00A836CA"/>
    <w:rsid w:val="00A83744"/>
    <w:rsid w:val="00A83871"/>
    <w:rsid w:val="00A843CD"/>
    <w:rsid w:val="00A85820"/>
    <w:rsid w:val="00A85874"/>
    <w:rsid w:val="00A85AA8"/>
    <w:rsid w:val="00A86E79"/>
    <w:rsid w:val="00A875B3"/>
    <w:rsid w:val="00A87B21"/>
    <w:rsid w:val="00A90436"/>
    <w:rsid w:val="00A91EBB"/>
    <w:rsid w:val="00A92C89"/>
    <w:rsid w:val="00A93F2A"/>
    <w:rsid w:val="00A947DC"/>
    <w:rsid w:val="00A95343"/>
    <w:rsid w:val="00A96182"/>
    <w:rsid w:val="00A97112"/>
    <w:rsid w:val="00A971CC"/>
    <w:rsid w:val="00A9747A"/>
    <w:rsid w:val="00AA1749"/>
    <w:rsid w:val="00AA65CB"/>
    <w:rsid w:val="00AA6C3C"/>
    <w:rsid w:val="00AA7A53"/>
    <w:rsid w:val="00AB0C92"/>
    <w:rsid w:val="00AB2169"/>
    <w:rsid w:val="00AB3FF6"/>
    <w:rsid w:val="00AB76D1"/>
    <w:rsid w:val="00AB7E92"/>
    <w:rsid w:val="00AC0098"/>
    <w:rsid w:val="00AC080C"/>
    <w:rsid w:val="00AC0D57"/>
    <w:rsid w:val="00AC0ECA"/>
    <w:rsid w:val="00AC3B30"/>
    <w:rsid w:val="00AC3BAD"/>
    <w:rsid w:val="00AC44FB"/>
    <w:rsid w:val="00AD03D2"/>
    <w:rsid w:val="00AD0F4A"/>
    <w:rsid w:val="00AD10D2"/>
    <w:rsid w:val="00AD2724"/>
    <w:rsid w:val="00AD35BA"/>
    <w:rsid w:val="00AD37A1"/>
    <w:rsid w:val="00AD4C85"/>
    <w:rsid w:val="00AD4E67"/>
    <w:rsid w:val="00AD553A"/>
    <w:rsid w:val="00AD5A6D"/>
    <w:rsid w:val="00AD62AD"/>
    <w:rsid w:val="00AD798E"/>
    <w:rsid w:val="00AE0E1E"/>
    <w:rsid w:val="00AE10AB"/>
    <w:rsid w:val="00AE13F8"/>
    <w:rsid w:val="00AE46EF"/>
    <w:rsid w:val="00AE4E18"/>
    <w:rsid w:val="00AE5825"/>
    <w:rsid w:val="00AE5BE0"/>
    <w:rsid w:val="00AE711A"/>
    <w:rsid w:val="00AE7566"/>
    <w:rsid w:val="00AF0809"/>
    <w:rsid w:val="00AF1457"/>
    <w:rsid w:val="00AF2124"/>
    <w:rsid w:val="00AF281F"/>
    <w:rsid w:val="00AF351C"/>
    <w:rsid w:val="00AF4BBD"/>
    <w:rsid w:val="00AF59E5"/>
    <w:rsid w:val="00AF5B41"/>
    <w:rsid w:val="00AF64E0"/>
    <w:rsid w:val="00AF7E4A"/>
    <w:rsid w:val="00B0025E"/>
    <w:rsid w:val="00B01369"/>
    <w:rsid w:val="00B02CF4"/>
    <w:rsid w:val="00B05933"/>
    <w:rsid w:val="00B06832"/>
    <w:rsid w:val="00B072B7"/>
    <w:rsid w:val="00B1468F"/>
    <w:rsid w:val="00B149A5"/>
    <w:rsid w:val="00B15B73"/>
    <w:rsid w:val="00B16D7E"/>
    <w:rsid w:val="00B16FB4"/>
    <w:rsid w:val="00B17061"/>
    <w:rsid w:val="00B17183"/>
    <w:rsid w:val="00B17E94"/>
    <w:rsid w:val="00B205FA"/>
    <w:rsid w:val="00B2064F"/>
    <w:rsid w:val="00B20BC9"/>
    <w:rsid w:val="00B21FE7"/>
    <w:rsid w:val="00B226CA"/>
    <w:rsid w:val="00B23ECF"/>
    <w:rsid w:val="00B24333"/>
    <w:rsid w:val="00B254DD"/>
    <w:rsid w:val="00B25A6A"/>
    <w:rsid w:val="00B262C8"/>
    <w:rsid w:val="00B26377"/>
    <w:rsid w:val="00B2649E"/>
    <w:rsid w:val="00B26D80"/>
    <w:rsid w:val="00B275B4"/>
    <w:rsid w:val="00B30375"/>
    <w:rsid w:val="00B3057F"/>
    <w:rsid w:val="00B3111B"/>
    <w:rsid w:val="00B31626"/>
    <w:rsid w:val="00B32EA0"/>
    <w:rsid w:val="00B34004"/>
    <w:rsid w:val="00B34770"/>
    <w:rsid w:val="00B3588F"/>
    <w:rsid w:val="00B36198"/>
    <w:rsid w:val="00B36F86"/>
    <w:rsid w:val="00B37903"/>
    <w:rsid w:val="00B37EE0"/>
    <w:rsid w:val="00B40198"/>
    <w:rsid w:val="00B41759"/>
    <w:rsid w:val="00B41D44"/>
    <w:rsid w:val="00B43AF1"/>
    <w:rsid w:val="00B462EA"/>
    <w:rsid w:val="00B50ACC"/>
    <w:rsid w:val="00B51804"/>
    <w:rsid w:val="00B52785"/>
    <w:rsid w:val="00B53663"/>
    <w:rsid w:val="00B54271"/>
    <w:rsid w:val="00B5457B"/>
    <w:rsid w:val="00B548AE"/>
    <w:rsid w:val="00B549BE"/>
    <w:rsid w:val="00B559EF"/>
    <w:rsid w:val="00B56065"/>
    <w:rsid w:val="00B5613D"/>
    <w:rsid w:val="00B56305"/>
    <w:rsid w:val="00B56D38"/>
    <w:rsid w:val="00B57274"/>
    <w:rsid w:val="00B57923"/>
    <w:rsid w:val="00B6042F"/>
    <w:rsid w:val="00B61149"/>
    <w:rsid w:val="00B61AB4"/>
    <w:rsid w:val="00B61D7F"/>
    <w:rsid w:val="00B61D85"/>
    <w:rsid w:val="00B63A29"/>
    <w:rsid w:val="00B647ED"/>
    <w:rsid w:val="00B70535"/>
    <w:rsid w:val="00B7065E"/>
    <w:rsid w:val="00B70A5C"/>
    <w:rsid w:val="00B7263A"/>
    <w:rsid w:val="00B7475A"/>
    <w:rsid w:val="00B7549E"/>
    <w:rsid w:val="00B77AF5"/>
    <w:rsid w:val="00B77CAE"/>
    <w:rsid w:val="00B80349"/>
    <w:rsid w:val="00B81D68"/>
    <w:rsid w:val="00B835E1"/>
    <w:rsid w:val="00B836C8"/>
    <w:rsid w:val="00B83F26"/>
    <w:rsid w:val="00B8425F"/>
    <w:rsid w:val="00B843E8"/>
    <w:rsid w:val="00B84F0C"/>
    <w:rsid w:val="00B8593A"/>
    <w:rsid w:val="00B85C99"/>
    <w:rsid w:val="00B85E71"/>
    <w:rsid w:val="00B85EEC"/>
    <w:rsid w:val="00B866AC"/>
    <w:rsid w:val="00B869E6"/>
    <w:rsid w:val="00B87B59"/>
    <w:rsid w:val="00B90914"/>
    <w:rsid w:val="00B938E3"/>
    <w:rsid w:val="00B94EF6"/>
    <w:rsid w:val="00B95EF4"/>
    <w:rsid w:val="00B95F7D"/>
    <w:rsid w:val="00B95FBC"/>
    <w:rsid w:val="00B96D62"/>
    <w:rsid w:val="00B975DE"/>
    <w:rsid w:val="00BA09A2"/>
    <w:rsid w:val="00BA0DEC"/>
    <w:rsid w:val="00BA1823"/>
    <w:rsid w:val="00BA187D"/>
    <w:rsid w:val="00BA417E"/>
    <w:rsid w:val="00BA41D6"/>
    <w:rsid w:val="00BA6B30"/>
    <w:rsid w:val="00BA7267"/>
    <w:rsid w:val="00BA7763"/>
    <w:rsid w:val="00BB03AA"/>
    <w:rsid w:val="00BB0B0D"/>
    <w:rsid w:val="00BB2257"/>
    <w:rsid w:val="00BB2412"/>
    <w:rsid w:val="00BB24BC"/>
    <w:rsid w:val="00BB3590"/>
    <w:rsid w:val="00BB52F1"/>
    <w:rsid w:val="00BB5A9C"/>
    <w:rsid w:val="00BB5EE2"/>
    <w:rsid w:val="00BB6477"/>
    <w:rsid w:val="00BB7F90"/>
    <w:rsid w:val="00BC035A"/>
    <w:rsid w:val="00BC0DC5"/>
    <w:rsid w:val="00BC13E0"/>
    <w:rsid w:val="00BC2023"/>
    <w:rsid w:val="00BC39A3"/>
    <w:rsid w:val="00BC59C2"/>
    <w:rsid w:val="00BC5C44"/>
    <w:rsid w:val="00BC5E5A"/>
    <w:rsid w:val="00BC62C7"/>
    <w:rsid w:val="00BC6D37"/>
    <w:rsid w:val="00BC7C6A"/>
    <w:rsid w:val="00BD0040"/>
    <w:rsid w:val="00BD10E2"/>
    <w:rsid w:val="00BD135F"/>
    <w:rsid w:val="00BD1734"/>
    <w:rsid w:val="00BD1FB1"/>
    <w:rsid w:val="00BD322F"/>
    <w:rsid w:val="00BD3B1E"/>
    <w:rsid w:val="00BD4CAD"/>
    <w:rsid w:val="00BD51AD"/>
    <w:rsid w:val="00BD5234"/>
    <w:rsid w:val="00BD571C"/>
    <w:rsid w:val="00BD664E"/>
    <w:rsid w:val="00BE0ABC"/>
    <w:rsid w:val="00BE1F31"/>
    <w:rsid w:val="00BE2AE8"/>
    <w:rsid w:val="00BE3628"/>
    <w:rsid w:val="00BE3996"/>
    <w:rsid w:val="00BE3E99"/>
    <w:rsid w:val="00BE427C"/>
    <w:rsid w:val="00BE5048"/>
    <w:rsid w:val="00BE5899"/>
    <w:rsid w:val="00BE5CDD"/>
    <w:rsid w:val="00BE61C2"/>
    <w:rsid w:val="00BE6331"/>
    <w:rsid w:val="00BE682F"/>
    <w:rsid w:val="00BE6FCC"/>
    <w:rsid w:val="00BF141F"/>
    <w:rsid w:val="00BF474F"/>
    <w:rsid w:val="00BF4876"/>
    <w:rsid w:val="00BF5002"/>
    <w:rsid w:val="00BF540F"/>
    <w:rsid w:val="00BF584B"/>
    <w:rsid w:val="00BF5D87"/>
    <w:rsid w:val="00BF5FCA"/>
    <w:rsid w:val="00BF7780"/>
    <w:rsid w:val="00C02769"/>
    <w:rsid w:val="00C02B71"/>
    <w:rsid w:val="00C03695"/>
    <w:rsid w:val="00C03A7B"/>
    <w:rsid w:val="00C04D92"/>
    <w:rsid w:val="00C05413"/>
    <w:rsid w:val="00C06678"/>
    <w:rsid w:val="00C06938"/>
    <w:rsid w:val="00C07FEA"/>
    <w:rsid w:val="00C1291B"/>
    <w:rsid w:val="00C13D45"/>
    <w:rsid w:val="00C16770"/>
    <w:rsid w:val="00C172F2"/>
    <w:rsid w:val="00C17F5D"/>
    <w:rsid w:val="00C226B3"/>
    <w:rsid w:val="00C234EE"/>
    <w:rsid w:val="00C23535"/>
    <w:rsid w:val="00C23846"/>
    <w:rsid w:val="00C24254"/>
    <w:rsid w:val="00C25423"/>
    <w:rsid w:val="00C25CFA"/>
    <w:rsid w:val="00C261A2"/>
    <w:rsid w:val="00C268D9"/>
    <w:rsid w:val="00C270FB"/>
    <w:rsid w:val="00C31870"/>
    <w:rsid w:val="00C31AD6"/>
    <w:rsid w:val="00C31AE1"/>
    <w:rsid w:val="00C31BA3"/>
    <w:rsid w:val="00C31FA8"/>
    <w:rsid w:val="00C325EF"/>
    <w:rsid w:val="00C33C04"/>
    <w:rsid w:val="00C33DC9"/>
    <w:rsid w:val="00C355F4"/>
    <w:rsid w:val="00C36B49"/>
    <w:rsid w:val="00C3798A"/>
    <w:rsid w:val="00C37FBD"/>
    <w:rsid w:val="00C424E8"/>
    <w:rsid w:val="00C43C09"/>
    <w:rsid w:val="00C43F77"/>
    <w:rsid w:val="00C440E8"/>
    <w:rsid w:val="00C44367"/>
    <w:rsid w:val="00C4519B"/>
    <w:rsid w:val="00C46917"/>
    <w:rsid w:val="00C46981"/>
    <w:rsid w:val="00C47EB4"/>
    <w:rsid w:val="00C50030"/>
    <w:rsid w:val="00C503F2"/>
    <w:rsid w:val="00C5162D"/>
    <w:rsid w:val="00C520DC"/>
    <w:rsid w:val="00C53E10"/>
    <w:rsid w:val="00C55860"/>
    <w:rsid w:val="00C5622D"/>
    <w:rsid w:val="00C56993"/>
    <w:rsid w:val="00C56DF6"/>
    <w:rsid w:val="00C57AF3"/>
    <w:rsid w:val="00C60AB8"/>
    <w:rsid w:val="00C60CCF"/>
    <w:rsid w:val="00C612EA"/>
    <w:rsid w:val="00C644E1"/>
    <w:rsid w:val="00C66DBA"/>
    <w:rsid w:val="00C67040"/>
    <w:rsid w:val="00C707BA"/>
    <w:rsid w:val="00C71BFB"/>
    <w:rsid w:val="00C736ED"/>
    <w:rsid w:val="00C74263"/>
    <w:rsid w:val="00C758C2"/>
    <w:rsid w:val="00C76003"/>
    <w:rsid w:val="00C76671"/>
    <w:rsid w:val="00C824FA"/>
    <w:rsid w:val="00C8252F"/>
    <w:rsid w:val="00C82BB8"/>
    <w:rsid w:val="00C83EC0"/>
    <w:rsid w:val="00C849D5"/>
    <w:rsid w:val="00C85C49"/>
    <w:rsid w:val="00C86A86"/>
    <w:rsid w:val="00C915CF"/>
    <w:rsid w:val="00C9183A"/>
    <w:rsid w:val="00C93509"/>
    <w:rsid w:val="00C93613"/>
    <w:rsid w:val="00C943F7"/>
    <w:rsid w:val="00C94927"/>
    <w:rsid w:val="00C96189"/>
    <w:rsid w:val="00C96A6D"/>
    <w:rsid w:val="00CA026D"/>
    <w:rsid w:val="00CA12DA"/>
    <w:rsid w:val="00CA1840"/>
    <w:rsid w:val="00CA1B3D"/>
    <w:rsid w:val="00CA3702"/>
    <w:rsid w:val="00CA3880"/>
    <w:rsid w:val="00CA4D65"/>
    <w:rsid w:val="00CA5494"/>
    <w:rsid w:val="00CA5913"/>
    <w:rsid w:val="00CA68EA"/>
    <w:rsid w:val="00CA6C50"/>
    <w:rsid w:val="00CB024A"/>
    <w:rsid w:val="00CB10D4"/>
    <w:rsid w:val="00CB30A7"/>
    <w:rsid w:val="00CB448C"/>
    <w:rsid w:val="00CB468F"/>
    <w:rsid w:val="00CB4FF0"/>
    <w:rsid w:val="00CB5E8E"/>
    <w:rsid w:val="00CC1530"/>
    <w:rsid w:val="00CC3BFF"/>
    <w:rsid w:val="00CC5080"/>
    <w:rsid w:val="00CC50FA"/>
    <w:rsid w:val="00CC5560"/>
    <w:rsid w:val="00CC6D47"/>
    <w:rsid w:val="00CD060E"/>
    <w:rsid w:val="00CD1302"/>
    <w:rsid w:val="00CD4802"/>
    <w:rsid w:val="00CD59C7"/>
    <w:rsid w:val="00CD6F00"/>
    <w:rsid w:val="00CD731C"/>
    <w:rsid w:val="00CD76F2"/>
    <w:rsid w:val="00CD7B04"/>
    <w:rsid w:val="00CE17B0"/>
    <w:rsid w:val="00CE2DB6"/>
    <w:rsid w:val="00CE6C38"/>
    <w:rsid w:val="00CE6F2E"/>
    <w:rsid w:val="00CE7CAF"/>
    <w:rsid w:val="00CF28E5"/>
    <w:rsid w:val="00CF3DBC"/>
    <w:rsid w:val="00CF47BB"/>
    <w:rsid w:val="00CF5CA0"/>
    <w:rsid w:val="00CF704E"/>
    <w:rsid w:val="00CF7DAB"/>
    <w:rsid w:val="00D00155"/>
    <w:rsid w:val="00D0019C"/>
    <w:rsid w:val="00D021A8"/>
    <w:rsid w:val="00D03241"/>
    <w:rsid w:val="00D032B3"/>
    <w:rsid w:val="00D03932"/>
    <w:rsid w:val="00D03E5B"/>
    <w:rsid w:val="00D054BF"/>
    <w:rsid w:val="00D0641B"/>
    <w:rsid w:val="00D11003"/>
    <w:rsid w:val="00D118E0"/>
    <w:rsid w:val="00D11C85"/>
    <w:rsid w:val="00D11D42"/>
    <w:rsid w:val="00D11E31"/>
    <w:rsid w:val="00D1263C"/>
    <w:rsid w:val="00D14842"/>
    <w:rsid w:val="00D15790"/>
    <w:rsid w:val="00D15D0F"/>
    <w:rsid w:val="00D1662C"/>
    <w:rsid w:val="00D17FAC"/>
    <w:rsid w:val="00D2023B"/>
    <w:rsid w:val="00D223B1"/>
    <w:rsid w:val="00D25474"/>
    <w:rsid w:val="00D25D90"/>
    <w:rsid w:val="00D26E0D"/>
    <w:rsid w:val="00D2716E"/>
    <w:rsid w:val="00D27314"/>
    <w:rsid w:val="00D326EF"/>
    <w:rsid w:val="00D32A67"/>
    <w:rsid w:val="00D333D1"/>
    <w:rsid w:val="00D33432"/>
    <w:rsid w:val="00D33C2E"/>
    <w:rsid w:val="00D34A79"/>
    <w:rsid w:val="00D35DB3"/>
    <w:rsid w:val="00D36403"/>
    <w:rsid w:val="00D36616"/>
    <w:rsid w:val="00D37589"/>
    <w:rsid w:val="00D401A7"/>
    <w:rsid w:val="00D40953"/>
    <w:rsid w:val="00D41784"/>
    <w:rsid w:val="00D41960"/>
    <w:rsid w:val="00D4202C"/>
    <w:rsid w:val="00D422F2"/>
    <w:rsid w:val="00D43095"/>
    <w:rsid w:val="00D431E1"/>
    <w:rsid w:val="00D43545"/>
    <w:rsid w:val="00D43890"/>
    <w:rsid w:val="00D45737"/>
    <w:rsid w:val="00D5072E"/>
    <w:rsid w:val="00D50810"/>
    <w:rsid w:val="00D50F50"/>
    <w:rsid w:val="00D51098"/>
    <w:rsid w:val="00D51D58"/>
    <w:rsid w:val="00D53983"/>
    <w:rsid w:val="00D54017"/>
    <w:rsid w:val="00D541F8"/>
    <w:rsid w:val="00D543EF"/>
    <w:rsid w:val="00D548AB"/>
    <w:rsid w:val="00D553E4"/>
    <w:rsid w:val="00D56DFB"/>
    <w:rsid w:val="00D56FE4"/>
    <w:rsid w:val="00D57671"/>
    <w:rsid w:val="00D61090"/>
    <w:rsid w:val="00D611EE"/>
    <w:rsid w:val="00D64106"/>
    <w:rsid w:val="00D64C2D"/>
    <w:rsid w:val="00D65F6E"/>
    <w:rsid w:val="00D67F5F"/>
    <w:rsid w:val="00D7041F"/>
    <w:rsid w:val="00D72216"/>
    <w:rsid w:val="00D722A0"/>
    <w:rsid w:val="00D72CC2"/>
    <w:rsid w:val="00D72D13"/>
    <w:rsid w:val="00D72D31"/>
    <w:rsid w:val="00D74D17"/>
    <w:rsid w:val="00D75250"/>
    <w:rsid w:val="00D75D4A"/>
    <w:rsid w:val="00D75F86"/>
    <w:rsid w:val="00D760E9"/>
    <w:rsid w:val="00D76778"/>
    <w:rsid w:val="00D7751E"/>
    <w:rsid w:val="00D77CD2"/>
    <w:rsid w:val="00D808C5"/>
    <w:rsid w:val="00D80E0E"/>
    <w:rsid w:val="00D8138D"/>
    <w:rsid w:val="00D84E39"/>
    <w:rsid w:val="00D85A9C"/>
    <w:rsid w:val="00D85CEE"/>
    <w:rsid w:val="00D85F11"/>
    <w:rsid w:val="00D860B7"/>
    <w:rsid w:val="00D86750"/>
    <w:rsid w:val="00D86782"/>
    <w:rsid w:val="00D90643"/>
    <w:rsid w:val="00D91D23"/>
    <w:rsid w:val="00D92261"/>
    <w:rsid w:val="00D93CEC"/>
    <w:rsid w:val="00D956D9"/>
    <w:rsid w:val="00D96465"/>
    <w:rsid w:val="00D96AA1"/>
    <w:rsid w:val="00D96EAA"/>
    <w:rsid w:val="00DA04D7"/>
    <w:rsid w:val="00DA0B16"/>
    <w:rsid w:val="00DA1283"/>
    <w:rsid w:val="00DA155E"/>
    <w:rsid w:val="00DA2149"/>
    <w:rsid w:val="00DA29E1"/>
    <w:rsid w:val="00DA2F34"/>
    <w:rsid w:val="00DA3294"/>
    <w:rsid w:val="00DA4269"/>
    <w:rsid w:val="00DA4B6A"/>
    <w:rsid w:val="00DA675F"/>
    <w:rsid w:val="00DA746D"/>
    <w:rsid w:val="00DA7697"/>
    <w:rsid w:val="00DA7EBB"/>
    <w:rsid w:val="00DA7FEF"/>
    <w:rsid w:val="00DB01BC"/>
    <w:rsid w:val="00DB18CD"/>
    <w:rsid w:val="00DB1E16"/>
    <w:rsid w:val="00DB3F13"/>
    <w:rsid w:val="00DB4FF5"/>
    <w:rsid w:val="00DB6034"/>
    <w:rsid w:val="00DB747C"/>
    <w:rsid w:val="00DC042F"/>
    <w:rsid w:val="00DC1B9F"/>
    <w:rsid w:val="00DC2F8A"/>
    <w:rsid w:val="00DC486A"/>
    <w:rsid w:val="00DC70A1"/>
    <w:rsid w:val="00DC7761"/>
    <w:rsid w:val="00DD019D"/>
    <w:rsid w:val="00DD2FC7"/>
    <w:rsid w:val="00DD45DA"/>
    <w:rsid w:val="00DD478D"/>
    <w:rsid w:val="00DD5B7A"/>
    <w:rsid w:val="00DD7922"/>
    <w:rsid w:val="00DE138E"/>
    <w:rsid w:val="00DE2BB9"/>
    <w:rsid w:val="00DE2DCE"/>
    <w:rsid w:val="00DE41EA"/>
    <w:rsid w:val="00DE53D4"/>
    <w:rsid w:val="00DE6934"/>
    <w:rsid w:val="00DE7196"/>
    <w:rsid w:val="00DE7F4E"/>
    <w:rsid w:val="00DF002F"/>
    <w:rsid w:val="00DF0F0F"/>
    <w:rsid w:val="00DF286C"/>
    <w:rsid w:val="00DF30BC"/>
    <w:rsid w:val="00DF383D"/>
    <w:rsid w:val="00DF44E2"/>
    <w:rsid w:val="00DF450D"/>
    <w:rsid w:val="00DF4A04"/>
    <w:rsid w:val="00DF58AE"/>
    <w:rsid w:val="00DF5EF4"/>
    <w:rsid w:val="00DF6BE6"/>
    <w:rsid w:val="00DF7579"/>
    <w:rsid w:val="00DF7BA2"/>
    <w:rsid w:val="00E00384"/>
    <w:rsid w:val="00E01488"/>
    <w:rsid w:val="00E01E03"/>
    <w:rsid w:val="00E020A9"/>
    <w:rsid w:val="00E0271A"/>
    <w:rsid w:val="00E03ECC"/>
    <w:rsid w:val="00E0554B"/>
    <w:rsid w:val="00E05940"/>
    <w:rsid w:val="00E064FD"/>
    <w:rsid w:val="00E06529"/>
    <w:rsid w:val="00E06FB1"/>
    <w:rsid w:val="00E112B7"/>
    <w:rsid w:val="00E11723"/>
    <w:rsid w:val="00E12498"/>
    <w:rsid w:val="00E127C1"/>
    <w:rsid w:val="00E1294B"/>
    <w:rsid w:val="00E12F25"/>
    <w:rsid w:val="00E13060"/>
    <w:rsid w:val="00E138E7"/>
    <w:rsid w:val="00E148D6"/>
    <w:rsid w:val="00E14A9C"/>
    <w:rsid w:val="00E14C62"/>
    <w:rsid w:val="00E154AD"/>
    <w:rsid w:val="00E17AFD"/>
    <w:rsid w:val="00E214AE"/>
    <w:rsid w:val="00E214F5"/>
    <w:rsid w:val="00E22D50"/>
    <w:rsid w:val="00E23EB7"/>
    <w:rsid w:val="00E259AD"/>
    <w:rsid w:val="00E26F6B"/>
    <w:rsid w:val="00E276BD"/>
    <w:rsid w:val="00E3075D"/>
    <w:rsid w:val="00E30990"/>
    <w:rsid w:val="00E3239C"/>
    <w:rsid w:val="00E328DC"/>
    <w:rsid w:val="00E33B5D"/>
    <w:rsid w:val="00E35A33"/>
    <w:rsid w:val="00E366FB"/>
    <w:rsid w:val="00E374BD"/>
    <w:rsid w:val="00E37805"/>
    <w:rsid w:val="00E4031B"/>
    <w:rsid w:val="00E40A7D"/>
    <w:rsid w:val="00E433AC"/>
    <w:rsid w:val="00E44CE2"/>
    <w:rsid w:val="00E44FC6"/>
    <w:rsid w:val="00E45C94"/>
    <w:rsid w:val="00E46447"/>
    <w:rsid w:val="00E46709"/>
    <w:rsid w:val="00E5035A"/>
    <w:rsid w:val="00E50EF7"/>
    <w:rsid w:val="00E51A5E"/>
    <w:rsid w:val="00E522C5"/>
    <w:rsid w:val="00E5257A"/>
    <w:rsid w:val="00E5298B"/>
    <w:rsid w:val="00E54DE1"/>
    <w:rsid w:val="00E569E5"/>
    <w:rsid w:val="00E56A73"/>
    <w:rsid w:val="00E56D5F"/>
    <w:rsid w:val="00E56F94"/>
    <w:rsid w:val="00E57BA5"/>
    <w:rsid w:val="00E608F7"/>
    <w:rsid w:val="00E6120F"/>
    <w:rsid w:val="00E635A3"/>
    <w:rsid w:val="00E6390C"/>
    <w:rsid w:val="00E64788"/>
    <w:rsid w:val="00E64D74"/>
    <w:rsid w:val="00E65047"/>
    <w:rsid w:val="00E65631"/>
    <w:rsid w:val="00E66D76"/>
    <w:rsid w:val="00E66FE4"/>
    <w:rsid w:val="00E70462"/>
    <w:rsid w:val="00E71D73"/>
    <w:rsid w:val="00E728E8"/>
    <w:rsid w:val="00E72BF6"/>
    <w:rsid w:val="00E747F8"/>
    <w:rsid w:val="00E77B2B"/>
    <w:rsid w:val="00E801FB"/>
    <w:rsid w:val="00E81790"/>
    <w:rsid w:val="00E82630"/>
    <w:rsid w:val="00E82AC0"/>
    <w:rsid w:val="00E830A7"/>
    <w:rsid w:val="00E83801"/>
    <w:rsid w:val="00E83DA9"/>
    <w:rsid w:val="00E8409D"/>
    <w:rsid w:val="00E848DC"/>
    <w:rsid w:val="00E853AB"/>
    <w:rsid w:val="00E869FF"/>
    <w:rsid w:val="00E87696"/>
    <w:rsid w:val="00E87F6F"/>
    <w:rsid w:val="00E900EC"/>
    <w:rsid w:val="00E908C8"/>
    <w:rsid w:val="00E9104D"/>
    <w:rsid w:val="00E910A1"/>
    <w:rsid w:val="00E91A99"/>
    <w:rsid w:val="00E929A6"/>
    <w:rsid w:val="00E92C29"/>
    <w:rsid w:val="00E9477D"/>
    <w:rsid w:val="00E94929"/>
    <w:rsid w:val="00E965C6"/>
    <w:rsid w:val="00E97F5A"/>
    <w:rsid w:val="00EA03B4"/>
    <w:rsid w:val="00EA133B"/>
    <w:rsid w:val="00EA1A81"/>
    <w:rsid w:val="00EA1D74"/>
    <w:rsid w:val="00EA382E"/>
    <w:rsid w:val="00EA47F9"/>
    <w:rsid w:val="00EA4FF7"/>
    <w:rsid w:val="00EA5C8D"/>
    <w:rsid w:val="00EA641F"/>
    <w:rsid w:val="00EB0DEC"/>
    <w:rsid w:val="00EB19FE"/>
    <w:rsid w:val="00EB46DE"/>
    <w:rsid w:val="00EB51D0"/>
    <w:rsid w:val="00EB52B5"/>
    <w:rsid w:val="00EB5D5C"/>
    <w:rsid w:val="00EB6B14"/>
    <w:rsid w:val="00EB6C7F"/>
    <w:rsid w:val="00EB6D6E"/>
    <w:rsid w:val="00EB7DA2"/>
    <w:rsid w:val="00EC1155"/>
    <w:rsid w:val="00EC126F"/>
    <w:rsid w:val="00EC20D6"/>
    <w:rsid w:val="00EC2E82"/>
    <w:rsid w:val="00EC334D"/>
    <w:rsid w:val="00EC4C35"/>
    <w:rsid w:val="00EC522F"/>
    <w:rsid w:val="00EC7711"/>
    <w:rsid w:val="00EC796D"/>
    <w:rsid w:val="00EC7C65"/>
    <w:rsid w:val="00ED11E1"/>
    <w:rsid w:val="00ED1C10"/>
    <w:rsid w:val="00ED422C"/>
    <w:rsid w:val="00ED49CB"/>
    <w:rsid w:val="00ED7BCF"/>
    <w:rsid w:val="00ED7CBE"/>
    <w:rsid w:val="00EE003B"/>
    <w:rsid w:val="00EE11FE"/>
    <w:rsid w:val="00EE15E2"/>
    <w:rsid w:val="00EE2745"/>
    <w:rsid w:val="00EE3874"/>
    <w:rsid w:val="00EE4246"/>
    <w:rsid w:val="00EE511E"/>
    <w:rsid w:val="00EE515C"/>
    <w:rsid w:val="00EE5A21"/>
    <w:rsid w:val="00EE6CDF"/>
    <w:rsid w:val="00EF097F"/>
    <w:rsid w:val="00EF1F93"/>
    <w:rsid w:val="00EF2DC4"/>
    <w:rsid w:val="00EF600A"/>
    <w:rsid w:val="00EF78C6"/>
    <w:rsid w:val="00F0040E"/>
    <w:rsid w:val="00F03AB7"/>
    <w:rsid w:val="00F0437C"/>
    <w:rsid w:val="00F04BA6"/>
    <w:rsid w:val="00F06ED0"/>
    <w:rsid w:val="00F07948"/>
    <w:rsid w:val="00F07A8B"/>
    <w:rsid w:val="00F104AB"/>
    <w:rsid w:val="00F1157E"/>
    <w:rsid w:val="00F12E17"/>
    <w:rsid w:val="00F14CBC"/>
    <w:rsid w:val="00F179DC"/>
    <w:rsid w:val="00F20F24"/>
    <w:rsid w:val="00F21469"/>
    <w:rsid w:val="00F228B3"/>
    <w:rsid w:val="00F232B9"/>
    <w:rsid w:val="00F23758"/>
    <w:rsid w:val="00F2408B"/>
    <w:rsid w:val="00F241B3"/>
    <w:rsid w:val="00F24B76"/>
    <w:rsid w:val="00F256FE"/>
    <w:rsid w:val="00F26612"/>
    <w:rsid w:val="00F26736"/>
    <w:rsid w:val="00F320A3"/>
    <w:rsid w:val="00F3311C"/>
    <w:rsid w:val="00F33B4A"/>
    <w:rsid w:val="00F35193"/>
    <w:rsid w:val="00F35F4C"/>
    <w:rsid w:val="00F36163"/>
    <w:rsid w:val="00F3629C"/>
    <w:rsid w:val="00F36FC5"/>
    <w:rsid w:val="00F36FCE"/>
    <w:rsid w:val="00F40D5C"/>
    <w:rsid w:val="00F40F04"/>
    <w:rsid w:val="00F41B0E"/>
    <w:rsid w:val="00F42659"/>
    <w:rsid w:val="00F42772"/>
    <w:rsid w:val="00F42985"/>
    <w:rsid w:val="00F433A1"/>
    <w:rsid w:val="00F43A49"/>
    <w:rsid w:val="00F44BF6"/>
    <w:rsid w:val="00F4501D"/>
    <w:rsid w:val="00F46603"/>
    <w:rsid w:val="00F47FD4"/>
    <w:rsid w:val="00F5018E"/>
    <w:rsid w:val="00F50344"/>
    <w:rsid w:val="00F50B6C"/>
    <w:rsid w:val="00F52AC4"/>
    <w:rsid w:val="00F546BF"/>
    <w:rsid w:val="00F55C9A"/>
    <w:rsid w:val="00F56815"/>
    <w:rsid w:val="00F57242"/>
    <w:rsid w:val="00F5793A"/>
    <w:rsid w:val="00F57CCA"/>
    <w:rsid w:val="00F61687"/>
    <w:rsid w:val="00F62E39"/>
    <w:rsid w:val="00F64C67"/>
    <w:rsid w:val="00F66393"/>
    <w:rsid w:val="00F707D1"/>
    <w:rsid w:val="00F70A3E"/>
    <w:rsid w:val="00F70DE1"/>
    <w:rsid w:val="00F721FA"/>
    <w:rsid w:val="00F743FE"/>
    <w:rsid w:val="00F754BE"/>
    <w:rsid w:val="00F7578E"/>
    <w:rsid w:val="00F75F28"/>
    <w:rsid w:val="00F77F18"/>
    <w:rsid w:val="00F81FE9"/>
    <w:rsid w:val="00F82079"/>
    <w:rsid w:val="00F82223"/>
    <w:rsid w:val="00F8261A"/>
    <w:rsid w:val="00F82664"/>
    <w:rsid w:val="00F8267D"/>
    <w:rsid w:val="00F8457D"/>
    <w:rsid w:val="00F85133"/>
    <w:rsid w:val="00F85DFA"/>
    <w:rsid w:val="00F860F7"/>
    <w:rsid w:val="00F87305"/>
    <w:rsid w:val="00F87E57"/>
    <w:rsid w:val="00F900A4"/>
    <w:rsid w:val="00F900C6"/>
    <w:rsid w:val="00F903A5"/>
    <w:rsid w:val="00F9150D"/>
    <w:rsid w:val="00F92941"/>
    <w:rsid w:val="00F941BB"/>
    <w:rsid w:val="00F94EE1"/>
    <w:rsid w:val="00F954AC"/>
    <w:rsid w:val="00F95931"/>
    <w:rsid w:val="00F96864"/>
    <w:rsid w:val="00F96A8B"/>
    <w:rsid w:val="00F97AA9"/>
    <w:rsid w:val="00FA0B2E"/>
    <w:rsid w:val="00FA37F1"/>
    <w:rsid w:val="00FA3E4B"/>
    <w:rsid w:val="00FA4555"/>
    <w:rsid w:val="00FA6F3B"/>
    <w:rsid w:val="00FA7053"/>
    <w:rsid w:val="00FB1BDC"/>
    <w:rsid w:val="00FB372D"/>
    <w:rsid w:val="00FB46FC"/>
    <w:rsid w:val="00FB52C9"/>
    <w:rsid w:val="00FB5758"/>
    <w:rsid w:val="00FB582B"/>
    <w:rsid w:val="00FB7CB6"/>
    <w:rsid w:val="00FC112E"/>
    <w:rsid w:val="00FC17B3"/>
    <w:rsid w:val="00FC1B89"/>
    <w:rsid w:val="00FC4106"/>
    <w:rsid w:val="00FC4733"/>
    <w:rsid w:val="00FC4D8B"/>
    <w:rsid w:val="00FC4E7F"/>
    <w:rsid w:val="00FC5DB9"/>
    <w:rsid w:val="00FC612D"/>
    <w:rsid w:val="00FC620C"/>
    <w:rsid w:val="00FC6459"/>
    <w:rsid w:val="00FC6664"/>
    <w:rsid w:val="00FC700C"/>
    <w:rsid w:val="00FC7431"/>
    <w:rsid w:val="00FC7FF3"/>
    <w:rsid w:val="00FD1B32"/>
    <w:rsid w:val="00FD2A89"/>
    <w:rsid w:val="00FD3790"/>
    <w:rsid w:val="00FD49F2"/>
    <w:rsid w:val="00FD4CF4"/>
    <w:rsid w:val="00FD5CE2"/>
    <w:rsid w:val="00FE081E"/>
    <w:rsid w:val="00FE0BD1"/>
    <w:rsid w:val="00FE0C87"/>
    <w:rsid w:val="00FE1F3A"/>
    <w:rsid w:val="00FE3A41"/>
    <w:rsid w:val="00FE4D70"/>
    <w:rsid w:val="00FE4D97"/>
    <w:rsid w:val="00FE5DD6"/>
    <w:rsid w:val="00FF1DB3"/>
    <w:rsid w:val="00FF2655"/>
    <w:rsid w:val="00FF2667"/>
    <w:rsid w:val="00FF3302"/>
    <w:rsid w:val="00FF6267"/>
    <w:rsid w:val="00FF6E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50"/>
    <w:rPr>
      <w:sz w:val="24"/>
      <w:szCs w:val="24"/>
      <w:lang w:bidi="en-US"/>
    </w:rPr>
  </w:style>
  <w:style w:type="paragraph" w:styleId="Heading1">
    <w:name w:val="heading 1"/>
    <w:basedOn w:val="Normal"/>
    <w:next w:val="Normal"/>
    <w:link w:val="Heading1Char"/>
    <w:autoRedefine/>
    <w:uiPriority w:val="9"/>
    <w:qFormat/>
    <w:rsid w:val="005A587B"/>
    <w:pPr>
      <w:keepNext/>
      <w:spacing w:after="240"/>
      <w:outlineLvl w:val="0"/>
    </w:pPr>
    <w:rPr>
      <w:b/>
      <w:bCs/>
      <w:kern w:val="32"/>
    </w:rPr>
  </w:style>
  <w:style w:type="paragraph" w:styleId="Heading2">
    <w:name w:val="heading 2"/>
    <w:basedOn w:val="Normal"/>
    <w:next w:val="Normal"/>
    <w:link w:val="Heading2Char"/>
    <w:autoRedefine/>
    <w:uiPriority w:val="9"/>
    <w:qFormat/>
    <w:rsid w:val="00B559EF"/>
    <w:pPr>
      <w:keepNext/>
      <w:spacing w:after="240"/>
      <w:ind w:left="1440" w:hanging="720"/>
      <w:outlineLvl w:val="1"/>
    </w:pPr>
    <w:rPr>
      <w:rFonts w:ascii="Times New Roman Bold" w:hAnsi="Times New Roman Bold" w:eastAsiaTheme="minorHAnsi"/>
      <w:b/>
      <w:iCs/>
      <w:lang w:bidi="ar-SA"/>
    </w:rPr>
  </w:style>
  <w:style w:type="paragraph" w:styleId="Heading3">
    <w:name w:val="heading 3"/>
    <w:basedOn w:val="Normal"/>
    <w:next w:val="Normal"/>
    <w:link w:val="Heading3Char"/>
    <w:autoRedefine/>
    <w:uiPriority w:val="9"/>
    <w:qFormat/>
    <w:rsid w:val="00B87B59"/>
    <w:pPr>
      <w:spacing w:after="240"/>
      <w:ind w:left="2160" w:hanging="720"/>
      <w:outlineLvl w:val="2"/>
    </w:pPr>
    <w:rPr>
      <w:rFonts w:eastAsiaTheme="minorHAnsi"/>
      <w:b/>
      <w:bCs/>
      <w:lang w:bidi="ar-SA"/>
    </w:rPr>
  </w:style>
  <w:style w:type="paragraph" w:styleId="Heading4">
    <w:name w:val="heading 4"/>
    <w:basedOn w:val="Normal"/>
    <w:next w:val="Normal"/>
    <w:link w:val="Heading4Char"/>
    <w:uiPriority w:val="9"/>
    <w:qFormat/>
    <w:rsid w:val="00C03A7B"/>
    <w:pPr>
      <w:keepNext/>
      <w:spacing w:after="240"/>
      <w:outlineLvl w:val="3"/>
    </w:pPr>
    <w:rPr>
      <w:rFonts w:ascii="Times New Roman Bold" w:hAnsi="Times New Roman Bold"/>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87B"/>
    <w:rPr>
      <w:b/>
      <w:bCs/>
      <w:kern w:val="32"/>
      <w:sz w:val="24"/>
      <w:szCs w:val="24"/>
      <w:lang w:bidi="en-US"/>
    </w:rPr>
  </w:style>
  <w:style w:type="character" w:customStyle="1" w:styleId="Heading2Char">
    <w:name w:val="Heading 2 Char"/>
    <w:link w:val="Heading2"/>
    <w:uiPriority w:val="9"/>
    <w:rsid w:val="00B559EF"/>
    <w:rPr>
      <w:rFonts w:ascii="Times New Roman Bold" w:hAnsi="Times New Roman Bold" w:eastAsiaTheme="minorHAnsi"/>
      <w:b/>
      <w:iCs/>
      <w:sz w:val="24"/>
      <w:szCs w:val="24"/>
    </w:rPr>
  </w:style>
  <w:style w:type="character" w:customStyle="1" w:styleId="Heading3Char">
    <w:name w:val="Heading 3 Char"/>
    <w:link w:val="Heading3"/>
    <w:uiPriority w:val="9"/>
    <w:rsid w:val="00B87B59"/>
    <w:rPr>
      <w:rFonts w:eastAsiaTheme="minorHAnsi"/>
      <w:b/>
      <w:bCs/>
      <w:sz w:val="24"/>
      <w:szCs w:val="24"/>
    </w:rPr>
  </w:style>
  <w:style w:type="character" w:customStyle="1" w:styleId="Heading4Char">
    <w:name w:val="Heading 4 Char"/>
    <w:link w:val="Heading4"/>
    <w:uiPriority w:val="9"/>
    <w:rsid w:val="00C03A7B"/>
    <w:rPr>
      <w:rFonts w:ascii="Times New Roman Bold" w:hAnsi="Times New Roman Bold"/>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basedOn w:val="Normal"/>
    <w:link w:val="FootnoteTextChar"/>
    <w:unhideWhenUsed/>
    <w:rsid w:val="00635194"/>
    <w:rPr>
      <w:rFonts w:ascii="Calibri" w:eastAsia="Calibri" w:hAnsi="Calibri"/>
      <w:sz w:val="20"/>
      <w:szCs w:val="20"/>
      <w:lang w:bidi="ar-SA"/>
    </w:rPr>
  </w:style>
  <w:style w:type="character" w:customStyle="1" w:styleId="FootnoteTextChar">
    <w:name w:val="Footnote Text Char"/>
    <w:link w:val="FootnoteText"/>
    <w:rsid w:val="00635194"/>
    <w:rPr>
      <w:rFonts w:ascii="Calibri" w:eastAsia="Calibri" w:hAnsi="Calibri"/>
    </w:rPr>
  </w:style>
  <w:style w:type="character" w:styleId="FootnoteReference">
    <w:name w:val="footnote reference"/>
    <w:uiPriority w:val="99"/>
    <w:unhideWhenUsed/>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1">
    <w:name w:val="toc 1"/>
    <w:basedOn w:val="Normal"/>
    <w:next w:val="Normal"/>
    <w:autoRedefine/>
    <w:uiPriority w:val="39"/>
    <w:unhideWhenUsed/>
    <w:rsid w:val="0025063D"/>
    <w:pPr>
      <w:tabs>
        <w:tab w:val="decimal" w:leader="dot" w:pos="9360"/>
      </w:tabs>
      <w:spacing w:after="240"/>
      <w:ind w:left="720" w:hanging="720"/>
      <w:outlineLvl w:val="0"/>
    </w:pPr>
  </w:style>
  <w:style w:type="paragraph" w:styleId="TOC2">
    <w:name w:val="toc 2"/>
    <w:basedOn w:val="Normal"/>
    <w:next w:val="Normal"/>
    <w:autoRedefine/>
    <w:uiPriority w:val="39"/>
    <w:unhideWhenUsed/>
    <w:qFormat/>
    <w:rsid w:val="00FA7053"/>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CD4802"/>
    <w:pPr>
      <w:tabs>
        <w:tab w:val="left" w:pos="2160"/>
        <w:tab w:val="decimal" w:leader="dot" w:pos="9360"/>
      </w:tabs>
      <w:spacing w:after="240"/>
      <w:ind w:left="2160" w:hanging="720"/>
      <w:outlineLvl w:val="2"/>
    </w:pPr>
  </w:style>
  <w:style w:type="paragraph" w:styleId="BodyTextIndent3">
    <w:name w:val="Body Text Indent 3"/>
    <w:basedOn w:val="Normal"/>
    <w:link w:val="BodyTextIndent3Char"/>
    <w:uiPriority w:val="99"/>
    <w:unhideWhenUsed/>
    <w:rsid w:val="00A6600B"/>
    <w:pPr>
      <w:spacing w:after="120"/>
      <w:ind w:left="360"/>
    </w:pPr>
    <w:rPr>
      <w:sz w:val="16"/>
      <w:szCs w:val="16"/>
    </w:rPr>
  </w:style>
  <w:style w:type="character" w:customStyle="1" w:styleId="BodyTextIndent3Char">
    <w:name w:val="Body Text Indent 3 Char"/>
    <w:basedOn w:val="DefaultParagraphFont"/>
    <w:link w:val="BodyTextIndent3"/>
    <w:uiPriority w:val="99"/>
    <w:rsid w:val="00A6600B"/>
    <w:rPr>
      <w:sz w:val="16"/>
      <w:szCs w:val="16"/>
      <w:lang w:bidi="en-US"/>
    </w:rPr>
  </w:style>
  <w:style w:type="paragraph" w:styleId="List">
    <w:name w:val="List"/>
    <w:basedOn w:val="Normal"/>
    <w:rsid w:val="008C5191"/>
    <w:pPr>
      <w:ind w:left="360" w:hanging="360"/>
    </w:pPr>
    <w:rPr>
      <w:szCs w:val="20"/>
      <w:lang w:bidi="ar-SA"/>
    </w:rPr>
  </w:style>
  <w:style w:type="paragraph" w:styleId="TOC4">
    <w:name w:val="toc 4"/>
    <w:basedOn w:val="Normal"/>
    <w:next w:val="Normal"/>
    <w:autoRedefine/>
    <w:uiPriority w:val="39"/>
    <w:unhideWhenUsed/>
    <w:rsid w:val="00232E84"/>
    <w:pPr>
      <w:tabs>
        <w:tab w:val="decimal" w:leader="dot" w:pos="8640"/>
      </w:tabs>
      <w:spacing w:after="240"/>
    </w:pPr>
  </w:style>
  <w:style w:type="character" w:customStyle="1" w:styleId="UnresolvedMention">
    <w:name w:val="Unresolved Mention"/>
    <w:basedOn w:val="DefaultParagraphFont"/>
    <w:uiPriority w:val="99"/>
    <w:rsid w:val="00E84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robert.eubanks@ohioAGO.gov" TargetMode="External" /><Relationship Id="rId15" Type="http://schemas.openxmlformats.org/officeDocument/2006/relationships/hyperlink" Target="mailto:shaun.lyons@ohioAGO.gov" TargetMode="External" /><Relationship Id="rId16" Type="http://schemas.openxmlformats.org/officeDocument/2006/relationships/hyperlink" Target="mailto:werner.margard@ohioAGO.gov" TargetMode="External" /><Relationship Id="rId17" Type="http://schemas.openxmlformats.org/officeDocument/2006/relationships/hyperlink" Target="mailto:mkurtz@BKLlawfirm.com" TargetMode="External" /><Relationship Id="rId18" Type="http://schemas.openxmlformats.org/officeDocument/2006/relationships/hyperlink" Target="mailto:kboehm@BKLlawfirm.com" TargetMode="External" /><Relationship Id="rId19" Type="http://schemas.openxmlformats.org/officeDocument/2006/relationships/hyperlink" Target="mailto:jkylercohn@BKLlawfirm.com" TargetMode="External" /><Relationship Id="rId2" Type="http://schemas.openxmlformats.org/officeDocument/2006/relationships/settings" Target="settings.xml" /><Relationship Id="rId20" Type="http://schemas.openxmlformats.org/officeDocument/2006/relationships/hyperlink" Target="mailto:mwarnock@bricker.com" TargetMode="External" /><Relationship Id="rId21" Type="http://schemas.openxmlformats.org/officeDocument/2006/relationships/hyperlink" Target="mailto:ktreadway@oneenergyllc.com" TargetMode="External" /><Relationship Id="rId22" Type="http://schemas.openxmlformats.org/officeDocument/2006/relationships/hyperlink" Target="mailto:jdunn@oneenergyllc.com" TargetMode="External" /><Relationship Id="rId23" Type="http://schemas.openxmlformats.org/officeDocument/2006/relationships/hyperlink" Target="mailto:dborchers@bricker.com" TargetMode="External" /><Relationship Id="rId24" Type="http://schemas.openxmlformats.org/officeDocument/2006/relationships/hyperlink" Target="mailto:dparram@bricker.com" TargetMode="External" /><Relationship Id="rId25" Type="http://schemas.openxmlformats.org/officeDocument/2006/relationships/hyperlink" Target="mailto:Fdarr2019@gmail.com" TargetMode="External" /><Relationship Id="rId26" Type="http://schemas.openxmlformats.org/officeDocument/2006/relationships/hyperlink" Target="mailto:rdove@keglerbrown.com" TargetMode="External" /><Relationship Id="rId27" Type="http://schemas.openxmlformats.org/officeDocument/2006/relationships/hyperlink" Target="mailto:trent@hubaydougherty.com" TargetMode="External" /><Relationship Id="rId28" Type="http://schemas.openxmlformats.org/officeDocument/2006/relationships/hyperlink" Target="mailto:matthew.sandor@puco.ohio.gov" TargetMode="External" /><Relationship Id="rId29" Type="http://schemas.openxmlformats.org/officeDocument/2006/relationships/hyperlink" Target="mailto:nicholas.walstra@puco.ohio.gov" TargetMode="External" /><Relationship Id="rId3" Type="http://schemas.openxmlformats.org/officeDocument/2006/relationships/webSettings" Target="webSettings.xml" /><Relationship Id="rId30" Type="http://schemas.openxmlformats.org/officeDocument/2006/relationships/hyperlink" Target="mailto:Rocco.dascenzo@duke-energy.com" TargetMode="External" /><Relationship Id="rId31" Type="http://schemas.openxmlformats.org/officeDocument/2006/relationships/hyperlink" Target="mailto:Jeanne.kingery@duke-energy.com" TargetMode="External" /><Relationship Id="rId32" Type="http://schemas.openxmlformats.org/officeDocument/2006/relationships/hyperlink" Target="mailto:Larisa.vaysman@duke-energy.com" TargetMode="External" /><Relationship Id="rId33" Type="http://schemas.openxmlformats.org/officeDocument/2006/relationships/hyperlink" Target="mailto:elyse.akhbari@duke-energy.com" TargetMode="External" /><Relationship Id="rId34" Type="http://schemas.openxmlformats.org/officeDocument/2006/relationships/hyperlink" Target="mailto:ebrama@taftlaw.com" TargetMode="External" /><Relationship Id="rId35" Type="http://schemas.openxmlformats.org/officeDocument/2006/relationships/hyperlink" Target="mailto:Bethany.allen@igs.com" TargetMode="External" /><Relationship Id="rId36" Type="http://schemas.openxmlformats.org/officeDocument/2006/relationships/hyperlink" Target="mailto:Joe.oliker@igs.com" TargetMode="External" /><Relationship Id="rId37" Type="http://schemas.openxmlformats.org/officeDocument/2006/relationships/hyperlink" Target="mailto:Evan.betterton@igs.com" TargetMode="External" /><Relationship Id="rId38" Type="http://schemas.openxmlformats.org/officeDocument/2006/relationships/hyperlink" Target="mailto:Stacie.e.cathcart@igs.com" TargetMode="External" /><Relationship Id="rId39" Type="http://schemas.openxmlformats.org/officeDocument/2006/relationships/hyperlink" Target="mailto:jlang@calfee.com" TargetMode="External" /><Relationship Id="rId4" Type="http://schemas.openxmlformats.org/officeDocument/2006/relationships/fontTable" Target="fontTable.xml" /><Relationship Id="rId40" Type="http://schemas.openxmlformats.org/officeDocument/2006/relationships/hyperlink" Target="mailto:gjewell@calfee.com" TargetMode="External" /><Relationship Id="rId41" Type="http://schemas.openxmlformats.org/officeDocument/2006/relationships/hyperlink" Target="mailto:gwhaling@calfee.com" TargetMode="External" /><Relationship Id="rId42" Type="http://schemas.openxmlformats.org/officeDocument/2006/relationships/hyperlink" Target="mailto:dromig@nationwideenergypartners.com" TargetMode="External" /><Relationship Id="rId43" Type="http://schemas.openxmlformats.org/officeDocument/2006/relationships/hyperlink" Target="mailto:Bojko@carpenterlipps.com" TargetMode="External" /><Relationship Id="rId44" Type="http://schemas.openxmlformats.org/officeDocument/2006/relationships/hyperlink" Target="mailto:cgrundmann@spilmanlaw.com" TargetMode="External" /><Relationship Id="rId45" Type="http://schemas.openxmlformats.org/officeDocument/2006/relationships/hyperlink" Target="mailto:dwilliamson@spilmanlaw.com" TargetMode="External" /><Relationship Id="rId46" Type="http://schemas.openxmlformats.org/officeDocument/2006/relationships/hyperlink" Target="mailto:cpirik@dickinsonwright.com" TargetMode="External" /><Relationship Id="rId47" Type="http://schemas.openxmlformats.org/officeDocument/2006/relationships/hyperlink" Target="mailto:todonnell@dickinsonwright.com" TargetMode="External" /><Relationship Id="rId48" Type="http://schemas.openxmlformats.org/officeDocument/2006/relationships/hyperlink" Target="mailto:mmcdonnell@dickinsonwright.com" TargetMode="External" /><Relationship Id="rId49" Type="http://schemas.openxmlformats.org/officeDocument/2006/relationships/header" Target="header4.xml" /><Relationship Id="rId5" Type="http://schemas.openxmlformats.org/officeDocument/2006/relationships/customXml" Target="../customXml/item1.xml" /><Relationship Id="rId50" Type="http://schemas.openxmlformats.org/officeDocument/2006/relationships/header" Target="header5.xml" /><Relationship Id="rId51" Type="http://schemas.openxmlformats.org/officeDocument/2006/relationships/header" Target="header6.xml" /><Relationship Id="rId52" Type="http://schemas.openxmlformats.org/officeDocument/2006/relationships/footer" Target="footer4.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hyperlink" Target="mailto:angela.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011-7065-4BB5-AD35-592BDD3B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8699</Words>
  <Characters>49587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2022-06-21T20:27:22Z</dcterms:created>
  <dcterms:modified xsi:type="dcterms:W3CDTF">2022-06-21T20:27:22Z</dcterms:modified>
</cp:coreProperties>
</file>