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C011D" w:rsidRPr="000C011D" w:rsidP="000C011D" w14:paraId="26391408" w14:textId="77777777">
      <w:pPr>
        <w:jc w:val="center"/>
        <w:rPr>
          <w:b/>
        </w:rPr>
      </w:pPr>
      <w:bookmarkStart w:id="0" w:name="_GoBack"/>
      <w:bookmarkEnd w:id="0"/>
      <w:r w:rsidRPr="000C011D">
        <w:rPr>
          <w:b/>
        </w:rPr>
        <w:t>BEFORE</w:t>
      </w:r>
    </w:p>
    <w:p w:rsidR="000C011D" w:rsidRPr="000C011D" w:rsidP="000C011D" w14:paraId="76C24162" w14:textId="77777777">
      <w:pPr>
        <w:jc w:val="center"/>
        <w:rPr>
          <w:b/>
          <w:bCs/>
          <w:szCs w:val="24"/>
        </w:rPr>
      </w:pPr>
      <w:r w:rsidRPr="000C011D">
        <w:rPr>
          <w:b/>
          <w:bCs/>
          <w:szCs w:val="24"/>
        </w:rPr>
        <w:t>THE PUBLIC UTILITIES COMMISSION OF OHIO</w:t>
      </w:r>
    </w:p>
    <w:p w:rsidR="000C011D" w:rsidRPr="000C011D" w:rsidP="000C011D" w14:paraId="15533B93" w14:textId="77777777"/>
    <w:tbl>
      <w:tblPr>
        <w:tblW w:w="8640" w:type="dxa"/>
        <w:tblInd w:w="108" w:type="dxa"/>
        <w:tblLook w:val="01E0"/>
      </w:tblPr>
      <w:tblGrid>
        <w:gridCol w:w="4590"/>
        <w:gridCol w:w="360"/>
        <w:gridCol w:w="3690"/>
      </w:tblGrid>
      <w:tr w14:paraId="4D2555E2" w14:textId="77777777" w:rsidTr="00C84577">
        <w:tblPrEx>
          <w:tblW w:w="8640" w:type="dxa"/>
          <w:tblInd w:w="108" w:type="dxa"/>
          <w:tblLook w:val="01E0"/>
        </w:tblPrEx>
        <w:trPr>
          <w:trHeight w:val="4932"/>
        </w:trPr>
        <w:tc>
          <w:tcPr>
            <w:tcW w:w="4590" w:type="dxa"/>
          </w:tcPr>
          <w:p w:rsidR="000C011D" w:rsidRPr="000C011D" w:rsidP="000C011D" w14:paraId="35212A54" w14:textId="77777777">
            <w:pPr>
              <w:rPr>
                <w:szCs w:val="24"/>
              </w:rPr>
            </w:pPr>
            <w:r w:rsidRPr="000C011D">
              <w:rPr>
                <w:szCs w:val="24"/>
              </w:rPr>
              <w:t>In the Matter of the Application of The Dayton Power and Light Company for Approval of its Electric Security Plan.</w:t>
            </w:r>
          </w:p>
          <w:p w:rsidR="000C011D" w:rsidRPr="000C011D" w:rsidP="000C011D" w14:paraId="5461ADA2" w14:textId="77777777">
            <w:pPr>
              <w:rPr>
                <w:szCs w:val="24"/>
              </w:rPr>
            </w:pPr>
          </w:p>
          <w:p w:rsidR="000C011D" w:rsidRPr="000C011D" w:rsidP="000C011D" w14:paraId="424F06E1" w14:textId="77777777">
            <w:pPr>
              <w:rPr>
                <w:szCs w:val="24"/>
              </w:rPr>
            </w:pPr>
            <w:r w:rsidRPr="000C011D">
              <w:rPr>
                <w:szCs w:val="24"/>
              </w:rPr>
              <w:t>In the Matter of the Application of The Dayton Power and Light Company for Approval of Revised Tariffs.</w:t>
            </w:r>
          </w:p>
          <w:p w:rsidR="000C011D" w:rsidRPr="000C011D" w:rsidP="000C011D" w14:paraId="6CC7B635" w14:textId="77777777">
            <w:pPr>
              <w:rPr>
                <w:szCs w:val="24"/>
              </w:rPr>
            </w:pPr>
          </w:p>
          <w:p w:rsidR="000C011D" w:rsidRPr="000C011D" w:rsidP="000C011D" w14:paraId="44A6129A" w14:textId="77777777">
            <w:pPr>
              <w:rPr>
                <w:szCs w:val="24"/>
              </w:rPr>
            </w:pPr>
            <w:r w:rsidRPr="000C011D">
              <w:rPr>
                <w:szCs w:val="24"/>
              </w:rPr>
              <w:t>In the Matter of the Application of The Dayton Power and Light Company for Approval of Certain Accounting Authority Pursuant to Ohio Rev. Code Section 4905.13.</w:t>
            </w:r>
          </w:p>
          <w:p w:rsidR="000C011D" w:rsidRPr="000C011D" w:rsidP="000C011D" w14:paraId="322487D2" w14:textId="77777777">
            <w:pPr>
              <w:rPr>
                <w:szCs w:val="24"/>
              </w:rPr>
            </w:pPr>
          </w:p>
          <w:p w:rsidR="000C011D" w:rsidRPr="000C011D" w:rsidP="00C84577" w14:paraId="1BB9834B" w14:textId="3BE8911D">
            <w:pPr>
              <w:rPr>
                <w:szCs w:val="24"/>
              </w:rPr>
            </w:pPr>
            <w:r w:rsidRPr="000C011D">
              <w:rPr>
                <w:szCs w:val="24"/>
              </w:rPr>
              <w:t>In the Matter of the Application of The Dayton Power and Light Company for Approval of its Amended Corporate Separation Plan.</w:t>
            </w:r>
          </w:p>
        </w:tc>
        <w:tc>
          <w:tcPr>
            <w:tcW w:w="360" w:type="dxa"/>
          </w:tcPr>
          <w:p w:rsidR="000C011D" w:rsidRPr="000C011D" w:rsidP="000C011D" w14:paraId="36EEA5EB" w14:textId="77777777">
            <w:pPr>
              <w:rPr>
                <w:szCs w:val="24"/>
              </w:rPr>
            </w:pPr>
            <w:r w:rsidRPr="000C011D">
              <w:rPr>
                <w:szCs w:val="24"/>
              </w:rPr>
              <w:t>)</w:t>
            </w:r>
          </w:p>
          <w:p w:rsidR="000C011D" w:rsidRPr="000C011D" w:rsidP="000C011D" w14:paraId="7C6001C2" w14:textId="77777777">
            <w:pPr>
              <w:rPr>
                <w:szCs w:val="24"/>
              </w:rPr>
            </w:pPr>
            <w:r w:rsidRPr="000C011D">
              <w:rPr>
                <w:szCs w:val="24"/>
              </w:rPr>
              <w:t>)</w:t>
            </w:r>
          </w:p>
          <w:p w:rsidR="000C011D" w:rsidRPr="000C011D" w:rsidP="000C011D" w14:paraId="0A306412" w14:textId="77777777">
            <w:pPr>
              <w:rPr>
                <w:szCs w:val="24"/>
              </w:rPr>
            </w:pPr>
            <w:r w:rsidRPr="000C011D">
              <w:rPr>
                <w:szCs w:val="24"/>
              </w:rPr>
              <w:t>)</w:t>
            </w:r>
          </w:p>
          <w:p w:rsidR="000C011D" w:rsidRPr="000C011D" w:rsidP="000C011D" w14:paraId="7D7BABED" w14:textId="77777777">
            <w:pPr>
              <w:rPr>
                <w:szCs w:val="24"/>
              </w:rPr>
            </w:pPr>
          </w:p>
          <w:p w:rsidR="000C011D" w:rsidRPr="000C011D" w:rsidP="000C011D" w14:paraId="0C7F9571" w14:textId="77777777">
            <w:pPr>
              <w:rPr>
                <w:szCs w:val="24"/>
              </w:rPr>
            </w:pPr>
            <w:r w:rsidRPr="000C011D">
              <w:rPr>
                <w:szCs w:val="24"/>
              </w:rPr>
              <w:t>)</w:t>
            </w:r>
          </w:p>
          <w:p w:rsidR="000C011D" w:rsidRPr="000C011D" w:rsidP="000C011D" w14:paraId="1594CAB9" w14:textId="77777777">
            <w:pPr>
              <w:rPr>
                <w:szCs w:val="24"/>
              </w:rPr>
            </w:pPr>
            <w:r w:rsidRPr="000C011D">
              <w:rPr>
                <w:szCs w:val="24"/>
              </w:rPr>
              <w:t>)</w:t>
            </w:r>
          </w:p>
          <w:p w:rsidR="000C011D" w:rsidRPr="000C011D" w:rsidP="000C011D" w14:paraId="0831D74E" w14:textId="77777777">
            <w:pPr>
              <w:rPr>
                <w:szCs w:val="24"/>
              </w:rPr>
            </w:pPr>
            <w:r w:rsidRPr="000C011D">
              <w:rPr>
                <w:szCs w:val="24"/>
              </w:rPr>
              <w:t>)</w:t>
            </w:r>
          </w:p>
          <w:p w:rsidR="000C011D" w:rsidRPr="000C011D" w:rsidP="000C011D" w14:paraId="7B1D725F" w14:textId="77777777">
            <w:pPr>
              <w:rPr>
                <w:szCs w:val="24"/>
              </w:rPr>
            </w:pPr>
          </w:p>
          <w:p w:rsidR="000C011D" w:rsidRPr="000C011D" w:rsidP="000C011D" w14:paraId="33B998B4" w14:textId="77777777">
            <w:pPr>
              <w:rPr>
                <w:szCs w:val="24"/>
              </w:rPr>
            </w:pPr>
            <w:r w:rsidRPr="000C011D">
              <w:rPr>
                <w:szCs w:val="24"/>
              </w:rPr>
              <w:t>)</w:t>
            </w:r>
          </w:p>
          <w:p w:rsidR="000C011D" w:rsidRPr="000C011D" w:rsidP="000C011D" w14:paraId="72240455" w14:textId="77777777">
            <w:pPr>
              <w:rPr>
                <w:szCs w:val="24"/>
              </w:rPr>
            </w:pPr>
            <w:r w:rsidRPr="000C011D">
              <w:rPr>
                <w:szCs w:val="24"/>
              </w:rPr>
              <w:t>)</w:t>
            </w:r>
          </w:p>
          <w:p w:rsidR="000C011D" w:rsidRPr="000C011D" w:rsidP="000C011D" w14:paraId="6AC73400" w14:textId="77777777">
            <w:pPr>
              <w:rPr>
                <w:szCs w:val="24"/>
              </w:rPr>
            </w:pPr>
            <w:r w:rsidRPr="000C011D">
              <w:rPr>
                <w:szCs w:val="24"/>
              </w:rPr>
              <w:t>)</w:t>
            </w:r>
          </w:p>
          <w:p w:rsidR="000C011D" w:rsidRPr="000C011D" w:rsidP="000C011D" w14:paraId="7722DF67" w14:textId="77777777">
            <w:pPr>
              <w:rPr>
                <w:szCs w:val="24"/>
              </w:rPr>
            </w:pPr>
            <w:r w:rsidRPr="000C011D">
              <w:rPr>
                <w:szCs w:val="24"/>
              </w:rPr>
              <w:t>)</w:t>
            </w:r>
          </w:p>
          <w:p w:rsidR="000C011D" w:rsidRPr="000C011D" w:rsidP="000C011D" w14:paraId="0FE178EB" w14:textId="77777777">
            <w:pPr>
              <w:rPr>
                <w:szCs w:val="24"/>
              </w:rPr>
            </w:pPr>
            <w:r w:rsidRPr="000C011D">
              <w:rPr>
                <w:szCs w:val="24"/>
              </w:rPr>
              <w:t>)</w:t>
            </w:r>
          </w:p>
          <w:p w:rsidR="000C011D" w:rsidRPr="000C011D" w:rsidP="000C011D" w14:paraId="57E884A5" w14:textId="77777777">
            <w:pPr>
              <w:rPr>
                <w:szCs w:val="24"/>
              </w:rPr>
            </w:pPr>
          </w:p>
          <w:p w:rsidR="000C011D" w:rsidRPr="000C011D" w:rsidP="000C011D" w14:paraId="0E358D67" w14:textId="77777777">
            <w:pPr>
              <w:rPr>
                <w:szCs w:val="24"/>
              </w:rPr>
            </w:pPr>
            <w:r w:rsidRPr="000C011D">
              <w:rPr>
                <w:szCs w:val="24"/>
              </w:rPr>
              <w:t>)</w:t>
            </w:r>
          </w:p>
          <w:p w:rsidR="000C011D" w:rsidRPr="000C011D" w:rsidP="000C011D" w14:paraId="377E6BA1" w14:textId="77777777">
            <w:pPr>
              <w:rPr>
                <w:szCs w:val="24"/>
              </w:rPr>
            </w:pPr>
            <w:r w:rsidRPr="000C011D">
              <w:rPr>
                <w:szCs w:val="24"/>
              </w:rPr>
              <w:t>)</w:t>
            </w:r>
          </w:p>
          <w:p w:rsidR="000C011D" w:rsidRPr="000C011D" w:rsidP="000C011D" w14:paraId="07F3D6B5" w14:textId="77777777">
            <w:pPr>
              <w:rPr>
                <w:szCs w:val="24"/>
              </w:rPr>
            </w:pPr>
            <w:r w:rsidRPr="000C011D">
              <w:rPr>
                <w:szCs w:val="24"/>
              </w:rPr>
              <w:t>)</w:t>
            </w:r>
          </w:p>
          <w:p w:rsidR="000C011D" w:rsidRPr="000C011D" w:rsidP="008955A8" w14:paraId="51C8B9A7" w14:textId="698E59A9">
            <w:pPr>
              <w:rPr>
                <w:szCs w:val="24"/>
              </w:rPr>
            </w:pPr>
            <w:r w:rsidRPr="000C011D">
              <w:rPr>
                <w:szCs w:val="24"/>
              </w:rPr>
              <w:t>)</w:t>
            </w:r>
          </w:p>
        </w:tc>
        <w:tc>
          <w:tcPr>
            <w:tcW w:w="3690" w:type="dxa"/>
          </w:tcPr>
          <w:p w:rsidR="000C011D" w:rsidRPr="000C011D" w:rsidP="000C011D" w14:paraId="1C872325" w14:textId="77777777">
            <w:pPr>
              <w:rPr>
                <w:szCs w:val="24"/>
              </w:rPr>
            </w:pPr>
          </w:p>
          <w:p w:rsidR="000C011D" w:rsidRPr="000C011D" w:rsidP="000C011D" w14:paraId="075C165D" w14:textId="77777777">
            <w:pPr>
              <w:rPr>
                <w:szCs w:val="24"/>
              </w:rPr>
            </w:pPr>
            <w:r w:rsidRPr="000C011D">
              <w:rPr>
                <w:szCs w:val="24"/>
              </w:rPr>
              <w:t>Case No. 08-1094-EL-SSO</w:t>
            </w:r>
          </w:p>
          <w:p w:rsidR="000C011D" w:rsidRPr="000C011D" w:rsidP="000C011D" w14:paraId="72D2B20B" w14:textId="77777777">
            <w:pPr>
              <w:rPr>
                <w:szCs w:val="24"/>
              </w:rPr>
            </w:pPr>
          </w:p>
          <w:p w:rsidR="000C011D" w:rsidRPr="000C011D" w:rsidP="000C011D" w14:paraId="18053C0C" w14:textId="77777777">
            <w:pPr>
              <w:rPr>
                <w:szCs w:val="24"/>
              </w:rPr>
            </w:pPr>
          </w:p>
          <w:p w:rsidR="000C011D" w:rsidRPr="000C011D" w:rsidP="000C011D" w14:paraId="1BDD4924" w14:textId="77777777">
            <w:pPr>
              <w:rPr>
                <w:szCs w:val="24"/>
              </w:rPr>
            </w:pPr>
          </w:p>
          <w:p w:rsidR="000C011D" w:rsidRPr="000C011D" w:rsidP="000C011D" w14:paraId="134BA713" w14:textId="77777777">
            <w:pPr>
              <w:rPr>
                <w:szCs w:val="24"/>
              </w:rPr>
            </w:pPr>
            <w:r w:rsidRPr="000C011D">
              <w:rPr>
                <w:szCs w:val="24"/>
              </w:rPr>
              <w:t>Case No. 08-1095-EL-ATA</w:t>
            </w:r>
          </w:p>
          <w:p w:rsidR="000C011D" w:rsidRPr="000C011D" w:rsidP="000C011D" w14:paraId="585531D5" w14:textId="77777777">
            <w:pPr>
              <w:rPr>
                <w:szCs w:val="24"/>
              </w:rPr>
            </w:pPr>
          </w:p>
          <w:p w:rsidR="000C011D" w:rsidRPr="000C011D" w:rsidP="000C011D" w14:paraId="57659F7B" w14:textId="77777777">
            <w:pPr>
              <w:rPr>
                <w:szCs w:val="24"/>
              </w:rPr>
            </w:pPr>
          </w:p>
          <w:p w:rsidR="000C011D" w:rsidRPr="000C011D" w:rsidP="000C011D" w14:paraId="70A4091F" w14:textId="77777777">
            <w:pPr>
              <w:rPr>
                <w:szCs w:val="24"/>
              </w:rPr>
            </w:pPr>
          </w:p>
          <w:p w:rsidR="000C011D" w:rsidRPr="000C011D" w:rsidP="000C011D" w14:paraId="5FFEE97D" w14:textId="77777777">
            <w:pPr>
              <w:rPr>
                <w:szCs w:val="24"/>
              </w:rPr>
            </w:pPr>
          </w:p>
          <w:p w:rsidR="000C011D" w:rsidRPr="000C011D" w:rsidP="000C011D" w14:paraId="51504ABC" w14:textId="77777777">
            <w:pPr>
              <w:rPr>
                <w:szCs w:val="24"/>
              </w:rPr>
            </w:pPr>
            <w:r w:rsidRPr="000C011D">
              <w:rPr>
                <w:szCs w:val="24"/>
              </w:rPr>
              <w:t>Case No. 08-1096-EL-AAM</w:t>
            </w:r>
          </w:p>
          <w:p w:rsidR="000C011D" w:rsidRPr="000C011D" w:rsidP="000C011D" w14:paraId="104FDE79" w14:textId="77777777">
            <w:pPr>
              <w:rPr>
                <w:szCs w:val="24"/>
              </w:rPr>
            </w:pPr>
          </w:p>
          <w:p w:rsidR="000C011D" w:rsidRPr="000C011D" w:rsidP="000C011D" w14:paraId="63168911" w14:textId="77777777">
            <w:pPr>
              <w:rPr>
                <w:szCs w:val="24"/>
              </w:rPr>
            </w:pPr>
          </w:p>
          <w:p w:rsidR="000C011D" w:rsidRPr="000C011D" w:rsidP="000C011D" w14:paraId="72954B75" w14:textId="77777777">
            <w:pPr>
              <w:rPr>
                <w:szCs w:val="24"/>
              </w:rPr>
            </w:pPr>
          </w:p>
          <w:p w:rsidR="000C011D" w:rsidRPr="000C011D" w:rsidP="000C011D" w14:paraId="647CB220" w14:textId="77777777">
            <w:pPr>
              <w:rPr>
                <w:szCs w:val="24"/>
              </w:rPr>
            </w:pPr>
          </w:p>
          <w:p w:rsidR="000C011D" w:rsidRPr="000C011D" w:rsidP="000C011D" w14:paraId="1ECA61C0" w14:textId="77777777">
            <w:pPr>
              <w:rPr>
                <w:szCs w:val="24"/>
              </w:rPr>
            </w:pPr>
            <w:r w:rsidRPr="000C011D">
              <w:rPr>
                <w:szCs w:val="24"/>
              </w:rPr>
              <w:t>Case No. 08-1097-EL-UNC</w:t>
            </w:r>
          </w:p>
          <w:p w:rsidR="000C011D" w:rsidRPr="000C011D" w:rsidP="000C011D" w14:paraId="5514BA59" w14:textId="77777777">
            <w:pPr>
              <w:rPr>
                <w:szCs w:val="24"/>
              </w:rPr>
            </w:pPr>
          </w:p>
          <w:p w:rsidR="000C011D" w:rsidRPr="000C011D" w:rsidP="000C011D" w14:paraId="36073266" w14:textId="77777777">
            <w:pPr>
              <w:rPr>
                <w:szCs w:val="24"/>
              </w:rPr>
            </w:pPr>
          </w:p>
        </w:tc>
      </w:tr>
    </w:tbl>
    <w:p w:rsidR="000C011D" w:rsidRPr="000C011D" w:rsidP="000C011D" w14:paraId="2C5CAF58" w14:textId="77777777">
      <w:pPr>
        <w:pBdr>
          <w:bottom w:val="single" w:sz="12" w:space="1" w:color="auto"/>
        </w:pBdr>
        <w:jc w:val="center"/>
      </w:pPr>
    </w:p>
    <w:p w:rsidR="000C011D" w:rsidRPr="000C011D" w:rsidP="000C011D" w14:paraId="7ABFA08D" w14:textId="77777777">
      <w:pPr>
        <w:jc w:val="center"/>
      </w:pPr>
    </w:p>
    <w:p w:rsidR="000C011D" w:rsidRPr="000C011D" w:rsidP="000C011D" w14:paraId="247F3C68" w14:textId="77777777">
      <w:pPr>
        <w:jc w:val="center"/>
        <w:rPr>
          <w:b/>
        </w:rPr>
      </w:pPr>
      <w:r w:rsidRPr="000C011D">
        <w:rPr>
          <w:b/>
        </w:rPr>
        <w:t>MOTION TO REJECT DP&amp;L'S PROPOSED TARIFFS TO INCREASE CONSUMER RATES</w:t>
      </w:r>
    </w:p>
    <w:p w:rsidR="000C011D" w:rsidRPr="000C011D" w:rsidP="000C011D" w14:paraId="403D2CEF" w14:textId="77777777">
      <w:pPr>
        <w:jc w:val="center"/>
        <w:rPr>
          <w:b/>
        </w:rPr>
      </w:pPr>
      <w:r w:rsidRPr="000C011D">
        <w:rPr>
          <w:b/>
        </w:rPr>
        <w:t>BY</w:t>
      </w:r>
    </w:p>
    <w:p w:rsidR="00AB444F" w:rsidP="000C011D" w14:paraId="11BD951B" w14:textId="77777777">
      <w:pPr>
        <w:jc w:val="center"/>
        <w:rPr>
          <w:b/>
        </w:rPr>
      </w:pPr>
      <w:r w:rsidRPr="000C011D">
        <w:rPr>
          <w:b/>
        </w:rPr>
        <w:t>OFFICE OF THE OHIO CONSUMERS' COUNSEL</w:t>
      </w:r>
    </w:p>
    <w:p w:rsidR="00AB444F" w:rsidP="000C011D" w14:paraId="06B62A90" w14:textId="2393EEAE">
      <w:pPr>
        <w:jc w:val="center"/>
        <w:rPr>
          <w:b/>
          <w:szCs w:val="24"/>
        </w:rPr>
      </w:pPr>
      <w:r>
        <w:rPr>
          <w:b/>
          <w:szCs w:val="24"/>
        </w:rPr>
        <w:t>THE OHIO MANUFACTURERS’ ASSOCIATION ENERGY GROUP</w:t>
      </w:r>
    </w:p>
    <w:p w:rsidR="000C011D" w:rsidRPr="000C011D" w:rsidP="000C011D" w14:paraId="05F1ADC9" w14:textId="158B7F00">
      <w:pPr>
        <w:jc w:val="center"/>
        <w:rPr>
          <w:b/>
        </w:rPr>
      </w:pPr>
      <w:r>
        <w:rPr>
          <w:b/>
          <w:szCs w:val="24"/>
        </w:rPr>
        <w:t>AND THE KROGER COMPANY</w:t>
      </w:r>
    </w:p>
    <w:p w:rsidR="000C011D" w:rsidRPr="000C011D" w:rsidP="000C011D" w14:paraId="7F9335F6" w14:textId="77777777">
      <w:pPr>
        <w:pBdr>
          <w:bottom w:val="single" w:sz="12" w:space="1" w:color="auto"/>
        </w:pBdr>
        <w:jc w:val="center"/>
        <w:rPr>
          <w:b/>
        </w:rPr>
      </w:pPr>
    </w:p>
    <w:p w:rsidR="000C011D" w:rsidRPr="000C011D" w:rsidP="000C011D" w14:paraId="4D8A102F" w14:textId="77777777">
      <w:pPr>
        <w:jc w:val="center"/>
      </w:pPr>
    </w:p>
    <w:p w:rsidR="00AB444F" w14:paraId="7DF0453E" w14:textId="28695D4A">
      <w:pPr>
        <w:spacing w:after="200" w:line="276" w:lineRule="auto"/>
        <w:rPr>
          <w:szCs w:val="24"/>
        </w:rPr>
      </w:pPr>
      <w:r>
        <w:rPr>
          <w:szCs w:val="24"/>
        </w:rPr>
        <w:br w:type="page"/>
      </w:r>
    </w:p>
    <w:p w:rsidR="000C011D" w:rsidP="000C011D" w14:paraId="338DEB6C" w14:textId="7C770B0F">
      <w:pPr>
        <w:tabs>
          <w:tab w:val="left" w:pos="4320"/>
        </w:tabs>
        <w:ind w:left="4320"/>
        <w:rPr>
          <w:szCs w:val="24"/>
        </w:rPr>
      </w:pPr>
      <w:r>
        <w:rPr>
          <w:szCs w:val="24"/>
        </w:rPr>
        <w:t>Bruce Weston (0016973)</w:t>
      </w:r>
    </w:p>
    <w:p w:rsidR="000C011D" w:rsidP="000C011D" w14:paraId="668D53B1" w14:textId="77777777">
      <w:pPr>
        <w:tabs>
          <w:tab w:val="left" w:pos="4320"/>
        </w:tabs>
        <w:ind w:left="4320"/>
        <w:rPr>
          <w:szCs w:val="24"/>
        </w:rPr>
      </w:pPr>
      <w:r>
        <w:rPr>
          <w:szCs w:val="24"/>
        </w:rPr>
        <w:t>Ohio Consumers’ Counsel</w:t>
      </w:r>
    </w:p>
    <w:p w:rsidR="000C011D" w:rsidRPr="00DE37C9" w:rsidP="000C011D" w14:paraId="56D095C0" w14:textId="77777777">
      <w:pPr>
        <w:tabs>
          <w:tab w:val="left" w:pos="4320"/>
        </w:tabs>
        <w:ind w:left="4320"/>
        <w:rPr>
          <w:szCs w:val="24"/>
        </w:rPr>
      </w:pPr>
    </w:p>
    <w:p w:rsidR="000C011D" w:rsidP="000C011D" w14:paraId="7AD2E4D1" w14:textId="09C6ABD0">
      <w:pPr>
        <w:tabs>
          <w:tab w:val="left" w:pos="4320"/>
        </w:tabs>
        <w:ind w:left="4320" w:right="-180"/>
        <w:rPr>
          <w:szCs w:val="24"/>
        </w:rPr>
      </w:pPr>
      <w:r>
        <w:rPr>
          <w:szCs w:val="24"/>
        </w:rPr>
        <w:t xml:space="preserve">Maureen </w:t>
      </w:r>
      <w:r w:rsidR="0045326F">
        <w:rPr>
          <w:szCs w:val="24"/>
        </w:rPr>
        <w:t xml:space="preserve">R. </w:t>
      </w:r>
      <w:r>
        <w:rPr>
          <w:szCs w:val="24"/>
        </w:rPr>
        <w:t>Willis (0020847)</w:t>
      </w:r>
    </w:p>
    <w:p w:rsidR="000C011D" w:rsidP="000C011D" w14:paraId="07A116D9" w14:textId="77777777">
      <w:pPr>
        <w:tabs>
          <w:tab w:val="left" w:pos="4320"/>
        </w:tabs>
        <w:ind w:left="4320" w:right="-180"/>
        <w:rPr>
          <w:szCs w:val="24"/>
        </w:rPr>
      </w:pPr>
      <w:r>
        <w:rPr>
          <w:szCs w:val="24"/>
        </w:rPr>
        <w:t>Counsel of Record</w:t>
      </w:r>
    </w:p>
    <w:p w:rsidR="000C011D" w:rsidRPr="00BC69C7" w:rsidP="000C011D" w14:paraId="040757F7" w14:textId="77777777">
      <w:pPr>
        <w:ind w:left="3600" w:firstLine="720"/>
        <w:rPr>
          <w:rFonts w:eastAsiaTheme="minorHAnsi" w:cstheme="minorBidi"/>
          <w:szCs w:val="22"/>
        </w:rPr>
      </w:pPr>
      <w:r w:rsidRPr="00BC69C7">
        <w:rPr>
          <w:rFonts w:eastAsiaTheme="minorHAnsi" w:cstheme="minorBidi"/>
          <w:szCs w:val="22"/>
        </w:rPr>
        <w:t xml:space="preserve">Terry L. Etter (0067445) </w:t>
      </w:r>
    </w:p>
    <w:p w:rsidR="000C011D" w:rsidRPr="00BC69C7" w:rsidP="000C011D" w14:paraId="28C642C6" w14:textId="77777777">
      <w:pPr>
        <w:ind w:left="3600" w:firstLine="720"/>
        <w:rPr>
          <w:rFonts w:eastAsiaTheme="minorHAnsi" w:cstheme="minorBidi"/>
          <w:szCs w:val="22"/>
        </w:rPr>
      </w:pPr>
      <w:r w:rsidRPr="00BC69C7">
        <w:rPr>
          <w:rFonts w:eastAsiaTheme="minorHAnsi" w:cstheme="minorBidi"/>
          <w:szCs w:val="22"/>
        </w:rPr>
        <w:t xml:space="preserve">Assistant Consumers’ Counsel </w:t>
      </w:r>
    </w:p>
    <w:p w:rsidR="0045326F" w:rsidP="000C011D" w14:paraId="6E2AD695" w14:textId="77777777">
      <w:pPr>
        <w:ind w:left="4320"/>
        <w:rPr>
          <w:b/>
          <w:bCs/>
          <w:szCs w:val="24"/>
        </w:rPr>
      </w:pPr>
    </w:p>
    <w:p w:rsidR="000C011D" w:rsidRPr="006471D3" w:rsidP="000C011D" w14:paraId="661E0402" w14:textId="25BA10FF">
      <w:pPr>
        <w:ind w:left="4320"/>
        <w:rPr>
          <w:b/>
          <w:bCs/>
          <w:szCs w:val="24"/>
        </w:rPr>
      </w:pPr>
      <w:r w:rsidRPr="006471D3">
        <w:rPr>
          <w:b/>
          <w:bCs/>
          <w:szCs w:val="24"/>
        </w:rPr>
        <w:t>Office of the Ohio Consumers’ Counsel</w:t>
      </w:r>
    </w:p>
    <w:p w:rsidR="000C011D" w:rsidRPr="006471D3" w:rsidP="000C011D" w14:paraId="288CB4DE"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65 East State Street, 7th Floor</w:t>
      </w:r>
    </w:p>
    <w:p w:rsidR="000C011D" w:rsidRPr="006471D3" w:rsidP="000C011D" w14:paraId="390370F4"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Columbus, Ohio 43215-4213</w:t>
      </w:r>
    </w:p>
    <w:p w:rsidR="000C011D" w:rsidP="000C011D" w14:paraId="54112558" w14:textId="77777777">
      <w:pPr>
        <w:autoSpaceDE w:val="0"/>
        <w:autoSpaceDN w:val="0"/>
        <w:adjustRightInd w:val="0"/>
        <w:ind w:left="4320"/>
        <w:rPr>
          <w:szCs w:val="24"/>
        </w:rPr>
      </w:pPr>
      <w:r>
        <w:rPr>
          <w:szCs w:val="24"/>
        </w:rPr>
        <w:t>Telephone: Willis (614) 466-9567</w:t>
      </w:r>
    </w:p>
    <w:p w:rsidR="000C011D" w:rsidP="000C011D" w14:paraId="30D27F9B" w14:textId="77777777">
      <w:pPr>
        <w:autoSpaceDE w:val="0"/>
        <w:autoSpaceDN w:val="0"/>
        <w:adjustRightInd w:val="0"/>
        <w:ind w:left="4320"/>
        <w:rPr>
          <w:szCs w:val="24"/>
        </w:rPr>
      </w:pPr>
      <w:r>
        <w:rPr>
          <w:szCs w:val="24"/>
        </w:rPr>
        <w:t>Telephone: Etter (614) 466-7964</w:t>
      </w:r>
    </w:p>
    <w:p w:rsidR="000C011D" w:rsidP="000C011D" w14:paraId="16762099" w14:textId="28BB847E">
      <w:pPr>
        <w:ind w:left="4320"/>
      </w:pPr>
      <w:hyperlink r:id="rId6" w:history="1">
        <w:r w:rsidRPr="00D50E4C" w:rsidR="00CC51C4">
          <w:rPr>
            <w:rStyle w:val="Hyperlink"/>
            <w:rFonts w:eastAsiaTheme="majorEastAsia"/>
          </w:rPr>
          <w:t>maureen.willis@occ.ohio.gov</w:t>
        </w:r>
      </w:hyperlink>
      <w:r w:rsidR="00EB42EE">
        <w:t xml:space="preserve"> </w:t>
      </w:r>
    </w:p>
    <w:p w:rsidR="000C011D" w:rsidRPr="006471D3" w:rsidP="000C011D" w14:paraId="4CCD4567" w14:textId="77777777">
      <w:pPr>
        <w:ind w:left="4320"/>
        <w:rPr>
          <w:rStyle w:val="Hyperlink"/>
          <w:rFonts w:eastAsiaTheme="majorEastAsia"/>
        </w:rPr>
      </w:pPr>
      <w:r w:rsidRPr="006471D3">
        <w:rPr>
          <w:rStyle w:val="Hyperlink"/>
          <w:rFonts w:eastAsiaTheme="majorEastAsia"/>
        </w:rPr>
        <w:t>terry.etter@occ.ohio.gov</w:t>
      </w:r>
    </w:p>
    <w:p w:rsidR="000C011D" w:rsidRPr="00DE37C9" w:rsidP="00C84577" w14:paraId="79EC669E" w14:textId="0A8FC31D">
      <w:pPr>
        <w:rPr>
          <w:szCs w:val="24"/>
        </w:rPr>
      </w:pPr>
      <w:r>
        <w:tab/>
      </w:r>
      <w:r>
        <w:tab/>
      </w:r>
      <w:r>
        <w:tab/>
      </w:r>
      <w:r w:rsidR="00CC51C4">
        <w:tab/>
      </w:r>
      <w:r w:rsidR="00CC51C4">
        <w:tab/>
      </w:r>
      <w:r w:rsidR="00CC51C4">
        <w:tab/>
        <w:t>(willing to accept service by e-mail)</w:t>
      </w:r>
    </w:p>
    <w:p w:rsidR="00921B02" w:rsidRPr="004203E9" w14:paraId="2A387F45" w14:textId="77777777">
      <w:pPr>
        <w:jc w:val="center"/>
        <w:rPr>
          <w:szCs w:val="24"/>
        </w:rPr>
      </w:pPr>
    </w:p>
    <w:p w:rsidR="0021759A" w:rsidRPr="0021759A" w14:paraId="71A9C0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Angela Whitfield-Paul (0068774)</w:t>
      </w:r>
    </w:p>
    <w:p w:rsidR="0021759A" w:rsidRPr="0021759A" w14:paraId="184C08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Counsel of Record</w:t>
      </w:r>
    </w:p>
    <w:p w:rsidR="0021759A" w:rsidRPr="004203E9" w:rsidP="004203E9" w14:paraId="37EF3AAB" w14:textId="77777777">
      <w:pPr>
        <w:pStyle w:val="BodyTextIndent3"/>
        <w:widowControl w:val="0"/>
        <w:spacing w:after="0"/>
        <w:ind w:left="4320"/>
        <w:rPr>
          <w:sz w:val="24"/>
          <w:szCs w:val="24"/>
        </w:rPr>
      </w:pPr>
      <w:r w:rsidRPr="004203E9">
        <w:rPr>
          <w:sz w:val="24"/>
          <w:szCs w:val="24"/>
        </w:rPr>
        <w:t>Carpenter Lipps &amp; Leland L.L.P.</w:t>
      </w:r>
    </w:p>
    <w:p w:rsidR="0021759A" w:rsidRPr="004203E9" w:rsidP="004203E9" w14:paraId="6FAA8AFC" w14:textId="77777777">
      <w:pPr>
        <w:pStyle w:val="BodyTextIndent3"/>
        <w:widowControl w:val="0"/>
        <w:spacing w:after="0"/>
        <w:ind w:left="4320"/>
        <w:rPr>
          <w:sz w:val="24"/>
          <w:szCs w:val="24"/>
        </w:rPr>
      </w:pPr>
      <w:r w:rsidRPr="004203E9">
        <w:rPr>
          <w:sz w:val="24"/>
          <w:szCs w:val="24"/>
        </w:rPr>
        <w:t>280 Plaza, Suite 1300</w:t>
      </w:r>
    </w:p>
    <w:p w:rsidR="0021759A" w:rsidRPr="004203E9" w:rsidP="004203E9" w14:paraId="7CA2CFB8" w14:textId="77777777">
      <w:pPr>
        <w:pStyle w:val="BodyTextIndent3"/>
        <w:widowControl w:val="0"/>
        <w:spacing w:after="0"/>
        <w:ind w:left="4320"/>
        <w:rPr>
          <w:sz w:val="24"/>
          <w:szCs w:val="24"/>
        </w:rPr>
      </w:pPr>
      <w:r w:rsidRPr="004203E9">
        <w:rPr>
          <w:sz w:val="24"/>
          <w:szCs w:val="24"/>
        </w:rPr>
        <w:t>280 North High Street</w:t>
      </w:r>
    </w:p>
    <w:p w:rsidR="0021759A" w:rsidRPr="004203E9" w:rsidP="004203E9" w14:paraId="0D07AE86" w14:textId="77777777">
      <w:pPr>
        <w:pStyle w:val="BodyTextIndent3"/>
        <w:widowControl w:val="0"/>
        <w:spacing w:after="0"/>
        <w:ind w:left="4320"/>
        <w:rPr>
          <w:sz w:val="24"/>
          <w:szCs w:val="24"/>
        </w:rPr>
      </w:pPr>
      <w:r w:rsidRPr="004203E9">
        <w:rPr>
          <w:sz w:val="24"/>
          <w:szCs w:val="24"/>
        </w:rPr>
        <w:t>Columbus, Ohio 43215</w:t>
      </w:r>
    </w:p>
    <w:p w:rsidR="0021759A" w:rsidRPr="004203E9" w:rsidP="004203E9" w14:paraId="7ABEF4B6" w14:textId="77777777">
      <w:pPr>
        <w:pStyle w:val="BodyTextIndent3"/>
        <w:widowControl w:val="0"/>
        <w:spacing w:after="0"/>
        <w:ind w:left="4320"/>
        <w:rPr>
          <w:sz w:val="24"/>
          <w:szCs w:val="24"/>
        </w:rPr>
      </w:pPr>
      <w:r w:rsidRPr="004203E9">
        <w:rPr>
          <w:sz w:val="24"/>
          <w:szCs w:val="24"/>
        </w:rPr>
        <w:t>(614) 365-9145</w:t>
      </w:r>
    </w:p>
    <w:p w:rsidR="0021759A" w:rsidRPr="00F720F3" w:rsidP="004203E9" w14:paraId="0ABEE680" w14:textId="77777777">
      <w:pPr>
        <w:pStyle w:val="BodyTextIndent3"/>
        <w:widowControl w:val="0"/>
        <w:spacing w:after="0"/>
        <w:ind w:left="4320"/>
        <w:rPr>
          <w:rStyle w:val="Hyperlink"/>
          <w:rFonts w:eastAsiaTheme="majorEastAsia"/>
          <w:sz w:val="24"/>
          <w:szCs w:val="24"/>
        </w:rPr>
      </w:pPr>
      <w:r w:rsidRPr="00F720F3">
        <w:rPr>
          <w:rStyle w:val="Hyperlink"/>
          <w:rFonts w:eastAsiaTheme="majorEastAsia"/>
          <w:sz w:val="24"/>
          <w:szCs w:val="24"/>
        </w:rPr>
        <w:t>paul@carpenterlipps.com</w:t>
      </w:r>
    </w:p>
    <w:p w:rsidR="0021759A" w:rsidRPr="004203E9" w:rsidP="004203E9" w14:paraId="589D840E" w14:textId="0D063AE6">
      <w:pPr>
        <w:pStyle w:val="BodyTextIndent3"/>
        <w:widowControl w:val="0"/>
        <w:spacing w:after="0"/>
        <w:rPr>
          <w:sz w:val="24"/>
          <w:szCs w:val="24"/>
        </w:rPr>
      </w:pPr>
      <w:r w:rsidRPr="004203E9">
        <w:rPr>
          <w:sz w:val="24"/>
          <w:szCs w:val="24"/>
        </w:rPr>
        <w:tab/>
      </w:r>
      <w:r w:rsidRPr="004203E9">
        <w:rPr>
          <w:sz w:val="24"/>
          <w:szCs w:val="24"/>
        </w:rPr>
        <w:tab/>
      </w:r>
      <w:r w:rsidRPr="004203E9">
        <w:rPr>
          <w:sz w:val="24"/>
          <w:szCs w:val="24"/>
        </w:rPr>
        <w:tab/>
      </w:r>
      <w:r w:rsidRPr="004203E9">
        <w:rPr>
          <w:sz w:val="24"/>
          <w:szCs w:val="24"/>
        </w:rPr>
        <w:tab/>
      </w:r>
      <w:r w:rsidRPr="004203E9">
        <w:rPr>
          <w:sz w:val="24"/>
          <w:szCs w:val="24"/>
        </w:rPr>
        <w:tab/>
      </w:r>
      <w:r>
        <w:rPr>
          <w:sz w:val="24"/>
          <w:szCs w:val="24"/>
        </w:rPr>
        <w:tab/>
      </w:r>
      <w:r w:rsidRPr="004203E9">
        <w:rPr>
          <w:sz w:val="24"/>
          <w:szCs w:val="24"/>
        </w:rPr>
        <w:t>(willing to accept service by e-mail)</w:t>
      </w:r>
    </w:p>
    <w:p w:rsidR="0021759A" w:rsidRPr="0021759A" w14:paraId="2DDFF8D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i/>
          <w:iCs/>
          <w:sz w:val="24"/>
          <w:szCs w:val="24"/>
          <w:lang w:val="en-US"/>
        </w:rPr>
      </w:pP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i/>
          <w:iCs/>
          <w:sz w:val="24"/>
          <w:szCs w:val="24"/>
          <w:lang w:val="en-US"/>
        </w:rPr>
        <w:t>Counsel for The Kroger Company</w:t>
      </w:r>
    </w:p>
    <w:p w:rsidR="0021759A" w:rsidRPr="0021759A" w14:paraId="0459E4D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i/>
          <w:iCs/>
          <w:sz w:val="24"/>
          <w:szCs w:val="24"/>
          <w:lang w:val="en-US"/>
        </w:rPr>
      </w:pPr>
    </w:p>
    <w:p w:rsidR="0021759A" w:rsidRPr="0021759A" w14:paraId="07ADB1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Kimberly W. Bojko (0069402)</w:t>
      </w:r>
    </w:p>
    <w:p w:rsidR="0021759A" w:rsidRPr="0021759A" w14:paraId="2D8BC6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Counsel of Record</w:t>
      </w:r>
    </w:p>
    <w:p w:rsidR="0021759A" w:rsidRPr="004203E9" w:rsidP="004203E9" w14:paraId="66524260" w14:textId="77777777">
      <w:pPr>
        <w:pStyle w:val="BodyTextIndent3"/>
        <w:widowControl w:val="0"/>
        <w:spacing w:after="0"/>
        <w:ind w:left="4320"/>
        <w:rPr>
          <w:sz w:val="24"/>
          <w:szCs w:val="24"/>
        </w:rPr>
      </w:pPr>
      <w:r w:rsidRPr="004203E9">
        <w:rPr>
          <w:sz w:val="24"/>
          <w:szCs w:val="24"/>
        </w:rPr>
        <w:t>Carpenter Lipps &amp; Leland L.L.P.</w:t>
      </w:r>
    </w:p>
    <w:p w:rsidR="0021759A" w:rsidRPr="004203E9" w:rsidP="004203E9" w14:paraId="7CC9410D" w14:textId="77777777">
      <w:pPr>
        <w:pStyle w:val="BodyTextIndent3"/>
        <w:widowControl w:val="0"/>
        <w:spacing w:after="0"/>
        <w:ind w:left="4320"/>
        <w:rPr>
          <w:sz w:val="24"/>
          <w:szCs w:val="24"/>
        </w:rPr>
      </w:pPr>
      <w:r w:rsidRPr="004203E9">
        <w:rPr>
          <w:sz w:val="24"/>
          <w:szCs w:val="24"/>
        </w:rPr>
        <w:t>280 Plaza, Suite 1300</w:t>
      </w:r>
    </w:p>
    <w:p w:rsidR="0021759A" w:rsidRPr="004203E9" w:rsidP="004203E9" w14:paraId="4FD18A4E" w14:textId="77777777">
      <w:pPr>
        <w:pStyle w:val="BodyTextIndent3"/>
        <w:widowControl w:val="0"/>
        <w:spacing w:after="0"/>
        <w:ind w:left="4320"/>
        <w:rPr>
          <w:sz w:val="24"/>
          <w:szCs w:val="24"/>
        </w:rPr>
      </w:pPr>
      <w:r w:rsidRPr="004203E9">
        <w:rPr>
          <w:sz w:val="24"/>
          <w:szCs w:val="24"/>
        </w:rPr>
        <w:t>280 North High Street</w:t>
      </w:r>
    </w:p>
    <w:p w:rsidR="0021759A" w:rsidRPr="004203E9" w:rsidP="004203E9" w14:paraId="34B3B278" w14:textId="77777777">
      <w:pPr>
        <w:pStyle w:val="BodyTextIndent3"/>
        <w:widowControl w:val="0"/>
        <w:spacing w:after="0"/>
        <w:ind w:left="4320"/>
        <w:rPr>
          <w:sz w:val="24"/>
          <w:szCs w:val="24"/>
        </w:rPr>
      </w:pPr>
      <w:r w:rsidRPr="004203E9">
        <w:rPr>
          <w:sz w:val="24"/>
          <w:szCs w:val="24"/>
        </w:rPr>
        <w:t>Columbus, Ohio 43215</w:t>
      </w:r>
    </w:p>
    <w:p w:rsidR="0021759A" w:rsidRPr="004203E9" w:rsidP="004203E9" w14:paraId="6CD28127" w14:textId="77777777">
      <w:pPr>
        <w:pStyle w:val="BodyTextIndent3"/>
        <w:widowControl w:val="0"/>
        <w:spacing w:after="0"/>
        <w:ind w:left="4320"/>
        <w:rPr>
          <w:sz w:val="24"/>
          <w:szCs w:val="24"/>
        </w:rPr>
      </w:pPr>
      <w:r w:rsidRPr="004203E9">
        <w:rPr>
          <w:sz w:val="24"/>
          <w:szCs w:val="24"/>
        </w:rPr>
        <w:t>(614) 365-4100</w:t>
      </w:r>
    </w:p>
    <w:p w:rsidR="0021759A" w:rsidRPr="00F720F3" w:rsidP="004203E9" w14:paraId="62B1B405" w14:textId="77777777">
      <w:pPr>
        <w:pStyle w:val="BodyTextIndent3"/>
        <w:widowControl w:val="0"/>
        <w:spacing w:after="0"/>
        <w:ind w:left="4320"/>
        <w:rPr>
          <w:rStyle w:val="Hyperlink"/>
          <w:rFonts w:eastAsiaTheme="majorEastAsia"/>
          <w:sz w:val="24"/>
          <w:szCs w:val="24"/>
        </w:rPr>
      </w:pPr>
      <w:hyperlink r:id="rId7" w:history="1">
        <w:r w:rsidRPr="00F720F3" w:rsidR="000D0ABC">
          <w:rPr>
            <w:rStyle w:val="Hyperlink"/>
            <w:rFonts w:eastAsiaTheme="majorEastAsia"/>
            <w:sz w:val="24"/>
            <w:szCs w:val="24"/>
          </w:rPr>
          <w:t>bojko@carpenterlipps.com</w:t>
        </w:r>
      </w:hyperlink>
    </w:p>
    <w:p w:rsidR="0021759A" w:rsidRPr="004203E9" w:rsidP="004203E9" w14:paraId="56541196" w14:textId="77777777">
      <w:pPr>
        <w:pStyle w:val="BodyTextIndent3"/>
        <w:widowControl w:val="0"/>
        <w:spacing w:after="0"/>
        <w:rPr>
          <w:sz w:val="24"/>
          <w:szCs w:val="24"/>
        </w:rPr>
      </w:pPr>
      <w:r w:rsidRPr="004203E9">
        <w:rPr>
          <w:sz w:val="24"/>
          <w:szCs w:val="24"/>
        </w:rPr>
        <w:t xml:space="preserve">December 4, 2019 </w:t>
      </w:r>
      <w:r w:rsidRPr="004203E9">
        <w:rPr>
          <w:sz w:val="24"/>
          <w:szCs w:val="24"/>
        </w:rPr>
        <w:tab/>
      </w:r>
      <w:r w:rsidRPr="004203E9">
        <w:rPr>
          <w:sz w:val="24"/>
          <w:szCs w:val="24"/>
        </w:rPr>
        <w:tab/>
      </w:r>
      <w:r w:rsidRPr="004203E9">
        <w:rPr>
          <w:sz w:val="24"/>
          <w:szCs w:val="24"/>
        </w:rPr>
        <w:tab/>
        <w:t>(willing to accept service by e-mail)</w:t>
      </w:r>
    </w:p>
    <w:p w:rsidR="0021759A" w:rsidRPr="0021759A" w14:paraId="7233854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eastAsia="Times New Roman" w:hAnsi="Times New Roman"/>
          <w:i/>
          <w:iCs/>
          <w:sz w:val="24"/>
          <w:szCs w:val="24"/>
          <w:lang w:val="en-US"/>
        </w:rPr>
      </w:pPr>
      <w:r w:rsidRPr="0021759A">
        <w:rPr>
          <w:rFonts w:ascii="Times New Roman" w:eastAsia="Times New Roman" w:hAnsi="Times New Roman"/>
          <w:i/>
          <w:iCs/>
          <w:sz w:val="24"/>
          <w:szCs w:val="24"/>
          <w:lang w:val="en-US"/>
        </w:rPr>
        <w:t>Counsel for Ohio Manufacturers’ Association Energy Group</w:t>
      </w:r>
    </w:p>
    <w:p w:rsidR="00E063DB" w:rsidRPr="00335CE6" w:rsidP="00E063DB" w14:paraId="6FCC5BE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063DB" w:rsidP="00C130BC" w14:paraId="78F0E003" w14:textId="77777777">
      <w:pPr>
        <w:jc w:val="center"/>
        <w:rPr>
          <w:b/>
        </w:rPr>
      </w:pPr>
    </w:p>
    <w:p w:rsidR="00E063DB" w:rsidP="00C130BC" w14:paraId="5841F95B" w14:textId="77777777">
      <w:pPr>
        <w:jc w:val="center"/>
        <w:rPr>
          <w:b/>
        </w:rPr>
      </w:pPr>
    </w:p>
    <w:p w:rsidR="00E063DB" w:rsidP="00C130BC" w14:paraId="6DBA97DB" w14:textId="4BCED158">
      <w:pPr>
        <w:jc w:val="center"/>
        <w:rPr>
          <w:b/>
        </w:rPr>
        <w:sectPr w:rsidSect="0036320F">
          <w:footerReference w:type="default" r:id="rId8"/>
          <w:pgSz w:w="12240" w:h="15840"/>
          <w:pgMar w:top="1440" w:right="1800" w:bottom="1440" w:left="1800" w:header="720" w:footer="720" w:gutter="0"/>
          <w:cols w:space="720"/>
          <w:docGrid w:linePitch="360"/>
        </w:sectPr>
      </w:pPr>
    </w:p>
    <w:p w:rsidR="000C011D" w:rsidP="00C130BC" w14:paraId="56191151" w14:textId="67A3C444">
      <w:pPr>
        <w:jc w:val="center"/>
        <w:rPr>
          <w:b/>
          <w:u w:val="single"/>
        </w:rPr>
      </w:pPr>
      <w:r>
        <w:rPr>
          <w:b/>
          <w:u w:val="single"/>
        </w:rPr>
        <w:t>TABLE OF CON</w:t>
      </w:r>
      <w:r w:rsidR="008955A8">
        <w:rPr>
          <w:b/>
          <w:u w:val="single"/>
        </w:rPr>
        <w:t>T</w:t>
      </w:r>
      <w:r>
        <w:rPr>
          <w:b/>
          <w:u w:val="single"/>
        </w:rPr>
        <w:t>ENTS</w:t>
      </w:r>
    </w:p>
    <w:p w:rsidR="00921B02" w:rsidP="00C130BC" w14:paraId="5C4AC427" w14:textId="3B53E3C2">
      <w:pPr>
        <w:jc w:val="center"/>
        <w:rPr>
          <w:b/>
          <w:u w:val="single"/>
        </w:rPr>
      </w:pPr>
    </w:p>
    <w:p w:rsidR="00921B02" w:rsidP="00921B02" w14:paraId="1C557048" w14:textId="10AD4763">
      <w:pPr>
        <w:jc w:val="right"/>
        <w:rPr>
          <w:b/>
        </w:rPr>
      </w:pPr>
      <w:r>
        <w:rPr>
          <w:b/>
        </w:rPr>
        <w:t>PAGE</w:t>
      </w:r>
    </w:p>
    <w:p w:rsidR="008955A8" w:rsidP="00921B02" w14:paraId="62985CE8" w14:textId="77777777">
      <w:pPr>
        <w:jc w:val="right"/>
        <w:rPr>
          <w:b/>
        </w:rPr>
      </w:pPr>
    </w:p>
    <w:p w:rsidR="0068612C" w14:paraId="3D13720F" w14:textId="12A82726">
      <w:pPr>
        <w:pStyle w:val="TOC1"/>
        <w:rPr>
          <w:rFonts w:asciiTheme="minorHAnsi" w:eastAsiaTheme="minorEastAsia" w:hAnsiTheme="minorHAnsi" w:cstheme="minorBidi"/>
          <w:noProof/>
          <w:sz w:val="22"/>
          <w:szCs w:val="22"/>
        </w:rPr>
      </w:pPr>
      <w:r>
        <w:rPr>
          <w:b/>
        </w:rPr>
        <w:fldChar w:fldCharType="begin"/>
      </w:r>
      <w:r>
        <w:rPr>
          <w:b/>
        </w:rPr>
        <w:instrText xml:space="preserve"> TOC \o "1-3" \h \z \u </w:instrText>
      </w:r>
      <w:r>
        <w:rPr>
          <w:b/>
        </w:rPr>
        <w:fldChar w:fldCharType="separate"/>
      </w:r>
      <w:hyperlink w:anchor="_Toc26367072" w:history="1">
        <w:r w:rsidRPr="007B266F">
          <w:rPr>
            <w:rStyle w:val="Hyperlink"/>
            <w:noProof/>
          </w:rPr>
          <w:t xml:space="preserve">I. </w:t>
        </w:r>
        <w:r>
          <w:rPr>
            <w:rFonts w:asciiTheme="minorHAnsi" w:eastAsiaTheme="minorEastAsia" w:hAnsiTheme="minorHAnsi" w:cstheme="minorBidi"/>
            <w:noProof/>
            <w:sz w:val="22"/>
            <w:szCs w:val="22"/>
          </w:rPr>
          <w:tab/>
        </w:r>
        <w:r w:rsidRPr="007B266F">
          <w:rPr>
            <w:rStyle w:val="Hyperlink"/>
            <w:noProof/>
          </w:rPr>
          <w:t>INTRODUCTION</w:t>
        </w:r>
        <w:r>
          <w:rPr>
            <w:noProof/>
            <w:webHidden/>
          </w:rPr>
          <w:tab/>
        </w:r>
        <w:r>
          <w:rPr>
            <w:noProof/>
            <w:webHidden/>
          </w:rPr>
          <w:fldChar w:fldCharType="begin"/>
        </w:r>
        <w:r>
          <w:rPr>
            <w:noProof/>
            <w:webHidden/>
          </w:rPr>
          <w:instrText xml:space="preserve"> PAGEREF _Toc26367072 \h </w:instrText>
        </w:r>
        <w:r>
          <w:rPr>
            <w:noProof/>
            <w:webHidden/>
          </w:rPr>
          <w:fldChar w:fldCharType="separate"/>
        </w:r>
        <w:r>
          <w:rPr>
            <w:noProof/>
            <w:webHidden/>
          </w:rPr>
          <w:t>1</w:t>
        </w:r>
        <w:r>
          <w:rPr>
            <w:noProof/>
            <w:webHidden/>
          </w:rPr>
          <w:fldChar w:fldCharType="end"/>
        </w:r>
      </w:hyperlink>
    </w:p>
    <w:p w:rsidR="0068612C" w14:paraId="2E0B82D7" w14:textId="4AC7FA49">
      <w:pPr>
        <w:pStyle w:val="TOC1"/>
        <w:rPr>
          <w:rFonts w:asciiTheme="minorHAnsi" w:eastAsiaTheme="minorEastAsia" w:hAnsiTheme="minorHAnsi" w:cstheme="minorBidi"/>
          <w:noProof/>
          <w:sz w:val="22"/>
          <w:szCs w:val="22"/>
        </w:rPr>
      </w:pPr>
      <w:hyperlink w:anchor="_Toc26367073" w:history="1">
        <w:r w:rsidRPr="007B266F" w:rsidR="000D0ABC">
          <w:rPr>
            <w:rStyle w:val="Hyperlink"/>
            <w:noProof/>
          </w:rPr>
          <w:t>II.</w:t>
        </w:r>
        <w:r w:rsidR="000D0ABC">
          <w:rPr>
            <w:rFonts w:asciiTheme="minorHAnsi" w:eastAsiaTheme="minorEastAsia" w:hAnsiTheme="minorHAnsi" w:cstheme="minorBidi"/>
            <w:noProof/>
            <w:sz w:val="22"/>
            <w:szCs w:val="22"/>
          </w:rPr>
          <w:tab/>
        </w:r>
        <w:r w:rsidRPr="007B266F" w:rsidR="000D0ABC">
          <w:rPr>
            <w:rStyle w:val="Hyperlink"/>
            <w:noProof/>
          </w:rPr>
          <w:t>RECOMMENDATIONS</w:t>
        </w:r>
        <w:r w:rsidR="000D0ABC">
          <w:rPr>
            <w:noProof/>
            <w:webHidden/>
          </w:rPr>
          <w:tab/>
        </w:r>
        <w:r w:rsidR="000D0ABC">
          <w:rPr>
            <w:noProof/>
            <w:webHidden/>
          </w:rPr>
          <w:fldChar w:fldCharType="begin"/>
        </w:r>
        <w:r w:rsidR="000D0ABC">
          <w:rPr>
            <w:noProof/>
            <w:webHidden/>
          </w:rPr>
          <w:instrText xml:space="preserve"> PAGEREF _Toc26367073 \h </w:instrText>
        </w:r>
        <w:r w:rsidR="000D0ABC">
          <w:rPr>
            <w:noProof/>
            <w:webHidden/>
          </w:rPr>
          <w:fldChar w:fldCharType="separate"/>
        </w:r>
        <w:r w:rsidR="000D0ABC">
          <w:rPr>
            <w:noProof/>
            <w:webHidden/>
          </w:rPr>
          <w:t>3</w:t>
        </w:r>
        <w:r w:rsidR="000D0ABC">
          <w:rPr>
            <w:noProof/>
            <w:webHidden/>
          </w:rPr>
          <w:fldChar w:fldCharType="end"/>
        </w:r>
      </w:hyperlink>
    </w:p>
    <w:p w:rsidR="0068612C" w14:paraId="0AA74056" w14:textId="27EB3476">
      <w:pPr>
        <w:pStyle w:val="TOC2"/>
        <w:tabs>
          <w:tab w:val="left" w:pos="1440"/>
        </w:tabs>
        <w:rPr>
          <w:rFonts w:asciiTheme="minorHAnsi" w:eastAsiaTheme="minorEastAsia" w:hAnsiTheme="minorHAnsi" w:cstheme="minorBidi"/>
          <w:noProof/>
          <w:sz w:val="22"/>
          <w:szCs w:val="22"/>
        </w:rPr>
      </w:pPr>
      <w:hyperlink w:anchor="_Toc26367074" w:history="1">
        <w:r w:rsidRPr="007B266F" w:rsidR="000D0ABC">
          <w:rPr>
            <w:rStyle w:val="Hyperlink"/>
            <w:noProof/>
          </w:rPr>
          <w:t xml:space="preserve">A. </w:t>
        </w:r>
        <w:r w:rsidR="000D0ABC">
          <w:rPr>
            <w:rFonts w:asciiTheme="minorHAnsi" w:eastAsiaTheme="minorEastAsia" w:hAnsiTheme="minorHAnsi" w:cstheme="minorBidi"/>
            <w:noProof/>
            <w:sz w:val="22"/>
            <w:szCs w:val="22"/>
          </w:rPr>
          <w:tab/>
        </w:r>
        <w:r w:rsidRPr="007B266F" w:rsidR="000D0ABC">
          <w:rPr>
            <w:rStyle w:val="Hyperlink"/>
            <w:noProof/>
          </w:rPr>
          <w:t xml:space="preserve">Because DP&amp;L does not have the right to withdraw its application, the PUCO should outright reject DP&amp;L's plan to increase rates to </w:t>
        </w:r>
        <w:r w:rsidR="000D0ABC">
          <w:rPr>
            <w:rStyle w:val="Hyperlink"/>
            <w:noProof/>
          </w:rPr>
          <w:br/>
        </w:r>
        <w:r w:rsidRPr="007B266F" w:rsidR="000D0ABC">
          <w:rPr>
            <w:rStyle w:val="Hyperlink"/>
            <w:noProof/>
          </w:rPr>
          <w:t>customers.</w:t>
        </w:r>
        <w:r w:rsidR="000D0ABC">
          <w:rPr>
            <w:noProof/>
            <w:webHidden/>
          </w:rPr>
          <w:tab/>
        </w:r>
        <w:r w:rsidR="000D0ABC">
          <w:rPr>
            <w:noProof/>
            <w:webHidden/>
          </w:rPr>
          <w:fldChar w:fldCharType="begin"/>
        </w:r>
        <w:r w:rsidR="000D0ABC">
          <w:rPr>
            <w:noProof/>
            <w:webHidden/>
          </w:rPr>
          <w:instrText xml:space="preserve"> PAGEREF _Toc26367074 \h </w:instrText>
        </w:r>
        <w:r w:rsidR="000D0ABC">
          <w:rPr>
            <w:noProof/>
            <w:webHidden/>
          </w:rPr>
          <w:fldChar w:fldCharType="separate"/>
        </w:r>
        <w:r w:rsidR="000D0ABC">
          <w:rPr>
            <w:noProof/>
            <w:webHidden/>
          </w:rPr>
          <w:t>3</w:t>
        </w:r>
        <w:r w:rsidR="000D0ABC">
          <w:rPr>
            <w:noProof/>
            <w:webHidden/>
          </w:rPr>
          <w:fldChar w:fldCharType="end"/>
        </w:r>
      </w:hyperlink>
    </w:p>
    <w:p w:rsidR="0068612C" w14:paraId="4D5BC8A2" w14:textId="6A99B1BC">
      <w:pPr>
        <w:pStyle w:val="TOC2"/>
        <w:tabs>
          <w:tab w:val="left" w:pos="1440"/>
        </w:tabs>
        <w:rPr>
          <w:rFonts w:asciiTheme="minorHAnsi" w:eastAsiaTheme="minorEastAsia" w:hAnsiTheme="minorHAnsi" w:cstheme="minorBidi"/>
          <w:noProof/>
          <w:sz w:val="22"/>
          <w:szCs w:val="22"/>
        </w:rPr>
      </w:pPr>
      <w:hyperlink w:anchor="_Toc26367075" w:history="1">
        <w:r w:rsidRPr="007B266F" w:rsidR="000D0ABC">
          <w:rPr>
            <w:rStyle w:val="Hyperlink"/>
            <w:noProof/>
          </w:rPr>
          <w:t xml:space="preserve">B. </w:t>
        </w:r>
        <w:r w:rsidR="000D0ABC">
          <w:rPr>
            <w:rFonts w:asciiTheme="minorHAnsi" w:eastAsiaTheme="minorEastAsia" w:hAnsiTheme="minorHAnsi" w:cstheme="minorBidi"/>
            <w:noProof/>
            <w:sz w:val="22"/>
            <w:szCs w:val="22"/>
          </w:rPr>
          <w:tab/>
        </w:r>
        <w:r w:rsidRPr="007B266F" w:rsidR="000D0ABC">
          <w:rPr>
            <w:rStyle w:val="Hyperlink"/>
            <w:noProof/>
          </w:rPr>
          <w:t>If the PUCO grants DP&amp;L's Motion to Withdraw (which it should not do), the PUCO should protect consumers and reject DP&amp;L's plan to charge customers a monthly Rate Stabilization Charge since it would allow DP&amp;L to collect more unlawful transition charges, violating Ohio law.</w:t>
        </w:r>
        <w:r w:rsidR="000D0ABC">
          <w:rPr>
            <w:noProof/>
            <w:webHidden/>
          </w:rPr>
          <w:tab/>
        </w:r>
        <w:r w:rsidR="000D0ABC">
          <w:rPr>
            <w:noProof/>
            <w:webHidden/>
          </w:rPr>
          <w:fldChar w:fldCharType="begin"/>
        </w:r>
        <w:r w:rsidR="000D0ABC">
          <w:rPr>
            <w:noProof/>
            <w:webHidden/>
          </w:rPr>
          <w:instrText xml:space="preserve"> PAGEREF _Toc26367075 \h </w:instrText>
        </w:r>
        <w:r w:rsidR="000D0ABC">
          <w:rPr>
            <w:noProof/>
            <w:webHidden/>
          </w:rPr>
          <w:fldChar w:fldCharType="separate"/>
        </w:r>
        <w:r w:rsidR="000D0ABC">
          <w:rPr>
            <w:noProof/>
            <w:webHidden/>
          </w:rPr>
          <w:t>3</w:t>
        </w:r>
        <w:r w:rsidR="000D0ABC">
          <w:rPr>
            <w:noProof/>
            <w:webHidden/>
          </w:rPr>
          <w:fldChar w:fldCharType="end"/>
        </w:r>
      </w:hyperlink>
    </w:p>
    <w:p w:rsidR="0068612C" w14:paraId="552CBAD4" w14:textId="742B7619">
      <w:pPr>
        <w:pStyle w:val="TOC2"/>
        <w:tabs>
          <w:tab w:val="left" w:pos="1440"/>
        </w:tabs>
        <w:rPr>
          <w:rFonts w:asciiTheme="minorHAnsi" w:eastAsiaTheme="minorEastAsia" w:hAnsiTheme="minorHAnsi" w:cstheme="minorBidi"/>
          <w:noProof/>
          <w:sz w:val="22"/>
          <w:szCs w:val="22"/>
        </w:rPr>
      </w:pPr>
      <w:hyperlink w:anchor="_Toc26367076" w:history="1">
        <w:r w:rsidRPr="007B266F" w:rsidR="000D0ABC">
          <w:rPr>
            <w:rStyle w:val="Hyperlink"/>
            <w:noProof/>
          </w:rPr>
          <w:t>C.</w:t>
        </w:r>
        <w:r w:rsidR="000D0ABC">
          <w:rPr>
            <w:rFonts w:asciiTheme="minorHAnsi" w:eastAsiaTheme="minorEastAsia" w:hAnsiTheme="minorHAnsi" w:cstheme="minorBidi"/>
            <w:noProof/>
            <w:sz w:val="22"/>
            <w:szCs w:val="22"/>
          </w:rPr>
          <w:tab/>
        </w:r>
        <w:r w:rsidRPr="007B266F" w:rsidR="000D0ABC">
          <w:rPr>
            <w:rStyle w:val="Hyperlink"/>
            <w:noProof/>
          </w:rPr>
          <w:t>If the PUCO grants DP&amp;L's Motion to Withdraw (which it should not do), the PUCO should protect consumers and reject DP&amp;L's plan to charge customers a monthly Rate Stabilization Charge since it is a financial integrity charge, violating Ohio law.</w:t>
        </w:r>
        <w:r w:rsidR="000D0ABC">
          <w:rPr>
            <w:noProof/>
            <w:webHidden/>
          </w:rPr>
          <w:tab/>
        </w:r>
        <w:r w:rsidR="000D0ABC">
          <w:rPr>
            <w:noProof/>
            <w:webHidden/>
          </w:rPr>
          <w:fldChar w:fldCharType="begin"/>
        </w:r>
        <w:r w:rsidR="000D0ABC">
          <w:rPr>
            <w:noProof/>
            <w:webHidden/>
          </w:rPr>
          <w:instrText xml:space="preserve"> PAGEREF _Toc26367076 \h </w:instrText>
        </w:r>
        <w:r w:rsidR="000D0ABC">
          <w:rPr>
            <w:noProof/>
            <w:webHidden/>
          </w:rPr>
          <w:fldChar w:fldCharType="separate"/>
        </w:r>
        <w:r w:rsidR="000D0ABC">
          <w:rPr>
            <w:noProof/>
            <w:webHidden/>
          </w:rPr>
          <w:t>6</w:t>
        </w:r>
        <w:r w:rsidR="000D0ABC">
          <w:rPr>
            <w:noProof/>
            <w:webHidden/>
          </w:rPr>
          <w:fldChar w:fldCharType="end"/>
        </w:r>
      </w:hyperlink>
    </w:p>
    <w:p w:rsidR="0068612C" w14:paraId="300837E6" w14:textId="25871044">
      <w:pPr>
        <w:pStyle w:val="TOC2"/>
        <w:tabs>
          <w:tab w:val="left" w:pos="1440"/>
        </w:tabs>
        <w:rPr>
          <w:rFonts w:asciiTheme="minorHAnsi" w:eastAsiaTheme="minorEastAsia" w:hAnsiTheme="minorHAnsi" w:cstheme="minorBidi"/>
          <w:noProof/>
          <w:sz w:val="22"/>
          <w:szCs w:val="22"/>
        </w:rPr>
      </w:pPr>
      <w:hyperlink w:anchor="_Toc26367077" w:history="1">
        <w:r w:rsidRPr="007B266F" w:rsidR="000D0ABC">
          <w:rPr>
            <w:rStyle w:val="Hyperlink"/>
            <w:noProof/>
          </w:rPr>
          <w:t>D.</w:t>
        </w:r>
        <w:r w:rsidR="000D0ABC">
          <w:rPr>
            <w:rFonts w:asciiTheme="minorHAnsi" w:eastAsiaTheme="minorEastAsia" w:hAnsiTheme="minorHAnsi" w:cstheme="minorBidi"/>
            <w:noProof/>
            <w:sz w:val="22"/>
            <w:szCs w:val="22"/>
          </w:rPr>
          <w:tab/>
        </w:r>
        <w:r w:rsidRPr="007B266F" w:rsidR="000D0ABC">
          <w:rPr>
            <w:rStyle w:val="Hyperlink"/>
            <w:noProof/>
          </w:rPr>
          <w:t>If the PUCO allows the RSC charge (it should not), the PUCO should protect consumers and set the RSC at zero because DP&amp;L is not providing POLR service to consumers.</w:t>
        </w:r>
        <w:r w:rsidR="000D0ABC">
          <w:rPr>
            <w:noProof/>
            <w:webHidden/>
          </w:rPr>
          <w:tab/>
        </w:r>
        <w:r w:rsidR="000D0ABC">
          <w:rPr>
            <w:noProof/>
            <w:webHidden/>
          </w:rPr>
          <w:fldChar w:fldCharType="begin"/>
        </w:r>
        <w:r w:rsidR="000D0ABC">
          <w:rPr>
            <w:noProof/>
            <w:webHidden/>
          </w:rPr>
          <w:instrText xml:space="preserve"> PAGEREF _Toc26367077 \h </w:instrText>
        </w:r>
        <w:r w:rsidR="000D0ABC">
          <w:rPr>
            <w:noProof/>
            <w:webHidden/>
          </w:rPr>
          <w:fldChar w:fldCharType="separate"/>
        </w:r>
        <w:r w:rsidR="000D0ABC">
          <w:rPr>
            <w:noProof/>
            <w:webHidden/>
          </w:rPr>
          <w:t>7</w:t>
        </w:r>
        <w:r w:rsidR="000D0ABC">
          <w:rPr>
            <w:noProof/>
            <w:webHidden/>
          </w:rPr>
          <w:fldChar w:fldCharType="end"/>
        </w:r>
      </w:hyperlink>
    </w:p>
    <w:p w:rsidR="0068612C" w14:paraId="46554713" w14:textId="6F7CA67F">
      <w:pPr>
        <w:pStyle w:val="TOC3"/>
        <w:tabs>
          <w:tab w:val="left" w:pos="2160"/>
        </w:tabs>
        <w:rPr>
          <w:rFonts w:asciiTheme="minorHAnsi" w:eastAsiaTheme="minorEastAsia" w:hAnsiTheme="minorHAnsi" w:cstheme="minorBidi"/>
          <w:noProof/>
          <w:sz w:val="22"/>
          <w:szCs w:val="22"/>
        </w:rPr>
      </w:pPr>
      <w:hyperlink w:anchor="_Toc26367078" w:history="1">
        <w:r w:rsidRPr="007B266F" w:rsidR="000D0ABC">
          <w:rPr>
            <w:rStyle w:val="Hyperlink"/>
            <w:noProof/>
          </w:rPr>
          <w:t>1.</w:t>
        </w:r>
        <w:r w:rsidR="000D0ABC">
          <w:rPr>
            <w:rFonts w:asciiTheme="minorHAnsi" w:eastAsiaTheme="minorEastAsia" w:hAnsiTheme="minorHAnsi" w:cstheme="minorBidi"/>
            <w:noProof/>
            <w:sz w:val="22"/>
            <w:szCs w:val="22"/>
          </w:rPr>
          <w:tab/>
        </w:r>
        <w:r w:rsidRPr="007B266F" w:rsidR="000D0ABC">
          <w:rPr>
            <w:rStyle w:val="Hyperlink"/>
            <w:noProof/>
          </w:rPr>
          <w:t>DP&amp;L is not providing POLR service, so it is unreasonable for it to charge customers for the service.</w:t>
        </w:r>
        <w:r w:rsidR="000D0ABC">
          <w:rPr>
            <w:noProof/>
            <w:webHidden/>
          </w:rPr>
          <w:tab/>
        </w:r>
        <w:r w:rsidR="000D0ABC">
          <w:rPr>
            <w:noProof/>
            <w:webHidden/>
          </w:rPr>
          <w:fldChar w:fldCharType="begin"/>
        </w:r>
        <w:r w:rsidR="000D0ABC">
          <w:rPr>
            <w:noProof/>
            <w:webHidden/>
          </w:rPr>
          <w:instrText xml:space="preserve"> PAGEREF _Toc26367078 \h </w:instrText>
        </w:r>
        <w:r w:rsidR="000D0ABC">
          <w:rPr>
            <w:noProof/>
            <w:webHidden/>
          </w:rPr>
          <w:fldChar w:fldCharType="separate"/>
        </w:r>
        <w:r w:rsidR="000D0ABC">
          <w:rPr>
            <w:noProof/>
            <w:webHidden/>
          </w:rPr>
          <w:t>9</w:t>
        </w:r>
        <w:r w:rsidR="000D0ABC">
          <w:rPr>
            <w:noProof/>
            <w:webHidden/>
          </w:rPr>
          <w:fldChar w:fldCharType="end"/>
        </w:r>
      </w:hyperlink>
    </w:p>
    <w:p w:rsidR="0068612C" w14:paraId="5094798B" w14:textId="0FCB4096">
      <w:pPr>
        <w:pStyle w:val="TOC3"/>
        <w:tabs>
          <w:tab w:val="left" w:pos="2160"/>
        </w:tabs>
        <w:rPr>
          <w:rFonts w:asciiTheme="minorHAnsi" w:eastAsiaTheme="minorEastAsia" w:hAnsiTheme="minorHAnsi" w:cstheme="minorBidi"/>
          <w:noProof/>
          <w:sz w:val="22"/>
          <w:szCs w:val="22"/>
        </w:rPr>
      </w:pPr>
      <w:hyperlink w:anchor="_Toc26367079" w:history="1">
        <w:r w:rsidRPr="007B266F" w:rsidR="000D0ABC">
          <w:rPr>
            <w:rStyle w:val="Hyperlink"/>
            <w:noProof/>
          </w:rPr>
          <w:t>2.</w:t>
        </w:r>
        <w:r w:rsidR="000D0ABC">
          <w:rPr>
            <w:rFonts w:asciiTheme="minorHAnsi" w:eastAsiaTheme="minorEastAsia" w:hAnsiTheme="minorHAnsi" w:cstheme="minorBidi"/>
            <w:noProof/>
            <w:sz w:val="22"/>
            <w:szCs w:val="22"/>
          </w:rPr>
          <w:tab/>
        </w:r>
        <w:r w:rsidRPr="007B266F" w:rsidR="000D0ABC">
          <w:rPr>
            <w:rStyle w:val="Hyperlink"/>
            <w:noProof/>
          </w:rPr>
          <w:t>There is no evidentiary support for allowing DP&amp;L to charge customers for POLR.</w:t>
        </w:r>
        <w:r w:rsidR="000D0ABC">
          <w:rPr>
            <w:noProof/>
            <w:webHidden/>
          </w:rPr>
          <w:tab/>
        </w:r>
        <w:r w:rsidR="000D0ABC">
          <w:rPr>
            <w:noProof/>
            <w:webHidden/>
          </w:rPr>
          <w:fldChar w:fldCharType="begin"/>
        </w:r>
        <w:r w:rsidR="000D0ABC">
          <w:rPr>
            <w:noProof/>
            <w:webHidden/>
          </w:rPr>
          <w:instrText xml:space="preserve"> PAGEREF _Toc26367079 \h </w:instrText>
        </w:r>
        <w:r w:rsidR="000D0ABC">
          <w:rPr>
            <w:noProof/>
            <w:webHidden/>
          </w:rPr>
          <w:fldChar w:fldCharType="separate"/>
        </w:r>
        <w:r w:rsidR="000D0ABC">
          <w:rPr>
            <w:noProof/>
            <w:webHidden/>
          </w:rPr>
          <w:t>11</w:t>
        </w:r>
        <w:r w:rsidR="000D0ABC">
          <w:rPr>
            <w:noProof/>
            <w:webHidden/>
          </w:rPr>
          <w:fldChar w:fldCharType="end"/>
        </w:r>
      </w:hyperlink>
    </w:p>
    <w:p w:rsidR="0068612C" w14:paraId="6B07BAEF" w14:textId="5AD923DB">
      <w:pPr>
        <w:pStyle w:val="TOC2"/>
        <w:tabs>
          <w:tab w:val="left" w:pos="1440"/>
        </w:tabs>
        <w:rPr>
          <w:rFonts w:asciiTheme="minorHAnsi" w:eastAsiaTheme="minorEastAsia" w:hAnsiTheme="minorHAnsi" w:cstheme="minorBidi"/>
          <w:noProof/>
          <w:sz w:val="22"/>
          <w:szCs w:val="22"/>
        </w:rPr>
      </w:pPr>
      <w:hyperlink w:anchor="_Toc26367080" w:history="1">
        <w:r w:rsidRPr="007B266F" w:rsidR="000D0ABC">
          <w:rPr>
            <w:rStyle w:val="Hyperlink"/>
            <w:noProof/>
          </w:rPr>
          <w:t>E.</w:t>
        </w:r>
        <w:r w:rsidR="000D0ABC">
          <w:rPr>
            <w:rFonts w:asciiTheme="minorHAnsi" w:eastAsiaTheme="minorEastAsia" w:hAnsiTheme="minorHAnsi" w:cstheme="minorBidi"/>
            <w:noProof/>
            <w:sz w:val="22"/>
            <w:szCs w:val="22"/>
          </w:rPr>
          <w:tab/>
        </w:r>
        <w:r w:rsidRPr="007B266F" w:rsidR="000D0ABC">
          <w:rPr>
            <w:rStyle w:val="Hyperlink"/>
            <w:noProof/>
          </w:rPr>
          <w:t>Tariffs for riders that were part of DP&amp;L’s third electric security plan should be rejected to protect consumers.</w:t>
        </w:r>
        <w:r w:rsidR="000D0ABC">
          <w:rPr>
            <w:noProof/>
            <w:webHidden/>
          </w:rPr>
          <w:tab/>
        </w:r>
        <w:r w:rsidR="000D0ABC">
          <w:rPr>
            <w:noProof/>
            <w:webHidden/>
          </w:rPr>
          <w:fldChar w:fldCharType="begin"/>
        </w:r>
        <w:r w:rsidR="000D0ABC">
          <w:rPr>
            <w:noProof/>
            <w:webHidden/>
          </w:rPr>
          <w:instrText xml:space="preserve"> PAGEREF _Toc26367080 \h </w:instrText>
        </w:r>
        <w:r w:rsidR="000D0ABC">
          <w:rPr>
            <w:noProof/>
            <w:webHidden/>
          </w:rPr>
          <w:fldChar w:fldCharType="separate"/>
        </w:r>
        <w:r w:rsidR="000D0ABC">
          <w:rPr>
            <w:noProof/>
            <w:webHidden/>
          </w:rPr>
          <w:t>12</w:t>
        </w:r>
        <w:r w:rsidR="000D0ABC">
          <w:rPr>
            <w:noProof/>
            <w:webHidden/>
          </w:rPr>
          <w:fldChar w:fldCharType="end"/>
        </w:r>
      </w:hyperlink>
    </w:p>
    <w:p w:rsidR="0068612C" w14:paraId="229B632E" w14:textId="7D790CC1">
      <w:pPr>
        <w:pStyle w:val="TOC1"/>
        <w:rPr>
          <w:rFonts w:asciiTheme="minorHAnsi" w:eastAsiaTheme="minorEastAsia" w:hAnsiTheme="minorHAnsi" w:cstheme="minorBidi"/>
          <w:noProof/>
          <w:sz w:val="22"/>
          <w:szCs w:val="22"/>
        </w:rPr>
      </w:pPr>
      <w:hyperlink w:anchor="_Toc26367081" w:history="1">
        <w:r w:rsidRPr="007B266F" w:rsidR="000D0ABC">
          <w:rPr>
            <w:rStyle w:val="Hyperlink"/>
            <w:noProof/>
          </w:rPr>
          <w:t>III.</w:t>
        </w:r>
        <w:r w:rsidR="000D0ABC">
          <w:rPr>
            <w:rFonts w:asciiTheme="minorHAnsi" w:eastAsiaTheme="minorEastAsia" w:hAnsiTheme="minorHAnsi" w:cstheme="minorBidi"/>
            <w:noProof/>
            <w:sz w:val="22"/>
            <w:szCs w:val="22"/>
          </w:rPr>
          <w:tab/>
        </w:r>
        <w:r w:rsidRPr="007B266F" w:rsidR="000D0ABC">
          <w:rPr>
            <w:rStyle w:val="Hyperlink"/>
            <w:noProof/>
          </w:rPr>
          <w:t>CONCLUSION</w:t>
        </w:r>
        <w:r w:rsidR="000D0ABC">
          <w:rPr>
            <w:noProof/>
            <w:webHidden/>
          </w:rPr>
          <w:tab/>
        </w:r>
        <w:r w:rsidR="000D0ABC">
          <w:rPr>
            <w:noProof/>
            <w:webHidden/>
          </w:rPr>
          <w:fldChar w:fldCharType="begin"/>
        </w:r>
        <w:r w:rsidR="000D0ABC">
          <w:rPr>
            <w:noProof/>
            <w:webHidden/>
          </w:rPr>
          <w:instrText xml:space="preserve"> PAGEREF _Toc26367081 \h </w:instrText>
        </w:r>
        <w:r w:rsidR="000D0ABC">
          <w:rPr>
            <w:noProof/>
            <w:webHidden/>
          </w:rPr>
          <w:fldChar w:fldCharType="separate"/>
        </w:r>
        <w:r w:rsidR="000D0ABC">
          <w:rPr>
            <w:noProof/>
            <w:webHidden/>
          </w:rPr>
          <w:t>16</w:t>
        </w:r>
        <w:r w:rsidR="000D0ABC">
          <w:rPr>
            <w:noProof/>
            <w:webHidden/>
          </w:rPr>
          <w:fldChar w:fldCharType="end"/>
        </w:r>
      </w:hyperlink>
    </w:p>
    <w:p w:rsidR="008955A8" w:rsidP="00EB42EE" w14:paraId="591388EA" w14:textId="3E389508">
      <w:pPr>
        <w:jc w:val="center"/>
        <w:rPr>
          <w:b/>
        </w:rPr>
        <w:sectPr w:rsidSect="008955A8">
          <w:headerReference w:type="default" r:id="rId9"/>
          <w:footerReference w:type="default" r:id="rId10"/>
          <w:pgSz w:w="12240" w:h="15840"/>
          <w:pgMar w:top="1440" w:right="1800" w:bottom="1440" w:left="1800" w:header="720" w:footer="720" w:gutter="0"/>
          <w:pgNumType w:fmt="lowerRoman" w:start="1"/>
          <w:cols w:space="720"/>
          <w:docGrid w:linePitch="360"/>
        </w:sectPr>
      </w:pPr>
      <w:r>
        <w:rPr>
          <w:b/>
        </w:rPr>
        <w:fldChar w:fldCharType="end"/>
      </w:r>
    </w:p>
    <w:p w:rsidR="00C130BC" w:rsidP="00EB42EE" w14:paraId="0498F4BD" w14:textId="695410C0">
      <w:pPr>
        <w:jc w:val="center"/>
        <w:rPr>
          <w:b/>
        </w:rPr>
      </w:pPr>
      <w:r>
        <w:rPr>
          <w:b/>
        </w:rPr>
        <w:t>BEFORE</w:t>
      </w:r>
    </w:p>
    <w:p w:rsidR="00C130BC" w:rsidP="00C130BC" w14:paraId="7AF19D8B" w14:textId="77777777">
      <w:pPr>
        <w:jc w:val="center"/>
        <w:rPr>
          <w:b/>
          <w:bCs/>
          <w:szCs w:val="24"/>
        </w:rPr>
      </w:pPr>
      <w:r>
        <w:rPr>
          <w:b/>
          <w:bCs/>
          <w:szCs w:val="24"/>
        </w:rPr>
        <w:t>THE PUBLIC UTILITIES COMMISSION OF OHIO</w:t>
      </w:r>
    </w:p>
    <w:p w:rsidR="00C130BC" w14:paraId="2235E81E" w14:textId="77777777"/>
    <w:tbl>
      <w:tblPr>
        <w:tblW w:w="8640" w:type="dxa"/>
        <w:tblInd w:w="108" w:type="dxa"/>
        <w:tblLook w:val="01E0"/>
      </w:tblPr>
      <w:tblGrid>
        <w:gridCol w:w="4590"/>
        <w:gridCol w:w="360"/>
        <w:gridCol w:w="3690"/>
      </w:tblGrid>
      <w:tr w14:paraId="7D784F8C" w14:textId="77777777" w:rsidTr="00115AFF">
        <w:tblPrEx>
          <w:tblW w:w="8640" w:type="dxa"/>
          <w:tblInd w:w="108" w:type="dxa"/>
          <w:tblLook w:val="01E0"/>
        </w:tblPrEx>
        <w:tc>
          <w:tcPr>
            <w:tcW w:w="4590" w:type="dxa"/>
          </w:tcPr>
          <w:p w:rsidR="00115AFF" w:rsidP="00EB42EE" w14:paraId="09167BE0" w14:textId="77777777">
            <w:pPr>
              <w:rPr>
                <w:szCs w:val="24"/>
              </w:rPr>
            </w:pPr>
            <w:r>
              <w:rPr>
                <w:szCs w:val="24"/>
              </w:rPr>
              <w:t>In the Matter of the Application of The Dayton Power and Light Company for Approval of its Electric Security Plan.</w:t>
            </w:r>
          </w:p>
          <w:p w:rsidR="00115AFF" w:rsidP="00EB42EE" w14:paraId="3E9B03F6" w14:textId="77777777">
            <w:pPr>
              <w:rPr>
                <w:szCs w:val="24"/>
              </w:rPr>
            </w:pPr>
          </w:p>
          <w:p w:rsidR="00115AFF" w:rsidP="00EB42EE" w14:paraId="5BF3C810" w14:textId="77777777">
            <w:pPr>
              <w:rPr>
                <w:szCs w:val="24"/>
              </w:rPr>
            </w:pPr>
            <w:r>
              <w:rPr>
                <w:szCs w:val="24"/>
              </w:rPr>
              <w:t>In the Matter of the Appli</w:t>
            </w:r>
            <w:r w:rsidR="00387978">
              <w:rPr>
                <w:szCs w:val="24"/>
              </w:rPr>
              <w:t>cation of The Dayton Power and L</w:t>
            </w:r>
            <w:r>
              <w:rPr>
                <w:szCs w:val="24"/>
              </w:rPr>
              <w:t>ight Company for Approval of Revised Tariffs.</w:t>
            </w:r>
          </w:p>
          <w:p w:rsidR="00115AFF" w:rsidP="00EB42EE" w14:paraId="324EE388" w14:textId="77777777">
            <w:pPr>
              <w:rPr>
                <w:szCs w:val="24"/>
              </w:rPr>
            </w:pPr>
          </w:p>
          <w:p w:rsidR="00115AFF" w:rsidP="00EB42EE" w14:paraId="177BAA75" w14:textId="77777777">
            <w:pPr>
              <w:rPr>
                <w:szCs w:val="24"/>
              </w:rPr>
            </w:pPr>
            <w:r>
              <w:rPr>
                <w:szCs w:val="24"/>
              </w:rPr>
              <w:t>In the Matter of the Application of The Dayton Power and Light Company for Approval of Certain Accounting Authority Pursuant to Ohio Rev. Code Section 4905.13.</w:t>
            </w:r>
          </w:p>
          <w:p w:rsidR="00115AFF" w:rsidP="00EB42EE" w14:paraId="7E46FA01" w14:textId="77777777">
            <w:pPr>
              <w:rPr>
                <w:szCs w:val="24"/>
              </w:rPr>
            </w:pPr>
          </w:p>
          <w:p w:rsidR="00115AFF" w:rsidP="00EB42EE" w14:paraId="03F1FEB7" w14:textId="77777777">
            <w:pPr>
              <w:rPr>
                <w:szCs w:val="24"/>
              </w:rPr>
            </w:pPr>
            <w:r>
              <w:rPr>
                <w:szCs w:val="24"/>
              </w:rPr>
              <w:t>In the Matter of the Application of The Dayton Power and Light Company for Approval of its Amended Corporate Separation Plan.</w:t>
            </w:r>
          </w:p>
          <w:p w:rsidR="00115AFF" w:rsidRPr="001A22D5" w:rsidP="00EB42EE" w14:paraId="75C559D1" w14:textId="77777777">
            <w:pPr>
              <w:rPr>
                <w:szCs w:val="24"/>
              </w:rPr>
            </w:pPr>
          </w:p>
        </w:tc>
        <w:tc>
          <w:tcPr>
            <w:tcW w:w="360" w:type="dxa"/>
          </w:tcPr>
          <w:p w:rsidR="00115AFF" w:rsidP="00EB42EE" w14:paraId="2F138EA1" w14:textId="77777777">
            <w:pPr>
              <w:rPr>
                <w:szCs w:val="24"/>
              </w:rPr>
            </w:pPr>
            <w:r>
              <w:rPr>
                <w:szCs w:val="24"/>
              </w:rPr>
              <w:t>)</w:t>
            </w:r>
          </w:p>
          <w:p w:rsidR="00115AFF" w:rsidP="00EB42EE" w14:paraId="1C5378F4" w14:textId="77777777">
            <w:pPr>
              <w:rPr>
                <w:szCs w:val="24"/>
              </w:rPr>
            </w:pPr>
            <w:r>
              <w:rPr>
                <w:szCs w:val="24"/>
              </w:rPr>
              <w:t>)</w:t>
            </w:r>
          </w:p>
          <w:p w:rsidR="00115AFF" w:rsidP="00EB42EE" w14:paraId="4953E089" w14:textId="77777777">
            <w:pPr>
              <w:rPr>
                <w:szCs w:val="24"/>
              </w:rPr>
            </w:pPr>
            <w:r>
              <w:rPr>
                <w:szCs w:val="24"/>
              </w:rPr>
              <w:t>)</w:t>
            </w:r>
          </w:p>
          <w:p w:rsidR="00115AFF" w:rsidP="00EB42EE" w14:paraId="31D9D4F1" w14:textId="77777777">
            <w:pPr>
              <w:rPr>
                <w:szCs w:val="24"/>
              </w:rPr>
            </w:pPr>
          </w:p>
          <w:p w:rsidR="00115AFF" w:rsidP="00EB42EE" w14:paraId="0CCAEDFB" w14:textId="77777777">
            <w:pPr>
              <w:rPr>
                <w:szCs w:val="24"/>
              </w:rPr>
            </w:pPr>
            <w:r>
              <w:rPr>
                <w:szCs w:val="24"/>
              </w:rPr>
              <w:t>)</w:t>
            </w:r>
          </w:p>
          <w:p w:rsidR="00115AFF" w:rsidP="00EB42EE" w14:paraId="60187426" w14:textId="77777777">
            <w:pPr>
              <w:rPr>
                <w:szCs w:val="24"/>
              </w:rPr>
            </w:pPr>
            <w:r>
              <w:rPr>
                <w:szCs w:val="24"/>
              </w:rPr>
              <w:t>)</w:t>
            </w:r>
          </w:p>
          <w:p w:rsidR="00115AFF" w:rsidP="00EB42EE" w14:paraId="252CB7F6" w14:textId="77777777">
            <w:pPr>
              <w:rPr>
                <w:szCs w:val="24"/>
              </w:rPr>
            </w:pPr>
            <w:r>
              <w:rPr>
                <w:szCs w:val="24"/>
              </w:rPr>
              <w:t>)</w:t>
            </w:r>
          </w:p>
          <w:p w:rsidR="00115AFF" w:rsidP="00EB42EE" w14:paraId="3F9A3042" w14:textId="77777777">
            <w:pPr>
              <w:rPr>
                <w:szCs w:val="24"/>
              </w:rPr>
            </w:pPr>
          </w:p>
          <w:p w:rsidR="00115AFF" w:rsidP="00EB42EE" w14:paraId="193A304A" w14:textId="77777777">
            <w:pPr>
              <w:rPr>
                <w:szCs w:val="24"/>
              </w:rPr>
            </w:pPr>
            <w:r>
              <w:rPr>
                <w:szCs w:val="24"/>
              </w:rPr>
              <w:t>)</w:t>
            </w:r>
          </w:p>
          <w:p w:rsidR="00115AFF" w:rsidP="00EB42EE" w14:paraId="685B5854" w14:textId="77777777">
            <w:pPr>
              <w:rPr>
                <w:szCs w:val="24"/>
              </w:rPr>
            </w:pPr>
            <w:r>
              <w:rPr>
                <w:szCs w:val="24"/>
              </w:rPr>
              <w:t>)</w:t>
            </w:r>
          </w:p>
          <w:p w:rsidR="00115AFF" w:rsidP="00EB42EE" w14:paraId="1358795E" w14:textId="77777777">
            <w:pPr>
              <w:rPr>
                <w:szCs w:val="24"/>
              </w:rPr>
            </w:pPr>
            <w:r>
              <w:rPr>
                <w:szCs w:val="24"/>
              </w:rPr>
              <w:t>)</w:t>
            </w:r>
          </w:p>
          <w:p w:rsidR="00115AFF" w:rsidP="00EB42EE" w14:paraId="4434BF60" w14:textId="77777777">
            <w:pPr>
              <w:rPr>
                <w:szCs w:val="24"/>
              </w:rPr>
            </w:pPr>
            <w:r>
              <w:rPr>
                <w:szCs w:val="24"/>
              </w:rPr>
              <w:t>)</w:t>
            </w:r>
          </w:p>
          <w:p w:rsidR="00115AFF" w:rsidP="00EB42EE" w14:paraId="369E9081" w14:textId="51906938">
            <w:pPr>
              <w:rPr>
                <w:szCs w:val="24"/>
              </w:rPr>
            </w:pPr>
            <w:r>
              <w:rPr>
                <w:szCs w:val="24"/>
              </w:rPr>
              <w:t>)</w:t>
            </w:r>
          </w:p>
          <w:p w:rsidR="00115AFF" w:rsidP="00EB42EE" w14:paraId="7C1A7B67" w14:textId="2FBC3798">
            <w:pPr>
              <w:rPr>
                <w:szCs w:val="24"/>
              </w:rPr>
            </w:pPr>
          </w:p>
          <w:p w:rsidR="00115AFF" w:rsidP="00EB42EE" w14:paraId="1EFD16C1" w14:textId="77777777">
            <w:pPr>
              <w:rPr>
                <w:szCs w:val="24"/>
              </w:rPr>
            </w:pPr>
            <w:r>
              <w:rPr>
                <w:szCs w:val="24"/>
              </w:rPr>
              <w:t>)</w:t>
            </w:r>
          </w:p>
          <w:p w:rsidR="00115AFF" w:rsidP="00EB42EE" w14:paraId="6E5EB929" w14:textId="77777777">
            <w:pPr>
              <w:rPr>
                <w:szCs w:val="24"/>
              </w:rPr>
            </w:pPr>
            <w:r>
              <w:rPr>
                <w:szCs w:val="24"/>
              </w:rPr>
              <w:t>)</w:t>
            </w:r>
          </w:p>
          <w:p w:rsidR="00115AFF" w:rsidP="00EB42EE" w14:paraId="42F24BF0" w14:textId="77777777">
            <w:pPr>
              <w:rPr>
                <w:szCs w:val="24"/>
              </w:rPr>
            </w:pPr>
            <w:r>
              <w:rPr>
                <w:szCs w:val="24"/>
              </w:rPr>
              <w:t>)</w:t>
            </w:r>
          </w:p>
          <w:p w:rsidR="003A42EF" w:rsidP="00EB42EE" w14:paraId="62AD9F81" w14:textId="39CCF72C">
            <w:pPr>
              <w:rPr>
                <w:szCs w:val="24"/>
              </w:rPr>
            </w:pPr>
            <w:r>
              <w:rPr>
                <w:szCs w:val="24"/>
              </w:rPr>
              <w:t>)</w:t>
            </w:r>
          </w:p>
          <w:p w:rsidR="00115AFF" w:rsidRPr="001A22D5" w:rsidP="00EB42EE" w14:paraId="1E5251E9" w14:textId="77777777">
            <w:pPr>
              <w:rPr>
                <w:szCs w:val="24"/>
              </w:rPr>
            </w:pPr>
          </w:p>
        </w:tc>
        <w:tc>
          <w:tcPr>
            <w:tcW w:w="3690" w:type="dxa"/>
          </w:tcPr>
          <w:p w:rsidR="00115AFF" w:rsidRPr="001A22D5" w:rsidP="00EB42EE" w14:paraId="571D238C" w14:textId="77777777">
            <w:pPr>
              <w:rPr>
                <w:szCs w:val="24"/>
              </w:rPr>
            </w:pPr>
          </w:p>
          <w:p w:rsidR="00115AFF" w:rsidP="00EB42EE" w14:paraId="13E98BC7" w14:textId="77777777">
            <w:pPr>
              <w:rPr>
                <w:szCs w:val="24"/>
              </w:rPr>
            </w:pPr>
            <w:r>
              <w:rPr>
                <w:szCs w:val="24"/>
              </w:rPr>
              <w:t>Case No. 08-1094-EL-SSO</w:t>
            </w:r>
          </w:p>
          <w:p w:rsidR="00115AFF" w:rsidP="00EB42EE" w14:paraId="01A40393" w14:textId="77777777">
            <w:pPr>
              <w:rPr>
                <w:szCs w:val="24"/>
              </w:rPr>
            </w:pPr>
          </w:p>
          <w:p w:rsidR="00115AFF" w:rsidP="00EB42EE" w14:paraId="0C29CD50" w14:textId="77777777">
            <w:pPr>
              <w:rPr>
                <w:szCs w:val="24"/>
              </w:rPr>
            </w:pPr>
          </w:p>
          <w:p w:rsidR="00115AFF" w:rsidP="00EB42EE" w14:paraId="3AB61E4D" w14:textId="77777777">
            <w:pPr>
              <w:rPr>
                <w:szCs w:val="24"/>
              </w:rPr>
            </w:pPr>
          </w:p>
          <w:p w:rsidR="00115AFF" w:rsidP="00EB42EE" w14:paraId="77B543B4" w14:textId="77777777">
            <w:pPr>
              <w:rPr>
                <w:szCs w:val="24"/>
              </w:rPr>
            </w:pPr>
            <w:r>
              <w:rPr>
                <w:szCs w:val="24"/>
              </w:rPr>
              <w:t>Case No. 08-1095-EL-ATA</w:t>
            </w:r>
          </w:p>
          <w:p w:rsidR="00115AFF" w:rsidP="00EB42EE" w14:paraId="7FF33CBC" w14:textId="77777777">
            <w:pPr>
              <w:rPr>
                <w:szCs w:val="24"/>
              </w:rPr>
            </w:pPr>
          </w:p>
          <w:p w:rsidR="00115AFF" w:rsidP="00EB42EE" w14:paraId="316DEB50" w14:textId="77777777">
            <w:pPr>
              <w:rPr>
                <w:szCs w:val="24"/>
              </w:rPr>
            </w:pPr>
          </w:p>
          <w:p w:rsidR="00115AFF" w:rsidP="00EB42EE" w14:paraId="60E92F02" w14:textId="77777777">
            <w:pPr>
              <w:rPr>
                <w:szCs w:val="24"/>
              </w:rPr>
            </w:pPr>
          </w:p>
          <w:p w:rsidR="003A42EF" w:rsidP="00EB42EE" w14:paraId="2C2172EB" w14:textId="77777777">
            <w:pPr>
              <w:rPr>
                <w:szCs w:val="24"/>
              </w:rPr>
            </w:pPr>
          </w:p>
          <w:p w:rsidR="00115AFF" w:rsidP="00EB42EE" w14:paraId="6CBD3C7C" w14:textId="77777777">
            <w:pPr>
              <w:rPr>
                <w:szCs w:val="24"/>
              </w:rPr>
            </w:pPr>
            <w:r>
              <w:rPr>
                <w:szCs w:val="24"/>
              </w:rPr>
              <w:t>Case No. 08-1096-EL-AAM</w:t>
            </w:r>
          </w:p>
          <w:p w:rsidR="00115AFF" w:rsidP="00EB42EE" w14:paraId="32C65C4E" w14:textId="77777777">
            <w:pPr>
              <w:rPr>
                <w:szCs w:val="24"/>
              </w:rPr>
            </w:pPr>
          </w:p>
          <w:p w:rsidR="00115AFF" w:rsidP="00EB42EE" w14:paraId="7ECFEE87" w14:textId="77777777">
            <w:pPr>
              <w:rPr>
                <w:szCs w:val="24"/>
              </w:rPr>
            </w:pPr>
          </w:p>
          <w:p w:rsidR="00115AFF" w:rsidP="00EB42EE" w14:paraId="09FEBB37" w14:textId="77777777">
            <w:pPr>
              <w:rPr>
                <w:szCs w:val="24"/>
              </w:rPr>
            </w:pPr>
          </w:p>
          <w:p w:rsidR="00115AFF" w:rsidP="00EB42EE" w14:paraId="0C60DE5D" w14:textId="77777777">
            <w:pPr>
              <w:rPr>
                <w:szCs w:val="24"/>
              </w:rPr>
            </w:pPr>
          </w:p>
          <w:p w:rsidR="00115AFF" w:rsidP="00EB42EE" w14:paraId="7B3F3DCB" w14:textId="77777777">
            <w:pPr>
              <w:rPr>
                <w:szCs w:val="24"/>
              </w:rPr>
            </w:pPr>
            <w:r>
              <w:rPr>
                <w:szCs w:val="24"/>
              </w:rPr>
              <w:t>Case No. 08-1097-EL-UNC</w:t>
            </w:r>
          </w:p>
          <w:p w:rsidR="00115AFF" w:rsidP="00EB42EE" w14:paraId="443294CC" w14:textId="77777777">
            <w:pPr>
              <w:rPr>
                <w:szCs w:val="24"/>
              </w:rPr>
            </w:pPr>
          </w:p>
          <w:p w:rsidR="00115AFF" w:rsidP="00EB42EE" w14:paraId="63834048" w14:textId="77777777">
            <w:pPr>
              <w:rPr>
                <w:szCs w:val="24"/>
              </w:rPr>
            </w:pPr>
          </w:p>
          <w:p w:rsidR="00115AFF" w:rsidRPr="001A22D5" w:rsidP="00115AFF" w14:paraId="3F7EC5D5" w14:textId="77777777">
            <w:pPr>
              <w:rPr>
                <w:szCs w:val="24"/>
              </w:rPr>
            </w:pPr>
          </w:p>
        </w:tc>
      </w:tr>
    </w:tbl>
    <w:p w:rsidR="00115AFF" w:rsidP="00115AFF" w14:paraId="0B909F87" w14:textId="77777777">
      <w:pPr>
        <w:pBdr>
          <w:bottom w:val="single" w:sz="12" w:space="1" w:color="auto"/>
        </w:pBdr>
        <w:jc w:val="center"/>
      </w:pPr>
    </w:p>
    <w:p w:rsidR="0036320F" w:rsidP="00115AFF" w14:paraId="4644C6A6" w14:textId="77777777">
      <w:pPr>
        <w:jc w:val="center"/>
      </w:pPr>
    </w:p>
    <w:p w:rsidR="00115AFF" w:rsidP="003F0011" w14:paraId="3D9EC478" w14:textId="02E62EB5">
      <w:pPr>
        <w:jc w:val="center"/>
        <w:rPr>
          <w:b/>
        </w:rPr>
      </w:pPr>
      <w:r>
        <w:rPr>
          <w:b/>
        </w:rPr>
        <w:t>MOTION TO REJECT</w:t>
      </w:r>
      <w:r w:rsidRPr="00FB2179">
        <w:rPr>
          <w:b/>
        </w:rPr>
        <w:t xml:space="preserve"> DP&amp;L'S PROPOSED TARIFFS</w:t>
      </w:r>
      <w:r w:rsidR="007D024A">
        <w:rPr>
          <w:b/>
        </w:rPr>
        <w:t xml:space="preserve"> TO INCREASE CONSUMER </w:t>
      </w:r>
      <w:r w:rsidR="00A166F8">
        <w:rPr>
          <w:b/>
        </w:rPr>
        <w:t>RATES</w:t>
      </w:r>
    </w:p>
    <w:p w:rsidR="002B404E" w:rsidP="003F0011" w14:paraId="0EE3F462" w14:textId="77777777">
      <w:pPr>
        <w:jc w:val="center"/>
        <w:rPr>
          <w:b/>
        </w:rPr>
      </w:pPr>
      <w:r>
        <w:rPr>
          <w:b/>
        </w:rPr>
        <w:t>BY</w:t>
      </w:r>
    </w:p>
    <w:p w:rsidR="002929D4" w:rsidP="002929D4" w14:paraId="5956CE0C" w14:textId="66E0CB42">
      <w:pPr>
        <w:jc w:val="center"/>
        <w:rPr>
          <w:b/>
        </w:rPr>
      </w:pPr>
      <w:r>
        <w:rPr>
          <w:b/>
        </w:rPr>
        <w:t xml:space="preserve">OFFICE </w:t>
      </w:r>
      <w:r w:rsidRPr="00FB2179">
        <w:rPr>
          <w:b/>
        </w:rPr>
        <w:t>OF THE OHIO CONSUMERS' COUNSEL</w:t>
      </w:r>
    </w:p>
    <w:p w:rsidR="00AB444F" w:rsidP="002929D4" w14:paraId="205761EA" w14:textId="77777777">
      <w:pPr>
        <w:jc w:val="center"/>
        <w:rPr>
          <w:b/>
        </w:rPr>
      </w:pPr>
      <w:r>
        <w:rPr>
          <w:b/>
        </w:rPr>
        <w:t>THE OHIO MANUFACTURERS’ ASSOCATION ENERGY GROUP</w:t>
      </w:r>
    </w:p>
    <w:p w:rsidR="00322757" w:rsidRPr="00FB2179" w:rsidP="002929D4" w14:paraId="33D24D8D" w14:textId="5CD49529">
      <w:pPr>
        <w:jc w:val="center"/>
        <w:rPr>
          <w:b/>
        </w:rPr>
      </w:pPr>
      <w:r>
        <w:rPr>
          <w:b/>
        </w:rPr>
        <w:t>AND</w:t>
      </w:r>
      <w:r w:rsidR="00AB444F">
        <w:rPr>
          <w:b/>
        </w:rPr>
        <w:t xml:space="preserve"> </w:t>
      </w:r>
      <w:r>
        <w:rPr>
          <w:b/>
        </w:rPr>
        <w:t>THE KROGER COMPANY</w:t>
      </w:r>
    </w:p>
    <w:p w:rsidR="0036320F" w:rsidRPr="00FB2179" w:rsidP="00115AFF" w14:paraId="5A22FD56" w14:textId="77777777">
      <w:pPr>
        <w:pBdr>
          <w:bottom w:val="single" w:sz="12" w:space="1" w:color="auto"/>
        </w:pBdr>
        <w:jc w:val="center"/>
        <w:rPr>
          <w:b/>
        </w:rPr>
      </w:pPr>
    </w:p>
    <w:p w:rsidR="0036320F" w:rsidP="00115AFF" w14:paraId="0B5DACC1" w14:textId="77777777">
      <w:pPr>
        <w:jc w:val="center"/>
      </w:pPr>
    </w:p>
    <w:p w:rsidR="003A3395" w:rsidRPr="00925470" w:rsidP="00387978" w14:paraId="23B919CB" w14:textId="77777777">
      <w:pPr>
        <w:pStyle w:val="Heading1"/>
      </w:pPr>
      <w:bookmarkStart w:id="1" w:name="_Toc25756956"/>
      <w:bookmarkStart w:id="2" w:name="_Toc26367072"/>
      <w:r w:rsidRPr="00925470">
        <w:t xml:space="preserve">I. </w:t>
      </w:r>
      <w:r w:rsidR="00387978">
        <w:tab/>
      </w:r>
      <w:r w:rsidRPr="00925470">
        <w:t>INTRODUCTION</w:t>
      </w:r>
      <w:bookmarkEnd w:id="1"/>
      <w:bookmarkEnd w:id="2"/>
    </w:p>
    <w:p w:rsidR="001F2556" w:rsidP="008955A8" w14:paraId="60A5FC76" w14:textId="435DCF9F">
      <w:pPr>
        <w:spacing w:line="480" w:lineRule="auto"/>
        <w:ind w:firstLine="720"/>
      </w:pPr>
      <w:r>
        <w:t>500,000 customers of DP&amp;L should be receiving long overdue rate decreases</w:t>
      </w:r>
      <w:r w:rsidR="00322757">
        <w:t xml:space="preserve"> </w:t>
      </w:r>
      <w:r w:rsidR="002A2D82">
        <w:t>as a result of</w:t>
      </w:r>
      <w:r w:rsidR="00322757">
        <w:t xml:space="preserve"> </w:t>
      </w:r>
      <w:r w:rsidR="002A2D82">
        <w:t>a</w:t>
      </w:r>
      <w:r w:rsidR="00322757">
        <w:t xml:space="preserve"> Supreme Court decision overturning PUCO-authorized subsidies.</w:t>
      </w:r>
      <w:r w:rsidR="00AB444F">
        <w:t xml:space="preserve"> </w:t>
      </w:r>
      <w:r w:rsidR="00322757">
        <w:t>But</w:t>
      </w:r>
      <w:r>
        <w:t xml:space="preserve"> DP&amp;L wants to increase monthly rates</w:t>
      </w:r>
      <w:r w:rsidR="00322757">
        <w:t xml:space="preserve"> for customers</w:t>
      </w:r>
      <w:r>
        <w:t>.</w:t>
      </w:r>
      <w:r w:rsidR="00EB42EE">
        <w:t xml:space="preserve"> </w:t>
      </w:r>
      <w:r>
        <w:t xml:space="preserve">The PUCO should follow its Supplemental Opinion and Order in </w:t>
      </w:r>
      <w:r w:rsidR="002329F0">
        <w:t>DP&amp;L’s third electric security plan</w:t>
      </w:r>
      <w:r>
        <w:t xml:space="preserve"> case</w:t>
      </w:r>
      <w:r>
        <w:rPr>
          <w:rStyle w:val="FootnoteReference"/>
        </w:rPr>
        <w:footnoteReference w:id="2"/>
      </w:r>
      <w:r>
        <w:t xml:space="preserve"> </w:t>
      </w:r>
      <w:r w:rsidR="00694956">
        <w:t xml:space="preserve">where the PUCO ordered DP&amp;L </w:t>
      </w:r>
      <w:r>
        <w:t>to reduce DP&amp;L’s monthly charges</w:t>
      </w:r>
      <w:r w:rsidR="00322757">
        <w:t xml:space="preserve"> </w:t>
      </w:r>
      <w:r w:rsidR="00F5465D">
        <w:t>by</w:t>
      </w:r>
      <w:r>
        <w:t xml:space="preserve"> eliminat</w:t>
      </w:r>
      <w:r w:rsidR="00F5465D">
        <w:t>ing</w:t>
      </w:r>
      <w:r>
        <w:t xml:space="preserve"> its so-called Distribution Modernization Rider (“Rider DMR”).</w:t>
      </w:r>
      <w:r w:rsidR="00EB42EE">
        <w:t xml:space="preserve"> </w:t>
      </w:r>
      <w:r>
        <w:t>And the PUCO should reject DP&amp;L’s new scheme</w:t>
      </w:r>
      <w:r w:rsidR="002329F0">
        <w:t xml:space="preserve"> </w:t>
      </w:r>
      <w:r>
        <w:t xml:space="preserve">to </w:t>
      </w:r>
      <w:r w:rsidR="00322757">
        <w:t>continue collecting unlawful subsidies from customers by reinstating select old rates from its first, second, and third electric security plans (“ESP”)</w:t>
      </w:r>
      <w:r>
        <w:t>.</w:t>
      </w:r>
      <w:r>
        <w:rPr>
          <w:rStyle w:val="FootnoteReference"/>
        </w:rPr>
        <w:footnoteReference w:id="3"/>
      </w:r>
      <w:r>
        <w:t xml:space="preserve"> </w:t>
      </w:r>
    </w:p>
    <w:p w:rsidR="001F2556" w:rsidP="001F2556" w14:paraId="5AD3199D" w14:textId="7A25E2B6">
      <w:pPr>
        <w:spacing w:line="480" w:lineRule="auto"/>
        <w:ind w:firstLine="720"/>
      </w:pPr>
      <w:r>
        <w:t xml:space="preserve">Since </w:t>
      </w:r>
      <w:r w:rsidR="000A744D">
        <w:t>November 1, 2017</w:t>
      </w:r>
      <w:r>
        <w:t>, DP&amp;L has taken approximately $</w:t>
      </w:r>
      <w:r w:rsidR="000A744D">
        <w:t>218.75</w:t>
      </w:r>
      <w:r>
        <w:t xml:space="preserve"> million in subsidies from customers in the Dayton area</w:t>
      </w:r>
      <w:r w:rsidR="002329F0">
        <w:t xml:space="preserve"> – w</w:t>
      </w:r>
      <w:r>
        <w:t>here there is financial distress and a poverty level of 35%</w:t>
      </w:r>
      <w:r w:rsidR="002329F0">
        <w:t xml:space="preserve"> -- t</w:t>
      </w:r>
      <w:r>
        <w:t xml:space="preserve">hrough </w:t>
      </w:r>
      <w:r w:rsidR="00322757">
        <w:t xml:space="preserve">its so-called Distribution Modernization </w:t>
      </w:r>
      <w:r>
        <w:t xml:space="preserve">Rider </w:t>
      </w:r>
      <w:r w:rsidR="00322757">
        <w:t xml:space="preserve">(“Rider </w:t>
      </w:r>
      <w:r>
        <w:t>DMR</w:t>
      </w:r>
      <w:r w:rsidR="00322757">
        <w:t>”)</w:t>
      </w:r>
      <w:r>
        <w:t>.</w:t>
      </w:r>
      <w:r w:rsidR="00EB42EE">
        <w:t xml:space="preserve"> </w:t>
      </w:r>
      <w:r>
        <w:t>But now the PUCO has ordered that Rider DMR is an unlawful charge that customers should not be paying.</w:t>
      </w:r>
      <w:r>
        <w:rPr>
          <w:rStyle w:val="FootnoteReference"/>
        </w:rPr>
        <w:footnoteReference w:id="4"/>
      </w:r>
      <w:r w:rsidR="00EB42EE">
        <w:t xml:space="preserve"> </w:t>
      </w:r>
      <w:r w:rsidR="0095563B">
        <w:t>This vast sum of money was taken from consumers by DP&amp;L (and the PUCO) with no allowance of a refund.</w:t>
      </w:r>
    </w:p>
    <w:p w:rsidR="00DA2356" w:rsidP="001F2556" w14:paraId="2BA128C6" w14:textId="4CAD3D78">
      <w:pPr>
        <w:spacing w:line="480" w:lineRule="auto"/>
        <w:ind w:firstLine="720"/>
      </w:pPr>
      <w:r>
        <w:t>But, o</w:t>
      </w:r>
      <w:r w:rsidR="00CC51C4">
        <w:t xml:space="preserve">n November 26, 2019, DP&amp;L filed a plan that defies the PUCO’s ruling – and by necessary extension, the </w:t>
      </w:r>
      <w:r w:rsidR="000566BB">
        <w:t xml:space="preserve">Ohio </w:t>
      </w:r>
      <w:r w:rsidR="00CC51C4">
        <w:t xml:space="preserve">Supreme Court’s ruling in </w:t>
      </w:r>
      <w:r w:rsidR="00CC51C4">
        <w:rPr>
          <w:i/>
          <w:iCs/>
        </w:rPr>
        <w:t>Ohio Edison</w:t>
      </w:r>
      <w:r>
        <w:t>.</w:t>
      </w:r>
      <w:r w:rsidR="00AB444F">
        <w:t xml:space="preserve"> </w:t>
      </w:r>
      <w:r>
        <w:t>DP&amp;L proposed that the PUCO allow it</w:t>
      </w:r>
      <w:r w:rsidR="00CC51C4">
        <w:t xml:space="preserve"> to continue collecting </w:t>
      </w:r>
      <w:r>
        <w:t xml:space="preserve">from customers an </w:t>
      </w:r>
      <w:r w:rsidR="00CC51C4">
        <w:t>unlawful above-market transition charge</w:t>
      </w:r>
      <w:r>
        <w:t>, under a different name (the Rate Stability Charge)</w:t>
      </w:r>
      <w:r w:rsidR="00CC51C4">
        <w:t>.</w:t>
      </w:r>
      <w:r w:rsidR="00EB42EE">
        <w:t xml:space="preserve"> </w:t>
      </w:r>
      <w:r w:rsidR="00CC51C4">
        <w:t>DP&amp;L seeks to withdraw and terminate its three-year old application (under R.C. 4928.143(C)(2)(b))</w:t>
      </w:r>
      <w:r w:rsidR="00F5465D">
        <w:t xml:space="preserve"> and implement new t</w:t>
      </w:r>
      <w:r w:rsidR="00CC51C4">
        <w:t>ariffs.</w:t>
      </w:r>
      <w:r w:rsidR="00AB444F">
        <w:t xml:space="preserve"> </w:t>
      </w:r>
      <w:r w:rsidR="00CC51C4">
        <w:t>In it</w:t>
      </w:r>
      <w:r w:rsidR="00F5465D">
        <w:t>s tariff filing</w:t>
      </w:r>
      <w:r w:rsidR="00CC51C4">
        <w:t xml:space="preserve">, DP&amp;L cherry-picks charges from its </w:t>
      </w:r>
      <w:r>
        <w:t xml:space="preserve">second and </w:t>
      </w:r>
      <w:r w:rsidR="00CC51C4">
        <w:t>third electric security plan, adds them to charges from its first electric security plan, and asks the PUCO to approve them.</w:t>
      </w:r>
      <w:r w:rsidR="00AB444F">
        <w:t xml:space="preserve"> </w:t>
      </w:r>
      <w:r w:rsidR="0095563B">
        <w:t xml:space="preserve">DP&amp;L’s maneuvering is </w:t>
      </w:r>
      <w:r w:rsidR="0095563B">
        <w:rPr>
          <w:i/>
          <w:iCs/>
        </w:rPr>
        <w:t xml:space="preserve">heads I win, tails you </w:t>
      </w:r>
      <w:r w:rsidRPr="0095563B" w:rsidR="0095563B">
        <w:rPr>
          <w:i/>
          <w:iCs/>
        </w:rPr>
        <w:t>lose</w:t>
      </w:r>
      <w:r w:rsidR="0095563B">
        <w:t xml:space="preserve"> for consumers. For consumer protection, </w:t>
      </w:r>
      <w:r w:rsidRPr="0095563B" w:rsidR="002329F0">
        <w:t>DP</w:t>
      </w:r>
      <w:r w:rsidR="002329F0">
        <w:t xml:space="preserve">&amp;L’s </w:t>
      </w:r>
      <w:r w:rsidR="00F5465D">
        <w:t xml:space="preserve">proposed tariffs </w:t>
      </w:r>
      <w:r w:rsidR="002329F0">
        <w:t>should be rejected.</w:t>
      </w:r>
    </w:p>
    <w:p w:rsidR="00DA2356" w14:paraId="05BCCB5A" w14:textId="77777777">
      <w:pPr>
        <w:spacing w:after="200" w:line="276" w:lineRule="auto"/>
      </w:pPr>
      <w:r>
        <w:br w:type="page"/>
      </w:r>
    </w:p>
    <w:p w:rsidR="003A3395" w:rsidRPr="00FB2179" w:rsidP="00387978" w14:paraId="2ED26649" w14:textId="3C527835">
      <w:pPr>
        <w:pStyle w:val="Heading1"/>
      </w:pPr>
      <w:bookmarkStart w:id="3" w:name="_Toc25756957"/>
      <w:bookmarkStart w:id="4" w:name="_Toc26367073"/>
      <w:r w:rsidRPr="00FB2179">
        <w:t>II.</w:t>
      </w:r>
      <w:r w:rsidR="00FB2179">
        <w:tab/>
      </w:r>
      <w:r w:rsidR="001F2556">
        <w:t>RECOMMENDATIONS</w:t>
      </w:r>
      <w:bookmarkEnd w:id="3"/>
      <w:bookmarkEnd w:id="4"/>
    </w:p>
    <w:p w:rsidR="00571D5D" w:rsidP="002B2B09" w14:paraId="58AAD3A3" w14:textId="76865BEC">
      <w:pPr>
        <w:pStyle w:val="Heading2"/>
      </w:pPr>
      <w:bookmarkStart w:id="5" w:name="_Toc25756958"/>
      <w:bookmarkStart w:id="6" w:name="_Toc26367074"/>
      <w:r>
        <w:t xml:space="preserve">A. </w:t>
      </w:r>
      <w:r>
        <w:tab/>
      </w:r>
      <w:r w:rsidRPr="0002563A" w:rsidR="00115D83">
        <w:t xml:space="preserve">Because </w:t>
      </w:r>
      <w:r w:rsidRPr="0002563A" w:rsidR="003A3395">
        <w:t>DP&amp;L does not have the right to withdraw its</w:t>
      </w:r>
      <w:r w:rsidR="00EB0025">
        <w:t xml:space="preserve"> application,</w:t>
      </w:r>
      <w:r w:rsidRPr="0002563A" w:rsidR="003A3395">
        <w:t xml:space="preserve"> </w:t>
      </w:r>
      <w:r w:rsidRPr="0002563A" w:rsidR="00115D83">
        <w:t xml:space="preserve">the PUCO should outright reject </w:t>
      </w:r>
      <w:r w:rsidR="00EB0025">
        <w:t>DP&amp;L's plan to i</w:t>
      </w:r>
      <w:r>
        <w:t>ncrease rates to customers.</w:t>
      </w:r>
      <w:bookmarkEnd w:id="5"/>
      <w:bookmarkEnd w:id="6"/>
    </w:p>
    <w:p w:rsidR="00EB0025" w:rsidP="00387978" w14:paraId="2C85FB3E" w14:textId="1418D61C">
      <w:pPr>
        <w:spacing w:line="480" w:lineRule="auto"/>
        <w:ind w:firstLine="720"/>
      </w:pPr>
      <w:r>
        <w:t xml:space="preserve">As </w:t>
      </w:r>
      <w:r w:rsidR="0002563A">
        <w:t>explained in</w:t>
      </w:r>
      <w:r w:rsidR="00AB444F">
        <w:t xml:space="preserve"> </w:t>
      </w:r>
      <w:r w:rsidR="00694956">
        <w:t>the</w:t>
      </w:r>
      <w:r w:rsidR="0002563A">
        <w:t xml:space="preserve"> Memorandum Contra DP&amp;L's Motion</w:t>
      </w:r>
      <w:r w:rsidR="001F2556">
        <w:t xml:space="preserve"> to Withdrawal</w:t>
      </w:r>
      <w:r w:rsidR="00694956">
        <w:t xml:space="preserve"> filed contemporaneously in Case Nos.</w:t>
      </w:r>
      <w:r w:rsidRPr="00694956" w:rsidR="00694956">
        <w:t xml:space="preserve"> </w:t>
      </w:r>
      <w:r w:rsidRPr="008955A8" w:rsidR="00694956">
        <w:t>16-0395-EL-SSO</w:t>
      </w:r>
      <w:r w:rsidR="00694956">
        <w:t>, et al.</w:t>
      </w:r>
      <w:r w:rsidR="0002563A">
        <w:t xml:space="preserve">, DP&amp;L </w:t>
      </w:r>
      <w:r w:rsidR="000A744D">
        <w:t>cannot</w:t>
      </w:r>
      <w:r w:rsidR="0002563A">
        <w:t xml:space="preserve"> withdraw its </w:t>
      </w:r>
      <w:r w:rsidR="001F2556">
        <w:t>electric security plan</w:t>
      </w:r>
      <w:r w:rsidR="0002563A">
        <w:t xml:space="preserve"> application.</w:t>
      </w:r>
      <w:r>
        <w:rPr>
          <w:rStyle w:val="FootnoteReference"/>
        </w:rPr>
        <w:footnoteReference w:id="5"/>
      </w:r>
      <w:r w:rsidR="00EB42EE">
        <w:t xml:space="preserve"> </w:t>
      </w:r>
      <w:r w:rsidR="00CA629B">
        <w:t xml:space="preserve">Because it </w:t>
      </w:r>
      <w:r w:rsidR="000A744D">
        <w:t>cannot</w:t>
      </w:r>
      <w:r w:rsidR="00CA629B">
        <w:t xml:space="preserve">, DP&amp;L must maintain existing rates </w:t>
      </w:r>
      <w:r w:rsidR="00355459">
        <w:t xml:space="preserve">through </w:t>
      </w:r>
      <w:r w:rsidR="001F2556">
        <w:t>the duration of its third electric security plan (six years)</w:t>
      </w:r>
      <w:r w:rsidR="002640D7">
        <w:t xml:space="preserve">, </w:t>
      </w:r>
      <w:r>
        <w:t>minus the unlawful</w:t>
      </w:r>
      <w:r w:rsidR="00AB444F">
        <w:t xml:space="preserve"> </w:t>
      </w:r>
      <w:r>
        <w:t xml:space="preserve">monthly </w:t>
      </w:r>
      <w:r w:rsidR="001F2556">
        <w:t>Rider DMR</w:t>
      </w:r>
      <w:r>
        <w:t>.</w:t>
      </w:r>
      <w:r w:rsidR="00EB42EE">
        <w:t xml:space="preserve"> </w:t>
      </w:r>
    </w:p>
    <w:p w:rsidR="00F82E6D" w:rsidP="00E16B4A" w14:paraId="2B0449FF" w14:textId="7C2AF4B7">
      <w:pPr>
        <w:spacing w:line="480" w:lineRule="auto"/>
        <w:ind w:firstLine="720"/>
      </w:pPr>
      <w:r>
        <w:t xml:space="preserve">On the authority of </w:t>
      </w:r>
      <w:r w:rsidR="00CF24BE">
        <w:rPr>
          <w:i/>
          <w:iCs/>
        </w:rPr>
        <w:t>In re Application of Ohio Edison Co.</w:t>
      </w:r>
      <w:r w:rsidR="00CF24BE">
        <w:t>,</w:t>
      </w:r>
      <w:r>
        <w:rPr>
          <w:rStyle w:val="FootnoteReference"/>
        </w:rPr>
        <w:footnoteReference w:id="6"/>
      </w:r>
      <w:r w:rsidR="00CF24BE">
        <w:t xml:space="preserve"> t</w:t>
      </w:r>
      <w:r w:rsidR="00CA629B">
        <w:t xml:space="preserve">he </w:t>
      </w:r>
      <w:r>
        <w:t>PUCO modified DP&amp;L’s electric security plan settlement – it removed Rider DMR</w:t>
      </w:r>
      <w:r w:rsidR="00CA629B">
        <w:t>.</w:t>
      </w:r>
      <w:r>
        <w:rPr>
          <w:rStyle w:val="FootnoteReference"/>
        </w:rPr>
        <w:footnoteReference w:id="7"/>
      </w:r>
      <w:r w:rsidR="00AB444F">
        <w:t xml:space="preserve"> </w:t>
      </w:r>
      <w:r>
        <w:t>The PUC</w:t>
      </w:r>
      <w:r w:rsidR="00EB0025">
        <w:t>O order</w:t>
      </w:r>
      <w:r w:rsidR="000A744D">
        <w:t>ed</w:t>
      </w:r>
      <w:r w:rsidR="00EB0025">
        <w:t xml:space="preserve"> DP&amp;L to remove the </w:t>
      </w:r>
      <w:r w:rsidR="00CF24BE">
        <w:t>Rider DMR</w:t>
      </w:r>
      <w:r>
        <w:t xml:space="preserve"> </w:t>
      </w:r>
      <w:r w:rsidR="00EB0025">
        <w:t>charge</w:t>
      </w:r>
      <w:r>
        <w:t xml:space="preserve"> from customers' bills.</w:t>
      </w:r>
      <w:r w:rsidR="00AB444F">
        <w:t xml:space="preserve"> </w:t>
      </w:r>
      <w:r w:rsidR="00482F5C">
        <w:t xml:space="preserve">Doing so will </w:t>
      </w:r>
      <w:r w:rsidR="00CF24BE">
        <w:t>fulfill the PUCO’s decision that Rider DMR is unlawful and</w:t>
      </w:r>
      <w:r w:rsidR="00EB0025">
        <w:t xml:space="preserve"> </w:t>
      </w:r>
      <w:r w:rsidR="00482F5C">
        <w:t>the Court's mandate</w:t>
      </w:r>
      <w:r w:rsidR="00EB0025">
        <w:t xml:space="preserve"> </w:t>
      </w:r>
      <w:r w:rsidR="00CF24BE">
        <w:t xml:space="preserve">in </w:t>
      </w:r>
      <w:r w:rsidR="00CF24BE">
        <w:rPr>
          <w:i/>
          <w:iCs/>
        </w:rPr>
        <w:t>Ohio Edison.</w:t>
      </w:r>
      <w:r w:rsidR="00AB444F">
        <w:rPr>
          <w:i/>
          <w:iCs/>
        </w:rPr>
        <w:t xml:space="preserve"> </w:t>
      </w:r>
      <w:r w:rsidR="00CF24BE">
        <w:t xml:space="preserve">Doing so will </w:t>
      </w:r>
      <w:r w:rsidR="00EB0025">
        <w:t>give DP&amp;L customers much needed</w:t>
      </w:r>
      <w:r w:rsidR="00052FC7">
        <w:t xml:space="preserve"> and overdue</w:t>
      </w:r>
      <w:r w:rsidR="00EB0025">
        <w:t xml:space="preserve"> relief</w:t>
      </w:r>
      <w:r w:rsidR="00482F5C">
        <w:t>.</w:t>
      </w:r>
      <w:r w:rsidR="00EB42EE">
        <w:t xml:space="preserve"> </w:t>
      </w:r>
    </w:p>
    <w:p w:rsidR="009A7E8F" w:rsidRPr="002B2B09" w:rsidP="002B2B09" w14:paraId="5E97989F" w14:textId="0BA46768">
      <w:pPr>
        <w:pStyle w:val="Heading2"/>
      </w:pPr>
      <w:bookmarkStart w:id="7" w:name="_Toc25756959"/>
      <w:bookmarkStart w:id="8" w:name="_Toc26367075"/>
      <w:r>
        <w:t xml:space="preserve">B. </w:t>
      </w:r>
      <w:r>
        <w:tab/>
      </w:r>
      <w:r w:rsidR="00F82E6D">
        <w:t xml:space="preserve">If the PUCO </w:t>
      </w:r>
      <w:r w:rsidR="002640D7">
        <w:t xml:space="preserve">grants </w:t>
      </w:r>
      <w:r w:rsidR="00F82E6D">
        <w:t xml:space="preserve">DP&amp;L's Motion to </w:t>
      </w:r>
      <w:r w:rsidR="00CF24BE">
        <w:t>W</w:t>
      </w:r>
      <w:r w:rsidR="00F82E6D">
        <w:t xml:space="preserve">ithdraw </w:t>
      </w:r>
      <w:r w:rsidR="002640D7">
        <w:t xml:space="preserve">(which it </w:t>
      </w:r>
      <w:r w:rsidRPr="002B2B09" w:rsidR="002640D7">
        <w:t>s</w:t>
      </w:r>
      <w:r w:rsidRPr="002B2B09">
        <w:t xml:space="preserve">hould not </w:t>
      </w:r>
      <w:r w:rsidRPr="002B2B09" w:rsidR="002640D7">
        <w:t xml:space="preserve">do), the PUCO should </w:t>
      </w:r>
      <w:r w:rsidR="00322757">
        <w:t xml:space="preserve">protect consumers and </w:t>
      </w:r>
      <w:r w:rsidRPr="002B2B09" w:rsidR="002640D7">
        <w:t xml:space="preserve">reject </w:t>
      </w:r>
      <w:r w:rsidRPr="002B2B09" w:rsidR="001053C5">
        <w:t xml:space="preserve">DP&amp;L's plan to charge customers a </w:t>
      </w:r>
      <w:r w:rsidRPr="002B2B09">
        <w:t xml:space="preserve">monthly </w:t>
      </w:r>
      <w:r w:rsidRPr="002B2B09" w:rsidR="002640D7">
        <w:t xml:space="preserve">Rate Stabilization Charge since it </w:t>
      </w:r>
      <w:r w:rsidRPr="002B2B09" w:rsidR="00C142A6">
        <w:t xml:space="preserve">would </w:t>
      </w:r>
      <w:r w:rsidRPr="002B2B09" w:rsidR="002640D7">
        <w:t xml:space="preserve">allow DP&amp;L to collect </w:t>
      </w:r>
      <w:r w:rsidRPr="002B2B09">
        <w:t xml:space="preserve">more unlawful </w:t>
      </w:r>
      <w:r w:rsidRPr="002B2B09" w:rsidR="002640D7">
        <w:t xml:space="preserve">transition charges, violating </w:t>
      </w:r>
      <w:r w:rsidRPr="002B2B09" w:rsidR="001053C5">
        <w:t>Ohio law</w:t>
      </w:r>
      <w:r w:rsidRPr="002B2B09" w:rsidR="002640D7">
        <w:t>.</w:t>
      </w:r>
      <w:bookmarkEnd w:id="7"/>
      <w:bookmarkEnd w:id="8"/>
    </w:p>
    <w:p w:rsidR="00E92347" w:rsidP="00387978" w14:paraId="78C6F58F" w14:textId="392ED626">
      <w:pPr>
        <w:spacing w:line="480" w:lineRule="auto"/>
        <w:ind w:firstLine="720"/>
      </w:pPr>
      <w:r>
        <w:t>Included in DP&amp;L's plan to increase rates to customers is a proposal to charge customers a monthly rate stabilization charge that collects the very sor</w:t>
      </w:r>
      <w:r w:rsidR="00F24232">
        <w:t>t of</w:t>
      </w:r>
      <w:r>
        <w:t xml:space="preserve"> transition charges the </w:t>
      </w:r>
      <w:r w:rsidR="001053C5">
        <w:t xml:space="preserve">Ohio </w:t>
      </w:r>
      <w:r>
        <w:t xml:space="preserve">Supreme Court </w:t>
      </w:r>
      <w:r w:rsidR="002329F0">
        <w:t xml:space="preserve">has </w:t>
      </w:r>
      <w:r>
        <w:t>rejected.</w:t>
      </w:r>
      <w:r>
        <w:rPr>
          <w:rStyle w:val="FootnoteReference"/>
        </w:rPr>
        <w:footnoteReference w:id="8"/>
      </w:r>
      <w:r w:rsidR="00AB444F">
        <w:t xml:space="preserve"> </w:t>
      </w:r>
      <w:r w:rsidR="00355459">
        <w:t xml:space="preserve">This time DP&amp;L calls its transition charge a </w:t>
      </w:r>
      <w:r w:rsidR="001053C5">
        <w:t>"</w:t>
      </w:r>
      <w:r w:rsidR="00355459">
        <w:t>rate stabilization charge</w:t>
      </w:r>
      <w:r w:rsidR="001053C5">
        <w:t>"</w:t>
      </w:r>
      <w:r w:rsidR="00355459">
        <w:t xml:space="preserve"> ("RSC"). </w:t>
      </w:r>
    </w:p>
    <w:p w:rsidR="003A42EF" w:rsidP="00387978" w14:paraId="46E1A5BE" w14:textId="209836A5">
      <w:pPr>
        <w:spacing w:line="480" w:lineRule="auto"/>
        <w:ind w:firstLine="720"/>
      </w:pPr>
      <w:r>
        <w:t xml:space="preserve">The rate stabilization charge </w:t>
      </w:r>
      <w:r w:rsidR="00355459">
        <w:t>that DP&amp;L seeks to resurrect was</w:t>
      </w:r>
      <w:r w:rsidR="006E65B4">
        <w:t xml:space="preserve"> paid by customers starting on January 1, 2007</w:t>
      </w:r>
      <w:r w:rsidR="00BB50E4">
        <w:t>.</w:t>
      </w:r>
      <w:r>
        <w:rPr>
          <w:rStyle w:val="FootnoteReference"/>
        </w:rPr>
        <w:footnoteReference w:id="9"/>
      </w:r>
      <w:r w:rsidR="00AB444F">
        <w:t xml:space="preserve"> </w:t>
      </w:r>
      <w:r w:rsidR="00277A33">
        <w:t xml:space="preserve">The charge was </w:t>
      </w:r>
      <w:r w:rsidR="00BB50E4">
        <w:t xml:space="preserve">originally </w:t>
      </w:r>
      <w:r w:rsidR="001053C5">
        <w:t xml:space="preserve">described (in 2003) as </w:t>
      </w:r>
      <w:r w:rsidR="007D12B7">
        <w:t>relating to</w:t>
      </w:r>
      <w:r w:rsidR="00277A33">
        <w:t xml:space="preserve"> increased </w:t>
      </w:r>
      <w:r w:rsidR="007D12B7">
        <w:t xml:space="preserve">costs of </w:t>
      </w:r>
      <w:r w:rsidR="00277A33">
        <w:t>production</w:t>
      </w:r>
      <w:r w:rsidR="007D12B7">
        <w:t>, physical security, and cybersecurity</w:t>
      </w:r>
      <w:r w:rsidR="00277A33">
        <w:t xml:space="preserve"> </w:t>
      </w:r>
      <w:r w:rsidR="001053C5">
        <w:t xml:space="preserve">for </w:t>
      </w:r>
      <w:r w:rsidR="007D12B7">
        <w:t xml:space="preserve">power </w:t>
      </w:r>
      <w:r w:rsidR="00F24232">
        <w:t>plants owned by DP&amp;L and its affiliates</w:t>
      </w:r>
      <w:r w:rsidR="00277A33">
        <w:t>.</w:t>
      </w:r>
      <w:r>
        <w:rPr>
          <w:rStyle w:val="FootnoteReference"/>
        </w:rPr>
        <w:footnoteReference w:id="10"/>
      </w:r>
      <w:r w:rsidR="00EC7EB8">
        <w:t xml:space="preserve"> The PUCO, in Case No. 05-276-EL-AIR</w:t>
      </w:r>
      <w:r w:rsidR="00D40EE2">
        <w:t>,</w:t>
      </w:r>
      <w:r w:rsidR="00EC7EB8">
        <w:t xml:space="preserve"> </w:t>
      </w:r>
      <w:r w:rsidR="00D40EE2">
        <w:t>adopted a rate plan for DP&amp;L (agreed to by stipulation</w:t>
      </w:r>
      <w:r>
        <w:rPr>
          <w:rStyle w:val="FootnoteReference"/>
        </w:rPr>
        <w:footnoteReference w:id="11"/>
      </w:r>
      <w:r w:rsidR="00D40EE2">
        <w:t>) which included a provision that c</w:t>
      </w:r>
      <w:r w:rsidR="00EC7EB8">
        <w:t xml:space="preserve">ustomers pay </w:t>
      </w:r>
      <w:r w:rsidR="00D40EE2">
        <w:t>the</w:t>
      </w:r>
      <w:r w:rsidR="006E733F">
        <w:t xml:space="preserve"> </w:t>
      </w:r>
      <w:r w:rsidR="00D40EE2">
        <w:t>r</w:t>
      </w:r>
      <w:r w:rsidR="006E733F">
        <w:t xml:space="preserve">ate </w:t>
      </w:r>
      <w:r w:rsidR="00D40EE2">
        <w:t>stabilization c</w:t>
      </w:r>
      <w:r w:rsidR="006E733F">
        <w:t xml:space="preserve">harge </w:t>
      </w:r>
      <w:r w:rsidR="00EC7EB8">
        <w:t>through Decem</w:t>
      </w:r>
      <w:r w:rsidR="00EF4664">
        <w:t>ber 31, 2010</w:t>
      </w:r>
      <w:r w:rsidR="00D40EE2">
        <w:t>.</w:t>
      </w:r>
      <w:r w:rsidR="00AB444F">
        <w:t xml:space="preserve"> </w:t>
      </w:r>
      <w:r w:rsidR="00D40EE2">
        <w:t xml:space="preserve">Annually, </w:t>
      </w:r>
      <w:r w:rsidR="00A074D2">
        <w:t xml:space="preserve">customers </w:t>
      </w:r>
      <w:r w:rsidR="00D40EE2">
        <w:t xml:space="preserve">were to </w:t>
      </w:r>
      <w:r w:rsidR="00A074D2">
        <w:t>pay $76 million under the charge</w:t>
      </w:r>
      <w:r w:rsidR="00EF4664">
        <w:t>.</w:t>
      </w:r>
      <w:r>
        <w:rPr>
          <w:rStyle w:val="FootnoteReference"/>
        </w:rPr>
        <w:footnoteReference w:id="12"/>
      </w:r>
      <w:r w:rsidR="00EF4664">
        <w:t xml:space="preserve"> </w:t>
      </w:r>
      <w:r w:rsidR="00BB50E4">
        <w:t>The RSC was described in the stipulation (which the PUCO adopted) as a charge to compensate DP&amp;L for providing stabilized rates for customers and Provider of Last Resort Service.</w:t>
      </w:r>
      <w:r>
        <w:rPr>
          <w:rStyle w:val="FootnoteReference"/>
        </w:rPr>
        <w:footnoteReference w:id="13"/>
      </w:r>
      <w:r w:rsidR="00EB42EE">
        <w:t xml:space="preserve"> </w:t>
      </w:r>
    </w:p>
    <w:p w:rsidR="00151D9A" w:rsidP="00387978" w14:paraId="49DFA2AB" w14:textId="4AB651D7">
      <w:pPr>
        <w:spacing w:line="480" w:lineRule="auto"/>
        <w:ind w:firstLine="720"/>
      </w:pPr>
      <w:r>
        <w:t xml:space="preserve">In </w:t>
      </w:r>
      <w:r w:rsidR="00D40EE2">
        <w:t xml:space="preserve">a later case, </w:t>
      </w:r>
      <w:r>
        <w:t>Cas</w:t>
      </w:r>
      <w:r w:rsidR="00DA1C9D">
        <w:t>e No. 08</w:t>
      </w:r>
      <w:r>
        <w:t xml:space="preserve">-1094-EL-SSO, parties stipulated to extend </w:t>
      </w:r>
      <w:r w:rsidR="00D40EE2">
        <w:t xml:space="preserve">DP&amp;L's </w:t>
      </w:r>
      <w:r>
        <w:t>rate plan through December 31, 2012</w:t>
      </w:r>
      <w:r w:rsidR="00DA1C9D">
        <w:t xml:space="preserve"> and </w:t>
      </w:r>
      <w:r w:rsidR="00A074D2">
        <w:t>continue the RS</w:t>
      </w:r>
      <w:r w:rsidR="006E733F">
        <w:t xml:space="preserve">C </w:t>
      </w:r>
      <w:r w:rsidR="00A074D2">
        <w:t>as a non</w:t>
      </w:r>
      <w:r w:rsidR="00FB2179">
        <w:t>-</w:t>
      </w:r>
      <w:r w:rsidR="00A074D2">
        <w:t xml:space="preserve">bypassable </w:t>
      </w:r>
      <w:r w:rsidR="00EF4664">
        <w:t>charge to customer</w:t>
      </w:r>
      <w:r w:rsidR="00A074D2">
        <w:t>s</w:t>
      </w:r>
      <w:r w:rsidR="00694956">
        <w:t xml:space="preserve"> through December 31, 2012</w:t>
      </w:r>
      <w:r w:rsidR="00EF4664">
        <w:t>.</w:t>
      </w:r>
      <w:r>
        <w:rPr>
          <w:rStyle w:val="FootnoteReference"/>
        </w:rPr>
        <w:footnoteReference w:id="14"/>
      </w:r>
      <w:r w:rsidR="00EB42EE">
        <w:t xml:space="preserve"> </w:t>
      </w:r>
      <w:r>
        <w:t>The PUCO approved that stipulation</w:t>
      </w:r>
      <w:r>
        <w:rPr>
          <w:rStyle w:val="FootnoteReference"/>
        </w:rPr>
        <w:footnoteReference w:id="15"/>
      </w:r>
      <w:r>
        <w:t xml:space="preserve"> and for two more years customers paid </w:t>
      </w:r>
      <w:r w:rsidR="007D12B7">
        <w:t>$</w:t>
      </w:r>
      <w:r w:rsidR="006E733F">
        <w:t>76 million a year under the RSC charge.</w:t>
      </w:r>
      <w:r w:rsidR="00AB444F">
        <w:t xml:space="preserve"> </w:t>
      </w:r>
      <w:r w:rsidR="006E733F">
        <w:t>In total</w:t>
      </w:r>
      <w:r w:rsidR="00C142A6">
        <w:t>,</w:t>
      </w:r>
      <w:r w:rsidR="006E733F">
        <w:t xml:space="preserve"> DP&amp;L customers paid $456 million to DP&amp;L for </w:t>
      </w:r>
      <w:r w:rsidR="007D12B7">
        <w:t xml:space="preserve">the </w:t>
      </w:r>
      <w:r w:rsidR="0021504F">
        <w:t>RSC charge</w:t>
      </w:r>
      <w:r>
        <w:t xml:space="preserve"> through 2012</w:t>
      </w:r>
      <w:r w:rsidR="007D12B7">
        <w:t>.</w:t>
      </w:r>
      <w:r w:rsidR="00EB42EE">
        <w:t xml:space="preserve"> </w:t>
      </w:r>
    </w:p>
    <w:p w:rsidR="009A7E8F" w:rsidP="00377D37" w14:paraId="01B34C8F" w14:textId="51A2FF37">
      <w:pPr>
        <w:spacing w:line="480" w:lineRule="auto"/>
        <w:ind w:firstLine="720"/>
      </w:pPr>
      <w:r>
        <w:t>In 2012 w</w:t>
      </w:r>
      <w:r w:rsidR="001053C5">
        <w:t xml:space="preserve">hen DP&amp;L filed its application for a market rate offer, it </w:t>
      </w:r>
      <w:r>
        <w:t>sought to continue</w:t>
      </w:r>
      <w:r w:rsidR="00FB2179">
        <w:t xml:space="preserve"> its </w:t>
      </w:r>
      <w:r>
        <w:t xml:space="preserve">RSC charge but decided to change </w:t>
      </w:r>
      <w:r w:rsidR="00C142A6">
        <w:t>the</w:t>
      </w:r>
      <w:r>
        <w:t xml:space="preserve"> name to a</w:t>
      </w:r>
      <w:r w:rsidR="001053C5">
        <w:t>n "electric service stability charge</w:t>
      </w:r>
      <w:r w:rsidR="000A744D">
        <w:t>”</w:t>
      </w:r>
      <w:r w:rsidR="001053C5">
        <w:t xml:space="preserve"> (</w:t>
      </w:r>
      <w:r w:rsidR="000A744D">
        <w:t>“</w:t>
      </w:r>
      <w:r w:rsidR="001053C5">
        <w:t>ESSC</w:t>
      </w:r>
      <w:r w:rsidR="000A744D">
        <w:t>”</w:t>
      </w:r>
      <w:r w:rsidR="001053C5">
        <w:t>)</w:t>
      </w:r>
      <w:r>
        <w:t>.</w:t>
      </w:r>
      <w:r w:rsidR="00AB444F">
        <w:t xml:space="preserve"> </w:t>
      </w:r>
      <w:r>
        <w:t xml:space="preserve">In its application it noted </w:t>
      </w:r>
      <w:r w:rsidR="001053C5">
        <w:t xml:space="preserve">that </w:t>
      </w:r>
      <w:r>
        <w:t xml:space="preserve">the ESSC charge </w:t>
      </w:r>
      <w:r w:rsidR="001053C5">
        <w:t xml:space="preserve">would </w:t>
      </w:r>
      <w:r w:rsidR="003D3D67">
        <w:t>"</w:t>
      </w:r>
      <w:r w:rsidR="001053C5">
        <w:t xml:space="preserve">equal the rate formerly charged as </w:t>
      </w:r>
      <w:r>
        <w:t>the rate stabilization charge."</w:t>
      </w:r>
      <w:r>
        <w:rPr>
          <w:rStyle w:val="FootnoteReference"/>
        </w:rPr>
        <w:footnoteReference w:id="16"/>
      </w:r>
      <w:r w:rsidR="00AB444F">
        <w:t xml:space="preserve"> </w:t>
      </w:r>
      <w:r>
        <w:t>DP&amp;L described the rate as compensating the company "for maintaining electric service stability for the Company and its customers."</w:t>
      </w:r>
      <w:r>
        <w:rPr>
          <w:rStyle w:val="FootnoteReference"/>
        </w:rPr>
        <w:footnoteReference w:id="17"/>
      </w:r>
      <w:r w:rsidR="00EB42EE">
        <w:t xml:space="preserve"> </w:t>
      </w:r>
      <w:r w:rsidR="004E3930">
        <w:t>L</w:t>
      </w:r>
      <w:r>
        <w:t>ate</w:t>
      </w:r>
      <w:r w:rsidR="00387978">
        <w:t xml:space="preserve">r that year, DP&amp;L withdrew its </w:t>
      </w:r>
      <w:r>
        <w:t>application for a market rate offer, and filed an</w:t>
      </w:r>
      <w:r w:rsidR="003A3C90">
        <w:t xml:space="preserve"> ESP with a </w:t>
      </w:r>
      <w:r>
        <w:t>"service stability rider"</w:t>
      </w:r>
      <w:r w:rsidR="00683674">
        <w:t xml:space="preserve"> (“SSR”)</w:t>
      </w:r>
      <w:r>
        <w:t xml:space="preserve"> to "ensure the Company's financial integrity."</w:t>
      </w:r>
      <w:r>
        <w:rPr>
          <w:rStyle w:val="FootnoteReference"/>
        </w:rPr>
        <w:footnoteReference w:id="18"/>
      </w:r>
      <w:r w:rsidR="00AB444F">
        <w:t xml:space="preserve"> </w:t>
      </w:r>
      <w:r w:rsidR="004E3930">
        <w:t xml:space="preserve">That </w:t>
      </w:r>
      <w:r w:rsidR="003D3D67">
        <w:t xml:space="preserve">proposed </w:t>
      </w:r>
      <w:r w:rsidR="00FB2179">
        <w:t xml:space="preserve">service stability charge was </w:t>
      </w:r>
      <w:r w:rsidR="003F0011">
        <w:t xml:space="preserve">no </w:t>
      </w:r>
      <w:r w:rsidR="004E3930">
        <w:t xml:space="preserve">different than </w:t>
      </w:r>
      <w:r w:rsidR="00FB2179">
        <w:t>the two charges before it</w:t>
      </w:r>
      <w:r w:rsidR="002329F0">
        <w:t xml:space="preserve"> – t</w:t>
      </w:r>
      <w:r w:rsidR="004E3930">
        <w:t>he ESSC charge</w:t>
      </w:r>
      <w:r w:rsidR="003D3D67">
        <w:t xml:space="preserve"> and the RSC charge</w:t>
      </w:r>
      <w:r w:rsidR="00FB2179">
        <w:t>.</w:t>
      </w:r>
      <w:r w:rsidR="00AB444F">
        <w:t xml:space="preserve"> </w:t>
      </w:r>
      <w:r w:rsidR="00FB2179">
        <w:t>However</w:t>
      </w:r>
      <w:r w:rsidR="004E3930">
        <w:t>,</w:t>
      </w:r>
      <w:r w:rsidR="00FB2179">
        <w:t xml:space="preserve"> the service stability charge </w:t>
      </w:r>
      <w:r w:rsidR="003D3D67">
        <w:t>sought to collect even more money from customers</w:t>
      </w:r>
      <w:r w:rsidR="00013F77">
        <w:t xml:space="preserve"> – t</w:t>
      </w:r>
      <w:r w:rsidR="00FB2179">
        <w:t xml:space="preserve">his time </w:t>
      </w:r>
      <w:r w:rsidR="005051A4">
        <w:t>$137.5 million per</w:t>
      </w:r>
      <w:r w:rsidR="00E16B4A">
        <w:t xml:space="preserve"> </w:t>
      </w:r>
      <w:r w:rsidR="005051A4">
        <w:t xml:space="preserve">year throughout the </w:t>
      </w:r>
      <w:r w:rsidR="00CF24BE">
        <w:t>electric security plan</w:t>
      </w:r>
      <w:r w:rsidR="005051A4">
        <w:t xml:space="preserve"> term</w:t>
      </w:r>
      <w:r w:rsidR="003D3D67">
        <w:t>.</w:t>
      </w:r>
      <w:r>
        <w:rPr>
          <w:rStyle w:val="FootnoteReference"/>
        </w:rPr>
        <w:footnoteReference w:id="19"/>
      </w:r>
      <w:r w:rsidR="00AB444F">
        <w:t xml:space="preserve"> </w:t>
      </w:r>
      <w:r w:rsidR="003D3D67">
        <w:t>The service stability charge was the very charge the Ohio Supreme Court struck down as an unlawful transition charge.</w:t>
      </w:r>
      <w:r>
        <w:rPr>
          <w:rStyle w:val="FootnoteReference"/>
        </w:rPr>
        <w:footnoteReference w:id="20"/>
      </w:r>
      <w:r w:rsidR="00EB42EE">
        <w:t xml:space="preserve"> </w:t>
      </w:r>
    </w:p>
    <w:p w:rsidR="0091660D" w:rsidP="00387978" w14:paraId="588008C1" w14:textId="63AD9FC6">
      <w:pPr>
        <w:spacing w:line="480" w:lineRule="auto"/>
        <w:ind w:firstLine="720"/>
      </w:pPr>
      <w:r>
        <w:t>T</w:t>
      </w:r>
      <w:r w:rsidR="0021504F">
        <w:t xml:space="preserve">he RSC charge </w:t>
      </w:r>
      <w:r>
        <w:t xml:space="preserve">DP&amp;L seeks to reinstate </w:t>
      </w:r>
      <w:r w:rsidR="00D32B1F">
        <w:t>is</w:t>
      </w:r>
      <w:r w:rsidR="0021504F">
        <w:t xml:space="preserve"> nothing more than a transition charge designed to </w:t>
      </w:r>
      <w:r w:rsidR="007A1411">
        <w:t>subsidize DP&amp;L and its power plants.</w:t>
      </w:r>
      <w:r w:rsidR="00AB444F">
        <w:t xml:space="preserve"> </w:t>
      </w:r>
      <w:r w:rsidR="007A1411">
        <w:t>The RSC was arbitrarily set at 11% of DP&amp;L's generation rate.</w:t>
      </w:r>
      <w:r>
        <w:rPr>
          <w:rStyle w:val="FootnoteReference"/>
        </w:rPr>
        <w:footnoteReference w:id="21"/>
      </w:r>
      <w:r w:rsidR="00AB444F">
        <w:t xml:space="preserve"> </w:t>
      </w:r>
      <w:r w:rsidR="007A1411">
        <w:t>That 11% RS</w:t>
      </w:r>
      <w:r w:rsidR="00C30D05">
        <w:t>C</w:t>
      </w:r>
      <w:r w:rsidR="007A1411">
        <w:t xml:space="preserve"> equated to $76 million </w:t>
      </w:r>
      <w:r w:rsidR="00C30D05">
        <w:t>in revenues</w:t>
      </w:r>
      <w:r w:rsidR="00C142A6">
        <w:t xml:space="preserve"> that consumers paid</w:t>
      </w:r>
      <w:r w:rsidR="00C30D05">
        <w:t>.</w:t>
      </w:r>
      <w:r>
        <w:rPr>
          <w:rStyle w:val="FootnoteReference"/>
        </w:rPr>
        <w:footnoteReference w:id="22"/>
      </w:r>
      <w:r w:rsidR="00AB444F">
        <w:t xml:space="preserve"> </w:t>
      </w:r>
      <w:r w:rsidR="008A0617">
        <w:t>Under the law (R.C. 4928.38</w:t>
      </w:r>
      <w:r w:rsidR="00D968AF">
        <w:t>, 4928.39 and 4928.</w:t>
      </w:r>
      <w:r w:rsidR="00482F5C">
        <w:t>40</w:t>
      </w:r>
      <w:r w:rsidR="008A0617">
        <w:t xml:space="preserve">) following the market development period, DP&amp;L is supposed to be </w:t>
      </w:r>
      <w:r w:rsidR="003F0011">
        <w:t>"</w:t>
      </w:r>
      <w:r w:rsidR="008A0617">
        <w:t>fully on its own in the competitive market.</w:t>
      </w:r>
      <w:r w:rsidR="003F0011">
        <w:t>"</w:t>
      </w:r>
      <w:r w:rsidR="00AB444F">
        <w:t xml:space="preserve"> </w:t>
      </w:r>
      <w:r w:rsidR="008A0617">
        <w:t>The market development period ended for DP&amp;L in 2005.</w:t>
      </w:r>
      <w:r w:rsidR="00EB42EE">
        <w:t xml:space="preserve"> </w:t>
      </w:r>
    </w:p>
    <w:p w:rsidR="00013F77" w:rsidP="00387978" w14:paraId="78A8526B" w14:textId="1C17D5DC">
      <w:pPr>
        <w:spacing w:line="480" w:lineRule="auto"/>
        <w:ind w:firstLine="720"/>
      </w:pPr>
      <w:r>
        <w:t>The law prohibits the PUCO from approving the collection of transition revenues or "equivalent revenues" from DP&amp;L customers after 2005.</w:t>
      </w:r>
      <w:r w:rsidR="00AB444F">
        <w:t xml:space="preserve"> </w:t>
      </w:r>
      <w:r>
        <w:t>The recent Supreme Court</w:t>
      </w:r>
      <w:r w:rsidR="00AB444F">
        <w:t xml:space="preserve"> </w:t>
      </w:r>
      <w:r w:rsidR="00694956">
        <w:t xml:space="preserve">of Ohio </w:t>
      </w:r>
      <w:r>
        <w:t>precedent</w:t>
      </w:r>
      <w:r>
        <w:rPr>
          <w:rStyle w:val="FootnoteReference"/>
        </w:rPr>
        <w:footnoteReference w:id="23"/>
      </w:r>
      <w:r>
        <w:t xml:space="preserve"> affirmed this principle</w:t>
      </w:r>
      <w:r w:rsidR="00D40EE2">
        <w:t xml:space="preserve"> when it struck down both AEP Ohio's and DP&amp;L's stability charge</w:t>
      </w:r>
      <w:r w:rsidR="00694956">
        <w:t>s</w:t>
      </w:r>
      <w:r>
        <w:t>.</w:t>
      </w:r>
      <w:r>
        <w:rPr>
          <w:rStyle w:val="FootnoteReference"/>
        </w:rPr>
        <w:footnoteReference w:id="24"/>
      </w:r>
      <w:r w:rsidR="00AB444F">
        <w:t xml:space="preserve"> </w:t>
      </w:r>
      <w:r w:rsidR="00D40EE2">
        <w:t xml:space="preserve">The RSC charge gave </w:t>
      </w:r>
      <w:r w:rsidR="00C30D05">
        <w:t xml:space="preserve">DP&amp;L </w:t>
      </w:r>
      <w:r w:rsidR="00D40EE2">
        <w:t xml:space="preserve">transition revenues or </w:t>
      </w:r>
      <w:r w:rsidR="00C30D05">
        <w:t>equivalent revenues that w</w:t>
      </w:r>
      <w:r w:rsidR="0091660D">
        <w:t>ere</w:t>
      </w:r>
      <w:r w:rsidR="00C30D05">
        <w:t xml:space="preserve"> used to subsidize generation owned by it and its affiliates.</w:t>
      </w:r>
      <w:r w:rsidR="00EB42EE">
        <w:t xml:space="preserve"> </w:t>
      </w:r>
      <w:r w:rsidR="00D40EE2">
        <w:t xml:space="preserve">Like DP&amp;L's </w:t>
      </w:r>
      <w:r w:rsidR="00C30D05">
        <w:t>SSR that the Court just struck down, the RSC charge is an unlawful transition charge.</w:t>
      </w:r>
      <w:r w:rsidR="00AB444F">
        <w:t xml:space="preserve"> </w:t>
      </w:r>
      <w:r w:rsidR="00D82507">
        <w:t xml:space="preserve">The PUCO should revisit its earlier ruling approving the RSC, given the Court's recent </w:t>
      </w:r>
      <w:r w:rsidR="00D40EE2">
        <w:t>rulings</w:t>
      </w:r>
      <w:r w:rsidR="00D82507">
        <w:t>.</w:t>
      </w:r>
      <w:r>
        <w:rPr>
          <w:rStyle w:val="FootnoteReference"/>
        </w:rPr>
        <w:footnoteReference w:id="25"/>
      </w:r>
      <w:r w:rsidR="00D82507">
        <w:t xml:space="preserve"> The Court's rulings justify a change in the </w:t>
      </w:r>
      <w:r w:rsidR="00683674">
        <w:t xml:space="preserve">prior </w:t>
      </w:r>
      <w:r w:rsidR="00D82507">
        <w:t>PUCO decision</w:t>
      </w:r>
      <w:r w:rsidR="00683674">
        <w:t xml:space="preserve"> approving </w:t>
      </w:r>
      <w:r w:rsidR="00F720F3">
        <w:t>an</w:t>
      </w:r>
      <w:r w:rsidR="00683674">
        <w:t xml:space="preserve"> RSC</w:t>
      </w:r>
      <w:r w:rsidR="00D82507">
        <w:t>.</w:t>
      </w:r>
      <w:r w:rsidR="00AB444F">
        <w:t xml:space="preserve"> </w:t>
      </w:r>
      <w:r w:rsidR="00C30D05">
        <w:t xml:space="preserve">The PUCO should reject DP&amp;L's </w:t>
      </w:r>
      <w:r w:rsidR="00BE7A85">
        <w:t xml:space="preserve">RSC </w:t>
      </w:r>
      <w:r w:rsidR="00C30D05">
        <w:t>tariff in this respect.</w:t>
      </w:r>
      <w:r w:rsidR="00EB42EE">
        <w:t xml:space="preserve"> </w:t>
      </w:r>
    </w:p>
    <w:p w:rsidR="00013F77" w:rsidP="002A2D82" w14:paraId="706E1696" w14:textId="239FAFB3">
      <w:pPr>
        <w:pStyle w:val="Heading2"/>
      </w:pPr>
      <w:bookmarkStart w:id="9" w:name="_Toc26367076"/>
      <w:r w:rsidRPr="002A2D82">
        <w:rPr>
          <w:rStyle w:val="Heading2Char"/>
        </w:rPr>
        <w:t>C.</w:t>
      </w:r>
      <w:r w:rsidRPr="002A2D82">
        <w:rPr>
          <w:rStyle w:val="Heading2Char"/>
        </w:rPr>
        <w:tab/>
        <w:t xml:space="preserve">If the PUCO grants DP&amp;L's Motion to Withdraw (which it should not do), the PUCO should </w:t>
      </w:r>
      <w:r w:rsidRPr="002A2D82" w:rsidR="00322757">
        <w:rPr>
          <w:rStyle w:val="Heading2Char"/>
        </w:rPr>
        <w:t xml:space="preserve">protect consumers and </w:t>
      </w:r>
      <w:r w:rsidRPr="002A2D82">
        <w:rPr>
          <w:rStyle w:val="Heading2Char"/>
        </w:rPr>
        <w:t>reject DP&amp;L's plan to charge customers a monthly Rate Stabilization Charge since it is a financial integrity charge, violating Ohio law.</w:t>
      </w:r>
      <w:bookmarkEnd w:id="9"/>
    </w:p>
    <w:p w:rsidR="00013F77" w:rsidP="00013F77" w14:paraId="763139B7" w14:textId="77777777">
      <w:pPr>
        <w:ind w:left="1440" w:hanging="720"/>
      </w:pPr>
    </w:p>
    <w:p w:rsidR="00C370A0" w:rsidP="00013F77" w14:paraId="2C0926BD" w14:textId="79A9756E">
      <w:pPr>
        <w:spacing w:line="480" w:lineRule="auto"/>
      </w:pPr>
      <w:r>
        <w:tab/>
        <w:t>As the foregoing history demonstrates, DP&amp;L’s rationale for various charges – the RSC charge, the ESSC charge, and the SSR charge – has been described by it differently.</w:t>
      </w:r>
      <w:r w:rsidR="00AB444F">
        <w:t xml:space="preserve"> </w:t>
      </w:r>
      <w:r>
        <w:t>But the function of the charges has always been the same – charge consumers more.</w:t>
      </w:r>
      <w:r w:rsidR="00AB444F">
        <w:t xml:space="preserve"> </w:t>
      </w:r>
      <w:r>
        <w:t>Most recently, in a burst of candor, DP&amp;L acknowledged that the most recent iteration of the charge was for “financial integrity.”</w:t>
      </w:r>
      <w:r>
        <w:rPr>
          <w:rStyle w:val="FootnoteReference"/>
        </w:rPr>
        <w:footnoteReference w:id="26"/>
      </w:r>
      <w:r w:rsidRPr="00013F77">
        <w:t xml:space="preserve"> </w:t>
      </w:r>
      <w:r>
        <w:t xml:space="preserve">So in addition to being an unlawful transition charge, as just described, the RSC charge is also an unlawful financial integrity charge. </w:t>
      </w:r>
    </w:p>
    <w:p w:rsidR="003041BD" w:rsidP="00387978" w14:paraId="3FB7618D" w14:textId="527A4899">
      <w:pPr>
        <w:spacing w:line="480" w:lineRule="auto"/>
        <w:ind w:firstLine="720"/>
      </w:pPr>
      <w:r w:rsidRPr="007D5E46">
        <w:t>In finding that Rider DMR is unlawful, the PUCO specifically explained that a line of cases from the Supreme Court</w:t>
      </w:r>
      <w:r w:rsidR="00683674">
        <w:t xml:space="preserve"> of Ohio</w:t>
      </w:r>
      <w:r w:rsidRPr="007D5E46">
        <w:t xml:space="preserve"> demonstrates that non</w:t>
      </w:r>
      <w:r w:rsidR="0045326F">
        <w:t>-</w:t>
      </w:r>
      <w:r w:rsidRPr="007D5E46">
        <w:t>bypassable riders, established to promote the financial integrity of electric distribution utilities, are unlawful.</w:t>
      </w:r>
      <w:r>
        <w:rPr>
          <w:rStyle w:val="FootnoteReference"/>
        </w:rPr>
        <w:footnoteReference w:id="27"/>
      </w:r>
      <w:r w:rsidR="00AB444F">
        <w:t xml:space="preserve"> </w:t>
      </w:r>
      <w:r w:rsidR="00C370A0">
        <w:t>As part of the evolution of DP&amp;L’s RSC charge – from RSC charge, to ESSC charge, to SSR charge – DP&amp;L itself admitted that the charge is for “financial integrity.”</w:t>
      </w:r>
      <w:r>
        <w:rPr>
          <w:rStyle w:val="FootnoteReference"/>
        </w:rPr>
        <w:footnoteReference w:id="28"/>
      </w:r>
      <w:r w:rsidR="00AB444F">
        <w:t xml:space="preserve"> </w:t>
      </w:r>
      <w:r w:rsidR="00C370A0">
        <w:t xml:space="preserve">In light of the intervening precedent from when the PUCO first approved the RSC charge – </w:t>
      </w:r>
      <w:r w:rsidR="00683674">
        <w:t xml:space="preserve">the same </w:t>
      </w:r>
      <w:r w:rsidR="00C370A0">
        <w:t>intervening precedent specifically acknowledge</w:t>
      </w:r>
      <w:r w:rsidR="00683674">
        <w:t>d</w:t>
      </w:r>
      <w:r w:rsidR="00C370A0">
        <w:t xml:space="preserve"> by the PUCO in its Supplemental Opinion and Order – “financial integrity” charges are unlawful.</w:t>
      </w:r>
      <w:r w:rsidR="00AB444F">
        <w:t xml:space="preserve"> </w:t>
      </w:r>
      <w:r w:rsidR="00C370A0">
        <w:t>The PUCO should reject DP&amp;L's RSC tariff.</w:t>
      </w:r>
    </w:p>
    <w:p w:rsidR="009A7E8F" w:rsidP="002A2D82" w14:paraId="568CAC91" w14:textId="32EDBA0A">
      <w:pPr>
        <w:pStyle w:val="Heading2"/>
      </w:pPr>
      <w:bookmarkStart w:id="10" w:name="_Toc25756960"/>
      <w:bookmarkStart w:id="11" w:name="_Toc26367077"/>
      <w:r>
        <w:rPr>
          <w:rStyle w:val="Heading2Char"/>
        </w:rPr>
        <w:t>D</w:t>
      </w:r>
      <w:r w:rsidRPr="008B65B9" w:rsidR="00CF24BE">
        <w:rPr>
          <w:rStyle w:val="Heading2Char"/>
        </w:rPr>
        <w:t>.</w:t>
      </w:r>
      <w:r w:rsidRPr="008B65B9" w:rsidR="00CF24BE">
        <w:rPr>
          <w:rStyle w:val="Heading2Char"/>
        </w:rPr>
        <w:tab/>
      </w:r>
      <w:r w:rsidR="003041BD">
        <w:rPr>
          <w:rStyle w:val="Heading2Char"/>
        </w:rPr>
        <w:t>If the PUCO allows the RSC charge (it should not), t</w:t>
      </w:r>
      <w:r w:rsidRPr="008B65B9" w:rsidR="00CF24BE">
        <w:rPr>
          <w:rStyle w:val="Heading2Char"/>
        </w:rPr>
        <w:t>he PUCO should</w:t>
      </w:r>
      <w:r w:rsidR="00925726">
        <w:rPr>
          <w:rStyle w:val="Heading2Char"/>
        </w:rPr>
        <w:t xml:space="preserve"> protect consumers and</w:t>
      </w:r>
      <w:r w:rsidRPr="008B65B9" w:rsidR="00CF24BE">
        <w:rPr>
          <w:rStyle w:val="Heading2Char"/>
        </w:rPr>
        <w:t xml:space="preserve"> set the RSC </w:t>
      </w:r>
      <w:r w:rsidR="003041BD">
        <w:rPr>
          <w:rStyle w:val="Heading2Char"/>
        </w:rPr>
        <w:t>at</w:t>
      </w:r>
      <w:r w:rsidRPr="008B65B9" w:rsidR="00CF24BE">
        <w:rPr>
          <w:rStyle w:val="Heading2Char"/>
        </w:rPr>
        <w:t xml:space="preserve"> zero because DP&amp;L is not providing POLR service to consumers.</w:t>
      </w:r>
      <w:bookmarkEnd w:id="10"/>
      <w:bookmarkEnd w:id="11"/>
      <w:r w:rsidR="00EB42EE">
        <w:t xml:space="preserve"> </w:t>
      </w:r>
    </w:p>
    <w:p w:rsidR="00BB5EFB" w:rsidRPr="0076781A" w:rsidP="003041BD" w14:paraId="75E0999E" w14:textId="0B96A875">
      <w:pPr>
        <w:spacing w:line="480" w:lineRule="auto"/>
        <w:ind w:firstLine="720"/>
      </w:pPr>
      <w:r>
        <w:t xml:space="preserve">Even if </w:t>
      </w:r>
      <w:r w:rsidR="003041BD">
        <w:t>the PUCO</w:t>
      </w:r>
      <w:r>
        <w:t xml:space="preserve"> were to conclude that the RSC charge is not a transition charge</w:t>
      </w:r>
      <w:r w:rsidR="00C370A0">
        <w:t xml:space="preserve"> or a financial integrity charge</w:t>
      </w:r>
      <w:r>
        <w:t xml:space="preserve">, but a POLR charge, </w:t>
      </w:r>
      <w:r w:rsidR="00CF24BE">
        <w:t>it should be set at zero</w:t>
      </w:r>
      <w:r w:rsidR="00683674">
        <w:t>.</w:t>
      </w:r>
      <w:r w:rsidR="00AB444F">
        <w:t xml:space="preserve"> </w:t>
      </w:r>
      <w:r w:rsidRPr="0076781A">
        <w:t xml:space="preserve">In concept, a </w:t>
      </w:r>
      <w:r>
        <w:t>POLR</w:t>
      </w:r>
      <w:r w:rsidRPr="0076781A">
        <w:t xml:space="preserve"> charge recognizes that customers are permitted to obtain electric generation</w:t>
      </w:r>
      <w:r w:rsidR="003041BD">
        <w:t xml:space="preserve"> </w:t>
      </w:r>
      <w:r w:rsidRPr="0076781A">
        <w:t>service from marketers and then later return to the utility for that service.</w:t>
      </w:r>
      <w:r>
        <w:rPr>
          <w:rStyle w:val="FootnoteReference"/>
        </w:rPr>
        <w:footnoteReference w:id="29"/>
      </w:r>
      <w:r w:rsidRPr="0076781A">
        <w:t xml:space="preserve"> The POLR charge compensates the utility for risks of standing ready to provide a standard service offer to returning customers. </w:t>
      </w:r>
      <w:r>
        <w:t>The Supreme Court</w:t>
      </w:r>
      <w:r w:rsidR="00683674">
        <w:t xml:space="preserve"> of Ohio</w:t>
      </w:r>
      <w:r w:rsidRPr="0076781A">
        <w:t xml:space="preserve"> has cautioned the PUCO before that it “should carefully consider what costs it is attributing as costs incurred as part of an electric-distribution utility’s POLR obligations.”</w:t>
      </w:r>
      <w:r>
        <w:rPr>
          <w:rStyle w:val="FootnoteReference"/>
        </w:rPr>
        <w:footnoteReference w:id="30"/>
      </w:r>
      <w:r w:rsidRPr="0076781A">
        <w:t xml:space="preserve"> And </w:t>
      </w:r>
      <w:r>
        <w:t>the Court</w:t>
      </w:r>
      <w:r w:rsidRPr="0076781A">
        <w:t xml:space="preserve"> has overturned the PUCO’s approval of POLR charges, after finding that there was not sufficient evidence to support them.</w:t>
      </w:r>
      <w:r>
        <w:rPr>
          <w:rStyle w:val="FootnoteReference"/>
        </w:rPr>
        <w:footnoteReference w:id="31"/>
      </w:r>
      <w:r w:rsidRPr="0076781A">
        <w:t xml:space="preserve"> </w:t>
      </w:r>
    </w:p>
    <w:p w:rsidR="00AA248C" w:rsidP="00BB5EFB" w14:paraId="4472406E" w14:textId="1CA68CD7">
      <w:pPr>
        <w:pStyle w:val="paragraph"/>
        <w:spacing w:before="0" w:beforeAutospacing="0" w:after="0" w:afterAutospacing="0" w:line="480" w:lineRule="auto"/>
        <w:ind w:firstLine="720"/>
        <w:textAlignment w:val="baseline"/>
        <w:rPr>
          <w:rStyle w:val="normaltextrun"/>
        </w:rPr>
      </w:pPr>
      <w:r w:rsidRPr="0076781A">
        <w:rPr>
          <w:rStyle w:val="normaltextrun"/>
        </w:rPr>
        <w:t>The PUCO</w:t>
      </w:r>
      <w:r w:rsidRPr="0076781A">
        <w:rPr>
          <w:rStyle w:val="apple-converted-space"/>
        </w:rPr>
        <w:t xml:space="preserve"> itself </w:t>
      </w:r>
      <w:r w:rsidRPr="0076781A">
        <w:rPr>
          <w:rStyle w:val="normaltextrun"/>
        </w:rPr>
        <w:t>has ruled that POLR charges must be justified either on a cost basis or a non-cost basis before a utility can be compensated for being the POLR and carrying the risks associated with being the POLR.</w:t>
      </w:r>
      <w:r>
        <w:rPr>
          <w:rStyle w:val="FootnoteReference"/>
        </w:rPr>
        <w:footnoteReference w:id="32"/>
      </w:r>
      <w:r w:rsidR="00AB444F">
        <w:rPr>
          <w:rStyle w:val="normaltextrun"/>
        </w:rPr>
        <w:t xml:space="preserve"> </w:t>
      </w:r>
      <w:r w:rsidRPr="0076781A">
        <w:rPr>
          <w:rStyle w:val="normaltextrun"/>
        </w:rPr>
        <w:t>The PUCO has further defined those risks to exclude migration risk (the risk of customers leaving), but include risks associated with standing ready to accept returning customers.</w:t>
      </w:r>
      <w:r>
        <w:rPr>
          <w:rStyle w:val="FootnoteReference"/>
        </w:rPr>
        <w:footnoteReference w:id="33"/>
      </w:r>
      <w:r w:rsidRPr="0076781A">
        <w:rPr>
          <w:rStyle w:val="normaltextrun"/>
        </w:rPr>
        <w:t xml:space="preserve"> </w:t>
      </w:r>
    </w:p>
    <w:p w:rsidR="00BB5EFB" w:rsidRPr="0076781A" w:rsidP="00BB5EFB" w14:paraId="6E1E8384" w14:textId="159B0EF1">
      <w:pPr>
        <w:spacing w:line="480" w:lineRule="auto"/>
        <w:ind w:firstLine="720"/>
        <w:rPr>
          <w:rStyle w:val="normaltextrun"/>
        </w:rPr>
      </w:pPr>
      <w:r w:rsidRPr="0076781A">
        <w:rPr>
          <w:rStyle w:val="normaltextrun"/>
        </w:rPr>
        <w:t xml:space="preserve">And yet despite the </w:t>
      </w:r>
      <w:r>
        <w:rPr>
          <w:rStyle w:val="normaltextrun"/>
        </w:rPr>
        <w:t>C</w:t>
      </w:r>
      <w:r w:rsidRPr="0076781A">
        <w:rPr>
          <w:rStyle w:val="normaltextrun"/>
        </w:rPr>
        <w:t>ourt’s admonitions, and the PUCO precedent, the PUCO approved DP&amp;L’s rate stabilization charge as a POLR charge.</w:t>
      </w:r>
      <w:r>
        <w:rPr>
          <w:rStyle w:val="FootnoteReference"/>
        </w:rPr>
        <w:footnoteReference w:id="34"/>
      </w:r>
      <w:r w:rsidR="00AB444F">
        <w:rPr>
          <w:rStyle w:val="normaltextrun"/>
        </w:rPr>
        <w:t xml:space="preserve"> </w:t>
      </w:r>
      <w:r w:rsidRPr="0076781A">
        <w:rPr>
          <w:rStyle w:val="normaltextrun"/>
        </w:rPr>
        <w:t>It did so by fiat</w:t>
      </w:r>
      <w:r w:rsidR="004700CC">
        <w:rPr>
          <w:rStyle w:val="normaltextrun"/>
        </w:rPr>
        <w:t xml:space="preserve"> – p</w:t>
      </w:r>
      <w:r w:rsidRPr="0076781A">
        <w:rPr>
          <w:rStyle w:val="normaltextrun"/>
        </w:rPr>
        <w:t>roclaiming that the rate stability charge that DP&amp;L sought to reinstate from its prior electric security plan “is a non</w:t>
      </w:r>
      <w:r>
        <w:rPr>
          <w:rStyle w:val="normaltextrun"/>
        </w:rPr>
        <w:t>-</w:t>
      </w:r>
      <w:r w:rsidRPr="0076781A">
        <w:rPr>
          <w:rStyle w:val="normaltextrun"/>
        </w:rPr>
        <w:t>bypassable POLR charge to allow DP&amp;L to fulfill its POLR obligations.”</w:t>
      </w:r>
      <w:r>
        <w:rPr>
          <w:rStyle w:val="FootnoteReference"/>
        </w:rPr>
        <w:footnoteReference w:id="35"/>
      </w:r>
      <w:r w:rsidRPr="0076781A">
        <w:rPr>
          <w:rStyle w:val="normaltextrun"/>
        </w:rPr>
        <w:t xml:space="preserve"> It would appear that the PUCO pursued this tactic to defend the claim that the stability charge collected transition costs or equivalent revenues from customers. For if the charge is truly a POLR charge, it may be allowed as part of an electric security plan (R.C. 4928.143(B)(2)(d)), unlike a transition charge. The PUCO</w:t>
      </w:r>
      <w:r>
        <w:rPr>
          <w:rStyle w:val="normaltextrun"/>
        </w:rPr>
        <w:t>,</w:t>
      </w:r>
      <w:r w:rsidRPr="0076781A">
        <w:rPr>
          <w:rStyle w:val="normaltextrun"/>
        </w:rPr>
        <w:t xml:space="preserve"> however, was wrong.</w:t>
      </w:r>
    </w:p>
    <w:p w:rsidR="00BB5EFB" w:rsidRPr="00DD782F" w:rsidP="00BB5EFB" w14:paraId="23A84AB4" w14:textId="129EBC27">
      <w:pPr>
        <w:spacing w:line="480" w:lineRule="auto"/>
        <w:ind w:firstLine="720"/>
        <w:rPr>
          <w:rStyle w:val="eop"/>
        </w:rPr>
      </w:pPr>
      <w:r w:rsidRPr="0076781A">
        <w:rPr>
          <w:rStyle w:val="eop"/>
        </w:rPr>
        <w:t>The PUCO erred in allowing DP&amp;L to charge customers for POLR service that it would not provide during the nine months (or more) that the charges were collected from customers.</w:t>
      </w:r>
      <w:r>
        <w:rPr>
          <w:rStyle w:val="FootnoteReference"/>
        </w:rPr>
        <w:footnoteReference w:id="36"/>
      </w:r>
      <w:r w:rsidR="00AB444F">
        <w:rPr>
          <w:rStyle w:val="eop"/>
        </w:rPr>
        <w:t xml:space="preserve"> </w:t>
      </w:r>
      <w:r w:rsidR="00676433">
        <w:rPr>
          <w:rStyle w:val="eop"/>
        </w:rPr>
        <w:t>Unfortunately, prior to that error being challenged and overturned by the Court, the PUCO approved a new ESP, which rendered the blended ESP moot.</w:t>
      </w:r>
      <w:r w:rsidR="00AB444F">
        <w:rPr>
          <w:rStyle w:val="eop"/>
        </w:rPr>
        <w:t xml:space="preserve"> </w:t>
      </w:r>
      <w:r w:rsidR="00DD782F">
        <w:rPr>
          <w:rStyle w:val="eop"/>
        </w:rPr>
        <w:t xml:space="preserve">That error should not be compounded here, where DP&amp;L is </w:t>
      </w:r>
      <w:r w:rsidR="00DD782F">
        <w:rPr>
          <w:rStyle w:val="eop"/>
          <w:i/>
          <w:iCs/>
        </w:rPr>
        <w:t xml:space="preserve">still </w:t>
      </w:r>
      <w:r w:rsidR="00DD782F">
        <w:rPr>
          <w:rStyle w:val="eop"/>
        </w:rPr>
        <w:t>not providing POLR service.</w:t>
      </w:r>
      <w:r w:rsidR="00EB42EE">
        <w:rPr>
          <w:rStyle w:val="eop"/>
        </w:rPr>
        <w:t xml:space="preserve"> </w:t>
      </w:r>
      <w:r w:rsidRPr="0076781A">
        <w:rPr>
          <w:rStyle w:val="eop"/>
        </w:rPr>
        <w:t>And the PUCO failed to require DP&amp;L to substantiate its claim for POLR, consistent with the PUCO and Court precedent.</w:t>
      </w:r>
      <w:r>
        <w:rPr>
          <w:rStyle w:val="FootnoteReference"/>
        </w:rPr>
        <w:footnoteReference w:id="37"/>
      </w:r>
      <w:r w:rsidR="00EB42EE">
        <w:rPr>
          <w:rStyle w:val="eop"/>
        </w:rPr>
        <w:t xml:space="preserve"> </w:t>
      </w:r>
    </w:p>
    <w:p w:rsidR="00BB5EFB" w:rsidRPr="008B65B9" w:rsidP="006D098D" w14:paraId="510E9EDF" w14:textId="4AEE57CA">
      <w:pPr>
        <w:pStyle w:val="Heading3"/>
        <w:rPr>
          <w:rStyle w:val="eop"/>
          <w:b w:val="0"/>
        </w:rPr>
      </w:pPr>
      <w:bookmarkStart w:id="12" w:name="_Toc480807258"/>
      <w:bookmarkStart w:id="13" w:name="_Toc482623222"/>
      <w:bookmarkStart w:id="14" w:name="_Toc25756961"/>
      <w:bookmarkStart w:id="15" w:name="_Toc26367078"/>
      <w:r w:rsidRPr="00AF4F0B">
        <w:rPr>
          <w:rStyle w:val="Heading3Char"/>
        </w:rPr>
        <w:t>1.</w:t>
      </w:r>
      <w:r w:rsidRPr="00AF4F0B">
        <w:rPr>
          <w:rStyle w:val="Heading3Char"/>
        </w:rPr>
        <w:tab/>
        <w:t xml:space="preserve">DP&amp;L </w:t>
      </w:r>
      <w:r w:rsidRPr="00AF4F0B" w:rsidR="00DD782F">
        <w:rPr>
          <w:rStyle w:val="Heading3Char"/>
        </w:rPr>
        <w:t>is not providing</w:t>
      </w:r>
      <w:r w:rsidRPr="00AF4F0B">
        <w:rPr>
          <w:rStyle w:val="Heading3Char"/>
        </w:rPr>
        <w:t xml:space="preserve"> POLR service, so it is unreasonable for it to charge customers for the service.</w:t>
      </w:r>
      <w:bookmarkEnd w:id="12"/>
      <w:bookmarkEnd w:id="13"/>
      <w:bookmarkEnd w:id="14"/>
      <w:bookmarkEnd w:id="15"/>
    </w:p>
    <w:p w:rsidR="00BB5EFB" w:rsidRPr="0076781A" w:rsidP="008B6EAE" w14:paraId="38F1A3CF" w14:textId="2926F07F">
      <w:pPr>
        <w:spacing w:line="480" w:lineRule="auto"/>
        <w:ind w:firstLine="720"/>
        <w:rPr>
          <w:rStyle w:val="eop"/>
        </w:rPr>
      </w:pPr>
      <w:r w:rsidRPr="0076781A">
        <w:rPr>
          <w:rStyle w:val="eop"/>
        </w:rPr>
        <w:t xml:space="preserve">Under DP&amp;L’s </w:t>
      </w:r>
      <w:r w:rsidR="00C811C4">
        <w:rPr>
          <w:rStyle w:val="eop"/>
        </w:rPr>
        <w:t>first</w:t>
      </w:r>
      <w:r w:rsidRPr="0076781A">
        <w:rPr>
          <w:rStyle w:val="eop"/>
        </w:rPr>
        <w:t xml:space="preserve"> electric security plan, DP&amp;L </w:t>
      </w:r>
      <w:r w:rsidRPr="0076781A">
        <w:rPr>
          <w:rStyle w:val="eop"/>
          <w:i/>
        </w:rPr>
        <w:t>was</w:t>
      </w:r>
      <w:r w:rsidRPr="0076781A">
        <w:rPr>
          <w:rStyle w:val="eop"/>
        </w:rPr>
        <w:t xml:space="preserve"> providing its customers POLR service.</w:t>
      </w:r>
      <w:r w:rsidR="00AB444F">
        <w:rPr>
          <w:rStyle w:val="eop"/>
        </w:rPr>
        <w:t xml:space="preserve"> </w:t>
      </w:r>
      <w:r w:rsidRPr="0076781A">
        <w:rPr>
          <w:rStyle w:val="eop"/>
        </w:rPr>
        <w:t xml:space="preserve">It offered a standard service offer, based on rates equal to its </w:t>
      </w:r>
      <w:r w:rsidRPr="0076781A">
        <w:rPr>
          <w:rFonts w:ascii="-webkit-standard" w:hAnsi="-webkit-standard"/>
          <w:color w:val="000000"/>
        </w:rPr>
        <w:t>then-existing generation rates, with certain modifications for fuel costs.</w:t>
      </w:r>
      <w:r>
        <w:rPr>
          <w:rStyle w:val="FootnoteReference"/>
          <w:rFonts w:ascii="-webkit-standard" w:hAnsi="-webkit-standard"/>
          <w:color w:val="000000"/>
        </w:rPr>
        <w:footnoteReference w:id="38"/>
      </w:r>
      <w:r w:rsidR="00AB444F">
        <w:rPr>
          <w:rFonts w:ascii="-webkit-standard" w:hAnsi="-webkit-standard"/>
          <w:color w:val="000000"/>
        </w:rPr>
        <w:t xml:space="preserve"> </w:t>
      </w:r>
      <w:r w:rsidRPr="0076781A">
        <w:rPr>
          <w:rStyle w:val="eop"/>
        </w:rPr>
        <w:t>Its PUCO</w:t>
      </w:r>
      <w:r w:rsidR="00F51616">
        <w:rPr>
          <w:rStyle w:val="eop"/>
        </w:rPr>
        <w:t>-</w:t>
      </w:r>
      <w:r w:rsidRPr="0076781A">
        <w:rPr>
          <w:rStyle w:val="eop"/>
        </w:rPr>
        <w:t>approved tariffs explained that the rider was “intended to compensate DP&amp;L for providing stabilized rates for customers and Provider of Last Resort Service.”</w:t>
      </w:r>
      <w:r>
        <w:rPr>
          <w:rStyle w:val="FootnoteReference"/>
        </w:rPr>
        <w:footnoteReference w:id="39"/>
      </w:r>
      <w:r w:rsidRPr="0076781A">
        <w:rPr>
          <w:rStyle w:val="eop"/>
        </w:rPr>
        <w:t xml:space="preserve"> </w:t>
      </w:r>
    </w:p>
    <w:p w:rsidR="00BB5EFB" w:rsidRPr="0076781A" w:rsidP="00BB5EFB" w14:paraId="3381C251" w14:textId="6ABED09A">
      <w:pPr>
        <w:spacing w:line="480" w:lineRule="auto"/>
        <w:ind w:firstLine="720"/>
        <w:rPr>
          <w:rStyle w:val="eop"/>
        </w:rPr>
      </w:pPr>
      <w:r w:rsidRPr="0076781A">
        <w:rPr>
          <w:rStyle w:val="eop"/>
        </w:rPr>
        <w:t xml:space="preserve">But under DP&amp;L’s </w:t>
      </w:r>
      <w:r w:rsidR="00C811C4">
        <w:rPr>
          <w:rStyle w:val="eop"/>
        </w:rPr>
        <w:t>second</w:t>
      </w:r>
      <w:r w:rsidRPr="0076781A">
        <w:rPr>
          <w:rStyle w:val="eop"/>
        </w:rPr>
        <w:t xml:space="preserve"> electric security plan, the PUCO approved significant changes that dramatically decreased and eventually eliminated DP&amp;L’s POLR obligations.</w:t>
      </w:r>
      <w:r>
        <w:rPr>
          <w:rStyle w:val="FootnoteReference"/>
        </w:rPr>
        <w:footnoteReference w:id="40"/>
      </w:r>
      <w:r w:rsidR="00AB444F">
        <w:rPr>
          <w:rStyle w:val="eop"/>
        </w:rPr>
        <w:t xml:space="preserve"> </w:t>
      </w:r>
      <w:r w:rsidRPr="0076781A">
        <w:rPr>
          <w:rStyle w:val="eop"/>
        </w:rPr>
        <w:t xml:space="preserve">Under DP&amp;L’s </w:t>
      </w:r>
      <w:r w:rsidR="00C811C4">
        <w:rPr>
          <w:rStyle w:val="eop"/>
        </w:rPr>
        <w:t>second electric security</w:t>
      </w:r>
      <w:r w:rsidRPr="0076781A">
        <w:rPr>
          <w:rStyle w:val="eop"/>
        </w:rPr>
        <w:t xml:space="preserve"> plan, POLR obligations were shifted to the marketers who bid in competitive auctions to supply standard service.</w:t>
      </w:r>
      <w:r w:rsidR="00AB444F">
        <w:rPr>
          <w:rStyle w:val="eop"/>
        </w:rPr>
        <w:t xml:space="preserve"> </w:t>
      </w:r>
      <w:r w:rsidRPr="0076781A">
        <w:rPr>
          <w:rFonts w:ascii="-webkit-standard" w:hAnsi="-webkit-standard"/>
          <w:color w:val="000000"/>
        </w:rPr>
        <w:t>Since January 1, 2014, DP&amp;L has procured power for standard service through various rounds of competitive auctions.</w:t>
      </w:r>
      <w:r w:rsidR="00AB444F">
        <w:rPr>
          <w:rFonts w:ascii="-webkit-standard" w:hAnsi="-webkit-standard"/>
          <w:color w:val="000000"/>
        </w:rPr>
        <w:t xml:space="preserve"> </w:t>
      </w:r>
      <w:r w:rsidRPr="0076781A">
        <w:rPr>
          <w:rFonts w:ascii="-webkit-standard" w:hAnsi="-webkit-standard"/>
          <w:color w:val="000000"/>
        </w:rPr>
        <w:t>Under the competitive auctions, winning suppliers (marketers) have contracted to supply the standard service offer through May 31, 20</w:t>
      </w:r>
      <w:r w:rsidR="00C811C4">
        <w:rPr>
          <w:rFonts w:ascii="-webkit-standard" w:hAnsi="-webkit-standard"/>
          <w:color w:val="000000"/>
        </w:rPr>
        <w:t>21</w:t>
      </w:r>
      <w:r w:rsidRPr="0076781A">
        <w:rPr>
          <w:rFonts w:ascii="-webkit-standard" w:hAnsi="-webkit-standard"/>
          <w:color w:val="000000"/>
        </w:rPr>
        <w:t>.</w:t>
      </w:r>
      <w:r>
        <w:rPr>
          <w:rStyle w:val="FootnoteReference"/>
          <w:rFonts w:ascii="-webkit-standard" w:hAnsi="-webkit-standard"/>
          <w:color w:val="000000"/>
        </w:rPr>
        <w:footnoteReference w:id="41"/>
      </w:r>
      <w:r w:rsidRPr="0076781A">
        <w:rPr>
          <w:rFonts w:ascii="-webkit-standard" w:hAnsi="-webkit-standard"/>
          <w:color w:val="000000"/>
        </w:rPr>
        <w:t xml:space="preserve"> Those winning bids have set the standard service offer rate charged to customers.</w:t>
      </w:r>
      <w:r w:rsidR="00AB444F">
        <w:rPr>
          <w:rFonts w:ascii="-webkit-standard" w:hAnsi="-webkit-standard"/>
          <w:color w:val="000000"/>
        </w:rPr>
        <w:t xml:space="preserve"> </w:t>
      </w:r>
      <w:r w:rsidRPr="0076781A">
        <w:rPr>
          <w:rFonts w:ascii="-webkit-standard" w:hAnsi="-webkit-standard"/>
          <w:color w:val="000000"/>
        </w:rPr>
        <w:t>The standard service offer rate no longer has any relationship to DP&amp;L’s plants or its generation rate.</w:t>
      </w:r>
      <w:r w:rsidR="00EB42EE">
        <w:rPr>
          <w:rFonts w:ascii="-webkit-standard" w:hAnsi="-webkit-standard"/>
          <w:color w:val="000000"/>
        </w:rPr>
        <w:t xml:space="preserve"> </w:t>
      </w:r>
    </w:p>
    <w:p w:rsidR="00BB5EFB" w:rsidRPr="0076781A" w:rsidP="00BB5EFB" w14:paraId="14086ECD" w14:textId="5C945901">
      <w:pPr>
        <w:spacing w:line="480" w:lineRule="auto"/>
        <w:ind w:firstLine="720"/>
        <w:rPr>
          <w:rFonts w:ascii="-webkit-standard" w:hAnsi="-webkit-standard"/>
          <w:color w:val="000000"/>
        </w:rPr>
      </w:pPr>
      <w:r w:rsidRPr="0076781A">
        <w:rPr>
          <w:rFonts w:ascii="-webkit-standard" w:hAnsi="-webkit-standard"/>
          <w:color w:val="000000"/>
        </w:rPr>
        <w:t xml:space="preserve">There is no dispute that DP&amp;L </w:t>
      </w:r>
      <w:r w:rsidR="00C811C4">
        <w:rPr>
          <w:rFonts w:ascii="-webkit-standard" w:hAnsi="-webkit-standard"/>
          <w:color w:val="000000"/>
        </w:rPr>
        <w:t>does</w:t>
      </w:r>
      <w:r w:rsidRPr="0076781A">
        <w:rPr>
          <w:rFonts w:ascii="-webkit-standard" w:hAnsi="-webkit-standard"/>
          <w:color w:val="000000"/>
        </w:rPr>
        <w:t xml:space="preserve"> not provide POLR service for customers. </w:t>
      </w:r>
      <w:r w:rsidR="00E6113A">
        <w:rPr>
          <w:rFonts w:ascii="-webkit-standard" w:hAnsi="-webkit-standard"/>
          <w:color w:val="000000"/>
        </w:rPr>
        <w:t>DP&amp;L acknowledges this even in its Notice of Filing Proposed Tariffs.</w:t>
      </w:r>
      <w:r w:rsidR="00AB444F">
        <w:rPr>
          <w:rFonts w:ascii="-webkit-standard" w:hAnsi="-webkit-standard"/>
          <w:color w:val="000000"/>
        </w:rPr>
        <w:t xml:space="preserve"> </w:t>
      </w:r>
      <w:r w:rsidR="00E6113A">
        <w:rPr>
          <w:rFonts w:ascii="-webkit-standard" w:hAnsi="-webkit-standard"/>
          <w:color w:val="000000"/>
        </w:rPr>
        <w:t>It states that it “will honor existing contracts with winning competitive bid suppliers through the end of their term (May 2021) and maintain current PJM obligations for all suppliers.”</w:t>
      </w:r>
      <w:r>
        <w:rPr>
          <w:rStyle w:val="FootnoteReference"/>
          <w:rFonts w:ascii="-webkit-standard" w:hAnsi="-webkit-standard"/>
          <w:color w:val="000000"/>
        </w:rPr>
        <w:footnoteReference w:id="42"/>
      </w:r>
      <w:r w:rsidR="00AB444F">
        <w:rPr>
          <w:rFonts w:ascii="-webkit-standard" w:hAnsi="-webkit-standard"/>
          <w:color w:val="000000"/>
        </w:rPr>
        <w:t xml:space="preserve"> </w:t>
      </w:r>
      <w:r w:rsidR="00E6113A">
        <w:rPr>
          <w:rFonts w:ascii="-webkit-standard" w:hAnsi="-webkit-standard"/>
          <w:color w:val="000000"/>
        </w:rPr>
        <w:t>“This[,]” according to DP&amp;L, “will maintain the integrity of the competitive bid process and allow non-shopping customers to continue to benefit from market-based rates.”</w:t>
      </w:r>
      <w:r>
        <w:rPr>
          <w:rStyle w:val="FootnoteReference"/>
          <w:rFonts w:ascii="-webkit-standard" w:hAnsi="-webkit-standard"/>
          <w:color w:val="000000"/>
        </w:rPr>
        <w:footnoteReference w:id="43"/>
      </w:r>
      <w:r w:rsidR="00EB42EE">
        <w:rPr>
          <w:rFonts w:ascii="-webkit-standard" w:hAnsi="-webkit-standard"/>
          <w:color w:val="000000"/>
        </w:rPr>
        <w:t xml:space="preserve"> </w:t>
      </w:r>
    </w:p>
    <w:p w:rsidR="00BB5EFB" w:rsidP="00456485" w14:paraId="732EA79E" w14:textId="460C440B">
      <w:pPr>
        <w:pStyle w:val="NormalWeb"/>
        <w:spacing w:before="0" w:beforeAutospacing="0" w:after="0" w:afterAutospacing="0" w:line="480" w:lineRule="auto"/>
        <w:ind w:firstLine="720"/>
        <w:rPr>
          <w:rStyle w:val="normaltextrun"/>
        </w:rPr>
      </w:pPr>
      <w:r>
        <w:rPr>
          <w:rFonts w:ascii="-webkit-standard" w:hAnsi="-webkit-standard"/>
          <w:color w:val="000000"/>
        </w:rPr>
        <w:t>When it approved the RSC charge as a POLR charge in DP&amp;L’s first electric security plan, t</w:t>
      </w:r>
      <w:r w:rsidRPr="0076781A">
        <w:rPr>
          <w:rFonts w:ascii="-webkit-standard" w:hAnsi="-webkit-standard"/>
          <w:color w:val="000000"/>
        </w:rPr>
        <w:t>he PUCO tried to justify the charge to customers by claiming “DP&amp;L retains its obligation, over the long term, to serve as provider of last resort.”</w:t>
      </w:r>
      <w:r>
        <w:rPr>
          <w:rStyle w:val="FootnoteReference"/>
          <w:rFonts w:ascii="-webkit-standard" w:hAnsi="-webkit-standard"/>
          <w:color w:val="000000"/>
        </w:rPr>
        <w:footnoteReference w:id="44"/>
      </w:r>
      <w:r w:rsidR="00AB444F">
        <w:rPr>
          <w:rFonts w:ascii="-webkit-standard" w:hAnsi="-webkit-standard"/>
          <w:color w:val="000000"/>
        </w:rPr>
        <w:t xml:space="preserve"> </w:t>
      </w:r>
      <w:r>
        <w:rPr>
          <w:rFonts w:ascii="-webkit-standard" w:hAnsi="-webkit-standard"/>
          <w:color w:val="000000"/>
        </w:rPr>
        <w:t xml:space="preserve">That rationale has no merit, </w:t>
      </w:r>
      <w:r w:rsidR="00F51616">
        <w:rPr>
          <w:rFonts w:ascii="-webkit-standard" w:hAnsi="-webkit-standard"/>
          <w:color w:val="000000"/>
        </w:rPr>
        <w:t>especially</w:t>
      </w:r>
      <w:r>
        <w:rPr>
          <w:rFonts w:ascii="-webkit-standard" w:hAnsi="-webkit-standard"/>
          <w:color w:val="000000"/>
        </w:rPr>
        <w:t xml:space="preserve"> now.</w:t>
      </w:r>
      <w:r w:rsidR="00AB444F">
        <w:rPr>
          <w:rFonts w:ascii="-webkit-standard" w:hAnsi="-webkit-standard"/>
          <w:color w:val="000000"/>
        </w:rPr>
        <w:t xml:space="preserve"> </w:t>
      </w:r>
      <w:r>
        <w:rPr>
          <w:rFonts w:ascii="-webkit-standard" w:hAnsi="-webkit-standard"/>
          <w:color w:val="000000"/>
        </w:rPr>
        <w:t>As just explained, even DP&amp;L acknowledges that its standard service offer is supplied via contracts through 2021.</w:t>
      </w:r>
      <w:r w:rsidR="00AB444F">
        <w:rPr>
          <w:rFonts w:ascii="-webkit-standard" w:hAnsi="-webkit-standard"/>
          <w:color w:val="000000"/>
        </w:rPr>
        <w:t xml:space="preserve"> </w:t>
      </w:r>
      <w:r w:rsidR="00EB42EE">
        <w:rPr>
          <w:rFonts w:ascii="-webkit-standard" w:hAnsi="-webkit-standard"/>
          <w:color w:val="000000"/>
        </w:rPr>
        <w:t>So,</w:t>
      </w:r>
      <w:r>
        <w:rPr>
          <w:rFonts w:ascii="-webkit-standard" w:hAnsi="-webkit-standard"/>
          <w:color w:val="000000"/>
        </w:rPr>
        <w:t xml:space="preserve"> </w:t>
      </w:r>
      <w:r w:rsidRPr="0076781A">
        <w:t>the successful auction bidders (marketers) will again provide POLR service.</w:t>
      </w:r>
      <w:r w:rsidR="00AB444F">
        <w:t xml:space="preserve"> </w:t>
      </w:r>
      <w:r w:rsidRPr="0076781A">
        <w:t xml:space="preserve">DP&amp;L will not be providing POLR service for customers “in the long-term” through </w:t>
      </w:r>
      <w:r w:rsidR="00456485">
        <w:t xml:space="preserve">May </w:t>
      </w:r>
      <w:r w:rsidRPr="0076781A">
        <w:t>202</w:t>
      </w:r>
      <w:r>
        <w:t>1</w:t>
      </w:r>
      <w:r w:rsidRPr="0076781A">
        <w:t>.</w:t>
      </w:r>
      <w:r w:rsidR="00AB444F">
        <w:t xml:space="preserve"> </w:t>
      </w:r>
      <w:r w:rsidR="00456485">
        <w:rPr>
          <w:rStyle w:val="normaltextrun"/>
        </w:rPr>
        <w:t>A</w:t>
      </w:r>
      <w:r w:rsidRPr="0076781A">
        <w:rPr>
          <w:rStyle w:val="normaltextrun"/>
        </w:rPr>
        <w:t xml:space="preserve">ny claim that DP&amp;L has long-term obligations for POLR would only be true, at the soonest, starting in </w:t>
      </w:r>
      <w:r w:rsidR="00456485">
        <w:rPr>
          <w:rStyle w:val="normaltextrun"/>
        </w:rPr>
        <w:t>June 2021</w:t>
      </w:r>
      <w:r w:rsidRPr="0076781A">
        <w:rPr>
          <w:rStyle w:val="normaltextrun"/>
        </w:rPr>
        <w:t>, if at all.</w:t>
      </w:r>
      <w:r w:rsidR="00AB444F">
        <w:rPr>
          <w:rStyle w:val="normaltextrun"/>
        </w:rPr>
        <w:t xml:space="preserve"> </w:t>
      </w:r>
      <w:r w:rsidR="00456485">
        <w:rPr>
          <w:rStyle w:val="normaltextrun"/>
        </w:rPr>
        <w:t>Further, if and when DP&amp;L is required to provide POLR services, it can file an application to charge consumers through the RSC charge (if it can meet the legal requirements for implementing such a charge) at that time.</w:t>
      </w:r>
      <w:r>
        <w:rPr>
          <w:rStyle w:val="FootnoteReference"/>
        </w:rPr>
        <w:footnoteReference w:id="45"/>
      </w:r>
      <w:r w:rsidR="00EB42EE">
        <w:rPr>
          <w:rStyle w:val="normaltextrun"/>
        </w:rPr>
        <w:t xml:space="preserve"> </w:t>
      </w:r>
    </w:p>
    <w:p w:rsidR="00456485" w:rsidRPr="002A2D82" w:rsidP="002A2D82" w14:paraId="6FC9AE82" w14:textId="298CD830">
      <w:pPr>
        <w:pStyle w:val="Heading3"/>
        <w:rPr>
          <w:rStyle w:val="eop"/>
        </w:rPr>
      </w:pPr>
      <w:bookmarkStart w:id="16" w:name="_Toc482623223"/>
      <w:bookmarkStart w:id="17" w:name="_Toc25756962"/>
      <w:bookmarkStart w:id="18" w:name="_Toc26367079"/>
      <w:r w:rsidRPr="002A2D82">
        <w:rPr>
          <w:rStyle w:val="normaltextrun"/>
        </w:rPr>
        <w:t>2.</w:t>
      </w:r>
      <w:r w:rsidRPr="002A2D82">
        <w:rPr>
          <w:rStyle w:val="normaltextrun"/>
        </w:rPr>
        <w:tab/>
        <w:t>There is no evidentiary support for allowing DP&amp;L</w:t>
      </w:r>
      <w:r w:rsidRPr="002A2D82">
        <w:rPr>
          <w:rStyle w:val="apple-converted-space"/>
        </w:rPr>
        <w:t> </w:t>
      </w:r>
      <w:r w:rsidRPr="002A2D82">
        <w:rPr>
          <w:rStyle w:val="normaltextrun"/>
        </w:rPr>
        <w:t>to charge customers for POLR.</w:t>
      </w:r>
      <w:bookmarkEnd w:id="16"/>
      <w:bookmarkEnd w:id="17"/>
      <w:bookmarkEnd w:id="18"/>
      <w:r w:rsidRPr="002A2D82">
        <w:rPr>
          <w:rStyle w:val="normaltextrun"/>
        </w:rPr>
        <w:t xml:space="preserve"> </w:t>
      </w:r>
    </w:p>
    <w:p w:rsidR="00FD3C71" w:rsidP="0045326F" w14:paraId="31656401" w14:textId="62792F62">
      <w:pPr>
        <w:spacing w:line="480" w:lineRule="auto"/>
        <w:rPr>
          <w:color w:val="000000"/>
        </w:rPr>
      </w:pPr>
      <w:r w:rsidRPr="0076781A">
        <w:rPr>
          <w:rFonts w:ascii="-webkit-standard" w:hAnsi="-webkit-standard"/>
          <w:color w:val="000000"/>
          <w:sz w:val="27"/>
          <w:szCs w:val="27"/>
        </w:rPr>
        <w:tab/>
      </w:r>
      <w:r w:rsidRPr="0076781A">
        <w:rPr>
          <w:color w:val="000000"/>
        </w:rPr>
        <w:t>R.C. 4903.09 requires the PUCO to set forth “findings of fact and written opinions setting forth the reason prompting the decisions arrived at, based upon said findings of fact.”</w:t>
      </w:r>
      <w:r w:rsidR="00AB444F">
        <w:rPr>
          <w:color w:val="000000"/>
        </w:rPr>
        <w:t xml:space="preserve"> </w:t>
      </w:r>
      <w:r w:rsidRPr="0076781A">
        <w:rPr>
          <w:color w:val="000000"/>
        </w:rPr>
        <w:t xml:space="preserve">When the PUCO does not set forth detailed findings, it fails to comply </w:t>
      </w:r>
    </w:p>
    <w:p w:rsidR="00456485" w:rsidRPr="0076781A" w:rsidP="00456485" w14:paraId="2738B1F5" w14:textId="6763E928">
      <w:pPr>
        <w:spacing w:line="480" w:lineRule="auto"/>
      </w:pPr>
      <w:r w:rsidRPr="0076781A">
        <w:rPr>
          <w:color w:val="000000"/>
        </w:rPr>
        <w:t xml:space="preserve">with the requirements of this section and its </w:t>
      </w:r>
      <w:r>
        <w:rPr>
          <w:color w:val="000000"/>
        </w:rPr>
        <w:t>o</w:t>
      </w:r>
      <w:r w:rsidRPr="0076781A">
        <w:rPr>
          <w:color w:val="000000"/>
        </w:rPr>
        <w:t>rder is unlawful.</w:t>
      </w:r>
      <w:r>
        <w:rPr>
          <w:rStyle w:val="FootnoteReference"/>
          <w:color w:val="000000"/>
        </w:rPr>
        <w:footnoteReference w:id="46"/>
      </w:r>
      <w:r w:rsidR="00AB444F">
        <w:rPr>
          <w:color w:val="000000"/>
        </w:rPr>
        <w:t xml:space="preserve"> </w:t>
      </w:r>
      <w:r>
        <w:t>In DP&amp;L’s first electric security plan case, there was no evidence supporting a POLR charge</w:t>
      </w:r>
      <w:r w:rsidRPr="0076781A">
        <w:t>.</w:t>
      </w:r>
    </w:p>
    <w:p w:rsidR="00456485" w:rsidRPr="0076781A" w:rsidP="00456485" w14:paraId="450FB9E1" w14:textId="0E1DF3BC">
      <w:pPr>
        <w:pStyle w:val="paragraph"/>
        <w:spacing w:before="0" w:beforeAutospacing="0" w:after="0" w:afterAutospacing="0" w:line="480" w:lineRule="auto"/>
        <w:ind w:firstLine="720"/>
        <w:textAlignment w:val="baseline"/>
        <w:rPr>
          <w:rFonts w:ascii="Tahoma" w:hAnsi="Tahoma" w:cs="Tahoma"/>
          <w:sz w:val="12"/>
          <w:szCs w:val="12"/>
        </w:rPr>
      </w:pPr>
      <w:r w:rsidRPr="0076781A">
        <w:rPr>
          <w:rStyle w:val="normaltextrun"/>
        </w:rPr>
        <w:t>DP&amp;L’s rate stabilization surcharge has not been justified</w:t>
      </w:r>
      <w:r w:rsidR="00BE7A85">
        <w:rPr>
          <w:rStyle w:val="normaltextrun"/>
        </w:rPr>
        <w:t>, with evidence,</w:t>
      </w:r>
      <w:r w:rsidRPr="0076781A">
        <w:rPr>
          <w:rStyle w:val="normaltextrun"/>
        </w:rPr>
        <w:t xml:space="preserve"> as a POLR charge.</w:t>
      </w:r>
      <w:r w:rsidR="00AB444F">
        <w:rPr>
          <w:rStyle w:val="normaltextrun"/>
        </w:rPr>
        <w:t xml:space="preserve"> </w:t>
      </w:r>
      <w:r w:rsidRPr="0076781A">
        <w:rPr>
          <w:rStyle w:val="normaltextrun"/>
        </w:rPr>
        <w:t xml:space="preserve">At no stage during any of the prior proceedings, and at no time in DP&amp;L’s recent filing, did </w:t>
      </w:r>
      <w:r w:rsidR="00BE7A85">
        <w:rPr>
          <w:rStyle w:val="normaltextrun"/>
        </w:rPr>
        <w:t>DP&amp;L</w:t>
      </w:r>
      <w:r w:rsidRPr="0076781A">
        <w:rPr>
          <w:rStyle w:val="normaltextrun"/>
        </w:rPr>
        <w:t xml:space="preserve"> produce any cost</w:t>
      </w:r>
      <w:r w:rsidR="00C6136D">
        <w:rPr>
          <w:rStyle w:val="normaltextrun"/>
        </w:rPr>
        <w:t>-</w:t>
      </w:r>
      <w:r w:rsidRPr="0076781A">
        <w:rPr>
          <w:rStyle w:val="normaltextrun"/>
        </w:rPr>
        <w:t>based evidence related to POLR costs.</w:t>
      </w:r>
      <w:r w:rsidR="00AB444F">
        <w:rPr>
          <w:rStyle w:val="normaltextrun"/>
        </w:rPr>
        <w:t xml:space="preserve"> </w:t>
      </w:r>
      <w:r w:rsidRPr="0076781A">
        <w:rPr>
          <w:rStyle w:val="normaltextrun"/>
        </w:rPr>
        <w:t>Obviously, DP&amp;L could not provide evidence on the costs incurred for POLR because it is not providing POLR service, as the PUCO found.</w:t>
      </w:r>
      <w:r>
        <w:rPr>
          <w:rStyle w:val="FootnoteReference"/>
        </w:rPr>
        <w:footnoteReference w:id="47"/>
      </w:r>
      <w:r w:rsidR="00AB444F">
        <w:rPr>
          <w:rStyle w:val="normaltextrun"/>
        </w:rPr>
        <w:t xml:space="preserve"> </w:t>
      </w:r>
      <w:r w:rsidRPr="0076781A">
        <w:rPr>
          <w:rStyle w:val="normaltextrun"/>
        </w:rPr>
        <w:t xml:space="preserve">Instead the winning bidders in the SSO auctions are providing that service, which presumably is built into the standard service rate. </w:t>
      </w:r>
    </w:p>
    <w:p w:rsidR="00456485" w:rsidRPr="0076781A" w:rsidP="00456485" w14:paraId="075AB739" w14:textId="0A9AB980">
      <w:pPr>
        <w:pStyle w:val="paragraph"/>
        <w:spacing w:before="0" w:beforeAutospacing="0" w:after="0" w:afterAutospacing="0" w:line="480" w:lineRule="auto"/>
        <w:ind w:firstLine="720"/>
        <w:textAlignment w:val="baseline"/>
        <w:rPr>
          <w:rFonts w:ascii="Tahoma" w:hAnsi="Tahoma" w:cs="Tahoma"/>
          <w:sz w:val="12"/>
          <w:szCs w:val="12"/>
        </w:rPr>
      </w:pPr>
      <w:r w:rsidRPr="0076781A">
        <w:rPr>
          <w:rStyle w:val="normaltextrun"/>
        </w:rPr>
        <w:t>And while POLR charges do not necessarily have to reflect cost, if a POLR charge is non-cost based, it must be shown to be reasonable.</w:t>
      </w:r>
      <w:r>
        <w:rPr>
          <w:rStyle w:val="FootnoteReference"/>
        </w:rPr>
        <w:footnoteReference w:id="48"/>
      </w:r>
      <w:r w:rsidR="00AB444F">
        <w:rPr>
          <w:rStyle w:val="normaltextrun"/>
        </w:rPr>
        <w:t xml:space="preserve"> </w:t>
      </w:r>
      <w:r w:rsidRPr="0076781A">
        <w:rPr>
          <w:rStyle w:val="normaltextrun"/>
        </w:rPr>
        <w:t>DP&amp;L’s POLR charge, established in 2005, was arbitrarily set at 11% of DP&amp;L’s January 2004 generation rates. Back in 2005 when DP&amp;L was providing generation service, it may have seemed reasonable to charge customers for DP&amp;L’s POLR service, and at a rate tied to DP&amp;L’s generation service.</w:t>
      </w:r>
    </w:p>
    <w:p w:rsidR="00456485" w:rsidRPr="0076781A" w:rsidP="00456485" w14:paraId="3E33A7F3" w14:textId="7265D935">
      <w:pPr>
        <w:pStyle w:val="paragraph"/>
        <w:spacing w:before="0" w:beforeAutospacing="0" w:after="0" w:afterAutospacing="0" w:line="480" w:lineRule="auto"/>
        <w:ind w:firstLine="720"/>
        <w:textAlignment w:val="baseline"/>
        <w:rPr>
          <w:rStyle w:val="normaltextrun"/>
        </w:rPr>
      </w:pPr>
      <w:r w:rsidRPr="0076781A">
        <w:rPr>
          <w:rStyle w:val="apple-converted-space"/>
        </w:rPr>
        <w:t>But in 201</w:t>
      </w:r>
      <w:r w:rsidR="00BE7A85">
        <w:rPr>
          <w:rStyle w:val="apple-converted-space"/>
        </w:rPr>
        <w:t>9</w:t>
      </w:r>
      <w:r w:rsidRPr="0076781A">
        <w:rPr>
          <w:rStyle w:val="apple-converted-space"/>
        </w:rPr>
        <w:t>, with DP&amp;L no longer providing generation service to customers, </w:t>
      </w:r>
      <w:r w:rsidRPr="0076781A">
        <w:rPr>
          <w:rStyle w:val="normaltextrun"/>
        </w:rPr>
        <w:t>there is no support for charging customers for POLR service, based on an assumed calculation tied to a percentage of DP&amp;L’s 2004 generation rates.</w:t>
      </w:r>
      <w:r w:rsidR="00AB444F">
        <w:rPr>
          <w:rStyle w:val="normaltextrun"/>
        </w:rPr>
        <w:t xml:space="preserve"> </w:t>
      </w:r>
      <w:r w:rsidRPr="0076781A">
        <w:rPr>
          <w:rStyle w:val="normaltextrun"/>
        </w:rPr>
        <w:t>Yet</w:t>
      </w:r>
      <w:r w:rsidR="00BE7A85">
        <w:rPr>
          <w:rStyle w:val="normaltextrun"/>
        </w:rPr>
        <w:t xml:space="preserve"> </w:t>
      </w:r>
      <w:r w:rsidR="00F51616">
        <w:rPr>
          <w:rStyle w:val="normaltextrun"/>
        </w:rPr>
        <w:t xml:space="preserve">DP&amp;L request that </w:t>
      </w:r>
      <w:r w:rsidR="00BE7A85">
        <w:rPr>
          <w:rStyle w:val="normaltextrun"/>
        </w:rPr>
        <w:t xml:space="preserve">the PUCO do just that </w:t>
      </w:r>
      <w:r w:rsidR="00F51616">
        <w:rPr>
          <w:rStyle w:val="normaltextrun"/>
        </w:rPr>
        <w:t>and</w:t>
      </w:r>
      <w:r w:rsidR="00BE7A85">
        <w:rPr>
          <w:rStyle w:val="normaltextrun"/>
        </w:rPr>
        <w:t xml:space="preserve"> approve </w:t>
      </w:r>
      <w:r w:rsidR="00F51616">
        <w:rPr>
          <w:rStyle w:val="normaltextrun"/>
        </w:rPr>
        <w:t>a</w:t>
      </w:r>
      <w:r w:rsidR="00BE7A85">
        <w:rPr>
          <w:rStyle w:val="normaltextrun"/>
        </w:rPr>
        <w:t xml:space="preserve"> charge other than zero for the RSC</w:t>
      </w:r>
      <w:r w:rsidRPr="0076781A">
        <w:rPr>
          <w:rStyle w:val="normaltextrun"/>
        </w:rPr>
        <w:t>.</w:t>
      </w:r>
      <w:r w:rsidR="00AB444F">
        <w:rPr>
          <w:rStyle w:val="normaltextrun"/>
        </w:rPr>
        <w:t xml:space="preserve"> </w:t>
      </w:r>
      <w:r w:rsidRPr="0076781A">
        <w:rPr>
          <w:rStyle w:val="normaltextrun"/>
        </w:rPr>
        <w:t xml:space="preserve">There </w:t>
      </w:r>
      <w:r w:rsidR="00BE7A85">
        <w:rPr>
          <w:rStyle w:val="normaltextrun"/>
        </w:rPr>
        <w:t xml:space="preserve">has </w:t>
      </w:r>
      <w:r w:rsidR="00BE7A85">
        <w:rPr>
          <w:rStyle w:val="normaltextrun"/>
          <w:i/>
          <w:iCs/>
        </w:rPr>
        <w:t xml:space="preserve">never </w:t>
      </w:r>
      <w:r w:rsidR="00BE7A85">
        <w:rPr>
          <w:rStyle w:val="normaltextrun"/>
        </w:rPr>
        <w:t>been</w:t>
      </w:r>
      <w:r w:rsidRPr="0076781A">
        <w:rPr>
          <w:rStyle w:val="normaltextrun"/>
        </w:rPr>
        <w:t xml:space="preserve"> sufficient and probative evidence that supports charging customers for POLR service that is not being provided by DP&amp;L to its customers. </w:t>
      </w:r>
    </w:p>
    <w:p w:rsidR="00D44B4A" w:rsidP="00456485" w14:paraId="292F8498" w14:textId="77C906F4">
      <w:pPr>
        <w:pStyle w:val="paragraph"/>
        <w:spacing w:before="0" w:beforeAutospacing="0" w:after="0" w:afterAutospacing="0" w:line="480" w:lineRule="auto"/>
        <w:ind w:firstLine="720"/>
        <w:textAlignment w:val="baseline"/>
        <w:rPr>
          <w:rStyle w:val="normaltextrun"/>
        </w:rPr>
      </w:pPr>
      <w:r w:rsidRPr="0076781A">
        <w:rPr>
          <w:rStyle w:val="normaltextrun"/>
        </w:rPr>
        <w:t xml:space="preserve">The </w:t>
      </w:r>
      <w:r w:rsidR="00BE7A85">
        <w:rPr>
          <w:rStyle w:val="normaltextrun"/>
        </w:rPr>
        <w:t>PUCO</w:t>
      </w:r>
      <w:r w:rsidRPr="0076781A">
        <w:rPr>
          <w:rStyle w:val="normaltextrun"/>
        </w:rPr>
        <w:t xml:space="preserve"> should, consistent with R.C. 4903.09, </w:t>
      </w:r>
      <w:r w:rsidR="00BE7A85">
        <w:rPr>
          <w:rStyle w:val="normaltextrun"/>
        </w:rPr>
        <w:t>reject DP&amp;L’s RSC charge tariff as filed</w:t>
      </w:r>
      <w:r w:rsidRPr="0076781A">
        <w:rPr>
          <w:rStyle w:val="normaltextrun"/>
        </w:rPr>
        <w:t>.</w:t>
      </w:r>
      <w:r w:rsidR="00AB444F">
        <w:rPr>
          <w:rStyle w:val="normaltextrun"/>
        </w:rPr>
        <w:t xml:space="preserve"> </w:t>
      </w:r>
      <w:r w:rsidR="00BE7A85">
        <w:rPr>
          <w:rStyle w:val="normaltextrun"/>
        </w:rPr>
        <w:t>It should set the RSC charge at zero.</w:t>
      </w:r>
      <w:r w:rsidR="004700CC">
        <w:rPr>
          <w:rStyle w:val="normaltextrun"/>
        </w:rPr>
        <w:t xml:space="preserve"> </w:t>
      </w:r>
    </w:p>
    <w:p w:rsidR="002B2B09" w:rsidP="002A2D82" w14:paraId="6C0E41AF" w14:textId="3FF77A9C">
      <w:pPr>
        <w:pStyle w:val="Heading2"/>
        <w:rPr>
          <w:rStyle w:val="normaltextrun"/>
        </w:rPr>
      </w:pPr>
      <w:bookmarkStart w:id="19" w:name="_Toc25756963"/>
      <w:bookmarkStart w:id="20" w:name="_Toc26367080"/>
      <w:r>
        <w:rPr>
          <w:rStyle w:val="Heading2Char"/>
        </w:rPr>
        <w:t>E</w:t>
      </w:r>
      <w:r w:rsidRPr="002B2B09" w:rsidR="00D44B4A">
        <w:rPr>
          <w:rStyle w:val="Heading2Char"/>
        </w:rPr>
        <w:t>.</w:t>
      </w:r>
      <w:r w:rsidRPr="002B2B09" w:rsidR="00D44B4A">
        <w:rPr>
          <w:rStyle w:val="Heading2Char"/>
        </w:rPr>
        <w:tab/>
        <w:t>Tariffs for riders that were part of DP&amp;L’s third electric security</w:t>
      </w:r>
      <w:bookmarkEnd w:id="19"/>
      <w:r w:rsidR="00D44B4A">
        <w:rPr>
          <w:rStyle w:val="normaltextrun"/>
        </w:rPr>
        <w:t xml:space="preserve"> </w:t>
      </w:r>
      <w:r w:rsidRPr="002B2B09" w:rsidR="00D44B4A">
        <w:rPr>
          <w:rStyle w:val="Heading2Char"/>
        </w:rPr>
        <w:t>plan should be rejected</w:t>
      </w:r>
      <w:r w:rsidR="00925726">
        <w:rPr>
          <w:rStyle w:val="Heading2Char"/>
        </w:rPr>
        <w:t xml:space="preserve"> to protect consumers</w:t>
      </w:r>
      <w:r w:rsidRPr="002B2B09" w:rsidR="00D44B4A">
        <w:rPr>
          <w:rStyle w:val="Heading2Char"/>
        </w:rPr>
        <w:t>.</w:t>
      </w:r>
      <w:bookmarkEnd w:id="20"/>
      <w:r w:rsidR="00EB42EE">
        <w:rPr>
          <w:rStyle w:val="normaltextrun"/>
        </w:rPr>
        <w:t xml:space="preserve"> </w:t>
      </w:r>
    </w:p>
    <w:p w:rsidR="002B2B09" w:rsidP="002B2B09" w14:paraId="74C8F74C" w14:textId="77777777">
      <w:pPr>
        <w:pStyle w:val="paragraph"/>
        <w:spacing w:before="0" w:beforeAutospacing="0" w:after="0" w:afterAutospacing="0"/>
        <w:ind w:left="1440" w:hanging="720"/>
        <w:textAlignment w:val="baseline"/>
      </w:pPr>
    </w:p>
    <w:p w:rsidR="007C7151" w:rsidP="007C7151" w14:paraId="3CA19CA1" w14:textId="3FCE7898">
      <w:pPr>
        <w:spacing w:line="480" w:lineRule="auto"/>
        <w:ind w:firstLine="720"/>
      </w:pPr>
      <w:r>
        <w:t>Under certain circumstances (</w:t>
      </w:r>
      <w:r w:rsidRPr="00E67100">
        <w:t>not</w:t>
      </w:r>
      <w:r>
        <w:t xml:space="preserve"> present here), a utility may withdraw its </w:t>
      </w:r>
      <w:r w:rsidR="00DD782F">
        <w:t>electric security plan</w:t>
      </w:r>
      <w:r>
        <w:t xml:space="preserve"> application under R.C. 4928.143(C)(2)(a).</w:t>
      </w:r>
      <w:r w:rsidR="00AB444F">
        <w:t xml:space="preserve"> </w:t>
      </w:r>
      <w:r>
        <w:t>When a utility does so, it withdraws the application in its entirety, “thereby terminating it.”</w:t>
      </w:r>
      <w:r w:rsidR="00AB444F">
        <w:t xml:space="preserve"> </w:t>
      </w:r>
      <w:r>
        <w:t xml:space="preserve">The statute, however, does not allow a utility to keep the parts of its new </w:t>
      </w:r>
      <w:r w:rsidR="00DD782F">
        <w:t>electric security plan</w:t>
      </w:r>
      <w:r>
        <w:t xml:space="preserve"> that it likes and revert to the parts of an old </w:t>
      </w:r>
      <w:r w:rsidR="00DD782F">
        <w:t>electric security plan</w:t>
      </w:r>
      <w:r>
        <w:t xml:space="preserve"> that it also likes, cobbling together a hybrid </w:t>
      </w:r>
      <w:r w:rsidR="00F51616">
        <w:t xml:space="preserve">or blended </w:t>
      </w:r>
      <w:r w:rsidR="00DD782F">
        <w:t>plan</w:t>
      </w:r>
      <w:r>
        <w:t xml:space="preserve"> to the utility’s advantage.</w:t>
      </w:r>
      <w:r w:rsidR="00AB444F">
        <w:t xml:space="preserve"> </w:t>
      </w:r>
      <w:r>
        <w:t>But that is exactly what DP&amp;L is trying to do here.</w:t>
      </w:r>
    </w:p>
    <w:p w:rsidR="00D44B4A" w:rsidP="00D44B4A" w14:paraId="011510A0" w14:textId="029CF2AC">
      <w:pPr>
        <w:spacing w:line="480" w:lineRule="auto"/>
        <w:ind w:firstLine="720"/>
      </w:pPr>
      <w:r w:rsidRPr="00547E0A">
        <w:rPr>
          <w:szCs w:val="24"/>
        </w:rPr>
        <w:t>R.C. 4928.143(C)(2)</w:t>
      </w:r>
      <w:r>
        <w:rPr>
          <w:szCs w:val="24"/>
        </w:rPr>
        <w:t xml:space="preserve">(b) provides that if a utility </w:t>
      </w:r>
      <w:r w:rsidRPr="00547E0A">
        <w:rPr>
          <w:szCs w:val="24"/>
        </w:rPr>
        <w:t>terminates its ESP application the “[</w:t>
      </w:r>
      <w:r>
        <w:rPr>
          <w:szCs w:val="24"/>
        </w:rPr>
        <w:t>C</w:t>
      </w:r>
      <w:r w:rsidRPr="00547E0A">
        <w:rPr>
          <w:szCs w:val="24"/>
        </w:rPr>
        <w:t>]ommission shall issu</w:t>
      </w:r>
      <w:r>
        <w:rPr>
          <w:szCs w:val="24"/>
        </w:rPr>
        <w:t xml:space="preserve">e such order as is necessary to </w:t>
      </w:r>
      <w:r w:rsidRPr="00547E0A">
        <w:rPr>
          <w:szCs w:val="24"/>
        </w:rPr>
        <w:t>continue the provisions, terms, and conditions of the utility’s most recent standard service offer,</w:t>
      </w:r>
      <w:r>
        <w:rPr>
          <w:szCs w:val="24"/>
        </w:rPr>
        <w:t xml:space="preserve"> </w:t>
      </w:r>
      <w:r w:rsidRPr="00547E0A">
        <w:rPr>
          <w:szCs w:val="24"/>
        </w:rPr>
        <w:t>along with any expected increases or decreases in fuel costs.”</w:t>
      </w:r>
      <w:r w:rsidR="00AB444F">
        <w:rPr>
          <w:szCs w:val="24"/>
        </w:rPr>
        <w:t xml:space="preserve"> </w:t>
      </w:r>
      <w:r w:rsidRPr="00547E0A">
        <w:rPr>
          <w:szCs w:val="24"/>
        </w:rPr>
        <w:t>By statute, the Commission is limited to authorizing a return to the EDU’s most</w:t>
      </w:r>
      <w:r>
        <w:rPr>
          <w:szCs w:val="24"/>
        </w:rPr>
        <w:t xml:space="preserve"> </w:t>
      </w:r>
      <w:r w:rsidRPr="00547E0A">
        <w:rPr>
          <w:szCs w:val="24"/>
        </w:rPr>
        <w:t>recent ESP together with n</w:t>
      </w:r>
      <w:r>
        <w:rPr>
          <w:szCs w:val="24"/>
        </w:rPr>
        <w:t>ecessary fuel-cost adjustments.</w:t>
      </w:r>
      <w:r w:rsidR="00AB444F">
        <w:rPr>
          <w:szCs w:val="24"/>
        </w:rPr>
        <w:t xml:space="preserve"> </w:t>
      </w:r>
      <w:r w:rsidRPr="00547E0A">
        <w:rPr>
          <w:szCs w:val="24"/>
        </w:rPr>
        <w:t>Where a statute is unambiguous, it</w:t>
      </w:r>
      <w:r>
        <w:rPr>
          <w:szCs w:val="24"/>
        </w:rPr>
        <w:t xml:space="preserve"> </w:t>
      </w:r>
      <w:r w:rsidRPr="00547E0A">
        <w:rPr>
          <w:szCs w:val="24"/>
        </w:rPr>
        <w:t>must be en</w:t>
      </w:r>
      <w:r>
        <w:rPr>
          <w:szCs w:val="24"/>
        </w:rPr>
        <w:t>forced according to its terms.</w:t>
      </w:r>
      <w:r w:rsidR="00AB444F">
        <w:rPr>
          <w:szCs w:val="24"/>
        </w:rPr>
        <w:t xml:space="preserve"> </w:t>
      </w:r>
      <w:r w:rsidRPr="00547E0A">
        <w:rPr>
          <w:szCs w:val="24"/>
        </w:rPr>
        <w:t>Applying that interpr</w:t>
      </w:r>
      <w:r>
        <w:rPr>
          <w:szCs w:val="24"/>
        </w:rPr>
        <w:t xml:space="preserve">etive principle, the Commission </w:t>
      </w:r>
      <w:r w:rsidRPr="00547E0A">
        <w:rPr>
          <w:szCs w:val="24"/>
        </w:rPr>
        <w:t xml:space="preserve">should </w:t>
      </w:r>
      <w:r>
        <w:rPr>
          <w:szCs w:val="24"/>
        </w:rPr>
        <w:t>conclude</w:t>
      </w:r>
      <w:r w:rsidRPr="00547E0A">
        <w:rPr>
          <w:szCs w:val="24"/>
        </w:rPr>
        <w:t xml:space="preserve"> that its powers under R.C. 4928.143(C)(2)(b) were limited to authorizing</w:t>
      </w:r>
      <w:r>
        <w:rPr>
          <w:szCs w:val="24"/>
        </w:rPr>
        <w:t xml:space="preserve"> </w:t>
      </w:r>
      <w:r w:rsidRPr="00547E0A">
        <w:rPr>
          <w:szCs w:val="24"/>
        </w:rPr>
        <w:t xml:space="preserve">DP&amp;L to implement its ESP </w:t>
      </w:r>
      <w:r>
        <w:rPr>
          <w:szCs w:val="24"/>
        </w:rPr>
        <w:t>I</w:t>
      </w:r>
      <w:r w:rsidRPr="00547E0A">
        <w:rPr>
          <w:szCs w:val="24"/>
        </w:rPr>
        <w:t xml:space="preserve"> after withdrawal, not </w:t>
      </w:r>
      <w:r>
        <w:rPr>
          <w:szCs w:val="24"/>
        </w:rPr>
        <w:t>some</w:t>
      </w:r>
      <w:r w:rsidRPr="00547E0A">
        <w:rPr>
          <w:szCs w:val="24"/>
        </w:rPr>
        <w:t xml:space="preserve"> blend of </w:t>
      </w:r>
      <w:r>
        <w:rPr>
          <w:szCs w:val="24"/>
        </w:rPr>
        <w:t>its ESP I, its ESP II, and now its ESP III.</w:t>
      </w:r>
      <w:r w:rsidR="00AB444F">
        <w:rPr>
          <w:szCs w:val="24"/>
        </w:rPr>
        <w:t xml:space="preserve"> </w:t>
      </w:r>
      <w:r w:rsidR="002C35FB">
        <w:t xml:space="preserve">Through its filing, </w:t>
      </w:r>
      <w:r w:rsidR="00CC51C4">
        <w:t>DP&amp;L cherry-picks charges from its third electric security plan (</w:t>
      </w:r>
      <w:r w:rsidR="007C7151">
        <w:t xml:space="preserve">which </w:t>
      </w:r>
      <w:r w:rsidR="00CC51C4">
        <w:t>it is asking to withdraw) and asks the PUCO to authorize them as part of its effort to return to its first electric security plan.</w:t>
      </w:r>
      <w:r w:rsidR="00EB42EE">
        <w:t xml:space="preserve"> </w:t>
      </w:r>
      <w:r w:rsidR="007C7151">
        <w:t xml:space="preserve">But the law requires complete withdrawal and termination of the current </w:t>
      </w:r>
      <w:r w:rsidR="00DD782F">
        <w:t>electric security plan</w:t>
      </w:r>
      <w:r w:rsidR="007C7151">
        <w:t xml:space="preserve"> application. </w:t>
      </w:r>
      <w:r w:rsidR="00CC51C4">
        <w:t xml:space="preserve">It does </w:t>
      </w:r>
      <w:r w:rsidR="00CC51C4">
        <w:rPr>
          <w:i/>
          <w:iCs/>
        </w:rPr>
        <w:t xml:space="preserve">not </w:t>
      </w:r>
      <w:r w:rsidR="00CC51C4">
        <w:t>permit a utility, as DP&amp;L is attempting to do here, to pick and choose charges from different electric security plan</w:t>
      </w:r>
      <w:r w:rsidR="00F51616">
        <w:t>s</w:t>
      </w:r>
      <w:r w:rsidR="00CC51C4">
        <w:t xml:space="preserve"> to cobble together an entirely different </w:t>
      </w:r>
      <w:r w:rsidR="00F51616">
        <w:t>plan</w:t>
      </w:r>
      <w:r w:rsidR="00CC51C4">
        <w:t>.</w:t>
      </w:r>
      <w:r w:rsidR="00EB42EE">
        <w:t xml:space="preserve"> </w:t>
      </w:r>
    </w:p>
    <w:p w:rsidR="002C35FB" w:rsidP="002C35FB" w14:paraId="7EE9DAF3" w14:textId="275EED8B">
      <w:pPr>
        <w:spacing w:line="480" w:lineRule="auto"/>
        <w:ind w:firstLine="720"/>
        <w:jc w:val="both"/>
        <w:rPr>
          <w:szCs w:val="24"/>
        </w:rPr>
      </w:pPr>
      <w:r>
        <w:t>Although DP&amp;L proposes returning to its first electric security plan, it also proposes keeping charges from its third electric security plan – the Storm Rider, Uncollectible Rider, Regulatory Compliance Rider, Decoupling Rider, and Distribution Investment Rider.</w:t>
      </w:r>
      <w:r>
        <w:rPr>
          <w:rStyle w:val="FootnoteReference"/>
        </w:rPr>
        <w:footnoteReference w:id="49"/>
      </w:r>
      <w:r w:rsidR="00EB42EE">
        <w:t xml:space="preserve"> </w:t>
      </w:r>
      <w:r>
        <w:rPr>
          <w:i/>
          <w:iCs/>
        </w:rPr>
        <w:t>None of these charges were in DP&amp;L’s first electric security plan that DP&amp;L is proposing to go back to.</w:t>
      </w:r>
      <w:r>
        <w:rPr>
          <w:rStyle w:val="FootnoteReference"/>
        </w:rPr>
        <w:footnoteReference w:id="50"/>
      </w:r>
      <w:r w:rsidR="00AB444F">
        <w:t xml:space="preserve"> </w:t>
      </w:r>
      <w:r>
        <w:t>If they were removed from DP&amp;L’s tariffs (which they should be), a typical residential consumer would save an additional $5.51 per month.</w:t>
      </w:r>
      <w:r>
        <w:rPr>
          <w:rStyle w:val="FootnoteReference"/>
        </w:rPr>
        <w:footnoteReference w:id="51"/>
      </w:r>
      <w:r w:rsidR="00EB42EE">
        <w:t xml:space="preserve"> </w:t>
      </w:r>
      <w:r>
        <w:rPr>
          <w:szCs w:val="24"/>
        </w:rPr>
        <w:t xml:space="preserve">By </w:t>
      </w:r>
      <w:r w:rsidRPr="00547E0A">
        <w:rPr>
          <w:szCs w:val="24"/>
        </w:rPr>
        <w:t xml:space="preserve">allowing DP&amp;L to return to its ESP </w:t>
      </w:r>
      <w:r>
        <w:rPr>
          <w:szCs w:val="24"/>
        </w:rPr>
        <w:t>I</w:t>
      </w:r>
      <w:r w:rsidRPr="00547E0A">
        <w:rPr>
          <w:szCs w:val="24"/>
        </w:rPr>
        <w:t xml:space="preserve"> while retaining certain aspects of the competitive bidding</w:t>
      </w:r>
      <w:r>
        <w:rPr>
          <w:szCs w:val="24"/>
        </w:rPr>
        <w:t xml:space="preserve"> </w:t>
      </w:r>
      <w:r w:rsidRPr="00547E0A">
        <w:rPr>
          <w:szCs w:val="24"/>
        </w:rPr>
        <w:t xml:space="preserve">process which were approved under ESP </w:t>
      </w:r>
      <w:r>
        <w:rPr>
          <w:szCs w:val="24"/>
        </w:rPr>
        <w:t>II and other riders contained in ESP III</w:t>
      </w:r>
      <w:r w:rsidRPr="00547E0A">
        <w:rPr>
          <w:szCs w:val="24"/>
        </w:rPr>
        <w:t xml:space="preserve">, the </w:t>
      </w:r>
      <w:r>
        <w:rPr>
          <w:szCs w:val="24"/>
        </w:rPr>
        <w:t xml:space="preserve">PUCO would exceed its powers </w:t>
      </w:r>
      <w:r w:rsidRPr="00547E0A">
        <w:rPr>
          <w:szCs w:val="24"/>
        </w:rPr>
        <w:t>conferred by R.C. 4928.143(C)(2)(b</w:t>
      </w:r>
      <w:r>
        <w:rPr>
          <w:szCs w:val="24"/>
        </w:rPr>
        <w:t xml:space="preserve">). </w:t>
      </w:r>
    </w:p>
    <w:p w:rsidR="002C35FB" w:rsidP="002C35FB" w14:paraId="2B736223" w14:textId="206EA6C1">
      <w:pPr>
        <w:spacing w:line="480" w:lineRule="auto"/>
        <w:ind w:firstLine="720"/>
        <w:jc w:val="both"/>
        <w:rPr>
          <w:szCs w:val="24"/>
        </w:rPr>
      </w:pPr>
      <w:r>
        <w:rPr>
          <w:szCs w:val="24"/>
        </w:rPr>
        <w:t>DP&amp;L’s attempts to fall back on an old and inapplicable ESP are not a new tactic, but they are improper as ever: O</w:t>
      </w:r>
      <w:r w:rsidRPr="009F6599">
        <w:rPr>
          <w:szCs w:val="24"/>
        </w:rPr>
        <w:t xml:space="preserve">n June 20, 2016, the </w:t>
      </w:r>
      <w:r>
        <w:rPr>
          <w:szCs w:val="24"/>
        </w:rPr>
        <w:t xml:space="preserve">Supreme </w:t>
      </w:r>
      <w:r w:rsidRPr="009F6599">
        <w:rPr>
          <w:szCs w:val="24"/>
        </w:rPr>
        <w:t>Court</w:t>
      </w:r>
      <w:r>
        <w:rPr>
          <w:szCs w:val="24"/>
        </w:rPr>
        <w:t xml:space="preserve"> of Ohio</w:t>
      </w:r>
      <w:r w:rsidRPr="009F6599">
        <w:rPr>
          <w:szCs w:val="24"/>
        </w:rPr>
        <w:t xml:space="preserve"> issued an opi</w:t>
      </w:r>
      <w:r>
        <w:rPr>
          <w:szCs w:val="24"/>
        </w:rPr>
        <w:t xml:space="preserve">nion reversing the </w:t>
      </w:r>
      <w:r w:rsidR="00114B8F">
        <w:rPr>
          <w:szCs w:val="24"/>
        </w:rPr>
        <w:t>PUCO’s</w:t>
      </w:r>
      <w:r>
        <w:rPr>
          <w:szCs w:val="24"/>
        </w:rPr>
        <w:t xml:space="preserve"> </w:t>
      </w:r>
      <w:r w:rsidRPr="009F6599">
        <w:rPr>
          <w:szCs w:val="24"/>
        </w:rPr>
        <w:t xml:space="preserve">decision approving </w:t>
      </w:r>
      <w:r>
        <w:rPr>
          <w:szCs w:val="24"/>
        </w:rPr>
        <w:t>rider</w:t>
      </w:r>
      <w:r w:rsidRPr="009F6599">
        <w:rPr>
          <w:szCs w:val="24"/>
        </w:rPr>
        <w:t xml:space="preserve"> SSR </w:t>
      </w:r>
      <w:r>
        <w:rPr>
          <w:szCs w:val="24"/>
        </w:rPr>
        <w:t xml:space="preserve">as </w:t>
      </w:r>
      <w:r w:rsidRPr="009F6599">
        <w:rPr>
          <w:szCs w:val="24"/>
        </w:rPr>
        <w:t>included in ESP II.</w:t>
      </w:r>
      <w:r w:rsidR="00AB444F">
        <w:rPr>
          <w:szCs w:val="24"/>
        </w:rPr>
        <w:t xml:space="preserve"> </w:t>
      </w:r>
      <w:r w:rsidRPr="009F6599">
        <w:rPr>
          <w:i/>
          <w:szCs w:val="24"/>
        </w:rPr>
        <w:t xml:space="preserve">In re Application of Dayton </w:t>
      </w:r>
      <w:r>
        <w:rPr>
          <w:i/>
          <w:szCs w:val="24"/>
        </w:rPr>
        <w:t xml:space="preserve">Power </w:t>
      </w:r>
      <w:r w:rsidRPr="009F6599">
        <w:rPr>
          <w:i/>
          <w:szCs w:val="24"/>
        </w:rPr>
        <w:t>&amp; Light Co</w:t>
      </w:r>
      <w:r w:rsidRPr="009F6599">
        <w:rPr>
          <w:szCs w:val="24"/>
        </w:rPr>
        <w:t>., 147</w:t>
      </w:r>
      <w:r>
        <w:rPr>
          <w:szCs w:val="24"/>
        </w:rPr>
        <w:t xml:space="preserve"> Ohio St.3d 166, 2016-Ohio-3490 (2016).</w:t>
      </w:r>
      <w:r w:rsidR="00AB444F">
        <w:rPr>
          <w:szCs w:val="24"/>
        </w:rPr>
        <w:t xml:space="preserve"> </w:t>
      </w:r>
      <w:r w:rsidRPr="009F6599">
        <w:rPr>
          <w:szCs w:val="24"/>
        </w:rPr>
        <w:t>In response to the Court’s decision, and before any action was taken by</w:t>
      </w:r>
      <w:r>
        <w:rPr>
          <w:szCs w:val="24"/>
        </w:rPr>
        <w:t xml:space="preserve"> </w:t>
      </w:r>
      <w:r w:rsidRPr="009F6599">
        <w:rPr>
          <w:szCs w:val="24"/>
        </w:rPr>
        <w:t xml:space="preserve">the </w:t>
      </w:r>
      <w:r w:rsidR="00114B8F">
        <w:rPr>
          <w:szCs w:val="24"/>
        </w:rPr>
        <w:t>PUCO</w:t>
      </w:r>
      <w:r w:rsidRPr="009F6599">
        <w:rPr>
          <w:szCs w:val="24"/>
        </w:rPr>
        <w:t xml:space="preserve"> in either the ESP I or ESP II Cases, DP&amp;L filed a motion in the ESP II Case to</w:t>
      </w:r>
      <w:r>
        <w:rPr>
          <w:szCs w:val="24"/>
        </w:rPr>
        <w:t xml:space="preserve"> </w:t>
      </w:r>
      <w:r w:rsidRPr="009F6599">
        <w:rPr>
          <w:szCs w:val="24"/>
        </w:rPr>
        <w:t>withdraw its ESP II Application and to “implement rates that are consistent with</w:t>
      </w:r>
      <w:r>
        <w:rPr>
          <w:szCs w:val="24"/>
        </w:rPr>
        <w:t xml:space="preserve"> </w:t>
      </w:r>
      <w:r w:rsidRPr="009F6599">
        <w:rPr>
          <w:szCs w:val="24"/>
        </w:rPr>
        <w:t xml:space="preserve">the rates that were in effect before the </w:t>
      </w:r>
      <w:r w:rsidR="00114B8F">
        <w:rPr>
          <w:szCs w:val="24"/>
        </w:rPr>
        <w:t>PUCO’s</w:t>
      </w:r>
      <w:r w:rsidRPr="009F6599">
        <w:rPr>
          <w:szCs w:val="24"/>
        </w:rPr>
        <w:t xml:space="preserve"> September 4, 2013 Opinion and Order.”</w:t>
      </w:r>
      <w:r>
        <w:rPr>
          <w:rStyle w:val="FootnoteReference"/>
          <w:szCs w:val="24"/>
        </w:rPr>
        <w:footnoteReference w:id="52"/>
      </w:r>
      <w:r w:rsidR="00AB444F">
        <w:rPr>
          <w:szCs w:val="24"/>
        </w:rPr>
        <w:t xml:space="preserve"> </w:t>
      </w:r>
      <w:r w:rsidRPr="009F6599">
        <w:rPr>
          <w:szCs w:val="24"/>
        </w:rPr>
        <w:t>This came after DP&amp;L collected approximately $2</w:t>
      </w:r>
      <w:r>
        <w:rPr>
          <w:szCs w:val="24"/>
        </w:rPr>
        <w:t>85 million from customers under ESP II for nearly thirty-one months.</w:t>
      </w:r>
      <w:r w:rsidR="00AB444F">
        <w:rPr>
          <w:szCs w:val="24"/>
        </w:rPr>
        <w:t xml:space="preserve"> </w:t>
      </w:r>
      <w:r>
        <w:rPr>
          <w:szCs w:val="24"/>
        </w:rPr>
        <w:t xml:space="preserve">DP&amp;L contemporaneously filed </w:t>
      </w:r>
      <w:r w:rsidRPr="009F6599">
        <w:rPr>
          <w:szCs w:val="24"/>
        </w:rPr>
        <w:t>a similar motion in the ESP I Case requesting approval to implement the same “2013 Rates</w:t>
      </w:r>
      <w:r w:rsidRPr="00132FE2">
        <w:rPr>
          <w:szCs w:val="24"/>
        </w:rPr>
        <w:t>.”</w:t>
      </w:r>
      <w:r>
        <w:rPr>
          <w:rStyle w:val="FootnoteReference"/>
          <w:szCs w:val="24"/>
        </w:rPr>
        <w:footnoteReference w:id="53"/>
      </w:r>
      <w:r w:rsidR="00AB444F">
        <w:rPr>
          <w:szCs w:val="24"/>
        </w:rPr>
        <w:t xml:space="preserve"> </w:t>
      </w:r>
      <w:r>
        <w:rPr>
          <w:szCs w:val="24"/>
        </w:rPr>
        <w:t>Just when those actions were appealed to the Supreme Court of Ohio, DP&amp;L received approval for ESP III, rendering the validity of the blended ESP I/II “moot.”</w:t>
      </w:r>
      <w:r w:rsidR="00AB444F">
        <w:rPr>
          <w:szCs w:val="24"/>
        </w:rPr>
        <w:t xml:space="preserve"> </w:t>
      </w:r>
      <w:r>
        <w:rPr>
          <w:szCs w:val="24"/>
        </w:rPr>
        <w:t>While DP&amp;L previously successfully avoided legal limitations of blending ESPs by implementing a new ESP, the attempt cannot be successful this time around.</w:t>
      </w:r>
    </w:p>
    <w:p w:rsidR="002C35FB" w:rsidP="002C35FB" w14:paraId="0488AF00" w14:textId="2008A501">
      <w:pPr>
        <w:spacing w:line="480" w:lineRule="auto"/>
        <w:ind w:firstLine="720"/>
        <w:jc w:val="both"/>
        <w:rPr>
          <w:szCs w:val="24"/>
        </w:rPr>
      </w:pPr>
      <w:r>
        <w:rPr>
          <w:szCs w:val="24"/>
        </w:rPr>
        <w:t>This time, interested stakeholders have taken a course deliberately intended to avoid reverting to ESP I or to some blended plan: they entered into a Stipulation that prevents any of the signatories, including DP&amp;L, from doing so without a full hearing on the matter.</w:t>
      </w:r>
      <w:r w:rsidR="00AB444F">
        <w:rPr>
          <w:szCs w:val="24"/>
        </w:rPr>
        <w:t xml:space="preserve"> </w:t>
      </w:r>
      <w:r>
        <w:rPr>
          <w:szCs w:val="24"/>
        </w:rPr>
        <w:t xml:space="preserve">DP&amp;L has freely entered into the stipulation, which provides that </w:t>
      </w:r>
      <w:r w:rsidRPr="00D05306">
        <w:rPr>
          <w:szCs w:val="24"/>
        </w:rPr>
        <w:t xml:space="preserve">“the </w:t>
      </w:r>
      <w:r w:rsidR="00114B8F">
        <w:rPr>
          <w:szCs w:val="24"/>
        </w:rPr>
        <w:t>[PUCO]</w:t>
      </w:r>
      <w:r w:rsidRPr="00D05306">
        <w:rPr>
          <w:szCs w:val="24"/>
        </w:rPr>
        <w:t xml:space="preserve"> </w:t>
      </w:r>
      <w:r w:rsidRPr="00F654EE">
        <w:rPr>
          <w:szCs w:val="24"/>
          <w:u w:val="single"/>
        </w:rPr>
        <w:t>will convene an evidentiary hearing</w:t>
      </w:r>
      <w:r w:rsidRPr="00D05306">
        <w:rPr>
          <w:szCs w:val="24"/>
        </w:rPr>
        <w:t xml:space="preserve"> to afford that Signatory Party the opportunity to contest the Stipulation</w:t>
      </w:r>
      <w:r>
        <w:rPr>
          <w:szCs w:val="24"/>
        </w:rPr>
        <w:t xml:space="preserve">” if that party wishes to withdraw from the case. </w:t>
      </w:r>
      <w:r>
        <w:rPr>
          <w:rStyle w:val="FootnoteReference"/>
          <w:rFonts w:eastAsiaTheme="majorEastAsia"/>
          <w:szCs w:val="24"/>
        </w:rPr>
        <w:footnoteReference w:id="54"/>
      </w:r>
      <w:r>
        <w:rPr>
          <w:szCs w:val="24"/>
        </w:rPr>
        <w:t xml:space="preserve"> As such, DP&amp;L may not adopt some prior ESP on its own accord, because it has agreed not to do so by stipulation.</w:t>
      </w:r>
      <w:r w:rsidR="00AB444F">
        <w:rPr>
          <w:szCs w:val="24"/>
        </w:rPr>
        <w:t xml:space="preserve">  </w:t>
      </w:r>
    </w:p>
    <w:p w:rsidR="00637ABD" w:rsidRPr="002C35FB" w:rsidP="004203E9" w14:paraId="6B10BC3E" w14:textId="2114756E">
      <w:pPr>
        <w:spacing w:line="480" w:lineRule="auto"/>
        <w:ind w:firstLine="720"/>
        <w:jc w:val="both"/>
      </w:pPr>
      <w:r>
        <w:t>C</w:t>
      </w:r>
      <w:r w:rsidR="00D44B4A">
        <w:t xml:space="preserve">herry-picking of charges to suit DP&amp;L’s purposes (charging customers more) </w:t>
      </w:r>
      <w:r w:rsidR="002C35FB">
        <w:t>and a</w:t>
      </w:r>
      <w:r w:rsidR="002C35FB">
        <w:rPr>
          <w:szCs w:val="24"/>
        </w:rPr>
        <w:t>llowing DP&amp;L to adopt a blended ESP</w:t>
      </w:r>
      <w:r w:rsidR="002C35FB">
        <w:t xml:space="preserve"> </w:t>
      </w:r>
      <w:r w:rsidR="00D44B4A">
        <w:t>does not comply with 4928.143(C)(2)</w:t>
      </w:r>
      <w:r w:rsidR="002C35FB">
        <w:t xml:space="preserve"> and is improper</w:t>
      </w:r>
      <w:r w:rsidR="00D44B4A">
        <w:t>.</w:t>
      </w:r>
      <w:r w:rsidR="00EB42EE">
        <w:t xml:space="preserve"> </w:t>
      </w:r>
      <w:r w:rsidR="002C35FB">
        <w:rPr>
          <w:szCs w:val="24"/>
        </w:rPr>
        <w:t xml:space="preserve">Nonetheless, at a minimum, </w:t>
      </w:r>
      <w:r>
        <w:t>DP&amp;L’s proposed tariffs for the Storm Rider, Uncollectible Rider, Regulatory Compliance Rider, Decoupling Rider, and Distribution Investment Rider should be rejected</w:t>
      </w:r>
      <w:r w:rsidR="002C35FB">
        <w:t xml:space="preserve"> </w:t>
      </w:r>
      <w:r w:rsidRPr="002C35FB" w:rsidR="002C35FB">
        <w:t xml:space="preserve">as the riders were not </w:t>
      </w:r>
      <w:r w:rsidRPr="004203E9" w:rsidR="002C35FB">
        <w:rPr>
          <w:iCs/>
        </w:rPr>
        <w:t>in DP&amp;L’s first electric security plan that DP&amp;L is proposing to go back to</w:t>
      </w:r>
      <w:r w:rsidRPr="002C35FB">
        <w:t>.</w:t>
      </w:r>
    </w:p>
    <w:p w:rsidR="002B2B09" w:rsidP="002B2B09" w14:paraId="53A614FD" w14:textId="77777777">
      <w:pPr>
        <w:ind w:firstLine="720"/>
      </w:pPr>
    </w:p>
    <w:p w:rsidR="00637ABD" w:rsidP="002B2B09" w14:paraId="6EA0A5FB" w14:textId="77777777">
      <w:pPr>
        <w:pStyle w:val="Heading1"/>
      </w:pPr>
      <w:bookmarkStart w:id="21" w:name="_Toc25756964"/>
      <w:bookmarkStart w:id="22" w:name="_Toc26367081"/>
      <w:r>
        <w:t>III.</w:t>
      </w:r>
      <w:r>
        <w:tab/>
        <w:t>CONCLUSION</w:t>
      </w:r>
      <w:bookmarkEnd w:id="21"/>
      <w:bookmarkEnd w:id="22"/>
    </w:p>
    <w:p w:rsidR="00D44B4A" w:rsidP="00637ABD" w14:paraId="02A123E0" w14:textId="34618485">
      <w:pPr>
        <w:spacing w:line="480" w:lineRule="auto"/>
      </w:pPr>
      <w:r>
        <w:rPr>
          <w:b/>
          <w:bCs/>
        </w:rPr>
        <w:tab/>
      </w:r>
      <w:r>
        <w:t>DP&amp;L’s tariffs should be rejected in their entirety.</w:t>
      </w:r>
      <w:r w:rsidR="00AB444F">
        <w:t xml:space="preserve"> </w:t>
      </w:r>
      <w:r>
        <w:t>At the very least, the PUCO should reject the tariff for the RSC charge</w:t>
      </w:r>
      <w:r w:rsidR="002C35FB">
        <w:t xml:space="preserve"> as an unlawful charge</w:t>
      </w:r>
      <w:r>
        <w:t>.</w:t>
      </w:r>
      <w:r w:rsidR="00AB444F">
        <w:t xml:space="preserve"> </w:t>
      </w:r>
      <w:r>
        <w:t>It is an unlawful transition charge</w:t>
      </w:r>
      <w:r w:rsidR="004700CC">
        <w:t xml:space="preserve"> and it is an unlawful financial integrity charge</w:t>
      </w:r>
      <w:r>
        <w:t>.</w:t>
      </w:r>
      <w:r w:rsidR="00AB444F">
        <w:t xml:space="preserve"> </w:t>
      </w:r>
      <w:r>
        <w:t>If the tariff is approved, it should be set at zero because DP&amp;L is not providing POLR services to consumers.</w:t>
      </w:r>
      <w:r w:rsidR="00AB444F">
        <w:t xml:space="preserve"> </w:t>
      </w:r>
      <w:r w:rsidR="002C35FB">
        <w:t xml:space="preserve">Moreover, even if DP&amp;L is authorized to revert back to its ESP I, </w:t>
      </w:r>
      <w:r>
        <w:t xml:space="preserve">DP&amp;L’s proposed tariffs for the Storm Rider, Uncollectible Rider, Regulatory Compliance Rider, Decoupling Rider, and Distribution Investment Rider </w:t>
      </w:r>
      <w:r w:rsidR="002C35FB">
        <w:t>must</w:t>
      </w:r>
      <w:r>
        <w:t xml:space="preserve"> be rejected</w:t>
      </w:r>
      <w:r w:rsidR="002C35FB">
        <w:t xml:space="preserve"> as t</w:t>
      </w:r>
      <w:r>
        <w:t>hey were not part of DP&amp;L’s first electric security plan.</w:t>
      </w:r>
    </w:p>
    <w:p w:rsidR="002A2D82" w:rsidP="00637ABD" w14:paraId="1C25C18E" w14:textId="77777777">
      <w:pPr>
        <w:spacing w:line="480" w:lineRule="auto"/>
      </w:pPr>
    </w:p>
    <w:p w:rsidR="00CE6D86" w:rsidP="00CE6D86" w14:paraId="69250510" w14:textId="77777777">
      <w:pPr>
        <w:spacing w:line="480" w:lineRule="auto"/>
        <w:ind w:firstLine="720"/>
      </w:pPr>
      <w:r>
        <w:tab/>
      </w:r>
      <w:r>
        <w:tab/>
      </w:r>
      <w:r>
        <w:tab/>
      </w:r>
      <w:r>
        <w:tab/>
      </w:r>
      <w:r>
        <w:tab/>
        <w:t>Respectfully submitted,</w:t>
      </w:r>
    </w:p>
    <w:p w:rsidR="00CE6D86" w:rsidP="00CE6D86" w14:paraId="4C402F5F" w14:textId="05B03BED">
      <w:pPr>
        <w:tabs>
          <w:tab w:val="left" w:pos="4320"/>
        </w:tabs>
        <w:ind w:left="4320"/>
        <w:rPr>
          <w:szCs w:val="24"/>
        </w:rPr>
      </w:pPr>
      <w:r>
        <w:rPr>
          <w:szCs w:val="24"/>
        </w:rPr>
        <w:t>Bruce Weston (0016973)</w:t>
      </w:r>
    </w:p>
    <w:p w:rsidR="00CE6D86" w:rsidP="00CE6D86" w14:paraId="55663351" w14:textId="54F7A9DF">
      <w:pPr>
        <w:tabs>
          <w:tab w:val="left" w:pos="4320"/>
        </w:tabs>
        <w:ind w:left="4320"/>
        <w:rPr>
          <w:szCs w:val="24"/>
        </w:rPr>
      </w:pPr>
      <w:r>
        <w:rPr>
          <w:szCs w:val="24"/>
        </w:rPr>
        <w:t>Ohio Consumers’ Counsel</w:t>
      </w:r>
    </w:p>
    <w:p w:rsidR="00CE6D86" w:rsidRPr="00DE37C9" w:rsidP="00CE6D86" w14:paraId="4CCB822B" w14:textId="77777777">
      <w:pPr>
        <w:tabs>
          <w:tab w:val="left" w:pos="4320"/>
        </w:tabs>
        <w:ind w:left="4320"/>
        <w:rPr>
          <w:szCs w:val="24"/>
        </w:rPr>
      </w:pPr>
    </w:p>
    <w:p w:rsidR="00CE6D86" w:rsidRPr="004606D9" w:rsidP="00CE6D86" w14:paraId="364D79FF" w14:textId="5536B61F">
      <w:pPr>
        <w:tabs>
          <w:tab w:val="left" w:pos="4320"/>
        </w:tabs>
        <w:ind w:left="4320" w:right="-180"/>
        <w:rPr>
          <w:i/>
          <w:szCs w:val="24"/>
          <w:u w:val="single"/>
        </w:rPr>
      </w:pPr>
      <w:r w:rsidRPr="004606D9">
        <w:rPr>
          <w:i/>
          <w:szCs w:val="24"/>
          <w:u w:val="single"/>
        </w:rPr>
        <w:t xml:space="preserve">/s/ Maureen </w:t>
      </w:r>
      <w:r w:rsidR="0045326F">
        <w:rPr>
          <w:i/>
          <w:szCs w:val="24"/>
          <w:u w:val="single"/>
        </w:rPr>
        <w:t xml:space="preserve">R. </w:t>
      </w:r>
      <w:r w:rsidRPr="004606D9">
        <w:rPr>
          <w:i/>
          <w:szCs w:val="24"/>
          <w:u w:val="single"/>
        </w:rPr>
        <w:t>Willis</w:t>
      </w:r>
      <w:r w:rsidR="002A2D82">
        <w:rPr>
          <w:i/>
          <w:szCs w:val="24"/>
          <w:u w:val="single"/>
        </w:rPr>
        <w:tab/>
      </w:r>
      <w:r w:rsidR="002A2D82">
        <w:rPr>
          <w:i/>
          <w:szCs w:val="24"/>
          <w:u w:val="single"/>
        </w:rPr>
        <w:tab/>
      </w:r>
      <w:r w:rsidRPr="004606D9">
        <w:rPr>
          <w:i/>
          <w:szCs w:val="24"/>
          <w:u w:val="single"/>
        </w:rPr>
        <w:t xml:space="preserve"> </w:t>
      </w:r>
    </w:p>
    <w:p w:rsidR="00036988" w:rsidP="00CE6D86" w14:paraId="3DEBE439" w14:textId="236C1140">
      <w:pPr>
        <w:tabs>
          <w:tab w:val="left" w:pos="4320"/>
        </w:tabs>
        <w:ind w:left="4320" w:right="-180"/>
        <w:rPr>
          <w:szCs w:val="24"/>
        </w:rPr>
      </w:pPr>
      <w:r>
        <w:rPr>
          <w:szCs w:val="24"/>
        </w:rPr>
        <w:t xml:space="preserve">Maureen </w:t>
      </w:r>
      <w:r w:rsidR="0045326F">
        <w:rPr>
          <w:szCs w:val="24"/>
        </w:rPr>
        <w:t xml:space="preserve">R. </w:t>
      </w:r>
      <w:r>
        <w:rPr>
          <w:szCs w:val="24"/>
        </w:rPr>
        <w:t>Willis (0020847)</w:t>
      </w:r>
    </w:p>
    <w:p w:rsidR="00CE6D86" w:rsidP="00CE6D86" w14:paraId="554E0553" w14:textId="7D08107A">
      <w:pPr>
        <w:tabs>
          <w:tab w:val="left" w:pos="4320"/>
        </w:tabs>
        <w:ind w:left="4320" w:right="-180"/>
        <w:rPr>
          <w:szCs w:val="24"/>
        </w:rPr>
      </w:pPr>
      <w:r>
        <w:rPr>
          <w:szCs w:val="24"/>
        </w:rPr>
        <w:t>Counsel of Record</w:t>
      </w:r>
    </w:p>
    <w:p w:rsidR="00BC69C7" w:rsidRPr="00BC69C7" w:rsidP="00BC69C7" w14:paraId="27CB784C" w14:textId="77777777">
      <w:pPr>
        <w:ind w:left="3600" w:firstLine="720"/>
        <w:rPr>
          <w:rFonts w:eastAsiaTheme="minorHAnsi" w:cstheme="minorBidi"/>
          <w:szCs w:val="22"/>
        </w:rPr>
      </w:pPr>
      <w:r w:rsidRPr="00BC69C7">
        <w:rPr>
          <w:rFonts w:eastAsiaTheme="minorHAnsi" w:cstheme="minorBidi"/>
          <w:szCs w:val="22"/>
        </w:rPr>
        <w:t xml:space="preserve">Terry L. Etter (0067445) </w:t>
      </w:r>
    </w:p>
    <w:p w:rsidR="00BC69C7" w:rsidP="00BC69C7" w14:paraId="43D2BF92" w14:textId="2EF598D5">
      <w:pPr>
        <w:ind w:left="3600" w:firstLine="720"/>
        <w:rPr>
          <w:rFonts w:eastAsiaTheme="minorHAnsi" w:cstheme="minorBidi"/>
          <w:szCs w:val="22"/>
        </w:rPr>
      </w:pPr>
      <w:r w:rsidRPr="00BC69C7">
        <w:rPr>
          <w:rFonts w:eastAsiaTheme="minorHAnsi" w:cstheme="minorBidi"/>
          <w:szCs w:val="22"/>
        </w:rPr>
        <w:t xml:space="preserve">Assistant Consumers’ Counsel </w:t>
      </w:r>
    </w:p>
    <w:p w:rsidR="002A2D82" w:rsidRPr="00BC69C7" w:rsidP="00BC69C7" w14:paraId="1EF4E77E" w14:textId="77777777">
      <w:pPr>
        <w:ind w:left="3600" w:firstLine="720"/>
        <w:rPr>
          <w:rFonts w:eastAsiaTheme="minorHAnsi" w:cstheme="minorBidi"/>
          <w:szCs w:val="22"/>
        </w:rPr>
      </w:pPr>
    </w:p>
    <w:p w:rsidR="00CE6D86" w:rsidRPr="006471D3" w:rsidP="00CE6D86" w14:paraId="29F00694" w14:textId="77777777">
      <w:pPr>
        <w:ind w:left="4320"/>
        <w:rPr>
          <w:b/>
          <w:bCs/>
          <w:szCs w:val="24"/>
        </w:rPr>
      </w:pPr>
      <w:r w:rsidRPr="006471D3">
        <w:rPr>
          <w:b/>
          <w:bCs/>
          <w:szCs w:val="24"/>
        </w:rPr>
        <w:t>Office of the Ohio Consumers’ Counsel</w:t>
      </w:r>
    </w:p>
    <w:p w:rsidR="00036988" w:rsidRPr="006471D3" w:rsidP="006471D3" w14:paraId="5A9023AE"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65 East State Street, 7th Floor</w:t>
      </w:r>
    </w:p>
    <w:p w:rsidR="00036988" w:rsidRPr="006471D3" w:rsidP="006471D3" w14:paraId="66B59D9B" w14:textId="77777777">
      <w:pPr>
        <w:pStyle w:val="PlainText"/>
        <w:ind w:left="3600" w:firstLine="720"/>
        <w:rPr>
          <w:rFonts w:ascii="Times New Roman" w:hAnsi="Times New Roman" w:cs="Times New Roman"/>
          <w:sz w:val="24"/>
          <w:szCs w:val="24"/>
        </w:rPr>
      </w:pPr>
      <w:r w:rsidRPr="006471D3">
        <w:rPr>
          <w:rFonts w:ascii="Times New Roman" w:hAnsi="Times New Roman" w:cs="Times New Roman"/>
          <w:sz w:val="24"/>
          <w:szCs w:val="24"/>
        </w:rPr>
        <w:t>Columbus, Ohio 43215-4213</w:t>
      </w:r>
    </w:p>
    <w:p w:rsidR="00CE6D86" w:rsidP="00CE6D86" w14:paraId="7F1D30D9" w14:textId="6ECAC3A3">
      <w:pPr>
        <w:autoSpaceDE w:val="0"/>
        <w:autoSpaceDN w:val="0"/>
        <w:adjustRightInd w:val="0"/>
        <w:ind w:left="4320"/>
        <w:rPr>
          <w:szCs w:val="24"/>
        </w:rPr>
      </w:pPr>
      <w:r>
        <w:rPr>
          <w:szCs w:val="24"/>
        </w:rPr>
        <w:t>Telephone: Willis (614) 466-9567</w:t>
      </w:r>
    </w:p>
    <w:p w:rsidR="00BC69C7" w:rsidP="00CE6D86" w14:paraId="73C02ED6" w14:textId="7B235F1B">
      <w:pPr>
        <w:autoSpaceDE w:val="0"/>
        <w:autoSpaceDN w:val="0"/>
        <w:adjustRightInd w:val="0"/>
        <w:ind w:left="4320"/>
        <w:rPr>
          <w:szCs w:val="24"/>
        </w:rPr>
      </w:pPr>
      <w:r>
        <w:rPr>
          <w:szCs w:val="24"/>
        </w:rPr>
        <w:t>Telephone: Etter (614) 466-7964</w:t>
      </w:r>
    </w:p>
    <w:p w:rsidR="00CE6D86" w:rsidP="00CE6D86" w14:paraId="1DE7EC92" w14:textId="7DBB215E">
      <w:pPr>
        <w:ind w:left="4320"/>
      </w:pPr>
      <w:hyperlink r:id="rId6" w:history="1">
        <w:r w:rsidRPr="00D50E4C" w:rsidR="00CC51C4">
          <w:rPr>
            <w:rStyle w:val="Hyperlink"/>
            <w:rFonts w:eastAsiaTheme="majorEastAsia"/>
          </w:rPr>
          <w:t>maureen.willis@occ.ohio.gov</w:t>
        </w:r>
      </w:hyperlink>
      <w:r w:rsidR="00EB42EE">
        <w:t xml:space="preserve"> </w:t>
      </w:r>
    </w:p>
    <w:p w:rsidR="00BC69C7" w:rsidRPr="006471D3" w:rsidP="006471D3" w14:paraId="0B518B63" w14:textId="525CF9FB">
      <w:pPr>
        <w:ind w:left="4320"/>
        <w:rPr>
          <w:rStyle w:val="Hyperlink"/>
          <w:rFonts w:eastAsiaTheme="majorEastAsia"/>
        </w:rPr>
      </w:pPr>
      <w:r w:rsidRPr="006471D3">
        <w:rPr>
          <w:rStyle w:val="Hyperlink"/>
          <w:rFonts w:eastAsiaTheme="majorEastAsia"/>
        </w:rPr>
        <w:t>terry.etter@occ.ohio.gov</w:t>
      </w:r>
    </w:p>
    <w:p w:rsidR="002A2D82" w:rsidP="00CE6D86" w14:paraId="656B5AB4" w14:textId="0286B00B">
      <w:pPr>
        <w:ind w:left="4320"/>
      </w:pPr>
      <w:r>
        <w:t>(will</w:t>
      </w:r>
      <w:r w:rsidR="00036988">
        <w:t>ing to</w:t>
      </w:r>
      <w:r>
        <w:t xml:space="preserve"> accept service </w:t>
      </w:r>
      <w:r w:rsidR="00036988">
        <w:t xml:space="preserve">by </w:t>
      </w:r>
      <w:r>
        <w:t>e</w:t>
      </w:r>
      <w:r w:rsidR="00036988">
        <w:t>-</w:t>
      </w:r>
      <w:r>
        <w:t>mail)</w:t>
      </w:r>
    </w:p>
    <w:p w:rsidR="002A2D82" w14:paraId="041C4248" w14:textId="77777777">
      <w:pPr>
        <w:spacing w:after="200" w:line="276" w:lineRule="auto"/>
      </w:pPr>
      <w:r>
        <w:br w:type="page"/>
      </w:r>
    </w:p>
    <w:p w:rsidR="0021759A" w:rsidRPr="0021759A" w:rsidP="0021759A" w14:paraId="74B8C5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i/>
          <w:iCs/>
          <w:szCs w:val="24"/>
          <w:u w:val="single"/>
        </w:rPr>
      </w:pPr>
      <w:r w:rsidRPr="0021759A">
        <w:rPr>
          <w:i/>
          <w:iCs/>
          <w:szCs w:val="24"/>
          <w:u w:val="single"/>
        </w:rPr>
        <w:t>/s/ Angela Whitfield-Paul</w:t>
      </w:r>
      <w:r w:rsidRPr="0021759A">
        <w:rPr>
          <w:i/>
          <w:iCs/>
          <w:szCs w:val="24"/>
          <w:u w:val="single"/>
        </w:rPr>
        <w:tab/>
      </w:r>
      <w:r w:rsidRPr="0021759A">
        <w:rPr>
          <w:i/>
          <w:iCs/>
          <w:szCs w:val="24"/>
          <w:u w:val="single"/>
        </w:rPr>
        <w:tab/>
      </w:r>
    </w:p>
    <w:p w:rsidR="0021759A" w:rsidRPr="0021759A" w:rsidP="0021759A" w14:paraId="6F7589B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Angela Whitfield-Paul (0068774)</w:t>
      </w:r>
    </w:p>
    <w:p w:rsidR="0021759A" w:rsidRPr="0021759A" w:rsidP="0021759A" w14:paraId="0B31FA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sidRPr="0021759A">
        <w:rPr>
          <w:szCs w:val="24"/>
        </w:rPr>
        <w:t>Counsel of Record</w:t>
      </w:r>
    </w:p>
    <w:p w:rsidR="0021759A" w:rsidRPr="004203E9" w:rsidP="004203E9" w14:paraId="1757FE3F" w14:textId="77777777">
      <w:pPr>
        <w:pStyle w:val="BodyTextIndent3"/>
        <w:widowControl w:val="0"/>
        <w:spacing w:after="0"/>
        <w:ind w:left="4320"/>
        <w:rPr>
          <w:sz w:val="24"/>
          <w:szCs w:val="24"/>
        </w:rPr>
      </w:pPr>
      <w:r w:rsidRPr="004203E9">
        <w:rPr>
          <w:sz w:val="24"/>
          <w:szCs w:val="24"/>
        </w:rPr>
        <w:t>Carpenter Lipps &amp; Leland L.L.P.</w:t>
      </w:r>
    </w:p>
    <w:p w:rsidR="0021759A" w:rsidRPr="004203E9" w:rsidP="004203E9" w14:paraId="25C18590" w14:textId="77777777">
      <w:pPr>
        <w:pStyle w:val="BodyTextIndent3"/>
        <w:widowControl w:val="0"/>
        <w:spacing w:after="0"/>
        <w:ind w:left="4320"/>
        <w:rPr>
          <w:sz w:val="24"/>
          <w:szCs w:val="24"/>
        </w:rPr>
      </w:pPr>
      <w:r w:rsidRPr="004203E9">
        <w:rPr>
          <w:sz w:val="24"/>
          <w:szCs w:val="24"/>
        </w:rPr>
        <w:t>280 Plaza, Suite 1300</w:t>
      </w:r>
    </w:p>
    <w:p w:rsidR="0021759A" w:rsidRPr="004203E9" w:rsidP="004203E9" w14:paraId="0C2DB484" w14:textId="77777777">
      <w:pPr>
        <w:pStyle w:val="BodyTextIndent3"/>
        <w:widowControl w:val="0"/>
        <w:spacing w:after="0"/>
        <w:ind w:left="4320"/>
        <w:rPr>
          <w:sz w:val="24"/>
          <w:szCs w:val="24"/>
        </w:rPr>
      </w:pPr>
      <w:r w:rsidRPr="004203E9">
        <w:rPr>
          <w:sz w:val="24"/>
          <w:szCs w:val="24"/>
        </w:rPr>
        <w:t>280 North High Street</w:t>
      </w:r>
    </w:p>
    <w:p w:rsidR="0021759A" w:rsidRPr="004203E9" w:rsidP="004203E9" w14:paraId="5072DF34" w14:textId="77777777">
      <w:pPr>
        <w:pStyle w:val="BodyTextIndent3"/>
        <w:widowControl w:val="0"/>
        <w:spacing w:after="0"/>
        <w:ind w:left="4320"/>
        <w:rPr>
          <w:sz w:val="24"/>
          <w:szCs w:val="24"/>
        </w:rPr>
      </w:pPr>
      <w:r w:rsidRPr="004203E9">
        <w:rPr>
          <w:sz w:val="24"/>
          <w:szCs w:val="24"/>
        </w:rPr>
        <w:t>Columbus, Ohio 43215</w:t>
      </w:r>
    </w:p>
    <w:p w:rsidR="0021759A" w:rsidRPr="004203E9" w:rsidP="004203E9" w14:paraId="61E9B105" w14:textId="77777777">
      <w:pPr>
        <w:pStyle w:val="BodyTextIndent3"/>
        <w:widowControl w:val="0"/>
        <w:spacing w:after="0"/>
        <w:ind w:left="4320"/>
        <w:rPr>
          <w:sz w:val="24"/>
          <w:szCs w:val="24"/>
        </w:rPr>
      </w:pPr>
      <w:r w:rsidRPr="004203E9">
        <w:rPr>
          <w:sz w:val="24"/>
          <w:szCs w:val="24"/>
        </w:rPr>
        <w:t>(614) 365-9145</w:t>
      </w:r>
    </w:p>
    <w:p w:rsidR="0021759A" w:rsidRPr="004203E9" w:rsidP="004203E9" w14:paraId="5D38F291" w14:textId="77777777">
      <w:pPr>
        <w:pStyle w:val="BodyTextIndent3"/>
        <w:widowControl w:val="0"/>
        <w:spacing w:after="0"/>
        <w:ind w:left="4320"/>
        <w:rPr>
          <w:sz w:val="24"/>
          <w:szCs w:val="24"/>
        </w:rPr>
      </w:pPr>
      <w:r w:rsidRPr="004203E9">
        <w:rPr>
          <w:sz w:val="24"/>
          <w:szCs w:val="24"/>
        </w:rPr>
        <w:t>paul@carpenterlipps.com</w:t>
      </w:r>
    </w:p>
    <w:p w:rsidR="0021759A" w:rsidRPr="004203E9" w:rsidP="004203E9" w14:paraId="6CBE9823" w14:textId="55D657A7">
      <w:pPr>
        <w:pStyle w:val="BodyTextIndent3"/>
        <w:widowControl w:val="0"/>
        <w:spacing w:after="0"/>
        <w:rPr>
          <w:sz w:val="24"/>
          <w:szCs w:val="24"/>
        </w:rPr>
      </w:pPr>
      <w:r w:rsidRPr="004203E9">
        <w:rPr>
          <w:sz w:val="24"/>
          <w:szCs w:val="24"/>
        </w:rPr>
        <w:tab/>
      </w:r>
      <w:r w:rsidRPr="004203E9">
        <w:rPr>
          <w:sz w:val="24"/>
          <w:szCs w:val="24"/>
        </w:rPr>
        <w:tab/>
      </w:r>
      <w:r w:rsidRPr="004203E9">
        <w:rPr>
          <w:sz w:val="24"/>
          <w:szCs w:val="24"/>
        </w:rPr>
        <w:tab/>
      </w:r>
      <w:r w:rsidRPr="004203E9">
        <w:rPr>
          <w:sz w:val="24"/>
          <w:szCs w:val="24"/>
        </w:rPr>
        <w:tab/>
      </w:r>
      <w:r w:rsidRPr="004203E9">
        <w:rPr>
          <w:sz w:val="24"/>
          <w:szCs w:val="24"/>
        </w:rPr>
        <w:tab/>
      </w:r>
      <w:r>
        <w:rPr>
          <w:sz w:val="24"/>
          <w:szCs w:val="24"/>
        </w:rPr>
        <w:tab/>
      </w:r>
      <w:r w:rsidRPr="004203E9">
        <w:rPr>
          <w:sz w:val="24"/>
          <w:szCs w:val="24"/>
        </w:rPr>
        <w:t>(willing to accept service by e-mail)</w:t>
      </w:r>
    </w:p>
    <w:p w:rsidR="0021759A" w:rsidRPr="0021759A" w14:paraId="66DF736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i/>
          <w:iCs/>
          <w:sz w:val="24"/>
          <w:szCs w:val="24"/>
          <w:lang w:val="en-US"/>
        </w:rPr>
      </w:pP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sz w:val="24"/>
          <w:szCs w:val="24"/>
        </w:rPr>
        <w:tab/>
      </w:r>
      <w:r w:rsidRPr="0021759A">
        <w:rPr>
          <w:rFonts w:ascii="Times New Roman" w:eastAsia="Times New Roman" w:hAnsi="Times New Roman"/>
          <w:i/>
          <w:iCs/>
          <w:sz w:val="24"/>
          <w:szCs w:val="24"/>
          <w:lang w:val="en-US"/>
        </w:rPr>
        <w:t>Counsel for The Kroger Company</w:t>
      </w:r>
    </w:p>
    <w:p w:rsidR="0021759A" w:rsidP="0021759A" w14:paraId="255ACD2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i/>
          <w:iCs/>
          <w:sz w:val="24"/>
          <w:szCs w:val="24"/>
          <w:lang w:val="en-US"/>
        </w:rPr>
      </w:pPr>
    </w:p>
    <w:p w:rsidR="0021759A" w:rsidRPr="006C5694" w:rsidP="0021759A" w14:paraId="277BF9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i/>
          <w:iCs/>
          <w:szCs w:val="24"/>
          <w:u w:val="single"/>
        </w:rPr>
      </w:pPr>
      <w:r>
        <w:rPr>
          <w:i/>
          <w:iCs/>
          <w:szCs w:val="24"/>
          <w:u w:val="single"/>
        </w:rPr>
        <w:t>/s/ Kimberly W. Bojko</w:t>
      </w:r>
      <w:r>
        <w:rPr>
          <w:i/>
          <w:iCs/>
          <w:szCs w:val="24"/>
          <w:u w:val="single"/>
        </w:rPr>
        <w:tab/>
      </w:r>
      <w:r>
        <w:rPr>
          <w:i/>
          <w:iCs/>
          <w:szCs w:val="24"/>
          <w:u w:val="single"/>
        </w:rPr>
        <w:tab/>
      </w:r>
    </w:p>
    <w:p w:rsidR="0021759A" w:rsidP="0021759A" w14:paraId="5A206C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Pr>
          <w:szCs w:val="24"/>
        </w:rPr>
        <w:t xml:space="preserve">Kimberly W. Bojko </w:t>
      </w:r>
      <w:r w:rsidRPr="00CF61C5">
        <w:rPr>
          <w:szCs w:val="24"/>
        </w:rPr>
        <w:t>(0069402)</w:t>
      </w:r>
    </w:p>
    <w:p w:rsidR="0021759A" w:rsidP="0021759A" w14:paraId="28F567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4"/>
        </w:rPr>
      </w:pPr>
      <w:r>
        <w:rPr>
          <w:szCs w:val="24"/>
        </w:rPr>
        <w:t>Counsel of Record</w:t>
      </w:r>
    </w:p>
    <w:p w:rsidR="0021759A" w:rsidRPr="004203E9" w:rsidP="004203E9" w14:paraId="698557F5" w14:textId="77777777">
      <w:pPr>
        <w:pStyle w:val="BodyTextIndent3"/>
        <w:widowControl w:val="0"/>
        <w:spacing w:after="0"/>
        <w:ind w:left="4320"/>
        <w:rPr>
          <w:sz w:val="24"/>
          <w:szCs w:val="24"/>
        </w:rPr>
      </w:pPr>
      <w:r w:rsidRPr="004203E9">
        <w:rPr>
          <w:sz w:val="24"/>
          <w:szCs w:val="24"/>
        </w:rPr>
        <w:t>Carpenter Lipps &amp; Leland L.L.P.</w:t>
      </w:r>
    </w:p>
    <w:p w:rsidR="0021759A" w:rsidRPr="004203E9" w:rsidP="004203E9" w14:paraId="3B8C4DF0" w14:textId="77777777">
      <w:pPr>
        <w:pStyle w:val="BodyTextIndent3"/>
        <w:widowControl w:val="0"/>
        <w:spacing w:after="0"/>
        <w:ind w:left="4320"/>
        <w:rPr>
          <w:sz w:val="24"/>
          <w:szCs w:val="24"/>
        </w:rPr>
      </w:pPr>
      <w:r w:rsidRPr="004203E9">
        <w:rPr>
          <w:sz w:val="24"/>
          <w:szCs w:val="24"/>
        </w:rPr>
        <w:t>280 Plaza, Suite 1300</w:t>
      </w:r>
    </w:p>
    <w:p w:rsidR="0021759A" w:rsidRPr="004203E9" w:rsidP="004203E9" w14:paraId="1096B44D" w14:textId="77777777">
      <w:pPr>
        <w:pStyle w:val="BodyTextIndent3"/>
        <w:widowControl w:val="0"/>
        <w:spacing w:after="0"/>
        <w:ind w:left="4320"/>
        <w:rPr>
          <w:sz w:val="24"/>
          <w:szCs w:val="24"/>
        </w:rPr>
      </w:pPr>
      <w:r w:rsidRPr="004203E9">
        <w:rPr>
          <w:sz w:val="24"/>
          <w:szCs w:val="24"/>
        </w:rPr>
        <w:t>280 North High Street</w:t>
      </w:r>
    </w:p>
    <w:p w:rsidR="0021759A" w:rsidRPr="004203E9" w:rsidP="004203E9" w14:paraId="008FA5B9" w14:textId="77777777">
      <w:pPr>
        <w:pStyle w:val="BodyTextIndent3"/>
        <w:widowControl w:val="0"/>
        <w:spacing w:after="0"/>
        <w:ind w:left="4320"/>
        <w:rPr>
          <w:sz w:val="24"/>
          <w:szCs w:val="24"/>
        </w:rPr>
      </w:pPr>
      <w:r w:rsidRPr="004203E9">
        <w:rPr>
          <w:sz w:val="24"/>
          <w:szCs w:val="24"/>
        </w:rPr>
        <w:t>Columbus, Ohio 43215</w:t>
      </w:r>
    </w:p>
    <w:p w:rsidR="0021759A" w:rsidRPr="004203E9" w:rsidP="004203E9" w14:paraId="21D56314" w14:textId="77777777">
      <w:pPr>
        <w:pStyle w:val="BodyTextIndent3"/>
        <w:widowControl w:val="0"/>
        <w:spacing w:after="0"/>
        <w:ind w:left="4320"/>
        <w:rPr>
          <w:sz w:val="24"/>
          <w:szCs w:val="24"/>
        </w:rPr>
      </w:pPr>
      <w:r w:rsidRPr="004203E9">
        <w:rPr>
          <w:sz w:val="24"/>
          <w:szCs w:val="24"/>
        </w:rPr>
        <w:t>(614) 365-4100</w:t>
      </w:r>
    </w:p>
    <w:p w:rsidR="0021759A" w:rsidRPr="004203E9" w:rsidP="004203E9" w14:paraId="1246CAF0" w14:textId="77777777">
      <w:pPr>
        <w:pStyle w:val="BodyTextIndent3"/>
        <w:widowControl w:val="0"/>
        <w:spacing w:after="0"/>
        <w:ind w:left="4320"/>
        <w:rPr>
          <w:sz w:val="24"/>
          <w:szCs w:val="24"/>
        </w:rPr>
      </w:pPr>
      <w:hyperlink r:id="rId7" w:history="1">
        <w:r w:rsidRPr="004203E9" w:rsidR="000D0ABC">
          <w:rPr>
            <w:sz w:val="24"/>
            <w:szCs w:val="24"/>
          </w:rPr>
          <w:t>bojko@carpenterlipps.com</w:t>
        </w:r>
      </w:hyperlink>
    </w:p>
    <w:p w:rsidR="0021759A" w:rsidRPr="004203E9" w:rsidP="0021759A" w14:paraId="40E421E8" w14:textId="3DD6A06E">
      <w:pPr>
        <w:pStyle w:val="BodyTextIndent3"/>
        <w:widowControl w:val="0"/>
        <w:rPr>
          <w:sz w:val="24"/>
          <w:szCs w:val="24"/>
        </w:rPr>
      </w:pPr>
      <w:r>
        <w:rPr>
          <w:szCs w:val="24"/>
        </w:rPr>
        <w:tab/>
      </w:r>
      <w:r>
        <w:rPr>
          <w:szCs w:val="24"/>
        </w:rPr>
        <w:tab/>
      </w:r>
      <w:r w:rsidRPr="00141FCF">
        <w:rPr>
          <w:szCs w:val="24"/>
        </w:rPr>
        <w:tab/>
      </w:r>
      <w:r w:rsidRPr="00141FCF">
        <w:rPr>
          <w:szCs w:val="24"/>
        </w:rPr>
        <w:tab/>
      </w:r>
      <w:r>
        <w:rPr>
          <w:szCs w:val="24"/>
        </w:rPr>
        <w:tab/>
      </w:r>
      <w:r w:rsidRPr="004203E9">
        <w:rPr>
          <w:sz w:val="24"/>
          <w:szCs w:val="24"/>
        </w:rPr>
        <w:tab/>
        <w:t>(willing to accept service by e-mail)</w:t>
      </w:r>
    </w:p>
    <w:p w:rsidR="0021759A" w:rsidRPr="00141FCF" w:rsidP="0021759A" w14:paraId="0AF592C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eastAsia="Times New Roman" w:hAnsi="Times New Roman"/>
          <w:i/>
          <w:iCs/>
          <w:sz w:val="24"/>
          <w:szCs w:val="24"/>
          <w:lang w:val="en-US"/>
        </w:rPr>
      </w:pPr>
      <w:r w:rsidRPr="0019098E">
        <w:rPr>
          <w:rFonts w:ascii="Times New Roman" w:eastAsia="Times New Roman" w:hAnsi="Times New Roman"/>
          <w:i/>
          <w:iCs/>
          <w:sz w:val="24"/>
          <w:szCs w:val="24"/>
          <w:lang w:val="en-US"/>
        </w:rPr>
        <w:t>Counsel for Ohio Manufacturers’ Association Energy Group</w:t>
      </w:r>
    </w:p>
    <w:p w:rsidR="00E063DB" w:rsidRPr="00335CE6" w:rsidP="00E063DB" w14:paraId="47965E5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063DB" w:rsidRPr="00DE37C9" w:rsidP="00CE6D86" w14:paraId="3CC1B794" w14:textId="77777777">
      <w:pPr>
        <w:ind w:left="4320"/>
        <w:rPr>
          <w:szCs w:val="24"/>
        </w:rPr>
      </w:pPr>
    </w:p>
    <w:p w:rsidR="008B65B9" w14:paraId="79CB40CD" w14:textId="77777777">
      <w:pPr>
        <w:spacing w:after="200" w:line="276" w:lineRule="auto"/>
        <w:rPr>
          <w:b/>
          <w:bCs/>
          <w:szCs w:val="24"/>
          <w:u w:val="single"/>
        </w:rPr>
      </w:pPr>
      <w:r>
        <w:rPr>
          <w:b/>
          <w:bCs/>
          <w:szCs w:val="24"/>
          <w:u w:val="single"/>
        </w:rPr>
        <w:br w:type="page"/>
      </w:r>
    </w:p>
    <w:p w:rsidR="003A3C90" w:rsidP="003A3C90" w14:paraId="6D6C79A4" w14:textId="15585BED">
      <w:pPr>
        <w:jc w:val="center"/>
        <w:rPr>
          <w:b/>
          <w:bCs/>
          <w:szCs w:val="24"/>
          <w:u w:val="single"/>
        </w:rPr>
      </w:pPr>
      <w:r>
        <w:rPr>
          <w:b/>
          <w:bCs/>
          <w:szCs w:val="24"/>
          <w:u w:val="single"/>
        </w:rPr>
        <w:t>CERTIFICATE OF SERVICE</w:t>
      </w:r>
    </w:p>
    <w:p w:rsidR="006471D3" w:rsidP="003A3C90" w14:paraId="3F23A874" w14:textId="77777777">
      <w:pPr>
        <w:jc w:val="center"/>
        <w:rPr>
          <w:b/>
          <w:bCs/>
          <w:szCs w:val="24"/>
          <w:u w:val="single"/>
        </w:rPr>
      </w:pPr>
    </w:p>
    <w:p w:rsidR="003A3C90" w:rsidP="006471D3" w14:paraId="758389C0" w14:textId="3DC17793">
      <w:pPr>
        <w:spacing w:line="480" w:lineRule="auto"/>
        <w:ind w:firstLine="720"/>
        <w:rPr>
          <w:szCs w:val="24"/>
        </w:rPr>
      </w:pPr>
      <w:r>
        <w:rPr>
          <w:szCs w:val="24"/>
        </w:rPr>
        <w:t>I her</w:t>
      </w:r>
      <w:r w:rsidR="00B63660">
        <w:rPr>
          <w:szCs w:val="24"/>
        </w:rPr>
        <w:t xml:space="preserve">eby certify that </w:t>
      </w:r>
      <w:r w:rsidR="00CE6D86">
        <w:rPr>
          <w:szCs w:val="24"/>
        </w:rPr>
        <w:t>a copy of the</w:t>
      </w:r>
      <w:r w:rsidR="006471D3">
        <w:rPr>
          <w:szCs w:val="24"/>
        </w:rPr>
        <w:t xml:space="preserve"> foregoing</w:t>
      </w:r>
      <w:r w:rsidR="00CE6D86">
        <w:rPr>
          <w:szCs w:val="24"/>
        </w:rPr>
        <w:t xml:space="preserve"> </w:t>
      </w:r>
      <w:r w:rsidRPr="006471D3" w:rsidR="006471D3">
        <w:rPr>
          <w:bCs/>
        </w:rPr>
        <w:t>Motion To Reject D</w:t>
      </w:r>
      <w:r w:rsidR="006471D3">
        <w:rPr>
          <w:bCs/>
        </w:rPr>
        <w:t>P</w:t>
      </w:r>
      <w:r w:rsidRPr="006471D3" w:rsidR="006471D3">
        <w:rPr>
          <w:bCs/>
        </w:rPr>
        <w:t>&amp;L's Proposed Tariffs</w:t>
      </w:r>
      <w:r w:rsidR="006471D3">
        <w:rPr>
          <w:bCs/>
        </w:rPr>
        <w:t xml:space="preserve"> </w:t>
      </w:r>
      <w:r w:rsidRPr="006471D3" w:rsidR="006471D3">
        <w:rPr>
          <w:bCs/>
        </w:rPr>
        <w:t>To Increase Consumer Rates</w:t>
      </w:r>
      <w:r w:rsidR="00CE6D86">
        <w:rPr>
          <w:i/>
          <w:szCs w:val="24"/>
        </w:rPr>
        <w:t xml:space="preserve"> </w:t>
      </w:r>
      <w:r w:rsidR="006471D3">
        <w:rPr>
          <w:szCs w:val="24"/>
        </w:rPr>
        <w:t>was</w:t>
      </w:r>
      <w:r>
        <w:rPr>
          <w:szCs w:val="24"/>
        </w:rPr>
        <w:t xml:space="preserve"> electronically served via electric transmission on the persons stated below this </w:t>
      </w:r>
      <w:r w:rsidR="0045326F">
        <w:rPr>
          <w:szCs w:val="24"/>
        </w:rPr>
        <w:t>4</w:t>
      </w:r>
      <w:r w:rsidRPr="0045326F" w:rsidR="0045326F">
        <w:rPr>
          <w:szCs w:val="24"/>
          <w:vertAlign w:val="superscript"/>
        </w:rPr>
        <w:t>th</w:t>
      </w:r>
      <w:r w:rsidR="0045326F">
        <w:rPr>
          <w:szCs w:val="24"/>
        </w:rPr>
        <w:t xml:space="preserve"> </w:t>
      </w:r>
      <w:r>
        <w:rPr>
          <w:szCs w:val="24"/>
        </w:rPr>
        <w:t xml:space="preserve">day of </w:t>
      </w:r>
      <w:r w:rsidR="006471D3">
        <w:rPr>
          <w:szCs w:val="24"/>
        </w:rPr>
        <w:t xml:space="preserve">December </w:t>
      </w:r>
      <w:r>
        <w:rPr>
          <w:szCs w:val="24"/>
        </w:rPr>
        <w:t>201</w:t>
      </w:r>
      <w:r w:rsidR="006471D3">
        <w:rPr>
          <w:szCs w:val="24"/>
        </w:rPr>
        <w:t>9</w:t>
      </w:r>
      <w:r>
        <w:rPr>
          <w:szCs w:val="24"/>
        </w:rPr>
        <w:t>.</w:t>
      </w:r>
    </w:p>
    <w:p w:rsidR="003A3C90" w:rsidP="003A3C90" w14:paraId="524890A5" w14:textId="77777777">
      <w:pPr>
        <w:tabs>
          <w:tab w:val="left" w:pos="4320"/>
        </w:tabs>
        <w:rPr>
          <w:szCs w:val="24"/>
        </w:rPr>
      </w:pPr>
    </w:p>
    <w:p w:rsidR="003A3C90" w:rsidP="003A3C90" w14:paraId="44E1FA8F" w14:textId="05B03BC9">
      <w:pPr>
        <w:tabs>
          <w:tab w:val="left" w:pos="4320"/>
        </w:tabs>
        <w:rPr>
          <w:szCs w:val="24"/>
        </w:rPr>
      </w:pPr>
      <w:r>
        <w:rPr>
          <w:szCs w:val="24"/>
        </w:rPr>
        <w:tab/>
      </w:r>
      <w:r>
        <w:rPr>
          <w:i/>
          <w:szCs w:val="24"/>
          <w:u w:val="single"/>
        </w:rPr>
        <w:t xml:space="preserve">/s/ Maureen </w:t>
      </w:r>
      <w:r w:rsidR="0045326F">
        <w:rPr>
          <w:i/>
          <w:szCs w:val="24"/>
          <w:u w:val="single"/>
        </w:rPr>
        <w:t xml:space="preserve">R. </w:t>
      </w:r>
      <w:r>
        <w:rPr>
          <w:i/>
          <w:szCs w:val="24"/>
          <w:u w:val="single"/>
        </w:rPr>
        <w:t>Willis</w:t>
      </w:r>
      <w:r w:rsidR="002A2D82">
        <w:rPr>
          <w:i/>
          <w:szCs w:val="24"/>
          <w:u w:val="single"/>
        </w:rPr>
        <w:tab/>
      </w:r>
      <w:r w:rsidR="002A2D82">
        <w:rPr>
          <w:i/>
          <w:szCs w:val="24"/>
          <w:u w:val="single"/>
        </w:rPr>
        <w:tab/>
      </w:r>
    </w:p>
    <w:p w:rsidR="003A3C90" w:rsidP="003A3C90" w14:paraId="2C561A04" w14:textId="4375E298">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 xml:space="preserve">Maureen </w:t>
      </w:r>
      <w:r w:rsidR="0045326F">
        <w:rPr>
          <w:szCs w:val="24"/>
        </w:rPr>
        <w:t xml:space="preserve">R. </w:t>
      </w:r>
      <w:r>
        <w:rPr>
          <w:szCs w:val="24"/>
        </w:rPr>
        <w:t>Willis</w:t>
      </w:r>
    </w:p>
    <w:p w:rsidR="003A3C90" w:rsidP="003A3C90" w14:paraId="7E30CBAA" w14:textId="27D0DED7">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Counsel of Record</w:t>
      </w:r>
    </w:p>
    <w:p w:rsidR="009E2B8E" w:rsidP="003A3C90" w14:paraId="1301B51A" w14:textId="77777777">
      <w:pPr>
        <w:autoSpaceDE w:val="0"/>
        <w:autoSpaceDN w:val="0"/>
        <w:adjustRightInd w:val="0"/>
        <w:rPr>
          <w:szCs w:val="24"/>
        </w:rPr>
      </w:pPr>
    </w:p>
    <w:p w:rsidR="003A3C90" w:rsidP="003A3C90" w14:paraId="31022C26" w14:textId="36DB17B3">
      <w:pPr>
        <w:pStyle w:val="CommentText"/>
        <w:jc w:val="center"/>
        <w:rPr>
          <w:b/>
          <w:u w:val="single"/>
        </w:rPr>
      </w:pPr>
    </w:p>
    <w:p w:rsidR="009E2B8E" w:rsidP="009E2B8E" w14:paraId="531A8F9E" w14:textId="77777777">
      <w:r>
        <w:t>The PUCO’s e-filing system will electronically serve notice of the filing of this document on the following parties:</w:t>
      </w:r>
    </w:p>
    <w:p w:rsidR="009E2B8E" w:rsidP="003A3C90" w14:paraId="0E28ED0C" w14:textId="77777777">
      <w:pPr>
        <w:pStyle w:val="CommentText"/>
        <w:jc w:val="center"/>
        <w:rPr>
          <w:b/>
          <w:u w:val="single"/>
        </w:rPr>
      </w:pPr>
    </w:p>
    <w:p w:rsidR="003A3C90" w:rsidP="003A3C90" w14:paraId="3B647D28" w14:textId="77777777">
      <w:pPr>
        <w:pStyle w:val="CommentText"/>
        <w:jc w:val="center"/>
        <w:rPr>
          <w:b/>
          <w:u w:val="single"/>
        </w:rPr>
      </w:pPr>
      <w:r>
        <w:rPr>
          <w:b/>
          <w:u w:val="single"/>
        </w:rPr>
        <w:t>SERVICE LIST</w:t>
      </w:r>
    </w:p>
    <w:p w:rsidR="003A3C90" w:rsidP="003A3C90" w14:paraId="192228B9"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tblGrid>
      <w:tr w14:paraId="22D9D3F6" w14:textId="77777777" w:rsidTr="0026232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856" w:type="dxa"/>
          </w:tcPr>
          <w:tbl>
            <w:tblPr>
              <w:tblW w:w="8876" w:type="dxa"/>
              <w:tblLook w:val="04A0"/>
            </w:tblPr>
            <w:tblGrid>
              <w:gridCol w:w="4490"/>
              <w:gridCol w:w="4386"/>
            </w:tblGrid>
            <w:tr w14:paraId="04188B23" w14:textId="77777777" w:rsidTr="00EB42EE">
              <w:tblPrEx>
                <w:tblW w:w="8876" w:type="dxa"/>
                <w:tblLook w:val="04A0"/>
              </w:tblPrEx>
              <w:tc>
                <w:tcPr>
                  <w:tcW w:w="4449" w:type="dxa"/>
                  <w:shd w:val="clear" w:color="auto" w:fill="auto"/>
                </w:tcPr>
                <w:p w:rsidR="00262327" w:rsidP="00EB42EE" w14:paraId="4E80F5BB" w14:textId="77777777">
                  <w:pPr>
                    <w:autoSpaceDE w:val="0"/>
                    <w:autoSpaceDN w:val="0"/>
                    <w:adjustRightInd w:val="0"/>
                  </w:pPr>
                  <w:hyperlink r:id="rId11" w:history="1">
                    <w:r w:rsidRPr="00FA2A4D" w:rsidR="00CC51C4">
                      <w:rPr>
                        <w:rStyle w:val="Hyperlink"/>
                        <w:rFonts w:eastAsiaTheme="majorEastAsia"/>
                      </w:rPr>
                      <w:t>Thomas.Lindgren@ohioattorneygeneral.gov</w:t>
                    </w:r>
                  </w:hyperlink>
                  <w:r w:rsidR="00CC51C4">
                    <w:t xml:space="preserve"> </w:t>
                  </w:r>
                </w:p>
                <w:p w:rsidR="00262327" w:rsidP="00EB42EE" w14:paraId="445FED70" w14:textId="77777777">
                  <w:pPr>
                    <w:autoSpaceDE w:val="0"/>
                    <w:autoSpaceDN w:val="0"/>
                    <w:adjustRightInd w:val="0"/>
                  </w:pPr>
                  <w:hyperlink r:id="rId12" w:history="1">
                    <w:r w:rsidRPr="00FA2A4D" w:rsidR="00CC51C4">
                      <w:rPr>
                        <w:rStyle w:val="Hyperlink"/>
                        <w:rFonts w:eastAsiaTheme="majorEastAsia"/>
                      </w:rPr>
                      <w:t>thomas.mcnamee@ohioattorneygeneral.gov</w:t>
                    </w:r>
                  </w:hyperlink>
                </w:p>
                <w:p w:rsidR="00262327" w:rsidP="00EB42EE" w14:paraId="2F24A7BF" w14:textId="77777777">
                  <w:pPr>
                    <w:autoSpaceDE w:val="0"/>
                    <w:autoSpaceDN w:val="0"/>
                    <w:adjustRightInd w:val="0"/>
                  </w:pPr>
                  <w:hyperlink r:id="rId13" w:history="1">
                    <w:r w:rsidR="00CC51C4">
                      <w:rPr>
                        <w:rStyle w:val="Hyperlink"/>
                        <w:rFonts w:eastAsiaTheme="majorEastAsia"/>
                      </w:rPr>
                      <w:t>cfaruki@ficlaw.com</w:t>
                    </w:r>
                  </w:hyperlink>
                </w:p>
                <w:p w:rsidR="00262327" w:rsidP="00EB42EE" w14:paraId="2C441DDC" w14:textId="77777777">
                  <w:pPr>
                    <w:autoSpaceDE w:val="0"/>
                    <w:autoSpaceDN w:val="0"/>
                    <w:adjustRightInd w:val="0"/>
                  </w:pPr>
                  <w:hyperlink r:id="rId14" w:history="1">
                    <w:r w:rsidR="00CC51C4">
                      <w:rPr>
                        <w:rStyle w:val="Hyperlink"/>
                        <w:rFonts w:eastAsiaTheme="majorEastAsia"/>
                      </w:rPr>
                      <w:t>jsharkey@ficlaw.com</w:t>
                    </w:r>
                  </w:hyperlink>
                </w:p>
                <w:p w:rsidR="00262327" w:rsidP="00EB42EE" w14:paraId="4C3A41BC" w14:textId="77777777">
                  <w:pPr>
                    <w:tabs>
                      <w:tab w:val="left" w:pos="4320"/>
                    </w:tabs>
                  </w:pPr>
                  <w:hyperlink r:id="rId15" w:history="1">
                    <w:r w:rsidRPr="0039376C" w:rsidR="00CC51C4">
                      <w:rPr>
                        <w:rStyle w:val="Hyperlink"/>
                        <w:rFonts w:eastAsiaTheme="majorEastAsia"/>
                      </w:rPr>
                      <w:t>joliker@mwncmh.com</w:t>
                    </w:r>
                  </w:hyperlink>
                  <w:r w:rsidR="00CC51C4">
                    <w:t xml:space="preserve"> </w:t>
                  </w:r>
                </w:p>
                <w:p w:rsidR="00262327" w:rsidP="00EB42EE" w14:paraId="71F8A7B4" w14:textId="77777777">
                  <w:pPr>
                    <w:tabs>
                      <w:tab w:val="left" w:pos="4320"/>
                    </w:tabs>
                  </w:pPr>
                  <w:hyperlink r:id="rId16" w:history="1">
                    <w:r w:rsidR="00CC51C4">
                      <w:rPr>
                        <w:rStyle w:val="Hyperlink"/>
                        <w:rFonts w:eastAsiaTheme="majorEastAsia"/>
                      </w:rPr>
                      <w:t>sam@mwncmh.com</w:t>
                    </w:r>
                  </w:hyperlink>
                </w:p>
                <w:p w:rsidR="00262327" w:rsidP="00EB42EE" w14:paraId="6B469F7F" w14:textId="77777777">
                  <w:pPr>
                    <w:autoSpaceDE w:val="0"/>
                    <w:autoSpaceDN w:val="0"/>
                    <w:adjustRightInd w:val="0"/>
                  </w:pPr>
                  <w:hyperlink r:id="rId17" w:history="1">
                    <w:r w:rsidR="00CC51C4">
                      <w:rPr>
                        <w:rStyle w:val="Hyperlink"/>
                        <w:rFonts w:eastAsiaTheme="majorEastAsia"/>
                      </w:rPr>
                      <w:t>drinebolt@aol.com</w:t>
                    </w:r>
                  </w:hyperlink>
                </w:p>
                <w:p w:rsidR="00262327" w:rsidP="00EB42EE" w14:paraId="0F61B5C3" w14:textId="77777777">
                  <w:pPr>
                    <w:autoSpaceDE w:val="0"/>
                    <w:autoSpaceDN w:val="0"/>
                    <w:adjustRightInd w:val="0"/>
                  </w:pPr>
                  <w:hyperlink r:id="rId18" w:history="1">
                    <w:r w:rsidRPr="0039376C" w:rsidR="00CC51C4">
                      <w:rPr>
                        <w:rStyle w:val="Hyperlink"/>
                        <w:rFonts w:eastAsiaTheme="majorEastAsia"/>
                      </w:rPr>
                      <w:t>cmooney@ohiopartners.org</w:t>
                    </w:r>
                  </w:hyperlink>
                  <w:r w:rsidR="00CC51C4">
                    <w:t xml:space="preserve"> </w:t>
                  </w:r>
                </w:p>
                <w:p w:rsidR="00262327" w:rsidP="00EB42EE" w14:paraId="3286BF99" w14:textId="77777777">
                  <w:pPr>
                    <w:autoSpaceDE w:val="0"/>
                    <w:autoSpaceDN w:val="0"/>
                    <w:adjustRightInd w:val="0"/>
                  </w:pPr>
                  <w:hyperlink r:id="rId19" w:history="1">
                    <w:r w:rsidR="00CC51C4">
                      <w:rPr>
                        <w:rStyle w:val="Hyperlink"/>
                        <w:rFonts w:eastAsiaTheme="majorEastAsia"/>
                      </w:rPr>
                      <w:t>Ned.Ford@fuse.net</w:t>
                    </w:r>
                  </w:hyperlink>
                </w:p>
                <w:p w:rsidR="00262327" w:rsidP="00EB42EE" w14:paraId="76712E8A" w14:textId="77777777">
                  <w:pPr>
                    <w:autoSpaceDE w:val="0"/>
                    <w:autoSpaceDN w:val="0"/>
                    <w:adjustRightInd w:val="0"/>
                  </w:pPr>
                  <w:hyperlink r:id="rId20" w:history="1">
                    <w:r w:rsidR="00CC51C4">
                      <w:rPr>
                        <w:rStyle w:val="Hyperlink"/>
                        <w:rFonts w:eastAsiaTheme="majorEastAsia"/>
                      </w:rPr>
                      <w:t>ricks@ohanet.org</w:t>
                    </w:r>
                  </w:hyperlink>
                </w:p>
                <w:p w:rsidR="00262327" w:rsidP="00EB42EE" w14:paraId="6F135BCA" w14:textId="77777777">
                  <w:pPr>
                    <w:autoSpaceDE w:val="0"/>
                    <w:autoSpaceDN w:val="0"/>
                    <w:adjustRightInd w:val="0"/>
                  </w:pPr>
                  <w:hyperlink r:id="rId21" w:history="1">
                    <w:r w:rsidR="00CC51C4">
                      <w:rPr>
                        <w:rStyle w:val="Hyperlink"/>
                        <w:rFonts w:eastAsiaTheme="majorEastAsia"/>
                      </w:rPr>
                      <w:t>wis29@yahoo.com</w:t>
                    </w:r>
                  </w:hyperlink>
                </w:p>
                <w:p w:rsidR="00262327" w:rsidP="00EB42EE" w14:paraId="54B557BB" w14:textId="77777777">
                  <w:pPr>
                    <w:autoSpaceDE w:val="0"/>
                    <w:autoSpaceDN w:val="0"/>
                    <w:adjustRightInd w:val="0"/>
                  </w:pPr>
                  <w:hyperlink r:id="rId22" w:history="1">
                    <w:r w:rsidR="00CC51C4">
                      <w:rPr>
                        <w:rStyle w:val="Hyperlink"/>
                        <w:rFonts w:eastAsiaTheme="majorEastAsia"/>
                      </w:rPr>
                      <w:t>smhoward@vssp.com</w:t>
                    </w:r>
                  </w:hyperlink>
                </w:p>
                <w:p w:rsidR="00262327" w:rsidP="00EB42EE" w14:paraId="4BF38ACF" w14:textId="77777777">
                  <w:pPr>
                    <w:autoSpaceDE w:val="0"/>
                    <w:autoSpaceDN w:val="0"/>
                    <w:adjustRightInd w:val="0"/>
                  </w:pPr>
                  <w:hyperlink r:id="rId23" w:history="1">
                    <w:r w:rsidR="00CC51C4">
                      <w:rPr>
                        <w:rStyle w:val="Hyperlink"/>
                        <w:rFonts w:eastAsiaTheme="majorEastAsia"/>
                      </w:rPr>
                      <w:t>mjsettineri@vorys.com</w:t>
                    </w:r>
                  </w:hyperlink>
                </w:p>
                <w:p w:rsidR="00262327" w:rsidP="00EB42EE" w14:paraId="5920F3ED" w14:textId="77777777">
                  <w:pPr>
                    <w:autoSpaceDE w:val="0"/>
                    <w:autoSpaceDN w:val="0"/>
                    <w:adjustRightInd w:val="0"/>
                  </w:pPr>
                  <w:hyperlink r:id="rId24" w:history="1">
                    <w:r w:rsidR="00CC51C4">
                      <w:rPr>
                        <w:rStyle w:val="Hyperlink"/>
                        <w:rFonts w:eastAsiaTheme="majorEastAsia"/>
                      </w:rPr>
                      <w:t>BarthRoyer@aol.com</w:t>
                    </w:r>
                  </w:hyperlink>
                </w:p>
                <w:p w:rsidR="00262327" w:rsidP="00EB42EE" w14:paraId="603AA4EF" w14:textId="77777777">
                  <w:pPr>
                    <w:autoSpaceDE w:val="0"/>
                    <w:autoSpaceDN w:val="0"/>
                    <w:adjustRightInd w:val="0"/>
                  </w:pPr>
                  <w:hyperlink r:id="rId25" w:history="1">
                    <w:r w:rsidR="00CC51C4">
                      <w:rPr>
                        <w:rStyle w:val="Hyperlink"/>
                        <w:rFonts w:eastAsiaTheme="majorEastAsia"/>
                      </w:rPr>
                      <w:t>Gary.A.Jeffries@dom.com</w:t>
                    </w:r>
                  </w:hyperlink>
                </w:p>
                <w:p w:rsidR="00262327" w:rsidP="00EB42EE" w14:paraId="44D65CDC" w14:textId="77777777">
                  <w:pPr>
                    <w:autoSpaceDE w:val="0"/>
                    <w:autoSpaceDN w:val="0"/>
                    <w:adjustRightInd w:val="0"/>
                  </w:pPr>
                  <w:hyperlink r:id="rId7" w:history="1">
                    <w:r w:rsidRPr="0039376C" w:rsidR="00CC51C4">
                      <w:rPr>
                        <w:rStyle w:val="Hyperlink"/>
                        <w:rFonts w:eastAsiaTheme="majorEastAsia"/>
                      </w:rPr>
                      <w:t>Bojko@carpenterlipps.com</w:t>
                    </w:r>
                  </w:hyperlink>
                  <w:r w:rsidR="00CC51C4">
                    <w:t xml:space="preserve"> </w:t>
                  </w:r>
                </w:p>
                <w:p w:rsidR="00262327" w:rsidP="00EB42EE" w14:paraId="6EB53D4F" w14:textId="77777777">
                  <w:pPr>
                    <w:autoSpaceDE w:val="0"/>
                    <w:autoSpaceDN w:val="0"/>
                    <w:adjustRightInd w:val="0"/>
                  </w:pPr>
                  <w:hyperlink r:id="rId26" w:history="1">
                    <w:r w:rsidRPr="00FA2A4D" w:rsidR="00CC51C4">
                      <w:rPr>
                        <w:rStyle w:val="Hyperlink"/>
                        <w:rFonts w:eastAsiaTheme="majorEastAsia"/>
                      </w:rPr>
                      <w:t>sechler@carpenterlipps.com</w:t>
                    </w:r>
                  </w:hyperlink>
                  <w:r w:rsidR="00CC51C4">
                    <w:t xml:space="preserve"> </w:t>
                  </w:r>
                </w:p>
                <w:p w:rsidR="00262327" w:rsidP="00EB42EE" w14:paraId="39FDF44A" w14:textId="77777777">
                  <w:pPr>
                    <w:autoSpaceDE w:val="0"/>
                    <w:autoSpaceDN w:val="0"/>
                    <w:adjustRightInd w:val="0"/>
                  </w:pPr>
                  <w:hyperlink r:id="rId27" w:history="1">
                    <w:r w:rsidRPr="00FA2A4D" w:rsidR="00CC51C4">
                      <w:rPr>
                        <w:rStyle w:val="Hyperlink"/>
                        <w:rFonts w:eastAsiaTheme="majorEastAsia"/>
                      </w:rPr>
                      <w:t>fdarr@mwncmh.com</w:t>
                    </w:r>
                  </w:hyperlink>
                  <w:r w:rsidR="00CC51C4">
                    <w:t xml:space="preserve"> </w:t>
                  </w:r>
                </w:p>
                <w:p w:rsidR="00262327" w:rsidP="00EB42EE" w14:paraId="5E9186A2" w14:textId="77777777">
                  <w:pPr>
                    <w:autoSpaceDE w:val="0"/>
                    <w:autoSpaceDN w:val="0"/>
                    <w:adjustRightInd w:val="0"/>
                  </w:pPr>
                  <w:hyperlink r:id="rId28" w:history="1">
                    <w:r w:rsidRPr="0039376C" w:rsidR="00CC51C4">
                      <w:rPr>
                        <w:rStyle w:val="Hyperlink"/>
                        <w:rFonts w:eastAsiaTheme="majorEastAsia"/>
                      </w:rPr>
                      <w:t>jlang@calfee.com</w:t>
                    </w:r>
                  </w:hyperlink>
                  <w:r w:rsidR="00CC51C4">
                    <w:t xml:space="preserve"> </w:t>
                  </w:r>
                </w:p>
                <w:p w:rsidR="00262327" w:rsidP="00EB42EE" w14:paraId="0FE6E732" w14:textId="77777777">
                  <w:pPr>
                    <w:autoSpaceDE w:val="0"/>
                    <w:autoSpaceDN w:val="0"/>
                    <w:adjustRightInd w:val="0"/>
                  </w:pPr>
                  <w:hyperlink r:id="rId29" w:history="1">
                    <w:r w:rsidRPr="0039376C" w:rsidR="00CC51C4">
                      <w:rPr>
                        <w:rStyle w:val="Hyperlink"/>
                        <w:rFonts w:eastAsiaTheme="majorEastAsia"/>
                      </w:rPr>
                      <w:t>talexander@calfee.com</w:t>
                    </w:r>
                  </w:hyperlink>
                  <w:r w:rsidR="00CC51C4">
                    <w:t xml:space="preserve"> </w:t>
                  </w:r>
                </w:p>
                <w:p w:rsidR="00816896" w:rsidP="00EB42EE" w14:paraId="7A9FAD46" w14:textId="7EC5D146">
                  <w:pPr>
                    <w:autoSpaceDE w:val="0"/>
                    <w:autoSpaceDN w:val="0"/>
                    <w:adjustRightInd w:val="0"/>
                  </w:pPr>
                  <w:hyperlink r:id="rId30" w:history="1">
                    <w:r w:rsidRPr="0097413F" w:rsidR="00CC51C4">
                      <w:rPr>
                        <w:rStyle w:val="Hyperlink"/>
                      </w:rPr>
                      <w:t>mkeaney@calfee.com</w:t>
                    </w:r>
                  </w:hyperlink>
                  <w:r w:rsidR="00CC51C4">
                    <w:t xml:space="preserve"> </w:t>
                  </w:r>
                </w:p>
                <w:p w:rsidR="00262327" w:rsidP="00EB42EE" w14:paraId="284023AF" w14:textId="77777777">
                  <w:pPr>
                    <w:autoSpaceDE w:val="0"/>
                    <w:autoSpaceDN w:val="0"/>
                    <w:adjustRightInd w:val="0"/>
                  </w:pPr>
                  <w:hyperlink r:id="rId31" w:history="1">
                    <w:r w:rsidRPr="0039376C" w:rsidR="00CC51C4">
                      <w:rPr>
                        <w:rStyle w:val="Hyperlink"/>
                        <w:rFonts w:eastAsiaTheme="majorEastAsia"/>
                      </w:rPr>
                      <w:t>mswhite@igsenergy.com</w:t>
                    </w:r>
                  </w:hyperlink>
                  <w:r w:rsidR="00CC51C4">
                    <w:t xml:space="preserve"> </w:t>
                  </w:r>
                </w:p>
                <w:p w:rsidR="00262327" w:rsidP="00EB42EE" w14:paraId="3FA5C518" w14:textId="77777777">
                  <w:pPr>
                    <w:autoSpaceDE w:val="0"/>
                    <w:autoSpaceDN w:val="0"/>
                    <w:adjustRightInd w:val="0"/>
                  </w:pPr>
                </w:p>
                <w:p w:rsidR="00262327" w:rsidP="00EB42EE" w14:paraId="5586FF5C" w14:textId="77777777">
                  <w:pPr>
                    <w:autoSpaceDE w:val="0"/>
                    <w:autoSpaceDN w:val="0"/>
                    <w:adjustRightInd w:val="0"/>
                  </w:pPr>
                  <w:r>
                    <w:t>Attorney General:</w:t>
                  </w:r>
                </w:p>
                <w:p w:rsidR="00262327" w:rsidP="00EB42EE" w14:paraId="36FF5DDD" w14:textId="77777777">
                  <w:pPr>
                    <w:autoSpaceDE w:val="0"/>
                    <w:autoSpaceDN w:val="0"/>
                    <w:adjustRightInd w:val="0"/>
                  </w:pPr>
                  <w:hyperlink r:id="rId32" w:history="1">
                    <w:r w:rsidR="00CC51C4">
                      <w:rPr>
                        <w:rStyle w:val="Hyperlink"/>
                        <w:rFonts w:eastAsiaTheme="majorEastAsia"/>
                      </w:rPr>
                      <w:t>Gregory.Price@puc.state.oh.us</w:t>
                    </w:r>
                  </w:hyperlink>
                </w:p>
                <w:p w:rsidR="00262327" w:rsidP="00EB42EE" w14:paraId="15CAA1A2" w14:textId="77777777">
                  <w:pPr>
                    <w:autoSpaceDE w:val="0"/>
                    <w:autoSpaceDN w:val="0"/>
                    <w:adjustRightInd w:val="0"/>
                    <w:rPr>
                      <w:sz w:val="26"/>
                      <w:szCs w:val="26"/>
                    </w:rPr>
                  </w:pPr>
                </w:p>
              </w:tc>
              <w:tc>
                <w:tcPr>
                  <w:tcW w:w="4427" w:type="dxa"/>
                  <w:shd w:val="clear" w:color="auto" w:fill="auto"/>
                </w:tcPr>
                <w:p w:rsidR="00262327" w:rsidP="00EB42EE" w14:paraId="19A788B7" w14:textId="75BEC99D">
                  <w:pPr>
                    <w:autoSpaceDE w:val="0"/>
                    <w:autoSpaceDN w:val="0"/>
                    <w:adjustRightInd w:val="0"/>
                  </w:pPr>
                  <w:hyperlink r:id="rId33" w:history="1">
                    <w:r w:rsidRPr="0039376C" w:rsidR="00CC51C4">
                      <w:rPr>
                        <w:rStyle w:val="Hyperlink"/>
                        <w:rFonts w:eastAsiaTheme="majorEastAsia"/>
                      </w:rPr>
                      <w:t>Amy.spiller@duke-energy.com</w:t>
                    </w:r>
                  </w:hyperlink>
                  <w:r w:rsidR="00EB42EE">
                    <w:t xml:space="preserve"> </w:t>
                  </w:r>
                </w:p>
                <w:p w:rsidR="00262327" w:rsidP="00EB42EE" w14:paraId="4B34852F" w14:textId="77777777">
                  <w:pPr>
                    <w:autoSpaceDE w:val="0"/>
                    <w:autoSpaceDN w:val="0"/>
                    <w:adjustRightInd w:val="0"/>
                  </w:pPr>
                  <w:hyperlink r:id="rId34" w:history="1">
                    <w:r w:rsidRPr="0039376C" w:rsidR="00CC51C4">
                      <w:rPr>
                        <w:rStyle w:val="Hyperlink"/>
                        <w:rFonts w:eastAsiaTheme="majorEastAsia"/>
                      </w:rPr>
                      <w:t>Jeanne.kingery@duke-energy.com</w:t>
                    </w:r>
                  </w:hyperlink>
                  <w:r w:rsidR="00CC51C4">
                    <w:t xml:space="preserve"> </w:t>
                  </w:r>
                </w:p>
                <w:p w:rsidR="00262327" w:rsidP="00EB42EE" w14:paraId="38E63876" w14:textId="77777777">
                  <w:pPr>
                    <w:autoSpaceDE w:val="0"/>
                    <w:autoSpaceDN w:val="0"/>
                    <w:adjustRightInd w:val="0"/>
                  </w:pPr>
                  <w:hyperlink r:id="rId35" w:history="1">
                    <w:r w:rsidRPr="0039376C" w:rsidR="00CC51C4">
                      <w:rPr>
                        <w:rStyle w:val="Hyperlink"/>
                        <w:rFonts w:eastAsiaTheme="majorEastAsia"/>
                      </w:rPr>
                      <w:t>Ellizabeth.watts@duke-energy.com</w:t>
                    </w:r>
                  </w:hyperlink>
                  <w:r w:rsidR="00CC51C4">
                    <w:t xml:space="preserve"> </w:t>
                  </w:r>
                </w:p>
                <w:p w:rsidR="00262327" w:rsidP="00EB42EE" w14:paraId="7310DF48" w14:textId="272B76C5">
                  <w:pPr>
                    <w:autoSpaceDE w:val="0"/>
                    <w:autoSpaceDN w:val="0"/>
                    <w:adjustRightInd w:val="0"/>
                  </w:pPr>
                  <w:hyperlink r:id="rId36" w:history="1">
                    <w:r w:rsidRPr="0039376C" w:rsidR="00CC51C4">
                      <w:rPr>
                        <w:rStyle w:val="Hyperlink"/>
                        <w:rFonts w:eastAsiaTheme="majorEastAsia"/>
                      </w:rPr>
                      <w:t>haydenm@firstenergycorp.com</w:t>
                    </w:r>
                  </w:hyperlink>
                  <w:r w:rsidR="00EB42EE">
                    <w:t xml:space="preserve"> </w:t>
                  </w:r>
                </w:p>
                <w:p w:rsidR="00262327" w:rsidP="00EB42EE" w14:paraId="6952B3E1" w14:textId="77777777">
                  <w:pPr>
                    <w:autoSpaceDE w:val="0"/>
                    <w:autoSpaceDN w:val="0"/>
                    <w:adjustRightInd w:val="0"/>
                  </w:pPr>
                  <w:hyperlink r:id="rId37" w:history="1">
                    <w:r w:rsidRPr="0039376C" w:rsidR="00CC51C4">
                      <w:rPr>
                        <w:rStyle w:val="Hyperlink"/>
                        <w:rFonts w:eastAsiaTheme="majorEastAsia"/>
                      </w:rPr>
                      <w:t>mjsatterwhite@aep.com</w:t>
                    </w:r>
                  </w:hyperlink>
                </w:p>
                <w:p w:rsidR="00262327" w:rsidP="00EB42EE" w14:paraId="24CBC024" w14:textId="77777777">
                  <w:pPr>
                    <w:autoSpaceDE w:val="0"/>
                    <w:autoSpaceDN w:val="0"/>
                    <w:adjustRightInd w:val="0"/>
                  </w:pPr>
                  <w:hyperlink r:id="rId38" w:history="1">
                    <w:r w:rsidRPr="0039376C" w:rsidR="00CC51C4">
                      <w:rPr>
                        <w:rStyle w:val="Hyperlink"/>
                        <w:rFonts w:eastAsiaTheme="majorEastAsia"/>
                      </w:rPr>
                      <w:t>stnourse@aep.com</w:t>
                    </w:r>
                  </w:hyperlink>
                  <w:r w:rsidR="00CC51C4">
                    <w:t xml:space="preserve"> </w:t>
                  </w:r>
                </w:p>
                <w:p w:rsidR="00262327" w:rsidP="00EB42EE" w14:paraId="3796F327" w14:textId="77777777">
                  <w:pPr>
                    <w:autoSpaceDE w:val="0"/>
                    <w:autoSpaceDN w:val="0"/>
                    <w:adjustRightInd w:val="0"/>
                  </w:pPr>
                  <w:hyperlink r:id="rId39" w:history="1">
                    <w:r w:rsidR="00CC51C4">
                      <w:rPr>
                        <w:rStyle w:val="Hyperlink"/>
                        <w:rFonts w:eastAsiaTheme="majorEastAsia"/>
                      </w:rPr>
                      <w:t>judi.sobecki@dplinc.com</w:t>
                    </w:r>
                  </w:hyperlink>
                </w:p>
                <w:p w:rsidR="00262327" w:rsidP="00EB42EE" w14:paraId="34FB0359" w14:textId="77777777">
                  <w:pPr>
                    <w:autoSpaceDE w:val="0"/>
                    <w:autoSpaceDN w:val="0"/>
                    <w:adjustRightInd w:val="0"/>
                  </w:pPr>
                  <w:hyperlink r:id="rId40" w:history="1">
                    <w:r w:rsidR="00CC51C4">
                      <w:rPr>
                        <w:rStyle w:val="Hyperlink"/>
                        <w:rFonts w:eastAsiaTheme="majorEastAsia"/>
                      </w:rPr>
                      <w:t>jbentine@cwslaw.com</w:t>
                    </w:r>
                  </w:hyperlink>
                </w:p>
                <w:p w:rsidR="00262327" w:rsidP="00EB42EE" w14:paraId="1CBC418E" w14:textId="77777777">
                  <w:pPr>
                    <w:autoSpaceDE w:val="0"/>
                    <w:autoSpaceDN w:val="0"/>
                    <w:adjustRightInd w:val="0"/>
                  </w:pPr>
                  <w:hyperlink r:id="rId41" w:history="1">
                    <w:r w:rsidR="00CC51C4">
                      <w:rPr>
                        <w:rStyle w:val="Hyperlink"/>
                        <w:rFonts w:eastAsiaTheme="majorEastAsia"/>
                      </w:rPr>
                      <w:t>mwhite@cwslaw.com</w:t>
                    </w:r>
                  </w:hyperlink>
                </w:p>
                <w:p w:rsidR="00262327" w:rsidP="00EB42EE" w14:paraId="7D2B9E5A" w14:textId="77777777">
                  <w:pPr>
                    <w:autoSpaceDE w:val="0"/>
                    <w:autoSpaceDN w:val="0"/>
                    <w:adjustRightInd w:val="0"/>
                    <w:rPr>
                      <w:lang w:val="de-DE"/>
                    </w:rPr>
                  </w:pPr>
                  <w:hyperlink r:id="rId42" w:history="1">
                    <w:r w:rsidR="00CC51C4">
                      <w:rPr>
                        <w:rStyle w:val="Hyperlink"/>
                        <w:rFonts w:eastAsiaTheme="majorEastAsia"/>
                        <w:lang w:val="de-DE"/>
                      </w:rPr>
                      <w:t>henryeckhart@aol.com</w:t>
                    </w:r>
                  </w:hyperlink>
                </w:p>
                <w:p w:rsidR="00262327" w:rsidP="00EB42EE" w14:paraId="0D66E4A0" w14:textId="77777777">
                  <w:hyperlink r:id="rId43" w:history="1">
                    <w:r w:rsidR="00CC51C4">
                      <w:rPr>
                        <w:rStyle w:val="Hyperlink"/>
                        <w:rFonts w:eastAsiaTheme="majorEastAsia"/>
                      </w:rPr>
                      <w:t>dboehm@bkllawfirm.com</w:t>
                    </w:r>
                  </w:hyperlink>
                </w:p>
                <w:p w:rsidR="00262327" w:rsidP="00EB42EE" w14:paraId="3F5D8067" w14:textId="77777777">
                  <w:hyperlink r:id="rId44" w:history="1">
                    <w:r w:rsidR="00CC51C4">
                      <w:rPr>
                        <w:rStyle w:val="Hyperlink"/>
                        <w:rFonts w:eastAsiaTheme="majorEastAsia"/>
                      </w:rPr>
                      <w:t>mkurtz@bkllawfirm.com</w:t>
                    </w:r>
                  </w:hyperlink>
                </w:p>
                <w:p w:rsidR="00262327" w:rsidP="00EB42EE" w14:paraId="0113C4B1" w14:textId="77777777">
                  <w:hyperlink r:id="rId45" w:history="1">
                    <w:r w:rsidRPr="0039376C" w:rsidR="00CC51C4">
                      <w:rPr>
                        <w:rStyle w:val="Hyperlink"/>
                        <w:rFonts w:eastAsiaTheme="majorEastAsia"/>
                      </w:rPr>
                      <w:t>jkyler@bkllawfirm.com</w:t>
                    </w:r>
                  </w:hyperlink>
                  <w:r w:rsidR="00CC51C4">
                    <w:t xml:space="preserve"> </w:t>
                  </w:r>
                </w:p>
                <w:p w:rsidR="00262327" w:rsidP="00EB42EE" w14:paraId="6E6D6289" w14:textId="77777777">
                  <w:pPr>
                    <w:rPr>
                      <w:rFonts w:ascii="Times-New-Roman" w:hAnsi="Times-New-Roman" w:cs="Times-New-Roman"/>
                    </w:rPr>
                  </w:pPr>
                  <w:hyperlink r:id="rId46" w:history="1">
                    <w:r w:rsidR="00CC51C4">
                      <w:rPr>
                        <w:rStyle w:val="Hyperlink"/>
                        <w:rFonts w:ascii="Times-New-Roman" w:hAnsi="Times-New-Roman" w:eastAsiaTheme="majorEastAsia"/>
                      </w:rPr>
                      <w:t>Cynthia.A.Fonner@constellation.com</w:t>
                    </w:r>
                  </w:hyperlink>
                </w:p>
                <w:p w:rsidR="00262327" w:rsidP="00EB42EE" w14:paraId="756A105D" w14:textId="77777777">
                  <w:pPr>
                    <w:autoSpaceDE w:val="0"/>
                    <w:autoSpaceDN w:val="0"/>
                    <w:adjustRightInd w:val="0"/>
                  </w:pPr>
                  <w:hyperlink r:id="rId47" w:history="1">
                    <w:r w:rsidR="00CC51C4">
                      <w:rPr>
                        <w:rStyle w:val="Hyperlink"/>
                        <w:rFonts w:eastAsiaTheme="majorEastAsia"/>
                      </w:rPr>
                      <w:t>LGearhardt@ofbf.org</w:t>
                    </w:r>
                  </w:hyperlink>
                </w:p>
                <w:p w:rsidR="00262327" w:rsidP="00EB42EE" w14:paraId="0102A910" w14:textId="77777777">
                  <w:pPr>
                    <w:autoSpaceDE w:val="0"/>
                    <w:autoSpaceDN w:val="0"/>
                    <w:adjustRightInd w:val="0"/>
                  </w:pPr>
                  <w:hyperlink r:id="rId48" w:history="1">
                    <w:r w:rsidRPr="0039376C" w:rsidR="00CC51C4">
                      <w:rPr>
                        <w:rStyle w:val="Hyperlink"/>
                        <w:rFonts w:eastAsiaTheme="majorEastAsia"/>
                      </w:rPr>
                      <w:t>cmiller@icemiller.com</w:t>
                    </w:r>
                  </w:hyperlink>
                  <w:r w:rsidR="00CC51C4">
                    <w:t xml:space="preserve"> </w:t>
                  </w:r>
                </w:p>
                <w:p w:rsidR="00262327" w:rsidP="00EB42EE" w14:paraId="5E1C863B" w14:textId="77777777">
                  <w:pPr>
                    <w:autoSpaceDE w:val="0"/>
                    <w:autoSpaceDN w:val="0"/>
                    <w:adjustRightInd w:val="0"/>
                  </w:pPr>
                  <w:hyperlink r:id="rId49" w:history="1">
                    <w:r w:rsidRPr="0039376C" w:rsidR="00CC51C4">
                      <w:rPr>
                        <w:rStyle w:val="Hyperlink"/>
                        <w:rFonts w:eastAsiaTheme="majorEastAsia"/>
                      </w:rPr>
                      <w:t>gdunn@icemiller.com</w:t>
                    </w:r>
                  </w:hyperlink>
                  <w:r w:rsidR="00CC51C4">
                    <w:t xml:space="preserve"> </w:t>
                  </w:r>
                </w:p>
                <w:p w:rsidR="00262327" w:rsidP="00EB42EE" w14:paraId="075660DA" w14:textId="77777777">
                  <w:pPr>
                    <w:autoSpaceDE w:val="0"/>
                    <w:autoSpaceDN w:val="0"/>
                    <w:adjustRightInd w:val="0"/>
                  </w:pPr>
                  <w:hyperlink r:id="rId50" w:history="1">
                    <w:r w:rsidRPr="00B040DD" w:rsidR="00CC51C4">
                      <w:rPr>
                        <w:rStyle w:val="Hyperlink"/>
                        <w:rFonts w:eastAsiaTheme="majorEastAsia"/>
                      </w:rPr>
                      <w:t>trent@theOEC.org</w:t>
                    </w:r>
                  </w:hyperlink>
                </w:p>
                <w:p w:rsidR="00262327" w:rsidP="00EB42EE" w14:paraId="17CE3ADA" w14:textId="77777777">
                  <w:pPr>
                    <w:autoSpaceDE w:val="0"/>
                    <w:autoSpaceDN w:val="0"/>
                    <w:adjustRightInd w:val="0"/>
                  </w:pPr>
                  <w:hyperlink r:id="rId51" w:history="1">
                    <w:r w:rsidRPr="0039376C" w:rsidR="00CC51C4">
                      <w:rPr>
                        <w:rStyle w:val="Hyperlink"/>
                        <w:rFonts w:eastAsiaTheme="majorEastAsia"/>
                      </w:rPr>
                      <w:t>cathy@theoec.org</w:t>
                    </w:r>
                  </w:hyperlink>
                  <w:r w:rsidR="00CC51C4">
                    <w:t xml:space="preserve"> </w:t>
                  </w:r>
                </w:p>
                <w:p w:rsidR="00262327" w:rsidP="00EB42EE" w14:paraId="5DB484C0" w14:textId="77777777">
                  <w:pPr>
                    <w:autoSpaceDE w:val="0"/>
                    <w:autoSpaceDN w:val="0"/>
                    <w:adjustRightInd w:val="0"/>
                  </w:pPr>
                  <w:hyperlink r:id="rId52" w:history="1">
                    <w:r w:rsidR="00CC51C4">
                      <w:rPr>
                        <w:rStyle w:val="Hyperlink"/>
                        <w:rFonts w:eastAsiaTheme="majorEastAsia"/>
                      </w:rPr>
                      <w:t>Williams.toddm@gmail.com</w:t>
                    </w:r>
                  </w:hyperlink>
                </w:p>
                <w:p w:rsidR="00262327" w:rsidP="00EB42EE" w14:paraId="7155A57F" w14:textId="77777777">
                  <w:pPr>
                    <w:autoSpaceDE w:val="0"/>
                    <w:autoSpaceDN w:val="0"/>
                    <w:adjustRightInd w:val="0"/>
                  </w:pPr>
                  <w:hyperlink r:id="rId53" w:history="1">
                    <w:r w:rsidR="00CC51C4">
                      <w:rPr>
                        <w:rStyle w:val="Hyperlink"/>
                        <w:rFonts w:eastAsiaTheme="majorEastAsia"/>
                      </w:rPr>
                      <w:t>ejacobs@ablelaw.org</w:t>
                    </w:r>
                  </w:hyperlink>
                </w:p>
                <w:p w:rsidR="00262327" w:rsidP="00EB42EE" w14:paraId="7DBADA9D" w14:textId="77777777">
                  <w:pPr>
                    <w:autoSpaceDE w:val="0"/>
                    <w:autoSpaceDN w:val="0"/>
                    <w:adjustRightInd w:val="0"/>
                  </w:pPr>
                  <w:hyperlink r:id="rId54" w:history="1">
                    <w:r w:rsidRPr="0039376C" w:rsidR="00CC51C4">
                      <w:rPr>
                        <w:rStyle w:val="Hyperlink"/>
                        <w:rFonts w:eastAsiaTheme="majorEastAsia"/>
                      </w:rPr>
                      <w:t>campbell@whitt-sturtevant.com</w:t>
                    </w:r>
                  </w:hyperlink>
                  <w:r w:rsidR="00CC51C4">
                    <w:t xml:space="preserve"> </w:t>
                  </w:r>
                </w:p>
                <w:p w:rsidR="00262327" w:rsidP="00EB42EE" w14:paraId="0461C561" w14:textId="77777777">
                  <w:pPr>
                    <w:autoSpaceDE w:val="0"/>
                    <w:autoSpaceDN w:val="0"/>
                    <w:adjustRightInd w:val="0"/>
                  </w:pPr>
                  <w:hyperlink r:id="rId55" w:history="1">
                    <w:r w:rsidRPr="0039376C" w:rsidR="00CC51C4">
                      <w:rPr>
                        <w:rStyle w:val="Hyperlink"/>
                        <w:rFonts w:eastAsiaTheme="majorEastAsia"/>
                      </w:rPr>
                      <w:t>glover@whitt-sturtevant.com</w:t>
                    </w:r>
                  </w:hyperlink>
                  <w:r w:rsidR="00CC51C4">
                    <w:t xml:space="preserve"> </w:t>
                  </w:r>
                </w:p>
                <w:p w:rsidR="00262327" w:rsidP="00EB42EE" w14:paraId="35DDD5F5" w14:textId="77777777">
                  <w:pPr>
                    <w:autoSpaceDE w:val="0"/>
                    <w:autoSpaceDN w:val="0"/>
                    <w:adjustRightInd w:val="0"/>
                  </w:pPr>
                  <w:hyperlink r:id="rId56" w:history="1">
                    <w:r w:rsidRPr="0039376C" w:rsidR="00CC51C4">
                      <w:rPr>
                        <w:rStyle w:val="Hyperlink"/>
                        <w:rFonts w:eastAsiaTheme="majorEastAsia"/>
                      </w:rPr>
                      <w:t>whitt@whitt-sturtevant.com</w:t>
                    </w:r>
                  </w:hyperlink>
                  <w:r w:rsidR="00CC51C4">
                    <w:t xml:space="preserve"> </w:t>
                  </w:r>
                </w:p>
                <w:p w:rsidR="00262327" w:rsidP="00EB42EE" w14:paraId="1A65E8EE" w14:textId="77777777">
                  <w:pPr>
                    <w:autoSpaceDE w:val="0"/>
                    <w:autoSpaceDN w:val="0"/>
                    <w:adjustRightInd w:val="0"/>
                  </w:pPr>
                  <w:hyperlink r:id="rId57" w:history="1">
                    <w:r w:rsidRPr="0039376C" w:rsidR="00CC51C4">
                      <w:rPr>
                        <w:rStyle w:val="Hyperlink"/>
                        <w:rFonts w:eastAsiaTheme="majorEastAsia"/>
                      </w:rPr>
                      <w:t>myurick@taftlaw.com</w:t>
                    </w:r>
                  </w:hyperlink>
                  <w:r w:rsidR="00CC51C4">
                    <w:t xml:space="preserve"> </w:t>
                  </w:r>
                </w:p>
                <w:p w:rsidR="00262327" w:rsidP="008B65B9" w14:paraId="6BAA6CB0" w14:textId="4DD8AE66">
                  <w:pPr>
                    <w:autoSpaceDE w:val="0"/>
                    <w:autoSpaceDN w:val="0"/>
                    <w:adjustRightInd w:val="0"/>
                    <w:rPr>
                      <w:sz w:val="26"/>
                      <w:szCs w:val="26"/>
                    </w:rPr>
                  </w:pPr>
                  <w:hyperlink r:id="rId58" w:history="1">
                    <w:r w:rsidRPr="0039376C" w:rsidR="00CC51C4">
                      <w:rPr>
                        <w:rStyle w:val="Hyperlink"/>
                        <w:rFonts w:eastAsiaTheme="majorEastAsia"/>
                      </w:rPr>
                      <w:t>stephen.chriss@wal-mart.com</w:t>
                    </w:r>
                  </w:hyperlink>
                  <w:r w:rsidR="00CC51C4">
                    <w:t xml:space="preserve"> </w:t>
                  </w:r>
                </w:p>
              </w:tc>
            </w:tr>
          </w:tbl>
          <w:p w:rsidR="00262327" w:rsidP="003A3C90" w14:paraId="3C9E601C" w14:textId="77777777">
            <w:pPr>
              <w:pStyle w:val="CommentText"/>
            </w:pPr>
          </w:p>
        </w:tc>
      </w:tr>
    </w:tbl>
    <w:p w:rsidR="00262327" w:rsidP="008B65B9" w14:paraId="751F4B53" w14:textId="72203EAD">
      <w:pPr>
        <w:pStyle w:val="CommentText"/>
        <w:ind w:firstLine="720"/>
      </w:pPr>
    </w:p>
    <w:sectPr w:rsidSect="0045326F">
      <w:headerReference w:type="default" r:id="rId59"/>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bkit-standard">
    <w:altName w:val="Times New Roman"/>
    <w:panose1 w:val="00000000000000000000"/>
    <w:charset w:val="00"/>
    <w:family w:val="roman"/>
    <w:notTrueType/>
    <w:pitch w:val="default"/>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0FE" w14:paraId="050B53B8" w14:textId="5582CC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8230221"/>
      <w:docPartObj>
        <w:docPartGallery w:val="Page Numbers (Bottom of Page)"/>
        <w:docPartUnique/>
      </w:docPartObj>
    </w:sdtPr>
    <w:sdtEndPr>
      <w:rPr>
        <w:noProof/>
      </w:rPr>
    </w:sdtEndPr>
    <w:sdtContent>
      <w:p w:rsidR="004D10FE" w14:paraId="1D46FADE" w14:textId="4D19D96F">
        <w:pPr>
          <w:pStyle w:val="Footer"/>
          <w:jc w:val="center"/>
        </w:pPr>
        <w:r>
          <w:fldChar w:fldCharType="begin"/>
        </w:r>
        <w:r>
          <w:instrText xml:space="preserve"> PAGE   \* MERGEFORMAT </w:instrText>
        </w:r>
        <w:r>
          <w:fldChar w:fldCharType="separate"/>
        </w:r>
        <w:r w:rsidR="00084653">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10FE" w:rsidP="003D5297" w14:paraId="6E2F52B9" w14:textId="77777777">
      <w:r>
        <w:separator/>
      </w:r>
    </w:p>
  </w:footnote>
  <w:footnote w:type="continuationSeparator" w:id="1">
    <w:p w:rsidR="004D10FE" w:rsidP="003D5297" w14:paraId="206BFA61" w14:textId="77777777">
      <w:r>
        <w:continuationSeparator/>
      </w:r>
    </w:p>
  </w:footnote>
  <w:footnote w:id="2">
    <w:p w:rsidR="004D10FE" w:rsidRPr="0030014E" w:rsidP="0030014E" w14:paraId="2EE9F7C3" w14:textId="0DE857B2">
      <w:pPr>
        <w:pStyle w:val="FootnoteText"/>
        <w:spacing w:after="120"/>
      </w:pPr>
      <w:r w:rsidRPr="0030014E">
        <w:rPr>
          <w:rStyle w:val="FootnoteReference"/>
        </w:rPr>
        <w:footnoteRef/>
      </w:r>
      <w:r w:rsidRPr="0030014E">
        <w:t xml:space="preserve"> Case No. 16-0395-EL-SSO (November 21, 2019).</w:t>
      </w:r>
    </w:p>
  </w:footnote>
  <w:footnote w:id="3">
    <w:p w:rsidR="004D10FE" w:rsidRPr="0030014E" w:rsidP="0030014E" w14:paraId="675EB9C1" w14:textId="2050F266">
      <w:pPr>
        <w:pStyle w:val="FootnoteText"/>
        <w:spacing w:after="120"/>
      </w:pPr>
      <w:r w:rsidRPr="0030014E">
        <w:rPr>
          <w:rStyle w:val="FootnoteReference"/>
        </w:rPr>
        <w:footnoteRef/>
      </w:r>
      <w:r w:rsidRPr="0030014E">
        <w:t xml:space="preserve"> Contemporaneously herewith, OCC has filed a Memorandum Contra DP&amp;L’s Motion to Withdraw.</w:t>
      </w:r>
      <w:r w:rsidRPr="0030014E" w:rsidR="00AB444F">
        <w:t xml:space="preserve"> </w:t>
      </w:r>
      <w:r w:rsidRPr="0030014E">
        <w:rPr>
          <w:i/>
          <w:iCs/>
        </w:rPr>
        <w:t xml:space="preserve">See </w:t>
      </w:r>
      <w:r w:rsidRPr="0030014E">
        <w:t>Case Nos. 16-0395-EL-SSO, et al.</w:t>
      </w:r>
    </w:p>
  </w:footnote>
  <w:footnote w:id="4">
    <w:p w:rsidR="004D10FE" w:rsidRPr="0030014E" w:rsidP="0030014E" w14:paraId="2E9AB9B2" w14:textId="77777777">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t>Supplemental Opinion and Order.</w:t>
      </w:r>
    </w:p>
  </w:footnote>
  <w:footnote w:id="5">
    <w:p w:rsidR="004D10FE" w:rsidRPr="0030014E" w:rsidP="0030014E" w14:paraId="5103C871" w14:textId="405F98AD">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rPr>
          <w:i/>
        </w:rPr>
        <w:t>In the Matter of the Application of the Dayton Power &amp; Light Company for Approval of its Electric Security Plan</w:t>
      </w:r>
      <w:r w:rsidRPr="0030014E">
        <w:rPr>
          <w:iCs/>
        </w:rPr>
        <w:t>,</w:t>
      </w:r>
      <w:r w:rsidRPr="0030014E">
        <w:t xml:space="preserve"> Case No. 16-0395-EL-SSO et al., OCC’s Memo Contra. </w:t>
      </w:r>
    </w:p>
  </w:footnote>
  <w:footnote w:id="6">
    <w:p w:rsidR="004D10FE" w:rsidRPr="0030014E" w:rsidP="0030014E" w14:paraId="4073EB19" w14:textId="60C73977">
      <w:pPr>
        <w:pStyle w:val="FootnoteText"/>
        <w:spacing w:after="120"/>
      </w:pPr>
      <w:r w:rsidRPr="0030014E">
        <w:rPr>
          <w:rStyle w:val="FootnoteReference"/>
        </w:rPr>
        <w:footnoteRef/>
      </w:r>
      <w:r w:rsidRPr="0030014E">
        <w:t xml:space="preserve"> 157 Ohio St.3d 73 (2019), </w:t>
      </w:r>
      <w:r w:rsidRPr="0030014E">
        <w:rPr>
          <w:iCs/>
        </w:rPr>
        <w:t>reconsideration denied</w:t>
      </w:r>
      <w:r w:rsidRPr="0030014E">
        <w:t xml:space="preserve">, 156 Ohio St.3d, 2019-Ohio-3331, and </w:t>
      </w:r>
      <w:r w:rsidRPr="0030014E">
        <w:rPr>
          <w:iCs/>
        </w:rPr>
        <w:t xml:space="preserve">reconsideration denied </w:t>
      </w:r>
      <w:r w:rsidRPr="0030014E">
        <w:t>156 Ohio St.3d 1487.</w:t>
      </w:r>
    </w:p>
  </w:footnote>
  <w:footnote w:id="7">
    <w:p w:rsidR="004D10FE" w:rsidRPr="0030014E" w:rsidP="0030014E" w14:paraId="192D886C" w14:textId="41A50390">
      <w:pPr>
        <w:pStyle w:val="FootnoteText"/>
        <w:spacing w:after="120"/>
      </w:pPr>
      <w:r w:rsidRPr="0030014E">
        <w:rPr>
          <w:rStyle w:val="FootnoteReference"/>
        </w:rPr>
        <w:footnoteRef/>
      </w:r>
      <w:r w:rsidRPr="0030014E">
        <w:t xml:space="preserve"> </w:t>
      </w:r>
      <w:r w:rsidRPr="0030014E">
        <w:rPr>
          <w:i/>
        </w:rPr>
        <w:t>See id</w:t>
      </w:r>
      <w:r w:rsidRPr="0030014E">
        <w:rPr>
          <w:iCs/>
        </w:rPr>
        <w:t>.</w:t>
      </w:r>
      <w:r w:rsidRPr="0030014E">
        <w:t>,</w:t>
      </w:r>
      <w:r w:rsidRPr="0030014E">
        <w:rPr>
          <w:iCs/>
        </w:rPr>
        <w:t xml:space="preserve"> </w:t>
      </w:r>
      <w:r w:rsidRPr="0030014E">
        <w:t xml:space="preserve">Supplemental Opinion and Order (November 21, 2019). </w:t>
      </w:r>
    </w:p>
  </w:footnote>
  <w:footnote w:id="8">
    <w:p w:rsidR="004D10FE" w:rsidRPr="0030014E" w:rsidP="0030014E" w14:paraId="65EC14E9" w14:textId="77777777">
      <w:pPr>
        <w:pStyle w:val="FootnoteText"/>
        <w:spacing w:after="120"/>
      </w:pPr>
      <w:r w:rsidRPr="0030014E">
        <w:rPr>
          <w:rStyle w:val="FootnoteReference"/>
        </w:rPr>
        <w:footnoteRef/>
      </w:r>
      <w:r w:rsidRPr="0030014E">
        <w:t xml:space="preserve"> </w:t>
      </w:r>
      <w:r w:rsidRPr="0030014E">
        <w:rPr>
          <w:i/>
        </w:rPr>
        <w:t>See In the Matter of the Application of the Dayton Power &amp; Light Company for Approval of its Market Rate Offer</w:t>
      </w:r>
      <w:r w:rsidRPr="0030014E">
        <w:rPr>
          <w:iCs/>
        </w:rPr>
        <w:t>,</w:t>
      </w:r>
      <w:r w:rsidRPr="0030014E">
        <w:t xml:space="preserve"> Case No. 12-426-EL-SSO et al., Supreme Court mandate (July 19, 2016).</w:t>
      </w:r>
    </w:p>
  </w:footnote>
  <w:footnote w:id="9">
    <w:p w:rsidR="004D10FE" w:rsidRPr="0030014E" w:rsidP="0030014E" w14:paraId="1754658F" w14:textId="2FBADF36">
      <w:pPr>
        <w:pStyle w:val="FootnoteText"/>
        <w:spacing w:after="120"/>
      </w:pPr>
      <w:r w:rsidRPr="0030014E">
        <w:rPr>
          <w:rStyle w:val="FootnoteReference"/>
        </w:rPr>
        <w:footnoteRef/>
      </w:r>
      <w:r w:rsidRPr="0030014E">
        <w:t xml:space="preserve"> </w:t>
      </w:r>
      <w:r w:rsidRPr="0030014E">
        <w:rPr>
          <w:i/>
          <w:iCs/>
        </w:rPr>
        <w:t>In the Matter of the Application of The Dayton Power and Light Company for the Creation of a Rate Stabilization Surcharge Rider and Distribution Rate Increase</w:t>
      </w:r>
      <w:r w:rsidRPr="0030014E">
        <w:t xml:space="preserve">, Case No. 05-276-EL-AIR, Opinion and Order (December 28, 2005) (adopting Stipulation with rate stabilization charge). </w:t>
      </w:r>
    </w:p>
  </w:footnote>
  <w:footnote w:id="10">
    <w:p w:rsidR="004D10FE" w:rsidRPr="0030014E" w:rsidP="0030014E" w14:paraId="1BC8EFBA" w14:textId="5C14FDF9">
      <w:pPr>
        <w:pStyle w:val="FootnoteText"/>
        <w:spacing w:after="120"/>
      </w:pPr>
      <w:r w:rsidRPr="0030014E">
        <w:rPr>
          <w:rStyle w:val="FootnoteReference"/>
        </w:rPr>
        <w:footnoteRef/>
      </w:r>
      <w:r w:rsidRPr="0030014E">
        <w:t xml:space="preserve"> </w:t>
      </w:r>
      <w:r w:rsidRPr="0030014E">
        <w:rPr>
          <w:i/>
          <w:iCs/>
        </w:rPr>
        <w:t>In the Matter of the Continuation of the Rate Freeze and Extension of the Market Development Period for The Dayton Power and Light Company</w:t>
      </w:r>
      <w:r w:rsidRPr="0030014E">
        <w:t>, Case No. 02-2779-EL-ATA, Stipulation at 13-14, ¶IX E (May 28, 2003).</w:t>
      </w:r>
    </w:p>
  </w:footnote>
  <w:footnote w:id="11">
    <w:p w:rsidR="004D10FE" w:rsidRPr="0030014E" w:rsidP="0030014E" w14:paraId="06A175B6" w14:textId="4C9DF90F">
      <w:pPr>
        <w:pStyle w:val="FootnoteText"/>
        <w:spacing w:after="120"/>
      </w:pPr>
      <w:r w:rsidRPr="0030014E">
        <w:rPr>
          <w:rStyle w:val="FootnoteReference"/>
        </w:rPr>
        <w:footnoteRef/>
      </w:r>
      <w:r w:rsidRPr="0030014E">
        <w:t xml:space="preserve"> OCC was not a signatory party to the stipulation and opposed the stipulation.</w:t>
      </w:r>
      <w:r w:rsidRPr="0030014E" w:rsidR="00AB444F">
        <w:t xml:space="preserve"> </w:t>
      </w:r>
    </w:p>
  </w:footnote>
  <w:footnote w:id="12">
    <w:p w:rsidR="004D10FE" w:rsidRPr="0030014E" w:rsidP="0030014E" w14:paraId="7B2D7100" w14:textId="0583A333">
      <w:pPr>
        <w:pStyle w:val="FootnoteText"/>
        <w:spacing w:after="120"/>
      </w:pPr>
      <w:r w:rsidRPr="0030014E">
        <w:rPr>
          <w:rStyle w:val="FootnoteReference"/>
        </w:rPr>
        <w:footnoteRef/>
      </w:r>
      <w:r w:rsidRPr="0030014E">
        <w:t xml:space="preserve"> </w:t>
      </w:r>
      <w:r w:rsidRPr="0030014E">
        <w:rPr>
          <w:i/>
          <w:iCs/>
        </w:rPr>
        <w:t>In the Matter of the Application of The Dayton Power and Light Company for the Creation of a Rate Stabilization Surcharge Rider and Distribution Rate Increase</w:t>
      </w:r>
      <w:r w:rsidRPr="0030014E">
        <w:t xml:space="preserve">, Case No. 05-276-EL-AIR, Opinion and Order at 11 (December 28, 2005). </w:t>
      </w:r>
    </w:p>
  </w:footnote>
  <w:footnote w:id="13">
    <w:p w:rsidR="004D10FE" w:rsidRPr="0030014E" w:rsidP="0030014E" w14:paraId="1954FB72" w14:textId="6CAD45F6">
      <w:pPr>
        <w:pStyle w:val="FootnoteText"/>
        <w:spacing w:after="120"/>
      </w:pPr>
      <w:r w:rsidRPr="0030014E">
        <w:rPr>
          <w:rStyle w:val="FootnoteReference"/>
        </w:rPr>
        <w:footnoteRef/>
      </w:r>
      <w:r w:rsidRPr="0030014E">
        <w:t xml:space="preserve"> </w:t>
      </w:r>
      <w:r w:rsidRPr="0030014E">
        <w:rPr>
          <w:i/>
        </w:rPr>
        <w:t>Id</w:t>
      </w:r>
      <w:r w:rsidRPr="0030014E">
        <w:t>., Stipulation and Recommendation at 5 ¶C (November 3, 2005).</w:t>
      </w:r>
    </w:p>
  </w:footnote>
  <w:footnote w:id="14">
    <w:p w:rsidR="004D10FE" w:rsidRPr="0030014E" w:rsidP="0030014E" w14:paraId="6C3F145C" w14:textId="20E99BA1">
      <w:pPr>
        <w:pStyle w:val="FootnoteText"/>
        <w:spacing w:after="120"/>
      </w:pPr>
      <w:r w:rsidRPr="0030014E">
        <w:rPr>
          <w:rStyle w:val="FootnoteReference"/>
        </w:rPr>
        <w:footnoteRef/>
      </w:r>
      <w:r w:rsidRPr="0030014E">
        <w:t xml:space="preserve"> </w:t>
      </w:r>
      <w:r w:rsidRPr="0030014E">
        <w:rPr>
          <w:i/>
          <w:iCs/>
        </w:rPr>
        <w:t>In the Matter of the Application of The Dayton Power and Light Company for Approval of its Electric Security Plan</w:t>
      </w:r>
      <w:r w:rsidRPr="0030014E">
        <w:t xml:space="preserve">, Case No. 08-1094-EL-SSO, Stipulation and Recommendation at 4 (February 24, 2009). </w:t>
      </w:r>
    </w:p>
  </w:footnote>
  <w:footnote w:id="15">
    <w:p w:rsidR="004D10FE" w:rsidRPr="0030014E" w:rsidP="0030014E" w14:paraId="4AFD065B" w14:textId="737F3B22">
      <w:pPr>
        <w:pStyle w:val="FootnoteText"/>
        <w:spacing w:after="120"/>
      </w:pPr>
      <w:r w:rsidRPr="0030014E">
        <w:rPr>
          <w:rStyle w:val="FootnoteReference"/>
        </w:rPr>
        <w:footnoteRef/>
      </w:r>
      <w:r w:rsidRPr="0030014E">
        <w:t xml:space="preserve"> </w:t>
      </w:r>
      <w:r w:rsidRPr="0030014E">
        <w:rPr>
          <w:i/>
        </w:rPr>
        <w:t>Id</w:t>
      </w:r>
      <w:r w:rsidRPr="0030014E">
        <w:t xml:space="preserve">., Opinion and Order (June 24, 2009). </w:t>
      </w:r>
    </w:p>
  </w:footnote>
  <w:footnote w:id="16">
    <w:p w:rsidR="004D10FE" w:rsidRPr="0030014E" w:rsidP="0030014E" w14:paraId="67E9B17D" w14:textId="1358F0F2">
      <w:pPr>
        <w:pStyle w:val="FootnoteText"/>
        <w:spacing w:after="120"/>
      </w:pPr>
      <w:r w:rsidRPr="0030014E">
        <w:rPr>
          <w:rStyle w:val="FootnoteReference"/>
        </w:rPr>
        <w:footnoteRef/>
      </w:r>
      <w:r w:rsidRPr="0030014E">
        <w:t xml:space="preserve"> </w:t>
      </w:r>
      <w:r w:rsidRPr="0030014E">
        <w:rPr>
          <w:i/>
        </w:rPr>
        <w:t>In the Matter of the Application of the Dayton Power &amp; Light Company for Approval of its Market Rate Offer</w:t>
      </w:r>
      <w:r w:rsidRPr="0030014E">
        <w:rPr>
          <w:iCs/>
        </w:rPr>
        <w:t>,</w:t>
      </w:r>
      <w:r w:rsidRPr="0030014E">
        <w:t xml:space="preserve"> Case No. 12-426-EL-SSO et al., Application at 9 (March 30, 2012).</w:t>
      </w:r>
    </w:p>
  </w:footnote>
  <w:footnote w:id="17">
    <w:p w:rsidR="004D10FE" w:rsidRPr="0030014E" w:rsidP="0030014E" w14:paraId="0B4AFFD9" w14:textId="77777777">
      <w:pPr>
        <w:pStyle w:val="FootnoteText"/>
        <w:spacing w:after="120"/>
      </w:pPr>
      <w:r w:rsidRPr="0030014E">
        <w:rPr>
          <w:rStyle w:val="FootnoteReference"/>
        </w:rPr>
        <w:footnoteRef/>
      </w:r>
      <w:r w:rsidRPr="0030014E">
        <w:t xml:space="preserve"> </w:t>
      </w:r>
      <w:r w:rsidRPr="0030014E">
        <w:rPr>
          <w:i/>
        </w:rPr>
        <w:t>Id</w:t>
      </w:r>
      <w:r w:rsidRPr="0030014E">
        <w:t xml:space="preserve">. </w:t>
      </w:r>
    </w:p>
  </w:footnote>
  <w:footnote w:id="18">
    <w:p w:rsidR="004D10FE" w:rsidRPr="0030014E" w:rsidP="0030014E" w14:paraId="5745EFD6" w14:textId="7E923D12">
      <w:pPr>
        <w:pStyle w:val="FootnoteText"/>
        <w:spacing w:after="120"/>
      </w:pPr>
      <w:r w:rsidRPr="0030014E">
        <w:rPr>
          <w:rStyle w:val="FootnoteReference"/>
        </w:rPr>
        <w:footnoteRef/>
      </w:r>
      <w:r w:rsidRPr="0030014E">
        <w:t xml:space="preserve"> </w:t>
      </w:r>
      <w:r w:rsidRPr="0030014E">
        <w:rPr>
          <w:i/>
        </w:rPr>
        <w:t>Id</w:t>
      </w:r>
      <w:r w:rsidRPr="0030014E">
        <w:t xml:space="preserve">. at 7. At the same time it proposed to withdraw the smaller RSC charge. </w:t>
      </w:r>
    </w:p>
  </w:footnote>
  <w:footnote w:id="19">
    <w:p w:rsidR="004D10FE" w:rsidRPr="0030014E" w:rsidP="0030014E" w14:paraId="310ED3F0" w14:textId="24E143E9">
      <w:pPr>
        <w:pStyle w:val="FootnoteText"/>
        <w:spacing w:after="120"/>
      </w:pPr>
      <w:r w:rsidRPr="0030014E">
        <w:rPr>
          <w:rStyle w:val="FootnoteReference"/>
        </w:rPr>
        <w:footnoteRef/>
      </w:r>
      <w:r w:rsidRPr="0030014E">
        <w:t xml:space="preserve"> </w:t>
      </w:r>
      <w:r w:rsidRPr="0030014E">
        <w:rPr>
          <w:i/>
        </w:rPr>
        <w:t>In the Matter of the Application of the Dayton Power &amp; Light Company for Approval of its Market Rate Offer</w:t>
      </w:r>
      <w:r w:rsidRPr="0030014E">
        <w:rPr>
          <w:iCs/>
        </w:rPr>
        <w:t>,</w:t>
      </w:r>
      <w:r w:rsidRPr="0030014E">
        <w:t xml:space="preserve"> Case No. 12-426-EL-SSO et al., Opinion and Order at 25, citing to Confidential Testimony of C. L. Jackson at 11-13. </w:t>
      </w:r>
    </w:p>
  </w:footnote>
  <w:footnote w:id="20">
    <w:p w:rsidR="004D10FE" w:rsidRPr="0030014E" w:rsidP="0030014E" w14:paraId="20E566F2" w14:textId="77777777">
      <w:pPr>
        <w:pStyle w:val="FootnoteText"/>
        <w:spacing w:after="120"/>
      </w:pPr>
      <w:r w:rsidRPr="0030014E">
        <w:rPr>
          <w:rStyle w:val="FootnoteReference"/>
        </w:rPr>
        <w:footnoteRef/>
      </w:r>
      <w:r w:rsidRPr="0030014E">
        <w:t xml:space="preserve"> </w:t>
      </w:r>
      <w:r w:rsidRPr="0030014E">
        <w:rPr>
          <w:i/>
          <w:iCs/>
        </w:rPr>
        <w:t>In re: Application of Dayton Power &amp; Light Co.</w:t>
      </w:r>
      <w:r w:rsidRPr="0030014E">
        <w:t>, Slip. Op. No. 2016-Ohio-3490, S.Ct. Case No. 2014-1505 (June 20, 2016).</w:t>
      </w:r>
    </w:p>
  </w:footnote>
  <w:footnote w:id="21">
    <w:p w:rsidR="004D10FE" w:rsidRPr="0030014E" w:rsidP="0030014E" w14:paraId="1BAB13B4" w14:textId="5C2391A1">
      <w:pPr>
        <w:pStyle w:val="FootnoteText"/>
        <w:spacing w:after="120"/>
      </w:pPr>
      <w:r w:rsidRPr="0030014E">
        <w:rPr>
          <w:rStyle w:val="FootnoteReference"/>
        </w:rPr>
        <w:footnoteRef/>
      </w:r>
      <w:r w:rsidRPr="0030014E">
        <w:t xml:space="preserve"> </w:t>
      </w:r>
      <w:r w:rsidRPr="0030014E">
        <w:rPr>
          <w:i/>
          <w:iCs/>
        </w:rPr>
        <w:t>In the Matter of the Application of The Dayton Power and Light Company for the Creation of a Rate Stabilization Surcharge Rider and Distribution Rate Increase</w:t>
      </w:r>
      <w:r w:rsidRPr="0030014E">
        <w:t xml:space="preserve">, Case No. 05-276-EL-AIR, Direct Testimony of Ms. Seger Lawson at 4 (November 10, 2005). </w:t>
      </w:r>
    </w:p>
  </w:footnote>
  <w:footnote w:id="22">
    <w:p w:rsidR="004D10FE" w:rsidRPr="0030014E" w:rsidP="0030014E" w14:paraId="0D1FA64D" w14:textId="361D3EC6">
      <w:pPr>
        <w:pStyle w:val="FootnoteText"/>
        <w:spacing w:after="120"/>
      </w:pPr>
      <w:r w:rsidRPr="0030014E">
        <w:rPr>
          <w:rStyle w:val="FootnoteReference"/>
        </w:rPr>
        <w:footnoteRef/>
      </w:r>
      <w:r w:rsidRPr="0030014E">
        <w:t xml:space="preserve"> </w:t>
      </w:r>
      <w:r w:rsidRPr="0030014E">
        <w:rPr>
          <w:i/>
        </w:rPr>
        <w:t>Id</w:t>
      </w:r>
      <w:r w:rsidRPr="0030014E">
        <w:t>., Opinion and Order at 11 (December 28, 2005).</w:t>
      </w:r>
    </w:p>
  </w:footnote>
  <w:footnote w:id="23">
    <w:p w:rsidR="004D10FE" w:rsidRPr="0030014E" w:rsidP="0030014E" w14:paraId="123B9D82" w14:textId="77777777">
      <w:pPr>
        <w:pStyle w:val="FootnoteText"/>
        <w:spacing w:after="120"/>
      </w:pPr>
      <w:r w:rsidRPr="0030014E">
        <w:rPr>
          <w:rStyle w:val="FootnoteReference"/>
        </w:rPr>
        <w:footnoteRef/>
      </w:r>
      <w:r w:rsidRPr="0030014E">
        <w:t xml:space="preserve"> </w:t>
      </w:r>
      <w:r w:rsidRPr="0030014E">
        <w:rPr>
          <w:i/>
          <w:iCs/>
        </w:rPr>
        <w:t>In re: Application of Dayton Power &amp; Light Co</w:t>
      </w:r>
      <w:r w:rsidRPr="0030014E">
        <w:t xml:space="preserve">., Slip. Op. No. 2016-Ohio-3490, S.Ct. Case No. 2014-1505 (June 20, 2016); </w:t>
      </w:r>
      <w:r w:rsidRPr="0030014E">
        <w:rPr>
          <w:i/>
          <w:iCs/>
        </w:rPr>
        <w:t>In re: Application of Columbus S. Power Co.,</w:t>
      </w:r>
      <w:r w:rsidRPr="0030014E">
        <w:t xml:space="preserve"> Slip Op. No. 2016-Ohio-1608.</w:t>
      </w:r>
    </w:p>
  </w:footnote>
  <w:footnote w:id="24">
    <w:p w:rsidR="004D10FE" w:rsidRPr="0030014E" w:rsidP="0030014E" w14:paraId="14164D49" w14:textId="77777777">
      <w:pPr>
        <w:pStyle w:val="FootnoteText"/>
        <w:spacing w:after="120"/>
      </w:pPr>
      <w:r w:rsidRPr="0030014E">
        <w:rPr>
          <w:rStyle w:val="FootnoteReference"/>
        </w:rPr>
        <w:footnoteRef/>
      </w:r>
      <w:r w:rsidRPr="0030014E">
        <w:t xml:space="preserve"> </w:t>
      </w:r>
      <w:r w:rsidRPr="0030014E">
        <w:rPr>
          <w:i/>
        </w:rPr>
        <w:t>Id</w:t>
      </w:r>
      <w:r w:rsidRPr="0030014E">
        <w:t>.</w:t>
      </w:r>
    </w:p>
  </w:footnote>
  <w:footnote w:id="25">
    <w:p w:rsidR="004D10FE" w:rsidRPr="0030014E" w:rsidP="0030014E" w14:paraId="369FA0D1" w14:textId="75A75477">
      <w:pPr>
        <w:pStyle w:val="FootnoteText"/>
        <w:spacing w:after="120"/>
      </w:pPr>
      <w:r w:rsidRPr="0030014E">
        <w:rPr>
          <w:rStyle w:val="FootnoteReference"/>
        </w:rPr>
        <w:footnoteRef/>
      </w:r>
      <w:r w:rsidRPr="0030014E">
        <w:t xml:space="preserve"> </w:t>
      </w:r>
      <w:r w:rsidRPr="0030014E">
        <w:rPr>
          <w:i/>
        </w:rPr>
        <w:t>See In re: Application of Ohio Power Co.,</w:t>
      </w:r>
      <w:r w:rsidRPr="0030014E">
        <w:t xml:space="preserve"> 144 Ohio St.3d 1, 2015-Ohio-2056, ¶16, 17 (citations omitted) (affirming that the PUCO can modify earlier Orders so long as the PUCO explains the change and the new regulatory course is permissible). </w:t>
      </w:r>
    </w:p>
  </w:footnote>
  <w:footnote w:id="26">
    <w:p w:rsidR="004D10FE" w:rsidRPr="0030014E" w:rsidP="0030014E" w14:paraId="0078063A" w14:textId="5961A77C">
      <w:pPr>
        <w:pStyle w:val="FootnoteText"/>
        <w:spacing w:after="120"/>
      </w:pPr>
      <w:r w:rsidRPr="0030014E">
        <w:rPr>
          <w:rStyle w:val="FootnoteReference"/>
        </w:rPr>
        <w:footnoteRef/>
      </w:r>
      <w:r w:rsidRPr="0030014E">
        <w:t xml:space="preserve"> </w:t>
      </w:r>
      <w:r w:rsidRPr="0030014E">
        <w:rPr>
          <w:i/>
          <w:iCs/>
        </w:rPr>
        <w:t>See</w:t>
      </w:r>
      <w:r w:rsidRPr="0030014E">
        <w:t xml:space="preserve"> supra, note 18.</w:t>
      </w:r>
    </w:p>
  </w:footnote>
  <w:footnote w:id="27">
    <w:p w:rsidR="004D10FE" w:rsidRPr="0030014E" w:rsidP="0030014E" w14:paraId="0E2DB8A0" w14:textId="642B0556">
      <w:pPr>
        <w:pStyle w:val="FootnoteText"/>
        <w:spacing w:after="120"/>
      </w:pPr>
      <w:r w:rsidRPr="0030014E">
        <w:rPr>
          <w:rStyle w:val="FootnoteReference"/>
        </w:rPr>
        <w:footnoteRef/>
      </w:r>
      <w:r w:rsidRPr="0030014E">
        <w:t xml:space="preserve"> </w:t>
      </w:r>
      <w:r w:rsidRPr="0030014E">
        <w:rPr>
          <w:i/>
        </w:rPr>
        <w:t>See In the Matter of the Application of the Dayton Power &amp; Light Company for Approval of its Electric Security Plan</w:t>
      </w:r>
      <w:r w:rsidRPr="0030014E">
        <w:rPr>
          <w:iCs/>
        </w:rPr>
        <w:t>,</w:t>
      </w:r>
      <w:r w:rsidRPr="0030014E">
        <w:t xml:space="preserve"> Case No. 16-0395-EL-SSO et al., Supplemental Opinion and Order at 45.</w:t>
      </w:r>
    </w:p>
  </w:footnote>
  <w:footnote w:id="28">
    <w:p w:rsidR="004D10FE" w:rsidRPr="0030014E" w:rsidP="0030014E" w14:paraId="6CFE688D" w14:textId="12632008">
      <w:pPr>
        <w:pStyle w:val="FootnoteText"/>
        <w:spacing w:after="120"/>
      </w:pPr>
      <w:r w:rsidRPr="0030014E">
        <w:rPr>
          <w:rStyle w:val="FootnoteReference"/>
        </w:rPr>
        <w:footnoteRef/>
      </w:r>
      <w:r w:rsidRPr="0030014E">
        <w:t xml:space="preserve"> </w:t>
      </w:r>
      <w:r w:rsidRPr="0030014E">
        <w:rPr>
          <w:i/>
          <w:iCs/>
        </w:rPr>
        <w:t>See</w:t>
      </w:r>
      <w:r w:rsidRPr="0030014E">
        <w:t xml:space="preserve"> supra, note 18.</w:t>
      </w:r>
    </w:p>
  </w:footnote>
  <w:footnote w:id="29">
    <w:p w:rsidR="004D10FE" w:rsidRPr="0030014E" w:rsidP="0030014E" w14:paraId="7FDFA666" w14:textId="1004FE8A">
      <w:pPr>
        <w:pStyle w:val="FootnoteText"/>
        <w:spacing w:after="120"/>
      </w:pPr>
      <w:r w:rsidRPr="0030014E">
        <w:rPr>
          <w:rStyle w:val="FootnoteReference"/>
        </w:rPr>
        <w:footnoteRef/>
      </w:r>
      <w:r w:rsidRPr="0030014E">
        <w:t xml:space="preserve"> R.C. 4928.14 (“The failure of a supplier to provide retail electric generation service to customers within the certified territory of an electric distribution utility shall result in the supplier’s customers, after reasonable notice, defaulting to the utility’s standard service offer under </w:t>
      </w:r>
      <w:r w:rsidRPr="0030014E">
        <w:rPr>
          <w:iCs/>
        </w:rPr>
        <w:t>sections 4928.141, 4928.142,</w:t>
      </w:r>
      <w:r w:rsidRPr="0030014E">
        <w:t xml:space="preserve"> and </w:t>
      </w:r>
      <w:r w:rsidRPr="0030014E">
        <w:rPr>
          <w:iCs/>
        </w:rPr>
        <w:t>4928.143 of the Revised Code</w:t>
      </w:r>
      <w:r w:rsidRPr="0030014E">
        <w:t xml:space="preserve"> until the customer chooses an alternative supplier.”).</w:t>
      </w:r>
      <w:r w:rsidRPr="0030014E">
        <w:rPr>
          <w:highlight w:val="yellow"/>
        </w:rPr>
        <w:t xml:space="preserve"> </w:t>
      </w:r>
    </w:p>
  </w:footnote>
  <w:footnote w:id="30">
    <w:p w:rsidR="004D10FE" w:rsidRPr="0030014E" w:rsidP="0030014E" w14:paraId="53D910CF" w14:textId="6D921466">
      <w:pPr>
        <w:pStyle w:val="FootnoteText"/>
        <w:spacing w:after="120"/>
      </w:pPr>
      <w:r w:rsidRPr="0030014E">
        <w:rPr>
          <w:rStyle w:val="FootnoteReference"/>
        </w:rPr>
        <w:footnoteRef/>
      </w:r>
      <w:r w:rsidRPr="0030014E">
        <w:t xml:space="preserve"> </w:t>
      </w:r>
      <w:r w:rsidRPr="0030014E">
        <w:rPr>
          <w:i/>
        </w:rPr>
        <w:t xml:space="preserve">Ohio Consumers’ Counsel v. Pub. Util. Comm., </w:t>
      </w:r>
      <w:r w:rsidRPr="0030014E">
        <w:t>114 Ohio St.3d 340, 346 (2007).</w:t>
      </w:r>
    </w:p>
  </w:footnote>
  <w:footnote w:id="31">
    <w:p w:rsidR="004D10FE" w:rsidRPr="0030014E" w:rsidP="0030014E" w14:paraId="56CCF104" w14:textId="44FAE034">
      <w:pPr>
        <w:spacing w:after="120"/>
        <w:rPr>
          <w:sz w:val="20"/>
        </w:rPr>
      </w:pPr>
      <w:r w:rsidRPr="0030014E">
        <w:rPr>
          <w:rStyle w:val="FootnoteReference"/>
          <w:sz w:val="20"/>
        </w:rPr>
        <w:footnoteRef/>
      </w:r>
      <w:r w:rsidRPr="0030014E">
        <w:rPr>
          <w:sz w:val="20"/>
        </w:rPr>
        <w:t xml:space="preserve"> </w:t>
      </w:r>
      <w:r w:rsidRPr="0030014E">
        <w:rPr>
          <w:i/>
          <w:sz w:val="20"/>
        </w:rPr>
        <w:t>In re Application of Columbus S. Power Co.,</w:t>
      </w:r>
      <w:r w:rsidRPr="0030014E">
        <w:rPr>
          <w:sz w:val="20"/>
        </w:rPr>
        <w:t xml:space="preserve"> 128 Ohio St.3d 512 (2011). </w:t>
      </w:r>
    </w:p>
  </w:footnote>
  <w:footnote w:id="32">
    <w:p w:rsidR="004D10FE" w:rsidRPr="0030014E" w:rsidP="0030014E" w14:paraId="47BB1D1F" w14:textId="3D9F859A">
      <w:pPr>
        <w:pStyle w:val="FootnoteText"/>
        <w:spacing w:after="120"/>
      </w:pPr>
      <w:r w:rsidRPr="0030014E">
        <w:rPr>
          <w:rStyle w:val="FootnoteReference"/>
        </w:rPr>
        <w:footnoteRef/>
      </w:r>
      <w:r w:rsidRPr="0030014E">
        <w:t xml:space="preserve"> </w:t>
      </w:r>
      <w:r w:rsidRPr="0030014E">
        <w:rPr>
          <w:rStyle w:val="normaltextrun"/>
          <w:i/>
        </w:rPr>
        <w:t>In re the Ohio Power Company,</w:t>
      </w:r>
      <w:r w:rsidRPr="0030014E">
        <w:rPr>
          <w:rStyle w:val="normaltextrun"/>
        </w:rPr>
        <w:t xml:space="preserve"> Pub. Util. Comm. No. 08-917-EL-SSO, Opinion and Order at 40 (Mar</w:t>
      </w:r>
      <w:r w:rsidR="0030014E">
        <w:rPr>
          <w:rStyle w:val="normaltextrun"/>
        </w:rPr>
        <w:t xml:space="preserve">ch </w:t>
      </w:r>
      <w:r w:rsidRPr="0030014E">
        <w:rPr>
          <w:rStyle w:val="normaltextrun"/>
        </w:rPr>
        <w:t>18, 2009).</w:t>
      </w:r>
    </w:p>
  </w:footnote>
  <w:footnote w:id="33">
    <w:p w:rsidR="004D10FE" w:rsidRPr="0030014E" w:rsidP="0030014E" w14:paraId="554E1F91" w14:textId="58DDF4EA">
      <w:pPr>
        <w:pStyle w:val="FootnoteText"/>
        <w:spacing w:after="120"/>
      </w:pPr>
      <w:r w:rsidRPr="0030014E">
        <w:rPr>
          <w:rStyle w:val="FootnoteReference"/>
        </w:rPr>
        <w:footnoteRef/>
      </w:r>
      <w:r w:rsidRPr="0030014E">
        <w:t xml:space="preserve"> </w:t>
      </w:r>
      <w:r w:rsidRPr="0030014E">
        <w:rPr>
          <w:rStyle w:val="normaltextrun"/>
          <w:i/>
        </w:rPr>
        <w:t>In re the Ohio Power Company</w:t>
      </w:r>
      <w:r w:rsidRPr="0030014E">
        <w:rPr>
          <w:rStyle w:val="normaltextrun"/>
        </w:rPr>
        <w:t>, Pub. Util. Comm. No. 08-917-EL-SSO, Order on Remand at 32 (Oct</w:t>
      </w:r>
      <w:r w:rsidR="0030014E">
        <w:rPr>
          <w:rStyle w:val="normaltextrun"/>
        </w:rPr>
        <w:t>ober</w:t>
      </w:r>
      <w:r w:rsidRPr="0030014E">
        <w:rPr>
          <w:rStyle w:val="normaltextrun"/>
        </w:rPr>
        <w:t xml:space="preserve"> 3, 2011).</w:t>
      </w:r>
    </w:p>
  </w:footnote>
  <w:footnote w:id="34">
    <w:p w:rsidR="004D10FE" w:rsidRPr="0030014E" w:rsidP="0030014E" w14:paraId="298753C9" w14:textId="64A6552C">
      <w:pPr>
        <w:pStyle w:val="FootnoteText"/>
        <w:spacing w:after="120"/>
      </w:pPr>
      <w:r w:rsidRPr="0030014E">
        <w:rPr>
          <w:rStyle w:val="FootnoteReference"/>
        </w:rPr>
        <w:footnoteRef/>
      </w:r>
      <w:r w:rsidRPr="0030014E">
        <w:t xml:space="preserve"> </w:t>
      </w:r>
      <w:r w:rsidRPr="0030014E">
        <w:rPr>
          <w:i/>
        </w:rPr>
        <w:t>In re The Dayton Power and Light Co.</w:t>
      </w:r>
      <w:r w:rsidRPr="0030014E">
        <w:t>, Case No. 12-426-EL-SSO, et al. (ESP II Case), Finding and Order (Aug</w:t>
      </w:r>
      <w:r w:rsidR="0030014E">
        <w:t>ust</w:t>
      </w:r>
      <w:r w:rsidRPr="0030014E">
        <w:t xml:space="preserve"> 26, 2016).</w:t>
      </w:r>
    </w:p>
  </w:footnote>
  <w:footnote w:id="35">
    <w:p w:rsidR="004D10FE" w:rsidRPr="0030014E" w:rsidP="0030014E" w14:paraId="2FBC8F63" w14:textId="6330240D">
      <w:pPr>
        <w:pStyle w:val="FootnoteText"/>
        <w:spacing w:after="120"/>
      </w:pPr>
      <w:r w:rsidRPr="0030014E">
        <w:rPr>
          <w:rStyle w:val="FootnoteReference"/>
        </w:rPr>
        <w:footnoteRef/>
      </w:r>
      <w:r w:rsidRPr="0030014E">
        <w:t xml:space="preserve"> </w:t>
      </w:r>
      <w:r w:rsidRPr="0030014E">
        <w:rPr>
          <w:rStyle w:val="normaltextrun"/>
          <w:i/>
        </w:rPr>
        <w:t>Id</w:t>
      </w:r>
      <w:r w:rsidRPr="0030014E">
        <w:rPr>
          <w:rStyle w:val="normaltextrun"/>
        </w:rPr>
        <w:t>.</w:t>
      </w:r>
    </w:p>
  </w:footnote>
  <w:footnote w:id="36">
    <w:p w:rsidR="004D10FE" w:rsidRPr="0030014E" w:rsidP="0030014E" w14:paraId="46CE4F1C" w14:textId="251732DA">
      <w:pPr>
        <w:pStyle w:val="FootnoteText"/>
        <w:spacing w:after="120"/>
      </w:pPr>
      <w:r w:rsidRPr="0030014E">
        <w:rPr>
          <w:rStyle w:val="FootnoteReference"/>
        </w:rPr>
        <w:footnoteRef/>
      </w:r>
      <w:r w:rsidRPr="0030014E">
        <w:t xml:space="preserve"> </w:t>
      </w:r>
      <w:r w:rsidRPr="0030014E">
        <w:rPr>
          <w:rStyle w:val="eop"/>
          <w:i/>
          <w:iCs/>
        </w:rPr>
        <w:t>See id</w:t>
      </w:r>
      <w:r w:rsidRPr="0030014E">
        <w:rPr>
          <w:rStyle w:val="eop"/>
        </w:rPr>
        <w:t>.</w:t>
      </w:r>
    </w:p>
  </w:footnote>
  <w:footnote w:id="37">
    <w:p w:rsidR="004D10FE" w:rsidRPr="0030014E" w:rsidP="0030014E" w14:paraId="701F6CF0" w14:textId="3F48E967">
      <w:pPr>
        <w:pStyle w:val="FootnoteText"/>
        <w:spacing w:after="120"/>
      </w:pPr>
      <w:r w:rsidRPr="0030014E">
        <w:rPr>
          <w:rStyle w:val="FootnoteReference"/>
        </w:rPr>
        <w:footnoteRef/>
      </w:r>
      <w:r w:rsidRPr="0030014E">
        <w:t xml:space="preserve"> </w:t>
      </w:r>
      <w:r w:rsidRPr="0030014E">
        <w:rPr>
          <w:rStyle w:val="eop"/>
          <w:i/>
        </w:rPr>
        <w:t>In the Matter of Ohio Power Co.</w:t>
      </w:r>
      <w:r w:rsidRPr="0030014E">
        <w:rPr>
          <w:rStyle w:val="eop"/>
        </w:rPr>
        <w:t>, Pub. Util. Comm. No. 08-917-EL-SSO, Opinion and Order at 40 (Mar</w:t>
      </w:r>
      <w:r w:rsidR="0030014E">
        <w:rPr>
          <w:rStyle w:val="eop"/>
        </w:rPr>
        <w:t>ch</w:t>
      </w:r>
      <w:r w:rsidRPr="0030014E">
        <w:rPr>
          <w:rStyle w:val="eop"/>
        </w:rPr>
        <w:t xml:space="preserve"> 18, 2009); </w:t>
      </w:r>
      <w:r w:rsidRPr="0030014E">
        <w:rPr>
          <w:rStyle w:val="eop"/>
          <w:i/>
        </w:rPr>
        <w:t>In re Columbus S. Power,</w:t>
      </w:r>
      <w:r w:rsidRPr="0030014E">
        <w:rPr>
          <w:rStyle w:val="eop"/>
        </w:rPr>
        <w:t xml:space="preserve"> 128 Ohio St.3d 512 (2011).</w:t>
      </w:r>
    </w:p>
  </w:footnote>
  <w:footnote w:id="38">
    <w:p w:rsidR="004D10FE" w:rsidRPr="0030014E" w:rsidP="0030014E" w14:paraId="13E64FD5" w14:textId="7580D9A3">
      <w:pPr>
        <w:pStyle w:val="FootnoteText"/>
        <w:spacing w:after="120"/>
      </w:pPr>
      <w:r w:rsidRPr="0030014E">
        <w:rPr>
          <w:rStyle w:val="FootnoteReference"/>
        </w:rPr>
        <w:footnoteRef/>
      </w:r>
      <w:r w:rsidRPr="0030014E">
        <w:t xml:space="preserve"> </w:t>
      </w:r>
      <w:r w:rsidRPr="0030014E">
        <w:rPr>
          <w:i/>
          <w:color w:val="000000"/>
        </w:rPr>
        <w:t>In re the Application of The Dayton Power and Light Company to Establish a Standard Service Offer in the Form of an Electric Security Plan</w:t>
      </w:r>
      <w:r w:rsidRPr="0030014E">
        <w:rPr>
          <w:color w:val="000000"/>
        </w:rPr>
        <w:t>, Case No. 08-1094-EL-SSO et al., Entry at 3 (March 22, 2017).</w:t>
      </w:r>
    </w:p>
  </w:footnote>
  <w:footnote w:id="39">
    <w:p w:rsidR="004D10FE" w:rsidRPr="0030014E" w:rsidP="0030014E" w14:paraId="6F640521" w14:textId="53CA01DD">
      <w:pPr>
        <w:pStyle w:val="FootnoteText"/>
        <w:spacing w:after="120"/>
      </w:pPr>
      <w:r w:rsidRPr="0030014E">
        <w:rPr>
          <w:rStyle w:val="FootnoteReference"/>
        </w:rPr>
        <w:footnoteRef/>
      </w:r>
      <w:r w:rsidRPr="0030014E">
        <w:t xml:space="preserve"> </w:t>
      </w:r>
      <w:r w:rsidRPr="0030014E">
        <w:rPr>
          <w:i/>
        </w:rPr>
        <w:t>Id</w:t>
      </w:r>
      <w:r w:rsidRPr="0030014E">
        <w:rPr>
          <w:rStyle w:val="eop"/>
        </w:rPr>
        <w:t xml:space="preserve">., </w:t>
      </w:r>
      <w:r w:rsidRPr="0030014E">
        <w:rPr>
          <w:rStyle w:val="eop"/>
          <w:iCs/>
        </w:rPr>
        <w:t>Revised tariff sheets for PUCO Electric Tariff No. 17 with an effective date of June 30, 2009 filed by D. Seger-Lawson on behalf of The Dayton Power and Light Company at G25 (June 29, 2009).</w:t>
      </w:r>
    </w:p>
  </w:footnote>
  <w:footnote w:id="40">
    <w:p w:rsidR="004D10FE" w:rsidRPr="0030014E" w:rsidP="0030014E" w14:paraId="74901F65" w14:textId="79823E31">
      <w:pPr>
        <w:pStyle w:val="FootnoteText"/>
        <w:spacing w:after="120"/>
      </w:pPr>
      <w:r w:rsidRPr="0030014E">
        <w:rPr>
          <w:rStyle w:val="FootnoteReference"/>
        </w:rPr>
        <w:footnoteRef/>
      </w:r>
      <w:r w:rsidRPr="0030014E">
        <w:t xml:space="preserve"> </w:t>
      </w:r>
      <w:r w:rsidRPr="0030014E">
        <w:rPr>
          <w:rStyle w:val="eop"/>
          <w:i/>
        </w:rPr>
        <w:t>In re Application of DP&amp;L for Approval of its Security Plan</w:t>
      </w:r>
      <w:r w:rsidRPr="0030014E">
        <w:rPr>
          <w:rStyle w:val="eop"/>
        </w:rPr>
        <w:t xml:space="preserve">, Pub. Util. Comm. No. 12-426-EL-SSO </w:t>
      </w:r>
      <w:r w:rsidRPr="0030014E">
        <w:rPr>
          <w:rStyle w:val="eop"/>
          <w:i/>
        </w:rPr>
        <w:t>et al.</w:t>
      </w:r>
      <w:r w:rsidRPr="0030014E">
        <w:rPr>
          <w:rStyle w:val="eop"/>
        </w:rPr>
        <w:t>, Opinion and Order at 15-17 (Sept</w:t>
      </w:r>
      <w:r w:rsidR="0030014E">
        <w:rPr>
          <w:rStyle w:val="eop"/>
        </w:rPr>
        <w:t>ember</w:t>
      </w:r>
      <w:r w:rsidRPr="0030014E">
        <w:rPr>
          <w:rStyle w:val="eop"/>
        </w:rPr>
        <w:t xml:space="preserve"> 4, 2013).</w:t>
      </w:r>
    </w:p>
  </w:footnote>
  <w:footnote w:id="41">
    <w:p w:rsidR="004D10FE" w:rsidRPr="0030014E" w:rsidP="0030014E" w14:paraId="4103465E" w14:textId="7AC3379A">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t>Notice of Filing Proposed Tariffs at 2.</w:t>
      </w:r>
    </w:p>
  </w:footnote>
  <w:footnote w:id="42">
    <w:p w:rsidR="004D10FE" w:rsidRPr="0030014E" w:rsidP="0030014E" w14:paraId="777593BA" w14:textId="5C5D68F2">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rPr>
          <w:i/>
          <w:iCs/>
        </w:rPr>
        <w:t>id</w:t>
      </w:r>
      <w:r w:rsidRPr="0030014E">
        <w:t>.</w:t>
      </w:r>
    </w:p>
  </w:footnote>
  <w:footnote w:id="43">
    <w:p w:rsidR="004D10FE" w:rsidRPr="0030014E" w:rsidP="0030014E" w14:paraId="7EC92AF4" w14:textId="2719C1D6">
      <w:pPr>
        <w:pStyle w:val="FootnoteText"/>
        <w:spacing w:after="120"/>
        <w:rPr>
          <w:iCs/>
        </w:rPr>
      </w:pPr>
      <w:r w:rsidRPr="0030014E">
        <w:rPr>
          <w:rStyle w:val="FootnoteReference"/>
        </w:rPr>
        <w:footnoteRef/>
      </w:r>
      <w:r w:rsidRPr="0030014E">
        <w:t xml:space="preserve"> </w:t>
      </w:r>
      <w:r w:rsidRPr="0030014E">
        <w:rPr>
          <w:i/>
        </w:rPr>
        <w:t>See id</w:t>
      </w:r>
      <w:r w:rsidRPr="0030014E">
        <w:rPr>
          <w:iCs/>
        </w:rPr>
        <w:t>.</w:t>
      </w:r>
    </w:p>
  </w:footnote>
  <w:footnote w:id="44">
    <w:p w:rsidR="004D10FE" w:rsidRPr="0030014E" w:rsidP="0030014E" w14:paraId="43ECECB5" w14:textId="4A489D36">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rPr>
          <w:color w:val="000000"/>
        </w:rPr>
        <w:t>Case No. 08-1094-EL-SSO et al., Finding and Order at 9 (August 26, 2016).</w:t>
      </w:r>
    </w:p>
  </w:footnote>
  <w:footnote w:id="45">
    <w:p w:rsidR="004D10FE" w:rsidRPr="0030014E" w:rsidP="0030014E" w14:paraId="160C4326" w14:textId="43411FFB">
      <w:pPr>
        <w:pStyle w:val="FootnoteText"/>
        <w:spacing w:after="120"/>
      </w:pPr>
      <w:r w:rsidRPr="0030014E">
        <w:rPr>
          <w:rStyle w:val="FootnoteReference"/>
        </w:rPr>
        <w:footnoteRef/>
      </w:r>
      <w:r w:rsidRPr="0030014E">
        <w:t xml:space="preserve"> It bears repeating here that we believe that the RSC charge should be set at zero. So, if and when DP&amp;L assumes POLR obligations, it can try to make the necessary showing to populate the RSC.</w:t>
      </w:r>
    </w:p>
  </w:footnote>
  <w:footnote w:id="46">
    <w:p w:rsidR="004D10FE" w:rsidRPr="0030014E" w:rsidP="0030014E" w14:paraId="5E2B2FAA" w14:textId="362DC0C5">
      <w:pPr>
        <w:pStyle w:val="FootnoteText"/>
        <w:spacing w:after="120"/>
      </w:pPr>
      <w:r w:rsidRPr="0030014E">
        <w:rPr>
          <w:rStyle w:val="FootnoteReference"/>
        </w:rPr>
        <w:footnoteRef/>
      </w:r>
      <w:r w:rsidRPr="0030014E">
        <w:t xml:space="preserve"> </w:t>
      </w:r>
      <w:r w:rsidRPr="0030014E">
        <w:rPr>
          <w:i/>
        </w:rPr>
        <w:t>Ideal Transportation Co. v. Pub. Util. Comm.,</w:t>
      </w:r>
      <w:r w:rsidRPr="0030014E">
        <w:t xml:space="preserve"> 42 Ohio St.2d 195 (1975).</w:t>
      </w:r>
    </w:p>
  </w:footnote>
  <w:footnote w:id="47">
    <w:p w:rsidR="004D10FE" w:rsidRPr="0030014E" w:rsidP="0030014E" w14:paraId="21EA5774" w14:textId="477D00E1">
      <w:pPr>
        <w:pStyle w:val="FootnoteText"/>
        <w:spacing w:after="120"/>
        <w:rPr>
          <w:iCs/>
        </w:rPr>
      </w:pPr>
      <w:r w:rsidRPr="0030014E">
        <w:rPr>
          <w:rStyle w:val="FootnoteReference"/>
        </w:rPr>
        <w:footnoteRef/>
      </w:r>
      <w:r w:rsidRPr="0030014E">
        <w:t xml:space="preserve"> </w:t>
      </w:r>
      <w:r w:rsidRPr="0030014E">
        <w:rPr>
          <w:i/>
        </w:rPr>
        <w:t>Id</w:t>
      </w:r>
      <w:r w:rsidRPr="0030014E">
        <w:rPr>
          <w:iCs/>
        </w:rPr>
        <w:t xml:space="preserve">. </w:t>
      </w:r>
    </w:p>
  </w:footnote>
  <w:footnote w:id="48">
    <w:p w:rsidR="004D10FE" w:rsidRPr="0030014E" w:rsidP="0030014E" w14:paraId="5FA59DBC" w14:textId="54FECD64">
      <w:pPr>
        <w:pStyle w:val="FootnoteText"/>
        <w:spacing w:after="120"/>
      </w:pPr>
      <w:r w:rsidRPr="0030014E">
        <w:rPr>
          <w:rStyle w:val="FootnoteReference"/>
        </w:rPr>
        <w:footnoteRef/>
      </w:r>
      <w:r w:rsidRPr="0030014E">
        <w:t xml:space="preserve"> </w:t>
      </w:r>
      <w:r w:rsidRPr="0030014E">
        <w:rPr>
          <w:rStyle w:val="normaltextrun"/>
          <w:i/>
        </w:rPr>
        <w:t>In re the Ohio Power Company</w:t>
      </w:r>
      <w:r w:rsidRPr="0030014E">
        <w:rPr>
          <w:rStyle w:val="normaltextrun"/>
        </w:rPr>
        <w:t>, Pub. Util. Comm. No. 08-917-EL-SSO, Order on Remand at 22.</w:t>
      </w:r>
    </w:p>
  </w:footnote>
  <w:footnote w:id="49">
    <w:p w:rsidR="004D10FE" w:rsidRPr="0030014E" w:rsidP="0030014E" w14:paraId="08E045A8" w14:textId="470E54E5">
      <w:pPr>
        <w:pStyle w:val="FootnoteText"/>
        <w:spacing w:after="120"/>
      </w:pPr>
      <w:r w:rsidRPr="0030014E">
        <w:rPr>
          <w:rStyle w:val="FootnoteReference"/>
        </w:rPr>
        <w:footnoteRef/>
      </w:r>
      <w:r w:rsidRPr="0030014E">
        <w:t xml:space="preserve"> </w:t>
      </w:r>
      <w:r w:rsidRPr="0030014E">
        <w:rPr>
          <w:i/>
        </w:rPr>
        <w:t>See</w:t>
      </w:r>
      <w:r w:rsidRPr="0030014E">
        <w:rPr>
          <w:iCs/>
        </w:rPr>
        <w:t xml:space="preserve"> </w:t>
      </w:r>
      <w:r w:rsidRPr="0030014E">
        <w:t>Tariffs attached to DP&amp;L’s Notice of Filing Proposed Tariffs (November 25, 2019).</w:t>
      </w:r>
    </w:p>
  </w:footnote>
  <w:footnote w:id="50">
    <w:p w:rsidR="004D10FE" w:rsidRPr="0030014E" w:rsidP="0030014E" w14:paraId="4EABA38A" w14:textId="52E5A657">
      <w:pPr>
        <w:pStyle w:val="FootnoteText"/>
        <w:spacing w:after="120"/>
      </w:pPr>
      <w:r w:rsidRPr="0030014E">
        <w:rPr>
          <w:rStyle w:val="FootnoteReference"/>
        </w:rPr>
        <w:footnoteRef/>
      </w:r>
      <w:r w:rsidRPr="0030014E">
        <w:t xml:space="preserve"> </w:t>
      </w:r>
      <w:r w:rsidRPr="0030014E">
        <w:rPr>
          <w:i/>
          <w:iCs/>
        </w:rPr>
        <w:t xml:space="preserve">See </w:t>
      </w:r>
      <w:r w:rsidRPr="0030014E">
        <w:t>Notice of Filing Proposed Tariffs.</w:t>
      </w:r>
    </w:p>
  </w:footnote>
  <w:footnote w:id="51">
    <w:p w:rsidR="004D10FE" w:rsidRPr="0030014E" w:rsidP="0030014E" w14:paraId="1EDD02BE" w14:textId="3BB46AF6">
      <w:pPr>
        <w:pStyle w:val="FootnoteText"/>
        <w:spacing w:after="120"/>
        <w:rPr>
          <w:iCs/>
        </w:rPr>
      </w:pPr>
      <w:r w:rsidRPr="0030014E">
        <w:rPr>
          <w:rStyle w:val="FootnoteReference"/>
        </w:rPr>
        <w:footnoteRef/>
      </w:r>
      <w:r w:rsidRPr="0030014E">
        <w:t xml:space="preserve"> Storm Rider ($1.01) + Regulatory Compliance Rider ($.45) + Decoupling Rider ($1.30) + Distribution Investment Rider ($2.75). </w:t>
      </w:r>
      <w:r w:rsidRPr="0030014E">
        <w:rPr>
          <w:i/>
        </w:rPr>
        <w:t>See id.</w:t>
      </w:r>
    </w:p>
  </w:footnote>
  <w:footnote w:id="52">
    <w:p w:rsidR="002C35FB" w:rsidRPr="0030014E" w:rsidP="0030014E" w14:paraId="2EB8C6BE" w14:textId="3F0A68D4">
      <w:pPr>
        <w:pStyle w:val="FootnoteText"/>
        <w:spacing w:after="120"/>
      </w:pPr>
      <w:r w:rsidRPr="0030014E">
        <w:rPr>
          <w:rStyle w:val="FootnoteReference"/>
        </w:rPr>
        <w:footnoteRef/>
      </w:r>
      <w:r w:rsidRPr="0030014E">
        <w:t xml:space="preserve"> </w:t>
      </w:r>
      <w:r w:rsidRPr="0030014E">
        <w:rPr>
          <w:i/>
          <w:iCs/>
        </w:rPr>
        <w:t>See</w:t>
      </w:r>
      <w:r w:rsidRPr="0030014E">
        <w:t xml:space="preserve"> ESP II Case, Motion of DP&amp;L to Implement Previously Authorized Rates.</w:t>
      </w:r>
      <w:r w:rsidRPr="0030014E" w:rsidR="00AB444F">
        <w:t xml:space="preserve"> </w:t>
      </w:r>
    </w:p>
  </w:footnote>
  <w:footnote w:id="53">
    <w:p w:rsidR="002C35FB" w:rsidRPr="0030014E" w:rsidP="0030014E" w14:paraId="01AD40A4" w14:textId="77777777">
      <w:pPr>
        <w:pStyle w:val="FootnoteText"/>
        <w:spacing w:after="120"/>
      </w:pPr>
      <w:r w:rsidRPr="0030014E">
        <w:rPr>
          <w:rStyle w:val="FootnoteReference"/>
        </w:rPr>
        <w:footnoteRef/>
      </w:r>
      <w:r w:rsidRPr="0030014E">
        <w:t xml:space="preserve"> </w:t>
      </w:r>
      <w:r w:rsidRPr="0030014E">
        <w:rPr>
          <w:i/>
        </w:rPr>
        <w:t xml:space="preserve">See </w:t>
      </w:r>
      <w:r w:rsidRPr="0030014E">
        <w:t>ESP I Case, Motion of DP&amp;L to Implement Previously Authorized Rates at 1 (July 27, 2016).</w:t>
      </w:r>
    </w:p>
  </w:footnote>
  <w:footnote w:id="54">
    <w:p w:rsidR="002C35FB" w:rsidRPr="0030014E" w:rsidP="0030014E" w14:paraId="14BD3F05" w14:textId="5BA66AFF">
      <w:pPr>
        <w:pStyle w:val="FootnoteText"/>
        <w:spacing w:after="120"/>
      </w:pPr>
      <w:r w:rsidRPr="0030014E">
        <w:rPr>
          <w:rStyle w:val="FootnoteReference"/>
          <w:rFonts w:eastAsiaTheme="majorEastAsia"/>
        </w:rPr>
        <w:footnoteRef/>
      </w:r>
      <w:r w:rsidRPr="0030014E">
        <w:t xml:space="preserve"> </w:t>
      </w:r>
      <w:r w:rsidRPr="0030014E">
        <w:rPr>
          <w:i/>
          <w:iCs/>
        </w:rPr>
        <w:t>See</w:t>
      </w:r>
      <w:r w:rsidRPr="0030014E">
        <w:t xml:space="preserve"> </w:t>
      </w:r>
      <w:r w:rsidRPr="0030014E" w:rsidR="00925726">
        <w:t>Settlement</w:t>
      </w:r>
      <w:r w:rsidRPr="0030014E">
        <w:t xml:space="preserve"> at 38-39.</w:t>
      </w:r>
    </w:p>
    <w:p w:rsidR="002C35FB" w:rsidRPr="0030014E" w:rsidP="0030014E" w14:paraId="3B27571E" w14:textId="77777777">
      <w:pPr>
        <w:pStyle w:val="FootnoteText"/>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0FE" w14:paraId="373AE5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0FE" w14:paraId="3A7C13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F"/>
    <w:rsid w:val="0000534D"/>
    <w:rsid w:val="00013F77"/>
    <w:rsid w:val="0002563A"/>
    <w:rsid w:val="00034B81"/>
    <w:rsid w:val="00036988"/>
    <w:rsid w:val="00052FC7"/>
    <w:rsid w:val="00056399"/>
    <w:rsid w:val="000566BB"/>
    <w:rsid w:val="0008271B"/>
    <w:rsid w:val="00084653"/>
    <w:rsid w:val="000A2519"/>
    <w:rsid w:val="000A744D"/>
    <w:rsid w:val="000B1FF7"/>
    <w:rsid w:val="000B7F81"/>
    <w:rsid w:val="000C011D"/>
    <w:rsid w:val="000D0ABC"/>
    <w:rsid w:val="000F53C8"/>
    <w:rsid w:val="0010337C"/>
    <w:rsid w:val="001053C5"/>
    <w:rsid w:val="00114B8F"/>
    <w:rsid w:val="00115AFF"/>
    <w:rsid w:val="00115D83"/>
    <w:rsid w:val="00132FE2"/>
    <w:rsid w:val="00141FCF"/>
    <w:rsid w:val="00144217"/>
    <w:rsid w:val="00151D9A"/>
    <w:rsid w:val="00151E86"/>
    <w:rsid w:val="001814CC"/>
    <w:rsid w:val="0019098E"/>
    <w:rsid w:val="001959CD"/>
    <w:rsid w:val="001A22D5"/>
    <w:rsid w:val="001B690D"/>
    <w:rsid w:val="001C33BD"/>
    <w:rsid w:val="001F2556"/>
    <w:rsid w:val="00202ECA"/>
    <w:rsid w:val="0021504F"/>
    <w:rsid w:val="0021759A"/>
    <w:rsid w:val="002329F0"/>
    <w:rsid w:val="00235E4E"/>
    <w:rsid w:val="00262327"/>
    <w:rsid w:val="002640D7"/>
    <w:rsid w:val="0027277D"/>
    <w:rsid w:val="002757EF"/>
    <w:rsid w:val="00277A33"/>
    <w:rsid w:val="002929D4"/>
    <w:rsid w:val="002A2AB4"/>
    <w:rsid w:val="002A2D82"/>
    <w:rsid w:val="002A3332"/>
    <w:rsid w:val="002A7C48"/>
    <w:rsid w:val="002B2B09"/>
    <w:rsid w:val="002B404E"/>
    <w:rsid w:val="002C35FB"/>
    <w:rsid w:val="002E69A6"/>
    <w:rsid w:val="0030014E"/>
    <w:rsid w:val="003041BD"/>
    <w:rsid w:val="00322757"/>
    <w:rsid w:val="003357B5"/>
    <w:rsid w:val="00335CE6"/>
    <w:rsid w:val="00340A00"/>
    <w:rsid w:val="00347C50"/>
    <w:rsid w:val="00355459"/>
    <w:rsid w:val="0036320F"/>
    <w:rsid w:val="00377D37"/>
    <w:rsid w:val="00387978"/>
    <w:rsid w:val="0039376C"/>
    <w:rsid w:val="003A3395"/>
    <w:rsid w:val="003A3C90"/>
    <w:rsid w:val="003A42EF"/>
    <w:rsid w:val="003B02B2"/>
    <w:rsid w:val="003B6182"/>
    <w:rsid w:val="003C4BBD"/>
    <w:rsid w:val="003D3D67"/>
    <w:rsid w:val="003D5297"/>
    <w:rsid w:val="003F0011"/>
    <w:rsid w:val="003F776D"/>
    <w:rsid w:val="004121B0"/>
    <w:rsid w:val="004203E9"/>
    <w:rsid w:val="004528BB"/>
    <w:rsid w:val="0045326F"/>
    <w:rsid w:val="00456485"/>
    <w:rsid w:val="004606D9"/>
    <w:rsid w:val="004700CC"/>
    <w:rsid w:val="00476A4A"/>
    <w:rsid w:val="00482F5C"/>
    <w:rsid w:val="004A1CE5"/>
    <w:rsid w:val="004C47B8"/>
    <w:rsid w:val="004D10FE"/>
    <w:rsid w:val="004D1B13"/>
    <w:rsid w:val="004E3930"/>
    <w:rsid w:val="004F473D"/>
    <w:rsid w:val="005051A4"/>
    <w:rsid w:val="00515E73"/>
    <w:rsid w:val="005279E4"/>
    <w:rsid w:val="00547E0A"/>
    <w:rsid w:val="0055211C"/>
    <w:rsid w:val="00566A90"/>
    <w:rsid w:val="00571D5D"/>
    <w:rsid w:val="005C1F42"/>
    <w:rsid w:val="005C6DCD"/>
    <w:rsid w:val="005D06BB"/>
    <w:rsid w:val="005D4F48"/>
    <w:rsid w:val="00604256"/>
    <w:rsid w:val="0062010A"/>
    <w:rsid w:val="00621AEE"/>
    <w:rsid w:val="00624CB8"/>
    <w:rsid w:val="00637ABD"/>
    <w:rsid w:val="006471D3"/>
    <w:rsid w:val="00655975"/>
    <w:rsid w:val="00664AAC"/>
    <w:rsid w:val="00676433"/>
    <w:rsid w:val="00683674"/>
    <w:rsid w:val="0068612C"/>
    <w:rsid w:val="00694956"/>
    <w:rsid w:val="006B28B0"/>
    <w:rsid w:val="006C5694"/>
    <w:rsid w:val="006D098D"/>
    <w:rsid w:val="006E65B4"/>
    <w:rsid w:val="006E733F"/>
    <w:rsid w:val="006E7FEB"/>
    <w:rsid w:val="007348DC"/>
    <w:rsid w:val="00752486"/>
    <w:rsid w:val="00765E9D"/>
    <w:rsid w:val="0076781A"/>
    <w:rsid w:val="00773B80"/>
    <w:rsid w:val="007A1411"/>
    <w:rsid w:val="007B266F"/>
    <w:rsid w:val="007B5F43"/>
    <w:rsid w:val="007C7151"/>
    <w:rsid w:val="007D024A"/>
    <w:rsid w:val="007D12B7"/>
    <w:rsid w:val="007D5E46"/>
    <w:rsid w:val="00816896"/>
    <w:rsid w:val="00823AA2"/>
    <w:rsid w:val="008362D4"/>
    <w:rsid w:val="00845589"/>
    <w:rsid w:val="008461FE"/>
    <w:rsid w:val="008476F5"/>
    <w:rsid w:val="00853FAB"/>
    <w:rsid w:val="008955A8"/>
    <w:rsid w:val="008A0617"/>
    <w:rsid w:val="008A4587"/>
    <w:rsid w:val="008B65B9"/>
    <w:rsid w:val="008B6EAE"/>
    <w:rsid w:val="008B7307"/>
    <w:rsid w:val="008D2F4D"/>
    <w:rsid w:val="008D6E79"/>
    <w:rsid w:val="008E1DB9"/>
    <w:rsid w:val="008F63A4"/>
    <w:rsid w:val="0091660D"/>
    <w:rsid w:val="00921B02"/>
    <w:rsid w:val="00925470"/>
    <w:rsid w:val="00925726"/>
    <w:rsid w:val="00936BA3"/>
    <w:rsid w:val="009375D6"/>
    <w:rsid w:val="0095563B"/>
    <w:rsid w:val="00956950"/>
    <w:rsid w:val="0097413F"/>
    <w:rsid w:val="00974519"/>
    <w:rsid w:val="009A7C94"/>
    <w:rsid w:val="009A7E8F"/>
    <w:rsid w:val="009E2B8E"/>
    <w:rsid w:val="009F6599"/>
    <w:rsid w:val="00A0479F"/>
    <w:rsid w:val="00A074D2"/>
    <w:rsid w:val="00A166F8"/>
    <w:rsid w:val="00A1750C"/>
    <w:rsid w:val="00A27ABB"/>
    <w:rsid w:val="00AA1C5A"/>
    <w:rsid w:val="00AA248C"/>
    <w:rsid w:val="00AA75C4"/>
    <w:rsid w:val="00AB444F"/>
    <w:rsid w:val="00AB5DAB"/>
    <w:rsid w:val="00AF4F0B"/>
    <w:rsid w:val="00B01AC5"/>
    <w:rsid w:val="00B040DD"/>
    <w:rsid w:val="00B155D9"/>
    <w:rsid w:val="00B254F2"/>
    <w:rsid w:val="00B420AF"/>
    <w:rsid w:val="00B470EE"/>
    <w:rsid w:val="00B517D6"/>
    <w:rsid w:val="00B62A98"/>
    <w:rsid w:val="00B63660"/>
    <w:rsid w:val="00B65F06"/>
    <w:rsid w:val="00B76484"/>
    <w:rsid w:val="00B976B5"/>
    <w:rsid w:val="00BB50E4"/>
    <w:rsid w:val="00BB5EFB"/>
    <w:rsid w:val="00BC69C7"/>
    <w:rsid w:val="00BD69D6"/>
    <w:rsid w:val="00BE22F0"/>
    <w:rsid w:val="00BE7A85"/>
    <w:rsid w:val="00BF07BB"/>
    <w:rsid w:val="00BF120C"/>
    <w:rsid w:val="00C050C7"/>
    <w:rsid w:val="00C130BC"/>
    <w:rsid w:val="00C142A6"/>
    <w:rsid w:val="00C30D05"/>
    <w:rsid w:val="00C36DB2"/>
    <w:rsid w:val="00C370A0"/>
    <w:rsid w:val="00C50182"/>
    <w:rsid w:val="00C6136D"/>
    <w:rsid w:val="00C725CB"/>
    <w:rsid w:val="00C811C4"/>
    <w:rsid w:val="00C84577"/>
    <w:rsid w:val="00CA4487"/>
    <w:rsid w:val="00CA629B"/>
    <w:rsid w:val="00CA7B29"/>
    <w:rsid w:val="00CB7DE9"/>
    <w:rsid w:val="00CC51C4"/>
    <w:rsid w:val="00CD4E8E"/>
    <w:rsid w:val="00CD7656"/>
    <w:rsid w:val="00CE6D86"/>
    <w:rsid w:val="00CF24BE"/>
    <w:rsid w:val="00CF61C5"/>
    <w:rsid w:val="00D05306"/>
    <w:rsid w:val="00D32B1F"/>
    <w:rsid w:val="00D40EE2"/>
    <w:rsid w:val="00D44B4A"/>
    <w:rsid w:val="00D50E4C"/>
    <w:rsid w:val="00D52CED"/>
    <w:rsid w:val="00D55C79"/>
    <w:rsid w:val="00D621AB"/>
    <w:rsid w:val="00D82507"/>
    <w:rsid w:val="00D9658D"/>
    <w:rsid w:val="00D968AF"/>
    <w:rsid w:val="00DA0D2D"/>
    <w:rsid w:val="00DA1C9D"/>
    <w:rsid w:val="00DA2356"/>
    <w:rsid w:val="00DB573D"/>
    <w:rsid w:val="00DD782F"/>
    <w:rsid w:val="00DE37C9"/>
    <w:rsid w:val="00DF0325"/>
    <w:rsid w:val="00E063DB"/>
    <w:rsid w:val="00E16B4A"/>
    <w:rsid w:val="00E512A3"/>
    <w:rsid w:val="00E6113A"/>
    <w:rsid w:val="00E65864"/>
    <w:rsid w:val="00E67100"/>
    <w:rsid w:val="00E83A08"/>
    <w:rsid w:val="00E92347"/>
    <w:rsid w:val="00EB0025"/>
    <w:rsid w:val="00EB2F48"/>
    <w:rsid w:val="00EB42EE"/>
    <w:rsid w:val="00EB4EF4"/>
    <w:rsid w:val="00EB6D77"/>
    <w:rsid w:val="00EC7EB8"/>
    <w:rsid w:val="00ED5C70"/>
    <w:rsid w:val="00EE2B6E"/>
    <w:rsid w:val="00EF4664"/>
    <w:rsid w:val="00EF63FD"/>
    <w:rsid w:val="00F24232"/>
    <w:rsid w:val="00F2581B"/>
    <w:rsid w:val="00F51616"/>
    <w:rsid w:val="00F5465D"/>
    <w:rsid w:val="00F654EE"/>
    <w:rsid w:val="00F720F3"/>
    <w:rsid w:val="00F82E6D"/>
    <w:rsid w:val="00F8425F"/>
    <w:rsid w:val="00FA2A4D"/>
    <w:rsid w:val="00FB2179"/>
    <w:rsid w:val="00FD3C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1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387978"/>
    <w:pPr>
      <w:keepNext/>
      <w:keepLines/>
      <w:spacing w:after="240"/>
      <w:ind w:left="720" w:hanging="72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A2D82"/>
    <w:pPr>
      <w:keepNext/>
      <w:keepLines/>
      <w:spacing w:after="240"/>
      <w:ind w:left="144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uiPriority w:val="9"/>
    <w:unhideWhenUsed/>
    <w:qFormat/>
    <w:rsid w:val="002A2D82"/>
    <w:pPr>
      <w:keepNext/>
      <w:keepLines/>
      <w:spacing w:after="240"/>
      <w:ind w:left="216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15AFF"/>
    <w:rPr>
      <w:szCs w:val="24"/>
    </w:rPr>
  </w:style>
  <w:style w:type="character" w:customStyle="1" w:styleId="CommentTextChar">
    <w:name w:val="Comment Text Char"/>
    <w:basedOn w:val="DefaultParagraphFont"/>
    <w:link w:val="CommentText"/>
    <w:uiPriority w:val="99"/>
    <w:semiHidden/>
    <w:rsid w:val="00115AFF"/>
    <w:rPr>
      <w:rFonts w:ascii="Times New Roman" w:eastAsia="Times New Roman" w:hAnsi="Times New Roman" w:cs="Times New Roman"/>
      <w:sz w:val="24"/>
      <w:szCs w:val="24"/>
    </w:rPr>
  </w:style>
  <w:style w:type="character" w:styleId="CommentReference">
    <w:name w:val="annotation reference"/>
    <w:uiPriority w:val="99"/>
    <w:semiHidden/>
    <w:rsid w:val="00115AFF"/>
    <w:rPr>
      <w:sz w:val="18"/>
    </w:rPr>
  </w:style>
  <w:style w:type="paragraph" w:styleId="BalloonText">
    <w:name w:val="Balloon Text"/>
    <w:basedOn w:val="Normal"/>
    <w:link w:val="BalloonTextChar"/>
    <w:uiPriority w:val="99"/>
    <w:semiHidden/>
    <w:unhideWhenUsed/>
    <w:rsid w:val="00115AFF"/>
    <w:rPr>
      <w:rFonts w:ascii="Tahoma" w:hAnsi="Tahoma" w:cs="Tahoma"/>
      <w:sz w:val="16"/>
      <w:szCs w:val="16"/>
    </w:rPr>
  </w:style>
  <w:style w:type="character" w:customStyle="1" w:styleId="BalloonTextChar">
    <w:name w:val="Balloon Text Char"/>
    <w:basedOn w:val="DefaultParagraphFont"/>
    <w:link w:val="BalloonText"/>
    <w:uiPriority w:val="99"/>
    <w:semiHidden/>
    <w:rsid w:val="00115AFF"/>
    <w:rPr>
      <w:rFonts w:ascii="Tahoma" w:eastAsia="Times New Roman" w:hAnsi="Tahoma" w:cs="Tahoma"/>
      <w:sz w:val="16"/>
      <w:szCs w:val="16"/>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3D5297"/>
    <w:rPr>
      <w:sz w:val="20"/>
    </w:rPr>
  </w:style>
  <w:style w:type="character" w:customStyle="1" w:styleId="FootnoteTextChar">
    <w:name w:val="Footnote Text Char"/>
    <w:aliases w:val="ALTS FOOTNOTE Char,Footnote Text Char Char Char Char Char1,Footnote Text Char Char Char1,Footnote Text Char Char1 Char,Footnote Text Char1 Char Char1 Char Char Char Char1,Footnote Text Char1 Char Char1 Char1,Footnote Text Char1 Char1"/>
    <w:basedOn w:val="DefaultParagraphFont"/>
    <w:link w:val="FootnoteText"/>
    <w:uiPriority w:val="99"/>
    <w:rsid w:val="003D5297"/>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3D5297"/>
    <w:rPr>
      <w:vertAlign w:val="superscript"/>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locked/>
    <w:rsid w:val="00823AA2"/>
    <w:rPr>
      <w:lang w:val="en-US" w:eastAsia="en-US" w:bidi="ar-SA"/>
    </w:rPr>
  </w:style>
  <w:style w:type="paragraph" w:styleId="Header">
    <w:name w:val="header"/>
    <w:basedOn w:val="Normal"/>
    <w:link w:val="HeaderChar"/>
    <w:uiPriority w:val="99"/>
    <w:unhideWhenUsed/>
    <w:rsid w:val="00BE22F0"/>
    <w:pPr>
      <w:tabs>
        <w:tab w:val="center" w:pos="4680"/>
        <w:tab w:val="right" w:pos="9360"/>
      </w:tabs>
    </w:pPr>
  </w:style>
  <w:style w:type="character" w:customStyle="1" w:styleId="HeaderChar">
    <w:name w:val="Header Char"/>
    <w:basedOn w:val="DefaultParagraphFont"/>
    <w:link w:val="Header"/>
    <w:uiPriority w:val="99"/>
    <w:rsid w:val="00BE22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22F0"/>
    <w:pPr>
      <w:tabs>
        <w:tab w:val="center" w:pos="4680"/>
        <w:tab w:val="right" w:pos="9360"/>
      </w:tabs>
    </w:pPr>
  </w:style>
  <w:style w:type="character" w:customStyle="1" w:styleId="FooterChar">
    <w:name w:val="Footer Char"/>
    <w:basedOn w:val="DefaultParagraphFont"/>
    <w:link w:val="Footer"/>
    <w:uiPriority w:val="99"/>
    <w:rsid w:val="00BE22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25470"/>
    <w:rPr>
      <w:b/>
      <w:bCs/>
      <w:sz w:val="20"/>
      <w:szCs w:val="20"/>
    </w:rPr>
  </w:style>
  <w:style w:type="character" w:customStyle="1" w:styleId="CommentSubjectChar">
    <w:name w:val="Comment Subject Char"/>
    <w:basedOn w:val="CommentTextChar"/>
    <w:link w:val="CommentSubject"/>
    <w:uiPriority w:val="99"/>
    <w:semiHidden/>
    <w:rsid w:val="0092547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87978"/>
    <w:rPr>
      <w:rFonts w:ascii="Times New Roman" w:hAnsi="Times New Roman" w:eastAsiaTheme="majorEastAsia" w:cstheme="majorBidi"/>
      <w:b/>
      <w:bCs/>
      <w:sz w:val="24"/>
      <w:szCs w:val="28"/>
    </w:rPr>
  </w:style>
  <w:style w:type="character" w:customStyle="1" w:styleId="Heading2Char">
    <w:name w:val="Heading 2 Char"/>
    <w:basedOn w:val="DefaultParagraphFont"/>
    <w:link w:val="Heading2"/>
    <w:uiPriority w:val="9"/>
    <w:rsid w:val="002A2D82"/>
    <w:rPr>
      <w:rFonts w:ascii="Times New Roman Bold" w:hAnsi="Times New Roman Bold" w:eastAsiaTheme="majorEastAsia" w:cstheme="majorBidi"/>
      <w:b/>
      <w:bCs/>
      <w:sz w:val="24"/>
      <w:szCs w:val="26"/>
    </w:rPr>
  </w:style>
  <w:style w:type="paragraph" w:styleId="BodyText">
    <w:name w:val="Body Text"/>
    <w:basedOn w:val="Normal"/>
    <w:link w:val="BodyTextChar"/>
    <w:rsid w:val="003A3C90"/>
    <w:pPr>
      <w:jc w:val="both"/>
    </w:pPr>
  </w:style>
  <w:style w:type="character" w:customStyle="1" w:styleId="BodyTextChar">
    <w:name w:val="Body Text Char"/>
    <w:basedOn w:val="DefaultParagraphFont"/>
    <w:link w:val="BodyText"/>
    <w:rsid w:val="003A3C90"/>
    <w:rPr>
      <w:rFonts w:ascii="Times New Roman" w:eastAsia="Times New Roman" w:hAnsi="Times New Roman" w:cs="Times New Roman"/>
      <w:sz w:val="24"/>
      <w:szCs w:val="20"/>
    </w:rPr>
  </w:style>
  <w:style w:type="character" w:styleId="Hyperlink">
    <w:name w:val="Hyperlink"/>
    <w:uiPriority w:val="99"/>
    <w:rsid w:val="003A3C90"/>
    <w:rPr>
      <w:color w:val="0000FF"/>
      <w:u w:val="single"/>
    </w:rPr>
  </w:style>
  <w:style w:type="table" w:styleId="TableGrid">
    <w:name w:val="Table Grid"/>
    <w:basedOn w:val="TableNormal"/>
    <w:uiPriority w:val="59"/>
    <w:rsid w:val="0033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5EFB"/>
    <w:pPr>
      <w:spacing w:before="100" w:beforeAutospacing="1" w:after="100" w:afterAutospacing="1"/>
    </w:pPr>
    <w:rPr>
      <w:rFonts w:eastAsiaTheme="minorHAnsi"/>
      <w:szCs w:val="24"/>
    </w:rPr>
  </w:style>
  <w:style w:type="character" w:customStyle="1" w:styleId="normaltextrun">
    <w:name w:val="normaltextrun"/>
    <w:basedOn w:val="DefaultParagraphFont"/>
    <w:rsid w:val="00BB5EFB"/>
  </w:style>
  <w:style w:type="character" w:customStyle="1" w:styleId="apple-converted-space">
    <w:name w:val="apple-converted-space"/>
    <w:basedOn w:val="DefaultParagraphFont"/>
    <w:rsid w:val="00BB5EFB"/>
  </w:style>
  <w:style w:type="character" w:customStyle="1" w:styleId="eop">
    <w:name w:val="eop"/>
    <w:basedOn w:val="DefaultParagraphFont"/>
    <w:rsid w:val="00BB5EFB"/>
  </w:style>
  <w:style w:type="character" w:customStyle="1" w:styleId="scx232494868">
    <w:name w:val="scx232494868"/>
    <w:basedOn w:val="DefaultParagraphFont"/>
    <w:rsid w:val="00BB5EFB"/>
  </w:style>
  <w:style w:type="paragraph" w:styleId="NormalWeb">
    <w:name w:val="Normal (Web)"/>
    <w:basedOn w:val="Normal"/>
    <w:uiPriority w:val="99"/>
    <w:unhideWhenUsed/>
    <w:rsid w:val="00BB5EFB"/>
    <w:pPr>
      <w:spacing w:before="100" w:beforeAutospacing="1" w:after="100" w:afterAutospacing="1"/>
    </w:pPr>
    <w:rPr>
      <w:rFonts w:eastAsiaTheme="minorHAnsi"/>
      <w:szCs w:val="24"/>
    </w:rPr>
  </w:style>
  <w:style w:type="paragraph" w:styleId="PlainText">
    <w:name w:val="Plain Text"/>
    <w:basedOn w:val="Normal"/>
    <w:link w:val="PlainTextChar"/>
    <w:uiPriority w:val="99"/>
    <w:semiHidden/>
    <w:unhideWhenUsed/>
    <w:rsid w:val="00036988"/>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036988"/>
    <w:rPr>
      <w:rFonts w:ascii="Calibri" w:hAnsi="Calibri"/>
      <w:szCs w:val="21"/>
    </w:rPr>
  </w:style>
  <w:style w:type="character" w:customStyle="1" w:styleId="Heading3Char">
    <w:name w:val="Heading 3 Char"/>
    <w:basedOn w:val="DefaultParagraphFont"/>
    <w:link w:val="Heading3"/>
    <w:uiPriority w:val="9"/>
    <w:rsid w:val="002A2D82"/>
    <w:rPr>
      <w:rFonts w:ascii="Times New Roman Bold" w:hAnsi="Times New Roman Bold" w:eastAsiaTheme="majorEastAsia" w:cstheme="majorBidi"/>
      <w:b/>
      <w:sz w:val="24"/>
      <w:szCs w:val="24"/>
    </w:rPr>
  </w:style>
  <w:style w:type="paragraph" w:styleId="TOC1">
    <w:name w:val="toc 1"/>
    <w:basedOn w:val="Normal"/>
    <w:next w:val="Normal"/>
    <w:autoRedefine/>
    <w:uiPriority w:val="39"/>
    <w:unhideWhenUsed/>
    <w:rsid w:val="006D098D"/>
    <w:pPr>
      <w:tabs>
        <w:tab w:val="decimal" w:leader="dot" w:pos="8640"/>
      </w:tabs>
      <w:spacing w:after="240"/>
      <w:ind w:left="720" w:hanging="720"/>
    </w:pPr>
  </w:style>
  <w:style w:type="paragraph" w:styleId="TOC2">
    <w:name w:val="toc 2"/>
    <w:basedOn w:val="Normal"/>
    <w:next w:val="Normal"/>
    <w:autoRedefine/>
    <w:uiPriority w:val="39"/>
    <w:unhideWhenUsed/>
    <w:rsid w:val="006D098D"/>
    <w:pPr>
      <w:tabs>
        <w:tab w:val="decimal" w:leader="dot" w:pos="8640"/>
      </w:tabs>
      <w:spacing w:after="240"/>
      <w:ind w:left="1440" w:hanging="720"/>
    </w:pPr>
  </w:style>
  <w:style w:type="paragraph" w:styleId="TOC3">
    <w:name w:val="toc 3"/>
    <w:basedOn w:val="Normal"/>
    <w:next w:val="Normal"/>
    <w:autoRedefine/>
    <w:uiPriority w:val="39"/>
    <w:unhideWhenUsed/>
    <w:rsid w:val="00AF4F0B"/>
    <w:pPr>
      <w:tabs>
        <w:tab w:val="decimal" w:leader="dot" w:pos="8640"/>
      </w:tabs>
      <w:spacing w:after="240"/>
      <w:ind w:left="2160" w:hanging="720"/>
    </w:pPr>
  </w:style>
  <w:style w:type="paragraph" w:styleId="BodyTextIndent3">
    <w:name w:val="Body Text Indent 3"/>
    <w:basedOn w:val="Normal"/>
    <w:link w:val="BodyTextIndent3Char"/>
    <w:uiPriority w:val="99"/>
    <w:semiHidden/>
    <w:unhideWhenUsed/>
    <w:rsid w:val="00E063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63DB"/>
    <w:rPr>
      <w:rFonts w:ascii="Times New Roman" w:eastAsia="Times New Roman" w:hAnsi="Times New Roman" w:cs="Times New Roman"/>
      <w:sz w:val="16"/>
      <w:szCs w:val="16"/>
    </w:rPr>
  </w:style>
  <w:style w:type="paragraph" w:styleId="HTMLPreformatted">
    <w:name w:val="HTML Preformatted"/>
    <w:basedOn w:val="Normal"/>
    <w:link w:val="HTMLPreformattedChar"/>
    <w:rsid w:val="00E0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x-none" w:eastAsia="x-none"/>
    </w:rPr>
  </w:style>
  <w:style w:type="character" w:customStyle="1" w:styleId="HTMLPreformattedChar">
    <w:name w:val="HTML Preformatted Char"/>
    <w:basedOn w:val="DefaultParagraphFont"/>
    <w:link w:val="HTMLPreformatted"/>
    <w:rsid w:val="00E063DB"/>
    <w:rPr>
      <w:rFonts w:ascii="Courier New" w:eastAsia="Courier New"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Thomas.Lindgren@ohioattorneygeneral.gov" TargetMode="External" /><Relationship Id="rId12" Type="http://schemas.openxmlformats.org/officeDocument/2006/relationships/hyperlink" Target="mailto:thomas.mcnamee@ohioattorneygeneral.gov" TargetMode="External" /><Relationship Id="rId13" Type="http://schemas.openxmlformats.org/officeDocument/2006/relationships/hyperlink" Target="mailto:cfaruki@ficlaw.com" TargetMode="External" /><Relationship Id="rId14" Type="http://schemas.openxmlformats.org/officeDocument/2006/relationships/hyperlink" Target="mailto:jsharkey@ficlaw.com" TargetMode="External" /><Relationship Id="rId15" Type="http://schemas.openxmlformats.org/officeDocument/2006/relationships/hyperlink" Target="mailto:joliker@mwncmh.com" TargetMode="External" /><Relationship Id="rId16" Type="http://schemas.openxmlformats.org/officeDocument/2006/relationships/hyperlink" Target="mailto:sam@mwncmh.com" TargetMode="External" /><Relationship Id="rId17" Type="http://schemas.openxmlformats.org/officeDocument/2006/relationships/hyperlink" Target="mailto:drinebolt@aol.com" TargetMode="External" /><Relationship Id="rId18" Type="http://schemas.openxmlformats.org/officeDocument/2006/relationships/hyperlink" Target="mailto:cmooney@ohiopartners.org" TargetMode="External" /><Relationship Id="rId19" Type="http://schemas.openxmlformats.org/officeDocument/2006/relationships/hyperlink" Target="mailto:Ned.Ford@fuse.net" TargetMode="External" /><Relationship Id="rId2" Type="http://schemas.openxmlformats.org/officeDocument/2006/relationships/settings" Target="settings.xml" /><Relationship Id="rId20" Type="http://schemas.openxmlformats.org/officeDocument/2006/relationships/hyperlink" Target="mailto:ricks@ohanet.org" TargetMode="External" /><Relationship Id="rId21" Type="http://schemas.openxmlformats.org/officeDocument/2006/relationships/hyperlink" Target="mailto:wis29@yahoo.com" TargetMode="External" /><Relationship Id="rId22" Type="http://schemas.openxmlformats.org/officeDocument/2006/relationships/hyperlink" Target="mailto:smhoward@vssp.com" TargetMode="External" /><Relationship Id="rId23" Type="http://schemas.openxmlformats.org/officeDocument/2006/relationships/hyperlink" Target="mailto:mjsettineri@vorys.com" TargetMode="External" /><Relationship Id="rId24" Type="http://schemas.openxmlformats.org/officeDocument/2006/relationships/hyperlink" Target="mailto:BarthRoyer@aol.com" TargetMode="External" /><Relationship Id="rId25" Type="http://schemas.openxmlformats.org/officeDocument/2006/relationships/hyperlink" Target="mailto:Gary.A.Jeffries@dom.com" TargetMode="External" /><Relationship Id="rId26" Type="http://schemas.openxmlformats.org/officeDocument/2006/relationships/hyperlink" Target="mailto:sechler@carpenterlipps.com" TargetMode="External" /><Relationship Id="rId27" Type="http://schemas.openxmlformats.org/officeDocument/2006/relationships/hyperlink" Target="mailto:fdarr@mwncmh.com" TargetMode="External" /><Relationship Id="rId28" Type="http://schemas.openxmlformats.org/officeDocument/2006/relationships/hyperlink" Target="mailto:jlang@calfee.com" TargetMode="External" /><Relationship Id="rId29" Type="http://schemas.openxmlformats.org/officeDocument/2006/relationships/hyperlink" Target="mailto:talexander@calfee.com" TargetMode="External" /><Relationship Id="rId3" Type="http://schemas.openxmlformats.org/officeDocument/2006/relationships/webSettings" Target="webSettings.xml" /><Relationship Id="rId30" Type="http://schemas.openxmlformats.org/officeDocument/2006/relationships/hyperlink" Target="mailto:mkeaney@calfee.com" TargetMode="External" /><Relationship Id="rId31" Type="http://schemas.openxmlformats.org/officeDocument/2006/relationships/hyperlink" Target="mailto:mswhite@igsenergy.com" TargetMode="External" /><Relationship Id="rId32" Type="http://schemas.openxmlformats.org/officeDocument/2006/relationships/hyperlink" Target="mailto:Gregory.Price@puc.state.oh.us" TargetMode="External" /><Relationship Id="rId33" Type="http://schemas.openxmlformats.org/officeDocument/2006/relationships/hyperlink" Target="mailto:Amy.spiller@duke-energy.com" TargetMode="External" /><Relationship Id="rId34" Type="http://schemas.openxmlformats.org/officeDocument/2006/relationships/hyperlink" Target="mailto:Jeanne.kingery@duke-energy.com" TargetMode="External" /><Relationship Id="rId35" Type="http://schemas.openxmlformats.org/officeDocument/2006/relationships/hyperlink" Target="mailto:Ellizabeth.watts@duke-energy.com" TargetMode="External" /><Relationship Id="rId36" Type="http://schemas.openxmlformats.org/officeDocument/2006/relationships/hyperlink" Target="mailto:haydenm@firstenergycorp.com" TargetMode="External" /><Relationship Id="rId37" Type="http://schemas.openxmlformats.org/officeDocument/2006/relationships/hyperlink" Target="mailto:mjsatterwhite@aep.com" TargetMode="External" /><Relationship Id="rId38" Type="http://schemas.openxmlformats.org/officeDocument/2006/relationships/hyperlink" Target="mailto:stnourse@aep.com" TargetMode="External" /><Relationship Id="rId39" Type="http://schemas.openxmlformats.org/officeDocument/2006/relationships/hyperlink" Target="mailto:judi.sobecki@dplinc.com" TargetMode="External" /><Relationship Id="rId4" Type="http://schemas.openxmlformats.org/officeDocument/2006/relationships/fontTable" Target="fontTable.xml" /><Relationship Id="rId40" Type="http://schemas.openxmlformats.org/officeDocument/2006/relationships/hyperlink" Target="mailto:jbentine@cwslaw.com" TargetMode="External" /><Relationship Id="rId41" Type="http://schemas.openxmlformats.org/officeDocument/2006/relationships/hyperlink" Target="mailto:mwhite@cwslaw.com" TargetMode="External" /><Relationship Id="rId42" Type="http://schemas.openxmlformats.org/officeDocument/2006/relationships/hyperlink" Target="mailto:henryeckhart@aol.com" TargetMode="External" /><Relationship Id="rId43" Type="http://schemas.openxmlformats.org/officeDocument/2006/relationships/hyperlink" Target="mailto:dboehm@bkllawfirm.com" TargetMode="External" /><Relationship Id="rId44" Type="http://schemas.openxmlformats.org/officeDocument/2006/relationships/hyperlink" Target="mailto:mkurtz@bkllawfirm.com" TargetMode="External" /><Relationship Id="rId45" Type="http://schemas.openxmlformats.org/officeDocument/2006/relationships/hyperlink" Target="mailto:jkyler@bkllawfirm.com" TargetMode="External" /><Relationship Id="rId46" Type="http://schemas.openxmlformats.org/officeDocument/2006/relationships/hyperlink" Target="mailto:Cynthia.A.Fonner@constellation.com" TargetMode="External" /><Relationship Id="rId47" Type="http://schemas.openxmlformats.org/officeDocument/2006/relationships/hyperlink" Target="mailto:LGearhardt@ofbf.org" TargetMode="External" /><Relationship Id="rId48" Type="http://schemas.openxmlformats.org/officeDocument/2006/relationships/hyperlink" Target="mailto:cmiller@icemiller.com" TargetMode="External" /><Relationship Id="rId49" Type="http://schemas.openxmlformats.org/officeDocument/2006/relationships/hyperlink" Target="mailto:gdunn@icemiller.com" TargetMode="External" /><Relationship Id="rId5" Type="http://schemas.openxmlformats.org/officeDocument/2006/relationships/customXml" Target="../customXml/item1.xml" /><Relationship Id="rId50" Type="http://schemas.openxmlformats.org/officeDocument/2006/relationships/hyperlink" Target="mailto:trent@theOEC.org" TargetMode="External" /><Relationship Id="rId51" Type="http://schemas.openxmlformats.org/officeDocument/2006/relationships/hyperlink" Target="mailto:cathy@theoec.org" TargetMode="External" /><Relationship Id="rId52" Type="http://schemas.openxmlformats.org/officeDocument/2006/relationships/hyperlink" Target="mailto:Williams.toddm@gmail.com" TargetMode="External" /><Relationship Id="rId53" Type="http://schemas.openxmlformats.org/officeDocument/2006/relationships/hyperlink" Target="mailto:ejacobs@ablelaw.org" TargetMode="External" /><Relationship Id="rId54" Type="http://schemas.openxmlformats.org/officeDocument/2006/relationships/hyperlink" Target="mailto:campbell@whitt-sturtevant.com" TargetMode="External" /><Relationship Id="rId55" Type="http://schemas.openxmlformats.org/officeDocument/2006/relationships/hyperlink" Target="mailto:glover@whitt-sturtevant.com" TargetMode="External" /><Relationship Id="rId56" Type="http://schemas.openxmlformats.org/officeDocument/2006/relationships/hyperlink" Target="mailto:whitt@whitt-sturtevant.com" TargetMode="External" /><Relationship Id="rId57" Type="http://schemas.openxmlformats.org/officeDocument/2006/relationships/hyperlink" Target="mailto:myurick@taftlaw.com" TargetMode="External" /><Relationship Id="rId58" Type="http://schemas.openxmlformats.org/officeDocument/2006/relationships/hyperlink" Target="mailto:stephen.chriss@wal-mart.com" TargetMode="External" /><Relationship Id="rId59" Type="http://schemas.openxmlformats.org/officeDocument/2006/relationships/header" Target="header2.xml" /><Relationship Id="rId6" Type="http://schemas.openxmlformats.org/officeDocument/2006/relationships/hyperlink" Target="mailto:maureen.willis@occ.ohio.gov" TargetMode="External" /><Relationship Id="rId60" Type="http://schemas.openxmlformats.org/officeDocument/2006/relationships/theme" Target="theme/theme1.xml" /><Relationship Id="rId61" Type="http://schemas.openxmlformats.org/officeDocument/2006/relationships/styles" Target="styles.xml" /><Relationship Id="rId7" Type="http://schemas.openxmlformats.org/officeDocument/2006/relationships/hyperlink" Target="mailto:bojko@carpenterlipps.com"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D593-88F1-4505-9018-8B9D29FB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4633</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Motion to Reject.docx</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2019-12-04T21:52:18Z</dcterms:created>
  <dcterms:modified xsi:type="dcterms:W3CDTF">2019-12-04T21:52:18Z</dcterms:modified>
</cp:coreProperties>
</file>