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4D" w:rsidRDefault="0069054D" w:rsidP="0069054D">
      <w:pPr>
        <w:pStyle w:val="PersonalInfo"/>
        <w:jc w:val="right"/>
      </w:pPr>
      <w:bookmarkStart w:id="0" w:name="PersonalInfo"/>
      <w:bookmarkStart w:id="1" w:name="_GoBack"/>
      <w:bookmarkEnd w:id="1"/>
      <w:r>
        <w:t>Frank P. Darr</w:t>
      </w:r>
    </w:p>
    <w:p w:rsidR="0069054D" w:rsidRDefault="0069054D" w:rsidP="0069054D">
      <w:pPr>
        <w:pStyle w:val="PersonalInfo"/>
        <w:jc w:val="right"/>
      </w:pPr>
      <w:r>
        <w:t>(614) 719-2855-Direct Dial</w:t>
      </w:r>
    </w:p>
    <w:p w:rsidR="0069054D" w:rsidRDefault="0069054D" w:rsidP="0069054D">
      <w:pPr>
        <w:pStyle w:val="PersonalInfo"/>
        <w:jc w:val="right"/>
      </w:pPr>
      <w:r>
        <w:t>fdarr@mwncmh.com</w:t>
      </w:r>
      <w:bookmarkEnd w:id="0"/>
    </w:p>
    <w:p w:rsidR="00156B47" w:rsidRDefault="00156B47"/>
    <w:p w:rsidR="00156B47" w:rsidRDefault="00156B47"/>
    <w:p w:rsidR="00156B47" w:rsidRDefault="0069054D">
      <w:pPr>
        <w:pStyle w:val="LetterDate"/>
      </w:pPr>
      <w:r>
        <w:rPr>
          <w:sz w:val="24"/>
          <w:szCs w:val="24"/>
        </w:rPr>
        <w:fldChar w:fldCharType="begin"/>
      </w:r>
      <w:r w:rsidRPr="0069054D">
        <w:rPr>
          <w:sz w:val="24"/>
          <w:szCs w:val="24"/>
        </w:rPr>
        <w:instrText xml:space="preserve"> TIME \@ "MMMM d, yyyy" </w:instrText>
      </w:r>
      <w:r>
        <w:rPr>
          <w:sz w:val="24"/>
          <w:szCs w:val="24"/>
        </w:rPr>
        <w:fldChar w:fldCharType="separate"/>
      </w:r>
      <w:r w:rsidR="00F7551C">
        <w:rPr>
          <w:sz w:val="24"/>
          <w:szCs w:val="24"/>
        </w:rPr>
        <w:t>November 4, 2013</w:t>
      </w:r>
      <w:r>
        <w:fldChar w:fldCharType="end"/>
      </w:r>
    </w:p>
    <w:p w:rsidR="00156B47" w:rsidRDefault="00156B47"/>
    <w:p w:rsidR="00156B47" w:rsidRDefault="00156B47"/>
    <w:p w:rsidR="00156B47" w:rsidRDefault="00156B47"/>
    <w:tbl>
      <w:tblPr>
        <w:tblW w:w="0" w:type="auto"/>
        <w:tblLook w:val="0000" w:firstRow="0" w:lastRow="0" w:firstColumn="0" w:lastColumn="0" w:noHBand="0" w:noVBand="0"/>
      </w:tblPr>
      <w:tblGrid>
        <w:gridCol w:w="4788"/>
      </w:tblGrid>
      <w:tr w:rsidR="0069054D">
        <w:tc>
          <w:tcPr>
            <w:tcW w:w="4788" w:type="dxa"/>
          </w:tcPr>
          <w:p w:rsidR="0069054D" w:rsidRPr="0069054D" w:rsidRDefault="0069054D" w:rsidP="0069054D">
            <w:r w:rsidRPr="0069054D">
              <w:t>Barcy McNeal</w:t>
            </w:r>
          </w:p>
          <w:p w:rsidR="0069054D" w:rsidRPr="0069054D" w:rsidRDefault="0069054D" w:rsidP="0069054D">
            <w:pPr>
              <w:jc w:val="both"/>
              <w:rPr>
                <w:sz w:val="24"/>
                <w:szCs w:val="24"/>
              </w:rPr>
            </w:pPr>
            <w:r w:rsidRPr="0069054D">
              <w:rPr>
                <w:sz w:val="24"/>
                <w:szCs w:val="24"/>
              </w:rPr>
              <w:t>Secretary, Docketing Division</w:t>
            </w:r>
          </w:p>
          <w:p w:rsidR="0069054D" w:rsidRPr="0069054D" w:rsidRDefault="0069054D" w:rsidP="0069054D">
            <w:pPr>
              <w:jc w:val="both"/>
              <w:rPr>
                <w:sz w:val="24"/>
                <w:szCs w:val="24"/>
              </w:rPr>
            </w:pPr>
            <w:r w:rsidRPr="0069054D">
              <w:rPr>
                <w:sz w:val="24"/>
                <w:szCs w:val="24"/>
              </w:rPr>
              <w:t xml:space="preserve">Public Utilities Commission of </w:t>
            </w:r>
            <w:smartTag w:uri="urn:schemas-microsoft-com:office:smarttags" w:element="State">
              <w:smartTag w:uri="urn:schemas-microsoft-com:office:smarttags" w:element="place">
                <w:r w:rsidRPr="0069054D">
                  <w:rPr>
                    <w:sz w:val="24"/>
                    <w:szCs w:val="24"/>
                  </w:rPr>
                  <w:t>Ohio</w:t>
                </w:r>
              </w:smartTag>
            </w:smartTag>
            <w:r w:rsidRPr="0069054D">
              <w:rPr>
                <w:sz w:val="24"/>
                <w:szCs w:val="24"/>
              </w:rPr>
              <w:t xml:space="preserve"> </w:t>
            </w:r>
          </w:p>
          <w:p w:rsidR="0069054D" w:rsidRPr="0069054D" w:rsidRDefault="0069054D" w:rsidP="0069054D">
            <w:pPr>
              <w:jc w:val="both"/>
              <w:rPr>
                <w:sz w:val="24"/>
                <w:szCs w:val="24"/>
              </w:rPr>
            </w:pPr>
            <w:smartTag w:uri="urn:schemas-microsoft-com:office:smarttags" w:element="Street">
              <w:smartTag w:uri="urn:schemas-microsoft-com:office:smarttags" w:element="address">
                <w:r w:rsidRPr="0069054D">
                  <w:rPr>
                    <w:sz w:val="24"/>
                    <w:szCs w:val="24"/>
                  </w:rPr>
                  <w:t>180 East Broad Street</w:t>
                </w:r>
              </w:smartTag>
            </w:smartTag>
          </w:p>
          <w:p w:rsidR="0069054D" w:rsidRPr="0069054D" w:rsidRDefault="0069054D" w:rsidP="0069054D">
            <w:pPr>
              <w:jc w:val="both"/>
              <w:rPr>
                <w:sz w:val="24"/>
                <w:szCs w:val="24"/>
              </w:rPr>
            </w:pPr>
            <w:smartTag w:uri="urn:schemas-microsoft-com:office:smarttags" w:element="place">
              <w:smartTag w:uri="urn:schemas-microsoft-com:office:smarttags" w:element="City">
                <w:r w:rsidRPr="0069054D">
                  <w:rPr>
                    <w:sz w:val="24"/>
                    <w:szCs w:val="24"/>
                  </w:rPr>
                  <w:t>Columbus</w:t>
                </w:r>
              </w:smartTag>
              <w:r w:rsidRPr="0069054D">
                <w:rPr>
                  <w:sz w:val="24"/>
                  <w:szCs w:val="24"/>
                </w:rPr>
                <w:t xml:space="preserve">, </w:t>
              </w:r>
              <w:smartTag w:uri="urn:schemas-microsoft-com:office:smarttags" w:element="State">
                <w:r w:rsidRPr="0069054D">
                  <w:rPr>
                    <w:sz w:val="24"/>
                    <w:szCs w:val="24"/>
                  </w:rPr>
                  <w:t>Ohio</w:t>
                </w:r>
              </w:smartTag>
              <w:r w:rsidRPr="0069054D">
                <w:rPr>
                  <w:sz w:val="24"/>
                  <w:szCs w:val="24"/>
                </w:rPr>
                <w:t xml:space="preserve"> </w:t>
              </w:r>
              <w:smartTag w:uri="urn:schemas-microsoft-com:office:smarttags" w:element="PostalCode">
                <w:r w:rsidRPr="0069054D">
                  <w:rPr>
                    <w:sz w:val="24"/>
                    <w:szCs w:val="24"/>
                  </w:rPr>
                  <w:t>43215</w:t>
                </w:r>
              </w:smartTag>
            </w:smartTag>
          </w:p>
          <w:p w:rsidR="0069054D" w:rsidRDefault="0069054D">
            <w:pPr>
              <w:pStyle w:val="RecipientAddress"/>
            </w:pPr>
          </w:p>
        </w:tc>
      </w:tr>
    </w:tbl>
    <w:p w:rsidR="00156B47" w:rsidRDefault="0069054D">
      <w:pPr>
        <w:rPr>
          <w:b/>
          <w:bCs/>
          <w:sz w:val="24"/>
          <w:szCs w:val="24"/>
        </w:rPr>
      </w:pPr>
      <w:r w:rsidRPr="0069054D">
        <w:rPr>
          <w:b/>
          <w:sz w:val="24"/>
          <w:szCs w:val="24"/>
        </w:rPr>
        <w:t>Re:</w:t>
      </w:r>
      <w:r w:rsidRPr="0069054D">
        <w:rPr>
          <w:sz w:val="24"/>
          <w:szCs w:val="24"/>
        </w:rPr>
        <w:tab/>
      </w:r>
      <w:r w:rsidRPr="0069054D">
        <w:rPr>
          <w:b/>
          <w:bCs/>
          <w:sz w:val="24"/>
          <w:szCs w:val="24"/>
        </w:rPr>
        <w:t>Case No. 12-1450-HT-AEC</w:t>
      </w:r>
    </w:p>
    <w:p w:rsidR="0069054D" w:rsidRDefault="0069054D"/>
    <w:p w:rsidR="00156B47" w:rsidRDefault="0069054D">
      <w:pPr>
        <w:pStyle w:val="Salutation"/>
      </w:pPr>
      <w:r w:rsidRPr="0069054D">
        <w:rPr>
          <w:sz w:val="24"/>
          <w:szCs w:val="24"/>
        </w:rPr>
        <w:t>Dear Secretary McNeal:</w:t>
      </w:r>
    </w:p>
    <w:p w:rsidR="0069054D" w:rsidRPr="0069054D" w:rsidRDefault="0069054D" w:rsidP="0069054D">
      <w:pPr>
        <w:ind w:firstLine="720"/>
        <w:jc w:val="both"/>
        <w:rPr>
          <w:sz w:val="24"/>
        </w:rPr>
      </w:pPr>
      <w:r w:rsidRPr="0069054D">
        <w:rPr>
          <w:sz w:val="24"/>
        </w:rPr>
        <w:t xml:space="preserve">Pursuant to the Commission’s May 23, 2012 Finding and Order in Case No. 12-1450-HT-AEC, Cleveland Thermal Steam Distribution, LLC (“Cleveland Thermal”) submitted a Standard Steam Supply and Distribution Agreement (“Agreement”) executed between it and Carter Manor Apartments Limited Partnership (“Carter Manor”).  Cleveland Thermal and Carter Manor agreed to a flat consumption rate charge to accommodate billing concerns raised by Carter Manor because it participates in HUD’s Section 8 tenant rental subsidy housing program.  Carter Manor also has competitive alternatives to meet its needs.  </w:t>
      </w:r>
    </w:p>
    <w:p w:rsidR="0069054D" w:rsidRPr="0069054D" w:rsidRDefault="0069054D" w:rsidP="0069054D">
      <w:pPr>
        <w:ind w:firstLine="720"/>
        <w:jc w:val="both"/>
        <w:rPr>
          <w:sz w:val="24"/>
        </w:rPr>
      </w:pPr>
    </w:p>
    <w:p w:rsidR="0069054D" w:rsidRPr="0069054D" w:rsidRDefault="0069054D" w:rsidP="0069054D">
      <w:pPr>
        <w:ind w:firstLine="720"/>
        <w:jc w:val="both"/>
        <w:rPr>
          <w:sz w:val="24"/>
        </w:rPr>
      </w:pPr>
      <w:r w:rsidRPr="0069054D">
        <w:rPr>
          <w:sz w:val="24"/>
        </w:rPr>
        <w:t>Cleveland Thermal has sought approval of the Agreement under the process the Commission approved in its May 23, 2012 Finding and Order in this docket.  At the request of the Commission’s Staff, this letter is being filed to address considerations made by Cleveland Thermal for modifications of the Standard Contract under the pre-approval process.</w:t>
      </w:r>
    </w:p>
    <w:p w:rsidR="0069054D" w:rsidRPr="0069054D" w:rsidRDefault="0069054D" w:rsidP="0069054D">
      <w:pPr>
        <w:jc w:val="both"/>
        <w:rPr>
          <w:sz w:val="24"/>
        </w:rPr>
      </w:pPr>
    </w:p>
    <w:p w:rsidR="0069054D" w:rsidRPr="0069054D" w:rsidRDefault="0069054D" w:rsidP="0069054D">
      <w:pPr>
        <w:ind w:firstLine="720"/>
        <w:jc w:val="both"/>
        <w:rPr>
          <w:sz w:val="24"/>
        </w:rPr>
      </w:pPr>
      <w:r w:rsidRPr="0069054D">
        <w:rPr>
          <w:sz w:val="24"/>
        </w:rPr>
        <w:t>In addressing the use of a standard contract in 1997, the Commission recognized that each standard contract customer would be served under substantially the same rates, terms, and conditions as any other standard contract customer.</w:t>
      </w:r>
      <w:r w:rsidRPr="0069054D">
        <w:rPr>
          <w:sz w:val="24"/>
          <w:vertAlign w:val="superscript"/>
        </w:rPr>
        <w:footnoteReference w:id="1"/>
      </w:r>
      <w:r w:rsidRPr="0069054D">
        <w:rPr>
          <w:sz w:val="24"/>
        </w:rPr>
        <w:t xml:space="preserve">  The Commission also recognized that Cleveland Thermal is operating in an extremely competitive environment and that the vast majority of its customers are and will continue to be served under special arrangements approved by the Commission.  In 2008, the Commission approved a new Standard Steam </w:t>
      </w:r>
      <w:r w:rsidRPr="0069054D">
        <w:rPr>
          <w:sz w:val="24"/>
        </w:rPr>
        <w:lastRenderedPageBreak/>
        <w:t>Service Agreement and authorized a pre-approval process.</w:t>
      </w:r>
      <w:r w:rsidRPr="0069054D">
        <w:rPr>
          <w:sz w:val="24"/>
          <w:vertAlign w:val="superscript"/>
        </w:rPr>
        <w:footnoteReference w:id="2"/>
      </w:r>
      <w:r w:rsidRPr="0069054D">
        <w:rPr>
          <w:sz w:val="24"/>
        </w:rPr>
        <w:t xml:space="preserve">  The Commission approved the current Standard Contract to conform to a modified business structure in 2012 and pre-granted approval for subsequent arrangements with customers entered into with similar terms as the current Standard Contract.</w:t>
      </w:r>
      <w:r w:rsidRPr="0069054D">
        <w:rPr>
          <w:sz w:val="24"/>
          <w:vertAlign w:val="superscript"/>
        </w:rPr>
        <w:footnoteReference w:id="3"/>
      </w:r>
      <w:r w:rsidRPr="0069054D">
        <w:rPr>
          <w:sz w:val="24"/>
        </w:rPr>
        <w:t xml:space="preserve">  The competitive conditions the Commission noted in 1998 continue, and substantially all customers of Cleveland Thermal are served under contracts.  </w:t>
      </w:r>
    </w:p>
    <w:p w:rsidR="0069054D" w:rsidRPr="0069054D" w:rsidRDefault="0069054D" w:rsidP="0069054D">
      <w:pPr>
        <w:ind w:firstLine="720"/>
        <w:jc w:val="both"/>
        <w:rPr>
          <w:sz w:val="24"/>
        </w:rPr>
      </w:pPr>
    </w:p>
    <w:p w:rsidR="0069054D" w:rsidRPr="0069054D" w:rsidRDefault="0069054D" w:rsidP="0069054D">
      <w:pPr>
        <w:ind w:firstLine="720"/>
        <w:jc w:val="both"/>
        <w:rPr>
          <w:sz w:val="24"/>
        </w:rPr>
      </w:pPr>
      <w:r w:rsidRPr="0069054D">
        <w:rPr>
          <w:sz w:val="24"/>
        </w:rPr>
        <w:t xml:space="preserve">It is the goal of Cleveland Thermal to have its customers agree to the terms of the Standard Contract.  On occasion, however, it may be necessary for Cleveland Thermal to modify a term of the Standard Contract.  Cleveland Thermal narrowly defines the business considerations that may justify a modification.  </w:t>
      </w:r>
    </w:p>
    <w:p w:rsidR="0069054D" w:rsidRPr="0069054D" w:rsidRDefault="0069054D" w:rsidP="0069054D">
      <w:pPr>
        <w:ind w:firstLine="720"/>
        <w:jc w:val="both"/>
        <w:rPr>
          <w:sz w:val="24"/>
        </w:rPr>
      </w:pPr>
    </w:p>
    <w:p w:rsidR="0069054D" w:rsidRPr="0069054D" w:rsidRDefault="0069054D" w:rsidP="0069054D">
      <w:pPr>
        <w:spacing w:after="120"/>
        <w:ind w:firstLine="720"/>
        <w:jc w:val="both"/>
        <w:rPr>
          <w:sz w:val="24"/>
        </w:rPr>
      </w:pPr>
      <w:r w:rsidRPr="0069054D">
        <w:rPr>
          <w:sz w:val="24"/>
        </w:rPr>
        <w:t>In assessing whether it will agree to a modification, Cleveland Thermal considers the following factors:</w:t>
      </w:r>
    </w:p>
    <w:p w:rsidR="0069054D" w:rsidRPr="0069054D" w:rsidRDefault="009E3A7B" w:rsidP="0069054D">
      <w:pPr>
        <w:numPr>
          <w:ilvl w:val="0"/>
          <w:numId w:val="17"/>
        </w:numPr>
        <w:spacing w:after="60"/>
        <w:ind w:left="1440" w:right="720" w:hanging="720"/>
        <w:jc w:val="both"/>
        <w:rPr>
          <w:sz w:val="24"/>
        </w:rPr>
      </w:pPr>
      <w:r>
        <w:rPr>
          <w:sz w:val="24"/>
        </w:rPr>
        <w:t xml:space="preserve">A </w:t>
      </w:r>
      <w:r w:rsidRPr="009E3A7B">
        <w:rPr>
          <w:sz w:val="24"/>
        </w:rPr>
        <w:t xml:space="preserve">business relationship with </w:t>
      </w:r>
      <w:r w:rsidR="004C160A">
        <w:rPr>
          <w:sz w:val="24"/>
        </w:rPr>
        <w:t>a current customer</w:t>
      </w:r>
      <w:r w:rsidRPr="009E3A7B">
        <w:rPr>
          <w:sz w:val="24"/>
        </w:rPr>
        <w:t xml:space="preserve"> that has been </w:t>
      </w:r>
      <w:r>
        <w:rPr>
          <w:sz w:val="24"/>
        </w:rPr>
        <w:t>in contract with Cleveland Thermal</w:t>
      </w:r>
      <w:r w:rsidRPr="009E3A7B">
        <w:rPr>
          <w:sz w:val="24"/>
        </w:rPr>
        <w:t xml:space="preserve"> for at least 10 years;</w:t>
      </w:r>
    </w:p>
    <w:p w:rsidR="0069054D" w:rsidRPr="0069054D" w:rsidRDefault="0069054D" w:rsidP="0069054D">
      <w:pPr>
        <w:numPr>
          <w:ilvl w:val="0"/>
          <w:numId w:val="17"/>
        </w:numPr>
        <w:spacing w:after="60"/>
        <w:ind w:left="1440" w:right="720" w:hanging="720"/>
        <w:jc w:val="both"/>
        <w:rPr>
          <w:sz w:val="24"/>
        </w:rPr>
      </w:pPr>
      <w:r w:rsidRPr="0069054D">
        <w:rPr>
          <w:sz w:val="24"/>
        </w:rPr>
        <w:t xml:space="preserve">A contract length of at least 10 years with a proposed new customer;  </w:t>
      </w:r>
    </w:p>
    <w:p w:rsidR="0069054D" w:rsidRPr="0069054D" w:rsidRDefault="0069054D" w:rsidP="0069054D">
      <w:pPr>
        <w:numPr>
          <w:ilvl w:val="0"/>
          <w:numId w:val="17"/>
        </w:numPr>
        <w:spacing w:after="60"/>
        <w:ind w:left="1440" w:right="720" w:hanging="720"/>
        <w:jc w:val="both"/>
        <w:rPr>
          <w:sz w:val="24"/>
        </w:rPr>
      </w:pPr>
      <w:r w:rsidRPr="0069054D">
        <w:rPr>
          <w:color w:val="000000"/>
          <w:sz w:val="24"/>
          <w:szCs w:val="24"/>
        </w:rPr>
        <w:t>A review of a “make versus buy” analysis that Cleveland Thermal determines is credible and accurate and that indicates that the customer could save money by installing or restarting its own system.  The “make” portion of analysis is driven principally by the level of capital specific investment contemplated by the customer under the circumstances of the particular building/campus;</w:t>
      </w:r>
    </w:p>
    <w:p w:rsidR="0069054D" w:rsidRPr="0069054D" w:rsidRDefault="009E3A7B" w:rsidP="0069054D">
      <w:pPr>
        <w:numPr>
          <w:ilvl w:val="0"/>
          <w:numId w:val="17"/>
        </w:numPr>
        <w:spacing w:after="60"/>
        <w:ind w:left="1440" w:right="720" w:hanging="720"/>
        <w:jc w:val="both"/>
        <w:rPr>
          <w:sz w:val="24"/>
        </w:rPr>
      </w:pPr>
      <w:r w:rsidRPr="009E3A7B">
        <w:rPr>
          <w:sz w:val="24"/>
        </w:rPr>
        <w:t>A resulting price under the contract that will not be less than the system average consumption charge of Cleveland Thermal of $7.82, as of May 23, 2012; and</w:t>
      </w:r>
    </w:p>
    <w:p w:rsidR="0069054D" w:rsidRPr="0069054D" w:rsidRDefault="0069054D" w:rsidP="0069054D">
      <w:pPr>
        <w:numPr>
          <w:ilvl w:val="0"/>
          <w:numId w:val="17"/>
        </w:numPr>
        <w:spacing w:after="60"/>
        <w:ind w:left="1440" w:right="720" w:hanging="720"/>
        <w:jc w:val="both"/>
        <w:rPr>
          <w:sz w:val="24"/>
        </w:rPr>
      </w:pPr>
      <w:r w:rsidRPr="0069054D">
        <w:rPr>
          <w:sz w:val="24"/>
        </w:rPr>
        <w:t>Customer specific issues regarding the need for energy efficiency improvements or other customer-related funding/cash flow issues.</w:t>
      </w:r>
    </w:p>
    <w:p w:rsidR="0069054D" w:rsidRPr="0069054D" w:rsidRDefault="0069054D" w:rsidP="0069054D">
      <w:pPr>
        <w:spacing w:after="60"/>
        <w:jc w:val="both"/>
        <w:rPr>
          <w:sz w:val="24"/>
        </w:rPr>
      </w:pPr>
      <w:r w:rsidRPr="0069054D">
        <w:rPr>
          <w:sz w:val="24"/>
        </w:rPr>
        <w:t>Cleveland Thermal does not discount the Purchased Steam Cost Recovery Charge.</w:t>
      </w:r>
    </w:p>
    <w:p w:rsidR="0069054D" w:rsidRPr="0069054D" w:rsidRDefault="0069054D" w:rsidP="0069054D">
      <w:pPr>
        <w:jc w:val="both"/>
        <w:rPr>
          <w:sz w:val="24"/>
        </w:rPr>
      </w:pPr>
    </w:p>
    <w:p w:rsidR="0069054D" w:rsidRPr="0069054D" w:rsidRDefault="0069054D" w:rsidP="0069054D">
      <w:pPr>
        <w:ind w:firstLine="720"/>
        <w:jc w:val="both"/>
        <w:rPr>
          <w:sz w:val="24"/>
        </w:rPr>
      </w:pPr>
      <w:r w:rsidRPr="0069054D">
        <w:rPr>
          <w:sz w:val="24"/>
        </w:rPr>
        <w:t xml:space="preserve">Further, Cleveland Thermal has worked and will continue to work with the Commission Staff to provide it with the information it needs to determine that a modification of the Standard Contract satisfies these criteria and other concerns it may have so as to assure that the pre-approval process works in the manner the Commission anticipated.  </w:t>
      </w:r>
    </w:p>
    <w:p w:rsidR="0069054D" w:rsidRPr="0069054D" w:rsidRDefault="0069054D" w:rsidP="0069054D">
      <w:pPr>
        <w:jc w:val="both"/>
        <w:rPr>
          <w:sz w:val="24"/>
        </w:rPr>
      </w:pPr>
    </w:p>
    <w:p w:rsidR="0069054D" w:rsidRPr="0069054D" w:rsidRDefault="0069054D" w:rsidP="0069054D">
      <w:pPr>
        <w:ind w:firstLine="720"/>
        <w:jc w:val="both"/>
        <w:rPr>
          <w:sz w:val="24"/>
        </w:rPr>
      </w:pPr>
      <w:r w:rsidRPr="0069054D">
        <w:rPr>
          <w:sz w:val="24"/>
        </w:rPr>
        <w:t>Based on the remaining number of customers that are not on the Standard Contract or the current tariff rates, Cleveland Thermal expects that very few Standard Contracts would be filed that contain modifications of a pricing term as was done here.</w:t>
      </w:r>
    </w:p>
    <w:p w:rsidR="0069054D" w:rsidRPr="0069054D" w:rsidRDefault="0069054D" w:rsidP="0069054D">
      <w:pPr>
        <w:jc w:val="both"/>
        <w:rPr>
          <w:sz w:val="24"/>
        </w:rPr>
      </w:pPr>
    </w:p>
    <w:p w:rsidR="0069054D" w:rsidRPr="0069054D" w:rsidRDefault="0069054D" w:rsidP="0069054D">
      <w:pPr>
        <w:jc w:val="both"/>
        <w:rPr>
          <w:sz w:val="24"/>
        </w:rPr>
      </w:pPr>
      <w:r w:rsidRPr="0069054D">
        <w:rPr>
          <w:sz w:val="24"/>
        </w:rPr>
        <w:tab/>
        <w:t>As the Commission has previously noted, Cleveland Thermal serves most of its customers under contracts and operates in an extremely competitive environment.  Under these circumstances, Cleveland Thermal seeks to provide a competitively priced solution that serves the interests of its customer and does not adversely affect other customers or the financial integrity of the utility.  If circumstances warrant a modification based on the criteria identified above, Cleveland Thermal believes that a Standard Contract with a modification, as in this case, can meet the desired outcomes of the interested parties in a manner that is consistent with an expedited review process.</w:t>
      </w:r>
    </w:p>
    <w:p w:rsidR="0069054D" w:rsidRPr="0069054D" w:rsidRDefault="0069054D" w:rsidP="0069054D">
      <w:pPr>
        <w:jc w:val="both"/>
        <w:rPr>
          <w:sz w:val="24"/>
        </w:rPr>
      </w:pPr>
    </w:p>
    <w:p w:rsidR="0069054D" w:rsidRPr="0069054D" w:rsidRDefault="0069054D" w:rsidP="0069054D">
      <w:pPr>
        <w:jc w:val="both"/>
        <w:rPr>
          <w:sz w:val="24"/>
        </w:rPr>
      </w:pPr>
      <w:r w:rsidRPr="0069054D">
        <w:rPr>
          <w:sz w:val="24"/>
        </w:rPr>
        <w:tab/>
        <w:t>If you have any questions, please feel to contact me.</w:t>
      </w:r>
    </w:p>
    <w:p w:rsidR="0069054D" w:rsidRPr="0069054D" w:rsidRDefault="0069054D" w:rsidP="0069054D">
      <w:pPr>
        <w:jc w:val="both"/>
        <w:rPr>
          <w:sz w:val="24"/>
          <w:szCs w:val="24"/>
        </w:rPr>
      </w:pPr>
    </w:p>
    <w:p w:rsidR="0069054D" w:rsidRPr="0069054D" w:rsidRDefault="0069054D" w:rsidP="0069054D">
      <w:pPr>
        <w:tabs>
          <w:tab w:val="left" w:pos="4176"/>
          <w:tab w:val="left" w:pos="4896"/>
        </w:tabs>
        <w:jc w:val="both"/>
        <w:rPr>
          <w:sz w:val="24"/>
          <w:szCs w:val="24"/>
        </w:rPr>
      </w:pPr>
    </w:p>
    <w:p w:rsidR="0069054D" w:rsidRPr="0069054D" w:rsidRDefault="0069054D" w:rsidP="0069054D">
      <w:pPr>
        <w:tabs>
          <w:tab w:val="left" w:pos="3510"/>
          <w:tab w:val="left" w:pos="6480"/>
        </w:tabs>
        <w:ind w:left="4320"/>
        <w:jc w:val="both"/>
        <w:rPr>
          <w:sz w:val="24"/>
          <w:szCs w:val="24"/>
        </w:rPr>
      </w:pPr>
      <w:r w:rsidRPr="0069054D">
        <w:rPr>
          <w:sz w:val="24"/>
          <w:szCs w:val="24"/>
        </w:rPr>
        <w:t>Very truly yours,</w:t>
      </w:r>
    </w:p>
    <w:p w:rsidR="0069054D" w:rsidRPr="0069054D" w:rsidRDefault="0069054D" w:rsidP="0069054D">
      <w:pPr>
        <w:tabs>
          <w:tab w:val="left" w:pos="3510"/>
          <w:tab w:val="left" w:pos="4896"/>
        </w:tabs>
        <w:ind w:left="4320"/>
        <w:jc w:val="both"/>
        <w:rPr>
          <w:sz w:val="24"/>
          <w:szCs w:val="24"/>
        </w:rPr>
      </w:pPr>
    </w:p>
    <w:p w:rsidR="0069054D" w:rsidRPr="0069054D" w:rsidRDefault="0069054D" w:rsidP="0069054D">
      <w:pPr>
        <w:tabs>
          <w:tab w:val="left" w:pos="3510"/>
          <w:tab w:val="left" w:pos="4896"/>
        </w:tabs>
        <w:jc w:val="both"/>
        <w:rPr>
          <w:sz w:val="24"/>
          <w:szCs w:val="24"/>
        </w:rPr>
      </w:pPr>
    </w:p>
    <w:p w:rsidR="0069054D" w:rsidRPr="0069054D" w:rsidRDefault="0069054D" w:rsidP="0069054D">
      <w:pPr>
        <w:tabs>
          <w:tab w:val="left" w:pos="3510"/>
          <w:tab w:val="left" w:pos="6480"/>
        </w:tabs>
        <w:ind w:left="4320"/>
        <w:jc w:val="both"/>
        <w:rPr>
          <w:sz w:val="24"/>
          <w:szCs w:val="24"/>
          <w:u w:val="single"/>
        </w:rPr>
      </w:pPr>
      <w:r w:rsidRPr="0069054D">
        <w:rPr>
          <w:sz w:val="24"/>
          <w:szCs w:val="24"/>
          <w:u w:val="single"/>
        </w:rPr>
        <w:t>/s/ Frank P. Darr</w:t>
      </w:r>
      <w:r w:rsidRPr="0069054D">
        <w:rPr>
          <w:sz w:val="24"/>
          <w:szCs w:val="24"/>
          <w:u w:val="single"/>
        </w:rPr>
        <w:tab/>
      </w:r>
      <w:r w:rsidRPr="0069054D">
        <w:rPr>
          <w:sz w:val="24"/>
          <w:szCs w:val="24"/>
          <w:u w:val="single"/>
        </w:rPr>
        <w:tab/>
      </w:r>
      <w:r w:rsidRPr="0069054D">
        <w:rPr>
          <w:sz w:val="24"/>
          <w:szCs w:val="24"/>
          <w:u w:val="single"/>
        </w:rPr>
        <w:tab/>
      </w:r>
    </w:p>
    <w:p w:rsidR="0069054D" w:rsidRPr="0069054D" w:rsidRDefault="0069054D" w:rsidP="0069054D">
      <w:pPr>
        <w:tabs>
          <w:tab w:val="left" w:pos="3510"/>
          <w:tab w:val="left" w:pos="6480"/>
        </w:tabs>
        <w:ind w:left="4320"/>
        <w:jc w:val="both"/>
        <w:rPr>
          <w:sz w:val="24"/>
          <w:szCs w:val="24"/>
        </w:rPr>
      </w:pPr>
      <w:r w:rsidRPr="0069054D">
        <w:rPr>
          <w:sz w:val="24"/>
          <w:szCs w:val="24"/>
        </w:rPr>
        <w:t>Frank P. Darr</w:t>
      </w:r>
    </w:p>
    <w:p w:rsidR="0069054D" w:rsidRPr="0069054D" w:rsidRDefault="0069054D" w:rsidP="0069054D">
      <w:pPr>
        <w:tabs>
          <w:tab w:val="left" w:pos="3510"/>
          <w:tab w:val="left" w:pos="6480"/>
        </w:tabs>
        <w:ind w:left="4320"/>
        <w:jc w:val="both"/>
        <w:rPr>
          <w:sz w:val="24"/>
          <w:szCs w:val="24"/>
        </w:rPr>
      </w:pPr>
    </w:p>
    <w:p w:rsidR="0069054D" w:rsidRPr="0069054D" w:rsidRDefault="0069054D" w:rsidP="0069054D">
      <w:pPr>
        <w:tabs>
          <w:tab w:val="left" w:pos="3510"/>
          <w:tab w:val="left" w:pos="6480"/>
        </w:tabs>
        <w:ind w:left="4320"/>
        <w:rPr>
          <w:sz w:val="24"/>
          <w:szCs w:val="24"/>
        </w:rPr>
      </w:pPr>
      <w:r w:rsidRPr="0069054D">
        <w:rPr>
          <w:b/>
          <w:bCs/>
          <w:sz w:val="24"/>
          <w:szCs w:val="24"/>
        </w:rPr>
        <w:t>Attorney for Cleveland Thermal Steam Distribution, LLC</w:t>
      </w:r>
    </w:p>
    <w:p w:rsidR="0069054D" w:rsidRPr="0069054D" w:rsidRDefault="0069054D" w:rsidP="0069054D">
      <w:pPr>
        <w:tabs>
          <w:tab w:val="left" w:pos="5040"/>
          <w:tab w:val="left" w:pos="6480"/>
        </w:tabs>
        <w:jc w:val="both"/>
        <w:rPr>
          <w:sz w:val="24"/>
          <w:szCs w:val="24"/>
        </w:rPr>
      </w:pPr>
    </w:p>
    <w:p w:rsidR="0069054D" w:rsidRPr="0069054D" w:rsidRDefault="0069054D" w:rsidP="0069054D">
      <w:pPr>
        <w:tabs>
          <w:tab w:val="left" w:pos="5040"/>
          <w:tab w:val="left" w:pos="6480"/>
        </w:tabs>
        <w:jc w:val="both"/>
        <w:rPr>
          <w:sz w:val="24"/>
          <w:szCs w:val="24"/>
        </w:rPr>
      </w:pPr>
    </w:p>
    <w:p w:rsidR="0069054D" w:rsidRPr="0069054D" w:rsidRDefault="0069054D" w:rsidP="0069054D">
      <w:pPr>
        <w:tabs>
          <w:tab w:val="left" w:pos="5040"/>
          <w:tab w:val="left" w:pos="6480"/>
        </w:tabs>
        <w:jc w:val="both"/>
        <w:rPr>
          <w:sz w:val="24"/>
          <w:szCs w:val="24"/>
        </w:rPr>
      </w:pPr>
    </w:p>
    <w:p w:rsidR="00156B47" w:rsidRDefault="00156B47" w:rsidP="0069054D">
      <w:pPr>
        <w:pStyle w:val="bcc"/>
        <w:ind w:left="0" w:firstLine="0"/>
      </w:pPr>
    </w:p>
    <w:sectPr w:rsidR="00156B47">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2347" w:right="936" w:bottom="2160" w:left="1166" w:header="720" w:footer="936" w:gutter="0"/>
      <w:paperSrc w:first="1" w:other="2"/>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54D" w:rsidRDefault="0069054D">
      <w:r>
        <w:separator/>
      </w:r>
    </w:p>
  </w:endnote>
  <w:endnote w:type="continuationSeparator" w:id="0">
    <w:p w:rsidR="0069054D" w:rsidRDefault="0069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7B" w:rsidRDefault="009E3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47" w:rsidRPr="0069054D" w:rsidRDefault="00F7551C">
    <w:pPr>
      <w:pStyle w:val="Footer"/>
    </w:pPr>
    <w:r w:rsidRPr="00F7551C">
      <w:rPr>
        <w:noProof/>
        <w:sz w:val="16"/>
      </w:rPr>
      <w:t>{C41984: }</w:t>
    </w:r>
  </w:p>
  <w:p w:rsidR="00156B47" w:rsidRPr="0069054D" w:rsidRDefault="00156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47" w:rsidRPr="0069054D" w:rsidRDefault="00F7551C">
    <w:pPr>
      <w:pStyle w:val="Footer"/>
    </w:pPr>
    <w:r w:rsidRPr="00F7551C">
      <w:rPr>
        <w:noProof/>
        <w:sz w:val="16"/>
      </w:rPr>
      <w:t>{C41984: }</w:t>
    </w:r>
  </w:p>
  <w:p w:rsidR="00156B47" w:rsidRPr="0069054D" w:rsidRDefault="00156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54D" w:rsidRDefault="0069054D">
      <w:pPr>
        <w:rPr>
          <w:noProof/>
        </w:rPr>
      </w:pPr>
      <w:r>
        <w:rPr>
          <w:noProof/>
        </w:rPr>
        <w:separator/>
      </w:r>
    </w:p>
  </w:footnote>
  <w:footnote w:type="continuationSeparator" w:id="0">
    <w:p w:rsidR="0069054D" w:rsidRDefault="0069054D">
      <w:r>
        <w:continuationSeparator/>
      </w:r>
    </w:p>
  </w:footnote>
  <w:footnote w:id="1">
    <w:p w:rsidR="0069054D" w:rsidRDefault="0069054D" w:rsidP="0069054D">
      <w:pPr>
        <w:pStyle w:val="FootnoteText"/>
        <w:spacing w:after="240"/>
        <w:jc w:val="both"/>
      </w:pPr>
      <w:r>
        <w:rPr>
          <w:rStyle w:val="FootnoteReference"/>
        </w:rPr>
        <w:footnoteRef/>
      </w:r>
      <w:r>
        <w:t xml:space="preserve"> </w:t>
      </w:r>
      <w:r w:rsidRPr="00075B9B">
        <w:rPr>
          <w:i/>
        </w:rPr>
        <w:t>In the Matter of the Application of Cleveland Thermal Energy Corporation dba Cleveland Energy Resources for an Increase in the Rates to be Charged for Steam Service</w:t>
      </w:r>
      <w:r>
        <w:t>, Case No. 97-522-HT-AIR, Opinion and Order at 5 (Oct. 15, 1998).</w:t>
      </w:r>
    </w:p>
  </w:footnote>
  <w:footnote w:id="2">
    <w:p w:rsidR="0069054D" w:rsidRDefault="0069054D" w:rsidP="0069054D">
      <w:pPr>
        <w:pStyle w:val="FootnoteText"/>
        <w:spacing w:after="240"/>
        <w:jc w:val="both"/>
      </w:pPr>
      <w:r>
        <w:rPr>
          <w:rStyle w:val="FootnoteReference"/>
        </w:rPr>
        <w:footnoteRef/>
      </w:r>
      <w:r>
        <w:t xml:space="preserve"> </w:t>
      </w:r>
      <w:r w:rsidRPr="002D7129">
        <w:rPr>
          <w:i/>
        </w:rPr>
        <w:t xml:space="preserve">In the Matter of </w:t>
      </w:r>
      <w:r>
        <w:rPr>
          <w:i/>
        </w:rPr>
        <w:t>t</w:t>
      </w:r>
      <w:r w:rsidRPr="002D7129">
        <w:rPr>
          <w:i/>
        </w:rPr>
        <w:t xml:space="preserve">he Application of Cleveland Thermal Steam Distribution, LLC for Approval of </w:t>
      </w:r>
      <w:r>
        <w:rPr>
          <w:i/>
        </w:rPr>
        <w:t>its S</w:t>
      </w:r>
      <w:r w:rsidRPr="002D7129">
        <w:rPr>
          <w:i/>
        </w:rPr>
        <w:t>tandard Steam Service Agreements</w:t>
      </w:r>
      <w:r>
        <w:t>, Case No. 07-732-HT-AEC, Entry at 2 (Feb. 27, 2008).</w:t>
      </w:r>
    </w:p>
  </w:footnote>
  <w:footnote w:id="3">
    <w:p w:rsidR="0069054D" w:rsidRDefault="0069054D" w:rsidP="0069054D">
      <w:pPr>
        <w:pStyle w:val="FootnoteText"/>
        <w:spacing w:after="240"/>
        <w:jc w:val="both"/>
      </w:pPr>
      <w:r>
        <w:rPr>
          <w:rStyle w:val="FootnoteReference"/>
        </w:rPr>
        <w:footnoteRef/>
      </w:r>
      <w:r>
        <w:t xml:space="preserve"> </w:t>
      </w:r>
      <w:r w:rsidRPr="00075B9B">
        <w:rPr>
          <w:i/>
        </w:rPr>
        <w:t>In the Matter of the Application of Cleveland Thermal Steam Distribution, LLC for Approval of Standard Steam Supply and Distribution Agreements</w:t>
      </w:r>
      <w:r>
        <w:t xml:space="preserve">, Case No. 12-1450-HT-AEC, </w:t>
      </w:r>
      <w:r w:rsidRPr="00665D21">
        <w:rPr>
          <w:i/>
        </w:rPr>
        <w:t>et al</w:t>
      </w:r>
      <w:r>
        <w:t>., Finding and Order at 3 (May 23,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7B" w:rsidRDefault="009E3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47" w:rsidRDefault="00156B47">
    <w:pPr>
      <w:pStyle w:val="Header"/>
    </w:pPr>
  </w:p>
  <w:p w:rsidR="00156B47" w:rsidRDefault="00156B47">
    <w:pPr>
      <w:pStyle w:val="Header"/>
    </w:pPr>
    <w:bookmarkStart w:id="2" w:name="Recipients"/>
    <w:bookmarkEnd w:id="2"/>
  </w:p>
  <w:p w:rsidR="00156B47" w:rsidRDefault="004C160A">
    <w:pPr>
      <w:pStyle w:val="Header"/>
    </w:pPr>
    <w:fldSimple w:instr=" styleref &quot;LetterDate&quot; ">
      <w:r w:rsidR="00F7551C">
        <w:rPr>
          <w:noProof/>
        </w:rPr>
        <w:t>November 4, 2013</w:t>
      </w:r>
    </w:fldSimple>
  </w:p>
  <w:p w:rsidR="00156B47" w:rsidRDefault="0069054D">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551C">
      <w:rPr>
        <w:rStyle w:val="PageNumber"/>
        <w:noProof/>
      </w:rPr>
      <w:t>2</w:t>
    </w:r>
    <w:r>
      <w:rPr>
        <w:rStyle w:val="PageNumber"/>
      </w:rPr>
      <w:fldChar w:fldCharType="end"/>
    </w:r>
  </w:p>
  <w:p w:rsidR="00156B47" w:rsidRDefault="00156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47" w:rsidRDefault="0069054D">
    <w:pPr>
      <w:pStyle w:val="Header"/>
      <w:tabs>
        <w:tab w:val="clear" w:pos="4320"/>
        <w:tab w:val="clear" w:pos="8640"/>
        <w:tab w:val="center" w:pos="4600"/>
        <w:tab w:val="right" w:pos="9400"/>
      </w:tabs>
    </w:pPr>
    <w:r>
      <w:rPr>
        <w:noProof/>
      </w:rPr>
      <w:drawing>
        <wp:anchor distT="0" distB="0" distL="114300" distR="114300" simplePos="0" relativeHeight="251659264" behindDoc="0" locked="0" layoutInCell="0" allowOverlap="0" wp14:anchorId="7E3F034C" wp14:editId="526E709F">
          <wp:simplePos x="0" y="0"/>
          <wp:positionH relativeFrom="page">
            <wp:posOffset>575945</wp:posOffset>
          </wp:positionH>
          <wp:positionV relativeFrom="page">
            <wp:posOffset>1490345</wp:posOffset>
          </wp:positionV>
          <wp:extent cx="3063240" cy="285750"/>
          <wp:effectExtent l="19050" t="0" r="3810" b="0"/>
          <wp:wrapSquare wrapText="bothSides"/>
          <wp:docPr id="3" name="Picture 0" descr="ohio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io_letterhead.jpg"/>
                  <pic:cNvPicPr/>
                </pic:nvPicPr>
                <pic:blipFill>
                  <a:blip r:embed="rId1"/>
                  <a:stretch>
                    <a:fillRect/>
                  </a:stretch>
                </pic:blipFill>
                <pic:spPr>
                  <a:xfrm>
                    <a:off x="0" y="0"/>
                    <a:ext cx="3063240" cy="285750"/>
                  </a:xfrm>
                  <a:prstGeom prst="rect">
                    <a:avLst/>
                  </a:prstGeom>
                </pic:spPr>
              </pic:pic>
            </a:graphicData>
          </a:graphic>
        </wp:anchor>
      </w:drawing>
    </w:r>
  </w:p>
  <w:p w:rsidR="00156B47" w:rsidRDefault="00156B47">
    <w:pPr>
      <w:pStyle w:val="Header"/>
      <w:tabs>
        <w:tab w:val="clear" w:pos="4320"/>
        <w:tab w:val="clear" w:pos="8640"/>
        <w:tab w:val="center" w:pos="4600"/>
        <w:tab w:val="right" w:pos="9400"/>
      </w:tabs>
    </w:pPr>
  </w:p>
  <w:p w:rsidR="00156B47" w:rsidRDefault="00156B47">
    <w:pPr>
      <w:pStyle w:val="Header"/>
      <w:tabs>
        <w:tab w:val="clear" w:pos="4320"/>
        <w:tab w:val="clear" w:pos="8640"/>
        <w:tab w:val="center" w:pos="4600"/>
        <w:tab w:val="right" w:pos="9400"/>
      </w:tabs>
    </w:pPr>
  </w:p>
  <w:p w:rsidR="00156B47" w:rsidRDefault="00156B47">
    <w:pPr>
      <w:pStyle w:val="Header"/>
      <w:tabs>
        <w:tab w:val="clear" w:pos="4320"/>
        <w:tab w:val="clear" w:pos="8640"/>
        <w:tab w:val="center" w:pos="4600"/>
        <w:tab w:val="right" w:pos="9400"/>
      </w:tabs>
    </w:pPr>
  </w:p>
  <w:p w:rsidR="00156B47" w:rsidRDefault="00156B47">
    <w:pPr>
      <w:pStyle w:val="Header"/>
      <w:tabs>
        <w:tab w:val="clear" w:pos="4320"/>
        <w:tab w:val="clear" w:pos="8640"/>
        <w:tab w:val="center" w:pos="4600"/>
        <w:tab w:val="right" w:pos="94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30D36A"/>
    <w:lvl w:ilvl="0">
      <w:start w:val="1"/>
      <w:numFmt w:val="decimal"/>
      <w:lvlText w:val="%1."/>
      <w:lvlJc w:val="left"/>
      <w:pPr>
        <w:tabs>
          <w:tab w:val="num" w:pos="1800"/>
        </w:tabs>
        <w:ind w:left="1800" w:hanging="360"/>
      </w:pPr>
    </w:lvl>
  </w:abstractNum>
  <w:abstractNum w:abstractNumId="1">
    <w:nsid w:val="FFFFFF7D"/>
    <w:multiLevelType w:val="singleLevel"/>
    <w:tmpl w:val="377AC684"/>
    <w:lvl w:ilvl="0">
      <w:start w:val="1"/>
      <w:numFmt w:val="decimal"/>
      <w:lvlText w:val="%1."/>
      <w:lvlJc w:val="left"/>
      <w:pPr>
        <w:tabs>
          <w:tab w:val="num" w:pos="1440"/>
        </w:tabs>
        <w:ind w:left="1440" w:hanging="360"/>
      </w:pPr>
    </w:lvl>
  </w:abstractNum>
  <w:abstractNum w:abstractNumId="2">
    <w:nsid w:val="FFFFFF7E"/>
    <w:multiLevelType w:val="singleLevel"/>
    <w:tmpl w:val="74345480"/>
    <w:lvl w:ilvl="0">
      <w:start w:val="1"/>
      <w:numFmt w:val="decimal"/>
      <w:lvlText w:val="%1."/>
      <w:lvlJc w:val="left"/>
      <w:pPr>
        <w:tabs>
          <w:tab w:val="num" w:pos="1080"/>
        </w:tabs>
        <w:ind w:left="1080" w:hanging="360"/>
      </w:pPr>
    </w:lvl>
  </w:abstractNum>
  <w:abstractNum w:abstractNumId="3">
    <w:nsid w:val="FFFFFF7F"/>
    <w:multiLevelType w:val="singleLevel"/>
    <w:tmpl w:val="482C2AAA"/>
    <w:lvl w:ilvl="0">
      <w:start w:val="1"/>
      <w:numFmt w:val="decimal"/>
      <w:lvlText w:val="%1."/>
      <w:lvlJc w:val="left"/>
      <w:pPr>
        <w:tabs>
          <w:tab w:val="num" w:pos="720"/>
        </w:tabs>
        <w:ind w:left="720" w:hanging="360"/>
      </w:pPr>
    </w:lvl>
  </w:abstractNum>
  <w:abstractNum w:abstractNumId="4">
    <w:nsid w:val="FFFFFF80"/>
    <w:multiLevelType w:val="singleLevel"/>
    <w:tmpl w:val="C4A8E8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1601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9069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7AC51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9564B9D0"/>
    <w:lvl w:ilvl="0">
      <w:start w:val="1"/>
      <w:numFmt w:val="bullet"/>
      <w:lvlText w:val=""/>
      <w:lvlJc w:val="left"/>
      <w:pPr>
        <w:tabs>
          <w:tab w:val="num" w:pos="360"/>
        </w:tabs>
        <w:ind w:left="360" w:hanging="360"/>
      </w:pPr>
      <w:rPr>
        <w:rFonts w:ascii="Symbol" w:hAnsi="Symbol" w:hint="default"/>
      </w:rPr>
    </w:lvl>
  </w:abstractNum>
  <w:abstractNum w:abstractNumId="10">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A061C"/>
    <w:multiLevelType w:val="hybridMultilevel"/>
    <w:tmpl w:val="D6CA98C2"/>
    <w:lvl w:ilvl="0" w:tplc="B0483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9409C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2"/>
  </w:num>
  <w:num w:numId="2">
    <w:abstractNumId w:val="12"/>
  </w:num>
  <w:num w:numId="3">
    <w:abstractNumId w:val="12"/>
  </w:num>
  <w:num w:numId="4">
    <w:abstractNumId w:val="12"/>
  </w:num>
  <w:num w:numId="5">
    <w:abstractNumId w:val="9"/>
  </w:num>
  <w:num w:numId="6">
    <w:abstractNumId w:val="10"/>
  </w:num>
  <w:num w:numId="7">
    <w:abstractNumId w:val="8"/>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5"/>
  <w:drawingGridVerticalSpacing w:val="299"/>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LTFontsClean" w:val="True"/>
  </w:docVars>
  <w:rsids>
    <w:rsidRoot w:val="0069054D"/>
    <w:rsid w:val="00156B47"/>
    <w:rsid w:val="004C160A"/>
    <w:rsid w:val="0069054D"/>
    <w:rsid w:val="00932EB9"/>
    <w:rsid w:val="009E3A7B"/>
    <w:rsid w:val="00F7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footnote reference" w:uiPriority="0"/>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Pr>
      <w:rFonts w:ascii="Arial" w:hAnsi="Arial" w:cs="Arial"/>
      <w:sz w:val="23"/>
    </w:rPr>
  </w:style>
  <w:style w:type="paragraph" w:styleId="Heading1">
    <w:name w:val="heading 1"/>
    <w:basedOn w:val="Normal"/>
    <w:link w:val="Heading1Char"/>
    <w:uiPriority w:val="9"/>
    <w:qFormat/>
    <w:pPr>
      <w:keepNext/>
      <w:keepLines/>
      <w:numPr>
        <w:numId w:val="4"/>
      </w:numPr>
      <w:spacing w:after="240"/>
      <w:outlineLvl w:val="0"/>
    </w:pPr>
    <w:rPr>
      <w:rFonts w:eastAsiaTheme="majorEastAsia" w:cstheme="majorBidi"/>
      <w:bCs/>
      <w:szCs w:val="28"/>
    </w:rPr>
  </w:style>
  <w:style w:type="paragraph" w:styleId="Heading2">
    <w:name w:val="heading 2"/>
    <w:basedOn w:val="Normal"/>
    <w:link w:val="Heading2Char"/>
    <w:uiPriority w:val="9"/>
    <w:qFormat/>
    <w:pPr>
      <w:keepNext/>
      <w:keepLines/>
      <w:numPr>
        <w:ilvl w:val="1"/>
        <w:numId w:val="4"/>
      </w:numPr>
      <w:spacing w:after="240"/>
      <w:outlineLvl w:val="1"/>
    </w:pPr>
    <w:rPr>
      <w:rFonts w:eastAsiaTheme="majorEastAsia" w:cstheme="majorBidi"/>
      <w:bCs/>
      <w:szCs w:val="26"/>
    </w:rPr>
  </w:style>
  <w:style w:type="paragraph" w:styleId="Heading3">
    <w:name w:val="heading 3"/>
    <w:basedOn w:val="Normal"/>
    <w:link w:val="Heading3Char"/>
    <w:uiPriority w:val="9"/>
    <w:qFormat/>
    <w:pPr>
      <w:keepNext/>
      <w:keepLines/>
      <w:numPr>
        <w:ilvl w:val="2"/>
        <w:numId w:val="4"/>
      </w:numPr>
      <w:spacing w:after="240"/>
      <w:outlineLvl w:val="2"/>
    </w:pPr>
    <w:rPr>
      <w:rFonts w:eastAsiaTheme="majorEastAsia" w:cstheme="majorBidi"/>
      <w:bCs/>
    </w:rPr>
  </w:style>
  <w:style w:type="paragraph" w:styleId="Heading4">
    <w:name w:val="heading 4"/>
    <w:basedOn w:val="Normal"/>
    <w:link w:val="Heading4Char"/>
    <w:uiPriority w:val="9"/>
    <w:semiHidden/>
    <w:unhideWhenUsed/>
    <w:qFormat/>
    <w:pPr>
      <w:keepNext/>
      <w:keepLines/>
      <w:numPr>
        <w:ilvl w:val="3"/>
        <w:numId w:val="4"/>
      </w:numPr>
      <w:spacing w:after="24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240"/>
      <w:ind w:left="1440" w:right="1440"/>
    </w:pPr>
  </w:style>
  <w:style w:type="paragraph" w:customStyle="1" w:styleId="bcc">
    <w:name w:val="bcc"/>
    <w:basedOn w:val="Normal"/>
    <w:pPr>
      <w:tabs>
        <w:tab w:val="left" w:pos="700"/>
      </w:tabs>
      <w:ind w:left="700" w:hanging="700"/>
    </w:pPr>
  </w:style>
  <w:style w:type="paragraph" w:customStyle="1" w:styleId="PersonalInfo">
    <w:name w:val="PersonalInfo"/>
    <w:basedOn w:val="Normal"/>
    <w:next w:val="Normal"/>
    <w:pPr>
      <w:ind w:left="7488"/>
    </w:pPr>
    <w:rPr>
      <w:sz w:val="16"/>
    </w:rPr>
  </w:style>
  <w:style w:type="paragraph" w:customStyle="1" w:styleId="LetterDate">
    <w:name w:val="LetterDate"/>
    <w:basedOn w:val="Normal"/>
    <w:next w:val="Normal"/>
    <w:pPr>
      <w:jc w:val="center"/>
    </w:pPr>
    <w:rPr>
      <w:noProof/>
    </w:rPr>
  </w:style>
  <w:style w:type="paragraph" w:customStyle="1" w:styleId="DeliveryMethod">
    <w:name w:val="DeliveryMethod"/>
    <w:basedOn w:val="Normal"/>
    <w:next w:val="Normal"/>
    <w:pPr>
      <w:spacing w:after="240"/>
    </w:pPr>
    <w:rPr>
      <w:b/>
      <w:caps/>
      <w:u w:val="single"/>
    </w:rPr>
  </w:style>
  <w:style w:type="paragraph" w:customStyle="1" w:styleId="RecipientName">
    <w:name w:val="RecipientName"/>
    <w:next w:val="RecipientAddress"/>
    <w:rPr>
      <w:rFonts w:ascii="Arial" w:hAnsi="Arial" w:cs="Arial"/>
      <w:sz w:val="23"/>
    </w:rPr>
  </w:style>
  <w:style w:type="paragraph" w:customStyle="1" w:styleId="RecipientAddress">
    <w:name w:val="RecipientAddress"/>
    <w:rPr>
      <w:rFonts w:ascii="Arial" w:hAnsi="Arial"/>
      <w:sz w:val="23"/>
      <w:szCs w:val="23"/>
    </w:rPr>
  </w:style>
  <w:style w:type="paragraph" w:customStyle="1" w:styleId="ReLine">
    <w:name w:val="ReLine"/>
    <w:basedOn w:val="Normal"/>
    <w:next w:val="Normal"/>
    <w:pPr>
      <w:ind w:left="1440" w:hanging="720"/>
    </w:pPr>
  </w:style>
  <w:style w:type="paragraph" w:styleId="Salutation">
    <w:name w:val="Salutation"/>
    <w:basedOn w:val="Normal"/>
    <w:next w:val="Normal"/>
    <w:semiHidden/>
    <w:pPr>
      <w:spacing w:after="240"/>
    </w:pPr>
  </w:style>
  <w:style w:type="paragraph" w:styleId="BodyText">
    <w:name w:val="Body Text"/>
    <w:basedOn w:val="Normal"/>
    <w:link w:val="BodyTextChar"/>
    <w:semiHidden/>
    <w:pPr>
      <w:spacing w:after="240"/>
    </w:pPr>
  </w:style>
  <w:style w:type="paragraph" w:styleId="Closing">
    <w:name w:val="Closing"/>
    <w:basedOn w:val="Normal"/>
    <w:semiHidden/>
  </w:style>
  <w:style w:type="paragraph" w:customStyle="1" w:styleId="Initials">
    <w:name w:val="Initials"/>
    <w:basedOn w:val="Normal"/>
    <w:next w:val="Normal"/>
  </w:style>
  <w:style w:type="paragraph" w:customStyle="1" w:styleId="SenderName">
    <w:name w:val="SenderName"/>
    <w:basedOn w:val="Normal"/>
    <w:next w:val="Normal"/>
  </w:style>
  <w:style w:type="paragraph" w:customStyle="1" w:styleId="Enclosure">
    <w:name w:val="Enclosure"/>
    <w:basedOn w:val="Normal"/>
    <w:next w:val="Normal"/>
  </w:style>
  <w:style w:type="paragraph" w:customStyle="1" w:styleId="ioc">
    <w:name w:val="ioc"/>
    <w:basedOn w:val="Normal"/>
    <w:next w:val="Normal"/>
    <w:pPr>
      <w:tabs>
        <w:tab w:val="left" w:pos="720"/>
      </w:tabs>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1Char">
    <w:name w:val="Heading 1 Char"/>
    <w:basedOn w:val="DefaultParagraphFont"/>
    <w:link w:val="Heading1"/>
    <w:uiPriority w:val="9"/>
    <w:rPr>
      <w:rFonts w:ascii="Arial" w:eastAsiaTheme="majorEastAsia" w:hAnsi="Arial" w:cstheme="majorBidi"/>
      <w:bCs/>
      <w:sz w:val="23"/>
      <w:szCs w:val="28"/>
    </w:rPr>
  </w:style>
  <w:style w:type="character" w:customStyle="1" w:styleId="Heading2Char">
    <w:name w:val="Heading 2 Char"/>
    <w:basedOn w:val="DefaultParagraphFont"/>
    <w:link w:val="Heading2"/>
    <w:uiPriority w:val="9"/>
    <w:rPr>
      <w:rFonts w:ascii="Arial" w:eastAsiaTheme="majorEastAsia" w:hAnsi="Arial" w:cstheme="majorBidi"/>
      <w:bCs/>
      <w:sz w:val="23"/>
      <w:szCs w:val="26"/>
    </w:rPr>
  </w:style>
  <w:style w:type="character" w:customStyle="1" w:styleId="Heading3Char">
    <w:name w:val="Heading 3 Char"/>
    <w:basedOn w:val="DefaultParagraphFont"/>
    <w:link w:val="Heading3"/>
    <w:uiPriority w:val="9"/>
    <w:rPr>
      <w:rFonts w:ascii="Arial" w:eastAsiaTheme="majorEastAsia" w:hAnsi="Arial" w:cstheme="majorBidi"/>
      <w:bCs/>
      <w:sz w:val="23"/>
    </w:rPr>
  </w:style>
  <w:style w:type="character" w:customStyle="1" w:styleId="Heading4Char">
    <w:name w:val="Heading 4 Char"/>
    <w:basedOn w:val="DefaultParagraphFont"/>
    <w:link w:val="Heading4"/>
    <w:uiPriority w:val="9"/>
    <w:rPr>
      <w:rFonts w:ascii="Arial" w:eastAsiaTheme="majorEastAsia" w:hAnsi="Arial" w:cstheme="majorBidi"/>
      <w:bCs/>
      <w:iCs/>
      <w:sz w:val="23"/>
    </w:rPr>
  </w:style>
  <w:style w:type="paragraph" w:styleId="FootnoteText">
    <w:name w:val="footnote text"/>
    <w:basedOn w:val="Normal"/>
    <w:link w:val="FootnoteTextChar"/>
    <w:uiPriority w:val="11"/>
    <w:qFormat/>
    <w:pPr>
      <w:spacing w:after="120"/>
    </w:pPr>
    <w:rPr>
      <w:rFonts w:cs="Times New Roman"/>
      <w:sz w:val="20"/>
    </w:rPr>
  </w:style>
  <w:style w:type="character" w:customStyle="1" w:styleId="FootnoteTextChar">
    <w:name w:val="Footnote Text Char"/>
    <w:basedOn w:val="DefaultParagraphFont"/>
    <w:link w:val="FootnoteText"/>
    <w:uiPriority w:val="11"/>
    <w:rPr>
      <w:rFonts w:ascii="Arial" w:hAnsi="Arial"/>
    </w:rPr>
  </w:style>
  <w:style w:type="paragraph" w:styleId="Caption">
    <w:name w:val="caption"/>
    <w:basedOn w:val="Normal"/>
    <w:next w:val="Normal"/>
    <w:uiPriority w:val="35"/>
    <w:semiHidden/>
    <w:unhideWhenUsed/>
    <w:qFormat/>
    <w:pPr>
      <w:spacing w:after="200"/>
    </w:pPr>
    <w:rPr>
      <w:rFonts w:cs="Times New Roman"/>
      <w:b/>
      <w:bCs/>
      <w:color w:val="4F81BD" w:themeColor="accent1"/>
      <w:sz w:val="18"/>
      <w:szCs w:val="18"/>
    </w:rPr>
  </w:style>
  <w:style w:type="paragraph" w:styleId="ListBullet">
    <w:name w:val="List Bullet"/>
    <w:basedOn w:val="Normal"/>
    <w:uiPriority w:val="99"/>
    <w:qFormat/>
    <w:pPr>
      <w:numPr>
        <w:numId w:val="6"/>
      </w:numPr>
      <w:spacing w:after="240"/>
      <w:contextualSpacing/>
    </w:pPr>
    <w:rPr>
      <w:rFonts w:cs="Times New Roman"/>
    </w:rPr>
  </w:style>
  <w:style w:type="paragraph" w:styleId="ListNumber">
    <w:name w:val="List Number"/>
    <w:basedOn w:val="Normal"/>
    <w:uiPriority w:val="99"/>
    <w:qFormat/>
    <w:pPr>
      <w:numPr>
        <w:numId w:val="8"/>
      </w:numPr>
      <w:spacing w:after="240"/>
      <w:contextualSpacing/>
    </w:pPr>
    <w:rPr>
      <w:rFonts w:cs="Times New Roman"/>
    </w:rPr>
  </w:style>
  <w:style w:type="paragraph" w:styleId="Title">
    <w:name w:val="Title"/>
    <w:basedOn w:val="Normal"/>
    <w:link w:val="TitleChar"/>
    <w:uiPriority w:val="3"/>
    <w:qFormat/>
    <w:pPr>
      <w:spacing w:after="240"/>
      <w:jc w:val="center"/>
    </w:pPr>
    <w:rPr>
      <w:rFonts w:eastAsiaTheme="majorEastAsia" w:cstheme="majorBidi"/>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rFonts w:cs="Times New Roman"/>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semiHidden/>
    <w:unhideWhenUsed/>
    <w:qFormat/>
    <w:pPr>
      <w:numPr>
        <w:numId w:val="0"/>
      </w:numPr>
      <w:spacing w:before="480"/>
      <w:outlineLvl w:val="9"/>
    </w:pPr>
    <w:rPr>
      <w:rFonts w:asciiTheme="majorHAnsi" w:hAnsiTheme="majorHAnsi"/>
      <w:b/>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rPr>
      <w:rFonts w:cs="Times New Roman"/>
    </w:rPr>
  </w:style>
  <w:style w:type="paragraph" w:customStyle="1" w:styleId="LeftIndent">
    <w:name w:val="Left Indent"/>
    <w:aliases w:val="LeftInd"/>
    <w:basedOn w:val="Normal"/>
    <w:uiPriority w:val="11"/>
    <w:qFormat/>
    <w:pPr>
      <w:spacing w:after="240"/>
      <w:ind w:left="720"/>
    </w:pPr>
    <w:rPr>
      <w:rFonts w:cs="Times New Roman"/>
    </w:rPr>
  </w:style>
  <w:style w:type="paragraph" w:customStyle="1" w:styleId="FirstLineIndent">
    <w:name w:val="First Line Indent"/>
    <w:aliases w:val="FirstInd"/>
    <w:basedOn w:val="Normal"/>
    <w:uiPriority w:val="1"/>
    <w:qFormat/>
    <w:pPr>
      <w:spacing w:after="240"/>
      <w:ind w:firstLine="720"/>
    </w:pPr>
    <w:rPr>
      <w:rFonts w:cs="Times New Roman"/>
    </w:rPr>
  </w:style>
  <w:style w:type="paragraph" w:customStyle="1" w:styleId="NoIndent">
    <w:name w:val="No Indent"/>
    <w:aliases w:val="NoInd"/>
    <w:basedOn w:val="Normal"/>
    <w:qFormat/>
    <w:pPr>
      <w:spacing w:after="240"/>
    </w:pPr>
    <w:rPr>
      <w:rFonts w:cs="Times New Roman"/>
    </w:rPr>
  </w:style>
  <w:style w:type="paragraph" w:customStyle="1" w:styleId="DoubleIndent5">
    <w:name w:val="Double Indent .5"/>
    <w:aliases w:val="DblInd5"/>
    <w:basedOn w:val="Normal"/>
    <w:uiPriority w:val="2"/>
    <w:qFormat/>
    <w:pPr>
      <w:spacing w:after="240"/>
      <w:ind w:left="720" w:right="720"/>
    </w:pPr>
    <w:rPr>
      <w:rFonts w:cs="Times New Roman"/>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sz w:val="24"/>
      <w:szCs w:val="24"/>
    </w:rPr>
  </w:style>
  <w:style w:type="character" w:customStyle="1" w:styleId="BodyTextChar">
    <w:name w:val="Body Text Char"/>
    <w:basedOn w:val="DefaultParagraphFont"/>
    <w:link w:val="BodyText"/>
    <w:semiHidden/>
    <w:rPr>
      <w:rFonts w:ascii="Arial" w:hAnsi="Arial" w:cs="Arial"/>
      <w:sz w:val="23"/>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rsid w:val="006905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footnote reference" w:uiPriority="0"/>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Pr>
      <w:rFonts w:ascii="Arial" w:hAnsi="Arial" w:cs="Arial"/>
      <w:sz w:val="23"/>
    </w:rPr>
  </w:style>
  <w:style w:type="paragraph" w:styleId="Heading1">
    <w:name w:val="heading 1"/>
    <w:basedOn w:val="Normal"/>
    <w:link w:val="Heading1Char"/>
    <w:uiPriority w:val="9"/>
    <w:qFormat/>
    <w:pPr>
      <w:keepNext/>
      <w:keepLines/>
      <w:numPr>
        <w:numId w:val="4"/>
      </w:numPr>
      <w:spacing w:after="240"/>
      <w:outlineLvl w:val="0"/>
    </w:pPr>
    <w:rPr>
      <w:rFonts w:eastAsiaTheme="majorEastAsia" w:cstheme="majorBidi"/>
      <w:bCs/>
      <w:szCs w:val="28"/>
    </w:rPr>
  </w:style>
  <w:style w:type="paragraph" w:styleId="Heading2">
    <w:name w:val="heading 2"/>
    <w:basedOn w:val="Normal"/>
    <w:link w:val="Heading2Char"/>
    <w:uiPriority w:val="9"/>
    <w:qFormat/>
    <w:pPr>
      <w:keepNext/>
      <w:keepLines/>
      <w:numPr>
        <w:ilvl w:val="1"/>
        <w:numId w:val="4"/>
      </w:numPr>
      <w:spacing w:after="240"/>
      <w:outlineLvl w:val="1"/>
    </w:pPr>
    <w:rPr>
      <w:rFonts w:eastAsiaTheme="majorEastAsia" w:cstheme="majorBidi"/>
      <w:bCs/>
      <w:szCs w:val="26"/>
    </w:rPr>
  </w:style>
  <w:style w:type="paragraph" w:styleId="Heading3">
    <w:name w:val="heading 3"/>
    <w:basedOn w:val="Normal"/>
    <w:link w:val="Heading3Char"/>
    <w:uiPriority w:val="9"/>
    <w:qFormat/>
    <w:pPr>
      <w:keepNext/>
      <w:keepLines/>
      <w:numPr>
        <w:ilvl w:val="2"/>
        <w:numId w:val="4"/>
      </w:numPr>
      <w:spacing w:after="240"/>
      <w:outlineLvl w:val="2"/>
    </w:pPr>
    <w:rPr>
      <w:rFonts w:eastAsiaTheme="majorEastAsia" w:cstheme="majorBidi"/>
      <w:bCs/>
    </w:rPr>
  </w:style>
  <w:style w:type="paragraph" w:styleId="Heading4">
    <w:name w:val="heading 4"/>
    <w:basedOn w:val="Normal"/>
    <w:link w:val="Heading4Char"/>
    <w:uiPriority w:val="9"/>
    <w:semiHidden/>
    <w:unhideWhenUsed/>
    <w:qFormat/>
    <w:pPr>
      <w:keepNext/>
      <w:keepLines/>
      <w:numPr>
        <w:ilvl w:val="3"/>
        <w:numId w:val="4"/>
      </w:numPr>
      <w:spacing w:after="24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240"/>
      <w:ind w:left="1440" w:right="1440"/>
    </w:pPr>
  </w:style>
  <w:style w:type="paragraph" w:customStyle="1" w:styleId="bcc">
    <w:name w:val="bcc"/>
    <w:basedOn w:val="Normal"/>
    <w:pPr>
      <w:tabs>
        <w:tab w:val="left" w:pos="700"/>
      </w:tabs>
      <w:ind w:left="700" w:hanging="700"/>
    </w:pPr>
  </w:style>
  <w:style w:type="paragraph" w:customStyle="1" w:styleId="PersonalInfo">
    <w:name w:val="PersonalInfo"/>
    <w:basedOn w:val="Normal"/>
    <w:next w:val="Normal"/>
    <w:pPr>
      <w:ind w:left="7488"/>
    </w:pPr>
    <w:rPr>
      <w:sz w:val="16"/>
    </w:rPr>
  </w:style>
  <w:style w:type="paragraph" w:customStyle="1" w:styleId="LetterDate">
    <w:name w:val="LetterDate"/>
    <w:basedOn w:val="Normal"/>
    <w:next w:val="Normal"/>
    <w:pPr>
      <w:jc w:val="center"/>
    </w:pPr>
    <w:rPr>
      <w:noProof/>
    </w:rPr>
  </w:style>
  <w:style w:type="paragraph" w:customStyle="1" w:styleId="DeliveryMethod">
    <w:name w:val="DeliveryMethod"/>
    <w:basedOn w:val="Normal"/>
    <w:next w:val="Normal"/>
    <w:pPr>
      <w:spacing w:after="240"/>
    </w:pPr>
    <w:rPr>
      <w:b/>
      <w:caps/>
      <w:u w:val="single"/>
    </w:rPr>
  </w:style>
  <w:style w:type="paragraph" w:customStyle="1" w:styleId="RecipientName">
    <w:name w:val="RecipientName"/>
    <w:next w:val="RecipientAddress"/>
    <w:rPr>
      <w:rFonts w:ascii="Arial" w:hAnsi="Arial" w:cs="Arial"/>
      <w:sz w:val="23"/>
    </w:rPr>
  </w:style>
  <w:style w:type="paragraph" w:customStyle="1" w:styleId="RecipientAddress">
    <w:name w:val="RecipientAddress"/>
    <w:rPr>
      <w:rFonts w:ascii="Arial" w:hAnsi="Arial"/>
      <w:sz w:val="23"/>
      <w:szCs w:val="23"/>
    </w:rPr>
  </w:style>
  <w:style w:type="paragraph" w:customStyle="1" w:styleId="ReLine">
    <w:name w:val="ReLine"/>
    <w:basedOn w:val="Normal"/>
    <w:next w:val="Normal"/>
    <w:pPr>
      <w:ind w:left="1440" w:hanging="720"/>
    </w:pPr>
  </w:style>
  <w:style w:type="paragraph" w:styleId="Salutation">
    <w:name w:val="Salutation"/>
    <w:basedOn w:val="Normal"/>
    <w:next w:val="Normal"/>
    <w:semiHidden/>
    <w:pPr>
      <w:spacing w:after="240"/>
    </w:pPr>
  </w:style>
  <w:style w:type="paragraph" w:styleId="BodyText">
    <w:name w:val="Body Text"/>
    <w:basedOn w:val="Normal"/>
    <w:link w:val="BodyTextChar"/>
    <w:semiHidden/>
    <w:pPr>
      <w:spacing w:after="240"/>
    </w:pPr>
  </w:style>
  <w:style w:type="paragraph" w:styleId="Closing">
    <w:name w:val="Closing"/>
    <w:basedOn w:val="Normal"/>
    <w:semiHidden/>
  </w:style>
  <w:style w:type="paragraph" w:customStyle="1" w:styleId="Initials">
    <w:name w:val="Initials"/>
    <w:basedOn w:val="Normal"/>
    <w:next w:val="Normal"/>
  </w:style>
  <w:style w:type="paragraph" w:customStyle="1" w:styleId="SenderName">
    <w:name w:val="SenderName"/>
    <w:basedOn w:val="Normal"/>
    <w:next w:val="Normal"/>
  </w:style>
  <w:style w:type="paragraph" w:customStyle="1" w:styleId="Enclosure">
    <w:name w:val="Enclosure"/>
    <w:basedOn w:val="Normal"/>
    <w:next w:val="Normal"/>
  </w:style>
  <w:style w:type="paragraph" w:customStyle="1" w:styleId="ioc">
    <w:name w:val="ioc"/>
    <w:basedOn w:val="Normal"/>
    <w:next w:val="Normal"/>
    <w:pPr>
      <w:tabs>
        <w:tab w:val="left" w:pos="720"/>
      </w:tabs>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1Char">
    <w:name w:val="Heading 1 Char"/>
    <w:basedOn w:val="DefaultParagraphFont"/>
    <w:link w:val="Heading1"/>
    <w:uiPriority w:val="9"/>
    <w:rPr>
      <w:rFonts w:ascii="Arial" w:eastAsiaTheme="majorEastAsia" w:hAnsi="Arial" w:cstheme="majorBidi"/>
      <w:bCs/>
      <w:sz w:val="23"/>
      <w:szCs w:val="28"/>
    </w:rPr>
  </w:style>
  <w:style w:type="character" w:customStyle="1" w:styleId="Heading2Char">
    <w:name w:val="Heading 2 Char"/>
    <w:basedOn w:val="DefaultParagraphFont"/>
    <w:link w:val="Heading2"/>
    <w:uiPriority w:val="9"/>
    <w:rPr>
      <w:rFonts w:ascii="Arial" w:eastAsiaTheme="majorEastAsia" w:hAnsi="Arial" w:cstheme="majorBidi"/>
      <w:bCs/>
      <w:sz w:val="23"/>
      <w:szCs w:val="26"/>
    </w:rPr>
  </w:style>
  <w:style w:type="character" w:customStyle="1" w:styleId="Heading3Char">
    <w:name w:val="Heading 3 Char"/>
    <w:basedOn w:val="DefaultParagraphFont"/>
    <w:link w:val="Heading3"/>
    <w:uiPriority w:val="9"/>
    <w:rPr>
      <w:rFonts w:ascii="Arial" w:eastAsiaTheme="majorEastAsia" w:hAnsi="Arial" w:cstheme="majorBidi"/>
      <w:bCs/>
      <w:sz w:val="23"/>
    </w:rPr>
  </w:style>
  <w:style w:type="character" w:customStyle="1" w:styleId="Heading4Char">
    <w:name w:val="Heading 4 Char"/>
    <w:basedOn w:val="DefaultParagraphFont"/>
    <w:link w:val="Heading4"/>
    <w:uiPriority w:val="9"/>
    <w:rPr>
      <w:rFonts w:ascii="Arial" w:eastAsiaTheme="majorEastAsia" w:hAnsi="Arial" w:cstheme="majorBidi"/>
      <w:bCs/>
      <w:iCs/>
      <w:sz w:val="23"/>
    </w:rPr>
  </w:style>
  <w:style w:type="paragraph" w:styleId="FootnoteText">
    <w:name w:val="footnote text"/>
    <w:basedOn w:val="Normal"/>
    <w:link w:val="FootnoteTextChar"/>
    <w:uiPriority w:val="11"/>
    <w:qFormat/>
    <w:pPr>
      <w:spacing w:after="120"/>
    </w:pPr>
    <w:rPr>
      <w:rFonts w:cs="Times New Roman"/>
      <w:sz w:val="20"/>
    </w:rPr>
  </w:style>
  <w:style w:type="character" w:customStyle="1" w:styleId="FootnoteTextChar">
    <w:name w:val="Footnote Text Char"/>
    <w:basedOn w:val="DefaultParagraphFont"/>
    <w:link w:val="FootnoteText"/>
    <w:uiPriority w:val="11"/>
    <w:rPr>
      <w:rFonts w:ascii="Arial" w:hAnsi="Arial"/>
    </w:rPr>
  </w:style>
  <w:style w:type="paragraph" w:styleId="Caption">
    <w:name w:val="caption"/>
    <w:basedOn w:val="Normal"/>
    <w:next w:val="Normal"/>
    <w:uiPriority w:val="35"/>
    <w:semiHidden/>
    <w:unhideWhenUsed/>
    <w:qFormat/>
    <w:pPr>
      <w:spacing w:after="200"/>
    </w:pPr>
    <w:rPr>
      <w:rFonts w:cs="Times New Roman"/>
      <w:b/>
      <w:bCs/>
      <w:color w:val="4F81BD" w:themeColor="accent1"/>
      <w:sz w:val="18"/>
      <w:szCs w:val="18"/>
    </w:rPr>
  </w:style>
  <w:style w:type="paragraph" w:styleId="ListBullet">
    <w:name w:val="List Bullet"/>
    <w:basedOn w:val="Normal"/>
    <w:uiPriority w:val="99"/>
    <w:qFormat/>
    <w:pPr>
      <w:numPr>
        <w:numId w:val="6"/>
      </w:numPr>
      <w:spacing w:after="240"/>
      <w:contextualSpacing/>
    </w:pPr>
    <w:rPr>
      <w:rFonts w:cs="Times New Roman"/>
    </w:rPr>
  </w:style>
  <w:style w:type="paragraph" w:styleId="ListNumber">
    <w:name w:val="List Number"/>
    <w:basedOn w:val="Normal"/>
    <w:uiPriority w:val="99"/>
    <w:qFormat/>
    <w:pPr>
      <w:numPr>
        <w:numId w:val="8"/>
      </w:numPr>
      <w:spacing w:after="240"/>
      <w:contextualSpacing/>
    </w:pPr>
    <w:rPr>
      <w:rFonts w:cs="Times New Roman"/>
    </w:rPr>
  </w:style>
  <w:style w:type="paragraph" w:styleId="Title">
    <w:name w:val="Title"/>
    <w:basedOn w:val="Normal"/>
    <w:link w:val="TitleChar"/>
    <w:uiPriority w:val="3"/>
    <w:qFormat/>
    <w:pPr>
      <w:spacing w:after="240"/>
      <w:jc w:val="center"/>
    </w:pPr>
    <w:rPr>
      <w:rFonts w:eastAsiaTheme="majorEastAsia" w:cstheme="majorBidi"/>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rFonts w:cs="Times New Roman"/>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semiHidden/>
    <w:unhideWhenUsed/>
    <w:qFormat/>
    <w:pPr>
      <w:numPr>
        <w:numId w:val="0"/>
      </w:numPr>
      <w:spacing w:before="480"/>
      <w:outlineLvl w:val="9"/>
    </w:pPr>
    <w:rPr>
      <w:rFonts w:asciiTheme="majorHAnsi" w:hAnsiTheme="majorHAnsi"/>
      <w:b/>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rPr>
      <w:rFonts w:cs="Times New Roman"/>
    </w:rPr>
  </w:style>
  <w:style w:type="paragraph" w:customStyle="1" w:styleId="LeftIndent">
    <w:name w:val="Left Indent"/>
    <w:aliases w:val="LeftInd"/>
    <w:basedOn w:val="Normal"/>
    <w:uiPriority w:val="11"/>
    <w:qFormat/>
    <w:pPr>
      <w:spacing w:after="240"/>
      <w:ind w:left="720"/>
    </w:pPr>
    <w:rPr>
      <w:rFonts w:cs="Times New Roman"/>
    </w:rPr>
  </w:style>
  <w:style w:type="paragraph" w:customStyle="1" w:styleId="FirstLineIndent">
    <w:name w:val="First Line Indent"/>
    <w:aliases w:val="FirstInd"/>
    <w:basedOn w:val="Normal"/>
    <w:uiPriority w:val="1"/>
    <w:qFormat/>
    <w:pPr>
      <w:spacing w:after="240"/>
      <w:ind w:firstLine="720"/>
    </w:pPr>
    <w:rPr>
      <w:rFonts w:cs="Times New Roman"/>
    </w:rPr>
  </w:style>
  <w:style w:type="paragraph" w:customStyle="1" w:styleId="NoIndent">
    <w:name w:val="No Indent"/>
    <w:aliases w:val="NoInd"/>
    <w:basedOn w:val="Normal"/>
    <w:qFormat/>
    <w:pPr>
      <w:spacing w:after="240"/>
    </w:pPr>
    <w:rPr>
      <w:rFonts w:cs="Times New Roman"/>
    </w:rPr>
  </w:style>
  <w:style w:type="paragraph" w:customStyle="1" w:styleId="DoubleIndent5">
    <w:name w:val="Double Indent .5"/>
    <w:aliases w:val="DblInd5"/>
    <w:basedOn w:val="Normal"/>
    <w:uiPriority w:val="2"/>
    <w:qFormat/>
    <w:pPr>
      <w:spacing w:after="240"/>
      <w:ind w:left="720" w:right="720"/>
    </w:pPr>
    <w:rPr>
      <w:rFonts w:cs="Times New Roman"/>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sz w:val="24"/>
      <w:szCs w:val="24"/>
    </w:rPr>
  </w:style>
  <w:style w:type="character" w:customStyle="1" w:styleId="BodyTextChar">
    <w:name w:val="Body Text Char"/>
    <w:basedOn w:val="DefaultParagraphFont"/>
    <w:link w:val="BodyText"/>
    <w:semiHidden/>
    <w:rPr>
      <w:rFonts w:ascii="Arial" w:hAnsi="Arial" w:cs="Arial"/>
      <w:sz w:val="23"/>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rsid w:val="00690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Forms\MWN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MWNLetter.dotm</Template>
  <TotalTime>24</TotalTime>
  <Pages>3</Pages>
  <Words>750</Words>
  <Characters>4196</Characters>
  <Application>Microsoft Office Word</Application>
  <DocSecurity>0</DocSecurity>
  <PresentationFormat/>
  <Lines>98</Lines>
  <Paragraphs>30</Paragraphs>
  <ScaleCrop>false</ScaleCrop>
  <HeadingPairs>
    <vt:vector size="2" baseType="variant">
      <vt:variant>
        <vt:lpstr>Title</vt:lpstr>
      </vt:variant>
      <vt:variant>
        <vt:i4>1</vt:i4>
      </vt:variant>
    </vt:vector>
  </HeadingPairs>
  <TitlesOfParts>
    <vt:vector size="1" baseType="lpstr">
      <vt:lpstr>12-1450 Cleveland Thermal/Carter Manor Letter to Barcy McNeal (C41984).DOCX</vt:lpstr>
    </vt:vector>
  </TitlesOfParts>
  <Company>McNees Wallace &amp; Nurick</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12-1450 Cleveland Thermal/Carter Manor Letter to Barcy McNeal (C41984).DOCX</dc:title>
  <dc:subject>C41984: /font=8</dc:subject>
  <dc:creator>Karen Bowman</dc:creator>
  <cp:lastModifiedBy>Karen Bowman</cp:lastModifiedBy>
  <cp:revision>5</cp:revision>
  <cp:lastPrinted>2013-11-04T16:18:00Z</cp:lastPrinted>
  <dcterms:created xsi:type="dcterms:W3CDTF">2013-11-04T14:44:00Z</dcterms:created>
  <dcterms:modified xsi:type="dcterms:W3CDTF">2013-11-04T16:22:00Z</dcterms:modified>
</cp:coreProperties>
</file>