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4B40CE" w:rsidP="00087F10" w14:paraId="5F37D9D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4B40CE">
        <w:rPr>
          <w:rFonts w:ascii="Times New Roman" w:hAnsi="Times New Roman" w:cs="Times New Roman"/>
          <w:b/>
          <w:bCs/>
          <w:sz w:val="24"/>
          <w:szCs w:val="24"/>
        </w:rPr>
        <w:t>BEFORE</w:t>
      </w:r>
    </w:p>
    <w:p w:rsidR="00087F10" w:rsidRPr="004B40CE" w:rsidP="00087F10" w14:paraId="0BA12A2D" w14:textId="06E2E9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B40CE">
        <w:rPr>
          <w:rFonts w:ascii="Times New Roman" w:hAnsi="Times New Roman" w:cs="Times New Roman"/>
          <w:b/>
          <w:bCs/>
          <w:sz w:val="24"/>
          <w:szCs w:val="24"/>
        </w:rPr>
        <w:t>THE PUBLIC UTILITIES COMMISSION OF OHIO</w:t>
      </w:r>
    </w:p>
    <w:p w:rsidR="00087F10" w:rsidRPr="004B40CE" w:rsidP="00087F10" w14:paraId="392BC03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9008" w:type="dxa"/>
        <w:tblLook w:val="01E0"/>
      </w:tblPr>
      <w:tblGrid>
        <w:gridCol w:w="4248"/>
        <w:gridCol w:w="360"/>
        <w:gridCol w:w="4400"/>
      </w:tblGrid>
      <w:tr w14:paraId="2598DE98" w14:textId="77777777" w:rsidTr="00087F10">
        <w:tblPrEx>
          <w:tblW w:w="9008" w:type="dxa"/>
          <w:tblLook w:val="01E0"/>
        </w:tblPrEx>
        <w:trPr>
          <w:trHeight w:val="807"/>
        </w:trPr>
        <w:tc>
          <w:tcPr>
            <w:tcW w:w="4248" w:type="dxa"/>
            <w:shd w:val="clear" w:color="auto" w:fill="auto"/>
          </w:tcPr>
          <w:p w:rsidR="00087F10" w:rsidRPr="004B40CE" w:rsidP="00F719F4" w14:paraId="5E78B240" w14:textId="4B72A613">
            <w:r w:rsidRPr="004B40CE">
              <w:t>In the Matter of the Application of Duke Energy Ohio, Inc., for Authority to Change Accounting Methods.</w:t>
            </w:r>
          </w:p>
        </w:tc>
        <w:tc>
          <w:tcPr>
            <w:tcW w:w="360" w:type="dxa"/>
            <w:shd w:val="clear" w:color="auto" w:fill="auto"/>
          </w:tcPr>
          <w:p w:rsidR="00087F10" w:rsidRPr="004B40CE" w:rsidP="00087F10" w14:paraId="575B1FA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p w:rsidR="00087F10" w:rsidRPr="004B40CE" w:rsidP="00087F10" w14:paraId="5DDA6B2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p w:rsidR="00087F10" w:rsidRPr="004B40CE" w:rsidP="00F719F4" w14:paraId="1F4D0844" w14:textId="3F6CC9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tc>
        <w:tc>
          <w:tcPr>
            <w:tcW w:w="4400" w:type="dxa"/>
            <w:shd w:val="clear" w:color="auto" w:fill="auto"/>
          </w:tcPr>
          <w:p w:rsidR="00087F10" w:rsidRPr="004B40CE" w:rsidP="00087F10" w14:paraId="6942D76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087F10" w:rsidRPr="004B40CE" w:rsidP="00087F10" w14:paraId="444EFEFC" w14:textId="6C5138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Case No. 20-</w:t>
            </w:r>
            <w:r w:rsidRPr="004B40CE" w:rsidR="00DB5FFF">
              <w:rPr>
                <w:rFonts w:ascii="Times New Roman" w:hAnsi="Times New Roman" w:cs="Times New Roman"/>
                <w:sz w:val="24"/>
                <w:szCs w:val="24"/>
              </w:rPr>
              <w:t>1</w:t>
            </w:r>
            <w:r w:rsidRPr="004B40CE" w:rsidR="00F719F4">
              <w:rPr>
                <w:rFonts w:ascii="Times New Roman" w:hAnsi="Times New Roman" w:cs="Times New Roman"/>
                <w:sz w:val="24"/>
                <w:szCs w:val="24"/>
              </w:rPr>
              <w:t>011</w:t>
            </w:r>
            <w:r w:rsidRPr="004B40CE">
              <w:rPr>
                <w:rFonts w:ascii="Times New Roman" w:hAnsi="Times New Roman" w:cs="Times New Roman"/>
                <w:sz w:val="24"/>
                <w:szCs w:val="24"/>
              </w:rPr>
              <w:t>-GE-</w:t>
            </w:r>
            <w:r w:rsidRPr="004B40CE" w:rsidR="00F719F4">
              <w:rPr>
                <w:rFonts w:ascii="Times New Roman" w:hAnsi="Times New Roman" w:cs="Times New Roman"/>
                <w:sz w:val="24"/>
                <w:szCs w:val="24"/>
              </w:rPr>
              <w:t>AAM</w:t>
            </w:r>
          </w:p>
        </w:tc>
      </w:tr>
    </w:tbl>
    <w:p w:rsidR="00087F10" w:rsidRPr="004B40CE" w:rsidP="00087F10" w14:paraId="4988609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DB0ACF" w:rsidRPr="004B40CE" w14:paraId="3668A87F" w14:textId="77777777">
      <w:pPr>
        <w:pStyle w:val="HTMLPreformatted"/>
        <w:pBdr>
          <w:top w:val="single" w:sz="12" w:space="1" w:color="auto"/>
        </w:pBdr>
        <w:rPr>
          <w:rFonts w:ascii="Times New Roman" w:hAnsi="Times New Roman" w:cs="Times New Roman"/>
          <w:sz w:val="24"/>
          <w:szCs w:val="24"/>
        </w:rPr>
      </w:pPr>
    </w:p>
    <w:p w:rsidR="004020C4" w:rsidRPr="004B40CE" w14:paraId="5AC8A1E0" w14:textId="77777777">
      <w:pPr>
        <w:jc w:val="center"/>
        <w:rPr>
          <w:b/>
          <w:bCs/>
        </w:rPr>
      </w:pPr>
      <w:r w:rsidRPr="004B40CE">
        <w:rPr>
          <w:b/>
          <w:bCs/>
        </w:rPr>
        <w:t>MOTION TO INTERVENE</w:t>
      </w:r>
      <w:r w:rsidRPr="004B40CE" w:rsidR="00F719F4">
        <w:rPr>
          <w:b/>
          <w:bCs/>
        </w:rPr>
        <w:t xml:space="preserve"> </w:t>
      </w:r>
    </w:p>
    <w:p w:rsidR="004020C4" w:rsidRPr="004B40CE" w14:paraId="6764D30D" w14:textId="77777777">
      <w:pPr>
        <w:jc w:val="center"/>
        <w:rPr>
          <w:b/>
          <w:bCs/>
        </w:rPr>
      </w:pPr>
      <w:r w:rsidRPr="004B40CE">
        <w:rPr>
          <w:b/>
          <w:bCs/>
        </w:rPr>
        <w:t xml:space="preserve">AND </w:t>
      </w:r>
    </w:p>
    <w:p w:rsidR="00DB0ACF" w:rsidRPr="004B40CE" w14:paraId="6814DA04" w14:textId="5DF6FD6B">
      <w:pPr>
        <w:jc w:val="center"/>
        <w:rPr>
          <w:b/>
          <w:bCs/>
        </w:rPr>
      </w:pPr>
      <w:r w:rsidRPr="004B40CE">
        <w:rPr>
          <w:b/>
          <w:bCs/>
        </w:rPr>
        <w:t>COMMENTS</w:t>
      </w:r>
      <w:r w:rsidRPr="004B40CE" w:rsidR="00C84C88">
        <w:rPr>
          <w:b/>
          <w:bCs/>
        </w:rPr>
        <w:t xml:space="preserve"> FOR CONSUMER PROTECTION</w:t>
      </w:r>
    </w:p>
    <w:p w:rsidR="00DB0ACF" w:rsidRPr="004B40CE" w14:paraId="02FCA90B" w14:textId="77777777">
      <w:pPr>
        <w:jc w:val="center"/>
        <w:rPr>
          <w:b/>
          <w:bCs/>
        </w:rPr>
      </w:pPr>
      <w:r w:rsidRPr="004B40CE">
        <w:rPr>
          <w:b/>
          <w:bCs/>
        </w:rPr>
        <w:t>BY</w:t>
      </w:r>
    </w:p>
    <w:p w:rsidR="00DB0ACF" w:rsidRPr="004B40CE" w14:paraId="31EDB974" w14:textId="77777777">
      <w:pPr>
        <w:jc w:val="center"/>
        <w:rPr>
          <w:b/>
          <w:bCs/>
        </w:rPr>
      </w:pPr>
      <w:r w:rsidRPr="004B40CE">
        <w:rPr>
          <w:b/>
          <w:bCs/>
        </w:rPr>
        <w:t>THE OFFICE OF THE OHIO CONSUMERS’ COUNSEL</w:t>
      </w:r>
    </w:p>
    <w:p w:rsidR="00DB0ACF" w:rsidRPr="004B40CE" w14:paraId="07F0624D" w14:textId="77777777">
      <w:pPr>
        <w:pBdr>
          <w:bottom w:val="single" w:sz="12" w:space="1" w:color="auto"/>
        </w:pBdr>
        <w:tabs>
          <w:tab w:val="left" w:pos="4320"/>
        </w:tabs>
      </w:pPr>
    </w:p>
    <w:p w:rsidR="00DB0ACF" w:rsidRPr="004B40CE" w14:paraId="2BF7CF35" w14:textId="77777777">
      <w:pPr>
        <w:tabs>
          <w:tab w:val="left" w:pos="4320"/>
        </w:tabs>
      </w:pPr>
    </w:p>
    <w:p w:rsidR="00634606" w:rsidRPr="004B40CE" w:rsidP="00634606" w14:paraId="44F1A2BA" w14:textId="77777777">
      <w:pPr>
        <w:pStyle w:val="Answer"/>
        <w:ind w:left="0" w:firstLine="720"/>
        <w:rPr>
          <w:rFonts w:ascii="Times New Roman" w:hAnsi="Times New Roman"/>
          <w:sz w:val="24"/>
          <w:szCs w:val="24"/>
        </w:rPr>
      </w:pPr>
      <w:r w:rsidRPr="004B40CE">
        <w:rPr>
          <w:rFonts w:ascii="Times New Roman" w:hAnsi="Times New Roman"/>
          <w:sz w:val="24"/>
          <w:szCs w:val="24"/>
        </w:rPr>
        <w:t>Ohio consumers are facing perilous times – a health crisis and an ensuing personal-finance crisis. The harm to Ohioans from these crises will persist for some time, potentially years, after the formal health emergency ends.  In the city of Cincinnati, even before the crisis, residents already were at risk with poverty at 28.7% of the population. In Hamilton County, before the crisis, residents were at risk with food-insecurity at 17.2%. These already dire circumstances are now greatly magnified for people.  Unemployment in the country is now considered the worst since the Great Depression.</w:t>
      </w:r>
    </w:p>
    <w:p w:rsidR="00634606" w:rsidRPr="004B40CE" w:rsidP="00634606" w14:paraId="03C8AF16" w14:textId="3F981F65">
      <w:pPr>
        <w:pStyle w:val="Answer"/>
        <w:ind w:left="0" w:firstLine="720"/>
        <w:rPr>
          <w:rFonts w:ascii="Times New Roman" w:hAnsi="Times New Roman"/>
          <w:sz w:val="24"/>
          <w:szCs w:val="24"/>
        </w:rPr>
      </w:pPr>
      <w:r w:rsidRPr="004B40CE">
        <w:rPr>
          <w:rFonts w:ascii="Times New Roman" w:hAnsi="Times New Roman"/>
          <w:sz w:val="24"/>
          <w:szCs w:val="24"/>
        </w:rPr>
        <w:t xml:space="preserve">Against this backdrop of human suffering, the Public Utilities Commission of Ohio (“PUCO”) rightfully ordered public utilities to file plans for the protection of their customers.    Duke filed proposals on March 19, April 16, and May 4 for assisting its 718,000 electric customers and 432,000 natural gas customers during the health emergency. </w:t>
      </w:r>
    </w:p>
    <w:p w:rsidR="004020C4" w:rsidRPr="004B40CE" w:rsidP="00634606" w14:paraId="3563BB83" w14:textId="77777777">
      <w:pPr>
        <w:pStyle w:val="BodyTextIndent3"/>
        <w:widowControl w:val="0"/>
        <w:spacing w:line="480" w:lineRule="auto"/>
        <w:ind w:right="-312"/>
        <w:rPr>
          <w:szCs w:val="24"/>
        </w:rPr>
        <w:sectPr>
          <w:footerReference w:type="default" r:id="rId6"/>
          <w:footerReference w:type="first" r:id="rId7"/>
          <w:pgSz w:w="12240" w:h="15840"/>
          <w:pgMar w:top="1440" w:right="1800" w:bottom="1440" w:left="1800" w:header="720" w:footer="720" w:gutter="0"/>
          <w:cols w:space="720"/>
          <w:titlePg/>
          <w:docGrid w:linePitch="65"/>
        </w:sectPr>
      </w:pPr>
      <w:r w:rsidRPr="004B40CE">
        <w:rPr>
          <w:szCs w:val="24"/>
        </w:rPr>
        <w:t xml:space="preserve">Now Duke is seeking </w:t>
      </w:r>
      <w:r w:rsidRPr="004B40CE" w:rsidR="005A6388">
        <w:rPr>
          <w:color w:val="000000"/>
          <w:szCs w:val="24"/>
        </w:rPr>
        <w:t xml:space="preserve">authority </w:t>
      </w:r>
      <w:r w:rsidRPr="004B40CE" w:rsidR="00545712">
        <w:rPr>
          <w:color w:val="000000"/>
          <w:szCs w:val="24"/>
        </w:rPr>
        <w:t xml:space="preserve">to </w:t>
      </w:r>
      <w:r w:rsidRPr="004B40CE" w:rsidR="00017391">
        <w:rPr>
          <w:color w:val="000000"/>
          <w:szCs w:val="24"/>
        </w:rPr>
        <w:t>defer</w:t>
      </w:r>
      <w:r w:rsidRPr="004B40CE" w:rsidR="00545712">
        <w:rPr>
          <w:color w:val="000000"/>
          <w:szCs w:val="24"/>
        </w:rPr>
        <w:t xml:space="preserve"> for later collection </w:t>
      </w:r>
      <w:r w:rsidRPr="004B40CE" w:rsidR="00017391">
        <w:rPr>
          <w:color w:val="000000"/>
          <w:szCs w:val="24"/>
        </w:rPr>
        <w:t xml:space="preserve">from consumers costs </w:t>
      </w:r>
      <w:r w:rsidRPr="004B40CE" w:rsidR="005A6388">
        <w:rPr>
          <w:color w:val="000000"/>
          <w:szCs w:val="24"/>
        </w:rPr>
        <w:t>related to its emergency plan</w:t>
      </w:r>
      <w:r w:rsidRPr="004B40CE" w:rsidR="00545712">
        <w:rPr>
          <w:color w:val="000000"/>
          <w:szCs w:val="24"/>
        </w:rPr>
        <w:t>.</w:t>
      </w:r>
      <w:r w:rsidRPr="004B40CE" w:rsidR="00634606">
        <w:rPr>
          <w:szCs w:val="24"/>
        </w:rPr>
        <w:t xml:space="preserve">  </w:t>
      </w:r>
      <w:r w:rsidRPr="004B40CE" w:rsidR="003E2867">
        <w:rPr>
          <w:szCs w:val="24"/>
        </w:rPr>
        <w:t xml:space="preserve">The </w:t>
      </w:r>
      <w:r w:rsidRPr="004B40CE" w:rsidR="00EB495B">
        <w:rPr>
          <w:szCs w:val="24"/>
        </w:rPr>
        <w:t xml:space="preserve"> Office of the Ohio Consumers’ Counsel (“OCC”) moves to intervene</w:t>
      </w:r>
      <w:r w:rsidRPr="004B40CE" w:rsidR="003E2867">
        <w:rPr>
          <w:szCs w:val="24"/>
        </w:rPr>
        <w:t xml:space="preserve"> </w:t>
      </w:r>
      <w:r w:rsidRPr="004B40CE" w:rsidR="00634606">
        <w:rPr>
          <w:szCs w:val="24"/>
        </w:rPr>
        <w:t xml:space="preserve">and file comments </w:t>
      </w:r>
      <w:r w:rsidRPr="004B40CE" w:rsidR="003E2867">
        <w:rPr>
          <w:szCs w:val="24"/>
        </w:rPr>
        <w:t xml:space="preserve">to protect the interest of </w:t>
      </w:r>
      <w:r w:rsidRPr="004B40CE" w:rsidR="00FB3DF9">
        <w:rPr>
          <w:szCs w:val="24"/>
        </w:rPr>
        <w:t xml:space="preserve">639,000 </w:t>
      </w:r>
      <w:r w:rsidRPr="004B40CE" w:rsidR="003E2867">
        <w:rPr>
          <w:szCs w:val="24"/>
        </w:rPr>
        <w:t xml:space="preserve">residential </w:t>
      </w:r>
      <w:r w:rsidRPr="004B40CE" w:rsidR="00FB3DF9">
        <w:rPr>
          <w:szCs w:val="24"/>
        </w:rPr>
        <w:t xml:space="preserve">electric and </w:t>
      </w:r>
    </w:p>
    <w:p w:rsidR="00634606" w:rsidRPr="004B40CE" w:rsidP="004020C4" w14:paraId="17B9FBA0" w14:textId="68BCFDDB">
      <w:pPr>
        <w:pStyle w:val="BodyTextIndent3"/>
        <w:widowControl w:val="0"/>
        <w:spacing w:line="480" w:lineRule="auto"/>
        <w:ind w:right="-312" w:firstLine="0"/>
        <w:rPr>
          <w:szCs w:val="24"/>
        </w:rPr>
      </w:pPr>
      <w:r w:rsidRPr="004B40CE">
        <w:rPr>
          <w:szCs w:val="24"/>
        </w:rPr>
        <w:t xml:space="preserve">394,000 residential gas utility </w:t>
      </w:r>
      <w:r w:rsidRPr="004B40CE" w:rsidR="003E2867">
        <w:rPr>
          <w:szCs w:val="24"/>
        </w:rPr>
        <w:t xml:space="preserve">customers who </w:t>
      </w:r>
      <w:r w:rsidRPr="004B40CE" w:rsidR="00B56965">
        <w:rPr>
          <w:szCs w:val="24"/>
        </w:rPr>
        <w:t xml:space="preserve">will be </w:t>
      </w:r>
      <w:r w:rsidRPr="004B40CE" w:rsidR="00240C0A">
        <w:rPr>
          <w:szCs w:val="24"/>
        </w:rPr>
        <w:t xml:space="preserve">impacted by, and will </w:t>
      </w:r>
      <w:r w:rsidRPr="004B40CE" w:rsidR="009A4FE8">
        <w:rPr>
          <w:szCs w:val="24"/>
        </w:rPr>
        <w:t xml:space="preserve">likely </w:t>
      </w:r>
      <w:r w:rsidRPr="004B40CE" w:rsidR="00240C0A">
        <w:rPr>
          <w:szCs w:val="24"/>
        </w:rPr>
        <w:t xml:space="preserve">be asked to pay for, </w:t>
      </w:r>
      <w:r w:rsidRPr="004B40CE">
        <w:rPr>
          <w:szCs w:val="24"/>
        </w:rPr>
        <w:t>Duke’s</w:t>
      </w:r>
      <w:r w:rsidRPr="004B40CE" w:rsidR="00912B67">
        <w:rPr>
          <w:szCs w:val="24"/>
        </w:rPr>
        <w:t xml:space="preserve"> </w:t>
      </w:r>
      <w:r w:rsidRPr="004B40CE">
        <w:rPr>
          <w:szCs w:val="24"/>
        </w:rPr>
        <w:t>proposal</w:t>
      </w:r>
      <w:r w:rsidRPr="004B40CE" w:rsidR="00240C0A">
        <w:rPr>
          <w:szCs w:val="24"/>
        </w:rPr>
        <w:t>.</w:t>
      </w:r>
      <w:r>
        <w:rPr>
          <w:rStyle w:val="FootnoteReference"/>
          <w:szCs w:val="24"/>
        </w:rPr>
        <w:footnoteReference w:id="3"/>
      </w:r>
      <w:r w:rsidRPr="004B40CE" w:rsidR="009602A6">
        <w:rPr>
          <w:szCs w:val="24"/>
        </w:rPr>
        <w:t xml:space="preserve"> </w:t>
      </w:r>
    </w:p>
    <w:p w:rsidR="00812543" w:rsidRPr="004B40CE" w:rsidP="00634606" w14:paraId="71081D31" w14:textId="55F79FCA">
      <w:pPr>
        <w:pStyle w:val="BodyTextIndent3"/>
        <w:widowControl w:val="0"/>
        <w:spacing w:line="480" w:lineRule="auto"/>
        <w:ind w:right="-312"/>
        <w:rPr>
          <w:szCs w:val="24"/>
        </w:rPr>
      </w:pPr>
      <w:r w:rsidRPr="004B40CE">
        <w:rPr>
          <w:szCs w:val="24"/>
        </w:rPr>
        <w:t>The PUCO should grant OCC’s motion to intervene for the reasons set forth in the attached memorandum in support.</w:t>
      </w:r>
    </w:p>
    <w:p w:rsidR="00F1170B" w:rsidRPr="004B40CE" w:rsidP="00F1170B" w14:paraId="607FCE00" w14:textId="352FCD44">
      <w:pPr>
        <w:pStyle w:val="BodyTextIndent3"/>
        <w:widowControl w:val="0"/>
        <w:spacing w:line="480" w:lineRule="auto"/>
        <w:ind w:left="3600" w:right="-312" w:firstLine="0"/>
        <w:rPr>
          <w:szCs w:val="24"/>
        </w:rPr>
      </w:pPr>
      <w:r w:rsidRPr="004B40CE">
        <w:rPr>
          <w:szCs w:val="24"/>
        </w:rPr>
        <w:t>Respectfully submitted,</w:t>
      </w:r>
    </w:p>
    <w:p w:rsidR="00F1170B" w:rsidRPr="004B40CE" w:rsidP="00F1170B" w14:paraId="220EBD8E" w14:textId="77777777">
      <w:pPr>
        <w:pStyle w:val="Footer"/>
        <w:tabs>
          <w:tab w:val="left" w:pos="4320"/>
          <w:tab w:val="clear" w:pos="8640"/>
        </w:tabs>
        <w:ind w:left="3600"/>
        <w:rPr>
          <w:sz w:val="24"/>
          <w:szCs w:val="24"/>
        </w:rPr>
      </w:pPr>
      <w:r w:rsidRPr="004B40CE">
        <w:rPr>
          <w:sz w:val="24"/>
          <w:szCs w:val="24"/>
        </w:rPr>
        <w:t>Bruce Weston (0016973)</w:t>
      </w:r>
    </w:p>
    <w:p w:rsidR="00F1170B" w:rsidRPr="004B40CE" w:rsidP="00F1170B" w14:paraId="2A8AA51D" w14:textId="77777777">
      <w:pPr>
        <w:tabs>
          <w:tab w:val="left" w:pos="4320"/>
        </w:tabs>
        <w:ind w:left="3600"/>
      </w:pPr>
      <w:r w:rsidRPr="004B40CE">
        <w:t>Ohio Consumers’ Counsel</w:t>
      </w:r>
    </w:p>
    <w:p w:rsidR="00F1170B" w:rsidRPr="004B40CE" w:rsidP="00F1170B" w14:paraId="23ED09AD" w14:textId="77777777">
      <w:pPr>
        <w:tabs>
          <w:tab w:val="left" w:pos="4320"/>
        </w:tabs>
        <w:ind w:left="3600"/>
      </w:pPr>
      <w:r w:rsidRPr="004B40CE">
        <w:tab/>
      </w:r>
    </w:p>
    <w:p w:rsidR="00F1170B" w:rsidRPr="004B40CE" w:rsidP="00F1170B" w14:paraId="5798F7E8" w14:textId="0D76AA1F">
      <w:pPr>
        <w:tabs>
          <w:tab w:val="left" w:pos="4320"/>
        </w:tabs>
        <w:ind w:left="3600"/>
      </w:pPr>
      <w:r w:rsidRPr="004B40CE">
        <w:rPr>
          <w:i/>
          <w:u w:val="single"/>
        </w:rPr>
        <w:t>/s/ Ambrosia E.</w:t>
      </w:r>
      <w:r w:rsidRPr="004B40CE" w:rsidR="00125D6F">
        <w:rPr>
          <w:i/>
          <w:u w:val="single"/>
        </w:rPr>
        <w:t xml:space="preserve"> </w:t>
      </w:r>
      <w:r w:rsidRPr="004B40CE" w:rsidR="008265B1">
        <w:rPr>
          <w:i/>
          <w:u w:val="single"/>
        </w:rPr>
        <w:t>Wilson</w:t>
      </w:r>
      <w:r w:rsidRPr="004B40CE">
        <w:rPr>
          <w:i/>
          <w:u w:val="single"/>
        </w:rPr>
        <w:tab/>
      </w:r>
      <w:r w:rsidRPr="004B40CE">
        <w:rPr>
          <w:i/>
          <w:u w:val="single"/>
        </w:rPr>
        <w:tab/>
      </w:r>
      <w:r w:rsidRPr="004B40CE">
        <w:t xml:space="preserve"> </w:t>
      </w:r>
    </w:p>
    <w:p w:rsidR="00F1170B" w:rsidRPr="004B40CE" w:rsidP="00F1170B" w14:paraId="226B52C1" w14:textId="77777777">
      <w:pPr>
        <w:tabs>
          <w:tab w:val="left" w:pos="4320"/>
        </w:tabs>
        <w:ind w:left="3600"/>
      </w:pPr>
      <w:r w:rsidRPr="004B40CE">
        <w:t>William Michael (0070921)</w:t>
      </w:r>
    </w:p>
    <w:p w:rsidR="00F1170B" w:rsidRPr="004B40CE" w:rsidP="00F1170B" w14:paraId="0A5276EE" w14:textId="77777777">
      <w:pPr>
        <w:tabs>
          <w:tab w:val="left" w:pos="4320"/>
        </w:tabs>
        <w:ind w:left="3600"/>
      </w:pPr>
      <w:r w:rsidRPr="004B40CE">
        <w:t xml:space="preserve">Counsel of Record </w:t>
      </w:r>
    </w:p>
    <w:p w:rsidR="00F1170B" w:rsidRPr="004B40CE" w:rsidP="00F1170B" w14:paraId="18A94083" w14:textId="534CFCE3">
      <w:pPr>
        <w:tabs>
          <w:tab w:val="left" w:pos="4320"/>
        </w:tabs>
        <w:ind w:left="3600"/>
      </w:pPr>
      <w:r w:rsidRPr="004B40CE">
        <w:t xml:space="preserve">Ambrosia E. </w:t>
      </w:r>
      <w:r w:rsidRPr="004B40CE" w:rsidR="008265B1">
        <w:t>Wilson</w:t>
      </w:r>
      <w:r w:rsidRPr="004B40CE">
        <w:t xml:space="preserve"> (0096598)</w:t>
      </w:r>
    </w:p>
    <w:p w:rsidR="00F1170B" w:rsidRPr="004B40CE" w:rsidP="00F1170B" w14:paraId="301C8FF9" w14:textId="77777777">
      <w:pPr>
        <w:tabs>
          <w:tab w:val="left" w:pos="4320"/>
        </w:tabs>
        <w:ind w:left="3600"/>
      </w:pPr>
      <w:r w:rsidRPr="004B40CE">
        <w:t>Assistant Consumers’ Counsel</w:t>
      </w:r>
    </w:p>
    <w:p w:rsidR="00F1170B" w:rsidRPr="004B40CE" w:rsidP="00F1170B" w14:paraId="52CC07A4" w14:textId="77777777">
      <w:pPr>
        <w:tabs>
          <w:tab w:val="left" w:pos="4320"/>
        </w:tabs>
        <w:ind w:left="3600"/>
      </w:pPr>
      <w:r w:rsidRPr="004B40CE">
        <w:tab/>
      </w:r>
    </w:p>
    <w:p w:rsidR="00F1170B" w:rsidRPr="004B40CE" w:rsidP="00F1170B" w14:paraId="784E03A7" w14:textId="77777777">
      <w:pPr>
        <w:pStyle w:val="Heading1"/>
        <w:ind w:left="3600" w:right="-648"/>
        <w:rPr>
          <w:u w:val="none"/>
        </w:rPr>
      </w:pPr>
      <w:r w:rsidRPr="004B40CE">
        <w:rPr>
          <w:u w:val="none"/>
        </w:rPr>
        <w:t>Office of the Ohio Consumers’ Counsel</w:t>
      </w:r>
    </w:p>
    <w:p w:rsidR="00F1170B" w:rsidRPr="004B40CE" w:rsidP="00F1170B" w14:paraId="63EF1F24" w14:textId="77777777">
      <w:pPr>
        <w:pStyle w:val="Heading1"/>
        <w:ind w:left="3600" w:right="-648"/>
        <w:rPr>
          <w:b w:val="0"/>
          <w:u w:val="none"/>
        </w:rPr>
      </w:pPr>
      <w:r w:rsidRPr="004B40CE">
        <w:rPr>
          <w:b w:val="0"/>
          <w:u w:val="none"/>
        </w:rPr>
        <w:t>65 East State Street, 7th Floor</w:t>
      </w:r>
    </w:p>
    <w:p w:rsidR="00F1170B" w:rsidRPr="004B40CE" w:rsidP="00F1170B" w14:paraId="678AA37C" w14:textId="77777777">
      <w:pPr>
        <w:pStyle w:val="Heading1"/>
        <w:ind w:left="3600" w:right="-648"/>
        <w:rPr>
          <w:b w:val="0"/>
          <w:u w:val="none"/>
        </w:rPr>
      </w:pPr>
      <w:r w:rsidRPr="004B40CE">
        <w:rPr>
          <w:b w:val="0"/>
          <w:u w:val="none"/>
        </w:rPr>
        <w:t>Columbus, Ohio 43215-4213</w:t>
      </w:r>
    </w:p>
    <w:p w:rsidR="00F1170B" w:rsidRPr="004B40CE" w:rsidP="00F1170B" w14:paraId="4CAEAC1B" w14:textId="77777777">
      <w:pPr>
        <w:autoSpaceDE w:val="0"/>
        <w:autoSpaceDN w:val="0"/>
        <w:adjustRightInd w:val="0"/>
        <w:ind w:left="3600"/>
      </w:pPr>
      <w:r w:rsidRPr="004B40CE">
        <w:t>Telephone [Michael]: (614) 466-1291</w:t>
      </w:r>
    </w:p>
    <w:p w:rsidR="00F1170B" w:rsidRPr="004B40CE" w:rsidP="00F1170B" w14:paraId="640D5C67" w14:textId="26F470F2">
      <w:pPr>
        <w:autoSpaceDE w:val="0"/>
        <w:autoSpaceDN w:val="0"/>
        <w:adjustRightInd w:val="0"/>
        <w:ind w:left="3600"/>
      </w:pPr>
      <w:r w:rsidRPr="004B40CE">
        <w:t>Telephone [</w:t>
      </w:r>
      <w:r w:rsidRPr="004B40CE" w:rsidR="008265B1">
        <w:t>Wilson</w:t>
      </w:r>
      <w:r w:rsidRPr="004B40CE" w:rsidR="00733872">
        <w:t>]</w:t>
      </w:r>
      <w:r w:rsidRPr="004B40CE">
        <w:t>: (614) 466-1292</w:t>
      </w:r>
    </w:p>
    <w:p w:rsidR="00F1170B" w:rsidRPr="004B40CE" w:rsidP="00F1170B" w14:paraId="3706D1DD" w14:textId="772630EE">
      <w:pPr>
        <w:autoSpaceDE w:val="0"/>
        <w:autoSpaceDN w:val="0"/>
        <w:adjustRightInd w:val="0"/>
        <w:ind w:left="3600"/>
      </w:pPr>
      <w:hyperlink r:id="rId8" w:history="1">
        <w:r w:rsidRPr="004B40CE" w:rsidR="00125D6F">
          <w:rPr>
            <w:rStyle w:val="Hyperlink"/>
          </w:rPr>
          <w:t>William.Michael@occ.ohio.gov</w:t>
        </w:r>
      </w:hyperlink>
    </w:p>
    <w:p w:rsidR="00F1170B" w:rsidRPr="004B40CE" w:rsidP="00F1170B" w14:paraId="1BADE5BA" w14:textId="69B64CCE">
      <w:pPr>
        <w:autoSpaceDE w:val="0"/>
        <w:autoSpaceDN w:val="0"/>
        <w:adjustRightInd w:val="0"/>
        <w:ind w:left="3600"/>
      </w:pPr>
      <w:hyperlink r:id="rId9" w:history="1">
        <w:r w:rsidRPr="004B40CE" w:rsidR="008265B1">
          <w:rPr>
            <w:rStyle w:val="Hyperlink"/>
          </w:rPr>
          <w:t>Ambrosia.wilson@occ.ohio.gov</w:t>
        </w:r>
      </w:hyperlink>
    </w:p>
    <w:p w:rsidR="00F1170B" w:rsidRPr="004B40CE" w:rsidP="00F1170B" w14:paraId="7899621F" w14:textId="77777777">
      <w:pPr>
        <w:ind w:left="3600"/>
      </w:pPr>
      <w:r w:rsidRPr="004B40CE">
        <w:t>(willing to accept service by e-mail)</w:t>
      </w:r>
    </w:p>
    <w:p w:rsidR="00DB0ACF" w:rsidRPr="004B40CE" w14:paraId="5DD2FB99" w14:textId="77777777">
      <w:pPr>
        <w:pStyle w:val="HTMLPreformatted"/>
        <w:jc w:val="center"/>
        <w:rPr>
          <w:rFonts w:ascii="Times New Roman" w:hAnsi="Times New Roman" w:cs="Times New Roman"/>
          <w:b/>
          <w:bCs/>
          <w:sz w:val="24"/>
          <w:szCs w:val="24"/>
        </w:rPr>
      </w:pPr>
    </w:p>
    <w:p w:rsidR="008265B1" w:rsidRPr="004B40CE" w14:paraId="414FA557" w14:textId="77777777">
      <w:pPr>
        <w:pStyle w:val="HTMLPreformatted"/>
        <w:jc w:val="center"/>
        <w:rPr>
          <w:rFonts w:ascii="Times New Roman" w:hAnsi="Times New Roman" w:cs="Times New Roman"/>
          <w:b/>
          <w:bCs/>
          <w:sz w:val="24"/>
          <w:szCs w:val="24"/>
        </w:rPr>
      </w:pPr>
    </w:p>
    <w:p w:rsidR="008265B1" w:rsidRPr="004B40CE" w14:paraId="7CA79307" w14:textId="77777777">
      <w:pPr>
        <w:pStyle w:val="HTMLPreformatted"/>
        <w:jc w:val="center"/>
        <w:rPr>
          <w:rFonts w:ascii="Times New Roman" w:hAnsi="Times New Roman" w:cs="Times New Roman"/>
          <w:b/>
          <w:bCs/>
          <w:sz w:val="24"/>
          <w:szCs w:val="24"/>
        </w:rPr>
      </w:pPr>
    </w:p>
    <w:p w:rsidR="008265B1" w:rsidRPr="004B40CE" w14:paraId="4930B79E" w14:textId="77777777">
      <w:pPr>
        <w:pStyle w:val="HTMLPreformatted"/>
        <w:jc w:val="center"/>
        <w:rPr>
          <w:rFonts w:ascii="Times New Roman" w:hAnsi="Times New Roman" w:cs="Times New Roman"/>
          <w:b/>
          <w:bCs/>
          <w:sz w:val="24"/>
          <w:szCs w:val="24"/>
        </w:rPr>
      </w:pPr>
    </w:p>
    <w:p w:rsidR="008265B1" w:rsidRPr="004B40CE" w14:paraId="69FBF8DF" w14:textId="77777777">
      <w:pPr>
        <w:pStyle w:val="HTMLPreformatted"/>
        <w:jc w:val="center"/>
        <w:rPr>
          <w:rFonts w:ascii="Times New Roman" w:hAnsi="Times New Roman" w:cs="Times New Roman"/>
          <w:b/>
          <w:bCs/>
          <w:sz w:val="24"/>
          <w:szCs w:val="24"/>
        </w:rPr>
        <w:sectPr>
          <w:footerReference w:type="first" r:id="rId10"/>
          <w:pgSz w:w="12240" w:h="15840"/>
          <w:pgMar w:top="1440" w:right="1800" w:bottom="1440" w:left="1800" w:header="720" w:footer="720" w:gutter="0"/>
          <w:cols w:space="720"/>
          <w:titlePg/>
          <w:docGrid w:linePitch="65"/>
        </w:sectPr>
      </w:pPr>
    </w:p>
    <w:p w:rsidR="00841A9F" w:rsidRPr="004B40CE" w:rsidP="00841A9F" w14:paraId="0647D090" w14:textId="77777777">
      <w:pPr>
        <w:pStyle w:val="HTMLPreformatted"/>
        <w:jc w:val="center"/>
        <w:rPr>
          <w:rFonts w:ascii="Times New Roman" w:hAnsi="Times New Roman" w:cs="Times New Roman"/>
          <w:b/>
          <w:bCs/>
          <w:sz w:val="24"/>
          <w:szCs w:val="24"/>
        </w:rPr>
      </w:pPr>
      <w:r w:rsidRPr="004B40CE">
        <w:rPr>
          <w:rFonts w:ascii="Times New Roman" w:hAnsi="Times New Roman" w:cs="Times New Roman"/>
          <w:b/>
          <w:bCs/>
          <w:sz w:val="24"/>
          <w:szCs w:val="24"/>
        </w:rPr>
        <w:t>BEFORE</w:t>
      </w:r>
    </w:p>
    <w:p w:rsidR="00841A9F" w:rsidRPr="004B40CE" w:rsidP="00841A9F" w14:paraId="0C18DCBD" w14:textId="7BB7F007">
      <w:pPr>
        <w:pStyle w:val="HTMLPreformatted"/>
        <w:jc w:val="center"/>
        <w:rPr>
          <w:rFonts w:ascii="Times New Roman" w:hAnsi="Times New Roman" w:cs="Times New Roman"/>
          <w:b/>
          <w:bCs/>
          <w:sz w:val="24"/>
          <w:szCs w:val="24"/>
        </w:rPr>
      </w:pPr>
      <w:r w:rsidRPr="004B40CE">
        <w:rPr>
          <w:rFonts w:ascii="Times New Roman" w:hAnsi="Times New Roman" w:cs="Times New Roman"/>
          <w:b/>
          <w:bCs/>
          <w:sz w:val="24"/>
          <w:szCs w:val="24"/>
        </w:rPr>
        <w:t>THE PUBLIC UTILITIES COMMISSION OF OHIO</w:t>
      </w:r>
    </w:p>
    <w:p w:rsidR="00087F10" w:rsidRPr="004B40CE" w:rsidP="00087F10" w14:paraId="24DBC95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9008" w:type="dxa"/>
        <w:tblLook w:val="01E0"/>
      </w:tblPr>
      <w:tblGrid>
        <w:gridCol w:w="4248"/>
        <w:gridCol w:w="360"/>
        <w:gridCol w:w="4400"/>
      </w:tblGrid>
      <w:tr w14:paraId="01291E72" w14:textId="77777777" w:rsidTr="00E366BF">
        <w:tblPrEx>
          <w:tblW w:w="9008" w:type="dxa"/>
          <w:tblLook w:val="01E0"/>
        </w:tblPrEx>
        <w:trPr>
          <w:trHeight w:val="807"/>
        </w:trPr>
        <w:tc>
          <w:tcPr>
            <w:tcW w:w="4248" w:type="dxa"/>
            <w:shd w:val="clear" w:color="auto" w:fill="auto"/>
          </w:tcPr>
          <w:p w:rsidR="00C84C88" w:rsidRPr="004B40CE" w:rsidP="00C84C88" w14:paraId="1EC8B141" w14:textId="2E423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In the Matter of the Application of Duke Energy Ohio, Inc., for Authority to Change Accounting Methods.</w:t>
            </w:r>
          </w:p>
        </w:tc>
        <w:tc>
          <w:tcPr>
            <w:tcW w:w="360" w:type="dxa"/>
            <w:shd w:val="clear" w:color="auto" w:fill="auto"/>
          </w:tcPr>
          <w:p w:rsidR="00C84C88" w:rsidRPr="004B40CE" w:rsidP="00C84C88" w14:paraId="3E724A8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p w:rsidR="00C84C88" w:rsidRPr="004B40CE" w:rsidP="00C84C88" w14:paraId="41A0DC6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p w:rsidR="00C84C88" w:rsidRPr="004B40CE" w:rsidP="00C84C88" w14:paraId="36AAF953" w14:textId="533435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w:t>
            </w:r>
          </w:p>
        </w:tc>
        <w:tc>
          <w:tcPr>
            <w:tcW w:w="4400" w:type="dxa"/>
            <w:shd w:val="clear" w:color="auto" w:fill="auto"/>
          </w:tcPr>
          <w:p w:rsidR="00C84C88" w:rsidRPr="004B40CE" w:rsidP="00C84C88" w14:paraId="29A8819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84C88" w:rsidRPr="004B40CE" w:rsidP="00C84C88" w14:paraId="200BD64D" w14:textId="445A57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B40CE">
              <w:rPr>
                <w:rFonts w:ascii="Times New Roman" w:hAnsi="Times New Roman" w:cs="Times New Roman"/>
                <w:sz w:val="24"/>
                <w:szCs w:val="24"/>
              </w:rPr>
              <w:t>Case No. 20-</w:t>
            </w:r>
            <w:r w:rsidRPr="004B40CE" w:rsidR="00DB5FFF">
              <w:rPr>
                <w:rFonts w:ascii="Times New Roman" w:hAnsi="Times New Roman" w:cs="Times New Roman"/>
                <w:sz w:val="24"/>
                <w:szCs w:val="24"/>
              </w:rPr>
              <w:t>1</w:t>
            </w:r>
            <w:r w:rsidRPr="004B40CE">
              <w:rPr>
                <w:rFonts w:ascii="Times New Roman" w:hAnsi="Times New Roman" w:cs="Times New Roman"/>
                <w:sz w:val="24"/>
                <w:szCs w:val="24"/>
              </w:rPr>
              <w:t>011-GE-AAM</w:t>
            </w:r>
          </w:p>
        </w:tc>
      </w:tr>
    </w:tbl>
    <w:p w:rsidR="00DB0ACF" w:rsidRPr="004B40CE" w:rsidP="00560623" w14:paraId="5DECE976" w14:textId="2B8678A0">
      <w:pPr>
        <w:pStyle w:val="Heading2"/>
        <w:pBdr>
          <w:bottom w:val="single" w:sz="12" w:space="1" w:color="auto"/>
        </w:pBdr>
        <w:jc w:val="left"/>
        <w:rPr>
          <w:szCs w:val="24"/>
        </w:rPr>
      </w:pPr>
    </w:p>
    <w:p w:rsidR="00560623" w:rsidRPr="004B40CE" w:rsidP="00560623" w14:paraId="2C0A8B15" w14:textId="77777777"/>
    <w:p w:rsidR="008265B1" w:rsidRPr="004B40CE" w14:paraId="452299A7" w14:textId="77777777">
      <w:pPr>
        <w:pStyle w:val="Heading2"/>
        <w:pBdr>
          <w:bottom w:val="single" w:sz="12" w:space="1" w:color="auto"/>
        </w:pBdr>
        <w:rPr>
          <w:szCs w:val="24"/>
        </w:rPr>
      </w:pPr>
      <w:r w:rsidRPr="004B40CE">
        <w:rPr>
          <w:szCs w:val="24"/>
        </w:rPr>
        <w:t>MEMORANDUM IN SUPPORT</w:t>
      </w:r>
      <w:r w:rsidRPr="004B40CE" w:rsidR="00B2695F">
        <w:rPr>
          <w:szCs w:val="24"/>
        </w:rPr>
        <w:t xml:space="preserve"> </w:t>
      </w:r>
    </w:p>
    <w:p w:rsidR="008265B1" w:rsidRPr="004B40CE" w14:paraId="11810B0E" w14:textId="77777777">
      <w:pPr>
        <w:pStyle w:val="Heading2"/>
        <w:pBdr>
          <w:bottom w:val="single" w:sz="12" w:space="1" w:color="auto"/>
        </w:pBdr>
        <w:rPr>
          <w:szCs w:val="24"/>
        </w:rPr>
      </w:pPr>
      <w:r w:rsidRPr="004B40CE">
        <w:rPr>
          <w:szCs w:val="24"/>
        </w:rPr>
        <w:t xml:space="preserve">AND </w:t>
      </w:r>
    </w:p>
    <w:p w:rsidR="00DB0ACF" w:rsidRPr="004B40CE" w14:paraId="64C545C2" w14:textId="5B6D7727">
      <w:pPr>
        <w:pStyle w:val="Heading2"/>
        <w:pBdr>
          <w:bottom w:val="single" w:sz="12" w:space="1" w:color="auto"/>
        </w:pBdr>
        <w:rPr>
          <w:szCs w:val="24"/>
        </w:rPr>
      </w:pPr>
      <w:r w:rsidRPr="004B40CE">
        <w:rPr>
          <w:szCs w:val="24"/>
        </w:rPr>
        <w:t>COMMENTS FOR CONSUMER PROTECTION</w:t>
      </w:r>
      <w:r w:rsidRPr="004B40CE" w:rsidR="003E2867">
        <w:rPr>
          <w:szCs w:val="24"/>
        </w:rPr>
        <w:br/>
      </w:r>
    </w:p>
    <w:p w:rsidR="00DB0ACF" w:rsidRPr="004B40CE" w14:paraId="7F1200E9" w14:textId="77777777">
      <w:pPr>
        <w:pStyle w:val="BodyTextIndent"/>
        <w:spacing w:line="240" w:lineRule="auto"/>
        <w:ind w:firstLine="0"/>
        <w:rPr>
          <w:b/>
          <w:bCs/>
          <w:szCs w:val="24"/>
        </w:rPr>
      </w:pPr>
    </w:p>
    <w:p w:rsidR="00EA549F" w:rsidRPr="004B40CE" w:rsidP="002307E7" w14:paraId="613EAAAB" w14:textId="2E3614A8">
      <w:pPr>
        <w:spacing w:line="480" w:lineRule="auto"/>
        <w:ind w:firstLine="720"/>
      </w:pPr>
      <w:r w:rsidRPr="004B40CE">
        <w:rPr>
          <w:color w:val="000000"/>
        </w:rPr>
        <w:t xml:space="preserve">In the coming months and </w:t>
      </w:r>
      <w:r w:rsidRPr="004B40CE" w:rsidR="00FC4E3E">
        <w:rPr>
          <w:color w:val="000000"/>
        </w:rPr>
        <w:t>potentially</w:t>
      </w:r>
      <w:r w:rsidRPr="004B40CE">
        <w:rPr>
          <w:color w:val="000000"/>
        </w:rPr>
        <w:t xml:space="preserve"> years, many Ohioans will struggle to pay their utility bills</w:t>
      </w:r>
      <w:r w:rsidRPr="004B40CE" w:rsidR="00FC4E3E">
        <w:rPr>
          <w:color w:val="000000"/>
        </w:rPr>
        <w:t xml:space="preserve">. Those Ohioans with financial challenges will </w:t>
      </w:r>
      <w:r w:rsidRPr="004B40CE">
        <w:rPr>
          <w:color w:val="000000"/>
        </w:rPr>
        <w:t>inclu</w:t>
      </w:r>
      <w:r w:rsidRPr="004B40CE" w:rsidR="00FC4E3E">
        <w:rPr>
          <w:color w:val="000000"/>
        </w:rPr>
        <w:t>de</w:t>
      </w:r>
      <w:r w:rsidRPr="004B40CE">
        <w:rPr>
          <w:color w:val="000000"/>
        </w:rPr>
        <w:t xml:space="preserve"> customers who have historically paid their bills in full and on time but who </w:t>
      </w:r>
      <w:r w:rsidRPr="004B40CE" w:rsidR="00FC4E3E">
        <w:rPr>
          <w:color w:val="000000"/>
        </w:rPr>
        <w:t>may</w:t>
      </w:r>
      <w:r w:rsidRPr="004B40CE">
        <w:rPr>
          <w:color w:val="000000"/>
        </w:rPr>
        <w:t xml:space="preserve"> be unable to continue doing so following the economic fallout of the coronavirus pandemic. Ohio businesses and families will face financial burdens that were unforeseeable just a few months ago. </w:t>
      </w:r>
    </w:p>
    <w:p w:rsidR="00CF4B57" w:rsidRPr="004B40CE" w:rsidP="00714D65" w14:paraId="783EC79E" w14:textId="31A2918C">
      <w:pPr>
        <w:spacing w:line="480" w:lineRule="auto"/>
        <w:ind w:firstLine="720"/>
      </w:pPr>
      <w:r w:rsidRPr="004B40CE">
        <w:t xml:space="preserve">Here </w:t>
      </w:r>
      <w:r w:rsidRPr="004B40CE" w:rsidR="003E2867">
        <w:t>Duke</w:t>
      </w:r>
      <w:r w:rsidRPr="004B40CE" w:rsidR="006E37FE">
        <w:t xml:space="preserve"> is seeking to </w:t>
      </w:r>
      <w:r w:rsidRPr="004B40CE" w:rsidR="001E0F87">
        <w:t xml:space="preserve">defer </w:t>
      </w:r>
      <w:r w:rsidRPr="004B40CE" w:rsidR="006E37FE">
        <w:t>cost</w:t>
      </w:r>
      <w:r w:rsidRPr="004B40CE" w:rsidR="001E0F87">
        <w:t xml:space="preserve">s </w:t>
      </w:r>
      <w:r w:rsidRPr="004B40CE">
        <w:t xml:space="preserve">associated with its emergency plan that </w:t>
      </w:r>
      <w:r w:rsidRPr="004B40CE" w:rsidR="001E0F87">
        <w:t>it has or will incur since</w:t>
      </w:r>
      <w:r w:rsidRPr="004B40CE" w:rsidR="006E37FE">
        <w:t xml:space="preserve"> the date of the declared state of emergency</w:t>
      </w:r>
      <w:r w:rsidRPr="004B40CE">
        <w:t xml:space="preserve">. It </w:t>
      </w:r>
      <w:r w:rsidRPr="004B40CE" w:rsidR="00B825C2">
        <w:t xml:space="preserve">proposes </w:t>
      </w:r>
      <w:r w:rsidRPr="004B40CE" w:rsidR="00F72ECC">
        <w:t xml:space="preserve">to later charge consumers through </w:t>
      </w:r>
      <w:r w:rsidRPr="004B40CE" w:rsidR="00D15829">
        <w:t xml:space="preserve">its electric and natural gas distribution uncollectible recovery </w:t>
      </w:r>
      <w:r w:rsidRPr="004B40CE" w:rsidR="009228B9">
        <w:t>mechanisms</w:t>
      </w:r>
      <w:r w:rsidRPr="004B40CE" w:rsidR="00D15829">
        <w:t xml:space="preserve">, </w:t>
      </w:r>
      <w:r w:rsidRPr="004B40CE" w:rsidR="00F72ECC">
        <w:t>Rider UE-ED and Rider UE-G</w:t>
      </w:r>
      <w:r w:rsidRPr="004B40CE" w:rsidR="006E37FE">
        <w:t>.</w:t>
      </w:r>
      <w:r>
        <w:rPr>
          <w:rStyle w:val="FootnoteReference"/>
        </w:rPr>
        <w:footnoteReference w:id="4"/>
      </w:r>
      <w:r w:rsidRPr="004B40CE" w:rsidR="008C1C31">
        <w:t xml:space="preserve">But any costs avoided as result of activities being suspended through the crisis should be used to offset any future costs that Duke attempts to collect. </w:t>
      </w:r>
      <w:r w:rsidRPr="004B40CE" w:rsidR="008C1C31">
        <w:rPr>
          <w:color w:val="000000"/>
        </w:rPr>
        <w:t>As a result of lost wages, unemployment, and other financial hardships resulting from the coronavirus, the need to make sure that customers pay only fair, just, and reasonable rates is especially heightened.</w:t>
      </w:r>
    </w:p>
    <w:p w:rsidR="00DB77CE" w:rsidRPr="004B40CE" w:rsidP="00714D65" w14:paraId="06219701" w14:textId="08278195">
      <w:pPr>
        <w:spacing w:line="480" w:lineRule="auto"/>
        <w:ind w:firstLine="720"/>
      </w:pPr>
      <w:r w:rsidRPr="004B40CE">
        <w:t xml:space="preserve">The PUCO </w:t>
      </w:r>
      <w:r w:rsidRPr="004B40CE" w:rsidR="00547247">
        <w:t xml:space="preserve">typically </w:t>
      </w:r>
      <w:r w:rsidRPr="004B40CE">
        <w:t>evaluates deferral requests based on six criteria</w:t>
      </w:r>
      <w:r w:rsidRPr="004B40CE" w:rsidR="002E6996">
        <w:t>.</w:t>
      </w:r>
      <w:r w:rsidRPr="004B40CE" w:rsidR="00C52E00">
        <w:t xml:space="preserve"> </w:t>
      </w:r>
      <w:r w:rsidRPr="004B40CE" w:rsidR="002E6996">
        <w:t xml:space="preserve"> B</w:t>
      </w:r>
      <w:r w:rsidRPr="004B40CE" w:rsidR="00C52E00">
        <w:t>ut due to the unique circumstances facing Duke in res</w:t>
      </w:r>
      <w:r w:rsidRPr="004B40CE" w:rsidR="008C1C31">
        <w:t>p</w:t>
      </w:r>
      <w:r w:rsidRPr="004B40CE" w:rsidR="00C52E00">
        <w:t xml:space="preserve">onding to </w:t>
      </w:r>
      <w:r w:rsidRPr="004B40CE" w:rsidR="002E6996">
        <w:t>the coronavirus emergency</w:t>
      </w:r>
      <w:r w:rsidRPr="004B40CE" w:rsidR="00C52E00">
        <w:t xml:space="preserve">, Staff modified these criteria to accommodate </w:t>
      </w:r>
      <w:r w:rsidRPr="004B40CE" w:rsidR="00F74AFF">
        <w:t>uncertainties</w:t>
      </w:r>
      <w:r w:rsidRPr="004B40CE" w:rsidR="00C52E00">
        <w:t xml:space="preserve"> associated with the implementation of Duke’s emergency plan</w:t>
      </w:r>
      <w:r>
        <w:t>.</w:t>
      </w:r>
      <w:r>
        <w:rPr>
          <w:rStyle w:val="FootnoteReference"/>
        </w:rPr>
        <w:footnoteReference w:id="5"/>
      </w:r>
      <w:r w:rsidRPr="004B40CE" w:rsidR="002E6996">
        <w:t xml:space="preserve">  As modified, the criteria are:</w:t>
      </w:r>
    </w:p>
    <w:p w:rsidR="00DB77CE" w:rsidRPr="004B40CE" w:rsidP="004B40CE" w14:paraId="2678BFC8" w14:textId="167EB8DB">
      <w:pPr>
        <w:pStyle w:val="ListParagraph"/>
        <w:numPr>
          <w:ilvl w:val="0"/>
          <w:numId w:val="10"/>
        </w:numPr>
        <w:ind w:left="1440" w:hanging="720"/>
      </w:pPr>
      <w:r w:rsidRPr="004B40CE">
        <w:t xml:space="preserve">Whether the </w:t>
      </w:r>
      <w:r w:rsidRPr="004B40CE" w:rsidR="00657C00">
        <w:t>current level of costs included in the last rate case is insufficient</w:t>
      </w:r>
      <w:r w:rsidRPr="004B40CE">
        <w:t xml:space="preserve">; </w:t>
      </w:r>
    </w:p>
    <w:p w:rsidR="00C52E00" w:rsidRPr="004B40CE" w:rsidP="004B40CE" w14:paraId="47F727E2" w14:textId="77777777">
      <w:pPr>
        <w:pStyle w:val="ListParagraph"/>
        <w:ind w:left="1440" w:hanging="720"/>
      </w:pPr>
    </w:p>
    <w:p w:rsidR="00DB77CE" w:rsidRPr="004B40CE" w:rsidP="004B40CE" w14:paraId="45C267C3" w14:textId="168673BE">
      <w:pPr>
        <w:pStyle w:val="ListParagraph"/>
        <w:numPr>
          <w:ilvl w:val="0"/>
          <w:numId w:val="10"/>
        </w:numPr>
        <w:ind w:left="1440" w:hanging="720"/>
      </w:pPr>
      <w:r w:rsidRPr="004B40CE">
        <w:t xml:space="preserve">Whether the costs Duke requested to be deferred are material in nature; </w:t>
      </w:r>
    </w:p>
    <w:p w:rsidR="00657C00" w:rsidRPr="004B40CE" w:rsidP="004B40CE" w14:paraId="541192CF" w14:textId="77777777">
      <w:pPr>
        <w:pStyle w:val="ListParagraph"/>
        <w:ind w:left="1440" w:hanging="720"/>
      </w:pPr>
    </w:p>
    <w:p w:rsidR="00C52E00" w:rsidRPr="004B40CE" w:rsidP="004B40CE" w14:paraId="7BBBEE43" w14:textId="773E9DB9">
      <w:pPr>
        <w:pStyle w:val="ListParagraph"/>
        <w:numPr>
          <w:ilvl w:val="0"/>
          <w:numId w:val="10"/>
        </w:numPr>
        <w:ind w:left="1440" w:hanging="720"/>
      </w:pPr>
      <w:r w:rsidRPr="004B40CE">
        <w:t xml:space="preserve">Whether the problem was outside of </w:t>
      </w:r>
      <w:r w:rsidRPr="004B40CE" w:rsidR="00657C00">
        <w:t>Duke’s</w:t>
      </w:r>
      <w:r w:rsidRPr="004B40CE">
        <w:t xml:space="preserve"> control;</w:t>
      </w:r>
    </w:p>
    <w:p w:rsidR="00DB77CE" w:rsidRPr="004B40CE" w:rsidP="004B40CE" w14:paraId="5D8830CD" w14:textId="6FC1E004">
      <w:pPr>
        <w:pStyle w:val="ListParagraph"/>
        <w:ind w:left="1440" w:hanging="720"/>
      </w:pPr>
      <w:r w:rsidRPr="004B40CE">
        <w:t xml:space="preserve"> </w:t>
      </w:r>
    </w:p>
    <w:p w:rsidR="00DB77CE" w:rsidRPr="004B40CE" w:rsidP="004B40CE" w14:paraId="285D9ED6" w14:textId="73B0876F">
      <w:pPr>
        <w:pStyle w:val="ListParagraph"/>
        <w:numPr>
          <w:ilvl w:val="0"/>
          <w:numId w:val="10"/>
        </w:numPr>
        <w:ind w:left="1440" w:hanging="720"/>
      </w:pPr>
      <w:r w:rsidRPr="004B40CE">
        <w:t xml:space="preserve">Whether the expenditures are atypical and infrequent; </w:t>
      </w:r>
    </w:p>
    <w:p w:rsidR="00C52E00" w:rsidRPr="004B40CE" w:rsidP="004B40CE" w14:paraId="3A5606E6" w14:textId="77777777">
      <w:pPr>
        <w:pStyle w:val="ListParagraph"/>
        <w:ind w:left="1440" w:hanging="720"/>
      </w:pPr>
    </w:p>
    <w:p w:rsidR="00DB77CE" w:rsidRPr="004B40CE" w:rsidP="004B40CE" w14:paraId="370C48CA" w14:textId="733B046F">
      <w:pPr>
        <w:pStyle w:val="ListParagraph"/>
        <w:numPr>
          <w:ilvl w:val="0"/>
          <w:numId w:val="10"/>
        </w:numPr>
        <w:ind w:left="1440" w:hanging="720"/>
      </w:pPr>
      <w:r w:rsidRPr="004B40CE">
        <w:t xml:space="preserve">Whether the </w:t>
      </w:r>
      <w:r w:rsidRPr="004B40CE" w:rsidR="00FE5A74">
        <w:t>costs would result in financial harm to Duke</w:t>
      </w:r>
      <w:r w:rsidRPr="004B40CE">
        <w:t xml:space="preserve">; and </w:t>
      </w:r>
    </w:p>
    <w:p w:rsidR="00F524B7" w:rsidRPr="004B40CE" w:rsidP="004B40CE" w14:paraId="1592C3B8" w14:textId="77777777">
      <w:pPr>
        <w:pStyle w:val="ListParagraph"/>
        <w:ind w:left="1440" w:hanging="720"/>
      </w:pPr>
    </w:p>
    <w:p w:rsidR="002E6996" w:rsidRPr="004B40CE" w:rsidP="004B40CE" w14:paraId="62866194" w14:textId="77777777">
      <w:pPr>
        <w:pStyle w:val="ListParagraph"/>
        <w:numPr>
          <w:ilvl w:val="0"/>
          <w:numId w:val="10"/>
        </w:numPr>
        <w:ind w:left="1440" w:hanging="720"/>
      </w:pPr>
      <w:r w:rsidRPr="004B40CE">
        <w:t>Whether the PUCO could encourage the utility to do something it would not otherwise do through the granting of the deferral authority.</w:t>
      </w:r>
    </w:p>
    <w:p w:rsidR="002E6996" w:rsidRPr="004B40CE" w:rsidP="004B40CE" w14:paraId="585A559D" w14:textId="77777777">
      <w:pPr>
        <w:pStyle w:val="ListParagraph"/>
        <w:ind w:left="1440" w:hanging="720"/>
      </w:pPr>
    </w:p>
    <w:p w:rsidR="004B40CE" w:rsidRPr="004B40CE" w:rsidP="004B40CE" w14:paraId="28B2EE29" w14:textId="73675449">
      <w:pPr>
        <w:rPr>
          <w:color w:val="000000"/>
        </w:rPr>
      </w:pPr>
      <w:r w:rsidRPr="004B40CE">
        <w:t>These criteria should be adopted in this case.</w:t>
      </w:r>
      <w:r w:rsidRPr="004B40CE" w:rsidR="00DB77CE">
        <w:t xml:space="preserve"> </w:t>
      </w:r>
    </w:p>
    <w:p w:rsidR="008829A5" w:rsidRPr="004B40CE" w:rsidP="004B40CE" w14:paraId="39AC9F05" w14:textId="60794E05">
      <w:pPr>
        <w:rPr>
          <w:color w:val="000000"/>
        </w:rPr>
      </w:pPr>
      <w:r w:rsidRPr="004B40CE">
        <w:rPr>
          <w:color w:val="000000"/>
        </w:rPr>
        <w:t xml:space="preserve"> </w:t>
      </w:r>
    </w:p>
    <w:p w:rsidR="00DB0ACF" w:rsidRPr="004B40CE" w:rsidP="004B40CE" w14:paraId="2047CA31" w14:textId="4889338C">
      <w:pPr>
        <w:pStyle w:val="BodyTextIndent3"/>
        <w:widowControl w:val="0"/>
        <w:spacing w:line="480" w:lineRule="auto"/>
        <w:ind w:right="-24"/>
        <w:rPr>
          <w:b/>
          <w:szCs w:val="24"/>
        </w:rPr>
      </w:pPr>
      <w:r w:rsidRPr="004B40CE">
        <w:rPr>
          <w:szCs w:val="24"/>
        </w:rPr>
        <w:t xml:space="preserve"> </w:t>
      </w:r>
      <w:r w:rsidRPr="004B40CE" w:rsidR="001500EC">
        <w:rPr>
          <w:szCs w:val="24"/>
        </w:rPr>
        <w:t>The Office of the Ohio Consumers’ Counsel (“</w:t>
      </w:r>
      <w:r w:rsidRPr="004B40CE" w:rsidR="009602A6">
        <w:rPr>
          <w:szCs w:val="24"/>
        </w:rPr>
        <w:t>OCC</w:t>
      </w:r>
      <w:r w:rsidRPr="004B40CE" w:rsidR="001500EC">
        <w:rPr>
          <w:szCs w:val="24"/>
        </w:rPr>
        <w:t>”)</w:t>
      </w:r>
      <w:r w:rsidRPr="004B40CE">
        <w:rPr>
          <w:szCs w:val="24"/>
        </w:rPr>
        <w:t xml:space="preserve"> </w:t>
      </w:r>
      <w:r w:rsidRPr="004B40CE" w:rsidR="009602A6">
        <w:rPr>
          <w:szCs w:val="24"/>
        </w:rPr>
        <w:t xml:space="preserve">has statutory authority to represent the interests of </w:t>
      </w:r>
      <w:r w:rsidRPr="004B40CE" w:rsidR="00FB3DF9">
        <w:rPr>
          <w:szCs w:val="24"/>
        </w:rPr>
        <w:t>Duke’s</w:t>
      </w:r>
      <w:r w:rsidRPr="004B40CE" w:rsidR="00742FA2">
        <w:rPr>
          <w:szCs w:val="24"/>
        </w:rPr>
        <w:t xml:space="preserve"> </w:t>
      </w:r>
      <w:r w:rsidRPr="004B40CE" w:rsidR="009602A6">
        <w:rPr>
          <w:szCs w:val="24"/>
        </w:rPr>
        <w:t xml:space="preserve">residential </w:t>
      </w:r>
      <w:r w:rsidRPr="004B40CE" w:rsidR="00C97127">
        <w:rPr>
          <w:szCs w:val="24"/>
        </w:rPr>
        <w:t>electric</w:t>
      </w:r>
      <w:r w:rsidRPr="004B40CE" w:rsidR="009602A6">
        <w:rPr>
          <w:szCs w:val="24"/>
        </w:rPr>
        <w:t xml:space="preserve"> </w:t>
      </w:r>
      <w:r w:rsidRPr="004B40CE" w:rsidR="00FB3DF9">
        <w:rPr>
          <w:szCs w:val="24"/>
        </w:rPr>
        <w:t xml:space="preserve">and gas </w:t>
      </w:r>
      <w:r w:rsidRPr="004B40CE" w:rsidR="009602A6">
        <w:rPr>
          <w:szCs w:val="24"/>
        </w:rPr>
        <w:t>utility customers under R.C. Chapter 491</w:t>
      </w:r>
      <w:r w:rsidRPr="004B40CE" w:rsidR="00332390">
        <w:rPr>
          <w:szCs w:val="24"/>
        </w:rPr>
        <w:t>1</w:t>
      </w:r>
      <w:r w:rsidRPr="004B40CE" w:rsidR="00B56965">
        <w:rPr>
          <w:szCs w:val="24"/>
        </w:rPr>
        <w:t xml:space="preserve">. </w:t>
      </w:r>
      <w:r w:rsidRPr="004B40CE" w:rsidR="00FC4E3E">
        <w:rPr>
          <w:szCs w:val="24"/>
        </w:rPr>
        <w:t xml:space="preserve"> </w:t>
      </w:r>
      <w:r w:rsidRPr="004B40CE" w:rsidR="009602A6">
        <w:rPr>
          <w:szCs w:val="24"/>
        </w:rPr>
        <w:t xml:space="preserve">R.C. 4903.221 provides, in part, that any person “who may be adversely affected” by a </w:t>
      </w:r>
      <w:r w:rsidRPr="004B40CE" w:rsidR="001C121C">
        <w:rPr>
          <w:szCs w:val="24"/>
        </w:rPr>
        <w:t>Public Utilities Commission (“</w:t>
      </w:r>
      <w:r w:rsidRPr="004B40CE" w:rsidR="009602A6">
        <w:rPr>
          <w:szCs w:val="24"/>
        </w:rPr>
        <w:t>PUCO</w:t>
      </w:r>
      <w:r w:rsidRPr="004B40CE" w:rsidR="001C121C">
        <w:rPr>
          <w:szCs w:val="24"/>
        </w:rPr>
        <w:t>”)</w:t>
      </w:r>
      <w:r w:rsidRPr="004B40CE" w:rsidR="009602A6">
        <w:rPr>
          <w:szCs w:val="24"/>
        </w:rPr>
        <w:t xml:space="preserve"> proceeding is entitled to seek intervention in that proceeding. The interests of </w:t>
      </w:r>
      <w:r w:rsidRPr="004B40CE" w:rsidR="00FB3DF9">
        <w:rPr>
          <w:szCs w:val="24"/>
        </w:rPr>
        <w:t>Duke’s</w:t>
      </w:r>
      <w:r w:rsidRPr="004B40CE" w:rsidR="00742FA2">
        <w:rPr>
          <w:szCs w:val="24"/>
        </w:rPr>
        <w:t xml:space="preserve"> </w:t>
      </w:r>
      <w:r w:rsidRPr="004B40CE" w:rsidR="009602A6">
        <w:rPr>
          <w:szCs w:val="24"/>
        </w:rPr>
        <w:t xml:space="preserve">residential customers may be “adversely affected” by this case, especially if the customers </w:t>
      </w:r>
      <w:r w:rsidRPr="004B40CE" w:rsidR="00FC4E3E">
        <w:rPr>
          <w:szCs w:val="24"/>
        </w:rPr>
        <w:t xml:space="preserve">are </w:t>
      </w:r>
      <w:r w:rsidRPr="004B40CE" w:rsidR="009602A6">
        <w:rPr>
          <w:szCs w:val="24"/>
        </w:rPr>
        <w:t xml:space="preserve">unrepresented in a proceeding </w:t>
      </w:r>
      <w:r w:rsidRPr="004B40CE" w:rsidR="00C0562F">
        <w:rPr>
          <w:szCs w:val="24"/>
        </w:rPr>
        <w:t>that will</w:t>
      </w:r>
      <w:r w:rsidRPr="004B40CE" w:rsidR="00117687">
        <w:rPr>
          <w:szCs w:val="24"/>
        </w:rPr>
        <w:t xml:space="preserve"> </w:t>
      </w:r>
      <w:r w:rsidRPr="004B40CE" w:rsidR="0035482E">
        <w:rPr>
          <w:szCs w:val="24"/>
        </w:rPr>
        <w:t xml:space="preserve">examine </w:t>
      </w:r>
      <w:r w:rsidRPr="004B40CE" w:rsidR="00FB3DF9">
        <w:rPr>
          <w:szCs w:val="24"/>
        </w:rPr>
        <w:t>Duke’s</w:t>
      </w:r>
      <w:r w:rsidRPr="004B40CE" w:rsidR="00742FA2">
        <w:rPr>
          <w:szCs w:val="24"/>
        </w:rPr>
        <w:t xml:space="preserve"> </w:t>
      </w:r>
      <w:r w:rsidRPr="004B40CE" w:rsidR="00C407C0">
        <w:rPr>
          <w:szCs w:val="24"/>
        </w:rPr>
        <w:t xml:space="preserve">request to </w:t>
      </w:r>
      <w:r w:rsidRPr="004B40CE" w:rsidR="002E6996">
        <w:rPr>
          <w:szCs w:val="24"/>
        </w:rPr>
        <w:t xml:space="preserve">defer </w:t>
      </w:r>
      <w:r w:rsidRPr="004B40CE" w:rsidR="0035482E">
        <w:rPr>
          <w:szCs w:val="24"/>
        </w:rPr>
        <w:t>charg</w:t>
      </w:r>
      <w:r w:rsidRPr="004B40CE" w:rsidR="00C407C0">
        <w:rPr>
          <w:szCs w:val="24"/>
        </w:rPr>
        <w:t>e</w:t>
      </w:r>
      <w:r w:rsidRPr="004B40CE" w:rsidR="002E6996">
        <w:rPr>
          <w:szCs w:val="24"/>
        </w:rPr>
        <w:t>s associated with its emergency plan for later collection from</w:t>
      </w:r>
      <w:r w:rsidRPr="004B40CE" w:rsidR="0035482E">
        <w:rPr>
          <w:szCs w:val="24"/>
        </w:rPr>
        <w:t xml:space="preserve"> </w:t>
      </w:r>
      <w:r w:rsidRPr="004B40CE" w:rsidR="00A5441A">
        <w:rPr>
          <w:szCs w:val="24"/>
        </w:rPr>
        <w:t xml:space="preserve">residential </w:t>
      </w:r>
      <w:r w:rsidRPr="004B40CE" w:rsidR="00F74AFF">
        <w:rPr>
          <w:szCs w:val="24"/>
        </w:rPr>
        <w:t>customers. Thus</w:t>
      </w:r>
      <w:r w:rsidRPr="004B40CE" w:rsidR="009602A6">
        <w:rPr>
          <w:szCs w:val="24"/>
        </w:rPr>
        <w:t xml:space="preserve">, this element of the intervention standard in R.C. 4903.221 is satisfied. </w:t>
      </w:r>
    </w:p>
    <w:p w:rsidR="00DB0ACF" w:rsidRPr="004B40CE" w14:paraId="7D248ACB" w14:textId="77777777">
      <w:pPr>
        <w:spacing w:line="480" w:lineRule="auto"/>
        <w:ind w:firstLine="720"/>
      </w:pPr>
      <w:r w:rsidRPr="004B40CE">
        <w:t>R.C. 4903.221(B) requires the PUCO to consider the following criteria in ruling on motions to intervene:</w:t>
      </w:r>
    </w:p>
    <w:p w:rsidR="00DB0ACF" w:rsidRPr="004B40CE" w:rsidP="00DB0ACF" w14:paraId="7DED9B82" w14:textId="77777777">
      <w:pPr>
        <w:ind w:left="2160" w:right="720" w:hanging="720"/>
      </w:pPr>
      <w:r w:rsidRPr="004B40CE">
        <w:t>(1)</w:t>
      </w:r>
      <w:r w:rsidRPr="004B40CE">
        <w:tab/>
        <w:t>The nature and extent of the prospective intervenor’s interest;</w:t>
      </w:r>
    </w:p>
    <w:p w:rsidR="00DB0ACF" w:rsidRPr="004B40CE" w:rsidP="00DB0ACF" w14:paraId="1F73BD8B" w14:textId="77777777">
      <w:pPr>
        <w:spacing w:before="240"/>
        <w:ind w:left="2160" w:right="720" w:hanging="720"/>
      </w:pPr>
      <w:r w:rsidRPr="004B40CE">
        <w:t>(2)</w:t>
      </w:r>
      <w:r w:rsidRPr="004B40CE">
        <w:tab/>
        <w:t>The legal position advanced by the prospective intervenor and its probable relation to the merits of the case;</w:t>
      </w:r>
    </w:p>
    <w:p w:rsidR="00DB0ACF" w:rsidRPr="004B40CE" w:rsidP="00DB0ACF" w14:paraId="363B45F4" w14:textId="77777777">
      <w:pPr>
        <w:spacing w:before="240"/>
        <w:ind w:left="2160" w:right="720" w:hanging="720"/>
      </w:pPr>
      <w:r w:rsidRPr="004B40CE">
        <w:t>(3)</w:t>
      </w:r>
      <w:r w:rsidRPr="004B40CE">
        <w:tab/>
        <w:t xml:space="preserve">Whether the intervention by the prospective intervenor will unduly prolong or delay the proceedings; </w:t>
      </w:r>
    </w:p>
    <w:p w:rsidR="00DB0ACF" w:rsidRPr="004B40CE" w:rsidP="00DB0ACF" w14:paraId="1AF76DEC" w14:textId="77777777">
      <w:pPr>
        <w:pStyle w:val="BodyTextIndent2"/>
        <w:tabs>
          <w:tab w:val="clear" w:pos="720"/>
        </w:tabs>
        <w:ind w:left="2160" w:right="720" w:hanging="720"/>
        <w:rPr>
          <w:szCs w:val="24"/>
        </w:rPr>
      </w:pPr>
      <w:r w:rsidRPr="004B40CE">
        <w:rPr>
          <w:szCs w:val="24"/>
        </w:rPr>
        <w:t>(4)</w:t>
      </w:r>
      <w:r w:rsidRPr="004B40CE">
        <w:rPr>
          <w:szCs w:val="24"/>
        </w:rPr>
        <w:tab/>
        <w:t>Whether the prospective intervenor will significantly contribute to full development and equitable resolution of the factual issues.</w:t>
      </w:r>
    </w:p>
    <w:p w:rsidR="00DB0ACF" w:rsidRPr="004B40CE" w:rsidP="006D02DD" w14:paraId="2140A6C4" w14:textId="6D775520">
      <w:pPr>
        <w:pStyle w:val="BodyTextIndent3"/>
        <w:spacing w:line="480" w:lineRule="auto"/>
        <w:rPr>
          <w:szCs w:val="24"/>
        </w:rPr>
      </w:pPr>
      <w:r w:rsidRPr="004B40CE">
        <w:rPr>
          <w:szCs w:val="24"/>
        </w:rPr>
        <w:t xml:space="preserve">First, the nature and extent of OCC’s interest is representing the residential customers of </w:t>
      </w:r>
      <w:r w:rsidRPr="004B40CE" w:rsidR="00674B09">
        <w:rPr>
          <w:szCs w:val="24"/>
        </w:rPr>
        <w:t>Duke</w:t>
      </w:r>
      <w:r w:rsidRPr="004B40CE" w:rsidR="00742FA2">
        <w:rPr>
          <w:szCs w:val="24"/>
        </w:rPr>
        <w:t xml:space="preserve"> </w:t>
      </w:r>
      <w:r w:rsidRPr="004B40CE">
        <w:rPr>
          <w:szCs w:val="24"/>
        </w:rPr>
        <w:t xml:space="preserve">in this case where </w:t>
      </w:r>
      <w:r w:rsidRPr="004B40CE" w:rsidR="00EE5469">
        <w:rPr>
          <w:szCs w:val="24"/>
        </w:rPr>
        <w:t>Duke</w:t>
      </w:r>
      <w:r w:rsidRPr="004B40CE" w:rsidR="00C0562F">
        <w:rPr>
          <w:szCs w:val="24"/>
        </w:rPr>
        <w:t xml:space="preserve"> has propos</w:t>
      </w:r>
      <w:r w:rsidRPr="004B40CE" w:rsidR="002E6996">
        <w:rPr>
          <w:szCs w:val="24"/>
        </w:rPr>
        <w:t>ed</w:t>
      </w:r>
      <w:r w:rsidRPr="004B40CE" w:rsidR="00C0562F">
        <w:rPr>
          <w:szCs w:val="24"/>
        </w:rPr>
        <w:t xml:space="preserve"> to</w:t>
      </w:r>
      <w:r w:rsidRPr="004B40CE" w:rsidR="00A45592">
        <w:rPr>
          <w:szCs w:val="24"/>
        </w:rPr>
        <w:t xml:space="preserve"> </w:t>
      </w:r>
      <w:r w:rsidRPr="004B40CE" w:rsidR="00CF4B57">
        <w:rPr>
          <w:szCs w:val="24"/>
        </w:rPr>
        <w:t>defer emergency plan expenses for later collection from customers.</w:t>
      </w:r>
      <w:r w:rsidRPr="004B40CE" w:rsidR="000119F6">
        <w:rPr>
          <w:szCs w:val="24"/>
        </w:rPr>
        <w:t xml:space="preserve">  Defer</w:t>
      </w:r>
      <w:r w:rsidRPr="004B40CE" w:rsidR="000978C2">
        <w:rPr>
          <w:szCs w:val="24"/>
        </w:rPr>
        <w:t>r</w:t>
      </w:r>
      <w:r w:rsidRPr="004B40CE" w:rsidR="000119F6">
        <w:rPr>
          <w:szCs w:val="24"/>
        </w:rPr>
        <w:t>als</w:t>
      </w:r>
      <w:r w:rsidRPr="004B40CE" w:rsidR="009F3FE0">
        <w:rPr>
          <w:szCs w:val="24"/>
        </w:rPr>
        <w:t xml:space="preserve"> are a prelude to</w:t>
      </w:r>
      <w:r w:rsidRPr="004B40CE" w:rsidR="00CE058A">
        <w:rPr>
          <w:szCs w:val="24"/>
        </w:rPr>
        <w:t xml:space="preserve"> </w:t>
      </w:r>
      <w:r w:rsidRPr="004B40CE" w:rsidR="009F3FE0">
        <w:rPr>
          <w:szCs w:val="24"/>
        </w:rPr>
        <w:t>rate increases</w:t>
      </w:r>
      <w:r w:rsidRPr="004B40CE" w:rsidR="00CE058A">
        <w:rPr>
          <w:szCs w:val="24"/>
        </w:rPr>
        <w:t>,</w:t>
      </w:r>
      <w:r>
        <w:rPr>
          <w:rStyle w:val="FootnoteReference"/>
          <w:szCs w:val="24"/>
        </w:rPr>
        <w:footnoteReference w:id="6"/>
      </w:r>
      <w:r w:rsidRPr="004B40CE" w:rsidR="000978C2">
        <w:rPr>
          <w:szCs w:val="24"/>
        </w:rPr>
        <w:t xml:space="preserve"> and the granting of deferral authority needs to be looked at closely.</w:t>
      </w:r>
      <w:r w:rsidRPr="004B40CE" w:rsidR="00CE058A">
        <w:rPr>
          <w:szCs w:val="24"/>
        </w:rPr>
        <w:t xml:space="preserve"> </w:t>
      </w:r>
      <w:r w:rsidRPr="004B40CE">
        <w:rPr>
          <w:szCs w:val="24"/>
        </w:rPr>
        <w:t xml:space="preserve">This interest is different from that of any other party, and especially different from that of </w:t>
      </w:r>
      <w:r w:rsidRPr="004B40CE" w:rsidR="003313AD">
        <w:rPr>
          <w:szCs w:val="24"/>
        </w:rPr>
        <w:t>Duke</w:t>
      </w:r>
      <w:r w:rsidRPr="004B40CE" w:rsidR="00742FA2">
        <w:rPr>
          <w:szCs w:val="24"/>
        </w:rPr>
        <w:t xml:space="preserve"> </w:t>
      </w:r>
      <w:r w:rsidRPr="004B40CE">
        <w:rPr>
          <w:szCs w:val="24"/>
        </w:rPr>
        <w:t xml:space="preserve">whose advocacy includes the financial interest of its shareholders. </w:t>
      </w:r>
    </w:p>
    <w:p w:rsidR="00DB0ACF" w:rsidRPr="004B40CE" w14:paraId="484A713D" w14:textId="7A7C3C3A">
      <w:pPr>
        <w:pStyle w:val="Footer"/>
        <w:tabs>
          <w:tab w:val="clear" w:pos="4320"/>
          <w:tab w:val="clear" w:pos="8640"/>
        </w:tabs>
        <w:spacing w:line="480" w:lineRule="auto"/>
        <w:ind w:firstLine="720"/>
        <w:rPr>
          <w:sz w:val="24"/>
          <w:szCs w:val="24"/>
        </w:rPr>
      </w:pPr>
      <w:r w:rsidRPr="004B40CE">
        <w:rPr>
          <w:sz w:val="24"/>
          <w:szCs w:val="24"/>
        </w:rPr>
        <w:t>Second, OCC’s advocacy for residential customers will include advancing the position that</w:t>
      </w:r>
      <w:r w:rsidRPr="004B40CE" w:rsidR="00E75FBA">
        <w:rPr>
          <w:sz w:val="24"/>
          <w:szCs w:val="24"/>
        </w:rPr>
        <w:t xml:space="preserve"> customers</w:t>
      </w:r>
      <w:r w:rsidRPr="004B40CE" w:rsidR="00FC4E3E">
        <w:rPr>
          <w:sz w:val="24"/>
          <w:szCs w:val="24"/>
        </w:rPr>
        <w:t xml:space="preserve"> should </w:t>
      </w:r>
      <w:r w:rsidRPr="004B40CE" w:rsidR="00E75FBA">
        <w:rPr>
          <w:sz w:val="24"/>
          <w:szCs w:val="24"/>
        </w:rPr>
        <w:t xml:space="preserve">not later </w:t>
      </w:r>
      <w:r w:rsidRPr="004B40CE" w:rsidR="00FC4E3E">
        <w:rPr>
          <w:sz w:val="24"/>
          <w:szCs w:val="24"/>
        </w:rPr>
        <w:t xml:space="preserve">be billed </w:t>
      </w:r>
      <w:r w:rsidRPr="004B40CE" w:rsidR="00E75FBA">
        <w:rPr>
          <w:sz w:val="24"/>
          <w:szCs w:val="24"/>
        </w:rPr>
        <w:t xml:space="preserve">unjust and unreasonable charges </w:t>
      </w:r>
      <w:r w:rsidRPr="004B40CE" w:rsidR="00B56965">
        <w:rPr>
          <w:sz w:val="24"/>
          <w:szCs w:val="24"/>
        </w:rPr>
        <w:t xml:space="preserve">as a result of </w:t>
      </w:r>
      <w:r w:rsidRPr="004B40CE" w:rsidR="00674B09">
        <w:rPr>
          <w:sz w:val="24"/>
          <w:szCs w:val="24"/>
        </w:rPr>
        <w:t>Duke’s</w:t>
      </w:r>
      <w:r w:rsidRPr="004B40CE" w:rsidR="00742FA2">
        <w:rPr>
          <w:sz w:val="24"/>
          <w:szCs w:val="24"/>
        </w:rPr>
        <w:t xml:space="preserve"> </w:t>
      </w:r>
      <w:r w:rsidRPr="004B40CE" w:rsidR="00B56965">
        <w:rPr>
          <w:sz w:val="24"/>
          <w:szCs w:val="24"/>
        </w:rPr>
        <w:t xml:space="preserve">emergency </w:t>
      </w:r>
      <w:r w:rsidRPr="004B40CE" w:rsidR="00EE5469">
        <w:rPr>
          <w:sz w:val="24"/>
          <w:szCs w:val="24"/>
        </w:rPr>
        <w:t>plan</w:t>
      </w:r>
      <w:r w:rsidRPr="004B40CE" w:rsidR="000119F6">
        <w:rPr>
          <w:sz w:val="24"/>
          <w:szCs w:val="24"/>
        </w:rPr>
        <w:t xml:space="preserve"> and its deferral request.</w:t>
      </w:r>
      <w:r w:rsidRPr="004B40CE" w:rsidR="00B56965">
        <w:rPr>
          <w:sz w:val="24"/>
          <w:szCs w:val="24"/>
        </w:rPr>
        <w:t xml:space="preserve"> </w:t>
      </w:r>
      <w:r w:rsidRPr="004B40CE">
        <w:rPr>
          <w:sz w:val="24"/>
          <w:szCs w:val="24"/>
        </w:rPr>
        <w:t>OCC’s position is therefore directly related to the merits of this case that is pending before the PUCO, the authority with regulatory control o</w:t>
      </w:r>
      <w:r w:rsidRPr="004B40CE" w:rsidR="000119F6">
        <w:rPr>
          <w:sz w:val="24"/>
          <w:szCs w:val="24"/>
        </w:rPr>
        <w:t>ver utilities</w:t>
      </w:r>
      <w:r w:rsidRPr="004B40CE" w:rsidR="002E6996">
        <w:rPr>
          <w:sz w:val="24"/>
          <w:szCs w:val="24"/>
        </w:rPr>
        <w:t>’</w:t>
      </w:r>
      <w:r w:rsidRPr="004B40CE" w:rsidR="000119F6">
        <w:rPr>
          <w:sz w:val="24"/>
          <w:szCs w:val="24"/>
        </w:rPr>
        <w:t xml:space="preserve"> </w:t>
      </w:r>
      <w:r w:rsidRPr="004B40CE">
        <w:rPr>
          <w:sz w:val="24"/>
          <w:szCs w:val="24"/>
        </w:rPr>
        <w:t>rates and service quality in Ohio.</w:t>
      </w:r>
      <w:r>
        <w:rPr>
          <w:rStyle w:val="FootnoteReference"/>
          <w:sz w:val="24"/>
          <w:szCs w:val="24"/>
        </w:rPr>
        <w:footnoteReference w:id="7"/>
      </w:r>
    </w:p>
    <w:p w:rsidR="00DB0ACF" w:rsidRPr="004B40CE" w14:paraId="6AE7084D" w14:textId="77777777">
      <w:pPr>
        <w:pStyle w:val="BodyTextIndent3"/>
        <w:spacing w:line="480" w:lineRule="auto"/>
        <w:rPr>
          <w:szCs w:val="24"/>
        </w:rPr>
      </w:pPr>
      <w:r w:rsidRPr="004B40CE">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4B40CE" w14:paraId="3C365554" w14:textId="77777777">
      <w:pPr>
        <w:pStyle w:val="Footer"/>
        <w:tabs>
          <w:tab w:val="clear" w:pos="4320"/>
          <w:tab w:val="clear" w:pos="8640"/>
        </w:tabs>
        <w:spacing w:line="480" w:lineRule="auto"/>
        <w:ind w:firstLine="720"/>
        <w:rPr>
          <w:sz w:val="24"/>
          <w:szCs w:val="24"/>
        </w:rPr>
      </w:pPr>
      <w:r w:rsidRPr="004B40CE">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4B40CE" w14:paraId="0B744BF7" w14:textId="247C8C2F">
      <w:pPr>
        <w:pStyle w:val="WW-BodyTextIndent3"/>
        <w:widowControl w:val="0"/>
        <w:spacing w:line="480" w:lineRule="auto"/>
        <w:ind w:right="-24"/>
        <w:rPr>
          <w:szCs w:val="24"/>
        </w:rPr>
      </w:pPr>
      <w:r w:rsidRPr="004B40CE">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determine </w:t>
      </w:r>
      <w:r w:rsidRPr="004B40CE" w:rsidR="00057D57">
        <w:rPr>
          <w:szCs w:val="24"/>
        </w:rPr>
        <w:t xml:space="preserve">how much customers will later pay for </w:t>
      </w:r>
      <w:r w:rsidRPr="004B40CE" w:rsidR="00674B09">
        <w:rPr>
          <w:szCs w:val="24"/>
        </w:rPr>
        <w:t>Duke’s</w:t>
      </w:r>
      <w:r w:rsidRPr="004B40CE" w:rsidR="00742FA2">
        <w:rPr>
          <w:szCs w:val="24"/>
        </w:rPr>
        <w:t xml:space="preserve"> </w:t>
      </w:r>
      <w:r w:rsidRPr="004B40CE" w:rsidR="00B56965">
        <w:rPr>
          <w:szCs w:val="24"/>
        </w:rPr>
        <w:t xml:space="preserve">emergency </w:t>
      </w:r>
      <w:r w:rsidRPr="004B40CE" w:rsidR="00EE5469">
        <w:rPr>
          <w:szCs w:val="24"/>
        </w:rPr>
        <w:t>plan</w:t>
      </w:r>
      <w:r w:rsidRPr="004B40CE" w:rsidR="00B56965">
        <w:rPr>
          <w:szCs w:val="24"/>
        </w:rPr>
        <w:t xml:space="preserve">.  </w:t>
      </w:r>
      <w:r w:rsidRPr="004B40CE" w:rsidR="00782784">
        <w:rPr>
          <w:szCs w:val="24"/>
        </w:rPr>
        <w:t xml:space="preserve"> </w:t>
      </w:r>
    </w:p>
    <w:p w:rsidR="00DB0ACF" w:rsidRPr="004B40CE" w14:paraId="2A4FD432" w14:textId="21D16101">
      <w:pPr>
        <w:pStyle w:val="BodyTextIndent3"/>
        <w:widowControl w:val="0"/>
        <w:spacing w:line="480" w:lineRule="auto"/>
        <w:ind w:right="-24"/>
        <w:rPr>
          <w:szCs w:val="24"/>
        </w:rPr>
      </w:pPr>
      <w:r w:rsidRPr="004B40CE">
        <w:rPr>
          <w:szCs w:val="24"/>
        </w:rPr>
        <w:t>In addition, OCC meets the criteria of Ohio Adm. Code 4901-1-11(B)(1)-(4). These criteria mirror the statutory criteria in R.C. 4903.221(B) that OCC already has addressed and that OCC satisfies.</w:t>
      </w:r>
    </w:p>
    <w:p w:rsidR="00DB0ACF" w:rsidRPr="004B40CE" w14:paraId="538C5BC7" w14:textId="77777777">
      <w:pPr>
        <w:pStyle w:val="BodyTextIndent3"/>
        <w:widowControl w:val="0"/>
        <w:spacing w:line="480" w:lineRule="auto"/>
        <w:ind w:right="-24"/>
        <w:rPr>
          <w:szCs w:val="24"/>
        </w:rPr>
      </w:pPr>
      <w:r w:rsidRPr="004B40CE">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F74AFF" w14:paraId="2E5DBB89" w14:textId="77777777">
      <w:pPr>
        <w:pStyle w:val="WW-BodyTextIndent3"/>
        <w:widowControl w:val="0"/>
        <w:spacing w:line="480" w:lineRule="auto"/>
        <w:ind w:right="-24"/>
        <w:rPr>
          <w:szCs w:val="24"/>
        </w:rPr>
        <w:sectPr w:rsidSect="008265B1">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r w:rsidRPr="004B40CE">
        <w:rPr>
          <w:szCs w:val="24"/>
        </w:rPr>
        <w:t xml:space="preserve">Further, the Supreme Court of Ohio (“Court”) confirmed OCC’s right to intervene in PUCO proceedings, in deciding two appeals in which OCC claimed the PUCO erred by denying its interventions. The Court found that the PUCO abused its discretion in </w:t>
      </w:r>
    </w:p>
    <w:p w:rsidR="00DB0ACF" w:rsidRPr="004B40CE" w:rsidP="00F74AFF" w14:paraId="4AA9C46C" w14:textId="3F6F5D5E">
      <w:pPr>
        <w:pStyle w:val="WW-BodyTextIndent3"/>
        <w:widowControl w:val="0"/>
        <w:spacing w:line="480" w:lineRule="auto"/>
        <w:ind w:right="-24" w:firstLine="0"/>
        <w:rPr>
          <w:szCs w:val="24"/>
        </w:rPr>
      </w:pPr>
      <w:r w:rsidRPr="004B40CE">
        <w:rPr>
          <w:szCs w:val="24"/>
        </w:rPr>
        <w:t>denying OCC’s interventions and that OCC should have been granted intervention in both proceedings.</w:t>
      </w:r>
      <w:r>
        <w:rPr>
          <w:rStyle w:val="FootnoteReference"/>
          <w:szCs w:val="24"/>
        </w:rPr>
        <w:footnoteReference w:id="8"/>
      </w:r>
      <w:r w:rsidRPr="004B40CE" w:rsidR="00782784">
        <w:rPr>
          <w:szCs w:val="24"/>
        </w:rPr>
        <w:t xml:space="preserve"> </w:t>
      </w:r>
    </w:p>
    <w:p w:rsidR="00037A03" w14:paraId="0A1AA4CE" w14:textId="5871E2D2">
      <w:pPr>
        <w:spacing w:line="480" w:lineRule="auto"/>
        <w:ind w:firstLine="720"/>
      </w:pPr>
      <w:r w:rsidRPr="004B40CE">
        <w:t>OCC meets the criteria set forth in R.C. 4903.221, Ohio Adm. Code 4901-1-11, and the precedent established by the Court for intervention. On behalf of Ohio residential customers, the PUCO should grant OCC’s Motion to Intervene.</w:t>
      </w:r>
    </w:p>
    <w:p w:rsidR="00F74AFF" w:rsidP="00F74AFF" w14:paraId="241776FF" w14:textId="77777777">
      <w:pPr>
        <w:ind w:firstLine="720"/>
      </w:pPr>
    </w:p>
    <w:p w:rsidR="00EE5469" w:rsidRPr="004B40CE" w:rsidP="009228B9" w14:paraId="10FACC6E" w14:textId="233C27E6">
      <w:pPr>
        <w:spacing w:line="480" w:lineRule="auto"/>
        <w:jc w:val="center"/>
        <w:rPr>
          <w:u w:val="single"/>
        </w:rPr>
      </w:pPr>
      <w:r w:rsidRPr="004B40CE">
        <w:rPr>
          <w:b/>
          <w:bCs/>
          <w:u w:val="single"/>
        </w:rPr>
        <w:t>COMMENTS</w:t>
      </w:r>
    </w:p>
    <w:p w:rsidR="00582AF7" w:rsidRPr="004B40CE" w:rsidP="00582AF7" w14:paraId="766106BE" w14:textId="6DB058FE">
      <w:pPr>
        <w:spacing w:line="480" w:lineRule="auto"/>
      </w:pPr>
      <w:r w:rsidRPr="004B40CE">
        <w:tab/>
      </w:r>
      <w:r w:rsidRPr="004B40CE" w:rsidR="00A6427E">
        <w:t>Duke</w:t>
      </w:r>
      <w:r w:rsidRPr="004B40CE" w:rsidR="00973D5D">
        <w:t xml:space="preserve"> asserts in </w:t>
      </w:r>
      <w:r w:rsidRPr="004B40CE" w:rsidR="002C02E9">
        <w:t>its</w:t>
      </w:r>
      <w:r w:rsidRPr="004B40CE" w:rsidR="00A5359F">
        <w:t xml:space="preserve"> application that </w:t>
      </w:r>
      <w:r w:rsidRPr="004B40CE" w:rsidR="00EC1F70">
        <w:t xml:space="preserve">as </w:t>
      </w:r>
      <w:r w:rsidRPr="004B40CE" w:rsidR="00A5359F">
        <w:t>a result of the emergency</w:t>
      </w:r>
      <w:r w:rsidRPr="004B40CE">
        <w:t>,</w:t>
      </w:r>
      <w:r w:rsidRPr="004B40CE" w:rsidR="00A5359F">
        <w:t xml:space="preserve"> and in order to meet its obligation to maintain electric and natural </w:t>
      </w:r>
      <w:r w:rsidRPr="004B40CE" w:rsidR="00EC1F70">
        <w:t>g</w:t>
      </w:r>
      <w:r w:rsidRPr="004B40CE" w:rsidR="00A5359F">
        <w:t xml:space="preserve">as services, it has </w:t>
      </w:r>
      <w:r w:rsidRPr="004B40CE" w:rsidR="00E922CA">
        <w:t xml:space="preserve">been </w:t>
      </w:r>
      <w:r w:rsidRPr="004B40CE" w:rsidR="00A5359F">
        <w:t xml:space="preserve">necessary </w:t>
      </w:r>
      <w:r w:rsidRPr="004B40CE" w:rsidR="00E922CA">
        <w:t xml:space="preserve">to implement </w:t>
      </w:r>
      <w:r w:rsidRPr="004B40CE" w:rsidR="00A5359F">
        <w:t>changes to it</w:t>
      </w:r>
      <w:r w:rsidRPr="004B40CE" w:rsidR="0003598C">
        <w:t>s</w:t>
      </w:r>
      <w:r w:rsidRPr="004B40CE" w:rsidR="00A5359F">
        <w:t xml:space="preserve"> operations.</w:t>
      </w:r>
      <w:r>
        <w:rPr>
          <w:rStyle w:val="FootnoteReference"/>
        </w:rPr>
        <w:footnoteReference w:id="9"/>
      </w:r>
      <w:r w:rsidRPr="004B40CE" w:rsidR="00A5359F">
        <w:t xml:space="preserve"> </w:t>
      </w:r>
      <w:r w:rsidRPr="004B40CE" w:rsidR="00036DEA">
        <w:t xml:space="preserve">To mitigate the risk of </w:t>
      </w:r>
      <w:r w:rsidRPr="004B40CE">
        <w:t>spreading</w:t>
      </w:r>
      <w:r w:rsidRPr="004B40CE" w:rsidR="00036DEA">
        <w:t xml:space="preserve"> the </w:t>
      </w:r>
      <w:r w:rsidRPr="004B40CE">
        <w:t>corona</w:t>
      </w:r>
      <w:r w:rsidRPr="004B40CE" w:rsidR="00036DEA">
        <w:t>virus, Duke</w:t>
      </w:r>
      <w:r w:rsidRPr="004B40CE" w:rsidR="00914406">
        <w:t xml:space="preserve"> states</w:t>
      </w:r>
      <w:r w:rsidRPr="004B40CE" w:rsidR="00036DEA">
        <w:t xml:space="preserve"> </w:t>
      </w:r>
      <w:r w:rsidRPr="004B40CE">
        <w:t xml:space="preserve">that </w:t>
      </w:r>
      <w:r w:rsidRPr="004B40CE" w:rsidR="00914406">
        <w:t>t</w:t>
      </w:r>
      <w:r w:rsidRPr="004B40CE" w:rsidR="00CF27D2">
        <w:t xml:space="preserve">hese changes include </w:t>
      </w:r>
      <w:r w:rsidRPr="004B40CE" w:rsidR="00682431">
        <w:t>provid</w:t>
      </w:r>
      <w:r w:rsidRPr="004B40CE" w:rsidR="00CF27D2">
        <w:t>ing</w:t>
      </w:r>
      <w:r w:rsidRPr="004B40CE" w:rsidR="00682431">
        <w:t xml:space="preserve"> personal protective equi</w:t>
      </w:r>
      <w:r w:rsidRPr="004B40CE" w:rsidR="00BF33E8">
        <w:t>p</w:t>
      </w:r>
      <w:r w:rsidRPr="004B40CE" w:rsidR="00682431">
        <w:t>men</w:t>
      </w:r>
      <w:r w:rsidRPr="004B40CE" w:rsidR="00BF33E8">
        <w:t>t</w:t>
      </w:r>
      <w:r w:rsidRPr="004B40CE" w:rsidR="00682431">
        <w:t xml:space="preserve"> </w:t>
      </w:r>
      <w:r w:rsidRPr="004B40CE" w:rsidR="00BF33E8">
        <w:t xml:space="preserve">to </w:t>
      </w:r>
      <w:r w:rsidRPr="004B40CE" w:rsidR="009228B9">
        <w:t>employees</w:t>
      </w:r>
      <w:r w:rsidRPr="004B40CE" w:rsidR="00BF33E8">
        <w:t xml:space="preserve"> </w:t>
      </w:r>
      <w:r w:rsidRPr="004B40CE" w:rsidR="00682431">
        <w:t>wh</w:t>
      </w:r>
      <w:r w:rsidRPr="004B40CE" w:rsidR="00BF33E8">
        <w:t xml:space="preserve">en it is </w:t>
      </w:r>
      <w:r w:rsidRPr="004B40CE" w:rsidR="00682431">
        <w:t>necessary to enter a customer</w:t>
      </w:r>
      <w:r w:rsidRPr="004B40CE">
        <w:t>’s</w:t>
      </w:r>
      <w:r w:rsidRPr="004B40CE" w:rsidR="00682431">
        <w:t xml:space="preserve"> home</w:t>
      </w:r>
      <w:r w:rsidRPr="004B40CE" w:rsidR="00A63392">
        <w:t xml:space="preserve"> and </w:t>
      </w:r>
      <w:r w:rsidRPr="004B40CE" w:rsidR="00BF33E8">
        <w:t>i</w:t>
      </w:r>
      <w:r w:rsidRPr="004B40CE" w:rsidR="00682431">
        <w:t xml:space="preserve">nformation technology changes </w:t>
      </w:r>
      <w:r w:rsidRPr="004B40CE" w:rsidR="00A63392">
        <w:t xml:space="preserve">necessary </w:t>
      </w:r>
      <w:r w:rsidRPr="004B40CE" w:rsidR="00682431">
        <w:t>to implem</w:t>
      </w:r>
      <w:r w:rsidRPr="004B40CE" w:rsidR="0054357E">
        <w:t>ent</w:t>
      </w:r>
      <w:r w:rsidRPr="004B40CE" w:rsidR="00682431">
        <w:t xml:space="preserve"> remote work</w:t>
      </w:r>
      <w:r w:rsidRPr="004B40CE" w:rsidR="0054357E">
        <w:t xml:space="preserve"> for its employees</w:t>
      </w:r>
      <w:r w:rsidRPr="004B40CE" w:rsidR="00BF33E8">
        <w:t>.</w:t>
      </w:r>
      <w:r>
        <w:rPr>
          <w:rStyle w:val="FootnoteReference"/>
        </w:rPr>
        <w:footnoteReference w:id="10"/>
      </w:r>
      <w:r w:rsidRPr="004B40CE" w:rsidR="00BF33E8">
        <w:t xml:space="preserve"> </w:t>
      </w:r>
      <w:r w:rsidRPr="004B40CE" w:rsidR="00875367">
        <w:t xml:space="preserve">Duke also asserts that it has experienced financial losses from </w:t>
      </w:r>
      <w:r w:rsidRPr="004B40CE" w:rsidR="009910BD">
        <w:t xml:space="preserve">maintaining </w:t>
      </w:r>
      <w:r w:rsidRPr="004B40CE" w:rsidR="00875367">
        <w:t>service continuity for consumers, waiving fees</w:t>
      </w:r>
      <w:r w:rsidRPr="004B40CE" w:rsidR="0054357E">
        <w:t>,</w:t>
      </w:r>
      <w:r w:rsidRPr="004B40CE" w:rsidR="00875367">
        <w:t xml:space="preserve"> and suspending disconnections</w:t>
      </w:r>
      <w:r w:rsidRPr="004B40CE" w:rsidR="004C39CF">
        <w:t>.</w:t>
      </w:r>
      <w:r>
        <w:rPr>
          <w:rStyle w:val="FootnoteReference"/>
        </w:rPr>
        <w:footnoteReference w:id="11"/>
      </w:r>
      <w:r w:rsidRPr="004B40CE" w:rsidR="00CF454F">
        <w:t xml:space="preserve"> </w:t>
      </w:r>
    </w:p>
    <w:p w:rsidR="00582AF7" w:rsidRPr="004B40CE" w:rsidP="00E114EE" w14:paraId="5219AAAF" w14:textId="21530C86">
      <w:pPr>
        <w:spacing w:line="480" w:lineRule="auto"/>
        <w:ind w:firstLine="720"/>
      </w:pPr>
      <w:r w:rsidRPr="004B40CE">
        <w:t xml:space="preserve">Although Duke’s initial </w:t>
      </w:r>
      <w:r w:rsidRPr="004B40CE" w:rsidR="00772C90">
        <w:t xml:space="preserve">emergency plan application did not include any requests for deferral of its </w:t>
      </w:r>
      <w:r w:rsidRPr="004B40CE">
        <w:t>emergency plan</w:t>
      </w:r>
      <w:r w:rsidRPr="004B40CE" w:rsidR="00772C90">
        <w:t xml:space="preserve"> costs, </w:t>
      </w:r>
      <w:r w:rsidRPr="004B40CE" w:rsidR="00CF454F">
        <w:t xml:space="preserve">Duke </w:t>
      </w:r>
      <w:r w:rsidRPr="004B40CE">
        <w:t xml:space="preserve">now </w:t>
      </w:r>
      <w:r w:rsidRPr="004B40CE" w:rsidR="00CF454F">
        <w:t xml:space="preserve">seeks approval to defer all current and future </w:t>
      </w:r>
      <w:r w:rsidRPr="004B40CE" w:rsidR="00761706">
        <w:t xml:space="preserve">costs that are incremental to its base electric and natural gas </w:t>
      </w:r>
      <w:r w:rsidRPr="004B40CE" w:rsidR="0072261E">
        <w:t>rates.</w:t>
      </w:r>
      <w:r>
        <w:rPr>
          <w:rStyle w:val="FootnoteReference"/>
        </w:rPr>
        <w:footnoteReference w:id="12"/>
      </w:r>
      <w:r w:rsidRPr="004B40CE" w:rsidR="00EC1F70">
        <w:t xml:space="preserve"> Duke proposes </w:t>
      </w:r>
      <w:r w:rsidRPr="004B40CE" w:rsidR="00E114EE">
        <w:t xml:space="preserve">to charge consumers for these incremental costs through its electric and natural gas distribution uncollectible expense </w:t>
      </w:r>
      <w:r w:rsidRPr="004B40CE" w:rsidR="00E51A42">
        <w:t>collection</w:t>
      </w:r>
      <w:r w:rsidRPr="004B40CE" w:rsidR="00E114EE">
        <w:t xml:space="preserve"> mechanisms, Rider UE-ED and Rider UE-G, respectively</w:t>
      </w:r>
      <w:r w:rsidRPr="004B40CE">
        <w:t>.  It</w:t>
      </w:r>
      <w:r w:rsidRPr="004B40CE" w:rsidR="00727F74">
        <w:t xml:space="preserve"> proposes including these costs in an application to adjust these riders at a future date, once the scope of costs is fully known and the state of emergency has been lifted.</w:t>
      </w:r>
      <w:r>
        <w:rPr>
          <w:rStyle w:val="FootnoteReference"/>
        </w:rPr>
        <w:footnoteReference w:id="13"/>
      </w:r>
      <w:r w:rsidRPr="004B40CE" w:rsidR="00E114EE">
        <w:t xml:space="preserve"> </w:t>
      </w:r>
    </w:p>
    <w:p w:rsidR="00036DEA" w:rsidRPr="004B40CE" w:rsidP="00582AF7" w14:paraId="689BE016" w14:textId="08C1A433">
      <w:pPr>
        <w:spacing w:line="480" w:lineRule="auto"/>
        <w:ind w:firstLine="720"/>
      </w:pPr>
      <w:r w:rsidRPr="004B40CE">
        <w:t xml:space="preserve">To protect consumers, the PUCO should hold Duke to the same </w:t>
      </w:r>
      <w:r w:rsidRPr="004B40CE" w:rsidR="00582AF7">
        <w:t>consumer protections</w:t>
      </w:r>
      <w:r w:rsidRPr="004B40CE">
        <w:t xml:space="preserve"> </w:t>
      </w:r>
      <w:r w:rsidRPr="004B40CE" w:rsidR="00F91407">
        <w:t xml:space="preserve">it recently placed on </w:t>
      </w:r>
      <w:r w:rsidRPr="004B40CE" w:rsidR="00582AF7">
        <w:t xml:space="preserve">AEP and </w:t>
      </w:r>
      <w:r w:rsidRPr="004B40CE" w:rsidR="00626882">
        <w:t>DP&amp;L</w:t>
      </w:r>
      <w:r w:rsidRPr="004B40CE" w:rsidR="00582AF7">
        <w:t xml:space="preserve"> regarding deferring</w:t>
      </w:r>
      <w:r w:rsidRPr="004B40CE" w:rsidR="00182D9F">
        <w:t xml:space="preserve"> costs</w:t>
      </w:r>
      <w:r w:rsidRPr="004B40CE" w:rsidR="00582AF7">
        <w:t xml:space="preserve"> for later collection from consumers</w:t>
      </w:r>
      <w:r w:rsidRPr="004B40CE" w:rsidR="00F91407">
        <w:t>.</w:t>
      </w:r>
      <w:r>
        <w:rPr>
          <w:rStyle w:val="FootnoteReference"/>
        </w:rPr>
        <w:footnoteReference w:id="14"/>
      </w:r>
      <w:r w:rsidRPr="004B40CE" w:rsidR="00582AF7">
        <w:t xml:space="preserve">  In both cases, </w:t>
      </w:r>
      <w:r w:rsidRPr="004B40CE" w:rsidR="00F74AFF">
        <w:t>Staff explained</w:t>
      </w:r>
      <w:r w:rsidRPr="004B40CE">
        <w:t xml:space="preserve"> that cost collection is not guaranteed until the deferred amounts have been reviewed and addressed in an </w:t>
      </w:r>
      <w:r w:rsidRPr="004B40CE" w:rsidR="009228B9">
        <w:t>appropriate</w:t>
      </w:r>
      <w:r w:rsidRPr="004B40CE">
        <w:t xml:space="preserve"> future proceeding.</w:t>
      </w:r>
      <w:r>
        <w:rPr>
          <w:rStyle w:val="FootnoteReference"/>
        </w:rPr>
        <w:footnoteReference w:id="15"/>
      </w:r>
      <w:r w:rsidRPr="004B40CE">
        <w:t xml:space="preserve"> </w:t>
      </w:r>
      <w:r w:rsidRPr="004B40CE" w:rsidR="002E6996">
        <w:t xml:space="preserve">As described above, Staff also modified the criteria under which deferral requests are evaluated in light of the coronavirus emergency.  </w:t>
      </w:r>
      <w:r w:rsidRPr="004B40CE">
        <w:t xml:space="preserve">The PUCO </w:t>
      </w:r>
      <w:r w:rsidRPr="004B40CE" w:rsidR="009A476B">
        <w:t xml:space="preserve">also </w:t>
      </w:r>
      <w:r w:rsidRPr="004B40CE">
        <w:t xml:space="preserve">clarified that in </w:t>
      </w:r>
      <w:r w:rsidRPr="004B40CE" w:rsidR="002C02E9">
        <w:t xml:space="preserve">a </w:t>
      </w:r>
      <w:r w:rsidRPr="004B40CE">
        <w:t>future proceeding, the deferred amounts will be reviewed for prudence, proper computation, proper recording, reasonableness, and any potential double-recovery.</w:t>
      </w:r>
      <w:r>
        <w:rPr>
          <w:rStyle w:val="FootnoteReference"/>
        </w:rPr>
        <w:footnoteReference w:id="16"/>
      </w:r>
      <w:r>
        <w:t xml:space="preserve">  During this time where making sure that consumers pay no more than fair, just, and reasonable rates is even more heightened due to the coronavirus emergency, these consumer protections are especially important.</w:t>
      </w:r>
      <w:r w:rsidRPr="004B40CE">
        <w:t xml:space="preserve"> </w:t>
      </w:r>
    </w:p>
    <w:p w:rsidR="00B71A4B" w:rsidRPr="004B40CE" w:rsidP="00E114EE" w14:paraId="071A89EE" w14:textId="4C3A7D26">
      <w:pPr>
        <w:spacing w:line="480" w:lineRule="auto"/>
        <w:ind w:firstLine="720"/>
      </w:pPr>
      <w:r w:rsidRPr="004B40CE">
        <w:t xml:space="preserve">Here, </w:t>
      </w:r>
      <w:r w:rsidRPr="004B40CE" w:rsidR="0054577E">
        <w:t xml:space="preserve">Staff reviewed Duke’s deferral application and applied its six factor </w:t>
      </w:r>
      <w:r w:rsidRPr="004B40CE" w:rsidR="00A303C8">
        <w:t>evaluation criteria to the deferral request</w:t>
      </w:r>
      <w:r w:rsidRPr="004B40CE">
        <w:t>.</w:t>
      </w:r>
      <w:r>
        <w:rPr>
          <w:rStyle w:val="FootnoteReference"/>
        </w:rPr>
        <w:footnoteReference w:id="17"/>
      </w:r>
      <w:r w:rsidRPr="004B40CE" w:rsidR="00A303C8">
        <w:t xml:space="preserve"> </w:t>
      </w:r>
      <w:r w:rsidRPr="004B40CE">
        <w:t>A</w:t>
      </w:r>
      <w:r w:rsidRPr="004B40CE" w:rsidR="00B46832">
        <w:t>nd s</w:t>
      </w:r>
      <w:r w:rsidRPr="004B40CE" w:rsidR="00BE041E">
        <w:t>imilar to its recommendation</w:t>
      </w:r>
      <w:r w:rsidRPr="004B40CE" w:rsidR="00582AF7">
        <w:t xml:space="preserve">s involving AEP and </w:t>
      </w:r>
      <w:r w:rsidRPr="004B40CE" w:rsidR="00F91407">
        <w:t>DP&amp;L</w:t>
      </w:r>
      <w:r w:rsidRPr="004B40CE" w:rsidR="00BE041E">
        <w:t xml:space="preserve">, </w:t>
      </w:r>
      <w:r w:rsidRPr="004B40CE" w:rsidR="00582AF7">
        <w:t>S</w:t>
      </w:r>
      <w:r w:rsidRPr="004B40CE">
        <w:t xml:space="preserve">taff </w:t>
      </w:r>
      <w:r w:rsidRPr="004B40CE" w:rsidR="007336E6">
        <w:t>recommended approv</w:t>
      </w:r>
      <w:r w:rsidRPr="004B40CE" w:rsidR="00582AF7">
        <w:t>ing</w:t>
      </w:r>
      <w:r w:rsidRPr="004B40CE" w:rsidR="007336E6">
        <w:t xml:space="preserve"> Duke’s </w:t>
      </w:r>
      <w:r w:rsidRPr="004B40CE" w:rsidR="004537BF">
        <w:t xml:space="preserve">request for </w:t>
      </w:r>
      <w:r w:rsidRPr="004B40CE" w:rsidR="007336E6">
        <w:t>deferral auth</w:t>
      </w:r>
      <w:r w:rsidRPr="004B40CE" w:rsidR="00D219D1">
        <w:t>or</w:t>
      </w:r>
      <w:r w:rsidRPr="004B40CE" w:rsidR="004537BF">
        <w:t>i</w:t>
      </w:r>
      <w:r w:rsidRPr="004B40CE" w:rsidR="007336E6">
        <w:t>ty for expenses and revenues</w:t>
      </w:r>
      <w:r w:rsidRPr="004B40CE" w:rsidR="00D219D1">
        <w:t>, without carrying charges (interest).</w:t>
      </w:r>
      <w:r>
        <w:rPr>
          <w:rStyle w:val="FootnoteReference"/>
        </w:rPr>
        <w:footnoteReference w:id="18"/>
      </w:r>
      <w:r w:rsidRPr="004B40CE" w:rsidR="00D219D1">
        <w:t xml:space="preserve"> </w:t>
      </w:r>
      <w:r w:rsidRPr="004B40CE" w:rsidR="00C124C9">
        <w:t>Staff also recommended that the PUCO direct Duke’s external auditors to work with Staff during the annual audits of the UE-ED and UE-G.</w:t>
      </w:r>
      <w:r>
        <w:rPr>
          <w:rStyle w:val="FootnoteReference"/>
        </w:rPr>
        <w:footnoteReference w:id="19"/>
      </w:r>
      <w:r w:rsidRPr="004B40CE" w:rsidR="00C124C9">
        <w:t xml:space="preserve"> Finall</w:t>
      </w:r>
      <w:r w:rsidRPr="004B40CE">
        <w:t>y</w:t>
      </w:r>
      <w:r w:rsidRPr="004B40CE" w:rsidR="00C124C9">
        <w:t xml:space="preserve">, </w:t>
      </w:r>
      <w:r w:rsidRPr="004B40CE" w:rsidR="00D219D1">
        <w:t xml:space="preserve">Staff emphasized </w:t>
      </w:r>
      <w:r w:rsidRPr="004B40CE" w:rsidR="00DC2FE9">
        <w:t>that the PUCO should clearly communicate in its order that Duke’s collection of costs and revenues from consumers is not guaranteed until the deferred amount ha</w:t>
      </w:r>
      <w:r w:rsidRPr="004B40CE" w:rsidR="00582AF7">
        <w:t>s</w:t>
      </w:r>
      <w:r w:rsidRPr="004B40CE" w:rsidR="00DC2FE9">
        <w:t xml:space="preserve"> been reviewed and addressed in the appropriate future </w:t>
      </w:r>
      <w:r w:rsidRPr="004B40CE" w:rsidR="009228B9">
        <w:t>proceeding</w:t>
      </w:r>
      <w:r w:rsidRPr="004B40CE" w:rsidR="00DC2FE9">
        <w:t xml:space="preserve"> before the PUCO.</w:t>
      </w:r>
      <w:r>
        <w:rPr>
          <w:rStyle w:val="FootnoteReference"/>
        </w:rPr>
        <w:footnoteReference w:id="20"/>
      </w:r>
      <w:r w:rsidRPr="004B40CE" w:rsidR="00C40A57">
        <w:t xml:space="preserve"> The future </w:t>
      </w:r>
      <w:r w:rsidRPr="004B40CE" w:rsidR="009228B9">
        <w:t>proceeding</w:t>
      </w:r>
      <w:r w:rsidRPr="004B40CE" w:rsidR="00C40A57">
        <w:t xml:space="preserve"> should address the question of collection of the deferred amount, including</w:t>
      </w:r>
      <w:r w:rsidRPr="004B40CE" w:rsidR="00217F2C">
        <w:t xml:space="preserve"> the issues of prudence, proper computation</w:t>
      </w:r>
      <w:r w:rsidRPr="004B40CE" w:rsidR="00A44B5D">
        <w:t xml:space="preserve"> (including the inclusion of pandemic-related savings, </w:t>
      </w:r>
      <w:r w:rsidRPr="004B40CE" w:rsidR="00A44B5D">
        <w:rPr>
          <w:i/>
          <w:iCs/>
        </w:rPr>
        <w:t>e.g</w:t>
      </w:r>
      <w:r w:rsidRPr="004B40CE" w:rsidR="00A44B5D">
        <w:t>., labor, travel, etc.)</w:t>
      </w:r>
      <w:r w:rsidRPr="004B40CE" w:rsidR="00217F2C">
        <w:t xml:space="preserve">, proper recording, </w:t>
      </w:r>
      <w:r w:rsidRPr="004B40CE" w:rsidR="009228B9">
        <w:t>reasonableness</w:t>
      </w:r>
      <w:r w:rsidRPr="004B40CE" w:rsidR="00217F2C">
        <w:t>, and any potential double-collection.</w:t>
      </w:r>
      <w:r>
        <w:rPr>
          <w:rStyle w:val="FootnoteReference"/>
        </w:rPr>
        <w:footnoteReference w:id="21"/>
      </w:r>
      <w:r w:rsidRPr="004B40CE" w:rsidR="00852D2E">
        <w:t xml:space="preserve">  OCC fully supports Staff’s recommendations.</w:t>
      </w:r>
      <w:r>
        <w:t xml:space="preserve">  Such consumer protections are necessary to make sure that consumers pay not more than fair, just, and reasonable rates.</w:t>
      </w:r>
    </w:p>
    <w:p w:rsidR="00E9610E" w:rsidRPr="004B40CE" w:rsidP="00E9610E" w14:paraId="04794064" w14:textId="276D52B2">
      <w:pPr>
        <w:spacing w:line="480" w:lineRule="auto"/>
        <w:ind w:firstLine="720"/>
      </w:pPr>
      <w:r w:rsidRPr="004B40CE">
        <w:t xml:space="preserve">To protect consumers from overpaying for electric and gas utility service, the PUCO should adopt its Staff’s recommendations, as it recently did in </w:t>
      </w:r>
      <w:r w:rsidRPr="004B40CE" w:rsidR="00852D2E">
        <w:t>AEP’s and</w:t>
      </w:r>
      <w:r w:rsidRPr="004B40CE">
        <w:t xml:space="preserve"> DP&amp;L</w:t>
      </w:r>
      <w:r w:rsidRPr="004B40CE" w:rsidR="00852D2E">
        <w:t>’s emergency</w:t>
      </w:r>
      <w:r w:rsidRPr="004B40CE">
        <w:t xml:space="preserve"> case</w:t>
      </w:r>
      <w:r w:rsidRPr="004B40CE" w:rsidR="00852D2E">
        <w:t>s</w:t>
      </w:r>
      <w:r w:rsidRPr="004B40CE">
        <w:t>,</w:t>
      </w:r>
      <w:r w:rsidRPr="004B40CE" w:rsidR="00A6613C">
        <w:t xml:space="preserve"> to require a </w:t>
      </w:r>
      <w:r w:rsidRPr="004B40CE" w:rsidR="009228B9">
        <w:t>thorough</w:t>
      </w:r>
      <w:r w:rsidRPr="004B40CE" w:rsidR="00A6613C">
        <w:t xml:space="preserve"> review of deferred amounts before approving collection from consumers.</w:t>
      </w:r>
      <w:r w:rsidRPr="004B40CE">
        <w:tab/>
      </w:r>
      <w:r w:rsidRPr="004B40CE">
        <w:tab/>
      </w:r>
      <w:r w:rsidRPr="004B40CE">
        <w:tab/>
      </w:r>
      <w:r w:rsidRPr="004B40CE">
        <w:tab/>
      </w:r>
    </w:p>
    <w:p w:rsidR="00E9610E" w:rsidRPr="004B40CE" w:rsidP="00E9610E" w14:paraId="56E6EC2C" w14:textId="77777777">
      <w:pPr>
        <w:spacing w:line="480" w:lineRule="auto"/>
        <w:ind w:left="2880" w:firstLine="720"/>
      </w:pPr>
    </w:p>
    <w:p w:rsidR="00F74AFF" w:rsidP="00E9610E" w14:paraId="697A2E34" w14:textId="77777777">
      <w:pPr>
        <w:spacing w:line="480" w:lineRule="auto"/>
        <w:ind w:left="2880" w:firstLine="720"/>
        <w:sectPr w:rsidSect="001468FC">
          <w:headerReference w:type="first" r:id="rId14"/>
          <w:pgSz w:w="12240" w:h="15840"/>
          <w:pgMar w:top="1440" w:right="1800" w:bottom="1440" w:left="1800" w:header="720" w:footer="720" w:gutter="0"/>
          <w:cols w:space="720"/>
          <w:titlePg/>
          <w:docGrid w:linePitch="65"/>
        </w:sectPr>
      </w:pPr>
    </w:p>
    <w:p w:rsidR="001E25C0" w:rsidRPr="004B40CE" w:rsidP="00E9610E" w14:paraId="0E9B0723" w14:textId="3484E60C">
      <w:pPr>
        <w:spacing w:line="480" w:lineRule="auto"/>
        <w:ind w:left="2880" w:firstLine="720"/>
      </w:pPr>
      <w:r w:rsidRPr="004B40CE">
        <w:t>Respectfully submitted,</w:t>
      </w:r>
    </w:p>
    <w:p w:rsidR="001E25C0" w:rsidRPr="004B40CE" w:rsidP="00B93FE2" w14:paraId="6C6D8355" w14:textId="508ED941">
      <w:pPr>
        <w:pStyle w:val="Footer"/>
        <w:tabs>
          <w:tab w:val="left" w:pos="4320"/>
          <w:tab w:val="clear" w:pos="8640"/>
        </w:tabs>
        <w:ind w:left="3600"/>
        <w:rPr>
          <w:sz w:val="24"/>
          <w:szCs w:val="24"/>
        </w:rPr>
      </w:pPr>
      <w:r w:rsidRPr="004B40CE">
        <w:rPr>
          <w:sz w:val="24"/>
          <w:szCs w:val="24"/>
        </w:rPr>
        <w:t>Bruce Weston (0016973)</w:t>
      </w:r>
    </w:p>
    <w:p w:rsidR="001E25C0" w:rsidRPr="004B40CE" w:rsidP="00B93FE2" w14:paraId="405447DE" w14:textId="1331681C">
      <w:pPr>
        <w:tabs>
          <w:tab w:val="left" w:pos="4320"/>
        </w:tabs>
        <w:ind w:left="3600"/>
      </w:pPr>
      <w:r w:rsidRPr="004B40CE">
        <w:t>Ohio Consumers’ Counsel</w:t>
      </w:r>
    </w:p>
    <w:p w:rsidR="001E25C0" w:rsidRPr="004B40CE" w:rsidP="00B93FE2" w14:paraId="7C55F061" w14:textId="77777777">
      <w:pPr>
        <w:tabs>
          <w:tab w:val="left" w:pos="4320"/>
        </w:tabs>
        <w:ind w:left="3600"/>
      </w:pPr>
      <w:r w:rsidRPr="004B40CE">
        <w:tab/>
      </w:r>
    </w:p>
    <w:p w:rsidR="001E25C0" w:rsidRPr="004B40CE" w:rsidP="00B93FE2" w14:paraId="07F3A630" w14:textId="15B5B034">
      <w:pPr>
        <w:tabs>
          <w:tab w:val="left" w:pos="4320"/>
        </w:tabs>
        <w:ind w:left="3600"/>
      </w:pPr>
      <w:r w:rsidRPr="004B40CE">
        <w:rPr>
          <w:i/>
          <w:u w:val="single"/>
        </w:rPr>
        <w:t>/s/ Ambrosia E.</w:t>
      </w:r>
      <w:r w:rsidRPr="004B40CE" w:rsidR="00125D6F">
        <w:rPr>
          <w:i/>
          <w:u w:val="single"/>
        </w:rPr>
        <w:t xml:space="preserve"> </w:t>
      </w:r>
      <w:r w:rsidRPr="004B40CE" w:rsidR="009228B9">
        <w:rPr>
          <w:i/>
          <w:u w:val="single"/>
        </w:rPr>
        <w:t>Wilson</w:t>
      </w:r>
      <w:r w:rsidRPr="004B40CE">
        <w:rPr>
          <w:i/>
          <w:u w:val="single"/>
        </w:rPr>
        <w:tab/>
      </w:r>
      <w:r w:rsidRPr="004B40CE">
        <w:rPr>
          <w:i/>
          <w:u w:val="single"/>
        </w:rPr>
        <w:tab/>
      </w:r>
      <w:r w:rsidRPr="004B40CE">
        <w:t xml:space="preserve"> </w:t>
      </w:r>
    </w:p>
    <w:p w:rsidR="001A2F19" w:rsidRPr="004B40CE" w:rsidP="00B93FE2" w14:paraId="5AB2C526" w14:textId="6C73E4AE">
      <w:pPr>
        <w:tabs>
          <w:tab w:val="left" w:pos="4320"/>
        </w:tabs>
        <w:ind w:left="3600"/>
      </w:pPr>
      <w:r w:rsidRPr="004B40CE">
        <w:t>William Michael (</w:t>
      </w:r>
      <w:r w:rsidRPr="004B40CE" w:rsidR="00F1170B">
        <w:t>0070921</w:t>
      </w:r>
      <w:r w:rsidRPr="004B40CE">
        <w:t>)</w:t>
      </w:r>
    </w:p>
    <w:p w:rsidR="001E25C0" w:rsidRPr="004B40CE" w:rsidP="00B93FE2" w14:paraId="5FBE0570" w14:textId="5F1C45E8">
      <w:pPr>
        <w:tabs>
          <w:tab w:val="left" w:pos="4320"/>
        </w:tabs>
        <w:ind w:left="3600"/>
      </w:pPr>
      <w:r w:rsidRPr="004B40CE">
        <w:t xml:space="preserve">Counsel of Record </w:t>
      </w:r>
    </w:p>
    <w:p w:rsidR="001A2F19" w:rsidRPr="004B40CE" w:rsidP="001A2F19" w14:paraId="4C046179" w14:textId="76A20319">
      <w:pPr>
        <w:tabs>
          <w:tab w:val="left" w:pos="4320"/>
        </w:tabs>
        <w:ind w:left="3600"/>
      </w:pPr>
      <w:r w:rsidRPr="004B40CE">
        <w:t xml:space="preserve">Ambrosia E. </w:t>
      </w:r>
      <w:r w:rsidRPr="004B40CE" w:rsidR="009228B9">
        <w:t>Wilson</w:t>
      </w:r>
      <w:r w:rsidRPr="004B40CE">
        <w:t xml:space="preserve"> (0096598)</w:t>
      </w:r>
    </w:p>
    <w:p w:rsidR="001E25C0" w:rsidRPr="004B40CE" w:rsidP="00B93FE2" w14:paraId="0BAB9587" w14:textId="77777777">
      <w:pPr>
        <w:tabs>
          <w:tab w:val="left" w:pos="4320"/>
        </w:tabs>
        <w:ind w:left="3600"/>
      </w:pPr>
      <w:r w:rsidRPr="004B40CE">
        <w:t>Assistant Consumers’ Counsel</w:t>
      </w:r>
    </w:p>
    <w:p w:rsidR="001E25C0" w:rsidRPr="004B40CE" w:rsidP="00B93FE2" w14:paraId="50942266" w14:textId="77777777">
      <w:pPr>
        <w:tabs>
          <w:tab w:val="left" w:pos="4320"/>
        </w:tabs>
        <w:ind w:left="3600"/>
      </w:pPr>
      <w:r w:rsidRPr="004B40CE">
        <w:tab/>
      </w:r>
    </w:p>
    <w:p w:rsidR="001E25C0" w:rsidRPr="004B40CE" w:rsidP="00B93FE2" w14:paraId="5DF89266" w14:textId="174C5A4C">
      <w:pPr>
        <w:pStyle w:val="Heading1"/>
        <w:ind w:left="3600" w:right="-648"/>
        <w:rPr>
          <w:u w:val="none"/>
        </w:rPr>
      </w:pPr>
      <w:r w:rsidRPr="004B40CE">
        <w:rPr>
          <w:u w:val="none"/>
        </w:rPr>
        <w:t>Office of the Ohio Consumers’ Counsel</w:t>
      </w:r>
    </w:p>
    <w:p w:rsidR="001E25C0" w:rsidRPr="004B40CE" w:rsidP="00B93FE2" w14:paraId="241529C0" w14:textId="6730CE1A">
      <w:pPr>
        <w:pStyle w:val="Heading1"/>
        <w:ind w:left="3600" w:right="-648"/>
        <w:rPr>
          <w:b w:val="0"/>
          <w:u w:val="none"/>
        </w:rPr>
      </w:pPr>
      <w:r w:rsidRPr="004B40CE">
        <w:rPr>
          <w:b w:val="0"/>
          <w:u w:val="none"/>
        </w:rPr>
        <w:t>65 East State Street, 7th Floor</w:t>
      </w:r>
    </w:p>
    <w:p w:rsidR="001E25C0" w:rsidRPr="004B40CE" w:rsidP="00B93FE2" w14:paraId="5AEF644B" w14:textId="565FBA00">
      <w:pPr>
        <w:pStyle w:val="Heading1"/>
        <w:ind w:left="3600" w:right="-648"/>
        <w:rPr>
          <w:b w:val="0"/>
          <w:u w:val="none"/>
        </w:rPr>
      </w:pPr>
      <w:r w:rsidRPr="004B40CE">
        <w:rPr>
          <w:b w:val="0"/>
          <w:u w:val="none"/>
        </w:rPr>
        <w:t>Columbus, Ohio 43215-4213</w:t>
      </w:r>
    </w:p>
    <w:p w:rsidR="005C0FE8" w:rsidRPr="004B40CE" w:rsidP="00B93FE2" w14:paraId="16A7B598" w14:textId="1456EA69">
      <w:pPr>
        <w:autoSpaceDE w:val="0"/>
        <w:autoSpaceDN w:val="0"/>
        <w:adjustRightInd w:val="0"/>
        <w:ind w:left="3600"/>
      </w:pPr>
      <w:r w:rsidRPr="004B40CE">
        <w:t>Telephone [Michael]: (614) 466-1291</w:t>
      </w:r>
    </w:p>
    <w:p w:rsidR="001E25C0" w:rsidRPr="004B40CE" w:rsidP="00B93FE2" w14:paraId="2CE77E45" w14:textId="23F0F9CB">
      <w:pPr>
        <w:autoSpaceDE w:val="0"/>
        <w:autoSpaceDN w:val="0"/>
        <w:adjustRightInd w:val="0"/>
        <w:ind w:left="3600"/>
      </w:pPr>
      <w:r w:rsidRPr="004B40CE">
        <w:t>Telephone [</w:t>
      </w:r>
      <w:r w:rsidRPr="004B40CE" w:rsidR="009228B9">
        <w:t>Wilson</w:t>
      </w:r>
      <w:r w:rsidRPr="004B40CE">
        <w:t>]: (614) 466-1292</w:t>
      </w:r>
    </w:p>
    <w:p w:rsidR="005C0FE8" w:rsidRPr="004B40CE" w:rsidP="00B93FE2" w14:paraId="693CEC8A" w14:textId="02BC9BA7">
      <w:pPr>
        <w:autoSpaceDE w:val="0"/>
        <w:autoSpaceDN w:val="0"/>
        <w:adjustRightInd w:val="0"/>
        <w:ind w:left="3600"/>
      </w:pPr>
      <w:hyperlink r:id="rId8" w:history="1">
        <w:r w:rsidRPr="004B40CE" w:rsidR="00125D6F">
          <w:rPr>
            <w:rStyle w:val="Hyperlink"/>
          </w:rPr>
          <w:t>William.Michael@occ.ohio.gov</w:t>
        </w:r>
      </w:hyperlink>
    </w:p>
    <w:p w:rsidR="001E25C0" w:rsidRPr="004B40CE" w:rsidP="00B93FE2" w14:paraId="0B6AC329" w14:textId="6DA1503E">
      <w:pPr>
        <w:autoSpaceDE w:val="0"/>
        <w:autoSpaceDN w:val="0"/>
        <w:adjustRightInd w:val="0"/>
        <w:ind w:left="3600"/>
      </w:pPr>
      <w:hyperlink r:id="rId9" w:history="1">
        <w:r w:rsidRPr="004B40CE" w:rsidR="009228B9">
          <w:rPr>
            <w:rStyle w:val="Hyperlink"/>
          </w:rPr>
          <w:t>Ambrosia.wilson@occ.ohio.gov</w:t>
        </w:r>
      </w:hyperlink>
    </w:p>
    <w:p w:rsidR="0073747D" w:rsidRPr="004B40CE" w:rsidP="00B93FE2" w14:paraId="136DE261" w14:textId="151B9802">
      <w:pPr>
        <w:ind w:left="3600"/>
      </w:pPr>
      <w:r w:rsidRPr="004B40CE">
        <w:t>(willing to accept service by e-mail)</w:t>
      </w:r>
    </w:p>
    <w:p w:rsidR="0073747D" w:rsidRPr="004B40CE" w:rsidP="00B93FE2" w14:paraId="7992664C" w14:textId="77777777">
      <w:pPr>
        <w:ind w:firstLine="90"/>
      </w:pPr>
    </w:p>
    <w:p w:rsidR="0073747D" w:rsidRPr="004B40CE" w:rsidP="0073747D" w14:paraId="006B6142" w14:textId="77777777"/>
    <w:p w:rsidR="0073747D" w:rsidRPr="004B40CE" w:rsidP="0073747D" w14:paraId="327EC6F7" w14:textId="77777777"/>
    <w:p w:rsidR="0073747D" w:rsidRPr="004B40CE" w:rsidP="0073747D" w14:paraId="44A3CF18" w14:textId="77777777"/>
    <w:p w:rsidR="0073747D" w:rsidRPr="004B40CE" w:rsidP="0073747D" w14:paraId="5B4C9722" w14:textId="77777777"/>
    <w:p w:rsidR="00F74AFF" w14:paraId="5A5D18AA" w14:textId="77777777">
      <w:pPr>
        <w:jc w:val="center"/>
        <w:rPr>
          <w:b/>
          <w:bCs/>
          <w:u w:val="single"/>
        </w:rPr>
        <w:sectPr w:rsidSect="001468FC">
          <w:pgSz w:w="12240" w:h="15840"/>
          <w:pgMar w:top="1440" w:right="1800" w:bottom="1440" w:left="1800" w:header="720" w:footer="720" w:gutter="0"/>
          <w:cols w:space="720"/>
          <w:titlePg/>
          <w:docGrid w:linePitch="65"/>
        </w:sectPr>
      </w:pPr>
    </w:p>
    <w:p w:rsidR="00DB0ACF" w:rsidRPr="004B40CE" w14:paraId="2522154F" w14:textId="0F4B648C">
      <w:pPr>
        <w:jc w:val="center"/>
        <w:rPr>
          <w:b/>
          <w:bCs/>
          <w:u w:val="single"/>
        </w:rPr>
      </w:pPr>
      <w:r w:rsidRPr="004B40CE">
        <w:rPr>
          <w:b/>
          <w:bCs/>
          <w:u w:val="single"/>
        </w:rPr>
        <w:t>CERTIFICATE OF SERVICE</w:t>
      </w:r>
    </w:p>
    <w:p w:rsidR="00DB0ACF" w:rsidRPr="004B40CE" w14:paraId="2798372A" w14:textId="56F5292E">
      <w:pPr>
        <w:spacing w:line="480" w:lineRule="atLeast"/>
      </w:pPr>
      <w:r w:rsidRPr="004B40CE">
        <w:tab/>
        <w:t xml:space="preserve">I hereby certify that a copy of this </w:t>
      </w:r>
      <w:r w:rsidRPr="004B40CE">
        <w:rPr>
          <w:iCs/>
        </w:rPr>
        <w:t>Motion to Intervene</w:t>
      </w:r>
      <w:r w:rsidRPr="004B40CE">
        <w:t xml:space="preserve"> </w:t>
      </w:r>
      <w:r w:rsidRPr="004B40CE" w:rsidR="009228B9">
        <w:t xml:space="preserve">and Comments </w:t>
      </w:r>
      <w:r w:rsidRPr="004B40CE">
        <w:t>w</w:t>
      </w:r>
      <w:r w:rsidRPr="004B40CE" w:rsidR="009228B9">
        <w:t>ere</w:t>
      </w:r>
      <w:r w:rsidRPr="004B40CE">
        <w:t xml:space="preserve"> served on the persons stated below via electronic transmission, this </w:t>
      </w:r>
      <w:r w:rsidRPr="004B40CE" w:rsidR="009228B9">
        <w:t>27</w:t>
      </w:r>
      <w:r w:rsidRPr="004B40CE" w:rsidR="00F87B73">
        <w:t>th</w:t>
      </w:r>
      <w:r w:rsidRPr="004B40CE">
        <w:t xml:space="preserve"> day of </w:t>
      </w:r>
      <w:r w:rsidRPr="004B40CE" w:rsidR="009228B9">
        <w:t>May</w:t>
      </w:r>
      <w:r w:rsidRPr="004B40CE" w:rsidR="005C12C1">
        <w:t xml:space="preserve"> </w:t>
      </w:r>
      <w:r w:rsidRPr="004B40CE">
        <w:t>2020.</w:t>
      </w:r>
    </w:p>
    <w:p w:rsidR="00DB0ACF" w:rsidRPr="004B40CE" w14:paraId="15891A55" w14:textId="77777777">
      <w:pPr>
        <w:spacing w:line="480" w:lineRule="atLeast"/>
      </w:pPr>
    </w:p>
    <w:p w:rsidR="00DB0ACF" w:rsidRPr="004B40CE" w14:paraId="47C3DAB6" w14:textId="3CF43462">
      <w:pPr>
        <w:tabs>
          <w:tab w:val="left" w:pos="4320"/>
        </w:tabs>
        <w:rPr>
          <w:i/>
          <w:u w:val="single"/>
        </w:rPr>
      </w:pPr>
      <w:r w:rsidRPr="004B40CE">
        <w:tab/>
      </w:r>
      <w:r w:rsidRPr="004B40CE">
        <w:rPr>
          <w:i/>
          <w:u w:val="single"/>
        </w:rPr>
        <w:t xml:space="preserve">/s/ </w:t>
      </w:r>
      <w:r w:rsidRPr="004B40CE" w:rsidR="001E25C0">
        <w:rPr>
          <w:i/>
          <w:u w:val="single"/>
        </w:rPr>
        <w:t>Ambrosia E</w:t>
      </w:r>
      <w:r w:rsidRPr="004B40CE" w:rsidR="00125D6F">
        <w:rPr>
          <w:i/>
          <w:u w:val="single"/>
        </w:rPr>
        <w:t xml:space="preserve">. </w:t>
      </w:r>
      <w:r w:rsidRPr="004B40CE" w:rsidR="009228B9">
        <w:rPr>
          <w:i/>
          <w:u w:val="single"/>
        </w:rPr>
        <w:t>Wilson</w:t>
      </w:r>
      <w:r w:rsidRPr="004B40CE">
        <w:rPr>
          <w:i/>
          <w:u w:val="single"/>
        </w:rPr>
        <w:tab/>
      </w:r>
    </w:p>
    <w:p w:rsidR="00DB0ACF" w:rsidRPr="004B40CE" w14:paraId="3FAA5BEC" w14:textId="7CFD67B5">
      <w:pPr>
        <w:tabs>
          <w:tab w:val="left" w:pos="4320"/>
        </w:tabs>
      </w:pPr>
      <w:r w:rsidRPr="004B40CE">
        <w:tab/>
      </w:r>
      <w:r w:rsidRPr="004B40CE" w:rsidR="001E25C0">
        <w:t xml:space="preserve">Ambrosia E. </w:t>
      </w:r>
      <w:r w:rsidRPr="004B40CE" w:rsidR="009228B9">
        <w:t>Wilson</w:t>
      </w:r>
    </w:p>
    <w:p w:rsidR="00DB0ACF" w:rsidRPr="004B40CE" w14:paraId="0595447B" w14:textId="77777777">
      <w:pPr>
        <w:tabs>
          <w:tab w:val="left" w:pos="4320"/>
        </w:tabs>
      </w:pPr>
      <w:r w:rsidRPr="004B40CE">
        <w:tab/>
        <w:t>Assistant Consumers’ Counsel</w:t>
      </w:r>
    </w:p>
    <w:p w:rsidR="00DB0ACF" w:rsidRPr="004B40CE" w14:paraId="4A70CAB2" w14:textId="77777777">
      <w:pPr>
        <w:pStyle w:val="CommentSubject"/>
        <w:rPr>
          <w:szCs w:val="24"/>
        </w:rPr>
      </w:pPr>
    </w:p>
    <w:p w:rsidR="0083212B" w:rsidRPr="004B40CE" w:rsidP="0083212B" w14:paraId="76AD8543" w14:textId="77777777">
      <w:r w:rsidRPr="004B40CE">
        <w:t>The PUCO’s e-filing system will electronically serve notice of the filing of this document on the following parties:</w:t>
      </w:r>
    </w:p>
    <w:p w:rsidR="0083212B" w:rsidRPr="004B40CE" w:rsidP="0083212B" w14:paraId="1C177157" w14:textId="77777777">
      <w:pPr>
        <w:pStyle w:val="CommentText"/>
      </w:pPr>
    </w:p>
    <w:p w:rsidR="0083212B" w:rsidRPr="004B40CE" w:rsidP="0083212B" w14:paraId="4A63E295" w14:textId="77777777">
      <w:pPr>
        <w:pStyle w:val="CommentText"/>
        <w:jc w:val="center"/>
        <w:rPr>
          <w:b/>
          <w:u w:val="single"/>
        </w:rPr>
      </w:pPr>
      <w:r w:rsidRPr="004B40CE">
        <w:rPr>
          <w:b/>
          <w:u w:val="single"/>
        </w:rPr>
        <w:t>SERVICE LIST</w:t>
      </w:r>
    </w:p>
    <w:p w:rsidR="0083212B" w:rsidRPr="004B40CE"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93546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60623" w:rsidRPr="004B40CE" w:rsidP="00560623" w14:paraId="4744EAC8" w14:textId="480F347E">
            <w:pPr>
              <w:pStyle w:val="CommentText"/>
              <w:rPr>
                <w:bCs/>
                <w:u w:val="single"/>
              </w:rPr>
            </w:pPr>
          </w:p>
        </w:tc>
        <w:tc>
          <w:tcPr>
            <w:tcW w:w="4315" w:type="dxa"/>
          </w:tcPr>
          <w:p w:rsidR="00560623" w:rsidRPr="004B40CE" w:rsidP="00560623" w14:paraId="39EFC775" w14:textId="4006B7B6">
            <w:pPr>
              <w:pStyle w:val="CommentText"/>
              <w:rPr>
                <w:bCs/>
              </w:rPr>
            </w:pPr>
          </w:p>
        </w:tc>
      </w:tr>
      <w:tr w14:paraId="1FEC94ED" w14:textId="77777777" w:rsidTr="0093546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tcBorders>
              <w:top w:val="nil"/>
              <w:left w:val="nil"/>
              <w:bottom w:val="nil"/>
              <w:right w:val="nil"/>
            </w:tcBorders>
          </w:tcPr>
          <w:p w:rsidR="001468FC" w:rsidRPr="004B40CE" w:rsidP="00935467" w14:paraId="3DCFB254" w14:textId="0D31388C">
            <w:pPr>
              <w:pStyle w:val="CommentText"/>
              <w:rPr>
                <w:bCs/>
              </w:rPr>
            </w:pPr>
            <w:hyperlink r:id="rId15" w:history="1">
              <w:r w:rsidRPr="004B40CE" w:rsidR="00935467">
                <w:rPr>
                  <w:rStyle w:val="Hyperlink"/>
                  <w:bCs/>
                </w:rPr>
                <w:t>John.jones@ohioattorneygeneral.gov</w:t>
              </w:r>
            </w:hyperlink>
          </w:p>
          <w:p w:rsidR="00935467" w:rsidRPr="004B40CE" w:rsidP="00935467" w14:paraId="38A35C2D" w14:textId="2080978C">
            <w:pPr>
              <w:pStyle w:val="CommentText"/>
              <w:rPr>
                <w:bCs/>
              </w:rPr>
            </w:pPr>
          </w:p>
          <w:p w:rsidR="009228B9" w:rsidRPr="004B40CE" w:rsidP="00935467" w14:paraId="00429507" w14:textId="155BE5BE">
            <w:pPr>
              <w:pStyle w:val="CommentText"/>
              <w:rPr>
                <w:bCs/>
              </w:rPr>
            </w:pPr>
          </w:p>
          <w:p w:rsidR="009228B9" w:rsidRPr="004B40CE" w:rsidP="00935467" w14:paraId="01896659" w14:textId="7EC2929A">
            <w:pPr>
              <w:pStyle w:val="CommentText"/>
              <w:rPr>
                <w:bCs/>
              </w:rPr>
            </w:pPr>
            <w:r w:rsidRPr="004B40CE">
              <w:rPr>
                <w:bCs/>
              </w:rPr>
              <w:t>Attorney Examiners:</w:t>
            </w:r>
          </w:p>
          <w:p w:rsidR="009228B9" w:rsidRPr="004B40CE" w:rsidP="00935467" w14:paraId="1D4B9340" w14:textId="713BEBBF">
            <w:pPr>
              <w:pStyle w:val="CommentText"/>
              <w:rPr>
                <w:bCs/>
              </w:rPr>
            </w:pPr>
            <w:hyperlink r:id="rId16" w:history="1">
              <w:r w:rsidRPr="004B40CE" w:rsidR="0001552C">
                <w:rPr>
                  <w:rStyle w:val="Hyperlink"/>
                  <w:bCs/>
                </w:rPr>
                <w:t>Lauren.augostini@puco.ohio.gov</w:t>
              </w:r>
            </w:hyperlink>
          </w:p>
          <w:p w:rsidR="009228B9" w:rsidRPr="004B40CE" w:rsidP="00935467" w14:paraId="3E3ABCE1" w14:textId="58E6EAE4">
            <w:pPr>
              <w:pStyle w:val="CommentText"/>
              <w:rPr>
                <w:bCs/>
              </w:rPr>
            </w:pPr>
            <w:hyperlink r:id="rId17" w:history="1">
              <w:r w:rsidRPr="004B40CE" w:rsidR="0001552C">
                <w:rPr>
                  <w:rStyle w:val="Hyperlink"/>
                  <w:bCs/>
                </w:rPr>
                <w:t>Nicholas.walstra@puco.ohio.gov</w:t>
              </w:r>
            </w:hyperlink>
          </w:p>
          <w:p w:rsidR="009228B9" w:rsidRPr="004B40CE" w:rsidP="00935467" w14:paraId="4963661F" w14:textId="77777777">
            <w:pPr>
              <w:pStyle w:val="CommentText"/>
              <w:rPr>
                <w:bCs/>
              </w:rPr>
            </w:pPr>
          </w:p>
          <w:p w:rsidR="00935467" w:rsidRPr="004B40CE" w:rsidP="00935467" w14:paraId="0CFD50C4" w14:textId="34531014">
            <w:pPr>
              <w:pStyle w:val="CommentText"/>
              <w:rPr>
                <w:bCs/>
              </w:rPr>
            </w:pPr>
          </w:p>
        </w:tc>
        <w:tc>
          <w:tcPr>
            <w:tcW w:w="4315" w:type="dxa"/>
            <w:tcBorders>
              <w:top w:val="nil"/>
              <w:left w:val="nil"/>
              <w:bottom w:val="nil"/>
              <w:right w:val="nil"/>
            </w:tcBorders>
          </w:tcPr>
          <w:p w:rsidR="00935467" w:rsidRPr="004B40CE" w:rsidP="00935467" w14:paraId="2F7F5828" w14:textId="36A8432C">
            <w:pPr>
              <w:autoSpaceDE w:val="0"/>
              <w:autoSpaceDN w:val="0"/>
              <w:adjustRightInd w:val="0"/>
              <w:rPr>
                <w:color w:val="0000FF"/>
              </w:rPr>
            </w:pPr>
            <w:hyperlink r:id="rId18" w:history="1">
              <w:r w:rsidRPr="004B40CE" w:rsidR="003E2867">
                <w:rPr>
                  <w:rStyle w:val="Hyperlink"/>
                </w:rPr>
                <w:t>Rocco.DAscenzo@duke-energy.com</w:t>
              </w:r>
            </w:hyperlink>
          </w:p>
          <w:p w:rsidR="00935467" w:rsidRPr="004B40CE" w:rsidP="00935467" w14:paraId="4365C1AF" w14:textId="3A115EF2">
            <w:pPr>
              <w:autoSpaceDE w:val="0"/>
              <w:autoSpaceDN w:val="0"/>
              <w:adjustRightInd w:val="0"/>
              <w:rPr>
                <w:color w:val="0000FF"/>
              </w:rPr>
            </w:pPr>
            <w:hyperlink r:id="rId19" w:history="1">
              <w:r w:rsidRPr="004B40CE" w:rsidR="003E2867">
                <w:rPr>
                  <w:rStyle w:val="Hyperlink"/>
                </w:rPr>
                <w:t>Jeanne.Kingery@duke-energy.com</w:t>
              </w:r>
            </w:hyperlink>
          </w:p>
          <w:p w:rsidR="001468FC" w:rsidRPr="004B40CE" w:rsidP="00935467" w14:paraId="4FB1B34E" w14:textId="78CB6ABA">
            <w:pPr>
              <w:pStyle w:val="CommentText"/>
              <w:rPr>
                <w:color w:val="0000FF"/>
              </w:rPr>
            </w:pPr>
            <w:hyperlink r:id="rId20" w:history="1">
              <w:r w:rsidRPr="004B40CE" w:rsidR="00935467">
                <w:rPr>
                  <w:rStyle w:val="Hyperlink"/>
                </w:rPr>
                <w:t>Larisa.Vaysman@duke-energy.com</w:t>
              </w:r>
            </w:hyperlink>
          </w:p>
          <w:p w:rsidR="00935467" w:rsidRPr="004B40CE" w:rsidP="00935467" w14:paraId="6D102872" w14:textId="47743212">
            <w:pPr>
              <w:pStyle w:val="CommentText"/>
              <w:rPr>
                <w:b/>
                <w:u w:val="single"/>
              </w:rPr>
            </w:pPr>
          </w:p>
        </w:tc>
      </w:tr>
    </w:tbl>
    <w:p w:rsidR="0083212B" w:rsidRPr="004B40CE" w:rsidP="0083212B" w14:paraId="74FBFA9B" w14:textId="77777777">
      <w:pPr>
        <w:pStyle w:val="CommentText"/>
        <w:jc w:val="center"/>
        <w:rPr>
          <w:b/>
          <w:u w:val="single"/>
        </w:rPr>
      </w:pPr>
    </w:p>
    <w:sectPr w:rsidSect="001468FC">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267597"/>
      <w:docPartObj>
        <w:docPartGallery w:val="Page Numbers (Bottom of Page)"/>
        <w:docPartUnique/>
      </w:docPartObj>
    </w:sdtPr>
    <w:sdtContent>
      <w:p w:rsidR="008265B1" w:rsidRPr="004B40CE" w14:paraId="0C8D684E" w14:textId="685AF552">
        <w:pPr>
          <w:pStyle w:val="Footer"/>
          <w:jc w:val="center"/>
        </w:pPr>
        <w:r w:rsidRPr="004B40CE">
          <w:fldChar w:fldCharType="begin"/>
        </w:r>
        <w:r w:rsidRPr="004B40CE">
          <w:instrText xml:space="preserve"> PAGE   \* MERGEFORMAT </w:instrText>
        </w:r>
        <w:r w:rsidRPr="004B40CE">
          <w:fldChar w:fldCharType="separate"/>
        </w:r>
        <w:r w:rsidRPr="004B40CE">
          <w:t>2</w:t>
        </w:r>
        <w:r w:rsidRPr="004B40CE">
          <w:fldChar w:fldCharType="end"/>
        </w:r>
      </w:p>
    </w:sdtContent>
  </w:sdt>
  <w:p w:rsidR="008265B1" w14:paraId="7EF105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12978"/>
      <w:docPartObj>
        <w:docPartGallery w:val="Page Numbers (Bottom of Page)"/>
        <w:docPartUnique/>
      </w:docPartObj>
    </w:sdtPr>
    <w:sdtEndPr>
      <w:rPr>
        <w:noProof/>
      </w:rPr>
    </w:sdtEndPr>
    <w:sdtContent>
      <w:p w:rsidR="004020C4" w14:paraId="4F8AA56D" w14:textId="7DD1E3D8">
        <w:pPr>
          <w:pStyle w:val="Footer"/>
          <w:jc w:val="center"/>
        </w:pPr>
      </w:p>
    </w:sdtContent>
  </w:sdt>
  <w:p w:rsidR="00087F10" w14:paraId="275134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038123"/>
      <w:docPartObj>
        <w:docPartGallery w:val="Page Numbers (Bottom of Page)"/>
        <w:docPartUnique/>
      </w:docPartObj>
    </w:sdtPr>
    <w:sdtEndPr>
      <w:rPr>
        <w:noProof/>
        <w:sz w:val="24"/>
        <w:szCs w:val="24"/>
      </w:rPr>
    </w:sdtEndPr>
    <w:sdtContent>
      <w:p w:rsidR="004020C4" w:rsidRPr="004020C4" w14:paraId="3FFC551F" w14:textId="77777777">
        <w:pPr>
          <w:pStyle w:val="Footer"/>
          <w:jc w:val="center"/>
          <w:rPr>
            <w:sz w:val="24"/>
            <w:szCs w:val="24"/>
          </w:rPr>
        </w:pPr>
        <w:r w:rsidRPr="004020C4">
          <w:rPr>
            <w:sz w:val="24"/>
            <w:szCs w:val="24"/>
          </w:rPr>
          <w:fldChar w:fldCharType="begin"/>
        </w:r>
        <w:r w:rsidRPr="004020C4">
          <w:rPr>
            <w:sz w:val="24"/>
            <w:szCs w:val="24"/>
          </w:rPr>
          <w:instrText xml:space="preserve"> PAGE   \* MERGEFORMAT </w:instrText>
        </w:r>
        <w:r w:rsidRPr="004020C4">
          <w:rPr>
            <w:sz w:val="24"/>
            <w:szCs w:val="24"/>
          </w:rPr>
          <w:fldChar w:fldCharType="separate"/>
        </w:r>
        <w:r w:rsidRPr="004020C4">
          <w:rPr>
            <w:noProof/>
            <w:sz w:val="24"/>
            <w:szCs w:val="24"/>
          </w:rPr>
          <w:t>2</w:t>
        </w:r>
        <w:r w:rsidRPr="004020C4">
          <w:rPr>
            <w:noProof/>
            <w:sz w:val="24"/>
            <w:szCs w:val="24"/>
          </w:rPr>
          <w:fldChar w:fldCharType="end"/>
        </w:r>
      </w:p>
    </w:sdtContent>
  </w:sdt>
  <w:p w:rsidR="004020C4" w14:paraId="4E5A6B4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8607294"/>
      <w:docPartObj>
        <w:docPartGallery w:val="Page Numbers (Bottom of Page)"/>
        <w:docPartUnique/>
      </w:docPartObj>
    </w:sdtPr>
    <w:sdtEndPr>
      <w:rPr>
        <w:noProof/>
        <w:sz w:val="24"/>
        <w:szCs w:val="24"/>
      </w:rPr>
    </w:sdtEndPr>
    <w:sdtContent>
      <w:p w:rsidR="008265B1" w:rsidRPr="008265B1" w14:paraId="701F78DC" w14:textId="77777777">
        <w:pPr>
          <w:pStyle w:val="Footer"/>
          <w:jc w:val="center"/>
          <w:rPr>
            <w:sz w:val="24"/>
            <w:szCs w:val="24"/>
          </w:rPr>
        </w:pPr>
        <w:r w:rsidRPr="008265B1">
          <w:rPr>
            <w:sz w:val="24"/>
            <w:szCs w:val="24"/>
          </w:rPr>
          <w:fldChar w:fldCharType="begin"/>
        </w:r>
        <w:r w:rsidRPr="008265B1">
          <w:rPr>
            <w:sz w:val="24"/>
            <w:szCs w:val="24"/>
          </w:rPr>
          <w:instrText xml:space="preserve"> PAGE   \* MERGEFORMAT </w:instrText>
        </w:r>
        <w:r w:rsidRPr="008265B1">
          <w:rPr>
            <w:sz w:val="24"/>
            <w:szCs w:val="24"/>
          </w:rPr>
          <w:fldChar w:fldCharType="separate"/>
        </w:r>
        <w:r w:rsidRPr="008265B1">
          <w:rPr>
            <w:noProof/>
            <w:sz w:val="24"/>
            <w:szCs w:val="24"/>
          </w:rPr>
          <w:t>2</w:t>
        </w:r>
        <w:r w:rsidRPr="008265B1">
          <w:rPr>
            <w:noProof/>
            <w:sz w:val="24"/>
            <w:szCs w:val="24"/>
          </w:rPr>
          <w:fldChar w:fldCharType="end"/>
        </w:r>
      </w:p>
    </w:sdtContent>
  </w:sdt>
  <w:p w:rsidR="008265B1" w14:paraId="026C8E7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3555731"/>
      <w:docPartObj>
        <w:docPartGallery w:val="Page Numbers (Bottom of Page)"/>
        <w:docPartUnique/>
      </w:docPartObj>
    </w:sdtPr>
    <w:sdtEndPr>
      <w:rPr>
        <w:noProof/>
        <w:sz w:val="24"/>
        <w:szCs w:val="24"/>
      </w:rPr>
    </w:sdtEndPr>
    <w:sdtContent>
      <w:p w:rsidR="00EF0EC5" w:rsidRPr="004020C4" w14:paraId="477AC2C3" w14:textId="77777777">
        <w:pPr>
          <w:pStyle w:val="Footer"/>
          <w:jc w:val="center"/>
          <w:rPr>
            <w:sz w:val="24"/>
            <w:szCs w:val="24"/>
          </w:rPr>
        </w:pPr>
        <w:r w:rsidRPr="004020C4">
          <w:rPr>
            <w:sz w:val="24"/>
            <w:szCs w:val="24"/>
          </w:rPr>
          <w:fldChar w:fldCharType="begin"/>
        </w:r>
        <w:r w:rsidRPr="004020C4">
          <w:rPr>
            <w:sz w:val="24"/>
            <w:szCs w:val="24"/>
          </w:rPr>
          <w:instrText xml:space="preserve"> PAGE   \* MERGEFORMAT </w:instrText>
        </w:r>
        <w:r w:rsidRPr="004020C4">
          <w:rPr>
            <w:sz w:val="24"/>
            <w:szCs w:val="24"/>
          </w:rPr>
          <w:fldChar w:fldCharType="separate"/>
        </w:r>
        <w:r w:rsidRPr="004020C4">
          <w:rPr>
            <w:noProof/>
            <w:sz w:val="24"/>
            <w:szCs w:val="24"/>
          </w:rPr>
          <w:t>2</w:t>
        </w:r>
        <w:r w:rsidRPr="004020C4">
          <w:rPr>
            <w:noProof/>
            <w:sz w:val="24"/>
            <w:szCs w:val="24"/>
          </w:rPr>
          <w:fldChar w:fldCharType="end"/>
        </w:r>
      </w:p>
    </w:sdtContent>
  </w:sdt>
  <w:p w:rsidR="00EF0EC5" w14:paraId="4B8E83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08C" w14:paraId="01847EDC" w14:textId="77777777">
      <w:r>
        <w:separator/>
      </w:r>
    </w:p>
  </w:footnote>
  <w:footnote w:type="continuationSeparator" w:id="1">
    <w:p w:rsidR="00AB708C" w14:paraId="4547B18E" w14:textId="77777777">
      <w:r>
        <w:continuationSeparator/>
      </w:r>
    </w:p>
  </w:footnote>
  <w:footnote w:type="continuationNotice" w:id="2">
    <w:p w:rsidR="00AB708C" w14:paraId="098269CF" w14:textId="77777777"/>
  </w:footnote>
  <w:footnote w:id="3">
    <w:p w:rsidR="005836FF" w:rsidRPr="004B40CE" w:rsidP="004B40CE" w14:paraId="5F0719F4" w14:textId="77777777">
      <w:pPr>
        <w:pStyle w:val="FootnoteText"/>
        <w:spacing w:after="120"/>
      </w:pPr>
      <w:r w:rsidRPr="004B40CE">
        <w:rPr>
          <w:rStyle w:val="FootnoteReference"/>
        </w:rPr>
        <w:footnoteRef/>
      </w:r>
      <w:r w:rsidRPr="004B40CE">
        <w:t xml:space="preserve"> </w:t>
      </w:r>
      <w:r w:rsidRPr="004B40CE">
        <w:rPr>
          <w:i/>
        </w:rPr>
        <w:t>See</w:t>
      </w:r>
      <w:r w:rsidRPr="004B40CE">
        <w:t xml:space="preserve"> R.C. Chapter 4911, R.C. 4903.221 and Ohio Adm. Code 4901-1-11.</w:t>
      </w:r>
    </w:p>
  </w:footnote>
  <w:footnote w:id="4">
    <w:p w:rsidR="006E37FE" w:rsidRPr="004B40CE" w:rsidP="004B40CE" w14:paraId="1BA63F60" w14:textId="5C93BDE8">
      <w:pPr>
        <w:pStyle w:val="FootnoteText"/>
        <w:spacing w:after="120"/>
      </w:pPr>
      <w:r w:rsidRPr="004B40CE">
        <w:rPr>
          <w:rStyle w:val="FootnoteReference"/>
        </w:rPr>
        <w:footnoteRef/>
      </w:r>
      <w:r w:rsidRPr="004B40CE">
        <w:t xml:space="preserve"> </w:t>
      </w:r>
      <w:r w:rsidRPr="004B40CE">
        <w:rPr>
          <w:i/>
          <w:iCs/>
        </w:rPr>
        <w:t>See</w:t>
      </w:r>
      <w:r w:rsidRPr="004B40CE">
        <w:t xml:space="preserve"> Duke’s Application at 5</w:t>
      </w:r>
      <w:r w:rsidRPr="004B40CE" w:rsidR="00F72ECC">
        <w:t>, 12</w:t>
      </w:r>
      <w:r w:rsidRPr="004B40CE">
        <w:t>.</w:t>
      </w:r>
    </w:p>
  </w:footnote>
  <w:footnote w:id="5">
    <w:p w:rsidR="00C52E00" w:rsidRPr="004B40CE" w:rsidP="004B40CE" w14:paraId="2D4FACC3" w14:textId="0693D341">
      <w:pPr>
        <w:pStyle w:val="FootnoteText"/>
        <w:spacing w:after="120"/>
      </w:pPr>
      <w:r w:rsidRPr="004B40CE">
        <w:rPr>
          <w:rStyle w:val="FootnoteReference"/>
        </w:rPr>
        <w:footnoteRef/>
      </w:r>
      <w:r w:rsidRPr="004B40CE">
        <w:t xml:space="preserve"> </w:t>
      </w:r>
      <w:r w:rsidRPr="004B40CE" w:rsidR="00510E9E">
        <w:rPr>
          <w:i/>
          <w:iCs/>
        </w:rPr>
        <w:t>See</w:t>
      </w:r>
      <w:r w:rsidRPr="004B40CE" w:rsidR="00510E9E">
        <w:t xml:space="preserve"> </w:t>
      </w:r>
      <w:r w:rsidRPr="004B40CE">
        <w:t xml:space="preserve">Staff </w:t>
      </w:r>
      <w:r w:rsidRPr="004B40CE" w:rsidR="00510E9E">
        <w:t>Review and Recommendation</w:t>
      </w:r>
      <w:r w:rsidRPr="004B40CE">
        <w:t xml:space="preserve"> at 2.</w:t>
      </w:r>
    </w:p>
  </w:footnote>
  <w:footnote w:id="6">
    <w:p w:rsidR="007B59EE" w:rsidRPr="004B40CE" w:rsidP="004B40CE" w14:paraId="6EB3C3E2" w14:textId="1BEFC33F">
      <w:pPr>
        <w:spacing w:after="120"/>
        <w:rPr>
          <w:sz w:val="20"/>
          <w:szCs w:val="20"/>
        </w:rPr>
      </w:pPr>
      <w:r w:rsidRPr="004B40CE">
        <w:rPr>
          <w:rStyle w:val="FootnoteReference"/>
          <w:sz w:val="20"/>
          <w:szCs w:val="20"/>
        </w:rPr>
        <w:footnoteRef/>
      </w:r>
      <w:r w:rsidRPr="004B40CE">
        <w:rPr>
          <w:sz w:val="20"/>
          <w:szCs w:val="20"/>
        </w:rPr>
        <w:t xml:space="preserve"> </w:t>
      </w:r>
      <w:hyperlink r:id="rId1" w:history="1">
        <w:r w:rsidRPr="00F74AFF">
          <w:rPr>
            <w:rStyle w:val="Hyperlink"/>
            <w:i/>
            <w:color w:val="auto"/>
            <w:sz w:val="20"/>
            <w:szCs w:val="20"/>
            <w:u w:val="none"/>
            <w:bdr w:val="none" w:sz="0" w:space="0" w:color="auto" w:frame="1"/>
            <w:shd w:val="clear" w:color="auto" w:fill="FFFFFF"/>
          </w:rPr>
          <w:t>Ohio Consumers' Counsel v. PUC</w:t>
        </w:r>
        <w:r w:rsidRPr="00F74AFF">
          <w:rPr>
            <w:rStyle w:val="Hyperlink"/>
            <w:color w:val="auto"/>
            <w:sz w:val="20"/>
            <w:szCs w:val="20"/>
            <w:u w:val="none"/>
            <w:bdr w:val="none" w:sz="0" w:space="0" w:color="auto" w:frame="1"/>
            <w:shd w:val="clear" w:color="auto" w:fill="FFFFFF"/>
          </w:rPr>
          <w:t>, 111 Ohio St.3d 384, 2006-Ohio-5853, 856 N.E.2d 940, ¶ 38</w:t>
        </w:r>
      </w:hyperlink>
      <w:r w:rsidRPr="004B40CE">
        <w:rPr>
          <w:sz w:val="20"/>
          <w:szCs w:val="20"/>
        </w:rPr>
        <w:t xml:space="preserve"> (</w:t>
      </w:r>
      <w:r w:rsidRPr="004B40CE" w:rsidR="002E6996">
        <w:rPr>
          <w:sz w:val="20"/>
          <w:szCs w:val="20"/>
        </w:rPr>
        <w:t>“</w:t>
      </w:r>
      <w:r w:rsidRPr="004B40CE">
        <w:rPr>
          <w:color w:val="373739"/>
          <w:sz w:val="20"/>
          <w:szCs w:val="20"/>
          <w:shd w:val="clear" w:color="auto" w:fill="FFFFFF"/>
        </w:rPr>
        <w:t>In our view, that statutory provision therefore certainly gave the </w:t>
      </w:r>
      <w:r w:rsidRPr="004B40CE">
        <w:rPr>
          <w:rStyle w:val="sssh"/>
          <w:color w:val="373739"/>
          <w:sz w:val="20"/>
          <w:szCs w:val="20"/>
          <w:bdr w:val="none" w:sz="0" w:space="0" w:color="auto" w:frame="1"/>
        </w:rPr>
        <w:t>PUCO</w:t>
      </w:r>
      <w:r w:rsidRPr="004B40CE">
        <w:rPr>
          <w:color w:val="373739"/>
          <w:sz w:val="20"/>
          <w:szCs w:val="20"/>
          <w:shd w:val="clear" w:color="auto" w:fill="FFFFFF"/>
        </w:rPr>
        <w:t> the authority to take the smaller step of authorizing the kind of accounting changes sought by FirstEnergy and Dayton Power and Light in these cases, even if those </w:t>
      </w:r>
      <w:r w:rsidRPr="004B40CE">
        <w:rPr>
          <w:rStyle w:val="sssh"/>
          <w:color w:val="373739"/>
          <w:sz w:val="20"/>
          <w:szCs w:val="20"/>
          <w:bdr w:val="none" w:sz="0" w:space="0" w:color="auto" w:frame="1"/>
        </w:rPr>
        <w:t>deferrals</w:t>
      </w:r>
      <w:r w:rsidRPr="004B40CE">
        <w:rPr>
          <w:color w:val="373739"/>
          <w:sz w:val="20"/>
          <w:szCs w:val="20"/>
          <w:shd w:val="clear" w:color="auto" w:fill="FFFFFF"/>
        </w:rPr>
        <w:t> are a </w:t>
      </w:r>
      <w:r w:rsidRPr="004B40CE">
        <w:rPr>
          <w:rStyle w:val="sssh"/>
          <w:color w:val="373739"/>
          <w:sz w:val="20"/>
          <w:szCs w:val="20"/>
          <w:bdr w:val="none" w:sz="0" w:space="0" w:color="auto" w:frame="1"/>
        </w:rPr>
        <w:t>prelude</w:t>
      </w:r>
      <w:r w:rsidRPr="004B40CE">
        <w:rPr>
          <w:color w:val="373739"/>
          <w:sz w:val="20"/>
          <w:szCs w:val="20"/>
          <w:shd w:val="clear" w:color="auto" w:fill="FFFFFF"/>
        </w:rPr>
        <w:t> to possible </w:t>
      </w:r>
      <w:r w:rsidRPr="004B40CE">
        <w:rPr>
          <w:rStyle w:val="sssh"/>
          <w:color w:val="373739"/>
          <w:sz w:val="20"/>
          <w:szCs w:val="20"/>
          <w:bdr w:val="none" w:sz="0" w:space="0" w:color="auto" w:frame="1"/>
        </w:rPr>
        <w:t>rate</w:t>
      </w:r>
      <w:r w:rsidRPr="004B40CE">
        <w:rPr>
          <w:color w:val="373739"/>
          <w:sz w:val="20"/>
          <w:szCs w:val="20"/>
          <w:shd w:val="clear" w:color="auto" w:fill="FFFFFF"/>
        </w:rPr>
        <w:t> </w:t>
      </w:r>
      <w:r w:rsidRPr="004B40CE">
        <w:rPr>
          <w:rStyle w:val="sssh"/>
          <w:color w:val="373739"/>
          <w:sz w:val="20"/>
          <w:szCs w:val="20"/>
          <w:bdr w:val="none" w:sz="0" w:space="0" w:color="auto" w:frame="1"/>
        </w:rPr>
        <w:t>increases</w:t>
      </w:r>
      <w:r w:rsidRPr="004B40CE">
        <w:rPr>
          <w:color w:val="373739"/>
          <w:sz w:val="20"/>
          <w:szCs w:val="20"/>
          <w:shd w:val="clear" w:color="auto" w:fill="FFFFFF"/>
        </w:rPr>
        <w:t> for the companies' customers after the market-development period has ended</w:t>
      </w:r>
      <w:r w:rsidRPr="004B40CE" w:rsidR="002E6996">
        <w:rPr>
          <w:color w:val="373739"/>
          <w:sz w:val="20"/>
          <w:szCs w:val="20"/>
          <w:shd w:val="clear" w:color="auto" w:fill="FFFFFF"/>
        </w:rPr>
        <w:t>.”</w:t>
      </w:r>
      <w:r w:rsidRPr="004B40CE">
        <w:rPr>
          <w:color w:val="373739"/>
          <w:sz w:val="20"/>
          <w:szCs w:val="20"/>
          <w:shd w:val="clear" w:color="auto" w:fill="FFFFFF"/>
        </w:rPr>
        <w:t>)</w:t>
      </w:r>
    </w:p>
  </w:footnote>
  <w:footnote w:id="7">
    <w:p w:rsidR="00D8176A" w:rsidRPr="004B40CE" w:rsidP="004B40CE" w14:paraId="06C0B55E" w14:textId="37C18E13">
      <w:pPr>
        <w:pStyle w:val="FootnoteText"/>
        <w:spacing w:after="120"/>
      </w:pPr>
      <w:r w:rsidRPr="004B40CE">
        <w:rPr>
          <w:rStyle w:val="FootnoteReference"/>
        </w:rPr>
        <w:footnoteRef/>
      </w:r>
      <w:r w:rsidRPr="004B40CE">
        <w:t xml:space="preserve"> </w:t>
      </w:r>
      <w:r w:rsidRPr="004B40CE">
        <w:rPr>
          <w:i/>
          <w:iCs/>
        </w:rPr>
        <w:t>See</w:t>
      </w:r>
      <w:r w:rsidRPr="004B40CE">
        <w:t xml:space="preserve"> R.C. 4905.13.</w:t>
      </w:r>
    </w:p>
  </w:footnote>
  <w:footnote w:id="8">
    <w:p w:rsidR="00DB0ACF" w:rsidRPr="004B40CE" w:rsidP="004B40CE" w14:paraId="409CDB91" w14:textId="77777777">
      <w:pPr>
        <w:pStyle w:val="FootnoteText"/>
        <w:spacing w:after="120"/>
      </w:pPr>
      <w:r w:rsidRPr="004B40CE">
        <w:rPr>
          <w:rStyle w:val="FootnoteReference"/>
        </w:rPr>
        <w:footnoteRef/>
      </w:r>
      <w:r w:rsidRPr="004B40CE">
        <w:rPr>
          <w:i/>
        </w:rPr>
        <w:t xml:space="preserve"> See Ohio Consumers’ Counsel v. Pub. Util. Comm</w:t>
      </w:r>
      <w:r w:rsidRPr="004B40CE">
        <w:t>., 111 Ohio St.3d 384, 2006-Ohio-5853, ¶¶13-20.</w:t>
      </w:r>
    </w:p>
  </w:footnote>
  <w:footnote w:id="9">
    <w:p w:rsidR="00BF33E8" w:rsidRPr="004B40CE" w:rsidP="004B40CE" w14:paraId="34AF1D0F" w14:textId="7524CBC3">
      <w:pPr>
        <w:pStyle w:val="FootnoteText"/>
        <w:spacing w:after="120"/>
      </w:pPr>
      <w:r w:rsidRPr="004B40CE">
        <w:rPr>
          <w:rStyle w:val="FootnoteReference"/>
        </w:rPr>
        <w:footnoteRef/>
      </w:r>
      <w:r w:rsidRPr="004B40CE">
        <w:t xml:space="preserve"> </w:t>
      </w:r>
      <w:r w:rsidRPr="004B40CE" w:rsidR="0003598C">
        <w:rPr>
          <w:i/>
          <w:iCs/>
        </w:rPr>
        <w:t xml:space="preserve">See </w:t>
      </w:r>
      <w:r w:rsidRPr="004B40CE">
        <w:t>Application at 4.</w:t>
      </w:r>
    </w:p>
  </w:footnote>
  <w:footnote w:id="10">
    <w:p w:rsidR="00BF33E8" w:rsidRPr="004B40CE" w:rsidP="004B40CE" w14:paraId="6DE47BCB" w14:textId="4136A0D8">
      <w:pPr>
        <w:pStyle w:val="FootnoteText"/>
        <w:spacing w:after="120"/>
      </w:pPr>
      <w:r w:rsidRPr="004B40CE">
        <w:rPr>
          <w:rStyle w:val="FootnoteReference"/>
        </w:rPr>
        <w:footnoteRef/>
      </w:r>
      <w:r w:rsidRPr="004B40CE">
        <w:t xml:space="preserve"> </w:t>
      </w:r>
      <w:r w:rsidRPr="004B40CE" w:rsidR="0003598C">
        <w:rPr>
          <w:i/>
          <w:iCs/>
        </w:rPr>
        <w:t>See</w:t>
      </w:r>
      <w:r w:rsidRPr="004B40CE" w:rsidR="0003598C">
        <w:t xml:space="preserve"> </w:t>
      </w:r>
      <w:r w:rsidRPr="004B40CE" w:rsidR="0087235A">
        <w:rPr>
          <w:i/>
          <w:iCs/>
        </w:rPr>
        <w:t>i</w:t>
      </w:r>
      <w:r w:rsidRPr="004B40CE">
        <w:rPr>
          <w:i/>
          <w:iCs/>
        </w:rPr>
        <w:t>d</w:t>
      </w:r>
      <w:r w:rsidRPr="004B40CE">
        <w:t>.</w:t>
      </w:r>
    </w:p>
  </w:footnote>
  <w:footnote w:id="11">
    <w:p w:rsidR="004C39CF" w:rsidRPr="004B40CE" w:rsidP="004B40CE" w14:paraId="0E456742" w14:textId="196C39C7">
      <w:pPr>
        <w:pStyle w:val="FootnoteText"/>
        <w:spacing w:after="120"/>
      </w:pPr>
      <w:r w:rsidRPr="004B40CE">
        <w:rPr>
          <w:rStyle w:val="FootnoteReference"/>
        </w:rPr>
        <w:footnoteRef/>
      </w:r>
      <w:r w:rsidRPr="004B40CE">
        <w:t xml:space="preserve"> </w:t>
      </w:r>
      <w:r w:rsidRPr="004B40CE" w:rsidR="0003598C">
        <w:rPr>
          <w:i/>
          <w:iCs/>
        </w:rPr>
        <w:t>See</w:t>
      </w:r>
      <w:r w:rsidRPr="004B40CE" w:rsidR="0003598C">
        <w:t xml:space="preserve"> </w:t>
      </w:r>
      <w:r w:rsidRPr="004B40CE" w:rsidR="0087235A">
        <w:rPr>
          <w:i/>
          <w:iCs/>
        </w:rPr>
        <w:t>i</w:t>
      </w:r>
      <w:r w:rsidRPr="004B40CE">
        <w:rPr>
          <w:i/>
          <w:iCs/>
        </w:rPr>
        <w:t>d</w:t>
      </w:r>
      <w:r w:rsidRPr="004B40CE">
        <w:t>.</w:t>
      </w:r>
    </w:p>
  </w:footnote>
  <w:footnote w:id="12">
    <w:p w:rsidR="0072261E" w:rsidRPr="004B40CE" w:rsidP="004B40CE" w14:paraId="7D5F5C30" w14:textId="2F56A77C">
      <w:pPr>
        <w:pStyle w:val="FootnoteText"/>
        <w:spacing w:after="120"/>
      </w:pPr>
      <w:r w:rsidRPr="004B40CE">
        <w:rPr>
          <w:rStyle w:val="FootnoteReference"/>
        </w:rPr>
        <w:footnoteRef/>
      </w:r>
      <w:r w:rsidRPr="004B40CE">
        <w:t xml:space="preserve"> </w:t>
      </w:r>
      <w:r w:rsidRPr="004B40CE" w:rsidR="0003598C">
        <w:rPr>
          <w:i/>
          <w:iCs/>
        </w:rPr>
        <w:t>See</w:t>
      </w:r>
      <w:r w:rsidRPr="004B40CE" w:rsidR="0003598C">
        <w:t xml:space="preserve"> </w:t>
      </w:r>
      <w:r w:rsidRPr="004B40CE" w:rsidR="0087235A">
        <w:rPr>
          <w:i/>
          <w:iCs/>
        </w:rPr>
        <w:t>i</w:t>
      </w:r>
      <w:r w:rsidRPr="004B40CE" w:rsidR="0003598C">
        <w:rPr>
          <w:i/>
          <w:iCs/>
        </w:rPr>
        <w:t>d</w:t>
      </w:r>
      <w:r w:rsidRPr="004B40CE" w:rsidR="0003598C">
        <w:t>.</w:t>
      </w:r>
      <w:r w:rsidRPr="004B40CE">
        <w:t xml:space="preserve"> at 5.</w:t>
      </w:r>
    </w:p>
  </w:footnote>
  <w:footnote w:id="13">
    <w:p w:rsidR="00E114EE" w:rsidRPr="004B40CE" w:rsidP="004B40CE" w14:paraId="0770BE86" w14:textId="5CFA0E5E">
      <w:pPr>
        <w:pStyle w:val="FootnoteText"/>
        <w:spacing w:after="120"/>
      </w:pPr>
      <w:r w:rsidRPr="004B40CE">
        <w:rPr>
          <w:rStyle w:val="FootnoteReference"/>
        </w:rPr>
        <w:footnoteRef/>
      </w:r>
      <w:r w:rsidRPr="004B40CE">
        <w:t xml:space="preserve"> </w:t>
      </w:r>
      <w:r w:rsidRPr="004B40CE" w:rsidR="00E9610E">
        <w:rPr>
          <w:i/>
          <w:iCs/>
        </w:rPr>
        <w:t xml:space="preserve">See </w:t>
      </w:r>
      <w:r w:rsidRPr="004B40CE" w:rsidR="0087235A">
        <w:rPr>
          <w:i/>
          <w:iCs/>
        </w:rPr>
        <w:t>i</w:t>
      </w:r>
      <w:r w:rsidRPr="004B40CE" w:rsidR="00E9610E">
        <w:rPr>
          <w:i/>
          <w:iCs/>
        </w:rPr>
        <w:t>d</w:t>
      </w:r>
      <w:r w:rsidRPr="004B40CE" w:rsidR="00E9610E">
        <w:t>.</w:t>
      </w:r>
      <w:r w:rsidRPr="004B40CE">
        <w:t xml:space="preserve"> at 12.</w:t>
      </w:r>
    </w:p>
  </w:footnote>
  <w:footnote w:id="14">
    <w:p w:rsidR="00182D9F" w:rsidRPr="004B40CE" w:rsidP="004B40CE" w14:paraId="7592A0A0" w14:textId="4F553C55">
      <w:pPr>
        <w:pStyle w:val="FootnoteText"/>
        <w:spacing w:after="120"/>
      </w:pPr>
      <w:r w:rsidRPr="004B40CE">
        <w:rPr>
          <w:rStyle w:val="FootnoteReference"/>
        </w:rPr>
        <w:footnoteRef/>
      </w:r>
      <w:r w:rsidRPr="004B40CE">
        <w:t xml:space="preserve"> </w:t>
      </w:r>
      <w:r w:rsidRPr="004B40CE" w:rsidR="00626882">
        <w:rPr>
          <w:i/>
          <w:iCs/>
        </w:rPr>
        <w:t>See</w:t>
      </w:r>
      <w:r w:rsidRPr="004B40CE" w:rsidR="00626882">
        <w:t xml:space="preserve"> </w:t>
      </w:r>
      <w:r w:rsidRPr="004B40CE" w:rsidR="00852D2E">
        <w:t>Case No. 20-602-EL-</w:t>
      </w:r>
      <w:r w:rsidRPr="004B40CE" w:rsidR="00582AF7">
        <w:t>AEP</w:t>
      </w:r>
      <w:r w:rsidRPr="004B40CE" w:rsidR="00852D2E">
        <w:t>-UNC et al.,</w:t>
      </w:r>
      <w:r w:rsidRPr="004B40CE" w:rsidR="00582AF7">
        <w:t xml:space="preserve"> </w:t>
      </w:r>
      <w:r w:rsidRPr="004B40CE" w:rsidR="00852D2E">
        <w:t xml:space="preserve">May 6, 2020 </w:t>
      </w:r>
      <w:r w:rsidRPr="004B40CE" w:rsidR="00582AF7">
        <w:t xml:space="preserve">Order at ¶54; </w:t>
      </w:r>
      <w:r w:rsidRPr="004B40CE" w:rsidR="0087235A">
        <w:t xml:space="preserve">Case No. 20-651-EL-UNC et al., May 20, 2020 </w:t>
      </w:r>
      <w:r w:rsidRPr="004B40CE" w:rsidR="00626882">
        <w:t>Order at ¶</w:t>
      </w:r>
      <w:r w:rsidRPr="004B40CE" w:rsidR="00BC62A2">
        <w:t>44</w:t>
      </w:r>
      <w:r w:rsidRPr="004B40CE" w:rsidR="00626882">
        <w:t>.</w:t>
      </w:r>
    </w:p>
  </w:footnote>
  <w:footnote w:id="15">
    <w:p w:rsidR="00036DEA" w:rsidRPr="004B40CE" w:rsidP="004B40CE" w14:paraId="15F99D3A" w14:textId="06003FF8">
      <w:pPr>
        <w:pStyle w:val="FootnoteText"/>
        <w:spacing w:after="120"/>
      </w:pPr>
      <w:r w:rsidRPr="004B40CE">
        <w:rPr>
          <w:rStyle w:val="FootnoteReference"/>
        </w:rPr>
        <w:footnoteRef/>
      </w:r>
      <w:r w:rsidRPr="004B40CE">
        <w:t xml:space="preserve"> </w:t>
      </w:r>
      <w:r w:rsidRPr="004B40CE">
        <w:rPr>
          <w:i/>
          <w:iCs/>
        </w:rPr>
        <w:t xml:space="preserve">See </w:t>
      </w:r>
      <w:r w:rsidRPr="004B40CE" w:rsidR="0087235A">
        <w:rPr>
          <w:i/>
          <w:iCs/>
        </w:rPr>
        <w:t>i</w:t>
      </w:r>
      <w:r w:rsidRPr="004B40CE">
        <w:rPr>
          <w:i/>
          <w:iCs/>
        </w:rPr>
        <w:t>d.</w:t>
      </w:r>
    </w:p>
  </w:footnote>
  <w:footnote w:id="16">
    <w:p w:rsidR="00036DEA" w:rsidRPr="004B40CE" w:rsidP="004B40CE" w14:paraId="24118347" w14:textId="48582527">
      <w:pPr>
        <w:pStyle w:val="FootnoteText"/>
        <w:spacing w:after="120"/>
      </w:pPr>
      <w:r w:rsidRPr="004B40CE">
        <w:rPr>
          <w:rStyle w:val="FootnoteReference"/>
        </w:rPr>
        <w:footnoteRef/>
      </w:r>
      <w:r w:rsidRPr="004B40CE">
        <w:t xml:space="preserve"> </w:t>
      </w:r>
      <w:r w:rsidRPr="004B40CE" w:rsidR="00E9610E">
        <w:rPr>
          <w:i/>
          <w:iCs/>
        </w:rPr>
        <w:t xml:space="preserve">See </w:t>
      </w:r>
      <w:r w:rsidRPr="004B40CE" w:rsidR="0087235A">
        <w:rPr>
          <w:i/>
          <w:iCs/>
        </w:rPr>
        <w:t>i</w:t>
      </w:r>
      <w:r w:rsidRPr="004B40CE" w:rsidR="00E9610E">
        <w:rPr>
          <w:i/>
          <w:iCs/>
        </w:rPr>
        <w:t>d.</w:t>
      </w:r>
    </w:p>
  </w:footnote>
  <w:footnote w:id="17">
    <w:p w:rsidR="00A303C8" w:rsidRPr="004B40CE" w:rsidP="004B40CE" w14:paraId="78BD96B0" w14:textId="39073E04">
      <w:pPr>
        <w:pStyle w:val="FootnoteText"/>
        <w:spacing w:after="120"/>
      </w:pPr>
      <w:r w:rsidRPr="004B40CE">
        <w:rPr>
          <w:rStyle w:val="FootnoteReference"/>
        </w:rPr>
        <w:footnoteRef/>
      </w:r>
      <w:r w:rsidRPr="004B40CE">
        <w:t xml:space="preserve">  </w:t>
      </w:r>
      <w:r w:rsidRPr="004B40CE">
        <w:rPr>
          <w:i/>
          <w:iCs/>
        </w:rPr>
        <w:t>See</w:t>
      </w:r>
      <w:r w:rsidRPr="004B40CE">
        <w:t xml:space="preserve"> Staff Review and Recommendation at 2.</w:t>
      </w:r>
    </w:p>
  </w:footnote>
  <w:footnote w:id="18">
    <w:p w:rsidR="007336E6" w:rsidRPr="004B40CE" w:rsidP="004B40CE" w14:paraId="312C68BE" w14:textId="5FBC38E6">
      <w:pPr>
        <w:pStyle w:val="FootnoteText"/>
        <w:spacing w:after="120"/>
      </w:pPr>
      <w:r w:rsidRPr="004B40CE">
        <w:rPr>
          <w:rStyle w:val="FootnoteReference"/>
        </w:rPr>
        <w:footnoteRef/>
      </w:r>
      <w:r w:rsidRPr="004B40CE">
        <w:t xml:space="preserve"> </w:t>
      </w:r>
      <w:r w:rsidRPr="004B40CE">
        <w:rPr>
          <w:i/>
          <w:iCs/>
        </w:rPr>
        <w:t>See</w:t>
      </w:r>
      <w:r w:rsidRPr="004B40CE">
        <w:t xml:space="preserve"> </w:t>
      </w:r>
      <w:r w:rsidRPr="004B40CE" w:rsidR="00510E9E">
        <w:rPr>
          <w:i/>
          <w:iCs/>
        </w:rPr>
        <w:t>id.</w:t>
      </w:r>
      <w:r w:rsidRPr="004B40CE">
        <w:t xml:space="preserve"> at 3.</w:t>
      </w:r>
    </w:p>
  </w:footnote>
  <w:footnote w:id="19">
    <w:p w:rsidR="00C124C9" w:rsidRPr="004B40CE" w:rsidP="004B40CE" w14:paraId="6F01A3DF" w14:textId="5EEB9E46">
      <w:pPr>
        <w:pStyle w:val="FootnoteText"/>
        <w:spacing w:after="120"/>
      </w:pPr>
      <w:r w:rsidRPr="004B40CE">
        <w:rPr>
          <w:rStyle w:val="FootnoteReference"/>
        </w:rPr>
        <w:footnoteRef/>
      </w:r>
      <w:r w:rsidRPr="004B40CE">
        <w:t xml:space="preserve"> </w:t>
      </w:r>
      <w:r w:rsidRPr="004B40CE">
        <w:rPr>
          <w:i/>
          <w:iCs/>
        </w:rPr>
        <w:t>See</w:t>
      </w:r>
      <w:r w:rsidRPr="004B40CE">
        <w:t xml:space="preserve"> </w:t>
      </w:r>
      <w:r w:rsidRPr="004B40CE" w:rsidR="00510E9E">
        <w:rPr>
          <w:i/>
          <w:iCs/>
        </w:rPr>
        <w:t>id.</w:t>
      </w:r>
    </w:p>
  </w:footnote>
  <w:footnote w:id="20">
    <w:p w:rsidR="00217F2C" w:rsidRPr="004B40CE" w:rsidP="004B40CE" w14:paraId="36938A74" w14:textId="31BBA18E">
      <w:pPr>
        <w:pStyle w:val="FootnoteText"/>
        <w:spacing w:after="120"/>
      </w:pPr>
      <w:r w:rsidRPr="004B40CE">
        <w:rPr>
          <w:rStyle w:val="FootnoteReference"/>
        </w:rPr>
        <w:footnoteRef/>
      </w:r>
      <w:r w:rsidRPr="004B40CE">
        <w:t xml:space="preserve"> </w:t>
      </w:r>
      <w:r w:rsidRPr="004B40CE" w:rsidR="00E9610E">
        <w:rPr>
          <w:i/>
          <w:iCs/>
        </w:rPr>
        <w:t xml:space="preserve">See </w:t>
      </w:r>
      <w:r w:rsidRPr="004B40CE" w:rsidR="0087235A">
        <w:rPr>
          <w:i/>
          <w:iCs/>
        </w:rPr>
        <w:t>i</w:t>
      </w:r>
      <w:r w:rsidRPr="004B40CE" w:rsidR="00E9610E">
        <w:rPr>
          <w:i/>
          <w:iCs/>
        </w:rPr>
        <w:t>d.</w:t>
      </w:r>
    </w:p>
  </w:footnote>
  <w:footnote w:id="21">
    <w:p w:rsidR="00217F2C" w:rsidRPr="004B40CE" w:rsidP="004B40CE" w14:paraId="21CBCE99" w14:textId="39160794">
      <w:pPr>
        <w:pStyle w:val="FootnoteText"/>
        <w:spacing w:after="120"/>
      </w:pPr>
      <w:r w:rsidRPr="004B40CE">
        <w:rPr>
          <w:rStyle w:val="FootnoteReference"/>
        </w:rPr>
        <w:footnoteRef/>
      </w:r>
      <w:r w:rsidRPr="004B40CE">
        <w:t xml:space="preserve"> </w:t>
      </w:r>
      <w:r w:rsidRPr="004B40CE" w:rsidR="00E9610E">
        <w:rPr>
          <w:i/>
          <w:iCs/>
        </w:rPr>
        <w:t xml:space="preserve">See </w:t>
      </w:r>
      <w:r w:rsidRPr="004B40CE" w:rsidR="0087235A">
        <w:rPr>
          <w:i/>
          <w:iCs/>
        </w:rPr>
        <w:t>i</w:t>
      </w:r>
      <w:r w:rsidRPr="004B40CE" w:rsidR="00E9610E">
        <w:rPr>
          <w:i/>
          <w:iCs/>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8FC" w14:paraId="2F3FA8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8FC" w14:paraId="2BBD60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E73082"/>
    <w:multiLevelType w:val="hybridMultilevel"/>
    <w:tmpl w:val="BFE64FBC"/>
    <w:lvl w:ilvl="0">
      <w:start w:val="1"/>
      <w:numFmt w:val="upperRoman"/>
      <w:lvlText w:val="%1."/>
      <w:lvlJc w:val="left"/>
      <w:pPr>
        <w:ind w:left="1440" w:hanging="720"/>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643FF0"/>
    <w:multiLevelType w:val="hybridMultilevel"/>
    <w:tmpl w:val="D8CC81A6"/>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19E0A3E"/>
    <w:multiLevelType w:val="hybridMultilevel"/>
    <w:tmpl w:val="4B8218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0"/>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29E0"/>
    <w:rsid w:val="00005991"/>
    <w:rsid w:val="000109B3"/>
    <w:rsid w:val="000119F6"/>
    <w:rsid w:val="0001552C"/>
    <w:rsid w:val="0001672F"/>
    <w:rsid w:val="00017391"/>
    <w:rsid w:val="00024029"/>
    <w:rsid w:val="00027374"/>
    <w:rsid w:val="0003598C"/>
    <w:rsid w:val="00036DEA"/>
    <w:rsid w:val="00037A03"/>
    <w:rsid w:val="00037A97"/>
    <w:rsid w:val="00040615"/>
    <w:rsid w:val="00047E18"/>
    <w:rsid w:val="00057D57"/>
    <w:rsid w:val="00062F03"/>
    <w:rsid w:val="00063A18"/>
    <w:rsid w:val="00070C43"/>
    <w:rsid w:val="00076BA4"/>
    <w:rsid w:val="00087F10"/>
    <w:rsid w:val="000978C2"/>
    <w:rsid w:val="000C1D70"/>
    <w:rsid w:val="000E03C4"/>
    <w:rsid w:val="000E48DE"/>
    <w:rsid w:val="000F5FF4"/>
    <w:rsid w:val="00105F74"/>
    <w:rsid w:val="00110C79"/>
    <w:rsid w:val="00117687"/>
    <w:rsid w:val="0012011D"/>
    <w:rsid w:val="00125D6F"/>
    <w:rsid w:val="00126C39"/>
    <w:rsid w:val="00136312"/>
    <w:rsid w:val="00143B1A"/>
    <w:rsid w:val="001468FC"/>
    <w:rsid w:val="001500EC"/>
    <w:rsid w:val="001513CF"/>
    <w:rsid w:val="00164E17"/>
    <w:rsid w:val="00165DE1"/>
    <w:rsid w:val="001739B8"/>
    <w:rsid w:val="00180C7B"/>
    <w:rsid w:val="00182D9F"/>
    <w:rsid w:val="00184AE7"/>
    <w:rsid w:val="00193121"/>
    <w:rsid w:val="001956B8"/>
    <w:rsid w:val="001A2F19"/>
    <w:rsid w:val="001A3B88"/>
    <w:rsid w:val="001A678F"/>
    <w:rsid w:val="001A791A"/>
    <w:rsid w:val="001B5A1A"/>
    <w:rsid w:val="001B6B09"/>
    <w:rsid w:val="001C121C"/>
    <w:rsid w:val="001C68CC"/>
    <w:rsid w:val="001E0F87"/>
    <w:rsid w:val="001E222C"/>
    <w:rsid w:val="001E25C0"/>
    <w:rsid w:val="001E2862"/>
    <w:rsid w:val="001E65B2"/>
    <w:rsid w:val="001F043B"/>
    <w:rsid w:val="0021211F"/>
    <w:rsid w:val="00216BA5"/>
    <w:rsid w:val="00217F2C"/>
    <w:rsid w:val="00221092"/>
    <w:rsid w:val="002236DC"/>
    <w:rsid w:val="0023017B"/>
    <w:rsid w:val="002307E7"/>
    <w:rsid w:val="00233184"/>
    <w:rsid w:val="00240C0A"/>
    <w:rsid w:val="00252B37"/>
    <w:rsid w:val="002631F0"/>
    <w:rsid w:val="002643F4"/>
    <w:rsid w:val="0028396B"/>
    <w:rsid w:val="002A5DFD"/>
    <w:rsid w:val="002C02E9"/>
    <w:rsid w:val="002E4B23"/>
    <w:rsid w:val="002E63E3"/>
    <w:rsid w:val="002E6996"/>
    <w:rsid w:val="002F43AE"/>
    <w:rsid w:val="002F7D94"/>
    <w:rsid w:val="003068DC"/>
    <w:rsid w:val="0031230F"/>
    <w:rsid w:val="003139F4"/>
    <w:rsid w:val="0032121A"/>
    <w:rsid w:val="003313AD"/>
    <w:rsid w:val="00332390"/>
    <w:rsid w:val="0033523B"/>
    <w:rsid w:val="00335596"/>
    <w:rsid w:val="00342972"/>
    <w:rsid w:val="00351F16"/>
    <w:rsid w:val="0035482E"/>
    <w:rsid w:val="003659F4"/>
    <w:rsid w:val="00366C07"/>
    <w:rsid w:val="00367F63"/>
    <w:rsid w:val="003B48B7"/>
    <w:rsid w:val="003B54EF"/>
    <w:rsid w:val="003B601F"/>
    <w:rsid w:val="003C3ED1"/>
    <w:rsid w:val="003E2867"/>
    <w:rsid w:val="003E690F"/>
    <w:rsid w:val="003F32BE"/>
    <w:rsid w:val="003F6C6A"/>
    <w:rsid w:val="004020C4"/>
    <w:rsid w:val="00402A38"/>
    <w:rsid w:val="0040579C"/>
    <w:rsid w:val="00413552"/>
    <w:rsid w:val="00435BF2"/>
    <w:rsid w:val="00440E9B"/>
    <w:rsid w:val="00441D34"/>
    <w:rsid w:val="00443BE7"/>
    <w:rsid w:val="004477AA"/>
    <w:rsid w:val="004537BF"/>
    <w:rsid w:val="0046434F"/>
    <w:rsid w:val="0047626F"/>
    <w:rsid w:val="0049017B"/>
    <w:rsid w:val="004A55AF"/>
    <w:rsid w:val="004B40CE"/>
    <w:rsid w:val="004C39CF"/>
    <w:rsid w:val="004C76BB"/>
    <w:rsid w:val="004D442B"/>
    <w:rsid w:val="004D7798"/>
    <w:rsid w:val="004E7E8B"/>
    <w:rsid w:val="004F2766"/>
    <w:rsid w:val="004F3210"/>
    <w:rsid w:val="00500726"/>
    <w:rsid w:val="00501B6C"/>
    <w:rsid w:val="00506D5B"/>
    <w:rsid w:val="00510E9E"/>
    <w:rsid w:val="0051122F"/>
    <w:rsid w:val="00533651"/>
    <w:rsid w:val="0054357E"/>
    <w:rsid w:val="00545712"/>
    <w:rsid w:val="0054577E"/>
    <w:rsid w:val="00547247"/>
    <w:rsid w:val="0055757D"/>
    <w:rsid w:val="00557D1C"/>
    <w:rsid w:val="00560623"/>
    <w:rsid w:val="0056743B"/>
    <w:rsid w:val="00571E4A"/>
    <w:rsid w:val="005740BE"/>
    <w:rsid w:val="00582AF7"/>
    <w:rsid w:val="005836FF"/>
    <w:rsid w:val="005A6388"/>
    <w:rsid w:val="005A71EA"/>
    <w:rsid w:val="005B11F4"/>
    <w:rsid w:val="005B39E4"/>
    <w:rsid w:val="005C0FE8"/>
    <w:rsid w:val="005C12C1"/>
    <w:rsid w:val="005D3ED3"/>
    <w:rsid w:val="005E72C8"/>
    <w:rsid w:val="005F5330"/>
    <w:rsid w:val="00612C18"/>
    <w:rsid w:val="006146C2"/>
    <w:rsid w:val="00621A1C"/>
    <w:rsid w:val="006222DE"/>
    <w:rsid w:val="00626882"/>
    <w:rsid w:val="00631A84"/>
    <w:rsid w:val="00634606"/>
    <w:rsid w:val="006416F3"/>
    <w:rsid w:val="0064188C"/>
    <w:rsid w:val="006502E2"/>
    <w:rsid w:val="00655335"/>
    <w:rsid w:val="00657C00"/>
    <w:rsid w:val="00667553"/>
    <w:rsid w:val="0067238B"/>
    <w:rsid w:val="00674B09"/>
    <w:rsid w:val="00674F10"/>
    <w:rsid w:val="00676E81"/>
    <w:rsid w:val="00677B86"/>
    <w:rsid w:val="00682431"/>
    <w:rsid w:val="00692582"/>
    <w:rsid w:val="006A64A5"/>
    <w:rsid w:val="006A6B69"/>
    <w:rsid w:val="006B3AE3"/>
    <w:rsid w:val="006B4178"/>
    <w:rsid w:val="006B5AAE"/>
    <w:rsid w:val="006C0A0C"/>
    <w:rsid w:val="006D02DD"/>
    <w:rsid w:val="006E37FE"/>
    <w:rsid w:val="006F4626"/>
    <w:rsid w:val="006F6E22"/>
    <w:rsid w:val="006F7CAD"/>
    <w:rsid w:val="00714D65"/>
    <w:rsid w:val="00720380"/>
    <w:rsid w:val="0072261E"/>
    <w:rsid w:val="00725DA5"/>
    <w:rsid w:val="00727F74"/>
    <w:rsid w:val="007336E6"/>
    <w:rsid w:val="00733872"/>
    <w:rsid w:val="00734A62"/>
    <w:rsid w:val="0073747D"/>
    <w:rsid w:val="00742FA2"/>
    <w:rsid w:val="00745BD8"/>
    <w:rsid w:val="00751C8C"/>
    <w:rsid w:val="00761706"/>
    <w:rsid w:val="00764766"/>
    <w:rsid w:val="00765774"/>
    <w:rsid w:val="00772C90"/>
    <w:rsid w:val="00781F04"/>
    <w:rsid w:val="00782784"/>
    <w:rsid w:val="00785AC1"/>
    <w:rsid w:val="007920F2"/>
    <w:rsid w:val="007A191D"/>
    <w:rsid w:val="007A2D5F"/>
    <w:rsid w:val="007B45EE"/>
    <w:rsid w:val="007B59EE"/>
    <w:rsid w:val="007C786E"/>
    <w:rsid w:val="007D73B8"/>
    <w:rsid w:val="007D76A8"/>
    <w:rsid w:val="007E2B70"/>
    <w:rsid w:val="007E5B04"/>
    <w:rsid w:val="007F5369"/>
    <w:rsid w:val="007F59E7"/>
    <w:rsid w:val="008011EC"/>
    <w:rsid w:val="00812543"/>
    <w:rsid w:val="008224EC"/>
    <w:rsid w:val="008243B0"/>
    <w:rsid w:val="008265B1"/>
    <w:rsid w:val="0083212B"/>
    <w:rsid w:val="00841A9F"/>
    <w:rsid w:val="00852D2E"/>
    <w:rsid w:val="0085576D"/>
    <w:rsid w:val="008667D1"/>
    <w:rsid w:val="00870461"/>
    <w:rsid w:val="0087235A"/>
    <w:rsid w:val="00875367"/>
    <w:rsid w:val="008829A5"/>
    <w:rsid w:val="008A123A"/>
    <w:rsid w:val="008B716D"/>
    <w:rsid w:val="008C1C31"/>
    <w:rsid w:val="008D4C0A"/>
    <w:rsid w:val="008F560F"/>
    <w:rsid w:val="00911545"/>
    <w:rsid w:val="00912B67"/>
    <w:rsid w:val="00914406"/>
    <w:rsid w:val="009228B9"/>
    <w:rsid w:val="0092448B"/>
    <w:rsid w:val="0092570C"/>
    <w:rsid w:val="00927FDF"/>
    <w:rsid w:val="00935467"/>
    <w:rsid w:val="00937843"/>
    <w:rsid w:val="0094107A"/>
    <w:rsid w:val="0094575E"/>
    <w:rsid w:val="009602A6"/>
    <w:rsid w:val="00963F73"/>
    <w:rsid w:val="00966B75"/>
    <w:rsid w:val="00973D5D"/>
    <w:rsid w:val="009910BD"/>
    <w:rsid w:val="00992C45"/>
    <w:rsid w:val="00993211"/>
    <w:rsid w:val="00993EDD"/>
    <w:rsid w:val="00994B57"/>
    <w:rsid w:val="009A476B"/>
    <w:rsid w:val="009A4FE8"/>
    <w:rsid w:val="009B22ED"/>
    <w:rsid w:val="009B246C"/>
    <w:rsid w:val="009B50E5"/>
    <w:rsid w:val="009C5F23"/>
    <w:rsid w:val="009D5C15"/>
    <w:rsid w:val="009E4459"/>
    <w:rsid w:val="009F077F"/>
    <w:rsid w:val="009F2B15"/>
    <w:rsid w:val="009F3FE0"/>
    <w:rsid w:val="00A044B5"/>
    <w:rsid w:val="00A05E22"/>
    <w:rsid w:val="00A226C1"/>
    <w:rsid w:val="00A25169"/>
    <w:rsid w:val="00A303C8"/>
    <w:rsid w:val="00A31405"/>
    <w:rsid w:val="00A43EF8"/>
    <w:rsid w:val="00A44B5D"/>
    <w:rsid w:val="00A45592"/>
    <w:rsid w:val="00A5359F"/>
    <w:rsid w:val="00A5441A"/>
    <w:rsid w:val="00A63392"/>
    <w:rsid w:val="00A6427E"/>
    <w:rsid w:val="00A6613C"/>
    <w:rsid w:val="00A71EBD"/>
    <w:rsid w:val="00A90A49"/>
    <w:rsid w:val="00A90CED"/>
    <w:rsid w:val="00A9360F"/>
    <w:rsid w:val="00AA5D74"/>
    <w:rsid w:val="00AB4F0E"/>
    <w:rsid w:val="00AB708C"/>
    <w:rsid w:val="00AD4C0D"/>
    <w:rsid w:val="00AD52A8"/>
    <w:rsid w:val="00AE76D9"/>
    <w:rsid w:val="00B17563"/>
    <w:rsid w:val="00B227B0"/>
    <w:rsid w:val="00B2695F"/>
    <w:rsid w:val="00B362CB"/>
    <w:rsid w:val="00B46832"/>
    <w:rsid w:val="00B555BD"/>
    <w:rsid w:val="00B56965"/>
    <w:rsid w:val="00B60172"/>
    <w:rsid w:val="00B63AFD"/>
    <w:rsid w:val="00B65290"/>
    <w:rsid w:val="00B67912"/>
    <w:rsid w:val="00B70BA1"/>
    <w:rsid w:val="00B71A4B"/>
    <w:rsid w:val="00B729D6"/>
    <w:rsid w:val="00B72E47"/>
    <w:rsid w:val="00B825C2"/>
    <w:rsid w:val="00B83504"/>
    <w:rsid w:val="00B910C6"/>
    <w:rsid w:val="00B93FE2"/>
    <w:rsid w:val="00BA2CD8"/>
    <w:rsid w:val="00BA4D80"/>
    <w:rsid w:val="00BA7C1C"/>
    <w:rsid w:val="00BB2EF1"/>
    <w:rsid w:val="00BB7697"/>
    <w:rsid w:val="00BC4352"/>
    <w:rsid w:val="00BC62A2"/>
    <w:rsid w:val="00BD1BB1"/>
    <w:rsid w:val="00BE041E"/>
    <w:rsid w:val="00BF33E8"/>
    <w:rsid w:val="00BF7F13"/>
    <w:rsid w:val="00C0505E"/>
    <w:rsid w:val="00C0562F"/>
    <w:rsid w:val="00C106C8"/>
    <w:rsid w:val="00C124C9"/>
    <w:rsid w:val="00C268BD"/>
    <w:rsid w:val="00C33888"/>
    <w:rsid w:val="00C407C0"/>
    <w:rsid w:val="00C40A57"/>
    <w:rsid w:val="00C52470"/>
    <w:rsid w:val="00C52885"/>
    <w:rsid w:val="00C52E00"/>
    <w:rsid w:val="00C70A8B"/>
    <w:rsid w:val="00C80057"/>
    <w:rsid w:val="00C84C88"/>
    <w:rsid w:val="00C867BE"/>
    <w:rsid w:val="00C930AE"/>
    <w:rsid w:val="00C97127"/>
    <w:rsid w:val="00CA1D4D"/>
    <w:rsid w:val="00CB3F84"/>
    <w:rsid w:val="00CE058A"/>
    <w:rsid w:val="00CE655A"/>
    <w:rsid w:val="00CF27D2"/>
    <w:rsid w:val="00CF454F"/>
    <w:rsid w:val="00CF4B57"/>
    <w:rsid w:val="00CF55F5"/>
    <w:rsid w:val="00CF72D9"/>
    <w:rsid w:val="00D02CA0"/>
    <w:rsid w:val="00D15829"/>
    <w:rsid w:val="00D219D1"/>
    <w:rsid w:val="00D276C4"/>
    <w:rsid w:val="00D36F1C"/>
    <w:rsid w:val="00D5599A"/>
    <w:rsid w:val="00D60E95"/>
    <w:rsid w:val="00D62A05"/>
    <w:rsid w:val="00D631B0"/>
    <w:rsid w:val="00D65151"/>
    <w:rsid w:val="00D76E15"/>
    <w:rsid w:val="00D8176A"/>
    <w:rsid w:val="00D846DE"/>
    <w:rsid w:val="00D90DA7"/>
    <w:rsid w:val="00DB0ACF"/>
    <w:rsid w:val="00DB1378"/>
    <w:rsid w:val="00DB4EDB"/>
    <w:rsid w:val="00DB5FFF"/>
    <w:rsid w:val="00DB77CE"/>
    <w:rsid w:val="00DC2FE9"/>
    <w:rsid w:val="00DC47C7"/>
    <w:rsid w:val="00DE6281"/>
    <w:rsid w:val="00DF1D93"/>
    <w:rsid w:val="00DF3654"/>
    <w:rsid w:val="00E07903"/>
    <w:rsid w:val="00E10476"/>
    <w:rsid w:val="00E114EE"/>
    <w:rsid w:val="00E23D95"/>
    <w:rsid w:val="00E32887"/>
    <w:rsid w:val="00E366BF"/>
    <w:rsid w:val="00E370B1"/>
    <w:rsid w:val="00E425D2"/>
    <w:rsid w:val="00E51A42"/>
    <w:rsid w:val="00E54753"/>
    <w:rsid w:val="00E55E28"/>
    <w:rsid w:val="00E5756C"/>
    <w:rsid w:val="00E6285F"/>
    <w:rsid w:val="00E674F7"/>
    <w:rsid w:val="00E75FBA"/>
    <w:rsid w:val="00E82538"/>
    <w:rsid w:val="00E83104"/>
    <w:rsid w:val="00E87B26"/>
    <w:rsid w:val="00E922CA"/>
    <w:rsid w:val="00E9610E"/>
    <w:rsid w:val="00EA3C61"/>
    <w:rsid w:val="00EA549F"/>
    <w:rsid w:val="00EA7759"/>
    <w:rsid w:val="00EB495B"/>
    <w:rsid w:val="00EC0B73"/>
    <w:rsid w:val="00EC10C2"/>
    <w:rsid w:val="00EC1F70"/>
    <w:rsid w:val="00ED0407"/>
    <w:rsid w:val="00EE2BF6"/>
    <w:rsid w:val="00EE5469"/>
    <w:rsid w:val="00EF0EC5"/>
    <w:rsid w:val="00F066C9"/>
    <w:rsid w:val="00F1170B"/>
    <w:rsid w:val="00F11FAE"/>
    <w:rsid w:val="00F270D4"/>
    <w:rsid w:val="00F3706B"/>
    <w:rsid w:val="00F454E2"/>
    <w:rsid w:val="00F51DB7"/>
    <w:rsid w:val="00F524B7"/>
    <w:rsid w:val="00F54098"/>
    <w:rsid w:val="00F6315F"/>
    <w:rsid w:val="00F719F4"/>
    <w:rsid w:val="00F72ECC"/>
    <w:rsid w:val="00F74AFF"/>
    <w:rsid w:val="00F81FCB"/>
    <w:rsid w:val="00F83127"/>
    <w:rsid w:val="00F87B73"/>
    <w:rsid w:val="00F91407"/>
    <w:rsid w:val="00FA1B56"/>
    <w:rsid w:val="00FA48F8"/>
    <w:rsid w:val="00FB3DF9"/>
    <w:rsid w:val="00FC4E3E"/>
    <w:rsid w:val="00FC57DF"/>
    <w:rsid w:val="00FC77FA"/>
    <w:rsid w:val="00FD01CD"/>
    <w:rsid w:val="00FE371B"/>
    <w:rsid w:val="00FE5A74"/>
    <w:rsid w:val="00FE5CA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EE"/>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aliases w:val=" Char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4">
    <w:name w:val="Unresolved Mention4"/>
    <w:basedOn w:val="DefaultParagraphFont"/>
    <w:rsid w:val="0094575E"/>
    <w:rPr>
      <w:color w:val="605E5C"/>
      <w:shd w:val="clear" w:color="auto" w:fill="E1DFDD"/>
    </w:rPr>
  </w:style>
  <w:style w:type="paragraph" w:styleId="ListParagraph">
    <w:name w:val="List Paragraph"/>
    <w:basedOn w:val="Normal"/>
    <w:uiPriority w:val="34"/>
    <w:qFormat/>
    <w:rsid w:val="002307E7"/>
    <w:pPr>
      <w:ind w:left="720"/>
      <w:contextualSpacing/>
    </w:pPr>
  </w:style>
  <w:style w:type="character" w:customStyle="1" w:styleId="AnswerChar">
    <w:name w:val="Answer Char"/>
    <w:link w:val="Answer"/>
    <w:locked/>
    <w:rsid w:val="00634606"/>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634606"/>
    <w:pPr>
      <w:spacing w:line="480" w:lineRule="auto"/>
    </w:pPr>
    <w:rPr>
      <w:rFonts w:ascii="Arial Unicode MS" w:eastAsia="Arial Unicode MS" w:hAnsi="Arial Unicode MS"/>
      <w:bCs/>
      <w:iCs/>
      <w:sz w:val="20"/>
      <w:szCs w:val="20"/>
      <w:bdr w:val="none" w:sz="0" w:space="0" w:color="auto" w:frame="1"/>
    </w:rPr>
  </w:style>
  <w:style w:type="paragraph" w:styleId="List2">
    <w:name w:val="List 2"/>
    <w:basedOn w:val="Normal"/>
    <w:rsid w:val="00634606"/>
    <w:pPr>
      <w:ind w:left="720" w:hanging="360"/>
      <w:contextualSpacing/>
    </w:pPr>
  </w:style>
  <w:style w:type="character" w:customStyle="1" w:styleId="UnresolvedMention5">
    <w:name w:val="Unresolved Mention5"/>
    <w:basedOn w:val="DefaultParagraphFont"/>
    <w:rsid w:val="008265B1"/>
    <w:rPr>
      <w:color w:val="605E5C"/>
      <w:shd w:val="clear" w:color="auto" w:fill="E1DFDD"/>
    </w:rPr>
  </w:style>
  <w:style w:type="character" w:customStyle="1" w:styleId="sssh">
    <w:name w:val="ss_sh"/>
    <w:basedOn w:val="DefaultParagraphFont"/>
    <w:rsid w:val="009D5C15"/>
  </w:style>
  <w:style w:type="character" w:customStyle="1" w:styleId="UnresolvedMention50">
    <w:name w:val="Unresolved Mention5_0"/>
    <w:basedOn w:val="DefaultParagraphFont"/>
    <w:rsid w:val="00AB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1.xml" /><Relationship Id="rId13" Type="http://schemas.openxmlformats.org/officeDocument/2006/relationships/footer" Target="footer5.xml" /><Relationship Id="rId14" Type="http://schemas.openxmlformats.org/officeDocument/2006/relationships/header" Target="header2.xml" /><Relationship Id="rId15" Type="http://schemas.openxmlformats.org/officeDocument/2006/relationships/hyperlink" Target="mailto:John.jones@ohioattorneygeneral.gov" TargetMode="External" /><Relationship Id="rId16" Type="http://schemas.openxmlformats.org/officeDocument/2006/relationships/hyperlink" Target="mailto:Lauren.augostini@puco.ohio.gov" TargetMode="External" /><Relationship Id="rId17" Type="http://schemas.openxmlformats.org/officeDocument/2006/relationships/hyperlink" Target="mailto:Nicholas.walstra@puco.ohio.gov"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Ambrosia.wilso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dvance.lexis.com/api/document/collection/cases/id/4MFT-J0X0-TVW7-J31S-00000-00?page=392&amp;reporter=3352&amp;cite=111%20Ohio%20St.%203d%20384&amp;context=1000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7F82-6B02-4B91-83B2-FC895421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2020-05-27T19:53:34Z</dcterms:created>
  <dcterms:modified xsi:type="dcterms:W3CDTF">2020-05-27T19:53:34Z</dcterms:modified>
</cp:coreProperties>
</file>