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AB176E" w:rsidP="00AB176E" w14:paraId="46FD9F06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B176E" w:rsidP="00AB176E" w14:paraId="0ACA7443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B176E" w:rsidP="00AB176E" w14:paraId="13DAE1F8" w14:textId="77777777">
      <w:pPr>
        <w:pStyle w:val="HTMLPreformatted"/>
        <w:rPr>
          <w:rFonts w:ascii="Times New Roman" w:hAnsi="Times New Roman"/>
          <w:sz w:val="24"/>
        </w:rPr>
      </w:pPr>
    </w:p>
    <w:p w:rsidR="00AB176E" w:rsidP="00AB176E" w14:paraId="4F1BA057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648" w:type="dxa"/>
        <w:tblLook w:val="01E0"/>
      </w:tblPr>
      <w:tblGrid>
        <w:gridCol w:w="3888"/>
        <w:gridCol w:w="360"/>
        <w:gridCol w:w="4400"/>
      </w:tblGrid>
      <w:tr w14:paraId="27DF9B33" w14:textId="77777777" w:rsidTr="00276880">
        <w:tblPrEx>
          <w:tblW w:w="8648" w:type="dxa"/>
          <w:tblLook w:val="01E0"/>
        </w:tblPrEx>
        <w:trPr>
          <w:trHeight w:val="807"/>
        </w:trPr>
        <w:tc>
          <w:tcPr>
            <w:tcW w:w="3888" w:type="dxa"/>
            <w:shd w:val="clear" w:color="auto" w:fill="auto"/>
          </w:tcPr>
          <w:p w:rsidR="00AB176E" w:rsidRPr="00DA3287" w:rsidP="00276880" w14:paraId="71E2FAC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Pr="00A8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the Application of Ohio Power Company to Update Its Enhanced Service Reliability Rider</w:t>
            </w:r>
            <w:r w:rsidRPr="00D5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AB176E" w:rsidRPr="00A044B5" w:rsidP="00276880" w14:paraId="2BBA8D1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B176E" w:rsidRPr="00A044B5" w:rsidP="00276880" w14:paraId="2EC3703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B176E" w:rsidRPr="00A044B5" w:rsidP="00276880" w14:paraId="1AB4C50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B176E" w:rsidRPr="00A044B5" w:rsidP="00276880" w14:paraId="23F839B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B176E" w:rsidRPr="00A044B5" w:rsidP="00276880" w14:paraId="04CC2CC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18-1371-EL-RDR</w:t>
            </w:r>
          </w:p>
        </w:tc>
      </w:tr>
    </w:tbl>
    <w:p w:rsidR="00AB176E" w:rsidP="00AB176E" w14:paraId="4851CE7D" w14:textId="77777777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B176E" w:rsidP="00AB176E" w14:paraId="056B7EE2" w14:textId="77777777">
      <w:pPr>
        <w:pStyle w:val="HTMLPreformatted"/>
        <w:rPr>
          <w:rFonts w:ascii="Times New Roman" w:hAnsi="Times New Roman"/>
          <w:sz w:val="24"/>
        </w:rPr>
      </w:pPr>
    </w:p>
    <w:p w:rsidR="00AB176E" w:rsidP="00AB176E" w14:paraId="07EF660B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B176E" w:rsidP="00AB176E" w14:paraId="062A617B" w14:textId="77777777">
      <w:pPr>
        <w:jc w:val="center"/>
        <w:rPr>
          <w:b/>
          <w:bCs/>
        </w:rPr>
      </w:pPr>
      <w:r>
        <w:rPr>
          <w:b/>
          <w:bCs/>
        </w:rPr>
        <w:t xml:space="preserve">COMMENTS ON AEP OHIO’S PROPOSAL TO CHARGE CUSTOMERS </w:t>
      </w:r>
    </w:p>
    <w:p w:rsidR="00AB176E" w:rsidP="00AB176E" w14:paraId="22EA68FA" w14:textId="77777777">
      <w:pPr>
        <w:jc w:val="center"/>
        <w:rPr>
          <w:b/>
          <w:bCs/>
        </w:rPr>
      </w:pPr>
      <w:r>
        <w:rPr>
          <w:b/>
          <w:bCs/>
        </w:rPr>
        <w:t>FOR TREE TRIMMING EXPENSES</w:t>
      </w:r>
    </w:p>
    <w:p w:rsidR="00AB176E" w:rsidP="00AB176E" w14:paraId="15CA08A1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AB176E" w:rsidP="00AB176E" w14:paraId="02B9B8BF" w14:textId="77777777">
      <w:pPr>
        <w:jc w:val="center"/>
        <w:rPr>
          <w:b/>
          <w:bCs/>
        </w:rPr>
      </w:pPr>
      <w:r>
        <w:rPr>
          <w:b/>
          <w:bCs/>
        </w:rPr>
        <w:t>THE OFFICE OF THE OHIO CONSUMERS’ COUNSEL</w:t>
      </w:r>
    </w:p>
    <w:p w:rsidR="00AB176E" w:rsidP="00AB176E" w14:paraId="29F129F7" w14:textId="77777777">
      <w:pPr>
        <w:pBdr>
          <w:bottom w:val="single" w:sz="12" w:space="1" w:color="auto"/>
        </w:pBdr>
        <w:tabs>
          <w:tab w:val="left" w:pos="4320"/>
        </w:tabs>
      </w:pPr>
    </w:p>
    <w:p w:rsidR="00AB176E" w:rsidP="00AB176E" w14:paraId="23E3B383" w14:textId="77777777">
      <w:pPr>
        <w:tabs>
          <w:tab w:val="left" w:pos="4320"/>
        </w:tabs>
      </w:pPr>
    </w:p>
    <w:p w:rsidR="00AB176E" w:rsidP="00FF7A8A" w14:paraId="2DBFD88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</w:p>
    <w:p w:rsidR="00AB176E" w:rsidP="00FF7A8A" w14:paraId="3E39B3F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</w:p>
    <w:p w:rsidR="00AB176E" w:rsidP="00FF7A8A" w14:paraId="0D676FB6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</w:p>
    <w:p w:rsidR="00AB176E" w:rsidP="00FF7A8A" w14:paraId="1A63C4E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</w:p>
    <w:p w:rsidR="00AB176E" w:rsidP="00FF7A8A" w14:paraId="475FA16D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</w:p>
    <w:p w:rsidR="00AB176E" w:rsidP="00AB176E" w14:paraId="3AC0AD0A" w14:textId="77777777">
      <w:pPr>
        <w:pStyle w:val="BodyTextIndent3"/>
        <w:spacing w:line="240" w:lineRule="auto"/>
        <w:ind w:left="4320" w:firstLine="0"/>
        <w:rPr>
          <w:szCs w:val="24"/>
        </w:rPr>
      </w:pPr>
      <w:r>
        <w:rPr>
          <w:szCs w:val="24"/>
        </w:rPr>
        <w:t>Respectfully submitted,</w:t>
      </w:r>
    </w:p>
    <w:p w:rsidR="00AB176E" w:rsidP="00AB176E" w14:paraId="0CBB20CB" w14:textId="77777777">
      <w:pPr>
        <w:pStyle w:val="BodyTextIndent3"/>
        <w:spacing w:line="240" w:lineRule="auto"/>
        <w:ind w:left="4320" w:firstLine="0"/>
        <w:rPr>
          <w:szCs w:val="24"/>
        </w:rPr>
      </w:pPr>
    </w:p>
    <w:p w:rsidR="00AB176E" w:rsidP="00AB176E" w14:paraId="01E5BC27" w14:textId="77777777">
      <w:pPr>
        <w:pStyle w:val="Footer"/>
        <w:tabs>
          <w:tab w:val="left" w:pos="4320"/>
          <w:tab w:val="clear" w:pos="864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Bruce Weston (0016973)</w:t>
      </w:r>
    </w:p>
    <w:p w:rsidR="00AB176E" w:rsidP="00AB176E" w14:paraId="656FE4AE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AB176E" w:rsidP="00AB176E" w14:paraId="10A4D01E" w14:textId="77777777">
      <w:pPr>
        <w:tabs>
          <w:tab w:val="left" w:pos="4320"/>
        </w:tabs>
        <w:ind w:left="4320"/>
        <w:rPr>
          <w:szCs w:val="24"/>
        </w:rPr>
      </w:pPr>
    </w:p>
    <w:p w:rsidR="00AB176E" w:rsidP="00AB176E" w14:paraId="3A382FD6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Terry L. Etter (0067445)</w:t>
      </w:r>
    </w:p>
    <w:p w:rsidR="00AB176E" w:rsidP="00AB176E" w14:paraId="6C255566" w14:textId="3F561792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Counsel of Record</w:t>
      </w:r>
    </w:p>
    <w:p w:rsidR="00AB176E" w:rsidP="00AB176E" w14:paraId="6F4A1E0B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Consumers’ Counsel</w:t>
      </w:r>
    </w:p>
    <w:p w:rsidR="00AB176E" w:rsidRPr="005E2783" w:rsidP="00AB176E" w14:paraId="096F6CBB" w14:textId="77777777">
      <w:pPr>
        <w:spacing w:before="120"/>
        <w:ind w:left="4320"/>
        <w:rPr>
          <w:b/>
        </w:rPr>
      </w:pPr>
      <w:r w:rsidRPr="005E2783">
        <w:rPr>
          <w:b/>
        </w:rPr>
        <w:t>Office of the Ohio Consumers</w:t>
      </w:r>
      <w:r>
        <w:rPr>
          <w:b/>
        </w:rPr>
        <w:t>’</w:t>
      </w:r>
      <w:r w:rsidRPr="005E2783">
        <w:rPr>
          <w:b/>
        </w:rPr>
        <w:t xml:space="preserve"> Counsel</w:t>
      </w:r>
    </w:p>
    <w:p w:rsidR="00AB176E" w:rsidRPr="005E2783" w:rsidP="00AB176E" w14:paraId="12AB0898" w14:textId="77777777">
      <w:pPr>
        <w:ind w:left="4320"/>
      </w:pPr>
      <w:r w:rsidRPr="005E2783">
        <w:t>65 East State Street, 7</w:t>
      </w:r>
      <w:r w:rsidRPr="00AB176E">
        <w:t>th</w:t>
      </w:r>
      <w:r w:rsidRPr="005E2783">
        <w:t xml:space="preserve"> Floor</w:t>
      </w:r>
    </w:p>
    <w:p w:rsidR="00AB176E" w:rsidP="00AB176E" w14:paraId="46756DB5" w14:textId="77777777">
      <w:pPr>
        <w:ind w:left="4320"/>
        <w:rPr>
          <w:b/>
        </w:rPr>
      </w:pPr>
      <w:r w:rsidRPr="005E2783">
        <w:t>Columbus, Ohio 43215</w:t>
      </w:r>
    </w:p>
    <w:p w:rsidR="00AB176E" w:rsidP="00AB176E" w14:paraId="21FEA554" w14:textId="77777777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Telephone: (614) 466-7964</w:t>
      </w:r>
    </w:p>
    <w:p w:rsidR="00AB176E" w:rsidP="00AB176E" w14:paraId="4119428F" w14:textId="77777777">
      <w:pPr>
        <w:autoSpaceDE w:val="0"/>
        <w:autoSpaceDN w:val="0"/>
        <w:adjustRightInd w:val="0"/>
        <w:ind w:left="4320"/>
        <w:rPr>
          <w:szCs w:val="24"/>
        </w:rPr>
      </w:pPr>
      <w:hyperlink r:id="rId6" w:history="1">
        <w:r w:rsidRPr="003731D3">
          <w:rPr>
            <w:rStyle w:val="Hyperlink"/>
            <w:szCs w:val="24"/>
          </w:rPr>
          <w:t>Terry.</w:t>
        </w:r>
        <w:r w:rsidRPr="00EF120D">
          <w:rPr>
            <w:rStyle w:val="Hyperlink"/>
            <w:szCs w:val="24"/>
          </w:rPr>
          <w:t>etter</w:t>
        </w:r>
        <w:r w:rsidRPr="00BC110C">
          <w:rPr>
            <w:rStyle w:val="Hyperlink"/>
            <w:szCs w:val="24"/>
          </w:rPr>
          <w:t>@occ.ohio.gov</w:t>
        </w:r>
      </w:hyperlink>
    </w:p>
    <w:p w:rsidR="00AB176E" w:rsidP="00AB176E" w14:paraId="011B46E3" w14:textId="25F31BEB">
      <w:pPr>
        <w:ind w:left="4320"/>
        <w:rPr>
          <w:szCs w:val="24"/>
        </w:rPr>
      </w:pPr>
      <w:r>
        <w:rPr>
          <w:szCs w:val="24"/>
        </w:rPr>
        <w:t>(willing to accept service by e-mail)</w:t>
      </w:r>
      <w:r>
        <w:rPr>
          <w:szCs w:val="24"/>
        </w:rPr>
        <w:tab/>
      </w:r>
      <w:r>
        <w:rPr>
          <w:szCs w:val="24"/>
        </w:rPr>
        <w:tab/>
      </w:r>
    </w:p>
    <w:p w:rsidR="007B43A0" w:rsidP="007B43A0" w14:paraId="7A82D438" w14:textId="40EFE970">
      <w:pPr>
        <w:rPr>
          <w:szCs w:val="24"/>
        </w:rPr>
      </w:pPr>
      <w:r>
        <w:rPr>
          <w:szCs w:val="24"/>
        </w:rPr>
        <w:t>September 13, 2019</w:t>
      </w:r>
    </w:p>
    <w:p w:rsidR="00AB176E" w:rsidP="00AB176E" w14:paraId="5C8A76D5" w14:textId="0E7B2B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  <w:sectPr>
          <w:footerReference w:type="default" r:id="rId7"/>
          <w:footerReference w:type="first" r:id="rId8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  <w:r>
        <w:rPr>
          <w:szCs w:val="24"/>
        </w:rPr>
        <w:br w:type="page"/>
      </w:r>
    </w:p>
    <w:p w:rsidR="00CD5574" w:rsidP="00FF7A8A" w14:paraId="01AFF808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u w:val="single"/>
        </w:rPr>
      </w:pPr>
      <w:r w:rsidRPr="00CD5574">
        <w:rPr>
          <w:rFonts w:ascii="Times New Roman" w:hAnsi="Times New Roman"/>
          <w:b/>
          <w:bCs/>
          <w:sz w:val="24"/>
          <w:u w:val="single"/>
        </w:rPr>
        <w:t>TABLE OF CONTENTS</w:t>
      </w:r>
    </w:p>
    <w:p w:rsidR="00CD5574" w:rsidP="00FF7A8A" w14:paraId="4157AC4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CD5574" w:rsidRPr="00CD5574" w:rsidP="00CD5574" w14:paraId="35D7A1D2" w14:textId="143AA9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b/>
          <w:bCs/>
          <w:sz w:val="24"/>
        </w:rPr>
      </w:pPr>
      <w:r w:rsidRPr="00CD5574">
        <w:rPr>
          <w:rFonts w:ascii="Times New Roman" w:hAnsi="Times New Roman"/>
          <w:b/>
          <w:bCs/>
          <w:sz w:val="24"/>
        </w:rPr>
        <w:t>PAGE</w:t>
      </w:r>
    </w:p>
    <w:p w:rsidR="005D07BA" w14:paraId="5186F693" w14:textId="3ACC22E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TOC \o "1-3" \h \z \u </w:instrText>
      </w:r>
      <w:r>
        <w:rPr>
          <w:b/>
          <w:bCs/>
          <w:u w:val="single"/>
        </w:rPr>
        <w:fldChar w:fldCharType="separate"/>
      </w:r>
      <w:hyperlink w:anchor="_Toc19287247" w:history="1">
        <w:r w:rsidRPr="006F152B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_Toc19287247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07BA" w14:paraId="41AE3799" w14:textId="37BEB6D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9287248" w:history="1">
        <w:r w:rsidRPr="006F152B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COMMENTS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_Toc19287248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07BA" w14:paraId="5397CC63" w14:textId="42D1CF2C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287249" w:history="1">
        <w:r w:rsidRPr="006F152B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The PUCO should not permit AEP Ohio to charge customers the $9,131,240 that it overspent on tree trimming in 2017.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_Toc19287249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07BA" w14:paraId="0188C9B6" w14:textId="4A86A78B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287250" w:history="1">
        <w:r w:rsidRPr="006F152B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The PUCO should find that AEP Ohio’s management of its tree trimming program is imprudent because it is not completing this work system-wide on the four-year cycle as required.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_Toc19287250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07BA" w14:paraId="77AEF320" w14:textId="22138EE7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287251" w:history="1">
        <w:r w:rsidRPr="006F152B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Despite the additional money that AEP Ohio is charging customers for its tree trimming program, tree-caused outages are continuing to have a significant negative impact on the reliability of AEP Ohio’s service to customers.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_Toc19287251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07BA" w14:paraId="0DB212AF" w14:textId="341FED16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287252" w:history="1">
        <w:r w:rsidRPr="006F152B">
          <w:rPr>
            <w:rStyle w:val="Hyperlink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The PUCO should require AEP Ohio to refund to customers past over-collections with interest.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_Toc19287252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07BA" w14:paraId="03836C90" w14:textId="61ED2477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287253" w:history="1">
        <w:r w:rsidRPr="006F152B">
          <w:rPr>
            <w:rStyle w:val="Hyperlink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The PUCO should determine if AEP Ohio’s tree trimming charge should be discontinued.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_Toc19287253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07BA" w14:paraId="63E89180" w14:textId="4D1AA34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9287254" w:history="1">
        <w:r w:rsidRPr="006F152B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6F152B">
          <w:rPr>
            <w:rStyle w:val="Hyperlink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_Toc19287254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5574" w:rsidP="00FF7A8A" w14:paraId="24FADCBE" w14:textId="390D62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fldChar w:fldCharType="end"/>
      </w:r>
    </w:p>
    <w:p w:rsidR="00CD5574" w:rsidP="00FF7A8A" w14:paraId="67ABE0E6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5D07BA" w:rsidRPr="00CD5574" w:rsidP="00FF7A8A" w14:paraId="644D7967" w14:textId="1A6675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u w:val="single"/>
        </w:rPr>
        <w:sectPr w:rsidSect="00C805E6">
          <w:footerReference w:type="first" r:id="rId9"/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65"/>
        </w:sectPr>
      </w:pPr>
    </w:p>
    <w:p w:rsidR="00FF7A8A" w:rsidP="00FF7A8A" w14:paraId="6934C671" w14:textId="69EDD6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FF7A8A" w14:paraId="28ADC3C7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FF7A8A" w14:paraId="2D3C8442" w14:textId="095B233E">
      <w:pPr>
        <w:pStyle w:val="HTMLPreformatted"/>
        <w:rPr>
          <w:rFonts w:ascii="Times New Roman" w:hAnsi="Times New Roman"/>
          <w:sz w:val="24"/>
        </w:rPr>
      </w:pPr>
    </w:p>
    <w:p w:rsidR="0001273A" w14:paraId="0863ADE2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648" w:type="dxa"/>
        <w:tblLook w:val="01E0"/>
      </w:tblPr>
      <w:tblGrid>
        <w:gridCol w:w="3888"/>
        <w:gridCol w:w="360"/>
        <w:gridCol w:w="4400"/>
      </w:tblGrid>
      <w:tr w14:paraId="289B9EFD" w14:textId="77777777" w:rsidTr="00FF7A8A">
        <w:tblPrEx>
          <w:tblW w:w="8648" w:type="dxa"/>
          <w:tblLook w:val="01E0"/>
        </w:tblPrEx>
        <w:trPr>
          <w:trHeight w:val="807"/>
        </w:trPr>
        <w:tc>
          <w:tcPr>
            <w:tcW w:w="3888" w:type="dxa"/>
            <w:shd w:val="clear" w:color="auto" w:fill="auto"/>
          </w:tcPr>
          <w:p w:rsidR="00FF7A8A" w:rsidRPr="00DA3287" w:rsidP="00FF7A8A" w14:paraId="05AA9F16" w14:textId="4BD8EAB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Pr="00A8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the Application of Ohio Power Company to Update Its Enhanced Service Reliability Rider</w:t>
            </w:r>
            <w:r w:rsidRPr="00D5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FF7A8A" w:rsidRPr="00A044B5" w14:paraId="7DA5D0E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FF7A8A" w:rsidRPr="00A044B5" w14:paraId="5D4D0E4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FF7A8A" w:rsidRPr="00A044B5" w:rsidP="00FF7A8A" w14:paraId="702AAA1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FF7A8A" w:rsidRPr="00A044B5" w14:paraId="2FCB1EF3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FF7A8A" w:rsidRPr="00A044B5" w:rsidP="00FF7A8A" w14:paraId="1E6F22ED" w14:textId="1EBF9128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3597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-1</w:t>
            </w:r>
            <w:r w:rsidR="00293597"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1-EL-RDR</w:t>
            </w:r>
          </w:p>
        </w:tc>
      </w:tr>
    </w:tbl>
    <w:p w:rsidR="00FF7A8A" w14:paraId="752F0EEC" w14:textId="77777777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F7A8A" w14:paraId="295C6AB9" w14:textId="77777777">
      <w:pPr>
        <w:pStyle w:val="HTMLPreformatted"/>
        <w:rPr>
          <w:rFonts w:ascii="Times New Roman" w:hAnsi="Times New Roman"/>
          <w:sz w:val="24"/>
        </w:rPr>
      </w:pPr>
    </w:p>
    <w:p w:rsidR="00FF7A8A" w14:paraId="5976FFC4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B572A" w14:paraId="39FEE02E" w14:textId="0AE68413">
      <w:pPr>
        <w:jc w:val="center"/>
        <w:rPr>
          <w:b/>
          <w:bCs/>
        </w:rPr>
      </w:pPr>
      <w:r>
        <w:rPr>
          <w:b/>
          <w:bCs/>
        </w:rPr>
        <w:t>COMMENTS</w:t>
      </w:r>
      <w:r w:rsidR="00977E8C">
        <w:rPr>
          <w:b/>
          <w:bCs/>
        </w:rPr>
        <w:t xml:space="preserve"> ON </w:t>
      </w:r>
      <w:r w:rsidR="00174784">
        <w:rPr>
          <w:b/>
          <w:bCs/>
        </w:rPr>
        <w:t>AEP OHIO</w:t>
      </w:r>
      <w:r w:rsidR="00AB176E">
        <w:rPr>
          <w:b/>
          <w:bCs/>
        </w:rPr>
        <w:t>’</w:t>
      </w:r>
      <w:r w:rsidR="00174784">
        <w:rPr>
          <w:b/>
          <w:bCs/>
        </w:rPr>
        <w:t xml:space="preserve">S </w:t>
      </w:r>
      <w:r w:rsidR="00977E8C">
        <w:rPr>
          <w:b/>
          <w:bCs/>
        </w:rPr>
        <w:t xml:space="preserve">PROPOSAL TO CHARGE CUSTOMERS </w:t>
      </w:r>
    </w:p>
    <w:p w:rsidR="00FF7A8A" w14:paraId="453EE3C3" w14:textId="18A15F5C">
      <w:pPr>
        <w:jc w:val="center"/>
        <w:rPr>
          <w:b/>
          <w:bCs/>
        </w:rPr>
      </w:pPr>
      <w:r>
        <w:rPr>
          <w:b/>
          <w:bCs/>
        </w:rPr>
        <w:t>FOR TREE TRIMMING</w:t>
      </w:r>
      <w:r w:rsidR="00AB572A">
        <w:rPr>
          <w:b/>
          <w:bCs/>
        </w:rPr>
        <w:t xml:space="preserve"> EXPENSES</w:t>
      </w:r>
    </w:p>
    <w:p w:rsidR="00FF7A8A" w14:paraId="18B4765A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FF7A8A" w14:paraId="5E2D0B3F" w14:textId="79231919">
      <w:pPr>
        <w:jc w:val="center"/>
        <w:rPr>
          <w:b/>
          <w:bCs/>
        </w:rPr>
      </w:pPr>
      <w:r>
        <w:rPr>
          <w:b/>
          <w:bCs/>
        </w:rPr>
        <w:t>THE OFFICE OF THE OHIO CONSUMERS</w:t>
      </w:r>
      <w:r w:rsidR="00AB176E">
        <w:rPr>
          <w:b/>
          <w:bCs/>
        </w:rPr>
        <w:t>’</w:t>
      </w:r>
      <w:r>
        <w:rPr>
          <w:b/>
          <w:bCs/>
        </w:rPr>
        <w:t xml:space="preserve"> COUNSEL</w:t>
      </w:r>
    </w:p>
    <w:p w:rsidR="00FF7A8A" w14:paraId="011564B4" w14:textId="77777777">
      <w:pPr>
        <w:pBdr>
          <w:bottom w:val="single" w:sz="12" w:space="1" w:color="auto"/>
        </w:pBdr>
        <w:tabs>
          <w:tab w:val="left" w:pos="4320"/>
        </w:tabs>
      </w:pPr>
    </w:p>
    <w:p w:rsidR="00FF7A8A" w14:paraId="2CC507B0" w14:textId="77777777">
      <w:pPr>
        <w:tabs>
          <w:tab w:val="left" w:pos="4320"/>
        </w:tabs>
      </w:pPr>
    </w:p>
    <w:p w:rsidR="00977E8C" w:rsidP="005E2783" w14:paraId="61D70F8D" w14:textId="6BC79770">
      <w:pPr>
        <w:spacing w:line="480" w:lineRule="auto"/>
        <w:ind w:firstLine="720"/>
        <w:rPr>
          <w:szCs w:val="24"/>
        </w:rPr>
      </w:pPr>
      <w:r>
        <w:rPr>
          <w:szCs w:val="24"/>
        </w:rPr>
        <w:t>This case involves charges on Ohioans</w:t>
      </w:r>
      <w:r w:rsidR="00AB176E">
        <w:rPr>
          <w:szCs w:val="24"/>
        </w:rPr>
        <w:t>’</w:t>
      </w:r>
      <w:r>
        <w:rPr>
          <w:szCs w:val="24"/>
        </w:rPr>
        <w:t xml:space="preserve"> bills in addition to the base rates they pay for electricity.</w:t>
      </w:r>
      <w:r w:rsidR="00AB176E">
        <w:rPr>
          <w:szCs w:val="24"/>
        </w:rPr>
        <w:t xml:space="preserve"> </w:t>
      </w:r>
      <w:r>
        <w:rPr>
          <w:szCs w:val="24"/>
        </w:rPr>
        <w:t>Ohio Power Company (“</w:t>
      </w:r>
      <w:r w:rsidRPr="00D44EF2" w:rsidR="005E2783">
        <w:rPr>
          <w:szCs w:val="24"/>
        </w:rPr>
        <w:t>AEP Ohio</w:t>
      </w:r>
      <w:r>
        <w:rPr>
          <w:szCs w:val="24"/>
        </w:rPr>
        <w:t>”</w:t>
      </w:r>
      <w:r w:rsidR="00E338CF">
        <w:rPr>
          <w:szCs w:val="24"/>
        </w:rPr>
        <w:t>)</w:t>
      </w:r>
      <w:r w:rsidR="00F3435F">
        <w:rPr>
          <w:szCs w:val="24"/>
        </w:rPr>
        <w:t xml:space="preserve"> </w:t>
      </w:r>
      <w:r w:rsidRPr="00D44EF2" w:rsidR="005E2783">
        <w:rPr>
          <w:szCs w:val="24"/>
        </w:rPr>
        <w:t xml:space="preserve">is seeking to </w:t>
      </w:r>
      <w:r w:rsidR="005E2783">
        <w:rPr>
          <w:szCs w:val="24"/>
        </w:rPr>
        <w:t>charge</w:t>
      </w:r>
      <w:r w:rsidRPr="00D44EF2" w:rsidR="005E2783">
        <w:rPr>
          <w:szCs w:val="24"/>
        </w:rPr>
        <w:t xml:space="preserve"> customers </w:t>
      </w:r>
      <w:r w:rsidR="00EE7054">
        <w:rPr>
          <w:szCs w:val="24"/>
        </w:rPr>
        <w:t xml:space="preserve">for </w:t>
      </w:r>
      <w:r w:rsidR="00421CC1">
        <w:rPr>
          <w:szCs w:val="24"/>
        </w:rPr>
        <w:t xml:space="preserve">tree trimming </w:t>
      </w:r>
      <w:r w:rsidR="00EE7054">
        <w:rPr>
          <w:szCs w:val="24"/>
        </w:rPr>
        <w:t xml:space="preserve">expenses </w:t>
      </w:r>
      <w:r w:rsidR="00421CC1">
        <w:rPr>
          <w:szCs w:val="24"/>
        </w:rPr>
        <w:t>AEP Ohio claims to have incurred during 2017.</w:t>
      </w:r>
      <w:r w:rsidR="00AB176E">
        <w:rPr>
          <w:szCs w:val="24"/>
        </w:rPr>
        <w:t xml:space="preserve"> </w:t>
      </w:r>
      <w:r w:rsidR="00421CC1">
        <w:rPr>
          <w:szCs w:val="24"/>
        </w:rPr>
        <w:t>The expenses would be charged to customers</w:t>
      </w:r>
      <w:r w:rsidR="00AB176E">
        <w:rPr>
          <w:szCs w:val="24"/>
        </w:rPr>
        <w:t>’</w:t>
      </w:r>
      <w:r w:rsidR="00421CC1">
        <w:rPr>
          <w:szCs w:val="24"/>
        </w:rPr>
        <w:t xml:space="preserve"> bills </w:t>
      </w:r>
      <w:r w:rsidRPr="00D44EF2" w:rsidR="005E2783">
        <w:rPr>
          <w:szCs w:val="24"/>
        </w:rPr>
        <w:t xml:space="preserve">through </w:t>
      </w:r>
      <w:r w:rsidR="00A74C15">
        <w:rPr>
          <w:szCs w:val="24"/>
        </w:rPr>
        <w:t>a single</w:t>
      </w:r>
      <w:r w:rsidR="006E1C3F">
        <w:rPr>
          <w:szCs w:val="24"/>
        </w:rPr>
        <w:t>-</w:t>
      </w:r>
      <w:r w:rsidR="00A74C15">
        <w:rPr>
          <w:szCs w:val="24"/>
        </w:rPr>
        <w:t>issue ratemaking charge called the</w:t>
      </w:r>
      <w:r w:rsidR="001160ED">
        <w:rPr>
          <w:szCs w:val="24"/>
        </w:rPr>
        <w:t xml:space="preserve"> </w:t>
      </w:r>
      <w:r w:rsidRPr="00D44EF2" w:rsidR="005E2783">
        <w:rPr>
          <w:szCs w:val="24"/>
        </w:rPr>
        <w:t xml:space="preserve">Enhanced Service Reliability Rider (“ESRR”). </w:t>
      </w:r>
      <w:r w:rsidR="006E1C3F">
        <w:rPr>
          <w:szCs w:val="24"/>
        </w:rPr>
        <w:t>According to AEP Ohio</w:t>
      </w:r>
      <w:r w:rsidR="00AB176E">
        <w:rPr>
          <w:szCs w:val="24"/>
        </w:rPr>
        <w:t>’</w:t>
      </w:r>
      <w:r>
        <w:rPr>
          <w:szCs w:val="24"/>
        </w:rPr>
        <w:t>s</w:t>
      </w:r>
      <w:r w:rsidR="006E1C3F">
        <w:rPr>
          <w:szCs w:val="24"/>
        </w:rPr>
        <w:t xml:space="preserve"> tariff,</w:t>
      </w:r>
      <w:r>
        <w:rPr>
          <w:rStyle w:val="FootnoteReference"/>
          <w:szCs w:val="24"/>
        </w:rPr>
        <w:footnoteReference w:id="2"/>
      </w:r>
      <w:r w:rsidR="006E1C3F">
        <w:rPr>
          <w:szCs w:val="24"/>
        </w:rPr>
        <w:t xml:space="preserve"> t</w:t>
      </w:r>
      <w:r w:rsidR="00A74C15">
        <w:rPr>
          <w:szCs w:val="24"/>
        </w:rPr>
        <w:t xml:space="preserve">he </w:t>
      </w:r>
      <w:r w:rsidR="00654B6E">
        <w:rPr>
          <w:szCs w:val="24"/>
        </w:rPr>
        <w:t xml:space="preserve">tree trimming charge </w:t>
      </w:r>
      <w:r w:rsidR="00A74C15">
        <w:rPr>
          <w:szCs w:val="24"/>
        </w:rPr>
        <w:t xml:space="preserve">is one of </w:t>
      </w:r>
      <w:r w:rsidR="00D71B90">
        <w:rPr>
          <w:szCs w:val="24"/>
        </w:rPr>
        <w:t>more than 30</w:t>
      </w:r>
      <w:r w:rsidR="00A74C15">
        <w:rPr>
          <w:szCs w:val="24"/>
        </w:rPr>
        <w:t xml:space="preserve"> </w:t>
      </w:r>
      <w:r w:rsidR="00654B6E">
        <w:rPr>
          <w:szCs w:val="24"/>
        </w:rPr>
        <w:t>charges (</w:t>
      </w:r>
      <w:r w:rsidR="00A74C15">
        <w:rPr>
          <w:szCs w:val="24"/>
        </w:rPr>
        <w:t>riders</w:t>
      </w:r>
      <w:r w:rsidR="00654B6E">
        <w:rPr>
          <w:szCs w:val="24"/>
        </w:rPr>
        <w:t>)</w:t>
      </w:r>
      <w:r w:rsidR="00A74C15">
        <w:rPr>
          <w:szCs w:val="24"/>
        </w:rPr>
        <w:t xml:space="preserve"> that </w:t>
      </w:r>
      <w:r w:rsidR="006E1C3F">
        <w:rPr>
          <w:szCs w:val="24"/>
        </w:rPr>
        <w:t xml:space="preserve">can </w:t>
      </w:r>
      <w:r w:rsidR="00AB3B0E">
        <w:rPr>
          <w:szCs w:val="24"/>
        </w:rPr>
        <w:t xml:space="preserve">result in increased </w:t>
      </w:r>
      <w:r w:rsidR="00327E3C">
        <w:rPr>
          <w:szCs w:val="24"/>
        </w:rPr>
        <w:t>charges on 1.3</w:t>
      </w:r>
      <w:r w:rsidR="00A74C15">
        <w:rPr>
          <w:szCs w:val="24"/>
        </w:rPr>
        <w:t xml:space="preserve"> million</w:t>
      </w:r>
      <w:r w:rsidR="00EF120D">
        <w:rPr>
          <w:szCs w:val="24"/>
        </w:rPr>
        <w:t xml:space="preserve"> residential</w:t>
      </w:r>
      <w:r w:rsidR="00A74C15">
        <w:rPr>
          <w:szCs w:val="24"/>
        </w:rPr>
        <w:t xml:space="preserve"> customers</w:t>
      </w:r>
      <w:r w:rsidR="00AB176E">
        <w:rPr>
          <w:szCs w:val="24"/>
        </w:rPr>
        <w:t>’</w:t>
      </w:r>
      <w:r w:rsidR="00327E3C">
        <w:rPr>
          <w:szCs w:val="24"/>
        </w:rPr>
        <w:t xml:space="preserve"> bills.</w:t>
      </w:r>
      <w:r>
        <w:rPr>
          <w:rStyle w:val="FootnoteReference"/>
          <w:szCs w:val="24"/>
        </w:rPr>
        <w:footnoteReference w:id="3"/>
      </w:r>
    </w:p>
    <w:p w:rsidR="007D6CF3" w:rsidP="005E2783" w14:paraId="392890BB" w14:textId="2E2716B4">
      <w:pPr>
        <w:spacing w:line="480" w:lineRule="auto"/>
        <w:ind w:firstLine="720"/>
        <w:rPr>
          <w:szCs w:val="24"/>
        </w:rPr>
      </w:pPr>
      <w:r w:rsidRPr="00D44EF2">
        <w:rPr>
          <w:szCs w:val="24"/>
        </w:rPr>
        <w:t>AEP</w:t>
      </w:r>
      <w:r w:rsidR="00F3435F">
        <w:rPr>
          <w:szCs w:val="24"/>
        </w:rPr>
        <w:t xml:space="preserve"> Ohio</w:t>
      </w:r>
      <w:r w:rsidR="00AB176E">
        <w:rPr>
          <w:szCs w:val="24"/>
        </w:rPr>
        <w:t>’</w:t>
      </w:r>
      <w:r w:rsidR="00E338CF">
        <w:rPr>
          <w:szCs w:val="24"/>
        </w:rPr>
        <w:t>s</w:t>
      </w:r>
      <w:r w:rsidRPr="00D44EF2">
        <w:rPr>
          <w:szCs w:val="24"/>
        </w:rPr>
        <w:t xml:space="preserve"> distribution base rates </w:t>
      </w:r>
      <w:r w:rsidR="00654B6E">
        <w:rPr>
          <w:szCs w:val="24"/>
        </w:rPr>
        <w:t>that customers pay already</w:t>
      </w:r>
      <w:r>
        <w:rPr>
          <w:szCs w:val="24"/>
        </w:rPr>
        <w:t xml:space="preserve"> </w:t>
      </w:r>
      <w:r w:rsidRPr="00D44EF2">
        <w:rPr>
          <w:szCs w:val="24"/>
        </w:rPr>
        <w:t xml:space="preserve">include $24,200,000 for annual </w:t>
      </w:r>
      <w:r w:rsidR="00F67813">
        <w:rPr>
          <w:szCs w:val="24"/>
        </w:rPr>
        <w:t xml:space="preserve">tree trimming </w:t>
      </w:r>
      <w:r w:rsidRPr="00D44EF2">
        <w:rPr>
          <w:szCs w:val="24"/>
        </w:rPr>
        <w:t>expenses</w:t>
      </w:r>
      <w:r>
        <w:rPr>
          <w:szCs w:val="24"/>
        </w:rPr>
        <w:t xml:space="preserve"> ($20.6 million for </w:t>
      </w:r>
      <w:r w:rsidR="00F67813">
        <w:rPr>
          <w:szCs w:val="24"/>
        </w:rPr>
        <w:t>operations and maintenance (“</w:t>
      </w:r>
      <w:r>
        <w:rPr>
          <w:szCs w:val="24"/>
        </w:rPr>
        <w:t>O&amp;M</w:t>
      </w:r>
      <w:r w:rsidR="00F67813">
        <w:rPr>
          <w:szCs w:val="24"/>
        </w:rPr>
        <w:t>”)</w:t>
      </w:r>
      <w:r>
        <w:rPr>
          <w:szCs w:val="24"/>
        </w:rPr>
        <w:t xml:space="preserve"> and $3.6 million for capital)</w:t>
      </w:r>
      <w:r w:rsidRPr="00D44EF2">
        <w:rPr>
          <w:szCs w:val="24"/>
        </w:rPr>
        <w:t>.</w:t>
      </w:r>
      <w:r w:rsidR="00AB176E">
        <w:rPr>
          <w:szCs w:val="24"/>
        </w:rPr>
        <w:t xml:space="preserve"> </w:t>
      </w:r>
      <w:r w:rsidR="00EF120D">
        <w:rPr>
          <w:szCs w:val="24"/>
        </w:rPr>
        <w:t xml:space="preserve">In </w:t>
      </w:r>
      <w:r w:rsidR="004C75DC">
        <w:rPr>
          <w:szCs w:val="24"/>
        </w:rPr>
        <w:t>its</w:t>
      </w:r>
      <w:r w:rsidR="00EF120D">
        <w:rPr>
          <w:szCs w:val="24"/>
        </w:rPr>
        <w:t xml:space="preserve"> Application</w:t>
      </w:r>
      <w:r w:rsidR="004C75DC">
        <w:rPr>
          <w:szCs w:val="24"/>
        </w:rPr>
        <w:t xml:space="preserve"> in this case</w:t>
      </w:r>
      <w:r w:rsidR="00EF120D">
        <w:rPr>
          <w:szCs w:val="24"/>
        </w:rPr>
        <w:t>,</w:t>
      </w:r>
      <w:r w:rsidRPr="00D44EF2">
        <w:rPr>
          <w:szCs w:val="24"/>
        </w:rPr>
        <w:t xml:space="preserve"> </w:t>
      </w:r>
      <w:r>
        <w:rPr>
          <w:szCs w:val="24"/>
        </w:rPr>
        <w:t>AEP</w:t>
      </w:r>
      <w:r w:rsidR="00F3435F">
        <w:rPr>
          <w:szCs w:val="24"/>
        </w:rPr>
        <w:t xml:space="preserve"> Ohio</w:t>
      </w:r>
      <w:r w:rsidRPr="00D44EF2">
        <w:rPr>
          <w:szCs w:val="24"/>
        </w:rPr>
        <w:t xml:space="preserve"> is seeking to </w:t>
      </w:r>
      <w:r>
        <w:rPr>
          <w:szCs w:val="24"/>
        </w:rPr>
        <w:t>charge customers</w:t>
      </w:r>
      <w:r w:rsidRPr="00D44EF2">
        <w:rPr>
          <w:szCs w:val="24"/>
        </w:rPr>
        <w:t xml:space="preserve"> </w:t>
      </w:r>
      <w:r w:rsidR="00654B6E">
        <w:rPr>
          <w:szCs w:val="24"/>
        </w:rPr>
        <w:t xml:space="preserve">more for tree trimming: charging customers </w:t>
      </w:r>
      <w:r>
        <w:rPr>
          <w:szCs w:val="24"/>
        </w:rPr>
        <w:t>O&amp;M expenses of $</w:t>
      </w:r>
      <w:r w:rsidR="00EF120D">
        <w:rPr>
          <w:szCs w:val="24"/>
        </w:rPr>
        <w:t>30.9</w:t>
      </w:r>
      <w:r>
        <w:rPr>
          <w:szCs w:val="24"/>
        </w:rPr>
        <w:t xml:space="preserve"> million </w:t>
      </w:r>
      <w:r>
        <w:rPr>
          <w:szCs w:val="24"/>
        </w:rPr>
        <w:t xml:space="preserve">plus </w:t>
      </w:r>
      <w:r w:rsidR="00654B6E">
        <w:rPr>
          <w:szCs w:val="24"/>
        </w:rPr>
        <w:t>interest (</w:t>
      </w:r>
      <w:r>
        <w:rPr>
          <w:szCs w:val="24"/>
        </w:rPr>
        <w:t>carrying costs</w:t>
      </w:r>
      <w:r w:rsidR="00654B6E">
        <w:rPr>
          <w:szCs w:val="24"/>
        </w:rPr>
        <w:t>)</w:t>
      </w:r>
      <w:r>
        <w:rPr>
          <w:szCs w:val="24"/>
        </w:rPr>
        <w:t xml:space="preserve"> of $5.8 million on the capital expenditures for a total </w:t>
      </w:r>
      <w:r>
        <w:rPr>
          <w:szCs w:val="24"/>
        </w:rPr>
        <w:t>of</w:t>
      </w:r>
      <w:r w:rsidRPr="00D44EF2">
        <w:rPr>
          <w:szCs w:val="24"/>
        </w:rPr>
        <w:t xml:space="preserve"> $</w:t>
      </w:r>
      <w:r w:rsidR="00EF120D">
        <w:rPr>
          <w:szCs w:val="24"/>
        </w:rPr>
        <w:t>36,731,240</w:t>
      </w:r>
      <w:r w:rsidRPr="00D44EF2">
        <w:rPr>
          <w:szCs w:val="24"/>
        </w:rPr>
        <w:t>.</w:t>
      </w:r>
      <w:r w:rsidR="00AB176E">
        <w:rPr>
          <w:szCs w:val="24"/>
        </w:rPr>
        <w:t xml:space="preserve"> </w:t>
      </w:r>
      <w:r w:rsidR="005929A0">
        <w:rPr>
          <w:szCs w:val="24"/>
        </w:rPr>
        <w:t>But</w:t>
      </w:r>
      <w:r w:rsidRPr="00D44EF2" w:rsidR="005929A0">
        <w:rPr>
          <w:szCs w:val="24"/>
        </w:rPr>
        <w:t xml:space="preserve"> AEP</w:t>
      </w:r>
      <w:r w:rsidR="005929A0">
        <w:rPr>
          <w:szCs w:val="24"/>
        </w:rPr>
        <w:t xml:space="preserve"> Ohio</w:t>
      </w:r>
      <w:r w:rsidRPr="00D44EF2" w:rsidR="005929A0">
        <w:rPr>
          <w:szCs w:val="24"/>
        </w:rPr>
        <w:t xml:space="preserve"> </w:t>
      </w:r>
      <w:r w:rsidR="005929A0">
        <w:rPr>
          <w:szCs w:val="24"/>
        </w:rPr>
        <w:t>was authorized to spend</w:t>
      </w:r>
      <w:r w:rsidRPr="00D44EF2" w:rsidR="005929A0">
        <w:rPr>
          <w:szCs w:val="24"/>
        </w:rPr>
        <w:t xml:space="preserve"> </w:t>
      </w:r>
      <w:r w:rsidR="005929A0">
        <w:rPr>
          <w:szCs w:val="24"/>
        </w:rPr>
        <w:t xml:space="preserve">only </w:t>
      </w:r>
      <w:r w:rsidRPr="00D44EF2" w:rsidR="005929A0">
        <w:rPr>
          <w:szCs w:val="24"/>
        </w:rPr>
        <w:t>$</w:t>
      </w:r>
      <w:r w:rsidR="005929A0">
        <w:rPr>
          <w:szCs w:val="24"/>
        </w:rPr>
        <w:t>27.600,000</w:t>
      </w:r>
      <w:r w:rsidRPr="00D44EF2" w:rsidR="005929A0">
        <w:rPr>
          <w:szCs w:val="24"/>
        </w:rPr>
        <w:t xml:space="preserve"> </w:t>
      </w:r>
      <w:r w:rsidR="00654B6E">
        <w:rPr>
          <w:szCs w:val="24"/>
        </w:rPr>
        <w:t>in this regard.</w:t>
      </w:r>
      <w:r>
        <w:rPr>
          <w:rStyle w:val="FootnoteReference"/>
          <w:szCs w:val="24"/>
        </w:rPr>
        <w:footnoteReference w:id="4"/>
      </w:r>
      <w:r w:rsidR="00AB176E">
        <w:rPr>
          <w:szCs w:val="24"/>
        </w:rPr>
        <w:t xml:space="preserve"> </w:t>
      </w:r>
      <w:r w:rsidR="005929A0">
        <w:rPr>
          <w:szCs w:val="24"/>
        </w:rPr>
        <w:t>For 2017, AEP Ohio is trying to over-charge customers</w:t>
      </w:r>
      <w:r w:rsidRPr="00D44EF2" w:rsidR="005929A0">
        <w:rPr>
          <w:szCs w:val="24"/>
        </w:rPr>
        <w:t xml:space="preserve"> $</w:t>
      </w:r>
      <w:r w:rsidR="005929A0">
        <w:rPr>
          <w:szCs w:val="24"/>
        </w:rPr>
        <w:t>9,131,240</w:t>
      </w:r>
      <w:r w:rsidRPr="00D44EF2" w:rsidR="005929A0">
        <w:rPr>
          <w:szCs w:val="24"/>
        </w:rPr>
        <w:t>.</w:t>
      </w:r>
      <w:r w:rsidR="00AB176E">
        <w:rPr>
          <w:szCs w:val="24"/>
        </w:rPr>
        <w:t xml:space="preserve"> </w:t>
      </w:r>
    </w:p>
    <w:p w:rsidR="00E261DF" w:rsidP="005E2783" w14:paraId="1CCFD0BC" w14:textId="5BBB1C3C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AEP </w:t>
      </w:r>
      <w:r w:rsidR="00F67813">
        <w:rPr>
          <w:szCs w:val="24"/>
        </w:rPr>
        <w:t xml:space="preserve">Ohio </w:t>
      </w:r>
      <w:r>
        <w:rPr>
          <w:szCs w:val="24"/>
        </w:rPr>
        <w:t xml:space="preserve">overcharging customers for tree trimming is not new. </w:t>
      </w:r>
      <w:r w:rsidR="005929A0">
        <w:rPr>
          <w:szCs w:val="24"/>
        </w:rPr>
        <w:t xml:space="preserve">Last year, </w:t>
      </w:r>
      <w:r w:rsidR="00EF120D">
        <w:rPr>
          <w:szCs w:val="24"/>
        </w:rPr>
        <w:t xml:space="preserve">AEP </w:t>
      </w:r>
      <w:r w:rsidR="002518D0">
        <w:rPr>
          <w:szCs w:val="24"/>
        </w:rPr>
        <w:t xml:space="preserve">Ohio </w:t>
      </w:r>
      <w:r w:rsidR="00EF120D">
        <w:rPr>
          <w:szCs w:val="24"/>
        </w:rPr>
        <w:t xml:space="preserve">collected </w:t>
      </w:r>
      <w:r w:rsidR="00174784">
        <w:rPr>
          <w:szCs w:val="24"/>
        </w:rPr>
        <w:t xml:space="preserve">$8,907,531 </w:t>
      </w:r>
      <w:r w:rsidR="007D6CF3">
        <w:rPr>
          <w:szCs w:val="24"/>
        </w:rPr>
        <w:t>more than</w:t>
      </w:r>
      <w:r>
        <w:rPr>
          <w:szCs w:val="24"/>
        </w:rPr>
        <w:t xml:space="preserve"> it spent </w:t>
      </w:r>
      <w:r w:rsidR="00174784">
        <w:rPr>
          <w:szCs w:val="24"/>
        </w:rPr>
        <w:t>through the charge</w:t>
      </w:r>
      <w:r w:rsidR="00C35890">
        <w:rPr>
          <w:szCs w:val="24"/>
        </w:rPr>
        <w:t>.</w:t>
      </w:r>
      <w:r w:rsidR="00AB176E">
        <w:rPr>
          <w:szCs w:val="24"/>
        </w:rPr>
        <w:t xml:space="preserve"> </w:t>
      </w:r>
      <w:r w:rsidR="001B4CED">
        <w:rPr>
          <w:szCs w:val="24"/>
        </w:rPr>
        <w:t xml:space="preserve">In the last three years alone, </w:t>
      </w:r>
      <w:r w:rsidR="007D6CF3">
        <w:rPr>
          <w:szCs w:val="24"/>
        </w:rPr>
        <w:t xml:space="preserve">AEP Ohio </w:t>
      </w:r>
      <w:r w:rsidR="00A10FE6">
        <w:rPr>
          <w:szCs w:val="24"/>
        </w:rPr>
        <w:t xml:space="preserve">has overcharged customers </w:t>
      </w:r>
      <w:r w:rsidR="005929A0">
        <w:rPr>
          <w:szCs w:val="24"/>
        </w:rPr>
        <w:t xml:space="preserve">more than </w:t>
      </w:r>
      <w:r w:rsidR="00A10FE6">
        <w:rPr>
          <w:szCs w:val="24"/>
        </w:rPr>
        <w:t>$36.7 million</w:t>
      </w:r>
      <w:r w:rsidR="007D6CF3">
        <w:rPr>
          <w:szCs w:val="24"/>
        </w:rPr>
        <w:t xml:space="preserve"> through the </w:t>
      </w:r>
      <w:r>
        <w:rPr>
          <w:szCs w:val="24"/>
        </w:rPr>
        <w:t>tree trimming charge</w:t>
      </w:r>
      <w:r w:rsidR="00AB572A">
        <w:rPr>
          <w:szCs w:val="24"/>
        </w:rPr>
        <w:t>s</w:t>
      </w:r>
      <w:r>
        <w:rPr>
          <w:szCs w:val="24"/>
        </w:rPr>
        <w:t>.</w:t>
      </w:r>
      <w:r w:rsidR="00AB176E">
        <w:rPr>
          <w:szCs w:val="24"/>
        </w:rPr>
        <w:t xml:space="preserve"> </w:t>
      </w:r>
    </w:p>
    <w:p w:rsidR="005E2783" w:rsidP="005E2783" w14:paraId="6B876E89" w14:textId="6920A472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</w:t>
      </w:r>
      <w:r w:rsidRPr="004C75DC">
        <w:rPr>
          <w:szCs w:val="24"/>
        </w:rPr>
        <w:t>Office of the Ohio Consumers</w:t>
      </w:r>
      <w:r w:rsidR="00AB176E">
        <w:rPr>
          <w:szCs w:val="24"/>
        </w:rPr>
        <w:t>’</w:t>
      </w:r>
      <w:r w:rsidRPr="004C75DC">
        <w:rPr>
          <w:szCs w:val="24"/>
        </w:rPr>
        <w:t xml:space="preserve"> Counsel</w:t>
      </w:r>
      <w:r>
        <w:rPr>
          <w:szCs w:val="24"/>
        </w:rPr>
        <w:t xml:space="preserve"> (“OCC”) files Comments on AEP Ohio</w:t>
      </w:r>
      <w:r w:rsidR="00AB176E">
        <w:rPr>
          <w:szCs w:val="24"/>
        </w:rPr>
        <w:t>’</w:t>
      </w:r>
      <w:r>
        <w:rPr>
          <w:szCs w:val="24"/>
        </w:rPr>
        <w:t>s Application.</w:t>
      </w:r>
      <w:r>
        <w:rPr>
          <w:rStyle w:val="FootnoteReference"/>
          <w:szCs w:val="24"/>
        </w:rPr>
        <w:footnoteReference w:id="5"/>
      </w:r>
      <w:r w:rsidR="00AB176E">
        <w:rPr>
          <w:szCs w:val="24"/>
        </w:rPr>
        <w:t xml:space="preserve"> </w:t>
      </w:r>
      <w:r>
        <w:rPr>
          <w:szCs w:val="24"/>
        </w:rPr>
        <w:t xml:space="preserve">Customers should </w:t>
      </w:r>
      <w:r w:rsidR="00654B6E">
        <w:rPr>
          <w:szCs w:val="24"/>
        </w:rPr>
        <w:t xml:space="preserve">be protected by enforcing the spending limits the </w:t>
      </w:r>
      <w:r w:rsidR="00F67813">
        <w:rPr>
          <w:szCs w:val="24"/>
        </w:rPr>
        <w:t>Public Utilities Commission of Ohio (“</w:t>
      </w:r>
      <w:r w:rsidR="00654B6E">
        <w:rPr>
          <w:szCs w:val="24"/>
        </w:rPr>
        <w:t>PUCO</w:t>
      </w:r>
      <w:r w:rsidR="00F67813">
        <w:rPr>
          <w:szCs w:val="24"/>
        </w:rPr>
        <w:t>”)</w:t>
      </w:r>
      <w:r w:rsidR="00654B6E">
        <w:rPr>
          <w:szCs w:val="24"/>
        </w:rPr>
        <w:t xml:space="preserve"> established on AEP</w:t>
      </w:r>
      <w:r w:rsidR="00F67813">
        <w:rPr>
          <w:szCs w:val="24"/>
        </w:rPr>
        <w:t xml:space="preserve"> Ohio</w:t>
      </w:r>
      <w:r w:rsidR="00AB176E">
        <w:rPr>
          <w:szCs w:val="24"/>
        </w:rPr>
        <w:t>’</w:t>
      </w:r>
      <w:r w:rsidR="00654B6E">
        <w:rPr>
          <w:szCs w:val="24"/>
        </w:rPr>
        <w:t>s tree trimming. A</w:t>
      </w:r>
      <w:r>
        <w:rPr>
          <w:szCs w:val="24"/>
        </w:rPr>
        <w:t>EP</w:t>
      </w:r>
      <w:r w:rsidR="005929A0">
        <w:rPr>
          <w:szCs w:val="24"/>
        </w:rPr>
        <w:t xml:space="preserve"> Ohio</w:t>
      </w:r>
      <w:r w:rsidR="00AB176E">
        <w:rPr>
          <w:szCs w:val="24"/>
        </w:rPr>
        <w:t>’</w:t>
      </w:r>
      <w:r>
        <w:rPr>
          <w:szCs w:val="24"/>
        </w:rPr>
        <w:t xml:space="preserve">s </w:t>
      </w:r>
      <w:r w:rsidR="00654B6E">
        <w:rPr>
          <w:szCs w:val="24"/>
        </w:rPr>
        <w:t xml:space="preserve">tree trimming charges that are above the limits the PUCO set are </w:t>
      </w:r>
      <w:r>
        <w:rPr>
          <w:szCs w:val="24"/>
        </w:rPr>
        <w:t>unjust, unreasonable, and unauthorized.</w:t>
      </w:r>
      <w:r w:rsidR="00AB176E">
        <w:rPr>
          <w:szCs w:val="24"/>
        </w:rPr>
        <w:t xml:space="preserve"> </w:t>
      </w:r>
      <w:r w:rsidR="00CD39B1">
        <w:rPr>
          <w:szCs w:val="24"/>
        </w:rPr>
        <w:t xml:space="preserve">In fact, past over-collections should be refunded </w:t>
      </w:r>
      <w:r w:rsidR="00654B6E">
        <w:rPr>
          <w:szCs w:val="24"/>
        </w:rPr>
        <w:t xml:space="preserve">to customers </w:t>
      </w:r>
      <w:r w:rsidR="00CD39B1">
        <w:rPr>
          <w:szCs w:val="24"/>
        </w:rPr>
        <w:t>with interest</w:t>
      </w:r>
      <w:r w:rsidR="002E0D81">
        <w:rPr>
          <w:szCs w:val="24"/>
        </w:rPr>
        <w:t>.</w:t>
      </w:r>
    </w:p>
    <w:p w:rsidR="005E2783" w:rsidP="00F429C7" w14:paraId="45A862BC" w14:textId="73945560">
      <w:pPr>
        <w:pStyle w:val="Heading1"/>
      </w:pPr>
      <w:bookmarkStart w:id="1" w:name="_Toc19287247"/>
      <w:r>
        <w:t>I.</w:t>
      </w:r>
      <w:r>
        <w:tab/>
        <w:t>HISTORY</w:t>
      </w:r>
      <w:bookmarkEnd w:id="1"/>
    </w:p>
    <w:p w:rsidR="005929A0" w:rsidP="005E2783" w14:paraId="30A9B2C0" w14:textId="6B43EB4F">
      <w:pPr>
        <w:spacing w:line="480" w:lineRule="auto"/>
        <w:ind w:firstLine="720"/>
        <w:rPr>
          <w:szCs w:val="24"/>
        </w:rPr>
      </w:pPr>
      <w:r w:rsidRPr="00D44EF2">
        <w:rPr>
          <w:szCs w:val="24"/>
        </w:rPr>
        <w:t xml:space="preserve">The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ree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rimming </w:t>
      </w:r>
      <w:r w:rsidR="00F67813">
        <w:rPr>
          <w:szCs w:val="24"/>
        </w:rPr>
        <w:t>c</w:t>
      </w:r>
      <w:r w:rsidR="00AB572A">
        <w:rPr>
          <w:szCs w:val="24"/>
        </w:rPr>
        <w:t>harge</w:t>
      </w:r>
      <w:r w:rsidRPr="00D44EF2">
        <w:rPr>
          <w:szCs w:val="24"/>
        </w:rPr>
        <w:t xml:space="preserve"> was originally approved as part of AEP</w:t>
      </w:r>
      <w:r w:rsidR="00F3435F">
        <w:rPr>
          <w:szCs w:val="24"/>
        </w:rPr>
        <w:t xml:space="preserve"> Ohio</w:t>
      </w:r>
      <w:r w:rsidR="00AB176E">
        <w:rPr>
          <w:szCs w:val="24"/>
        </w:rPr>
        <w:t>’</w:t>
      </w:r>
      <w:r w:rsidRPr="00D44EF2">
        <w:rPr>
          <w:szCs w:val="24"/>
        </w:rPr>
        <w:t xml:space="preserve">s first </w:t>
      </w:r>
      <w:r>
        <w:rPr>
          <w:szCs w:val="24"/>
        </w:rPr>
        <w:t>e</w:t>
      </w:r>
      <w:r w:rsidRPr="00D44EF2">
        <w:rPr>
          <w:szCs w:val="24"/>
        </w:rPr>
        <w:t xml:space="preserve">lectric </w:t>
      </w:r>
      <w:r>
        <w:rPr>
          <w:szCs w:val="24"/>
        </w:rPr>
        <w:t>s</w:t>
      </w:r>
      <w:r w:rsidRPr="00D44EF2">
        <w:rPr>
          <w:szCs w:val="24"/>
        </w:rPr>
        <w:t xml:space="preserve">ecurity </w:t>
      </w:r>
      <w:r>
        <w:rPr>
          <w:szCs w:val="24"/>
        </w:rPr>
        <w:t>p</w:t>
      </w:r>
      <w:r w:rsidRPr="00D44EF2">
        <w:rPr>
          <w:szCs w:val="24"/>
        </w:rPr>
        <w:t xml:space="preserve">lan </w:t>
      </w:r>
      <w:r>
        <w:rPr>
          <w:szCs w:val="24"/>
        </w:rPr>
        <w:t>(“</w:t>
      </w:r>
      <w:r w:rsidR="00F67813">
        <w:rPr>
          <w:szCs w:val="24"/>
        </w:rPr>
        <w:t>electric plan</w:t>
      </w:r>
      <w:r>
        <w:rPr>
          <w:szCs w:val="24"/>
        </w:rPr>
        <w:t>”)</w:t>
      </w:r>
      <w:r>
        <w:rPr>
          <w:szCs w:val="24"/>
        </w:rPr>
        <w:t>.</w:t>
      </w:r>
      <w:r w:rsidR="00AB176E">
        <w:rPr>
          <w:szCs w:val="24"/>
        </w:rPr>
        <w:t xml:space="preserve"> </w:t>
      </w:r>
      <w:r>
        <w:rPr>
          <w:szCs w:val="24"/>
        </w:rPr>
        <w:t xml:space="preserve">The </w:t>
      </w:r>
      <w:r w:rsidR="002E0D81">
        <w:rPr>
          <w:szCs w:val="24"/>
        </w:rPr>
        <w:t>charge</w:t>
      </w:r>
      <w:r>
        <w:rPr>
          <w:szCs w:val="24"/>
        </w:rPr>
        <w:t xml:space="preserve"> was to provide AEP Ohio</w:t>
      </w:r>
      <w:r w:rsidRPr="00D44EF2">
        <w:rPr>
          <w:szCs w:val="24"/>
        </w:rPr>
        <w:t xml:space="preserve"> </w:t>
      </w:r>
      <w:r w:rsidR="0004389B">
        <w:rPr>
          <w:szCs w:val="24"/>
        </w:rPr>
        <w:t>additional</w:t>
      </w:r>
      <w:r w:rsidRPr="00D44EF2">
        <w:rPr>
          <w:szCs w:val="24"/>
        </w:rPr>
        <w:t xml:space="preserve"> funding </w:t>
      </w:r>
      <w:r w:rsidR="0004389B">
        <w:rPr>
          <w:szCs w:val="24"/>
        </w:rPr>
        <w:t xml:space="preserve">so that it could </w:t>
      </w:r>
      <w:r w:rsidRPr="00D44EF2">
        <w:rPr>
          <w:szCs w:val="24"/>
        </w:rPr>
        <w:t xml:space="preserve">transition from a reactive vegetation management program </w:t>
      </w:r>
      <w:r>
        <w:rPr>
          <w:szCs w:val="24"/>
        </w:rPr>
        <w:t xml:space="preserve">(i.e., </w:t>
      </w:r>
      <w:r w:rsidR="00174784">
        <w:rPr>
          <w:szCs w:val="24"/>
        </w:rPr>
        <w:t xml:space="preserve">trimming or removing trees </w:t>
      </w:r>
      <w:r>
        <w:rPr>
          <w:szCs w:val="24"/>
        </w:rPr>
        <w:t>that ha</w:t>
      </w:r>
      <w:r w:rsidR="00174784">
        <w:rPr>
          <w:szCs w:val="24"/>
        </w:rPr>
        <w:t>ve</w:t>
      </w:r>
      <w:r>
        <w:rPr>
          <w:szCs w:val="24"/>
        </w:rPr>
        <w:t xml:space="preserve"> caused </w:t>
      </w:r>
      <w:r w:rsidR="000F74EB">
        <w:rPr>
          <w:szCs w:val="24"/>
        </w:rPr>
        <w:t xml:space="preserve">or could cause </w:t>
      </w:r>
      <w:r>
        <w:rPr>
          <w:szCs w:val="24"/>
        </w:rPr>
        <w:t xml:space="preserve">an outage) </w:t>
      </w:r>
      <w:r w:rsidRPr="00D44EF2">
        <w:rPr>
          <w:szCs w:val="24"/>
        </w:rPr>
        <w:t xml:space="preserve">to a </w:t>
      </w:r>
      <w:r w:rsidR="0004389B">
        <w:rPr>
          <w:szCs w:val="24"/>
        </w:rPr>
        <w:t xml:space="preserve">proactive, </w:t>
      </w:r>
      <w:r w:rsidRPr="00D44EF2">
        <w:rPr>
          <w:szCs w:val="24"/>
        </w:rPr>
        <w:t xml:space="preserve">four-year cycle-based distribution </w:t>
      </w:r>
      <w:r w:rsidR="00F67813">
        <w:rPr>
          <w:szCs w:val="24"/>
        </w:rPr>
        <w:t xml:space="preserve">tree trimming </w:t>
      </w:r>
      <w:r w:rsidR="00174784">
        <w:rPr>
          <w:szCs w:val="24"/>
        </w:rPr>
        <w:t xml:space="preserve">and removal </w:t>
      </w:r>
      <w:r w:rsidRPr="00D44EF2">
        <w:rPr>
          <w:szCs w:val="24"/>
        </w:rPr>
        <w:t>program</w:t>
      </w:r>
      <w:r w:rsidR="00F67813">
        <w:rPr>
          <w:szCs w:val="24"/>
        </w:rPr>
        <w:t xml:space="preserve"> to help prevent outages</w:t>
      </w:r>
      <w:r w:rsidRPr="00D44EF2">
        <w:rPr>
          <w:szCs w:val="24"/>
        </w:rPr>
        <w:t>.</w:t>
      </w:r>
      <w:r>
        <w:rPr>
          <w:rStyle w:val="FootnoteReference"/>
          <w:szCs w:val="24"/>
        </w:rPr>
        <w:footnoteReference w:id="6"/>
      </w:r>
      <w:r w:rsidR="00AB176E">
        <w:rPr>
          <w:szCs w:val="24"/>
        </w:rPr>
        <w:t xml:space="preserve"> </w:t>
      </w:r>
      <w:r>
        <w:rPr>
          <w:szCs w:val="24"/>
        </w:rPr>
        <w:t>The transition was expected over five years.</w:t>
      </w:r>
      <w:r w:rsidR="00AB176E">
        <w:rPr>
          <w:szCs w:val="24"/>
        </w:rPr>
        <w:t xml:space="preserve"> </w:t>
      </w:r>
    </w:p>
    <w:p w:rsidR="002E1BCC" w:rsidP="005E2783" w14:paraId="442FEE49" w14:textId="402DF41F">
      <w:pPr>
        <w:spacing w:line="480" w:lineRule="auto"/>
        <w:ind w:firstLine="720"/>
        <w:rPr>
          <w:szCs w:val="24"/>
        </w:rPr>
      </w:pPr>
      <w:r>
        <w:rPr>
          <w:szCs w:val="24"/>
        </w:rPr>
        <w:t>In AEP</w:t>
      </w:r>
      <w:r w:rsidR="00F3435F">
        <w:rPr>
          <w:szCs w:val="24"/>
        </w:rPr>
        <w:t xml:space="preserve"> Ohio</w:t>
      </w:r>
      <w:r w:rsidR="00AB176E">
        <w:rPr>
          <w:szCs w:val="24"/>
        </w:rPr>
        <w:t>’</w:t>
      </w:r>
      <w:r>
        <w:rPr>
          <w:szCs w:val="24"/>
        </w:rPr>
        <w:t>s second</w:t>
      </w:r>
      <w:r w:rsidR="00F67813">
        <w:rPr>
          <w:szCs w:val="24"/>
        </w:rPr>
        <w:t xml:space="preserve"> electric plan</w:t>
      </w:r>
      <w:r>
        <w:rPr>
          <w:szCs w:val="24"/>
        </w:rPr>
        <w:t xml:space="preserve">, </w:t>
      </w:r>
      <w:r w:rsidR="0004389B">
        <w:rPr>
          <w:szCs w:val="24"/>
        </w:rPr>
        <w:t>three years into the five</w:t>
      </w:r>
      <w:r w:rsidR="002D3955">
        <w:rPr>
          <w:szCs w:val="24"/>
        </w:rPr>
        <w:t>-</w:t>
      </w:r>
      <w:r w:rsidR="0004389B">
        <w:rPr>
          <w:szCs w:val="24"/>
        </w:rPr>
        <w:t xml:space="preserve">year transition, </w:t>
      </w:r>
      <w:r>
        <w:rPr>
          <w:szCs w:val="24"/>
        </w:rPr>
        <w:t xml:space="preserve">it requested </w:t>
      </w:r>
      <w:r w:rsidR="0004389B">
        <w:rPr>
          <w:szCs w:val="24"/>
        </w:rPr>
        <w:t>to extend</w:t>
      </w:r>
      <w:r>
        <w:rPr>
          <w:szCs w:val="24"/>
        </w:rPr>
        <w:t xml:space="preserve"> the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ree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rimming </w:t>
      </w:r>
      <w:r w:rsidR="00F67813">
        <w:rPr>
          <w:szCs w:val="24"/>
        </w:rPr>
        <w:t>c</w:t>
      </w:r>
      <w:r w:rsidR="00AB572A">
        <w:rPr>
          <w:szCs w:val="24"/>
        </w:rPr>
        <w:t>harge</w:t>
      </w:r>
      <w:r w:rsidR="005929A0">
        <w:rPr>
          <w:szCs w:val="24"/>
        </w:rPr>
        <w:t>.</w:t>
      </w:r>
      <w:r>
        <w:rPr>
          <w:szCs w:val="24"/>
        </w:rPr>
        <w:t xml:space="preserve"> </w:t>
      </w:r>
      <w:r w:rsidR="005929A0">
        <w:rPr>
          <w:szCs w:val="24"/>
        </w:rPr>
        <w:t>T</w:t>
      </w:r>
      <w:r>
        <w:rPr>
          <w:szCs w:val="24"/>
        </w:rPr>
        <w:t xml:space="preserve">he PUCO </w:t>
      </w:r>
      <w:r w:rsidR="0004389B">
        <w:rPr>
          <w:szCs w:val="24"/>
        </w:rPr>
        <w:t>allow</w:t>
      </w:r>
      <w:r w:rsidR="005929A0">
        <w:rPr>
          <w:szCs w:val="24"/>
        </w:rPr>
        <w:t>ed</w:t>
      </w:r>
      <w:r w:rsidR="0004389B">
        <w:rPr>
          <w:szCs w:val="24"/>
        </w:rPr>
        <w:t xml:space="preserve"> the </w:t>
      </w:r>
      <w:r w:rsidR="00F67813">
        <w:rPr>
          <w:szCs w:val="24"/>
        </w:rPr>
        <w:t xml:space="preserve">charge </w:t>
      </w:r>
      <w:r w:rsidR="0004389B">
        <w:rPr>
          <w:szCs w:val="24"/>
        </w:rPr>
        <w:t xml:space="preserve">to be collected from customers for an additional three years, </w:t>
      </w:r>
      <w:r>
        <w:rPr>
          <w:szCs w:val="24"/>
        </w:rPr>
        <w:t>through May 31, 2015.</w:t>
      </w:r>
      <w:r>
        <w:rPr>
          <w:rStyle w:val="FootnoteReference"/>
          <w:szCs w:val="24"/>
        </w:rPr>
        <w:footnoteReference w:id="7"/>
      </w:r>
      <w:r w:rsidR="00AB176E">
        <w:rPr>
          <w:szCs w:val="24"/>
        </w:rPr>
        <w:t xml:space="preserve"> </w:t>
      </w:r>
      <w:r>
        <w:rPr>
          <w:szCs w:val="24"/>
        </w:rPr>
        <w:t xml:space="preserve">In </w:t>
      </w:r>
      <w:r w:rsidR="00F67813">
        <w:rPr>
          <w:szCs w:val="24"/>
        </w:rPr>
        <w:t xml:space="preserve">its </w:t>
      </w:r>
      <w:r>
        <w:rPr>
          <w:szCs w:val="24"/>
        </w:rPr>
        <w:t>third</w:t>
      </w:r>
      <w:r w:rsidR="00F67813">
        <w:rPr>
          <w:szCs w:val="24"/>
        </w:rPr>
        <w:t xml:space="preserve"> electric plan</w:t>
      </w:r>
      <w:r>
        <w:rPr>
          <w:szCs w:val="24"/>
        </w:rPr>
        <w:t xml:space="preserve">, </w:t>
      </w:r>
      <w:r w:rsidR="00F67813">
        <w:rPr>
          <w:szCs w:val="24"/>
        </w:rPr>
        <w:t xml:space="preserve">AEP Ohio </w:t>
      </w:r>
      <w:r>
        <w:rPr>
          <w:szCs w:val="24"/>
        </w:rPr>
        <w:t xml:space="preserve">requested </w:t>
      </w:r>
      <w:r w:rsidR="0004389B">
        <w:rPr>
          <w:szCs w:val="24"/>
        </w:rPr>
        <w:t xml:space="preserve">another extension of the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ree </w:t>
      </w:r>
      <w:r w:rsidR="00F67813">
        <w:rPr>
          <w:szCs w:val="24"/>
        </w:rPr>
        <w:t>t</w:t>
      </w:r>
      <w:r w:rsidR="00AB572A">
        <w:rPr>
          <w:szCs w:val="24"/>
        </w:rPr>
        <w:t xml:space="preserve">rimming </w:t>
      </w:r>
      <w:r w:rsidR="00F67813">
        <w:rPr>
          <w:szCs w:val="24"/>
        </w:rPr>
        <w:t>c</w:t>
      </w:r>
      <w:r w:rsidR="00AB572A">
        <w:rPr>
          <w:szCs w:val="24"/>
        </w:rPr>
        <w:t>harge</w:t>
      </w:r>
      <w:r w:rsidR="0004389B">
        <w:rPr>
          <w:szCs w:val="24"/>
        </w:rPr>
        <w:t xml:space="preserve"> for an additional three years, t</w:t>
      </w:r>
      <w:r>
        <w:rPr>
          <w:szCs w:val="24"/>
        </w:rPr>
        <w:t>hrough 2018.</w:t>
      </w:r>
      <w:r w:rsidR="00AB176E">
        <w:rPr>
          <w:szCs w:val="24"/>
        </w:rPr>
        <w:t xml:space="preserve"> </w:t>
      </w:r>
      <w:r>
        <w:rPr>
          <w:szCs w:val="24"/>
        </w:rPr>
        <w:t xml:space="preserve">The PUCO approved the extension, noting that the </w:t>
      </w:r>
      <w:r w:rsidR="00B87CF5">
        <w:rPr>
          <w:szCs w:val="24"/>
        </w:rPr>
        <w:t xml:space="preserve">charge </w:t>
      </w:r>
      <w:r>
        <w:rPr>
          <w:szCs w:val="24"/>
        </w:rPr>
        <w:t>would be based on prudently incurred costs and subject to PUCO review and reconciliation annually.</w:t>
      </w:r>
      <w:r>
        <w:rPr>
          <w:rStyle w:val="FootnoteReference"/>
          <w:szCs w:val="24"/>
        </w:rPr>
        <w:footnoteReference w:id="8"/>
      </w:r>
      <w:r w:rsidR="00AB176E">
        <w:rPr>
          <w:szCs w:val="24"/>
        </w:rPr>
        <w:t xml:space="preserve"> </w:t>
      </w:r>
      <w:r>
        <w:rPr>
          <w:szCs w:val="24"/>
        </w:rPr>
        <w:t>In AEP Ohio</w:t>
      </w:r>
      <w:r w:rsidR="00AB176E">
        <w:rPr>
          <w:szCs w:val="24"/>
        </w:rPr>
        <w:t>’</w:t>
      </w:r>
      <w:r>
        <w:rPr>
          <w:szCs w:val="24"/>
        </w:rPr>
        <w:t>s most recent</w:t>
      </w:r>
      <w:r w:rsidR="00B87CF5">
        <w:rPr>
          <w:szCs w:val="24"/>
        </w:rPr>
        <w:t xml:space="preserve"> electric plan</w:t>
      </w:r>
      <w:r>
        <w:rPr>
          <w:szCs w:val="24"/>
        </w:rPr>
        <w:t xml:space="preserve">, the PUCO approved the </w:t>
      </w:r>
      <w:r w:rsidR="00174784">
        <w:rPr>
          <w:szCs w:val="24"/>
        </w:rPr>
        <w:t xml:space="preserve">charge </w:t>
      </w:r>
      <w:r>
        <w:rPr>
          <w:szCs w:val="24"/>
        </w:rPr>
        <w:t xml:space="preserve">again, stating that it “continues to find significant benefit in proactive, cycle-based, end-to-end vegetation management along the </w:t>
      </w:r>
      <w:r>
        <w:rPr>
          <w:szCs w:val="24"/>
        </w:rPr>
        <w:t>Company</w:t>
      </w:r>
      <w:r w:rsidR="00AB176E">
        <w:rPr>
          <w:szCs w:val="24"/>
        </w:rPr>
        <w:t>’</w:t>
      </w:r>
      <w:r>
        <w:rPr>
          <w:szCs w:val="24"/>
        </w:rPr>
        <w:t xml:space="preserve">s </w:t>
      </w:r>
      <w:r>
        <w:rPr>
          <w:szCs w:val="24"/>
        </w:rPr>
        <w:t>circuits and rights of way as an effective means of reducing and preventing outages and service interruptions caused by vegetation.</w:t>
      </w:r>
      <w:r w:rsidR="00174784">
        <w:rPr>
          <w:szCs w:val="24"/>
        </w:rPr>
        <w:t>”</w:t>
      </w:r>
      <w:r>
        <w:rPr>
          <w:rStyle w:val="FootnoteReference"/>
          <w:szCs w:val="24"/>
        </w:rPr>
        <w:footnoteReference w:id="9"/>
      </w:r>
      <w:r w:rsidR="00AB176E">
        <w:rPr>
          <w:szCs w:val="24"/>
        </w:rPr>
        <w:t xml:space="preserve"> </w:t>
      </w:r>
      <w:r>
        <w:rPr>
          <w:szCs w:val="24"/>
        </w:rPr>
        <w:t xml:space="preserve">The </w:t>
      </w:r>
      <w:r w:rsidR="00174784">
        <w:rPr>
          <w:szCs w:val="24"/>
        </w:rPr>
        <w:t xml:space="preserve">PUCO went on to say that </w:t>
      </w:r>
      <w:r>
        <w:rPr>
          <w:szCs w:val="24"/>
        </w:rPr>
        <w:t xml:space="preserve">continuation of the </w:t>
      </w:r>
      <w:r w:rsidR="00174784">
        <w:rPr>
          <w:szCs w:val="24"/>
        </w:rPr>
        <w:t xml:space="preserve">charge </w:t>
      </w:r>
      <w:r>
        <w:rPr>
          <w:szCs w:val="24"/>
        </w:rPr>
        <w:t xml:space="preserve">and the cost of the program will be considered as part of </w:t>
      </w:r>
      <w:r w:rsidR="00174784">
        <w:rPr>
          <w:szCs w:val="24"/>
        </w:rPr>
        <w:t xml:space="preserve">AEP Ohio </w:t>
      </w:r>
      <w:r>
        <w:rPr>
          <w:szCs w:val="24"/>
        </w:rPr>
        <w:t xml:space="preserve">base rate case expected to be filed by June 1, 2020, and if no base rate case is filed, the </w:t>
      </w:r>
      <w:r w:rsidR="00174784">
        <w:rPr>
          <w:szCs w:val="24"/>
        </w:rPr>
        <w:t xml:space="preserve">charge </w:t>
      </w:r>
      <w:r>
        <w:rPr>
          <w:szCs w:val="24"/>
        </w:rPr>
        <w:t xml:space="preserve">will </w:t>
      </w:r>
      <w:r w:rsidR="00174784">
        <w:rPr>
          <w:szCs w:val="24"/>
        </w:rPr>
        <w:t xml:space="preserve">end </w:t>
      </w:r>
      <w:r>
        <w:rPr>
          <w:szCs w:val="24"/>
        </w:rPr>
        <w:t>effective December 31, 2020.”</w:t>
      </w:r>
      <w:r>
        <w:rPr>
          <w:rStyle w:val="FootnoteReference"/>
          <w:szCs w:val="24"/>
        </w:rPr>
        <w:footnoteReference w:id="10"/>
      </w:r>
      <w:r>
        <w:rPr>
          <w:szCs w:val="24"/>
        </w:rPr>
        <w:t xml:space="preserve"> </w:t>
      </w:r>
    </w:p>
    <w:p w:rsidR="00C364B6" w:rsidP="005E2783" w14:paraId="0DEDA52D" w14:textId="64B562AE">
      <w:pPr>
        <w:spacing w:line="480" w:lineRule="auto"/>
        <w:ind w:firstLine="720"/>
        <w:rPr>
          <w:szCs w:val="24"/>
        </w:rPr>
      </w:pPr>
      <w:r>
        <w:rPr>
          <w:szCs w:val="24"/>
        </w:rPr>
        <w:t>A</w:t>
      </w:r>
      <w:r w:rsidR="00E261DF">
        <w:rPr>
          <w:szCs w:val="24"/>
        </w:rPr>
        <w:t>ll told, the</w:t>
      </w:r>
      <w:r w:rsidR="00CD39B1">
        <w:rPr>
          <w:szCs w:val="24"/>
        </w:rPr>
        <w:t xml:space="preserve"> rider, which was </w:t>
      </w:r>
      <w:r w:rsidR="00AB572A">
        <w:rPr>
          <w:szCs w:val="24"/>
        </w:rPr>
        <w:t xml:space="preserve">originally </w:t>
      </w:r>
      <w:r w:rsidR="00CD39B1">
        <w:rPr>
          <w:szCs w:val="24"/>
        </w:rPr>
        <w:t xml:space="preserve">intended </w:t>
      </w:r>
      <w:r w:rsidR="00AB572A">
        <w:rPr>
          <w:szCs w:val="24"/>
        </w:rPr>
        <w:t>(in</w:t>
      </w:r>
      <w:r w:rsidR="00B87CF5">
        <w:rPr>
          <w:szCs w:val="24"/>
        </w:rPr>
        <w:t xml:space="preserve"> 2008</w:t>
      </w:r>
      <w:r w:rsidR="00AB572A">
        <w:rPr>
          <w:szCs w:val="24"/>
        </w:rPr>
        <w:t xml:space="preserve">) </w:t>
      </w:r>
      <w:r w:rsidR="00CD39B1">
        <w:rPr>
          <w:szCs w:val="24"/>
        </w:rPr>
        <w:t>to be for</w:t>
      </w:r>
      <w:r w:rsidR="00E261DF">
        <w:rPr>
          <w:szCs w:val="24"/>
        </w:rPr>
        <w:t xml:space="preserve"> </w:t>
      </w:r>
      <w:r w:rsidR="002D3955">
        <w:rPr>
          <w:szCs w:val="24"/>
        </w:rPr>
        <w:t xml:space="preserve">a </w:t>
      </w:r>
      <w:r w:rsidR="00E261DF">
        <w:rPr>
          <w:szCs w:val="24"/>
        </w:rPr>
        <w:t>five</w:t>
      </w:r>
      <w:r w:rsidR="0058302B">
        <w:rPr>
          <w:szCs w:val="24"/>
        </w:rPr>
        <w:t>-</w:t>
      </w:r>
      <w:r w:rsidR="00E261DF">
        <w:rPr>
          <w:szCs w:val="24"/>
        </w:rPr>
        <w:t>year transition to a four</w:t>
      </w:r>
      <w:r w:rsidR="0058302B">
        <w:rPr>
          <w:szCs w:val="24"/>
        </w:rPr>
        <w:t>-</w:t>
      </w:r>
      <w:r w:rsidR="00E261DF">
        <w:rPr>
          <w:szCs w:val="24"/>
        </w:rPr>
        <w:t xml:space="preserve">year tree trimming cycle </w:t>
      </w:r>
      <w:r w:rsidR="00E85399">
        <w:rPr>
          <w:szCs w:val="24"/>
        </w:rPr>
        <w:t xml:space="preserve">(where </w:t>
      </w:r>
      <w:r w:rsidR="00174784">
        <w:rPr>
          <w:szCs w:val="24"/>
        </w:rPr>
        <w:t xml:space="preserve">trees </w:t>
      </w:r>
      <w:r w:rsidR="00E85399">
        <w:rPr>
          <w:szCs w:val="24"/>
        </w:rPr>
        <w:t xml:space="preserve">along an entire circuit from beginning to end </w:t>
      </w:r>
      <w:r w:rsidR="00174784">
        <w:rPr>
          <w:szCs w:val="24"/>
        </w:rPr>
        <w:t>are addressed</w:t>
      </w:r>
      <w:r w:rsidR="00E85399">
        <w:rPr>
          <w:szCs w:val="24"/>
        </w:rPr>
        <w:t xml:space="preserve">) </w:t>
      </w:r>
      <w:r w:rsidR="00E261DF">
        <w:rPr>
          <w:szCs w:val="24"/>
        </w:rPr>
        <w:t xml:space="preserve">has </w:t>
      </w:r>
      <w:r w:rsidR="00CD39B1">
        <w:rPr>
          <w:szCs w:val="24"/>
        </w:rPr>
        <w:t>been in place</w:t>
      </w:r>
      <w:r w:rsidR="00E261DF">
        <w:rPr>
          <w:szCs w:val="24"/>
        </w:rPr>
        <w:t xml:space="preserve"> </w:t>
      </w:r>
      <w:r w:rsidR="0058302B">
        <w:rPr>
          <w:szCs w:val="24"/>
        </w:rPr>
        <w:t xml:space="preserve">more than </w:t>
      </w:r>
      <w:r w:rsidR="00E261DF">
        <w:rPr>
          <w:szCs w:val="24"/>
        </w:rPr>
        <w:t>twice as long –</w:t>
      </w:r>
      <w:r w:rsidR="002E1BCC">
        <w:rPr>
          <w:szCs w:val="24"/>
        </w:rPr>
        <w:t xml:space="preserve"> </w:t>
      </w:r>
      <w:r w:rsidR="00EF784D">
        <w:rPr>
          <w:szCs w:val="24"/>
        </w:rPr>
        <w:t xml:space="preserve">11 </w:t>
      </w:r>
      <w:r w:rsidR="00E261DF">
        <w:rPr>
          <w:szCs w:val="24"/>
        </w:rPr>
        <w:t>years.</w:t>
      </w:r>
      <w:r w:rsidR="00AB176E">
        <w:rPr>
          <w:szCs w:val="24"/>
        </w:rPr>
        <w:t xml:space="preserve"> </w:t>
      </w:r>
      <w:r w:rsidR="005E2783">
        <w:rPr>
          <w:szCs w:val="24"/>
        </w:rPr>
        <w:t xml:space="preserve">The history of the </w:t>
      </w:r>
      <w:r w:rsidR="00174784">
        <w:rPr>
          <w:szCs w:val="24"/>
        </w:rPr>
        <w:t xml:space="preserve">charge </w:t>
      </w:r>
      <w:r w:rsidR="005E2783">
        <w:rPr>
          <w:szCs w:val="24"/>
        </w:rPr>
        <w:t xml:space="preserve">demonstrates </w:t>
      </w:r>
      <w:r w:rsidR="002E0D81">
        <w:rPr>
          <w:szCs w:val="24"/>
        </w:rPr>
        <w:t xml:space="preserve">how a </w:t>
      </w:r>
      <w:r w:rsidR="00CD39B1">
        <w:rPr>
          <w:szCs w:val="24"/>
        </w:rPr>
        <w:t xml:space="preserve">temporary </w:t>
      </w:r>
      <w:r w:rsidR="002E0D81">
        <w:rPr>
          <w:szCs w:val="24"/>
        </w:rPr>
        <w:t xml:space="preserve">charge to customers for tree trimming became </w:t>
      </w:r>
      <w:r w:rsidR="0004389B">
        <w:rPr>
          <w:szCs w:val="24"/>
        </w:rPr>
        <w:t>a permanent source of revenues</w:t>
      </w:r>
      <w:r w:rsidR="00E261DF">
        <w:rPr>
          <w:szCs w:val="24"/>
        </w:rPr>
        <w:t xml:space="preserve"> (for </w:t>
      </w:r>
      <w:r w:rsidR="00EF784D">
        <w:rPr>
          <w:szCs w:val="24"/>
        </w:rPr>
        <w:t xml:space="preserve">11 </w:t>
      </w:r>
      <w:r w:rsidR="00E261DF">
        <w:rPr>
          <w:szCs w:val="24"/>
        </w:rPr>
        <w:t>years)</w:t>
      </w:r>
      <w:r w:rsidR="002E0D81">
        <w:rPr>
          <w:szCs w:val="24"/>
        </w:rPr>
        <w:t xml:space="preserve"> for AEP </w:t>
      </w:r>
      <w:r w:rsidR="00B87CF5">
        <w:rPr>
          <w:szCs w:val="24"/>
        </w:rPr>
        <w:t xml:space="preserve">Ohio </w:t>
      </w:r>
      <w:r w:rsidR="002E0D81">
        <w:rPr>
          <w:szCs w:val="24"/>
        </w:rPr>
        <w:t>(at customers</w:t>
      </w:r>
      <w:r w:rsidR="00AB176E">
        <w:rPr>
          <w:szCs w:val="24"/>
        </w:rPr>
        <w:t>’</w:t>
      </w:r>
      <w:r w:rsidR="002E0D81">
        <w:rPr>
          <w:szCs w:val="24"/>
        </w:rPr>
        <w:t xml:space="preserve"> expense).</w:t>
      </w:r>
      <w:r w:rsidR="00AB176E">
        <w:rPr>
          <w:szCs w:val="24"/>
        </w:rPr>
        <w:t xml:space="preserve"> </w:t>
      </w:r>
    </w:p>
    <w:p w:rsidR="005E2783" w:rsidP="005E2783" w14:paraId="1D648CB5" w14:textId="2ACAFDF4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As demonstrated in this case, </w:t>
      </w:r>
      <w:r w:rsidR="0004389B">
        <w:rPr>
          <w:szCs w:val="24"/>
        </w:rPr>
        <w:t>this single</w:t>
      </w:r>
      <w:r w:rsidR="00E85399">
        <w:rPr>
          <w:szCs w:val="24"/>
        </w:rPr>
        <w:t>-</w:t>
      </w:r>
      <w:r w:rsidR="0004389B">
        <w:rPr>
          <w:szCs w:val="24"/>
        </w:rPr>
        <w:t>issue ratemaking</w:t>
      </w:r>
      <w:r>
        <w:rPr>
          <w:szCs w:val="24"/>
        </w:rPr>
        <w:t xml:space="preserve"> has now morphed into</w:t>
      </w:r>
      <w:r w:rsidR="00F27BAC">
        <w:rPr>
          <w:szCs w:val="24"/>
        </w:rPr>
        <w:t xml:space="preserve"> permanent rate increases </w:t>
      </w:r>
      <w:r w:rsidR="00AB572A">
        <w:rPr>
          <w:szCs w:val="24"/>
        </w:rPr>
        <w:t>paid by</w:t>
      </w:r>
      <w:r w:rsidR="00F27BAC">
        <w:rPr>
          <w:szCs w:val="24"/>
        </w:rPr>
        <w:t xml:space="preserve"> customers, </w:t>
      </w:r>
      <w:r w:rsidR="00E261DF">
        <w:rPr>
          <w:szCs w:val="24"/>
        </w:rPr>
        <w:t>allowing seemingly</w:t>
      </w:r>
      <w:r>
        <w:rPr>
          <w:szCs w:val="24"/>
        </w:rPr>
        <w:t xml:space="preserve"> uncontrolled spending by AEP Ohio</w:t>
      </w:r>
      <w:r w:rsidR="0004389B">
        <w:rPr>
          <w:szCs w:val="24"/>
        </w:rPr>
        <w:t xml:space="preserve">. </w:t>
      </w:r>
      <w:r w:rsidR="000E1261">
        <w:rPr>
          <w:szCs w:val="24"/>
        </w:rPr>
        <w:t xml:space="preserve">And the reasons for the </w:t>
      </w:r>
      <w:r w:rsidR="00AB572A">
        <w:rPr>
          <w:szCs w:val="24"/>
        </w:rPr>
        <w:t>charge</w:t>
      </w:r>
      <w:r w:rsidR="000E1261">
        <w:rPr>
          <w:szCs w:val="24"/>
        </w:rPr>
        <w:t xml:space="preserve"> have seemingly changed from </w:t>
      </w:r>
      <w:r w:rsidR="002E1BCC">
        <w:rPr>
          <w:szCs w:val="24"/>
        </w:rPr>
        <w:t xml:space="preserve">a </w:t>
      </w:r>
      <w:r w:rsidR="000E1261">
        <w:rPr>
          <w:szCs w:val="24"/>
        </w:rPr>
        <w:t>transition</w:t>
      </w:r>
      <w:r w:rsidR="002E1BCC">
        <w:rPr>
          <w:szCs w:val="24"/>
        </w:rPr>
        <w:t>al charge</w:t>
      </w:r>
      <w:r w:rsidR="000E1261">
        <w:rPr>
          <w:szCs w:val="24"/>
        </w:rPr>
        <w:t xml:space="preserve"> to an “effective means of reducing and preventing outages and service interruptions caused by vegetation.”</w:t>
      </w:r>
      <w:r>
        <w:rPr>
          <w:rStyle w:val="FootnoteReference"/>
          <w:szCs w:val="24"/>
        </w:rPr>
        <w:footnoteReference w:id="11"/>
      </w:r>
      <w:r w:rsidR="00AB176E">
        <w:rPr>
          <w:szCs w:val="24"/>
        </w:rPr>
        <w:t xml:space="preserve"> </w:t>
      </w:r>
      <w:r w:rsidR="002E1BCC">
        <w:rPr>
          <w:szCs w:val="24"/>
        </w:rPr>
        <w:t>This type of spending should already be included in base rates</w:t>
      </w:r>
      <w:r w:rsidR="002E0D81">
        <w:rPr>
          <w:szCs w:val="24"/>
        </w:rPr>
        <w:t xml:space="preserve"> (and is).</w:t>
      </w:r>
      <w:r w:rsidR="00AB176E">
        <w:rPr>
          <w:szCs w:val="24"/>
        </w:rPr>
        <w:t xml:space="preserve"> </w:t>
      </w:r>
      <w:r w:rsidR="002E1BCC">
        <w:rPr>
          <w:szCs w:val="24"/>
        </w:rPr>
        <w:t>And u</w:t>
      </w:r>
      <w:r w:rsidR="00EE7054">
        <w:rPr>
          <w:szCs w:val="24"/>
        </w:rPr>
        <w:t>nfortunately for consumers,</w:t>
      </w:r>
      <w:r>
        <w:rPr>
          <w:szCs w:val="24"/>
        </w:rPr>
        <w:t xml:space="preserve"> </w:t>
      </w:r>
      <w:r w:rsidR="00E13EE3">
        <w:rPr>
          <w:szCs w:val="24"/>
        </w:rPr>
        <w:t>AEP Ohio</w:t>
      </w:r>
      <w:r w:rsidR="00AB176E">
        <w:rPr>
          <w:szCs w:val="24"/>
        </w:rPr>
        <w:t>’</w:t>
      </w:r>
      <w:r w:rsidR="00E13EE3">
        <w:rPr>
          <w:szCs w:val="24"/>
        </w:rPr>
        <w:t xml:space="preserve">s </w:t>
      </w:r>
      <w:r w:rsidR="0004389B">
        <w:rPr>
          <w:szCs w:val="24"/>
        </w:rPr>
        <w:t xml:space="preserve">spending </w:t>
      </w:r>
      <w:r w:rsidR="002E1BCC">
        <w:rPr>
          <w:szCs w:val="24"/>
        </w:rPr>
        <w:t xml:space="preserve">through the </w:t>
      </w:r>
      <w:r w:rsidR="00E13EE3">
        <w:rPr>
          <w:szCs w:val="24"/>
        </w:rPr>
        <w:t xml:space="preserve">charge </w:t>
      </w:r>
      <w:r>
        <w:rPr>
          <w:szCs w:val="24"/>
        </w:rPr>
        <w:t>is having little, if any, impact on improving customer reliability</w:t>
      </w:r>
      <w:r w:rsidR="0058302B">
        <w:rPr>
          <w:szCs w:val="24"/>
        </w:rPr>
        <w:t xml:space="preserve">, as </w:t>
      </w:r>
      <w:r w:rsidR="000F74EB">
        <w:rPr>
          <w:szCs w:val="24"/>
        </w:rPr>
        <w:t xml:space="preserve">has been </w:t>
      </w:r>
      <w:r w:rsidR="0058302B">
        <w:rPr>
          <w:szCs w:val="24"/>
        </w:rPr>
        <w:t>explained further by OCC</w:t>
      </w:r>
      <w:r w:rsidR="00AB176E">
        <w:rPr>
          <w:szCs w:val="24"/>
        </w:rPr>
        <w:t>’</w:t>
      </w:r>
      <w:r w:rsidR="0058302B">
        <w:rPr>
          <w:szCs w:val="24"/>
        </w:rPr>
        <w:t>s witness James Williams</w:t>
      </w:r>
      <w:r w:rsidR="000F74EB">
        <w:rPr>
          <w:szCs w:val="24"/>
        </w:rPr>
        <w:t xml:space="preserve"> in the prior ESRR case</w:t>
      </w:r>
      <w:r w:rsidR="00C364B6">
        <w:rPr>
          <w:szCs w:val="24"/>
        </w:rPr>
        <w:t>.</w:t>
      </w:r>
      <w:r>
        <w:rPr>
          <w:rStyle w:val="FootnoteReference"/>
          <w:szCs w:val="24"/>
        </w:rPr>
        <w:footnoteReference w:id="12"/>
      </w:r>
      <w:r w:rsidR="00AB176E">
        <w:rPr>
          <w:szCs w:val="24"/>
        </w:rPr>
        <w:t xml:space="preserve"> </w:t>
      </w:r>
    </w:p>
    <w:p w:rsidR="005E2783" w:rsidRPr="005E2783" w:rsidP="00F429C7" w14:paraId="3576AF75" w14:textId="1C9C30E6">
      <w:pPr>
        <w:pStyle w:val="Heading1"/>
      </w:pPr>
      <w:bookmarkStart w:id="4" w:name="_Toc19287248"/>
      <w:r>
        <w:t>II.</w:t>
      </w:r>
      <w:r>
        <w:tab/>
        <w:t>COMMENTS</w:t>
      </w:r>
      <w:bookmarkEnd w:id="4"/>
    </w:p>
    <w:p w:rsidR="005E2783" w:rsidRPr="00FB43B3" w:rsidP="00C364B6" w14:paraId="2535DBB8" w14:textId="61078D58">
      <w:pPr>
        <w:pStyle w:val="Heading2"/>
      </w:pPr>
      <w:bookmarkStart w:id="5" w:name="_Toc19287249"/>
      <w:r>
        <w:t>The</w:t>
      </w:r>
      <w:r w:rsidRPr="00FB43B3">
        <w:t xml:space="preserve"> PUCO should not permit AEP Ohio to </w:t>
      </w:r>
      <w:r w:rsidR="00F21A4F">
        <w:t>charge customers</w:t>
      </w:r>
      <w:r w:rsidR="002F7CFC">
        <w:t xml:space="preserve"> </w:t>
      </w:r>
      <w:r w:rsidR="002E1BCC">
        <w:t xml:space="preserve">the </w:t>
      </w:r>
      <w:r w:rsidRPr="00FB43B3">
        <w:t>$</w:t>
      </w:r>
      <w:r w:rsidR="00967323">
        <w:t>9,131,240</w:t>
      </w:r>
      <w:r w:rsidRPr="00FB43B3">
        <w:t xml:space="preserve"> that it overspent on </w:t>
      </w:r>
      <w:r w:rsidR="00AB572A">
        <w:t>tree trimming</w:t>
      </w:r>
      <w:r w:rsidR="002F7CFC">
        <w:t xml:space="preserve"> </w:t>
      </w:r>
      <w:r w:rsidRPr="00FB43B3">
        <w:t>in 201</w:t>
      </w:r>
      <w:r w:rsidR="00967323">
        <w:t>7</w:t>
      </w:r>
      <w:r w:rsidRPr="00FB43B3">
        <w:t>.</w:t>
      </w:r>
      <w:bookmarkEnd w:id="5"/>
    </w:p>
    <w:p w:rsidR="002E1BCC" w:rsidP="005E2783" w14:paraId="613FE607" w14:textId="7CA6F2A9">
      <w:pPr>
        <w:spacing w:line="480" w:lineRule="auto"/>
        <w:ind w:firstLine="720"/>
        <w:rPr>
          <w:szCs w:val="24"/>
        </w:rPr>
      </w:pPr>
      <w:r w:rsidRPr="00D44EF2">
        <w:rPr>
          <w:szCs w:val="24"/>
        </w:rPr>
        <w:t>During AEP Ohio</w:t>
      </w:r>
      <w:r w:rsidR="00AB176E">
        <w:rPr>
          <w:szCs w:val="24"/>
        </w:rPr>
        <w:t>’</w:t>
      </w:r>
      <w:r>
        <w:rPr>
          <w:szCs w:val="24"/>
        </w:rPr>
        <w:t xml:space="preserve">s </w:t>
      </w:r>
      <w:r w:rsidR="00FC1B55">
        <w:rPr>
          <w:szCs w:val="24"/>
        </w:rPr>
        <w:t>fourth</w:t>
      </w:r>
      <w:r w:rsidR="00030B61">
        <w:rPr>
          <w:szCs w:val="24"/>
        </w:rPr>
        <w:t xml:space="preserve"> electric plan</w:t>
      </w:r>
      <w:r w:rsidRPr="00D44EF2">
        <w:rPr>
          <w:szCs w:val="24"/>
        </w:rPr>
        <w:t xml:space="preserve">, </w:t>
      </w:r>
      <w:r w:rsidR="007B0122">
        <w:rPr>
          <w:szCs w:val="24"/>
        </w:rPr>
        <w:t>despite OCC</w:t>
      </w:r>
      <w:r w:rsidR="00AB176E">
        <w:rPr>
          <w:szCs w:val="24"/>
        </w:rPr>
        <w:t>’</w:t>
      </w:r>
      <w:r w:rsidR="007B0122">
        <w:rPr>
          <w:szCs w:val="24"/>
        </w:rPr>
        <w:t xml:space="preserve">s objections </w:t>
      </w:r>
      <w:r w:rsidRPr="00D44EF2">
        <w:rPr>
          <w:szCs w:val="24"/>
        </w:rPr>
        <w:t>the PUCO approved AEP Ohio</w:t>
      </w:r>
      <w:r w:rsidR="00AB176E">
        <w:rPr>
          <w:szCs w:val="24"/>
        </w:rPr>
        <w:t>’</w:t>
      </w:r>
      <w:r w:rsidRPr="00D44EF2">
        <w:rPr>
          <w:szCs w:val="24"/>
        </w:rPr>
        <w:t xml:space="preserve">s request </w:t>
      </w:r>
      <w:r w:rsidR="002F7CFC">
        <w:rPr>
          <w:szCs w:val="24"/>
        </w:rPr>
        <w:t xml:space="preserve">for additional customer </w:t>
      </w:r>
      <w:r w:rsidRPr="00D44EF2">
        <w:rPr>
          <w:szCs w:val="24"/>
        </w:rPr>
        <w:t xml:space="preserve">funding </w:t>
      </w:r>
      <w:r w:rsidR="001670E0">
        <w:rPr>
          <w:szCs w:val="24"/>
        </w:rPr>
        <w:t xml:space="preserve">for the ESRR </w:t>
      </w:r>
      <w:r w:rsidR="002F7CFC">
        <w:rPr>
          <w:szCs w:val="24"/>
        </w:rPr>
        <w:t>of</w:t>
      </w:r>
      <w:r w:rsidRPr="00D44EF2">
        <w:rPr>
          <w:szCs w:val="24"/>
        </w:rPr>
        <w:t xml:space="preserve"> $2</w:t>
      </w:r>
      <w:r w:rsidR="00FC1B55">
        <w:rPr>
          <w:szCs w:val="24"/>
        </w:rPr>
        <w:t xml:space="preserve">7.6 million </w:t>
      </w:r>
      <w:r w:rsidRPr="00D44EF2">
        <w:rPr>
          <w:szCs w:val="24"/>
        </w:rPr>
        <w:t xml:space="preserve">annually in O&amp;M </w:t>
      </w:r>
      <w:r w:rsidR="00FC1B55">
        <w:rPr>
          <w:szCs w:val="24"/>
        </w:rPr>
        <w:t>and</w:t>
      </w:r>
      <w:r w:rsidRPr="00D44EF2">
        <w:rPr>
          <w:szCs w:val="24"/>
        </w:rPr>
        <w:t xml:space="preserve"> capital costs.</w:t>
      </w:r>
      <w:r>
        <w:rPr>
          <w:rStyle w:val="FootnoteReference"/>
          <w:szCs w:val="24"/>
        </w:rPr>
        <w:footnoteReference w:id="13"/>
      </w:r>
      <w:r w:rsidR="00AB176E">
        <w:rPr>
          <w:szCs w:val="24"/>
        </w:rPr>
        <w:t xml:space="preserve"> </w:t>
      </w:r>
      <w:r w:rsidR="001670E0">
        <w:rPr>
          <w:szCs w:val="24"/>
        </w:rPr>
        <w:t xml:space="preserve"> </w:t>
      </w:r>
      <w:r>
        <w:rPr>
          <w:szCs w:val="24"/>
        </w:rPr>
        <w:t>But</w:t>
      </w:r>
      <w:r w:rsidR="002F7CFC">
        <w:rPr>
          <w:szCs w:val="24"/>
        </w:rPr>
        <w:t xml:space="preserve"> instead of </w:t>
      </w:r>
      <w:r w:rsidR="002E0D81">
        <w:rPr>
          <w:szCs w:val="24"/>
        </w:rPr>
        <w:t xml:space="preserve">complying with the PUCO-ordered </w:t>
      </w:r>
      <w:r w:rsidR="002F7CFC">
        <w:rPr>
          <w:szCs w:val="24"/>
        </w:rPr>
        <w:t xml:space="preserve">limits, </w:t>
      </w:r>
      <w:r>
        <w:rPr>
          <w:szCs w:val="24"/>
        </w:rPr>
        <w:t xml:space="preserve">AEP Ohio </w:t>
      </w:r>
      <w:r w:rsidR="00F27BAC">
        <w:rPr>
          <w:szCs w:val="24"/>
        </w:rPr>
        <w:t xml:space="preserve">seeks to charge </w:t>
      </w:r>
      <w:r w:rsidR="00030B61">
        <w:rPr>
          <w:szCs w:val="24"/>
        </w:rPr>
        <w:t xml:space="preserve">Ohioans </w:t>
      </w:r>
      <w:r>
        <w:rPr>
          <w:szCs w:val="24"/>
        </w:rPr>
        <w:t>$</w:t>
      </w:r>
      <w:r w:rsidR="00A277FB">
        <w:rPr>
          <w:szCs w:val="24"/>
        </w:rPr>
        <w:t>9,131,240</w:t>
      </w:r>
      <w:r w:rsidR="002E0D81">
        <w:rPr>
          <w:szCs w:val="24"/>
        </w:rPr>
        <w:t xml:space="preserve"> more</w:t>
      </w:r>
      <w:r>
        <w:rPr>
          <w:szCs w:val="24"/>
        </w:rPr>
        <w:t>.</w:t>
      </w:r>
      <w:r w:rsidR="00AB176E">
        <w:rPr>
          <w:szCs w:val="24"/>
        </w:rPr>
        <w:t xml:space="preserve"> </w:t>
      </w:r>
    </w:p>
    <w:p w:rsidR="005E2783" w:rsidRPr="00D44EF2" w:rsidP="005E2783" w14:paraId="1E3AEEDF" w14:textId="066019C2">
      <w:pPr>
        <w:spacing w:line="480" w:lineRule="auto"/>
        <w:ind w:firstLine="720"/>
        <w:rPr>
          <w:szCs w:val="24"/>
        </w:rPr>
      </w:pPr>
      <w:r w:rsidRPr="00D44EF2">
        <w:rPr>
          <w:szCs w:val="24"/>
        </w:rPr>
        <w:t xml:space="preserve">AEP Ohio must be </w:t>
      </w:r>
      <w:r>
        <w:rPr>
          <w:szCs w:val="24"/>
        </w:rPr>
        <w:t xml:space="preserve">held responsible and </w:t>
      </w:r>
      <w:r w:rsidRPr="00D44EF2">
        <w:rPr>
          <w:szCs w:val="24"/>
        </w:rPr>
        <w:t xml:space="preserve">accountable for managing </w:t>
      </w:r>
      <w:r>
        <w:rPr>
          <w:szCs w:val="24"/>
        </w:rPr>
        <w:t xml:space="preserve">within </w:t>
      </w:r>
      <w:r w:rsidRPr="00D44EF2">
        <w:rPr>
          <w:szCs w:val="24"/>
        </w:rPr>
        <w:t xml:space="preserve">its </w:t>
      </w:r>
      <w:r w:rsidR="008338B7">
        <w:rPr>
          <w:szCs w:val="24"/>
        </w:rPr>
        <w:t xml:space="preserve">PUCO-approved </w:t>
      </w:r>
      <w:r w:rsidR="00AB572A">
        <w:rPr>
          <w:szCs w:val="24"/>
        </w:rPr>
        <w:t>authorized spending levels</w:t>
      </w:r>
      <w:r w:rsidR="005C6ED8">
        <w:rPr>
          <w:szCs w:val="24"/>
        </w:rPr>
        <w:t>.</w:t>
      </w:r>
      <w:r w:rsidR="00AB176E">
        <w:rPr>
          <w:szCs w:val="24"/>
        </w:rPr>
        <w:t xml:space="preserve"> </w:t>
      </w:r>
      <w:r w:rsidR="008338B7">
        <w:rPr>
          <w:szCs w:val="24"/>
        </w:rPr>
        <w:t>The PUCO should not approve u</w:t>
      </w:r>
      <w:r>
        <w:rPr>
          <w:szCs w:val="24"/>
        </w:rPr>
        <w:t xml:space="preserve">ncontrolled </w:t>
      </w:r>
      <w:r w:rsidRPr="00D44EF2">
        <w:rPr>
          <w:szCs w:val="24"/>
        </w:rPr>
        <w:t xml:space="preserve">ESRR </w:t>
      </w:r>
      <w:r>
        <w:rPr>
          <w:szCs w:val="24"/>
        </w:rPr>
        <w:t xml:space="preserve">spending. </w:t>
      </w:r>
    </w:p>
    <w:p w:rsidR="005E2783" w:rsidRPr="00FB43B3" w:rsidP="00C364B6" w14:paraId="55EAB05C" w14:textId="544B5D55">
      <w:pPr>
        <w:pStyle w:val="Heading2"/>
      </w:pPr>
      <w:bookmarkStart w:id="7" w:name="_Toc19287250"/>
      <w:r w:rsidRPr="00FB43B3">
        <w:t>The PUCO should find that AEP Ohio</w:t>
      </w:r>
      <w:r w:rsidR="00AB176E">
        <w:t>’</w:t>
      </w:r>
      <w:r w:rsidRPr="00FB43B3">
        <w:t xml:space="preserve">s management of </w:t>
      </w:r>
      <w:r w:rsidR="008A089C">
        <w:t>its</w:t>
      </w:r>
      <w:r w:rsidRPr="00FB43B3">
        <w:t xml:space="preserve"> </w:t>
      </w:r>
      <w:r w:rsidR="001670E0">
        <w:t>t</w:t>
      </w:r>
      <w:r w:rsidR="00AB572A">
        <w:t xml:space="preserve">ree </w:t>
      </w:r>
      <w:r w:rsidR="001670E0">
        <w:t>t</w:t>
      </w:r>
      <w:r w:rsidR="00AB572A">
        <w:t>rimming program</w:t>
      </w:r>
      <w:r w:rsidRPr="00FB43B3">
        <w:t xml:space="preserve"> is imprudent because </w:t>
      </w:r>
      <w:r>
        <w:t>it</w:t>
      </w:r>
      <w:r w:rsidRPr="00FB43B3">
        <w:t xml:space="preserve"> is not </w:t>
      </w:r>
      <w:r w:rsidR="00AB572A">
        <w:t>completing this work system-wide</w:t>
      </w:r>
      <w:r w:rsidRPr="00FB43B3">
        <w:t xml:space="preserve"> on the four-year cycle as required.</w:t>
      </w:r>
      <w:bookmarkEnd w:id="7"/>
      <w:r>
        <w:t xml:space="preserve"> </w:t>
      </w:r>
    </w:p>
    <w:p w:rsidR="00E261DF" w:rsidP="005E2783" w14:paraId="277CA0F9" w14:textId="47CF50F3">
      <w:pPr>
        <w:spacing w:line="480" w:lineRule="auto"/>
        <w:ind w:firstLine="720"/>
        <w:rPr>
          <w:szCs w:val="24"/>
        </w:rPr>
      </w:pPr>
      <w:r w:rsidRPr="00D44EF2">
        <w:rPr>
          <w:szCs w:val="24"/>
        </w:rPr>
        <w:t xml:space="preserve">The PUCO </w:t>
      </w:r>
      <w:r w:rsidR="002E1BCC">
        <w:rPr>
          <w:szCs w:val="24"/>
        </w:rPr>
        <w:t xml:space="preserve">originally </w:t>
      </w:r>
      <w:r w:rsidRPr="00D44EF2">
        <w:rPr>
          <w:szCs w:val="24"/>
        </w:rPr>
        <w:t xml:space="preserve">approved the </w:t>
      </w:r>
      <w:r w:rsidR="005D3DDE">
        <w:rPr>
          <w:szCs w:val="24"/>
        </w:rPr>
        <w:t xml:space="preserve">charge </w:t>
      </w:r>
      <w:r w:rsidR="002E1BCC">
        <w:rPr>
          <w:szCs w:val="24"/>
        </w:rPr>
        <w:t xml:space="preserve">specifically </w:t>
      </w:r>
      <w:r w:rsidRPr="00D44EF2">
        <w:rPr>
          <w:szCs w:val="24"/>
        </w:rPr>
        <w:t xml:space="preserve">to provide </w:t>
      </w:r>
      <w:r w:rsidR="002F7CFC">
        <w:rPr>
          <w:szCs w:val="24"/>
        </w:rPr>
        <w:t xml:space="preserve">additional </w:t>
      </w:r>
      <w:r w:rsidRPr="00D44EF2">
        <w:rPr>
          <w:szCs w:val="24"/>
        </w:rPr>
        <w:t xml:space="preserve">funding </w:t>
      </w:r>
      <w:r w:rsidR="002E1BCC">
        <w:rPr>
          <w:szCs w:val="24"/>
        </w:rPr>
        <w:t>(</w:t>
      </w:r>
      <w:r w:rsidRPr="00D44EF2">
        <w:rPr>
          <w:szCs w:val="24"/>
        </w:rPr>
        <w:t xml:space="preserve">beyond the amount(s) that AEP Ohio </w:t>
      </w:r>
      <w:r w:rsidR="002F7CFC">
        <w:rPr>
          <w:szCs w:val="24"/>
        </w:rPr>
        <w:t xml:space="preserve">already </w:t>
      </w:r>
      <w:r w:rsidRPr="00D44EF2">
        <w:rPr>
          <w:szCs w:val="24"/>
        </w:rPr>
        <w:t>collects from customers in base rates</w:t>
      </w:r>
      <w:r w:rsidR="002E1BCC">
        <w:rPr>
          <w:szCs w:val="24"/>
        </w:rPr>
        <w:t>)</w:t>
      </w:r>
      <w:r w:rsidRPr="00D44EF2">
        <w:rPr>
          <w:szCs w:val="24"/>
        </w:rPr>
        <w:t xml:space="preserve"> to transition from a primarily reactive </w:t>
      </w:r>
      <w:r w:rsidR="007B0122">
        <w:rPr>
          <w:szCs w:val="24"/>
        </w:rPr>
        <w:t xml:space="preserve">tree trimming </w:t>
      </w:r>
      <w:r w:rsidRPr="00D44EF2">
        <w:rPr>
          <w:szCs w:val="24"/>
        </w:rPr>
        <w:t xml:space="preserve">program to a </w:t>
      </w:r>
      <w:r w:rsidR="004A39C0">
        <w:rPr>
          <w:szCs w:val="24"/>
        </w:rPr>
        <w:t xml:space="preserve">proactive </w:t>
      </w:r>
      <w:r w:rsidRPr="00D44EF2">
        <w:rPr>
          <w:szCs w:val="24"/>
        </w:rPr>
        <w:t xml:space="preserve">four-year cycle-based program. </w:t>
      </w:r>
      <w:r>
        <w:rPr>
          <w:szCs w:val="24"/>
        </w:rPr>
        <w:t>T</w:t>
      </w:r>
      <w:r w:rsidRPr="00D44EF2">
        <w:rPr>
          <w:szCs w:val="24"/>
        </w:rPr>
        <w:t xml:space="preserve">he </w:t>
      </w:r>
      <w:r>
        <w:rPr>
          <w:szCs w:val="24"/>
        </w:rPr>
        <w:t>PUCO</w:t>
      </w:r>
      <w:r w:rsidRPr="00D44EF2">
        <w:rPr>
          <w:szCs w:val="24"/>
        </w:rPr>
        <w:t xml:space="preserve"> reasoned that </w:t>
      </w:r>
      <w:r>
        <w:rPr>
          <w:szCs w:val="24"/>
        </w:rPr>
        <w:t xml:space="preserve">an effective </w:t>
      </w:r>
      <w:r w:rsidR="007B0122">
        <w:rPr>
          <w:szCs w:val="24"/>
        </w:rPr>
        <w:t xml:space="preserve">tree trimming </w:t>
      </w:r>
      <w:r>
        <w:rPr>
          <w:szCs w:val="24"/>
        </w:rPr>
        <w:t xml:space="preserve">program funded </w:t>
      </w:r>
      <w:r w:rsidR="00A74C15">
        <w:rPr>
          <w:szCs w:val="24"/>
        </w:rPr>
        <w:t xml:space="preserve">with additional </w:t>
      </w:r>
      <w:r w:rsidR="007B0122">
        <w:rPr>
          <w:szCs w:val="24"/>
        </w:rPr>
        <w:t xml:space="preserve">customer </w:t>
      </w:r>
      <w:r>
        <w:rPr>
          <w:szCs w:val="24"/>
        </w:rPr>
        <w:t xml:space="preserve">dollars </w:t>
      </w:r>
      <w:r w:rsidR="00A74C15">
        <w:rPr>
          <w:szCs w:val="24"/>
        </w:rPr>
        <w:t xml:space="preserve">(above those already collected from customers through base distribution rates) </w:t>
      </w:r>
      <w:r w:rsidRPr="00D44EF2">
        <w:rPr>
          <w:szCs w:val="24"/>
        </w:rPr>
        <w:t>would have a significant impact on customer reliability.</w:t>
      </w:r>
      <w:r>
        <w:rPr>
          <w:rStyle w:val="FootnoteReference"/>
          <w:szCs w:val="24"/>
        </w:rPr>
        <w:footnoteReference w:id="14"/>
      </w:r>
      <w:r w:rsidR="00AB176E">
        <w:rPr>
          <w:szCs w:val="24"/>
        </w:rPr>
        <w:t xml:space="preserve"> </w:t>
      </w:r>
    </w:p>
    <w:p w:rsidR="00E261DF" w:rsidP="002F7CFC" w14:paraId="51AF5578" w14:textId="7869E689">
      <w:pPr>
        <w:spacing w:line="480" w:lineRule="auto"/>
        <w:ind w:firstLine="720"/>
        <w:rPr>
          <w:szCs w:val="24"/>
        </w:rPr>
      </w:pPr>
      <w:r>
        <w:rPr>
          <w:szCs w:val="24"/>
        </w:rPr>
        <w:t>Under</w:t>
      </w:r>
      <w:r w:rsidRPr="00D44EF2">
        <w:rPr>
          <w:szCs w:val="24"/>
        </w:rPr>
        <w:t xml:space="preserve"> Ohio Adm. Code 4901:1-10-27(E), AEP Ohio filed a revised </w:t>
      </w:r>
      <w:r w:rsidR="008A089C">
        <w:rPr>
          <w:szCs w:val="24"/>
        </w:rPr>
        <w:t>tree trimming</w:t>
      </w:r>
      <w:r w:rsidRPr="00D44EF2">
        <w:rPr>
          <w:szCs w:val="24"/>
        </w:rPr>
        <w:t xml:space="preserve"> program </w:t>
      </w:r>
      <w:r>
        <w:rPr>
          <w:szCs w:val="24"/>
        </w:rPr>
        <w:t xml:space="preserve">in 2012 </w:t>
      </w:r>
      <w:r w:rsidRPr="00D44EF2">
        <w:rPr>
          <w:szCs w:val="24"/>
        </w:rPr>
        <w:t xml:space="preserve">affirming its </w:t>
      </w:r>
      <w:r>
        <w:rPr>
          <w:szCs w:val="24"/>
        </w:rPr>
        <w:t>commitment</w:t>
      </w:r>
      <w:r w:rsidRPr="00D44EF2">
        <w:rPr>
          <w:szCs w:val="24"/>
        </w:rPr>
        <w:t xml:space="preserve"> to perform a four-year cycle-based tree trimming program.</w:t>
      </w:r>
      <w:r>
        <w:rPr>
          <w:rStyle w:val="FootnoteReference"/>
          <w:szCs w:val="24"/>
        </w:rPr>
        <w:footnoteReference w:id="15"/>
      </w:r>
      <w:r w:rsidR="00AB176E">
        <w:rPr>
          <w:szCs w:val="24"/>
        </w:rPr>
        <w:t xml:space="preserve"> </w:t>
      </w:r>
      <w:r w:rsidR="007B0122">
        <w:rPr>
          <w:szCs w:val="24"/>
        </w:rPr>
        <w:t>The PUCO approved AEP Ohio</w:t>
      </w:r>
      <w:r w:rsidR="00AB176E">
        <w:rPr>
          <w:szCs w:val="24"/>
        </w:rPr>
        <w:t>’</w:t>
      </w:r>
      <w:r w:rsidR="007B0122">
        <w:rPr>
          <w:szCs w:val="24"/>
        </w:rPr>
        <w:t>s revised program.</w:t>
      </w:r>
      <w:r>
        <w:rPr>
          <w:rStyle w:val="FootnoteReference"/>
          <w:szCs w:val="24"/>
        </w:rPr>
        <w:footnoteReference w:id="16"/>
      </w:r>
      <w:r w:rsidR="00AB176E">
        <w:rPr>
          <w:szCs w:val="24"/>
        </w:rPr>
        <w:t xml:space="preserve"> </w:t>
      </w:r>
      <w:r>
        <w:rPr>
          <w:szCs w:val="24"/>
        </w:rPr>
        <w:t xml:space="preserve">Table 1 shows the vast amount of money that AEP Ohio has spent </w:t>
      </w:r>
      <w:r w:rsidR="002F7CFC">
        <w:rPr>
          <w:szCs w:val="24"/>
        </w:rPr>
        <w:t xml:space="preserve">(and customers have paid) </w:t>
      </w:r>
      <w:r>
        <w:rPr>
          <w:szCs w:val="24"/>
        </w:rPr>
        <w:t>since 2012 on</w:t>
      </w:r>
      <w:r w:rsidR="002F7CFC">
        <w:rPr>
          <w:szCs w:val="24"/>
        </w:rPr>
        <w:t xml:space="preserve"> vegetation management through</w:t>
      </w:r>
      <w:r>
        <w:rPr>
          <w:szCs w:val="24"/>
        </w:rPr>
        <w:t xml:space="preserve"> the</w:t>
      </w:r>
      <w:r w:rsidR="00293597">
        <w:rPr>
          <w:szCs w:val="24"/>
        </w:rPr>
        <w:t xml:space="preserve"> </w:t>
      </w:r>
      <w:r>
        <w:rPr>
          <w:szCs w:val="24"/>
        </w:rPr>
        <w:t>ESRR</w:t>
      </w:r>
      <w:r w:rsidR="00D573BF">
        <w:rPr>
          <w:szCs w:val="24"/>
        </w:rPr>
        <w:t>.</w:t>
      </w:r>
      <w:r w:rsidR="00AB176E">
        <w:rPr>
          <w:szCs w:val="24"/>
        </w:rPr>
        <w:t xml:space="preserve"> </w:t>
      </w:r>
      <w:r w:rsidR="00D573BF">
        <w:rPr>
          <w:szCs w:val="24"/>
        </w:rPr>
        <w:t xml:space="preserve">The Table also shows whether AEP Ohio </w:t>
      </w:r>
      <w:r>
        <w:rPr>
          <w:szCs w:val="24"/>
        </w:rPr>
        <w:t>has not met the four</w:t>
      </w:r>
      <w:r w:rsidR="005C6ED8">
        <w:rPr>
          <w:szCs w:val="24"/>
        </w:rPr>
        <w:t>-</w:t>
      </w:r>
      <w:r>
        <w:rPr>
          <w:szCs w:val="24"/>
        </w:rPr>
        <w:t>year cycle</w:t>
      </w:r>
      <w:r w:rsidR="005C6ED8">
        <w:rPr>
          <w:szCs w:val="24"/>
        </w:rPr>
        <w:t>-based standards</w:t>
      </w:r>
      <w:r w:rsidR="005D3DDE">
        <w:rPr>
          <w:szCs w:val="24"/>
        </w:rPr>
        <w:t xml:space="preserve"> in each year since 2012</w:t>
      </w:r>
      <w:r w:rsidR="005C6ED8">
        <w:rPr>
          <w:szCs w:val="24"/>
        </w:rPr>
        <w:t>.</w:t>
      </w:r>
    </w:p>
    <w:p w:rsidR="005E2783" w:rsidRPr="00F429C7" w:rsidP="00F429C7" w14:paraId="4E6EC904" w14:textId="57B1748D">
      <w:pPr>
        <w:spacing w:after="240"/>
        <w:jc w:val="center"/>
        <w:rPr>
          <w:b/>
          <w:bCs/>
          <w:szCs w:val="24"/>
        </w:rPr>
      </w:pPr>
      <w:r w:rsidRPr="00F429C7">
        <w:rPr>
          <w:b/>
          <w:bCs/>
          <w:szCs w:val="24"/>
        </w:rPr>
        <w:t xml:space="preserve">Table 1: </w:t>
      </w:r>
      <w:r w:rsidRPr="00F429C7">
        <w:rPr>
          <w:b/>
          <w:bCs/>
          <w:szCs w:val="24"/>
        </w:rPr>
        <w:t xml:space="preserve">Summary of </w:t>
      </w:r>
      <w:r w:rsidR="00F429C7">
        <w:rPr>
          <w:b/>
          <w:bCs/>
          <w:szCs w:val="24"/>
        </w:rPr>
        <w:t>c</w:t>
      </w:r>
      <w:r w:rsidRPr="00F429C7" w:rsidR="00E261DF">
        <w:rPr>
          <w:b/>
          <w:bCs/>
          <w:szCs w:val="24"/>
        </w:rPr>
        <w:t xml:space="preserve">ustomer funding of vegetation management through the </w:t>
      </w:r>
      <w:r w:rsidRPr="00F429C7">
        <w:rPr>
          <w:b/>
          <w:bCs/>
          <w:szCs w:val="24"/>
        </w:rPr>
        <w:t>ESRR (2012 – 201</w:t>
      </w:r>
      <w:r w:rsidRPr="00F429C7" w:rsidR="003731D3">
        <w:rPr>
          <w:b/>
          <w:bCs/>
          <w:szCs w:val="24"/>
        </w:rPr>
        <w:t>8</w:t>
      </w:r>
      <w:r w:rsidRPr="00F429C7">
        <w:rPr>
          <w:b/>
          <w:bCs/>
          <w:szCs w:val="24"/>
        </w:rPr>
        <w:t>)</w:t>
      </w:r>
    </w:p>
    <w:tbl>
      <w:tblPr>
        <w:tblW w:w="7717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327"/>
        <w:gridCol w:w="3060"/>
      </w:tblGrid>
      <w:tr w14:paraId="0D4E8BD5" w14:textId="77777777" w:rsidTr="00C04A16">
        <w:tblPrEx>
          <w:tblW w:w="7717" w:type="dxa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C04A16" w14:paraId="0B2271ED" w14:textId="77777777">
            <w:pPr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Year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C04A16" w14:paraId="437951E9" w14:textId="3EB55063">
            <w:pPr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 xml:space="preserve">ESRR </w:t>
            </w:r>
            <w:r w:rsidR="00C364B6">
              <w:rPr>
                <w:szCs w:val="24"/>
              </w:rPr>
              <w:t>r</w:t>
            </w:r>
            <w:r w:rsidRPr="00FF7A8A">
              <w:rPr>
                <w:szCs w:val="24"/>
              </w:rPr>
              <w:t>evenue</w:t>
            </w:r>
            <w:r w:rsidR="00A74C15">
              <w:rPr>
                <w:szCs w:val="24"/>
              </w:rPr>
              <w:t xml:space="preserve">s </w:t>
            </w:r>
            <w:r w:rsidR="00C364B6">
              <w:rPr>
                <w:szCs w:val="24"/>
              </w:rPr>
              <w:t>c</w:t>
            </w:r>
            <w:r w:rsidR="00A74C15">
              <w:rPr>
                <w:szCs w:val="24"/>
              </w:rPr>
              <w:t xml:space="preserve">ollected from customers </w:t>
            </w:r>
            <w:r w:rsidR="00D573BF">
              <w:rPr>
                <w:szCs w:val="24"/>
              </w:rPr>
              <w:t xml:space="preserve">in addition to </w:t>
            </w:r>
            <w:r w:rsidR="002F7CFC">
              <w:rPr>
                <w:szCs w:val="24"/>
              </w:rPr>
              <w:t xml:space="preserve">$24.2 million in </w:t>
            </w:r>
            <w:r w:rsidR="00A74C15">
              <w:rPr>
                <w:szCs w:val="24"/>
              </w:rPr>
              <w:t>base rates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C04A16" w14:paraId="2048360E" w14:textId="56B1745A">
            <w:pPr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 xml:space="preserve">Compliance with </w:t>
            </w:r>
            <w:r w:rsidR="00C364B6">
              <w:rPr>
                <w:szCs w:val="24"/>
              </w:rPr>
              <w:t>f</w:t>
            </w:r>
            <w:r w:rsidRPr="00FF7A8A">
              <w:rPr>
                <w:szCs w:val="24"/>
              </w:rPr>
              <w:t>our-</w:t>
            </w:r>
            <w:r w:rsidR="00C364B6">
              <w:rPr>
                <w:szCs w:val="24"/>
              </w:rPr>
              <w:t>y</w:t>
            </w:r>
            <w:r w:rsidRPr="00FF7A8A">
              <w:rPr>
                <w:szCs w:val="24"/>
              </w:rPr>
              <w:t xml:space="preserve">ear </w:t>
            </w:r>
            <w:r w:rsidR="00C364B6">
              <w:rPr>
                <w:szCs w:val="24"/>
              </w:rPr>
              <w:t>c</w:t>
            </w:r>
            <w:r w:rsidRPr="00FF7A8A">
              <w:rPr>
                <w:szCs w:val="24"/>
              </w:rPr>
              <w:t>ycle-</w:t>
            </w:r>
            <w:r w:rsidR="00C364B6">
              <w:rPr>
                <w:szCs w:val="24"/>
              </w:rPr>
              <w:t>b</w:t>
            </w:r>
            <w:r w:rsidRPr="00FF7A8A">
              <w:rPr>
                <w:szCs w:val="24"/>
              </w:rPr>
              <w:t xml:space="preserve">ased </w:t>
            </w:r>
            <w:r w:rsidR="00C364B6">
              <w:rPr>
                <w:szCs w:val="24"/>
              </w:rPr>
              <w:t>t</w:t>
            </w:r>
            <w:r w:rsidRPr="00FF7A8A">
              <w:rPr>
                <w:szCs w:val="24"/>
              </w:rPr>
              <w:t xml:space="preserve">ree-trimming </w:t>
            </w:r>
            <w:r w:rsidR="00C364B6">
              <w:rPr>
                <w:szCs w:val="24"/>
              </w:rPr>
              <w:t>p</w:t>
            </w:r>
            <w:r w:rsidRPr="00FF7A8A">
              <w:rPr>
                <w:szCs w:val="24"/>
              </w:rPr>
              <w:t>rogram</w:t>
            </w:r>
          </w:p>
        </w:tc>
      </w:tr>
      <w:tr w14:paraId="232EC619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19572E91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2012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40A22F64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$31,264,456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2900EA71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No</w:t>
            </w:r>
            <w:r>
              <w:rPr>
                <w:rStyle w:val="FootnoteReference"/>
                <w:szCs w:val="24"/>
              </w:rPr>
              <w:footnoteReference w:id="17"/>
            </w:r>
          </w:p>
        </w:tc>
      </w:tr>
      <w:tr w14:paraId="3373D739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547266C7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2013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43DDB4E3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$41,421,831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2B714514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Yes</w:t>
            </w:r>
            <w:r>
              <w:rPr>
                <w:rStyle w:val="FootnoteReference"/>
                <w:szCs w:val="24"/>
              </w:rPr>
              <w:footnoteReference w:id="18"/>
            </w:r>
          </w:p>
        </w:tc>
      </w:tr>
      <w:tr w14:paraId="17B62AB4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7E148011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2014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73820EA0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$38,694,207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5F77F31B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Yes</w:t>
            </w:r>
            <w:r>
              <w:rPr>
                <w:rStyle w:val="FootnoteReference"/>
                <w:szCs w:val="24"/>
              </w:rPr>
              <w:footnoteReference w:id="19"/>
            </w:r>
          </w:p>
        </w:tc>
      </w:tr>
      <w:tr w14:paraId="136FACA1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4290F157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2015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4D87680D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$29,708,883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5EAFA592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No</w:t>
            </w:r>
            <w:r>
              <w:rPr>
                <w:rStyle w:val="FootnoteReference"/>
                <w:szCs w:val="24"/>
              </w:rPr>
              <w:footnoteReference w:id="20"/>
            </w:r>
          </w:p>
        </w:tc>
      </w:tr>
      <w:tr w14:paraId="338F923B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3E3E671E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2016</w:t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7B06C070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$33,379,649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4D118106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No</w:t>
            </w:r>
            <w:r>
              <w:rPr>
                <w:rStyle w:val="FootnoteReference"/>
                <w:szCs w:val="24"/>
              </w:rPr>
              <w:footnoteReference w:id="21"/>
            </w:r>
          </w:p>
        </w:tc>
      </w:tr>
      <w:tr w14:paraId="61675DA5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5E2783" w:rsidRPr="00FF7A8A" w:rsidP="00FF7A8A" w14:paraId="25E9AD1D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2017</w:t>
            </w:r>
            <w:r>
              <w:rPr>
                <w:rStyle w:val="FootnoteReference"/>
                <w:szCs w:val="24"/>
              </w:rPr>
              <w:footnoteReference w:id="22"/>
            </w:r>
          </w:p>
        </w:tc>
        <w:tc>
          <w:tcPr>
            <w:tcW w:w="3327" w:type="dxa"/>
            <w:shd w:val="clear" w:color="auto" w:fill="auto"/>
          </w:tcPr>
          <w:p w:rsidR="005E2783" w:rsidRPr="00FF7A8A" w:rsidP="00FF7A8A" w14:paraId="10A2F68C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$36,731,240</w:t>
            </w:r>
          </w:p>
        </w:tc>
        <w:tc>
          <w:tcPr>
            <w:tcW w:w="3060" w:type="dxa"/>
            <w:shd w:val="clear" w:color="auto" w:fill="auto"/>
          </w:tcPr>
          <w:p w:rsidR="005E2783" w:rsidRPr="00FF7A8A" w:rsidP="00FF7A8A" w14:paraId="56D91780" w14:textId="77777777">
            <w:pPr>
              <w:rPr>
                <w:szCs w:val="24"/>
              </w:rPr>
            </w:pPr>
            <w:r w:rsidRPr="00FF7A8A">
              <w:rPr>
                <w:szCs w:val="24"/>
              </w:rPr>
              <w:t>No</w:t>
            </w:r>
            <w:r>
              <w:rPr>
                <w:rStyle w:val="FootnoteReference"/>
                <w:szCs w:val="24"/>
              </w:rPr>
              <w:footnoteReference w:id="23"/>
            </w:r>
          </w:p>
        </w:tc>
      </w:tr>
      <w:tr w14:paraId="2BBBDFD7" w14:textId="77777777" w:rsidTr="00C04A16">
        <w:tblPrEx>
          <w:tblW w:w="7717" w:type="dxa"/>
          <w:tblInd w:w="918" w:type="dxa"/>
          <w:tblLook w:val="04A0"/>
        </w:tblPrEx>
        <w:tc>
          <w:tcPr>
            <w:tcW w:w="1330" w:type="dxa"/>
            <w:shd w:val="clear" w:color="auto" w:fill="auto"/>
          </w:tcPr>
          <w:p w:rsidR="00D17C62" w:rsidRPr="00FF7A8A" w:rsidP="00FF7A8A" w14:paraId="21A87456" w14:textId="30CB3932">
            <w:pPr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3327" w:type="dxa"/>
            <w:shd w:val="clear" w:color="auto" w:fill="auto"/>
          </w:tcPr>
          <w:p w:rsidR="00D17C62" w:rsidRPr="00FF7A8A" w:rsidP="00FF7A8A" w14:paraId="5683D46B" w14:textId="3C390622">
            <w:pPr>
              <w:rPr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  <w:tc>
          <w:tcPr>
            <w:tcW w:w="3060" w:type="dxa"/>
            <w:shd w:val="clear" w:color="auto" w:fill="auto"/>
          </w:tcPr>
          <w:p w:rsidR="00D17C62" w:rsidRPr="00FF7A8A" w:rsidP="00FF7A8A" w14:paraId="1A78EA29" w14:textId="5B85CA0B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  <w:r>
              <w:rPr>
                <w:rStyle w:val="FootnoteReference"/>
                <w:szCs w:val="24"/>
              </w:rPr>
              <w:footnoteReference w:id="24"/>
            </w:r>
          </w:p>
        </w:tc>
      </w:tr>
    </w:tbl>
    <w:p w:rsidR="005E2783" w:rsidP="005E2783" w14:paraId="55805C1B" w14:textId="37703104">
      <w:pPr>
        <w:rPr>
          <w:szCs w:val="24"/>
        </w:rPr>
      </w:pPr>
      <w:r>
        <w:rPr>
          <w:szCs w:val="24"/>
        </w:rPr>
        <w:t xml:space="preserve">  </w:t>
      </w:r>
      <w:r w:rsidRPr="00D44EF2">
        <w:rPr>
          <w:szCs w:val="24"/>
        </w:rPr>
        <w:t xml:space="preserve"> </w:t>
      </w:r>
    </w:p>
    <w:p w:rsidR="005E2783" w:rsidRPr="00D44EF2" w:rsidP="00A85BB2" w14:paraId="7CDB54E3" w14:textId="58926BF1">
      <w:pPr>
        <w:spacing w:line="480" w:lineRule="auto"/>
        <w:rPr>
          <w:szCs w:val="24"/>
        </w:rPr>
      </w:pPr>
      <w:r>
        <w:rPr>
          <w:szCs w:val="24"/>
        </w:rPr>
        <w:t>A</w:t>
      </w:r>
      <w:r w:rsidRPr="00D44EF2" w:rsidR="004A39C0">
        <w:rPr>
          <w:szCs w:val="24"/>
        </w:rPr>
        <w:t xml:space="preserve">s shown in Table 1, despite the additional ESRR funding, AEP Ohio has failed to meet the four-year cycle-based tree-trimming program </w:t>
      </w:r>
      <w:r w:rsidR="004A39C0">
        <w:rPr>
          <w:szCs w:val="24"/>
        </w:rPr>
        <w:t xml:space="preserve">in </w:t>
      </w:r>
      <w:r w:rsidR="00C364B6">
        <w:rPr>
          <w:szCs w:val="24"/>
        </w:rPr>
        <w:t>five</w:t>
      </w:r>
      <w:r w:rsidR="004A39C0">
        <w:rPr>
          <w:szCs w:val="24"/>
        </w:rPr>
        <w:t xml:space="preserve"> of the last </w:t>
      </w:r>
      <w:r w:rsidR="005D3DDE">
        <w:rPr>
          <w:szCs w:val="24"/>
        </w:rPr>
        <w:t xml:space="preserve">seven </w:t>
      </w:r>
      <w:r w:rsidR="004A39C0">
        <w:rPr>
          <w:szCs w:val="24"/>
        </w:rPr>
        <w:t>years.</w:t>
      </w:r>
      <w:r w:rsidR="00AB176E">
        <w:rPr>
          <w:szCs w:val="24"/>
        </w:rPr>
        <w:t xml:space="preserve"> </w:t>
      </w:r>
    </w:p>
    <w:p w:rsidR="005E2783" w:rsidRPr="00FB43B3" w:rsidP="00C364B6" w14:paraId="055479AF" w14:textId="420ABDE6">
      <w:pPr>
        <w:pStyle w:val="Heading2"/>
      </w:pPr>
      <w:bookmarkStart w:id="9" w:name="_Toc19287251"/>
      <w:r w:rsidRPr="00FB43B3">
        <w:t xml:space="preserve">Despite the additional money that AEP Ohio is </w:t>
      </w:r>
      <w:r>
        <w:t>charging</w:t>
      </w:r>
      <w:r w:rsidRPr="00FB43B3">
        <w:t xml:space="preserve"> customers </w:t>
      </w:r>
      <w:r w:rsidR="00E261DF">
        <w:t xml:space="preserve">for </w:t>
      </w:r>
      <w:r w:rsidR="00691CD6">
        <w:t>its tree trimming program</w:t>
      </w:r>
      <w:r w:rsidRPr="00FB43B3">
        <w:t xml:space="preserve">, tree-caused outages are continuing to have a significant negative impact on </w:t>
      </w:r>
      <w:r w:rsidR="007B0122">
        <w:t xml:space="preserve">the </w:t>
      </w:r>
      <w:r w:rsidRPr="00FB43B3">
        <w:t>reliability</w:t>
      </w:r>
      <w:r w:rsidR="007B0122">
        <w:t xml:space="preserve"> of AEP Ohio</w:t>
      </w:r>
      <w:r w:rsidR="00AB176E">
        <w:t>’</w:t>
      </w:r>
      <w:r w:rsidR="007B0122">
        <w:t>s service to customers</w:t>
      </w:r>
      <w:r w:rsidRPr="00FB43B3">
        <w:t>.</w:t>
      </w:r>
      <w:bookmarkEnd w:id="9"/>
    </w:p>
    <w:p w:rsidR="005E2783" w:rsidP="00C364B6" w14:paraId="7F324046" w14:textId="00070EE5">
      <w:pPr>
        <w:spacing w:line="480" w:lineRule="auto"/>
        <w:ind w:firstLine="720"/>
        <w:rPr>
          <w:szCs w:val="24"/>
        </w:rPr>
      </w:pPr>
      <w:r>
        <w:rPr>
          <w:szCs w:val="24"/>
        </w:rPr>
        <w:t>According to AEP Ohio</w:t>
      </w:r>
      <w:r w:rsidR="00AB176E">
        <w:rPr>
          <w:szCs w:val="24"/>
        </w:rPr>
        <w:t>’</w:t>
      </w:r>
      <w:r w:rsidR="00DA3287">
        <w:rPr>
          <w:szCs w:val="24"/>
        </w:rPr>
        <w:t>s</w:t>
      </w:r>
      <w:r>
        <w:rPr>
          <w:szCs w:val="24"/>
        </w:rPr>
        <w:t xml:space="preserve"> PUCO-approved </w:t>
      </w:r>
      <w:r w:rsidR="007B0122">
        <w:rPr>
          <w:szCs w:val="24"/>
        </w:rPr>
        <w:t xml:space="preserve">tree trimming </w:t>
      </w:r>
      <w:r>
        <w:rPr>
          <w:szCs w:val="24"/>
        </w:rPr>
        <w:t xml:space="preserve">plan, AEP Ohio has a responsibility </w:t>
      </w:r>
      <w:r w:rsidR="00691CD6">
        <w:rPr>
          <w:szCs w:val="24"/>
        </w:rPr>
        <w:t>trimming</w:t>
      </w:r>
      <w:r>
        <w:rPr>
          <w:szCs w:val="24"/>
        </w:rPr>
        <w:t xml:space="preserve"> trees inside and outside of the prescribed right</w:t>
      </w:r>
      <w:r w:rsidR="00DA3287">
        <w:rPr>
          <w:szCs w:val="24"/>
        </w:rPr>
        <w:t>-</w:t>
      </w:r>
      <w:r>
        <w:rPr>
          <w:szCs w:val="24"/>
        </w:rPr>
        <w:t>of</w:t>
      </w:r>
      <w:r w:rsidR="00DA3287">
        <w:rPr>
          <w:szCs w:val="24"/>
        </w:rPr>
        <w:t>-</w:t>
      </w:r>
      <w:r>
        <w:rPr>
          <w:szCs w:val="24"/>
        </w:rPr>
        <w:t xml:space="preserve">way on a </w:t>
      </w:r>
      <w:r w:rsidR="007B0122">
        <w:rPr>
          <w:szCs w:val="24"/>
        </w:rPr>
        <w:t xml:space="preserve">four-year </w:t>
      </w:r>
      <w:r>
        <w:rPr>
          <w:szCs w:val="24"/>
        </w:rPr>
        <w:t xml:space="preserve">cycle. The </w:t>
      </w:r>
      <w:r w:rsidR="007B0122">
        <w:rPr>
          <w:szCs w:val="24"/>
        </w:rPr>
        <w:t xml:space="preserve">tree trimming </w:t>
      </w:r>
      <w:r>
        <w:rPr>
          <w:szCs w:val="24"/>
        </w:rPr>
        <w:t>plan specifically states:</w:t>
      </w:r>
      <w:r w:rsidR="00DA3287">
        <w:rPr>
          <w:szCs w:val="24"/>
        </w:rPr>
        <w:t xml:space="preserve"> “AEP Ohio</w:t>
      </w:r>
      <w:r w:rsidR="00AB176E">
        <w:rPr>
          <w:szCs w:val="24"/>
        </w:rPr>
        <w:t>’</w:t>
      </w:r>
      <w:r w:rsidR="00DA3287">
        <w:rPr>
          <w:szCs w:val="24"/>
        </w:rPr>
        <w:t>s work plan consists of removing or pruning trees in and out of the right-of-way, pruning mature trees not in the line but that could be within a 4-year period, mowing overgrown right-of-way with a follow-up herbicide application and removing overhang above multiphase lines.”</w:t>
      </w:r>
      <w:r>
        <w:rPr>
          <w:rStyle w:val="FootnoteReference"/>
          <w:szCs w:val="24"/>
        </w:rPr>
        <w:footnoteReference w:id="25"/>
      </w:r>
    </w:p>
    <w:p w:rsidR="003858DE" w:rsidP="007B0122" w14:paraId="3398AD06" w14:textId="39699149">
      <w:pPr>
        <w:spacing w:line="480" w:lineRule="auto"/>
        <w:ind w:firstLine="720"/>
        <w:rPr>
          <w:szCs w:val="24"/>
        </w:rPr>
      </w:pPr>
      <w:r>
        <w:rPr>
          <w:szCs w:val="24"/>
        </w:rPr>
        <w:t>But as shown in Table 2, between 2013 and 201</w:t>
      </w:r>
      <w:r w:rsidR="004327FB">
        <w:rPr>
          <w:szCs w:val="24"/>
        </w:rPr>
        <w:t>8</w:t>
      </w:r>
      <w:r>
        <w:rPr>
          <w:szCs w:val="24"/>
        </w:rPr>
        <w:t xml:space="preserve"> tree-caused outages have increased from 4,844 in 2013 to </w:t>
      </w:r>
      <w:r w:rsidR="004327FB">
        <w:rPr>
          <w:szCs w:val="24"/>
        </w:rPr>
        <w:t>7,387</w:t>
      </w:r>
      <w:r>
        <w:rPr>
          <w:szCs w:val="24"/>
        </w:rPr>
        <w:t xml:space="preserve"> in 201</w:t>
      </w:r>
      <w:r w:rsidR="004327FB">
        <w:rPr>
          <w:szCs w:val="24"/>
        </w:rPr>
        <w:t>8</w:t>
      </w:r>
      <w:r>
        <w:rPr>
          <w:szCs w:val="24"/>
        </w:rPr>
        <w:t>.</w:t>
      </w:r>
      <w:r w:rsidR="00AB176E">
        <w:rPr>
          <w:szCs w:val="24"/>
        </w:rPr>
        <w:t xml:space="preserve"> </w:t>
      </w:r>
      <w:r>
        <w:rPr>
          <w:szCs w:val="24"/>
        </w:rPr>
        <w:t xml:space="preserve">The number of customers interrupted as a result of the tree-caused outages increased from 213,615 in 2013 to </w:t>
      </w:r>
      <w:r w:rsidR="004327FB">
        <w:rPr>
          <w:szCs w:val="24"/>
        </w:rPr>
        <w:t>411,100</w:t>
      </w:r>
      <w:r>
        <w:rPr>
          <w:szCs w:val="24"/>
        </w:rPr>
        <w:t xml:space="preserve"> in 201</w:t>
      </w:r>
      <w:r w:rsidR="00D0456F">
        <w:rPr>
          <w:szCs w:val="24"/>
        </w:rPr>
        <w:t>8</w:t>
      </w:r>
      <w:r>
        <w:rPr>
          <w:szCs w:val="24"/>
        </w:rPr>
        <w:t xml:space="preserve">. </w:t>
      </w:r>
      <w:r w:rsidR="004327FB">
        <w:rPr>
          <w:szCs w:val="24"/>
        </w:rPr>
        <w:t xml:space="preserve">This is almost double the number of interruptions since 2013 and </w:t>
      </w:r>
      <w:r w:rsidR="00D0456F">
        <w:rPr>
          <w:szCs w:val="24"/>
        </w:rPr>
        <w:t>over</w:t>
      </w:r>
      <w:r w:rsidR="004327FB">
        <w:rPr>
          <w:szCs w:val="24"/>
        </w:rPr>
        <w:t xml:space="preserve"> 3</w:t>
      </w:r>
      <w:r w:rsidR="00D0456F">
        <w:rPr>
          <w:szCs w:val="24"/>
        </w:rPr>
        <w:t>1</w:t>
      </w:r>
      <w:r w:rsidR="004327FB">
        <w:rPr>
          <w:szCs w:val="24"/>
        </w:rPr>
        <w:t>% more in the last year alone</w:t>
      </w:r>
      <w:r w:rsidR="00DA3287">
        <w:rPr>
          <w:szCs w:val="24"/>
        </w:rPr>
        <w:t>.</w:t>
      </w:r>
      <w:r>
        <w:rPr>
          <w:szCs w:val="24"/>
        </w:rPr>
        <w:t xml:space="preserve"> And importantly, the number of minutes that customers did not have electric service because of tree-caused outages increased from 46,441,700 in 2013 to</w:t>
      </w:r>
      <w:r w:rsidR="0058302B">
        <w:rPr>
          <w:szCs w:val="24"/>
        </w:rPr>
        <w:t xml:space="preserve"> 97,681,526</w:t>
      </w:r>
      <w:r>
        <w:rPr>
          <w:szCs w:val="24"/>
        </w:rPr>
        <w:t xml:space="preserve"> in 201</w:t>
      </w:r>
      <w:r w:rsidR="00D0456F">
        <w:rPr>
          <w:szCs w:val="24"/>
        </w:rPr>
        <w:t>8</w:t>
      </w:r>
      <w:r>
        <w:rPr>
          <w:szCs w:val="24"/>
        </w:rPr>
        <w:t>.</w:t>
      </w:r>
      <w:r w:rsidR="00AB176E">
        <w:rPr>
          <w:szCs w:val="24"/>
        </w:rPr>
        <w:t xml:space="preserve"> </w:t>
      </w:r>
    </w:p>
    <w:p w:rsidR="00C66D1E" w14:paraId="6361D12A" w14:textId="7777777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5E2783" w:rsidRPr="00F429C7" w:rsidP="005E2783" w14:paraId="26F2A165" w14:textId="43A31B79">
      <w:pPr>
        <w:ind w:left="720"/>
        <w:jc w:val="center"/>
        <w:rPr>
          <w:b/>
          <w:bCs/>
          <w:szCs w:val="24"/>
        </w:rPr>
      </w:pPr>
      <w:r w:rsidRPr="00F429C7">
        <w:rPr>
          <w:b/>
          <w:bCs/>
          <w:szCs w:val="24"/>
        </w:rPr>
        <w:t>Table 2: Tree-caused Outages</w:t>
      </w:r>
      <w:r>
        <w:rPr>
          <w:rStyle w:val="FootnoteReference"/>
          <w:b/>
          <w:bCs/>
          <w:szCs w:val="24"/>
        </w:rPr>
        <w:footnoteReference w:id="26"/>
      </w:r>
      <w:r w:rsidRPr="00F429C7">
        <w:rPr>
          <w:b/>
          <w:bCs/>
          <w:szCs w:val="24"/>
        </w:rPr>
        <w:t xml:space="preserve"> (2013 – 2017)</w:t>
      </w:r>
    </w:p>
    <w:p w:rsidR="005E2783" w:rsidP="005E2783" w14:paraId="452674F6" w14:textId="77777777">
      <w:pPr>
        <w:ind w:left="720"/>
        <w:rPr>
          <w:szCs w:val="24"/>
        </w:rPr>
      </w:pPr>
    </w:p>
    <w:tbl>
      <w:tblPr>
        <w:tblW w:w="7363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2268"/>
        <w:gridCol w:w="1620"/>
        <w:gridCol w:w="2143"/>
      </w:tblGrid>
      <w:tr w14:paraId="054C66A0" w14:textId="77777777" w:rsidTr="00F429C7">
        <w:tblPrEx>
          <w:tblW w:w="7363" w:type="dxa"/>
          <w:tblInd w:w="8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F429C7" w14:paraId="6F61CFF7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Year</w:t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F429C7" w14:paraId="16742554" w14:textId="398F48D1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 xml:space="preserve">Tree-caused </w:t>
            </w:r>
            <w:r w:rsidR="00F429C7">
              <w:rPr>
                <w:szCs w:val="24"/>
              </w:rPr>
              <w:t>O</w:t>
            </w:r>
            <w:r w:rsidRPr="00FF7A8A">
              <w:rPr>
                <w:szCs w:val="24"/>
              </w:rPr>
              <w:t>utages (</w:t>
            </w:r>
            <w:r w:rsidR="00F429C7">
              <w:rPr>
                <w:szCs w:val="24"/>
              </w:rPr>
              <w:t>i</w:t>
            </w:r>
            <w:r w:rsidRPr="00FF7A8A">
              <w:rPr>
                <w:szCs w:val="24"/>
              </w:rPr>
              <w:t>nside/</w:t>
            </w:r>
            <w:r w:rsidR="00F429C7">
              <w:rPr>
                <w:szCs w:val="24"/>
              </w:rPr>
              <w:t>o</w:t>
            </w:r>
            <w:r w:rsidRPr="00FF7A8A">
              <w:rPr>
                <w:szCs w:val="24"/>
              </w:rPr>
              <w:t xml:space="preserve">utside </w:t>
            </w:r>
            <w:r w:rsidR="00F429C7">
              <w:rPr>
                <w:szCs w:val="24"/>
              </w:rPr>
              <w:t>right-of-way</w:t>
            </w:r>
            <w:r w:rsidRPr="00FF7A8A">
              <w:rPr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F429C7" w14:paraId="00C8BEE4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Customer Interruptions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F429C7" w14:paraId="304FED39" w14:textId="14AA0F89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Customer Minutes Interrupt</w:t>
            </w:r>
            <w:r w:rsidR="00F429C7">
              <w:rPr>
                <w:szCs w:val="24"/>
              </w:rPr>
              <w:t>ed</w:t>
            </w:r>
          </w:p>
        </w:tc>
      </w:tr>
      <w:tr w14:paraId="78DF5E67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3858DE" w14:paraId="5F09A89B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2013</w:t>
            </w:r>
            <w:r>
              <w:rPr>
                <w:rStyle w:val="FootnoteReference"/>
                <w:szCs w:val="24"/>
              </w:rPr>
              <w:footnoteReference w:id="27"/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3858DE" w14:paraId="10962568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4,844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3858DE" w14:paraId="6B25AF8A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213,615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3858DE" w14:paraId="1FCC3A25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46,441,700</w:t>
            </w:r>
          </w:p>
        </w:tc>
      </w:tr>
      <w:tr w14:paraId="5CC01E20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3858DE" w14:paraId="2C3581C4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2014</w:t>
            </w:r>
            <w:r>
              <w:rPr>
                <w:rStyle w:val="FootnoteReference"/>
                <w:szCs w:val="24"/>
              </w:rPr>
              <w:footnoteReference w:id="28"/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3858DE" w14:paraId="1BC008DB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4,568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3858DE" w14:paraId="31208C6E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201,016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3858DE" w14:paraId="48B82DC1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46,548,810</w:t>
            </w:r>
          </w:p>
        </w:tc>
      </w:tr>
      <w:tr w14:paraId="3366ECED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3858DE" w14:paraId="5150A9BC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2015</w:t>
            </w:r>
            <w:r>
              <w:rPr>
                <w:rStyle w:val="FootnoteReference"/>
                <w:szCs w:val="24"/>
              </w:rPr>
              <w:footnoteReference w:id="29"/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3858DE" w14:paraId="1E8C71A8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4,851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3858DE" w14:paraId="0CF10424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222,811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3858DE" w14:paraId="15387ED8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45,067,131</w:t>
            </w:r>
          </w:p>
        </w:tc>
      </w:tr>
      <w:tr w14:paraId="627CC5D8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3858DE" w14:paraId="0E9C0C61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2016</w:t>
            </w:r>
            <w:r>
              <w:rPr>
                <w:rStyle w:val="FootnoteReference"/>
                <w:szCs w:val="24"/>
              </w:rPr>
              <w:footnoteReference w:id="30"/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3858DE" w14:paraId="13939545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5,083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3858DE" w14:paraId="1FD23C1B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257,540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3858DE" w14:paraId="5F588896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51,219,163</w:t>
            </w:r>
          </w:p>
        </w:tc>
      </w:tr>
      <w:tr w14:paraId="26A5ECD1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5E2783" w:rsidRPr="00FF7A8A" w:rsidP="003858DE" w14:paraId="67BEEA20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2017</w:t>
            </w:r>
            <w:r>
              <w:rPr>
                <w:rStyle w:val="FootnoteReference"/>
                <w:szCs w:val="24"/>
              </w:rPr>
              <w:footnoteReference w:id="31"/>
            </w:r>
          </w:p>
        </w:tc>
        <w:tc>
          <w:tcPr>
            <w:tcW w:w="2268" w:type="dxa"/>
            <w:shd w:val="clear" w:color="auto" w:fill="auto"/>
          </w:tcPr>
          <w:p w:rsidR="005E2783" w:rsidRPr="00FF7A8A" w:rsidP="003858DE" w14:paraId="2228B4BA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6,449</w:t>
            </w:r>
          </w:p>
        </w:tc>
        <w:tc>
          <w:tcPr>
            <w:tcW w:w="1620" w:type="dxa"/>
            <w:shd w:val="clear" w:color="auto" w:fill="auto"/>
          </w:tcPr>
          <w:p w:rsidR="005E2783" w:rsidRPr="00FF7A8A" w:rsidP="003858DE" w14:paraId="0EAA1B04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313,173</w:t>
            </w:r>
          </w:p>
        </w:tc>
        <w:tc>
          <w:tcPr>
            <w:tcW w:w="2143" w:type="dxa"/>
            <w:shd w:val="clear" w:color="auto" w:fill="auto"/>
          </w:tcPr>
          <w:p w:rsidR="005E2783" w:rsidRPr="00FF7A8A" w:rsidP="003858DE" w14:paraId="2EDB1AF5" w14:textId="77777777">
            <w:pPr>
              <w:keepLines/>
              <w:widowControl w:val="0"/>
              <w:jc w:val="center"/>
              <w:rPr>
                <w:szCs w:val="24"/>
              </w:rPr>
            </w:pPr>
            <w:r w:rsidRPr="00FF7A8A">
              <w:rPr>
                <w:szCs w:val="24"/>
              </w:rPr>
              <w:t>68,222,667</w:t>
            </w:r>
          </w:p>
        </w:tc>
      </w:tr>
      <w:tr w14:paraId="219B4565" w14:textId="77777777" w:rsidTr="00F429C7">
        <w:tblPrEx>
          <w:tblW w:w="7363" w:type="dxa"/>
          <w:tblInd w:w="895" w:type="dxa"/>
          <w:tblLook w:val="04A0"/>
        </w:tblPrEx>
        <w:tc>
          <w:tcPr>
            <w:tcW w:w="1332" w:type="dxa"/>
            <w:shd w:val="clear" w:color="auto" w:fill="auto"/>
          </w:tcPr>
          <w:p w:rsidR="00150DBD" w:rsidRPr="00FF7A8A" w:rsidP="003858DE" w14:paraId="0CD0B2BF" w14:textId="00068D3D">
            <w:pPr>
              <w:keepLines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>
              <w:rPr>
                <w:rStyle w:val="FootnoteReference"/>
                <w:szCs w:val="24"/>
              </w:rPr>
              <w:footnoteReference w:id="32"/>
            </w:r>
          </w:p>
        </w:tc>
        <w:tc>
          <w:tcPr>
            <w:tcW w:w="2268" w:type="dxa"/>
            <w:shd w:val="clear" w:color="auto" w:fill="auto"/>
          </w:tcPr>
          <w:p w:rsidR="00150DBD" w:rsidRPr="00FF7A8A" w:rsidP="003858DE" w14:paraId="3D660F25" w14:textId="207F2CAB">
            <w:pPr>
              <w:keepLines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7,387</w:t>
            </w:r>
          </w:p>
        </w:tc>
        <w:tc>
          <w:tcPr>
            <w:tcW w:w="1620" w:type="dxa"/>
            <w:shd w:val="clear" w:color="auto" w:fill="auto"/>
          </w:tcPr>
          <w:p w:rsidR="00150DBD" w:rsidRPr="00FF7A8A" w:rsidP="003858DE" w14:paraId="0F5FDC68" w14:textId="7681FFD3">
            <w:pPr>
              <w:keepLines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411,100</w:t>
            </w:r>
          </w:p>
        </w:tc>
        <w:tc>
          <w:tcPr>
            <w:tcW w:w="2143" w:type="dxa"/>
            <w:shd w:val="clear" w:color="auto" w:fill="auto"/>
          </w:tcPr>
          <w:p w:rsidR="00150DBD" w:rsidRPr="00FF7A8A" w:rsidP="003858DE" w14:paraId="6B972CB6" w14:textId="6362C1F0">
            <w:pPr>
              <w:keepLines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97,681,526</w:t>
            </w:r>
          </w:p>
        </w:tc>
      </w:tr>
    </w:tbl>
    <w:p w:rsidR="005E2783" w:rsidRPr="00B571DB" w:rsidP="005E2783" w14:paraId="467AD02A" w14:textId="77777777">
      <w:pPr>
        <w:rPr>
          <w:szCs w:val="24"/>
        </w:rPr>
      </w:pPr>
    </w:p>
    <w:p w:rsidR="00273FB5" w:rsidP="0097465C" w14:paraId="3E5D1866" w14:textId="2322FEC1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There can be no doubt that the </w:t>
      </w:r>
      <w:r w:rsidR="003B7A97">
        <w:rPr>
          <w:szCs w:val="24"/>
        </w:rPr>
        <w:t xml:space="preserve">additional </w:t>
      </w:r>
      <w:r w:rsidR="0097465C">
        <w:rPr>
          <w:szCs w:val="24"/>
        </w:rPr>
        <w:t xml:space="preserve">charges </w:t>
      </w:r>
      <w:r>
        <w:rPr>
          <w:szCs w:val="24"/>
        </w:rPr>
        <w:t xml:space="preserve">customers are paying for </w:t>
      </w:r>
      <w:r w:rsidR="00691CD6">
        <w:rPr>
          <w:szCs w:val="24"/>
        </w:rPr>
        <w:t>AEP</w:t>
      </w:r>
      <w:r w:rsidR="007B0122">
        <w:rPr>
          <w:szCs w:val="24"/>
        </w:rPr>
        <w:t xml:space="preserve"> </w:t>
      </w:r>
      <w:r w:rsidR="00691CD6">
        <w:rPr>
          <w:szCs w:val="24"/>
        </w:rPr>
        <w:t>Ohio</w:t>
      </w:r>
      <w:r w:rsidR="00AB176E">
        <w:rPr>
          <w:szCs w:val="24"/>
        </w:rPr>
        <w:t>’</w:t>
      </w:r>
      <w:r w:rsidR="00691CD6">
        <w:rPr>
          <w:szCs w:val="24"/>
        </w:rPr>
        <w:t>s tree trimming program</w:t>
      </w:r>
      <w:r>
        <w:rPr>
          <w:szCs w:val="24"/>
        </w:rPr>
        <w:t xml:space="preserve"> </w:t>
      </w:r>
      <w:r w:rsidR="00A11470">
        <w:rPr>
          <w:szCs w:val="24"/>
        </w:rPr>
        <w:t>is</w:t>
      </w:r>
      <w:r>
        <w:rPr>
          <w:szCs w:val="24"/>
        </w:rPr>
        <w:t xml:space="preserve"> </w:t>
      </w:r>
      <w:r w:rsidR="004A39C0">
        <w:rPr>
          <w:szCs w:val="24"/>
        </w:rPr>
        <w:t xml:space="preserve">failing to </w:t>
      </w:r>
      <w:r>
        <w:rPr>
          <w:szCs w:val="24"/>
        </w:rPr>
        <w:t>provid</w:t>
      </w:r>
      <w:r w:rsidR="003B7A97">
        <w:rPr>
          <w:szCs w:val="24"/>
        </w:rPr>
        <w:t>e</w:t>
      </w:r>
      <w:r>
        <w:rPr>
          <w:szCs w:val="24"/>
        </w:rPr>
        <w:t xml:space="preserve"> customers with better</w:t>
      </w:r>
      <w:r w:rsidR="007B0122">
        <w:rPr>
          <w:szCs w:val="24"/>
        </w:rPr>
        <w:t xml:space="preserve"> electric service</w:t>
      </w:r>
      <w:r>
        <w:rPr>
          <w:szCs w:val="24"/>
        </w:rPr>
        <w:t xml:space="preserve"> reliability.</w:t>
      </w:r>
      <w:r w:rsidR="00AB176E">
        <w:rPr>
          <w:szCs w:val="24"/>
        </w:rPr>
        <w:t xml:space="preserve"> </w:t>
      </w:r>
      <w:r>
        <w:rPr>
          <w:szCs w:val="24"/>
        </w:rPr>
        <w:t xml:space="preserve">Customers </w:t>
      </w:r>
      <w:r w:rsidR="003B7A97">
        <w:rPr>
          <w:szCs w:val="24"/>
        </w:rPr>
        <w:t>experienc</w:t>
      </w:r>
      <w:r w:rsidR="0058302B">
        <w:rPr>
          <w:szCs w:val="24"/>
        </w:rPr>
        <w:t>ed</w:t>
      </w:r>
      <w:r w:rsidR="003B7A97">
        <w:rPr>
          <w:szCs w:val="24"/>
        </w:rPr>
        <w:t xml:space="preserve"> </w:t>
      </w:r>
      <w:r>
        <w:rPr>
          <w:szCs w:val="24"/>
        </w:rPr>
        <w:t xml:space="preserve">roughly </w:t>
      </w:r>
      <w:r w:rsidR="0058302B">
        <w:rPr>
          <w:szCs w:val="24"/>
        </w:rPr>
        <w:t>5</w:t>
      </w:r>
      <w:r>
        <w:rPr>
          <w:szCs w:val="24"/>
        </w:rPr>
        <w:t>2</w:t>
      </w:r>
      <w:r w:rsidR="00F429C7">
        <w:rPr>
          <w:szCs w:val="24"/>
        </w:rPr>
        <w:t>%</w:t>
      </w:r>
      <w:r>
        <w:rPr>
          <w:szCs w:val="24"/>
        </w:rPr>
        <w:t xml:space="preserve"> more tree-caused outages </w:t>
      </w:r>
      <w:r w:rsidR="0058302B">
        <w:rPr>
          <w:szCs w:val="24"/>
        </w:rPr>
        <w:t>in 2018</w:t>
      </w:r>
      <w:r>
        <w:rPr>
          <w:szCs w:val="24"/>
        </w:rPr>
        <w:t xml:space="preserve"> than in 2013</w:t>
      </w:r>
      <w:r w:rsidR="0058302B">
        <w:rPr>
          <w:szCs w:val="24"/>
        </w:rPr>
        <w:t xml:space="preserve"> and had more than double the number of customer minutes interrupted</w:t>
      </w:r>
      <w:r>
        <w:rPr>
          <w:szCs w:val="24"/>
        </w:rPr>
        <w:t xml:space="preserve">. </w:t>
      </w:r>
    </w:p>
    <w:p w:rsidR="00C84893" w:rsidP="00C364B6" w14:paraId="46F5F648" w14:textId="5C719ADB">
      <w:pPr>
        <w:pStyle w:val="Heading2"/>
      </w:pPr>
      <w:bookmarkStart w:id="10" w:name="_Toc19287252"/>
      <w:r>
        <w:t xml:space="preserve">The PUCO should require </w:t>
      </w:r>
      <w:r w:rsidR="0097465C">
        <w:t xml:space="preserve">AEP Ohio to </w:t>
      </w:r>
      <w:r w:rsidR="00F506F3">
        <w:t>refund</w:t>
      </w:r>
      <w:r w:rsidR="002E0D81">
        <w:t xml:space="preserve"> </w:t>
      </w:r>
      <w:r w:rsidR="005D3DDE">
        <w:t xml:space="preserve">to </w:t>
      </w:r>
      <w:r w:rsidR="0097465C">
        <w:t xml:space="preserve">customers </w:t>
      </w:r>
      <w:r w:rsidR="002E0D81">
        <w:t>p</w:t>
      </w:r>
      <w:r>
        <w:t>ast over-</w:t>
      </w:r>
      <w:r w:rsidR="00F94D18">
        <w:t>collections</w:t>
      </w:r>
      <w:r>
        <w:t xml:space="preserve"> with interest.</w:t>
      </w:r>
      <w:bookmarkEnd w:id="10"/>
    </w:p>
    <w:p w:rsidR="003858DE" w:rsidP="002518D0" w14:paraId="4602D38D" w14:textId="08706F92">
      <w:pPr>
        <w:spacing w:line="480" w:lineRule="auto"/>
        <w:rPr>
          <w:szCs w:val="24"/>
        </w:rPr>
      </w:pPr>
      <w:r>
        <w:tab/>
      </w:r>
      <w:r w:rsidRPr="00E338CF" w:rsidR="00F94D18">
        <w:rPr>
          <w:szCs w:val="24"/>
        </w:rPr>
        <w:t xml:space="preserve">AEP </w:t>
      </w:r>
      <w:r w:rsidR="0097465C">
        <w:rPr>
          <w:szCs w:val="24"/>
        </w:rPr>
        <w:t xml:space="preserve">Ohio </w:t>
      </w:r>
      <w:r w:rsidRPr="00E338CF" w:rsidR="00F94D18">
        <w:rPr>
          <w:szCs w:val="24"/>
        </w:rPr>
        <w:t>collected</w:t>
      </w:r>
      <w:r w:rsidR="00E338CF">
        <w:rPr>
          <w:szCs w:val="24"/>
        </w:rPr>
        <w:t xml:space="preserve"> </w:t>
      </w:r>
      <w:r w:rsidR="0097465C">
        <w:rPr>
          <w:szCs w:val="24"/>
        </w:rPr>
        <w:t xml:space="preserve">from customers over </w:t>
      </w:r>
      <w:r w:rsidRPr="00E338CF" w:rsidR="00F94D18">
        <w:rPr>
          <w:szCs w:val="24"/>
        </w:rPr>
        <w:t xml:space="preserve">$8.9 million more than </w:t>
      </w:r>
      <w:r w:rsidR="0097465C">
        <w:rPr>
          <w:szCs w:val="24"/>
        </w:rPr>
        <w:t xml:space="preserve">its </w:t>
      </w:r>
      <w:r w:rsidRPr="00E338CF" w:rsidR="00F94D18">
        <w:rPr>
          <w:szCs w:val="24"/>
        </w:rPr>
        <w:t xml:space="preserve">expenditures in 2017 and has over-collected more than $30 million since the beginning of </w:t>
      </w:r>
      <w:r w:rsidR="0097465C">
        <w:rPr>
          <w:szCs w:val="24"/>
        </w:rPr>
        <w:t>th</w:t>
      </w:r>
      <w:r w:rsidR="00691CD6">
        <w:rPr>
          <w:szCs w:val="24"/>
        </w:rPr>
        <w:t>is</w:t>
      </w:r>
      <w:r w:rsidR="0097465C">
        <w:rPr>
          <w:szCs w:val="24"/>
        </w:rPr>
        <w:t xml:space="preserve"> </w:t>
      </w:r>
      <w:r w:rsidR="00691CD6">
        <w:rPr>
          <w:szCs w:val="24"/>
        </w:rPr>
        <w:t xml:space="preserve">tree trimming program </w:t>
      </w:r>
      <w:r w:rsidR="007B0122">
        <w:rPr>
          <w:szCs w:val="24"/>
        </w:rPr>
        <w:t xml:space="preserve">11 </w:t>
      </w:r>
      <w:r w:rsidR="00691CD6">
        <w:rPr>
          <w:szCs w:val="24"/>
        </w:rPr>
        <w:t>years ago</w:t>
      </w:r>
      <w:r w:rsidRPr="00E338CF" w:rsidR="00F94D18">
        <w:rPr>
          <w:szCs w:val="24"/>
        </w:rPr>
        <w:t>.</w:t>
      </w:r>
      <w:r w:rsidR="00AB176E">
        <w:rPr>
          <w:szCs w:val="24"/>
        </w:rPr>
        <w:t xml:space="preserve"> </w:t>
      </w:r>
      <w:r w:rsidRPr="00E338CF" w:rsidR="00F94D18">
        <w:rPr>
          <w:szCs w:val="24"/>
        </w:rPr>
        <w:t>That is a lot of customers</w:t>
      </w:r>
      <w:r w:rsidR="00AB176E">
        <w:rPr>
          <w:szCs w:val="24"/>
        </w:rPr>
        <w:t>’</w:t>
      </w:r>
      <w:r w:rsidRPr="00E338CF" w:rsidR="00F94D18">
        <w:rPr>
          <w:szCs w:val="24"/>
        </w:rPr>
        <w:t xml:space="preserve"> money that should be refunded.</w:t>
      </w:r>
      <w:r w:rsidR="00AB176E">
        <w:rPr>
          <w:szCs w:val="24"/>
        </w:rPr>
        <w:t xml:space="preserve"> </w:t>
      </w:r>
      <w:r w:rsidR="00E338CF">
        <w:rPr>
          <w:szCs w:val="24"/>
        </w:rPr>
        <w:t>These over-collections are used to lower the future years</w:t>
      </w:r>
      <w:r w:rsidR="00AB176E">
        <w:rPr>
          <w:szCs w:val="24"/>
        </w:rPr>
        <w:t>’</w:t>
      </w:r>
      <w:r w:rsidR="00E338CF">
        <w:rPr>
          <w:szCs w:val="24"/>
        </w:rPr>
        <w:t xml:space="preserve"> ESRR rates.</w:t>
      </w:r>
      <w:r w:rsidR="00AB176E">
        <w:rPr>
          <w:szCs w:val="24"/>
        </w:rPr>
        <w:t xml:space="preserve"> </w:t>
      </w:r>
      <w:r w:rsidR="00E338CF">
        <w:rPr>
          <w:szCs w:val="24"/>
        </w:rPr>
        <w:t xml:space="preserve">However, the PUCO should require that these large over-collections be </w:t>
      </w:r>
      <w:r w:rsidR="002E0D81">
        <w:rPr>
          <w:szCs w:val="24"/>
        </w:rPr>
        <w:t>credited</w:t>
      </w:r>
      <w:r w:rsidR="00E338CF">
        <w:rPr>
          <w:szCs w:val="24"/>
        </w:rPr>
        <w:t xml:space="preserve"> back </w:t>
      </w:r>
      <w:r w:rsidR="002E0D81">
        <w:rPr>
          <w:szCs w:val="24"/>
        </w:rPr>
        <w:t xml:space="preserve">to customers </w:t>
      </w:r>
      <w:r w:rsidR="00E338CF">
        <w:rPr>
          <w:szCs w:val="24"/>
        </w:rPr>
        <w:t>with interest, at a rate of at least the long-term cost of debt.</w:t>
      </w:r>
      <w:r w:rsidR="00AB176E">
        <w:rPr>
          <w:szCs w:val="24"/>
        </w:rPr>
        <w:t xml:space="preserve"> </w:t>
      </w:r>
    </w:p>
    <w:p w:rsidR="00C84893" w:rsidRPr="003858DE" w:rsidP="003858DE" w14:paraId="50FBB375" w14:textId="524DC8F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When calculating rider rates to collect </w:t>
      </w:r>
      <w:r w:rsidR="0097465C">
        <w:rPr>
          <w:szCs w:val="24"/>
        </w:rPr>
        <w:t xml:space="preserve">its </w:t>
      </w:r>
      <w:r>
        <w:rPr>
          <w:szCs w:val="24"/>
        </w:rPr>
        <w:t xml:space="preserve">costs, AEP </w:t>
      </w:r>
      <w:r w:rsidR="0097465C">
        <w:rPr>
          <w:szCs w:val="24"/>
        </w:rPr>
        <w:t xml:space="preserve">Ohio </w:t>
      </w:r>
      <w:r>
        <w:rPr>
          <w:szCs w:val="24"/>
        </w:rPr>
        <w:t>typically includes interest to recover the time value of money.</w:t>
      </w:r>
      <w:r w:rsidR="00AB176E">
        <w:rPr>
          <w:szCs w:val="24"/>
        </w:rPr>
        <w:t xml:space="preserve"> </w:t>
      </w:r>
      <w:r>
        <w:rPr>
          <w:szCs w:val="24"/>
        </w:rPr>
        <w:t xml:space="preserve">Therefore, it seems reasonable that when </w:t>
      </w:r>
      <w:r w:rsidR="0097465C">
        <w:rPr>
          <w:szCs w:val="24"/>
        </w:rPr>
        <w:t xml:space="preserve">AEP Ohio </w:t>
      </w:r>
      <w:r w:rsidR="00D0456F">
        <w:rPr>
          <w:szCs w:val="24"/>
        </w:rPr>
        <w:t xml:space="preserve">owes </w:t>
      </w:r>
      <w:r w:rsidR="0097465C">
        <w:rPr>
          <w:szCs w:val="24"/>
        </w:rPr>
        <w:t xml:space="preserve">money to </w:t>
      </w:r>
      <w:r w:rsidR="00D0456F">
        <w:rPr>
          <w:szCs w:val="24"/>
        </w:rPr>
        <w:t xml:space="preserve">customers, especially of this magnitude, </w:t>
      </w:r>
      <w:r w:rsidR="0097465C">
        <w:rPr>
          <w:szCs w:val="24"/>
        </w:rPr>
        <w:t xml:space="preserve">the money </w:t>
      </w:r>
      <w:r w:rsidR="00D0456F">
        <w:rPr>
          <w:szCs w:val="24"/>
        </w:rPr>
        <w:t xml:space="preserve">should be paid back with interest. </w:t>
      </w:r>
    </w:p>
    <w:p w:rsidR="005E2783" w:rsidRPr="00AF6164" w:rsidP="00C364B6" w14:paraId="7807EE34" w14:textId="0E130B69">
      <w:pPr>
        <w:pStyle w:val="Heading2"/>
      </w:pPr>
      <w:bookmarkStart w:id="11" w:name="_Toc19287253"/>
      <w:r w:rsidRPr="00AF6164">
        <w:t xml:space="preserve">The PUCO should determine if </w:t>
      </w:r>
      <w:r w:rsidR="00F506F3">
        <w:t>AEP Ohio</w:t>
      </w:r>
      <w:r w:rsidR="00AB176E">
        <w:t>’</w:t>
      </w:r>
      <w:r w:rsidR="00F506F3">
        <w:t>s tree trimming charge</w:t>
      </w:r>
      <w:r w:rsidRPr="00AF6164">
        <w:t xml:space="preserve"> should be </w:t>
      </w:r>
      <w:r w:rsidR="003858DE">
        <w:t>dis</w:t>
      </w:r>
      <w:r w:rsidRPr="00AF6164">
        <w:t>continued.</w:t>
      </w:r>
      <w:bookmarkEnd w:id="11"/>
    </w:p>
    <w:p w:rsidR="005E2783" w:rsidRPr="000119C7" w:rsidP="005E2783" w14:paraId="634A32B4" w14:textId="7E41F8B7">
      <w:pPr>
        <w:spacing w:line="480" w:lineRule="auto"/>
        <w:ind w:firstLine="720"/>
        <w:rPr>
          <w:szCs w:val="24"/>
        </w:rPr>
      </w:pPr>
      <w:r w:rsidRPr="000119C7">
        <w:rPr>
          <w:szCs w:val="24"/>
        </w:rPr>
        <w:t xml:space="preserve">Given that AEP </w:t>
      </w:r>
      <w:r w:rsidR="0097465C">
        <w:rPr>
          <w:szCs w:val="24"/>
        </w:rPr>
        <w:t>Ohio</w:t>
      </w:r>
      <w:r w:rsidR="00AB176E">
        <w:rPr>
          <w:szCs w:val="24"/>
        </w:rPr>
        <w:t>’</w:t>
      </w:r>
      <w:r w:rsidR="0097465C">
        <w:rPr>
          <w:szCs w:val="24"/>
        </w:rPr>
        <w:t xml:space="preserve">s </w:t>
      </w:r>
      <w:r w:rsidR="005D3DDE">
        <w:rPr>
          <w:szCs w:val="24"/>
        </w:rPr>
        <w:t xml:space="preserve">tree trimming charge </w:t>
      </w:r>
      <w:r w:rsidRPr="000119C7">
        <w:rPr>
          <w:szCs w:val="24"/>
        </w:rPr>
        <w:t xml:space="preserve">is </w:t>
      </w:r>
      <w:r w:rsidR="004A39C0">
        <w:rPr>
          <w:szCs w:val="24"/>
        </w:rPr>
        <w:t xml:space="preserve">not resulting in improved </w:t>
      </w:r>
      <w:r w:rsidR="007563C1">
        <w:rPr>
          <w:szCs w:val="24"/>
        </w:rPr>
        <w:t xml:space="preserve">electric service </w:t>
      </w:r>
      <w:r w:rsidRPr="000119C7">
        <w:rPr>
          <w:szCs w:val="24"/>
        </w:rPr>
        <w:t>reliability</w:t>
      </w:r>
      <w:r w:rsidR="007563C1">
        <w:rPr>
          <w:szCs w:val="24"/>
        </w:rPr>
        <w:t xml:space="preserve"> for customers</w:t>
      </w:r>
      <w:r w:rsidRPr="000119C7">
        <w:rPr>
          <w:szCs w:val="24"/>
        </w:rPr>
        <w:t xml:space="preserve">, the </w:t>
      </w:r>
      <w:r>
        <w:rPr>
          <w:szCs w:val="24"/>
        </w:rPr>
        <w:t>PUCO</w:t>
      </w:r>
      <w:r w:rsidRPr="000119C7">
        <w:rPr>
          <w:szCs w:val="24"/>
        </w:rPr>
        <w:t xml:space="preserve"> should </w:t>
      </w:r>
      <w:r w:rsidR="007563C1">
        <w:rPr>
          <w:szCs w:val="24"/>
        </w:rPr>
        <w:t>consider whether</w:t>
      </w:r>
      <w:r w:rsidRPr="000119C7">
        <w:rPr>
          <w:szCs w:val="24"/>
        </w:rPr>
        <w:t xml:space="preserve"> the ESRR should be </w:t>
      </w:r>
      <w:r w:rsidR="003858DE">
        <w:rPr>
          <w:szCs w:val="24"/>
        </w:rPr>
        <w:t>dis</w:t>
      </w:r>
      <w:r w:rsidRPr="000119C7">
        <w:rPr>
          <w:szCs w:val="24"/>
        </w:rPr>
        <w:t>continued</w:t>
      </w:r>
      <w:r w:rsidR="003B7A97">
        <w:rPr>
          <w:szCs w:val="24"/>
        </w:rPr>
        <w:t>.</w:t>
      </w:r>
      <w:r w:rsidR="00AB176E">
        <w:rPr>
          <w:szCs w:val="24"/>
        </w:rPr>
        <w:t xml:space="preserve"> </w:t>
      </w:r>
      <w:r w:rsidRPr="000119C7">
        <w:rPr>
          <w:szCs w:val="24"/>
        </w:rPr>
        <w:t xml:space="preserve">AEP Ohio has demonstrated an inability or unwillingness to implement the four-year cycle-based </w:t>
      </w:r>
      <w:r w:rsidR="00E91383">
        <w:rPr>
          <w:szCs w:val="24"/>
        </w:rPr>
        <w:t xml:space="preserve">tree trimming </w:t>
      </w:r>
      <w:r w:rsidRPr="000119C7">
        <w:rPr>
          <w:szCs w:val="24"/>
        </w:rPr>
        <w:t xml:space="preserve">program that the </w:t>
      </w:r>
      <w:r w:rsidR="003B7A97">
        <w:rPr>
          <w:szCs w:val="24"/>
        </w:rPr>
        <w:t>additional</w:t>
      </w:r>
      <w:r w:rsidRPr="000119C7">
        <w:rPr>
          <w:szCs w:val="24"/>
        </w:rPr>
        <w:t xml:space="preserve"> </w:t>
      </w:r>
      <w:r w:rsidR="00E91383">
        <w:rPr>
          <w:szCs w:val="24"/>
        </w:rPr>
        <w:t xml:space="preserve">charges collected from consumers over the past </w:t>
      </w:r>
      <w:r w:rsidR="007563C1">
        <w:rPr>
          <w:szCs w:val="24"/>
        </w:rPr>
        <w:t xml:space="preserve">11 </w:t>
      </w:r>
      <w:r w:rsidR="00E91383">
        <w:rPr>
          <w:szCs w:val="24"/>
        </w:rPr>
        <w:t>years</w:t>
      </w:r>
      <w:r w:rsidR="00AB176E">
        <w:rPr>
          <w:szCs w:val="24"/>
        </w:rPr>
        <w:t xml:space="preserve"> </w:t>
      </w:r>
      <w:r w:rsidRPr="000119C7">
        <w:rPr>
          <w:szCs w:val="24"/>
        </w:rPr>
        <w:t>w</w:t>
      </w:r>
      <w:r w:rsidR="005D3DDE">
        <w:rPr>
          <w:szCs w:val="24"/>
        </w:rPr>
        <w:t>ere</w:t>
      </w:r>
      <w:r w:rsidRPr="000119C7">
        <w:rPr>
          <w:szCs w:val="24"/>
        </w:rPr>
        <w:t xml:space="preserve"> </w:t>
      </w:r>
      <w:r w:rsidR="00F27BAC">
        <w:rPr>
          <w:szCs w:val="24"/>
        </w:rPr>
        <w:t xml:space="preserve">designed </w:t>
      </w:r>
      <w:r w:rsidRPr="000119C7">
        <w:rPr>
          <w:szCs w:val="24"/>
        </w:rPr>
        <w:t>to achieve.</w:t>
      </w:r>
      <w:r w:rsidR="00AB176E">
        <w:rPr>
          <w:szCs w:val="24"/>
        </w:rPr>
        <w:t xml:space="preserve"> </w:t>
      </w:r>
      <w:r w:rsidRPr="000119C7">
        <w:rPr>
          <w:szCs w:val="24"/>
        </w:rPr>
        <w:t xml:space="preserve">This </w:t>
      </w:r>
      <w:r w:rsidR="004A39C0">
        <w:rPr>
          <w:szCs w:val="24"/>
        </w:rPr>
        <w:t xml:space="preserve">increased charge to </w:t>
      </w:r>
      <w:r w:rsidRPr="000119C7">
        <w:rPr>
          <w:szCs w:val="24"/>
        </w:rPr>
        <w:t>customer</w:t>
      </w:r>
      <w:r w:rsidR="004A39C0">
        <w:rPr>
          <w:szCs w:val="24"/>
        </w:rPr>
        <w:t>s</w:t>
      </w:r>
      <w:r w:rsidRPr="000119C7">
        <w:rPr>
          <w:szCs w:val="24"/>
        </w:rPr>
        <w:t xml:space="preserve"> has morphed into what can only be described as unjust and unreasonable spending that is not fulfilling its intended purpose.</w:t>
      </w:r>
    </w:p>
    <w:p w:rsidR="0097465C" w:rsidP="005E2783" w14:paraId="024E9913" w14:textId="5CB96105">
      <w:pPr>
        <w:spacing w:line="480" w:lineRule="auto"/>
        <w:ind w:firstLine="720"/>
        <w:rPr>
          <w:szCs w:val="24"/>
        </w:rPr>
      </w:pPr>
      <w:r w:rsidRPr="000119C7">
        <w:rPr>
          <w:szCs w:val="24"/>
        </w:rPr>
        <w:t xml:space="preserve">In addition to the $24.2 million AEP Ohio is </w:t>
      </w:r>
      <w:r>
        <w:rPr>
          <w:szCs w:val="24"/>
        </w:rPr>
        <w:t>charging</w:t>
      </w:r>
      <w:r w:rsidRPr="000119C7">
        <w:rPr>
          <w:szCs w:val="24"/>
        </w:rPr>
        <w:t xml:space="preserve"> customers in base rates and the $26 million authorized </w:t>
      </w:r>
      <w:r w:rsidR="004A39C0">
        <w:rPr>
          <w:szCs w:val="24"/>
        </w:rPr>
        <w:t xml:space="preserve">(plus additional unauthorized spending) </w:t>
      </w:r>
      <w:r w:rsidRPr="000119C7">
        <w:rPr>
          <w:szCs w:val="24"/>
        </w:rPr>
        <w:t>for the ESRR</w:t>
      </w:r>
      <w:r w:rsidR="001125AB">
        <w:rPr>
          <w:szCs w:val="24"/>
        </w:rPr>
        <w:t xml:space="preserve">, </w:t>
      </w:r>
      <w:r w:rsidRPr="000119C7">
        <w:rPr>
          <w:szCs w:val="24"/>
        </w:rPr>
        <w:t xml:space="preserve">AEP Ohio is also using the Distribution Investment Rider (“DIR”) as another means to extract more </w:t>
      </w:r>
      <w:r w:rsidR="00A07F3D">
        <w:rPr>
          <w:szCs w:val="24"/>
        </w:rPr>
        <w:t xml:space="preserve">purported </w:t>
      </w:r>
      <w:r w:rsidR="005D3DDE">
        <w:rPr>
          <w:szCs w:val="24"/>
        </w:rPr>
        <w:t xml:space="preserve">tree trimming </w:t>
      </w:r>
      <w:r w:rsidRPr="000119C7">
        <w:rPr>
          <w:szCs w:val="24"/>
        </w:rPr>
        <w:t>money from customers.</w:t>
      </w:r>
      <w:r w:rsidR="00AB176E">
        <w:rPr>
          <w:szCs w:val="24"/>
        </w:rPr>
        <w:t xml:space="preserve"> </w:t>
      </w:r>
      <w:r w:rsidRPr="000119C7">
        <w:rPr>
          <w:szCs w:val="24"/>
        </w:rPr>
        <w:t>In 2016, AEP Ohio projected spending $4.6 million for “Forestry” as a component in its DIR Work Plan.</w:t>
      </w:r>
      <w:r>
        <w:rPr>
          <w:rStyle w:val="FootnoteReference"/>
          <w:szCs w:val="24"/>
        </w:rPr>
        <w:footnoteReference w:id="33"/>
      </w:r>
      <w:r w:rsidRPr="000119C7">
        <w:rPr>
          <w:szCs w:val="24"/>
        </w:rPr>
        <w:t xml:space="preserve"> </w:t>
      </w:r>
    </w:p>
    <w:p w:rsidR="005E2783" w:rsidP="004D307B" w14:paraId="054D8408" w14:textId="00EA8F2F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In recent comments regarding the DIR, OCC raised concerns about the potential </w:t>
      </w:r>
      <w:r w:rsidR="009B46D1">
        <w:rPr>
          <w:szCs w:val="24"/>
        </w:rPr>
        <w:t xml:space="preserve">for </w:t>
      </w:r>
      <w:r>
        <w:rPr>
          <w:szCs w:val="24"/>
        </w:rPr>
        <w:t xml:space="preserve">double-collection of </w:t>
      </w:r>
      <w:r w:rsidR="00E91383">
        <w:rPr>
          <w:szCs w:val="24"/>
        </w:rPr>
        <w:t>tree trimming</w:t>
      </w:r>
      <w:r>
        <w:rPr>
          <w:szCs w:val="24"/>
        </w:rPr>
        <w:t xml:space="preserve"> costs </w:t>
      </w:r>
      <w:r w:rsidR="0097465C">
        <w:rPr>
          <w:szCs w:val="24"/>
        </w:rPr>
        <w:t xml:space="preserve">among </w:t>
      </w:r>
      <w:r w:rsidR="009B46D1">
        <w:rPr>
          <w:szCs w:val="24"/>
        </w:rPr>
        <w:t>base rates</w:t>
      </w:r>
      <w:r w:rsidR="0097465C">
        <w:rPr>
          <w:szCs w:val="24"/>
        </w:rPr>
        <w:t>,</w:t>
      </w:r>
      <w:r w:rsidR="009B46D1">
        <w:rPr>
          <w:szCs w:val="24"/>
        </w:rPr>
        <w:t xml:space="preserve"> the ESRR</w:t>
      </w:r>
      <w:r w:rsidR="0097465C">
        <w:rPr>
          <w:szCs w:val="24"/>
        </w:rPr>
        <w:t>,</w:t>
      </w:r>
      <w:r w:rsidR="009B46D1">
        <w:rPr>
          <w:szCs w:val="24"/>
        </w:rPr>
        <w:t xml:space="preserve"> and the DIR.</w:t>
      </w:r>
      <w:r>
        <w:rPr>
          <w:rStyle w:val="FootnoteReference"/>
          <w:szCs w:val="24"/>
        </w:rPr>
        <w:footnoteReference w:id="34"/>
      </w:r>
      <w:r w:rsidR="00AB176E">
        <w:rPr>
          <w:szCs w:val="24"/>
        </w:rPr>
        <w:t xml:space="preserve"> </w:t>
      </w:r>
      <w:r w:rsidRPr="000119C7">
        <w:rPr>
          <w:szCs w:val="24"/>
        </w:rPr>
        <w:t xml:space="preserve">Considering all the money AEP Ohio is spending on </w:t>
      </w:r>
      <w:r w:rsidR="00E91383">
        <w:rPr>
          <w:szCs w:val="24"/>
        </w:rPr>
        <w:t>tree trimming</w:t>
      </w:r>
      <w:r w:rsidRPr="000119C7">
        <w:rPr>
          <w:szCs w:val="24"/>
        </w:rPr>
        <w:t>, customers have a right to expect much better reliability</w:t>
      </w:r>
      <w:r w:rsidR="004A39C0">
        <w:rPr>
          <w:szCs w:val="24"/>
        </w:rPr>
        <w:t xml:space="preserve"> than is currently being delivered by AEP Ohio</w:t>
      </w:r>
      <w:r w:rsidRPr="000119C7">
        <w:rPr>
          <w:szCs w:val="24"/>
        </w:rPr>
        <w:t>.</w:t>
      </w:r>
    </w:p>
    <w:p w:rsidR="007563C1" w:rsidP="004D307B" w14:paraId="1E2D08AA" w14:textId="7FCE069A">
      <w:pPr>
        <w:spacing w:line="480" w:lineRule="auto"/>
        <w:ind w:firstLine="720"/>
        <w:rPr>
          <w:szCs w:val="24"/>
        </w:rPr>
      </w:pPr>
      <w:r>
        <w:rPr>
          <w:szCs w:val="24"/>
        </w:rPr>
        <w:t>The PUCO should conduct a</w:t>
      </w:r>
      <w:r w:rsidRPr="007563C1">
        <w:rPr>
          <w:szCs w:val="24"/>
        </w:rPr>
        <w:t xml:space="preserve"> </w:t>
      </w:r>
      <w:r>
        <w:rPr>
          <w:szCs w:val="24"/>
        </w:rPr>
        <w:t xml:space="preserve">comprehensive </w:t>
      </w:r>
      <w:r w:rsidR="00FF1D83">
        <w:rPr>
          <w:szCs w:val="24"/>
        </w:rPr>
        <w:t>investigation of</w:t>
      </w:r>
      <w:r>
        <w:rPr>
          <w:szCs w:val="24"/>
        </w:rPr>
        <w:t xml:space="preserve"> </w:t>
      </w:r>
      <w:r w:rsidRPr="000119C7">
        <w:rPr>
          <w:szCs w:val="24"/>
        </w:rPr>
        <w:t>AEP Ohio</w:t>
      </w:r>
      <w:r w:rsidR="00AB176E">
        <w:rPr>
          <w:szCs w:val="24"/>
        </w:rPr>
        <w:t>’</w:t>
      </w:r>
      <w:r w:rsidRPr="000119C7">
        <w:rPr>
          <w:szCs w:val="24"/>
        </w:rPr>
        <w:t xml:space="preserve">s spending on </w:t>
      </w:r>
      <w:r>
        <w:rPr>
          <w:szCs w:val="24"/>
        </w:rPr>
        <w:t>tree trimming</w:t>
      </w:r>
      <w:r w:rsidR="00FF1D83">
        <w:rPr>
          <w:szCs w:val="24"/>
        </w:rPr>
        <w:t xml:space="preserve"> to determine whether the ESRR is a waste of consumers</w:t>
      </w:r>
      <w:r w:rsidR="00AB176E">
        <w:rPr>
          <w:szCs w:val="24"/>
        </w:rPr>
        <w:t>’</w:t>
      </w:r>
      <w:r w:rsidR="00FF1D83">
        <w:rPr>
          <w:szCs w:val="24"/>
        </w:rPr>
        <w:t xml:space="preserve"> money.</w:t>
      </w:r>
      <w:r w:rsidR="00AB176E">
        <w:rPr>
          <w:szCs w:val="24"/>
        </w:rPr>
        <w:t xml:space="preserve"> </w:t>
      </w:r>
      <w:r w:rsidR="00FF1D83">
        <w:rPr>
          <w:szCs w:val="24"/>
        </w:rPr>
        <w:t>Consumers were promised reliability benefits from AEP Ohio</w:t>
      </w:r>
      <w:r w:rsidR="00AB176E">
        <w:rPr>
          <w:szCs w:val="24"/>
        </w:rPr>
        <w:t>’</w:t>
      </w:r>
      <w:r w:rsidR="00FF1D83">
        <w:rPr>
          <w:szCs w:val="24"/>
        </w:rPr>
        <w:t>s tree trimming spending, but they certainly aren</w:t>
      </w:r>
      <w:r w:rsidR="00AB176E">
        <w:rPr>
          <w:szCs w:val="24"/>
        </w:rPr>
        <w:t>’</w:t>
      </w:r>
      <w:r w:rsidR="00FF1D83">
        <w:rPr>
          <w:szCs w:val="24"/>
        </w:rPr>
        <w:t>t receiving the promised benefits.</w:t>
      </w:r>
    </w:p>
    <w:p w:rsidR="005E2783" w:rsidRPr="008A2BCE" w:rsidP="00F429C7" w14:paraId="09CEE4BA" w14:textId="28DC65FA">
      <w:pPr>
        <w:pStyle w:val="Heading1"/>
      </w:pPr>
      <w:bookmarkStart w:id="12" w:name="_Toc19287254"/>
      <w:r>
        <w:t>I</w:t>
      </w:r>
      <w:r w:rsidR="005D07BA">
        <w:t>II</w:t>
      </w:r>
      <w:r>
        <w:t>.</w:t>
      </w:r>
      <w:r>
        <w:tab/>
        <w:t>CONCLUSION</w:t>
      </w:r>
      <w:bookmarkEnd w:id="12"/>
      <w:r w:rsidR="00AB176E">
        <w:t xml:space="preserve"> </w:t>
      </w:r>
      <w:r w:rsidRPr="008A2BCE">
        <w:t xml:space="preserve"> </w:t>
      </w:r>
    </w:p>
    <w:p w:rsidR="005E2783" w:rsidRPr="00D44EF2" w:rsidP="005E2783" w14:paraId="6129616D" w14:textId="3EBB4489">
      <w:pPr>
        <w:spacing w:line="480" w:lineRule="auto"/>
        <w:ind w:firstLine="720"/>
        <w:rPr>
          <w:szCs w:val="24"/>
        </w:rPr>
      </w:pPr>
      <w:r>
        <w:rPr>
          <w:szCs w:val="24"/>
        </w:rPr>
        <w:t>AEP Ohio</w:t>
      </w:r>
      <w:r w:rsidR="00AB176E">
        <w:rPr>
          <w:szCs w:val="24"/>
        </w:rPr>
        <w:t>’</w:t>
      </w:r>
      <w:r>
        <w:rPr>
          <w:szCs w:val="24"/>
        </w:rPr>
        <w:t>s ESRR charges are unjust, unreasonable, and unauthorized.</w:t>
      </w:r>
      <w:r w:rsidR="00AB176E">
        <w:rPr>
          <w:szCs w:val="24"/>
        </w:rPr>
        <w:t xml:space="preserve"> </w:t>
      </w:r>
      <w:r w:rsidR="003B7A97">
        <w:rPr>
          <w:szCs w:val="24"/>
        </w:rPr>
        <w:t xml:space="preserve"> AEP</w:t>
      </w:r>
      <w:r>
        <w:rPr>
          <w:szCs w:val="24"/>
        </w:rPr>
        <w:t xml:space="preserve"> </w:t>
      </w:r>
      <w:r w:rsidR="0097465C">
        <w:rPr>
          <w:szCs w:val="24"/>
        </w:rPr>
        <w:t xml:space="preserve">Ohio </w:t>
      </w:r>
      <w:r>
        <w:rPr>
          <w:szCs w:val="24"/>
        </w:rPr>
        <w:t>has not lived up to its own tree</w:t>
      </w:r>
      <w:r w:rsidR="007563C1">
        <w:rPr>
          <w:szCs w:val="24"/>
        </w:rPr>
        <w:t xml:space="preserve"> </w:t>
      </w:r>
      <w:r>
        <w:rPr>
          <w:szCs w:val="24"/>
        </w:rPr>
        <w:t>trimming plan.</w:t>
      </w:r>
      <w:r w:rsidR="00AB176E">
        <w:rPr>
          <w:szCs w:val="24"/>
        </w:rPr>
        <w:t xml:space="preserve"> </w:t>
      </w:r>
      <w:r w:rsidR="00FF1D83">
        <w:rPr>
          <w:szCs w:val="24"/>
        </w:rPr>
        <w:t>It is time for this “transitional” charge to end.</w:t>
      </w:r>
      <w:r w:rsidR="00AB176E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5E2783" w:rsidRPr="00D44EF2" w:rsidP="005E2783" w14:paraId="0B8B72BC" w14:textId="327BDFFD">
      <w:pPr>
        <w:rPr>
          <w:szCs w:val="24"/>
        </w:rPr>
      </w:pPr>
      <w:r>
        <w:rPr>
          <w:szCs w:val="24"/>
        </w:rPr>
        <w:t xml:space="preserve">   </w:t>
      </w:r>
    </w:p>
    <w:p w:rsidR="00FF7A8A" w14:paraId="7FBD4B7E" w14:textId="77777777">
      <w:pPr>
        <w:tabs>
          <w:tab w:val="left" w:pos="4320"/>
        </w:tabs>
      </w:pPr>
    </w:p>
    <w:p w:rsidR="00FF7A8A" w:rsidP="00FF7A8A" w14:paraId="1C061FA1" w14:textId="77777777">
      <w:pPr>
        <w:pStyle w:val="BodyTextIndent3"/>
        <w:spacing w:line="240" w:lineRule="auto"/>
        <w:ind w:left="4320" w:firstLine="0"/>
        <w:rPr>
          <w:szCs w:val="24"/>
        </w:rPr>
      </w:pPr>
      <w:r>
        <w:rPr>
          <w:szCs w:val="24"/>
        </w:rPr>
        <w:t>Respectfully submitted,</w:t>
      </w:r>
    </w:p>
    <w:p w:rsidR="00FF7A8A" w:rsidP="00FF7A8A" w14:paraId="31F82AE5" w14:textId="77777777">
      <w:pPr>
        <w:pStyle w:val="BodyTextIndent3"/>
        <w:spacing w:line="240" w:lineRule="auto"/>
        <w:ind w:left="4320" w:firstLine="0"/>
        <w:rPr>
          <w:szCs w:val="24"/>
        </w:rPr>
      </w:pPr>
    </w:p>
    <w:p w:rsidR="00FF7A8A" w:rsidP="00FF7A8A" w14:paraId="18927101" w14:textId="77777777">
      <w:pPr>
        <w:pStyle w:val="Footer"/>
        <w:tabs>
          <w:tab w:val="left" w:pos="4320"/>
          <w:tab w:val="clear" w:pos="864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Bruce Weston (0016973)</w:t>
      </w:r>
    </w:p>
    <w:p w:rsidR="00FF7A8A" w:rsidP="00FF7A8A" w14:paraId="4505F6B9" w14:textId="28BBB549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</w:t>
      </w:r>
      <w:r w:rsidR="00AB176E">
        <w:rPr>
          <w:szCs w:val="24"/>
        </w:rPr>
        <w:t>’</w:t>
      </w:r>
      <w:r>
        <w:rPr>
          <w:szCs w:val="24"/>
        </w:rPr>
        <w:t xml:space="preserve"> Counsel</w:t>
      </w:r>
    </w:p>
    <w:p w:rsidR="00FF7A8A" w:rsidP="00FF7A8A" w14:paraId="10D6FC5D" w14:textId="77777777">
      <w:pPr>
        <w:tabs>
          <w:tab w:val="left" w:pos="4320"/>
        </w:tabs>
        <w:ind w:left="4320"/>
        <w:rPr>
          <w:szCs w:val="24"/>
        </w:rPr>
      </w:pPr>
    </w:p>
    <w:p w:rsidR="00FF7A8A" w:rsidRPr="00EF3C60" w:rsidP="00FF7A8A" w14:paraId="229C3781" w14:textId="309B0928">
      <w:pPr>
        <w:tabs>
          <w:tab w:val="left" w:pos="4320"/>
        </w:tabs>
      </w:pPr>
      <w:r>
        <w:rPr>
          <w:szCs w:val="24"/>
        </w:rPr>
        <w:tab/>
      </w:r>
      <w:r>
        <w:rPr>
          <w:i/>
          <w:szCs w:val="24"/>
          <w:u w:val="single"/>
        </w:rPr>
        <w:t xml:space="preserve">/s/ </w:t>
      </w:r>
      <w:r w:rsidR="003731D3">
        <w:rPr>
          <w:i/>
          <w:szCs w:val="24"/>
          <w:u w:val="single"/>
        </w:rPr>
        <w:t>Terry L. Etter</w:t>
      </w:r>
      <w:r w:rsidR="00AB176E">
        <w:rPr>
          <w:i/>
          <w:szCs w:val="24"/>
          <w:u w:val="single"/>
        </w:rPr>
        <w:t xml:space="preserve">             </w:t>
      </w:r>
    </w:p>
    <w:p w:rsidR="00011094" w:rsidP="00FF7A8A" w14:paraId="623011C6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Terry L. Etter</w:t>
      </w:r>
      <w:r w:rsidR="00FF7A8A">
        <w:rPr>
          <w:szCs w:val="24"/>
        </w:rPr>
        <w:t xml:space="preserve"> (00</w:t>
      </w:r>
      <w:r>
        <w:rPr>
          <w:szCs w:val="24"/>
        </w:rPr>
        <w:t>67445</w:t>
      </w:r>
      <w:r w:rsidR="00FF7A8A">
        <w:rPr>
          <w:szCs w:val="24"/>
        </w:rPr>
        <w:t>)</w:t>
      </w:r>
    </w:p>
    <w:p w:rsidR="00FF7A8A" w:rsidP="00FF7A8A" w14:paraId="5E0A20C9" w14:textId="6926BA7C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Counsel of Record</w:t>
      </w:r>
    </w:p>
    <w:p w:rsidR="00FF7A8A" w:rsidP="00FF7A8A" w14:paraId="0B29F637" w14:textId="136FD49C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</w:t>
      </w:r>
      <w:r w:rsidR="00AB176E">
        <w:rPr>
          <w:szCs w:val="24"/>
        </w:rPr>
        <w:t>’</w:t>
      </w:r>
      <w:r>
        <w:rPr>
          <w:szCs w:val="24"/>
        </w:rPr>
        <w:t xml:space="preserve"> Counsel</w:t>
      </w:r>
    </w:p>
    <w:p w:rsidR="00FF7A8A" w:rsidRPr="005E2783" w:rsidP="003858DE" w14:paraId="5923A9BD" w14:textId="50859AD4">
      <w:pPr>
        <w:spacing w:before="120"/>
        <w:ind w:left="4320"/>
        <w:rPr>
          <w:b/>
        </w:rPr>
      </w:pPr>
      <w:r w:rsidRPr="005E2783">
        <w:rPr>
          <w:b/>
        </w:rPr>
        <w:t>Office of the Ohio Consumers</w:t>
      </w:r>
      <w:r w:rsidR="00AB176E">
        <w:rPr>
          <w:b/>
        </w:rPr>
        <w:t>’</w:t>
      </w:r>
      <w:r w:rsidRPr="005E2783">
        <w:rPr>
          <w:b/>
        </w:rPr>
        <w:t xml:space="preserve"> Counsel</w:t>
      </w:r>
    </w:p>
    <w:p w:rsidR="00FF7A8A" w:rsidRPr="005E2783" w:rsidP="005E2783" w14:paraId="4833A6C7" w14:textId="77777777">
      <w:pPr>
        <w:ind w:left="4320"/>
      </w:pPr>
      <w:r w:rsidRPr="005E2783">
        <w:t>65 East State Street, 7</w:t>
      </w:r>
      <w:r w:rsidRPr="005E2783">
        <w:rPr>
          <w:vertAlign w:val="superscript"/>
        </w:rPr>
        <w:t>th</w:t>
      </w:r>
      <w:r w:rsidRPr="005E2783">
        <w:t xml:space="preserve"> Floor</w:t>
      </w:r>
    </w:p>
    <w:p w:rsidR="00FF7A8A" w:rsidP="005E2783" w14:paraId="00920873" w14:textId="77777777">
      <w:pPr>
        <w:ind w:left="4320"/>
        <w:rPr>
          <w:b/>
        </w:rPr>
      </w:pPr>
      <w:r w:rsidRPr="005E2783">
        <w:t>Columbus, Ohio 43215</w:t>
      </w:r>
    </w:p>
    <w:p w:rsidR="00FF7A8A" w:rsidP="00FF7A8A" w14:paraId="7D5AC352" w14:textId="0F0613B8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Telephone: (614) 466-</w:t>
      </w:r>
      <w:r w:rsidR="003731D3">
        <w:rPr>
          <w:szCs w:val="24"/>
        </w:rPr>
        <w:t>7964</w:t>
      </w:r>
    </w:p>
    <w:p w:rsidR="00FF7A8A" w:rsidP="00FF7A8A" w14:paraId="1E040CB0" w14:textId="6B15AC59">
      <w:pPr>
        <w:autoSpaceDE w:val="0"/>
        <w:autoSpaceDN w:val="0"/>
        <w:adjustRightInd w:val="0"/>
        <w:ind w:left="4320"/>
        <w:rPr>
          <w:szCs w:val="24"/>
        </w:rPr>
      </w:pPr>
      <w:hyperlink r:id="rId6" w:history="1">
        <w:r w:rsidRPr="003731D3" w:rsidR="003731D3">
          <w:rPr>
            <w:rStyle w:val="Hyperlink"/>
            <w:szCs w:val="24"/>
          </w:rPr>
          <w:t>Terry.</w:t>
        </w:r>
        <w:r w:rsidRPr="00EF120D" w:rsidR="003731D3">
          <w:rPr>
            <w:rStyle w:val="Hyperlink"/>
            <w:szCs w:val="24"/>
          </w:rPr>
          <w:t>etter</w:t>
        </w:r>
        <w:r w:rsidRPr="00BC110C" w:rsidR="003731D3">
          <w:rPr>
            <w:rStyle w:val="Hyperlink"/>
            <w:szCs w:val="24"/>
          </w:rPr>
          <w:t>@occ.ohio.gov</w:t>
        </w:r>
      </w:hyperlink>
    </w:p>
    <w:p w:rsidR="005E2783" w:rsidP="003858DE" w14:paraId="4C208E04" w14:textId="18CACBD3">
      <w:pPr>
        <w:ind w:left="4320"/>
        <w:rPr>
          <w:szCs w:val="24"/>
        </w:rPr>
      </w:pPr>
      <w:r>
        <w:rPr>
          <w:szCs w:val="24"/>
        </w:rPr>
        <w:t>(</w:t>
      </w:r>
      <w:r w:rsidR="00011094">
        <w:rPr>
          <w:szCs w:val="24"/>
        </w:rPr>
        <w:t>w</w:t>
      </w:r>
      <w:r>
        <w:rPr>
          <w:szCs w:val="24"/>
        </w:rPr>
        <w:t>ill</w:t>
      </w:r>
      <w:r w:rsidR="00011094">
        <w:rPr>
          <w:szCs w:val="24"/>
        </w:rPr>
        <w:t>ing to</w:t>
      </w:r>
      <w:r>
        <w:rPr>
          <w:szCs w:val="24"/>
        </w:rPr>
        <w:t xml:space="preserve"> accept service </w:t>
      </w:r>
      <w:r w:rsidR="00011094">
        <w:rPr>
          <w:szCs w:val="24"/>
        </w:rPr>
        <w:t>by</w:t>
      </w:r>
      <w:r>
        <w:rPr>
          <w:szCs w:val="24"/>
        </w:rPr>
        <w:t xml:space="preserve"> e</w:t>
      </w:r>
      <w:r w:rsidR="00011094">
        <w:rPr>
          <w:szCs w:val="24"/>
        </w:rPr>
        <w:t>-</w:t>
      </w:r>
      <w:r>
        <w:rPr>
          <w:szCs w:val="24"/>
        </w:rPr>
        <w:t>mail)</w:t>
      </w:r>
      <w:r>
        <w:rPr>
          <w:szCs w:val="24"/>
        </w:rPr>
        <w:tab/>
      </w:r>
      <w:r>
        <w:rPr>
          <w:szCs w:val="24"/>
        </w:rPr>
        <w:tab/>
      </w:r>
    </w:p>
    <w:p w:rsidR="00FF7A8A" w:rsidP="005E2783" w14:paraId="17F51CC7" w14:textId="77777777">
      <w:pPr>
        <w:jc w:val="center"/>
        <w:rPr>
          <w:b/>
          <w:bCs/>
          <w:u w:val="single"/>
        </w:rPr>
      </w:pPr>
      <w:r>
        <w:rPr>
          <w:szCs w:val="24"/>
        </w:rPr>
        <w:br w:type="page"/>
      </w:r>
      <w:r>
        <w:rPr>
          <w:b/>
          <w:bCs/>
          <w:u w:val="single"/>
        </w:rPr>
        <w:t>CERTIFICATE OF SERVICE</w:t>
      </w:r>
    </w:p>
    <w:p w:rsidR="00FF7A8A" w14:paraId="315DB24B" w14:textId="33993C65">
      <w:pPr>
        <w:spacing w:line="480" w:lineRule="atLeast"/>
      </w:pPr>
      <w:r>
        <w:tab/>
        <w:t>I hereby certify that a copy of th</w:t>
      </w:r>
      <w:r w:rsidR="005E2783">
        <w:t xml:space="preserve">ese Comments </w:t>
      </w:r>
      <w:r>
        <w:t xml:space="preserve">was served on the persons stated below </w:t>
      </w:r>
      <w:r w:rsidRPr="00E9763A">
        <w:t>via</w:t>
      </w:r>
      <w:r>
        <w:t xml:space="preserve"> electronic transmission, this </w:t>
      </w:r>
      <w:r w:rsidR="00C66D1E">
        <w:t>13</w:t>
      </w:r>
      <w:r w:rsidRPr="00C66D1E" w:rsidR="00C66D1E">
        <w:rPr>
          <w:vertAlign w:val="superscript"/>
        </w:rPr>
        <w:t>th</w:t>
      </w:r>
      <w:r w:rsidR="00C66D1E">
        <w:t xml:space="preserve"> </w:t>
      </w:r>
      <w:r>
        <w:t xml:space="preserve">day of </w:t>
      </w:r>
      <w:r w:rsidR="00C66D1E">
        <w:t xml:space="preserve">September </w:t>
      </w:r>
      <w:r w:rsidR="005E2783">
        <w:t>2019</w:t>
      </w:r>
      <w:r>
        <w:t>.</w:t>
      </w:r>
    </w:p>
    <w:p w:rsidR="00FF7A8A" w14:paraId="728DC355" w14:textId="77777777">
      <w:pPr>
        <w:spacing w:line="480" w:lineRule="atLeast"/>
      </w:pPr>
    </w:p>
    <w:p w:rsidR="00FF7A8A" w:rsidRPr="00EF3C60" w:rsidP="00FF7A8A" w14:paraId="438B76C9" w14:textId="234C9B1C">
      <w:pPr>
        <w:tabs>
          <w:tab w:val="left" w:pos="4320"/>
        </w:tabs>
      </w:pPr>
      <w:r>
        <w:rPr>
          <w:szCs w:val="24"/>
        </w:rPr>
        <w:tab/>
      </w:r>
      <w:r>
        <w:rPr>
          <w:i/>
          <w:szCs w:val="24"/>
          <w:u w:val="single"/>
        </w:rPr>
        <w:t xml:space="preserve">/s/ </w:t>
      </w:r>
      <w:r w:rsidR="003731D3">
        <w:rPr>
          <w:i/>
          <w:szCs w:val="24"/>
          <w:u w:val="single"/>
        </w:rPr>
        <w:t>Terry L. Etter</w:t>
      </w:r>
      <w:r w:rsidR="00AB176E">
        <w:rPr>
          <w:i/>
          <w:szCs w:val="24"/>
          <w:u w:val="single"/>
        </w:rPr>
        <w:t xml:space="preserve">              </w:t>
      </w:r>
      <w:r>
        <w:rPr>
          <w:i/>
          <w:szCs w:val="24"/>
          <w:u w:val="single"/>
        </w:rPr>
        <w:t> </w:t>
      </w:r>
    </w:p>
    <w:p w:rsidR="00FF7A8A" w14:paraId="5858CDDE" w14:textId="4A4080D4">
      <w:pPr>
        <w:tabs>
          <w:tab w:val="left" w:pos="4320"/>
        </w:tabs>
      </w:pPr>
      <w:r>
        <w:tab/>
      </w:r>
      <w:r w:rsidR="003731D3">
        <w:t>Terry L</w:t>
      </w:r>
      <w:r>
        <w:t xml:space="preserve">. </w:t>
      </w:r>
      <w:r w:rsidR="003731D3">
        <w:t>Etter</w:t>
      </w:r>
    </w:p>
    <w:p w:rsidR="00FF7A8A" w14:paraId="61DE971C" w14:textId="5E06F55B">
      <w:pPr>
        <w:tabs>
          <w:tab w:val="left" w:pos="4320"/>
        </w:tabs>
      </w:pPr>
      <w:r>
        <w:tab/>
        <w:t>Assistant Consumers</w:t>
      </w:r>
      <w:r w:rsidR="00AB176E">
        <w:t>’</w:t>
      </w:r>
      <w:r>
        <w:t xml:space="preserve"> Counsel</w:t>
      </w:r>
    </w:p>
    <w:p w:rsidR="00FF7A8A" w14:paraId="335808BB" w14:textId="77777777">
      <w:pPr>
        <w:pStyle w:val="CommentSubject"/>
      </w:pPr>
    </w:p>
    <w:p w:rsidR="005D07BA" w:rsidRPr="00F2718B" w:rsidP="005D07BA" w14:paraId="2D808CED" w14:textId="77777777">
      <w:r>
        <w:t>The PUCO’s e-filing system will electronically serve notice of the filing of this document on the following parties:</w:t>
      </w:r>
    </w:p>
    <w:p w:rsidR="00FF7A8A" w14:paraId="5353B590" w14:textId="77777777">
      <w:pPr>
        <w:pStyle w:val="CommentText"/>
      </w:pPr>
    </w:p>
    <w:p w:rsidR="00FF7A8A" w14:paraId="4D694807" w14:textId="77777777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FF7A8A" w14:paraId="5AFD11E7" w14:textId="77777777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4383"/>
        <w:gridCol w:w="4257"/>
      </w:tblGrid>
      <w:tr w14:paraId="011A686E" w14:textId="77777777" w:rsidTr="00FF7A8A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FF7A8A" w:rsidRPr="00AF0DE9" w:rsidP="00FF7A8A" w14:paraId="39A4B132" w14:textId="279B1890">
            <w:pPr>
              <w:pStyle w:val="CommentText"/>
              <w:rPr>
                <w:rStyle w:val="Hyperlink"/>
              </w:rPr>
            </w:pPr>
            <w:r w:rsidRPr="00AF0DE9">
              <w:rPr>
                <w:rStyle w:val="Hyperlink"/>
              </w:rPr>
              <w:t>John.jones</w:t>
            </w:r>
            <w:hyperlink r:id="rId10" w:history="1">
              <w:r w:rsidRPr="00C97379">
                <w:rPr>
                  <w:rStyle w:val="Hyperlink"/>
                </w:rPr>
                <w:t>@ohioattorneygeneral.gov</w:t>
              </w:r>
            </w:hyperlink>
          </w:p>
          <w:p w:rsidR="00FF7A8A" w:rsidRPr="000B432B" w:rsidP="00FF7A8A" w14:paraId="7E2EA2AD" w14:textId="77777777">
            <w:pPr>
              <w:pStyle w:val="CommentText"/>
              <w:rPr>
                <w:u w:val="single"/>
              </w:rPr>
            </w:pPr>
          </w:p>
          <w:p w:rsidR="00FF7A8A" w:rsidP="00FF7A8A" w14:paraId="5E23CD0B" w14:textId="77777777">
            <w:pPr>
              <w:pStyle w:val="CommentText"/>
            </w:pPr>
            <w:r>
              <w:t>Attorney Examiners:</w:t>
            </w:r>
          </w:p>
          <w:p w:rsidR="00FF7A8A" w:rsidP="00FF7A8A" w14:paraId="1E7E0520" w14:textId="77777777">
            <w:pPr>
              <w:pStyle w:val="CommentText"/>
            </w:pPr>
          </w:p>
          <w:p w:rsidR="00FF7A8A" w:rsidP="00FF7A8A" w14:paraId="63976634" w14:textId="77777777">
            <w:pPr>
              <w:pStyle w:val="CommentText"/>
            </w:pPr>
            <w:hyperlink r:id="rId11" w:history="1">
              <w:r w:rsidRPr="00C97379">
                <w:rPr>
                  <w:rStyle w:val="Hyperlink"/>
                </w:rPr>
                <w:t>Sarah.parrot@puc.state.oh.us</w:t>
              </w:r>
            </w:hyperlink>
          </w:p>
          <w:p w:rsidR="00FF7A8A" w:rsidP="00FF7A8A" w14:paraId="4238C0F7" w14:textId="77777777">
            <w:pPr>
              <w:pStyle w:val="CommentText"/>
            </w:pPr>
            <w:hyperlink r:id="rId12" w:history="1">
              <w:r w:rsidRPr="00C97379">
                <w:rPr>
                  <w:rStyle w:val="Hyperlink"/>
                </w:rPr>
                <w:t>Gre</w:t>
              </w:r>
              <w:r>
                <w:rPr>
                  <w:rStyle w:val="Hyperlink"/>
                </w:rPr>
                <w:t>ta</w:t>
              </w:r>
              <w:r w:rsidRPr="00C97379">
                <w:rPr>
                  <w:rStyle w:val="Hyperlink"/>
                </w:rPr>
                <w:t>.see@puc.state.oh.us</w:t>
              </w:r>
            </w:hyperlink>
          </w:p>
          <w:p w:rsidR="00FF7A8A" w:rsidRPr="00424354" w:rsidP="00FF7A8A" w14:paraId="164FA909" w14:textId="77777777">
            <w:pPr>
              <w:pStyle w:val="CommentText"/>
            </w:pPr>
          </w:p>
          <w:p w:rsidR="00FF7A8A" w:rsidRPr="000B432B" w:rsidP="00FF7A8A" w14:paraId="091487ED" w14:textId="77777777">
            <w:pPr>
              <w:pStyle w:val="CommentText"/>
              <w:rPr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FF7A8A" w:rsidP="002518D0" w14:paraId="73AF57C6" w14:textId="0D16B9C6">
            <w:pPr>
              <w:pStyle w:val="CommentText"/>
            </w:pPr>
            <w:hyperlink r:id="rId13" w:history="1">
              <w:r w:rsidRPr="003731D3" w:rsidR="003731D3">
                <w:rPr>
                  <w:rStyle w:val="Hyperlink"/>
                </w:rPr>
                <w:t>stnourse@aep.com</w:t>
              </w:r>
            </w:hyperlink>
          </w:p>
          <w:p w:rsidR="00FF7A8A" w:rsidRPr="00424354" w:rsidP="00FF7A8A" w14:paraId="28C74E7A" w14:textId="77777777">
            <w:pPr>
              <w:pStyle w:val="CommentText"/>
            </w:pPr>
          </w:p>
        </w:tc>
      </w:tr>
    </w:tbl>
    <w:p w:rsidR="00FF7A8A" w14:paraId="6D24E9B9" w14:textId="77777777">
      <w:pPr>
        <w:pStyle w:val="CommentText"/>
        <w:jc w:val="center"/>
        <w:rPr>
          <w:b/>
          <w:u w:val="single"/>
        </w:rPr>
      </w:pPr>
    </w:p>
    <w:p w:rsidR="00FF7A8A" w14:paraId="3C274D07" w14:textId="77777777">
      <w:pPr>
        <w:pStyle w:val="BodyText"/>
        <w:rPr>
          <w:b/>
          <w:bCs/>
        </w:rPr>
      </w:pPr>
    </w:p>
    <w:tbl>
      <w:tblPr>
        <w:tblW w:w="0" w:type="auto"/>
        <w:tblLook w:val="01E0"/>
      </w:tblPr>
      <w:tblGrid>
        <w:gridCol w:w="4320"/>
        <w:gridCol w:w="4320"/>
      </w:tblGrid>
      <w:tr w14:paraId="48B889A9" w14:textId="77777777" w:rsidTr="00FF7A8A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FF7A8A" w:rsidRPr="00A044B5" w:rsidP="00FF7A8A" w14:paraId="4AC2DD6F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FF7A8A" w:rsidRPr="00A044B5" w14:paraId="30B5C7A3" w14:textId="77777777">
            <w:pPr>
              <w:pStyle w:val="BodyText"/>
              <w:rPr>
                <w:bCs/>
              </w:rPr>
            </w:pPr>
          </w:p>
        </w:tc>
      </w:tr>
      <w:tr w14:paraId="0C09EF2B" w14:textId="77777777" w:rsidTr="00FF7A8A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FF7A8A" w:rsidRPr="00A044B5" w14:paraId="6A86033D" w14:textId="77777777">
            <w:pPr>
              <w:rPr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FF7A8A" w:rsidRPr="00A044B5" w14:paraId="32373C1D" w14:textId="77777777">
            <w:pPr>
              <w:rPr>
                <w:bCs/>
              </w:rPr>
            </w:pPr>
          </w:p>
        </w:tc>
      </w:tr>
    </w:tbl>
    <w:p w:rsidR="00FF7A8A" w14:paraId="7428F4CC" w14:textId="77777777">
      <w:pPr>
        <w:pStyle w:val="BodyText"/>
        <w:rPr>
          <w:b/>
          <w:bCs/>
        </w:rPr>
      </w:pPr>
    </w:p>
    <w:sectPr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A8A" w14:paraId="27532FF9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FF7A8A" w:rsidP="00196172" w14:paraId="453510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5E6" w14:paraId="66215B39" w14:textId="1766F61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40130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5E6" w14:paraId="5E51D945" w14:textId="4936C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7667D" w14:paraId="2372F2CE" w14:textId="77777777">
      <w:r>
        <w:separator/>
      </w:r>
    </w:p>
  </w:footnote>
  <w:footnote w:type="continuationSeparator" w:id="1">
    <w:p w:rsidR="00C7667D" w14:paraId="32185403" w14:textId="77777777">
      <w:r>
        <w:continuationSeparator/>
      </w:r>
    </w:p>
  </w:footnote>
  <w:footnote w:id="2">
    <w:p w:rsidR="00E26D39" w:rsidRPr="00196172" w:rsidP="00196172" w14:paraId="778D8292" w14:textId="77777777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Ohio Power Company Tariff, P.U.C.O. No. 20, 14</w:t>
      </w:r>
      <w:r w:rsidRPr="00196172">
        <w:rPr>
          <w:vertAlign w:val="superscript"/>
        </w:rPr>
        <w:t>th</w:t>
      </w:r>
      <w:r w:rsidRPr="00196172">
        <w:t xml:space="preserve"> Revised Sheet No. 104-1.</w:t>
      </w:r>
    </w:p>
  </w:footnote>
  <w:footnote w:id="3">
    <w:p w:rsidR="00327E3C" w:rsidRPr="00196172" w:rsidP="00196172" w14:paraId="0AD71CBE" w14:textId="77777777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 w:rsidR="00E26D39">
        <w:t xml:space="preserve">Ohio Power Company 2017 Annual Report, FERC Form 1, (2017/Q4 at page 304). </w:t>
      </w:r>
    </w:p>
  </w:footnote>
  <w:footnote w:id="4">
    <w:p w:rsidR="005929A0" w:rsidRPr="00196172" w:rsidP="00196172" w14:paraId="7CBAEE00" w14:textId="778B7E01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Application of Ohio Power Company for Approval of </w:t>
      </w:r>
      <w:r w:rsidRPr="00196172" w:rsidR="004C75DC">
        <w:rPr>
          <w:i/>
        </w:rPr>
        <w:t>I</w:t>
      </w:r>
      <w:r w:rsidRPr="00196172">
        <w:rPr>
          <w:i/>
        </w:rPr>
        <w:t>ts Electric Security Plan</w:t>
      </w:r>
      <w:r w:rsidRPr="00196172">
        <w:t>, Case No. 16-1852-EL-SSO et al, Opinion and Order (April 25, 2018) at 44.</w:t>
      </w:r>
    </w:p>
  </w:footnote>
  <w:footnote w:id="5">
    <w:p w:rsidR="004C75DC" w:rsidRPr="00196172" w:rsidP="00196172" w14:paraId="102D453A" w14:textId="60C3E8F8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 w:rsidR="004D307B">
        <w:t xml:space="preserve">OCC files these </w:t>
      </w:r>
      <w:r w:rsidRPr="00196172" w:rsidR="00C66D1E">
        <w:t xml:space="preserve">Comments </w:t>
      </w:r>
      <w:r w:rsidRPr="00196172" w:rsidR="004D307B">
        <w:t>even though no procedural schedule has been established for this case.</w:t>
      </w:r>
      <w:r w:rsidRPr="00196172" w:rsidR="00AB176E">
        <w:t xml:space="preserve"> </w:t>
      </w:r>
      <w:r w:rsidRPr="00196172" w:rsidR="004D307B">
        <w:t>OCC reserves the right to make any and all filings permitted under a future procedural schedule in this case.</w:t>
      </w:r>
    </w:p>
  </w:footnote>
  <w:footnote w:id="6">
    <w:p w:rsidR="005E2783" w:rsidRPr="00196172" w:rsidP="00196172" w14:paraId="797668AE" w14:textId="3C4491FE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bookmarkStart w:id="2" w:name="_Hlk533758942"/>
      <w:r w:rsidRPr="00196172">
        <w:rPr>
          <w:i/>
        </w:rPr>
        <w:t xml:space="preserve">In the Matter of the Application of Ohio Power Company for Approval of </w:t>
      </w:r>
      <w:r w:rsidRPr="00196172" w:rsidR="004C75DC">
        <w:rPr>
          <w:i/>
        </w:rPr>
        <w:t>I</w:t>
      </w:r>
      <w:r w:rsidRPr="00196172">
        <w:rPr>
          <w:i/>
        </w:rPr>
        <w:t>ts Electric Security Plan; and an Amendment to its Corporate Separation Plan</w:t>
      </w:r>
      <w:r w:rsidRPr="00196172">
        <w:t>, Case No. 08-918-EL-SSO, Opinion and Order (March 18, 2009) at 33.</w:t>
      </w:r>
    </w:p>
    <w:bookmarkEnd w:id="2"/>
  </w:footnote>
  <w:footnote w:id="7">
    <w:p w:rsidR="005E2783" w:rsidRPr="00196172" w:rsidP="00196172" w14:paraId="4E9ADC3D" w14:textId="2BDE5D5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Application of Ohio Power Company for Approval of </w:t>
      </w:r>
      <w:r w:rsidRPr="00196172" w:rsidR="004C75DC">
        <w:rPr>
          <w:i/>
        </w:rPr>
        <w:t>I</w:t>
      </w:r>
      <w:r w:rsidRPr="00196172">
        <w:rPr>
          <w:i/>
        </w:rPr>
        <w:t>ts Electric Security Plan</w:t>
      </w:r>
      <w:r w:rsidRPr="00196172">
        <w:t>, Case No. 11-346-EL-SSO et al., Opinion and Order (August 8, 2012) at 64.</w:t>
      </w:r>
    </w:p>
  </w:footnote>
  <w:footnote w:id="8">
    <w:p w:rsidR="005E2783" w:rsidRPr="00196172" w:rsidP="00196172" w14:paraId="648A61A3" w14:textId="71D45AB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Application of Ohio Power Company for Approval of </w:t>
      </w:r>
      <w:r w:rsidRPr="00196172" w:rsidR="00F429C7">
        <w:rPr>
          <w:i/>
        </w:rPr>
        <w:t>I</w:t>
      </w:r>
      <w:r w:rsidRPr="00196172">
        <w:rPr>
          <w:i/>
        </w:rPr>
        <w:t>ts Electric Security Plan</w:t>
      </w:r>
      <w:r w:rsidRPr="00196172">
        <w:t>, Case No. 13-2385-EL-SSO et al</w:t>
      </w:r>
      <w:r w:rsidRPr="00196172" w:rsidR="004D307B">
        <w:t>.</w:t>
      </w:r>
      <w:r w:rsidRPr="00196172">
        <w:t>, Opinion and Order (February 25, 2015) at 47.</w:t>
      </w:r>
    </w:p>
  </w:footnote>
  <w:footnote w:id="9">
    <w:p w:rsidR="00174784" w:rsidRPr="00196172" w:rsidP="00196172" w14:paraId="4A0AE8D4" w14:textId="77777777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>In the Matter of the Application of Ohio Power Company for Approval of Its Electric Security Plan</w:t>
      </w:r>
      <w:r w:rsidRPr="00196172">
        <w:t>, Case No. 16-1852-EL-SSO et al., Opinion and Order (April 25, 2018) at 90.</w:t>
      </w:r>
    </w:p>
  </w:footnote>
  <w:footnote w:id="10">
    <w:p w:rsidR="005E2783" w:rsidRPr="00196172" w:rsidP="00196172" w14:paraId="2BD09AAF" w14:textId="370357B1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bookmarkStart w:id="3" w:name="_Hlk16071970"/>
      <w:r w:rsidRPr="00196172">
        <w:rPr>
          <w:i/>
        </w:rPr>
        <w:t>I</w:t>
      </w:r>
      <w:r w:rsidRPr="00196172" w:rsidR="00174784">
        <w:rPr>
          <w:i/>
        </w:rPr>
        <w:t>d.</w:t>
      </w:r>
    </w:p>
    <w:bookmarkEnd w:id="3"/>
  </w:footnote>
  <w:footnote w:id="11">
    <w:p w:rsidR="002E1BCC" w:rsidRPr="00196172" w:rsidP="00196172" w14:paraId="1B00EF39" w14:textId="61AB543F">
      <w:pPr>
        <w:pStyle w:val="FootnoteText"/>
        <w:rPr>
          <w:i/>
          <w:iCs/>
        </w:rPr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  <w:iCs/>
        </w:rPr>
        <w:t>Id.</w:t>
      </w:r>
    </w:p>
  </w:footnote>
  <w:footnote w:id="12">
    <w:p w:rsidR="00186959" w:rsidRPr="00196172" w:rsidP="00196172" w14:paraId="720D40C2" w14:textId="702039F1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Application of Ohio Power Company to </w:t>
      </w:r>
      <w:r w:rsidRPr="00196172" w:rsidR="00C364B6">
        <w:rPr>
          <w:i/>
        </w:rPr>
        <w:t>U</w:t>
      </w:r>
      <w:r w:rsidRPr="00196172">
        <w:rPr>
          <w:i/>
        </w:rPr>
        <w:t xml:space="preserve">pdate Its Enhanced Service Reliability Rider, </w:t>
      </w:r>
      <w:r w:rsidRPr="00196172">
        <w:t>Case No. 17-1914-EL-RDR, Direct Testimony of James D, Williams (May 3, 2019).</w:t>
      </w:r>
    </w:p>
  </w:footnote>
  <w:footnote w:id="13">
    <w:p w:rsidR="005E2783" w:rsidRPr="00196172" w:rsidP="00196172" w14:paraId="118D7CD9" w14:textId="4CBA97B7">
      <w:pPr>
        <w:pStyle w:val="FootnoteText"/>
      </w:pPr>
      <w:r w:rsidRPr="00196172">
        <w:rPr>
          <w:rStyle w:val="FootnoteReference"/>
        </w:rPr>
        <w:footnoteRef/>
      </w:r>
      <w:bookmarkStart w:id="6" w:name="_Hlk17966792"/>
      <w:r w:rsidRPr="00196172" w:rsidR="002E1BCC">
        <w:rPr>
          <w:i/>
        </w:rPr>
        <w:t xml:space="preserve"> </w:t>
      </w:r>
      <w:r w:rsidRPr="00196172" w:rsidR="00FC1B55">
        <w:rPr>
          <w:i/>
        </w:rPr>
        <w:t xml:space="preserve">In the Matter of the Application of Ohio Power Company for Approval of </w:t>
      </w:r>
      <w:r w:rsidRPr="00196172" w:rsidR="00C364B6">
        <w:rPr>
          <w:i/>
        </w:rPr>
        <w:t>I</w:t>
      </w:r>
      <w:r w:rsidRPr="00196172" w:rsidR="00FC1B55">
        <w:rPr>
          <w:i/>
        </w:rPr>
        <w:t>ts Electric Security Plan</w:t>
      </w:r>
      <w:r w:rsidRPr="00196172" w:rsidR="00FC1B55">
        <w:t>, Case No. 16-1852-EL-SSO et al</w:t>
      </w:r>
      <w:r w:rsidRPr="00196172" w:rsidR="004D307B">
        <w:t>.</w:t>
      </w:r>
      <w:r w:rsidRPr="00196172" w:rsidR="00FC1B55">
        <w:t>, Joint Stipulation and Recommendation (August 25, 2017) at 34.</w:t>
      </w:r>
      <w:bookmarkEnd w:id="6"/>
    </w:p>
  </w:footnote>
  <w:footnote w:id="14">
    <w:p w:rsidR="004A39C0" w:rsidRPr="00196172" w:rsidP="00196172" w14:paraId="7BFB5D2E" w14:textId="37783122">
      <w:pPr>
        <w:autoSpaceDE w:val="0"/>
        <w:autoSpaceDN w:val="0"/>
        <w:adjustRightInd w:val="0"/>
        <w:spacing w:after="120"/>
        <w:rPr>
          <w:sz w:val="20"/>
        </w:rPr>
      </w:pPr>
      <w:r w:rsidRPr="00196172">
        <w:rPr>
          <w:rStyle w:val="FootnoteReference"/>
          <w:sz w:val="20"/>
        </w:rPr>
        <w:footnoteRef/>
      </w:r>
      <w:r w:rsidRPr="00196172" w:rsidR="00F429C7">
        <w:rPr>
          <w:i/>
          <w:sz w:val="20"/>
        </w:rPr>
        <w:t xml:space="preserve"> </w:t>
      </w:r>
      <w:r w:rsidRPr="00196172" w:rsidR="005C6ED8">
        <w:rPr>
          <w:i/>
          <w:sz w:val="20"/>
        </w:rPr>
        <w:t xml:space="preserve">In the Matter of the Application of Ohio Power Company for Approval of </w:t>
      </w:r>
      <w:r w:rsidRPr="00196172" w:rsidR="00C364B6">
        <w:rPr>
          <w:i/>
          <w:sz w:val="20"/>
        </w:rPr>
        <w:t>I</w:t>
      </w:r>
      <w:r w:rsidRPr="00196172" w:rsidR="005C6ED8">
        <w:rPr>
          <w:i/>
          <w:sz w:val="20"/>
        </w:rPr>
        <w:t xml:space="preserve">ts Electric Security Plan; and an Amendment to </w:t>
      </w:r>
      <w:r w:rsidRPr="00196172" w:rsidR="00C364B6">
        <w:rPr>
          <w:i/>
          <w:sz w:val="20"/>
        </w:rPr>
        <w:t>I</w:t>
      </w:r>
      <w:r w:rsidRPr="00196172" w:rsidR="005C6ED8">
        <w:rPr>
          <w:i/>
          <w:sz w:val="20"/>
        </w:rPr>
        <w:t>ts Corporate Separation Plan</w:t>
      </w:r>
      <w:r w:rsidRPr="00196172" w:rsidR="005C6ED8">
        <w:rPr>
          <w:sz w:val="20"/>
        </w:rPr>
        <w:t>,</w:t>
      </w:r>
      <w:r w:rsidRPr="00196172" w:rsidR="00F429C7">
        <w:rPr>
          <w:sz w:val="20"/>
        </w:rPr>
        <w:t xml:space="preserve"> Case No. 08-</w:t>
      </w:r>
      <w:r w:rsidRPr="00196172" w:rsidR="004D307B">
        <w:rPr>
          <w:sz w:val="20"/>
        </w:rPr>
        <w:t>917-EL-SSO, et al.,</w:t>
      </w:r>
      <w:r w:rsidRPr="00196172" w:rsidR="005C6ED8">
        <w:rPr>
          <w:sz w:val="20"/>
        </w:rPr>
        <w:t xml:space="preserve"> Opinion and Order (March 18, 2009</w:t>
      </w:r>
      <w:r w:rsidRPr="00196172" w:rsidR="00D573BF">
        <w:rPr>
          <w:sz w:val="20"/>
        </w:rPr>
        <w:t>)</w:t>
      </w:r>
      <w:r w:rsidRPr="00196172" w:rsidR="005C6ED8">
        <w:rPr>
          <w:sz w:val="20"/>
        </w:rPr>
        <w:t xml:space="preserve"> at 33.</w:t>
      </w:r>
    </w:p>
  </w:footnote>
  <w:footnote w:id="15">
    <w:p w:rsidR="005E2783" w:rsidRPr="00196172" w:rsidP="00196172" w14:paraId="7532B16F" w14:textId="6838B9D7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>In the Matter of the Commission</w:t>
      </w:r>
      <w:r w:rsidRPr="00196172" w:rsidR="00AB176E">
        <w:rPr>
          <w:i/>
        </w:rPr>
        <w:t>’</w:t>
      </w:r>
      <w:r w:rsidRPr="00196172">
        <w:rPr>
          <w:i/>
        </w:rPr>
        <w:t>s Review of the Ohio Power Company</w:t>
      </w:r>
      <w:r w:rsidRPr="00196172" w:rsidR="00AB176E">
        <w:rPr>
          <w:i/>
        </w:rPr>
        <w:t>’</w:t>
      </w:r>
      <w:r w:rsidRPr="00196172">
        <w:rPr>
          <w:i/>
        </w:rPr>
        <w:t>s Revised Vegetation Management Program Resulting from Commission Case No. 11-346-EL-SSO et al.</w:t>
      </w:r>
      <w:r w:rsidRPr="00196172" w:rsidR="00D573BF">
        <w:rPr>
          <w:i/>
        </w:rPr>
        <w:t>,</w:t>
      </w:r>
      <w:r w:rsidRPr="00196172">
        <w:t xml:space="preserve"> Case No. 12-3320-EL-ESS, Ohio Power Company</w:t>
      </w:r>
      <w:r w:rsidRPr="00196172" w:rsidR="00AB176E">
        <w:t>’</w:t>
      </w:r>
      <w:r w:rsidRPr="00196172">
        <w:t>s Commission Requested Revised Vegetation Management Program (December 28, 2012).</w:t>
      </w:r>
    </w:p>
  </w:footnote>
  <w:footnote w:id="16">
    <w:p w:rsidR="007B0122" w:rsidRPr="00196172" w:rsidP="00196172" w14:paraId="48FE45A5" w14:textId="53D1C398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  <w:iCs/>
        </w:rPr>
        <w:t>Id.</w:t>
      </w:r>
      <w:r w:rsidRPr="00196172">
        <w:t>, Finding and Order (February 26, 2014).</w:t>
      </w:r>
    </w:p>
  </w:footnote>
  <w:footnote w:id="17">
    <w:p w:rsidR="005E2783" w:rsidRPr="00196172" w:rsidP="00196172" w14:paraId="34CDD5C1" w14:textId="2EA76D64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bookmarkStart w:id="8" w:name="_Hlk533772852"/>
      <w:r w:rsidRPr="00196172">
        <w:rPr>
          <w:i/>
        </w:rPr>
        <w:t xml:space="preserve">In the </w:t>
      </w:r>
      <w:r w:rsidRPr="00196172" w:rsidR="00D573BF">
        <w:rPr>
          <w:i/>
        </w:rPr>
        <w:t>M</w:t>
      </w:r>
      <w:r w:rsidRPr="00196172">
        <w:rPr>
          <w:i/>
        </w:rPr>
        <w:t>atter of the Annual Report of the Electric Service and Safety Standards, Pursuant to Rule 4901:1-10-26(B) of the Ohio Administrative Code</w:t>
      </w:r>
      <w:bookmarkEnd w:id="8"/>
      <w:r w:rsidRPr="00196172" w:rsidR="00F429C7">
        <w:rPr>
          <w:i/>
        </w:rPr>
        <w:t>,</w:t>
      </w:r>
      <w:r w:rsidRPr="00196172">
        <w:rPr>
          <w:i/>
        </w:rPr>
        <w:t xml:space="preserve"> </w:t>
      </w:r>
      <w:r w:rsidRPr="00196172">
        <w:rPr>
          <w:iCs/>
        </w:rPr>
        <w:t>C</w:t>
      </w:r>
      <w:r w:rsidRPr="00196172">
        <w:t xml:space="preserve">ase </w:t>
      </w:r>
      <w:r w:rsidRPr="00196172" w:rsidR="00F429C7">
        <w:t xml:space="preserve">No. </w:t>
      </w:r>
      <w:r w:rsidRPr="00196172">
        <w:t>13-996-EL-ESS, System Improvement Plan (March 31, 2013) at 114.</w:t>
      </w:r>
    </w:p>
  </w:footnote>
  <w:footnote w:id="18">
    <w:p w:rsidR="005E2783" w:rsidRPr="00196172" w:rsidP="00196172" w14:paraId="578E0C47" w14:textId="681C64D3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</w:t>
      </w:r>
      <w:r w:rsidRPr="00196172" w:rsidR="00D573BF">
        <w:rPr>
          <w:i/>
        </w:rPr>
        <w:t>M</w:t>
      </w:r>
      <w:r w:rsidRPr="00196172">
        <w:rPr>
          <w:i/>
        </w:rPr>
        <w:t xml:space="preserve">atter of the Annual Report of the Electric Service and Safety Standards, Pursuant to Rule 4901:1-10-26(B) of the Ohio Administrative Code, </w:t>
      </w:r>
      <w:r w:rsidRPr="00196172">
        <w:t xml:space="preserve">Case </w:t>
      </w:r>
      <w:r w:rsidRPr="00196172" w:rsidR="00F429C7">
        <w:t xml:space="preserve">No. </w:t>
      </w:r>
      <w:r w:rsidRPr="00196172">
        <w:t>14-996-EL-ESS, System Improvement Plan (March 31, 2014) at 66.</w:t>
      </w:r>
    </w:p>
  </w:footnote>
  <w:footnote w:id="19">
    <w:p w:rsidR="005E2783" w:rsidRPr="00196172" w:rsidP="00196172" w14:paraId="7F79DE59" w14:textId="2454E824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</w:t>
      </w:r>
      <w:r w:rsidRPr="00196172" w:rsidR="00D573BF">
        <w:rPr>
          <w:i/>
        </w:rPr>
        <w:t>M</w:t>
      </w:r>
      <w:r w:rsidRPr="00196172">
        <w:rPr>
          <w:i/>
        </w:rPr>
        <w:t>atter of the Annual Report of the Electric Service and Safety Standards, Pursuant to Rule 4901:1-10-26(B) of the Ohio Administrative Code</w:t>
      </w:r>
      <w:r w:rsidRPr="00196172">
        <w:t xml:space="preserve">, Case </w:t>
      </w:r>
      <w:r w:rsidRPr="00196172" w:rsidR="00F429C7">
        <w:t xml:space="preserve">No. </w:t>
      </w:r>
      <w:r w:rsidRPr="00196172">
        <w:t>15-996-EL-ESS, System Improvement Plan (March 31, 2015) at 48.</w:t>
      </w:r>
    </w:p>
  </w:footnote>
  <w:footnote w:id="20">
    <w:p w:rsidR="005E2783" w:rsidRPr="00196172" w:rsidP="00196172" w14:paraId="01540561" w14:textId="685A7FB9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Annual Report of the Electric Service and Safety Standards, Pursuant to Rule 4901:1-10-26(B) of the Ohio Administrative Code, </w:t>
      </w:r>
      <w:r w:rsidRPr="00196172">
        <w:t xml:space="preserve">Case </w:t>
      </w:r>
      <w:r w:rsidRPr="00196172" w:rsidR="00F429C7">
        <w:t xml:space="preserve">No. </w:t>
      </w:r>
      <w:r w:rsidRPr="00196172">
        <w:t>16-996-EL-ESS, System Improvement Plan (March 31, 2016) at 107.</w:t>
      </w:r>
    </w:p>
  </w:footnote>
  <w:footnote w:id="21">
    <w:p w:rsidR="005E2783" w:rsidRPr="00196172" w:rsidP="00196172" w14:paraId="0F5F1642" w14:textId="72E2C375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</w:t>
      </w:r>
      <w:r w:rsidRPr="00196172" w:rsidR="00DA3287">
        <w:rPr>
          <w:i/>
        </w:rPr>
        <w:t>M</w:t>
      </w:r>
      <w:r w:rsidRPr="00196172">
        <w:rPr>
          <w:i/>
        </w:rPr>
        <w:t xml:space="preserve">atter of the Annual Report of the Electric Service and Safety Standards, Pursuant to Rule 4901:1-10-26(B) of the Ohio Administrative Code, </w:t>
      </w:r>
      <w:r w:rsidRPr="00196172">
        <w:t xml:space="preserve">Case </w:t>
      </w:r>
      <w:r w:rsidRPr="00196172" w:rsidR="00F429C7">
        <w:t xml:space="preserve">No. </w:t>
      </w:r>
      <w:r w:rsidRPr="00196172">
        <w:t>17-996-EL-ESS, System Improvement Plan (March 31, 2017) at 10b:2.</w:t>
      </w:r>
    </w:p>
  </w:footnote>
  <w:footnote w:id="22">
    <w:p w:rsidR="004B1806" w:rsidRPr="00196172" w:rsidP="00196172" w14:paraId="7E7A9F97" w14:textId="2D5B1302">
      <w:pPr>
        <w:autoSpaceDE w:val="0"/>
        <w:autoSpaceDN w:val="0"/>
        <w:adjustRightInd w:val="0"/>
        <w:spacing w:after="120"/>
        <w:rPr>
          <w:sz w:val="20"/>
        </w:rPr>
      </w:pPr>
      <w:r w:rsidRPr="00196172">
        <w:rPr>
          <w:rStyle w:val="FootnoteReference"/>
          <w:sz w:val="20"/>
        </w:rPr>
        <w:footnoteRef/>
      </w:r>
      <w:r w:rsidRPr="00196172" w:rsidR="00C364B6">
        <w:rPr>
          <w:bCs/>
          <w:i/>
          <w:sz w:val="20"/>
        </w:rPr>
        <w:t xml:space="preserve"> </w:t>
      </w:r>
      <w:r w:rsidRPr="00196172">
        <w:rPr>
          <w:bCs/>
          <w:i/>
          <w:sz w:val="20"/>
        </w:rPr>
        <w:t>In the Matter of the Application of Ohio Power Company to Update Its Enhanced Service Reliability Ride</w:t>
      </w:r>
      <w:r w:rsidRPr="00196172" w:rsidR="00F429C7">
        <w:rPr>
          <w:bCs/>
          <w:i/>
          <w:sz w:val="20"/>
        </w:rPr>
        <w:t>r,</w:t>
      </w:r>
      <w:r w:rsidRPr="00196172">
        <w:rPr>
          <w:bCs/>
          <w:sz w:val="20"/>
        </w:rPr>
        <w:t xml:space="preserve"> </w:t>
      </w:r>
      <w:r w:rsidRPr="00196172">
        <w:rPr>
          <w:sz w:val="20"/>
        </w:rPr>
        <w:t xml:space="preserve">Case </w:t>
      </w:r>
      <w:r w:rsidRPr="00196172" w:rsidR="00F429C7">
        <w:rPr>
          <w:sz w:val="20"/>
        </w:rPr>
        <w:t xml:space="preserve">No. </w:t>
      </w:r>
      <w:r w:rsidRPr="00196172">
        <w:rPr>
          <w:sz w:val="20"/>
        </w:rPr>
        <w:t xml:space="preserve">18-1371-EL-RDR, Application </w:t>
      </w:r>
      <w:r w:rsidRPr="00196172">
        <w:rPr>
          <w:sz w:val="20"/>
        </w:rPr>
        <w:t>(August 31, 2018</w:t>
      </w:r>
      <w:r w:rsidRPr="00196172" w:rsidR="00DA3287">
        <w:rPr>
          <w:sz w:val="20"/>
        </w:rPr>
        <w:t>)</w:t>
      </w:r>
      <w:r w:rsidRPr="00196172">
        <w:rPr>
          <w:sz w:val="20"/>
        </w:rPr>
        <w:t xml:space="preserve"> at </w:t>
      </w:r>
      <w:r w:rsidRPr="00196172">
        <w:rPr>
          <w:sz w:val="20"/>
        </w:rPr>
        <w:t>Schedule 1.</w:t>
      </w:r>
    </w:p>
  </w:footnote>
  <w:footnote w:id="23">
    <w:p w:rsidR="005E2783" w:rsidRPr="00196172" w:rsidP="00196172" w14:paraId="41496B7A" w14:textId="739F3C3C">
      <w:pPr>
        <w:pStyle w:val="FootnoteText"/>
      </w:pPr>
      <w:r w:rsidRPr="00196172">
        <w:rPr>
          <w:rStyle w:val="FootnoteReference"/>
        </w:rPr>
        <w:footnoteRef/>
      </w:r>
      <w:r w:rsidRPr="00196172" w:rsidR="00C364B6">
        <w:rPr>
          <w:i/>
        </w:rPr>
        <w:t xml:space="preserve"> </w:t>
      </w:r>
      <w:r w:rsidRPr="00196172">
        <w:rPr>
          <w:i/>
        </w:rPr>
        <w:t xml:space="preserve">In the </w:t>
      </w:r>
      <w:r w:rsidRPr="00196172" w:rsidR="00DA3287">
        <w:rPr>
          <w:i/>
        </w:rPr>
        <w:t>M</w:t>
      </w:r>
      <w:r w:rsidRPr="00196172">
        <w:rPr>
          <w:i/>
        </w:rPr>
        <w:t>atter of the Annual Report of the Electric Service and Safety Standards, Pursuant to Rule 4901:1-10-26(B) of the Ohio Administrative Code,</w:t>
      </w:r>
      <w:r w:rsidRPr="00196172">
        <w:t xml:space="preserve"> Case </w:t>
      </w:r>
      <w:r w:rsidRPr="00196172" w:rsidR="00F429C7">
        <w:t xml:space="preserve">No. </w:t>
      </w:r>
      <w:r w:rsidRPr="00196172">
        <w:t>18-996-EL-ESS, System Improvement Plan (March 31, 2018) at 107.</w:t>
      </w:r>
    </w:p>
  </w:footnote>
  <w:footnote w:id="24">
    <w:p w:rsidR="009E3A31" w:rsidRPr="00196172" w:rsidP="00196172" w14:paraId="36A4FF6F" w14:textId="2D43E913">
      <w:pPr>
        <w:pStyle w:val="FootnoteText"/>
      </w:pPr>
      <w:r w:rsidRPr="00196172">
        <w:rPr>
          <w:i/>
        </w:rPr>
        <w:t xml:space="preserve"> </w:t>
      </w:r>
      <w:r w:rsidRPr="00196172">
        <w:rPr>
          <w:rStyle w:val="FootnoteReference"/>
        </w:rPr>
        <w:footnoteRef/>
      </w:r>
      <w:r w:rsidRPr="00196172" w:rsidR="005D3DDE">
        <w:rPr>
          <w:i/>
        </w:rPr>
        <w:t xml:space="preserve"> </w:t>
      </w:r>
      <w:r w:rsidRPr="00196172">
        <w:rPr>
          <w:i/>
        </w:rPr>
        <w:t xml:space="preserve">In the </w:t>
      </w:r>
      <w:r w:rsidRPr="00196172" w:rsidR="00DA3287">
        <w:rPr>
          <w:i/>
        </w:rPr>
        <w:t>M</w:t>
      </w:r>
      <w:r w:rsidRPr="00196172">
        <w:rPr>
          <w:i/>
        </w:rPr>
        <w:t>atter of the Annual Report of the Electric Service and Safety Standards, Pursuant to Rule 4901:1-10-26(B) of the Ohio Administrative Code,</w:t>
      </w:r>
      <w:r w:rsidRPr="00196172">
        <w:t xml:space="preserve"> Case </w:t>
      </w:r>
      <w:r w:rsidRPr="00196172" w:rsidR="00F429C7">
        <w:t xml:space="preserve">No. </w:t>
      </w:r>
      <w:r w:rsidRPr="00196172">
        <w:t xml:space="preserve">19-996-EL-ESS, System Improvement Plan (March </w:t>
      </w:r>
      <w:r w:rsidRPr="00196172" w:rsidR="00D0456F">
        <w:t>29</w:t>
      </w:r>
      <w:r w:rsidRPr="00196172">
        <w:t>, 201</w:t>
      </w:r>
      <w:r w:rsidRPr="00196172" w:rsidR="00D0456F">
        <w:t>9</w:t>
      </w:r>
      <w:r w:rsidRPr="00196172">
        <w:t xml:space="preserve">) at </w:t>
      </w:r>
      <w:r w:rsidRPr="00196172" w:rsidR="00D0456F">
        <w:t>59</w:t>
      </w:r>
      <w:r w:rsidRPr="00196172">
        <w:t>.</w:t>
      </w:r>
    </w:p>
  </w:footnote>
  <w:footnote w:id="25">
    <w:p w:rsidR="00DA3287" w:rsidRPr="00196172" w:rsidP="00196172" w14:paraId="501D5352" w14:textId="633E6583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>In the Matter of the Commission</w:t>
      </w:r>
      <w:r w:rsidRPr="00196172" w:rsidR="00AB176E">
        <w:rPr>
          <w:i/>
        </w:rPr>
        <w:t>’</w:t>
      </w:r>
      <w:r w:rsidRPr="00196172">
        <w:rPr>
          <w:i/>
        </w:rPr>
        <w:t>s Review of the Ohio Power Company</w:t>
      </w:r>
      <w:r w:rsidRPr="00196172" w:rsidR="00AB176E">
        <w:rPr>
          <w:i/>
        </w:rPr>
        <w:t>’</w:t>
      </w:r>
      <w:r w:rsidRPr="00196172">
        <w:rPr>
          <w:i/>
        </w:rPr>
        <w:t xml:space="preserve">s Revised Vegetation Management Program Resulting from Commission Case No. 11-346-EL-SSO et al., </w:t>
      </w:r>
      <w:r w:rsidRPr="00196172">
        <w:rPr>
          <w:iCs/>
        </w:rPr>
        <w:t>Case No. 12-3320-EL-ESS, Ohio Power Company</w:t>
      </w:r>
      <w:r w:rsidRPr="00196172" w:rsidR="00AB176E">
        <w:rPr>
          <w:iCs/>
        </w:rPr>
        <w:t>’</w:t>
      </w:r>
      <w:r w:rsidRPr="00196172">
        <w:rPr>
          <w:iCs/>
        </w:rPr>
        <w:t>s Commission Requested Revised Vegetation Management Program,</w:t>
      </w:r>
      <w:r w:rsidRPr="00196172">
        <w:t xml:space="preserve"> (December 28, 2012), Attachment F, page 3.</w:t>
      </w:r>
    </w:p>
  </w:footnote>
  <w:footnote w:id="26">
    <w:p w:rsidR="005E2783" w:rsidRPr="00196172" w:rsidP="00196172" w14:paraId="5EC4E291" w14:textId="0FE06979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 w:rsidR="009B46D1">
        <w:t>Ohio Adm. Code 4901:1-10(C)(3)(a), e</w:t>
      </w:r>
      <w:r w:rsidRPr="00196172">
        <w:t>xcluding major events and transmission outages.</w:t>
      </w:r>
    </w:p>
  </w:footnote>
  <w:footnote w:id="27">
    <w:p w:rsidR="005E2783" w:rsidRPr="00196172" w:rsidP="00196172" w14:paraId="4234BFC0" w14:textId="58A5BD1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Annual Report of Electric Distribution System Reliability Pursuant to Rule 4901:1-10-10(C), </w:t>
      </w:r>
      <w:r w:rsidRPr="00196172">
        <w:t xml:space="preserve">Case </w:t>
      </w:r>
      <w:r w:rsidRPr="00196172" w:rsidR="004D307B">
        <w:t xml:space="preserve">No. </w:t>
      </w:r>
      <w:r w:rsidRPr="00196172">
        <w:t>14-517-EL-ESS (March 31, 2014).</w:t>
      </w:r>
    </w:p>
  </w:footnote>
  <w:footnote w:id="28">
    <w:p w:rsidR="005E2783" w:rsidRPr="00196172" w:rsidP="00196172" w14:paraId="7CACF1E0" w14:textId="69532F6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Annual Report of Electric Distribution System Reliability Pursuant to Rule 4901:1-10-10(C), </w:t>
      </w:r>
      <w:r w:rsidRPr="00196172">
        <w:t xml:space="preserve">Case </w:t>
      </w:r>
      <w:r w:rsidRPr="00196172" w:rsidR="004D307B">
        <w:t xml:space="preserve">No. </w:t>
      </w:r>
      <w:r w:rsidRPr="00196172">
        <w:t>15-627-EL-ESS (March 31, 2015).</w:t>
      </w:r>
    </w:p>
  </w:footnote>
  <w:footnote w:id="29">
    <w:p w:rsidR="005E2783" w:rsidRPr="00196172" w:rsidP="00196172" w14:paraId="11C8295F" w14:textId="374DA64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Annual Report of Electric Distribution System Reliability Pursuant to Rule 4901:1-10-10(C), </w:t>
      </w:r>
      <w:r w:rsidRPr="00196172">
        <w:t xml:space="preserve">Case </w:t>
      </w:r>
      <w:r w:rsidRPr="00196172" w:rsidR="004D307B">
        <w:t xml:space="preserve">No. </w:t>
      </w:r>
      <w:r w:rsidRPr="00196172">
        <w:t>16-550-EL-ESS (March 31, 2016).</w:t>
      </w:r>
    </w:p>
  </w:footnote>
  <w:footnote w:id="30">
    <w:p w:rsidR="005E2783" w:rsidRPr="00196172" w:rsidP="00196172" w14:paraId="46E7D2E4" w14:textId="4390B34A">
      <w:pPr>
        <w:pStyle w:val="FootnoteText"/>
      </w:pPr>
      <w:r w:rsidRPr="00196172">
        <w:rPr>
          <w:rStyle w:val="FootnoteReference"/>
        </w:rPr>
        <w:footnoteRef/>
      </w:r>
      <w:r w:rsidRPr="00196172" w:rsidR="004D307B">
        <w:rPr>
          <w:i/>
        </w:rPr>
        <w:t xml:space="preserve"> </w:t>
      </w:r>
      <w:r w:rsidRPr="00196172">
        <w:rPr>
          <w:i/>
        </w:rPr>
        <w:t>In the Matter of the Annual Report of Electric Distribution System Reliability Pursuant to Rule 4901:1-10-10(C</w:t>
      </w:r>
      <w:r w:rsidRPr="00196172">
        <w:rPr>
          <w:iCs/>
        </w:rPr>
        <w:t xml:space="preserve">), Case </w:t>
      </w:r>
      <w:r w:rsidRPr="00196172" w:rsidR="004D307B">
        <w:t xml:space="preserve">No. </w:t>
      </w:r>
      <w:r w:rsidRPr="00196172">
        <w:rPr>
          <w:iCs/>
        </w:rPr>
        <w:t>17-890-EL-ESS</w:t>
      </w:r>
      <w:r w:rsidRPr="00196172">
        <w:rPr>
          <w:i/>
        </w:rPr>
        <w:t xml:space="preserve"> </w:t>
      </w:r>
      <w:r w:rsidRPr="00196172">
        <w:t>(March 31, 2017).</w:t>
      </w:r>
    </w:p>
  </w:footnote>
  <w:footnote w:id="31">
    <w:p w:rsidR="005E2783" w:rsidRPr="00196172" w:rsidP="00196172" w14:paraId="46924334" w14:textId="699AFE45">
      <w:pPr>
        <w:pStyle w:val="FootnoteText"/>
        <w:rPr>
          <w:i/>
        </w:rPr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>
        <w:rPr>
          <w:i/>
        </w:rPr>
        <w:t xml:space="preserve">In the Matter of the Annual Report of Electric Distribution System Reliability Pursuant to Rule 4901:1-10-10(C), </w:t>
      </w:r>
      <w:r w:rsidRPr="00196172">
        <w:t xml:space="preserve">Case </w:t>
      </w:r>
      <w:r w:rsidRPr="00196172" w:rsidR="004D307B">
        <w:t xml:space="preserve">No. </w:t>
      </w:r>
      <w:r w:rsidRPr="00196172">
        <w:t>18-992-EL-ESS (March 29, 2018).</w:t>
      </w:r>
    </w:p>
  </w:footnote>
  <w:footnote w:id="32">
    <w:p w:rsidR="0058302B" w:rsidRPr="00196172" w:rsidP="00196172" w14:paraId="16650C11" w14:textId="6BC94ED2">
      <w:pPr>
        <w:pStyle w:val="FootnoteText"/>
      </w:pPr>
      <w:r w:rsidRPr="00196172">
        <w:rPr>
          <w:rStyle w:val="FootnoteReference"/>
        </w:rPr>
        <w:footnoteRef/>
      </w:r>
      <w:r w:rsidRPr="00196172">
        <w:t xml:space="preserve"> </w:t>
      </w:r>
      <w:r w:rsidRPr="00196172" w:rsidR="004327FB">
        <w:rPr>
          <w:i/>
        </w:rPr>
        <w:t xml:space="preserve">In the Matter of the Annual Report of Electric Distribution System Reliability Pursuant to Rule 4901:1-10-10(C), </w:t>
      </w:r>
      <w:r w:rsidRPr="00196172" w:rsidR="004327FB">
        <w:t xml:space="preserve">Case </w:t>
      </w:r>
      <w:r w:rsidRPr="00196172" w:rsidR="004D307B">
        <w:t xml:space="preserve">No. </w:t>
      </w:r>
      <w:r w:rsidRPr="00196172" w:rsidR="004327FB">
        <w:t>1</w:t>
      </w:r>
      <w:r w:rsidRPr="00196172" w:rsidR="00C56249">
        <w:t>9</w:t>
      </w:r>
      <w:r w:rsidRPr="00196172" w:rsidR="004327FB">
        <w:t>-99</w:t>
      </w:r>
      <w:r w:rsidRPr="00196172" w:rsidR="00231635">
        <w:t>2</w:t>
      </w:r>
      <w:r w:rsidRPr="00196172" w:rsidR="004327FB">
        <w:t>-EL-ESS (March 29, 201</w:t>
      </w:r>
      <w:r w:rsidRPr="00196172" w:rsidR="00231635">
        <w:t>9</w:t>
      </w:r>
      <w:r w:rsidRPr="00196172" w:rsidR="004327FB">
        <w:t>).</w:t>
      </w:r>
    </w:p>
  </w:footnote>
  <w:footnote w:id="33">
    <w:p w:rsidR="005E2783" w:rsidRPr="00196172" w:rsidP="00196172" w14:paraId="7428FB94" w14:textId="21A7C472">
      <w:pPr>
        <w:autoSpaceDE w:val="0"/>
        <w:autoSpaceDN w:val="0"/>
        <w:adjustRightInd w:val="0"/>
        <w:spacing w:after="120"/>
        <w:rPr>
          <w:i/>
          <w:sz w:val="20"/>
        </w:rPr>
      </w:pPr>
      <w:r w:rsidRPr="00196172">
        <w:rPr>
          <w:rStyle w:val="FootnoteReference"/>
          <w:sz w:val="20"/>
        </w:rPr>
        <w:footnoteRef/>
      </w:r>
      <w:r w:rsidRPr="00196172">
        <w:t xml:space="preserve"> </w:t>
      </w:r>
      <w:r w:rsidRPr="00196172">
        <w:rPr>
          <w:bCs/>
          <w:i/>
          <w:sz w:val="20"/>
        </w:rPr>
        <w:t>In the Matter of the Commission</w:t>
      </w:r>
      <w:r w:rsidRPr="00196172" w:rsidR="00AB176E">
        <w:rPr>
          <w:bCs/>
          <w:i/>
          <w:sz w:val="20"/>
        </w:rPr>
        <w:t>’</w:t>
      </w:r>
      <w:r w:rsidRPr="00196172">
        <w:rPr>
          <w:bCs/>
          <w:i/>
          <w:sz w:val="20"/>
        </w:rPr>
        <w:t>s Review of the Ohio Power Company</w:t>
      </w:r>
      <w:r w:rsidRPr="00196172" w:rsidR="00AB176E">
        <w:rPr>
          <w:bCs/>
          <w:i/>
          <w:sz w:val="20"/>
        </w:rPr>
        <w:t>’</w:t>
      </w:r>
      <w:r w:rsidRPr="00196172">
        <w:rPr>
          <w:bCs/>
          <w:i/>
          <w:sz w:val="20"/>
        </w:rPr>
        <w:t xml:space="preserve">s Distribution Investment Rider Work Plan for 2016, </w:t>
      </w:r>
      <w:r w:rsidRPr="00196172">
        <w:rPr>
          <w:bCs/>
          <w:sz w:val="20"/>
        </w:rPr>
        <w:t xml:space="preserve">Case </w:t>
      </w:r>
      <w:r w:rsidRPr="00196172" w:rsidR="004D307B">
        <w:rPr>
          <w:sz w:val="20"/>
        </w:rPr>
        <w:t>No.</w:t>
      </w:r>
      <w:r w:rsidRPr="00196172" w:rsidR="004D307B">
        <w:t xml:space="preserve"> </w:t>
      </w:r>
      <w:r w:rsidRPr="00196172">
        <w:rPr>
          <w:bCs/>
          <w:sz w:val="20"/>
        </w:rPr>
        <w:t>16-024-EL-UNC, Notice (January 8, 2016).</w:t>
      </w:r>
    </w:p>
  </w:footnote>
  <w:footnote w:id="34">
    <w:p w:rsidR="009B46D1" w:rsidRPr="00196172" w:rsidP="00196172" w14:paraId="634846DD" w14:textId="32C48B5F">
      <w:pPr>
        <w:autoSpaceDE w:val="0"/>
        <w:autoSpaceDN w:val="0"/>
        <w:adjustRightInd w:val="0"/>
        <w:spacing w:after="120"/>
        <w:rPr>
          <w:sz w:val="20"/>
        </w:rPr>
      </w:pPr>
      <w:r w:rsidRPr="00196172">
        <w:rPr>
          <w:rStyle w:val="FootnoteReference"/>
          <w:sz w:val="20"/>
        </w:rPr>
        <w:footnoteRef/>
      </w:r>
      <w:r w:rsidRPr="00196172">
        <w:t xml:space="preserve"> </w:t>
      </w:r>
      <w:r w:rsidRPr="00196172">
        <w:rPr>
          <w:rFonts w:cs="Times-Roman"/>
          <w:i/>
          <w:sz w:val="20"/>
        </w:rPr>
        <w:t>In the Matter of the 2016 Review of the Distribution Investment Rider Contained in the Tariff of Ohio Power Company, et al</w:t>
      </w:r>
      <w:r w:rsidRPr="00196172" w:rsidR="004D307B">
        <w:rPr>
          <w:rFonts w:cs="Times-Roman"/>
          <w:i/>
          <w:sz w:val="20"/>
        </w:rPr>
        <w:t>.</w:t>
      </w:r>
      <w:r w:rsidRPr="00196172">
        <w:rPr>
          <w:rFonts w:cs="Times-Roman"/>
          <w:i/>
          <w:sz w:val="20"/>
        </w:rPr>
        <w:t>,</w:t>
      </w:r>
      <w:r w:rsidRPr="00196172">
        <w:rPr>
          <w:rFonts w:cs="Times-Roman"/>
          <w:sz w:val="20"/>
        </w:rPr>
        <w:t xml:space="preserve"> Case </w:t>
      </w:r>
      <w:r w:rsidRPr="00196172" w:rsidR="004D307B">
        <w:rPr>
          <w:sz w:val="20"/>
        </w:rPr>
        <w:t>No.</w:t>
      </w:r>
      <w:r w:rsidRPr="00196172" w:rsidR="004D307B">
        <w:t xml:space="preserve"> </w:t>
      </w:r>
      <w:r w:rsidRPr="00196172">
        <w:rPr>
          <w:rFonts w:cs="Times-Roman"/>
          <w:sz w:val="20"/>
        </w:rPr>
        <w:t xml:space="preserve">17-0038-EL-RDR, </w:t>
      </w:r>
      <w:r w:rsidRPr="00196172" w:rsidR="00C04A16">
        <w:rPr>
          <w:rFonts w:cs="Times-Roman"/>
          <w:sz w:val="20"/>
        </w:rPr>
        <w:t xml:space="preserve">OCC Comments </w:t>
      </w:r>
      <w:r w:rsidRPr="00196172">
        <w:rPr>
          <w:rFonts w:cs="Times-Roman"/>
          <w:sz w:val="20"/>
        </w:rPr>
        <w:t>(October 26, 2018</w:t>
      </w:r>
      <w:r w:rsidRPr="00196172" w:rsidR="003858DE">
        <w:rPr>
          <w:rFonts w:cs="Times-Roman"/>
          <w:sz w:val="20"/>
        </w:rPr>
        <w:t>)</w:t>
      </w:r>
      <w:r w:rsidRPr="00196172">
        <w:rPr>
          <w:rFonts w:cs="Times-Roman"/>
          <w:sz w:val="20"/>
        </w:rPr>
        <w:t xml:space="preserve"> at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81C8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389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807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58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BAC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026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2AD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07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4E6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B000A"/>
    <w:multiLevelType w:val="hybridMultilevel"/>
    <w:tmpl w:val="9894D5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635"/>
    <w:multiLevelType w:val="hybridMultilevel"/>
    <w:tmpl w:val="F2124F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121ED3"/>
    <w:multiLevelType w:val="hybridMultilevel"/>
    <w:tmpl w:val="B804266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11094"/>
    <w:rsid w:val="000119C7"/>
    <w:rsid w:val="0001273A"/>
    <w:rsid w:val="000247EB"/>
    <w:rsid w:val="00030B61"/>
    <w:rsid w:val="000338E4"/>
    <w:rsid w:val="0004389B"/>
    <w:rsid w:val="000A4E25"/>
    <w:rsid w:val="000B432B"/>
    <w:rsid w:val="000E1261"/>
    <w:rsid w:val="000F74EB"/>
    <w:rsid w:val="001125AB"/>
    <w:rsid w:val="00113710"/>
    <w:rsid w:val="001160ED"/>
    <w:rsid w:val="00150DBD"/>
    <w:rsid w:val="0016406F"/>
    <w:rsid w:val="001670E0"/>
    <w:rsid w:val="00174784"/>
    <w:rsid w:val="001868C2"/>
    <w:rsid w:val="00186959"/>
    <w:rsid w:val="00196172"/>
    <w:rsid w:val="001B4CED"/>
    <w:rsid w:val="001C3584"/>
    <w:rsid w:val="00231635"/>
    <w:rsid w:val="002518D0"/>
    <w:rsid w:val="00253F65"/>
    <w:rsid w:val="00273FB5"/>
    <w:rsid w:val="00276880"/>
    <w:rsid w:val="00293597"/>
    <w:rsid w:val="002A4912"/>
    <w:rsid w:val="002D3955"/>
    <w:rsid w:val="002E0D81"/>
    <w:rsid w:val="002E1BCC"/>
    <w:rsid w:val="002E2D9E"/>
    <w:rsid w:val="002F7CFC"/>
    <w:rsid w:val="00322818"/>
    <w:rsid w:val="00327E3C"/>
    <w:rsid w:val="00355A7D"/>
    <w:rsid w:val="003731D3"/>
    <w:rsid w:val="003858DE"/>
    <w:rsid w:val="003B7A97"/>
    <w:rsid w:val="0040468E"/>
    <w:rsid w:val="00404C83"/>
    <w:rsid w:val="00421CC1"/>
    <w:rsid w:val="00424354"/>
    <w:rsid w:val="004327FB"/>
    <w:rsid w:val="00475DBE"/>
    <w:rsid w:val="004A39C0"/>
    <w:rsid w:val="004B1806"/>
    <w:rsid w:val="004C75DC"/>
    <w:rsid w:val="004D307B"/>
    <w:rsid w:val="004F5201"/>
    <w:rsid w:val="0052062C"/>
    <w:rsid w:val="0054275F"/>
    <w:rsid w:val="0058302B"/>
    <w:rsid w:val="005929A0"/>
    <w:rsid w:val="005C3308"/>
    <w:rsid w:val="005C6ED8"/>
    <w:rsid w:val="005D07BA"/>
    <w:rsid w:val="005D0DA5"/>
    <w:rsid w:val="005D3DDE"/>
    <w:rsid w:val="005E2783"/>
    <w:rsid w:val="006032C3"/>
    <w:rsid w:val="00654B6E"/>
    <w:rsid w:val="00691CD6"/>
    <w:rsid w:val="00693EE2"/>
    <w:rsid w:val="006C7380"/>
    <w:rsid w:val="006E1C3F"/>
    <w:rsid w:val="006F152B"/>
    <w:rsid w:val="007563C1"/>
    <w:rsid w:val="00760B9E"/>
    <w:rsid w:val="00790EEC"/>
    <w:rsid w:val="007B0122"/>
    <w:rsid w:val="007B43A0"/>
    <w:rsid w:val="007D6CF3"/>
    <w:rsid w:val="00805844"/>
    <w:rsid w:val="008338B7"/>
    <w:rsid w:val="00836110"/>
    <w:rsid w:val="00846BDE"/>
    <w:rsid w:val="008A089C"/>
    <w:rsid w:val="008A2BCE"/>
    <w:rsid w:val="008C48CD"/>
    <w:rsid w:val="008F70DE"/>
    <w:rsid w:val="00967323"/>
    <w:rsid w:val="0097465C"/>
    <w:rsid w:val="00977E8C"/>
    <w:rsid w:val="009864E6"/>
    <w:rsid w:val="009B46D1"/>
    <w:rsid w:val="009E3A31"/>
    <w:rsid w:val="00A044B5"/>
    <w:rsid w:val="00A07F3D"/>
    <w:rsid w:val="00A10FE6"/>
    <w:rsid w:val="00A11470"/>
    <w:rsid w:val="00A240FF"/>
    <w:rsid w:val="00A273BF"/>
    <w:rsid w:val="00A277FB"/>
    <w:rsid w:val="00A74C15"/>
    <w:rsid w:val="00A85BB2"/>
    <w:rsid w:val="00AB176E"/>
    <w:rsid w:val="00AB3B0E"/>
    <w:rsid w:val="00AB572A"/>
    <w:rsid w:val="00AE600A"/>
    <w:rsid w:val="00AF0DE9"/>
    <w:rsid w:val="00AF6164"/>
    <w:rsid w:val="00B35F39"/>
    <w:rsid w:val="00B571DB"/>
    <w:rsid w:val="00B87CF5"/>
    <w:rsid w:val="00B97B15"/>
    <w:rsid w:val="00BC110C"/>
    <w:rsid w:val="00C04A16"/>
    <w:rsid w:val="00C35890"/>
    <w:rsid w:val="00C364B6"/>
    <w:rsid w:val="00C47163"/>
    <w:rsid w:val="00C56249"/>
    <w:rsid w:val="00C575DB"/>
    <w:rsid w:val="00C66D1E"/>
    <w:rsid w:val="00C7667D"/>
    <w:rsid w:val="00C805E6"/>
    <w:rsid w:val="00C84893"/>
    <w:rsid w:val="00C97379"/>
    <w:rsid w:val="00CB039C"/>
    <w:rsid w:val="00CB53B6"/>
    <w:rsid w:val="00CD39B1"/>
    <w:rsid w:val="00CD5574"/>
    <w:rsid w:val="00D0456F"/>
    <w:rsid w:val="00D17C62"/>
    <w:rsid w:val="00D30181"/>
    <w:rsid w:val="00D30EB7"/>
    <w:rsid w:val="00D44EEC"/>
    <w:rsid w:val="00D44EF2"/>
    <w:rsid w:val="00D573BF"/>
    <w:rsid w:val="00D71B90"/>
    <w:rsid w:val="00DA3287"/>
    <w:rsid w:val="00E13EE3"/>
    <w:rsid w:val="00E261DF"/>
    <w:rsid w:val="00E26D39"/>
    <w:rsid w:val="00E338CF"/>
    <w:rsid w:val="00E85399"/>
    <w:rsid w:val="00E91383"/>
    <w:rsid w:val="00E9763A"/>
    <w:rsid w:val="00EE7054"/>
    <w:rsid w:val="00EF120D"/>
    <w:rsid w:val="00EF3C60"/>
    <w:rsid w:val="00EF784D"/>
    <w:rsid w:val="00F21A4F"/>
    <w:rsid w:val="00F25036"/>
    <w:rsid w:val="00F2718B"/>
    <w:rsid w:val="00F27BAC"/>
    <w:rsid w:val="00F3435F"/>
    <w:rsid w:val="00F429C7"/>
    <w:rsid w:val="00F506F3"/>
    <w:rsid w:val="00F67813"/>
    <w:rsid w:val="00F75E00"/>
    <w:rsid w:val="00F94D18"/>
    <w:rsid w:val="00FA58F8"/>
    <w:rsid w:val="00FA6144"/>
    <w:rsid w:val="00FB43B3"/>
    <w:rsid w:val="00FC1B55"/>
    <w:rsid w:val="00FD712E"/>
    <w:rsid w:val="00FF1D83"/>
    <w:rsid w:val="00FF7A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6E"/>
    <w:rPr>
      <w:sz w:val="24"/>
    </w:rPr>
  </w:style>
  <w:style w:type="paragraph" w:styleId="Heading1">
    <w:name w:val="heading 1"/>
    <w:basedOn w:val="Normal"/>
    <w:next w:val="Normal"/>
    <w:autoRedefine/>
    <w:qFormat/>
    <w:rsid w:val="00F429C7"/>
    <w:pPr>
      <w:keepNext/>
      <w:spacing w:before="240" w:line="480" w:lineRule="auto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autoRedefine/>
    <w:qFormat/>
    <w:rsid w:val="00C364B6"/>
    <w:pPr>
      <w:keepNext/>
      <w:keepLines/>
      <w:widowControl w:val="0"/>
      <w:numPr>
        <w:numId w:val="9"/>
      </w:numPr>
      <w:spacing w:after="240"/>
      <w:ind w:left="1440" w:righ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50E2C"/>
    <w:pPr>
      <w:spacing w:after="120"/>
    </w:pPr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250E2C"/>
  </w:style>
  <w:style w:type="character" w:customStyle="1" w:styleId="UnresolvedMention">
    <w:name w:val="Unresolved Mention"/>
    <w:uiPriority w:val="99"/>
    <w:semiHidden/>
    <w:unhideWhenUsed/>
    <w:rsid w:val="00424354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250E2C"/>
    <w:rPr>
      <w:sz w:val="24"/>
    </w:rPr>
  </w:style>
  <w:style w:type="character" w:customStyle="1" w:styleId="BodyTextIndentChar">
    <w:name w:val="Body Text Indent Char"/>
    <w:link w:val="BodyTextIndent"/>
    <w:rsid w:val="00250E2C"/>
    <w:rPr>
      <w:sz w:val="24"/>
    </w:rPr>
  </w:style>
  <w:style w:type="paragraph" w:styleId="ListParagraph">
    <w:name w:val="List Paragraph"/>
    <w:basedOn w:val="Normal"/>
    <w:uiPriority w:val="34"/>
    <w:qFormat/>
    <w:rsid w:val="005E2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AB176E"/>
    <w:rPr>
      <w:rFonts w:ascii="Courier New" w:eastAsia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AB176E"/>
  </w:style>
  <w:style w:type="character" w:customStyle="1" w:styleId="BodyTextIndent3Char">
    <w:name w:val="Body Text Indent 3 Char"/>
    <w:basedOn w:val="DefaultParagraphFont"/>
    <w:link w:val="BodyTextIndent3"/>
    <w:rsid w:val="00AB176E"/>
    <w:rPr>
      <w:sz w:val="24"/>
    </w:rPr>
  </w:style>
  <w:style w:type="paragraph" w:styleId="TOC1">
    <w:name w:val="toc 1"/>
    <w:basedOn w:val="Normal"/>
    <w:next w:val="Normal"/>
    <w:autoRedefine/>
    <w:uiPriority w:val="39"/>
    <w:rsid w:val="005D07BA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rsid w:val="005D07BA"/>
    <w:pPr>
      <w:tabs>
        <w:tab w:val="left" w:pos="720"/>
        <w:tab w:val="decimal" w:leader="dot" w:pos="8640"/>
      </w:tabs>
      <w:spacing w:after="24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William.wright@ohioattorneygeneral.gov" TargetMode="External" /><Relationship Id="rId11" Type="http://schemas.openxmlformats.org/officeDocument/2006/relationships/hyperlink" Target="mailto:Sarah.parrot@puc.state.oh.us" TargetMode="External" /><Relationship Id="rId12" Type="http://schemas.openxmlformats.org/officeDocument/2006/relationships/hyperlink" Target="mailto:Great.see@puc.state.oh.us" TargetMode="External" /><Relationship Id="rId13" Type="http://schemas.openxmlformats.org/officeDocument/2006/relationships/hyperlink" Target="mailto:stnourse@aep.com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Terry.etter@occ.ohio.go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C1BA-517B-412D-A4C5-4DC56B6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(18-1371) w-dfs.mrw.docx ls.jh.+response.docx</vt:lpstr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2019-09-13T21:15:33Z</dcterms:created>
  <dcterms:modified xsi:type="dcterms:W3CDTF">2019-09-13T21:15:33Z</dcterms:modified>
</cp:coreProperties>
</file>