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52A74" w:rsidRPr="0041465E" w:rsidP="00152A74" w14:paraId="10AF7151" w14:textId="101C5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1465E">
        <w:rPr>
          <w:rFonts w:ascii="Times New Roman" w:eastAsia="Calibri" w:hAnsi="Times New Roman" w:cs="Times New Roman"/>
          <w:b/>
          <w:bCs/>
          <w:sz w:val="24"/>
          <w:szCs w:val="24"/>
        </w:rPr>
        <w:t>BEFORE</w:t>
      </w:r>
    </w:p>
    <w:p w:rsidR="00AD677D" w:rsidRPr="0041465E" w:rsidP="00152A74" w14:paraId="67B71915" w14:textId="48E2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1465E">
        <w:rPr>
          <w:rFonts w:ascii="Times New Roman" w:eastAsia="Calibri" w:hAnsi="Times New Roman" w:cs="Times New Roman"/>
          <w:b/>
          <w:bCs/>
          <w:sz w:val="24"/>
          <w:szCs w:val="24"/>
        </w:rPr>
        <w:t>THE PUBLIC UTILITIES COMMISSION OF OHIO</w:t>
      </w:r>
    </w:p>
    <w:p w:rsidR="00D20C8D" w:rsidRPr="0041465E" w:rsidP="00D20C8D" w14:paraId="00D37463" w14:textId="77777777">
      <w:pPr>
        <w:pStyle w:val="HTMLPreformatted"/>
        <w:jc w:val="center"/>
        <w:rPr>
          <w:rFonts w:ascii="Times New Roman" w:hAnsi="Times New Roman" w:cs="Times New Roman"/>
          <w:b/>
          <w:bCs/>
          <w:sz w:val="24"/>
          <w:szCs w:val="24"/>
        </w:rPr>
      </w:pPr>
    </w:p>
    <w:tbl>
      <w:tblPr>
        <w:tblW w:w="8732" w:type="dxa"/>
        <w:tblInd w:w="-108" w:type="dxa"/>
        <w:tblLayout w:type="fixed"/>
        <w:tblLook w:val="01E0"/>
      </w:tblPr>
      <w:tblGrid>
        <w:gridCol w:w="4246"/>
        <w:gridCol w:w="632"/>
        <w:gridCol w:w="3854"/>
      </w:tblGrid>
      <w:tr w14:paraId="51B37946" w14:textId="77777777" w:rsidTr="00122078">
        <w:tblPrEx>
          <w:tblW w:w="8732" w:type="dxa"/>
          <w:tblInd w:w="-108" w:type="dxa"/>
          <w:tblLayout w:type="fixed"/>
          <w:tblLook w:val="01E0"/>
        </w:tblPrEx>
        <w:trPr>
          <w:trHeight w:val="665"/>
        </w:trPr>
        <w:tc>
          <w:tcPr>
            <w:tcW w:w="4246" w:type="dxa"/>
            <w:shd w:val="clear" w:color="auto" w:fill="auto"/>
          </w:tcPr>
          <w:p w:rsidR="00D20C8D" w:rsidRPr="0041465E" w:rsidP="003F3941" w14:paraId="4B24A353" w14:textId="75BA4618">
            <w:pPr>
              <w:autoSpaceDE w:val="0"/>
              <w:autoSpaceDN w:val="0"/>
              <w:adjustRightInd w:val="0"/>
              <w:spacing w:after="0" w:line="240" w:lineRule="auto"/>
              <w:rPr>
                <w:rFonts w:ascii="Times New Roman" w:hAnsi="Times New Roman" w:cs="Times New Roman"/>
                <w:sz w:val="24"/>
                <w:szCs w:val="24"/>
              </w:rPr>
            </w:pPr>
            <w:r w:rsidRPr="0041465E">
              <w:rPr>
                <w:rFonts w:ascii="Times New Roman" w:hAnsi="Times New Roman" w:cs="Times New Roman"/>
                <w:sz w:val="24"/>
                <w:szCs w:val="24"/>
              </w:rPr>
              <w:t xml:space="preserve">In the Matter of the Procurement of Standard Service Offer Generation for Customers of the Dayton Power and Light Company. </w:t>
            </w:r>
          </w:p>
        </w:tc>
        <w:tc>
          <w:tcPr>
            <w:tcW w:w="632" w:type="dxa"/>
            <w:shd w:val="clear" w:color="auto" w:fill="auto"/>
          </w:tcPr>
          <w:p w:rsidR="00D20C8D" w:rsidRPr="0041465E" w:rsidP="00C5323E" w14:paraId="579A8B2F" w14:textId="77777777">
            <w:pPr>
              <w:pStyle w:val="HTMLPreformatted"/>
              <w:jc w:val="center"/>
              <w:rPr>
                <w:rFonts w:ascii="Times New Roman" w:hAnsi="Times New Roman" w:cs="Times New Roman"/>
                <w:sz w:val="24"/>
                <w:szCs w:val="24"/>
              </w:rPr>
            </w:pPr>
            <w:r w:rsidRPr="0041465E">
              <w:rPr>
                <w:rFonts w:ascii="Times New Roman" w:hAnsi="Times New Roman" w:cs="Times New Roman"/>
                <w:sz w:val="24"/>
                <w:szCs w:val="24"/>
              </w:rPr>
              <w:t>)</w:t>
            </w:r>
          </w:p>
          <w:p w:rsidR="00D20C8D" w:rsidRPr="0041465E" w:rsidP="00C5323E" w14:paraId="5EDA5BD2" w14:textId="77777777">
            <w:pPr>
              <w:pStyle w:val="HTMLPreformatted"/>
              <w:jc w:val="center"/>
              <w:rPr>
                <w:rFonts w:ascii="Times New Roman" w:hAnsi="Times New Roman" w:cs="Times New Roman"/>
                <w:sz w:val="24"/>
                <w:szCs w:val="24"/>
              </w:rPr>
            </w:pPr>
            <w:r w:rsidRPr="0041465E">
              <w:rPr>
                <w:rFonts w:ascii="Times New Roman" w:hAnsi="Times New Roman" w:cs="Times New Roman"/>
                <w:sz w:val="24"/>
                <w:szCs w:val="24"/>
              </w:rPr>
              <w:t>)</w:t>
            </w:r>
          </w:p>
          <w:p w:rsidR="00D20C8D" w:rsidRPr="0041465E" w:rsidP="000844C0" w14:paraId="63BD2062" w14:textId="77777777">
            <w:pPr>
              <w:pStyle w:val="HTMLPreformatted"/>
              <w:jc w:val="center"/>
              <w:rPr>
                <w:rFonts w:ascii="Times New Roman" w:hAnsi="Times New Roman" w:cs="Times New Roman"/>
                <w:sz w:val="24"/>
                <w:szCs w:val="24"/>
              </w:rPr>
            </w:pPr>
            <w:r w:rsidRPr="0041465E">
              <w:rPr>
                <w:rFonts w:ascii="Times New Roman" w:hAnsi="Times New Roman" w:cs="Times New Roman"/>
                <w:sz w:val="24"/>
                <w:szCs w:val="24"/>
              </w:rPr>
              <w:t>)</w:t>
            </w:r>
          </w:p>
          <w:p w:rsidR="006163FF" w:rsidRPr="0041465E" w:rsidP="000844C0" w14:paraId="053B0AC3" w14:textId="69903521">
            <w:pPr>
              <w:pStyle w:val="HTMLPreformatted"/>
              <w:jc w:val="center"/>
              <w:rPr>
                <w:rFonts w:ascii="Times New Roman" w:hAnsi="Times New Roman" w:cs="Times New Roman"/>
                <w:sz w:val="24"/>
                <w:szCs w:val="24"/>
              </w:rPr>
            </w:pPr>
            <w:r w:rsidRPr="0041465E">
              <w:rPr>
                <w:rFonts w:ascii="Times New Roman" w:hAnsi="Times New Roman" w:cs="Times New Roman"/>
                <w:sz w:val="24"/>
                <w:szCs w:val="24"/>
              </w:rPr>
              <w:t>)</w:t>
            </w:r>
          </w:p>
        </w:tc>
        <w:tc>
          <w:tcPr>
            <w:tcW w:w="3854" w:type="dxa"/>
            <w:shd w:val="clear" w:color="auto" w:fill="auto"/>
          </w:tcPr>
          <w:p w:rsidR="00D20C8D" w:rsidRPr="0041465E" w:rsidP="00C5323E" w14:paraId="45187CA2" w14:textId="77777777">
            <w:pPr>
              <w:pStyle w:val="HTMLPreformatted"/>
              <w:rPr>
                <w:rFonts w:ascii="Times New Roman" w:hAnsi="Times New Roman" w:cs="Times New Roman"/>
                <w:sz w:val="24"/>
                <w:szCs w:val="24"/>
              </w:rPr>
            </w:pPr>
          </w:p>
          <w:p w:rsidR="00D20C8D" w:rsidRPr="0041465E" w:rsidP="00C5323E" w14:paraId="5772299E" w14:textId="46FF5A6E">
            <w:pPr>
              <w:pStyle w:val="HTMLPreformatted"/>
              <w:rPr>
                <w:rFonts w:ascii="Times New Roman" w:hAnsi="Times New Roman" w:cs="Times New Roman"/>
                <w:sz w:val="24"/>
                <w:szCs w:val="24"/>
              </w:rPr>
            </w:pPr>
            <w:r w:rsidRPr="0041465E">
              <w:rPr>
                <w:rFonts w:ascii="Times New Roman" w:hAnsi="Times New Roman" w:cs="Times New Roman"/>
                <w:sz w:val="24"/>
                <w:szCs w:val="24"/>
              </w:rPr>
              <w:t xml:space="preserve">Case No. </w:t>
            </w:r>
            <w:r w:rsidRPr="0041465E" w:rsidR="00EB3050">
              <w:rPr>
                <w:rFonts w:ascii="Times New Roman" w:hAnsi="Times New Roman" w:cs="Times New Roman"/>
                <w:sz w:val="24"/>
                <w:szCs w:val="24"/>
              </w:rPr>
              <w:t>17-957-EL-UNC</w:t>
            </w:r>
          </w:p>
        </w:tc>
      </w:tr>
    </w:tbl>
    <w:p w:rsidR="00152A74" w:rsidRPr="0041465E" w:rsidP="000E48AE"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41465E"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C42A1E" w:rsidRPr="0041465E" w:rsidP="00C42A1E" w14:paraId="4EE39B9A" w14:textId="19F5A587">
      <w:pPr>
        <w:widowControl w:val="0"/>
        <w:spacing w:after="0" w:line="240" w:lineRule="auto"/>
        <w:jc w:val="center"/>
        <w:rPr>
          <w:rFonts w:ascii="Times New Roman" w:hAnsi="Times New Roman" w:cs="Times New Roman"/>
          <w:b/>
          <w:sz w:val="24"/>
          <w:szCs w:val="24"/>
        </w:rPr>
      </w:pPr>
      <w:r w:rsidRPr="0041465E">
        <w:rPr>
          <w:rFonts w:ascii="Times New Roman" w:hAnsi="Times New Roman" w:cs="Times New Roman"/>
          <w:b/>
          <w:sz w:val="24"/>
          <w:szCs w:val="24"/>
        </w:rPr>
        <w:t xml:space="preserve">APPLICATION FOR REHEARING </w:t>
      </w:r>
    </w:p>
    <w:p w:rsidR="00C42A1E" w:rsidRPr="0041465E" w:rsidP="00C42A1E" w14:paraId="0CD53166" w14:textId="77777777">
      <w:pPr>
        <w:widowControl w:val="0"/>
        <w:spacing w:after="0" w:line="240" w:lineRule="auto"/>
        <w:jc w:val="center"/>
        <w:rPr>
          <w:rFonts w:ascii="Times New Roman" w:hAnsi="Times New Roman" w:cs="Times New Roman"/>
          <w:b/>
          <w:sz w:val="24"/>
          <w:szCs w:val="24"/>
        </w:rPr>
      </w:pPr>
      <w:r w:rsidRPr="0041465E">
        <w:rPr>
          <w:rFonts w:ascii="Times New Roman" w:hAnsi="Times New Roman" w:cs="Times New Roman"/>
          <w:b/>
          <w:sz w:val="24"/>
          <w:szCs w:val="24"/>
        </w:rPr>
        <w:t>BY</w:t>
      </w:r>
    </w:p>
    <w:p w:rsidR="00C42A1E" w:rsidRPr="0041465E" w:rsidP="00C42A1E" w14:paraId="69D4D059" w14:textId="77777777">
      <w:pPr>
        <w:spacing w:after="0" w:line="240" w:lineRule="auto"/>
        <w:jc w:val="center"/>
        <w:rPr>
          <w:rFonts w:ascii="Times New Roman" w:hAnsi="Times New Roman" w:cs="Times New Roman"/>
          <w:b/>
          <w:sz w:val="24"/>
          <w:szCs w:val="24"/>
        </w:rPr>
      </w:pPr>
      <w:r w:rsidRPr="0041465E">
        <w:rPr>
          <w:rFonts w:ascii="Times New Roman" w:hAnsi="Times New Roman" w:cs="Times New Roman"/>
          <w:b/>
          <w:sz w:val="24"/>
          <w:szCs w:val="24"/>
        </w:rPr>
        <w:t>OFFICE OF THE OHIO CONSUMERS’ COUNSEL</w:t>
      </w:r>
    </w:p>
    <w:p w:rsidR="00152A74" w:rsidRPr="0041465E" w:rsidP="007633FA" w14:paraId="6EA33050" w14:textId="7777777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4"/>
          <w:szCs w:val="24"/>
        </w:rPr>
      </w:pPr>
    </w:p>
    <w:p w:rsidR="000E48AE" w:rsidRPr="0041465E" w:rsidP="000E48AE" w14:paraId="6CC4ED9C" w14:textId="77777777">
      <w:pPr>
        <w:kinsoku w:val="0"/>
        <w:overflowPunct w:val="0"/>
        <w:autoSpaceDE w:val="0"/>
        <w:autoSpaceDN w:val="0"/>
        <w:adjustRightInd w:val="0"/>
        <w:spacing w:after="0" w:line="240" w:lineRule="auto"/>
        <w:ind w:firstLine="720"/>
        <w:rPr>
          <w:rFonts w:ascii="Times New Roman" w:hAnsi="Times New Roman" w:cs="Times New Roman"/>
          <w:sz w:val="24"/>
          <w:szCs w:val="24"/>
        </w:rPr>
      </w:pPr>
    </w:p>
    <w:p w:rsidR="005535FB" w:rsidRPr="0041465E" w:rsidP="00897E6F" w14:paraId="0CFA4105" w14:textId="48691BF8">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41465E">
        <w:rPr>
          <w:rFonts w:ascii="Times New Roman" w:hAnsi="Times New Roman" w:cs="Times New Roman"/>
          <w:sz w:val="24"/>
          <w:szCs w:val="24"/>
        </w:rPr>
        <w:t>The PUCO</w:t>
      </w:r>
      <w:r w:rsidRPr="0041465E" w:rsidR="00CD3D6D">
        <w:rPr>
          <w:rFonts w:ascii="Times New Roman" w:hAnsi="Times New Roman" w:cs="Times New Roman"/>
          <w:sz w:val="24"/>
          <w:szCs w:val="24"/>
        </w:rPr>
        <w:t xml:space="preserve">’s </w:t>
      </w:r>
      <w:r w:rsidRPr="0041465E" w:rsidR="00421452">
        <w:rPr>
          <w:rFonts w:ascii="Times New Roman" w:hAnsi="Times New Roman" w:cs="Times New Roman"/>
          <w:sz w:val="24"/>
          <w:szCs w:val="24"/>
        </w:rPr>
        <w:t>Finding and Order</w:t>
      </w:r>
      <w:r>
        <w:rPr>
          <w:rStyle w:val="FootnoteReference"/>
          <w:rFonts w:ascii="Times New Roman" w:hAnsi="Times New Roman" w:cs="Times New Roman"/>
          <w:sz w:val="24"/>
          <w:szCs w:val="24"/>
        </w:rPr>
        <w:footnoteReference w:id="3"/>
      </w:r>
      <w:r w:rsidRPr="0041465E" w:rsidR="00CD3D6D">
        <w:rPr>
          <w:rFonts w:ascii="Times New Roman" w:hAnsi="Times New Roman" w:cs="Times New Roman"/>
          <w:sz w:val="24"/>
          <w:szCs w:val="24"/>
        </w:rPr>
        <w:t xml:space="preserve"> </w:t>
      </w:r>
      <w:r w:rsidRPr="0041465E" w:rsidR="00A972A6">
        <w:rPr>
          <w:rFonts w:ascii="Times New Roman" w:hAnsi="Times New Roman" w:cs="Times New Roman"/>
          <w:sz w:val="24"/>
          <w:szCs w:val="24"/>
        </w:rPr>
        <w:t xml:space="preserve">fails consumers and </w:t>
      </w:r>
      <w:r w:rsidRPr="0041465E" w:rsidR="00CD3D6D">
        <w:rPr>
          <w:rFonts w:ascii="Times New Roman" w:hAnsi="Times New Roman" w:cs="Times New Roman"/>
          <w:sz w:val="24"/>
          <w:szCs w:val="24"/>
        </w:rPr>
        <w:t>is unlawful</w:t>
      </w:r>
      <w:r w:rsidRPr="0041465E" w:rsidR="00AF071D">
        <w:rPr>
          <w:rFonts w:ascii="Times New Roman" w:hAnsi="Times New Roman" w:cs="Times New Roman"/>
          <w:sz w:val="24"/>
          <w:szCs w:val="24"/>
        </w:rPr>
        <w:t xml:space="preserve">. </w:t>
      </w:r>
      <w:r w:rsidRPr="0041465E" w:rsidR="002C0383">
        <w:rPr>
          <w:rFonts w:ascii="Times New Roman" w:hAnsi="Times New Roman" w:cs="Times New Roman"/>
          <w:sz w:val="24"/>
          <w:szCs w:val="24"/>
        </w:rPr>
        <w:t>The Finding and Order</w:t>
      </w:r>
      <w:r w:rsidRPr="0041465E" w:rsidR="00CC6A3B">
        <w:rPr>
          <w:rFonts w:ascii="Times New Roman" w:hAnsi="Times New Roman" w:cs="Times New Roman"/>
          <w:sz w:val="24"/>
          <w:szCs w:val="24"/>
        </w:rPr>
        <w:t xml:space="preserve"> </w:t>
      </w:r>
      <w:r w:rsidRPr="0041465E" w:rsidR="004E5118">
        <w:rPr>
          <w:rFonts w:ascii="Times New Roman" w:hAnsi="Times New Roman" w:cs="Times New Roman"/>
          <w:sz w:val="24"/>
          <w:szCs w:val="24"/>
        </w:rPr>
        <w:t>c</w:t>
      </w:r>
      <w:r w:rsidRPr="0041465E" w:rsidR="00F33ECA">
        <w:rPr>
          <w:rFonts w:ascii="Times New Roman" w:hAnsi="Times New Roman" w:cs="Times New Roman"/>
          <w:sz w:val="24"/>
          <w:szCs w:val="24"/>
        </w:rPr>
        <w:t>harg</w:t>
      </w:r>
      <w:r w:rsidRPr="0041465E" w:rsidR="004E5118">
        <w:rPr>
          <w:rFonts w:ascii="Times New Roman" w:hAnsi="Times New Roman" w:cs="Times New Roman"/>
          <w:sz w:val="24"/>
          <w:szCs w:val="24"/>
        </w:rPr>
        <w:t>es</w:t>
      </w:r>
      <w:r w:rsidRPr="0041465E" w:rsidR="00F33ECA">
        <w:rPr>
          <w:rFonts w:ascii="Times New Roman" w:hAnsi="Times New Roman" w:cs="Times New Roman"/>
          <w:sz w:val="24"/>
          <w:szCs w:val="24"/>
        </w:rPr>
        <w:t xml:space="preserve"> at-risk </w:t>
      </w:r>
      <w:r w:rsidRPr="0041465E" w:rsidR="00C33D78">
        <w:rPr>
          <w:rFonts w:ascii="Times New Roman" w:hAnsi="Times New Roman" w:cs="Times New Roman"/>
          <w:sz w:val="24"/>
          <w:szCs w:val="24"/>
        </w:rPr>
        <w:t xml:space="preserve">PIPP </w:t>
      </w:r>
      <w:r w:rsidRPr="0041465E" w:rsidR="002C0383">
        <w:rPr>
          <w:rFonts w:ascii="Times New Roman" w:hAnsi="Times New Roman" w:cs="Times New Roman"/>
          <w:sz w:val="24"/>
          <w:szCs w:val="24"/>
        </w:rPr>
        <w:t>consumers</w:t>
      </w:r>
      <w:r w:rsidRPr="0041465E" w:rsidR="00F33ECA">
        <w:rPr>
          <w:rFonts w:ascii="Times New Roman" w:hAnsi="Times New Roman" w:cs="Times New Roman"/>
          <w:sz w:val="24"/>
          <w:szCs w:val="24"/>
        </w:rPr>
        <w:t xml:space="preserve"> electricity prices that are higher than</w:t>
      </w:r>
      <w:r w:rsidRPr="0041465E" w:rsidR="001D6D72">
        <w:rPr>
          <w:rFonts w:ascii="Times New Roman" w:hAnsi="Times New Roman" w:cs="Times New Roman"/>
          <w:sz w:val="24"/>
          <w:szCs w:val="24"/>
        </w:rPr>
        <w:t xml:space="preserve"> those</w:t>
      </w:r>
      <w:r w:rsidRPr="0041465E" w:rsidR="00A972A6">
        <w:rPr>
          <w:rFonts w:ascii="Times New Roman" w:hAnsi="Times New Roman" w:cs="Times New Roman"/>
          <w:sz w:val="24"/>
          <w:szCs w:val="24"/>
        </w:rPr>
        <w:t xml:space="preserve"> Dayton Power and Light Company’s</w:t>
      </w:r>
      <w:r>
        <w:rPr>
          <w:rStyle w:val="FootnoteReference"/>
          <w:rFonts w:ascii="Times New Roman" w:hAnsi="Times New Roman" w:cs="Times New Roman"/>
          <w:sz w:val="24"/>
          <w:szCs w:val="24"/>
        </w:rPr>
        <w:footnoteReference w:id="4"/>
      </w:r>
      <w:r w:rsidRPr="0041465E" w:rsidR="00A972A6">
        <w:rPr>
          <w:rFonts w:ascii="Times New Roman" w:hAnsi="Times New Roman" w:cs="Times New Roman"/>
          <w:sz w:val="24"/>
          <w:szCs w:val="24"/>
        </w:rPr>
        <w:t xml:space="preserve"> (“DP&amp;L”)</w:t>
      </w:r>
      <w:r w:rsidRPr="0041465E" w:rsidR="00CC6A3B">
        <w:rPr>
          <w:rFonts w:ascii="Times New Roman" w:hAnsi="Times New Roman" w:cs="Times New Roman"/>
          <w:sz w:val="24"/>
          <w:szCs w:val="24"/>
        </w:rPr>
        <w:t xml:space="preserve"> standard offer</w:t>
      </w:r>
      <w:r w:rsidRPr="0041465E" w:rsidR="001D6D72">
        <w:rPr>
          <w:rFonts w:ascii="Times New Roman" w:hAnsi="Times New Roman" w:cs="Times New Roman"/>
          <w:sz w:val="24"/>
          <w:szCs w:val="24"/>
        </w:rPr>
        <w:t xml:space="preserve"> consumers pay</w:t>
      </w:r>
      <w:r w:rsidRPr="0041465E" w:rsidR="00CC6A3B">
        <w:rPr>
          <w:rFonts w:ascii="Times New Roman" w:hAnsi="Times New Roman" w:cs="Times New Roman"/>
          <w:sz w:val="24"/>
          <w:szCs w:val="24"/>
        </w:rPr>
        <w:t>.</w:t>
      </w:r>
      <w:r w:rsidRPr="0041465E" w:rsidR="004E5118">
        <w:rPr>
          <w:rFonts w:ascii="Times New Roman" w:hAnsi="Times New Roman" w:cs="Times New Roman"/>
          <w:sz w:val="24"/>
          <w:szCs w:val="24"/>
        </w:rPr>
        <w:t xml:space="preserve"> </w:t>
      </w:r>
      <w:r w:rsidRPr="0041465E" w:rsidR="001D6D72">
        <w:rPr>
          <w:rFonts w:ascii="Times New Roman" w:hAnsi="Times New Roman" w:cs="Times New Roman"/>
          <w:sz w:val="24"/>
          <w:szCs w:val="24"/>
        </w:rPr>
        <w:t>DP&amp;L annually charges PIPP consumers $583.54</w:t>
      </w:r>
      <w:r>
        <w:rPr>
          <w:rStyle w:val="FootnoteReference"/>
          <w:rFonts w:ascii="Times New Roman" w:hAnsi="Times New Roman" w:cs="Times New Roman"/>
          <w:sz w:val="24"/>
          <w:szCs w:val="24"/>
        </w:rPr>
        <w:footnoteReference w:id="5"/>
      </w:r>
      <w:r w:rsidRPr="0041465E" w:rsidR="001D6D72">
        <w:rPr>
          <w:rFonts w:ascii="Times New Roman" w:hAnsi="Times New Roman" w:cs="Times New Roman"/>
          <w:sz w:val="24"/>
          <w:szCs w:val="24"/>
        </w:rPr>
        <w:t xml:space="preserve"> more than consumers on the standard offer. </w:t>
      </w:r>
      <w:r w:rsidRPr="0041465E" w:rsidR="00C33D78">
        <w:rPr>
          <w:rFonts w:ascii="Times New Roman" w:hAnsi="Times New Roman" w:cs="Times New Roman"/>
          <w:sz w:val="24"/>
          <w:szCs w:val="24"/>
        </w:rPr>
        <w:t>R.C. 4928.542 prohibits exactly that. The PUCO’s interpretation</w:t>
      </w:r>
      <w:r>
        <w:rPr>
          <w:rStyle w:val="FootnoteReference"/>
          <w:rFonts w:ascii="Times New Roman" w:hAnsi="Times New Roman" w:cs="Times New Roman"/>
          <w:sz w:val="24"/>
          <w:szCs w:val="24"/>
        </w:rPr>
        <w:footnoteReference w:id="6"/>
      </w:r>
      <w:r w:rsidRPr="0041465E" w:rsidR="00C33D78">
        <w:rPr>
          <w:rFonts w:ascii="Times New Roman" w:hAnsi="Times New Roman" w:cs="Times New Roman"/>
          <w:sz w:val="24"/>
          <w:szCs w:val="24"/>
        </w:rPr>
        <w:t xml:space="preserve"> </w:t>
      </w:r>
      <w:r w:rsidRPr="0041465E" w:rsidR="00900896">
        <w:rPr>
          <w:rFonts w:ascii="Times New Roman" w:hAnsi="Times New Roman" w:cs="Times New Roman"/>
          <w:sz w:val="24"/>
          <w:szCs w:val="24"/>
        </w:rPr>
        <w:t>to the contrary</w:t>
      </w:r>
      <w:r w:rsidRPr="0041465E" w:rsidR="00AA3FCC">
        <w:rPr>
          <w:rFonts w:ascii="Times New Roman" w:hAnsi="Times New Roman" w:cs="Times New Roman"/>
          <w:sz w:val="24"/>
          <w:szCs w:val="24"/>
        </w:rPr>
        <w:t xml:space="preserve"> harms the most vulnerable Ohioans and </w:t>
      </w:r>
      <w:r w:rsidRPr="0041465E" w:rsidR="00900896">
        <w:rPr>
          <w:rFonts w:ascii="Times New Roman" w:hAnsi="Times New Roman" w:cs="Times New Roman"/>
          <w:sz w:val="24"/>
          <w:szCs w:val="24"/>
        </w:rPr>
        <w:t>violates</w:t>
      </w:r>
      <w:r w:rsidRPr="0041465E" w:rsidR="00C33D78">
        <w:rPr>
          <w:rFonts w:ascii="Times New Roman" w:hAnsi="Times New Roman" w:cs="Times New Roman"/>
          <w:sz w:val="24"/>
          <w:szCs w:val="24"/>
        </w:rPr>
        <w:t xml:space="preserve"> established principles of statutory interpretation and Ohio law. </w:t>
      </w:r>
    </w:p>
    <w:p w:rsidR="00403913" w:rsidRPr="0041465E" w:rsidP="00403913" w14:paraId="2285826C" w14:textId="296D21D0">
      <w:pPr>
        <w:kinsoku w:val="0"/>
        <w:overflowPunct w:val="0"/>
        <w:autoSpaceDE w:val="0"/>
        <w:autoSpaceDN w:val="0"/>
        <w:adjustRightInd w:val="0"/>
        <w:spacing w:after="0" w:line="480" w:lineRule="auto"/>
        <w:ind w:firstLine="720"/>
        <w:rPr>
          <w:rFonts w:ascii="Times New Roman" w:hAnsi="Times New Roman" w:cs="Times New Roman"/>
          <w:sz w:val="24"/>
          <w:szCs w:val="24"/>
        </w:rPr>
      </w:pPr>
      <w:r w:rsidRPr="0041465E">
        <w:rPr>
          <w:rFonts w:ascii="Times New Roman" w:hAnsi="Times New Roman" w:cs="Times New Roman"/>
          <w:sz w:val="24"/>
          <w:szCs w:val="24"/>
        </w:rPr>
        <w:t xml:space="preserve">Accordingly, under R.C. 4903.10, OCC applies for rehearing of </w:t>
      </w:r>
      <w:r w:rsidRPr="0041465E" w:rsidR="00AA3FCC">
        <w:rPr>
          <w:rFonts w:ascii="Times New Roman" w:hAnsi="Times New Roman" w:cs="Times New Roman"/>
          <w:sz w:val="24"/>
          <w:szCs w:val="24"/>
        </w:rPr>
        <w:t xml:space="preserve">its September 21, 2022 </w:t>
      </w:r>
      <w:r w:rsidRPr="0041465E">
        <w:rPr>
          <w:rFonts w:ascii="Times New Roman" w:hAnsi="Times New Roman" w:cs="Times New Roman"/>
          <w:sz w:val="24"/>
          <w:szCs w:val="24"/>
        </w:rPr>
        <w:t>Finding and Order</w:t>
      </w:r>
      <w:r w:rsidRPr="0041465E" w:rsidR="004E5118">
        <w:rPr>
          <w:rFonts w:ascii="Times New Roman" w:hAnsi="Times New Roman" w:cs="Times New Roman"/>
          <w:sz w:val="24"/>
          <w:szCs w:val="24"/>
        </w:rPr>
        <w:t xml:space="preserve">, which </w:t>
      </w:r>
      <w:r w:rsidRPr="0041465E">
        <w:rPr>
          <w:rFonts w:ascii="Times New Roman" w:hAnsi="Times New Roman" w:cs="Times New Roman"/>
          <w:sz w:val="24"/>
          <w:szCs w:val="24"/>
        </w:rPr>
        <w:t xml:space="preserve">was unlawful in the following respects: </w:t>
      </w:r>
    </w:p>
    <w:p w:rsidR="00E80CB8" w:rsidP="00E80CB8" w14:paraId="5E10A1AD" w14:textId="3F175FA3">
      <w:pPr>
        <w:widowControl w:val="0"/>
        <w:spacing w:after="0" w:line="240" w:lineRule="auto"/>
        <w:ind w:left="720"/>
        <w:rPr>
          <w:rFonts w:ascii="Times New Roman" w:hAnsi="Times New Roman" w:cs="Times New Roman"/>
          <w:sz w:val="24"/>
          <w:szCs w:val="24"/>
        </w:rPr>
      </w:pPr>
      <w:bookmarkStart w:id="0" w:name="_Hlk98511697"/>
      <w:r w:rsidRPr="0041465E">
        <w:rPr>
          <w:rFonts w:ascii="Times New Roman" w:hAnsi="Times New Roman" w:cs="Times New Roman"/>
          <w:sz w:val="24"/>
          <w:szCs w:val="24"/>
        </w:rPr>
        <w:t>ASSIGNMENT OF ERROR NO. 1:</w:t>
      </w:r>
      <w:r w:rsidR="0041465E">
        <w:rPr>
          <w:rFonts w:ascii="Times New Roman" w:hAnsi="Times New Roman" w:cs="Times New Roman"/>
          <w:sz w:val="24"/>
          <w:szCs w:val="24"/>
        </w:rPr>
        <w:t xml:space="preserve"> </w:t>
      </w:r>
      <w:r w:rsidRPr="0041465E" w:rsidR="008750FA">
        <w:rPr>
          <w:rFonts w:ascii="Times New Roman" w:hAnsi="Times New Roman" w:cs="Times New Roman"/>
          <w:sz w:val="24"/>
          <w:szCs w:val="24"/>
        </w:rPr>
        <w:t xml:space="preserve">The PUCO erred and acted outside its authority </w:t>
      </w:r>
      <w:r w:rsidRPr="0041465E" w:rsidR="001D6D72">
        <w:rPr>
          <w:rFonts w:ascii="Times New Roman" w:hAnsi="Times New Roman" w:cs="Times New Roman"/>
          <w:sz w:val="24"/>
          <w:szCs w:val="24"/>
        </w:rPr>
        <w:t>when it failed</w:t>
      </w:r>
      <w:r w:rsidRPr="0041465E" w:rsidR="008750FA">
        <w:rPr>
          <w:rFonts w:ascii="Times New Roman" w:hAnsi="Times New Roman" w:cs="Times New Roman"/>
          <w:sz w:val="24"/>
          <w:szCs w:val="24"/>
        </w:rPr>
        <w:t xml:space="preserve"> to require DP&amp;L to comply with R.C. 4928.542(B) and (C) and principles of statutory construction by authorizing DP&amp;L to charge at-risk PIPP consumers electricity prices higher than </w:t>
      </w:r>
      <w:r w:rsidRPr="0041465E" w:rsidR="001D6D72">
        <w:rPr>
          <w:rFonts w:ascii="Times New Roman" w:hAnsi="Times New Roman" w:cs="Times New Roman"/>
          <w:sz w:val="24"/>
          <w:szCs w:val="24"/>
        </w:rPr>
        <w:t xml:space="preserve">those </w:t>
      </w:r>
      <w:r w:rsidRPr="0041465E" w:rsidR="008750FA">
        <w:rPr>
          <w:rFonts w:ascii="Times New Roman" w:hAnsi="Times New Roman" w:cs="Times New Roman"/>
          <w:sz w:val="24"/>
          <w:szCs w:val="24"/>
        </w:rPr>
        <w:t xml:space="preserve">its standard service offer </w:t>
      </w:r>
      <w:r w:rsidRPr="0041465E" w:rsidR="001D6D72">
        <w:rPr>
          <w:rFonts w:ascii="Times New Roman" w:hAnsi="Times New Roman" w:cs="Times New Roman"/>
          <w:sz w:val="24"/>
          <w:szCs w:val="24"/>
        </w:rPr>
        <w:t>consumers pay</w:t>
      </w:r>
      <w:r w:rsidRPr="0041465E" w:rsidR="008750FA">
        <w:rPr>
          <w:rFonts w:ascii="Times New Roman" w:hAnsi="Times New Roman" w:cs="Times New Roman"/>
          <w:sz w:val="24"/>
          <w:szCs w:val="24"/>
        </w:rPr>
        <w:t>.</w:t>
      </w:r>
      <w:bookmarkEnd w:id="0"/>
      <w:r>
        <w:rPr>
          <w:rFonts w:ascii="Times New Roman" w:hAnsi="Times New Roman" w:cs="Times New Roman"/>
          <w:sz w:val="24"/>
          <w:szCs w:val="24"/>
        </w:rPr>
        <w:br w:type="page"/>
      </w:r>
    </w:p>
    <w:p w:rsidR="00403913" w:rsidRPr="0041465E" w:rsidP="00403913" w14:paraId="489F268C" w14:textId="202F9FC2">
      <w:pPr>
        <w:widowControl w:val="0"/>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Respectfully submitted,</w:t>
      </w:r>
    </w:p>
    <w:p w:rsidR="00403913" w:rsidRPr="0041465E" w:rsidP="00403913" w14:paraId="1C96AE77" w14:textId="77777777">
      <w:pPr>
        <w:widowControl w:val="0"/>
        <w:spacing w:after="0" w:line="240" w:lineRule="auto"/>
        <w:ind w:left="3600"/>
        <w:rPr>
          <w:rFonts w:ascii="Times New Roman" w:hAnsi="Times New Roman" w:cs="Times New Roman"/>
          <w:sz w:val="24"/>
          <w:szCs w:val="24"/>
        </w:rPr>
      </w:pPr>
    </w:p>
    <w:p w:rsidR="00403913" w:rsidRPr="0041465E" w:rsidP="00403913" w14:paraId="5BAFCA65" w14:textId="77777777">
      <w:pPr>
        <w:pStyle w:val="Footer"/>
        <w:ind w:left="3600"/>
        <w:rPr>
          <w:rFonts w:ascii="Times New Roman" w:hAnsi="Times New Roman" w:cs="Times New Roman"/>
          <w:sz w:val="24"/>
          <w:szCs w:val="24"/>
        </w:rPr>
      </w:pPr>
      <w:r w:rsidRPr="0041465E">
        <w:rPr>
          <w:rFonts w:ascii="Times New Roman" w:hAnsi="Times New Roman" w:cs="Times New Roman"/>
          <w:sz w:val="24"/>
          <w:szCs w:val="24"/>
        </w:rPr>
        <w:t>Bruce Weston (0016973)</w:t>
      </w:r>
    </w:p>
    <w:p w:rsidR="00403913" w:rsidRPr="0041465E" w:rsidP="00403913" w14:paraId="01F46341" w14:textId="77777777">
      <w:pPr>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Ohio Consumers’ Counsel</w:t>
      </w:r>
    </w:p>
    <w:p w:rsidR="00403913" w:rsidRPr="0041465E" w:rsidP="00403913" w14:paraId="179070EF" w14:textId="77777777">
      <w:pPr>
        <w:tabs>
          <w:tab w:val="left" w:pos="4320"/>
        </w:tabs>
        <w:spacing w:after="0" w:line="240" w:lineRule="auto"/>
        <w:ind w:left="3600"/>
        <w:rPr>
          <w:rFonts w:ascii="Times New Roman" w:hAnsi="Times New Roman" w:cs="Times New Roman"/>
          <w:i/>
          <w:sz w:val="24"/>
          <w:szCs w:val="24"/>
          <w:u w:val="single"/>
        </w:rPr>
      </w:pPr>
    </w:p>
    <w:p w:rsidR="00403913" w:rsidRPr="0041465E" w:rsidP="00403913" w14:paraId="1B493CC6" w14:textId="77777777">
      <w:pPr>
        <w:spacing w:after="0" w:line="240" w:lineRule="auto"/>
        <w:ind w:left="3600"/>
        <w:rPr>
          <w:rFonts w:ascii="Times New Roman" w:hAnsi="Times New Roman" w:cs="Times New Roman"/>
          <w:bCs/>
          <w:i/>
          <w:iCs/>
          <w:sz w:val="24"/>
          <w:szCs w:val="24"/>
          <w:u w:val="single"/>
        </w:rPr>
      </w:pPr>
      <w:r w:rsidRPr="0041465E">
        <w:rPr>
          <w:rFonts w:ascii="Times New Roman" w:hAnsi="Times New Roman" w:cs="Times New Roman"/>
          <w:bCs/>
          <w:i/>
          <w:iCs/>
          <w:sz w:val="24"/>
          <w:szCs w:val="24"/>
          <w:u w:val="single"/>
        </w:rPr>
        <w:t>/s/ William J. Michael</w:t>
      </w:r>
    </w:p>
    <w:p w:rsidR="00FE747D" w:rsidRPr="0041465E" w:rsidP="00FE747D" w14:paraId="7FC56D55" w14:textId="77777777">
      <w:pPr>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William J. Michael (0070921)</w:t>
      </w:r>
    </w:p>
    <w:p w:rsidR="00FE747D" w:rsidRPr="0041465E" w:rsidP="00FE747D" w14:paraId="54004E96" w14:textId="3D661BDE">
      <w:pPr>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Counsel of Record</w:t>
      </w:r>
    </w:p>
    <w:p w:rsidR="003F6357" w:rsidRPr="0041465E" w:rsidP="00FE747D" w14:paraId="1147E70C" w14:textId="36B842E8">
      <w:pPr>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Assistant Consumers’ Counsel</w:t>
      </w:r>
    </w:p>
    <w:p w:rsidR="00FE747D" w:rsidRPr="0041465E" w:rsidP="00FE747D" w14:paraId="18D2272B" w14:textId="77777777">
      <w:pPr>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ab/>
      </w:r>
    </w:p>
    <w:p w:rsidR="00FE747D" w:rsidRPr="0041465E" w:rsidP="00FE747D" w14:paraId="513567A0" w14:textId="77777777">
      <w:pPr>
        <w:spacing w:after="0" w:line="240" w:lineRule="auto"/>
        <w:ind w:left="3600"/>
        <w:rPr>
          <w:rFonts w:ascii="Times New Roman" w:hAnsi="Times New Roman" w:cs="Times New Roman"/>
          <w:b/>
          <w:bCs/>
          <w:sz w:val="24"/>
          <w:szCs w:val="24"/>
        </w:rPr>
      </w:pPr>
      <w:r w:rsidRPr="0041465E">
        <w:rPr>
          <w:rFonts w:ascii="Times New Roman" w:hAnsi="Times New Roman" w:cs="Times New Roman"/>
          <w:b/>
          <w:bCs/>
          <w:sz w:val="24"/>
          <w:szCs w:val="24"/>
        </w:rPr>
        <w:t>Office of the Ohio Consumers’ Counsel</w:t>
      </w:r>
    </w:p>
    <w:p w:rsidR="00FE747D" w:rsidRPr="0041465E" w:rsidP="00FE747D" w14:paraId="08D53826" w14:textId="77777777">
      <w:pPr>
        <w:spacing w:after="0" w:line="240" w:lineRule="auto"/>
        <w:ind w:left="3600"/>
        <w:rPr>
          <w:rFonts w:ascii="Times New Roman" w:hAnsi="Times New Roman" w:cs="Times New Roman"/>
          <w:b/>
          <w:sz w:val="24"/>
          <w:szCs w:val="24"/>
        </w:rPr>
      </w:pPr>
      <w:r w:rsidRPr="0041465E">
        <w:rPr>
          <w:rFonts w:ascii="Times New Roman" w:hAnsi="Times New Roman" w:cs="Times New Roman"/>
          <w:sz w:val="24"/>
          <w:szCs w:val="24"/>
        </w:rPr>
        <w:t>65 East State Street, Suite 700</w:t>
      </w:r>
    </w:p>
    <w:p w:rsidR="00FE747D" w:rsidRPr="0041465E" w:rsidP="00FE747D" w14:paraId="76D7C72B" w14:textId="33B4B706">
      <w:pPr>
        <w:spacing w:after="0" w:line="240" w:lineRule="auto"/>
        <w:ind w:left="3600"/>
        <w:rPr>
          <w:rFonts w:ascii="Times New Roman" w:hAnsi="Times New Roman" w:cs="Times New Roman"/>
          <w:b/>
          <w:sz w:val="24"/>
          <w:szCs w:val="24"/>
        </w:rPr>
      </w:pPr>
      <w:r w:rsidRPr="0041465E">
        <w:rPr>
          <w:rFonts w:ascii="Times New Roman" w:hAnsi="Times New Roman" w:cs="Times New Roman"/>
          <w:sz w:val="24"/>
          <w:szCs w:val="24"/>
        </w:rPr>
        <w:t>Columbus, Ohio 43215</w:t>
      </w:r>
    </w:p>
    <w:p w:rsidR="00FE747D" w:rsidRPr="0041465E" w:rsidP="00FE747D" w14:paraId="4F00B3C2" w14:textId="77777777">
      <w:pPr>
        <w:autoSpaceDE w:val="0"/>
        <w:autoSpaceDN w:val="0"/>
        <w:adjustRightInd w:val="0"/>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Telephone [Michael]: (614) 466-1291</w:t>
      </w:r>
    </w:p>
    <w:p w:rsidR="00FE747D" w:rsidRPr="0041465E" w:rsidP="00FE747D" w14:paraId="49FB4883" w14:textId="6D09234F">
      <w:pPr>
        <w:autoSpaceDE w:val="0"/>
        <w:autoSpaceDN w:val="0"/>
        <w:adjustRightInd w:val="0"/>
        <w:spacing w:after="0" w:line="240" w:lineRule="auto"/>
        <w:ind w:left="3600"/>
        <w:rPr>
          <w:rStyle w:val="Hyperlink"/>
          <w:rFonts w:ascii="Times New Roman" w:hAnsi="Times New Roman" w:cs="Times New Roman"/>
          <w:color w:val="0000FF"/>
          <w:sz w:val="24"/>
          <w:szCs w:val="24"/>
        </w:rPr>
      </w:pPr>
      <w:hyperlink r:id="rId6" w:history="1">
        <w:r w:rsidRPr="0041465E" w:rsidR="00576C4E">
          <w:rPr>
            <w:rStyle w:val="Hyperlink"/>
            <w:rFonts w:ascii="Times New Roman" w:hAnsi="Times New Roman" w:cs="Times New Roman"/>
            <w:color w:val="0000FF"/>
            <w:sz w:val="24"/>
            <w:szCs w:val="24"/>
          </w:rPr>
          <w:t>william.michael@occ.ohio.gov</w:t>
        </w:r>
      </w:hyperlink>
    </w:p>
    <w:p w:rsidR="00403913" w:rsidRPr="0041465E" w:rsidP="00403913" w14:paraId="01209327" w14:textId="0C124A67">
      <w:pPr>
        <w:kinsoku w:val="0"/>
        <w:overflowPunct w:val="0"/>
        <w:autoSpaceDE w:val="0"/>
        <w:autoSpaceDN w:val="0"/>
        <w:adjustRightInd w:val="0"/>
        <w:spacing w:after="0" w:line="480" w:lineRule="auto"/>
        <w:ind w:left="2880" w:firstLine="720"/>
        <w:rPr>
          <w:rFonts w:ascii="Times New Roman" w:hAnsi="Times New Roman" w:cs="Times New Roman"/>
          <w:sz w:val="24"/>
          <w:szCs w:val="24"/>
        </w:rPr>
        <w:sectPr w:rsidSect="00AC1A13">
          <w:footerReference w:type="default" r:id="rId7"/>
          <w:pgSz w:w="12240" w:h="15840"/>
          <w:pgMar w:top="1440" w:right="1800" w:bottom="1440" w:left="1800" w:header="720" w:footer="720" w:gutter="0"/>
          <w:pgNumType w:start="1"/>
          <w:cols w:space="720"/>
          <w:titlePg/>
          <w:docGrid w:linePitch="360"/>
        </w:sectPr>
      </w:pPr>
      <w:r w:rsidRPr="0041465E">
        <w:rPr>
          <w:rFonts w:ascii="Times New Roman" w:hAnsi="Times New Roman" w:cs="Times New Roman"/>
          <w:sz w:val="24"/>
          <w:szCs w:val="24"/>
        </w:rPr>
        <w:t>(willing to accept service by e-mail)</w:t>
      </w:r>
    </w:p>
    <w:p w:rsidR="00122078" w:rsidRPr="0041465E" w:rsidP="00122078" w14:paraId="194F4D9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1465E">
        <w:rPr>
          <w:rFonts w:ascii="Times New Roman" w:eastAsia="Calibri" w:hAnsi="Times New Roman" w:cs="Times New Roman"/>
          <w:b/>
          <w:bCs/>
          <w:sz w:val="24"/>
          <w:szCs w:val="24"/>
        </w:rPr>
        <w:t>BEFORE</w:t>
      </w:r>
    </w:p>
    <w:p w:rsidR="00122078" w:rsidRPr="0041465E" w:rsidP="00122078" w14:paraId="125FD4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41465E">
        <w:rPr>
          <w:rFonts w:ascii="Times New Roman" w:eastAsia="Calibri" w:hAnsi="Times New Roman" w:cs="Times New Roman"/>
          <w:b/>
          <w:bCs/>
          <w:sz w:val="24"/>
          <w:szCs w:val="24"/>
        </w:rPr>
        <w:t>THE PUBLIC UTILITIES COMMISSION OF OHIO</w:t>
      </w:r>
    </w:p>
    <w:p w:rsidR="00122078" w:rsidRPr="0041465E" w:rsidP="00122078" w14:paraId="0166F828" w14:textId="77777777">
      <w:pPr>
        <w:pStyle w:val="HTMLPreformatted"/>
        <w:jc w:val="center"/>
        <w:rPr>
          <w:rFonts w:ascii="Times New Roman" w:hAnsi="Times New Roman" w:cs="Times New Roman"/>
          <w:b/>
          <w:bCs/>
          <w:sz w:val="24"/>
          <w:szCs w:val="24"/>
        </w:rPr>
      </w:pPr>
    </w:p>
    <w:tbl>
      <w:tblPr>
        <w:tblW w:w="8729" w:type="dxa"/>
        <w:tblInd w:w="-108" w:type="dxa"/>
        <w:tblLook w:val="01E0"/>
      </w:tblPr>
      <w:tblGrid>
        <w:gridCol w:w="4183"/>
        <w:gridCol w:w="515"/>
        <w:gridCol w:w="4031"/>
      </w:tblGrid>
      <w:tr w14:paraId="69AC3107" w14:textId="77777777" w:rsidTr="00A800E4">
        <w:tblPrEx>
          <w:tblW w:w="8729" w:type="dxa"/>
          <w:tblInd w:w="-108" w:type="dxa"/>
          <w:tblLook w:val="01E0"/>
        </w:tblPrEx>
        <w:trPr>
          <w:trHeight w:val="665"/>
        </w:trPr>
        <w:tc>
          <w:tcPr>
            <w:tcW w:w="4183" w:type="dxa"/>
            <w:shd w:val="clear" w:color="auto" w:fill="auto"/>
          </w:tcPr>
          <w:p w:rsidR="00122078" w:rsidRPr="0041465E" w:rsidP="00B20EED" w14:paraId="664AD3F8" w14:textId="77777777">
            <w:pPr>
              <w:autoSpaceDE w:val="0"/>
              <w:autoSpaceDN w:val="0"/>
              <w:adjustRightInd w:val="0"/>
              <w:spacing w:after="0" w:line="240" w:lineRule="auto"/>
              <w:rPr>
                <w:rFonts w:ascii="Times New Roman" w:hAnsi="Times New Roman" w:cs="Times New Roman"/>
                <w:sz w:val="24"/>
                <w:szCs w:val="24"/>
              </w:rPr>
            </w:pPr>
            <w:r w:rsidRPr="0041465E">
              <w:rPr>
                <w:rFonts w:ascii="Times New Roman" w:hAnsi="Times New Roman" w:cs="Times New Roman"/>
                <w:sz w:val="24"/>
                <w:szCs w:val="24"/>
              </w:rPr>
              <w:t xml:space="preserve">In the Matter of the Procurement of Standard Service Offer Generation for Customers of the Dayton Power and Light Company. </w:t>
            </w:r>
          </w:p>
        </w:tc>
        <w:tc>
          <w:tcPr>
            <w:tcW w:w="515" w:type="dxa"/>
            <w:shd w:val="clear" w:color="auto" w:fill="auto"/>
          </w:tcPr>
          <w:p w:rsidR="00122078" w:rsidRPr="0041465E" w:rsidP="00B20EED" w14:paraId="5FB2CF33" w14:textId="77777777">
            <w:pPr>
              <w:pStyle w:val="HTMLPreformatted"/>
              <w:jc w:val="center"/>
              <w:rPr>
                <w:rFonts w:ascii="Times New Roman" w:hAnsi="Times New Roman" w:cs="Times New Roman"/>
                <w:sz w:val="24"/>
                <w:szCs w:val="24"/>
              </w:rPr>
            </w:pPr>
            <w:r w:rsidRPr="0041465E">
              <w:rPr>
                <w:rFonts w:ascii="Times New Roman" w:hAnsi="Times New Roman" w:cs="Times New Roman"/>
                <w:sz w:val="24"/>
                <w:szCs w:val="24"/>
              </w:rPr>
              <w:t>)</w:t>
            </w:r>
          </w:p>
          <w:p w:rsidR="00122078" w:rsidRPr="0041465E" w:rsidP="00B20EED" w14:paraId="69C3B15D" w14:textId="77777777">
            <w:pPr>
              <w:pStyle w:val="HTMLPreformatted"/>
              <w:jc w:val="center"/>
              <w:rPr>
                <w:rFonts w:ascii="Times New Roman" w:hAnsi="Times New Roman" w:cs="Times New Roman"/>
                <w:sz w:val="24"/>
                <w:szCs w:val="24"/>
              </w:rPr>
            </w:pPr>
            <w:r w:rsidRPr="0041465E">
              <w:rPr>
                <w:rFonts w:ascii="Times New Roman" w:hAnsi="Times New Roman" w:cs="Times New Roman"/>
                <w:sz w:val="24"/>
                <w:szCs w:val="24"/>
              </w:rPr>
              <w:t>)</w:t>
            </w:r>
          </w:p>
          <w:p w:rsidR="00122078" w:rsidRPr="0041465E" w:rsidP="00B20EED" w14:paraId="137834D3" w14:textId="77777777">
            <w:pPr>
              <w:pStyle w:val="HTMLPreformatted"/>
              <w:jc w:val="center"/>
              <w:rPr>
                <w:rFonts w:ascii="Times New Roman" w:hAnsi="Times New Roman" w:cs="Times New Roman"/>
                <w:sz w:val="24"/>
                <w:szCs w:val="24"/>
              </w:rPr>
            </w:pPr>
            <w:r w:rsidRPr="0041465E">
              <w:rPr>
                <w:rFonts w:ascii="Times New Roman" w:hAnsi="Times New Roman" w:cs="Times New Roman"/>
                <w:sz w:val="24"/>
                <w:szCs w:val="24"/>
              </w:rPr>
              <w:t>)</w:t>
            </w:r>
          </w:p>
          <w:p w:rsidR="00122078" w:rsidRPr="0041465E" w:rsidP="00B20EED" w14:paraId="058F35AF" w14:textId="77777777">
            <w:pPr>
              <w:pStyle w:val="HTMLPreformatted"/>
              <w:jc w:val="center"/>
              <w:rPr>
                <w:rFonts w:ascii="Times New Roman" w:hAnsi="Times New Roman" w:cs="Times New Roman"/>
                <w:sz w:val="24"/>
                <w:szCs w:val="24"/>
              </w:rPr>
            </w:pPr>
            <w:r w:rsidRPr="0041465E">
              <w:rPr>
                <w:rFonts w:ascii="Times New Roman" w:hAnsi="Times New Roman" w:cs="Times New Roman"/>
                <w:sz w:val="24"/>
                <w:szCs w:val="24"/>
              </w:rPr>
              <w:t>)</w:t>
            </w:r>
          </w:p>
        </w:tc>
        <w:tc>
          <w:tcPr>
            <w:tcW w:w="4031" w:type="dxa"/>
            <w:shd w:val="clear" w:color="auto" w:fill="auto"/>
          </w:tcPr>
          <w:p w:rsidR="00122078" w:rsidRPr="0041465E" w:rsidP="00B20EED" w14:paraId="620B226F" w14:textId="77777777">
            <w:pPr>
              <w:pStyle w:val="HTMLPreformatted"/>
              <w:rPr>
                <w:rFonts w:ascii="Times New Roman" w:hAnsi="Times New Roman" w:cs="Times New Roman"/>
                <w:sz w:val="24"/>
                <w:szCs w:val="24"/>
              </w:rPr>
            </w:pPr>
          </w:p>
          <w:p w:rsidR="00122078" w:rsidRPr="0041465E" w:rsidP="00B20EED" w14:paraId="6034EE70" w14:textId="77777777">
            <w:pPr>
              <w:pStyle w:val="HTMLPreformatted"/>
              <w:rPr>
                <w:rFonts w:ascii="Times New Roman" w:hAnsi="Times New Roman" w:cs="Times New Roman"/>
                <w:sz w:val="24"/>
                <w:szCs w:val="24"/>
              </w:rPr>
            </w:pPr>
            <w:r w:rsidRPr="0041465E">
              <w:rPr>
                <w:rFonts w:ascii="Times New Roman" w:hAnsi="Times New Roman" w:cs="Times New Roman"/>
                <w:sz w:val="24"/>
                <w:szCs w:val="24"/>
              </w:rPr>
              <w:t>Case No. 17-957-EL-UNC</w:t>
            </w:r>
          </w:p>
        </w:tc>
      </w:tr>
    </w:tbl>
    <w:p w:rsidR="00122078" w:rsidRPr="0041465E" w:rsidP="00122078" w14:paraId="0DE1BA6E"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22078" w:rsidRPr="0041465E" w:rsidP="00122078" w14:paraId="27B9BC1E" w14:textId="77777777">
      <w:pPr>
        <w:autoSpaceDE w:val="0"/>
        <w:autoSpaceDN w:val="0"/>
        <w:adjustRightInd w:val="0"/>
        <w:spacing w:after="0" w:line="240" w:lineRule="auto"/>
        <w:rPr>
          <w:rFonts w:ascii="Times New Roman" w:eastAsia="Calibri" w:hAnsi="Times New Roman" w:cs="Times New Roman"/>
          <w:sz w:val="24"/>
          <w:szCs w:val="24"/>
        </w:rPr>
      </w:pPr>
    </w:p>
    <w:p w:rsidR="00122078" w:rsidRPr="0041465E" w:rsidP="00122078" w14:paraId="1B72A08B" w14:textId="77777777">
      <w:pPr>
        <w:widowControl w:val="0"/>
        <w:spacing w:after="0" w:line="240" w:lineRule="auto"/>
        <w:jc w:val="center"/>
        <w:rPr>
          <w:rFonts w:ascii="Times New Roman" w:hAnsi="Times New Roman" w:cs="Times New Roman"/>
          <w:b/>
          <w:sz w:val="24"/>
          <w:szCs w:val="24"/>
        </w:rPr>
      </w:pPr>
      <w:r w:rsidRPr="0041465E">
        <w:rPr>
          <w:rFonts w:ascii="Times New Roman" w:hAnsi="Times New Roman" w:cs="Times New Roman"/>
          <w:b/>
          <w:sz w:val="24"/>
          <w:szCs w:val="24"/>
        </w:rPr>
        <w:t xml:space="preserve">APPLICATION FOR REHEARING </w:t>
      </w:r>
    </w:p>
    <w:p w:rsidR="00122078" w:rsidRPr="0041465E" w:rsidP="00122078" w14:paraId="1785BF94" w14:textId="77777777">
      <w:pPr>
        <w:widowControl w:val="0"/>
        <w:spacing w:after="0" w:line="240" w:lineRule="auto"/>
        <w:jc w:val="center"/>
        <w:rPr>
          <w:rFonts w:ascii="Times New Roman" w:hAnsi="Times New Roman" w:cs="Times New Roman"/>
          <w:b/>
          <w:sz w:val="24"/>
          <w:szCs w:val="24"/>
        </w:rPr>
      </w:pPr>
      <w:r w:rsidRPr="0041465E">
        <w:rPr>
          <w:rFonts w:ascii="Times New Roman" w:hAnsi="Times New Roman" w:cs="Times New Roman"/>
          <w:b/>
          <w:sz w:val="24"/>
          <w:szCs w:val="24"/>
        </w:rPr>
        <w:t>BY</w:t>
      </w:r>
    </w:p>
    <w:p w:rsidR="00122078" w:rsidRPr="0041465E" w:rsidP="00122078" w14:paraId="01134465" w14:textId="77777777">
      <w:pPr>
        <w:spacing w:after="0" w:line="240" w:lineRule="auto"/>
        <w:jc w:val="center"/>
        <w:rPr>
          <w:rFonts w:ascii="Times New Roman" w:hAnsi="Times New Roman" w:cs="Times New Roman"/>
          <w:b/>
          <w:sz w:val="24"/>
          <w:szCs w:val="24"/>
        </w:rPr>
      </w:pPr>
      <w:r w:rsidRPr="0041465E">
        <w:rPr>
          <w:rFonts w:ascii="Times New Roman" w:hAnsi="Times New Roman" w:cs="Times New Roman"/>
          <w:b/>
          <w:sz w:val="24"/>
          <w:szCs w:val="24"/>
        </w:rPr>
        <w:t>OFFICE OF THE OHIO CONSUMERS’ COUNSEL</w:t>
      </w:r>
    </w:p>
    <w:p w:rsidR="00BB35FD" w:rsidRPr="0041465E" w:rsidP="00122078" w14:paraId="37988C60" w14:textId="77777777">
      <w:pPr>
        <w:pBdr>
          <w:bottom w:val="single" w:sz="12" w:space="1" w:color="auto"/>
        </w:pBdr>
        <w:autoSpaceDE w:val="0"/>
        <w:autoSpaceDN w:val="0"/>
        <w:adjustRightInd w:val="0"/>
        <w:spacing w:after="0" w:line="240" w:lineRule="auto"/>
        <w:rPr>
          <w:rFonts w:ascii="Times New Roman" w:eastAsia="Calibri" w:hAnsi="Times New Roman" w:cs="Times New Roman"/>
          <w:b/>
          <w:bCs/>
          <w:sz w:val="24"/>
          <w:szCs w:val="24"/>
        </w:rPr>
      </w:pPr>
    </w:p>
    <w:p w:rsidR="00AF4FFB" w:rsidRPr="0041465E" w:rsidP="006A1BDB" w14:paraId="395737C1" w14:textId="3A6241BA">
      <w:pPr>
        <w:pStyle w:val="Heading1"/>
      </w:pPr>
      <w:bookmarkStart w:id="1" w:name="_Toc98520146"/>
      <w:r w:rsidRPr="0041465E">
        <w:t>INTRODUCTION</w:t>
      </w:r>
      <w:bookmarkEnd w:id="1"/>
    </w:p>
    <w:p w:rsidR="00522D56" w:rsidRPr="0041465E" w:rsidP="009D5526" w14:paraId="69D13C6E" w14:textId="4D3918B8">
      <w:pPr>
        <w:spacing w:after="0" w:line="480" w:lineRule="auto"/>
        <w:ind w:firstLine="720"/>
        <w:rPr>
          <w:rFonts w:ascii="Times New Roman" w:hAnsi="Times New Roman" w:cs="Times New Roman"/>
          <w:sz w:val="24"/>
          <w:szCs w:val="24"/>
        </w:rPr>
      </w:pPr>
      <w:r w:rsidRPr="0041465E">
        <w:rPr>
          <w:rFonts w:ascii="Times New Roman" w:hAnsi="Times New Roman" w:cs="Times New Roman"/>
          <w:color w:val="000000" w:themeColor="text1"/>
          <w:sz w:val="24"/>
          <w:szCs w:val="24"/>
          <w:shd w:val="clear" w:color="auto" w:fill="FFFFFF"/>
        </w:rPr>
        <w:t xml:space="preserve">The PUCO Finding and Order </w:t>
      </w:r>
      <w:r w:rsidRPr="0041465E" w:rsidR="007804A9">
        <w:rPr>
          <w:rFonts w:ascii="Times New Roman" w:hAnsi="Times New Roman" w:cs="Times New Roman"/>
          <w:color w:val="000000" w:themeColor="text1"/>
          <w:sz w:val="24"/>
          <w:szCs w:val="24"/>
          <w:shd w:val="clear" w:color="auto" w:fill="FFFFFF"/>
        </w:rPr>
        <w:t xml:space="preserve">approving modifications to DP&amp;L’s auction process </w:t>
      </w:r>
      <w:r w:rsidRPr="0041465E" w:rsidR="009330EF">
        <w:rPr>
          <w:rFonts w:ascii="Times New Roman" w:hAnsi="Times New Roman" w:cs="Times New Roman"/>
          <w:color w:val="000000" w:themeColor="text1"/>
          <w:sz w:val="24"/>
          <w:szCs w:val="24"/>
          <w:shd w:val="clear" w:color="auto" w:fill="FFFFFF"/>
        </w:rPr>
        <w:t>is unlawful</w:t>
      </w:r>
      <w:r w:rsidRPr="0041465E">
        <w:rPr>
          <w:rFonts w:ascii="Times New Roman" w:hAnsi="Times New Roman" w:cs="Times New Roman"/>
          <w:color w:val="000000" w:themeColor="text1"/>
          <w:sz w:val="24"/>
          <w:szCs w:val="24"/>
          <w:shd w:val="clear" w:color="auto" w:fill="FFFFFF"/>
        </w:rPr>
        <w:t xml:space="preserve">. </w:t>
      </w:r>
      <w:r w:rsidRPr="0041465E" w:rsidR="00DE599F">
        <w:rPr>
          <w:rFonts w:ascii="Times New Roman" w:hAnsi="Times New Roman" w:cs="Times New Roman"/>
          <w:color w:val="000000" w:themeColor="text1"/>
          <w:sz w:val="24"/>
          <w:szCs w:val="24"/>
          <w:shd w:val="clear" w:color="auto" w:fill="FFFFFF"/>
        </w:rPr>
        <w:t>The PUCO allow</w:t>
      </w:r>
      <w:r w:rsidRPr="0041465E" w:rsidR="00AA3FCC">
        <w:rPr>
          <w:rFonts w:ascii="Times New Roman" w:hAnsi="Times New Roman" w:cs="Times New Roman"/>
          <w:color w:val="000000" w:themeColor="text1"/>
          <w:sz w:val="24"/>
          <w:szCs w:val="24"/>
          <w:shd w:val="clear" w:color="auto" w:fill="FFFFFF"/>
        </w:rPr>
        <w:t>ed</w:t>
      </w:r>
      <w:r w:rsidRPr="0041465E" w:rsidR="00DE599F">
        <w:rPr>
          <w:rFonts w:ascii="Times New Roman" w:hAnsi="Times New Roman" w:cs="Times New Roman"/>
          <w:color w:val="000000" w:themeColor="text1"/>
          <w:sz w:val="24"/>
          <w:szCs w:val="24"/>
          <w:shd w:val="clear" w:color="auto" w:fill="FFFFFF"/>
        </w:rPr>
        <w:t xml:space="preserve"> DP&amp;L to </w:t>
      </w:r>
      <w:r w:rsidRPr="0041465E" w:rsidR="00271578">
        <w:rPr>
          <w:rFonts w:ascii="Times New Roman" w:hAnsi="Times New Roman" w:cs="Times New Roman"/>
          <w:color w:val="000000" w:themeColor="text1"/>
          <w:sz w:val="24"/>
          <w:szCs w:val="24"/>
          <w:shd w:val="clear" w:color="auto" w:fill="FFFFFF"/>
        </w:rPr>
        <w:t xml:space="preserve">hold a separate auction for PIPP consumers that will </w:t>
      </w:r>
      <w:r w:rsidRPr="0041465E" w:rsidR="001D6D72">
        <w:rPr>
          <w:rFonts w:ascii="Times New Roman" w:hAnsi="Times New Roman" w:cs="Times New Roman"/>
          <w:color w:val="000000" w:themeColor="text1"/>
          <w:sz w:val="24"/>
          <w:szCs w:val="24"/>
          <w:shd w:val="clear" w:color="auto" w:fill="FFFFFF"/>
        </w:rPr>
        <w:t xml:space="preserve">charge </w:t>
      </w:r>
      <w:r w:rsidRPr="0041465E" w:rsidR="00271578">
        <w:rPr>
          <w:rFonts w:ascii="Times New Roman" w:hAnsi="Times New Roman" w:cs="Times New Roman"/>
          <w:color w:val="000000" w:themeColor="text1"/>
          <w:sz w:val="24"/>
          <w:szCs w:val="24"/>
          <w:shd w:val="clear" w:color="auto" w:fill="FFFFFF"/>
        </w:rPr>
        <w:t>them</w:t>
      </w:r>
      <w:r w:rsidRPr="0041465E" w:rsidR="00953921">
        <w:rPr>
          <w:rFonts w:ascii="Times New Roman" w:hAnsi="Times New Roman" w:cs="Times New Roman"/>
          <w:color w:val="000000" w:themeColor="text1"/>
          <w:sz w:val="24"/>
          <w:szCs w:val="24"/>
          <w:shd w:val="clear" w:color="auto" w:fill="FFFFFF"/>
        </w:rPr>
        <w:t xml:space="preserve"> an estimated $584 more per year (June 1, 2022 to May 31, 2023) </w:t>
      </w:r>
      <w:r w:rsidRPr="0041465E" w:rsidR="00AA3FCC">
        <w:rPr>
          <w:rFonts w:ascii="Times New Roman" w:hAnsi="Times New Roman" w:cs="Times New Roman"/>
          <w:color w:val="000000" w:themeColor="text1"/>
          <w:sz w:val="24"/>
          <w:szCs w:val="24"/>
          <w:shd w:val="clear" w:color="auto" w:fill="FFFFFF"/>
        </w:rPr>
        <w:t xml:space="preserve">than </w:t>
      </w:r>
      <w:r w:rsidRPr="0041465E" w:rsidR="00953921">
        <w:rPr>
          <w:rFonts w:ascii="Times New Roman" w:hAnsi="Times New Roman" w:cs="Times New Roman"/>
          <w:color w:val="000000" w:themeColor="text1"/>
          <w:sz w:val="24"/>
          <w:szCs w:val="24"/>
          <w:shd w:val="clear" w:color="auto" w:fill="FFFFFF"/>
        </w:rPr>
        <w:t xml:space="preserve">consumers </w:t>
      </w:r>
      <w:r w:rsidRPr="0041465E" w:rsidR="00374AF9">
        <w:rPr>
          <w:rFonts w:ascii="Times New Roman" w:hAnsi="Times New Roman" w:cs="Times New Roman"/>
          <w:color w:val="000000" w:themeColor="text1"/>
          <w:sz w:val="24"/>
          <w:szCs w:val="24"/>
          <w:shd w:val="clear" w:color="auto" w:fill="FFFFFF"/>
        </w:rPr>
        <w:t>served by</w:t>
      </w:r>
      <w:r w:rsidRPr="0041465E" w:rsidR="00953921">
        <w:rPr>
          <w:rFonts w:ascii="Times New Roman" w:hAnsi="Times New Roman" w:cs="Times New Roman"/>
          <w:color w:val="000000" w:themeColor="text1"/>
          <w:sz w:val="24"/>
          <w:szCs w:val="24"/>
          <w:shd w:val="clear" w:color="auto" w:fill="FFFFFF"/>
        </w:rPr>
        <w:t xml:space="preserve"> </w:t>
      </w:r>
      <w:r w:rsidRPr="0041465E" w:rsidR="007804A9">
        <w:rPr>
          <w:rFonts w:ascii="Times New Roman" w:hAnsi="Times New Roman" w:cs="Times New Roman"/>
          <w:color w:val="000000" w:themeColor="text1"/>
          <w:sz w:val="24"/>
          <w:szCs w:val="24"/>
          <w:shd w:val="clear" w:color="auto" w:fill="FFFFFF"/>
        </w:rPr>
        <w:t>DP&amp;L’s standard service offer</w:t>
      </w:r>
      <w:r w:rsidRPr="0041465E" w:rsidR="001D6D72">
        <w:rPr>
          <w:rFonts w:ascii="Times New Roman" w:hAnsi="Times New Roman" w:cs="Times New Roman"/>
          <w:color w:val="000000" w:themeColor="text1"/>
          <w:sz w:val="24"/>
          <w:szCs w:val="24"/>
          <w:shd w:val="clear" w:color="auto" w:fill="FFFFFF"/>
        </w:rPr>
        <w:t xml:space="preserve"> pay</w:t>
      </w:r>
      <w:r w:rsidRPr="0041465E" w:rsidR="007804A9">
        <w:rPr>
          <w:rFonts w:ascii="Times New Roman" w:hAnsi="Times New Roman" w:cs="Times New Roman"/>
          <w:color w:val="000000" w:themeColor="text1"/>
          <w:sz w:val="24"/>
          <w:szCs w:val="24"/>
          <w:shd w:val="clear" w:color="auto" w:fill="FFFFFF"/>
        </w:rPr>
        <w:t>.</w:t>
      </w:r>
      <w:r w:rsidRPr="0041465E">
        <w:rPr>
          <w:rFonts w:ascii="Times New Roman" w:hAnsi="Times New Roman" w:cs="Times New Roman"/>
          <w:color w:val="000000" w:themeColor="text1"/>
          <w:sz w:val="24"/>
          <w:szCs w:val="24"/>
          <w:shd w:val="clear" w:color="auto" w:fill="FFFFFF"/>
        </w:rPr>
        <w:t xml:space="preserve"> </w:t>
      </w:r>
      <w:r w:rsidRPr="0041465E" w:rsidR="00155451">
        <w:rPr>
          <w:rFonts w:ascii="Times New Roman" w:hAnsi="Times New Roman" w:cs="Times New Roman"/>
          <w:color w:val="000000" w:themeColor="text1"/>
          <w:sz w:val="24"/>
          <w:szCs w:val="24"/>
          <w:shd w:val="clear" w:color="auto" w:fill="FFFFFF"/>
        </w:rPr>
        <w:t>This</w:t>
      </w:r>
      <w:r w:rsidRPr="0041465E">
        <w:rPr>
          <w:rFonts w:ascii="Times New Roman" w:hAnsi="Times New Roman" w:cs="Times New Roman"/>
          <w:color w:val="000000" w:themeColor="text1"/>
          <w:sz w:val="24"/>
          <w:szCs w:val="24"/>
          <w:shd w:val="clear" w:color="auto" w:fill="FFFFFF"/>
        </w:rPr>
        <w:t xml:space="preserve"> violates R.C. 4928.542</w:t>
      </w:r>
      <w:r w:rsidRPr="0041465E" w:rsidR="00155451">
        <w:rPr>
          <w:rFonts w:ascii="Times New Roman" w:hAnsi="Times New Roman" w:cs="Times New Roman"/>
          <w:color w:val="000000" w:themeColor="text1"/>
          <w:sz w:val="24"/>
          <w:szCs w:val="24"/>
          <w:shd w:val="clear" w:color="auto" w:fill="FFFFFF"/>
        </w:rPr>
        <w:t xml:space="preserve">’s plain meaning </w:t>
      </w:r>
      <w:r w:rsidRPr="0041465E">
        <w:rPr>
          <w:rFonts w:ascii="Times New Roman" w:hAnsi="Times New Roman" w:cs="Times New Roman"/>
          <w:color w:val="000000" w:themeColor="text1"/>
          <w:sz w:val="24"/>
          <w:szCs w:val="24"/>
          <w:shd w:val="clear" w:color="auto" w:fill="FFFFFF"/>
        </w:rPr>
        <w:t xml:space="preserve">that generation prices </w:t>
      </w:r>
      <w:r w:rsidRPr="0041465E" w:rsidR="00036C7C">
        <w:rPr>
          <w:rFonts w:ascii="Times New Roman" w:hAnsi="Times New Roman" w:cs="Times New Roman"/>
          <w:i/>
          <w:iCs/>
          <w:color w:val="000000" w:themeColor="text1"/>
          <w:sz w:val="24"/>
          <w:szCs w:val="24"/>
          <w:shd w:val="clear" w:color="auto" w:fill="FFFFFF"/>
        </w:rPr>
        <w:t xml:space="preserve">from each auction </w:t>
      </w:r>
      <w:r w:rsidRPr="0041465E">
        <w:rPr>
          <w:rFonts w:ascii="Times New Roman" w:hAnsi="Times New Roman" w:cs="Times New Roman"/>
          <w:color w:val="000000" w:themeColor="text1"/>
          <w:sz w:val="24"/>
          <w:szCs w:val="24"/>
          <w:shd w:val="clear" w:color="auto" w:fill="FFFFFF"/>
        </w:rPr>
        <w:t>charged to PIPP consumers cannot exceed their utility’s standard service offer</w:t>
      </w:r>
      <w:r w:rsidRPr="0041465E" w:rsidR="001E0469">
        <w:rPr>
          <w:rFonts w:ascii="Times New Roman" w:hAnsi="Times New Roman" w:cs="Times New Roman"/>
          <w:color w:val="000000" w:themeColor="text1"/>
          <w:sz w:val="24"/>
          <w:szCs w:val="24"/>
          <w:shd w:val="clear" w:color="auto" w:fill="FFFFFF"/>
        </w:rPr>
        <w:t xml:space="preserve"> – “[t]he winning bid or bids . . . shall </w:t>
      </w:r>
      <w:r w:rsidRPr="0041465E" w:rsidR="001E0469">
        <w:rPr>
          <w:rFonts w:ascii="Times New Roman" w:hAnsi="Times New Roman" w:cs="Times New Roman"/>
          <w:color w:val="333333"/>
          <w:sz w:val="24"/>
          <w:szCs w:val="24"/>
          <w:shd w:val="clear" w:color="auto" w:fill="FFFFFF"/>
        </w:rPr>
        <w:t xml:space="preserve">(B) Reduce the cost of the percentage of income payment plan program relative to the otherwise applicable standard service offer . . . </w:t>
      </w:r>
      <w:r w:rsidRPr="0041465E">
        <w:rPr>
          <w:rFonts w:ascii="Times New Roman" w:hAnsi="Times New Roman" w:cs="Times New Roman"/>
          <w:color w:val="000000" w:themeColor="text1"/>
          <w:sz w:val="24"/>
          <w:szCs w:val="24"/>
          <w:shd w:val="clear" w:color="auto" w:fill="FFFFFF"/>
        </w:rPr>
        <w:t>.</w:t>
      </w:r>
      <w:r w:rsidRPr="0041465E" w:rsidR="001E0469">
        <w:rPr>
          <w:rFonts w:ascii="Times New Roman" w:hAnsi="Times New Roman" w:cs="Times New Roman"/>
          <w:color w:val="000000" w:themeColor="text1"/>
          <w:sz w:val="24"/>
          <w:szCs w:val="24"/>
          <w:shd w:val="clear" w:color="auto" w:fill="FFFFFF"/>
        </w:rPr>
        <w:t>”</w:t>
      </w:r>
      <w:r w:rsidRPr="0041465E" w:rsidR="00F94022">
        <w:rPr>
          <w:rFonts w:ascii="Times New Roman" w:hAnsi="Times New Roman" w:cs="Times New Roman"/>
          <w:color w:val="000000" w:themeColor="text1"/>
          <w:sz w:val="24"/>
          <w:szCs w:val="24"/>
          <w:shd w:val="clear" w:color="auto" w:fill="FFFFFF"/>
        </w:rPr>
        <w:t xml:space="preserve"> </w:t>
      </w:r>
      <w:r w:rsidRPr="0041465E" w:rsidR="00F94022">
        <w:rPr>
          <w:rFonts w:ascii="Times New Roman" w:hAnsi="Times New Roman" w:cs="Times New Roman"/>
          <w:sz w:val="24"/>
          <w:szCs w:val="24"/>
        </w:rPr>
        <w:t xml:space="preserve">The PUCO’s </w:t>
      </w:r>
      <w:r w:rsidRPr="0041465E" w:rsidR="00155451">
        <w:rPr>
          <w:rFonts w:ascii="Times New Roman" w:hAnsi="Times New Roman" w:cs="Times New Roman"/>
          <w:sz w:val="24"/>
          <w:szCs w:val="24"/>
        </w:rPr>
        <w:t xml:space="preserve">finding that savings need accrue </w:t>
      </w:r>
      <w:r w:rsidRPr="0041465E" w:rsidR="00F94022">
        <w:rPr>
          <w:rFonts w:ascii="Times New Roman" w:hAnsi="Times New Roman" w:cs="Times New Roman"/>
          <w:sz w:val="24"/>
          <w:szCs w:val="24"/>
        </w:rPr>
        <w:t>only “over the long term</w:t>
      </w:r>
      <w:r w:rsidRPr="0041465E" w:rsidR="003E77CE">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41465E" w:rsidR="003E77CE">
        <w:rPr>
          <w:rFonts w:ascii="Times New Roman" w:hAnsi="Times New Roman" w:cs="Times New Roman"/>
          <w:sz w:val="24"/>
          <w:szCs w:val="24"/>
        </w:rPr>
        <w:t xml:space="preserve"> </w:t>
      </w:r>
      <w:r w:rsidRPr="0041465E" w:rsidR="00155451">
        <w:rPr>
          <w:rFonts w:ascii="Times New Roman" w:hAnsi="Times New Roman" w:cs="Times New Roman"/>
          <w:sz w:val="24"/>
          <w:szCs w:val="24"/>
        </w:rPr>
        <w:t xml:space="preserve">requires it to add words to R.C. 4928.542, which </w:t>
      </w:r>
      <w:r w:rsidRPr="0041465E" w:rsidR="001D6D72">
        <w:rPr>
          <w:rFonts w:ascii="Times New Roman" w:hAnsi="Times New Roman" w:cs="Times New Roman"/>
          <w:sz w:val="24"/>
          <w:szCs w:val="24"/>
        </w:rPr>
        <w:t>it has</w:t>
      </w:r>
      <w:r w:rsidRPr="0041465E" w:rsidR="002147D4">
        <w:rPr>
          <w:rFonts w:ascii="Times New Roman" w:hAnsi="Times New Roman" w:cs="Times New Roman"/>
          <w:sz w:val="24"/>
          <w:szCs w:val="24"/>
        </w:rPr>
        <w:t xml:space="preserve"> no authority to do.</w:t>
      </w:r>
      <w:r w:rsidR="0041465E">
        <w:rPr>
          <w:rFonts w:ascii="Times New Roman" w:hAnsi="Times New Roman" w:cs="Times New Roman"/>
          <w:sz w:val="24"/>
          <w:szCs w:val="24"/>
        </w:rPr>
        <w:t xml:space="preserve"> </w:t>
      </w:r>
      <w:r w:rsidRPr="0041465E" w:rsidR="001D6D72">
        <w:rPr>
          <w:rFonts w:ascii="Times New Roman" w:hAnsi="Times New Roman" w:cs="Times New Roman"/>
          <w:color w:val="212121"/>
          <w:sz w:val="24"/>
          <w:szCs w:val="24"/>
          <w:shd w:val="clear" w:color="auto" w:fill="FFFFFF"/>
        </w:rPr>
        <w:t>“</w:t>
      </w:r>
      <w:r w:rsidRPr="0041465E" w:rsidR="00753855">
        <w:rPr>
          <w:rFonts w:ascii="Times New Roman" w:hAnsi="Times New Roman" w:cs="Times New Roman"/>
          <w:color w:val="212121"/>
          <w:sz w:val="24"/>
          <w:szCs w:val="24"/>
          <w:shd w:val="clear" w:color="auto" w:fill="FFFFFF"/>
        </w:rPr>
        <w:t>The</w:t>
      </w:r>
      <w:r w:rsidRPr="0041465E" w:rsidR="00061FD7">
        <w:rPr>
          <w:rFonts w:ascii="Times New Roman" w:hAnsi="Times New Roman" w:cs="Times New Roman"/>
          <w:color w:val="212121"/>
          <w:sz w:val="24"/>
          <w:szCs w:val="24"/>
          <w:shd w:val="clear" w:color="auto" w:fill="FFFFFF"/>
        </w:rPr>
        <w:t xml:space="preserve"> PUCO</w:t>
      </w:r>
      <w:r w:rsidRPr="0041465E" w:rsidR="00753855">
        <w:rPr>
          <w:rFonts w:ascii="Times New Roman" w:hAnsi="Times New Roman" w:cs="Times New Roman"/>
          <w:color w:val="212121"/>
          <w:sz w:val="24"/>
          <w:szCs w:val="24"/>
          <w:shd w:val="clear" w:color="auto" w:fill="FFFFFF"/>
        </w:rPr>
        <w:t>, as a</w:t>
      </w:r>
      <w:r w:rsidRPr="0041465E" w:rsidR="00061FD7">
        <w:rPr>
          <w:rFonts w:ascii="Times New Roman" w:hAnsi="Times New Roman" w:cs="Times New Roman"/>
          <w:color w:val="212121"/>
          <w:sz w:val="24"/>
          <w:szCs w:val="24"/>
          <w:shd w:val="clear" w:color="auto" w:fill="FFFFFF"/>
        </w:rPr>
        <w:t xml:space="preserve"> creature</w:t>
      </w:r>
      <w:r w:rsidRPr="0041465E" w:rsidR="00753855">
        <w:rPr>
          <w:rFonts w:ascii="Times New Roman" w:hAnsi="Times New Roman" w:cs="Times New Roman"/>
          <w:color w:val="212121"/>
          <w:sz w:val="24"/>
          <w:szCs w:val="24"/>
          <w:shd w:val="clear" w:color="auto" w:fill="FFFFFF"/>
        </w:rPr>
        <w:t> of</w:t>
      </w:r>
      <w:r w:rsidRPr="0041465E" w:rsidR="00061FD7">
        <w:rPr>
          <w:rFonts w:ascii="Times New Roman" w:hAnsi="Times New Roman" w:cs="Times New Roman"/>
          <w:color w:val="212121"/>
          <w:sz w:val="24"/>
          <w:szCs w:val="24"/>
          <w:shd w:val="clear" w:color="auto" w:fill="FFFFFF"/>
        </w:rPr>
        <w:t xml:space="preserve"> statute</w:t>
      </w:r>
      <w:r w:rsidRPr="0041465E" w:rsidR="00753855">
        <w:rPr>
          <w:rFonts w:ascii="Times New Roman" w:hAnsi="Times New Roman" w:cs="Times New Roman"/>
          <w:color w:val="212121"/>
          <w:sz w:val="24"/>
          <w:szCs w:val="24"/>
          <w:shd w:val="clear" w:color="auto" w:fill="FFFFFF"/>
        </w:rPr>
        <w:t>, has no authority to act beyond its statutory powers</w:t>
      </w:r>
      <w:r w:rsidRPr="0041465E" w:rsidR="005D4872">
        <w:rPr>
          <w:rFonts w:ascii="Times New Roman" w:hAnsi="Times New Roman" w:cs="Times New Roman"/>
          <w:color w:val="212121"/>
          <w:sz w:val="24"/>
          <w:szCs w:val="24"/>
          <w:shd w:val="clear" w:color="auto" w:fill="FFFFFF"/>
        </w:rPr>
        <w:t>.</w:t>
      </w:r>
      <w:r w:rsidRPr="0041465E" w:rsidR="00753855">
        <w:rPr>
          <w:rFonts w:ascii="Times New Roman" w:hAnsi="Times New Roman" w:cs="Times New Roman"/>
          <w:color w:val="212121"/>
          <w:sz w:val="24"/>
          <w:szCs w:val="24"/>
          <w:shd w:val="clear" w:color="auto" w:fill="FFFFFF"/>
        </w:rPr>
        <w:t>”</w:t>
      </w:r>
      <w:r>
        <w:rPr>
          <w:rStyle w:val="FootnoteReference"/>
          <w:rFonts w:ascii="Times New Roman" w:hAnsi="Times New Roman" w:cs="Times New Roman"/>
          <w:color w:val="212121"/>
          <w:sz w:val="24"/>
          <w:szCs w:val="24"/>
          <w:shd w:val="clear" w:color="auto" w:fill="FFFFFF"/>
        </w:rPr>
        <w:footnoteReference w:id="8"/>
      </w:r>
      <w:r w:rsidRPr="0041465E" w:rsidR="00753855">
        <w:rPr>
          <w:rFonts w:ascii="Times New Roman" w:hAnsi="Times New Roman" w:cs="Times New Roman"/>
          <w:color w:val="212121"/>
          <w:sz w:val="24"/>
          <w:szCs w:val="24"/>
          <w:shd w:val="clear" w:color="auto" w:fill="FFFFFF"/>
        </w:rPr>
        <w:t xml:space="preserve"> </w:t>
      </w:r>
      <w:r w:rsidRPr="0041465E" w:rsidR="002147D4">
        <w:rPr>
          <w:rFonts w:ascii="Times New Roman" w:hAnsi="Times New Roman" w:cs="Times New Roman"/>
          <w:sz w:val="24"/>
          <w:szCs w:val="24"/>
        </w:rPr>
        <w:t xml:space="preserve">And the PUCO’s action was </w:t>
      </w:r>
      <w:r w:rsidRPr="0041465E" w:rsidR="006C25F3">
        <w:rPr>
          <w:rFonts w:ascii="Times New Roman" w:hAnsi="Times New Roman" w:cs="Times New Roman"/>
          <w:sz w:val="24"/>
          <w:szCs w:val="24"/>
        </w:rPr>
        <w:t>unlawful</w:t>
      </w:r>
      <w:r w:rsidRPr="0041465E" w:rsidR="002147D4">
        <w:rPr>
          <w:rFonts w:ascii="Times New Roman" w:hAnsi="Times New Roman" w:cs="Times New Roman"/>
          <w:sz w:val="24"/>
          <w:szCs w:val="24"/>
        </w:rPr>
        <w:t xml:space="preserve"> </w:t>
      </w:r>
      <w:r w:rsidRPr="0041465E" w:rsidR="001D6D72">
        <w:rPr>
          <w:rFonts w:ascii="Times New Roman" w:hAnsi="Times New Roman" w:cs="Times New Roman"/>
          <w:sz w:val="24"/>
          <w:szCs w:val="24"/>
        </w:rPr>
        <w:t xml:space="preserve">because </w:t>
      </w:r>
      <w:r w:rsidRPr="0041465E" w:rsidR="002147D4">
        <w:rPr>
          <w:rFonts w:ascii="Times New Roman" w:hAnsi="Times New Roman" w:cs="Times New Roman"/>
          <w:sz w:val="24"/>
          <w:szCs w:val="24"/>
        </w:rPr>
        <w:t xml:space="preserve">the PUCO construed an unambiguous statute which </w:t>
      </w:r>
      <w:r w:rsidRPr="0041465E" w:rsidR="001D6D72">
        <w:rPr>
          <w:rFonts w:ascii="Times New Roman" w:hAnsi="Times New Roman" w:cs="Times New Roman"/>
          <w:sz w:val="24"/>
          <w:szCs w:val="24"/>
        </w:rPr>
        <w:t>it should have simply</w:t>
      </w:r>
      <w:r w:rsidRPr="0041465E" w:rsidR="002147D4">
        <w:rPr>
          <w:rFonts w:ascii="Times New Roman" w:hAnsi="Times New Roman" w:cs="Times New Roman"/>
          <w:sz w:val="24"/>
          <w:szCs w:val="24"/>
        </w:rPr>
        <w:t xml:space="preserve"> applied.</w:t>
      </w:r>
      <w:r w:rsidR="0041465E">
        <w:rPr>
          <w:rFonts w:ascii="Times New Roman" w:hAnsi="Times New Roman" w:cs="Times New Roman"/>
          <w:sz w:val="24"/>
          <w:szCs w:val="24"/>
        </w:rPr>
        <w:t xml:space="preserve"> </w:t>
      </w:r>
      <w:r w:rsidRPr="0041465E" w:rsidR="001E0469">
        <w:rPr>
          <w:rFonts w:ascii="Times New Roman" w:hAnsi="Times New Roman" w:cs="Times New Roman"/>
          <w:sz w:val="24"/>
          <w:szCs w:val="24"/>
        </w:rPr>
        <w:t xml:space="preserve">Further, when </w:t>
      </w:r>
      <w:r w:rsidRPr="0041465E" w:rsidR="002147D4">
        <w:rPr>
          <w:rFonts w:ascii="Times New Roman" w:hAnsi="Times New Roman" w:cs="Times New Roman"/>
          <w:sz w:val="24"/>
          <w:szCs w:val="24"/>
        </w:rPr>
        <w:t xml:space="preserve">construing the statute, the </w:t>
      </w:r>
      <w:r w:rsidRPr="0041465E" w:rsidR="001D6D72">
        <w:rPr>
          <w:rFonts w:ascii="Times New Roman" w:hAnsi="Times New Roman" w:cs="Times New Roman"/>
          <w:sz w:val="24"/>
          <w:szCs w:val="24"/>
        </w:rPr>
        <w:t xml:space="preserve">PUCO </w:t>
      </w:r>
      <w:r w:rsidRPr="0041465E" w:rsidR="002147D4">
        <w:rPr>
          <w:rFonts w:ascii="Times New Roman" w:hAnsi="Times New Roman" w:cs="Times New Roman"/>
          <w:sz w:val="24"/>
          <w:szCs w:val="24"/>
        </w:rPr>
        <w:t xml:space="preserve">violated </w:t>
      </w:r>
      <w:r w:rsidRPr="0041465E" w:rsidR="006C25F3">
        <w:rPr>
          <w:rFonts w:ascii="Times New Roman" w:hAnsi="Times New Roman" w:cs="Times New Roman"/>
          <w:sz w:val="24"/>
          <w:szCs w:val="24"/>
        </w:rPr>
        <w:t xml:space="preserve">Ohio’s rules of </w:t>
      </w:r>
      <w:r w:rsidRPr="0041465E" w:rsidR="00155451">
        <w:rPr>
          <w:rFonts w:ascii="Times New Roman" w:hAnsi="Times New Roman" w:cs="Times New Roman"/>
          <w:sz w:val="24"/>
          <w:szCs w:val="24"/>
        </w:rPr>
        <w:t xml:space="preserve">statutory construction. It also </w:t>
      </w:r>
      <w:r w:rsidRPr="0041465E" w:rsidR="003E77CE">
        <w:rPr>
          <w:rFonts w:ascii="Times New Roman" w:hAnsi="Times New Roman" w:cs="Times New Roman"/>
          <w:sz w:val="24"/>
          <w:szCs w:val="24"/>
        </w:rPr>
        <w:t>violate</w:t>
      </w:r>
      <w:r w:rsidRPr="0041465E" w:rsidR="001D6D72">
        <w:rPr>
          <w:rFonts w:ascii="Times New Roman" w:hAnsi="Times New Roman" w:cs="Times New Roman"/>
          <w:sz w:val="24"/>
          <w:szCs w:val="24"/>
        </w:rPr>
        <w:t>d</w:t>
      </w:r>
      <w:r w:rsidRPr="0041465E" w:rsidR="003E77CE">
        <w:rPr>
          <w:rFonts w:ascii="Times New Roman" w:hAnsi="Times New Roman" w:cs="Times New Roman"/>
          <w:sz w:val="24"/>
          <w:szCs w:val="24"/>
        </w:rPr>
        <w:t xml:space="preserve"> </w:t>
      </w:r>
      <w:r w:rsidRPr="0041465E" w:rsidR="00240ACF">
        <w:rPr>
          <w:rFonts w:ascii="Times New Roman" w:hAnsi="Times New Roman" w:cs="Times New Roman"/>
          <w:sz w:val="24"/>
          <w:szCs w:val="24"/>
        </w:rPr>
        <w:t>the legislature’s intent as demonstrated by related statutes</w:t>
      </w:r>
      <w:r w:rsidRPr="0041465E" w:rsidR="00FE747D">
        <w:rPr>
          <w:rFonts w:ascii="Times New Roman" w:hAnsi="Times New Roman" w:cs="Times New Roman"/>
          <w:sz w:val="24"/>
          <w:szCs w:val="24"/>
        </w:rPr>
        <w:t xml:space="preserve">, which affect R.C. 4928.542’s meaning. </w:t>
      </w:r>
    </w:p>
    <w:p w:rsidR="0049388D" w:rsidRPr="0041465E" w:rsidP="00183714" w14:paraId="1FA80AA0" w14:textId="3C68332F">
      <w:pPr>
        <w:pStyle w:val="BodyTextIndent3"/>
        <w:widowControl w:val="0"/>
        <w:spacing w:line="480" w:lineRule="auto"/>
        <w:ind w:right="-312"/>
        <w:rPr>
          <w:color w:val="000000" w:themeColor="text1"/>
          <w:szCs w:val="24"/>
        </w:rPr>
      </w:pPr>
      <w:r w:rsidRPr="0041465E">
        <w:rPr>
          <w:rFonts w:eastAsiaTheme="minorHAnsi"/>
          <w:szCs w:val="24"/>
        </w:rPr>
        <w:t xml:space="preserve">The </w:t>
      </w:r>
      <w:r w:rsidRPr="0041465E">
        <w:rPr>
          <w:rFonts w:eastAsiaTheme="minorHAnsi"/>
          <w:color w:val="000000" w:themeColor="text1"/>
          <w:szCs w:val="24"/>
        </w:rPr>
        <w:t>PUCO should grant OCC’s Application for Rehearing</w:t>
      </w:r>
      <w:r w:rsidRPr="0041465E" w:rsidR="00035F75">
        <w:rPr>
          <w:rFonts w:eastAsiaTheme="minorHAnsi"/>
          <w:color w:val="000000" w:themeColor="text1"/>
          <w:szCs w:val="24"/>
        </w:rPr>
        <w:t xml:space="preserve"> </w:t>
      </w:r>
      <w:r w:rsidRPr="0041465E" w:rsidR="003C22CB">
        <w:rPr>
          <w:rFonts w:eastAsiaTheme="minorHAnsi"/>
          <w:color w:val="000000" w:themeColor="text1"/>
          <w:szCs w:val="24"/>
        </w:rPr>
        <w:t xml:space="preserve">as further explained below to protect </w:t>
      </w:r>
      <w:r w:rsidRPr="0041465E" w:rsidR="00737BBC">
        <w:rPr>
          <w:rFonts w:eastAsiaTheme="minorHAnsi"/>
          <w:color w:val="000000" w:themeColor="text1"/>
          <w:szCs w:val="24"/>
        </w:rPr>
        <w:t xml:space="preserve">at-risk PIPP </w:t>
      </w:r>
      <w:r w:rsidRPr="0041465E" w:rsidR="003C22CB">
        <w:rPr>
          <w:rFonts w:eastAsiaTheme="minorHAnsi"/>
          <w:color w:val="000000" w:themeColor="text1"/>
          <w:szCs w:val="24"/>
        </w:rPr>
        <w:t xml:space="preserve">consumers </w:t>
      </w:r>
      <w:r w:rsidRPr="0041465E" w:rsidR="00D437CA">
        <w:rPr>
          <w:rFonts w:eastAsiaTheme="minorHAnsi"/>
          <w:color w:val="000000" w:themeColor="text1"/>
          <w:szCs w:val="24"/>
        </w:rPr>
        <w:t xml:space="preserve">in the Dayton area </w:t>
      </w:r>
      <w:r w:rsidRPr="0041465E" w:rsidR="003C22CB">
        <w:rPr>
          <w:rFonts w:eastAsiaTheme="minorHAnsi"/>
          <w:color w:val="000000" w:themeColor="text1"/>
          <w:szCs w:val="24"/>
        </w:rPr>
        <w:t xml:space="preserve">from overpaying for </w:t>
      </w:r>
      <w:r w:rsidRPr="0041465E" w:rsidR="00350036">
        <w:rPr>
          <w:rFonts w:eastAsiaTheme="minorHAnsi"/>
          <w:color w:val="000000" w:themeColor="text1"/>
          <w:szCs w:val="24"/>
        </w:rPr>
        <w:t>electric</w:t>
      </w:r>
      <w:r w:rsidRPr="0041465E" w:rsidR="00591476">
        <w:rPr>
          <w:rFonts w:eastAsiaTheme="minorHAnsi"/>
          <w:color w:val="000000" w:themeColor="text1"/>
          <w:szCs w:val="24"/>
        </w:rPr>
        <w:t xml:space="preserve"> utility service</w:t>
      </w:r>
      <w:r w:rsidRPr="0041465E" w:rsidR="003C22CB">
        <w:rPr>
          <w:rFonts w:eastAsiaTheme="minorHAnsi"/>
          <w:color w:val="000000" w:themeColor="text1"/>
          <w:szCs w:val="24"/>
        </w:rPr>
        <w:t>.</w:t>
      </w:r>
    </w:p>
    <w:p w:rsidR="00E95F3D" w:rsidRPr="0041465E" w:rsidP="006A1BDB" w14:paraId="67FDAEC9" w14:textId="087CD73A">
      <w:pPr>
        <w:pStyle w:val="Heading1"/>
        <w:rPr>
          <w:color w:val="000000" w:themeColor="text1"/>
        </w:rPr>
      </w:pPr>
      <w:bookmarkStart w:id="2" w:name="_Toc53576255"/>
      <w:bookmarkStart w:id="3" w:name="_Toc53576320"/>
      <w:bookmarkStart w:id="4" w:name="_Toc92365887"/>
      <w:bookmarkStart w:id="5" w:name="_Toc98520147"/>
      <w:r w:rsidRPr="0041465E">
        <w:rPr>
          <w:color w:val="000000" w:themeColor="text1"/>
        </w:rPr>
        <w:t>MATTER FOR CONSIDERATION</w:t>
      </w:r>
      <w:bookmarkEnd w:id="2"/>
      <w:bookmarkEnd w:id="3"/>
      <w:bookmarkEnd w:id="4"/>
      <w:bookmarkEnd w:id="5"/>
    </w:p>
    <w:p w:rsidR="00155451" w:rsidRPr="0041465E" w:rsidP="005C1525" w14:paraId="6360D3BE" w14:textId="57D61C3A">
      <w:pPr>
        <w:widowControl w:val="0"/>
        <w:spacing w:after="0" w:line="240" w:lineRule="auto"/>
        <w:ind w:left="720"/>
        <w:rPr>
          <w:rFonts w:ascii="Times New Roman" w:hAnsi="Times New Roman" w:cs="Times New Roman"/>
          <w:b/>
          <w:bCs/>
          <w:sz w:val="24"/>
          <w:szCs w:val="24"/>
        </w:rPr>
      </w:pPr>
      <w:r w:rsidRPr="0041465E">
        <w:rPr>
          <w:rFonts w:ascii="Times New Roman" w:hAnsi="Times New Roman" w:cs="Times New Roman"/>
          <w:b/>
          <w:bCs/>
          <w:color w:val="000000" w:themeColor="text1"/>
          <w:sz w:val="24"/>
          <w:szCs w:val="24"/>
        </w:rPr>
        <w:t xml:space="preserve">ASSIGNMENT OF ERROR NO. 1: </w:t>
      </w:r>
      <w:r w:rsidRPr="0041465E" w:rsidR="005D4872">
        <w:rPr>
          <w:rFonts w:ascii="Times New Roman" w:hAnsi="Times New Roman" w:cs="Times New Roman"/>
          <w:sz w:val="24"/>
          <w:szCs w:val="24"/>
        </w:rPr>
        <w:t xml:space="preserve">The PUCO erred and acted outside its authority </w:t>
      </w:r>
      <w:r w:rsidRPr="0041465E" w:rsidR="001D6D72">
        <w:rPr>
          <w:rFonts w:ascii="Times New Roman" w:hAnsi="Times New Roman" w:cs="Times New Roman"/>
          <w:sz w:val="24"/>
          <w:szCs w:val="24"/>
        </w:rPr>
        <w:t>when it failed</w:t>
      </w:r>
      <w:r w:rsidRPr="0041465E" w:rsidR="006C52A0">
        <w:rPr>
          <w:rFonts w:ascii="Times New Roman" w:hAnsi="Times New Roman" w:cs="Times New Roman"/>
          <w:sz w:val="24"/>
          <w:szCs w:val="24"/>
        </w:rPr>
        <w:t xml:space="preserve"> to require DP&amp;L to comply with </w:t>
      </w:r>
      <w:r w:rsidRPr="0041465E" w:rsidR="00EE7DE0">
        <w:rPr>
          <w:rFonts w:ascii="Times New Roman" w:hAnsi="Times New Roman" w:cs="Times New Roman"/>
          <w:sz w:val="24"/>
          <w:szCs w:val="24"/>
        </w:rPr>
        <w:t xml:space="preserve">R.C. 4928.542(B) and (C) and principles of statutory construction by authorizing DP&amp;L </w:t>
      </w:r>
      <w:r w:rsidRPr="0041465E" w:rsidR="005D4872">
        <w:rPr>
          <w:rFonts w:ascii="Times New Roman" w:hAnsi="Times New Roman" w:cs="Times New Roman"/>
          <w:sz w:val="24"/>
          <w:szCs w:val="24"/>
        </w:rPr>
        <w:t xml:space="preserve">to charge at-risk PIPP consumers electricity prices higher than </w:t>
      </w:r>
      <w:r w:rsidRPr="0041465E" w:rsidR="001D6D72">
        <w:rPr>
          <w:rFonts w:ascii="Times New Roman" w:hAnsi="Times New Roman" w:cs="Times New Roman"/>
          <w:sz w:val="24"/>
          <w:szCs w:val="24"/>
        </w:rPr>
        <w:t xml:space="preserve">those </w:t>
      </w:r>
      <w:r w:rsidRPr="0041465E" w:rsidR="005D4872">
        <w:rPr>
          <w:rFonts w:ascii="Times New Roman" w:hAnsi="Times New Roman" w:cs="Times New Roman"/>
          <w:sz w:val="24"/>
          <w:szCs w:val="24"/>
        </w:rPr>
        <w:t>its standard service offer consumers</w:t>
      </w:r>
      <w:r w:rsidRPr="0041465E" w:rsidR="001D6D72">
        <w:rPr>
          <w:rFonts w:ascii="Times New Roman" w:hAnsi="Times New Roman" w:cs="Times New Roman"/>
          <w:sz w:val="24"/>
          <w:szCs w:val="24"/>
        </w:rPr>
        <w:t xml:space="preserve"> pay</w:t>
      </w:r>
      <w:r w:rsidRPr="0041465E" w:rsidR="005D4872">
        <w:rPr>
          <w:rFonts w:ascii="Times New Roman" w:hAnsi="Times New Roman" w:cs="Times New Roman"/>
          <w:sz w:val="24"/>
          <w:szCs w:val="24"/>
        </w:rPr>
        <w:t>.</w:t>
      </w:r>
    </w:p>
    <w:p w:rsidR="0025005C" w:rsidRPr="0041465E" w:rsidP="00E91287" w14:paraId="572F0578" w14:textId="41F1A53C">
      <w:pPr>
        <w:widowControl w:val="0"/>
        <w:spacing w:after="0" w:line="240" w:lineRule="auto"/>
        <w:rPr>
          <w:rFonts w:ascii="Times New Roman" w:hAnsi="Times New Roman" w:cs="Times New Roman"/>
          <w:b/>
          <w:bCs/>
          <w:color w:val="000000" w:themeColor="text1"/>
          <w:sz w:val="24"/>
          <w:szCs w:val="24"/>
        </w:rPr>
      </w:pPr>
    </w:p>
    <w:p w:rsidR="00A73698" w:rsidRPr="0041465E" w:rsidP="00096CDE" w14:paraId="25FF2ACF" w14:textId="2944C0EE">
      <w:pPr>
        <w:pStyle w:val="NormalWeb"/>
        <w:spacing w:before="0" w:beforeAutospacing="0" w:after="0" w:afterAutospacing="0" w:line="480" w:lineRule="auto"/>
        <w:ind w:firstLine="720"/>
        <w:textAlignment w:val="baseline"/>
        <w:rPr>
          <w:rStyle w:val="apple-converted-space"/>
          <w:color w:val="000000" w:themeColor="text1"/>
          <w:bdr w:val="none" w:sz="0" w:space="0" w:color="auto" w:frame="1"/>
        </w:rPr>
      </w:pPr>
      <w:r w:rsidRPr="0041465E">
        <w:rPr>
          <w:iCs/>
          <w:color w:val="000000" w:themeColor="text1"/>
        </w:rPr>
        <w:t>R.C. 4928.54 provides: “</w:t>
      </w:r>
      <w:r w:rsidRPr="0041465E">
        <w:rPr>
          <w:color w:val="333333"/>
          <w:shd w:val="clear" w:color="auto" w:fill="FFFFFF"/>
        </w:rPr>
        <w:t xml:space="preserve">The director of development services shall aggregate percentage of income payment plan program customers for the purpose of establishing a competitive procurement process for the supply of competitive retail electric service for those customers. The process shall be an auction.” R.C. 4928.542 describes the requirements that the auction must meet. </w:t>
      </w:r>
      <w:r w:rsidRPr="0041465E" w:rsidR="00E8076B">
        <w:rPr>
          <w:iCs/>
          <w:color w:val="000000" w:themeColor="text1"/>
        </w:rPr>
        <w:t xml:space="preserve">The plain, unambiguous language of R.C. 4928.542 prohibits DP&amp;L’s auction modifications. </w:t>
      </w:r>
      <w:r w:rsidRPr="0041465E">
        <w:rPr>
          <w:iCs/>
          <w:color w:val="000000" w:themeColor="text1"/>
        </w:rPr>
        <w:t xml:space="preserve">Although DP&amp;L seeks to change the date of the auctions and the number of tranches involved in each auction, </w:t>
      </w:r>
      <w:r w:rsidRPr="0041465E" w:rsidR="00351696">
        <w:rPr>
          <w:iCs/>
          <w:color w:val="000000" w:themeColor="text1"/>
        </w:rPr>
        <w:t>the PUCO</w:t>
      </w:r>
      <w:r w:rsidR="0041465E">
        <w:rPr>
          <w:iCs/>
          <w:color w:val="000000" w:themeColor="text1"/>
        </w:rPr>
        <w:t xml:space="preserve"> </w:t>
      </w:r>
      <w:r w:rsidRPr="0041465E" w:rsidR="00351696">
        <w:rPr>
          <w:iCs/>
          <w:color w:val="000000" w:themeColor="text1"/>
        </w:rPr>
        <w:t>should have gone further to require DP&amp;L to</w:t>
      </w:r>
      <w:r w:rsidRPr="0041465E">
        <w:rPr>
          <w:iCs/>
          <w:color w:val="000000" w:themeColor="text1"/>
        </w:rPr>
        <w:t xml:space="preserve"> meet R.C. 4928.542’s requirements. </w:t>
      </w:r>
    </w:p>
    <w:p w:rsidR="004A693B" w:rsidRPr="0041465E" w:rsidP="004A693B" w14:paraId="3F323A6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apple-converted-space"/>
          <w:rFonts w:ascii="Times New Roman" w:hAnsi="Times New Roman" w:cs="Times New Roman"/>
          <w:color w:val="000000" w:themeColor="text1"/>
          <w:sz w:val="24"/>
          <w:szCs w:val="24"/>
          <w:bdr w:val="none" w:sz="0" w:space="0" w:color="auto" w:frame="1"/>
        </w:rPr>
      </w:pPr>
      <w:r w:rsidRPr="0041465E">
        <w:rPr>
          <w:rStyle w:val="apple-converted-space"/>
          <w:rFonts w:ascii="Times New Roman" w:hAnsi="Times New Roman" w:cs="Times New Roman"/>
          <w:color w:val="000000" w:themeColor="text1"/>
          <w:sz w:val="24"/>
          <w:szCs w:val="24"/>
          <w:bdr w:val="none" w:sz="0" w:space="0" w:color="auto" w:frame="1"/>
        </w:rPr>
        <w:tab/>
      </w:r>
      <w:r w:rsidRPr="0041465E" w:rsidR="00E8076B">
        <w:rPr>
          <w:rStyle w:val="apple-converted-space"/>
          <w:rFonts w:ascii="Times New Roman" w:hAnsi="Times New Roman" w:cs="Times New Roman"/>
          <w:color w:val="000000" w:themeColor="text1"/>
          <w:sz w:val="24"/>
          <w:szCs w:val="24"/>
          <w:bdr w:val="none" w:sz="0" w:space="0" w:color="auto" w:frame="1"/>
        </w:rPr>
        <w:t xml:space="preserve">R.C. 4928.542 is plain and unambiguous. </w:t>
      </w:r>
      <w:r w:rsidRPr="0041465E">
        <w:rPr>
          <w:rStyle w:val="apple-converted-space"/>
          <w:rFonts w:ascii="Times New Roman" w:hAnsi="Times New Roman" w:cs="Times New Roman"/>
          <w:color w:val="000000" w:themeColor="text1"/>
          <w:sz w:val="24"/>
          <w:szCs w:val="24"/>
          <w:bdr w:val="none" w:sz="0" w:space="0" w:color="auto" w:frame="1"/>
        </w:rPr>
        <w:t>The statute provides as follows:</w:t>
      </w:r>
    </w:p>
    <w:p w:rsidR="004A693B" w:rsidRPr="0041465E" w:rsidP="004A693B" w14:paraId="0DBE2628"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apple-converted-space"/>
          <w:rFonts w:ascii="Times New Roman" w:hAnsi="Times New Roman" w:cs="Times New Roman"/>
          <w:color w:val="000000" w:themeColor="text1"/>
          <w:sz w:val="24"/>
          <w:szCs w:val="24"/>
          <w:bdr w:val="none" w:sz="0" w:space="0" w:color="auto" w:frame="1"/>
        </w:rPr>
      </w:pPr>
    </w:p>
    <w:p w:rsidR="004A693B" w:rsidRPr="0041465E" w:rsidP="0049388D" w14:paraId="1F9118C0" w14:textId="0CAC6DE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ight="1440"/>
        <w:rPr>
          <w:rFonts w:ascii="Times New Roman" w:hAnsi="Times New Roman" w:cs="Times New Roman"/>
          <w:color w:val="000000" w:themeColor="text1"/>
          <w:sz w:val="24"/>
          <w:szCs w:val="24"/>
          <w:bdr w:val="none" w:sz="0" w:space="0" w:color="auto" w:frame="1"/>
        </w:rPr>
      </w:pPr>
      <w:r w:rsidRPr="0041465E">
        <w:rPr>
          <w:rFonts w:ascii="Times New Roman" w:hAnsi="Times New Roman" w:cs="Times New Roman"/>
          <w:color w:val="000000" w:themeColor="text1"/>
          <w:sz w:val="24"/>
          <w:szCs w:val="24"/>
        </w:rPr>
        <w:t>[t]he winning bid or bids...s</w:t>
      </w:r>
      <w:r w:rsidRPr="0041465E">
        <w:rPr>
          <w:rFonts w:ascii="Times New Roman" w:hAnsi="Times New Roman" w:cs="Times New Roman"/>
          <w:i/>
          <w:iCs/>
          <w:color w:val="000000" w:themeColor="text1"/>
          <w:sz w:val="24"/>
          <w:szCs w:val="24"/>
        </w:rPr>
        <w:t xml:space="preserve">hall </w:t>
      </w:r>
      <w:r w:rsidRPr="0041465E">
        <w:rPr>
          <w:rFonts w:ascii="Times New Roman" w:hAnsi="Times New Roman" w:cs="Times New Roman"/>
          <w:color w:val="000000" w:themeColor="text1"/>
          <w:sz w:val="24"/>
          <w:szCs w:val="24"/>
        </w:rPr>
        <w:t>meet all of the following requirements:</w:t>
      </w:r>
    </w:p>
    <w:p w:rsidR="004A693B" w:rsidRPr="0041465E" w:rsidP="0049388D" w14:paraId="1C6F338D" w14:textId="77777777">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ight="1440"/>
        <w:rPr>
          <w:rFonts w:ascii="Times New Roman" w:hAnsi="Times New Roman" w:cs="Times New Roman"/>
          <w:color w:val="000000" w:themeColor="text1"/>
          <w:sz w:val="24"/>
          <w:szCs w:val="24"/>
        </w:rPr>
      </w:pPr>
    </w:p>
    <w:p w:rsidR="004A693B" w:rsidRPr="0041465E" w:rsidP="0049388D" w14:paraId="19099848" w14:textId="356D5E57">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ight="1440"/>
        <w:rPr>
          <w:rFonts w:ascii="Times New Roman" w:hAnsi="Times New Roman" w:cs="Times New Roman"/>
          <w:color w:val="000000" w:themeColor="text1"/>
          <w:sz w:val="24"/>
          <w:szCs w:val="24"/>
        </w:rPr>
      </w:pPr>
      <w:r w:rsidRPr="0041465E">
        <w:rPr>
          <w:rFonts w:ascii="Times New Roman" w:hAnsi="Times New Roman" w:cs="Times New Roman"/>
          <w:b/>
          <w:bCs/>
          <w:color w:val="000000" w:themeColor="text1"/>
          <w:sz w:val="24"/>
          <w:szCs w:val="24"/>
        </w:rPr>
        <w:t>(B)</w:t>
      </w:r>
      <w:r w:rsidRPr="0041465E">
        <w:rPr>
          <w:rFonts w:ascii="Times New Roman" w:hAnsi="Times New Roman" w:cs="Times New Roman"/>
          <w:color w:val="000000" w:themeColor="text1"/>
          <w:sz w:val="24"/>
          <w:szCs w:val="24"/>
        </w:rPr>
        <w:t> Reduce the cost of the percentage of income payment plan program relative to the otherwise applicable standard service offer established under sections 4928.141, 4928.142, and 4928.143 of the Revised Code;</w:t>
      </w:r>
    </w:p>
    <w:p w:rsidR="004A693B" w:rsidRPr="0041465E" w:rsidP="0049388D" w14:paraId="3FC90360" w14:textId="77777777">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ight="1440"/>
        <w:rPr>
          <w:rFonts w:ascii="Times New Roman" w:hAnsi="Times New Roman" w:cs="Times New Roman"/>
          <w:color w:val="000000" w:themeColor="text1"/>
          <w:sz w:val="24"/>
          <w:szCs w:val="24"/>
        </w:rPr>
      </w:pPr>
    </w:p>
    <w:p w:rsidR="004A693B" w:rsidRPr="0041465E" w:rsidP="0049388D" w14:paraId="4A6159F6" w14:textId="11FC7BFE">
      <w:pPr>
        <w:pStyle w:val="NormalWeb"/>
        <w:spacing w:before="0" w:beforeAutospacing="0" w:after="0" w:afterAutospacing="0"/>
        <w:ind w:left="1440" w:right="1440"/>
        <w:textAlignment w:val="baseline"/>
        <w:rPr>
          <w:color w:val="000000" w:themeColor="text1"/>
        </w:rPr>
      </w:pPr>
      <w:r w:rsidRPr="0041465E">
        <w:rPr>
          <w:b/>
          <w:bCs/>
          <w:color w:val="000000" w:themeColor="text1"/>
        </w:rPr>
        <w:t>(C)</w:t>
      </w:r>
      <w:r w:rsidRPr="0041465E">
        <w:rPr>
          <w:color w:val="000000" w:themeColor="text1"/>
        </w:rPr>
        <w:t> Result in the best value for persons paying the universal service rider under section 4928.52 of the Revised Code.” (Emphasis added).</w:t>
      </w:r>
    </w:p>
    <w:p w:rsidR="000636B6" w:rsidRPr="0041465E" w:rsidP="000636B6" w14:paraId="132DD395" w14:textId="2BBB52D7">
      <w:pPr>
        <w:pStyle w:val="NormalWeb"/>
        <w:spacing w:before="0" w:beforeAutospacing="0" w:after="0" w:afterAutospacing="0"/>
        <w:textAlignment w:val="baseline"/>
        <w:rPr>
          <w:color w:val="000000" w:themeColor="text1"/>
        </w:rPr>
      </w:pPr>
    </w:p>
    <w:p w:rsidR="00D437CA" w:rsidRPr="0041465E" w:rsidP="00D437CA" w14:paraId="3C8ABC9B" w14:textId="77777777">
      <w:pPr>
        <w:pStyle w:val="NormalWeb"/>
        <w:spacing w:before="0" w:beforeAutospacing="0" w:after="0" w:afterAutospacing="0" w:line="480" w:lineRule="auto"/>
        <w:ind w:firstLine="720"/>
        <w:textAlignment w:val="baseline"/>
        <w:rPr>
          <w:rStyle w:val="apple-converted-space"/>
          <w:color w:val="000000" w:themeColor="text1"/>
          <w:bdr w:val="none" w:sz="0" w:space="0" w:color="auto" w:frame="1"/>
        </w:rPr>
      </w:pPr>
      <w:r w:rsidRPr="0041465E">
        <w:rPr>
          <w:iCs/>
          <w:color w:val="000000" w:themeColor="text1"/>
        </w:rPr>
        <w:t>R.C. 1.42 provides that “words and phrases shall be read in context and construed according to the rules of grammar and common usage.” The PUCO has stated that “</w:t>
      </w:r>
      <w:r w:rsidRPr="0041465E">
        <w:rPr>
          <w:color w:val="000000" w:themeColor="text1"/>
        </w:rPr>
        <w:t>[p]ursuant to rules of statutory interpretation, statutes are to be interpreted based on the plain language of the statute….”</w:t>
      </w:r>
      <w:r>
        <w:rPr>
          <w:rStyle w:val="FootnoteReference"/>
          <w:color w:val="000000" w:themeColor="text1"/>
        </w:rPr>
        <w:footnoteReference w:id="9"/>
      </w:r>
      <w:r w:rsidRPr="0041465E">
        <w:rPr>
          <w:color w:val="000000" w:themeColor="text1"/>
        </w:rPr>
        <w:t xml:space="preserve"> </w:t>
      </w:r>
      <w:r w:rsidRPr="0041465E">
        <w:rPr>
          <w:iCs/>
          <w:color w:val="000000" w:themeColor="text1"/>
        </w:rPr>
        <w:t>The Supreme Court of Ohio has held that “</w:t>
      </w:r>
      <w:r w:rsidRPr="0041465E">
        <w:rPr>
          <w:rStyle w:val="ssrfcpassagedeactivated"/>
          <w:color w:val="000000" w:themeColor="text1"/>
          <w:bdr w:val="none" w:sz="0" w:space="0" w:color="auto" w:frame="1"/>
        </w:rPr>
        <w:t>when interpreting a</w:t>
      </w:r>
      <w:r w:rsidRPr="0041465E">
        <w:rPr>
          <w:rStyle w:val="apple-converted-space"/>
          <w:color w:val="000000" w:themeColor="text1"/>
          <w:bdr w:val="none" w:sz="0" w:space="0" w:color="auto" w:frame="1"/>
        </w:rPr>
        <w:t> </w:t>
      </w:r>
      <w:r w:rsidRPr="0041465E">
        <w:rPr>
          <w:rStyle w:val="sssh"/>
          <w:color w:val="000000" w:themeColor="text1"/>
          <w:bdr w:val="none" w:sz="0" w:space="0" w:color="auto" w:frame="1"/>
        </w:rPr>
        <w:t>statute</w:t>
      </w:r>
      <w:r w:rsidRPr="0041465E">
        <w:rPr>
          <w:rStyle w:val="ssrfcpassagedeactivated"/>
          <w:color w:val="000000" w:themeColor="text1"/>
          <w:bdr w:val="none" w:sz="0" w:space="0" w:color="auto" w:frame="1"/>
        </w:rPr>
        <w:t>, a court must first examine the</w:t>
      </w:r>
      <w:r w:rsidRPr="0041465E">
        <w:rPr>
          <w:rStyle w:val="apple-converted-space"/>
          <w:color w:val="000000" w:themeColor="text1"/>
          <w:bdr w:val="none" w:sz="0" w:space="0" w:color="auto" w:frame="1"/>
        </w:rPr>
        <w:t> </w:t>
      </w:r>
      <w:r w:rsidRPr="0041465E">
        <w:rPr>
          <w:rStyle w:val="sssh"/>
          <w:color w:val="000000" w:themeColor="text1"/>
          <w:bdr w:val="none" w:sz="0" w:space="0" w:color="auto" w:frame="1"/>
        </w:rPr>
        <w:t>plain language</w:t>
      </w:r>
      <w:r w:rsidRPr="0041465E">
        <w:rPr>
          <w:rStyle w:val="apple-converted-space"/>
          <w:color w:val="000000" w:themeColor="text1"/>
          <w:bdr w:val="none" w:sz="0" w:space="0" w:color="auto" w:frame="1"/>
        </w:rPr>
        <w:t> </w:t>
      </w:r>
      <w:r w:rsidRPr="0041465E">
        <w:rPr>
          <w:rStyle w:val="ssrfcpassagedeactivated"/>
          <w:color w:val="000000" w:themeColor="text1"/>
          <w:bdr w:val="none" w:sz="0" w:space="0" w:color="auto" w:frame="1"/>
        </w:rPr>
        <w:t>of the</w:t>
      </w:r>
      <w:r w:rsidRPr="0041465E">
        <w:rPr>
          <w:rStyle w:val="apple-converted-space"/>
          <w:color w:val="000000" w:themeColor="text1"/>
          <w:bdr w:val="none" w:sz="0" w:space="0" w:color="auto" w:frame="1"/>
        </w:rPr>
        <w:t> </w:t>
      </w:r>
      <w:r w:rsidRPr="0041465E">
        <w:rPr>
          <w:rStyle w:val="sssh"/>
          <w:color w:val="000000" w:themeColor="text1"/>
          <w:bdr w:val="none" w:sz="0" w:space="0" w:color="auto" w:frame="1"/>
        </w:rPr>
        <w:t>statute</w:t>
      </w:r>
      <w:r w:rsidRPr="0041465E">
        <w:rPr>
          <w:rStyle w:val="apple-converted-space"/>
          <w:color w:val="000000" w:themeColor="text1"/>
          <w:bdr w:val="none" w:sz="0" w:space="0" w:color="auto" w:frame="1"/>
        </w:rPr>
        <w:t> </w:t>
      </w:r>
      <w:r w:rsidRPr="0041465E">
        <w:rPr>
          <w:rStyle w:val="ssrfcpassagedeactivated"/>
          <w:color w:val="000000" w:themeColor="text1"/>
          <w:bdr w:val="none" w:sz="0" w:space="0" w:color="auto" w:frame="1"/>
        </w:rPr>
        <w:t>to determine legislative intent.</w:t>
      </w:r>
      <w:r>
        <w:rPr>
          <w:rStyle w:val="FootnoteReference"/>
          <w:color w:val="000000" w:themeColor="text1"/>
          <w:bdr w:val="none" w:sz="0" w:space="0" w:color="auto" w:frame="1"/>
        </w:rPr>
        <w:footnoteReference w:id="10"/>
      </w:r>
      <w:r w:rsidRPr="0041465E">
        <w:rPr>
          <w:rStyle w:val="apple-converted-space"/>
          <w:color w:val="000000" w:themeColor="text1"/>
          <w:bdr w:val="none" w:sz="0" w:space="0" w:color="auto" w:frame="1"/>
        </w:rPr>
        <w:t xml:space="preserve"> </w:t>
      </w:r>
      <w:r w:rsidRPr="0041465E">
        <w:rPr>
          <w:rStyle w:val="ssrfcpassagedeactivated"/>
          <w:color w:val="000000" w:themeColor="text1"/>
          <w:bdr w:val="none" w:sz="0" w:space="0" w:color="auto" w:frame="1"/>
        </w:rPr>
        <w:t>The court must give effect to the words used, making neither additions nor deletions from words chosen by the General Assembly.</w:t>
      </w:r>
      <w:r>
        <w:rPr>
          <w:rStyle w:val="FootnoteReference"/>
          <w:color w:val="000000" w:themeColor="text1"/>
          <w:bdr w:val="none" w:sz="0" w:space="0" w:color="auto" w:frame="1"/>
        </w:rPr>
        <w:footnoteReference w:id="11"/>
      </w:r>
      <w:r w:rsidRPr="0041465E">
        <w:rPr>
          <w:rStyle w:val="apple-converted-space"/>
          <w:color w:val="000000" w:themeColor="text1"/>
          <w:bdr w:val="none" w:sz="0" w:space="0" w:color="auto" w:frame="1"/>
        </w:rPr>
        <w:t> </w:t>
      </w:r>
    </w:p>
    <w:p w:rsidR="004A693B" w:rsidRPr="0041465E" w:rsidP="00E91287" w14:paraId="2D55D5A0" w14:textId="43B13745">
      <w:pPr>
        <w:pStyle w:val="NormalWeb"/>
        <w:spacing w:before="0" w:beforeAutospacing="0" w:after="0" w:afterAutospacing="0" w:line="480" w:lineRule="auto"/>
        <w:ind w:firstLine="720"/>
        <w:textAlignment w:val="baseline"/>
        <w:rPr>
          <w:color w:val="000000" w:themeColor="text1"/>
        </w:rPr>
      </w:pPr>
      <w:r w:rsidRPr="0041465E">
        <w:rPr>
          <w:color w:val="000000" w:themeColor="text1"/>
        </w:rPr>
        <w:t>The word “shall” in the statute means there is no exception to the requirement that a winning bid reduce costs for PIPP consumers.</w:t>
      </w:r>
      <w:r w:rsidRPr="0041465E" w:rsidR="007B3891">
        <w:rPr>
          <w:color w:val="000000" w:themeColor="text1"/>
        </w:rPr>
        <w:t xml:space="preserve"> “</w:t>
      </w:r>
      <w:r w:rsidRPr="0041465E" w:rsidR="000636B6">
        <w:rPr>
          <w:color w:val="000000" w:themeColor="text1"/>
        </w:rPr>
        <w:t>Ordinarily, the word '</w:t>
      </w:r>
      <w:r w:rsidRPr="0041465E" w:rsidR="000636B6">
        <w:rPr>
          <w:rStyle w:val="sssh"/>
          <w:color w:val="000000" w:themeColor="text1"/>
          <w:bdr w:val="none" w:sz="0" w:space="0" w:color="auto" w:frame="1"/>
        </w:rPr>
        <w:t>shall</w:t>
      </w:r>
      <w:r w:rsidRPr="0041465E" w:rsidR="000636B6">
        <w:rPr>
          <w:color w:val="000000" w:themeColor="text1"/>
        </w:rPr>
        <w:t>' is a</w:t>
      </w:r>
      <w:r w:rsidRPr="0041465E" w:rsidR="000636B6">
        <w:rPr>
          <w:rStyle w:val="apple-converted-space"/>
          <w:color w:val="000000" w:themeColor="text1"/>
        </w:rPr>
        <w:t> </w:t>
      </w:r>
      <w:r w:rsidRPr="0041465E" w:rsidR="000636B6">
        <w:rPr>
          <w:rStyle w:val="sssh"/>
          <w:color w:val="000000" w:themeColor="text1"/>
          <w:bdr w:val="none" w:sz="0" w:space="0" w:color="auto" w:frame="1"/>
        </w:rPr>
        <w:t>mandatory</w:t>
      </w:r>
      <w:r w:rsidRPr="0041465E" w:rsidR="000636B6">
        <w:rPr>
          <w:rStyle w:val="apple-converted-space"/>
          <w:color w:val="000000" w:themeColor="text1"/>
        </w:rPr>
        <w:t> </w:t>
      </w:r>
      <w:r w:rsidRPr="0041465E" w:rsidR="000636B6">
        <w:rPr>
          <w:color w:val="000000" w:themeColor="text1"/>
        </w:rPr>
        <w:t>one, whereas 'may' denotes the granting of discretion."</w:t>
      </w:r>
      <w:r>
        <w:rPr>
          <w:rStyle w:val="FootnoteReference"/>
          <w:color w:val="000000" w:themeColor="text1"/>
        </w:rPr>
        <w:footnoteReference w:id="12"/>
      </w:r>
      <w:r w:rsidRPr="0041465E">
        <w:rPr>
          <w:color w:val="000000" w:themeColor="text1"/>
        </w:rPr>
        <w:t xml:space="preserve"> Nothing in R.C. 4928.542 indicates “shall” means something other than its ordinary, mandatory usage.</w:t>
      </w:r>
      <w:r w:rsidRPr="0041465E" w:rsidR="00155451">
        <w:rPr>
          <w:color w:val="000000" w:themeColor="text1"/>
        </w:rPr>
        <w:t xml:space="preserve"> If</w:t>
      </w:r>
      <w:r w:rsidRPr="0041465E" w:rsidR="00751039">
        <w:rPr>
          <w:color w:val="000000" w:themeColor="text1"/>
        </w:rPr>
        <w:t xml:space="preserve"> a bid does not reduce rates for PIPP consumers, that bid violates the requirement that it “shall” do so. Finding otherwise requires the PUCO to</w:t>
      </w:r>
      <w:r w:rsidRPr="0041465E">
        <w:rPr>
          <w:color w:val="000000" w:themeColor="text1"/>
        </w:rPr>
        <w:t xml:space="preserve"> add words to the statute. R.C. 4928.542 says nothing about</w:t>
      </w:r>
      <w:r w:rsidRPr="0041465E" w:rsidR="00751039">
        <w:rPr>
          <w:color w:val="000000" w:themeColor="text1"/>
        </w:rPr>
        <w:t xml:space="preserve"> bids reducing rates “over the long</w:t>
      </w:r>
      <w:r w:rsidRPr="0041465E" w:rsidR="007B3891">
        <w:rPr>
          <w:color w:val="000000" w:themeColor="text1"/>
        </w:rPr>
        <w:t xml:space="preserve"> </w:t>
      </w:r>
      <w:r w:rsidRPr="0041465E" w:rsidR="00751039">
        <w:rPr>
          <w:color w:val="000000" w:themeColor="text1"/>
        </w:rPr>
        <w:t xml:space="preserve">term.” Adding this </w:t>
      </w:r>
      <w:r w:rsidRPr="0041465E" w:rsidR="00BA7E4D">
        <w:rPr>
          <w:color w:val="000000" w:themeColor="text1"/>
        </w:rPr>
        <w:t>caveat</w:t>
      </w:r>
      <w:r w:rsidRPr="0041465E" w:rsidR="00751039">
        <w:rPr>
          <w:color w:val="000000" w:themeColor="text1"/>
        </w:rPr>
        <w:t xml:space="preserve"> violates</w:t>
      </w:r>
      <w:r w:rsidRPr="0041465E" w:rsidR="007B3891">
        <w:rPr>
          <w:color w:val="000000" w:themeColor="text1"/>
        </w:rPr>
        <w:t xml:space="preserve"> Ohio’s</w:t>
      </w:r>
      <w:r w:rsidRPr="0041465E" w:rsidR="00751039">
        <w:rPr>
          <w:color w:val="000000" w:themeColor="text1"/>
        </w:rPr>
        <w:t xml:space="preserve"> rules of construction. R.C. 4928.542 is unambiguous, </w:t>
      </w:r>
      <w:r w:rsidRPr="0041465E" w:rsidR="007B3891">
        <w:rPr>
          <w:color w:val="000000" w:themeColor="text1"/>
        </w:rPr>
        <w:t>which requires</w:t>
      </w:r>
      <w:r w:rsidRPr="0041465E" w:rsidR="00751039">
        <w:rPr>
          <w:color w:val="000000" w:themeColor="text1"/>
        </w:rPr>
        <w:t xml:space="preserve"> the PUCO to apply its plain meaning that each auction must reduce rates for low-income PIPP consumers. </w:t>
      </w:r>
    </w:p>
    <w:p w:rsidR="009400C9" w:rsidRPr="0041465E" w:rsidP="00A638E7" w14:paraId="735FF107" w14:textId="52F5066F">
      <w:pPr>
        <w:spacing w:after="0" w:line="480" w:lineRule="auto"/>
        <w:ind w:firstLine="720"/>
        <w:rPr>
          <w:rFonts w:ascii="Times New Roman" w:hAnsi="Times New Roman" w:cs="Times New Roman"/>
          <w:color w:val="000000"/>
          <w:sz w:val="24"/>
          <w:szCs w:val="24"/>
          <w:bdr w:val="none" w:sz="0" w:space="0" w:color="auto" w:frame="1"/>
        </w:rPr>
      </w:pPr>
      <w:r w:rsidRPr="0041465E">
        <w:rPr>
          <w:rFonts w:ascii="Times New Roman" w:hAnsi="Times New Roman" w:cs="Times New Roman"/>
          <w:iCs/>
          <w:color w:val="000000" w:themeColor="text1"/>
          <w:sz w:val="24"/>
          <w:szCs w:val="24"/>
        </w:rPr>
        <w:t>Even if the PUCO finds R.C. 4928.542 is ambiguous, it should not allow DP&amp;L to charge PIPP consumers rates that exceed the SSO. R.C. 1.49 provides that “</w:t>
      </w:r>
      <w:r w:rsidRPr="0041465E" w:rsidR="00036C7C">
        <w:rPr>
          <w:rFonts w:ascii="Times New Roman" w:hAnsi="Times New Roman" w:cs="Times New Roman"/>
          <w:iCs/>
          <w:color w:val="000000" w:themeColor="text1"/>
          <w:sz w:val="24"/>
          <w:szCs w:val="24"/>
        </w:rPr>
        <w:t>[i]</w:t>
      </w:r>
      <w:r w:rsidRPr="0041465E">
        <w:rPr>
          <w:rFonts w:ascii="Times New Roman" w:hAnsi="Times New Roman" w:cs="Times New Roman"/>
          <w:iCs/>
          <w:color w:val="000000" w:themeColor="text1"/>
          <w:sz w:val="24"/>
          <w:szCs w:val="24"/>
        </w:rPr>
        <w:t>f a statute is ambiguous, the court, in determining the intention of the legislature, may consider</w:t>
      </w:r>
      <w:r w:rsidRPr="0041465E" w:rsidR="00036C7C">
        <w:rPr>
          <w:rFonts w:ascii="Times New Roman" w:hAnsi="Times New Roman" w:cs="Times New Roman"/>
          <w:iCs/>
          <w:color w:val="000000" w:themeColor="text1"/>
          <w:sz w:val="24"/>
          <w:szCs w:val="24"/>
        </w:rPr>
        <w:t xml:space="preserve"> . . . </w:t>
      </w:r>
      <w:r w:rsidRPr="0041465E">
        <w:rPr>
          <w:rFonts w:ascii="Times New Roman" w:hAnsi="Times New Roman" w:cs="Times New Roman"/>
          <w:iCs/>
          <w:color w:val="000000" w:themeColor="text1"/>
          <w:sz w:val="24"/>
          <w:szCs w:val="24"/>
        </w:rPr>
        <w:t xml:space="preserve">laws upon the same or similar subject.” </w:t>
      </w:r>
      <w:r w:rsidRPr="0041465E" w:rsidR="0025005C">
        <w:rPr>
          <w:rFonts w:ascii="Times New Roman" w:hAnsi="Times New Roman" w:cs="Times New Roman"/>
          <w:iCs/>
          <w:color w:val="000000" w:themeColor="text1"/>
          <w:sz w:val="24"/>
          <w:szCs w:val="24"/>
        </w:rPr>
        <w:t>It is well-established in Ohio that statutes on the same subject matter should be interpreted together, rather than in isolation.</w:t>
      </w:r>
      <w:r>
        <w:rPr>
          <w:rStyle w:val="FootnoteReference"/>
          <w:rFonts w:ascii="Times New Roman" w:hAnsi="Times New Roman" w:cs="Times New Roman"/>
          <w:iCs/>
          <w:color w:val="000000" w:themeColor="text1"/>
          <w:sz w:val="24"/>
          <w:szCs w:val="24"/>
        </w:rPr>
        <w:footnoteReference w:id="13"/>
      </w:r>
      <w:r w:rsidRPr="0041465E" w:rsidR="0025005C">
        <w:rPr>
          <w:rFonts w:ascii="Times New Roman" w:hAnsi="Times New Roman" w:cs="Times New Roman"/>
          <w:iCs/>
          <w:color w:val="000000" w:themeColor="text1"/>
          <w:sz w:val="24"/>
          <w:szCs w:val="24"/>
        </w:rPr>
        <w:t xml:space="preserve"> Courts</w:t>
      </w:r>
      <w:r w:rsidRPr="0041465E" w:rsidR="001874FE">
        <w:rPr>
          <w:rFonts w:ascii="Times New Roman" w:hAnsi="Times New Roman" w:cs="Times New Roman"/>
          <w:iCs/>
          <w:color w:val="000000" w:themeColor="text1"/>
          <w:sz w:val="24"/>
          <w:szCs w:val="24"/>
        </w:rPr>
        <w:t xml:space="preserve"> call this principle</w:t>
      </w:r>
      <w:r w:rsidRPr="0041465E" w:rsidR="0025005C">
        <w:rPr>
          <w:rFonts w:ascii="Times New Roman" w:hAnsi="Times New Roman" w:cs="Times New Roman"/>
          <w:iCs/>
          <w:color w:val="000000" w:themeColor="text1"/>
          <w:sz w:val="24"/>
          <w:szCs w:val="24"/>
        </w:rPr>
        <w:t xml:space="preserve"> </w:t>
      </w:r>
      <w:r w:rsidRPr="0041465E" w:rsidR="0025005C">
        <w:rPr>
          <w:rFonts w:ascii="Times New Roman" w:hAnsi="Times New Roman" w:cs="Times New Roman"/>
          <w:i/>
          <w:color w:val="000000" w:themeColor="text1"/>
          <w:sz w:val="24"/>
          <w:szCs w:val="24"/>
        </w:rPr>
        <w:t>in pari materia</w:t>
      </w:r>
      <w:r w:rsidRPr="0041465E" w:rsidR="0025005C">
        <w:rPr>
          <w:rFonts w:ascii="Times New Roman" w:hAnsi="Times New Roman" w:cs="Times New Roman"/>
          <w:iCs/>
          <w:color w:val="000000" w:themeColor="text1"/>
          <w:sz w:val="24"/>
          <w:szCs w:val="24"/>
        </w:rPr>
        <w:t>, which means “upo</w:t>
      </w:r>
      <w:r w:rsidRPr="0041465E" w:rsidR="0025005C">
        <w:rPr>
          <w:rFonts w:ascii="Times New Roman" w:hAnsi="Times New Roman" w:cs="Times New Roman"/>
          <w:iCs/>
          <w:sz w:val="24"/>
          <w:szCs w:val="24"/>
        </w:rPr>
        <w:t>n the same matter or subject.”</w:t>
      </w:r>
      <w:r>
        <w:rPr>
          <w:rStyle w:val="FootnoteReference"/>
          <w:rFonts w:ascii="Times New Roman" w:hAnsi="Times New Roman" w:cs="Times New Roman"/>
          <w:iCs/>
          <w:sz w:val="24"/>
          <w:szCs w:val="24"/>
        </w:rPr>
        <w:footnoteReference w:id="14"/>
      </w:r>
      <w:r w:rsidRPr="0041465E" w:rsidR="0025005C">
        <w:rPr>
          <w:rFonts w:ascii="Times New Roman" w:hAnsi="Times New Roman" w:cs="Times New Roman"/>
          <w:iCs/>
          <w:sz w:val="24"/>
          <w:szCs w:val="24"/>
        </w:rPr>
        <w:t xml:space="preserve"> </w:t>
      </w:r>
      <w:r w:rsidRPr="0041465E" w:rsidR="002051F1">
        <w:rPr>
          <w:rFonts w:ascii="Times New Roman" w:hAnsi="Times New Roman" w:cs="Times New Roman"/>
          <w:i/>
          <w:iCs/>
          <w:color w:val="000000"/>
          <w:sz w:val="24"/>
          <w:szCs w:val="24"/>
          <w:bdr w:val="none" w:sz="0" w:space="0" w:color="auto" w:frame="1"/>
        </w:rPr>
        <w:t xml:space="preserve">In pari materia </w:t>
      </w:r>
      <w:r w:rsidRPr="0041465E" w:rsidR="002051F1">
        <w:rPr>
          <w:rFonts w:ascii="Times New Roman" w:hAnsi="Times New Roman" w:cs="Times New Roman"/>
          <w:color w:val="000000"/>
          <w:sz w:val="24"/>
          <w:szCs w:val="24"/>
          <w:bdr w:val="none" w:sz="0" w:space="0" w:color="auto" w:frame="1"/>
        </w:rPr>
        <w:t>“</w:t>
      </w:r>
      <w:r w:rsidRPr="0041465E">
        <w:rPr>
          <w:rFonts w:ascii="Times New Roman" w:hAnsi="Times New Roman" w:cs="Times New Roman"/>
          <w:color w:val="000000"/>
          <w:sz w:val="24"/>
          <w:szCs w:val="24"/>
          <w:bdr w:val="none" w:sz="0" w:space="0" w:color="auto" w:frame="1"/>
        </w:rPr>
        <w:t>instructs that statutes relating to the same subject 'be construed together, so that inconsistencies in one statute may be resolved by looking at [the] other statute on the same subject.'"</w:t>
      </w:r>
      <w:r>
        <w:rPr>
          <w:rStyle w:val="FootnoteReference"/>
          <w:rFonts w:ascii="Times New Roman" w:hAnsi="Times New Roman" w:cs="Times New Roman"/>
          <w:color w:val="000000"/>
          <w:sz w:val="24"/>
          <w:szCs w:val="24"/>
          <w:bdr w:val="none" w:sz="0" w:space="0" w:color="auto" w:frame="1"/>
        </w:rPr>
        <w:footnoteReference w:id="15"/>
      </w:r>
      <w:r w:rsidRPr="0041465E" w:rsidR="003F3941">
        <w:rPr>
          <w:rFonts w:ascii="Times New Roman" w:hAnsi="Times New Roman" w:cs="Times New Roman"/>
          <w:color w:val="000000"/>
          <w:sz w:val="24"/>
          <w:szCs w:val="24"/>
          <w:bdr w:val="none" w:sz="0" w:space="0" w:color="auto" w:frame="1"/>
        </w:rPr>
        <w:t xml:space="preserve"> </w:t>
      </w:r>
      <w:r w:rsidRPr="0041465E" w:rsidR="0019099B">
        <w:rPr>
          <w:rFonts w:ascii="Times New Roman" w:hAnsi="Times New Roman" w:cs="Times New Roman"/>
          <w:iCs/>
          <w:sz w:val="24"/>
          <w:szCs w:val="24"/>
        </w:rPr>
        <w:t xml:space="preserve">Courts “must harmonize and give full attention to all [related] statutes </w:t>
      </w:r>
      <w:r w:rsidRPr="0041465E" w:rsidR="002051F1">
        <w:rPr>
          <w:rFonts w:ascii="Times New Roman" w:hAnsi="Times New Roman" w:cs="Times New Roman"/>
          <w:iCs/>
          <w:sz w:val="24"/>
          <w:szCs w:val="24"/>
        </w:rPr>
        <w:t>unless they are irreconcilable and in hopeless conflict.”</w:t>
      </w:r>
      <w:r>
        <w:rPr>
          <w:rStyle w:val="FootnoteReference"/>
          <w:rFonts w:ascii="Times New Roman" w:hAnsi="Times New Roman" w:cs="Times New Roman"/>
          <w:iCs/>
          <w:sz w:val="24"/>
          <w:szCs w:val="24"/>
        </w:rPr>
        <w:footnoteReference w:id="16"/>
      </w:r>
      <w:r w:rsidRPr="0041465E" w:rsidR="0019099B">
        <w:rPr>
          <w:rFonts w:ascii="Times New Roman" w:hAnsi="Times New Roman" w:cs="Times New Roman"/>
          <w:iCs/>
          <w:sz w:val="24"/>
          <w:szCs w:val="24"/>
        </w:rPr>
        <w:t xml:space="preserve"> </w:t>
      </w:r>
      <w:r w:rsidRPr="0041465E" w:rsidR="00F6707A">
        <w:rPr>
          <w:rFonts w:ascii="Times New Roman" w:hAnsi="Times New Roman" w:cs="Times New Roman"/>
          <w:iCs/>
          <w:sz w:val="24"/>
          <w:szCs w:val="24"/>
        </w:rPr>
        <w:t xml:space="preserve">The meaning courts give related statutes should carry </w:t>
      </w:r>
      <w:r w:rsidRPr="0041465E" w:rsidR="0019099B">
        <w:rPr>
          <w:rFonts w:ascii="Times New Roman" w:hAnsi="Times New Roman" w:cs="Times New Roman"/>
          <w:iCs/>
          <w:sz w:val="24"/>
          <w:szCs w:val="24"/>
        </w:rPr>
        <w:t>out legislative intent.</w:t>
      </w:r>
      <w:r>
        <w:rPr>
          <w:rStyle w:val="FootnoteReference"/>
          <w:rFonts w:ascii="Times New Roman" w:hAnsi="Times New Roman" w:cs="Times New Roman"/>
          <w:iCs/>
          <w:sz w:val="24"/>
          <w:szCs w:val="24"/>
        </w:rPr>
        <w:footnoteReference w:id="17"/>
      </w:r>
    </w:p>
    <w:p w:rsidR="001727CB" w:rsidRPr="0041465E" w:rsidP="00BA7E4D" w14:paraId="703F562B" w14:textId="0E30DBD1">
      <w:pPr>
        <w:spacing w:after="0" w:line="480" w:lineRule="auto"/>
        <w:ind w:firstLine="720"/>
        <w:rPr>
          <w:rFonts w:ascii="Times New Roman" w:hAnsi="Times New Roman" w:cs="Times New Roman"/>
          <w:iCs/>
          <w:sz w:val="24"/>
          <w:szCs w:val="24"/>
        </w:rPr>
      </w:pPr>
      <w:r w:rsidRPr="0041465E">
        <w:rPr>
          <w:rFonts w:ascii="Times New Roman" w:hAnsi="Times New Roman" w:cs="Times New Roman"/>
          <w:iCs/>
          <w:sz w:val="24"/>
          <w:szCs w:val="24"/>
        </w:rPr>
        <w:t xml:space="preserve">The PUCO </w:t>
      </w:r>
      <w:r w:rsidRPr="0041465E" w:rsidR="00F6707A">
        <w:rPr>
          <w:rFonts w:ascii="Times New Roman" w:hAnsi="Times New Roman" w:cs="Times New Roman"/>
          <w:iCs/>
          <w:sz w:val="24"/>
          <w:szCs w:val="24"/>
        </w:rPr>
        <w:t xml:space="preserve">should interpret Ohio law in a way that </w:t>
      </w:r>
      <w:r w:rsidRPr="0041465E">
        <w:rPr>
          <w:rFonts w:ascii="Times New Roman" w:hAnsi="Times New Roman" w:cs="Times New Roman"/>
          <w:iCs/>
          <w:sz w:val="24"/>
          <w:szCs w:val="24"/>
        </w:rPr>
        <w:t xml:space="preserve">gives proper force and effect to each and all related statutes. </w:t>
      </w:r>
      <w:r w:rsidRPr="0041465E">
        <w:rPr>
          <w:rFonts w:ascii="Times New Roman" w:hAnsi="Times New Roman" w:cs="Times New Roman"/>
          <w:iCs/>
          <w:sz w:val="24"/>
          <w:szCs w:val="24"/>
        </w:rPr>
        <w:t xml:space="preserve">It failed to do so in </w:t>
      </w:r>
      <w:r w:rsidRPr="0041465E" w:rsidR="00BA7E4D">
        <w:rPr>
          <w:rFonts w:ascii="Times New Roman" w:hAnsi="Times New Roman" w:cs="Times New Roman"/>
          <w:iCs/>
          <w:sz w:val="24"/>
          <w:szCs w:val="24"/>
        </w:rPr>
        <w:t xml:space="preserve">approving </w:t>
      </w:r>
      <w:r w:rsidRPr="0041465E" w:rsidR="007804A9">
        <w:rPr>
          <w:rFonts w:ascii="Times New Roman" w:hAnsi="Times New Roman" w:cs="Times New Roman"/>
          <w:iCs/>
          <w:sz w:val="24"/>
          <w:szCs w:val="24"/>
        </w:rPr>
        <w:t>DP&amp;L’s proposed modifications</w:t>
      </w:r>
      <w:r w:rsidRPr="0041465E" w:rsidR="00F6707A">
        <w:rPr>
          <w:rFonts w:ascii="Times New Roman" w:hAnsi="Times New Roman" w:cs="Times New Roman"/>
          <w:iCs/>
          <w:sz w:val="24"/>
          <w:szCs w:val="24"/>
        </w:rPr>
        <w:t xml:space="preserve">, which </w:t>
      </w:r>
      <w:r w:rsidRPr="0041465E" w:rsidR="00112CD0">
        <w:rPr>
          <w:rFonts w:ascii="Times New Roman" w:hAnsi="Times New Roman" w:cs="Times New Roman"/>
          <w:iCs/>
          <w:sz w:val="24"/>
          <w:szCs w:val="24"/>
        </w:rPr>
        <w:t>results in</w:t>
      </w:r>
      <w:r w:rsidRPr="0041465E" w:rsidR="00F6707A">
        <w:rPr>
          <w:rFonts w:ascii="Times New Roman" w:hAnsi="Times New Roman" w:cs="Times New Roman"/>
          <w:iCs/>
          <w:sz w:val="24"/>
          <w:szCs w:val="24"/>
        </w:rPr>
        <w:t xml:space="preserve"> a higher rate for low-income PIPP consumers than consumers on </w:t>
      </w:r>
      <w:r w:rsidRPr="0041465E" w:rsidR="00112CD0">
        <w:rPr>
          <w:rFonts w:ascii="Times New Roman" w:hAnsi="Times New Roman" w:cs="Times New Roman"/>
          <w:iCs/>
          <w:sz w:val="24"/>
          <w:szCs w:val="24"/>
        </w:rPr>
        <w:t>DP&amp;L’s</w:t>
      </w:r>
      <w:r w:rsidRPr="0041465E" w:rsidR="00F6707A">
        <w:rPr>
          <w:rFonts w:ascii="Times New Roman" w:hAnsi="Times New Roman" w:cs="Times New Roman"/>
          <w:iCs/>
          <w:sz w:val="24"/>
          <w:szCs w:val="24"/>
        </w:rPr>
        <w:t xml:space="preserve"> </w:t>
      </w:r>
      <w:r w:rsidRPr="0041465E" w:rsidR="00112CD0">
        <w:rPr>
          <w:rFonts w:ascii="Times New Roman" w:hAnsi="Times New Roman" w:cs="Times New Roman"/>
          <w:iCs/>
          <w:sz w:val="24"/>
          <w:szCs w:val="24"/>
        </w:rPr>
        <w:t>standard service offer (“</w:t>
      </w:r>
      <w:r w:rsidRPr="0041465E" w:rsidR="00F6707A">
        <w:rPr>
          <w:rFonts w:ascii="Times New Roman" w:hAnsi="Times New Roman" w:cs="Times New Roman"/>
          <w:iCs/>
          <w:sz w:val="24"/>
          <w:szCs w:val="24"/>
        </w:rPr>
        <w:t>SSO</w:t>
      </w:r>
      <w:r w:rsidRPr="0041465E" w:rsidR="00112CD0">
        <w:rPr>
          <w:rFonts w:ascii="Times New Roman" w:hAnsi="Times New Roman" w:cs="Times New Roman"/>
          <w:iCs/>
          <w:sz w:val="24"/>
          <w:szCs w:val="24"/>
        </w:rPr>
        <w:t>”)</w:t>
      </w:r>
      <w:r w:rsidRPr="0041465E">
        <w:rPr>
          <w:rFonts w:ascii="Times New Roman" w:hAnsi="Times New Roman" w:cs="Times New Roman"/>
          <w:iCs/>
          <w:sz w:val="24"/>
          <w:szCs w:val="24"/>
        </w:rPr>
        <w:t xml:space="preserve">. </w:t>
      </w:r>
      <w:r w:rsidRPr="0041465E" w:rsidR="001D6D72">
        <w:rPr>
          <w:rFonts w:ascii="Times New Roman" w:hAnsi="Times New Roman" w:cs="Times New Roman"/>
          <w:iCs/>
          <w:sz w:val="24"/>
          <w:szCs w:val="24"/>
        </w:rPr>
        <w:t xml:space="preserve">In fact, PIPP consumers have not received lower rates in the past two DP&amp;L auctions. But </w:t>
      </w:r>
      <w:r w:rsidRPr="0041465E" w:rsidR="008A5C93">
        <w:rPr>
          <w:rFonts w:ascii="Times New Roman" w:hAnsi="Times New Roman" w:cs="Times New Roman"/>
          <w:iCs/>
          <w:sz w:val="24"/>
          <w:szCs w:val="24"/>
        </w:rPr>
        <w:t>statutes</w:t>
      </w:r>
      <w:r w:rsidRPr="0041465E" w:rsidR="001D6D72">
        <w:rPr>
          <w:rFonts w:ascii="Times New Roman" w:hAnsi="Times New Roman" w:cs="Times New Roman"/>
          <w:iCs/>
          <w:sz w:val="24"/>
          <w:szCs w:val="24"/>
        </w:rPr>
        <w:t xml:space="preserve"> related to R.C. 4928.542</w:t>
      </w:r>
      <w:r w:rsidRPr="0041465E" w:rsidR="008A5C93">
        <w:rPr>
          <w:rFonts w:ascii="Times New Roman" w:hAnsi="Times New Roman" w:cs="Times New Roman"/>
          <w:iCs/>
          <w:sz w:val="24"/>
          <w:szCs w:val="24"/>
        </w:rPr>
        <w:t xml:space="preserve"> indicate the legislature intended </w:t>
      </w:r>
      <w:r w:rsidRPr="0041465E" w:rsidR="00926015">
        <w:rPr>
          <w:rFonts w:ascii="Times New Roman" w:hAnsi="Times New Roman" w:cs="Times New Roman"/>
          <w:iCs/>
          <w:sz w:val="24"/>
          <w:szCs w:val="24"/>
        </w:rPr>
        <w:t xml:space="preserve">for </w:t>
      </w:r>
      <w:r w:rsidRPr="0041465E" w:rsidR="00926015">
        <w:rPr>
          <w:rFonts w:ascii="Times New Roman" w:hAnsi="Times New Roman" w:cs="Times New Roman"/>
          <w:i/>
          <w:sz w:val="24"/>
          <w:szCs w:val="24"/>
        </w:rPr>
        <w:t xml:space="preserve">every auction </w:t>
      </w:r>
      <w:r w:rsidRPr="0041465E" w:rsidR="00926015">
        <w:rPr>
          <w:rFonts w:ascii="Times New Roman" w:hAnsi="Times New Roman" w:cs="Times New Roman"/>
          <w:iCs/>
          <w:sz w:val="24"/>
          <w:szCs w:val="24"/>
        </w:rPr>
        <w:t xml:space="preserve">to </w:t>
      </w:r>
      <w:r w:rsidRPr="0041465E" w:rsidR="007D0B83">
        <w:rPr>
          <w:rFonts w:ascii="Times New Roman" w:hAnsi="Times New Roman" w:cs="Times New Roman"/>
          <w:iCs/>
          <w:sz w:val="24"/>
          <w:szCs w:val="24"/>
        </w:rPr>
        <w:t xml:space="preserve">produce </w:t>
      </w:r>
      <w:r w:rsidRPr="0041465E" w:rsidR="006371E5">
        <w:rPr>
          <w:rFonts w:ascii="Times New Roman" w:hAnsi="Times New Roman" w:cs="Times New Roman"/>
          <w:iCs/>
          <w:sz w:val="24"/>
          <w:szCs w:val="24"/>
        </w:rPr>
        <w:t>lower rates for low-income PIPP consumers</w:t>
      </w:r>
      <w:r w:rsidRPr="0041465E" w:rsidR="007D0B83">
        <w:rPr>
          <w:rFonts w:ascii="Times New Roman" w:hAnsi="Times New Roman" w:cs="Times New Roman"/>
          <w:iCs/>
          <w:sz w:val="24"/>
          <w:szCs w:val="24"/>
        </w:rPr>
        <w:t>.</w:t>
      </w:r>
      <w:r w:rsidRPr="0041465E" w:rsidR="00374AF9">
        <w:rPr>
          <w:rFonts w:ascii="Times New Roman" w:hAnsi="Times New Roman" w:cs="Times New Roman"/>
          <w:iCs/>
          <w:sz w:val="24"/>
          <w:szCs w:val="24"/>
        </w:rPr>
        <w:t xml:space="preserve"> </w:t>
      </w:r>
      <w:bookmarkStart w:id="6" w:name="_Hlk116471164"/>
    </w:p>
    <w:bookmarkEnd w:id="6"/>
    <w:p w:rsidR="0025005C" w:rsidRPr="0041465E" w:rsidP="00837BC6" w14:paraId="12B1BC55" w14:textId="1D8CA1A9">
      <w:pPr>
        <w:spacing w:after="0" w:line="480" w:lineRule="auto"/>
        <w:ind w:firstLine="720"/>
        <w:rPr>
          <w:rFonts w:ascii="Times New Roman" w:hAnsi="Times New Roman" w:cs="Times New Roman"/>
          <w:iCs/>
          <w:color w:val="000000" w:themeColor="text1"/>
          <w:sz w:val="24"/>
          <w:szCs w:val="24"/>
        </w:rPr>
      </w:pPr>
      <w:r w:rsidRPr="0041465E">
        <w:rPr>
          <w:rFonts w:ascii="Times New Roman" w:hAnsi="Times New Roman" w:cs="Times New Roman"/>
          <w:iCs/>
          <w:sz w:val="24"/>
          <w:szCs w:val="24"/>
        </w:rPr>
        <w:t>First,</w:t>
      </w:r>
      <w:r w:rsidRPr="0041465E" w:rsidR="006B09C2">
        <w:rPr>
          <w:rFonts w:ascii="Times New Roman" w:hAnsi="Times New Roman" w:cs="Times New Roman"/>
          <w:iCs/>
          <w:sz w:val="24"/>
          <w:szCs w:val="24"/>
        </w:rPr>
        <w:t xml:space="preserve"> </w:t>
      </w:r>
      <w:r w:rsidRPr="0041465E" w:rsidR="00C47A96">
        <w:rPr>
          <w:rFonts w:ascii="Times New Roman" w:hAnsi="Times New Roman" w:cs="Times New Roman"/>
          <w:iCs/>
          <w:sz w:val="24"/>
          <w:szCs w:val="24"/>
        </w:rPr>
        <w:t>R.C. 4928.02(L) states that, a</w:t>
      </w:r>
      <w:r w:rsidRPr="0041465E">
        <w:rPr>
          <w:rFonts w:ascii="Times New Roman" w:hAnsi="Times New Roman" w:cs="Times New Roman"/>
          <w:sz w:val="24"/>
          <w:szCs w:val="24"/>
        </w:rPr>
        <w:t xml:space="preserve">s a matter of Ohio policy, the PUCO and ODOD must “protect at-risk populations.” </w:t>
      </w:r>
      <w:r w:rsidRPr="0041465E" w:rsidR="007804A9">
        <w:rPr>
          <w:rFonts w:ascii="Times New Roman" w:hAnsi="Times New Roman" w:cs="Times New Roman"/>
          <w:sz w:val="24"/>
          <w:szCs w:val="24"/>
        </w:rPr>
        <w:t>DP&amp;L’s</w:t>
      </w:r>
      <w:r w:rsidRPr="0041465E" w:rsidR="00837BC6">
        <w:rPr>
          <w:rFonts w:ascii="Times New Roman" w:hAnsi="Times New Roman" w:cs="Times New Roman"/>
          <w:sz w:val="24"/>
          <w:szCs w:val="24"/>
        </w:rPr>
        <w:t xml:space="preserve"> low-income PIPP consumers are vulnerable to poverty, food and housing insecurity, inflation, and a resurging pandemic. They are at-risk. </w:t>
      </w:r>
      <w:r w:rsidRPr="0041465E" w:rsidR="00C47A96">
        <w:rPr>
          <w:rFonts w:ascii="Times New Roman" w:hAnsi="Times New Roman" w:cs="Times New Roman"/>
          <w:sz w:val="24"/>
          <w:szCs w:val="24"/>
        </w:rPr>
        <w:t xml:space="preserve">Authorizing </w:t>
      </w:r>
      <w:r w:rsidRPr="0041465E" w:rsidR="007804A9">
        <w:rPr>
          <w:rFonts w:ascii="Times New Roman" w:hAnsi="Times New Roman" w:cs="Times New Roman"/>
          <w:sz w:val="24"/>
          <w:szCs w:val="24"/>
        </w:rPr>
        <w:t>DP&amp;L</w:t>
      </w:r>
      <w:r w:rsidRPr="0041465E" w:rsidR="00C47A96">
        <w:rPr>
          <w:rFonts w:ascii="Times New Roman" w:hAnsi="Times New Roman" w:cs="Times New Roman"/>
          <w:sz w:val="24"/>
          <w:szCs w:val="24"/>
        </w:rPr>
        <w:t xml:space="preserve"> to charge low-income PIPP consumers higher rates than the standard service offer harms, rather than protects, </w:t>
      </w:r>
      <w:r w:rsidRPr="0041465E" w:rsidR="00A67243">
        <w:rPr>
          <w:rFonts w:ascii="Times New Roman" w:hAnsi="Times New Roman" w:cs="Times New Roman"/>
          <w:sz w:val="24"/>
          <w:szCs w:val="24"/>
        </w:rPr>
        <w:t>an</w:t>
      </w:r>
      <w:r w:rsidRPr="0041465E" w:rsidR="00C47A96">
        <w:rPr>
          <w:rFonts w:ascii="Times New Roman" w:hAnsi="Times New Roman" w:cs="Times New Roman"/>
          <w:sz w:val="24"/>
          <w:szCs w:val="24"/>
        </w:rPr>
        <w:t xml:space="preserve"> at-risk population. </w:t>
      </w:r>
      <w:r w:rsidRPr="0041465E" w:rsidR="00112CD0">
        <w:rPr>
          <w:rFonts w:ascii="Times New Roman" w:hAnsi="Times New Roman" w:cs="Times New Roman"/>
          <w:sz w:val="24"/>
          <w:szCs w:val="24"/>
        </w:rPr>
        <w:t xml:space="preserve">The doctrine of </w:t>
      </w:r>
      <w:r w:rsidRPr="0041465E" w:rsidR="00112CD0">
        <w:rPr>
          <w:rFonts w:ascii="Times New Roman" w:hAnsi="Times New Roman" w:cs="Times New Roman"/>
          <w:i/>
          <w:iCs/>
          <w:sz w:val="24"/>
          <w:szCs w:val="24"/>
        </w:rPr>
        <w:t>i</w:t>
      </w:r>
      <w:r w:rsidRPr="0041465E" w:rsidR="00C47A96">
        <w:rPr>
          <w:rFonts w:ascii="Times New Roman" w:hAnsi="Times New Roman" w:cs="Times New Roman"/>
          <w:i/>
          <w:iCs/>
          <w:sz w:val="24"/>
          <w:szCs w:val="24"/>
        </w:rPr>
        <w:t xml:space="preserve">n pari materia </w:t>
      </w:r>
      <w:r w:rsidRPr="0041465E" w:rsidR="00C47A96">
        <w:rPr>
          <w:rFonts w:ascii="Times New Roman" w:hAnsi="Times New Roman" w:cs="Times New Roman"/>
          <w:sz w:val="24"/>
          <w:szCs w:val="24"/>
        </w:rPr>
        <w:t xml:space="preserve">requires the PUCO to adopt an interpretation of R.C. 4928.542 </w:t>
      </w:r>
      <w:r w:rsidRPr="0041465E" w:rsidR="00727DB4">
        <w:rPr>
          <w:rFonts w:ascii="Times New Roman" w:hAnsi="Times New Roman" w:cs="Times New Roman"/>
          <w:sz w:val="24"/>
          <w:szCs w:val="24"/>
        </w:rPr>
        <w:t>in step</w:t>
      </w:r>
      <w:r w:rsidRPr="0041465E" w:rsidR="00C47A96">
        <w:rPr>
          <w:rFonts w:ascii="Times New Roman" w:hAnsi="Times New Roman" w:cs="Times New Roman"/>
          <w:sz w:val="24"/>
          <w:szCs w:val="24"/>
        </w:rPr>
        <w:t xml:space="preserve"> with its duty to </w:t>
      </w:r>
      <w:r w:rsidRPr="0041465E" w:rsidR="00C47A96">
        <w:rPr>
          <w:rFonts w:ascii="Times New Roman" w:hAnsi="Times New Roman" w:cs="Times New Roman"/>
          <w:color w:val="000000" w:themeColor="text1"/>
          <w:sz w:val="24"/>
          <w:szCs w:val="24"/>
        </w:rPr>
        <w:t xml:space="preserve">protect at-risk populations. Reading </w:t>
      </w:r>
      <w:r w:rsidRPr="0041465E" w:rsidR="00DB3A52">
        <w:rPr>
          <w:rFonts w:ascii="Times New Roman" w:hAnsi="Times New Roman" w:cs="Times New Roman"/>
          <w:color w:val="000000" w:themeColor="text1"/>
          <w:sz w:val="24"/>
          <w:szCs w:val="24"/>
        </w:rPr>
        <w:t>R.C. 4928.542</w:t>
      </w:r>
      <w:r w:rsidRPr="0041465E" w:rsidR="00C47A96">
        <w:rPr>
          <w:rFonts w:ascii="Times New Roman" w:hAnsi="Times New Roman" w:cs="Times New Roman"/>
          <w:color w:val="000000" w:themeColor="text1"/>
          <w:sz w:val="24"/>
          <w:szCs w:val="24"/>
        </w:rPr>
        <w:t xml:space="preserve"> to apply to every auction</w:t>
      </w:r>
      <w:r w:rsidRPr="0041465E" w:rsidR="00385584">
        <w:rPr>
          <w:rFonts w:ascii="Times New Roman" w:hAnsi="Times New Roman" w:cs="Times New Roman"/>
          <w:color w:val="000000" w:themeColor="text1"/>
          <w:sz w:val="24"/>
          <w:szCs w:val="24"/>
        </w:rPr>
        <w:t xml:space="preserve"> </w:t>
      </w:r>
      <w:r w:rsidRPr="0041465E" w:rsidR="00DB3A52">
        <w:rPr>
          <w:rFonts w:ascii="Times New Roman" w:hAnsi="Times New Roman" w:cs="Times New Roman"/>
          <w:color w:val="000000" w:themeColor="text1"/>
          <w:sz w:val="24"/>
          <w:szCs w:val="24"/>
        </w:rPr>
        <w:t>harmonizes similar statutes by</w:t>
      </w:r>
      <w:r w:rsidRPr="0041465E" w:rsidR="00FE35CB">
        <w:rPr>
          <w:rFonts w:ascii="Times New Roman" w:hAnsi="Times New Roman" w:cs="Times New Roman"/>
          <w:color w:val="000000" w:themeColor="text1"/>
          <w:sz w:val="24"/>
          <w:szCs w:val="24"/>
        </w:rPr>
        <w:t xml:space="preserve"> ensuring </w:t>
      </w:r>
      <w:r w:rsidRPr="0041465E" w:rsidR="00DB3A52">
        <w:rPr>
          <w:rFonts w:ascii="Times New Roman" w:hAnsi="Times New Roman" w:cs="Times New Roman"/>
          <w:color w:val="000000" w:themeColor="text1"/>
          <w:sz w:val="24"/>
          <w:szCs w:val="24"/>
        </w:rPr>
        <w:t>vulnerable</w:t>
      </w:r>
      <w:r w:rsidRPr="0041465E" w:rsidR="00FE35CB">
        <w:rPr>
          <w:rFonts w:ascii="Times New Roman" w:hAnsi="Times New Roman" w:cs="Times New Roman"/>
          <w:color w:val="000000" w:themeColor="text1"/>
          <w:sz w:val="24"/>
          <w:szCs w:val="24"/>
        </w:rPr>
        <w:t xml:space="preserve"> </w:t>
      </w:r>
      <w:r w:rsidRPr="0041465E" w:rsidR="00DB3A52">
        <w:rPr>
          <w:rFonts w:ascii="Times New Roman" w:hAnsi="Times New Roman" w:cs="Times New Roman"/>
          <w:color w:val="000000" w:themeColor="text1"/>
          <w:sz w:val="24"/>
          <w:szCs w:val="24"/>
        </w:rPr>
        <w:t xml:space="preserve">PIPP consumers </w:t>
      </w:r>
      <w:r w:rsidRPr="0041465E" w:rsidR="00835C66">
        <w:rPr>
          <w:rFonts w:ascii="Times New Roman" w:hAnsi="Times New Roman" w:cs="Times New Roman"/>
          <w:color w:val="000000" w:themeColor="text1"/>
          <w:sz w:val="24"/>
          <w:szCs w:val="24"/>
        </w:rPr>
        <w:t xml:space="preserve">are protected from </w:t>
      </w:r>
      <w:r w:rsidRPr="0041465E" w:rsidR="00835C66">
        <w:rPr>
          <w:rFonts w:ascii="Times New Roman" w:hAnsi="Times New Roman" w:cs="Times New Roman"/>
          <w:i/>
          <w:iCs/>
          <w:color w:val="000000" w:themeColor="text1"/>
          <w:sz w:val="24"/>
          <w:szCs w:val="24"/>
        </w:rPr>
        <w:t xml:space="preserve">ever </w:t>
      </w:r>
      <w:r w:rsidRPr="0041465E" w:rsidR="00835C66">
        <w:rPr>
          <w:rFonts w:ascii="Times New Roman" w:hAnsi="Times New Roman" w:cs="Times New Roman"/>
          <w:color w:val="000000" w:themeColor="text1"/>
          <w:sz w:val="24"/>
          <w:szCs w:val="24"/>
        </w:rPr>
        <w:t xml:space="preserve">paying </w:t>
      </w:r>
      <w:r w:rsidRPr="0041465E" w:rsidR="00DB3A52">
        <w:rPr>
          <w:rFonts w:ascii="Times New Roman" w:hAnsi="Times New Roman" w:cs="Times New Roman"/>
          <w:color w:val="000000" w:themeColor="text1"/>
          <w:sz w:val="24"/>
          <w:szCs w:val="24"/>
        </w:rPr>
        <w:t>higher prices</w:t>
      </w:r>
      <w:r w:rsidRPr="0041465E" w:rsidR="00835C66">
        <w:rPr>
          <w:rFonts w:ascii="Times New Roman" w:hAnsi="Times New Roman" w:cs="Times New Roman"/>
          <w:color w:val="000000" w:themeColor="text1"/>
          <w:sz w:val="24"/>
          <w:szCs w:val="24"/>
        </w:rPr>
        <w:t xml:space="preserve"> than SSO consumers</w:t>
      </w:r>
      <w:r w:rsidRPr="0041465E" w:rsidR="00DB3A52">
        <w:rPr>
          <w:rFonts w:ascii="Times New Roman" w:hAnsi="Times New Roman" w:cs="Times New Roman"/>
          <w:color w:val="000000" w:themeColor="text1"/>
          <w:sz w:val="24"/>
          <w:szCs w:val="24"/>
        </w:rPr>
        <w:t>.</w:t>
      </w:r>
      <w:r w:rsidRPr="0041465E" w:rsidR="003F3941">
        <w:rPr>
          <w:rFonts w:ascii="Times New Roman" w:hAnsi="Times New Roman" w:cs="Times New Roman"/>
          <w:color w:val="000000" w:themeColor="text1"/>
          <w:sz w:val="24"/>
          <w:szCs w:val="24"/>
        </w:rPr>
        <w:t xml:space="preserve"> </w:t>
      </w:r>
    </w:p>
    <w:p w:rsidR="009A696C" w:rsidRPr="0041465E" w:rsidP="0052329A" w14:paraId="67643B06" w14:textId="7F538B68">
      <w:pPr>
        <w:spacing w:after="0" w:line="480" w:lineRule="auto"/>
        <w:ind w:firstLine="720"/>
        <w:rPr>
          <w:rFonts w:ascii="Times New Roman" w:hAnsi="Times New Roman" w:cs="Times New Roman"/>
          <w:color w:val="000000" w:themeColor="text1"/>
          <w:sz w:val="24"/>
          <w:szCs w:val="24"/>
        </w:rPr>
      </w:pPr>
      <w:r w:rsidRPr="0041465E">
        <w:rPr>
          <w:rFonts w:ascii="Times New Roman" w:hAnsi="Times New Roman" w:cs="Times New Roman"/>
          <w:color w:val="000000" w:themeColor="text1"/>
          <w:sz w:val="24"/>
          <w:szCs w:val="24"/>
        </w:rPr>
        <w:t xml:space="preserve">Another statute, </w:t>
      </w:r>
      <w:r w:rsidRPr="0041465E" w:rsidR="0025005C">
        <w:rPr>
          <w:rFonts w:ascii="Times New Roman" w:hAnsi="Times New Roman" w:cs="Times New Roman"/>
          <w:color w:val="000000" w:themeColor="text1"/>
          <w:sz w:val="24"/>
          <w:szCs w:val="24"/>
        </w:rPr>
        <w:t>R.C. 4928.02(A)</w:t>
      </w:r>
      <w:r w:rsidRPr="0041465E">
        <w:rPr>
          <w:rFonts w:ascii="Times New Roman" w:hAnsi="Times New Roman" w:cs="Times New Roman"/>
          <w:color w:val="000000" w:themeColor="text1"/>
          <w:sz w:val="24"/>
          <w:szCs w:val="24"/>
        </w:rPr>
        <w:t>, supports interpreting R.C. 4928.542 to require</w:t>
      </w:r>
      <w:r w:rsidRPr="0041465E" w:rsidR="00112CD0">
        <w:rPr>
          <w:rFonts w:ascii="Times New Roman" w:hAnsi="Times New Roman" w:cs="Times New Roman"/>
          <w:color w:val="000000" w:themeColor="text1"/>
          <w:sz w:val="24"/>
          <w:szCs w:val="24"/>
        </w:rPr>
        <w:t xml:space="preserve"> that</w:t>
      </w:r>
      <w:r w:rsidRPr="0041465E">
        <w:rPr>
          <w:rFonts w:ascii="Times New Roman" w:hAnsi="Times New Roman" w:cs="Times New Roman"/>
          <w:color w:val="000000" w:themeColor="text1"/>
          <w:sz w:val="24"/>
          <w:szCs w:val="24"/>
        </w:rPr>
        <w:t xml:space="preserve"> </w:t>
      </w:r>
      <w:r w:rsidRPr="0041465E" w:rsidR="007D0B83">
        <w:rPr>
          <w:rFonts w:ascii="Times New Roman" w:hAnsi="Times New Roman" w:cs="Times New Roman"/>
          <w:color w:val="000000" w:themeColor="text1"/>
          <w:sz w:val="24"/>
          <w:szCs w:val="24"/>
        </w:rPr>
        <w:t xml:space="preserve">PIPP prices do not exceed the SSO at </w:t>
      </w:r>
      <w:r w:rsidRPr="0041465E" w:rsidR="007D0B83">
        <w:rPr>
          <w:rFonts w:ascii="Times New Roman" w:hAnsi="Times New Roman" w:cs="Times New Roman"/>
          <w:i/>
          <w:iCs/>
          <w:color w:val="000000" w:themeColor="text1"/>
          <w:sz w:val="24"/>
          <w:szCs w:val="24"/>
        </w:rPr>
        <w:t>any</w:t>
      </w:r>
      <w:r w:rsidRPr="0041465E" w:rsidR="007D0B83">
        <w:rPr>
          <w:rFonts w:ascii="Times New Roman" w:hAnsi="Times New Roman" w:cs="Times New Roman"/>
          <w:color w:val="000000" w:themeColor="text1"/>
          <w:sz w:val="24"/>
          <w:szCs w:val="24"/>
        </w:rPr>
        <w:t xml:space="preserve"> auction</w:t>
      </w:r>
      <w:r w:rsidRPr="0041465E">
        <w:rPr>
          <w:rFonts w:ascii="Times New Roman" w:hAnsi="Times New Roman" w:cs="Times New Roman"/>
          <w:color w:val="000000" w:themeColor="text1"/>
          <w:sz w:val="24"/>
          <w:szCs w:val="24"/>
        </w:rPr>
        <w:t xml:space="preserve">. R.C. 4928.02(A) states that it is </w:t>
      </w:r>
      <w:r w:rsidRPr="0041465E" w:rsidR="00DB3A52">
        <w:rPr>
          <w:rFonts w:ascii="Times New Roman" w:hAnsi="Times New Roman" w:cs="Times New Roman"/>
          <w:color w:val="000000" w:themeColor="text1"/>
          <w:sz w:val="24"/>
          <w:szCs w:val="24"/>
        </w:rPr>
        <w:t>Ohio</w:t>
      </w:r>
      <w:r w:rsidRPr="0041465E">
        <w:rPr>
          <w:rFonts w:ascii="Times New Roman" w:hAnsi="Times New Roman" w:cs="Times New Roman"/>
          <w:color w:val="000000" w:themeColor="text1"/>
          <w:sz w:val="24"/>
          <w:szCs w:val="24"/>
        </w:rPr>
        <w:t xml:space="preserve"> policy to</w:t>
      </w:r>
      <w:r w:rsidRPr="0041465E" w:rsidR="00FE35CB">
        <w:rPr>
          <w:rFonts w:ascii="Times New Roman" w:hAnsi="Times New Roman" w:cs="Times New Roman"/>
          <w:color w:val="000000" w:themeColor="text1"/>
          <w:sz w:val="24"/>
          <w:szCs w:val="24"/>
        </w:rPr>
        <w:t xml:space="preserve"> </w:t>
      </w:r>
      <w:r w:rsidRPr="0041465E" w:rsidR="0025005C">
        <w:rPr>
          <w:rFonts w:ascii="Times New Roman" w:hAnsi="Times New Roman" w:cs="Times New Roman"/>
          <w:color w:val="000000" w:themeColor="text1"/>
          <w:sz w:val="24"/>
          <w:szCs w:val="24"/>
        </w:rPr>
        <w:t>ensure the availability to consumers of adequate, reliable, safe, efficient, no</w:t>
      </w:r>
      <w:r w:rsidRPr="0041465E" w:rsidR="00112CD0">
        <w:rPr>
          <w:rFonts w:ascii="Times New Roman" w:hAnsi="Times New Roman" w:cs="Times New Roman"/>
          <w:color w:val="000000" w:themeColor="text1"/>
          <w:sz w:val="24"/>
          <w:szCs w:val="24"/>
        </w:rPr>
        <w:t>n-</w:t>
      </w:r>
      <w:r w:rsidRPr="0041465E" w:rsidR="0025005C">
        <w:rPr>
          <w:rFonts w:ascii="Times New Roman" w:hAnsi="Times New Roman" w:cs="Times New Roman"/>
          <w:color w:val="000000" w:themeColor="text1"/>
          <w:sz w:val="24"/>
          <w:szCs w:val="24"/>
        </w:rPr>
        <w:t xml:space="preserve">discriminatory, and reasonably priced retail electric service. </w:t>
      </w:r>
      <w:r w:rsidRPr="0041465E" w:rsidR="007804A9">
        <w:rPr>
          <w:rFonts w:ascii="Times New Roman" w:hAnsi="Times New Roman" w:cs="Times New Roman"/>
          <w:color w:val="000000" w:themeColor="text1"/>
          <w:sz w:val="24"/>
          <w:szCs w:val="24"/>
        </w:rPr>
        <w:t>DP&amp;L’s</w:t>
      </w:r>
      <w:r w:rsidRPr="0041465E" w:rsidR="00374BEA">
        <w:rPr>
          <w:rFonts w:ascii="Times New Roman" w:hAnsi="Times New Roman" w:cs="Times New Roman"/>
          <w:color w:val="000000" w:themeColor="text1"/>
          <w:sz w:val="24"/>
          <w:szCs w:val="24"/>
        </w:rPr>
        <w:t xml:space="preserve"> PIPP rates are </w:t>
      </w:r>
      <w:r w:rsidRPr="0041465E" w:rsidR="00801C81">
        <w:rPr>
          <w:rFonts w:ascii="Times New Roman" w:hAnsi="Times New Roman" w:cs="Times New Roman"/>
          <w:color w:val="000000" w:themeColor="text1"/>
          <w:sz w:val="24"/>
          <w:szCs w:val="24"/>
        </w:rPr>
        <w:t>unreasonably priced,</w:t>
      </w:r>
      <w:r w:rsidRPr="0041465E" w:rsidR="0025005C">
        <w:rPr>
          <w:rFonts w:ascii="Times New Roman" w:hAnsi="Times New Roman" w:cs="Times New Roman"/>
          <w:color w:val="000000" w:themeColor="text1"/>
          <w:sz w:val="24"/>
          <w:szCs w:val="24"/>
        </w:rPr>
        <w:t xml:space="preserve"> </w:t>
      </w:r>
      <w:r w:rsidRPr="0041465E" w:rsidR="00A67243">
        <w:rPr>
          <w:rFonts w:ascii="Times New Roman" w:hAnsi="Times New Roman" w:cs="Times New Roman"/>
          <w:color w:val="000000" w:themeColor="text1"/>
          <w:sz w:val="24"/>
          <w:szCs w:val="24"/>
        </w:rPr>
        <w:t xml:space="preserve">as </w:t>
      </w:r>
      <w:r w:rsidRPr="0041465E" w:rsidR="00DB3A52">
        <w:rPr>
          <w:rFonts w:ascii="Times New Roman" w:hAnsi="Times New Roman" w:cs="Times New Roman"/>
          <w:color w:val="000000" w:themeColor="text1"/>
          <w:sz w:val="24"/>
          <w:szCs w:val="24"/>
        </w:rPr>
        <w:t>consumers with less ability to pay are charged more for the same service.</w:t>
      </w:r>
      <w:r w:rsidRPr="0041465E" w:rsidR="0025005C">
        <w:rPr>
          <w:rFonts w:ascii="Times New Roman" w:hAnsi="Times New Roman" w:cs="Times New Roman"/>
          <w:color w:val="000000" w:themeColor="text1"/>
          <w:sz w:val="24"/>
          <w:szCs w:val="24"/>
        </w:rPr>
        <w:t xml:space="preserve"> </w:t>
      </w:r>
      <w:r w:rsidRPr="0041465E" w:rsidR="00374AF9">
        <w:rPr>
          <w:rFonts w:ascii="Times New Roman" w:hAnsi="Times New Roman" w:cs="Times New Roman"/>
          <w:color w:val="000000" w:themeColor="text1"/>
          <w:sz w:val="24"/>
          <w:szCs w:val="24"/>
        </w:rPr>
        <w:t xml:space="preserve">They are also discriminatory to low-income </w:t>
      </w:r>
      <w:r w:rsidRPr="0041465E" w:rsidR="001D6D72">
        <w:rPr>
          <w:rFonts w:ascii="Times New Roman" w:hAnsi="Times New Roman" w:cs="Times New Roman"/>
          <w:color w:val="000000" w:themeColor="text1"/>
          <w:sz w:val="24"/>
          <w:szCs w:val="24"/>
        </w:rPr>
        <w:t xml:space="preserve">PIPP </w:t>
      </w:r>
      <w:r w:rsidRPr="0041465E" w:rsidR="00374AF9">
        <w:rPr>
          <w:rFonts w:ascii="Times New Roman" w:hAnsi="Times New Roman" w:cs="Times New Roman"/>
          <w:color w:val="000000" w:themeColor="text1"/>
          <w:sz w:val="24"/>
          <w:szCs w:val="24"/>
        </w:rPr>
        <w:t xml:space="preserve">consumers. </w:t>
      </w:r>
      <w:r w:rsidRPr="0041465E" w:rsidR="00DB3A52">
        <w:rPr>
          <w:rFonts w:ascii="Times New Roman" w:hAnsi="Times New Roman" w:cs="Times New Roman"/>
          <w:color w:val="000000" w:themeColor="text1"/>
          <w:sz w:val="24"/>
          <w:szCs w:val="24"/>
        </w:rPr>
        <w:t>A</w:t>
      </w:r>
      <w:r w:rsidRPr="0041465E" w:rsidR="00F6707A">
        <w:rPr>
          <w:rFonts w:ascii="Times New Roman" w:hAnsi="Times New Roman" w:cs="Times New Roman"/>
          <w:color w:val="000000" w:themeColor="text1"/>
          <w:sz w:val="24"/>
          <w:szCs w:val="24"/>
        </w:rPr>
        <w:t xml:space="preserve">n interpretation of R.C. 4928.542 that </w:t>
      </w:r>
      <w:r w:rsidRPr="0041465E" w:rsidR="00DB3A52">
        <w:rPr>
          <w:rFonts w:ascii="Times New Roman" w:hAnsi="Times New Roman" w:cs="Times New Roman"/>
          <w:color w:val="000000" w:themeColor="text1"/>
          <w:sz w:val="24"/>
          <w:szCs w:val="24"/>
        </w:rPr>
        <w:t>allows this puts</w:t>
      </w:r>
      <w:r w:rsidRPr="0041465E" w:rsidR="00F6707A">
        <w:rPr>
          <w:rFonts w:ascii="Times New Roman" w:hAnsi="Times New Roman" w:cs="Times New Roman"/>
          <w:color w:val="000000" w:themeColor="text1"/>
          <w:sz w:val="24"/>
          <w:szCs w:val="24"/>
        </w:rPr>
        <w:t xml:space="preserve"> related statutes in conflict</w:t>
      </w:r>
      <w:r w:rsidRPr="0041465E" w:rsidR="00DB3A52">
        <w:rPr>
          <w:rFonts w:ascii="Times New Roman" w:hAnsi="Times New Roman" w:cs="Times New Roman"/>
          <w:color w:val="000000" w:themeColor="text1"/>
          <w:sz w:val="24"/>
          <w:szCs w:val="24"/>
        </w:rPr>
        <w:t xml:space="preserve"> and should be rejected</w:t>
      </w:r>
      <w:r w:rsidRPr="0041465E" w:rsidR="00F6707A">
        <w:rPr>
          <w:rFonts w:ascii="Times New Roman" w:hAnsi="Times New Roman" w:cs="Times New Roman"/>
          <w:color w:val="000000" w:themeColor="text1"/>
          <w:sz w:val="24"/>
          <w:szCs w:val="24"/>
        </w:rPr>
        <w:t xml:space="preserve">. Requiring </w:t>
      </w:r>
      <w:r w:rsidRPr="0041465E" w:rsidR="00DB3A52">
        <w:rPr>
          <w:rFonts w:ascii="Times New Roman" w:hAnsi="Times New Roman" w:cs="Times New Roman"/>
          <w:color w:val="000000" w:themeColor="text1"/>
          <w:sz w:val="24"/>
          <w:szCs w:val="24"/>
        </w:rPr>
        <w:t xml:space="preserve">instead that </w:t>
      </w:r>
      <w:r w:rsidRPr="0041465E" w:rsidR="00F6707A">
        <w:rPr>
          <w:rFonts w:ascii="Times New Roman" w:hAnsi="Times New Roman" w:cs="Times New Roman"/>
          <w:color w:val="000000" w:themeColor="text1"/>
          <w:sz w:val="24"/>
          <w:szCs w:val="24"/>
        </w:rPr>
        <w:t xml:space="preserve">PIPP rates </w:t>
      </w:r>
      <w:r w:rsidRPr="0041465E" w:rsidR="007D0B83">
        <w:rPr>
          <w:rFonts w:ascii="Times New Roman" w:hAnsi="Times New Roman" w:cs="Times New Roman"/>
          <w:color w:val="000000" w:themeColor="text1"/>
          <w:sz w:val="24"/>
          <w:szCs w:val="24"/>
        </w:rPr>
        <w:t>not exceed</w:t>
      </w:r>
      <w:r w:rsidRPr="0041465E" w:rsidR="00F6707A">
        <w:rPr>
          <w:rFonts w:ascii="Times New Roman" w:hAnsi="Times New Roman" w:cs="Times New Roman"/>
          <w:color w:val="000000" w:themeColor="text1"/>
          <w:sz w:val="24"/>
          <w:szCs w:val="24"/>
        </w:rPr>
        <w:t xml:space="preserve"> a utility’s SSO at every auction harmonizes R.C. 4928.542 with Ohio policy requiring reasonably priced</w:t>
      </w:r>
      <w:r w:rsidRPr="0041465E" w:rsidR="00DB3A52">
        <w:rPr>
          <w:rFonts w:ascii="Times New Roman" w:hAnsi="Times New Roman" w:cs="Times New Roman"/>
          <w:color w:val="000000" w:themeColor="text1"/>
          <w:sz w:val="24"/>
          <w:szCs w:val="24"/>
        </w:rPr>
        <w:t xml:space="preserve"> </w:t>
      </w:r>
      <w:r w:rsidRPr="0041465E" w:rsidR="00F6707A">
        <w:rPr>
          <w:rFonts w:ascii="Times New Roman" w:hAnsi="Times New Roman" w:cs="Times New Roman"/>
          <w:color w:val="000000" w:themeColor="text1"/>
          <w:sz w:val="24"/>
          <w:szCs w:val="24"/>
        </w:rPr>
        <w:t xml:space="preserve">electric service. </w:t>
      </w:r>
      <w:r w:rsidRPr="0041465E" w:rsidR="00DB3A52">
        <w:rPr>
          <w:rFonts w:ascii="Times New Roman" w:hAnsi="Times New Roman" w:cs="Times New Roman"/>
          <w:color w:val="000000" w:themeColor="text1"/>
          <w:sz w:val="24"/>
          <w:szCs w:val="24"/>
        </w:rPr>
        <w:t xml:space="preserve">Thus, </w:t>
      </w:r>
      <w:r w:rsidRPr="0041465E" w:rsidR="00DB3A52">
        <w:rPr>
          <w:rFonts w:ascii="Times New Roman" w:hAnsi="Times New Roman" w:cs="Times New Roman"/>
          <w:i/>
          <w:iCs/>
          <w:color w:val="000000" w:themeColor="text1"/>
          <w:sz w:val="24"/>
          <w:szCs w:val="24"/>
        </w:rPr>
        <w:t xml:space="preserve">in pari materia </w:t>
      </w:r>
      <w:r w:rsidRPr="0041465E" w:rsidR="00DB3A52">
        <w:rPr>
          <w:rFonts w:ascii="Times New Roman" w:hAnsi="Times New Roman" w:cs="Times New Roman"/>
          <w:color w:val="000000" w:themeColor="text1"/>
          <w:sz w:val="24"/>
          <w:szCs w:val="24"/>
        </w:rPr>
        <w:t xml:space="preserve">requires the PUCO to adopt this interpretation. </w:t>
      </w:r>
    </w:p>
    <w:p w:rsidR="00A5491B" w:rsidRPr="0041465E" w:rsidP="002A3BA1" w14:paraId="706660A1" w14:textId="7504AB2E">
      <w:pPr>
        <w:spacing w:after="0" w:line="480" w:lineRule="auto"/>
        <w:ind w:firstLine="720"/>
        <w:rPr>
          <w:rFonts w:ascii="Times New Roman" w:hAnsi="Times New Roman" w:cs="Times New Roman"/>
          <w:color w:val="000000" w:themeColor="text1"/>
          <w:sz w:val="24"/>
          <w:szCs w:val="24"/>
        </w:rPr>
      </w:pPr>
      <w:r w:rsidRPr="0041465E">
        <w:rPr>
          <w:rFonts w:ascii="Times New Roman" w:hAnsi="Times New Roman" w:cs="Times New Roman"/>
          <w:color w:val="000000" w:themeColor="text1"/>
          <w:sz w:val="24"/>
          <w:szCs w:val="24"/>
        </w:rPr>
        <w:t>The plain meaning of R.C. 4928.542 requires mandatory savings for low-income PIPP consumers</w:t>
      </w:r>
      <w:r w:rsidRPr="0041465E" w:rsidR="006C25F3">
        <w:rPr>
          <w:rFonts w:ascii="Times New Roman" w:hAnsi="Times New Roman" w:cs="Times New Roman"/>
          <w:color w:val="000000" w:themeColor="text1"/>
          <w:sz w:val="24"/>
          <w:szCs w:val="24"/>
        </w:rPr>
        <w:t xml:space="preserve"> at each and every auction, not just over the long term</w:t>
      </w:r>
      <w:r w:rsidRPr="0041465E">
        <w:rPr>
          <w:rFonts w:ascii="Times New Roman" w:hAnsi="Times New Roman" w:cs="Times New Roman"/>
          <w:color w:val="000000" w:themeColor="text1"/>
          <w:sz w:val="24"/>
          <w:szCs w:val="24"/>
        </w:rPr>
        <w:t xml:space="preserve">. The </w:t>
      </w:r>
      <w:r w:rsidRPr="0041465E" w:rsidR="00096CDE">
        <w:rPr>
          <w:rFonts w:ascii="Times New Roman" w:hAnsi="Times New Roman" w:cs="Times New Roman"/>
          <w:color w:val="000000" w:themeColor="text1"/>
          <w:sz w:val="24"/>
          <w:szCs w:val="24"/>
        </w:rPr>
        <w:t>PUCO’s finding that savings can accrue over the long term require</w:t>
      </w:r>
      <w:r w:rsidRPr="0041465E" w:rsidR="000247E2">
        <w:rPr>
          <w:rFonts w:ascii="Times New Roman" w:hAnsi="Times New Roman" w:cs="Times New Roman"/>
          <w:color w:val="000000" w:themeColor="text1"/>
          <w:sz w:val="24"/>
          <w:szCs w:val="24"/>
        </w:rPr>
        <w:t>s</w:t>
      </w:r>
      <w:r w:rsidRPr="0041465E" w:rsidR="00096CDE">
        <w:rPr>
          <w:rFonts w:ascii="Times New Roman" w:hAnsi="Times New Roman" w:cs="Times New Roman"/>
          <w:color w:val="000000" w:themeColor="text1"/>
          <w:sz w:val="24"/>
          <w:szCs w:val="24"/>
        </w:rPr>
        <w:t xml:space="preserve"> adding words to the statute. </w:t>
      </w:r>
      <w:r w:rsidRPr="0041465E" w:rsidR="00374AF9">
        <w:rPr>
          <w:rFonts w:ascii="Times New Roman" w:hAnsi="Times New Roman" w:cs="Times New Roman"/>
          <w:color w:val="000000" w:themeColor="text1"/>
          <w:sz w:val="24"/>
          <w:szCs w:val="24"/>
        </w:rPr>
        <w:t>The PUCO does not have this authority</w:t>
      </w:r>
      <w:r w:rsidRPr="0041465E" w:rsidR="00096CDE">
        <w:rPr>
          <w:rFonts w:ascii="Times New Roman" w:hAnsi="Times New Roman" w:cs="Times New Roman"/>
          <w:color w:val="000000" w:themeColor="text1"/>
          <w:sz w:val="24"/>
          <w:szCs w:val="24"/>
        </w:rPr>
        <w:t xml:space="preserve">. </w:t>
      </w:r>
      <w:r w:rsidRPr="0041465E" w:rsidR="00C60613">
        <w:rPr>
          <w:rFonts w:ascii="Times New Roman" w:hAnsi="Times New Roman" w:cs="Times New Roman"/>
          <w:color w:val="000000" w:themeColor="text1"/>
          <w:sz w:val="24"/>
          <w:szCs w:val="24"/>
        </w:rPr>
        <w:t xml:space="preserve">The statute was unambiguous and </w:t>
      </w:r>
      <w:r w:rsidRPr="0041465E">
        <w:rPr>
          <w:rFonts w:ascii="Times New Roman" w:hAnsi="Times New Roman" w:cs="Times New Roman"/>
          <w:color w:val="000000" w:themeColor="text1"/>
          <w:sz w:val="24"/>
          <w:szCs w:val="24"/>
        </w:rPr>
        <w:t>should have been applied</w:t>
      </w:r>
      <w:r w:rsidRPr="0041465E" w:rsidR="001D6D72">
        <w:rPr>
          <w:rFonts w:ascii="Times New Roman" w:hAnsi="Times New Roman" w:cs="Times New Roman"/>
          <w:color w:val="000000" w:themeColor="text1"/>
          <w:sz w:val="24"/>
          <w:szCs w:val="24"/>
        </w:rPr>
        <w:t>,</w:t>
      </w:r>
      <w:r w:rsidRPr="0041465E">
        <w:rPr>
          <w:rFonts w:ascii="Times New Roman" w:hAnsi="Times New Roman" w:cs="Times New Roman"/>
          <w:color w:val="000000" w:themeColor="text1"/>
          <w:sz w:val="24"/>
          <w:szCs w:val="24"/>
        </w:rPr>
        <w:t xml:space="preserve"> not interpreted.</w:t>
      </w:r>
    </w:p>
    <w:p w:rsidR="00350036" w:rsidRPr="0041465E" w:rsidP="002A3BA1" w14:paraId="337BCE20" w14:textId="2DF02273">
      <w:pPr>
        <w:spacing w:after="0" w:line="480" w:lineRule="auto"/>
        <w:ind w:firstLine="720"/>
        <w:rPr>
          <w:rFonts w:ascii="Times New Roman" w:hAnsi="Times New Roman" w:cs="Times New Roman"/>
          <w:color w:val="000000" w:themeColor="text1"/>
          <w:sz w:val="24"/>
          <w:szCs w:val="24"/>
        </w:rPr>
      </w:pPr>
      <w:r w:rsidRPr="0041465E">
        <w:rPr>
          <w:rFonts w:ascii="Times New Roman" w:hAnsi="Times New Roman" w:cs="Times New Roman"/>
          <w:color w:val="000000" w:themeColor="text1"/>
          <w:sz w:val="24"/>
          <w:szCs w:val="24"/>
        </w:rPr>
        <w:t xml:space="preserve">Further, </w:t>
      </w:r>
      <w:r w:rsidRPr="0041465E" w:rsidR="0052329A">
        <w:rPr>
          <w:rFonts w:ascii="Times New Roman" w:hAnsi="Times New Roman" w:cs="Times New Roman"/>
          <w:color w:val="000000" w:themeColor="text1"/>
          <w:sz w:val="24"/>
          <w:szCs w:val="24"/>
        </w:rPr>
        <w:t xml:space="preserve">principles of statutory construction require the PUCO to read like statutes together. This means R.C. 4928.02(A) and (L) add meaning to R.C. 4928.542. The PUCO should </w:t>
      </w:r>
      <w:r w:rsidRPr="0041465E" w:rsidR="00374BEA">
        <w:rPr>
          <w:rFonts w:ascii="Times New Roman" w:hAnsi="Times New Roman" w:cs="Times New Roman"/>
          <w:color w:val="000000" w:themeColor="text1"/>
          <w:sz w:val="24"/>
          <w:szCs w:val="24"/>
        </w:rPr>
        <w:t xml:space="preserve">interpret </w:t>
      </w:r>
      <w:r w:rsidRPr="0041465E" w:rsidR="0052329A">
        <w:rPr>
          <w:rFonts w:ascii="Times New Roman" w:hAnsi="Times New Roman" w:cs="Times New Roman"/>
          <w:color w:val="000000" w:themeColor="text1"/>
          <w:sz w:val="24"/>
          <w:szCs w:val="24"/>
        </w:rPr>
        <w:t xml:space="preserve">R.C. 4928.542 </w:t>
      </w:r>
      <w:r w:rsidRPr="0041465E" w:rsidR="00374BEA">
        <w:rPr>
          <w:rFonts w:ascii="Times New Roman" w:hAnsi="Times New Roman" w:cs="Times New Roman"/>
          <w:color w:val="000000" w:themeColor="text1"/>
          <w:sz w:val="24"/>
          <w:szCs w:val="24"/>
        </w:rPr>
        <w:t>in a manner that protects</w:t>
      </w:r>
      <w:r w:rsidRPr="0041465E" w:rsidR="0052329A">
        <w:rPr>
          <w:rFonts w:ascii="Times New Roman" w:hAnsi="Times New Roman" w:cs="Times New Roman"/>
          <w:color w:val="000000" w:themeColor="text1"/>
          <w:sz w:val="24"/>
          <w:szCs w:val="24"/>
        </w:rPr>
        <w:t xml:space="preserve"> at-risk consumers and ensure</w:t>
      </w:r>
      <w:r w:rsidRPr="0041465E" w:rsidR="00374BEA">
        <w:rPr>
          <w:rFonts w:ascii="Times New Roman" w:hAnsi="Times New Roman" w:cs="Times New Roman"/>
          <w:color w:val="000000" w:themeColor="text1"/>
          <w:sz w:val="24"/>
          <w:szCs w:val="24"/>
        </w:rPr>
        <w:t>s</w:t>
      </w:r>
      <w:r w:rsidRPr="0041465E" w:rsidR="0052329A">
        <w:rPr>
          <w:rFonts w:ascii="Times New Roman" w:hAnsi="Times New Roman" w:cs="Times New Roman"/>
          <w:color w:val="000000" w:themeColor="text1"/>
          <w:sz w:val="24"/>
          <w:szCs w:val="24"/>
        </w:rPr>
        <w:t xml:space="preserve"> reasonably</w:t>
      </w:r>
      <w:r w:rsidRPr="0041465E" w:rsidR="00727DB4">
        <w:rPr>
          <w:rFonts w:ascii="Times New Roman" w:hAnsi="Times New Roman" w:cs="Times New Roman"/>
          <w:color w:val="000000" w:themeColor="text1"/>
          <w:sz w:val="24"/>
          <w:szCs w:val="24"/>
        </w:rPr>
        <w:t xml:space="preserve"> </w:t>
      </w:r>
      <w:r w:rsidRPr="0041465E" w:rsidR="0052329A">
        <w:rPr>
          <w:rFonts w:ascii="Times New Roman" w:hAnsi="Times New Roman" w:cs="Times New Roman"/>
          <w:color w:val="000000" w:themeColor="text1"/>
          <w:sz w:val="24"/>
          <w:szCs w:val="24"/>
        </w:rPr>
        <w:t xml:space="preserve">priced electric service. Reading R.C. 4928.542 </w:t>
      </w:r>
      <w:r w:rsidRPr="0041465E" w:rsidR="007D0B83">
        <w:rPr>
          <w:rFonts w:ascii="Times New Roman" w:hAnsi="Times New Roman" w:cs="Times New Roman"/>
          <w:color w:val="000000" w:themeColor="text1"/>
          <w:sz w:val="24"/>
          <w:szCs w:val="24"/>
        </w:rPr>
        <w:t xml:space="preserve">to prevent higher prices for PIPP consumers </w:t>
      </w:r>
      <w:r w:rsidRPr="0041465E" w:rsidR="0052329A">
        <w:rPr>
          <w:rFonts w:ascii="Times New Roman" w:hAnsi="Times New Roman" w:cs="Times New Roman"/>
          <w:i/>
          <w:iCs/>
          <w:color w:val="000000" w:themeColor="text1"/>
          <w:sz w:val="24"/>
          <w:szCs w:val="24"/>
        </w:rPr>
        <w:t xml:space="preserve">at every auction </w:t>
      </w:r>
      <w:r w:rsidRPr="0041465E" w:rsidR="00374BEA">
        <w:rPr>
          <w:rFonts w:ascii="Times New Roman" w:hAnsi="Times New Roman" w:cs="Times New Roman"/>
          <w:color w:val="000000" w:themeColor="text1"/>
          <w:sz w:val="24"/>
          <w:szCs w:val="24"/>
        </w:rPr>
        <w:t>achieves this</w:t>
      </w:r>
      <w:r w:rsidRPr="0041465E" w:rsidR="00727DB4">
        <w:rPr>
          <w:rFonts w:ascii="Times New Roman" w:hAnsi="Times New Roman" w:cs="Times New Roman"/>
          <w:color w:val="000000" w:themeColor="text1"/>
          <w:sz w:val="24"/>
          <w:szCs w:val="24"/>
        </w:rPr>
        <w:t xml:space="preserve">, so </w:t>
      </w:r>
      <w:r w:rsidRPr="0041465E" w:rsidR="00727DB4">
        <w:rPr>
          <w:rFonts w:ascii="Times New Roman" w:hAnsi="Times New Roman" w:cs="Times New Roman"/>
          <w:i/>
          <w:iCs/>
          <w:color w:val="000000" w:themeColor="text1"/>
          <w:sz w:val="24"/>
          <w:szCs w:val="24"/>
        </w:rPr>
        <w:t xml:space="preserve">in </w:t>
      </w:r>
      <w:r w:rsidRPr="0041465E" w:rsidR="0052329A">
        <w:rPr>
          <w:rFonts w:ascii="Times New Roman" w:hAnsi="Times New Roman" w:cs="Times New Roman"/>
          <w:i/>
          <w:iCs/>
          <w:color w:val="000000" w:themeColor="text1"/>
          <w:sz w:val="24"/>
          <w:szCs w:val="24"/>
        </w:rPr>
        <w:t xml:space="preserve">pari materia </w:t>
      </w:r>
      <w:r w:rsidRPr="0041465E" w:rsidR="00374BEA">
        <w:rPr>
          <w:rFonts w:ascii="Times New Roman" w:hAnsi="Times New Roman" w:cs="Times New Roman"/>
          <w:color w:val="000000" w:themeColor="text1"/>
          <w:sz w:val="24"/>
          <w:szCs w:val="24"/>
        </w:rPr>
        <w:t>demands this interpretation</w:t>
      </w:r>
      <w:r w:rsidRPr="0041465E" w:rsidR="002A3BA1">
        <w:rPr>
          <w:rFonts w:ascii="Times New Roman" w:hAnsi="Times New Roman" w:cs="Times New Roman"/>
          <w:color w:val="000000" w:themeColor="text1"/>
          <w:sz w:val="24"/>
          <w:szCs w:val="24"/>
        </w:rPr>
        <w:t xml:space="preserve">. </w:t>
      </w:r>
      <w:r w:rsidRPr="0041465E" w:rsidR="00112CD0">
        <w:rPr>
          <w:rFonts w:ascii="Times New Roman" w:hAnsi="Times New Roman" w:cs="Times New Roman"/>
          <w:color w:val="000000" w:themeColor="text1"/>
          <w:sz w:val="24"/>
          <w:szCs w:val="24"/>
        </w:rPr>
        <w:t>But</w:t>
      </w:r>
      <w:r w:rsidRPr="0041465E" w:rsidR="00AE0445">
        <w:rPr>
          <w:rFonts w:ascii="Times New Roman" w:hAnsi="Times New Roman" w:cs="Times New Roman"/>
          <w:color w:val="000000" w:themeColor="text1"/>
          <w:sz w:val="24"/>
          <w:szCs w:val="24"/>
        </w:rPr>
        <w:t xml:space="preserve"> the</w:t>
      </w:r>
      <w:r w:rsidRPr="0041465E" w:rsidR="00374BEA">
        <w:rPr>
          <w:rFonts w:ascii="Times New Roman" w:hAnsi="Times New Roman" w:cs="Times New Roman"/>
          <w:color w:val="000000" w:themeColor="text1"/>
          <w:sz w:val="24"/>
          <w:szCs w:val="24"/>
        </w:rPr>
        <w:t xml:space="preserve"> PUCO interprets R.C. 4928.542 </w:t>
      </w:r>
      <w:r w:rsidRPr="0041465E" w:rsidR="00AE0445">
        <w:rPr>
          <w:rFonts w:ascii="Times New Roman" w:hAnsi="Times New Roman" w:cs="Times New Roman"/>
          <w:color w:val="000000" w:themeColor="text1"/>
          <w:sz w:val="24"/>
          <w:szCs w:val="24"/>
        </w:rPr>
        <w:t xml:space="preserve">otherwise, allowing </w:t>
      </w:r>
      <w:r w:rsidRPr="0041465E" w:rsidR="00271578">
        <w:rPr>
          <w:rFonts w:ascii="Times New Roman" w:hAnsi="Times New Roman" w:cs="Times New Roman"/>
          <w:color w:val="000000" w:themeColor="text1"/>
          <w:sz w:val="24"/>
          <w:szCs w:val="24"/>
        </w:rPr>
        <w:t>separate auctions for PIPP consumers that cost them more than SSO consumers pay. This violates Ohio law.</w:t>
      </w:r>
      <w:r w:rsidRPr="0041465E" w:rsidR="00374BEA">
        <w:rPr>
          <w:rFonts w:ascii="Times New Roman" w:hAnsi="Times New Roman" w:cs="Times New Roman"/>
          <w:color w:val="000000" w:themeColor="text1"/>
          <w:sz w:val="24"/>
          <w:szCs w:val="24"/>
        </w:rPr>
        <w:t xml:space="preserve"> </w:t>
      </w:r>
      <w:r w:rsidRPr="0041465E" w:rsidR="009330EF">
        <w:rPr>
          <w:rFonts w:ascii="Times New Roman" w:hAnsi="Times New Roman" w:cs="Times New Roman"/>
          <w:sz w:val="24"/>
          <w:szCs w:val="24"/>
        </w:rPr>
        <w:t>Rehearing should be granted.</w:t>
      </w:r>
    </w:p>
    <w:p w:rsidR="00801376" w:rsidRPr="0041465E" w:rsidP="00A2307A" w14:paraId="13823C1C" w14:textId="3A24DE95">
      <w:pPr>
        <w:pStyle w:val="Heading1"/>
      </w:pPr>
      <w:r w:rsidRPr="0041465E">
        <w:t>Conclusion</w:t>
      </w:r>
      <w:r w:rsidRPr="0041465E" w:rsidR="007327BD">
        <w:t xml:space="preserve"> </w:t>
      </w:r>
    </w:p>
    <w:p w:rsidR="008B291E" w:rsidRPr="0041465E" w:rsidP="0049388D" w14:paraId="76F221F7" w14:textId="183D2E80">
      <w:pPr>
        <w:spacing w:after="0" w:line="480" w:lineRule="auto"/>
        <w:ind w:firstLine="720"/>
        <w:rPr>
          <w:rFonts w:ascii="Times New Roman" w:hAnsi="Times New Roman" w:cs="Times New Roman"/>
          <w:sz w:val="24"/>
          <w:szCs w:val="24"/>
        </w:rPr>
      </w:pPr>
      <w:r w:rsidRPr="0041465E">
        <w:rPr>
          <w:rFonts w:ascii="Times New Roman" w:hAnsi="Times New Roman" w:cs="Times New Roman"/>
          <w:sz w:val="24"/>
          <w:szCs w:val="24"/>
        </w:rPr>
        <w:t>“[T]he purpose of the PUCO * * * is to protect the customers of public utilities.”</w:t>
      </w:r>
      <w:r>
        <w:rPr>
          <w:rStyle w:val="FootnoteReference"/>
          <w:rFonts w:ascii="Times New Roman" w:hAnsi="Times New Roman" w:cs="Times New Roman"/>
          <w:sz w:val="24"/>
          <w:szCs w:val="24"/>
        </w:rPr>
        <w:footnoteReference w:id="18"/>
      </w:r>
      <w:r w:rsidRPr="0041465E">
        <w:rPr>
          <w:rFonts w:ascii="Times New Roman" w:hAnsi="Times New Roman" w:cs="Times New Roman"/>
          <w:sz w:val="24"/>
          <w:szCs w:val="24"/>
        </w:rPr>
        <w:t xml:space="preserve"> The PUCO </w:t>
      </w:r>
      <w:r w:rsidRPr="0041465E" w:rsidR="00B829AC">
        <w:rPr>
          <w:rFonts w:ascii="Times New Roman" w:hAnsi="Times New Roman" w:cs="Times New Roman"/>
          <w:sz w:val="24"/>
          <w:szCs w:val="24"/>
        </w:rPr>
        <w:t xml:space="preserve">can protect </w:t>
      </w:r>
      <w:r w:rsidRPr="0041465E" w:rsidR="00A5491B">
        <w:rPr>
          <w:rFonts w:ascii="Times New Roman" w:hAnsi="Times New Roman" w:cs="Times New Roman"/>
          <w:sz w:val="24"/>
          <w:szCs w:val="24"/>
        </w:rPr>
        <w:t xml:space="preserve">the most vulnerable Dayton Area </w:t>
      </w:r>
      <w:r w:rsidRPr="0041465E" w:rsidR="00B829AC">
        <w:rPr>
          <w:rFonts w:ascii="Times New Roman" w:hAnsi="Times New Roman" w:cs="Times New Roman"/>
          <w:sz w:val="24"/>
          <w:szCs w:val="24"/>
        </w:rPr>
        <w:t xml:space="preserve">consumers </w:t>
      </w:r>
      <w:r w:rsidRPr="0041465E" w:rsidR="00A2307A">
        <w:rPr>
          <w:rFonts w:ascii="Times New Roman" w:hAnsi="Times New Roman" w:cs="Times New Roman"/>
          <w:sz w:val="24"/>
          <w:szCs w:val="24"/>
        </w:rPr>
        <w:t xml:space="preserve">by </w:t>
      </w:r>
      <w:r w:rsidRPr="0041465E" w:rsidR="00B829AC">
        <w:rPr>
          <w:rFonts w:ascii="Times New Roman" w:hAnsi="Times New Roman" w:cs="Times New Roman"/>
          <w:sz w:val="24"/>
          <w:szCs w:val="24"/>
        </w:rPr>
        <w:t xml:space="preserve">granting rehearing and </w:t>
      </w:r>
      <w:r w:rsidRPr="0041465E">
        <w:rPr>
          <w:rFonts w:ascii="Times New Roman" w:hAnsi="Times New Roman" w:cs="Times New Roman"/>
          <w:sz w:val="24"/>
          <w:szCs w:val="24"/>
        </w:rPr>
        <w:t xml:space="preserve">rejecting or modifying the </w:t>
      </w:r>
      <w:r w:rsidRPr="0041465E" w:rsidR="00350036">
        <w:rPr>
          <w:rFonts w:ascii="Times New Roman" w:hAnsi="Times New Roman" w:cs="Times New Roman"/>
          <w:sz w:val="24"/>
          <w:szCs w:val="24"/>
        </w:rPr>
        <w:t>Finding and Order</w:t>
      </w:r>
      <w:r w:rsidRPr="0041465E" w:rsidR="00A2307A">
        <w:rPr>
          <w:rFonts w:ascii="Times New Roman" w:hAnsi="Times New Roman" w:cs="Times New Roman"/>
          <w:sz w:val="24"/>
          <w:szCs w:val="24"/>
        </w:rPr>
        <w:t xml:space="preserve"> in this case</w:t>
      </w:r>
      <w:r w:rsidRPr="0041465E" w:rsidR="00A5491B">
        <w:rPr>
          <w:rFonts w:ascii="Times New Roman" w:hAnsi="Times New Roman" w:cs="Times New Roman"/>
          <w:sz w:val="24"/>
          <w:szCs w:val="24"/>
        </w:rPr>
        <w:t xml:space="preserve">. By law, </w:t>
      </w:r>
      <w:r w:rsidRPr="0041465E" w:rsidR="00374AF9">
        <w:rPr>
          <w:rFonts w:ascii="Times New Roman" w:hAnsi="Times New Roman" w:cs="Times New Roman"/>
          <w:sz w:val="24"/>
          <w:szCs w:val="24"/>
        </w:rPr>
        <w:t>electricity</w:t>
      </w:r>
      <w:r w:rsidRPr="0041465E" w:rsidR="00A5491B">
        <w:rPr>
          <w:rFonts w:ascii="Times New Roman" w:hAnsi="Times New Roman" w:cs="Times New Roman"/>
          <w:sz w:val="24"/>
          <w:szCs w:val="24"/>
        </w:rPr>
        <w:t xml:space="preserve"> costs </w:t>
      </w:r>
      <w:r w:rsidRPr="0041465E" w:rsidR="00527CB3">
        <w:rPr>
          <w:rFonts w:ascii="Times New Roman" w:hAnsi="Times New Roman" w:cs="Times New Roman"/>
          <w:sz w:val="24"/>
          <w:szCs w:val="24"/>
        </w:rPr>
        <w:t xml:space="preserve">for PIPP consumers </w:t>
      </w:r>
      <w:r w:rsidRPr="0041465E" w:rsidR="00A5491B">
        <w:rPr>
          <w:rFonts w:ascii="Times New Roman" w:hAnsi="Times New Roman" w:cs="Times New Roman"/>
          <w:sz w:val="24"/>
          <w:szCs w:val="24"/>
        </w:rPr>
        <w:t xml:space="preserve">should not </w:t>
      </w:r>
      <w:r w:rsidRPr="0041465E" w:rsidR="007804A9">
        <w:rPr>
          <w:rFonts w:ascii="Times New Roman" w:hAnsi="Times New Roman" w:cs="Times New Roman"/>
          <w:sz w:val="24"/>
          <w:szCs w:val="24"/>
        </w:rPr>
        <w:t xml:space="preserve">exceed the </w:t>
      </w:r>
      <w:r w:rsidRPr="0041465E" w:rsidR="00A5491B">
        <w:rPr>
          <w:rFonts w:ascii="Times New Roman" w:hAnsi="Times New Roman" w:cs="Times New Roman"/>
          <w:sz w:val="24"/>
          <w:szCs w:val="24"/>
        </w:rPr>
        <w:t xml:space="preserve">cost of the </w:t>
      </w:r>
      <w:r w:rsidRPr="0041465E" w:rsidR="007804A9">
        <w:rPr>
          <w:rFonts w:ascii="Times New Roman" w:hAnsi="Times New Roman" w:cs="Times New Roman"/>
          <w:sz w:val="24"/>
          <w:szCs w:val="24"/>
        </w:rPr>
        <w:t>standard service offer</w:t>
      </w:r>
      <w:r w:rsidRPr="0041465E">
        <w:rPr>
          <w:rFonts w:ascii="Times New Roman" w:hAnsi="Times New Roman" w:cs="Times New Roman"/>
          <w:sz w:val="24"/>
          <w:szCs w:val="24"/>
        </w:rPr>
        <w:t xml:space="preserve">. </w:t>
      </w:r>
      <w:r w:rsidRPr="0041465E" w:rsidR="003B0DD5">
        <w:rPr>
          <w:rFonts w:ascii="Times New Roman" w:hAnsi="Times New Roman" w:cs="Times New Roman"/>
          <w:sz w:val="24"/>
          <w:szCs w:val="24"/>
        </w:rPr>
        <w:t>Requiring DP&amp;L to procure generation for PIPP consumers a</w:t>
      </w:r>
      <w:r w:rsidRPr="0041465E" w:rsidR="00A5491B">
        <w:rPr>
          <w:rFonts w:ascii="Times New Roman" w:hAnsi="Times New Roman" w:cs="Times New Roman"/>
          <w:sz w:val="24"/>
          <w:szCs w:val="24"/>
        </w:rPr>
        <w:t xml:space="preserve">s part of the </w:t>
      </w:r>
      <w:r w:rsidRPr="0041465E" w:rsidR="003B0DD5">
        <w:rPr>
          <w:rFonts w:ascii="Times New Roman" w:hAnsi="Times New Roman" w:cs="Times New Roman"/>
          <w:sz w:val="24"/>
          <w:szCs w:val="24"/>
        </w:rPr>
        <w:t xml:space="preserve">SSO </w:t>
      </w:r>
      <w:r w:rsidRPr="0041465E" w:rsidR="00A5491B">
        <w:rPr>
          <w:rFonts w:ascii="Times New Roman" w:hAnsi="Times New Roman" w:cs="Times New Roman"/>
          <w:sz w:val="24"/>
          <w:szCs w:val="24"/>
        </w:rPr>
        <w:t xml:space="preserve">auction </w:t>
      </w:r>
      <w:r w:rsidRPr="0041465E" w:rsidR="003B0DD5">
        <w:rPr>
          <w:rFonts w:ascii="Times New Roman" w:hAnsi="Times New Roman" w:cs="Times New Roman"/>
          <w:sz w:val="24"/>
          <w:szCs w:val="24"/>
        </w:rPr>
        <w:t>would ensure this outcome.</w:t>
      </w:r>
      <w:r w:rsidRPr="0041465E" w:rsidR="003F3941">
        <w:rPr>
          <w:rFonts w:ascii="Times New Roman" w:hAnsi="Times New Roman" w:cs="Times New Roman"/>
          <w:sz w:val="24"/>
          <w:szCs w:val="24"/>
        </w:rPr>
        <w:t xml:space="preserve"> </w:t>
      </w:r>
    </w:p>
    <w:p w:rsidR="00183714" w:rsidRPr="0041465E" w14:paraId="15FD3F9A" w14:textId="77777777">
      <w:pPr>
        <w:rPr>
          <w:rFonts w:ascii="Times New Roman" w:hAnsi="Times New Roman" w:cs="Times New Roman"/>
          <w:sz w:val="24"/>
          <w:szCs w:val="24"/>
        </w:rPr>
      </w:pPr>
      <w:r w:rsidRPr="0041465E">
        <w:rPr>
          <w:rFonts w:ascii="Times New Roman" w:hAnsi="Times New Roman" w:cs="Times New Roman"/>
          <w:sz w:val="24"/>
          <w:szCs w:val="24"/>
        </w:rPr>
        <w:br w:type="page"/>
      </w:r>
    </w:p>
    <w:p w:rsidR="00383C68" w:rsidRPr="0041465E" w:rsidP="00383C68" w14:paraId="5F1CD905" w14:textId="702D5405">
      <w:pPr>
        <w:widowControl w:val="0"/>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Respectfully submitted,</w:t>
      </w:r>
    </w:p>
    <w:p w:rsidR="00383C68" w:rsidRPr="0041465E" w:rsidP="00383C68" w14:paraId="70BE6AFB" w14:textId="77777777">
      <w:pPr>
        <w:widowControl w:val="0"/>
        <w:spacing w:after="0" w:line="240" w:lineRule="auto"/>
        <w:ind w:left="3600"/>
        <w:rPr>
          <w:rFonts w:ascii="Times New Roman" w:hAnsi="Times New Roman" w:cs="Times New Roman"/>
          <w:sz w:val="24"/>
          <w:szCs w:val="24"/>
        </w:rPr>
      </w:pPr>
    </w:p>
    <w:p w:rsidR="00383C68" w:rsidRPr="0041465E" w:rsidP="00383C68" w14:paraId="541B1B0A" w14:textId="77777777">
      <w:pPr>
        <w:pStyle w:val="Footer"/>
        <w:ind w:left="3600"/>
        <w:rPr>
          <w:rFonts w:ascii="Times New Roman" w:hAnsi="Times New Roman" w:cs="Times New Roman"/>
          <w:sz w:val="24"/>
          <w:szCs w:val="24"/>
        </w:rPr>
      </w:pPr>
      <w:r w:rsidRPr="0041465E">
        <w:rPr>
          <w:rFonts w:ascii="Times New Roman" w:hAnsi="Times New Roman" w:cs="Times New Roman"/>
          <w:sz w:val="24"/>
          <w:szCs w:val="24"/>
        </w:rPr>
        <w:t>Bruce Weston (0016973)</w:t>
      </w:r>
    </w:p>
    <w:p w:rsidR="00383C68" w:rsidRPr="0041465E" w:rsidP="00383C68" w14:paraId="2EE93237" w14:textId="77777777">
      <w:pPr>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Ohio Consumers’ Counsel</w:t>
      </w:r>
    </w:p>
    <w:p w:rsidR="00383C68" w:rsidRPr="0041465E" w:rsidP="00383C68" w14:paraId="43382AD1" w14:textId="77777777">
      <w:pPr>
        <w:tabs>
          <w:tab w:val="left" w:pos="4320"/>
        </w:tabs>
        <w:spacing w:after="0" w:line="240" w:lineRule="auto"/>
        <w:ind w:left="3600"/>
        <w:rPr>
          <w:rFonts w:ascii="Times New Roman" w:hAnsi="Times New Roman" w:cs="Times New Roman"/>
          <w:i/>
          <w:sz w:val="24"/>
          <w:szCs w:val="24"/>
          <w:u w:val="single"/>
        </w:rPr>
      </w:pPr>
    </w:p>
    <w:p w:rsidR="00383C68" w:rsidRPr="0041465E" w:rsidP="00383C68" w14:paraId="5CCF6EAA" w14:textId="77777777">
      <w:pPr>
        <w:spacing w:after="0" w:line="240" w:lineRule="auto"/>
        <w:ind w:left="3600"/>
        <w:rPr>
          <w:rFonts w:ascii="Times New Roman" w:hAnsi="Times New Roman" w:cs="Times New Roman"/>
          <w:bCs/>
          <w:i/>
          <w:iCs/>
          <w:sz w:val="24"/>
          <w:szCs w:val="24"/>
          <w:u w:val="single"/>
        </w:rPr>
      </w:pPr>
      <w:r w:rsidRPr="0041465E">
        <w:rPr>
          <w:rFonts w:ascii="Times New Roman" w:hAnsi="Times New Roman" w:cs="Times New Roman"/>
          <w:bCs/>
          <w:i/>
          <w:iCs/>
          <w:sz w:val="24"/>
          <w:szCs w:val="24"/>
          <w:u w:val="single"/>
        </w:rPr>
        <w:t>/s/ William J. Michael</w:t>
      </w:r>
    </w:p>
    <w:p w:rsidR="00383C68" w:rsidRPr="0041465E" w:rsidP="00383C68" w14:paraId="1CD54853" w14:textId="77777777">
      <w:pPr>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William J. Michael (0070921)</w:t>
      </w:r>
    </w:p>
    <w:p w:rsidR="00383C68" w:rsidRPr="0041465E" w:rsidP="00383C68" w14:paraId="3D446674" w14:textId="77777777">
      <w:pPr>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Counsel of Record</w:t>
      </w:r>
    </w:p>
    <w:p w:rsidR="00383C68" w:rsidRPr="0041465E" w:rsidP="00383C68" w14:paraId="041B42DE" w14:textId="77777777">
      <w:pPr>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Assistant Consumers’ Counsel</w:t>
      </w:r>
    </w:p>
    <w:p w:rsidR="00383C68" w:rsidRPr="0041465E" w:rsidP="00383C68" w14:paraId="24E0E025" w14:textId="77777777">
      <w:pPr>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ab/>
      </w:r>
    </w:p>
    <w:p w:rsidR="00383C68" w:rsidRPr="0041465E" w:rsidP="00383C68" w14:paraId="6203A655" w14:textId="77777777">
      <w:pPr>
        <w:spacing w:after="0" w:line="240" w:lineRule="auto"/>
        <w:ind w:left="3600"/>
        <w:rPr>
          <w:rFonts w:ascii="Times New Roman" w:hAnsi="Times New Roman" w:cs="Times New Roman"/>
          <w:b/>
          <w:bCs/>
          <w:sz w:val="24"/>
          <w:szCs w:val="24"/>
        </w:rPr>
      </w:pPr>
      <w:r w:rsidRPr="0041465E">
        <w:rPr>
          <w:rFonts w:ascii="Times New Roman" w:hAnsi="Times New Roman" w:cs="Times New Roman"/>
          <w:b/>
          <w:bCs/>
          <w:sz w:val="24"/>
          <w:szCs w:val="24"/>
        </w:rPr>
        <w:t>Office of the Ohio Consumers’ Counsel</w:t>
      </w:r>
    </w:p>
    <w:p w:rsidR="00383C68" w:rsidRPr="0041465E" w:rsidP="00383C68" w14:paraId="4111023D" w14:textId="77777777">
      <w:pPr>
        <w:spacing w:after="0" w:line="240" w:lineRule="auto"/>
        <w:ind w:left="3600"/>
        <w:rPr>
          <w:rFonts w:ascii="Times New Roman" w:hAnsi="Times New Roman" w:cs="Times New Roman"/>
          <w:b/>
          <w:sz w:val="24"/>
          <w:szCs w:val="24"/>
        </w:rPr>
      </w:pPr>
      <w:r w:rsidRPr="0041465E">
        <w:rPr>
          <w:rFonts w:ascii="Times New Roman" w:hAnsi="Times New Roman" w:cs="Times New Roman"/>
          <w:sz w:val="24"/>
          <w:szCs w:val="24"/>
        </w:rPr>
        <w:t>65 East State Street, Suite 700</w:t>
      </w:r>
    </w:p>
    <w:p w:rsidR="00383C68" w:rsidRPr="0041465E" w:rsidP="00383C68" w14:paraId="448FC590" w14:textId="77777777">
      <w:pPr>
        <w:spacing w:after="0" w:line="240" w:lineRule="auto"/>
        <w:ind w:left="3600"/>
        <w:rPr>
          <w:rFonts w:ascii="Times New Roman" w:hAnsi="Times New Roman" w:cs="Times New Roman"/>
          <w:b/>
          <w:sz w:val="24"/>
          <w:szCs w:val="24"/>
        </w:rPr>
      </w:pPr>
      <w:r w:rsidRPr="0041465E">
        <w:rPr>
          <w:rFonts w:ascii="Times New Roman" w:hAnsi="Times New Roman" w:cs="Times New Roman"/>
          <w:sz w:val="24"/>
          <w:szCs w:val="24"/>
        </w:rPr>
        <w:t>Columbus, Ohio 43215</w:t>
      </w:r>
    </w:p>
    <w:p w:rsidR="00383C68" w:rsidRPr="0041465E" w:rsidP="00383C68" w14:paraId="5A9AF243" w14:textId="77777777">
      <w:pPr>
        <w:autoSpaceDE w:val="0"/>
        <w:autoSpaceDN w:val="0"/>
        <w:adjustRightInd w:val="0"/>
        <w:spacing w:after="0" w:line="240" w:lineRule="auto"/>
        <w:ind w:left="3600"/>
        <w:rPr>
          <w:rFonts w:ascii="Times New Roman" w:hAnsi="Times New Roman" w:cs="Times New Roman"/>
          <w:sz w:val="24"/>
          <w:szCs w:val="24"/>
        </w:rPr>
      </w:pPr>
      <w:r w:rsidRPr="0041465E">
        <w:rPr>
          <w:rFonts w:ascii="Times New Roman" w:hAnsi="Times New Roman" w:cs="Times New Roman"/>
          <w:sz w:val="24"/>
          <w:szCs w:val="24"/>
        </w:rPr>
        <w:t>Telephone [Michael]: (614) 466-1291</w:t>
      </w:r>
    </w:p>
    <w:p w:rsidR="00383C68" w:rsidRPr="0041465E" w:rsidP="00383C68" w14:paraId="054CE316" w14:textId="77777777">
      <w:pPr>
        <w:autoSpaceDE w:val="0"/>
        <w:autoSpaceDN w:val="0"/>
        <w:adjustRightInd w:val="0"/>
        <w:spacing w:after="0" w:line="240" w:lineRule="auto"/>
        <w:ind w:left="3600"/>
        <w:rPr>
          <w:rStyle w:val="Hyperlink"/>
          <w:rFonts w:ascii="Times New Roman" w:hAnsi="Times New Roman" w:cs="Times New Roman"/>
          <w:color w:val="0000FF"/>
          <w:sz w:val="24"/>
          <w:szCs w:val="24"/>
        </w:rPr>
      </w:pPr>
      <w:hyperlink r:id="rId6" w:history="1">
        <w:r w:rsidRPr="0041465E">
          <w:rPr>
            <w:rStyle w:val="Hyperlink"/>
            <w:rFonts w:ascii="Times New Roman" w:hAnsi="Times New Roman" w:cs="Times New Roman"/>
            <w:color w:val="0000FF"/>
            <w:sz w:val="24"/>
            <w:szCs w:val="24"/>
          </w:rPr>
          <w:t>william.michael@occ.ohio.gov</w:t>
        </w:r>
      </w:hyperlink>
    </w:p>
    <w:p w:rsidR="001A21E5" w:rsidRPr="0041465E" w:rsidP="00383C68" w14:paraId="71B0884C" w14:textId="16DF37CD">
      <w:pPr>
        <w:kinsoku w:val="0"/>
        <w:overflowPunct w:val="0"/>
        <w:autoSpaceDE w:val="0"/>
        <w:autoSpaceDN w:val="0"/>
        <w:adjustRightInd w:val="0"/>
        <w:spacing w:after="0" w:line="480" w:lineRule="auto"/>
        <w:ind w:left="2880" w:firstLine="720"/>
        <w:rPr>
          <w:rFonts w:ascii="Times New Roman" w:hAnsi="Times New Roman" w:cs="Times New Roman"/>
          <w:sz w:val="24"/>
          <w:szCs w:val="24"/>
        </w:rPr>
      </w:pPr>
      <w:r w:rsidRPr="0041465E">
        <w:rPr>
          <w:rFonts w:ascii="Times New Roman" w:hAnsi="Times New Roman" w:cs="Times New Roman"/>
          <w:sz w:val="24"/>
          <w:szCs w:val="24"/>
        </w:rPr>
        <w:t>(willing to accept service by e-mail)</w:t>
      </w:r>
    </w:p>
    <w:p w:rsidR="001A21E5" w:rsidRPr="0041465E" w14:paraId="0C6C752E" w14:textId="77777777">
      <w:pPr>
        <w:rPr>
          <w:rFonts w:ascii="Times New Roman" w:hAnsi="Times New Roman" w:cs="Times New Roman"/>
          <w:sz w:val="24"/>
          <w:szCs w:val="24"/>
        </w:rPr>
      </w:pPr>
      <w:r w:rsidRPr="0041465E">
        <w:rPr>
          <w:rFonts w:ascii="Times New Roman" w:hAnsi="Times New Roman" w:cs="Times New Roman"/>
          <w:sz w:val="24"/>
          <w:szCs w:val="24"/>
        </w:rPr>
        <w:br w:type="page"/>
      </w:r>
    </w:p>
    <w:p w:rsidR="00527CB3" w:rsidRPr="0041465E" w:rsidP="00B071C4" w14:paraId="738E1EC6" w14:textId="4390E2B2">
      <w:pPr>
        <w:spacing w:after="0" w:line="240" w:lineRule="auto"/>
        <w:jc w:val="center"/>
        <w:rPr>
          <w:rFonts w:ascii="Times New Roman" w:hAnsi="Times New Roman" w:cs="Times New Roman"/>
          <w:b/>
          <w:bCs/>
          <w:sz w:val="24"/>
          <w:szCs w:val="24"/>
          <w:u w:val="single"/>
        </w:rPr>
      </w:pPr>
      <w:r w:rsidRPr="0041465E">
        <w:rPr>
          <w:rFonts w:ascii="Times New Roman" w:hAnsi="Times New Roman" w:cs="Times New Roman"/>
          <w:b/>
          <w:bCs/>
          <w:sz w:val="24"/>
          <w:szCs w:val="24"/>
          <w:u w:val="single"/>
        </w:rPr>
        <w:t>CERTIFICATE OF SERVICE</w:t>
      </w:r>
    </w:p>
    <w:p w:rsidR="00527CB3" w:rsidRPr="0041465E" w:rsidP="0094463E" w14:paraId="5404A011" w14:textId="150763EA">
      <w:pPr>
        <w:spacing w:line="480" w:lineRule="atLeast"/>
        <w:rPr>
          <w:rFonts w:ascii="Times New Roman" w:hAnsi="Times New Roman" w:cs="Times New Roman"/>
          <w:sz w:val="24"/>
          <w:szCs w:val="24"/>
        </w:rPr>
      </w:pPr>
      <w:r w:rsidRPr="0041465E">
        <w:rPr>
          <w:rFonts w:ascii="Times New Roman" w:hAnsi="Times New Roman" w:cs="Times New Roman"/>
          <w:sz w:val="24"/>
          <w:szCs w:val="24"/>
        </w:rPr>
        <w:tab/>
        <w:t xml:space="preserve">I hereby certify that a copy of this </w:t>
      </w:r>
      <w:r w:rsidRPr="0041465E">
        <w:rPr>
          <w:rFonts w:ascii="Times New Roman" w:hAnsi="Times New Roman" w:cs="Times New Roman"/>
          <w:iCs/>
          <w:sz w:val="24"/>
          <w:szCs w:val="24"/>
        </w:rPr>
        <w:t>Application for Rehearing</w:t>
      </w:r>
      <w:r w:rsidRPr="0041465E">
        <w:rPr>
          <w:rFonts w:ascii="Times New Roman" w:hAnsi="Times New Roman" w:cs="Times New Roman"/>
          <w:sz w:val="24"/>
          <w:szCs w:val="24"/>
        </w:rPr>
        <w:t xml:space="preserve"> was served on the persons stated below</w:t>
      </w:r>
      <w:r w:rsidRPr="0041465E">
        <w:rPr>
          <w:rFonts w:ascii="Times New Roman" w:hAnsi="Times New Roman" w:cs="Times New Roman"/>
          <w:iCs/>
          <w:sz w:val="24"/>
          <w:szCs w:val="24"/>
        </w:rPr>
        <w:t xml:space="preserve"> via </w:t>
      </w:r>
      <w:r w:rsidRPr="0041465E">
        <w:rPr>
          <w:rFonts w:ascii="Times New Roman" w:hAnsi="Times New Roman" w:cs="Times New Roman"/>
          <w:sz w:val="24"/>
          <w:szCs w:val="24"/>
        </w:rPr>
        <w:t xml:space="preserve">electronic transmission, this </w:t>
      </w:r>
      <w:r w:rsidRPr="0041465E" w:rsidR="0094463E">
        <w:rPr>
          <w:rFonts w:ascii="Times New Roman" w:hAnsi="Times New Roman" w:cs="Times New Roman"/>
          <w:sz w:val="24"/>
          <w:szCs w:val="24"/>
        </w:rPr>
        <w:t>21</w:t>
      </w:r>
      <w:r w:rsidRPr="0041465E" w:rsidR="0094463E">
        <w:rPr>
          <w:rFonts w:ascii="Times New Roman" w:hAnsi="Times New Roman" w:cs="Times New Roman"/>
          <w:sz w:val="24"/>
          <w:szCs w:val="24"/>
          <w:vertAlign w:val="superscript"/>
        </w:rPr>
        <w:t>st</w:t>
      </w:r>
      <w:r w:rsidRPr="0041465E" w:rsidR="0094463E">
        <w:rPr>
          <w:rFonts w:ascii="Times New Roman" w:hAnsi="Times New Roman" w:cs="Times New Roman"/>
          <w:sz w:val="24"/>
          <w:szCs w:val="24"/>
        </w:rPr>
        <w:t xml:space="preserve"> </w:t>
      </w:r>
      <w:r w:rsidRPr="0041465E">
        <w:rPr>
          <w:rFonts w:ascii="Times New Roman" w:hAnsi="Times New Roman" w:cs="Times New Roman"/>
          <w:sz w:val="24"/>
          <w:szCs w:val="24"/>
        </w:rPr>
        <w:t xml:space="preserve">day of </w:t>
      </w:r>
      <w:r w:rsidRPr="0041465E" w:rsidR="00D156A0">
        <w:rPr>
          <w:rFonts w:ascii="Times New Roman" w:hAnsi="Times New Roman" w:cs="Times New Roman"/>
          <w:sz w:val="24"/>
          <w:szCs w:val="24"/>
        </w:rPr>
        <w:t>October</w:t>
      </w:r>
      <w:r w:rsidRPr="0041465E">
        <w:rPr>
          <w:rFonts w:ascii="Times New Roman" w:hAnsi="Times New Roman" w:cs="Times New Roman"/>
          <w:sz w:val="24"/>
          <w:szCs w:val="24"/>
        </w:rPr>
        <w:t xml:space="preserve"> 2022.</w:t>
      </w:r>
    </w:p>
    <w:p w:rsidR="00527CB3" w:rsidRPr="0041465E" w:rsidP="00527CB3" w14:paraId="507DA09D" w14:textId="77777777">
      <w:pPr>
        <w:tabs>
          <w:tab w:val="left" w:pos="4320"/>
        </w:tabs>
        <w:spacing w:after="0" w:line="240" w:lineRule="auto"/>
        <w:rPr>
          <w:rFonts w:ascii="Times New Roman" w:hAnsi="Times New Roman" w:cs="Times New Roman"/>
          <w:i/>
          <w:iCs/>
          <w:sz w:val="24"/>
          <w:szCs w:val="24"/>
          <w:u w:val="single"/>
        </w:rPr>
      </w:pPr>
      <w:r w:rsidRPr="0041465E">
        <w:rPr>
          <w:rFonts w:ascii="Times New Roman" w:hAnsi="Times New Roman" w:cs="Times New Roman"/>
          <w:sz w:val="24"/>
          <w:szCs w:val="24"/>
        </w:rPr>
        <w:tab/>
      </w:r>
      <w:r w:rsidRPr="0041465E">
        <w:rPr>
          <w:rFonts w:ascii="Times New Roman" w:hAnsi="Times New Roman" w:cs="Times New Roman"/>
          <w:i/>
          <w:iCs/>
          <w:sz w:val="24"/>
          <w:szCs w:val="24"/>
          <w:u w:val="single"/>
        </w:rPr>
        <w:t>/s/ William J. Michael</w:t>
      </w:r>
      <w:r w:rsidRPr="0041465E">
        <w:rPr>
          <w:rFonts w:ascii="Times New Roman" w:hAnsi="Times New Roman" w:cs="Times New Roman"/>
          <w:i/>
          <w:iCs/>
          <w:sz w:val="24"/>
          <w:szCs w:val="24"/>
          <w:u w:val="single"/>
        </w:rPr>
        <w:tab/>
      </w:r>
      <w:r w:rsidRPr="0041465E">
        <w:rPr>
          <w:rFonts w:ascii="Times New Roman" w:hAnsi="Times New Roman" w:cs="Times New Roman"/>
          <w:i/>
          <w:iCs/>
          <w:sz w:val="24"/>
          <w:szCs w:val="24"/>
          <w:u w:val="single"/>
        </w:rPr>
        <w:tab/>
      </w:r>
    </w:p>
    <w:p w:rsidR="00527CB3" w:rsidRPr="0041465E" w:rsidP="00527CB3" w14:paraId="7E878B36" w14:textId="77777777">
      <w:pPr>
        <w:tabs>
          <w:tab w:val="left" w:pos="4320"/>
        </w:tabs>
        <w:spacing w:after="0" w:line="240" w:lineRule="auto"/>
        <w:rPr>
          <w:rFonts w:ascii="Times New Roman" w:hAnsi="Times New Roman" w:cs="Times New Roman"/>
          <w:sz w:val="24"/>
          <w:szCs w:val="24"/>
        </w:rPr>
      </w:pPr>
      <w:r w:rsidRPr="0041465E">
        <w:rPr>
          <w:rFonts w:ascii="Times New Roman" w:hAnsi="Times New Roman" w:cs="Times New Roman"/>
          <w:sz w:val="24"/>
          <w:szCs w:val="24"/>
        </w:rPr>
        <w:tab/>
        <w:t>William J. Michael</w:t>
      </w:r>
    </w:p>
    <w:p w:rsidR="00527CB3" w:rsidRPr="0041465E" w:rsidP="0094463E" w14:paraId="317331A9" w14:textId="653C03D0">
      <w:pPr>
        <w:tabs>
          <w:tab w:val="left" w:pos="4320"/>
        </w:tabs>
        <w:spacing w:after="0" w:line="240" w:lineRule="auto"/>
        <w:rPr>
          <w:rFonts w:ascii="Times New Roman" w:hAnsi="Times New Roman" w:cs="Times New Roman"/>
          <w:sz w:val="24"/>
          <w:szCs w:val="24"/>
        </w:rPr>
      </w:pPr>
      <w:r w:rsidRPr="0041465E">
        <w:rPr>
          <w:rFonts w:ascii="Times New Roman" w:hAnsi="Times New Roman" w:cs="Times New Roman"/>
          <w:sz w:val="24"/>
          <w:szCs w:val="24"/>
        </w:rPr>
        <w:tab/>
        <w:t>Assistant Consumers’ Counsel</w:t>
      </w:r>
    </w:p>
    <w:p w:rsidR="0094463E" w:rsidRPr="0041465E" w:rsidP="0094463E" w14:paraId="4A6B3727" w14:textId="77777777">
      <w:pPr>
        <w:tabs>
          <w:tab w:val="left" w:pos="4320"/>
        </w:tabs>
        <w:spacing w:after="0" w:line="240" w:lineRule="auto"/>
        <w:rPr>
          <w:rFonts w:ascii="Times New Roman" w:hAnsi="Times New Roman" w:cs="Times New Roman"/>
          <w:sz w:val="24"/>
          <w:szCs w:val="24"/>
        </w:rPr>
      </w:pPr>
    </w:p>
    <w:p w:rsidR="00527CB3" w:rsidRPr="0041465E" w:rsidP="0094463E" w14:paraId="1082BE7F" w14:textId="0E2F9EED">
      <w:pPr>
        <w:rPr>
          <w:rFonts w:ascii="Times New Roman" w:hAnsi="Times New Roman" w:cs="Times New Roman"/>
          <w:sz w:val="24"/>
          <w:szCs w:val="24"/>
        </w:rPr>
      </w:pPr>
      <w:r w:rsidRPr="0041465E">
        <w:rPr>
          <w:rFonts w:ascii="Times New Roman" w:hAnsi="Times New Roman" w:cs="Times New Roman"/>
          <w:sz w:val="24"/>
          <w:szCs w:val="24"/>
        </w:rPr>
        <w:t>The PUCO’s e-filing system will electronically serve notice of the filing of this document on the following parties:</w:t>
      </w:r>
    </w:p>
    <w:p w:rsidR="00527CB3" w:rsidRPr="0041465E" w:rsidP="00527CB3" w14:paraId="02D2D579" w14:textId="77777777">
      <w:pPr>
        <w:pStyle w:val="CommentText"/>
        <w:spacing w:after="0"/>
        <w:jc w:val="center"/>
        <w:rPr>
          <w:rFonts w:ascii="Times New Roman" w:hAnsi="Times New Roman" w:cs="Times New Roman"/>
          <w:b/>
          <w:sz w:val="24"/>
          <w:szCs w:val="24"/>
          <w:u w:val="single"/>
        </w:rPr>
      </w:pPr>
      <w:bookmarkStart w:id="7" w:name="_Hlk89680211"/>
      <w:r w:rsidRPr="0041465E">
        <w:rPr>
          <w:rFonts w:ascii="Times New Roman" w:hAnsi="Times New Roman" w:cs="Times New Roman"/>
          <w:b/>
          <w:sz w:val="24"/>
          <w:szCs w:val="24"/>
          <w:u w:val="single"/>
        </w:rPr>
        <w:t>SERVICE LIST</w:t>
      </w:r>
    </w:p>
    <w:p w:rsidR="00527CB3" w:rsidRPr="0041465E" w:rsidP="00527CB3" w14:paraId="6D54336F" w14:textId="77777777">
      <w:pPr>
        <w:pStyle w:val="CommentText"/>
        <w:spacing w:after="0"/>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00F7C7F3" w14:textId="77777777" w:rsidTr="00B20EE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bookmarkEnd w:id="7"/>
          <w:p w:rsidR="00E36C8F" w:rsidRPr="0041465E" w:rsidP="00E36C8F" w14:paraId="2BB14DD0" w14:textId="77777777">
            <w:pPr>
              <w:rPr>
                <w:sz w:val="24"/>
                <w:szCs w:val="24"/>
              </w:rPr>
            </w:pPr>
            <w:hyperlink r:id="rId8" w:history="1">
              <w:r w:rsidRPr="0041465E">
                <w:rPr>
                  <w:color w:val="0000FF"/>
                  <w:sz w:val="24"/>
                  <w:szCs w:val="24"/>
                  <w:u w:val="single"/>
                </w:rPr>
                <w:t>thomas.lindgren@ohioAGO.gov</w:t>
              </w:r>
            </w:hyperlink>
          </w:p>
          <w:p w:rsidR="00E36C8F" w:rsidRPr="0041465E" w:rsidP="00E36C8F" w14:paraId="4C0301D9" w14:textId="77777777">
            <w:pPr>
              <w:rPr>
                <w:bCs/>
                <w:color w:val="0000FF"/>
                <w:sz w:val="24"/>
                <w:szCs w:val="24"/>
                <w:u w:val="single"/>
              </w:rPr>
            </w:pPr>
            <w:hyperlink r:id="rId9" w:history="1">
              <w:r w:rsidRPr="0041465E">
                <w:rPr>
                  <w:bCs/>
                  <w:color w:val="0000FF"/>
                  <w:sz w:val="24"/>
                  <w:szCs w:val="24"/>
                  <w:u w:val="single"/>
                </w:rPr>
                <w:t>whitt@whitt-sturtevant.com</w:t>
              </w:r>
            </w:hyperlink>
          </w:p>
          <w:p w:rsidR="00E36C8F" w:rsidRPr="0041465E" w:rsidP="00E36C8F" w14:paraId="2A6AC124" w14:textId="77777777">
            <w:pPr>
              <w:rPr>
                <w:bCs/>
                <w:sz w:val="24"/>
                <w:szCs w:val="24"/>
              </w:rPr>
            </w:pPr>
            <w:hyperlink r:id="rId10" w:history="1">
              <w:r w:rsidRPr="0041465E">
                <w:rPr>
                  <w:bCs/>
                  <w:color w:val="0000FF"/>
                  <w:sz w:val="24"/>
                  <w:szCs w:val="24"/>
                  <w:u w:val="single"/>
                </w:rPr>
                <w:t>glpetrucci@vorys.com</w:t>
              </w:r>
            </w:hyperlink>
          </w:p>
          <w:p w:rsidR="00E36C8F" w:rsidRPr="0041465E" w:rsidP="00E36C8F" w14:paraId="5C805DB7" w14:textId="77777777">
            <w:pPr>
              <w:rPr>
                <w:bCs/>
                <w:sz w:val="24"/>
                <w:szCs w:val="24"/>
              </w:rPr>
            </w:pPr>
            <w:hyperlink r:id="rId11" w:history="1">
              <w:r w:rsidRPr="0041465E">
                <w:rPr>
                  <w:bCs/>
                  <w:color w:val="0000FF"/>
                  <w:sz w:val="24"/>
                  <w:szCs w:val="24"/>
                  <w:u w:val="single"/>
                </w:rPr>
                <w:t>christopher.hollon@aes.com</w:t>
              </w:r>
            </w:hyperlink>
          </w:p>
          <w:p w:rsidR="00E36C8F" w:rsidRPr="0041465E" w:rsidP="00E36C8F" w14:paraId="439814F0" w14:textId="77777777">
            <w:pPr>
              <w:rPr>
                <w:bCs/>
                <w:color w:val="0000FF"/>
                <w:sz w:val="24"/>
                <w:szCs w:val="24"/>
                <w:u w:val="single"/>
              </w:rPr>
            </w:pPr>
            <w:hyperlink r:id="rId12" w:history="1">
              <w:r w:rsidRPr="0041465E">
                <w:rPr>
                  <w:bCs/>
                  <w:color w:val="0000FF"/>
                  <w:sz w:val="24"/>
                  <w:szCs w:val="24"/>
                  <w:u w:val="single"/>
                </w:rPr>
                <w:t>mpritchard@mcneeslaw.com</w:t>
              </w:r>
            </w:hyperlink>
          </w:p>
          <w:p w:rsidR="00E36C8F" w:rsidRPr="0041465E" w:rsidP="00E36C8F" w14:paraId="3C6824C3" w14:textId="77777777">
            <w:pPr>
              <w:rPr>
                <w:bCs/>
                <w:sz w:val="24"/>
                <w:szCs w:val="24"/>
                <w:u w:val="single"/>
              </w:rPr>
            </w:pPr>
          </w:p>
          <w:p w:rsidR="00E36C8F" w:rsidRPr="0041465E" w:rsidP="00E36C8F" w14:paraId="0257240F" w14:textId="77777777">
            <w:pPr>
              <w:rPr>
                <w:bCs/>
                <w:sz w:val="24"/>
                <w:szCs w:val="24"/>
              </w:rPr>
            </w:pPr>
            <w:r w:rsidRPr="0041465E">
              <w:rPr>
                <w:bCs/>
                <w:sz w:val="24"/>
                <w:szCs w:val="24"/>
              </w:rPr>
              <w:t>Attorney Examiners:</w:t>
            </w:r>
          </w:p>
          <w:p w:rsidR="00E36C8F" w:rsidRPr="0041465E" w:rsidP="00E36C8F" w14:paraId="640F1768" w14:textId="77777777">
            <w:pPr>
              <w:rPr>
                <w:rFonts w:eastAsia="Calibri"/>
                <w:color w:val="0000FF"/>
                <w:sz w:val="24"/>
                <w:szCs w:val="24"/>
                <w:u w:val="single"/>
              </w:rPr>
            </w:pPr>
            <w:hyperlink r:id="rId13" w:history="1">
              <w:r w:rsidRPr="0041465E">
                <w:rPr>
                  <w:color w:val="0000FF"/>
                  <w:sz w:val="24"/>
                  <w:szCs w:val="24"/>
                  <w:u w:val="single"/>
                </w:rPr>
                <w:t>m</w:t>
              </w:r>
              <w:r w:rsidRPr="0041465E">
                <w:rPr>
                  <w:rFonts w:eastAsia="Calibri"/>
                  <w:color w:val="0000FF"/>
                  <w:sz w:val="24"/>
                  <w:szCs w:val="24"/>
                  <w:u w:val="single"/>
                </w:rPr>
                <w:t>atthew.sandor@puco.ohio.gov</w:t>
              </w:r>
            </w:hyperlink>
          </w:p>
          <w:p w:rsidR="00E36C8F" w:rsidRPr="0041465E" w:rsidP="00E36C8F" w14:paraId="3201E752" w14:textId="77777777">
            <w:pPr>
              <w:rPr>
                <w:sz w:val="24"/>
                <w:szCs w:val="24"/>
              </w:rPr>
            </w:pPr>
            <w:hyperlink r:id="rId14" w:history="1">
              <w:r w:rsidRPr="0041465E">
                <w:rPr>
                  <w:color w:val="0000FF"/>
                  <w:sz w:val="24"/>
                  <w:szCs w:val="24"/>
                  <w:u w:val="single"/>
                </w:rPr>
                <w:t>patricia.schabo@puco.ohio.gov</w:t>
              </w:r>
            </w:hyperlink>
          </w:p>
          <w:p w:rsidR="00E36C8F" w:rsidRPr="0041465E" w:rsidP="00E36C8F" w14:paraId="0E140CE8" w14:textId="77777777">
            <w:pPr>
              <w:rPr>
                <w:rFonts w:eastAsia="Calibri"/>
                <w:bCs/>
                <w:sz w:val="24"/>
                <w:szCs w:val="24"/>
              </w:rPr>
            </w:pPr>
            <w:r w:rsidRPr="0041465E">
              <w:rPr>
                <w:rFonts w:eastAsia="Calibri"/>
                <w:bCs/>
                <w:color w:val="0000FF"/>
                <w:sz w:val="24"/>
                <w:szCs w:val="24"/>
                <w:u w:val="single"/>
              </w:rPr>
              <w:t>michael.williams@puco.ohio.gov</w:t>
            </w:r>
          </w:p>
          <w:p w:rsidR="00E36C8F" w:rsidRPr="0041465E" w:rsidP="00E36C8F" w14:paraId="323FEB23" w14:textId="77777777">
            <w:pPr>
              <w:rPr>
                <w:bCs/>
                <w:sz w:val="24"/>
                <w:szCs w:val="24"/>
                <w:u w:val="single"/>
              </w:rPr>
            </w:pPr>
          </w:p>
          <w:p w:rsidR="00E36C8F" w:rsidRPr="0041465E" w:rsidP="00E36C8F" w14:paraId="592C62CC" w14:textId="77777777">
            <w:pPr>
              <w:rPr>
                <w:bCs/>
                <w:sz w:val="24"/>
                <w:szCs w:val="24"/>
                <w:u w:val="single"/>
              </w:rPr>
            </w:pPr>
          </w:p>
          <w:p w:rsidR="00E36C8F" w:rsidRPr="0041465E" w:rsidP="00E36C8F" w14:paraId="16D71815" w14:textId="77777777">
            <w:pPr>
              <w:rPr>
                <w:bCs/>
                <w:sz w:val="24"/>
                <w:szCs w:val="24"/>
                <w:u w:val="single"/>
              </w:rPr>
            </w:pPr>
          </w:p>
          <w:p w:rsidR="00E36C8F" w:rsidRPr="0041465E" w:rsidP="00E36C8F" w14:paraId="54C3ADA7" w14:textId="77777777">
            <w:pPr>
              <w:rPr>
                <w:bCs/>
                <w:sz w:val="24"/>
                <w:szCs w:val="24"/>
                <w:u w:val="single"/>
              </w:rPr>
            </w:pPr>
          </w:p>
        </w:tc>
        <w:tc>
          <w:tcPr>
            <w:tcW w:w="4315" w:type="dxa"/>
          </w:tcPr>
          <w:p w:rsidR="00E36C8F" w:rsidRPr="0041465E" w:rsidP="00E36C8F" w14:paraId="71E9B934" w14:textId="77777777">
            <w:pPr>
              <w:rPr>
                <w:sz w:val="24"/>
                <w:szCs w:val="24"/>
              </w:rPr>
            </w:pPr>
            <w:hyperlink r:id="rId15" w:history="1">
              <w:r w:rsidRPr="0041465E">
                <w:rPr>
                  <w:color w:val="0000FF"/>
                  <w:sz w:val="24"/>
                  <w:szCs w:val="24"/>
                  <w:u w:val="single"/>
                </w:rPr>
                <w:t>rocco.dascenzo@duke-energy.com</w:t>
              </w:r>
            </w:hyperlink>
          </w:p>
          <w:p w:rsidR="00E36C8F" w:rsidRPr="0041465E" w:rsidP="00E36C8F" w14:paraId="2E73026B" w14:textId="77777777">
            <w:pPr>
              <w:rPr>
                <w:sz w:val="24"/>
                <w:szCs w:val="24"/>
              </w:rPr>
            </w:pPr>
            <w:hyperlink r:id="rId16" w:history="1">
              <w:r w:rsidRPr="0041465E">
                <w:rPr>
                  <w:color w:val="0000FF"/>
                  <w:sz w:val="24"/>
                  <w:szCs w:val="24"/>
                  <w:u w:val="single"/>
                </w:rPr>
                <w:t>jeanne.kingery@duke-energy.com</w:t>
              </w:r>
            </w:hyperlink>
          </w:p>
          <w:p w:rsidR="00E36C8F" w:rsidRPr="0041465E" w:rsidP="00E36C8F" w14:paraId="0D308689" w14:textId="77777777">
            <w:pPr>
              <w:rPr>
                <w:sz w:val="24"/>
                <w:szCs w:val="24"/>
              </w:rPr>
            </w:pPr>
            <w:hyperlink r:id="rId17" w:history="1">
              <w:r w:rsidRPr="0041465E">
                <w:rPr>
                  <w:color w:val="0000FF"/>
                  <w:sz w:val="24"/>
                  <w:szCs w:val="24"/>
                  <w:u w:val="single"/>
                </w:rPr>
                <w:t>larisa.vaysman@duke-energy.com</w:t>
              </w:r>
            </w:hyperlink>
          </w:p>
          <w:p w:rsidR="00E36C8F" w:rsidRPr="0041465E" w:rsidP="00E36C8F" w14:paraId="19A5EA12" w14:textId="77777777">
            <w:pPr>
              <w:rPr>
                <w:sz w:val="24"/>
                <w:szCs w:val="24"/>
              </w:rPr>
            </w:pPr>
            <w:hyperlink r:id="rId18" w:history="1">
              <w:r w:rsidRPr="0041465E">
                <w:rPr>
                  <w:color w:val="0000FF"/>
                  <w:sz w:val="24"/>
                  <w:szCs w:val="24"/>
                  <w:u w:val="single"/>
                </w:rPr>
                <w:t>joe.oliker@igs.com</w:t>
              </w:r>
            </w:hyperlink>
          </w:p>
          <w:p w:rsidR="00E36C8F" w:rsidRPr="0041465E" w:rsidP="00E36C8F" w14:paraId="0D118624" w14:textId="77777777">
            <w:pPr>
              <w:rPr>
                <w:sz w:val="24"/>
                <w:szCs w:val="24"/>
              </w:rPr>
            </w:pPr>
            <w:hyperlink r:id="rId19" w:history="1">
              <w:r w:rsidRPr="0041465E">
                <w:rPr>
                  <w:color w:val="0000FF"/>
                  <w:sz w:val="24"/>
                  <w:szCs w:val="24"/>
                  <w:u w:val="single"/>
                </w:rPr>
                <w:t>michael.nugent@igs.com</w:t>
              </w:r>
            </w:hyperlink>
          </w:p>
          <w:p w:rsidR="00E36C8F" w:rsidRPr="0041465E" w:rsidP="00E36C8F" w14:paraId="7453BF22" w14:textId="77777777">
            <w:pPr>
              <w:rPr>
                <w:color w:val="0000FF"/>
                <w:sz w:val="24"/>
                <w:szCs w:val="24"/>
                <w:u w:val="single"/>
              </w:rPr>
            </w:pPr>
            <w:r w:rsidRPr="0041465E">
              <w:rPr>
                <w:color w:val="0000FF"/>
                <w:sz w:val="24"/>
                <w:szCs w:val="24"/>
                <w:u w:val="single"/>
              </w:rPr>
              <w:t>bethany.allen@igs.com</w:t>
            </w:r>
          </w:p>
          <w:p w:rsidR="00E36C8F" w:rsidRPr="0041465E" w:rsidP="00E36C8F" w14:paraId="4BD87410" w14:textId="77777777">
            <w:pPr>
              <w:rPr>
                <w:color w:val="0000FF"/>
                <w:sz w:val="24"/>
                <w:szCs w:val="24"/>
                <w:u w:val="single"/>
              </w:rPr>
            </w:pPr>
            <w:hyperlink r:id="rId20" w:history="1">
              <w:r w:rsidRPr="0041465E">
                <w:rPr>
                  <w:color w:val="0000FF"/>
                  <w:sz w:val="24"/>
                  <w:szCs w:val="24"/>
                  <w:u w:val="single"/>
                </w:rPr>
                <w:t>talexander@beneschlaw.com</w:t>
              </w:r>
            </w:hyperlink>
          </w:p>
          <w:p w:rsidR="00E36C8F" w:rsidRPr="0041465E" w:rsidP="00E36C8F" w14:paraId="49E95544" w14:textId="77777777">
            <w:pPr>
              <w:rPr>
                <w:color w:val="0000FF"/>
                <w:sz w:val="24"/>
                <w:szCs w:val="24"/>
                <w:u w:val="single"/>
              </w:rPr>
            </w:pPr>
            <w:hyperlink r:id="rId21" w:history="1">
              <w:r w:rsidRPr="0041465E">
                <w:rPr>
                  <w:color w:val="0000FF"/>
                  <w:sz w:val="24"/>
                  <w:szCs w:val="24"/>
                  <w:u w:val="single"/>
                </w:rPr>
                <w:t>slesser@beneschlaw.com</w:t>
              </w:r>
            </w:hyperlink>
          </w:p>
          <w:p w:rsidR="00E36C8F" w:rsidRPr="0041465E" w:rsidP="00E36C8F" w14:paraId="1778E82C" w14:textId="77777777">
            <w:pPr>
              <w:rPr>
                <w:color w:val="0000FF"/>
                <w:sz w:val="24"/>
                <w:szCs w:val="24"/>
                <w:u w:val="single"/>
              </w:rPr>
            </w:pPr>
            <w:hyperlink r:id="rId22" w:history="1">
              <w:r w:rsidRPr="0041465E">
                <w:rPr>
                  <w:color w:val="0000FF"/>
                  <w:sz w:val="24"/>
                  <w:szCs w:val="24"/>
                  <w:u w:val="single"/>
                </w:rPr>
                <w:t>mkeaney@beneschlaw.com</w:t>
              </w:r>
            </w:hyperlink>
          </w:p>
          <w:p w:rsidR="00E36C8F" w:rsidRPr="0041465E" w:rsidP="00E36C8F" w14:paraId="146FAAFE" w14:textId="77777777">
            <w:pPr>
              <w:rPr>
                <w:color w:val="0000FF"/>
                <w:sz w:val="24"/>
                <w:szCs w:val="24"/>
                <w:u w:val="single"/>
              </w:rPr>
            </w:pPr>
            <w:r w:rsidRPr="0041465E">
              <w:rPr>
                <w:color w:val="0000FF"/>
                <w:sz w:val="24"/>
                <w:szCs w:val="24"/>
                <w:u w:val="single"/>
              </w:rPr>
              <w:t>khehmeyer@beneschlaw.com</w:t>
            </w:r>
          </w:p>
          <w:p w:rsidR="00E36C8F" w:rsidRPr="0041465E" w:rsidP="00E36C8F" w14:paraId="1AFF7EEF" w14:textId="77777777">
            <w:pPr>
              <w:rPr>
                <w:color w:val="0000FF"/>
                <w:sz w:val="24"/>
                <w:szCs w:val="24"/>
                <w:u w:val="single"/>
              </w:rPr>
            </w:pPr>
            <w:hyperlink r:id="rId23" w:history="1">
              <w:r w:rsidRPr="0041465E">
                <w:rPr>
                  <w:color w:val="0000FF"/>
                  <w:sz w:val="24"/>
                  <w:szCs w:val="24"/>
                  <w:u w:val="single"/>
                </w:rPr>
                <w:t>rendris@firstenergycorp.com</w:t>
              </w:r>
            </w:hyperlink>
          </w:p>
          <w:p w:rsidR="00E36C8F" w:rsidRPr="0041465E" w:rsidP="00E36C8F" w14:paraId="56B55430" w14:textId="77777777">
            <w:pPr>
              <w:autoSpaceDE w:val="0"/>
              <w:autoSpaceDN w:val="0"/>
              <w:adjustRightInd w:val="0"/>
              <w:rPr>
                <w:color w:val="0000FF"/>
                <w:sz w:val="24"/>
                <w:szCs w:val="24"/>
              </w:rPr>
            </w:pPr>
            <w:hyperlink r:id="rId24" w:history="1">
              <w:r w:rsidRPr="0041465E">
                <w:rPr>
                  <w:color w:val="0000FF"/>
                  <w:sz w:val="24"/>
                  <w:szCs w:val="24"/>
                  <w:u w:val="single"/>
                </w:rPr>
                <w:t>mkurtz@BKLlawfirm.com</w:t>
              </w:r>
            </w:hyperlink>
          </w:p>
          <w:p w:rsidR="00E36C8F" w:rsidRPr="0041465E" w:rsidP="00E36C8F" w14:paraId="056BAC94" w14:textId="77777777">
            <w:pPr>
              <w:autoSpaceDE w:val="0"/>
              <w:autoSpaceDN w:val="0"/>
              <w:adjustRightInd w:val="0"/>
              <w:rPr>
                <w:color w:val="0000FF"/>
                <w:sz w:val="24"/>
                <w:szCs w:val="24"/>
              </w:rPr>
            </w:pPr>
            <w:hyperlink r:id="rId25" w:history="1">
              <w:r w:rsidRPr="0041465E">
                <w:rPr>
                  <w:color w:val="0000FF"/>
                  <w:sz w:val="24"/>
                  <w:szCs w:val="24"/>
                  <w:u w:val="single"/>
                </w:rPr>
                <w:t>kboehm@BKLlawfirm.com</w:t>
              </w:r>
            </w:hyperlink>
          </w:p>
          <w:p w:rsidR="00E36C8F" w:rsidRPr="0041465E" w:rsidP="00E36C8F" w14:paraId="0EC855E7" w14:textId="77777777">
            <w:pPr>
              <w:rPr>
                <w:color w:val="0000FF"/>
                <w:sz w:val="24"/>
                <w:szCs w:val="24"/>
              </w:rPr>
            </w:pPr>
            <w:hyperlink r:id="rId26" w:history="1">
              <w:r w:rsidRPr="0041465E">
                <w:rPr>
                  <w:color w:val="0000FF"/>
                  <w:sz w:val="24"/>
                  <w:szCs w:val="24"/>
                  <w:u w:val="single"/>
                </w:rPr>
                <w:t>jkylercohn@BKLlawfirm.com</w:t>
              </w:r>
            </w:hyperlink>
          </w:p>
          <w:p w:rsidR="00E36C8F" w:rsidRPr="0041465E" w:rsidP="00E36C8F" w14:paraId="369431DF" w14:textId="77777777">
            <w:pPr>
              <w:rPr>
                <w:color w:val="0000FF"/>
                <w:sz w:val="24"/>
                <w:szCs w:val="24"/>
              </w:rPr>
            </w:pPr>
            <w:hyperlink r:id="rId27" w:history="1">
              <w:r w:rsidRPr="0041465E">
                <w:rPr>
                  <w:color w:val="0000FF"/>
                  <w:sz w:val="24"/>
                  <w:szCs w:val="24"/>
                  <w:u w:val="single"/>
                </w:rPr>
                <w:t>stnourse@aep.com</w:t>
              </w:r>
            </w:hyperlink>
          </w:p>
          <w:p w:rsidR="00E36C8F" w:rsidRPr="0041465E" w:rsidP="00E36C8F" w14:paraId="6E49FF44" w14:textId="77777777">
            <w:pPr>
              <w:rPr>
                <w:color w:val="0563C2"/>
                <w:sz w:val="24"/>
                <w:szCs w:val="24"/>
              </w:rPr>
            </w:pPr>
          </w:p>
          <w:p w:rsidR="00E36C8F" w:rsidRPr="0041465E" w:rsidP="00E36C8F" w14:paraId="27D2C9F1" w14:textId="77777777">
            <w:pPr>
              <w:rPr>
                <w:bCs/>
                <w:sz w:val="24"/>
                <w:szCs w:val="24"/>
              </w:rPr>
            </w:pPr>
          </w:p>
          <w:p w:rsidR="00E36C8F" w:rsidRPr="0041465E" w:rsidP="00E36C8F" w14:paraId="5C99EE4D" w14:textId="77777777">
            <w:pPr>
              <w:rPr>
                <w:bCs/>
                <w:sz w:val="24"/>
                <w:szCs w:val="24"/>
              </w:rPr>
            </w:pPr>
          </w:p>
          <w:p w:rsidR="00E36C8F" w:rsidRPr="0041465E" w:rsidP="00E36C8F" w14:paraId="1857F251" w14:textId="77777777">
            <w:pPr>
              <w:rPr>
                <w:bCs/>
                <w:color w:val="0000FF"/>
                <w:sz w:val="24"/>
                <w:szCs w:val="24"/>
                <w:u w:val="single"/>
              </w:rPr>
            </w:pPr>
          </w:p>
        </w:tc>
      </w:tr>
    </w:tbl>
    <w:p w:rsidR="00D713F9" w:rsidRPr="0041465E" w:rsidP="00B071C4" w14:paraId="0A9E69BC" w14:textId="77777777">
      <w:pPr>
        <w:pStyle w:val="CommentText"/>
        <w:spacing w:after="0"/>
        <w:rPr>
          <w:rFonts w:ascii="Times New Roman" w:hAnsi="Times New Roman" w:cs="Times New Roman"/>
          <w:b/>
          <w:sz w:val="24"/>
          <w:szCs w:val="24"/>
          <w:u w:val="single"/>
        </w:rPr>
      </w:pPr>
    </w:p>
    <w:sectPr w:rsidSect="00193EA8">
      <w:headerReference w:type="default" r:id="rId28"/>
      <w:footerReference w:type="default" r:id="rId29"/>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0242749"/>
      <w:docPartObj>
        <w:docPartGallery w:val="Page Numbers (Bottom of Page)"/>
        <w:docPartUnique/>
      </w:docPartObj>
    </w:sdtPr>
    <w:sdtEndPr>
      <w:rPr>
        <w:rFonts w:ascii="Times New Roman" w:hAnsi="Times New Roman" w:cs="Times New Roman"/>
        <w:noProof/>
        <w:sz w:val="24"/>
        <w:szCs w:val="24"/>
      </w:rPr>
    </w:sdtEndPr>
    <w:sdtContent>
      <w:p w:rsidR="00AC1A13" w:rsidRPr="00AC1A13" w14:paraId="53B2B05B" w14:textId="3846EED9">
        <w:pPr>
          <w:pStyle w:val="Footer"/>
          <w:jc w:val="center"/>
          <w:rPr>
            <w:rFonts w:ascii="Times New Roman" w:hAnsi="Times New Roman" w:cs="Times New Roman"/>
            <w:sz w:val="24"/>
            <w:szCs w:val="24"/>
          </w:rPr>
        </w:pPr>
        <w:r w:rsidRPr="00AC1A13">
          <w:rPr>
            <w:rFonts w:ascii="Times New Roman" w:hAnsi="Times New Roman" w:cs="Times New Roman"/>
            <w:sz w:val="24"/>
            <w:szCs w:val="24"/>
          </w:rPr>
          <w:fldChar w:fldCharType="begin"/>
        </w:r>
        <w:r w:rsidRPr="00AC1A13">
          <w:rPr>
            <w:rFonts w:ascii="Times New Roman" w:hAnsi="Times New Roman" w:cs="Times New Roman"/>
            <w:sz w:val="24"/>
            <w:szCs w:val="24"/>
          </w:rPr>
          <w:instrText xml:space="preserve"> PAGE   \* MERGEFORMAT </w:instrText>
        </w:r>
        <w:r w:rsidRPr="00AC1A13">
          <w:rPr>
            <w:rFonts w:ascii="Times New Roman" w:hAnsi="Times New Roman" w:cs="Times New Roman"/>
            <w:sz w:val="24"/>
            <w:szCs w:val="24"/>
          </w:rPr>
          <w:fldChar w:fldCharType="separate"/>
        </w:r>
        <w:r w:rsidRPr="00AC1A13">
          <w:rPr>
            <w:rFonts w:ascii="Times New Roman" w:hAnsi="Times New Roman" w:cs="Times New Roman"/>
            <w:noProof/>
            <w:sz w:val="24"/>
            <w:szCs w:val="24"/>
          </w:rPr>
          <w:t>2</w:t>
        </w:r>
        <w:r w:rsidRPr="00AC1A1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1790065"/>
      <w:docPartObj>
        <w:docPartGallery w:val="Page Numbers (Bottom of Page)"/>
        <w:docPartUnique/>
      </w:docPartObj>
    </w:sdtPr>
    <w:sdtEndPr>
      <w:rPr>
        <w:rFonts w:ascii="Times New Roman" w:hAnsi="Times New Roman" w:cs="Times New Roman"/>
        <w:noProof/>
        <w:sz w:val="24"/>
        <w:szCs w:val="24"/>
      </w:rPr>
    </w:sdtEndPr>
    <w:sdtContent>
      <w:p w:rsidR="00193EA8" w:rsidRPr="00AC1A13" w14:paraId="41302D35" w14:textId="77777777">
        <w:pPr>
          <w:pStyle w:val="Footer"/>
          <w:jc w:val="center"/>
          <w:rPr>
            <w:rFonts w:ascii="Times New Roman" w:hAnsi="Times New Roman" w:cs="Times New Roman"/>
            <w:sz w:val="24"/>
            <w:szCs w:val="24"/>
          </w:rPr>
        </w:pPr>
        <w:r w:rsidRPr="00AC1A13">
          <w:rPr>
            <w:rFonts w:ascii="Times New Roman" w:hAnsi="Times New Roman" w:cs="Times New Roman"/>
            <w:sz w:val="24"/>
            <w:szCs w:val="24"/>
          </w:rPr>
          <w:fldChar w:fldCharType="begin"/>
        </w:r>
        <w:r w:rsidRPr="00AC1A13">
          <w:rPr>
            <w:rFonts w:ascii="Times New Roman" w:hAnsi="Times New Roman" w:cs="Times New Roman"/>
            <w:sz w:val="24"/>
            <w:szCs w:val="24"/>
          </w:rPr>
          <w:instrText xml:space="preserve"> PAGE   \* MERGEFORMAT </w:instrText>
        </w:r>
        <w:r w:rsidRPr="00AC1A13">
          <w:rPr>
            <w:rFonts w:ascii="Times New Roman" w:hAnsi="Times New Roman" w:cs="Times New Roman"/>
            <w:sz w:val="24"/>
            <w:szCs w:val="24"/>
          </w:rPr>
          <w:fldChar w:fldCharType="separate"/>
        </w:r>
        <w:r w:rsidRPr="00AC1A13">
          <w:rPr>
            <w:rFonts w:ascii="Times New Roman" w:hAnsi="Times New Roman" w:cs="Times New Roman"/>
            <w:noProof/>
            <w:sz w:val="24"/>
            <w:szCs w:val="24"/>
          </w:rPr>
          <w:t>2</w:t>
        </w:r>
        <w:r w:rsidRPr="00AC1A1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0C6F" w:rsidRPr="00B32B7E" w:rsidP="00B32B7E" w14:paraId="22A42B83" w14:textId="77777777">
      <w:pPr>
        <w:pStyle w:val="Footer"/>
      </w:pPr>
      <w:r>
        <w:separator/>
      </w:r>
    </w:p>
  </w:footnote>
  <w:footnote w:type="continuationSeparator" w:id="1">
    <w:p w:rsidR="00990C6F" w:rsidRPr="00B32B7E" w:rsidP="00B32B7E" w14:paraId="40304968" w14:textId="77777777">
      <w:pPr>
        <w:pStyle w:val="Footer"/>
      </w:pPr>
      <w:r>
        <w:continuationSeparator/>
      </w:r>
    </w:p>
  </w:footnote>
  <w:footnote w:type="continuationNotice" w:id="2">
    <w:p w:rsidR="00990C6F" w14:paraId="2DF27E42" w14:textId="77777777">
      <w:pPr>
        <w:spacing w:after="0" w:line="240" w:lineRule="auto"/>
      </w:pPr>
    </w:p>
  </w:footnote>
  <w:footnote w:id="3">
    <w:p w:rsidR="00FE747D" w:rsidRPr="003F3941" w:rsidP="0041465E" w14:paraId="26A1933E" w14:textId="77777777">
      <w:pPr>
        <w:pStyle w:val="FootnoteText"/>
        <w:widowControl w:val="0"/>
        <w:spacing w:after="120"/>
        <w:rPr>
          <w:rFonts w:cs="Times New Roman"/>
        </w:rPr>
      </w:pPr>
      <w:r w:rsidRPr="003F3941">
        <w:rPr>
          <w:rStyle w:val="FootnoteReference"/>
          <w:rFonts w:cs="Times New Roman"/>
        </w:rPr>
        <w:footnoteRef/>
      </w:r>
      <w:r w:rsidRPr="003F3941">
        <w:rPr>
          <w:rFonts w:cs="Times New Roman"/>
        </w:rPr>
        <w:t xml:space="preserve"> Finding and Order (September 21, 2022).</w:t>
      </w:r>
    </w:p>
  </w:footnote>
  <w:footnote w:id="4">
    <w:p w:rsidR="00953921" w:rsidRPr="003F3941" w:rsidP="0041465E" w14:paraId="3A7C1383" w14:textId="05374971">
      <w:pPr>
        <w:pStyle w:val="FootnoteText"/>
        <w:spacing w:after="120"/>
        <w:rPr>
          <w:rFonts w:cs="Times New Roman"/>
        </w:rPr>
      </w:pPr>
      <w:r w:rsidRPr="003F3941">
        <w:rPr>
          <w:rStyle w:val="FootnoteReference"/>
          <w:rFonts w:cs="Times New Roman"/>
        </w:rPr>
        <w:footnoteRef/>
      </w:r>
      <w:r w:rsidRPr="003F3941">
        <w:rPr>
          <w:rFonts w:cs="Times New Roman"/>
        </w:rPr>
        <w:t xml:space="preserve"> d/b/a AES Ohio.</w:t>
      </w:r>
    </w:p>
  </w:footnote>
  <w:footnote w:id="5">
    <w:p w:rsidR="001D6D72" w:rsidRPr="001D6D72" w:rsidP="0041465E" w14:paraId="0CFC0C11" w14:textId="3D00A42C">
      <w:pPr>
        <w:pStyle w:val="FootnoteText"/>
        <w:spacing w:after="120"/>
      </w:pPr>
      <w:r>
        <w:rPr>
          <w:rStyle w:val="FootnoteReference"/>
        </w:rPr>
        <w:footnoteRef/>
      </w:r>
      <w:r>
        <w:t xml:space="preserve"> </w:t>
      </w:r>
      <w:r>
        <w:rPr>
          <w:i/>
          <w:iCs/>
        </w:rPr>
        <w:t xml:space="preserve">In the Matter of the </w:t>
      </w:r>
      <w:r w:rsidR="0041465E">
        <w:rPr>
          <w:i/>
          <w:iCs/>
        </w:rPr>
        <w:t>Application</w:t>
      </w:r>
      <w:r>
        <w:rPr>
          <w:i/>
          <w:iCs/>
        </w:rPr>
        <w:t xml:space="preserve"> of the Ohio Department of Development for an Order Approving Adjustments to the Universal Service Fund Riders of Jurisdictional Ohio Electric Distribution Utilities</w:t>
      </w:r>
      <w:r>
        <w:t xml:space="preserve">, Case No. 22-556-EL-USF, OCC’s Post-Hearing Brief (September 12, 2022) at 10. </w:t>
      </w:r>
    </w:p>
  </w:footnote>
  <w:footnote w:id="6">
    <w:p w:rsidR="00240ACF" w:rsidRPr="003F3941" w:rsidP="0041465E" w14:paraId="2F323335" w14:textId="2A371952">
      <w:pPr>
        <w:pStyle w:val="FootnoteText"/>
        <w:spacing w:after="120"/>
        <w:rPr>
          <w:rFonts w:cs="Times New Roman"/>
        </w:rPr>
      </w:pPr>
      <w:r w:rsidRPr="003F3941">
        <w:rPr>
          <w:rStyle w:val="FootnoteReference"/>
          <w:rFonts w:cs="Times New Roman"/>
        </w:rPr>
        <w:footnoteRef/>
      </w:r>
      <w:r w:rsidRPr="003F3941">
        <w:rPr>
          <w:rFonts w:cs="Times New Roman"/>
        </w:rPr>
        <w:t xml:space="preserve"> </w:t>
      </w:r>
      <w:r w:rsidRPr="003F3941">
        <w:rPr>
          <w:rFonts w:cs="Times New Roman"/>
          <w:i/>
          <w:iCs/>
        </w:rPr>
        <w:t>See</w:t>
      </w:r>
      <w:r w:rsidRPr="003F3941">
        <w:rPr>
          <w:rFonts w:cs="Times New Roman"/>
        </w:rPr>
        <w:t xml:space="preserve"> </w:t>
      </w:r>
      <w:r w:rsidRPr="003F3941">
        <w:rPr>
          <w:rFonts w:cs="Times New Roman"/>
          <w:i/>
          <w:iCs/>
        </w:rPr>
        <w:t>In the Matter of the Procurement of Standard Service Offer Generation for Customers of the Dayton Power and Light Company</w:t>
      </w:r>
      <w:r w:rsidRPr="003F3941">
        <w:rPr>
          <w:rFonts w:cs="Times New Roman"/>
        </w:rPr>
        <w:t>, Case No. 17-957-EL-UNC (September 21, 2022).</w:t>
      </w:r>
    </w:p>
  </w:footnote>
  <w:footnote w:id="7">
    <w:p w:rsidR="006371E5" w:rsidRPr="003F3941" w:rsidP="0041465E" w14:paraId="7DCB25DA" w14:textId="2A46879C">
      <w:pPr>
        <w:pStyle w:val="FootnoteText"/>
        <w:spacing w:after="120"/>
        <w:rPr>
          <w:rFonts w:cs="Times New Roman"/>
          <w:i/>
          <w:iCs/>
        </w:rPr>
      </w:pPr>
      <w:r w:rsidRPr="003F3941">
        <w:rPr>
          <w:rStyle w:val="FootnoteReference"/>
          <w:rFonts w:cs="Times New Roman"/>
        </w:rPr>
        <w:footnoteRef/>
      </w:r>
      <w:r w:rsidRPr="003F3941">
        <w:rPr>
          <w:rFonts w:cs="Times New Roman"/>
        </w:rPr>
        <w:t xml:space="preserve"> </w:t>
      </w:r>
      <w:r w:rsidRPr="003F3941">
        <w:rPr>
          <w:rFonts w:cs="Times New Roman"/>
          <w:i/>
          <w:iCs/>
        </w:rPr>
        <w:t>Id.</w:t>
      </w:r>
    </w:p>
  </w:footnote>
  <w:footnote w:id="8">
    <w:p w:rsidR="00753855" w:rsidP="0041465E" w14:paraId="73DB4052" w14:textId="386D093C">
      <w:pPr>
        <w:pStyle w:val="FootnoteText"/>
        <w:spacing w:after="120"/>
      </w:pPr>
      <w:r>
        <w:rPr>
          <w:rStyle w:val="FootnoteReference"/>
        </w:rPr>
        <w:footnoteRef/>
      </w:r>
      <w:r w:rsidR="0041465E">
        <w:t xml:space="preserve"> </w:t>
      </w:r>
      <w:r w:rsidRPr="0041465E" w:rsidR="005D4872">
        <w:rPr>
          <w:rStyle w:val="ssit"/>
          <w:rFonts w:cs="Times New Roman"/>
          <w:i/>
          <w:iCs/>
          <w:bdr w:val="none" w:sz="0" w:space="0" w:color="auto" w:frame="1"/>
          <w:shd w:val="clear" w:color="auto" w:fill="FFFFFF"/>
        </w:rPr>
        <w:t>Discount Cellular, Inc. v. Pub. Util. Comm.</w:t>
      </w:r>
      <w:r w:rsidRPr="0041465E" w:rsidR="005D4872">
        <w:rPr>
          <w:rFonts w:cs="Times New Roman"/>
          <w:bdr w:val="none" w:sz="0" w:space="0" w:color="auto" w:frame="1"/>
          <w:shd w:val="clear" w:color="auto" w:fill="FFFFFF"/>
        </w:rPr>
        <w:t>, 112 Ohio St.3d 360, 2007-Ohio-53, 859 N.E.2d 957, ¶ 51</w:t>
      </w:r>
      <w:r w:rsidR="005D4872">
        <w:rPr>
          <w:rFonts w:cs="Times New Roman"/>
        </w:rPr>
        <w:t>.</w:t>
      </w:r>
    </w:p>
  </w:footnote>
  <w:footnote w:id="9">
    <w:p w:rsidR="00D437CA" w:rsidRPr="003F3941" w:rsidP="0041465E" w14:paraId="31725B47" w14:textId="77777777">
      <w:pPr>
        <w:pStyle w:val="FootnoteText"/>
        <w:spacing w:after="120"/>
        <w:rPr>
          <w:rFonts w:cs="Times New Roman"/>
        </w:rPr>
      </w:pPr>
      <w:r w:rsidRPr="003F3941">
        <w:rPr>
          <w:rStyle w:val="FootnoteReference"/>
          <w:rFonts w:cs="Times New Roman"/>
        </w:rPr>
        <w:footnoteRef/>
      </w:r>
      <w:r w:rsidRPr="003F3941">
        <w:rPr>
          <w:rFonts w:cs="Times New Roman"/>
        </w:rPr>
        <w:t xml:space="preserve"> </w:t>
      </w:r>
      <w:r w:rsidRPr="003F3941">
        <w:rPr>
          <w:rFonts w:cs="Times New Roman"/>
          <w:i/>
          <w:iCs/>
        </w:rPr>
        <w:t>In the Matter of the Application of the Ohio Development Services Agency for an Order Approving Adjustments to the Universal Service Fund Riders of Jurisdictional Ohio Electric Distribution Utilities</w:t>
      </w:r>
      <w:r w:rsidRPr="003F3941">
        <w:rPr>
          <w:rFonts w:cs="Times New Roman"/>
        </w:rPr>
        <w:t>, Case No. 15-1046-EL-USF, Opinion and Order (October 28, 2015) at 20.</w:t>
      </w:r>
    </w:p>
  </w:footnote>
  <w:footnote w:id="10">
    <w:p w:rsidR="00D437CA" w:rsidRPr="003F3941" w:rsidP="0041465E" w14:paraId="0B248BE3" w14:textId="77777777">
      <w:pPr>
        <w:pStyle w:val="FootnoteText"/>
        <w:spacing w:after="120"/>
        <w:rPr>
          <w:rFonts w:cs="Times New Roman"/>
        </w:rPr>
      </w:pPr>
      <w:r w:rsidRPr="003F3941">
        <w:rPr>
          <w:rStyle w:val="FootnoteReference"/>
          <w:rFonts w:cs="Times New Roman"/>
        </w:rPr>
        <w:footnoteRef/>
      </w:r>
      <w:r w:rsidRPr="003F3941">
        <w:rPr>
          <w:rFonts w:cs="Times New Roman"/>
        </w:rPr>
        <w:t xml:space="preserve"> </w:t>
      </w:r>
      <w:r w:rsidRPr="003F3941">
        <w:rPr>
          <w:rStyle w:val="ssit"/>
          <w:rFonts w:cs="Times New Roman"/>
          <w:i/>
          <w:iCs/>
          <w:color w:val="000000" w:themeColor="text1"/>
          <w:bdr w:val="none" w:sz="0" w:space="0" w:color="auto" w:frame="1"/>
        </w:rPr>
        <w:t>Cleveland Mobile Radio Sales, Inc. v. Verizon Wireless</w:t>
      </w:r>
      <w:r w:rsidRPr="003F3941">
        <w:rPr>
          <w:rStyle w:val="ssrfcsection"/>
          <w:rFonts w:cs="Times New Roman"/>
          <w:color w:val="000000" w:themeColor="text1"/>
          <w:bdr w:val="none" w:sz="0" w:space="0" w:color="auto" w:frame="1"/>
        </w:rPr>
        <w:t>, 113 Ohio St.3d 394, 2007-Ohio-2203, 865 N.E.2d 1275, ¶ 12.</w:t>
      </w:r>
      <w:r w:rsidRPr="003F3941">
        <w:rPr>
          <w:rStyle w:val="apple-converted-space"/>
          <w:rFonts w:cs="Times New Roman"/>
          <w:color w:val="000000" w:themeColor="text1"/>
          <w:bdr w:val="none" w:sz="0" w:space="0" w:color="auto" w:frame="1"/>
        </w:rPr>
        <w:t> </w:t>
      </w:r>
    </w:p>
  </w:footnote>
  <w:footnote w:id="11">
    <w:p w:rsidR="00D437CA" w:rsidRPr="003F3941" w:rsidP="0041465E" w14:paraId="141735D2" w14:textId="77777777">
      <w:pPr>
        <w:pStyle w:val="FootnoteText"/>
        <w:spacing w:after="120"/>
        <w:rPr>
          <w:rFonts w:cs="Times New Roman"/>
        </w:rPr>
      </w:pPr>
      <w:r w:rsidRPr="003F3941">
        <w:rPr>
          <w:rStyle w:val="FootnoteReference"/>
          <w:rFonts w:cs="Times New Roman"/>
        </w:rPr>
        <w:footnoteRef/>
      </w:r>
      <w:r w:rsidRPr="003F3941">
        <w:rPr>
          <w:rFonts w:cs="Times New Roman"/>
        </w:rPr>
        <w:t xml:space="preserve"> </w:t>
      </w:r>
      <w:r w:rsidRPr="003F3941">
        <w:rPr>
          <w:rStyle w:val="ssit"/>
          <w:rFonts w:cs="Times New Roman"/>
          <w:i/>
          <w:iCs/>
          <w:color w:val="000000" w:themeColor="text1"/>
          <w:bdr w:val="none" w:sz="0" w:space="0" w:color="auto" w:frame="1"/>
        </w:rPr>
        <w:t>Id</w:t>
      </w:r>
      <w:r w:rsidRPr="003F3941">
        <w:rPr>
          <w:rStyle w:val="ssrfcpassagedeactivated"/>
          <w:rFonts w:cs="Times New Roman"/>
          <w:color w:val="000000" w:themeColor="text1"/>
          <w:bdr w:val="none" w:sz="0" w:space="0" w:color="auto" w:frame="1"/>
        </w:rPr>
        <w:t>.</w:t>
      </w:r>
      <w:r w:rsidRPr="003F3941">
        <w:rPr>
          <w:rStyle w:val="apple-converted-space"/>
          <w:rFonts w:cs="Times New Roman"/>
          <w:i/>
          <w:iCs/>
          <w:color w:val="000000" w:themeColor="text1"/>
          <w:bdr w:val="none" w:sz="0" w:space="0" w:color="auto" w:frame="1"/>
        </w:rPr>
        <w:t>; s</w:t>
      </w:r>
      <w:r w:rsidRPr="003F3941">
        <w:rPr>
          <w:rStyle w:val="ssit"/>
          <w:rFonts w:cs="Times New Roman"/>
          <w:i/>
          <w:iCs/>
          <w:color w:val="000000" w:themeColor="text1"/>
          <w:bdr w:val="none" w:sz="0" w:space="0" w:color="auto" w:frame="1"/>
        </w:rPr>
        <w:t>ee also</w:t>
      </w:r>
      <w:r w:rsidRPr="003F3941">
        <w:rPr>
          <w:rStyle w:val="apple-converted-space"/>
          <w:rFonts w:cs="Times New Roman"/>
          <w:i/>
          <w:iCs/>
          <w:color w:val="000000" w:themeColor="text1"/>
          <w:bdr w:val="none" w:sz="0" w:space="0" w:color="auto" w:frame="1"/>
        </w:rPr>
        <w:t> </w:t>
      </w:r>
      <w:r w:rsidRPr="003F3941">
        <w:rPr>
          <w:rStyle w:val="ssit"/>
          <w:rFonts w:cs="Times New Roman"/>
          <w:i/>
          <w:iCs/>
          <w:color w:val="000000" w:themeColor="text1"/>
          <w:bdr w:val="none" w:sz="0" w:space="0" w:color="auto" w:frame="1"/>
        </w:rPr>
        <w:t>Columbia Gas Transm. Corp. v. Levin</w:t>
      </w:r>
      <w:r w:rsidRPr="003F3941">
        <w:rPr>
          <w:rStyle w:val="ssrfcpassagedeactivated"/>
          <w:rFonts w:cs="Times New Roman"/>
          <w:color w:val="000000" w:themeColor="text1"/>
          <w:bdr w:val="none" w:sz="0" w:space="0" w:color="auto" w:frame="1"/>
        </w:rPr>
        <w:t>, 117 Ohio St</w:t>
      </w:r>
      <w:r>
        <w:rPr>
          <w:rStyle w:val="ssrfcpassagedeactivated"/>
          <w:rFonts w:cs="Times New Roman"/>
          <w:color w:val="000000" w:themeColor="text1"/>
          <w:bdr w:val="none" w:sz="0" w:space="0" w:color="auto" w:frame="1"/>
        </w:rPr>
        <w:t>.</w:t>
      </w:r>
      <w:r w:rsidRPr="003F3941">
        <w:rPr>
          <w:rStyle w:val="ssrfcpassagedeactivated"/>
          <w:rFonts w:cs="Times New Roman"/>
          <w:color w:val="000000" w:themeColor="text1"/>
          <w:bdr w:val="none" w:sz="0" w:space="0" w:color="auto" w:frame="1"/>
        </w:rPr>
        <w:t>3d 122, 2008-Ohio-511, 882 N.E.2d 400, ¶ 19.</w:t>
      </w:r>
    </w:p>
  </w:footnote>
  <w:footnote w:id="12">
    <w:p w:rsidR="000636B6" w:rsidRPr="003F3941" w:rsidP="0041465E" w14:paraId="3C586FA3" w14:textId="203903D9">
      <w:pPr>
        <w:pStyle w:val="NormalWeb"/>
        <w:spacing w:before="0" w:beforeAutospacing="0" w:after="120" w:afterAutospacing="0"/>
        <w:textAlignment w:val="baseline"/>
        <w:rPr>
          <w:color w:val="000000" w:themeColor="text1"/>
          <w:sz w:val="20"/>
          <w:szCs w:val="20"/>
        </w:rPr>
      </w:pPr>
      <w:r w:rsidRPr="003F3941">
        <w:rPr>
          <w:rStyle w:val="FootnoteReference"/>
          <w:color w:val="000000" w:themeColor="text1"/>
          <w:sz w:val="20"/>
          <w:szCs w:val="20"/>
        </w:rPr>
        <w:footnoteRef/>
      </w:r>
      <w:r w:rsidRPr="003F3941">
        <w:rPr>
          <w:color w:val="000000" w:themeColor="text1"/>
          <w:sz w:val="20"/>
          <w:szCs w:val="20"/>
        </w:rPr>
        <w:t xml:space="preserve"> </w:t>
      </w:r>
      <w:r w:rsidRPr="008E540C">
        <w:rPr>
          <w:i/>
          <w:iCs/>
          <w:color w:val="000000" w:themeColor="text1"/>
          <w:sz w:val="20"/>
          <w:szCs w:val="20"/>
        </w:rPr>
        <w:t>Dorrian v. Scioto Conservancy Dist</w:t>
      </w:r>
      <w:r w:rsidRPr="003F3941">
        <w:rPr>
          <w:color w:val="000000" w:themeColor="text1"/>
          <w:sz w:val="20"/>
          <w:szCs w:val="20"/>
        </w:rPr>
        <w:t>., 27 Ohio St.2d 102, 108, 271 N.E.2d 834 (1971)</w:t>
      </w:r>
      <w:r w:rsidRPr="003F3941">
        <w:rPr>
          <w:color w:val="000000" w:themeColor="text1"/>
          <w:sz w:val="20"/>
          <w:szCs w:val="20"/>
          <w:bdr w:val="none" w:sz="0" w:space="0" w:color="auto" w:frame="1"/>
        </w:rPr>
        <w:t>.</w:t>
      </w:r>
    </w:p>
  </w:footnote>
  <w:footnote w:id="13">
    <w:p w:rsidR="0025005C" w:rsidRPr="003F3941" w:rsidP="0041465E" w14:paraId="1800CDD5" w14:textId="77777777">
      <w:pPr>
        <w:pStyle w:val="FootnoteText"/>
        <w:spacing w:after="120"/>
        <w:rPr>
          <w:rFonts w:cs="Times New Roman"/>
          <w:color w:val="000000" w:themeColor="text1"/>
        </w:rPr>
      </w:pPr>
      <w:r w:rsidRPr="003F3941">
        <w:rPr>
          <w:rStyle w:val="FootnoteReference"/>
          <w:rFonts w:cs="Times New Roman"/>
          <w:color w:val="000000" w:themeColor="text1"/>
        </w:rPr>
        <w:footnoteRef/>
      </w:r>
      <w:r w:rsidRPr="003F3941">
        <w:rPr>
          <w:rFonts w:cs="Times New Roman"/>
          <w:color w:val="000000" w:themeColor="text1"/>
        </w:rPr>
        <w:t xml:space="preserve"> </w:t>
      </w:r>
      <w:r w:rsidRPr="003F3941">
        <w:rPr>
          <w:rFonts w:cs="Times New Roman"/>
          <w:i/>
          <w:iCs/>
          <w:color w:val="000000" w:themeColor="text1"/>
          <w:bdr w:val="none" w:sz="0" w:space="0" w:color="auto" w:frame="1"/>
        </w:rPr>
        <w:t>State v. Smith</w:t>
      </w:r>
      <w:r w:rsidRPr="003F3941">
        <w:rPr>
          <w:rFonts w:cs="Times New Roman"/>
          <w:color w:val="000000" w:themeColor="text1"/>
          <w:bdr w:val="none" w:sz="0" w:space="0" w:color="auto" w:frame="1"/>
        </w:rPr>
        <w:t>, Ohio St.3d, 2022-Ohio-274, ¶ 30, quoting </w:t>
      </w:r>
      <w:r w:rsidRPr="003F3941">
        <w:rPr>
          <w:rFonts w:cs="Times New Roman"/>
          <w:i/>
          <w:iCs/>
          <w:color w:val="000000" w:themeColor="text1"/>
          <w:bdr w:val="none" w:sz="0" w:space="0" w:color="auto" w:frame="1"/>
        </w:rPr>
        <w:t>Black's Law Dictionary</w:t>
      </w:r>
      <w:r w:rsidRPr="003F3941">
        <w:rPr>
          <w:rFonts w:cs="Times New Roman"/>
          <w:color w:val="000000" w:themeColor="text1"/>
          <w:bdr w:val="none" w:sz="0" w:space="0" w:color="auto" w:frame="1"/>
        </w:rPr>
        <w:t> 911 (10th Ed. 2014). </w:t>
      </w:r>
      <w:r w:rsidRPr="003F3941">
        <w:rPr>
          <w:rFonts w:cs="Times New Roman"/>
          <w:i/>
          <w:iCs/>
          <w:color w:val="000000" w:themeColor="text1"/>
          <w:bdr w:val="none" w:sz="0" w:space="0" w:color="auto" w:frame="1"/>
        </w:rPr>
        <w:t>See Thomas v. Freeman</w:t>
      </w:r>
      <w:r w:rsidRPr="003F3941">
        <w:rPr>
          <w:rFonts w:cs="Times New Roman"/>
          <w:color w:val="000000" w:themeColor="text1"/>
          <w:bdr w:val="none" w:sz="0" w:space="0" w:color="auto" w:frame="1"/>
        </w:rPr>
        <w:t>, 79 Ohio St.3d 221, 225, 1997- Ohio 395, 680 N.E.2d 997 (1997) (stating that the "maxim of </w:t>
      </w:r>
      <w:r w:rsidRPr="003F3941">
        <w:rPr>
          <w:rFonts w:cs="Times New Roman"/>
          <w:i/>
          <w:iCs/>
          <w:color w:val="000000" w:themeColor="text1"/>
          <w:bdr w:val="none" w:sz="0" w:space="0" w:color="auto" w:frame="1"/>
        </w:rPr>
        <w:t>in pari materia</w:t>
      </w:r>
      <w:r w:rsidRPr="003F3941">
        <w:rPr>
          <w:rFonts w:cs="Times New Roman"/>
          <w:color w:val="000000" w:themeColor="text1"/>
          <w:bdr w:val="none" w:sz="0" w:space="0" w:color="auto" w:frame="1"/>
        </w:rPr>
        <w:t> indicates that acts will be given full meaning and effect if they can be reconciled").</w:t>
      </w:r>
    </w:p>
  </w:footnote>
  <w:footnote w:id="14">
    <w:p w:rsidR="0025005C" w:rsidRPr="003F3941" w:rsidP="0041465E" w14:paraId="71E521D1" w14:textId="77777777">
      <w:pPr>
        <w:pStyle w:val="FootnoteText"/>
        <w:spacing w:after="120"/>
        <w:rPr>
          <w:rFonts w:cs="Times New Roman"/>
        </w:rPr>
      </w:pPr>
      <w:r w:rsidRPr="003F3941">
        <w:rPr>
          <w:rStyle w:val="FootnoteReference"/>
          <w:rFonts w:cs="Times New Roman"/>
          <w:color w:val="000000" w:themeColor="text1"/>
        </w:rPr>
        <w:footnoteRef/>
      </w:r>
      <w:r w:rsidRPr="003F3941">
        <w:rPr>
          <w:rFonts w:cs="Times New Roman"/>
          <w:color w:val="000000" w:themeColor="text1"/>
        </w:rPr>
        <w:t xml:space="preserve"> </w:t>
      </w:r>
      <w:r w:rsidRPr="003F3941">
        <w:rPr>
          <w:rFonts w:cs="Times New Roman"/>
          <w:i/>
          <w:iCs/>
          <w:color w:val="000000" w:themeColor="text1"/>
        </w:rPr>
        <w:t>Black’s Law Dictionary</w:t>
      </w:r>
      <w:r w:rsidRPr="003F3941">
        <w:rPr>
          <w:rFonts w:cs="Times New Roman"/>
          <w:color w:val="000000" w:themeColor="text1"/>
        </w:rPr>
        <w:t xml:space="preserve"> at 791; </w:t>
      </w:r>
      <w:r w:rsidRPr="003F3941">
        <w:rPr>
          <w:rFonts w:cs="Times New Roman"/>
          <w:i/>
          <w:iCs/>
          <w:color w:val="000000" w:themeColor="text1"/>
        </w:rPr>
        <w:t>Ohio Furniture Co. v. Mindala</w:t>
      </w:r>
      <w:r w:rsidRPr="003F3941">
        <w:rPr>
          <w:rFonts w:cs="Times New Roman"/>
          <w:color w:val="000000" w:themeColor="text1"/>
        </w:rPr>
        <w:t xml:space="preserve">, 22 Ohio St.3d 99, 101, 488 N.E.2d 881, 883 (1986). </w:t>
      </w:r>
    </w:p>
  </w:footnote>
  <w:footnote w:id="15">
    <w:p w:rsidR="00112CD0" w:rsidRPr="003F3941" w:rsidP="0041465E" w14:paraId="12184FE8" w14:textId="508C7521">
      <w:pPr>
        <w:pStyle w:val="FootnoteText"/>
        <w:spacing w:after="120"/>
        <w:rPr>
          <w:rFonts w:cs="Times New Roman"/>
        </w:rPr>
      </w:pPr>
      <w:r w:rsidRPr="003F3941">
        <w:rPr>
          <w:rStyle w:val="FootnoteReference"/>
          <w:rFonts w:cs="Times New Roman"/>
        </w:rPr>
        <w:footnoteRef/>
      </w:r>
      <w:r w:rsidRPr="003F3941">
        <w:rPr>
          <w:rFonts w:cs="Times New Roman"/>
        </w:rPr>
        <w:t xml:space="preserve"> </w:t>
      </w:r>
      <w:r w:rsidRPr="003F3941">
        <w:rPr>
          <w:rFonts w:cs="Times New Roman"/>
          <w:i/>
          <w:iCs/>
          <w:color w:val="000000"/>
          <w:bdr w:val="none" w:sz="0" w:space="0" w:color="auto" w:frame="1"/>
        </w:rPr>
        <w:t>State v. Smith</w:t>
      </w:r>
      <w:r w:rsidRPr="003F3941">
        <w:rPr>
          <w:rFonts w:cs="Times New Roman"/>
          <w:color w:val="000000"/>
          <w:bdr w:val="none" w:sz="0" w:space="0" w:color="auto" w:frame="1"/>
        </w:rPr>
        <w:t>, Ohio St.3d, 2022-Ohio-274, ¶ 30, quoting </w:t>
      </w:r>
      <w:r w:rsidRPr="003F3941">
        <w:rPr>
          <w:rFonts w:cs="Times New Roman"/>
          <w:i/>
          <w:iCs/>
          <w:color w:val="000000"/>
          <w:bdr w:val="none" w:sz="0" w:space="0" w:color="auto" w:frame="1"/>
        </w:rPr>
        <w:t>Black's Law Dictionary</w:t>
      </w:r>
      <w:r w:rsidRPr="003F3941">
        <w:rPr>
          <w:rFonts w:cs="Times New Roman"/>
          <w:color w:val="000000"/>
          <w:bdr w:val="none" w:sz="0" w:space="0" w:color="auto" w:frame="1"/>
        </w:rPr>
        <w:t> 911 (10th Ed.2014).</w:t>
      </w:r>
    </w:p>
  </w:footnote>
  <w:footnote w:id="16">
    <w:p w:rsidR="002051F1" w:rsidRPr="003F3941" w:rsidP="0041465E" w14:paraId="246F6891" w14:textId="77777777">
      <w:pPr>
        <w:pStyle w:val="FootnoteText"/>
        <w:spacing w:after="120"/>
        <w:rPr>
          <w:rFonts w:cs="Times New Roman"/>
        </w:rPr>
      </w:pPr>
      <w:r w:rsidRPr="003F3941">
        <w:rPr>
          <w:rStyle w:val="FootnoteReference"/>
          <w:rFonts w:cs="Times New Roman"/>
        </w:rPr>
        <w:footnoteRef/>
      </w:r>
      <w:r w:rsidRPr="003F3941">
        <w:rPr>
          <w:rFonts w:cs="Times New Roman"/>
        </w:rPr>
        <w:t xml:space="preserve"> </w:t>
      </w:r>
      <w:r w:rsidRPr="003F3941">
        <w:rPr>
          <w:rFonts w:cs="Times New Roman"/>
          <w:i/>
          <w:iCs/>
        </w:rPr>
        <w:t>Johnson’s Markets Inc. v. New Carlisle Dept. of Health</w:t>
      </w:r>
      <w:r w:rsidRPr="003F3941">
        <w:rPr>
          <w:rFonts w:cs="Times New Roman"/>
        </w:rPr>
        <w:t xml:space="preserve">, 58 Ohio St.3d 28, 35, 567 N.E. 2d 1018 (1991); </w:t>
      </w:r>
      <w:r w:rsidRPr="003F3941">
        <w:rPr>
          <w:rFonts w:cs="Times New Roman"/>
          <w:i/>
          <w:iCs/>
        </w:rPr>
        <w:t>Thomas v. Freeman</w:t>
      </w:r>
      <w:r w:rsidRPr="003F3941">
        <w:rPr>
          <w:rFonts w:cs="Times New Roman"/>
        </w:rPr>
        <w:t xml:space="preserve">, 79 Ohio St.3d at 225. </w:t>
      </w:r>
    </w:p>
  </w:footnote>
  <w:footnote w:id="17">
    <w:p w:rsidR="0019099B" w:rsidRPr="003F3941" w:rsidP="0041465E" w14:paraId="23011E69" w14:textId="77777777">
      <w:pPr>
        <w:spacing w:after="120" w:line="240" w:lineRule="auto"/>
        <w:rPr>
          <w:rFonts w:ascii="Times New Roman" w:hAnsi="Times New Roman" w:cs="Times New Roman"/>
          <w:sz w:val="20"/>
          <w:szCs w:val="20"/>
        </w:rPr>
      </w:pPr>
      <w:r w:rsidRPr="003F3941">
        <w:rPr>
          <w:rStyle w:val="FootnoteReference"/>
          <w:rFonts w:ascii="Times New Roman" w:hAnsi="Times New Roman" w:cs="Times New Roman"/>
          <w:sz w:val="20"/>
          <w:szCs w:val="20"/>
        </w:rPr>
        <w:footnoteRef/>
      </w:r>
      <w:r w:rsidRPr="003F3941">
        <w:rPr>
          <w:rFonts w:ascii="Times New Roman" w:hAnsi="Times New Roman" w:cs="Times New Roman"/>
          <w:sz w:val="20"/>
          <w:szCs w:val="20"/>
        </w:rPr>
        <w:t xml:space="preserve"> </w:t>
      </w:r>
      <w:r w:rsidRPr="003F3941">
        <w:rPr>
          <w:rFonts w:ascii="Times New Roman" w:hAnsi="Times New Roman" w:cs="Times New Roman"/>
          <w:i/>
          <w:iCs/>
          <w:sz w:val="20"/>
          <w:szCs w:val="20"/>
        </w:rPr>
        <w:t>Thomas v. Freeman</w:t>
      </w:r>
      <w:r w:rsidRPr="003F3941">
        <w:rPr>
          <w:rFonts w:ascii="Times New Roman" w:hAnsi="Times New Roman" w:cs="Times New Roman"/>
          <w:sz w:val="20"/>
          <w:szCs w:val="20"/>
        </w:rPr>
        <w:t xml:space="preserve">, 79 Ohio St.3d 221, 225, 1997-Ohio-395, 680 N.E.2d 997 (1997). </w:t>
      </w:r>
      <w:r w:rsidRPr="003F3941">
        <w:rPr>
          <w:rFonts w:ascii="Times New Roman" w:hAnsi="Times New Roman" w:cs="Times New Roman"/>
          <w:i/>
          <w:iCs/>
          <w:sz w:val="20"/>
          <w:szCs w:val="20"/>
        </w:rPr>
        <w:t>State ex. rel O’Neil v. Griffith</w:t>
      </w:r>
      <w:r w:rsidRPr="003F3941">
        <w:rPr>
          <w:rFonts w:ascii="Times New Roman" w:hAnsi="Times New Roman" w:cs="Times New Roman"/>
          <w:sz w:val="20"/>
          <w:szCs w:val="20"/>
        </w:rPr>
        <w:t>, 136 Ohio St. 526, 17 Ohio Op. 160, 27 N.E. 2d 142 (1940).</w:t>
      </w:r>
    </w:p>
  </w:footnote>
  <w:footnote w:id="18">
    <w:p w:rsidR="00801376" w:rsidRPr="003F3941" w:rsidP="0041465E" w14:paraId="57C5FA56" w14:textId="53B049AE">
      <w:pPr>
        <w:pStyle w:val="FootnoteText"/>
        <w:spacing w:after="120"/>
        <w:rPr>
          <w:rFonts w:cs="Times New Roman"/>
        </w:rPr>
      </w:pPr>
      <w:r w:rsidRPr="003F3941">
        <w:rPr>
          <w:rStyle w:val="FootnoteReference"/>
          <w:rFonts w:cs="Times New Roman"/>
        </w:rPr>
        <w:footnoteRef/>
      </w:r>
      <w:r w:rsidRPr="003F3941">
        <w:rPr>
          <w:rFonts w:cs="Times New Roman"/>
        </w:rPr>
        <w:t xml:space="preserve"> </w:t>
      </w:r>
      <w:r w:rsidRPr="003F3941" w:rsidR="00B829AC">
        <w:rPr>
          <w:rFonts w:cs="Times New Roman"/>
          <w:i/>
          <w:iCs/>
        </w:rPr>
        <w:t>Ohio Consumers’ Counsel v. Pub. Util. Comm</w:t>
      </w:r>
      <w:r w:rsidRPr="003F3941" w:rsidR="00B829AC">
        <w:rPr>
          <w:rFonts w:cs="Times New Roman"/>
        </w:rPr>
        <w:t>., 121 Ohio St.3d 362, 372 (2009) (Pfeifer, J. dissenting).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46C" w14:paraId="1B783A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CF14E00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A26557C"/>
    <w:multiLevelType w:val="hybridMultilevel"/>
    <w:tmpl w:val="2A2097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228F0AAC"/>
    <w:multiLevelType w:val="hybridMultilevel"/>
    <w:tmpl w:val="CCE64A9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9">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7F6470"/>
    <w:multiLevelType w:val="hybridMultilevel"/>
    <w:tmpl w:val="9F46A91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76F3CAA"/>
    <w:multiLevelType w:val="hybridMultilevel"/>
    <w:tmpl w:val="4062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0"/>
    <w:lvlOverride w:ilvl="0">
      <w:startOverride w:val="1"/>
    </w:lvlOverride>
  </w:num>
  <w:num w:numId="5">
    <w:abstractNumId w:val="0"/>
    <w:lvlOverride w:ilvl="0">
      <w:startOverride w:val="1"/>
    </w:lvlOverride>
  </w:num>
  <w:num w:numId="6">
    <w:abstractNumId w:val="21"/>
  </w:num>
  <w:num w:numId="7">
    <w:abstractNumId w:val="2"/>
  </w:num>
  <w:num w:numId="8">
    <w:abstractNumId w:val="5"/>
  </w:num>
  <w:num w:numId="9">
    <w:abstractNumId w:val="10"/>
  </w:num>
  <w:num w:numId="10">
    <w:abstractNumId w:val="18"/>
  </w:num>
  <w:num w:numId="11">
    <w:abstractNumId w:val="4"/>
  </w:num>
  <w:num w:numId="12">
    <w:abstractNumId w:val="13"/>
  </w:num>
  <w:num w:numId="13">
    <w:abstractNumId w:val="13"/>
  </w:num>
  <w:num w:numId="14">
    <w:abstractNumId w:val="14"/>
  </w:num>
  <w:num w:numId="15">
    <w:abstractNumId w:val="13"/>
  </w:num>
  <w:num w:numId="16">
    <w:abstractNumId w:val="13"/>
  </w:num>
  <w:num w:numId="17">
    <w:abstractNumId w:val="6"/>
  </w:num>
  <w:num w:numId="18">
    <w:abstractNumId w:val="17"/>
  </w:num>
  <w:num w:numId="19">
    <w:abstractNumId w:val="12"/>
  </w:num>
  <w:num w:numId="20">
    <w:abstractNumId w:val="12"/>
  </w:num>
  <w:num w:numId="21">
    <w:abstractNumId w:val="12"/>
  </w:num>
  <w:num w:numId="22">
    <w:abstractNumId w:val="12"/>
  </w:num>
  <w:num w:numId="23">
    <w:abstractNumId w:val="9"/>
  </w:num>
  <w:num w:numId="24">
    <w:abstractNumId w:val="13"/>
  </w:num>
  <w:num w:numId="25">
    <w:abstractNumId w:val="12"/>
  </w:num>
  <w:num w:numId="26">
    <w:abstractNumId w:val="11"/>
  </w:num>
  <w:num w:numId="27">
    <w:abstractNumId w:val="13"/>
  </w:num>
  <w:num w:numId="28">
    <w:abstractNumId w:val="13"/>
  </w:num>
  <w:num w:numId="29">
    <w:abstractNumId w:val="13"/>
  </w:num>
  <w:num w:numId="30">
    <w:abstractNumId w:val="15"/>
  </w:num>
  <w:num w:numId="31">
    <w:abstractNumId w:val="19"/>
  </w:num>
  <w:num w:numId="32">
    <w:abstractNumId w:val="13"/>
  </w:num>
  <w:num w:numId="33">
    <w:abstractNumId w:val="1"/>
  </w:num>
  <w:num w:numId="34">
    <w:abstractNumId w:val="8"/>
  </w:num>
  <w:num w:numId="35">
    <w:abstractNumId w:val="0"/>
    <w:lvlOverride w:ilvl="0">
      <w:startOverride w:val="1"/>
    </w:lvlOverride>
  </w:num>
  <w:num w:numId="36">
    <w:abstractNumId w:val="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03A6E"/>
    <w:rsid w:val="0001597C"/>
    <w:rsid w:val="000202A0"/>
    <w:rsid w:val="000247E2"/>
    <w:rsid w:val="00024B4B"/>
    <w:rsid w:val="00030205"/>
    <w:rsid w:val="00030E37"/>
    <w:rsid w:val="00033D2A"/>
    <w:rsid w:val="00035F75"/>
    <w:rsid w:val="00036C7C"/>
    <w:rsid w:val="000373BB"/>
    <w:rsid w:val="00037D3C"/>
    <w:rsid w:val="00037D47"/>
    <w:rsid w:val="000404DE"/>
    <w:rsid w:val="00041D32"/>
    <w:rsid w:val="00045734"/>
    <w:rsid w:val="00050B87"/>
    <w:rsid w:val="00051420"/>
    <w:rsid w:val="0005286A"/>
    <w:rsid w:val="00053781"/>
    <w:rsid w:val="000605B2"/>
    <w:rsid w:val="00060C07"/>
    <w:rsid w:val="00060D4E"/>
    <w:rsid w:val="00061F69"/>
    <w:rsid w:val="00061FD7"/>
    <w:rsid w:val="00062C1C"/>
    <w:rsid w:val="000636B6"/>
    <w:rsid w:val="00064A76"/>
    <w:rsid w:val="00073318"/>
    <w:rsid w:val="000739CD"/>
    <w:rsid w:val="00075EBA"/>
    <w:rsid w:val="00080E58"/>
    <w:rsid w:val="00081FBA"/>
    <w:rsid w:val="000844C0"/>
    <w:rsid w:val="00087E80"/>
    <w:rsid w:val="00092A53"/>
    <w:rsid w:val="00092CC5"/>
    <w:rsid w:val="00094330"/>
    <w:rsid w:val="00096CDE"/>
    <w:rsid w:val="000A4DA2"/>
    <w:rsid w:val="000A6B46"/>
    <w:rsid w:val="000A6CAB"/>
    <w:rsid w:val="000A6F51"/>
    <w:rsid w:val="000A76B6"/>
    <w:rsid w:val="000B0F09"/>
    <w:rsid w:val="000C43F6"/>
    <w:rsid w:val="000C5917"/>
    <w:rsid w:val="000C5C25"/>
    <w:rsid w:val="000D1576"/>
    <w:rsid w:val="000D2871"/>
    <w:rsid w:val="000D2DB4"/>
    <w:rsid w:val="000D531E"/>
    <w:rsid w:val="000D63DF"/>
    <w:rsid w:val="000E48AE"/>
    <w:rsid w:val="000E7D3E"/>
    <w:rsid w:val="000F2856"/>
    <w:rsid w:val="000F73BA"/>
    <w:rsid w:val="00104401"/>
    <w:rsid w:val="00112CD0"/>
    <w:rsid w:val="00120147"/>
    <w:rsid w:val="00120FB5"/>
    <w:rsid w:val="00122078"/>
    <w:rsid w:val="001258E8"/>
    <w:rsid w:val="00126ABB"/>
    <w:rsid w:val="00133EF9"/>
    <w:rsid w:val="0014095B"/>
    <w:rsid w:val="00141BD6"/>
    <w:rsid w:val="00142A17"/>
    <w:rsid w:val="00144814"/>
    <w:rsid w:val="001458FF"/>
    <w:rsid w:val="00147A90"/>
    <w:rsid w:val="00151937"/>
    <w:rsid w:val="00152A74"/>
    <w:rsid w:val="0015444F"/>
    <w:rsid w:val="00154D35"/>
    <w:rsid w:val="00155451"/>
    <w:rsid w:val="00161424"/>
    <w:rsid w:val="00167711"/>
    <w:rsid w:val="001727CB"/>
    <w:rsid w:val="00174FD5"/>
    <w:rsid w:val="0017656C"/>
    <w:rsid w:val="00177C12"/>
    <w:rsid w:val="001802E9"/>
    <w:rsid w:val="00182457"/>
    <w:rsid w:val="00183714"/>
    <w:rsid w:val="00186CB5"/>
    <w:rsid w:val="001874FE"/>
    <w:rsid w:val="0019099B"/>
    <w:rsid w:val="001921EE"/>
    <w:rsid w:val="00193A65"/>
    <w:rsid w:val="00193EA8"/>
    <w:rsid w:val="00195C32"/>
    <w:rsid w:val="00197E6E"/>
    <w:rsid w:val="001A21E5"/>
    <w:rsid w:val="001A5A4A"/>
    <w:rsid w:val="001B71B7"/>
    <w:rsid w:val="001C0CE2"/>
    <w:rsid w:val="001C25DD"/>
    <w:rsid w:val="001C644B"/>
    <w:rsid w:val="001C7E06"/>
    <w:rsid w:val="001D2205"/>
    <w:rsid w:val="001D57D5"/>
    <w:rsid w:val="001D6D72"/>
    <w:rsid w:val="001E0469"/>
    <w:rsid w:val="001E1932"/>
    <w:rsid w:val="001E2D93"/>
    <w:rsid w:val="001E4C9A"/>
    <w:rsid w:val="001E56B9"/>
    <w:rsid w:val="001F17C8"/>
    <w:rsid w:val="001F2033"/>
    <w:rsid w:val="001F4B10"/>
    <w:rsid w:val="001F6B49"/>
    <w:rsid w:val="002051F1"/>
    <w:rsid w:val="0020599E"/>
    <w:rsid w:val="00205C1D"/>
    <w:rsid w:val="00206857"/>
    <w:rsid w:val="002070B4"/>
    <w:rsid w:val="0021078E"/>
    <w:rsid w:val="002147D4"/>
    <w:rsid w:val="00214E0C"/>
    <w:rsid w:val="00225214"/>
    <w:rsid w:val="00233023"/>
    <w:rsid w:val="002341D4"/>
    <w:rsid w:val="0023728D"/>
    <w:rsid w:val="00240ACF"/>
    <w:rsid w:val="00244209"/>
    <w:rsid w:val="00244C5E"/>
    <w:rsid w:val="00246318"/>
    <w:rsid w:val="00247431"/>
    <w:rsid w:val="0025005C"/>
    <w:rsid w:val="002552CD"/>
    <w:rsid w:val="002571AE"/>
    <w:rsid w:val="002628B2"/>
    <w:rsid w:val="00262AC3"/>
    <w:rsid w:val="00262F26"/>
    <w:rsid w:val="00262F47"/>
    <w:rsid w:val="00266DCF"/>
    <w:rsid w:val="00267587"/>
    <w:rsid w:val="002677A9"/>
    <w:rsid w:val="00270D5D"/>
    <w:rsid w:val="00271578"/>
    <w:rsid w:val="00274D3B"/>
    <w:rsid w:val="0027560B"/>
    <w:rsid w:val="00290D6C"/>
    <w:rsid w:val="00293E41"/>
    <w:rsid w:val="002A01FC"/>
    <w:rsid w:val="002A046C"/>
    <w:rsid w:val="002A3BA1"/>
    <w:rsid w:val="002A6933"/>
    <w:rsid w:val="002B0278"/>
    <w:rsid w:val="002B11DE"/>
    <w:rsid w:val="002B21E6"/>
    <w:rsid w:val="002B6E51"/>
    <w:rsid w:val="002C0344"/>
    <w:rsid w:val="002C0383"/>
    <w:rsid w:val="002C1871"/>
    <w:rsid w:val="002C4209"/>
    <w:rsid w:val="002C45BB"/>
    <w:rsid w:val="002C4B2E"/>
    <w:rsid w:val="002D4B35"/>
    <w:rsid w:val="002D4C63"/>
    <w:rsid w:val="002D6046"/>
    <w:rsid w:val="002E2564"/>
    <w:rsid w:val="002E277F"/>
    <w:rsid w:val="002E3822"/>
    <w:rsid w:val="002E5502"/>
    <w:rsid w:val="002E7088"/>
    <w:rsid w:val="002F210E"/>
    <w:rsid w:val="002F5B5B"/>
    <w:rsid w:val="002F5C81"/>
    <w:rsid w:val="002F77D2"/>
    <w:rsid w:val="00302DF2"/>
    <w:rsid w:val="003040BD"/>
    <w:rsid w:val="00310581"/>
    <w:rsid w:val="00312ABA"/>
    <w:rsid w:val="00315C87"/>
    <w:rsid w:val="00321E47"/>
    <w:rsid w:val="003235AC"/>
    <w:rsid w:val="00327FF2"/>
    <w:rsid w:val="00331BE8"/>
    <w:rsid w:val="00334C84"/>
    <w:rsid w:val="00346E6C"/>
    <w:rsid w:val="00347834"/>
    <w:rsid w:val="00347A74"/>
    <w:rsid w:val="00350036"/>
    <w:rsid w:val="003503CC"/>
    <w:rsid w:val="00351696"/>
    <w:rsid w:val="003524E1"/>
    <w:rsid w:val="00354CB1"/>
    <w:rsid w:val="003554C4"/>
    <w:rsid w:val="00357E2A"/>
    <w:rsid w:val="00364CF1"/>
    <w:rsid w:val="00374AF9"/>
    <w:rsid w:val="00374BEA"/>
    <w:rsid w:val="00375DEA"/>
    <w:rsid w:val="00381B68"/>
    <w:rsid w:val="00383BC2"/>
    <w:rsid w:val="00383C68"/>
    <w:rsid w:val="00383FE2"/>
    <w:rsid w:val="00385584"/>
    <w:rsid w:val="0038632E"/>
    <w:rsid w:val="00387143"/>
    <w:rsid w:val="003902EC"/>
    <w:rsid w:val="00391F0E"/>
    <w:rsid w:val="003A5E01"/>
    <w:rsid w:val="003A7CEB"/>
    <w:rsid w:val="003B0DD5"/>
    <w:rsid w:val="003B178A"/>
    <w:rsid w:val="003B38D8"/>
    <w:rsid w:val="003C0BC9"/>
    <w:rsid w:val="003C1E55"/>
    <w:rsid w:val="003C22CB"/>
    <w:rsid w:val="003C312E"/>
    <w:rsid w:val="003C44FC"/>
    <w:rsid w:val="003C4F75"/>
    <w:rsid w:val="003D103B"/>
    <w:rsid w:val="003D3D8D"/>
    <w:rsid w:val="003D4E6A"/>
    <w:rsid w:val="003D4FBD"/>
    <w:rsid w:val="003D71B9"/>
    <w:rsid w:val="003E2553"/>
    <w:rsid w:val="003E28B1"/>
    <w:rsid w:val="003E4C1A"/>
    <w:rsid w:val="003E6576"/>
    <w:rsid w:val="003E760B"/>
    <w:rsid w:val="003E77CE"/>
    <w:rsid w:val="003E7971"/>
    <w:rsid w:val="003F14C3"/>
    <w:rsid w:val="003F3941"/>
    <w:rsid w:val="003F440A"/>
    <w:rsid w:val="003F474A"/>
    <w:rsid w:val="003F5C5D"/>
    <w:rsid w:val="003F6357"/>
    <w:rsid w:val="00401E4F"/>
    <w:rsid w:val="00403913"/>
    <w:rsid w:val="0040480E"/>
    <w:rsid w:val="0040593E"/>
    <w:rsid w:val="004077ED"/>
    <w:rsid w:val="00407811"/>
    <w:rsid w:val="00407943"/>
    <w:rsid w:val="00412B54"/>
    <w:rsid w:val="004133EE"/>
    <w:rsid w:val="0041465E"/>
    <w:rsid w:val="0042093B"/>
    <w:rsid w:val="00421452"/>
    <w:rsid w:val="00422F99"/>
    <w:rsid w:val="004242CB"/>
    <w:rsid w:val="00432523"/>
    <w:rsid w:val="004353CA"/>
    <w:rsid w:val="00441F01"/>
    <w:rsid w:val="004448B2"/>
    <w:rsid w:val="00453A2C"/>
    <w:rsid w:val="00454254"/>
    <w:rsid w:val="00454401"/>
    <w:rsid w:val="00461179"/>
    <w:rsid w:val="00461696"/>
    <w:rsid w:val="0046199B"/>
    <w:rsid w:val="00461AFC"/>
    <w:rsid w:val="0046415A"/>
    <w:rsid w:val="00464B9F"/>
    <w:rsid w:val="004667E0"/>
    <w:rsid w:val="0047275D"/>
    <w:rsid w:val="00477E9D"/>
    <w:rsid w:val="00480E3D"/>
    <w:rsid w:val="00482B78"/>
    <w:rsid w:val="0048302F"/>
    <w:rsid w:val="00485F7F"/>
    <w:rsid w:val="00485FB2"/>
    <w:rsid w:val="004911A5"/>
    <w:rsid w:val="0049388D"/>
    <w:rsid w:val="00495680"/>
    <w:rsid w:val="004A3147"/>
    <w:rsid w:val="004A4C41"/>
    <w:rsid w:val="004A693B"/>
    <w:rsid w:val="004B17DA"/>
    <w:rsid w:val="004B524B"/>
    <w:rsid w:val="004B7BE8"/>
    <w:rsid w:val="004B7DC4"/>
    <w:rsid w:val="004C0E4E"/>
    <w:rsid w:val="004C165E"/>
    <w:rsid w:val="004C2959"/>
    <w:rsid w:val="004C3FC7"/>
    <w:rsid w:val="004C40ED"/>
    <w:rsid w:val="004C5B01"/>
    <w:rsid w:val="004D1D07"/>
    <w:rsid w:val="004D22DD"/>
    <w:rsid w:val="004D23A0"/>
    <w:rsid w:val="004D49A4"/>
    <w:rsid w:val="004D576B"/>
    <w:rsid w:val="004E09DF"/>
    <w:rsid w:val="004E1FEB"/>
    <w:rsid w:val="004E4647"/>
    <w:rsid w:val="004E5118"/>
    <w:rsid w:val="004E5A54"/>
    <w:rsid w:val="004F558E"/>
    <w:rsid w:val="00511C31"/>
    <w:rsid w:val="00512DCB"/>
    <w:rsid w:val="00516417"/>
    <w:rsid w:val="00521A79"/>
    <w:rsid w:val="00521C37"/>
    <w:rsid w:val="00522047"/>
    <w:rsid w:val="00522D56"/>
    <w:rsid w:val="0052329A"/>
    <w:rsid w:val="005245BC"/>
    <w:rsid w:val="00524879"/>
    <w:rsid w:val="00527CB3"/>
    <w:rsid w:val="00530A4E"/>
    <w:rsid w:val="00532A68"/>
    <w:rsid w:val="0053379B"/>
    <w:rsid w:val="00533E30"/>
    <w:rsid w:val="00534B66"/>
    <w:rsid w:val="0053578E"/>
    <w:rsid w:val="00535BCF"/>
    <w:rsid w:val="005365F6"/>
    <w:rsid w:val="00550275"/>
    <w:rsid w:val="00552277"/>
    <w:rsid w:val="005535FB"/>
    <w:rsid w:val="005538EA"/>
    <w:rsid w:val="00553E4D"/>
    <w:rsid w:val="00557E2F"/>
    <w:rsid w:val="00560BCF"/>
    <w:rsid w:val="005639A5"/>
    <w:rsid w:val="00567EA9"/>
    <w:rsid w:val="0057013C"/>
    <w:rsid w:val="00572515"/>
    <w:rsid w:val="00576C4E"/>
    <w:rsid w:val="005826D4"/>
    <w:rsid w:val="005859A7"/>
    <w:rsid w:val="005868F1"/>
    <w:rsid w:val="00590698"/>
    <w:rsid w:val="00590F7B"/>
    <w:rsid w:val="00591476"/>
    <w:rsid w:val="0059395A"/>
    <w:rsid w:val="00596AEB"/>
    <w:rsid w:val="00596B6D"/>
    <w:rsid w:val="00597D62"/>
    <w:rsid w:val="00597FDB"/>
    <w:rsid w:val="005A0312"/>
    <w:rsid w:val="005A0BDB"/>
    <w:rsid w:val="005A1581"/>
    <w:rsid w:val="005A2279"/>
    <w:rsid w:val="005A29AE"/>
    <w:rsid w:val="005A4A93"/>
    <w:rsid w:val="005A7045"/>
    <w:rsid w:val="005B5DBE"/>
    <w:rsid w:val="005B6560"/>
    <w:rsid w:val="005C12B9"/>
    <w:rsid w:val="005C1525"/>
    <w:rsid w:val="005C351C"/>
    <w:rsid w:val="005C50ED"/>
    <w:rsid w:val="005C5447"/>
    <w:rsid w:val="005C6900"/>
    <w:rsid w:val="005C7F50"/>
    <w:rsid w:val="005D3D3C"/>
    <w:rsid w:val="005D4872"/>
    <w:rsid w:val="005D5FBA"/>
    <w:rsid w:val="005E0638"/>
    <w:rsid w:val="005E1F02"/>
    <w:rsid w:val="005E2EA8"/>
    <w:rsid w:val="005E3CAE"/>
    <w:rsid w:val="005E3D2C"/>
    <w:rsid w:val="005E3DF2"/>
    <w:rsid w:val="005E6DCA"/>
    <w:rsid w:val="005F0886"/>
    <w:rsid w:val="005F13DD"/>
    <w:rsid w:val="005F3639"/>
    <w:rsid w:val="005F4A9A"/>
    <w:rsid w:val="005F6507"/>
    <w:rsid w:val="006018FA"/>
    <w:rsid w:val="00601BB4"/>
    <w:rsid w:val="00604931"/>
    <w:rsid w:val="0061332B"/>
    <w:rsid w:val="00613F2D"/>
    <w:rsid w:val="006154B4"/>
    <w:rsid w:val="006163FF"/>
    <w:rsid w:val="00623446"/>
    <w:rsid w:val="00624C8F"/>
    <w:rsid w:val="00627945"/>
    <w:rsid w:val="00631FBC"/>
    <w:rsid w:val="00632968"/>
    <w:rsid w:val="006371E5"/>
    <w:rsid w:val="00645BAE"/>
    <w:rsid w:val="00647287"/>
    <w:rsid w:val="00652897"/>
    <w:rsid w:val="006540D9"/>
    <w:rsid w:val="006550F3"/>
    <w:rsid w:val="00655E90"/>
    <w:rsid w:val="00663AC9"/>
    <w:rsid w:val="00663CE9"/>
    <w:rsid w:val="006745A7"/>
    <w:rsid w:val="006774BE"/>
    <w:rsid w:val="00683B78"/>
    <w:rsid w:val="006840A8"/>
    <w:rsid w:val="0068469D"/>
    <w:rsid w:val="0068678A"/>
    <w:rsid w:val="006868EB"/>
    <w:rsid w:val="00686FCA"/>
    <w:rsid w:val="00690446"/>
    <w:rsid w:val="006916CE"/>
    <w:rsid w:val="00692D8F"/>
    <w:rsid w:val="00693D82"/>
    <w:rsid w:val="006A0331"/>
    <w:rsid w:val="006A1BDB"/>
    <w:rsid w:val="006A305C"/>
    <w:rsid w:val="006A351C"/>
    <w:rsid w:val="006A47F4"/>
    <w:rsid w:val="006A64C8"/>
    <w:rsid w:val="006A6754"/>
    <w:rsid w:val="006B0865"/>
    <w:rsid w:val="006B09C2"/>
    <w:rsid w:val="006B0EF8"/>
    <w:rsid w:val="006B181E"/>
    <w:rsid w:val="006B2369"/>
    <w:rsid w:val="006B3079"/>
    <w:rsid w:val="006B3086"/>
    <w:rsid w:val="006B49FB"/>
    <w:rsid w:val="006B5ACA"/>
    <w:rsid w:val="006B6256"/>
    <w:rsid w:val="006B7858"/>
    <w:rsid w:val="006B78A3"/>
    <w:rsid w:val="006C1552"/>
    <w:rsid w:val="006C25F3"/>
    <w:rsid w:val="006C3419"/>
    <w:rsid w:val="006C4A7C"/>
    <w:rsid w:val="006C52A0"/>
    <w:rsid w:val="006C5C84"/>
    <w:rsid w:val="006C7401"/>
    <w:rsid w:val="006D1940"/>
    <w:rsid w:val="006D19FD"/>
    <w:rsid w:val="006D215E"/>
    <w:rsid w:val="006D38A6"/>
    <w:rsid w:val="006D56D1"/>
    <w:rsid w:val="006D60F3"/>
    <w:rsid w:val="006D6D8C"/>
    <w:rsid w:val="006D7423"/>
    <w:rsid w:val="006D7B0A"/>
    <w:rsid w:val="006E5926"/>
    <w:rsid w:val="006E70D2"/>
    <w:rsid w:val="006E7478"/>
    <w:rsid w:val="006F032E"/>
    <w:rsid w:val="006F05B8"/>
    <w:rsid w:val="006F34B6"/>
    <w:rsid w:val="006F4D75"/>
    <w:rsid w:val="006F6F08"/>
    <w:rsid w:val="0070006F"/>
    <w:rsid w:val="00701E93"/>
    <w:rsid w:val="007025EA"/>
    <w:rsid w:val="00707050"/>
    <w:rsid w:val="00712A0B"/>
    <w:rsid w:val="00713075"/>
    <w:rsid w:val="0072296F"/>
    <w:rsid w:val="007241A8"/>
    <w:rsid w:val="00727DB4"/>
    <w:rsid w:val="007307DB"/>
    <w:rsid w:val="00732470"/>
    <w:rsid w:val="007327BD"/>
    <w:rsid w:val="00737BBC"/>
    <w:rsid w:val="00740B4F"/>
    <w:rsid w:val="00740EAB"/>
    <w:rsid w:val="00747035"/>
    <w:rsid w:val="00751039"/>
    <w:rsid w:val="00751792"/>
    <w:rsid w:val="007523DF"/>
    <w:rsid w:val="007531A4"/>
    <w:rsid w:val="00753855"/>
    <w:rsid w:val="0075402C"/>
    <w:rsid w:val="00757CDD"/>
    <w:rsid w:val="007633FA"/>
    <w:rsid w:val="00766364"/>
    <w:rsid w:val="00766FAD"/>
    <w:rsid w:val="00767538"/>
    <w:rsid w:val="00770FBC"/>
    <w:rsid w:val="00774221"/>
    <w:rsid w:val="00774830"/>
    <w:rsid w:val="00774C64"/>
    <w:rsid w:val="007775D1"/>
    <w:rsid w:val="007804A9"/>
    <w:rsid w:val="00786A76"/>
    <w:rsid w:val="0079077A"/>
    <w:rsid w:val="00796761"/>
    <w:rsid w:val="00796D7B"/>
    <w:rsid w:val="00797BC9"/>
    <w:rsid w:val="007A2EB4"/>
    <w:rsid w:val="007A4382"/>
    <w:rsid w:val="007A651E"/>
    <w:rsid w:val="007B3891"/>
    <w:rsid w:val="007B39ED"/>
    <w:rsid w:val="007B6463"/>
    <w:rsid w:val="007B7097"/>
    <w:rsid w:val="007C38B2"/>
    <w:rsid w:val="007C70D0"/>
    <w:rsid w:val="007D0B83"/>
    <w:rsid w:val="007D54D1"/>
    <w:rsid w:val="007E0816"/>
    <w:rsid w:val="007E2F68"/>
    <w:rsid w:val="007E32B9"/>
    <w:rsid w:val="007E3FF9"/>
    <w:rsid w:val="007F0242"/>
    <w:rsid w:val="007F0FC2"/>
    <w:rsid w:val="007F5D9A"/>
    <w:rsid w:val="007F78DE"/>
    <w:rsid w:val="00801376"/>
    <w:rsid w:val="00801953"/>
    <w:rsid w:val="00801C81"/>
    <w:rsid w:val="008047B0"/>
    <w:rsid w:val="00806A25"/>
    <w:rsid w:val="00821B8C"/>
    <w:rsid w:val="008230B5"/>
    <w:rsid w:val="0082316E"/>
    <w:rsid w:val="00823CC7"/>
    <w:rsid w:val="008246D1"/>
    <w:rsid w:val="008259C3"/>
    <w:rsid w:val="00825D8A"/>
    <w:rsid w:val="0082747F"/>
    <w:rsid w:val="00827AF5"/>
    <w:rsid w:val="00831217"/>
    <w:rsid w:val="00835B53"/>
    <w:rsid w:val="00835C66"/>
    <w:rsid w:val="00837BC6"/>
    <w:rsid w:val="0084066D"/>
    <w:rsid w:val="0084416C"/>
    <w:rsid w:val="00846B16"/>
    <w:rsid w:val="008475D8"/>
    <w:rsid w:val="0085792B"/>
    <w:rsid w:val="00857F42"/>
    <w:rsid w:val="0086090C"/>
    <w:rsid w:val="00861D0B"/>
    <w:rsid w:val="0087004A"/>
    <w:rsid w:val="0087136D"/>
    <w:rsid w:val="0087231D"/>
    <w:rsid w:val="008750FA"/>
    <w:rsid w:val="008759AB"/>
    <w:rsid w:val="0088308C"/>
    <w:rsid w:val="00884302"/>
    <w:rsid w:val="00885295"/>
    <w:rsid w:val="0089116E"/>
    <w:rsid w:val="00892728"/>
    <w:rsid w:val="0089754C"/>
    <w:rsid w:val="00897E6F"/>
    <w:rsid w:val="00897FD6"/>
    <w:rsid w:val="008A1195"/>
    <w:rsid w:val="008A296C"/>
    <w:rsid w:val="008A5C93"/>
    <w:rsid w:val="008A7286"/>
    <w:rsid w:val="008B11DA"/>
    <w:rsid w:val="008B1BB4"/>
    <w:rsid w:val="008B1E83"/>
    <w:rsid w:val="008B2645"/>
    <w:rsid w:val="008B291E"/>
    <w:rsid w:val="008B4F01"/>
    <w:rsid w:val="008B509B"/>
    <w:rsid w:val="008B50F4"/>
    <w:rsid w:val="008C05FC"/>
    <w:rsid w:val="008C076D"/>
    <w:rsid w:val="008C1323"/>
    <w:rsid w:val="008C24EC"/>
    <w:rsid w:val="008C724F"/>
    <w:rsid w:val="008D4E32"/>
    <w:rsid w:val="008D5478"/>
    <w:rsid w:val="008E05CC"/>
    <w:rsid w:val="008E086E"/>
    <w:rsid w:val="008E1C65"/>
    <w:rsid w:val="008E3C9C"/>
    <w:rsid w:val="008E540C"/>
    <w:rsid w:val="008E6FE7"/>
    <w:rsid w:val="008F498C"/>
    <w:rsid w:val="00900896"/>
    <w:rsid w:val="00903329"/>
    <w:rsid w:val="009038A1"/>
    <w:rsid w:val="00905443"/>
    <w:rsid w:val="00910F74"/>
    <w:rsid w:val="009112E5"/>
    <w:rsid w:val="0091353E"/>
    <w:rsid w:val="00913D0D"/>
    <w:rsid w:val="0091751C"/>
    <w:rsid w:val="00921A7A"/>
    <w:rsid w:val="009221C4"/>
    <w:rsid w:val="00926015"/>
    <w:rsid w:val="00930EAB"/>
    <w:rsid w:val="009330EF"/>
    <w:rsid w:val="0093408D"/>
    <w:rsid w:val="009344B5"/>
    <w:rsid w:val="00934A7B"/>
    <w:rsid w:val="009400C9"/>
    <w:rsid w:val="0094463E"/>
    <w:rsid w:val="00945974"/>
    <w:rsid w:val="00953921"/>
    <w:rsid w:val="00954447"/>
    <w:rsid w:val="00955679"/>
    <w:rsid w:val="00955CE4"/>
    <w:rsid w:val="00966A7F"/>
    <w:rsid w:val="009712D3"/>
    <w:rsid w:val="00971714"/>
    <w:rsid w:val="00973D9A"/>
    <w:rsid w:val="009758B2"/>
    <w:rsid w:val="00980123"/>
    <w:rsid w:val="00981935"/>
    <w:rsid w:val="00985D4A"/>
    <w:rsid w:val="00990051"/>
    <w:rsid w:val="0099037D"/>
    <w:rsid w:val="00990C6F"/>
    <w:rsid w:val="0099116F"/>
    <w:rsid w:val="0099412E"/>
    <w:rsid w:val="009A057B"/>
    <w:rsid w:val="009A3B8F"/>
    <w:rsid w:val="009A696C"/>
    <w:rsid w:val="009A7647"/>
    <w:rsid w:val="009B2491"/>
    <w:rsid w:val="009B40D3"/>
    <w:rsid w:val="009B580E"/>
    <w:rsid w:val="009B5A16"/>
    <w:rsid w:val="009B6232"/>
    <w:rsid w:val="009D029C"/>
    <w:rsid w:val="009D0F75"/>
    <w:rsid w:val="009D2BFD"/>
    <w:rsid w:val="009D54F0"/>
    <w:rsid w:val="009D5526"/>
    <w:rsid w:val="009D6CD8"/>
    <w:rsid w:val="009E5565"/>
    <w:rsid w:val="009E6EF2"/>
    <w:rsid w:val="009F0417"/>
    <w:rsid w:val="009F1C12"/>
    <w:rsid w:val="009F50CE"/>
    <w:rsid w:val="00A01551"/>
    <w:rsid w:val="00A019D6"/>
    <w:rsid w:val="00A04BD0"/>
    <w:rsid w:val="00A06A04"/>
    <w:rsid w:val="00A07DE5"/>
    <w:rsid w:val="00A12155"/>
    <w:rsid w:val="00A13E3E"/>
    <w:rsid w:val="00A1444C"/>
    <w:rsid w:val="00A15099"/>
    <w:rsid w:val="00A2307A"/>
    <w:rsid w:val="00A2553B"/>
    <w:rsid w:val="00A25CDD"/>
    <w:rsid w:val="00A27F8B"/>
    <w:rsid w:val="00A30F55"/>
    <w:rsid w:val="00A32A92"/>
    <w:rsid w:val="00A3424B"/>
    <w:rsid w:val="00A40081"/>
    <w:rsid w:val="00A43E83"/>
    <w:rsid w:val="00A45337"/>
    <w:rsid w:val="00A45FC3"/>
    <w:rsid w:val="00A46520"/>
    <w:rsid w:val="00A50B0E"/>
    <w:rsid w:val="00A53576"/>
    <w:rsid w:val="00A543AC"/>
    <w:rsid w:val="00A5491B"/>
    <w:rsid w:val="00A55BA7"/>
    <w:rsid w:val="00A55DFD"/>
    <w:rsid w:val="00A57712"/>
    <w:rsid w:val="00A5782D"/>
    <w:rsid w:val="00A6165D"/>
    <w:rsid w:val="00A6307B"/>
    <w:rsid w:val="00A638E7"/>
    <w:rsid w:val="00A67243"/>
    <w:rsid w:val="00A72D65"/>
    <w:rsid w:val="00A73698"/>
    <w:rsid w:val="00A743CF"/>
    <w:rsid w:val="00A77C16"/>
    <w:rsid w:val="00A800E4"/>
    <w:rsid w:val="00A858BC"/>
    <w:rsid w:val="00A85CC9"/>
    <w:rsid w:val="00A87C0A"/>
    <w:rsid w:val="00A92215"/>
    <w:rsid w:val="00A9306F"/>
    <w:rsid w:val="00A9537B"/>
    <w:rsid w:val="00A972A6"/>
    <w:rsid w:val="00AA0A82"/>
    <w:rsid w:val="00AA28C0"/>
    <w:rsid w:val="00AA2E90"/>
    <w:rsid w:val="00AA3FCC"/>
    <w:rsid w:val="00AB0362"/>
    <w:rsid w:val="00AB3A22"/>
    <w:rsid w:val="00AB531B"/>
    <w:rsid w:val="00AB583D"/>
    <w:rsid w:val="00AC04E0"/>
    <w:rsid w:val="00AC1A13"/>
    <w:rsid w:val="00AC26B8"/>
    <w:rsid w:val="00AC34B3"/>
    <w:rsid w:val="00AC5ABB"/>
    <w:rsid w:val="00AC68C4"/>
    <w:rsid w:val="00AD1173"/>
    <w:rsid w:val="00AD18D2"/>
    <w:rsid w:val="00AD1F5C"/>
    <w:rsid w:val="00AD4052"/>
    <w:rsid w:val="00AD677D"/>
    <w:rsid w:val="00AE0445"/>
    <w:rsid w:val="00AE4BB8"/>
    <w:rsid w:val="00AF071D"/>
    <w:rsid w:val="00AF4FFB"/>
    <w:rsid w:val="00B026B5"/>
    <w:rsid w:val="00B02E5B"/>
    <w:rsid w:val="00B05388"/>
    <w:rsid w:val="00B068D9"/>
    <w:rsid w:val="00B06C79"/>
    <w:rsid w:val="00B071C4"/>
    <w:rsid w:val="00B1359D"/>
    <w:rsid w:val="00B1448E"/>
    <w:rsid w:val="00B20EED"/>
    <w:rsid w:val="00B23417"/>
    <w:rsid w:val="00B24DB1"/>
    <w:rsid w:val="00B25CB8"/>
    <w:rsid w:val="00B27342"/>
    <w:rsid w:val="00B3293D"/>
    <w:rsid w:val="00B32B7E"/>
    <w:rsid w:val="00B34F81"/>
    <w:rsid w:val="00B35828"/>
    <w:rsid w:val="00B35D5A"/>
    <w:rsid w:val="00B36981"/>
    <w:rsid w:val="00B36AD7"/>
    <w:rsid w:val="00B400D0"/>
    <w:rsid w:val="00B4131D"/>
    <w:rsid w:val="00B415B7"/>
    <w:rsid w:val="00B41D45"/>
    <w:rsid w:val="00B42677"/>
    <w:rsid w:val="00B47216"/>
    <w:rsid w:val="00B52A65"/>
    <w:rsid w:val="00B54BC2"/>
    <w:rsid w:val="00B829AC"/>
    <w:rsid w:val="00B83470"/>
    <w:rsid w:val="00B84CA5"/>
    <w:rsid w:val="00B85AEF"/>
    <w:rsid w:val="00B90B9A"/>
    <w:rsid w:val="00B93AB4"/>
    <w:rsid w:val="00B9551E"/>
    <w:rsid w:val="00B95F9D"/>
    <w:rsid w:val="00B96317"/>
    <w:rsid w:val="00B96C83"/>
    <w:rsid w:val="00BA2019"/>
    <w:rsid w:val="00BA6A05"/>
    <w:rsid w:val="00BA7E4D"/>
    <w:rsid w:val="00BA7EF9"/>
    <w:rsid w:val="00BB04C2"/>
    <w:rsid w:val="00BB0A91"/>
    <w:rsid w:val="00BB12AA"/>
    <w:rsid w:val="00BB2048"/>
    <w:rsid w:val="00BB35FD"/>
    <w:rsid w:val="00BC10A9"/>
    <w:rsid w:val="00BC11A2"/>
    <w:rsid w:val="00BC1FE4"/>
    <w:rsid w:val="00BC326E"/>
    <w:rsid w:val="00BC523A"/>
    <w:rsid w:val="00BC5AC8"/>
    <w:rsid w:val="00BC6C6D"/>
    <w:rsid w:val="00BC6E68"/>
    <w:rsid w:val="00BC76C2"/>
    <w:rsid w:val="00BD0312"/>
    <w:rsid w:val="00BD1A13"/>
    <w:rsid w:val="00BD2E2B"/>
    <w:rsid w:val="00BD5570"/>
    <w:rsid w:val="00BD5D3A"/>
    <w:rsid w:val="00BE1310"/>
    <w:rsid w:val="00BE38CB"/>
    <w:rsid w:val="00BF051A"/>
    <w:rsid w:val="00BF05D9"/>
    <w:rsid w:val="00BF7DD2"/>
    <w:rsid w:val="00C032CB"/>
    <w:rsid w:val="00C04F4C"/>
    <w:rsid w:val="00C07C51"/>
    <w:rsid w:val="00C07F8B"/>
    <w:rsid w:val="00C10A73"/>
    <w:rsid w:val="00C118A6"/>
    <w:rsid w:val="00C226B2"/>
    <w:rsid w:val="00C27DC3"/>
    <w:rsid w:val="00C30E9F"/>
    <w:rsid w:val="00C33D78"/>
    <w:rsid w:val="00C3556D"/>
    <w:rsid w:val="00C36EAC"/>
    <w:rsid w:val="00C374ED"/>
    <w:rsid w:val="00C41599"/>
    <w:rsid w:val="00C42A1E"/>
    <w:rsid w:val="00C47A96"/>
    <w:rsid w:val="00C47AEB"/>
    <w:rsid w:val="00C5323E"/>
    <w:rsid w:val="00C57879"/>
    <w:rsid w:val="00C6025C"/>
    <w:rsid w:val="00C60613"/>
    <w:rsid w:val="00C62044"/>
    <w:rsid w:val="00C63163"/>
    <w:rsid w:val="00C6396E"/>
    <w:rsid w:val="00C66F64"/>
    <w:rsid w:val="00C716B6"/>
    <w:rsid w:val="00C723F5"/>
    <w:rsid w:val="00C769C5"/>
    <w:rsid w:val="00C76AB9"/>
    <w:rsid w:val="00C8163B"/>
    <w:rsid w:val="00C824E9"/>
    <w:rsid w:val="00C83D0A"/>
    <w:rsid w:val="00C8797A"/>
    <w:rsid w:val="00C90AD2"/>
    <w:rsid w:val="00C92A1A"/>
    <w:rsid w:val="00C94927"/>
    <w:rsid w:val="00C96ACC"/>
    <w:rsid w:val="00CA04D1"/>
    <w:rsid w:val="00CA0ACD"/>
    <w:rsid w:val="00CA0BF3"/>
    <w:rsid w:val="00CA3256"/>
    <w:rsid w:val="00CA5929"/>
    <w:rsid w:val="00CB1F0F"/>
    <w:rsid w:val="00CB2918"/>
    <w:rsid w:val="00CB3239"/>
    <w:rsid w:val="00CC144D"/>
    <w:rsid w:val="00CC37BE"/>
    <w:rsid w:val="00CC39ED"/>
    <w:rsid w:val="00CC3EE7"/>
    <w:rsid w:val="00CC5E5D"/>
    <w:rsid w:val="00CC67B2"/>
    <w:rsid w:val="00CC6A3B"/>
    <w:rsid w:val="00CD357D"/>
    <w:rsid w:val="00CD3D6D"/>
    <w:rsid w:val="00CD772A"/>
    <w:rsid w:val="00CE3168"/>
    <w:rsid w:val="00CE6C48"/>
    <w:rsid w:val="00CF0879"/>
    <w:rsid w:val="00CF0AF6"/>
    <w:rsid w:val="00CF351A"/>
    <w:rsid w:val="00CF6242"/>
    <w:rsid w:val="00CF6FFE"/>
    <w:rsid w:val="00D00562"/>
    <w:rsid w:val="00D00963"/>
    <w:rsid w:val="00D01E94"/>
    <w:rsid w:val="00D03395"/>
    <w:rsid w:val="00D05459"/>
    <w:rsid w:val="00D05D67"/>
    <w:rsid w:val="00D12D7D"/>
    <w:rsid w:val="00D13065"/>
    <w:rsid w:val="00D15061"/>
    <w:rsid w:val="00D156A0"/>
    <w:rsid w:val="00D15C08"/>
    <w:rsid w:val="00D20C8D"/>
    <w:rsid w:val="00D2308A"/>
    <w:rsid w:val="00D2552C"/>
    <w:rsid w:val="00D25DA2"/>
    <w:rsid w:val="00D25F55"/>
    <w:rsid w:val="00D3104F"/>
    <w:rsid w:val="00D37DF5"/>
    <w:rsid w:val="00D437CA"/>
    <w:rsid w:val="00D45099"/>
    <w:rsid w:val="00D47BE8"/>
    <w:rsid w:val="00D5085C"/>
    <w:rsid w:val="00D50DD1"/>
    <w:rsid w:val="00D52EAF"/>
    <w:rsid w:val="00D54435"/>
    <w:rsid w:val="00D66904"/>
    <w:rsid w:val="00D67D3C"/>
    <w:rsid w:val="00D71366"/>
    <w:rsid w:val="00D713BE"/>
    <w:rsid w:val="00D713F9"/>
    <w:rsid w:val="00D72F3F"/>
    <w:rsid w:val="00D83BA4"/>
    <w:rsid w:val="00D85F68"/>
    <w:rsid w:val="00D90BE5"/>
    <w:rsid w:val="00D95018"/>
    <w:rsid w:val="00DA1DE2"/>
    <w:rsid w:val="00DA3D7B"/>
    <w:rsid w:val="00DA45C7"/>
    <w:rsid w:val="00DA6754"/>
    <w:rsid w:val="00DA6A1B"/>
    <w:rsid w:val="00DB137C"/>
    <w:rsid w:val="00DB29AF"/>
    <w:rsid w:val="00DB3A52"/>
    <w:rsid w:val="00DC1B36"/>
    <w:rsid w:val="00DC6393"/>
    <w:rsid w:val="00DD14C9"/>
    <w:rsid w:val="00DD1599"/>
    <w:rsid w:val="00DD1F9F"/>
    <w:rsid w:val="00DD5027"/>
    <w:rsid w:val="00DD7D17"/>
    <w:rsid w:val="00DD7D1D"/>
    <w:rsid w:val="00DE083A"/>
    <w:rsid w:val="00DE3D19"/>
    <w:rsid w:val="00DE4513"/>
    <w:rsid w:val="00DE599F"/>
    <w:rsid w:val="00DF0263"/>
    <w:rsid w:val="00DF0DB7"/>
    <w:rsid w:val="00DF57C0"/>
    <w:rsid w:val="00DF594B"/>
    <w:rsid w:val="00DF7EA9"/>
    <w:rsid w:val="00E00339"/>
    <w:rsid w:val="00E029BB"/>
    <w:rsid w:val="00E02CB6"/>
    <w:rsid w:val="00E1191E"/>
    <w:rsid w:val="00E11D43"/>
    <w:rsid w:val="00E12A9C"/>
    <w:rsid w:val="00E12AC9"/>
    <w:rsid w:val="00E17120"/>
    <w:rsid w:val="00E23631"/>
    <w:rsid w:val="00E25FAB"/>
    <w:rsid w:val="00E27339"/>
    <w:rsid w:val="00E31BE2"/>
    <w:rsid w:val="00E33BF5"/>
    <w:rsid w:val="00E34D15"/>
    <w:rsid w:val="00E36504"/>
    <w:rsid w:val="00E36C8F"/>
    <w:rsid w:val="00E37E16"/>
    <w:rsid w:val="00E4279E"/>
    <w:rsid w:val="00E42A6B"/>
    <w:rsid w:val="00E50CCD"/>
    <w:rsid w:val="00E563FC"/>
    <w:rsid w:val="00E613C2"/>
    <w:rsid w:val="00E62CFE"/>
    <w:rsid w:val="00E6300C"/>
    <w:rsid w:val="00E66D8A"/>
    <w:rsid w:val="00E71775"/>
    <w:rsid w:val="00E7212D"/>
    <w:rsid w:val="00E73014"/>
    <w:rsid w:val="00E75E84"/>
    <w:rsid w:val="00E75F83"/>
    <w:rsid w:val="00E77623"/>
    <w:rsid w:val="00E8076B"/>
    <w:rsid w:val="00E80CB8"/>
    <w:rsid w:val="00E8202E"/>
    <w:rsid w:val="00E83C2C"/>
    <w:rsid w:val="00E84797"/>
    <w:rsid w:val="00E85242"/>
    <w:rsid w:val="00E874B9"/>
    <w:rsid w:val="00E91287"/>
    <w:rsid w:val="00E91454"/>
    <w:rsid w:val="00E93D08"/>
    <w:rsid w:val="00E95F3D"/>
    <w:rsid w:val="00EA08F1"/>
    <w:rsid w:val="00EA502F"/>
    <w:rsid w:val="00EA58F3"/>
    <w:rsid w:val="00EA6EEF"/>
    <w:rsid w:val="00EA7408"/>
    <w:rsid w:val="00EB3050"/>
    <w:rsid w:val="00EB4F93"/>
    <w:rsid w:val="00EC11DC"/>
    <w:rsid w:val="00EC2356"/>
    <w:rsid w:val="00EC3D4A"/>
    <w:rsid w:val="00EC64F9"/>
    <w:rsid w:val="00EC7B3F"/>
    <w:rsid w:val="00ED06F4"/>
    <w:rsid w:val="00ED1785"/>
    <w:rsid w:val="00ED1830"/>
    <w:rsid w:val="00ED5F68"/>
    <w:rsid w:val="00EE266E"/>
    <w:rsid w:val="00EE3514"/>
    <w:rsid w:val="00EE68FA"/>
    <w:rsid w:val="00EE7DE0"/>
    <w:rsid w:val="00EF0048"/>
    <w:rsid w:val="00EF039F"/>
    <w:rsid w:val="00EF0E39"/>
    <w:rsid w:val="00EF1535"/>
    <w:rsid w:val="00EF223C"/>
    <w:rsid w:val="00EF22B9"/>
    <w:rsid w:val="00EF6CF8"/>
    <w:rsid w:val="00EF7273"/>
    <w:rsid w:val="00F00592"/>
    <w:rsid w:val="00F0395E"/>
    <w:rsid w:val="00F044A0"/>
    <w:rsid w:val="00F05CF3"/>
    <w:rsid w:val="00F1027C"/>
    <w:rsid w:val="00F115FB"/>
    <w:rsid w:val="00F14C8F"/>
    <w:rsid w:val="00F176BC"/>
    <w:rsid w:val="00F269B1"/>
    <w:rsid w:val="00F314DF"/>
    <w:rsid w:val="00F33ECA"/>
    <w:rsid w:val="00F43DCA"/>
    <w:rsid w:val="00F5035E"/>
    <w:rsid w:val="00F5295D"/>
    <w:rsid w:val="00F666E3"/>
    <w:rsid w:val="00F6707A"/>
    <w:rsid w:val="00F717B3"/>
    <w:rsid w:val="00F72698"/>
    <w:rsid w:val="00F7426E"/>
    <w:rsid w:val="00F75811"/>
    <w:rsid w:val="00F81654"/>
    <w:rsid w:val="00F94022"/>
    <w:rsid w:val="00F946BD"/>
    <w:rsid w:val="00F967F5"/>
    <w:rsid w:val="00F9715C"/>
    <w:rsid w:val="00FA411E"/>
    <w:rsid w:val="00FA471A"/>
    <w:rsid w:val="00FA640A"/>
    <w:rsid w:val="00FA738C"/>
    <w:rsid w:val="00FB1E86"/>
    <w:rsid w:val="00FB5962"/>
    <w:rsid w:val="00FC5AC9"/>
    <w:rsid w:val="00FC5FD1"/>
    <w:rsid w:val="00FC7687"/>
    <w:rsid w:val="00FC773D"/>
    <w:rsid w:val="00FD2287"/>
    <w:rsid w:val="00FD5310"/>
    <w:rsid w:val="00FE1D6E"/>
    <w:rsid w:val="00FE2815"/>
    <w:rsid w:val="00FE35CB"/>
    <w:rsid w:val="00FE747D"/>
    <w:rsid w:val="00FE7E62"/>
    <w:rsid w:val="00FF012B"/>
    <w:rsid w:val="00FF211F"/>
    <w:rsid w:val="00FF3654"/>
    <w:rsid w:val="00FF614F"/>
    <w:rsid w:val="00FF72D9"/>
    <w:rsid w:val="00FF73F1"/>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C68"/>
  </w:style>
  <w:style w:type="paragraph" w:styleId="Heading1">
    <w:name w:val="heading 1"/>
    <w:basedOn w:val="Normal"/>
    <w:next w:val="Normal"/>
    <w:link w:val="Heading1Char"/>
    <w:autoRedefine/>
    <w:uiPriority w:val="9"/>
    <w:qFormat/>
    <w:rsid w:val="006A1BDB"/>
    <w:pPr>
      <w:keepNext/>
      <w:keepLines/>
      <w:numPr>
        <w:numId w:val="40"/>
      </w:numPr>
      <w:spacing w:before="240"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331BE8"/>
    <w:pPr>
      <w:keepNext/>
      <w:keepLines/>
      <w:spacing w:after="240" w:line="240" w:lineRule="auto"/>
      <w:ind w:left="144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331BE8"/>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5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1BDB"/>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D00963"/>
    <w:pPr>
      <w:tabs>
        <w:tab w:val="decimal" w:leader="dot" w:pos="9360"/>
      </w:tabs>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qFormat/>
    <w:rsid w:val="00D00963"/>
    <w:pPr>
      <w:tabs>
        <w:tab w:val="left" w:pos="2160"/>
        <w:tab w:val="decimal" w:leader="dot" w:pos="9360"/>
      </w:tabs>
      <w:spacing w:after="240" w:line="240" w:lineRule="auto"/>
      <w:ind w:left="1440" w:hanging="720"/>
      <w:outlineLvl w:val="1"/>
    </w:pPr>
    <w:rPr>
      <w:rFonts w:ascii="Times New Roman" w:hAnsi="Times New Roman"/>
      <w:sz w:val="24"/>
    </w:rPr>
  </w:style>
  <w:style w:type="paragraph" w:styleId="TOC3">
    <w:name w:val="toc 3"/>
    <w:basedOn w:val="Normal"/>
    <w:next w:val="Normal"/>
    <w:autoRedefine/>
    <w:uiPriority w:val="39"/>
    <w:unhideWhenUsed/>
    <w:rsid w:val="00D00963"/>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semiHidden/>
    <w:unhideWhenUsed/>
    <w:rsid w:val="00954447"/>
    <w:pPr>
      <w:spacing w:after="120"/>
    </w:pPr>
  </w:style>
  <w:style w:type="character" w:customStyle="1" w:styleId="BodyTextChar">
    <w:name w:val="Body Text Char"/>
    <w:basedOn w:val="DefaultParagraphFont"/>
    <w:link w:val="BodyText"/>
    <w:uiPriority w:val="99"/>
    <w:semiHidden/>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 w:type="paragraph" w:styleId="NormalWeb">
    <w:name w:val="Normal (Web)"/>
    <w:basedOn w:val="Normal"/>
    <w:uiPriority w:val="99"/>
    <w:unhideWhenUsed/>
    <w:rsid w:val="009A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ac"/>
    <w:basedOn w:val="DefaultParagraphFont"/>
    <w:rsid w:val="00A73698"/>
  </w:style>
  <w:style w:type="character" w:customStyle="1" w:styleId="apple-converted-space">
    <w:name w:val="apple-converted-space"/>
    <w:basedOn w:val="DefaultParagraphFont"/>
    <w:rsid w:val="00A73698"/>
  </w:style>
  <w:style w:type="character" w:customStyle="1" w:styleId="ssrfcsection">
    <w:name w:val="ss_rfcsection"/>
    <w:basedOn w:val="DefaultParagraphFont"/>
    <w:rsid w:val="00A73698"/>
  </w:style>
  <w:style w:type="character" w:customStyle="1" w:styleId="UnresolvedMention">
    <w:name w:val="Unresolved Mention"/>
    <w:basedOn w:val="DefaultParagraphFont"/>
    <w:uiPriority w:val="99"/>
    <w:rsid w:val="008A7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lpetrucci@vorys.com" TargetMode="External" /><Relationship Id="rId11" Type="http://schemas.openxmlformats.org/officeDocument/2006/relationships/hyperlink" Target="mailto:christopher.hollon@aes.com" TargetMode="External" /><Relationship Id="rId12" Type="http://schemas.openxmlformats.org/officeDocument/2006/relationships/hyperlink" Target="mailto:mpritchard@mcneeslaw.com" TargetMode="External" /><Relationship Id="rId13" Type="http://schemas.openxmlformats.org/officeDocument/2006/relationships/hyperlink" Target="mailto:matthew.sandor@puco.ohio.gov" TargetMode="External" /><Relationship Id="rId14" Type="http://schemas.openxmlformats.org/officeDocument/2006/relationships/hyperlink" Target="mailto:patricia.schabo@puco.ohio.gov" TargetMode="External" /><Relationship Id="rId15" Type="http://schemas.openxmlformats.org/officeDocument/2006/relationships/hyperlink" Target="mailto:rocco.dascenzo@duke-energy.com" TargetMode="External" /><Relationship Id="rId16" Type="http://schemas.openxmlformats.org/officeDocument/2006/relationships/hyperlink" Target="mailto:jeanne.kingery@duke-energy.com" TargetMode="External" /><Relationship Id="rId17" Type="http://schemas.openxmlformats.org/officeDocument/2006/relationships/hyperlink" Target="mailto:larisa.vaysman@duke-energy.com" TargetMode="External" /><Relationship Id="rId18" Type="http://schemas.openxmlformats.org/officeDocument/2006/relationships/hyperlink" Target="mailto:joe.oliker@igs.com" TargetMode="External" /><Relationship Id="rId19" Type="http://schemas.openxmlformats.org/officeDocument/2006/relationships/hyperlink" Target="mailto:michael.nugent@igs.com" TargetMode="External" /><Relationship Id="rId2" Type="http://schemas.openxmlformats.org/officeDocument/2006/relationships/settings" Target="settings.xml" /><Relationship Id="rId20" Type="http://schemas.openxmlformats.org/officeDocument/2006/relationships/hyperlink" Target="mailto:talexander@beneschlaw.com" TargetMode="External" /><Relationship Id="rId21" Type="http://schemas.openxmlformats.org/officeDocument/2006/relationships/hyperlink" Target="mailto:slesser@beneschlaw.com" TargetMode="External" /><Relationship Id="rId22" Type="http://schemas.openxmlformats.org/officeDocument/2006/relationships/hyperlink" Target="mailto:mkeaney@beneschlaw.com" TargetMode="External" /><Relationship Id="rId23" Type="http://schemas.openxmlformats.org/officeDocument/2006/relationships/hyperlink" Target="mailto:rendris@firstenergycorp.com" TargetMode="External" /><Relationship Id="rId24" Type="http://schemas.openxmlformats.org/officeDocument/2006/relationships/hyperlink" Target="mailto:mkurtz@BKLlawfirm.com" TargetMode="External" /><Relationship Id="rId25" Type="http://schemas.openxmlformats.org/officeDocument/2006/relationships/hyperlink" Target="mailto:kboehm@BKLlawfirm.com" TargetMode="External" /><Relationship Id="rId26" Type="http://schemas.openxmlformats.org/officeDocument/2006/relationships/hyperlink" Target="mailto:jkylercohn@BKLlawfirm.com" TargetMode="External" /><Relationship Id="rId27" Type="http://schemas.openxmlformats.org/officeDocument/2006/relationships/hyperlink" Target="mailto:stnourse@aep.com" TargetMode="External" /><Relationship Id="rId28" Type="http://schemas.openxmlformats.org/officeDocument/2006/relationships/header" Target="header1.xml" /><Relationship Id="rId29" Type="http://schemas.openxmlformats.org/officeDocument/2006/relationships/footer" Target="footer2.xm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footer" Target="footer1.xml" /><Relationship Id="rId8" Type="http://schemas.openxmlformats.org/officeDocument/2006/relationships/hyperlink" Target="mailto:thomas.lindgren@ohioAGO.gov" TargetMode="External" /><Relationship Id="rId9" Type="http://schemas.openxmlformats.org/officeDocument/2006/relationships/hyperlink" Target="mailto:whitt@whitt-sturtevan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2022-10-21T17:05:20Z</dcterms:created>
  <dcterms:modified xsi:type="dcterms:W3CDTF">2022-10-21T17:05:20Z</dcterms:modified>
</cp:coreProperties>
</file>