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62" w:rsidRDefault="00724362" w:rsidP="00724362">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724362" w:rsidRDefault="00724362" w:rsidP="00724362">
      <w:pPr>
        <w:pStyle w:val="HTMLPreformatted"/>
        <w:jc w:val="center"/>
        <w:rPr>
          <w:rFonts w:ascii="Times New Roman" w:hAnsi="Times New Roman"/>
          <w:sz w:val="24"/>
        </w:rPr>
      </w:pPr>
      <w:r>
        <w:rPr>
          <w:rFonts w:ascii="Times New Roman" w:hAnsi="Times New Roman"/>
          <w:b/>
          <w:bCs/>
          <w:sz w:val="24"/>
        </w:rPr>
        <w:t>THE PUBLIC UTILITIES COMMISSION OF OHIO</w:t>
      </w:r>
    </w:p>
    <w:p w:rsidR="00724362" w:rsidRDefault="00724362" w:rsidP="00724362">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724362" w:rsidTr="00724362">
        <w:trPr>
          <w:trHeight w:val="807"/>
        </w:trPr>
        <w:tc>
          <w:tcPr>
            <w:tcW w:w="4332" w:type="dxa"/>
            <w:hideMark/>
          </w:tcPr>
          <w:p w:rsidR="00724362" w:rsidRDefault="00724362" w:rsidP="00CE536D">
            <w:pPr>
              <w:pStyle w:val="HTMLPreformatted"/>
              <w:rPr>
                <w:rFonts w:ascii="Times New Roman" w:hAnsi="Times New Roman"/>
                <w:sz w:val="24"/>
                <w:szCs w:val="24"/>
              </w:rPr>
            </w:pPr>
            <w:r>
              <w:rPr>
                <w:rFonts w:ascii="Times New Roman" w:hAnsi="Times New Roman" w:cs="Times New Roman"/>
                <w:sz w:val="24"/>
                <w:szCs w:val="24"/>
              </w:rPr>
              <w:t xml:space="preserve">In the Matter of the Application of </w:t>
            </w:r>
            <w:r w:rsidR="00CE536D">
              <w:rPr>
                <w:rFonts w:ascii="Times New Roman" w:hAnsi="Times New Roman" w:cs="Times New Roman"/>
                <w:sz w:val="24"/>
                <w:szCs w:val="24"/>
              </w:rPr>
              <w:t>Ohio Edison Company, The Cleveland Electric Illuminating Company and The Toledo Edison Company for Approval of a New Service</w:t>
            </w:r>
            <w:r w:rsidR="00C1183F">
              <w:rPr>
                <w:rFonts w:ascii="Times New Roman" w:hAnsi="Times New Roman" w:cs="Times New Roman"/>
                <w:sz w:val="24"/>
                <w:szCs w:val="24"/>
              </w:rPr>
              <w:t>.</w:t>
            </w:r>
          </w:p>
        </w:tc>
        <w:tc>
          <w:tcPr>
            <w:tcW w:w="360" w:type="dxa"/>
            <w:hideMark/>
          </w:tcPr>
          <w:p w:rsidR="00724362" w:rsidRDefault="00724362">
            <w:pPr>
              <w:pStyle w:val="HTMLPreformatted"/>
              <w:rPr>
                <w:rFonts w:ascii="Times New Roman" w:hAnsi="Times New Roman"/>
                <w:sz w:val="24"/>
              </w:rPr>
            </w:pPr>
            <w:r>
              <w:rPr>
                <w:rFonts w:ascii="Times New Roman" w:hAnsi="Times New Roman"/>
                <w:sz w:val="24"/>
              </w:rPr>
              <w:t>)</w:t>
            </w:r>
          </w:p>
          <w:p w:rsidR="00724362" w:rsidRDefault="00724362">
            <w:pPr>
              <w:pStyle w:val="HTMLPreformatted"/>
              <w:rPr>
                <w:rFonts w:ascii="Times New Roman" w:hAnsi="Times New Roman"/>
                <w:sz w:val="24"/>
              </w:rPr>
            </w:pPr>
            <w:r>
              <w:rPr>
                <w:rFonts w:ascii="Times New Roman" w:hAnsi="Times New Roman"/>
                <w:sz w:val="24"/>
              </w:rPr>
              <w:t>)</w:t>
            </w:r>
          </w:p>
          <w:p w:rsidR="00724362" w:rsidRDefault="00724362">
            <w:pPr>
              <w:pStyle w:val="HTMLPreformatted"/>
              <w:rPr>
                <w:rFonts w:ascii="Times New Roman" w:hAnsi="Times New Roman"/>
                <w:sz w:val="24"/>
              </w:rPr>
            </w:pPr>
            <w:r>
              <w:rPr>
                <w:rFonts w:ascii="Times New Roman" w:hAnsi="Times New Roman"/>
                <w:sz w:val="24"/>
              </w:rPr>
              <w:t>)</w:t>
            </w:r>
          </w:p>
          <w:p w:rsidR="00C1183F" w:rsidRDefault="00C1183F">
            <w:pPr>
              <w:pStyle w:val="HTMLPreformatted"/>
              <w:rPr>
                <w:rFonts w:ascii="Times New Roman" w:hAnsi="Times New Roman"/>
                <w:sz w:val="24"/>
              </w:rPr>
            </w:pPr>
            <w:r>
              <w:rPr>
                <w:rFonts w:ascii="Times New Roman" w:hAnsi="Times New Roman"/>
                <w:sz w:val="24"/>
              </w:rPr>
              <w:t>)</w:t>
            </w:r>
          </w:p>
          <w:p w:rsidR="00C1183F" w:rsidRDefault="00C1183F">
            <w:pPr>
              <w:pStyle w:val="HTMLPreformatted"/>
              <w:rPr>
                <w:rFonts w:ascii="Times New Roman" w:hAnsi="Times New Roman"/>
                <w:sz w:val="24"/>
              </w:rPr>
            </w:pPr>
            <w:r>
              <w:rPr>
                <w:rFonts w:ascii="Times New Roman" w:hAnsi="Times New Roman"/>
                <w:sz w:val="24"/>
              </w:rPr>
              <w:t>)</w:t>
            </w:r>
          </w:p>
        </w:tc>
        <w:tc>
          <w:tcPr>
            <w:tcW w:w="4400" w:type="dxa"/>
          </w:tcPr>
          <w:p w:rsidR="00062332" w:rsidRDefault="00062332">
            <w:pPr>
              <w:pStyle w:val="HTMLPreformatted"/>
              <w:rPr>
                <w:rFonts w:ascii="Times New Roman" w:hAnsi="Times New Roman"/>
                <w:sz w:val="24"/>
              </w:rPr>
            </w:pPr>
          </w:p>
          <w:p w:rsidR="00724362" w:rsidRDefault="00CE536D">
            <w:pPr>
              <w:pStyle w:val="HTMLPreformatted"/>
              <w:rPr>
                <w:rFonts w:ascii="Times New Roman" w:hAnsi="Times New Roman"/>
                <w:sz w:val="24"/>
              </w:rPr>
            </w:pPr>
            <w:r>
              <w:rPr>
                <w:rFonts w:ascii="Times New Roman" w:hAnsi="Times New Roman"/>
                <w:sz w:val="24"/>
              </w:rPr>
              <w:t>Case No. 14-1980-EL-ATA</w:t>
            </w:r>
          </w:p>
          <w:p w:rsidR="00724362" w:rsidRDefault="0076464F" w:rsidP="00CE536D">
            <w:pPr>
              <w:pStyle w:val="HTMLPreformatted"/>
              <w:rPr>
                <w:rFonts w:ascii="Times New Roman" w:hAnsi="Times New Roman"/>
                <w:sz w:val="24"/>
              </w:rPr>
            </w:pPr>
            <w:r>
              <w:rPr>
                <w:rFonts w:ascii="Times New Roman" w:hAnsi="Times New Roman"/>
                <w:sz w:val="24"/>
              </w:rPr>
              <w:t xml:space="preserve">Case No. </w:t>
            </w:r>
            <w:r w:rsidR="00724362">
              <w:rPr>
                <w:rFonts w:ascii="Times New Roman" w:hAnsi="Times New Roman"/>
                <w:sz w:val="24"/>
              </w:rPr>
              <w:t>14-</w:t>
            </w:r>
            <w:r w:rsidR="00CE536D">
              <w:rPr>
                <w:rFonts w:ascii="Times New Roman" w:hAnsi="Times New Roman"/>
                <w:sz w:val="24"/>
              </w:rPr>
              <w:t>1981-EL-ATA</w:t>
            </w:r>
          </w:p>
          <w:p w:rsidR="00CE536D" w:rsidRDefault="0076464F" w:rsidP="0076464F">
            <w:pPr>
              <w:pStyle w:val="HTMLPreformatted"/>
              <w:rPr>
                <w:rFonts w:ascii="Times New Roman" w:hAnsi="Times New Roman"/>
                <w:sz w:val="24"/>
              </w:rPr>
            </w:pPr>
            <w:r>
              <w:rPr>
                <w:rFonts w:ascii="Times New Roman" w:hAnsi="Times New Roman"/>
                <w:sz w:val="24"/>
              </w:rPr>
              <w:t xml:space="preserve">Case No. </w:t>
            </w:r>
            <w:r w:rsidR="00CE536D">
              <w:rPr>
                <w:rFonts w:ascii="Times New Roman" w:hAnsi="Times New Roman"/>
                <w:sz w:val="24"/>
              </w:rPr>
              <w:t>14-1982-EL-ATA</w:t>
            </w:r>
          </w:p>
        </w:tc>
      </w:tr>
    </w:tbl>
    <w:p w:rsidR="00724362" w:rsidRDefault="00724362" w:rsidP="00724362">
      <w:pPr>
        <w:pStyle w:val="HTMLPreformatted"/>
        <w:rPr>
          <w:rFonts w:ascii="Times New Roman" w:hAnsi="Times New Roman"/>
          <w:sz w:val="24"/>
        </w:rPr>
      </w:pPr>
      <w:r>
        <w:rPr>
          <w:rFonts w:ascii="Times New Roman" w:hAnsi="Times New Roman"/>
          <w:sz w:val="24"/>
        </w:rPr>
        <w:tab/>
      </w:r>
    </w:p>
    <w:p w:rsidR="00724362" w:rsidRDefault="00724362" w:rsidP="00724362">
      <w:pPr>
        <w:pStyle w:val="HTMLPreformatted"/>
        <w:pBdr>
          <w:top w:val="single" w:sz="12" w:space="1" w:color="auto"/>
        </w:pBdr>
        <w:rPr>
          <w:rFonts w:ascii="Times New Roman" w:hAnsi="Times New Roman"/>
          <w:sz w:val="24"/>
        </w:rPr>
      </w:pPr>
    </w:p>
    <w:p w:rsidR="00724362" w:rsidRDefault="00724362" w:rsidP="00724362">
      <w:pPr>
        <w:jc w:val="center"/>
        <w:rPr>
          <w:b/>
          <w:bCs/>
        </w:rPr>
      </w:pPr>
      <w:r>
        <w:rPr>
          <w:b/>
          <w:bCs/>
        </w:rPr>
        <w:t xml:space="preserve">MOTION TO INTERVENE </w:t>
      </w:r>
    </w:p>
    <w:p w:rsidR="00724362" w:rsidRDefault="00724362" w:rsidP="00724362">
      <w:pPr>
        <w:jc w:val="center"/>
        <w:rPr>
          <w:b/>
          <w:bCs/>
        </w:rPr>
      </w:pPr>
      <w:r>
        <w:rPr>
          <w:b/>
          <w:bCs/>
        </w:rPr>
        <w:t>AND</w:t>
      </w:r>
    </w:p>
    <w:p w:rsidR="00724362" w:rsidRDefault="00724362" w:rsidP="00724362">
      <w:pPr>
        <w:jc w:val="center"/>
        <w:rPr>
          <w:b/>
          <w:bCs/>
        </w:rPr>
      </w:pPr>
      <w:r>
        <w:rPr>
          <w:b/>
          <w:bCs/>
        </w:rPr>
        <w:t>INITIAL COMMENTS</w:t>
      </w:r>
    </w:p>
    <w:p w:rsidR="00724362" w:rsidRDefault="00724362" w:rsidP="00724362">
      <w:pPr>
        <w:jc w:val="center"/>
        <w:rPr>
          <w:b/>
          <w:bCs/>
        </w:rPr>
      </w:pPr>
      <w:r>
        <w:rPr>
          <w:b/>
          <w:bCs/>
        </w:rPr>
        <w:t>BY</w:t>
      </w:r>
    </w:p>
    <w:p w:rsidR="00724362" w:rsidRDefault="00724362" w:rsidP="00724362">
      <w:pPr>
        <w:jc w:val="center"/>
        <w:rPr>
          <w:b/>
          <w:bCs/>
        </w:rPr>
      </w:pPr>
      <w:r>
        <w:rPr>
          <w:b/>
          <w:bCs/>
        </w:rPr>
        <w:t>THE OFFICE OF THE OHIO CONSUMERS’ COUNSEL</w:t>
      </w:r>
    </w:p>
    <w:p w:rsidR="00724362" w:rsidRDefault="00724362" w:rsidP="00724362">
      <w:pPr>
        <w:pBdr>
          <w:bottom w:val="single" w:sz="12" w:space="1" w:color="auto"/>
        </w:pBdr>
        <w:tabs>
          <w:tab w:val="left" w:pos="4320"/>
        </w:tabs>
      </w:pPr>
    </w:p>
    <w:p w:rsidR="00724362" w:rsidRDefault="00724362" w:rsidP="00724362">
      <w:pPr>
        <w:tabs>
          <w:tab w:val="left" w:pos="4320"/>
        </w:tabs>
      </w:pPr>
    </w:p>
    <w:p w:rsidR="00724362" w:rsidRDefault="00724362" w:rsidP="00724362">
      <w:pPr>
        <w:pStyle w:val="BodyTextIndent3"/>
        <w:widowControl w:val="0"/>
        <w:spacing w:line="480" w:lineRule="auto"/>
        <w:ind w:right="-312"/>
      </w:pPr>
      <w:r>
        <w:t>The Office of the Ohio Consumers’ Counsel (“OCC”) moves to intervene</w:t>
      </w:r>
      <w:r>
        <w:rPr>
          <w:rStyle w:val="FootnoteReference"/>
        </w:rPr>
        <w:footnoteReference w:id="2"/>
      </w:r>
      <w:r>
        <w:t xml:space="preserve"> in th</w:t>
      </w:r>
      <w:r w:rsidR="00446424">
        <w:t>ese</w:t>
      </w:r>
      <w:r>
        <w:t xml:space="preserve"> case</w:t>
      </w:r>
      <w:r w:rsidR="00446424">
        <w:t>s</w:t>
      </w:r>
      <w:r>
        <w:t xml:space="preserve"> where</w:t>
      </w:r>
      <w:r w:rsidR="00CE536D">
        <w:t xml:space="preserve"> </w:t>
      </w:r>
      <w:r w:rsidR="000D7E2D">
        <w:t>electric distribution utilit</w:t>
      </w:r>
      <w:r w:rsidR="00446424">
        <w:t>ies</w:t>
      </w:r>
      <w:r w:rsidR="000D7E2D">
        <w:t xml:space="preserve"> want to market</w:t>
      </w:r>
      <w:r w:rsidR="00102F0A">
        <w:t xml:space="preserve"> (and charge for)</w:t>
      </w:r>
      <w:r w:rsidR="000D7E2D">
        <w:t xml:space="preserve"> insurance products unrelated to distribution service to </w:t>
      </w:r>
      <w:r w:rsidR="00446424">
        <w:t>their</w:t>
      </w:r>
      <w:r w:rsidR="000D7E2D">
        <w:t xml:space="preserve"> customers through customers’ utility bills.</w:t>
      </w:r>
      <w:r w:rsidR="001F37A4">
        <w:t xml:space="preserve"> </w:t>
      </w:r>
      <w:r w:rsidR="00CE536D">
        <w:t>Ohio Edison Company, The Cleveland Electric Illuminating Company and The Toledo Edison Company</w:t>
      </w:r>
      <w:r>
        <w:t xml:space="preserve"> </w:t>
      </w:r>
      <w:r w:rsidR="00AD767F">
        <w:t>(</w:t>
      </w:r>
      <w:r>
        <w:t>“</w:t>
      </w:r>
      <w:r w:rsidR="00CE536D">
        <w:t>FirstEnergy</w:t>
      </w:r>
      <w:r w:rsidR="0096740A">
        <w:t>”) filed an Application to offer</w:t>
      </w:r>
      <w:r w:rsidR="000D7E2D">
        <w:t xml:space="preserve"> </w:t>
      </w:r>
      <w:r w:rsidR="0096740A">
        <w:t xml:space="preserve">insurance products </w:t>
      </w:r>
      <w:r w:rsidR="0006647F">
        <w:t xml:space="preserve">to </w:t>
      </w:r>
      <w:r w:rsidR="005300BC">
        <w:t xml:space="preserve">their </w:t>
      </w:r>
      <w:r w:rsidR="0006647F">
        <w:t>customers</w:t>
      </w:r>
      <w:r w:rsidR="007717B3">
        <w:t xml:space="preserve"> as a “Special Customer Service</w:t>
      </w:r>
      <w:r w:rsidR="00886A8C">
        <w:t>.</w:t>
      </w:r>
      <w:r w:rsidR="007717B3">
        <w:t>”</w:t>
      </w:r>
      <w:r>
        <w:t xml:space="preserve"> OCC fil</w:t>
      </w:r>
      <w:r w:rsidR="0006647F">
        <w:t>es</w:t>
      </w:r>
      <w:r>
        <w:t xml:space="preserve"> this Motion on behalf of the </w:t>
      </w:r>
      <w:r w:rsidR="00BF53F4">
        <w:t>1.</w:t>
      </w:r>
      <w:r w:rsidR="005300BC">
        <w:t>9</w:t>
      </w:r>
      <w:r w:rsidR="00BF53F4">
        <w:t xml:space="preserve"> million</w:t>
      </w:r>
      <w:r>
        <w:t xml:space="preserve"> residential utility customers of</w:t>
      </w:r>
      <w:r>
        <w:rPr>
          <w:szCs w:val="24"/>
        </w:rPr>
        <w:t xml:space="preserve"> </w:t>
      </w:r>
      <w:r w:rsidR="00CE536D">
        <w:rPr>
          <w:szCs w:val="24"/>
        </w:rPr>
        <w:t>FirstEnergy</w:t>
      </w:r>
      <w:r>
        <w:t xml:space="preserve">. </w:t>
      </w:r>
    </w:p>
    <w:p w:rsidR="00724362" w:rsidRDefault="00724362" w:rsidP="00724362">
      <w:pPr>
        <w:autoSpaceDE w:val="0"/>
        <w:autoSpaceDN w:val="0"/>
        <w:adjustRightInd w:val="0"/>
        <w:spacing w:line="480" w:lineRule="auto"/>
        <w:ind w:firstLine="720"/>
        <w:rPr>
          <w:szCs w:val="24"/>
        </w:rPr>
      </w:pPr>
      <w:r>
        <w:t xml:space="preserve">The reasons the </w:t>
      </w:r>
      <w:r w:rsidR="00AD767F">
        <w:t>PUCO</w:t>
      </w:r>
      <w:r>
        <w:t xml:space="preserve"> should grant OCC’s Motion </w:t>
      </w:r>
      <w:r w:rsidR="00196EC2">
        <w:t xml:space="preserve">to Intervene </w:t>
      </w:r>
      <w:r>
        <w:t>are further set forth in the attached Memorandum in Support</w:t>
      </w:r>
      <w:r w:rsidR="004D5A7B">
        <w:t>.  This filing</w:t>
      </w:r>
      <w:r w:rsidR="0048764B">
        <w:t xml:space="preserve"> also</w:t>
      </w:r>
      <w:r w:rsidR="004D5A7B">
        <w:t xml:space="preserve"> </w:t>
      </w:r>
      <w:r>
        <w:t xml:space="preserve">includes initial comments </w:t>
      </w:r>
      <w:r w:rsidR="0048764B">
        <w:t>for consumer protection</w:t>
      </w:r>
      <w:r w:rsidR="00F26DAF">
        <w:t>.</w:t>
      </w:r>
    </w:p>
    <w:p w:rsidR="0076464F" w:rsidRDefault="0076464F">
      <w:pPr>
        <w:spacing w:after="200" w:line="276" w:lineRule="auto"/>
        <w:rPr>
          <w:szCs w:val="24"/>
        </w:rPr>
      </w:pPr>
      <w:r>
        <w:rPr>
          <w:szCs w:val="24"/>
        </w:rPr>
        <w:br w:type="page"/>
      </w:r>
    </w:p>
    <w:p w:rsidR="00724362" w:rsidRDefault="00724362" w:rsidP="004E39AD">
      <w:pPr>
        <w:spacing w:after="200" w:line="276" w:lineRule="auto"/>
        <w:ind w:left="3600" w:firstLine="720"/>
      </w:pPr>
      <w:r>
        <w:rPr>
          <w:szCs w:val="24"/>
        </w:rPr>
        <w:lastRenderedPageBreak/>
        <w:t>Respectfully submitted,</w:t>
      </w:r>
    </w:p>
    <w:p w:rsidR="00724362" w:rsidRDefault="00724362" w:rsidP="00724362">
      <w:pPr>
        <w:pStyle w:val="Footer"/>
        <w:tabs>
          <w:tab w:val="left" w:pos="4320"/>
        </w:tabs>
        <w:spacing w:before="240"/>
        <w:rPr>
          <w:sz w:val="24"/>
          <w:szCs w:val="24"/>
        </w:rPr>
      </w:pPr>
      <w:r>
        <w:rPr>
          <w:sz w:val="24"/>
          <w:szCs w:val="24"/>
        </w:rPr>
        <w:tab/>
        <w:t>BRUCE J. WESTON</w:t>
      </w:r>
    </w:p>
    <w:p w:rsidR="00724362" w:rsidRDefault="00724362" w:rsidP="00724362">
      <w:pPr>
        <w:tabs>
          <w:tab w:val="left" w:pos="4320"/>
        </w:tabs>
        <w:rPr>
          <w:szCs w:val="24"/>
        </w:rPr>
      </w:pPr>
      <w:r>
        <w:rPr>
          <w:szCs w:val="24"/>
        </w:rPr>
        <w:tab/>
        <w:t>OHIO CONSUMERS’ COUNSEL</w:t>
      </w:r>
    </w:p>
    <w:p w:rsidR="00724362" w:rsidRDefault="00724362" w:rsidP="00724362">
      <w:pPr>
        <w:tabs>
          <w:tab w:val="left" w:pos="4320"/>
        </w:tabs>
        <w:rPr>
          <w:szCs w:val="24"/>
        </w:rPr>
      </w:pPr>
      <w:r>
        <w:rPr>
          <w:szCs w:val="24"/>
        </w:rPr>
        <w:tab/>
      </w:r>
    </w:p>
    <w:p w:rsidR="00724362" w:rsidRDefault="00724362" w:rsidP="00724362">
      <w:pPr>
        <w:tabs>
          <w:tab w:val="left" w:pos="4320"/>
        </w:tabs>
        <w:rPr>
          <w:szCs w:val="24"/>
        </w:rPr>
      </w:pPr>
      <w:r>
        <w:rPr>
          <w:szCs w:val="24"/>
        </w:rPr>
        <w:tab/>
      </w:r>
      <w:r>
        <w:rPr>
          <w:i/>
          <w:szCs w:val="24"/>
          <w:u w:val="single"/>
        </w:rPr>
        <w:t xml:space="preserve">/s/ </w:t>
      </w:r>
      <w:r w:rsidR="007E2240">
        <w:rPr>
          <w:i/>
          <w:szCs w:val="24"/>
          <w:u w:val="single"/>
        </w:rPr>
        <w:t>Jodi Bair</w:t>
      </w:r>
      <w:r>
        <w:rPr>
          <w:szCs w:val="24"/>
        </w:rPr>
        <w:t>____________________</w:t>
      </w:r>
    </w:p>
    <w:p w:rsidR="00724362" w:rsidRDefault="00724362" w:rsidP="00724362">
      <w:pPr>
        <w:tabs>
          <w:tab w:val="left" w:pos="4320"/>
        </w:tabs>
        <w:rPr>
          <w:szCs w:val="24"/>
        </w:rPr>
      </w:pPr>
      <w:r>
        <w:rPr>
          <w:szCs w:val="24"/>
        </w:rPr>
        <w:tab/>
      </w:r>
      <w:r w:rsidR="007E2240">
        <w:rPr>
          <w:szCs w:val="24"/>
        </w:rPr>
        <w:t>Jodi Bair</w:t>
      </w:r>
      <w:r>
        <w:rPr>
          <w:szCs w:val="24"/>
        </w:rPr>
        <w:t xml:space="preserve">, </w:t>
      </w:r>
      <w:r w:rsidR="00C1183F">
        <w:rPr>
          <w:szCs w:val="24"/>
        </w:rPr>
        <w:t xml:space="preserve">(0062921) </w:t>
      </w:r>
      <w:r>
        <w:rPr>
          <w:szCs w:val="24"/>
        </w:rPr>
        <w:t>Counsel of Record</w:t>
      </w:r>
    </w:p>
    <w:p w:rsidR="00724362" w:rsidRDefault="00724362" w:rsidP="00724362">
      <w:pPr>
        <w:tabs>
          <w:tab w:val="left" w:pos="4320"/>
        </w:tabs>
        <w:rPr>
          <w:szCs w:val="24"/>
        </w:rPr>
      </w:pPr>
      <w:r>
        <w:rPr>
          <w:szCs w:val="24"/>
        </w:rPr>
        <w:tab/>
        <w:t>Assistant Consumers’ Counsel</w:t>
      </w:r>
    </w:p>
    <w:p w:rsidR="00724362" w:rsidRDefault="00724362" w:rsidP="00724362">
      <w:r>
        <w:tab/>
      </w:r>
      <w:r>
        <w:tab/>
      </w:r>
      <w:r>
        <w:tab/>
      </w:r>
      <w:r>
        <w:tab/>
      </w:r>
      <w:r>
        <w:tab/>
      </w:r>
      <w:r>
        <w:tab/>
      </w:r>
    </w:p>
    <w:p w:rsidR="00724362" w:rsidRDefault="00724362" w:rsidP="00724362">
      <w:pPr>
        <w:ind w:left="3600" w:firstLine="720"/>
        <w:rPr>
          <w:b/>
        </w:rPr>
      </w:pPr>
      <w:r>
        <w:rPr>
          <w:b/>
        </w:rPr>
        <w:t>Office of the Ohio Consumers’ Counsel</w:t>
      </w:r>
    </w:p>
    <w:p w:rsidR="00724362" w:rsidRDefault="00724362" w:rsidP="00724362">
      <w:pPr>
        <w:ind w:left="4320"/>
      </w:pPr>
      <w:r>
        <w:t>10 West Broad Street, Suite 1800</w:t>
      </w:r>
    </w:p>
    <w:p w:rsidR="00724362" w:rsidRDefault="00724362" w:rsidP="00724362">
      <w:pPr>
        <w:ind w:left="4320"/>
      </w:pPr>
      <w:r>
        <w:t>Columbus, Ohio 43215-3485</w:t>
      </w:r>
    </w:p>
    <w:p w:rsidR="00724362" w:rsidRDefault="00724362" w:rsidP="00724362">
      <w:pPr>
        <w:autoSpaceDE w:val="0"/>
        <w:autoSpaceDN w:val="0"/>
        <w:adjustRightInd w:val="0"/>
        <w:ind w:left="3600" w:firstLine="720"/>
        <w:rPr>
          <w:szCs w:val="24"/>
        </w:rPr>
      </w:pPr>
      <w:r>
        <w:rPr>
          <w:szCs w:val="24"/>
        </w:rPr>
        <w:t>Telephone</w:t>
      </w:r>
      <w:r w:rsidR="008F7410">
        <w:rPr>
          <w:szCs w:val="24"/>
        </w:rPr>
        <w:t xml:space="preserve">:  </w:t>
      </w:r>
      <w:r>
        <w:rPr>
          <w:szCs w:val="24"/>
        </w:rPr>
        <w:t xml:space="preserve">(Direct </w:t>
      </w:r>
      <w:r w:rsidR="007E2240">
        <w:rPr>
          <w:szCs w:val="24"/>
        </w:rPr>
        <w:t>Bair</w:t>
      </w:r>
      <w:r>
        <w:rPr>
          <w:szCs w:val="24"/>
        </w:rPr>
        <w:t>) (614) 466-</w:t>
      </w:r>
      <w:r w:rsidR="007E2240">
        <w:rPr>
          <w:szCs w:val="24"/>
        </w:rPr>
        <w:t>955</w:t>
      </w:r>
      <w:r w:rsidR="000F55A5">
        <w:rPr>
          <w:szCs w:val="24"/>
        </w:rPr>
        <w:t>9</w:t>
      </w:r>
    </w:p>
    <w:p w:rsidR="00C1183F" w:rsidRDefault="00377EFC" w:rsidP="00724362">
      <w:pPr>
        <w:autoSpaceDE w:val="0"/>
        <w:autoSpaceDN w:val="0"/>
        <w:adjustRightInd w:val="0"/>
        <w:ind w:left="3600" w:firstLine="720"/>
        <w:rPr>
          <w:szCs w:val="24"/>
        </w:rPr>
      </w:pPr>
      <w:hyperlink r:id="rId8" w:history="1">
        <w:r w:rsidR="0076464F" w:rsidRPr="006840F0">
          <w:rPr>
            <w:rStyle w:val="Hyperlink"/>
            <w:szCs w:val="24"/>
          </w:rPr>
          <w:t>Jodi.bair@occ.ohio.gov</w:t>
        </w:r>
      </w:hyperlink>
    </w:p>
    <w:p w:rsidR="0076464F" w:rsidRPr="00704EF9" w:rsidRDefault="0045701D" w:rsidP="0076464F">
      <w:pPr>
        <w:autoSpaceDE w:val="0"/>
        <w:autoSpaceDN w:val="0"/>
        <w:adjustRightInd w:val="0"/>
        <w:ind w:left="4320"/>
        <w:rPr>
          <w:i/>
        </w:rPr>
      </w:pPr>
      <w:r>
        <w:rPr>
          <w:i/>
          <w:szCs w:val="24"/>
        </w:rPr>
        <w:t>(</w:t>
      </w:r>
      <w:r w:rsidR="0076464F" w:rsidRPr="00704EF9">
        <w:rPr>
          <w:i/>
        </w:rPr>
        <w:t>Will accept service via electronic transmission</w:t>
      </w:r>
      <w:r>
        <w:rPr>
          <w:i/>
          <w:szCs w:val="24"/>
        </w:rPr>
        <w:t>)</w:t>
      </w:r>
    </w:p>
    <w:p w:rsidR="0076464F" w:rsidRDefault="0076464F" w:rsidP="00724362">
      <w:pPr>
        <w:autoSpaceDE w:val="0"/>
        <w:autoSpaceDN w:val="0"/>
        <w:adjustRightInd w:val="0"/>
        <w:ind w:left="3600" w:firstLine="720"/>
        <w:rPr>
          <w:szCs w:val="24"/>
        </w:rPr>
      </w:pPr>
    </w:p>
    <w:p w:rsidR="00D15D3F" w:rsidRDefault="00D15D3F" w:rsidP="00AA7898">
      <w:pPr>
        <w:autoSpaceDE w:val="0"/>
        <w:autoSpaceDN w:val="0"/>
        <w:adjustRightInd w:val="0"/>
        <w:rPr>
          <w:szCs w:val="24"/>
        </w:rPr>
        <w:sectPr w:rsidR="00D15D3F" w:rsidSect="00D15D3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2"/>
          <w:cols w:space="720"/>
          <w:docGrid w:linePitch="360"/>
        </w:sectPr>
      </w:pPr>
    </w:p>
    <w:p w:rsidR="00C1183F" w:rsidRPr="00D15D3F" w:rsidRDefault="00AA7898" w:rsidP="00AA7898">
      <w:pPr>
        <w:autoSpaceDE w:val="0"/>
        <w:autoSpaceDN w:val="0"/>
        <w:adjustRightInd w:val="0"/>
        <w:jc w:val="center"/>
        <w:rPr>
          <w:b/>
          <w:szCs w:val="24"/>
        </w:rPr>
      </w:pPr>
      <w:r w:rsidRPr="00D15D3F">
        <w:rPr>
          <w:b/>
          <w:szCs w:val="24"/>
        </w:rPr>
        <w:lastRenderedPageBreak/>
        <w:t>TABLE OF CONTENTS</w:t>
      </w:r>
    </w:p>
    <w:p w:rsidR="00AA7898" w:rsidRDefault="00AA7898" w:rsidP="00724362">
      <w:pPr>
        <w:autoSpaceDE w:val="0"/>
        <w:autoSpaceDN w:val="0"/>
        <w:adjustRightInd w:val="0"/>
        <w:ind w:left="3600" w:firstLine="720"/>
        <w:rPr>
          <w:szCs w:val="24"/>
        </w:rPr>
      </w:pPr>
    </w:p>
    <w:p w:rsidR="00AA7898" w:rsidRPr="00D15D3F" w:rsidRDefault="00AA7898" w:rsidP="00724362">
      <w:pPr>
        <w:autoSpaceDE w:val="0"/>
        <w:autoSpaceDN w:val="0"/>
        <w:adjustRightInd w:val="0"/>
        <w:ind w:left="3600" w:firstLine="720"/>
        <w:rPr>
          <w:b/>
          <w:szCs w:val="24"/>
        </w:rPr>
      </w:pPr>
      <w:r>
        <w:rPr>
          <w:szCs w:val="24"/>
        </w:rPr>
        <w:tab/>
      </w:r>
      <w:r>
        <w:rPr>
          <w:szCs w:val="24"/>
        </w:rPr>
        <w:tab/>
      </w:r>
      <w:r>
        <w:rPr>
          <w:szCs w:val="24"/>
        </w:rPr>
        <w:tab/>
      </w:r>
      <w:r>
        <w:rPr>
          <w:szCs w:val="24"/>
        </w:rPr>
        <w:tab/>
      </w:r>
      <w:r w:rsidR="00C405C7">
        <w:rPr>
          <w:szCs w:val="24"/>
        </w:rPr>
        <w:tab/>
      </w:r>
      <w:r w:rsidRPr="00D15D3F">
        <w:rPr>
          <w:b/>
          <w:szCs w:val="24"/>
        </w:rPr>
        <w:t>PAGE</w:t>
      </w:r>
    </w:p>
    <w:p w:rsidR="00C405C7" w:rsidRDefault="00C405C7" w:rsidP="00724362">
      <w:pPr>
        <w:autoSpaceDE w:val="0"/>
        <w:autoSpaceDN w:val="0"/>
        <w:adjustRightInd w:val="0"/>
        <w:ind w:left="3600" w:firstLine="720"/>
        <w:rPr>
          <w:szCs w:val="24"/>
        </w:rPr>
      </w:pPr>
    </w:p>
    <w:p w:rsidR="00EB7CD2" w:rsidRDefault="00EB7CD2" w:rsidP="00264886">
      <w:pPr>
        <w:pStyle w:val="TOC1"/>
        <w:tabs>
          <w:tab w:val="clear" w:pos="720"/>
        </w:tabs>
        <w:ind w:right="720"/>
        <w:rPr>
          <w:rFonts w:asciiTheme="minorHAnsi" w:eastAsiaTheme="minorEastAsia" w:hAnsiTheme="minorHAnsi" w:cstheme="minorBidi"/>
          <w:caps w:val="0"/>
          <w:noProof/>
          <w:sz w:val="22"/>
          <w:szCs w:val="22"/>
        </w:rPr>
      </w:pPr>
      <w:r>
        <w:rPr>
          <w:b/>
          <w:bCs/>
          <w:caps w:val="0"/>
        </w:rPr>
        <w:fldChar w:fldCharType="begin"/>
      </w:r>
      <w:r>
        <w:rPr>
          <w:b/>
          <w:bCs/>
          <w:caps w:val="0"/>
        </w:rPr>
        <w:instrText xml:space="preserve"> TOC \o "1-3" \h \z \u </w:instrText>
      </w:r>
      <w:r>
        <w:rPr>
          <w:b/>
          <w:bCs/>
          <w:caps w:val="0"/>
        </w:rPr>
        <w:fldChar w:fldCharType="separate"/>
      </w:r>
      <w:hyperlink w:anchor="_Toc410376011" w:history="1">
        <w:r w:rsidRPr="00A63947">
          <w:rPr>
            <w:rStyle w:val="Hyperlink"/>
            <w:noProof/>
          </w:rPr>
          <w:t>I.</w:t>
        </w:r>
        <w:r>
          <w:rPr>
            <w:rFonts w:asciiTheme="minorHAnsi" w:eastAsiaTheme="minorEastAsia" w:hAnsiTheme="minorHAnsi" w:cstheme="minorBidi"/>
            <w:caps w:val="0"/>
            <w:noProof/>
            <w:sz w:val="22"/>
            <w:szCs w:val="22"/>
          </w:rPr>
          <w:tab/>
        </w:r>
        <w:r w:rsidRPr="00A63947">
          <w:rPr>
            <w:rStyle w:val="Hyperlink"/>
            <w:noProof/>
          </w:rPr>
          <w:t>BACKGROUND</w:t>
        </w:r>
        <w:r>
          <w:rPr>
            <w:noProof/>
            <w:webHidden/>
          </w:rPr>
          <w:tab/>
        </w:r>
        <w:r>
          <w:rPr>
            <w:noProof/>
            <w:webHidden/>
          </w:rPr>
          <w:fldChar w:fldCharType="begin"/>
        </w:r>
        <w:r>
          <w:rPr>
            <w:noProof/>
            <w:webHidden/>
          </w:rPr>
          <w:instrText xml:space="preserve"> PAGEREF _Toc410376011 \h </w:instrText>
        </w:r>
        <w:r>
          <w:rPr>
            <w:noProof/>
            <w:webHidden/>
          </w:rPr>
        </w:r>
        <w:r>
          <w:rPr>
            <w:noProof/>
            <w:webHidden/>
          </w:rPr>
          <w:fldChar w:fldCharType="separate"/>
        </w:r>
        <w:r w:rsidR="001A3510">
          <w:rPr>
            <w:noProof/>
            <w:webHidden/>
          </w:rPr>
          <w:t>1</w:t>
        </w:r>
        <w:r>
          <w:rPr>
            <w:noProof/>
            <w:webHidden/>
          </w:rPr>
          <w:fldChar w:fldCharType="end"/>
        </w:r>
      </w:hyperlink>
    </w:p>
    <w:p w:rsidR="00EB7CD2" w:rsidRDefault="00377EFC" w:rsidP="00264886">
      <w:pPr>
        <w:pStyle w:val="TOC1"/>
        <w:tabs>
          <w:tab w:val="clear" w:pos="720"/>
        </w:tabs>
        <w:ind w:right="720"/>
        <w:rPr>
          <w:rFonts w:asciiTheme="minorHAnsi" w:eastAsiaTheme="minorEastAsia" w:hAnsiTheme="minorHAnsi" w:cstheme="minorBidi"/>
          <w:caps w:val="0"/>
          <w:noProof/>
          <w:sz w:val="22"/>
          <w:szCs w:val="22"/>
        </w:rPr>
      </w:pPr>
      <w:hyperlink w:anchor="_Toc410376012" w:history="1">
        <w:r w:rsidR="00EB7CD2" w:rsidRPr="00A63947">
          <w:rPr>
            <w:rStyle w:val="Hyperlink"/>
            <w:noProof/>
          </w:rPr>
          <w:t>ii.</w:t>
        </w:r>
        <w:r w:rsidR="00EB7CD2">
          <w:rPr>
            <w:rFonts w:asciiTheme="minorHAnsi" w:eastAsiaTheme="minorEastAsia" w:hAnsiTheme="minorHAnsi" w:cstheme="minorBidi"/>
            <w:caps w:val="0"/>
            <w:noProof/>
            <w:sz w:val="22"/>
            <w:szCs w:val="22"/>
          </w:rPr>
          <w:tab/>
        </w:r>
        <w:r w:rsidR="00EB7CD2" w:rsidRPr="00A63947">
          <w:rPr>
            <w:rStyle w:val="Hyperlink"/>
            <w:noProof/>
          </w:rPr>
          <w:t>MEMORANDUM IN SUPPORT OF MOTION TO INTERVENE</w:t>
        </w:r>
        <w:r w:rsidR="00EB7CD2">
          <w:rPr>
            <w:noProof/>
            <w:webHidden/>
          </w:rPr>
          <w:tab/>
        </w:r>
        <w:r w:rsidR="00EB7CD2">
          <w:rPr>
            <w:noProof/>
            <w:webHidden/>
          </w:rPr>
          <w:fldChar w:fldCharType="begin"/>
        </w:r>
        <w:r w:rsidR="00EB7CD2">
          <w:rPr>
            <w:noProof/>
            <w:webHidden/>
          </w:rPr>
          <w:instrText xml:space="preserve"> PAGEREF _Toc410376012 \h </w:instrText>
        </w:r>
        <w:r w:rsidR="00EB7CD2">
          <w:rPr>
            <w:noProof/>
            <w:webHidden/>
          </w:rPr>
        </w:r>
        <w:r w:rsidR="00EB7CD2">
          <w:rPr>
            <w:noProof/>
            <w:webHidden/>
          </w:rPr>
          <w:fldChar w:fldCharType="separate"/>
        </w:r>
        <w:r w:rsidR="001A3510">
          <w:rPr>
            <w:noProof/>
            <w:webHidden/>
          </w:rPr>
          <w:t>2</w:t>
        </w:r>
        <w:r w:rsidR="00EB7CD2">
          <w:rPr>
            <w:noProof/>
            <w:webHidden/>
          </w:rPr>
          <w:fldChar w:fldCharType="end"/>
        </w:r>
      </w:hyperlink>
    </w:p>
    <w:p w:rsidR="00EB7CD2" w:rsidRDefault="00377EFC" w:rsidP="00264886">
      <w:pPr>
        <w:pStyle w:val="TOC1"/>
        <w:tabs>
          <w:tab w:val="clear" w:pos="720"/>
        </w:tabs>
        <w:ind w:right="720"/>
        <w:rPr>
          <w:rFonts w:asciiTheme="minorHAnsi" w:eastAsiaTheme="minorEastAsia" w:hAnsiTheme="minorHAnsi" w:cstheme="minorBidi"/>
          <w:caps w:val="0"/>
          <w:noProof/>
          <w:sz w:val="22"/>
          <w:szCs w:val="22"/>
        </w:rPr>
      </w:pPr>
      <w:hyperlink w:anchor="_Toc410376013" w:history="1">
        <w:r w:rsidR="00EB7CD2" w:rsidRPr="00A63947">
          <w:rPr>
            <w:rStyle w:val="Hyperlink"/>
            <w:noProof/>
          </w:rPr>
          <w:t>iii.</w:t>
        </w:r>
        <w:r w:rsidR="00EB7CD2">
          <w:rPr>
            <w:rFonts w:asciiTheme="minorHAnsi" w:eastAsiaTheme="minorEastAsia" w:hAnsiTheme="minorHAnsi" w:cstheme="minorBidi"/>
            <w:caps w:val="0"/>
            <w:noProof/>
            <w:sz w:val="22"/>
            <w:szCs w:val="22"/>
          </w:rPr>
          <w:tab/>
        </w:r>
        <w:r w:rsidR="00EB7CD2" w:rsidRPr="00A63947">
          <w:rPr>
            <w:rStyle w:val="Hyperlink"/>
            <w:noProof/>
          </w:rPr>
          <w:t>INITIAL COMMENTS</w:t>
        </w:r>
        <w:r w:rsidR="00EB7CD2">
          <w:rPr>
            <w:noProof/>
            <w:webHidden/>
          </w:rPr>
          <w:tab/>
        </w:r>
        <w:r w:rsidR="00EB7CD2">
          <w:rPr>
            <w:noProof/>
            <w:webHidden/>
          </w:rPr>
          <w:fldChar w:fldCharType="begin"/>
        </w:r>
        <w:r w:rsidR="00EB7CD2">
          <w:rPr>
            <w:noProof/>
            <w:webHidden/>
          </w:rPr>
          <w:instrText xml:space="preserve"> PAGEREF _Toc410376013 \h </w:instrText>
        </w:r>
        <w:r w:rsidR="00EB7CD2">
          <w:rPr>
            <w:noProof/>
            <w:webHidden/>
          </w:rPr>
        </w:r>
        <w:r w:rsidR="00EB7CD2">
          <w:rPr>
            <w:noProof/>
            <w:webHidden/>
          </w:rPr>
          <w:fldChar w:fldCharType="separate"/>
        </w:r>
        <w:r w:rsidR="001A3510">
          <w:rPr>
            <w:noProof/>
            <w:webHidden/>
          </w:rPr>
          <w:t>5</w:t>
        </w:r>
        <w:r w:rsidR="00EB7CD2">
          <w:rPr>
            <w:noProof/>
            <w:webHidden/>
          </w:rPr>
          <w:fldChar w:fldCharType="end"/>
        </w:r>
      </w:hyperlink>
    </w:p>
    <w:p w:rsidR="00EB7CD2" w:rsidRDefault="00377EFC" w:rsidP="00264886">
      <w:pPr>
        <w:pStyle w:val="TOC2"/>
        <w:tabs>
          <w:tab w:val="clear" w:pos="720"/>
          <w:tab w:val="left" w:pos="1440"/>
        </w:tabs>
        <w:ind w:right="720"/>
        <w:rPr>
          <w:rFonts w:asciiTheme="minorHAnsi" w:eastAsiaTheme="minorEastAsia" w:hAnsiTheme="minorHAnsi" w:cstheme="minorBidi"/>
          <w:noProof/>
          <w:sz w:val="22"/>
          <w:szCs w:val="22"/>
        </w:rPr>
      </w:pPr>
      <w:hyperlink w:anchor="_Toc410376014" w:history="1">
        <w:r w:rsidR="00EB7CD2" w:rsidRPr="00A63947">
          <w:rPr>
            <w:rStyle w:val="Hyperlink"/>
            <w:noProof/>
          </w:rPr>
          <w:t>A.</w:t>
        </w:r>
        <w:r w:rsidR="00EB7CD2">
          <w:rPr>
            <w:rFonts w:asciiTheme="minorHAnsi" w:eastAsiaTheme="minorEastAsia" w:hAnsiTheme="minorHAnsi" w:cstheme="minorBidi"/>
            <w:noProof/>
            <w:sz w:val="22"/>
            <w:szCs w:val="22"/>
          </w:rPr>
          <w:tab/>
        </w:r>
        <w:r w:rsidR="00EB7CD2" w:rsidRPr="00A63947">
          <w:rPr>
            <w:rStyle w:val="Hyperlink"/>
            <w:noProof/>
          </w:rPr>
          <w:t>The PUCO Should Protect Customers By Denying FirstEnergy’s Proposed Tariffs For Marketing Insurance Products On Regulated Electric Bills, Because The PUCO Has No Jurisdiction Over The Insurance Products And Related Services.</w:t>
        </w:r>
        <w:r w:rsidR="00EB7CD2">
          <w:rPr>
            <w:noProof/>
            <w:webHidden/>
          </w:rPr>
          <w:tab/>
        </w:r>
        <w:r w:rsidR="00EB7CD2">
          <w:rPr>
            <w:noProof/>
            <w:webHidden/>
          </w:rPr>
          <w:fldChar w:fldCharType="begin"/>
        </w:r>
        <w:r w:rsidR="00EB7CD2">
          <w:rPr>
            <w:noProof/>
            <w:webHidden/>
          </w:rPr>
          <w:instrText xml:space="preserve"> PAGEREF _Toc410376014 \h </w:instrText>
        </w:r>
        <w:r w:rsidR="00EB7CD2">
          <w:rPr>
            <w:noProof/>
            <w:webHidden/>
          </w:rPr>
        </w:r>
        <w:r w:rsidR="00EB7CD2">
          <w:rPr>
            <w:noProof/>
            <w:webHidden/>
          </w:rPr>
          <w:fldChar w:fldCharType="separate"/>
        </w:r>
        <w:r w:rsidR="001A3510">
          <w:rPr>
            <w:noProof/>
            <w:webHidden/>
          </w:rPr>
          <w:t>5</w:t>
        </w:r>
        <w:r w:rsidR="00EB7CD2">
          <w:rPr>
            <w:noProof/>
            <w:webHidden/>
          </w:rPr>
          <w:fldChar w:fldCharType="end"/>
        </w:r>
      </w:hyperlink>
    </w:p>
    <w:p w:rsidR="00EB7CD2" w:rsidRDefault="00377EFC" w:rsidP="00264886">
      <w:pPr>
        <w:pStyle w:val="TOC2"/>
        <w:tabs>
          <w:tab w:val="clear" w:pos="720"/>
          <w:tab w:val="left" w:pos="1440"/>
        </w:tabs>
        <w:ind w:right="720"/>
        <w:rPr>
          <w:rFonts w:asciiTheme="minorHAnsi" w:eastAsiaTheme="minorEastAsia" w:hAnsiTheme="minorHAnsi" w:cstheme="minorBidi"/>
          <w:noProof/>
          <w:sz w:val="22"/>
          <w:szCs w:val="22"/>
        </w:rPr>
      </w:pPr>
      <w:hyperlink w:anchor="_Toc410376015" w:history="1">
        <w:r w:rsidR="00EB7CD2" w:rsidRPr="00A63947">
          <w:rPr>
            <w:rStyle w:val="Hyperlink"/>
            <w:noProof/>
          </w:rPr>
          <w:t>B.</w:t>
        </w:r>
        <w:r w:rsidR="00EB7CD2">
          <w:rPr>
            <w:rFonts w:asciiTheme="minorHAnsi" w:eastAsiaTheme="minorEastAsia" w:hAnsiTheme="minorHAnsi" w:cstheme="minorBidi"/>
            <w:noProof/>
            <w:sz w:val="22"/>
            <w:szCs w:val="22"/>
          </w:rPr>
          <w:tab/>
        </w:r>
        <w:r w:rsidR="00EB7CD2" w:rsidRPr="00A63947">
          <w:rPr>
            <w:rStyle w:val="Hyperlink"/>
            <w:noProof/>
          </w:rPr>
          <w:t>The PUCO Should Deny FirstEnergy’s Request Because It May Cause Customer Confusion.</w:t>
        </w:r>
        <w:r w:rsidR="00EB7CD2">
          <w:rPr>
            <w:noProof/>
            <w:webHidden/>
          </w:rPr>
          <w:tab/>
        </w:r>
        <w:r w:rsidR="00EB7CD2">
          <w:rPr>
            <w:noProof/>
            <w:webHidden/>
          </w:rPr>
          <w:fldChar w:fldCharType="begin"/>
        </w:r>
        <w:r w:rsidR="00EB7CD2">
          <w:rPr>
            <w:noProof/>
            <w:webHidden/>
          </w:rPr>
          <w:instrText xml:space="preserve"> PAGEREF _Toc410376015 \h </w:instrText>
        </w:r>
        <w:r w:rsidR="00EB7CD2">
          <w:rPr>
            <w:noProof/>
            <w:webHidden/>
          </w:rPr>
        </w:r>
        <w:r w:rsidR="00EB7CD2">
          <w:rPr>
            <w:noProof/>
            <w:webHidden/>
          </w:rPr>
          <w:fldChar w:fldCharType="separate"/>
        </w:r>
        <w:r w:rsidR="001A3510">
          <w:rPr>
            <w:noProof/>
            <w:webHidden/>
          </w:rPr>
          <w:t>6</w:t>
        </w:r>
        <w:r w:rsidR="00EB7CD2">
          <w:rPr>
            <w:noProof/>
            <w:webHidden/>
          </w:rPr>
          <w:fldChar w:fldCharType="end"/>
        </w:r>
      </w:hyperlink>
    </w:p>
    <w:p w:rsidR="00EB7CD2" w:rsidRDefault="00377EFC" w:rsidP="00264886">
      <w:pPr>
        <w:pStyle w:val="TOC2"/>
        <w:tabs>
          <w:tab w:val="clear" w:pos="720"/>
          <w:tab w:val="left" w:pos="1440"/>
        </w:tabs>
        <w:ind w:right="720"/>
        <w:rPr>
          <w:rFonts w:asciiTheme="minorHAnsi" w:eastAsiaTheme="minorEastAsia" w:hAnsiTheme="minorHAnsi" w:cstheme="minorBidi"/>
          <w:noProof/>
          <w:sz w:val="22"/>
          <w:szCs w:val="22"/>
        </w:rPr>
      </w:pPr>
      <w:hyperlink w:anchor="_Toc410376016" w:history="1">
        <w:r w:rsidR="00EB7CD2" w:rsidRPr="00A63947">
          <w:rPr>
            <w:rStyle w:val="Hyperlink"/>
            <w:noProof/>
          </w:rPr>
          <w:t>C.</w:t>
        </w:r>
        <w:r w:rsidR="00EB7CD2">
          <w:rPr>
            <w:rFonts w:asciiTheme="minorHAnsi" w:eastAsiaTheme="minorEastAsia" w:hAnsiTheme="minorHAnsi" w:cstheme="minorBidi"/>
            <w:noProof/>
            <w:sz w:val="22"/>
            <w:szCs w:val="22"/>
          </w:rPr>
          <w:tab/>
        </w:r>
        <w:r w:rsidR="00EB7CD2" w:rsidRPr="00A63947">
          <w:rPr>
            <w:rStyle w:val="Hyperlink"/>
            <w:noProof/>
          </w:rPr>
          <w:t>The PUCO Should Deny FirstEnergy’s Request Because Making The Insurance Offering A Tariff-Approved Service Could Be Claimed (Wrongly) By The Utility To Allow For Disconnection Of Electric Service If A Customer Fails To Pay The Insurance Charge.</w:t>
        </w:r>
        <w:r w:rsidR="00EB7CD2">
          <w:rPr>
            <w:noProof/>
            <w:webHidden/>
          </w:rPr>
          <w:tab/>
        </w:r>
        <w:r w:rsidR="00EB7CD2">
          <w:rPr>
            <w:noProof/>
            <w:webHidden/>
          </w:rPr>
          <w:fldChar w:fldCharType="begin"/>
        </w:r>
        <w:r w:rsidR="00EB7CD2">
          <w:rPr>
            <w:noProof/>
            <w:webHidden/>
          </w:rPr>
          <w:instrText xml:space="preserve"> PAGEREF _Toc410376016 \h </w:instrText>
        </w:r>
        <w:r w:rsidR="00EB7CD2">
          <w:rPr>
            <w:noProof/>
            <w:webHidden/>
          </w:rPr>
        </w:r>
        <w:r w:rsidR="00EB7CD2">
          <w:rPr>
            <w:noProof/>
            <w:webHidden/>
          </w:rPr>
          <w:fldChar w:fldCharType="separate"/>
        </w:r>
        <w:r w:rsidR="001A3510">
          <w:rPr>
            <w:noProof/>
            <w:webHidden/>
          </w:rPr>
          <w:t>7</w:t>
        </w:r>
        <w:r w:rsidR="00EB7CD2">
          <w:rPr>
            <w:noProof/>
            <w:webHidden/>
          </w:rPr>
          <w:fldChar w:fldCharType="end"/>
        </w:r>
      </w:hyperlink>
    </w:p>
    <w:p w:rsidR="00EB7CD2" w:rsidRDefault="00377EFC" w:rsidP="00264886">
      <w:pPr>
        <w:pStyle w:val="TOC2"/>
        <w:tabs>
          <w:tab w:val="clear" w:pos="720"/>
          <w:tab w:val="left" w:pos="1440"/>
        </w:tabs>
        <w:ind w:right="720"/>
        <w:rPr>
          <w:rFonts w:asciiTheme="minorHAnsi" w:eastAsiaTheme="minorEastAsia" w:hAnsiTheme="minorHAnsi" w:cstheme="minorBidi"/>
          <w:noProof/>
          <w:sz w:val="22"/>
          <w:szCs w:val="22"/>
        </w:rPr>
      </w:pPr>
      <w:hyperlink w:anchor="_Toc410376017" w:history="1">
        <w:r w:rsidR="00EB7CD2" w:rsidRPr="00A63947">
          <w:rPr>
            <w:rStyle w:val="Hyperlink"/>
            <w:noProof/>
          </w:rPr>
          <w:t>D.</w:t>
        </w:r>
        <w:r w:rsidR="00EB7CD2">
          <w:rPr>
            <w:rFonts w:asciiTheme="minorHAnsi" w:eastAsiaTheme="minorEastAsia" w:hAnsiTheme="minorHAnsi" w:cstheme="minorBidi"/>
            <w:noProof/>
            <w:sz w:val="22"/>
            <w:szCs w:val="22"/>
          </w:rPr>
          <w:tab/>
        </w:r>
        <w:r w:rsidR="00EB7CD2" w:rsidRPr="00A63947">
          <w:rPr>
            <w:rStyle w:val="Hyperlink"/>
            <w:noProof/>
          </w:rPr>
          <w:t>FirstEnergy Has Not Demonstrated That Providing This Billing Service To Insurance Companies Prohibits Anticompetitive Subsidies From A Noncompetitive Retail Distribution Service To A Competitive Retail Electric Service Or Product.</w:t>
        </w:r>
        <w:r w:rsidR="00EB7CD2">
          <w:rPr>
            <w:noProof/>
            <w:webHidden/>
          </w:rPr>
          <w:tab/>
        </w:r>
        <w:r w:rsidR="00EB7CD2">
          <w:rPr>
            <w:noProof/>
            <w:webHidden/>
          </w:rPr>
          <w:fldChar w:fldCharType="begin"/>
        </w:r>
        <w:r w:rsidR="00EB7CD2">
          <w:rPr>
            <w:noProof/>
            <w:webHidden/>
          </w:rPr>
          <w:instrText xml:space="preserve"> PAGEREF _Toc410376017 \h </w:instrText>
        </w:r>
        <w:r w:rsidR="00EB7CD2">
          <w:rPr>
            <w:noProof/>
            <w:webHidden/>
          </w:rPr>
        </w:r>
        <w:r w:rsidR="00EB7CD2">
          <w:rPr>
            <w:noProof/>
            <w:webHidden/>
          </w:rPr>
          <w:fldChar w:fldCharType="separate"/>
        </w:r>
        <w:r w:rsidR="001A3510">
          <w:rPr>
            <w:noProof/>
            <w:webHidden/>
          </w:rPr>
          <w:t>8</w:t>
        </w:r>
        <w:r w:rsidR="00EB7CD2">
          <w:rPr>
            <w:noProof/>
            <w:webHidden/>
          </w:rPr>
          <w:fldChar w:fldCharType="end"/>
        </w:r>
      </w:hyperlink>
    </w:p>
    <w:p w:rsidR="00EB7CD2" w:rsidRDefault="00377EFC" w:rsidP="00264886">
      <w:pPr>
        <w:pStyle w:val="TOC1"/>
        <w:tabs>
          <w:tab w:val="clear" w:pos="720"/>
        </w:tabs>
        <w:ind w:right="720"/>
        <w:rPr>
          <w:rFonts w:asciiTheme="minorHAnsi" w:eastAsiaTheme="minorEastAsia" w:hAnsiTheme="minorHAnsi" w:cstheme="minorBidi"/>
          <w:caps w:val="0"/>
          <w:noProof/>
          <w:sz w:val="22"/>
          <w:szCs w:val="22"/>
        </w:rPr>
      </w:pPr>
      <w:hyperlink w:anchor="_Toc410376018" w:history="1">
        <w:r w:rsidR="00EB7CD2" w:rsidRPr="00A63947">
          <w:rPr>
            <w:rStyle w:val="Hyperlink"/>
            <w:noProof/>
          </w:rPr>
          <w:t>IV.</w:t>
        </w:r>
        <w:r w:rsidR="00EB7CD2">
          <w:rPr>
            <w:rFonts w:asciiTheme="minorHAnsi" w:eastAsiaTheme="minorEastAsia" w:hAnsiTheme="minorHAnsi" w:cstheme="minorBidi"/>
            <w:caps w:val="0"/>
            <w:noProof/>
            <w:sz w:val="22"/>
            <w:szCs w:val="22"/>
          </w:rPr>
          <w:tab/>
        </w:r>
        <w:r w:rsidR="00EB7CD2" w:rsidRPr="00A63947">
          <w:rPr>
            <w:rStyle w:val="Hyperlink"/>
            <w:noProof/>
          </w:rPr>
          <w:t>CONCLUSION</w:t>
        </w:r>
        <w:r w:rsidR="00EB7CD2">
          <w:rPr>
            <w:noProof/>
            <w:webHidden/>
          </w:rPr>
          <w:tab/>
        </w:r>
        <w:r w:rsidR="00EB7CD2">
          <w:rPr>
            <w:noProof/>
            <w:webHidden/>
          </w:rPr>
          <w:fldChar w:fldCharType="begin"/>
        </w:r>
        <w:r w:rsidR="00EB7CD2">
          <w:rPr>
            <w:noProof/>
            <w:webHidden/>
          </w:rPr>
          <w:instrText xml:space="preserve"> PAGEREF _Toc410376018 \h </w:instrText>
        </w:r>
        <w:r w:rsidR="00EB7CD2">
          <w:rPr>
            <w:noProof/>
            <w:webHidden/>
          </w:rPr>
        </w:r>
        <w:r w:rsidR="00EB7CD2">
          <w:rPr>
            <w:noProof/>
            <w:webHidden/>
          </w:rPr>
          <w:fldChar w:fldCharType="separate"/>
        </w:r>
        <w:r w:rsidR="001A3510">
          <w:rPr>
            <w:noProof/>
            <w:webHidden/>
          </w:rPr>
          <w:t>9</w:t>
        </w:r>
        <w:r w:rsidR="00EB7CD2">
          <w:rPr>
            <w:noProof/>
            <w:webHidden/>
          </w:rPr>
          <w:fldChar w:fldCharType="end"/>
        </w:r>
      </w:hyperlink>
    </w:p>
    <w:p w:rsidR="00D15D3F" w:rsidRDefault="00EB7CD2">
      <w:pPr>
        <w:spacing w:after="200" w:line="276" w:lineRule="auto"/>
        <w:rPr>
          <w:b/>
          <w:bCs/>
        </w:rPr>
        <w:sectPr w:rsidR="00D15D3F" w:rsidSect="00D15D3F">
          <w:headerReference w:type="even" r:id="rId15"/>
          <w:headerReference w:type="default" r:id="rId16"/>
          <w:footerReference w:type="default" r:id="rId17"/>
          <w:headerReference w:type="first" r:id="rId18"/>
          <w:pgSz w:w="12240" w:h="15840"/>
          <w:pgMar w:top="1440" w:right="1800" w:bottom="1440" w:left="1800" w:header="720" w:footer="720" w:gutter="0"/>
          <w:pgNumType w:fmt="lowerRoman" w:start="1"/>
          <w:cols w:space="720"/>
          <w:docGrid w:linePitch="360"/>
        </w:sectPr>
      </w:pPr>
      <w:r>
        <w:rPr>
          <w:b/>
          <w:bCs/>
          <w:caps/>
        </w:rPr>
        <w:fldChar w:fldCharType="end"/>
      </w:r>
      <w:r w:rsidR="00C1183F">
        <w:rPr>
          <w:b/>
          <w:bCs/>
        </w:rPr>
        <w:br w:type="page"/>
      </w:r>
    </w:p>
    <w:p w:rsidR="00724362" w:rsidRDefault="00724362" w:rsidP="00724362">
      <w:pPr>
        <w:pStyle w:val="HTMLPreformatted"/>
        <w:jc w:val="center"/>
        <w:rPr>
          <w:rFonts w:ascii="Times New Roman" w:hAnsi="Times New Roman"/>
          <w:b/>
          <w:bCs/>
          <w:sz w:val="24"/>
        </w:rPr>
      </w:pPr>
      <w:r>
        <w:rPr>
          <w:rFonts w:ascii="Times New Roman" w:hAnsi="Times New Roman"/>
          <w:b/>
          <w:bCs/>
          <w:sz w:val="24"/>
        </w:rPr>
        <w:lastRenderedPageBreak/>
        <w:t>BEFORE</w:t>
      </w:r>
    </w:p>
    <w:p w:rsidR="00724362" w:rsidRDefault="00724362" w:rsidP="00724362">
      <w:pPr>
        <w:pStyle w:val="HTMLPreformatted"/>
        <w:jc w:val="center"/>
        <w:rPr>
          <w:rFonts w:ascii="Times New Roman" w:hAnsi="Times New Roman"/>
          <w:sz w:val="24"/>
        </w:rPr>
      </w:pPr>
      <w:r>
        <w:rPr>
          <w:rFonts w:ascii="Times New Roman" w:hAnsi="Times New Roman"/>
          <w:b/>
          <w:bCs/>
          <w:sz w:val="24"/>
        </w:rPr>
        <w:t>THE PUBLIC UTILITIES COMMISSION OF OHIO</w:t>
      </w:r>
    </w:p>
    <w:p w:rsidR="00724362" w:rsidRDefault="00724362" w:rsidP="00724362">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724362" w:rsidTr="00724362">
        <w:trPr>
          <w:trHeight w:val="807"/>
        </w:trPr>
        <w:tc>
          <w:tcPr>
            <w:tcW w:w="4332" w:type="dxa"/>
            <w:hideMark/>
          </w:tcPr>
          <w:p w:rsidR="00724362" w:rsidRDefault="00724362" w:rsidP="007E2240">
            <w:pPr>
              <w:pStyle w:val="HTMLPreformatted"/>
              <w:rPr>
                <w:rFonts w:ascii="Times New Roman" w:hAnsi="Times New Roman"/>
                <w:sz w:val="24"/>
                <w:szCs w:val="24"/>
              </w:rPr>
            </w:pPr>
            <w:r>
              <w:rPr>
                <w:rFonts w:ascii="Times New Roman" w:hAnsi="Times New Roman" w:cs="Times New Roman"/>
                <w:sz w:val="24"/>
                <w:szCs w:val="24"/>
              </w:rPr>
              <w:t xml:space="preserve">In the Matter of the Application of </w:t>
            </w:r>
            <w:r w:rsidR="007E2240">
              <w:rPr>
                <w:rFonts w:ascii="Times New Roman" w:hAnsi="Times New Roman" w:cs="Times New Roman"/>
                <w:sz w:val="24"/>
                <w:szCs w:val="24"/>
              </w:rPr>
              <w:t>Ohio Edison Company, The Cleveland Electric Illuminating Company and</w:t>
            </w:r>
            <w:r w:rsidR="00777EAB">
              <w:rPr>
                <w:rFonts w:ascii="Times New Roman" w:hAnsi="Times New Roman" w:cs="Times New Roman"/>
                <w:sz w:val="24"/>
                <w:szCs w:val="24"/>
              </w:rPr>
              <w:t xml:space="preserve"> The Toledo Edison Company for A</w:t>
            </w:r>
            <w:r w:rsidR="007E2240">
              <w:rPr>
                <w:rFonts w:ascii="Times New Roman" w:hAnsi="Times New Roman" w:cs="Times New Roman"/>
                <w:sz w:val="24"/>
                <w:szCs w:val="24"/>
              </w:rPr>
              <w:t>pproval of a New Service</w:t>
            </w:r>
            <w:r w:rsidR="00C1183F">
              <w:rPr>
                <w:rFonts w:ascii="Times New Roman" w:hAnsi="Times New Roman" w:cs="Times New Roman"/>
                <w:sz w:val="24"/>
                <w:szCs w:val="24"/>
              </w:rPr>
              <w:t>.</w:t>
            </w:r>
          </w:p>
        </w:tc>
        <w:tc>
          <w:tcPr>
            <w:tcW w:w="360" w:type="dxa"/>
            <w:hideMark/>
          </w:tcPr>
          <w:p w:rsidR="00724362" w:rsidRDefault="00724362">
            <w:pPr>
              <w:pStyle w:val="HTMLPreformatted"/>
              <w:rPr>
                <w:rFonts w:ascii="Times New Roman" w:hAnsi="Times New Roman"/>
                <w:sz w:val="24"/>
              </w:rPr>
            </w:pPr>
            <w:r>
              <w:rPr>
                <w:rFonts w:ascii="Times New Roman" w:hAnsi="Times New Roman"/>
                <w:sz w:val="24"/>
              </w:rPr>
              <w:t>)</w:t>
            </w:r>
          </w:p>
          <w:p w:rsidR="00724362" w:rsidRDefault="00724362">
            <w:pPr>
              <w:pStyle w:val="HTMLPreformatted"/>
              <w:rPr>
                <w:rFonts w:ascii="Times New Roman" w:hAnsi="Times New Roman"/>
                <w:sz w:val="24"/>
              </w:rPr>
            </w:pPr>
            <w:r>
              <w:rPr>
                <w:rFonts w:ascii="Times New Roman" w:hAnsi="Times New Roman"/>
                <w:sz w:val="24"/>
              </w:rPr>
              <w:t>)</w:t>
            </w:r>
          </w:p>
          <w:p w:rsidR="00724362" w:rsidRDefault="00724362">
            <w:pPr>
              <w:pStyle w:val="HTMLPreformatted"/>
              <w:rPr>
                <w:rFonts w:ascii="Times New Roman" w:hAnsi="Times New Roman"/>
                <w:sz w:val="24"/>
              </w:rPr>
            </w:pPr>
            <w:r>
              <w:rPr>
                <w:rFonts w:ascii="Times New Roman" w:hAnsi="Times New Roman"/>
                <w:sz w:val="24"/>
              </w:rPr>
              <w:t>)</w:t>
            </w:r>
          </w:p>
          <w:p w:rsidR="00C1183F" w:rsidRDefault="00C1183F">
            <w:pPr>
              <w:pStyle w:val="HTMLPreformatted"/>
              <w:rPr>
                <w:rFonts w:ascii="Times New Roman" w:hAnsi="Times New Roman"/>
                <w:sz w:val="24"/>
              </w:rPr>
            </w:pPr>
            <w:r>
              <w:rPr>
                <w:rFonts w:ascii="Times New Roman" w:hAnsi="Times New Roman"/>
                <w:sz w:val="24"/>
              </w:rPr>
              <w:t>)</w:t>
            </w:r>
          </w:p>
          <w:p w:rsidR="00C1183F" w:rsidRDefault="00C1183F">
            <w:pPr>
              <w:pStyle w:val="HTMLPreformatted"/>
              <w:rPr>
                <w:rFonts w:ascii="Times New Roman" w:hAnsi="Times New Roman"/>
                <w:sz w:val="24"/>
              </w:rPr>
            </w:pPr>
            <w:r>
              <w:rPr>
                <w:rFonts w:ascii="Times New Roman" w:hAnsi="Times New Roman"/>
                <w:sz w:val="24"/>
              </w:rPr>
              <w:t>)</w:t>
            </w:r>
          </w:p>
        </w:tc>
        <w:tc>
          <w:tcPr>
            <w:tcW w:w="4400" w:type="dxa"/>
          </w:tcPr>
          <w:p w:rsidR="00062332" w:rsidRDefault="00062332">
            <w:pPr>
              <w:pStyle w:val="HTMLPreformatted"/>
              <w:rPr>
                <w:rFonts w:ascii="Times New Roman" w:hAnsi="Times New Roman"/>
                <w:sz w:val="24"/>
              </w:rPr>
            </w:pPr>
          </w:p>
          <w:p w:rsidR="00724362" w:rsidRDefault="007E2240">
            <w:pPr>
              <w:pStyle w:val="HTMLPreformatted"/>
              <w:rPr>
                <w:rFonts w:ascii="Times New Roman" w:hAnsi="Times New Roman"/>
                <w:sz w:val="24"/>
              </w:rPr>
            </w:pPr>
            <w:r>
              <w:rPr>
                <w:rFonts w:ascii="Times New Roman" w:hAnsi="Times New Roman"/>
                <w:sz w:val="24"/>
              </w:rPr>
              <w:t>Case No. 14-1980-EL-ATA</w:t>
            </w:r>
          </w:p>
          <w:p w:rsidR="007E2240" w:rsidRDefault="0076464F">
            <w:pPr>
              <w:pStyle w:val="HTMLPreformatted"/>
              <w:rPr>
                <w:rFonts w:ascii="Times New Roman" w:hAnsi="Times New Roman"/>
                <w:sz w:val="24"/>
              </w:rPr>
            </w:pPr>
            <w:r>
              <w:rPr>
                <w:rFonts w:ascii="Times New Roman" w:hAnsi="Times New Roman"/>
                <w:sz w:val="24"/>
              </w:rPr>
              <w:t xml:space="preserve">Case No. </w:t>
            </w:r>
            <w:r w:rsidR="007E2240">
              <w:rPr>
                <w:rFonts w:ascii="Times New Roman" w:hAnsi="Times New Roman"/>
                <w:sz w:val="24"/>
              </w:rPr>
              <w:t>14-1981-EL-ATA</w:t>
            </w:r>
          </w:p>
          <w:p w:rsidR="00724362" w:rsidRDefault="0076464F">
            <w:pPr>
              <w:pStyle w:val="HTMLPreformatted"/>
              <w:rPr>
                <w:rFonts w:ascii="Times New Roman" w:hAnsi="Times New Roman"/>
                <w:sz w:val="24"/>
              </w:rPr>
            </w:pPr>
            <w:r>
              <w:rPr>
                <w:rFonts w:ascii="Times New Roman" w:hAnsi="Times New Roman"/>
                <w:sz w:val="24"/>
              </w:rPr>
              <w:t xml:space="preserve">Case No. </w:t>
            </w:r>
            <w:r w:rsidR="007E2240">
              <w:rPr>
                <w:rFonts w:ascii="Times New Roman" w:hAnsi="Times New Roman"/>
                <w:sz w:val="24"/>
              </w:rPr>
              <w:t>14-1982-EL-ATA</w:t>
            </w:r>
          </w:p>
          <w:p w:rsidR="00724362" w:rsidRDefault="00724362">
            <w:pPr>
              <w:pStyle w:val="HTMLPreformatted"/>
              <w:rPr>
                <w:rFonts w:ascii="Times New Roman" w:hAnsi="Times New Roman"/>
                <w:sz w:val="24"/>
              </w:rPr>
            </w:pPr>
          </w:p>
        </w:tc>
      </w:tr>
    </w:tbl>
    <w:p w:rsidR="00724362" w:rsidRDefault="00724362" w:rsidP="00724362">
      <w:pPr>
        <w:pBdr>
          <w:bottom w:val="single" w:sz="12" w:space="1" w:color="auto"/>
        </w:pBdr>
        <w:jc w:val="center"/>
        <w:rPr>
          <w:b/>
        </w:rPr>
      </w:pPr>
    </w:p>
    <w:p w:rsidR="00724362" w:rsidRDefault="00724362" w:rsidP="00724362">
      <w:pPr>
        <w:rPr>
          <w:b/>
        </w:rPr>
      </w:pPr>
    </w:p>
    <w:p w:rsidR="00724362" w:rsidRDefault="00724362" w:rsidP="00724362">
      <w:pPr>
        <w:jc w:val="center"/>
        <w:rPr>
          <w:b/>
        </w:rPr>
      </w:pPr>
      <w:r>
        <w:rPr>
          <w:b/>
        </w:rPr>
        <w:t>MEMORANDUM IN SUPPORT OF MOTION</w:t>
      </w:r>
    </w:p>
    <w:p w:rsidR="00724362" w:rsidRDefault="00724362" w:rsidP="00724362">
      <w:pPr>
        <w:jc w:val="center"/>
        <w:rPr>
          <w:b/>
        </w:rPr>
      </w:pPr>
      <w:r>
        <w:rPr>
          <w:b/>
        </w:rPr>
        <w:t>AND</w:t>
      </w:r>
    </w:p>
    <w:p w:rsidR="00724362" w:rsidRDefault="00724362" w:rsidP="00724362">
      <w:pPr>
        <w:pBdr>
          <w:bottom w:val="single" w:sz="12" w:space="1" w:color="auto"/>
        </w:pBdr>
        <w:jc w:val="center"/>
        <w:rPr>
          <w:b/>
        </w:rPr>
      </w:pPr>
      <w:r>
        <w:rPr>
          <w:b/>
        </w:rPr>
        <w:t>INITIAL COMMENTS</w:t>
      </w:r>
      <w:r>
        <w:rPr>
          <w:b/>
        </w:rPr>
        <w:br/>
      </w:r>
    </w:p>
    <w:p w:rsidR="00724362" w:rsidRDefault="00724362" w:rsidP="00724362">
      <w:pPr>
        <w:pStyle w:val="BodyTextIndent"/>
        <w:spacing w:line="240" w:lineRule="auto"/>
        <w:ind w:firstLine="0"/>
        <w:rPr>
          <w:b/>
          <w:bCs/>
        </w:rPr>
      </w:pPr>
    </w:p>
    <w:p w:rsidR="00724362" w:rsidRDefault="00724362" w:rsidP="00724362">
      <w:pPr>
        <w:pStyle w:val="Heading1"/>
      </w:pPr>
      <w:bookmarkStart w:id="1" w:name="_Toc407701797"/>
      <w:bookmarkStart w:id="2" w:name="_Toc409601525"/>
      <w:bookmarkStart w:id="3" w:name="_Toc408236286"/>
      <w:bookmarkStart w:id="4" w:name="_Toc410375930"/>
      <w:bookmarkStart w:id="5" w:name="_Toc410376011"/>
      <w:r>
        <w:t>I.</w:t>
      </w:r>
      <w:r>
        <w:tab/>
        <w:t>BACKGROUND</w:t>
      </w:r>
      <w:bookmarkEnd w:id="1"/>
      <w:bookmarkEnd w:id="2"/>
      <w:bookmarkEnd w:id="3"/>
      <w:bookmarkEnd w:id="4"/>
      <w:bookmarkEnd w:id="5"/>
    </w:p>
    <w:p w:rsidR="008218EC" w:rsidRDefault="00777EAB" w:rsidP="00724362">
      <w:pPr>
        <w:pStyle w:val="BodyTextIndent3"/>
        <w:widowControl w:val="0"/>
        <w:spacing w:line="480" w:lineRule="auto"/>
      </w:pPr>
      <w:r>
        <w:t>On November 11, 2014, Ohio Edison Company, The Cleveland Electric Illuminating Company and The Toledo Edison Company (“FirstEnergy”</w:t>
      </w:r>
      <w:r w:rsidR="00886A8C">
        <w:t xml:space="preserve"> or “Utility”</w:t>
      </w:r>
      <w:r>
        <w:t>) filed an Application requesting approval of a new service</w:t>
      </w:r>
      <w:r w:rsidR="00196EC2">
        <w:t>.</w:t>
      </w:r>
      <w:r w:rsidR="001F37A4">
        <w:t xml:space="preserve"> </w:t>
      </w:r>
      <w:r w:rsidR="00196EC2">
        <w:t>Under this new service</w:t>
      </w:r>
      <w:r w:rsidR="0098050B">
        <w:t>,</w:t>
      </w:r>
      <w:r w:rsidR="00196EC2">
        <w:t xml:space="preserve"> the Utility would be able</w:t>
      </w:r>
      <w:r w:rsidR="003E7F9B">
        <w:t xml:space="preserve"> to</w:t>
      </w:r>
      <w:r w:rsidR="00196EC2">
        <w:t xml:space="preserve"> market</w:t>
      </w:r>
      <w:r w:rsidR="00004C94">
        <w:t xml:space="preserve"> (and charge for)</w:t>
      </w:r>
      <w:r w:rsidR="00196EC2">
        <w:t xml:space="preserve"> </w:t>
      </w:r>
      <w:r>
        <w:t>insurance produ</w:t>
      </w:r>
      <w:r w:rsidR="00077FFC">
        <w:t xml:space="preserve">cts and related services </w:t>
      </w:r>
      <w:r w:rsidR="00196EC2">
        <w:t xml:space="preserve">offered by third party non-utilities </w:t>
      </w:r>
      <w:r w:rsidR="00077FFC">
        <w:t>to custo</w:t>
      </w:r>
      <w:r>
        <w:t>mers</w:t>
      </w:r>
      <w:r w:rsidR="008218EC">
        <w:t>.</w:t>
      </w:r>
      <w:r w:rsidR="001F37A4">
        <w:t xml:space="preserve"> </w:t>
      </w:r>
      <w:r w:rsidR="00004C94">
        <w:t>Confusingly for customers, t</w:t>
      </w:r>
      <w:r w:rsidR="008218EC">
        <w:t>he marketing would appear on the Utility customers’</w:t>
      </w:r>
      <w:r w:rsidR="001F37A4">
        <w:t xml:space="preserve"> </w:t>
      </w:r>
      <w:r w:rsidR="008218EC">
        <w:t>bills for regulated distribution</w:t>
      </w:r>
      <w:r w:rsidR="001F37A4">
        <w:t xml:space="preserve"> </w:t>
      </w:r>
      <w:r w:rsidR="008218EC">
        <w:t>service.</w:t>
      </w:r>
    </w:p>
    <w:p w:rsidR="00724362" w:rsidRDefault="005E6B33" w:rsidP="00724362">
      <w:pPr>
        <w:pStyle w:val="BodyTextIndent3"/>
        <w:widowControl w:val="0"/>
        <w:spacing w:line="480" w:lineRule="auto"/>
      </w:pPr>
      <w:r>
        <w:t>T</w:t>
      </w:r>
      <w:r w:rsidR="009159B2">
        <w:t>he PUCO</w:t>
      </w:r>
      <w:r w:rsidR="00A62F6F">
        <w:t xml:space="preserve"> </w:t>
      </w:r>
      <w:r>
        <w:t xml:space="preserve">should </w:t>
      </w:r>
      <w:r w:rsidR="00C60DDB">
        <w:t>deny</w:t>
      </w:r>
      <w:r w:rsidR="00A62F6F">
        <w:t xml:space="preserve"> FirstEnergy’s ap</w:t>
      </w:r>
      <w:r w:rsidR="00426449">
        <w:t>plication</w:t>
      </w:r>
      <w:r w:rsidR="008218EC">
        <w:t>.</w:t>
      </w:r>
      <w:r w:rsidR="00426449">
        <w:t xml:space="preserve"> </w:t>
      </w:r>
      <w:r w:rsidR="008218EC">
        <w:t>T</w:t>
      </w:r>
      <w:r w:rsidR="00426449">
        <w:t xml:space="preserve">he offering of this insurance has no </w:t>
      </w:r>
      <w:r w:rsidR="00A30633">
        <w:t>relationship to the regulated e</w:t>
      </w:r>
      <w:r w:rsidR="00426449">
        <w:t>lectric utility services over which the PUCO has jurisdiction</w:t>
      </w:r>
      <w:r w:rsidR="001F37A4">
        <w:t xml:space="preserve">. </w:t>
      </w:r>
      <w:r w:rsidR="00A621C5">
        <w:t xml:space="preserve">FirstEnergy’s proposal to administer and bill for these services </w:t>
      </w:r>
      <w:r w:rsidR="004D45BA">
        <w:t xml:space="preserve">will </w:t>
      </w:r>
      <w:r w:rsidR="007D51E2">
        <w:t>create</w:t>
      </w:r>
      <w:r w:rsidR="004D45BA">
        <w:t xml:space="preserve"> customer confusion</w:t>
      </w:r>
      <w:r w:rsidR="008218EC">
        <w:t>.</w:t>
      </w:r>
      <w:r w:rsidR="001F37A4">
        <w:t xml:space="preserve"> </w:t>
      </w:r>
    </w:p>
    <w:p w:rsidR="00724362" w:rsidRDefault="00C60DDB" w:rsidP="00C1183F">
      <w:pPr>
        <w:spacing w:line="480" w:lineRule="auto"/>
        <w:ind w:firstLine="720"/>
      </w:pPr>
      <w:r>
        <w:t xml:space="preserve">FirstEnergy requests approval </w:t>
      </w:r>
      <w:r w:rsidR="008218EC">
        <w:t xml:space="preserve">to market </w:t>
      </w:r>
      <w:r>
        <w:t xml:space="preserve">this insurance offering under </w:t>
      </w:r>
      <w:r w:rsidR="007D51E2">
        <w:t>its</w:t>
      </w:r>
      <w:r>
        <w:t xml:space="preserve"> tariff provis</w:t>
      </w:r>
      <w:r w:rsidR="00886A8C">
        <w:t>ion “Special Customer Services.”</w:t>
      </w:r>
      <w:r>
        <w:t xml:space="preserve"> Currently, the service</w:t>
      </w:r>
      <w:r w:rsidR="007B5625">
        <w:t>s</w:t>
      </w:r>
      <w:r>
        <w:t xml:space="preserve"> offered in th</w:t>
      </w:r>
      <w:r w:rsidR="00837016">
        <w:t>is</w:t>
      </w:r>
      <w:r>
        <w:t xml:space="preserve"> section include </w:t>
      </w:r>
      <w:r w:rsidR="00886A8C">
        <w:t>those</w:t>
      </w:r>
      <w:r>
        <w:t xml:space="preserve"> related to the provision of elect</w:t>
      </w:r>
      <w:r w:rsidR="007B5625">
        <w:t>ric service</w:t>
      </w:r>
      <w:r w:rsidR="00B37CCD">
        <w:t>s</w:t>
      </w:r>
      <w:r w:rsidR="008218EC">
        <w:t>. For</w:t>
      </w:r>
      <w:r w:rsidR="001F37A4">
        <w:t xml:space="preserve"> </w:t>
      </w:r>
      <w:r w:rsidR="007B5625">
        <w:t xml:space="preserve">example, </w:t>
      </w:r>
      <w:r w:rsidR="008218EC">
        <w:t xml:space="preserve">included in the customer services offered are charges for </w:t>
      </w:r>
      <w:r w:rsidR="007B5625">
        <w:t>c</w:t>
      </w:r>
      <w:r>
        <w:t>onstruction of cus</w:t>
      </w:r>
      <w:r w:rsidR="007B5625">
        <w:t>t</w:t>
      </w:r>
      <w:r>
        <w:t>omer substations, operation and maintenance</w:t>
      </w:r>
      <w:r w:rsidR="007B5625">
        <w:t xml:space="preserve"> of electrical facilit</w:t>
      </w:r>
      <w:r w:rsidR="000818F9">
        <w:t>i</w:t>
      </w:r>
      <w:r w:rsidR="007B5625">
        <w:t xml:space="preserve">es, </w:t>
      </w:r>
      <w:r w:rsidR="008218EC">
        <w:t xml:space="preserve">and </w:t>
      </w:r>
      <w:r w:rsidR="007B5625">
        <w:t>rest</w:t>
      </w:r>
      <w:r>
        <w:t>orative tem</w:t>
      </w:r>
      <w:r w:rsidR="007B5625">
        <w:t>p</w:t>
      </w:r>
      <w:r>
        <w:t>ora</w:t>
      </w:r>
      <w:r w:rsidR="007B5625">
        <w:t>r</w:t>
      </w:r>
      <w:r>
        <w:t>y underground service, etc.</w:t>
      </w:r>
      <w:r>
        <w:rPr>
          <w:rStyle w:val="FootnoteReference"/>
        </w:rPr>
        <w:footnoteReference w:id="3"/>
      </w:r>
      <w:r w:rsidR="004331BA">
        <w:t xml:space="preserve"> </w:t>
      </w:r>
      <w:r w:rsidR="00A621C5">
        <w:t>Customers are informed that there are other options available for obtaining these services and the costs are negotiated between the customer and the Utility. Each of t</w:t>
      </w:r>
      <w:r w:rsidR="007B5625">
        <w:t xml:space="preserve">hese “Special Customer Services” </w:t>
      </w:r>
      <w:r w:rsidR="00A621C5">
        <w:t xml:space="preserve">in some manner </w:t>
      </w:r>
      <w:r w:rsidR="00F60309">
        <w:t>relates</w:t>
      </w:r>
      <w:r w:rsidR="007B5625">
        <w:t xml:space="preserve"> to the provision of electricity</w:t>
      </w:r>
      <w:r w:rsidR="005E6B33">
        <w:t xml:space="preserve"> (public utility service)</w:t>
      </w:r>
      <w:r w:rsidR="008218EC">
        <w:t>.</w:t>
      </w:r>
      <w:r w:rsidR="007B5625">
        <w:t xml:space="preserve"> </w:t>
      </w:r>
      <w:r w:rsidR="008218EC">
        <w:t>T</w:t>
      </w:r>
      <w:r w:rsidR="007B5625">
        <w:t xml:space="preserve">he new </w:t>
      </w:r>
      <w:r w:rsidR="008218EC">
        <w:t xml:space="preserve">Utility </w:t>
      </w:r>
      <w:r w:rsidR="007B5625">
        <w:t xml:space="preserve">proposal “arranging for the offering of insurance products and related services to customers by insurance companies or producers” </w:t>
      </w:r>
      <w:r w:rsidR="00A621C5">
        <w:t xml:space="preserve">has nothing to do with electric service. </w:t>
      </w:r>
      <w:r w:rsidR="008218EC">
        <w:t xml:space="preserve">The </w:t>
      </w:r>
      <w:r w:rsidR="00A621C5">
        <w:t>insurance</w:t>
      </w:r>
      <w:r w:rsidR="003F41FD">
        <w:t>-</w:t>
      </w:r>
      <w:r w:rsidR="00A621C5">
        <w:t xml:space="preserve">related products and services </w:t>
      </w:r>
      <w:r w:rsidR="008218EC">
        <w:t xml:space="preserve">include </w:t>
      </w:r>
      <w:r w:rsidR="00CE412B">
        <w:t xml:space="preserve">a </w:t>
      </w:r>
      <w:r w:rsidR="00B37CCD">
        <w:t>D</w:t>
      </w:r>
      <w:r w:rsidR="00CA1135">
        <w:t xml:space="preserve">isaster </w:t>
      </w:r>
      <w:r w:rsidR="00B37CCD">
        <w:t>P</w:t>
      </w:r>
      <w:r w:rsidR="00CA1135">
        <w:t xml:space="preserve">rotection </w:t>
      </w:r>
      <w:r w:rsidR="00B37CCD">
        <w:t>P</w:t>
      </w:r>
      <w:r w:rsidR="002F7D68">
        <w:t>l</w:t>
      </w:r>
      <w:r w:rsidR="00CA1135">
        <w:t xml:space="preserve">an </w:t>
      </w:r>
      <w:r w:rsidR="00CE412B">
        <w:t xml:space="preserve">and </w:t>
      </w:r>
      <w:r w:rsidR="008218EC">
        <w:t xml:space="preserve">a </w:t>
      </w:r>
      <w:r w:rsidR="00CE412B">
        <w:t>Personal Disaster Recovery Plan</w:t>
      </w:r>
      <w:r w:rsidR="008F7410">
        <w:t>.</w:t>
      </w:r>
    </w:p>
    <w:p w:rsidR="00724362" w:rsidRDefault="00724362" w:rsidP="00724362">
      <w:pPr>
        <w:pStyle w:val="Heading1"/>
      </w:pPr>
      <w:bookmarkStart w:id="6" w:name="_Toc407701798"/>
      <w:bookmarkStart w:id="7" w:name="_Toc409601526"/>
      <w:bookmarkStart w:id="8" w:name="_Toc408236287"/>
      <w:bookmarkStart w:id="9" w:name="_Toc410375931"/>
      <w:bookmarkStart w:id="10" w:name="_Toc410376012"/>
      <w:r>
        <w:t>ii.</w:t>
      </w:r>
      <w:r>
        <w:tab/>
        <w:t>MEMORANDUM IN SUPPORT OF MOTION TO INTERVENE</w:t>
      </w:r>
      <w:bookmarkEnd w:id="6"/>
      <w:bookmarkEnd w:id="7"/>
      <w:bookmarkEnd w:id="8"/>
      <w:bookmarkEnd w:id="9"/>
      <w:bookmarkEnd w:id="10"/>
    </w:p>
    <w:p w:rsidR="00724362" w:rsidRDefault="002B619A" w:rsidP="00724362">
      <w:pPr>
        <w:pStyle w:val="BodyTextIndent3"/>
        <w:widowControl w:val="0"/>
        <w:spacing w:line="480" w:lineRule="auto"/>
        <w:ind w:right="-24"/>
      </w:pPr>
      <w:r>
        <w:t>R.C.</w:t>
      </w:r>
      <w:r w:rsidR="00724362">
        <w:t xml:space="preserve"> 4903.221 provides, in part, that any person “who may be adversely affected” by a PUCO proceeding is entitled to seek intervention in that proceeding. The interests of </w:t>
      </w:r>
      <w:r w:rsidR="001F0849">
        <w:t>FirstEnergy’s</w:t>
      </w:r>
      <w:r w:rsidR="00724362">
        <w:t xml:space="preserve"> residential customers</w:t>
      </w:r>
      <w:r w:rsidR="00724362">
        <w:rPr>
          <w:rStyle w:val="FootnoteReference"/>
        </w:rPr>
        <w:footnoteReference w:id="4"/>
      </w:r>
      <w:r w:rsidR="00724362">
        <w:t xml:space="preserve"> may be “adversely affected” by this case, especially if the customers were unrepres</w:t>
      </w:r>
      <w:r w:rsidR="00B37CCD">
        <w:t xml:space="preserve">ented in a proceeding where FirstEnergy </w:t>
      </w:r>
      <w:r w:rsidR="00724362">
        <w:t xml:space="preserve">has requested </w:t>
      </w:r>
      <w:r w:rsidR="008E54E9">
        <w:t xml:space="preserve">authority </w:t>
      </w:r>
      <w:r w:rsidR="00724362">
        <w:t xml:space="preserve">to </w:t>
      </w:r>
      <w:r w:rsidR="008E54E9">
        <w:t>market insurance related products to customers through customers’ distribution bills.</w:t>
      </w:r>
      <w:r w:rsidR="001F37A4">
        <w:t xml:space="preserve"> </w:t>
      </w:r>
      <w:r w:rsidR="00724362">
        <w:t xml:space="preserve">Thus, this element of the intervention standard in R.C. 4903.221 is satisfied. </w:t>
      </w:r>
    </w:p>
    <w:p w:rsidR="00724362" w:rsidRDefault="002B619A" w:rsidP="00724362">
      <w:pPr>
        <w:spacing w:line="480" w:lineRule="auto"/>
        <w:ind w:firstLine="720"/>
        <w:rPr>
          <w:szCs w:val="24"/>
        </w:rPr>
      </w:pPr>
      <w:r>
        <w:rPr>
          <w:szCs w:val="24"/>
        </w:rPr>
        <w:t>R.C.</w:t>
      </w:r>
      <w:r w:rsidR="00724362">
        <w:rPr>
          <w:szCs w:val="24"/>
        </w:rPr>
        <w:t xml:space="preserve"> 4903.221(B) requires the Commission to consider the following criteria in ruling on motions to intervene:</w:t>
      </w:r>
    </w:p>
    <w:p w:rsidR="00724362" w:rsidRDefault="00724362" w:rsidP="00C1183F">
      <w:pPr>
        <w:ind w:left="2160" w:right="720" w:hanging="720"/>
        <w:rPr>
          <w:szCs w:val="24"/>
        </w:rPr>
      </w:pPr>
      <w:r>
        <w:rPr>
          <w:szCs w:val="24"/>
        </w:rPr>
        <w:t>(1)</w:t>
      </w:r>
      <w:r>
        <w:rPr>
          <w:szCs w:val="24"/>
        </w:rPr>
        <w:tab/>
        <w:t>The nature and extent of the prospective intervenor’s interest</w:t>
      </w:r>
      <w:r w:rsidR="00886A8C">
        <w:rPr>
          <w:szCs w:val="24"/>
        </w:rPr>
        <w:t>,</w:t>
      </w:r>
    </w:p>
    <w:p w:rsidR="00724362" w:rsidRDefault="00724362" w:rsidP="00C1183F">
      <w:pPr>
        <w:spacing w:before="240"/>
        <w:ind w:left="2160" w:right="720" w:hanging="720"/>
        <w:rPr>
          <w:szCs w:val="24"/>
        </w:rPr>
      </w:pPr>
      <w:r>
        <w:rPr>
          <w:szCs w:val="24"/>
        </w:rPr>
        <w:t>(2)</w:t>
      </w:r>
      <w:r>
        <w:rPr>
          <w:szCs w:val="24"/>
        </w:rPr>
        <w:tab/>
        <w:t>The legal position advanced by the prospective intervenor and its probable relation to the merits of the case</w:t>
      </w:r>
      <w:r w:rsidR="00886A8C">
        <w:rPr>
          <w:szCs w:val="24"/>
        </w:rPr>
        <w:t>,</w:t>
      </w:r>
    </w:p>
    <w:p w:rsidR="00724362" w:rsidRDefault="00724362" w:rsidP="00C1183F">
      <w:pPr>
        <w:spacing w:before="240"/>
        <w:ind w:left="2160" w:right="720" w:hanging="720"/>
        <w:rPr>
          <w:szCs w:val="24"/>
        </w:rPr>
      </w:pPr>
      <w:r>
        <w:rPr>
          <w:szCs w:val="24"/>
        </w:rPr>
        <w:t>(3)</w:t>
      </w:r>
      <w:r>
        <w:rPr>
          <w:szCs w:val="24"/>
        </w:rPr>
        <w:tab/>
        <w:t>Whether the intervention by the prospective intervenor will unduly prolong or delay the proceeding</w:t>
      </w:r>
      <w:r w:rsidR="00886A8C">
        <w:rPr>
          <w:szCs w:val="24"/>
        </w:rPr>
        <w:t>,</w:t>
      </w:r>
      <w:r>
        <w:rPr>
          <w:szCs w:val="24"/>
        </w:rPr>
        <w:t xml:space="preserve"> and</w:t>
      </w:r>
    </w:p>
    <w:p w:rsidR="00724362" w:rsidRDefault="00724362" w:rsidP="00C1183F">
      <w:pPr>
        <w:pStyle w:val="BodyTextIndent2"/>
        <w:ind w:left="2160" w:right="720" w:hanging="720"/>
        <w:rPr>
          <w:szCs w:val="24"/>
        </w:rPr>
      </w:pPr>
      <w:r>
        <w:rPr>
          <w:szCs w:val="24"/>
        </w:rPr>
        <w:t>(4)</w:t>
      </w:r>
      <w:r>
        <w:rPr>
          <w:szCs w:val="24"/>
        </w:rPr>
        <w:tab/>
        <w:t>Whether the prospective intervenor will significantly contribute to the full development and equitable resolution of the factual issues.</w:t>
      </w:r>
    </w:p>
    <w:p w:rsidR="00724362" w:rsidRDefault="00724362" w:rsidP="00854AB0">
      <w:pPr>
        <w:pStyle w:val="BodyTextIndent3"/>
        <w:spacing w:line="480" w:lineRule="auto"/>
        <w:rPr>
          <w:szCs w:val="24"/>
        </w:rPr>
      </w:pPr>
      <w:r>
        <w:t>First, the nature and extent of OCC’s interest is representing the residential customers o</w:t>
      </w:r>
      <w:r w:rsidR="00B37CCD">
        <w:rPr>
          <w:szCs w:val="24"/>
        </w:rPr>
        <w:t xml:space="preserve">f FirstEnergy </w:t>
      </w:r>
      <w:r>
        <w:rPr>
          <w:szCs w:val="24"/>
        </w:rPr>
        <w:t xml:space="preserve">in this case involving </w:t>
      </w:r>
      <w:r w:rsidR="001F0849">
        <w:rPr>
          <w:szCs w:val="24"/>
        </w:rPr>
        <w:t>FirstEnergy’s</w:t>
      </w:r>
      <w:r>
        <w:rPr>
          <w:szCs w:val="24"/>
        </w:rPr>
        <w:t xml:space="preserve"> request </w:t>
      </w:r>
      <w:r w:rsidR="008E54E9">
        <w:rPr>
          <w:szCs w:val="24"/>
        </w:rPr>
        <w:t xml:space="preserve">to </w:t>
      </w:r>
      <w:r w:rsidR="008E54E9">
        <w:t xml:space="preserve">market insurance related products to </w:t>
      </w:r>
      <w:r w:rsidR="00A03A21">
        <w:t xml:space="preserve">residential </w:t>
      </w:r>
      <w:r w:rsidR="008E54E9">
        <w:t xml:space="preserve">customers through </w:t>
      </w:r>
      <w:r w:rsidR="00A03A21">
        <w:t>their</w:t>
      </w:r>
      <w:r w:rsidR="008E54E9">
        <w:t xml:space="preserve"> distribution bills.</w:t>
      </w:r>
      <w:r w:rsidR="001F37A4">
        <w:t xml:space="preserve"> </w:t>
      </w:r>
      <w:r>
        <w:rPr>
          <w:szCs w:val="24"/>
        </w:rPr>
        <w:t>This interest is different than that of any other party and particula</w:t>
      </w:r>
      <w:r w:rsidR="002B619A">
        <w:rPr>
          <w:szCs w:val="24"/>
        </w:rPr>
        <w:t>rly different than that of the U</w:t>
      </w:r>
      <w:r>
        <w:rPr>
          <w:szCs w:val="24"/>
        </w:rPr>
        <w:t>tility whose advocacy includes the financial interest of stockholders.</w:t>
      </w:r>
    </w:p>
    <w:p w:rsidR="00724362" w:rsidRDefault="00724362" w:rsidP="00724362">
      <w:pPr>
        <w:pStyle w:val="Footer"/>
        <w:tabs>
          <w:tab w:val="left" w:pos="720"/>
        </w:tabs>
        <w:spacing w:line="480" w:lineRule="auto"/>
        <w:ind w:firstLine="720"/>
        <w:rPr>
          <w:sz w:val="24"/>
          <w:szCs w:val="24"/>
        </w:rPr>
      </w:pPr>
      <w:r>
        <w:rPr>
          <w:sz w:val="24"/>
          <w:szCs w:val="24"/>
        </w:rPr>
        <w:t xml:space="preserve">Second, OCC’s advocacy for residential customers will include advancing the position that </w:t>
      </w:r>
      <w:r w:rsidR="00886A8C">
        <w:rPr>
          <w:sz w:val="24"/>
          <w:szCs w:val="24"/>
        </w:rPr>
        <w:t xml:space="preserve">both </w:t>
      </w:r>
      <w:r w:rsidR="00B37CCD">
        <w:rPr>
          <w:sz w:val="24"/>
          <w:szCs w:val="24"/>
        </w:rPr>
        <w:t>FirstEnergy’s tariff and billing</w:t>
      </w:r>
      <w:r w:rsidR="00886A8C">
        <w:rPr>
          <w:sz w:val="24"/>
          <w:szCs w:val="24"/>
        </w:rPr>
        <w:t>s</w:t>
      </w:r>
      <w:r>
        <w:rPr>
          <w:sz w:val="24"/>
          <w:szCs w:val="24"/>
        </w:rPr>
        <w:t xml:space="preserve"> should be accurate and </w:t>
      </w:r>
      <w:r w:rsidR="008E54E9">
        <w:rPr>
          <w:sz w:val="24"/>
          <w:szCs w:val="24"/>
        </w:rPr>
        <w:t>underst</w:t>
      </w:r>
      <w:r w:rsidR="002B619A">
        <w:rPr>
          <w:sz w:val="24"/>
          <w:szCs w:val="24"/>
        </w:rPr>
        <w:t>andable</w:t>
      </w:r>
      <w:r w:rsidR="008E54E9">
        <w:rPr>
          <w:sz w:val="24"/>
          <w:szCs w:val="24"/>
        </w:rPr>
        <w:t xml:space="preserve"> </w:t>
      </w:r>
      <w:r w:rsidR="002B619A">
        <w:rPr>
          <w:sz w:val="24"/>
          <w:szCs w:val="24"/>
        </w:rPr>
        <w:t>to</w:t>
      </w:r>
      <w:r w:rsidR="008E54E9">
        <w:rPr>
          <w:sz w:val="24"/>
          <w:szCs w:val="24"/>
        </w:rPr>
        <w:t xml:space="preserve"> customers</w:t>
      </w:r>
      <w:r w:rsidR="009A55B1">
        <w:rPr>
          <w:sz w:val="24"/>
          <w:szCs w:val="24"/>
        </w:rPr>
        <w:t>.</w:t>
      </w:r>
      <w:r>
        <w:rPr>
          <w:rStyle w:val="FootnoteReference"/>
          <w:sz w:val="24"/>
          <w:szCs w:val="24"/>
        </w:rPr>
        <w:footnoteReference w:id="5"/>
      </w:r>
      <w:r>
        <w:rPr>
          <w:sz w:val="24"/>
          <w:szCs w:val="24"/>
        </w:rPr>
        <w:t xml:space="preserve"> </w:t>
      </w:r>
      <w:r w:rsidR="009A55B1">
        <w:rPr>
          <w:sz w:val="24"/>
          <w:szCs w:val="24"/>
        </w:rPr>
        <w:t xml:space="preserve"> And our position includes that the customer confusion to result from FirstEnergy’s proposal should be avoided by the PUCO denying the Application.  </w:t>
      </w:r>
      <w:r>
        <w:rPr>
          <w:sz w:val="24"/>
          <w:szCs w:val="24"/>
        </w:rPr>
        <w:t xml:space="preserve">OCC’s position is therefore directly related to the merits of this case that is pending before the PUCO, the authority with regulatory control of public utilities’ rates and service quality in Ohio. </w:t>
      </w:r>
    </w:p>
    <w:p w:rsidR="00724362" w:rsidRDefault="00724362" w:rsidP="00724362">
      <w:pPr>
        <w:pStyle w:val="BodyTextIndent3"/>
        <w:spacing w:line="480" w:lineRule="auto"/>
        <w:rPr>
          <w:szCs w:val="24"/>
        </w:rPr>
      </w:pPr>
      <w:r>
        <w:t xml:space="preserve">Third, </w:t>
      </w:r>
      <w:r>
        <w:rPr>
          <w:szCs w:val="24"/>
        </w:rPr>
        <w:t>OCC’s intervention will not unduly prolong or delay the proceedings.</w:t>
      </w:r>
      <w:r w:rsidR="001F37A4">
        <w:rPr>
          <w:szCs w:val="24"/>
        </w:rPr>
        <w:t xml:space="preserve"> </w:t>
      </w:r>
      <w:r>
        <w:rPr>
          <w:szCs w:val="24"/>
        </w:rPr>
        <w:t>OCC, with its longstanding expertise and experience in PUCO proceedings, will duly allow for the efficient processing of the case with consideration of the public interest.</w:t>
      </w:r>
    </w:p>
    <w:p w:rsidR="00724362" w:rsidRDefault="00724362" w:rsidP="00724362">
      <w:pPr>
        <w:pStyle w:val="Footer"/>
        <w:tabs>
          <w:tab w:val="left" w:pos="720"/>
        </w:tabs>
        <w:spacing w:line="480" w:lineRule="auto"/>
        <w:ind w:firstLine="720"/>
        <w:rPr>
          <w:sz w:val="24"/>
          <w:szCs w:val="24"/>
        </w:rPr>
      </w:pPr>
      <w:r>
        <w:rPr>
          <w:sz w:val="24"/>
          <w:szCs w:val="24"/>
        </w:rPr>
        <w:t xml:space="preserve">Fourth, OCC’s intervention will significantly contribute to the full development and equitable resolution of the factual issues. OCC will obtain and develop information that the PUCO should consider for equitably and lawfully deciding the case in the public interest. </w:t>
      </w:r>
    </w:p>
    <w:p w:rsidR="00724362" w:rsidRDefault="00724362" w:rsidP="00724362">
      <w:pPr>
        <w:pStyle w:val="WW-BodyTextIndent3"/>
        <w:widowControl w:val="0"/>
        <w:spacing w:line="480" w:lineRule="auto"/>
        <w:ind w:right="-24"/>
        <w:rPr>
          <w:szCs w:val="24"/>
        </w:rPr>
      </w:pPr>
      <w:r>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where </w:t>
      </w:r>
      <w:r w:rsidR="001F0849">
        <w:t>FirstEnergy has</w:t>
      </w:r>
      <w:r>
        <w:t xml:space="preserve"> proposed changes to </w:t>
      </w:r>
      <w:r w:rsidR="00BF53F4">
        <w:t>its customer’s bills</w:t>
      </w:r>
      <w:r>
        <w:rPr>
          <w:szCs w:val="24"/>
        </w:rPr>
        <w:t>.</w:t>
      </w:r>
    </w:p>
    <w:p w:rsidR="00724362" w:rsidRDefault="00724362" w:rsidP="003F7024">
      <w:pPr>
        <w:pStyle w:val="BodyTextIndent3"/>
        <w:widowControl w:val="0"/>
        <w:spacing w:line="480" w:lineRule="auto"/>
        <w:ind w:right="-29"/>
        <w:rPr>
          <w:szCs w:val="24"/>
        </w:rPr>
      </w:pPr>
      <w:r>
        <w:rPr>
          <w:szCs w:val="24"/>
        </w:rPr>
        <w:t>In addition, OCC meets the criteria of Ohio Adm. Code 4901-1-11(B)(1)-(4)</w:t>
      </w:r>
      <w:r w:rsidR="001F37A4">
        <w:rPr>
          <w:szCs w:val="24"/>
        </w:rPr>
        <w:t>.</w:t>
      </w:r>
      <w:r w:rsidR="00927A41">
        <w:rPr>
          <w:szCs w:val="24"/>
        </w:rPr>
        <w:t xml:space="preserve"> </w:t>
      </w:r>
      <w:r>
        <w:rPr>
          <w:szCs w:val="24"/>
        </w:rPr>
        <w:t>These criteria mirror the statutory criteria in R.C. 4903.221(B) that OCC already has addressed and that OCC satisfies.</w:t>
      </w:r>
    </w:p>
    <w:p w:rsidR="00724362" w:rsidRDefault="00724362" w:rsidP="003F7024">
      <w:pPr>
        <w:pStyle w:val="BodyTextIndent3"/>
        <w:widowControl w:val="0"/>
        <w:spacing w:line="480" w:lineRule="auto"/>
        <w:ind w:right="-29"/>
        <w:rPr>
          <w:szCs w:val="24"/>
        </w:rPr>
      </w:pPr>
      <w:r>
        <w:rPr>
          <w:szCs w:val="24"/>
        </w:rPr>
        <w:t xml:space="preserve">Ohio Adm. Code 4901-1-11(B)(5) states that the </w:t>
      </w:r>
      <w:r w:rsidR="00081C5E">
        <w:rPr>
          <w:szCs w:val="24"/>
        </w:rPr>
        <w:t>PUCO</w:t>
      </w:r>
      <w:r>
        <w:rPr>
          <w:szCs w:val="24"/>
        </w:rPr>
        <w:t xml:space="preserve">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724362" w:rsidRDefault="00724362" w:rsidP="003F7024">
      <w:pPr>
        <w:pStyle w:val="WW-BodyTextIndent3"/>
        <w:widowControl w:val="0"/>
        <w:spacing w:line="480" w:lineRule="auto"/>
        <w:ind w:right="-29"/>
        <w:rPr>
          <w:szCs w:val="24"/>
        </w:rPr>
      </w:pPr>
      <w:r>
        <w:rPr>
          <w:szCs w:val="24"/>
        </w:rPr>
        <w:t>Moreover, the Supreme Court of Ohio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6"/>
      </w:r>
    </w:p>
    <w:p w:rsidR="00724362" w:rsidRDefault="00724362" w:rsidP="00724362">
      <w:pPr>
        <w:spacing w:line="480" w:lineRule="auto"/>
        <w:ind w:firstLine="720"/>
        <w:rPr>
          <w:szCs w:val="24"/>
        </w:rPr>
      </w:pPr>
      <w:r>
        <w:rPr>
          <w:szCs w:val="24"/>
        </w:rPr>
        <w:t xml:space="preserve">OCC meets the criteria set forth in R.C. 4903.221, Ohio Adm. Code 4901-1-11, and the precedent established by the Supreme Court of Ohio for intervention. On behalf of Ohio residential customers, the </w:t>
      </w:r>
      <w:r w:rsidR="007D51E2">
        <w:rPr>
          <w:szCs w:val="24"/>
        </w:rPr>
        <w:t>PUCO</w:t>
      </w:r>
      <w:r>
        <w:rPr>
          <w:szCs w:val="24"/>
        </w:rPr>
        <w:t xml:space="preserve"> should grant OCC’s Motion to Intervene.</w:t>
      </w:r>
    </w:p>
    <w:p w:rsidR="00724362" w:rsidRDefault="00724362" w:rsidP="00724362">
      <w:pPr>
        <w:pStyle w:val="Heading1"/>
      </w:pPr>
      <w:bookmarkStart w:id="11" w:name="_Toc407701799"/>
      <w:bookmarkStart w:id="12" w:name="_Toc409601527"/>
      <w:bookmarkStart w:id="13" w:name="_Toc408236288"/>
      <w:bookmarkStart w:id="14" w:name="_Toc410375932"/>
      <w:bookmarkStart w:id="15" w:name="_Toc410376013"/>
      <w:r>
        <w:t>iii.</w:t>
      </w:r>
      <w:r>
        <w:tab/>
        <w:t>INITIAL COMMENTS</w:t>
      </w:r>
      <w:bookmarkEnd w:id="11"/>
      <w:bookmarkEnd w:id="12"/>
      <w:bookmarkEnd w:id="13"/>
      <w:bookmarkEnd w:id="14"/>
      <w:bookmarkEnd w:id="15"/>
    </w:p>
    <w:p w:rsidR="00724362" w:rsidRDefault="00B42008" w:rsidP="00B42008">
      <w:pPr>
        <w:pStyle w:val="Heading2"/>
      </w:pPr>
      <w:bookmarkStart w:id="16" w:name="_Toc407701800"/>
      <w:bookmarkStart w:id="17" w:name="_Toc409601528"/>
      <w:bookmarkStart w:id="18" w:name="_Toc408236289"/>
      <w:bookmarkStart w:id="19" w:name="_Toc410375933"/>
      <w:bookmarkStart w:id="20" w:name="_Toc410376014"/>
      <w:r>
        <w:t>A.</w:t>
      </w:r>
      <w:r>
        <w:tab/>
      </w:r>
      <w:r w:rsidR="00B37CCD">
        <w:t xml:space="preserve">The PUCO </w:t>
      </w:r>
      <w:r>
        <w:t xml:space="preserve">Should Protect Customers By Denying FirstEnergy’s Proposed Tariffs For Marketing Insurance Products On Regulated Electric Bills, Because The </w:t>
      </w:r>
      <w:r w:rsidR="007C0551">
        <w:t xml:space="preserve">PUCO </w:t>
      </w:r>
      <w:r>
        <w:t>Has No Jurisdiction Over The Insurance Products And Related Services</w:t>
      </w:r>
      <w:r w:rsidR="00C54D2A">
        <w:t>.</w:t>
      </w:r>
      <w:bookmarkEnd w:id="16"/>
      <w:bookmarkEnd w:id="17"/>
      <w:bookmarkEnd w:id="18"/>
      <w:bookmarkEnd w:id="19"/>
      <w:bookmarkEnd w:id="20"/>
      <w:r w:rsidR="00724362">
        <w:t xml:space="preserve"> </w:t>
      </w:r>
    </w:p>
    <w:p w:rsidR="002B619A" w:rsidRDefault="00837016" w:rsidP="00724362">
      <w:pPr>
        <w:spacing w:line="480" w:lineRule="auto"/>
        <w:ind w:firstLine="720"/>
        <w:rPr>
          <w:szCs w:val="24"/>
        </w:rPr>
      </w:pPr>
      <w:r>
        <w:rPr>
          <w:szCs w:val="24"/>
        </w:rPr>
        <w:t>FirstEnergy request</w:t>
      </w:r>
      <w:r w:rsidR="004C186C">
        <w:rPr>
          <w:szCs w:val="24"/>
        </w:rPr>
        <w:t>s</w:t>
      </w:r>
      <w:r>
        <w:rPr>
          <w:szCs w:val="24"/>
        </w:rPr>
        <w:t xml:space="preserve"> that the </w:t>
      </w:r>
      <w:r w:rsidR="004C186C">
        <w:rPr>
          <w:szCs w:val="24"/>
        </w:rPr>
        <w:t>PUCO</w:t>
      </w:r>
      <w:r>
        <w:rPr>
          <w:szCs w:val="24"/>
        </w:rPr>
        <w:t xml:space="preserve"> approve a tariff provision “arranging </w:t>
      </w:r>
      <w:r w:rsidR="007D51E2">
        <w:rPr>
          <w:szCs w:val="24"/>
        </w:rPr>
        <w:t>f</w:t>
      </w:r>
      <w:r>
        <w:rPr>
          <w:szCs w:val="24"/>
        </w:rPr>
        <w:t>or the offering of insurance products and related services to customers by insurance companies or producers</w:t>
      </w:r>
      <w:r w:rsidR="00886A8C">
        <w:rPr>
          <w:szCs w:val="24"/>
        </w:rPr>
        <w:t>.</w:t>
      </w:r>
      <w:r>
        <w:rPr>
          <w:szCs w:val="24"/>
        </w:rPr>
        <w:t>”</w:t>
      </w:r>
      <w:r>
        <w:rPr>
          <w:rStyle w:val="FootnoteReference"/>
          <w:szCs w:val="24"/>
        </w:rPr>
        <w:footnoteReference w:id="7"/>
      </w:r>
      <w:r w:rsidR="00964E86">
        <w:rPr>
          <w:szCs w:val="24"/>
        </w:rPr>
        <w:t xml:space="preserve"> </w:t>
      </w:r>
      <w:r w:rsidR="004C186C">
        <w:rPr>
          <w:szCs w:val="24"/>
        </w:rPr>
        <w:t>The two examples of insurance products and services that are provided by FirstEnergy include a disaster protection plan that will pay insurance de</w:t>
      </w:r>
      <w:r w:rsidR="00064622">
        <w:rPr>
          <w:szCs w:val="24"/>
        </w:rPr>
        <w:t>d</w:t>
      </w:r>
      <w:r w:rsidR="004C186C">
        <w:rPr>
          <w:szCs w:val="24"/>
        </w:rPr>
        <w:t>uctibles, emergency cash payments, and locksmith services in the event of hom</w:t>
      </w:r>
      <w:r w:rsidR="00ED2331">
        <w:rPr>
          <w:szCs w:val="24"/>
        </w:rPr>
        <w:t>e</w:t>
      </w:r>
      <w:r w:rsidR="004C186C">
        <w:rPr>
          <w:szCs w:val="24"/>
        </w:rPr>
        <w:t xml:space="preserve"> damage during a disaster. The second example of insurance is </w:t>
      </w:r>
      <w:r w:rsidR="002B619A">
        <w:rPr>
          <w:szCs w:val="24"/>
        </w:rPr>
        <w:t xml:space="preserve">a </w:t>
      </w:r>
      <w:r w:rsidR="004C186C">
        <w:rPr>
          <w:szCs w:val="24"/>
        </w:rPr>
        <w:t>personal disaster recover</w:t>
      </w:r>
      <w:r w:rsidR="00ED2331">
        <w:rPr>
          <w:szCs w:val="24"/>
        </w:rPr>
        <w:t>y</w:t>
      </w:r>
      <w:r w:rsidR="004C186C">
        <w:rPr>
          <w:szCs w:val="24"/>
        </w:rPr>
        <w:t xml:space="preserve"> plan that will pay mortgage payments and other benefits whi</w:t>
      </w:r>
      <w:r w:rsidR="00ED2331">
        <w:rPr>
          <w:szCs w:val="24"/>
        </w:rPr>
        <w:t>le a home is temporarily uninhabitab</w:t>
      </w:r>
      <w:r w:rsidR="004C186C">
        <w:rPr>
          <w:szCs w:val="24"/>
        </w:rPr>
        <w:t>le following a disa</w:t>
      </w:r>
      <w:r w:rsidR="00ED2331">
        <w:rPr>
          <w:szCs w:val="24"/>
        </w:rPr>
        <w:t>ster.</w:t>
      </w:r>
    </w:p>
    <w:p w:rsidR="008E54E9" w:rsidRDefault="00ED2331" w:rsidP="00724362">
      <w:pPr>
        <w:spacing w:line="480" w:lineRule="auto"/>
        <w:ind w:firstLine="720"/>
        <w:rPr>
          <w:szCs w:val="24"/>
        </w:rPr>
      </w:pPr>
      <w:r>
        <w:rPr>
          <w:szCs w:val="24"/>
        </w:rPr>
        <w:t>The section of the tariff that FirstEne</w:t>
      </w:r>
      <w:r w:rsidR="004C186C">
        <w:rPr>
          <w:szCs w:val="24"/>
        </w:rPr>
        <w:t xml:space="preserve">rgy proposes </w:t>
      </w:r>
      <w:r w:rsidR="002B619A">
        <w:rPr>
          <w:szCs w:val="24"/>
        </w:rPr>
        <w:t>for</w:t>
      </w:r>
      <w:r w:rsidR="004C186C">
        <w:rPr>
          <w:szCs w:val="24"/>
        </w:rPr>
        <w:t xml:space="preserve"> includ</w:t>
      </w:r>
      <w:r w:rsidR="002B619A">
        <w:rPr>
          <w:szCs w:val="24"/>
        </w:rPr>
        <w:t>ing</w:t>
      </w:r>
      <w:r w:rsidR="004C186C">
        <w:rPr>
          <w:szCs w:val="24"/>
        </w:rPr>
        <w:t xml:space="preserve"> these insurance products is entitled “</w:t>
      </w:r>
      <w:r>
        <w:rPr>
          <w:szCs w:val="24"/>
        </w:rPr>
        <w:t>S</w:t>
      </w:r>
      <w:r w:rsidR="004C186C">
        <w:rPr>
          <w:szCs w:val="24"/>
        </w:rPr>
        <w:t>p</w:t>
      </w:r>
      <w:r>
        <w:rPr>
          <w:szCs w:val="24"/>
        </w:rPr>
        <w:t>ecial Customer Servic</w:t>
      </w:r>
      <w:r w:rsidR="004C186C">
        <w:rPr>
          <w:szCs w:val="24"/>
        </w:rPr>
        <w:t>es</w:t>
      </w:r>
      <w:r w:rsidR="008E54E9">
        <w:rPr>
          <w:szCs w:val="24"/>
        </w:rPr>
        <w:t>.</w:t>
      </w:r>
      <w:r w:rsidR="004C186C">
        <w:rPr>
          <w:szCs w:val="24"/>
        </w:rPr>
        <w:t>”</w:t>
      </w:r>
      <w:r w:rsidR="008E54E9">
        <w:rPr>
          <w:szCs w:val="24"/>
        </w:rPr>
        <w:t xml:space="preserve"> Currently</w:t>
      </w:r>
      <w:r w:rsidR="004271C7">
        <w:rPr>
          <w:szCs w:val="24"/>
        </w:rPr>
        <w:t>,</w:t>
      </w:r>
      <w:r w:rsidR="008E54E9">
        <w:rPr>
          <w:szCs w:val="24"/>
        </w:rPr>
        <w:t xml:space="preserve"> the </w:t>
      </w:r>
      <w:r w:rsidR="004C186C">
        <w:rPr>
          <w:szCs w:val="24"/>
        </w:rPr>
        <w:t>other items in this sec</w:t>
      </w:r>
      <w:r>
        <w:rPr>
          <w:szCs w:val="24"/>
        </w:rPr>
        <w:t>t</w:t>
      </w:r>
      <w:r w:rsidR="004C186C">
        <w:rPr>
          <w:szCs w:val="24"/>
        </w:rPr>
        <w:t xml:space="preserve">ion </w:t>
      </w:r>
      <w:r w:rsidR="008E54E9">
        <w:rPr>
          <w:szCs w:val="24"/>
        </w:rPr>
        <w:t xml:space="preserve">permit the Utility to charge for the </w:t>
      </w:r>
      <w:r w:rsidR="004C186C">
        <w:rPr>
          <w:szCs w:val="24"/>
        </w:rPr>
        <w:t>design and construction of customer substations</w:t>
      </w:r>
      <w:r w:rsidR="00886A8C">
        <w:rPr>
          <w:szCs w:val="24"/>
        </w:rPr>
        <w:t>,</w:t>
      </w:r>
      <w:r w:rsidR="004C186C">
        <w:rPr>
          <w:szCs w:val="24"/>
        </w:rPr>
        <w:t xml:space="preserve"> resolving power quality problems on customer equipment</w:t>
      </w:r>
      <w:r w:rsidR="00886A8C">
        <w:rPr>
          <w:szCs w:val="24"/>
        </w:rPr>
        <w:t>,</w:t>
      </w:r>
      <w:r w:rsidR="004C186C">
        <w:rPr>
          <w:szCs w:val="24"/>
        </w:rPr>
        <w:t xml:space="preserve"> operation and maintenance of electrical facilities, etc. These services</w:t>
      </w:r>
      <w:r w:rsidR="00CE412B">
        <w:rPr>
          <w:szCs w:val="24"/>
        </w:rPr>
        <w:t xml:space="preserve"> </w:t>
      </w:r>
      <w:r w:rsidR="004C186C">
        <w:rPr>
          <w:szCs w:val="24"/>
        </w:rPr>
        <w:t xml:space="preserve">are related </w:t>
      </w:r>
      <w:r w:rsidR="00CE412B">
        <w:rPr>
          <w:szCs w:val="24"/>
        </w:rPr>
        <w:t xml:space="preserve">in some manner </w:t>
      </w:r>
      <w:r w:rsidR="004C186C">
        <w:rPr>
          <w:szCs w:val="24"/>
        </w:rPr>
        <w:t>to the provision of electric service. But</w:t>
      </w:r>
      <w:r w:rsidR="001F37A4">
        <w:rPr>
          <w:szCs w:val="24"/>
        </w:rPr>
        <w:t xml:space="preserve"> </w:t>
      </w:r>
      <w:r w:rsidR="004C186C">
        <w:rPr>
          <w:szCs w:val="24"/>
        </w:rPr>
        <w:t>offering</w:t>
      </w:r>
      <w:r w:rsidR="008E54E9">
        <w:rPr>
          <w:szCs w:val="24"/>
        </w:rPr>
        <w:t xml:space="preserve"> </w:t>
      </w:r>
      <w:r w:rsidR="004C186C">
        <w:rPr>
          <w:szCs w:val="24"/>
        </w:rPr>
        <w:t xml:space="preserve">disaster insurance has nothing to do with the provision of </w:t>
      </w:r>
      <w:r w:rsidR="00B66BE1">
        <w:rPr>
          <w:szCs w:val="24"/>
        </w:rPr>
        <w:t xml:space="preserve">PUCO-regulated </w:t>
      </w:r>
      <w:r w:rsidR="008E54E9">
        <w:rPr>
          <w:szCs w:val="24"/>
        </w:rPr>
        <w:t xml:space="preserve">distribution </w:t>
      </w:r>
      <w:r w:rsidR="004C186C">
        <w:rPr>
          <w:szCs w:val="24"/>
        </w:rPr>
        <w:t xml:space="preserve">electric service. </w:t>
      </w:r>
    </w:p>
    <w:p w:rsidR="00724362" w:rsidRPr="00A03A21" w:rsidRDefault="00964E86" w:rsidP="00733C89">
      <w:pPr>
        <w:pStyle w:val="Footer"/>
        <w:tabs>
          <w:tab w:val="clear" w:pos="4320"/>
          <w:tab w:val="clear" w:pos="8640"/>
        </w:tabs>
        <w:spacing w:line="480" w:lineRule="auto"/>
        <w:ind w:firstLine="720"/>
        <w:rPr>
          <w:szCs w:val="24"/>
        </w:rPr>
      </w:pPr>
      <w:r w:rsidRPr="00A03A21">
        <w:rPr>
          <w:sz w:val="24"/>
          <w:szCs w:val="24"/>
        </w:rPr>
        <w:t>The PUCO is vested with power and jurisdiction to supervise and regulate public utilities and to require all public utilities to furnish and produce and render all service exacted by the Commission or by law.</w:t>
      </w:r>
      <w:r w:rsidRPr="00A03A21">
        <w:rPr>
          <w:rStyle w:val="FootnoteReference"/>
          <w:sz w:val="24"/>
          <w:szCs w:val="24"/>
        </w:rPr>
        <w:footnoteReference w:id="8"/>
      </w:r>
      <w:r w:rsidR="00791DC4" w:rsidRPr="00A03A21">
        <w:rPr>
          <w:sz w:val="24"/>
          <w:szCs w:val="24"/>
        </w:rPr>
        <w:t xml:space="preserve"> T</w:t>
      </w:r>
      <w:r w:rsidR="00791DC4" w:rsidRPr="00733C89">
        <w:rPr>
          <w:spacing w:val="-3"/>
          <w:sz w:val="24"/>
          <w:szCs w:val="24"/>
        </w:rPr>
        <w:t xml:space="preserve">he PUCO is a creature of statute, and as such does not have the authority to act beyond the authority provided under Ohio statutes.  See, e.g., </w:t>
      </w:r>
      <w:r w:rsidR="00791DC4" w:rsidRPr="00733C89">
        <w:rPr>
          <w:i/>
          <w:spacing w:val="-3"/>
          <w:sz w:val="24"/>
          <w:szCs w:val="24"/>
        </w:rPr>
        <w:t>Canton Storage and Transfer Co. v. Public Util. Comm.</w:t>
      </w:r>
      <w:r w:rsidR="00791DC4" w:rsidRPr="00733C89">
        <w:rPr>
          <w:spacing w:val="-3"/>
          <w:sz w:val="24"/>
          <w:szCs w:val="24"/>
        </w:rPr>
        <w:t xml:space="preserve"> (1995), 72 Ohio St.3d 1, </w:t>
      </w:r>
      <w:r w:rsidR="00791DC4" w:rsidRPr="00733C89">
        <w:rPr>
          <w:sz w:val="24"/>
          <w:szCs w:val="24"/>
        </w:rPr>
        <w:t>647 N.E.2d 136</w:t>
      </w:r>
      <w:r w:rsidR="00FD503F" w:rsidRPr="00704EF9">
        <w:rPr>
          <w:sz w:val="24"/>
        </w:rPr>
        <w:t>.</w:t>
      </w:r>
      <w:r w:rsidR="004B3C4B" w:rsidRPr="00704EF9">
        <w:rPr>
          <w:sz w:val="24"/>
        </w:rPr>
        <w:t xml:space="preserve"> </w:t>
      </w:r>
      <w:r w:rsidR="00CD460E">
        <w:rPr>
          <w:sz w:val="24"/>
        </w:rPr>
        <w:t xml:space="preserve"> </w:t>
      </w:r>
      <w:r w:rsidR="004B3C4B">
        <w:rPr>
          <w:sz w:val="24"/>
          <w:szCs w:val="24"/>
        </w:rPr>
        <w:t>FirstEnergy provides no statutory authority for the PUCO to approve its Application.</w:t>
      </w:r>
      <w:r w:rsidR="004271C7">
        <w:rPr>
          <w:sz w:val="24"/>
          <w:szCs w:val="24"/>
        </w:rPr>
        <w:t xml:space="preserve"> Allowing FirstEnergy to include insurance offerings in its tariff exceed</w:t>
      </w:r>
      <w:r w:rsidR="00B177E7">
        <w:rPr>
          <w:sz w:val="24"/>
          <w:szCs w:val="24"/>
        </w:rPr>
        <w:t>s</w:t>
      </w:r>
      <w:r w:rsidR="004271C7">
        <w:rPr>
          <w:sz w:val="24"/>
          <w:szCs w:val="24"/>
        </w:rPr>
        <w:t xml:space="preserve"> the PUCO’s jurisdiction and must be denied.</w:t>
      </w:r>
    </w:p>
    <w:p w:rsidR="00F40559" w:rsidRDefault="00B42008" w:rsidP="00B42008">
      <w:pPr>
        <w:pStyle w:val="Heading2"/>
      </w:pPr>
      <w:bookmarkStart w:id="21" w:name="_Toc407701801"/>
      <w:bookmarkStart w:id="22" w:name="_Toc410375934"/>
      <w:bookmarkStart w:id="23" w:name="_Toc410376015"/>
      <w:bookmarkStart w:id="24" w:name="_Toc409601529"/>
      <w:bookmarkStart w:id="25" w:name="_Toc408236290"/>
      <w:r>
        <w:t>B.</w:t>
      </w:r>
      <w:r>
        <w:tab/>
      </w:r>
      <w:r w:rsidR="004E0863">
        <w:t xml:space="preserve">The PUCO </w:t>
      </w:r>
      <w:r>
        <w:t>Should Deny FirstEnergy’s Request</w:t>
      </w:r>
      <w:bookmarkEnd w:id="21"/>
      <w:r>
        <w:t xml:space="preserve"> Because It May Cause Customer Confusion</w:t>
      </w:r>
      <w:r w:rsidR="00F40559">
        <w:t>.</w:t>
      </w:r>
      <w:bookmarkEnd w:id="22"/>
      <w:bookmarkEnd w:id="23"/>
    </w:p>
    <w:p w:rsidR="00F40559" w:rsidRPr="00F40559" w:rsidRDefault="00245DBF" w:rsidP="00245DBF">
      <w:pPr>
        <w:spacing w:line="480" w:lineRule="auto"/>
        <w:ind w:firstLine="720"/>
      </w:pPr>
      <w:r>
        <w:rPr>
          <w:rFonts w:eastAsiaTheme="minorHAnsi"/>
          <w:szCs w:val="24"/>
        </w:rPr>
        <w:t>Under Ohio Adm</w:t>
      </w:r>
      <w:r w:rsidR="00F40559">
        <w:rPr>
          <w:rFonts w:eastAsiaTheme="minorHAnsi"/>
          <w:szCs w:val="24"/>
        </w:rPr>
        <w:t>. Code 4901:1-10-22(B), customer bills “shall contain clear and understandable form and language.” But under FirstEnergy’s proposal</w:t>
      </w:r>
      <w:r>
        <w:rPr>
          <w:rFonts w:eastAsiaTheme="minorHAnsi"/>
          <w:szCs w:val="24"/>
        </w:rPr>
        <w:t>,</w:t>
      </w:r>
      <w:r w:rsidR="00F40559">
        <w:rPr>
          <w:rFonts w:eastAsiaTheme="minorHAnsi"/>
          <w:szCs w:val="24"/>
        </w:rPr>
        <w:t xml:space="preserve"> additional information</w:t>
      </w:r>
      <w:r w:rsidR="00BE7A14">
        <w:rPr>
          <w:rFonts w:eastAsiaTheme="minorHAnsi"/>
          <w:szCs w:val="24"/>
        </w:rPr>
        <w:t xml:space="preserve">, unrelated to utility services the customer is billed for, </w:t>
      </w:r>
      <w:r w:rsidR="00F40559">
        <w:rPr>
          <w:rFonts w:eastAsiaTheme="minorHAnsi"/>
          <w:szCs w:val="24"/>
        </w:rPr>
        <w:t>will be contained on customers’ bills</w:t>
      </w:r>
      <w:r>
        <w:rPr>
          <w:rFonts w:eastAsiaTheme="minorHAnsi"/>
          <w:szCs w:val="24"/>
        </w:rPr>
        <w:t xml:space="preserve">. </w:t>
      </w:r>
      <w:r w:rsidR="00BE7A14">
        <w:rPr>
          <w:rFonts w:eastAsiaTheme="minorHAnsi"/>
          <w:szCs w:val="24"/>
        </w:rPr>
        <w:t>This</w:t>
      </w:r>
      <w:r w:rsidR="00F40559">
        <w:rPr>
          <w:rFonts w:eastAsiaTheme="minorHAnsi"/>
          <w:szCs w:val="24"/>
        </w:rPr>
        <w:t xml:space="preserve"> may cause customer confusion. </w:t>
      </w:r>
      <w:r w:rsidR="00BE7A14">
        <w:rPr>
          <w:rFonts w:eastAsiaTheme="minorHAnsi"/>
          <w:szCs w:val="24"/>
        </w:rPr>
        <w:t xml:space="preserve">Customers’ bills already contain a great deal of information. Additional information that is not related to utility services is just more information that customers will have to sort through. And the fact that the </w:t>
      </w:r>
      <w:r w:rsidR="00F40559">
        <w:rPr>
          <w:rFonts w:eastAsiaTheme="minorHAnsi"/>
          <w:szCs w:val="24"/>
        </w:rPr>
        <w:t xml:space="preserve">insurance products </w:t>
      </w:r>
      <w:r w:rsidR="00BE7A14">
        <w:rPr>
          <w:rFonts w:eastAsiaTheme="minorHAnsi"/>
          <w:szCs w:val="24"/>
        </w:rPr>
        <w:t xml:space="preserve">are offered (and potentially paid for) </w:t>
      </w:r>
      <w:r w:rsidR="00F40559">
        <w:rPr>
          <w:rFonts w:eastAsiaTheme="minorHAnsi"/>
          <w:szCs w:val="24"/>
        </w:rPr>
        <w:t xml:space="preserve">on </w:t>
      </w:r>
      <w:r w:rsidR="00BE7A14">
        <w:rPr>
          <w:rFonts w:eastAsiaTheme="minorHAnsi"/>
          <w:szCs w:val="24"/>
        </w:rPr>
        <w:t xml:space="preserve">customers’ </w:t>
      </w:r>
      <w:r w:rsidR="00F40559">
        <w:rPr>
          <w:rFonts w:eastAsiaTheme="minorHAnsi"/>
          <w:szCs w:val="24"/>
        </w:rPr>
        <w:t xml:space="preserve">bills, </w:t>
      </w:r>
      <w:r w:rsidR="00BE7A14">
        <w:rPr>
          <w:rFonts w:eastAsiaTheme="minorHAnsi"/>
          <w:szCs w:val="24"/>
        </w:rPr>
        <w:t xml:space="preserve">may lead customers to believe there is a connection between the insurance offering and their utility service. For instance, </w:t>
      </w:r>
      <w:r w:rsidR="00F40559">
        <w:rPr>
          <w:rFonts w:eastAsiaTheme="minorHAnsi"/>
          <w:szCs w:val="24"/>
        </w:rPr>
        <w:t xml:space="preserve">customers may believe that full payment, including the insurance fee, must be made or they will lose electric service. </w:t>
      </w:r>
      <w:r w:rsidR="00BE7A14">
        <w:rPr>
          <w:rFonts w:eastAsiaTheme="minorHAnsi"/>
          <w:szCs w:val="24"/>
        </w:rPr>
        <w:t xml:space="preserve">That is certainly not the law in Ohio. </w:t>
      </w:r>
      <w:r w:rsidR="00F40559">
        <w:rPr>
          <w:rFonts w:eastAsiaTheme="minorHAnsi"/>
          <w:szCs w:val="24"/>
        </w:rPr>
        <w:t>To allow an unregulated product, such as insurance, to be a part of the customers’ utility bills – and included in the total amount due, may be very misleading and confusing.</w:t>
      </w:r>
      <w:r w:rsidR="00BE7A14">
        <w:rPr>
          <w:rFonts w:eastAsiaTheme="minorHAnsi"/>
          <w:szCs w:val="24"/>
        </w:rPr>
        <w:t xml:space="preserve"> For this reason alone, the proposal should be rejected, consistent with the PUCO’s directive that customer bills for utility service be understandable to customers. </w:t>
      </w:r>
    </w:p>
    <w:p w:rsidR="0005141C" w:rsidRDefault="00B42008" w:rsidP="00B42008">
      <w:pPr>
        <w:pStyle w:val="Heading2"/>
      </w:pPr>
      <w:bookmarkStart w:id="26" w:name="_Toc410375935"/>
      <w:bookmarkStart w:id="27" w:name="_Toc410376016"/>
      <w:r>
        <w:t>C.</w:t>
      </w:r>
      <w:r>
        <w:tab/>
      </w:r>
      <w:r w:rsidR="00F40559">
        <w:t xml:space="preserve">The PUCO </w:t>
      </w:r>
      <w:r>
        <w:t xml:space="preserve">Should Deny FirstEnergy’s Request Because Making The Insurance Offering A Tariff-Approved Service Could Be Claimed (Wrongly) By The </w:t>
      </w:r>
      <w:r w:rsidR="00A9550E">
        <w:t xml:space="preserve">Utility </w:t>
      </w:r>
      <w:r>
        <w:t>To Allow For Disconnection Of Electric Service If A Customer Fails To Pay The Insurance Charge</w:t>
      </w:r>
      <w:r w:rsidR="0001360B">
        <w:t>.</w:t>
      </w:r>
      <w:bookmarkEnd w:id="24"/>
      <w:bookmarkEnd w:id="25"/>
      <w:bookmarkEnd w:id="26"/>
      <w:bookmarkEnd w:id="27"/>
    </w:p>
    <w:p w:rsidR="00A9550E" w:rsidRDefault="00C72B4E" w:rsidP="00BA5E0D">
      <w:pPr>
        <w:spacing w:line="480" w:lineRule="auto"/>
        <w:ind w:firstLine="720"/>
        <w:rPr>
          <w:szCs w:val="24"/>
        </w:rPr>
      </w:pPr>
      <w:r>
        <w:rPr>
          <w:szCs w:val="24"/>
        </w:rPr>
        <w:t>FirstEnergy will not set the pricing for the insurance products or services, but will receive compensation fr</w:t>
      </w:r>
      <w:r w:rsidR="0001360B">
        <w:rPr>
          <w:szCs w:val="24"/>
        </w:rPr>
        <w:t>om the insurance companies</w:t>
      </w:r>
      <w:r>
        <w:rPr>
          <w:szCs w:val="24"/>
        </w:rPr>
        <w:t xml:space="preserve"> </w:t>
      </w:r>
      <w:r w:rsidR="00670A36">
        <w:rPr>
          <w:szCs w:val="24"/>
        </w:rPr>
        <w:t xml:space="preserve">for </w:t>
      </w:r>
      <w:r>
        <w:rPr>
          <w:szCs w:val="24"/>
        </w:rPr>
        <w:t>the billing</w:t>
      </w:r>
      <w:r w:rsidR="00886A8C">
        <w:rPr>
          <w:szCs w:val="24"/>
        </w:rPr>
        <w:t>, collection,</w:t>
      </w:r>
      <w:r>
        <w:rPr>
          <w:szCs w:val="24"/>
        </w:rPr>
        <w:t xml:space="preserve"> and administrative services that it provides to the insurance companies. FirstEnergy states that the insurance products are offered to customers by the insurance companies</w:t>
      </w:r>
      <w:r w:rsidR="00446424">
        <w:rPr>
          <w:szCs w:val="24"/>
        </w:rPr>
        <w:t>.</w:t>
      </w:r>
      <w:r>
        <w:rPr>
          <w:szCs w:val="24"/>
        </w:rPr>
        <w:t xml:space="preserve"> </w:t>
      </w:r>
      <w:r w:rsidR="00446424">
        <w:rPr>
          <w:szCs w:val="24"/>
        </w:rPr>
        <w:t>A</w:t>
      </w:r>
      <w:r>
        <w:rPr>
          <w:szCs w:val="24"/>
        </w:rPr>
        <w:t xml:space="preserve">nd </w:t>
      </w:r>
      <w:r w:rsidR="00446424">
        <w:rPr>
          <w:szCs w:val="24"/>
        </w:rPr>
        <w:t>it state</w:t>
      </w:r>
      <w:r w:rsidR="00A9550E">
        <w:rPr>
          <w:szCs w:val="24"/>
        </w:rPr>
        <w:t>s</w:t>
      </w:r>
      <w:r w:rsidR="00446424">
        <w:rPr>
          <w:szCs w:val="24"/>
        </w:rPr>
        <w:t xml:space="preserve"> that </w:t>
      </w:r>
      <w:r>
        <w:rPr>
          <w:szCs w:val="24"/>
        </w:rPr>
        <w:t xml:space="preserve">such products are available from other vendors and </w:t>
      </w:r>
      <w:r w:rsidRPr="00496B32">
        <w:rPr>
          <w:i/>
          <w:szCs w:val="24"/>
        </w:rPr>
        <w:t>do not have to be purchased in order to receive electric service</w:t>
      </w:r>
      <w:r>
        <w:rPr>
          <w:szCs w:val="24"/>
        </w:rPr>
        <w:t>.</w:t>
      </w:r>
      <w:r>
        <w:rPr>
          <w:rStyle w:val="FootnoteReference"/>
          <w:szCs w:val="24"/>
        </w:rPr>
        <w:footnoteReference w:id="9"/>
      </w:r>
      <w:r w:rsidR="007B52E7">
        <w:rPr>
          <w:szCs w:val="24"/>
        </w:rPr>
        <w:t xml:space="preserve"> </w:t>
      </w:r>
    </w:p>
    <w:p w:rsidR="00BA5E0D" w:rsidRDefault="00496B32" w:rsidP="00BA5E0D">
      <w:pPr>
        <w:spacing w:line="480" w:lineRule="auto"/>
        <w:ind w:firstLine="720"/>
        <w:rPr>
          <w:szCs w:val="24"/>
        </w:rPr>
      </w:pPr>
      <w:r>
        <w:rPr>
          <w:szCs w:val="24"/>
        </w:rPr>
        <w:t xml:space="preserve">This statement, provided in FirstEnergy’s application, demonstrates why the PUCO should not approve this new service on FirstEnergy’s tariffs. </w:t>
      </w:r>
      <w:r w:rsidR="00B37CCD">
        <w:rPr>
          <w:szCs w:val="24"/>
        </w:rPr>
        <w:t>D</w:t>
      </w:r>
      <w:r>
        <w:rPr>
          <w:szCs w:val="24"/>
        </w:rPr>
        <w:t xml:space="preserve">isaster insurance has no relationship </w:t>
      </w:r>
      <w:r w:rsidR="009C1E17">
        <w:rPr>
          <w:szCs w:val="24"/>
        </w:rPr>
        <w:t xml:space="preserve">to </w:t>
      </w:r>
      <w:r>
        <w:rPr>
          <w:szCs w:val="24"/>
        </w:rPr>
        <w:t>electric serv</w:t>
      </w:r>
      <w:r w:rsidR="007A5976">
        <w:rPr>
          <w:szCs w:val="24"/>
        </w:rPr>
        <w:t>ice</w:t>
      </w:r>
      <w:r w:rsidR="009C1E17">
        <w:rPr>
          <w:szCs w:val="24"/>
        </w:rPr>
        <w:t>.</w:t>
      </w:r>
      <w:r w:rsidR="001F37A4">
        <w:rPr>
          <w:szCs w:val="24"/>
        </w:rPr>
        <w:t xml:space="preserve"> </w:t>
      </w:r>
      <w:r w:rsidR="009C1E17">
        <w:rPr>
          <w:szCs w:val="24"/>
        </w:rPr>
        <w:t xml:space="preserve">It </w:t>
      </w:r>
      <w:r w:rsidR="007A5976">
        <w:rPr>
          <w:szCs w:val="24"/>
        </w:rPr>
        <w:t xml:space="preserve">does not belong in a utility tariff. </w:t>
      </w:r>
      <w:r w:rsidR="00446424">
        <w:rPr>
          <w:szCs w:val="24"/>
        </w:rPr>
        <w:t xml:space="preserve">In other PUCO-regulated industries, such as telecommunications, tariffs include only specific </w:t>
      </w:r>
      <w:r w:rsidR="00A9550E">
        <w:rPr>
          <w:szCs w:val="24"/>
        </w:rPr>
        <w:t xml:space="preserve">utility </w:t>
      </w:r>
      <w:r w:rsidR="00446424">
        <w:rPr>
          <w:szCs w:val="24"/>
        </w:rPr>
        <w:t>services. Ohio Adm. Code 4901:1-6-11 provides a list of nine services that must be tariffed, then states “[a]ll other telecommunications services offered by a phone company shall not be included in tariffs filed with the commission, but shall still be subject to commission oversight and regulation.” The PUCO must come to the same conclusion in this case – that the insurance offering cannot be included it FirstEnergy’s tariff.</w:t>
      </w:r>
    </w:p>
    <w:p w:rsidR="00737E31" w:rsidRDefault="00830E54" w:rsidP="006E43F1">
      <w:pPr>
        <w:spacing w:line="480" w:lineRule="auto"/>
        <w:ind w:firstLine="720"/>
        <w:rPr>
          <w:rFonts w:eastAsiaTheme="minorHAnsi"/>
          <w:szCs w:val="24"/>
        </w:rPr>
      </w:pPr>
      <w:r>
        <w:rPr>
          <w:szCs w:val="24"/>
        </w:rPr>
        <w:t>Ohio rules provide that</w:t>
      </w:r>
      <w:r w:rsidRPr="006E43F1">
        <w:rPr>
          <w:rFonts w:eastAsiaTheme="minorHAnsi"/>
          <w:sz w:val="22"/>
          <w:szCs w:val="24"/>
        </w:rPr>
        <w:t xml:space="preserve"> </w:t>
      </w:r>
      <w:r w:rsidRPr="00446424">
        <w:rPr>
          <w:rFonts w:eastAsiaTheme="minorHAnsi"/>
          <w:szCs w:val="24"/>
        </w:rPr>
        <w:t>electric companies under the jurisdiction of the PUCO may disconnect service to residential customers for nonpayment of regulated services.</w:t>
      </w:r>
      <w:r w:rsidRPr="00446424">
        <w:rPr>
          <w:rStyle w:val="FootnoteReference"/>
          <w:rFonts w:eastAsiaTheme="minorHAnsi"/>
          <w:szCs w:val="24"/>
        </w:rPr>
        <w:footnoteReference w:id="10"/>
      </w:r>
      <w:r w:rsidRPr="00446424">
        <w:rPr>
          <w:rFonts w:eastAsiaTheme="minorHAnsi"/>
          <w:szCs w:val="24"/>
        </w:rPr>
        <w:t xml:space="preserve"> </w:t>
      </w:r>
      <w:r w:rsidR="006E2357" w:rsidRPr="00446424">
        <w:rPr>
          <w:rFonts w:eastAsiaTheme="minorHAnsi"/>
          <w:szCs w:val="24"/>
        </w:rPr>
        <w:t>And Ohio Adm</w:t>
      </w:r>
      <w:r w:rsidR="00074DDE" w:rsidRPr="00446424">
        <w:rPr>
          <w:rFonts w:eastAsiaTheme="minorHAnsi"/>
          <w:szCs w:val="24"/>
        </w:rPr>
        <w:t>. Code 4901:1-10-19 states that no electric utility may disconnect service to a residential customer when that customer fails to pay any charge for a non-tariffed service.</w:t>
      </w:r>
      <w:r w:rsidR="00074DDE" w:rsidRPr="00446424">
        <w:rPr>
          <w:rFonts w:eastAsiaTheme="minorHAnsi"/>
          <w:szCs w:val="24"/>
          <w:vertAlign w:val="superscript"/>
        </w:rPr>
        <w:footnoteReference w:id="11"/>
      </w:r>
      <w:r w:rsidR="00124E97" w:rsidRPr="00446424">
        <w:rPr>
          <w:rFonts w:eastAsiaTheme="minorHAnsi"/>
          <w:szCs w:val="24"/>
        </w:rPr>
        <w:t xml:space="preserve"> If the PUCO approves FirstEnergy’s Application in this case, “arranging for the offering of insurance products and relate</w:t>
      </w:r>
      <w:r w:rsidR="006E2357" w:rsidRPr="00446424">
        <w:rPr>
          <w:rFonts w:eastAsiaTheme="minorHAnsi"/>
          <w:szCs w:val="24"/>
        </w:rPr>
        <w:t>d</w:t>
      </w:r>
      <w:r w:rsidR="00124E97" w:rsidRPr="00446424">
        <w:rPr>
          <w:rFonts w:eastAsiaTheme="minorHAnsi"/>
          <w:szCs w:val="24"/>
        </w:rPr>
        <w:t xml:space="preserve"> services to customer</w:t>
      </w:r>
      <w:r w:rsidR="00172A41">
        <w:rPr>
          <w:rFonts w:eastAsiaTheme="minorHAnsi"/>
          <w:szCs w:val="24"/>
        </w:rPr>
        <w:t>s</w:t>
      </w:r>
      <w:r w:rsidR="00124E97" w:rsidRPr="00446424">
        <w:rPr>
          <w:rFonts w:eastAsiaTheme="minorHAnsi"/>
          <w:szCs w:val="24"/>
        </w:rPr>
        <w:t xml:space="preserve"> by insurance companies or producers</w:t>
      </w:r>
      <w:r w:rsidR="000A18B6" w:rsidRPr="00446424">
        <w:rPr>
          <w:rFonts w:eastAsiaTheme="minorHAnsi"/>
          <w:szCs w:val="24"/>
        </w:rPr>
        <w:t>,</w:t>
      </w:r>
      <w:r w:rsidR="00124E97" w:rsidRPr="00446424">
        <w:rPr>
          <w:rFonts w:eastAsiaTheme="minorHAnsi"/>
          <w:szCs w:val="24"/>
        </w:rPr>
        <w:t>”</w:t>
      </w:r>
      <w:r w:rsidR="00124E97" w:rsidRPr="00446424">
        <w:rPr>
          <w:rFonts w:eastAsiaTheme="minorHAnsi"/>
          <w:szCs w:val="24"/>
          <w:vertAlign w:val="superscript"/>
        </w:rPr>
        <w:footnoteReference w:id="12"/>
      </w:r>
      <w:r w:rsidR="00124E97" w:rsidRPr="00446424">
        <w:rPr>
          <w:rFonts w:eastAsiaTheme="minorHAnsi"/>
          <w:szCs w:val="24"/>
        </w:rPr>
        <w:t xml:space="preserve"> become</w:t>
      </w:r>
      <w:r w:rsidR="000A18B6" w:rsidRPr="00446424">
        <w:rPr>
          <w:rFonts w:eastAsiaTheme="minorHAnsi"/>
          <w:szCs w:val="24"/>
        </w:rPr>
        <w:t>s</w:t>
      </w:r>
      <w:r w:rsidR="00124E97" w:rsidRPr="00446424">
        <w:rPr>
          <w:rFonts w:eastAsiaTheme="minorHAnsi"/>
          <w:szCs w:val="24"/>
        </w:rPr>
        <w:t xml:space="preserve"> a tariffed service and therefore, the Utility </w:t>
      </w:r>
      <w:r w:rsidR="004271C7" w:rsidRPr="00446424">
        <w:rPr>
          <w:rFonts w:eastAsiaTheme="minorHAnsi"/>
          <w:szCs w:val="24"/>
        </w:rPr>
        <w:t xml:space="preserve">may </w:t>
      </w:r>
      <w:r w:rsidR="00737E31">
        <w:rPr>
          <w:rFonts w:eastAsiaTheme="minorHAnsi"/>
          <w:szCs w:val="24"/>
        </w:rPr>
        <w:t xml:space="preserve">claim it can </w:t>
      </w:r>
      <w:r w:rsidR="00124E97" w:rsidRPr="00446424">
        <w:rPr>
          <w:rFonts w:eastAsiaTheme="minorHAnsi"/>
          <w:szCs w:val="24"/>
        </w:rPr>
        <w:t>disconnect the customer for non-payment of insurance premiums.</w:t>
      </w:r>
      <w:r w:rsidR="000A18B6" w:rsidRPr="00446424">
        <w:rPr>
          <w:rFonts w:eastAsiaTheme="minorHAnsi"/>
          <w:szCs w:val="24"/>
        </w:rPr>
        <w:t xml:space="preserve"> </w:t>
      </w:r>
    </w:p>
    <w:p w:rsidR="00172A41" w:rsidRDefault="000A18B6" w:rsidP="006E43F1">
      <w:pPr>
        <w:spacing w:line="480" w:lineRule="auto"/>
        <w:ind w:firstLine="720"/>
        <w:rPr>
          <w:rFonts w:eastAsiaTheme="minorHAnsi"/>
          <w:szCs w:val="24"/>
        </w:rPr>
      </w:pPr>
      <w:r w:rsidRPr="00446424">
        <w:rPr>
          <w:rFonts w:eastAsiaTheme="minorHAnsi"/>
          <w:szCs w:val="24"/>
        </w:rPr>
        <w:t xml:space="preserve">In other words, FirstEnergy </w:t>
      </w:r>
      <w:r w:rsidR="00737E31">
        <w:rPr>
          <w:rFonts w:eastAsiaTheme="minorHAnsi"/>
          <w:szCs w:val="24"/>
        </w:rPr>
        <w:t>could (wrongly) claim it has the</w:t>
      </w:r>
      <w:r w:rsidRPr="00446424">
        <w:rPr>
          <w:rFonts w:eastAsiaTheme="minorHAnsi"/>
          <w:szCs w:val="24"/>
        </w:rPr>
        <w:t xml:space="preserve"> right to disconnect the customer for nonpayment because, according to Ohio Adm. Code 4901:1-18-03, the service is tariffed, </w:t>
      </w:r>
      <w:r w:rsidR="00D95CB8" w:rsidRPr="00446424">
        <w:rPr>
          <w:rFonts w:eastAsiaTheme="minorHAnsi"/>
          <w:szCs w:val="24"/>
        </w:rPr>
        <w:t>and that may be interpreted as being a regulated service.</w:t>
      </w:r>
      <w:r w:rsidR="006E43F1" w:rsidRPr="00446424">
        <w:rPr>
          <w:rFonts w:eastAsiaTheme="minorHAnsi"/>
          <w:szCs w:val="24"/>
        </w:rPr>
        <w:t xml:space="preserve"> </w:t>
      </w:r>
      <w:r w:rsidR="00D95CB8" w:rsidRPr="00446424">
        <w:rPr>
          <w:rFonts w:eastAsiaTheme="minorHAnsi"/>
          <w:szCs w:val="24"/>
        </w:rPr>
        <w:t>A</w:t>
      </w:r>
      <w:r w:rsidRPr="00446424">
        <w:rPr>
          <w:rFonts w:eastAsiaTheme="minorHAnsi"/>
          <w:szCs w:val="24"/>
        </w:rPr>
        <w:t>lso</w:t>
      </w:r>
      <w:r w:rsidR="00D95CB8" w:rsidRPr="00446424">
        <w:rPr>
          <w:rFonts w:eastAsiaTheme="minorHAnsi"/>
          <w:szCs w:val="24"/>
        </w:rPr>
        <w:t>,</w:t>
      </w:r>
      <w:r w:rsidRPr="00446424">
        <w:rPr>
          <w:rFonts w:eastAsiaTheme="minorHAnsi"/>
          <w:szCs w:val="24"/>
        </w:rPr>
        <w:t xml:space="preserve"> the insurance service is not a non-tariffed service.</w:t>
      </w:r>
      <w:r w:rsidR="006E2357" w:rsidRPr="00446424">
        <w:rPr>
          <w:rFonts w:eastAsiaTheme="minorHAnsi"/>
          <w:szCs w:val="24"/>
        </w:rPr>
        <w:t xml:space="preserve"> If the service is a non-tariffed service, the customer cannot be disconnected from the </w:t>
      </w:r>
      <w:r w:rsidR="00B177E7" w:rsidRPr="00446424">
        <w:rPr>
          <w:rFonts w:eastAsiaTheme="minorHAnsi"/>
          <w:szCs w:val="24"/>
        </w:rPr>
        <w:t>electric service</w:t>
      </w:r>
      <w:r w:rsidR="006E2357" w:rsidRPr="00446424">
        <w:rPr>
          <w:rFonts w:eastAsiaTheme="minorHAnsi"/>
          <w:szCs w:val="24"/>
        </w:rPr>
        <w:t>.</w:t>
      </w:r>
      <w:r w:rsidR="004271C7" w:rsidRPr="00446424">
        <w:rPr>
          <w:rFonts w:eastAsiaTheme="minorHAnsi"/>
          <w:szCs w:val="24"/>
        </w:rPr>
        <w:t xml:space="preserve"> </w:t>
      </w:r>
      <w:r w:rsidR="00844B61">
        <w:rPr>
          <w:rFonts w:eastAsiaTheme="minorHAnsi"/>
          <w:szCs w:val="24"/>
        </w:rPr>
        <w:t>However, if the PU</w:t>
      </w:r>
      <w:r w:rsidR="00737E31">
        <w:rPr>
          <w:rFonts w:eastAsiaTheme="minorHAnsi"/>
          <w:szCs w:val="24"/>
        </w:rPr>
        <w:t>CO</w:t>
      </w:r>
      <w:r w:rsidR="00844B61">
        <w:rPr>
          <w:rFonts w:eastAsiaTheme="minorHAnsi"/>
          <w:szCs w:val="24"/>
        </w:rPr>
        <w:t xml:space="preserve"> approves this Application, the insurance offering becomes a tariffed service.</w:t>
      </w:r>
      <w:r w:rsidR="00172A41">
        <w:rPr>
          <w:rFonts w:eastAsiaTheme="minorHAnsi"/>
          <w:szCs w:val="24"/>
        </w:rPr>
        <w:t xml:space="preserve"> </w:t>
      </w:r>
    </w:p>
    <w:p w:rsidR="00124E97" w:rsidRPr="00124E97" w:rsidRDefault="004271C7" w:rsidP="006E43F1">
      <w:pPr>
        <w:spacing w:line="480" w:lineRule="auto"/>
        <w:ind w:firstLine="720"/>
        <w:rPr>
          <w:rFonts w:asciiTheme="minorHAnsi" w:eastAsiaTheme="minorHAnsi" w:hAnsiTheme="minorHAnsi" w:cstheme="minorBidi"/>
          <w:sz w:val="22"/>
          <w:szCs w:val="22"/>
        </w:rPr>
      </w:pPr>
      <w:r w:rsidRPr="00446424">
        <w:rPr>
          <w:rFonts w:eastAsiaTheme="minorHAnsi"/>
          <w:szCs w:val="24"/>
        </w:rPr>
        <w:t>The PUCO mu</w:t>
      </w:r>
      <w:r w:rsidR="00D95CB8" w:rsidRPr="00446424">
        <w:rPr>
          <w:rFonts w:eastAsiaTheme="minorHAnsi"/>
          <w:szCs w:val="24"/>
        </w:rPr>
        <w:t>s</w:t>
      </w:r>
      <w:r w:rsidRPr="00446424">
        <w:rPr>
          <w:rFonts w:eastAsiaTheme="minorHAnsi"/>
          <w:szCs w:val="24"/>
        </w:rPr>
        <w:t xml:space="preserve">t not approve FirstEnergy’s applications because it may allow the disconnection of </w:t>
      </w:r>
      <w:r w:rsidR="00737E31">
        <w:rPr>
          <w:rFonts w:eastAsiaTheme="minorHAnsi"/>
          <w:szCs w:val="24"/>
        </w:rPr>
        <w:t xml:space="preserve">customers’ </w:t>
      </w:r>
      <w:r w:rsidRPr="00446424">
        <w:rPr>
          <w:rFonts w:eastAsiaTheme="minorHAnsi"/>
          <w:szCs w:val="24"/>
        </w:rPr>
        <w:t>electric service for nonpayment of insurance fees</w:t>
      </w:r>
      <w:r w:rsidRPr="006E43F1">
        <w:rPr>
          <w:rFonts w:eastAsiaTheme="minorHAnsi"/>
          <w:sz w:val="22"/>
          <w:szCs w:val="24"/>
        </w:rPr>
        <w:t>.</w:t>
      </w:r>
    </w:p>
    <w:p w:rsidR="006E2357" w:rsidRDefault="00B42008" w:rsidP="00B42008">
      <w:pPr>
        <w:pStyle w:val="Heading2"/>
      </w:pPr>
      <w:bookmarkStart w:id="28" w:name="_Toc409601530"/>
      <w:bookmarkStart w:id="29" w:name="_Toc410375936"/>
      <w:bookmarkStart w:id="30" w:name="_Toc410376017"/>
      <w:r>
        <w:t>D.</w:t>
      </w:r>
      <w:r>
        <w:tab/>
        <w:t>FirstEnergy Has Not Demonstrated That Providing This Billing Service To Insurance Companies Prohibits Anticompetitive Subsidies From A Noncompetitive Retail Distribution Service To A Competitive Retail Electric Service Or Product</w:t>
      </w:r>
      <w:r w:rsidR="00DE232E">
        <w:t>.</w:t>
      </w:r>
      <w:r w:rsidR="009D0A99">
        <w:rPr>
          <w:rStyle w:val="FootnoteReference"/>
        </w:rPr>
        <w:footnoteReference w:id="13"/>
      </w:r>
      <w:bookmarkEnd w:id="28"/>
      <w:bookmarkEnd w:id="29"/>
      <w:bookmarkEnd w:id="30"/>
    </w:p>
    <w:p w:rsidR="00937C4B" w:rsidRDefault="009D0A99" w:rsidP="00BA5E0D">
      <w:pPr>
        <w:spacing w:line="480" w:lineRule="auto"/>
        <w:ind w:firstLine="720"/>
        <w:rPr>
          <w:szCs w:val="24"/>
        </w:rPr>
      </w:pPr>
      <w:r>
        <w:rPr>
          <w:szCs w:val="24"/>
        </w:rPr>
        <w:t>T</w:t>
      </w:r>
      <w:r w:rsidR="007B52E7">
        <w:rPr>
          <w:szCs w:val="24"/>
        </w:rPr>
        <w:t>here is no information demonstrating that the</w:t>
      </w:r>
      <w:r w:rsidR="00B177E7">
        <w:rPr>
          <w:szCs w:val="24"/>
        </w:rPr>
        <w:t xml:space="preserve"> distribution</w:t>
      </w:r>
      <w:r w:rsidR="007B52E7">
        <w:rPr>
          <w:szCs w:val="24"/>
        </w:rPr>
        <w:t xml:space="preserve"> </w:t>
      </w:r>
      <w:r w:rsidR="002E05B8">
        <w:rPr>
          <w:szCs w:val="24"/>
        </w:rPr>
        <w:t xml:space="preserve">consumers are not subsidizing the costs </w:t>
      </w:r>
      <w:r w:rsidR="00FC2884">
        <w:rPr>
          <w:szCs w:val="24"/>
        </w:rPr>
        <w:t>of marketing these insurance products.</w:t>
      </w:r>
      <w:r w:rsidR="001F37A4">
        <w:rPr>
          <w:szCs w:val="24"/>
        </w:rPr>
        <w:t xml:space="preserve"> </w:t>
      </w:r>
      <w:r w:rsidR="00FC2884">
        <w:rPr>
          <w:szCs w:val="24"/>
        </w:rPr>
        <w:t>Undoubtedly, there will be costs of</w:t>
      </w:r>
      <w:r w:rsidR="001F37A4">
        <w:rPr>
          <w:szCs w:val="24"/>
        </w:rPr>
        <w:t xml:space="preserve"> </w:t>
      </w:r>
      <w:r w:rsidR="002E05B8">
        <w:rPr>
          <w:szCs w:val="24"/>
        </w:rPr>
        <w:t>administ</w:t>
      </w:r>
      <w:r w:rsidR="00FC2884">
        <w:rPr>
          <w:szCs w:val="24"/>
        </w:rPr>
        <w:t>ering</w:t>
      </w:r>
      <w:r>
        <w:rPr>
          <w:szCs w:val="24"/>
        </w:rPr>
        <w:t>,</w:t>
      </w:r>
      <w:r w:rsidR="00FC2884">
        <w:rPr>
          <w:szCs w:val="24"/>
        </w:rPr>
        <w:t xml:space="preserve"> such as </w:t>
      </w:r>
      <w:r w:rsidR="002E05B8">
        <w:rPr>
          <w:szCs w:val="24"/>
        </w:rPr>
        <w:t>billing and collection efforts</w:t>
      </w:r>
      <w:r w:rsidR="00FC2884">
        <w:rPr>
          <w:szCs w:val="24"/>
        </w:rPr>
        <w:t>.</w:t>
      </w:r>
      <w:r w:rsidR="002E05B8">
        <w:rPr>
          <w:szCs w:val="24"/>
        </w:rPr>
        <w:t xml:space="preserve"> FirstEnergy </w:t>
      </w:r>
      <w:r w:rsidR="00FC2884">
        <w:rPr>
          <w:szCs w:val="24"/>
        </w:rPr>
        <w:t xml:space="preserve">has not shown that these costs will not be passed along to customers. </w:t>
      </w:r>
      <w:r>
        <w:rPr>
          <w:szCs w:val="24"/>
        </w:rPr>
        <w:t>The Ohio Supreme Court found that allowing a generation-cost component to be recovered in a distribution rate case is a violation of R.C. 4928</w:t>
      </w:r>
      <w:r w:rsidR="002E6FE2">
        <w:rPr>
          <w:szCs w:val="24"/>
        </w:rPr>
        <w:t>.02</w:t>
      </w:r>
      <w:r>
        <w:rPr>
          <w:szCs w:val="24"/>
        </w:rPr>
        <w:t>(G).</w:t>
      </w:r>
      <w:r w:rsidR="002E6FE2">
        <w:rPr>
          <w:rStyle w:val="FootnoteReference"/>
          <w:szCs w:val="24"/>
        </w:rPr>
        <w:footnoteReference w:id="14"/>
      </w:r>
      <w:r>
        <w:rPr>
          <w:szCs w:val="24"/>
        </w:rPr>
        <w:t xml:space="preserve"> </w:t>
      </w:r>
      <w:r w:rsidR="002E6FE2">
        <w:rPr>
          <w:szCs w:val="24"/>
        </w:rPr>
        <w:t>A</w:t>
      </w:r>
      <w:r>
        <w:rPr>
          <w:szCs w:val="24"/>
        </w:rPr>
        <w:t>nd</w:t>
      </w:r>
      <w:r w:rsidR="00737E31">
        <w:rPr>
          <w:szCs w:val="24"/>
        </w:rPr>
        <w:t xml:space="preserve"> the Court</w:t>
      </w:r>
      <w:r>
        <w:rPr>
          <w:szCs w:val="24"/>
        </w:rPr>
        <w:t xml:space="preserve"> held in another case “that distribution service would not subsidize the generation portion of the business.”</w:t>
      </w:r>
      <w:r w:rsidR="002E6FE2">
        <w:rPr>
          <w:rStyle w:val="FootnoteReference"/>
          <w:szCs w:val="24"/>
        </w:rPr>
        <w:footnoteReference w:id="15"/>
      </w:r>
      <w:r>
        <w:rPr>
          <w:szCs w:val="24"/>
        </w:rPr>
        <w:t xml:space="preserve"> </w:t>
      </w:r>
      <w:r w:rsidR="00B177E7">
        <w:rPr>
          <w:szCs w:val="24"/>
        </w:rPr>
        <w:t>In this case, FirstEnergy could</w:t>
      </w:r>
      <w:r w:rsidR="00830E54">
        <w:rPr>
          <w:szCs w:val="24"/>
        </w:rPr>
        <w:t xml:space="preserve"> not allow its distribution cus</w:t>
      </w:r>
      <w:r w:rsidR="00B177E7">
        <w:rPr>
          <w:szCs w:val="24"/>
        </w:rPr>
        <w:t>t</w:t>
      </w:r>
      <w:r w:rsidR="00830E54">
        <w:rPr>
          <w:szCs w:val="24"/>
        </w:rPr>
        <w:t xml:space="preserve">omers to </w:t>
      </w:r>
      <w:r w:rsidR="00B177E7">
        <w:rPr>
          <w:szCs w:val="24"/>
        </w:rPr>
        <w:t>p</w:t>
      </w:r>
      <w:r w:rsidR="00830E54">
        <w:rPr>
          <w:szCs w:val="24"/>
        </w:rPr>
        <w:t>a</w:t>
      </w:r>
      <w:r w:rsidR="00B177E7">
        <w:rPr>
          <w:szCs w:val="24"/>
        </w:rPr>
        <w:t>y for costs associated with offering insurance customers’ bills</w:t>
      </w:r>
      <w:r w:rsidR="0084296A">
        <w:rPr>
          <w:szCs w:val="24"/>
        </w:rPr>
        <w:t>, which is clearly not a distribution-related cost</w:t>
      </w:r>
      <w:r w:rsidR="00B177E7">
        <w:rPr>
          <w:szCs w:val="24"/>
        </w:rPr>
        <w:t>.</w:t>
      </w:r>
      <w:r w:rsidR="00830E54">
        <w:rPr>
          <w:szCs w:val="24"/>
        </w:rPr>
        <w:t xml:space="preserve"> </w:t>
      </w:r>
      <w:r w:rsidR="00D95CB8">
        <w:rPr>
          <w:szCs w:val="24"/>
        </w:rPr>
        <w:t>I</w:t>
      </w:r>
      <w:r w:rsidR="00D95CB8" w:rsidRPr="00C82223">
        <w:rPr>
          <w:szCs w:val="24"/>
        </w:rPr>
        <w:t xml:space="preserve">f the PUCO allows FirstEnergy to provide this service, </w:t>
      </w:r>
      <w:r w:rsidR="00D95CB8">
        <w:rPr>
          <w:szCs w:val="24"/>
        </w:rPr>
        <w:t xml:space="preserve">despite OCC’s recommendations otherwise, </w:t>
      </w:r>
      <w:r w:rsidR="00D95CB8" w:rsidRPr="00C82223">
        <w:rPr>
          <w:szCs w:val="24"/>
        </w:rPr>
        <w:t xml:space="preserve">the Utility must </w:t>
      </w:r>
      <w:r w:rsidR="00D95CB8">
        <w:rPr>
          <w:szCs w:val="24"/>
        </w:rPr>
        <w:t xml:space="preserve">be required to </w:t>
      </w:r>
      <w:r w:rsidR="00D95CB8" w:rsidRPr="00C82223">
        <w:rPr>
          <w:szCs w:val="24"/>
        </w:rPr>
        <w:t>demonstrate tha</w:t>
      </w:r>
      <w:r w:rsidR="00D95CB8">
        <w:rPr>
          <w:szCs w:val="24"/>
        </w:rPr>
        <w:t xml:space="preserve">t its customers do not incur </w:t>
      </w:r>
      <w:r w:rsidR="00D95CB8" w:rsidRPr="00704EF9">
        <w:rPr>
          <w:i/>
        </w:rPr>
        <w:t>any</w:t>
      </w:r>
      <w:r w:rsidR="00D95CB8">
        <w:rPr>
          <w:szCs w:val="24"/>
        </w:rPr>
        <w:t xml:space="preserve"> costs associated with the third party insurance products. This would amount to an unlawful subsidy. </w:t>
      </w:r>
    </w:p>
    <w:p w:rsidR="00724362" w:rsidRDefault="00C405C7" w:rsidP="00724362">
      <w:pPr>
        <w:pStyle w:val="Heading1"/>
      </w:pPr>
      <w:bookmarkStart w:id="31" w:name="_Toc407701802"/>
      <w:bookmarkStart w:id="32" w:name="_Toc409601531"/>
      <w:bookmarkStart w:id="33" w:name="_Toc408236291"/>
      <w:bookmarkStart w:id="34" w:name="_Toc410375937"/>
      <w:bookmarkStart w:id="35" w:name="_Toc410376018"/>
      <w:r>
        <w:t>I</w:t>
      </w:r>
      <w:r w:rsidR="00724362">
        <w:t>V.</w:t>
      </w:r>
      <w:r w:rsidR="00724362">
        <w:tab/>
        <w:t>CONCLUSION</w:t>
      </w:r>
      <w:bookmarkEnd w:id="31"/>
      <w:bookmarkEnd w:id="32"/>
      <w:bookmarkEnd w:id="33"/>
      <w:bookmarkEnd w:id="34"/>
      <w:bookmarkEnd w:id="35"/>
    </w:p>
    <w:p w:rsidR="00724362" w:rsidRDefault="00724362" w:rsidP="00724362">
      <w:pPr>
        <w:autoSpaceDE w:val="0"/>
        <w:autoSpaceDN w:val="0"/>
        <w:adjustRightInd w:val="0"/>
        <w:spacing w:line="480" w:lineRule="auto"/>
        <w:ind w:firstLine="720"/>
        <w:rPr>
          <w:szCs w:val="24"/>
        </w:rPr>
      </w:pPr>
      <w:r>
        <w:rPr>
          <w:szCs w:val="24"/>
        </w:rPr>
        <w:t xml:space="preserve">OCC meets the standards for intervention in this proceeding. The </w:t>
      </w:r>
      <w:r w:rsidR="00B34CAC">
        <w:rPr>
          <w:szCs w:val="24"/>
        </w:rPr>
        <w:t>PUCO</w:t>
      </w:r>
      <w:r>
        <w:rPr>
          <w:szCs w:val="24"/>
        </w:rPr>
        <w:t xml:space="preserve"> should grant OCC’s Motion to Intervene.</w:t>
      </w:r>
    </w:p>
    <w:p w:rsidR="00E97BB0" w:rsidRDefault="00921515" w:rsidP="00B34CAC">
      <w:pPr>
        <w:autoSpaceDE w:val="0"/>
        <w:autoSpaceDN w:val="0"/>
        <w:adjustRightInd w:val="0"/>
        <w:spacing w:line="480" w:lineRule="auto"/>
        <w:ind w:firstLine="720"/>
        <w:rPr>
          <w:lang w:val="en"/>
        </w:rPr>
      </w:pPr>
      <w:r>
        <w:rPr>
          <w:szCs w:val="24"/>
        </w:rPr>
        <w:t xml:space="preserve">On behalf of the </w:t>
      </w:r>
      <w:r w:rsidR="005E6C14">
        <w:rPr>
          <w:szCs w:val="24"/>
        </w:rPr>
        <w:t>1.</w:t>
      </w:r>
      <w:r w:rsidR="00737E31">
        <w:rPr>
          <w:szCs w:val="24"/>
        </w:rPr>
        <w:t>9</w:t>
      </w:r>
      <w:r w:rsidR="005E6C14">
        <w:rPr>
          <w:szCs w:val="24"/>
        </w:rPr>
        <w:t xml:space="preserve"> million</w:t>
      </w:r>
      <w:r>
        <w:rPr>
          <w:szCs w:val="24"/>
        </w:rPr>
        <w:t xml:space="preserve"> FirstEnergy customers, the OCC recommends that the PUCO </w:t>
      </w:r>
      <w:r w:rsidR="007D51E2">
        <w:rPr>
          <w:szCs w:val="24"/>
        </w:rPr>
        <w:t>deny</w:t>
      </w:r>
      <w:r w:rsidR="00724362">
        <w:rPr>
          <w:szCs w:val="24"/>
        </w:rPr>
        <w:t xml:space="preserve"> </w:t>
      </w:r>
      <w:r w:rsidR="00B34CAC">
        <w:rPr>
          <w:szCs w:val="24"/>
        </w:rPr>
        <w:t>FirstEnergy’s</w:t>
      </w:r>
      <w:r w:rsidR="00724362">
        <w:rPr>
          <w:szCs w:val="24"/>
        </w:rPr>
        <w:t xml:space="preserve"> request to </w:t>
      </w:r>
      <w:r w:rsidR="00823FC9">
        <w:rPr>
          <w:szCs w:val="24"/>
        </w:rPr>
        <w:t xml:space="preserve">market </w:t>
      </w:r>
      <w:r w:rsidR="00B34CAC">
        <w:rPr>
          <w:szCs w:val="24"/>
        </w:rPr>
        <w:t xml:space="preserve">disaster insurance to </w:t>
      </w:r>
      <w:r w:rsidR="00823FC9">
        <w:rPr>
          <w:szCs w:val="24"/>
        </w:rPr>
        <w:t xml:space="preserve">utility </w:t>
      </w:r>
      <w:r w:rsidR="00B34CAC">
        <w:rPr>
          <w:szCs w:val="24"/>
        </w:rPr>
        <w:t>customer</w:t>
      </w:r>
      <w:r w:rsidR="001F37A4">
        <w:rPr>
          <w:szCs w:val="24"/>
        </w:rPr>
        <w:t>s</w:t>
      </w:r>
      <w:r w:rsidR="00B34CAC">
        <w:rPr>
          <w:szCs w:val="24"/>
        </w:rPr>
        <w:t xml:space="preserve"> </w:t>
      </w:r>
      <w:r w:rsidR="00823FC9">
        <w:rPr>
          <w:szCs w:val="24"/>
        </w:rPr>
        <w:t xml:space="preserve">through their </w:t>
      </w:r>
      <w:r w:rsidR="00B34CAC">
        <w:rPr>
          <w:szCs w:val="24"/>
        </w:rPr>
        <w:t>bills.</w:t>
      </w:r>
      <w:r w:rsidR="00737E31">
        <w:rPr>
          <w:szCs w:val="24"/>
        </w:rPr>
        <w:t xml:space="preserve">  The offering is confusing. The confusion could lead to customers making purchases they otherwise would avoid. </w:t>
      </w:r>
      <w:r w:rsidR="00B34CAC">
        <w:rPr>
          <w:szCs w:val="24"/>
        </w:rPr>
        <w:t xml:space="preserve"> </w:t>
      </w:r>
      <w:r w:rsidR="00737E31">
        <w:rPr>
          <w:szCs w:val="24"/>
        </w:rPr>
        <w:t>And t</w:t>
      </w:r>
      <w:r>
        <w:rPr>
          <w:szCs w:val="24"/>
        </w:rPr>
        <w:t>he PUCO is without jurisdiction to approve FirstEnergy’s tariff that offers a new servic</w:t>
      </w:r>
      <w:r w:rsidR="00823FC9">
        <w:rPr>
          <w:szCs w:val="24"/>
        </w:rPr>
        <w:t>e (</w:t>
      </w:r>
      <w:r>
        <w:rPr>
          <w:szCs w:val="24"/>
        </w:rPr>
        <w:t>disaster insurance coverage</w:t>
      </w:r>
      <w:r w:rsidR="00823FC9">
        <w:rPr>
          <w:szCs w:val="24"/>
        </w:rPr>
        <w:t>) un</w:t>
      </w:r>
      <w:r>
        <w:rPr>
          <w:szCs w:val="24"/>
        </w:rPr>
        <w:t>related to any PUCO-regulated tariffed electric service.</w:t>
      </w:r>
      <w:r w:rsidR="00D76E7B">
        <w:rPr>
          <w:szCs w:val="24"/>
        </w:rPr>
        <w:t xml:space="preserve"> </w:t>
      </w:r>
    </w:p>
    <w:p w:rsidR="003F7024" w:rsidRDefault="003F7024">
      <w:pPr>
        <w:spacing w:after="200" w:line="276" w:lineRule="auto"/>
        <w:rPr>
          <w:lang w:val="en"/>
        </w:rPr>
      </w:pPr>
      <w:r>
        <w:rPr>
          <w:lang w:val="en"/>
        </w:rPr>
        <w:br w:type="page"/>
      </w:r>
    </w:p>
    <w:p w:rsidR="00724362" w:rsidRDefault="00EA7B68" w:rsidP="00B533B8">
      <w:pPr>
        <w:autoSpaceDE w:val="0"/>
        <w:autoSpaceDN w:val="0"/>
        <w:adjustRightInd w:val="0"/>
        <w:spacing w:line="480" w:lineRule="auto"/>
        <w:ind w:firstLine="720"/>
      </w:pPr>
      <w:r>
        <w:rPr>
          <w:lang w:val="en"/>
        </w:rPr>
        <w:tab/>
      </w:r>
      <w:r w:rsidR="00B533B8">
        <w:rPr>
          <w:lang w:val="en"/>
        </w:rPr>
        <w:tab/>
      </w:r>
      <w:r w:rsidR="00B533B8">
        <w:rPr>
          <w:lang w:val="en"/>
        </w:rPr>
        <w:tab/>
      </w:r>
      <w:r w:rsidR="00B533B8">
        <w:rPr>
          <w:lang w:val="en"/>
        </w:rPr>
        <w:tab/>
      </w:r>
      <w:r w:rsidR="00B533B8">
        <w:rPr>
          <w:lang w:val="en"/>
        </w:rPr>
        <w:tab/>
      </w:r>
      <w:r w:rsidR="00724362">
        <w:rPr>
          <w:szCs w:val="24"/>
        </w:rPr>
        <w:t>Respectfully submitted,</w:t>
      </w:r>
    </w:p>
    <w:p w:rsidR="00724362" w:rsidRDefault="00724362" w:rsidP="00724362">
      <w:pPr>
        <w:pStyle w:val="Footer"/>
        <w:tabs>
          <w:tab w:val="left" w:pos="4320"/>
        </w:tabs>
        <w:spacing w:before="240"/>
        <w:rPr>
          <w:sz w:val="24"/>
          <w:szCs w:val="24"/>
        </w:rPr>
      </w:pPr>
      <w:r>
        <w:rPr>
          <w:sz w:val="24"/>
          <w:szCs w:val="24"/>
        </w:rPr>
        <w:tab/>
        <w:t>BRUCE J. WESTON</w:t>
      </w:r>
    </w:p>
    <w:p w:rsidR="00724362" w:rsidRDefault="00724362" w:rsidP="00724362">
      <w:pPr>
        <w:tabs>
          <w:tab w:val="left" w:pos="4320"/>
        </w:tabs>
        <w:rPr>
          <w:szCs w:val="24"/>
        </w:rPr>
      </w:pPr>
      <w:r>
        <w:rPr>
          <w:szCs w:val="24"/>
        </w:rPr>
        <w:tab/>
        <w:t>OHIO CONSUMERS’ COUNSEL</w:t>
      </w:r>
    </w:p>
    <w:p w:rsidR="00724362" w:rsidRDefault="00724362" w:rsidP="00724362">
      <w:pPr>
        <w:tabs>
          <w:tab w:val="left" w:pos="4320"/>
        </w:tabs>
        <w:rPr>
          <w:szCs w:val="24"/>
        </w:rPr>
      </w:pPr>
      <w:r>
        <w:rPr>
          <w:szCs w:val="24"/>
        </w:rPr>
        <w:tab/>
      </w:r>
    </w:p>
    <w:p w:rsidR="00724362" w:rsidRDefault="00724362" w:rsidP="00724362">
      <w:pPr>
        <w:tabs>
          <w:tab w:val="left" w:pos="4320"/>
        </w:tabs>
        <w:rPr>
          <w:szCs w:val="24"/>
        </w:rPr>
      </w:pPr>
      <w:r>
        <w:rPr>
          <w:szCs w:val="24"/>
        </w:rPr>
        <w:tab/>
      </w:r>
      <w:r>
        <w:rPr>
          <w:i/>
          <w:szCs w:val="24"/>
          <w:u w:val="single"/>
        </w:rPr>
        <w:t xml:space="preserve">/s/ </w:t>
      </w:r>
      <w:r w:rsidR="00E46C72">
        <w:rPr>
          <w:i/>
          <w:szCs w:val="24"/>
          <w:u w:val="single"/>
        </w:rPr>
        <w:t>Jodi Bair</w:t>
      </w:r>
      <w:r>
        <w:rPr>
          <w:szCs w:val="24"/>
        </w:rPr>
        <w:t>____________________</w:t>
      </w:r>
    </w:p>
    <w:p w:rsidR="00724362" w:rsidRDefault="00724362" w:rsidP="00724362">
      <w:pPr>
        <w:tabs>
          <w:tab w:val="left" w:pos="4320"/>
        </w:tabs>
        <w:rPr>
          <w:szCs w:val="24"/>
        </w:rPr>
      </w:pPr>
      <w:r>
        <w:rPr>
          <w:szCs w:val="24"/>
        </w:rPr>
        <w:tab/>
      </w:r>
      <w:r w:rsidR="00E46C72">
        <w:rPr>
          <w:szCs w:val="24"/>
        </w:rPr>
        <w:t>Jodi Bair</w:t>
      </w:r>
      <w:r>
        <w:rPr>
          <w:szCs w:val="24"/>
        </w:rPr>
        <w:t xml:space="preserve">, </w:t>
      </w:r>
      <w:r w:rsidR="00C1183F">
        <w:rPr>
          <w:szCs w:val="24"/>
        </w:rPr>
        <w:t xml:space="preserve">(0062921) </w:t>
      </w:r>
      <w:r>
        <w:rPr>
          <w:szCs w:val="24"/>
        </w:rPr>
        <w:t>Counsel of Record</w:t>
      </w:r>
    </w:p>
    <w:p w:rsidR="00724362" w:rsidRDefault="00724362" w:rsidP="00724362">
      <w:pPr>
        <w:tabs>
          <w:tab w:val="left" w:pos="4320"/>
        </w:tabs>
        <w:rPr>
          <w:szCs w:val="24"/>
        </w:rPr>
      </w:pPr>
      <w:r>
        <w:rPr>
          <w:szCs w:val="24"/>
        </w:rPr>
        <w:tab/>
        <w:t>Assistant Consumers’ Counsel</w:t>
      </w:r>
      <w:r w:rsidR="0076464F">
        <w:rPr>
          <w:szCs w:val="24"/>
        </w:rPr>
        <w:t xml:space="preserve"> </w:t>
      </w:r>
    </w:p>
    <w:p w:rsidR="00724362" w:rsidRDefault="00724362" w:rsidP="00724362">
      <w:r>
        <w:tab/>
      </w:r>
      <w:r>
        <w:tab/>
      </w:r>
      <w:r>
        <w:tab/>
      </w:r>
      <w:r>
        <w:tab/>
      </w:r>
      <w:r>
        <w:tab/>
      </w:r>
      <w:r>
        <w:tab/>
      </w:r>
    </w:p>
    <w:p w:rsidR="00724362" w:rsidRDefault="00724362" w:rsidP="00724362">
      <w:pPr>
        <w:ind w:left="3600" w:firstLine="720"/>
        <w:rPr>
          <w:b/>
        </w:rPr>
      </w:pPr>
      <w:r>
        <w:rPr>
          <w:b/>
        </w:rPr>
        <w:t>Office of the Ohio Consumers’ Counsel</w:t>
      </w:r>
    </w:p>
    <w:p w:rsidR="00724362" w:rsidRDefault="00724362" w:rsidP="00724362">
      <w:pPr>
        <w:ind w:left="4320"/>
      </w:pPr>
      <w:r>
        <w:t>10 West Broad Street, Suite 1800</w:t>
      </w:r>
    </w:p>
    <w:p w:rsidR="00724362" w:rsidRDefault="00724362" w:rsidP="00724362">
      <w:pPr>
        <w:ind w:left="4320"/>
      </w:pPr>
      <w:r>
        <w:t>Columbus, Ohio 43215-3485</w:t>
      </w:r>
    </w:p>
    <w:p w:rsidR="00724362" w:rsidRDefault="00724362" w:rsidP="00724362">
      <w:pPr>
        <w:autoSpaceDE w:val="0"/>
        <w:autoSpaceDN w:val="0"/>
        <w:adjustRightInd w:val="0"/>
        <w:ind w:left="3600" w:firstLine="720"/>
        <w:rPr>
          <w:szCs w:val="24"/>
        </w:rPr>
      </w:pPr>
      <w:r>
        <w:rPr>
          <w:szCs w:val="24"/>
        </w:rPr>
        <w:t>Telephone:</w:t>
      </w:r>
      <w:r w:rsidR="000F55A5">
        <w:rPr>
          <w:szCs w:val="24"/>
        </w:rPr>
        <w:t xml:space="preserve"> </w:t>
      </w:r>
      <w:r>
        <w:rPr>
          <w:szCs w:val="24"/>
        </w:rPr>
        <w:t xml:space="preserve">(Direct </w:t>
      </w:r>
      <w:r w:rsidR="00E46C72">
        <w:rPr>
          <w:szCs w:val="24"/>
        </w:rPr>
        <w:t>Bair</w:t>
      </w:r>
      <w:r>
        <w:rPr>
          <w:szCs w:val="24"/>
        </w:rPr>
        <w:t>)</w:t>
      </w:r>
      <w:r w:rsidR="000F55A5">
        <w:rPr>
          <w:szCs w:val="24"/>
        </w:rPr>
        <w:t xml:space="preserve"> </w:t>
      </w:r>
      <w:r>
        <w:rPr>
          <w:szCs w:val="24"/>
        </w:rPr>
        <w:t>(614) 466-95</w:t>
      </w:r>
      <w:r w:rsidR="00E46C72">
        <w:rPr>
          <w:szCs w:val="24"/>
        </w:rPr>
        <w:t>59</w:t>
      </w:r>
    </w:p>
    <w:p w:rsidR="00C1183F" w:rsidRDefault="00377EFC" w:rsidP="00724362">
      <w:pPr>
        <w:autoSpaceDE w:val="0"/>
        <w:autoSpaceDN w:val="0"/>
        <w:adjustRightInd w:val="0"/>
        <w:ind w:left="3600" w:firstLine="720"/>
        <w:rPr>
          <w:szCs w:val="24"/>
        </w:rPr>
      </w:pPr>
      <w:hyperlink r:id="rId19" w:history="1">
        <w:r w:rsidR="0076464F" w:rsidRPr="006840F0">
          <w:rPr>
            <w:rStyle w:val="Hyperlink"/>
            <w:szCs w:val="24"/>
          </w:rPr>
          <w:t>Jodi.bair@occ.ohio.gov</w:t>
        </w:r>
      </w:hyperlink>
    </w:p>
    <w:p w:rsidR="0076464F" w:rsidRDefault="0045701D" w:rsidP="0076464F">
      <w:pPr>
        <w:autoSpaceDE w:val="0"/>
        <w:autoSpaceDN w:val="0"/>
        <w:adjustRightInd w:val="0"/>
        <w:ind w:left="4320"/>
        <w:rPr>
          <w:szCs w:val="24"/>
        </w:rPr>
      </w:pPr>
      <w:r>
        <w:rPr>
          <w:szCs w:val="24"/>
        </w:rPr>
        <w:t>(</w:t>
      </w:r>
      <w:r w:rsidR="0076464F" w:rsidRPr="00704EF9">
        <w:rPr>
          <w:i/>
        </w:rPr>
        <w:t>Will accept service via electronic transmission</w:t>
      </w:r>
      <w:r>
        <w:rPr>
          <w:szCs w:val="24"/>
        </w:rPr>
        <w:t>)</w:t>
      </w:r>
    </w:p>
    <w:p w:rsidR="00C1183F" w:rsidRDefault="00C1183F" w:rsidP="00724362">
      <w:pPr>
        <w:autoSpaceDE w:val="0"/>
        <w:autoSpaceDN w:val="0"/>
        <w:adjustRightInd w:val="0"/>
        <w:ind w:left="3600" w:firstLine="720"/>
        <w:rPr>
          <w:szCs w:val="24"/>
        </w:rPr>
      </w:pPr>
    </w:p>
    <w:p w:rsidR="00724362" w:rsidRDefault="00724362" w:rsidP="00724362">
      <w:pPr>
        <w:jc w:val="center"/>
        <w:rPr>
          <w:b/>
          <w:bCs/>
          <w:u w:val="single"/>
        </w:rPr>
      </w:pPr>
    </w:p>
    <w:p w:rsidR="0045701D" w:rsidRDefault="0045701D" w:rsidP="00704EF9">
      <w:pPr>
        <w:spacing w:after="200" w:line="276" w:lineRule="auto"/>
        <w:rPr>
          <w:b/>
          <w:bCs/>
          <w:u w:val="single"/>
        </w:rPr>
      </w:pPr>
      <w:r>
        <w:rPr>
          <w:b/>
          <w:bCs/>
          <w:u w:val="single"/>
        </w:rPr>
        <w:br w:type="page"/>
      </w:r>
    </w:p>
    <w:p w:rsidR="00724362" w:rsidRDefault="00724362" w:rsidP="00733C89">
      <w:pPr>
        <w:spacing w:after="200" w:line="276" w:lineRule="auto"/>
        <w:jc w:val="center"/>
        <w:rPr>
          <w:b/>
          <w:bCs/>
          <w:u w:val="single"/>
        </w:rPr>
      </w:pPr>
      <w:r>
        <w:rPr>
          <w:b/>
          <w:bCs/>
          <w:u w:val="single"/>
        </w:rPr>
        <w:t>CERTIFICATE OF SERVICE</w:t>
      </w:r>
    </w:p>
    <w:p w:rsidR="00724362" w:rsidRDefault="00724362" w:rsidP="00724362">
      <w:pPr>
        <w:spacing w:line="480" w:lineRule="atLeast"/>
      </w:pPr>
      <w:r>
        <w:tab/>
        <w:t xml:space="preserve">I hereby certify that a copy of this </w:t>
      </w:r>
      <w:r w:rsidR="00E46C72">
        <w:rPr>
          <w:i/>
        </w:rPr>
        <w:t xml:space="preserve">Motion to Intervene </w:t>
      </w:r>
      <w:r>
        <w:rPr>
          <w:i/>
        </w:rPr>
        <w:t>and Initial Comments</w:t>
      </w:r>
      <w:r>
        <w:t xml:space="preserve"> was served on the persons stated below via electronic transmission this </w:t>
      </w:r>
      <w:r w:rsidR="00062332">
        <w:t>30th</w:t>
      </w:r>
      <w:r>
        <w:t xml:space="preserve"> day of </w:t>
      </w:r>
      <w:r w:rsidR="0076464F">
        <w:t>January, 2015.</w:t>
      </w:r>
    </w:p>
    <w:p w:rsidR="00724362" w:rsidRDefault="00724362" w:rsidP="00724362">
      <w:pPr>
        <w:spacing w:line="480" w:lineRule="atLeast"/>
      </w:pPr>
    </w:p>
    <w:p w:rsidR="00724362" w:rsidRDefault="00724362" w:rsidP="00724362">
      <w:pPr>
        <w:tabs>
          <w:tab w:val="left" w:pos="4320"/>
        </w:tabs>
      </w:pPr>
      <w:r>
        <w:tab/>
      </w:r>
      <w:r>
        <w:rPr>
          <w:i/>
          <w:u w:val="single"/>
        </w:rPr>
        <w:t xml:space="preserve">/s/ </w:t>
      </w:r>
      <w:r w:rsidR="00E46C72">
        <w:rPr>
          <w:i/>
          <w:u w:val="single"/>
        </w:rPr>
        <w:t>Jodi Bair</w:t>
      </w:r>
      <w:r>
        <w:t>_______________</w:t>
      </w:r>
    </w:p>
    <w:p w:rsidR="00724362" w:rsidRDefault="00724362" w:rsidP="00724362">
      <w:pPr>
        <w:tabs>
          <w:tab w:val="left" w:pos="4320"/>
        </w:tabs>
      </w:pPr>
      <w:r>
        <w:tab/>
      </w:r>
      <w:r w:rsidR="00E46C72">
        <w:t>Jodi Bair</w:t>
      </w:r>
    </w:p>
    <w:p w:rsidR="00724362" w:rsidRDefault="00724362" w:rsidP="00724362">
      <w:pPr>
        <w:tabs>
          <w:tab w:val="left" w:pos="4320"/>
        </w:tabs>
      </w:pPr>
      <w:r>
        <w:tab/>
        <w:t>Assistant Consumers’ Counsel</w:t>
      </w:r>
    </w:p>
    <w:p w:rsidR="00724362" w:rsidRDefault="00724362" w:rsidP="00724362">
      <w:pPr>
        <w:pStyle w:val="CommentSubject"/>
      </w:pPr>
    </w:p>
    <w:p w:rsidR="00724362" w:rsidRDefault="00724362" w:rsidP="00724362">
      <w:pPr>
        <w:pStyle w:val="CommentText"/>
      </w:pPr>
    </w:p>
    <w:p w:rsidR="00724362" w:rsidRDefault="00724362" w:rsidP="00724362">
      <w:pPr>
        <w:pStyle w:val="CommentText"/>
        <w:jc w:val="center"/>
        <w:rPr>
          <w:b/>
          <w:bCs/>
          <w:lang w:val="en-US"/>
        </w:rPr>
      </w:pPr>
      <w:r>
        <w:rPr>
          <w:b/>
          <w:u w:val="single"/>
        </w:rPr>
        <w:t>SERVICE LIS</w:t>
      </w:r>
      <w:r>
        <w:rPr>
          <w:b/>
          <w:u w:val="single"/>
          <w:lang w:val="en-US"/>
        </w:rPr>
        <w:t>T</w:t>
      </w:r>
    </w:p>
    <w:p w:rsidR="00B533B8" w:rsidRPr="00C405C7" w:rsidRDefault="00B533B8" w:rsidP="00C405C7">
      <w:pPr>
        <w:autoSpaceDE w:val="0"/>
        <w:autoSpaceDN w:val="0"/>
        <w:adjustRightInd w:val="0"/>
        <w:rPr>
          <w:rFonts w:eastAsiaTheme="minorHAnsi"/>
          <w:szCs w:val="24"/>
        </w:rPr>
      </w:pPr>
    </w:p>
    <w:tbl>
      <w:tblPr>
        <w:tblStyle w:val="TableGrid"/>
        <w:tblpPr w:leftFromText="180" w:rightFromText="180" w:vertAnchor="text" w:horzAnchor="margin" w:tblpY="-148"/>
        <w:tblOverlap w:val="never"/>
        <w:tblW w:w="8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140"/>
      </w:tblGrid>
      <w:tr w:rsidR="00CD460E" w:rsidRPr="00C405C7" w:rsidTr="00CD460E">
        <w:tc>
          <w:tcPr>
            <w:tcW w:w="4405" w:type="dxa"/>
          </w:tcPr>
          <w:p w:rsidR="00CD460E" w:rsidRPr="00C405C7" w:rsidRDefault="00CD460E" w:rsidP="00CD460E">
            <w:pPr>
              <w:pStyle w:val="BodyText"/>
              <w:rPr>
                <w:bCs/>
                <w:lang w:val="en-US"/>
              </w:rPr>
            </w:pPr>
            <w:r w:rsidRPr="00C405C7">
              <w:rPr>
                <w:bCs/>
                <w:lang w:val="en-US"/>
              </w:rPr>
              <w:t>William Wright</w:t>
            </w:r>
          </w:p>
          <w:p w:rsidR="00CD460E" w:rsidRPr="00C405C7" w:rsidRDefault="00CD460E" w:rsidP="00CD460E">
            <w:pPr>
              <w:pStyle w:val="BodyText"/>
              <w:rPr>
                <w:bCs/>
                <w:lang w:val="en-US"/>
              </w:rPr>
            </w:pPr>
            <w:r w:rsidRPr="00C405C7">
              <w:rPr>
                <w:bCs/>
                <w:lang w:val="en-US"/>
              </w:rPr>
              <w:t>Attorney General’s Office</w:t>
            </w:r>
          </w:p>
          <w:p w:rsidR="00CD460E" w:rsidRPr="00C405C7" w:rsidRDefault="00CD460E" w:rsidP="00CD460E">
            <w:pPr>
              <w:pStyle w:val="BodyText"/>
              <w:rPr>
                <w:bCs/>
                <w:lang w:val="en-US"/>
              </w:rPr>
            </w:pPr>
            <w:r w:rsidRPr="00C405C7">
              <w:rPr>
                <w:bCs/>
                <w:lang w:val="en-US"/>
              </w:rPr>
              <w:t>Public Utilities Commission of Ohio</w:t>
            </w:r>
          </w:p>
          <w:p w:rsidR="00CD460E" w:rsidRPr="00C405C7" w:rsidRDefault="00CD460E" w:rsidP="00CD460E">
            <w:pPr>
              <w:pStyle w:val="BodyText"/>
              <w:rPr>
                <w:bCs/>
                <w:lang w:val="en-US"/>
              </w:rPr>
            </w:pPr>
            <w:r w:rsidRPr="00C405C7">
              <w:rPr>
                <w:bCs/>
                <w:lang w:val="en-US"/>
              </w:rPr>
              <w:t>180 E. Broad St., 5</w:t>
            </w:r>
            <w:r w:rsidRPr="00C405C7">
              <w:rPr>
                <w:bCs/>
                <w:vertAlign w:val="superscript"/>
                <w:lang w:val="en-US"/>
              </w:rPr>
              <w:t>th</w:t>
            </w:r>
            <w:r w:rsidRPr="00C405C7">
              <w:rPr>
                <w:bCs/>
                <w:lang w:val="en-US"/>
              </w:rPr>
              <w:t xml:space="preserve"> Fl.</w:t>
            </w:r>
          </w:p>
          <w:p w:rsidR="00CD460E" w:rsidRPr="00C405C7" w:rsidRDefault="00CD460E" w:rsidP="00CD460E">
            <w:pPr>
              <w:pStyle w:val="BodyText"/>
              <w:rPr>
                <w:bCs/>
                <w:lang w:val="en-US"/>
              </w:rPr>
            </w:pPr>
            <w:r w:rsidRPr="00C405C7">
              <w:rPr>
                <w:bCs/>
                <w:lang w:val="en-US"/>
              </w:rPr>
              <w:t>Columbus, OH 43215</w:t>
            </w:r>
          </w:p>
          <w:p w:rsidR="00CD460E" w:rsidRDefault="00377EFC" w:rsidP="00CD460E">
            <w:pPr>
              <w:pStyle w:val="BodyText"/>
              <w:rPr>
                <w:bCs/>
                <w:lang w:val="en-US"/>
              </w:rPr>
            </w:pPr>
            <w:hyperlink r:id="rId20" w:history="1">
              <w:r w:rsidR="00CD460E" w:rsidRPr="006840F0">
                <w:rPr>
                  <w:rStyle w:val="Hyperlink"/>
                  <w:bCs/>
                  <w:lang w:val="en-US"/>
                </w:rPr>
                <w:t>William.wright@puc.state.oh.us</w:t>
              </w:r>
            </w:hyperlink>
          </w:p>
          <w:p w:rsidR="00CD460E" w:rsidRPr="00C405C7" w:rsidRDefault="00CD460E" w:rsidP="00CD460E">
            <w:pPr>
              <w:pStyle w:val="BodyText"/>
              <w:rPr>
                <w:bCs/>
                <w:lang w:val="en-US"/>
              </w:rPr>
            </w:pPr>
          </w:p>
          <w:p w:rsidR="00CD460E" w:rsidRPr="00C405C7" w:rsidRDefault="00CD460E" w:rsidP="00CD460E"/>
          <w:p w:rsidR="00CD460E" w:rsidRPr="00C405C7" w:rsidRDefault="00CD460E" w:rsidP="00CD460E">
            <w:pPr>
              <w:ind w:right="-2415"/>
              <w:rPr>
                <w:szCs w:val="24"/>
              </w:rPr>
            </w:pPr>
          </w:p>
        </w:tc>
        <w:tc>
          <w:tcPr>
            <w:tcW w:w="4140" w:type="dxa"/>
          </w:tcPr>
          <w:p w:rsidR="00CD460E" w:rsidRPr="00C405C7" w:rsidRDefault="00CD460E" w:rsidP="00CD460E">
            <w:pPr>
              <w:autoSpaceDE w:val="0"/>
              <w:autoSpaceDN w:val="0"/>
              <w:adjustRightInd w:val="0"/>
              <w:rPr>
                <w:rFonts w:eastAsiaTheme="minorHAnsi"/>
                <w:szCs w:val="24"/>
              </w:rPr>
            </w:pPr>
            <w:r w:rsidRPr="00C405C7">
              <w:rPr>
                <w:rFonts w:eastAsiaTheme="minorHAnsi"/>
                <w:szCs w:val="24"/>
              </w:rPr>
              <w:t xml:space="preserve">Carrie M. Dunn </w:t>
            </w:r>
          </w:p>
          <w:p w:rsidR="00CD460E" w:rsidRPr="00C405C7" w:rsidRDefault="00CD460E" w:rsidP="00CD460E">
            <w:pPr>
              <w:autoSpaceDE w:val="0"/>
              <w:autoSpaceDN w:val="0"/>
              <w:adjustRightInd w:val="0"/>
              <w:rPr>
                <w:rFonts w:eastAsiaTheme="minorHAnsi"/>
                <w:szCs w:val="24"/>
              </w:rPr>
            </w:pPr>
            <w:r w:rsidRPr="00C405C7">
              <w:rPr>
                <w:rFonts w:eastAsiaTheme="minorHAnsi"/>
                <w:szCs w:val="24"/>
              </w:rPr>
              <w:t>FirstEnergy Service Company</w:t>
            </w:r>
          </w:p>
          <w:p w:rsidR="00CD460E" w:rsidRPr="00C405C7" w:rsidRDefault="00CD460E" w:rsidP="00CD460E">
            <w:pPr>
              <w:autoSpaceDE w:val="0"/>
              <w:autoSpaceDN w:val="0"/>
              <w:adjustRightInd w:val="0"/>
              <w:rPr>
                <w:rFonts w:eastAsiaTheme="minorHAnsi"/>
                <w:szCs w:val="24"/>
              </w:rPr>
            </w:pPr>
            <w:r w:rsidRPr="00C405C7">
              <w:rPr>
                <w:rFonts w:eastAsiaTheme="minorHAnsi"/>
                <w:szCs w:val="24"/>
              </w:rPr>
              <w:t>76 South Main Street</w:t>
            </w:r>
          </w:p>
          <w:p w:rsidR="00CD460E" w:rsidRPr="00C405C7" w:rsidRDefault="00CD460E" w:rsidP="00CD460E">
            <w:pPr>
              <w:autoSpaceDE w:val="0"/>
              <w:autoSpaceDN w:val="0"/>
              <w:adjustRightInd w:val="0"/>
              <w:rPr>
                <w:rFonts w:eastAsiaTheme="minorHAnsi"/>
                <w:szCs w:val="24"/>
              </w:rPr>
            </w:pPr>
            <w:r w:rsidRPr="00C405C7">
              <w:rPr>
                <w:rFonts w:eastAsiaTheme="minorHAnsi"/>
                <w:szCs w:val="24"/>
              </w:rPr>
              <w:t>Akron, OH 44308</w:t>
            </w:r>
          </w:p>
          <w:p w:rsidR="00CD460E" w:rsidRDefault="00377EFC" w:rsidP="00CD460E">
            <w:pPr>
              <w:rPr>
                <w:rFonts w:eastAsiaTheme="minorHAnsi"/>
                <w:szCs w:val="24"/>
              </w:rPr>
            </w:pPr>
            <w:hyperlink r:id="rId21" w:history="1">
              <w:r w:rsidR="00CD460E" w:rsidRPr="006840F0">
                <w:rPr>
                  <w:rStyle w:val="Hyperlink"/>
                  <w:rFonts w:eastAsiaTheme="minorHAnsi"/>
                  <w:szCs w:val="24"/>
                </w:rPr>
                <w:t>cdunn@firstenergycorp.com</w:t>
              </w:r>
            </w:hyperlink>
          </w:p>
          <w:p w:rsidR="00CD460E" w:rsidRPr="00C405C7" w:rsidRDefault="00CD460E" w:rsidP="00CD460E">
            <w:pPr>
              <w:rPr>
                <w:rFonts w:eastAsiaTheme="minorHAnsi"/>
                <w:szCs w:val="24"/>
              </w:rPr>
            </w:pPr>
          </w:p>
          <w:p w:rsidR="00CD460E" w:rsidRPr="00C405C7" w:rsidRDefault="00CD460E" w:rsidP="00CD460E">
            <w:pPr>
              <w:rPr>
                <w:szCs w:val="24"/>
              </w:rPr>
            </w:pPr>
          </w:p>
        </w:tc>
      </w:tr>
      <w:tr w:rsidR="00CD460E" w:rsidRPr="00C405C7" w:rsidTr="00CD460E">
        <w:tc>
          <w:tcPr>
            <w:tcW w:w="4405" w:type="dxa"/>
          </w:tcPr>
          <w:p w:rsidR="00CD460E" w:rsidRDefault="00CD460E" w:rsidP="00CD460E">
            <w:pPr>
              <w:autoSpaceDE w:val="0"/>
              <w:autoSpaceDN w:val="0"/>
              <w:adjustRightInd w:val="0"/>
              <w:rPr>
                <w:rFonts w:eastAsiaTheme="minorHAnsi"/>
                <w:szCs w:val="24"/>
              </w:rPr>
            </w:pPr>
            <w:r w:rsidRPr="00C405C7">
              <w:rPr>
                <w:rFonts w:eastAsiaTheme="minorHAnsi"/>
                <w:szCs w:val="24"/>
              </w:rPr>
              <w:t xml:space="preserve">Matthew White </w:t>
            </w:r>
          </w:p>
          <w:p w:rsidR="00CD460E" w:rsidRPr="00C405C7" w:rsidRDefault="00CD460E" w:rsidP="00CD460E">
            <w:pPr>
              <w:autoSpaceDE w:val="0"/>
              <w:autoSpaceDN w:val="0"/>
              <w:adjustRightInd w:val="0"/>
              <w:rPr>
                <w:rFonts w:eastAsiaTheme="minorHAnsi"/>
                <w:szCs w:val="24"/>
              </w:rPr>
            </w:pPr>
            <w:r>
              <w:rPr>
                <w:rFonts w:eastAsiaTheme="minorHAnsi"/>
                <w:szCs w:val="24"/>
              </w:rPr>
              <w:t>Joseph Oliker</w:t>
            </w:r>
          </w:p>
          <w:p w:rsidR="00CD460E" w:rsidRPr="00C405C7" w:rsidRDefault="00CD460E" w:rsidP="00CD460E">
            <w:pPr>
              <w:autoSpaceDE w:val="0"/>
              <w:autoSpaceDN w:val="0"/>
              <w:adjustRightInd w:val="0"/>
              <w:rPr>
                <w:rFonts w:eastAsiaTheme="minorHAnsi"/>
                <w:szCs w:val="24"/>
              </w:rPr>
            </w:pPr>
            <w:r w:rsidRPr="00C405C7">
              <w:rPr>
                <w:rFonts w:eastAsiaTheme="minorHAnsi"/>
                <w:szCs w:val="24"/>
              </w:rPr>
              <w:t>IGS Energy</w:t>
            </w:r>
          </w:p>
          <w:p w:rsidR="00CD460E" w:rsidRPr="00C405C7" w:rsidRDefault="00CD460E" w:rsidP="00CD460E">
            <w:pPr>
              <w:autoSpaceDE w:val="0"/>
              <w:autoSpaceDN w:val="0"/>
              <w:adjustRightInd w:val="0"/>
              <w:rPr>
                <w:rFonts w:eastAsiaTheme="minorHAnsi"/>
                <w:szCs w:val="24"/>
              </w:rPr>
            </w:pPr>
            <w:r w:rsidRPr="00C405C7">
              <w:rPr>
                <w:rFonts w:eastAsiaTheme="minorHAnsi"/>
                <w:szCs w:val="24"/>
              </w:rPr>
              <w:t>6100 Emerald Parkway</w:t>
            </w:r>
          </w:p>
          <w:p w:rsidR="00CD460E" w:rsidRDefault="00CD460E" w:rsidP="00CD460E">
            <w:pPr>
              <w:autoSpaceDE w:val="0"/>
              <w:autoSpaceDN w:val="0"/>
              <w:adjustRightInd w:val="0"/>
              <w:rPr>
                <w:rFonts w:eastAsiaTheme="minorHAnsi"/>
                <w:szCs w:val="24"/>
              </w:rPr>
            </w:pPr>
            <w:r w:rsidRPr="00C405C7">
              <w:rPr>
                <w:rFonts w:eastAsiaTheme="minorHAnsi"/>
                <w:szCs w:val="24"/>
              </w:rPr>
              <w:t>Dublin, O</w:t>
            </w:r>
            <w:r>
              <w:rPr>
                <w:rFonts w:eastAsiaTheme="minorHAnsi"/>
                <w:szCs w:val="24"/>
              </w:rPr>
              <w:t>H</w:t>
            </w:r>
            <w:r w:rsidRPr="00C405C7">
              <w:rPr>
                <w:rFonts w:eastAsiaTheme="minorHAnsi"/>
                <w:szCs w:val="24"/>
              </w:rPr>
              <w:t xml:space="preserve"> 43016</w:t>
            </w:r>
          </w:p>
          <w:p w:rsidR="00CD460E" w:rsidRDefault="00377EFC" w:rsidP="00CD460E">
            <w:pPr>
              <w:autoSpaceDE w:val="0"/>
              <w:autoSpaceDN w:val="0"/>
              <w:adjustRightInd w:val="0"/>
              <w:rPr>
                <w:rFonts w:eastAsiaTheme="minorHAnsi"/>
                <w:szCs w:val="24"/>
              </w:rPr>
            </w:pPr>
            <w:hyperlink r:id="rId22" w:history="1">
              <w:r w:rsidR="00CD460E" w:rsidRPr="006840F0">
                <w:rPr>
                  <w:rStyle w:val="Hyperlink"/>
                  <w:rFonts w:eastAsiaTheme="minorHAnsi"/>
                  <w:szCs w:val="24"/>
                </w:rPr>
                <w:t>mswhite@igsenergy.com</w:t>
              </w:r>
            </w:hyperlink>
          </w:p>
          <w:p w:rsidR="00CD460E" w:rsidRDefault="00377EFC" w:rsidP="00CD460E">
            <w:pPr>
              <w:autoSpaceDE w:val="0"/>
              <w:autoSpaceDN w:val="0"/>
              <w:adjustRightInd w:val="0"/>
              <w:rPr>
                <w:rFonts w:eastAsiaTheme="minorHAnsi"/>
                <w:szCs w:val="24"/>
              </w:rPr>
            </w:pPr>
            <w:hyperlink r:id="rId23" w:history="1">
              <w:r w:rsidR="00CD460E" w:rsidRPr="006840F0">
                <w:rPr>
                  <w:rStyle w:val="Hyperlink"/>
                  <w:rFonts w:eastAsiaTheme="minorHAnsi"/>
                  <w:szCs w:val="24"/>
                </w:rPr>
                <w:t>joliker@igsenergy.com</w:t>
              </w:r>
            </w:hyperlink>
          </w:p>
          <w:p w:rsidR="00CD460E" w:rsidRPr="00C405C7" w:rsidRDefault="00CD460E" w:rsidP="00CD460E">
            <w:pPr>
              <w:autoSpaceDE w:val="0"/>
              <w:autoSpaceDN w:val="0"/>
              <w:adjustRightInd w:val="0"/>
              <w:rPr>
                <w:bCs/>
              </w:rPr>
            </w:pPr>
          </w:p>
        </w:tc>
        <w:tc>
          <w:tcPr>
            <w:tcW w:w="4140" w:type="dxa"/>
          </w:tcPr>
          <w:p w:rsidR="00CD460E" w:rsidRDefault="00CD460E" w:rsidP="00CD460E">
            <w:pPr>
              <w:autoSpaceDE w:val="0"/>
              <w:autoSpaceDN w:val="0"/>
              <w:adjustRightInd w:val="0"/>
              <w:rPr>
                <w:rFonts w:eastAsiaTheme="minorHAnsi"/>
                <w:szCs w:val="24"/>
              </w:rPr>
            </w:pPr>
            <w:r>
              <w:rPr>
                <w:rFonts w:eastAsiaTheme="minorHAnsi"/>
                <w:szCs w:val="24"/>
              </w:rPr>
              <w:t>Attorney Examiners:</w:t>
            </w:r>
          </w:p>
          <w:p w:rsidR="00CD460E" w:rsidRDefault="00CD460E" w:rsidP="00CD460E">
            <w:pPr>
              <w:autoSpaceDE w:val="0"/>
              <w:autoSpaceDN w:val="0"/>
              <w:adjustRightInd w:val="0"/>
              <w:rPr>
                <w:rFonts w:eastAsiaTheme="minorHAnsi"/>
                <w:szCs w:val="24"/>
              </w:rPr>
            </w:pPr>
          </w:p>
          <w:p w:rsidR="00CD460E" w:rsidRDefault="00377EFC" w:rsidP="00CD460E">
            <w:pPr>
              <w:autoSpaceDE w:val="0"/>
              <w:autoSpaceDN w:val="0"/>
              <w:adjustRightInd w:val="0"/>
              <w:rPr>
                <w:rFonts w:eastAsiaTheme="minorHAnsi"/>
                <w:szCs w:val="24"/>
              </w:rPr>
            </w:pPr>
            <w:hyperlink r:id="rId24" w:history="1">
              <w:r w:rsidR="00CD460E" w:rsidRPr="006840F0">
                <w:rPr>
                  <w:rStyle w:val="Hyperlink"/>
                  <w:rFonts w:eastAsiaTheme="minorHAnsi"/>
                  <w:szCs w:val="24"/>
                </w:rPr>
                <w:t>Gregory.price@puc.state.oh.us</w:t>
              </w:r>
            </w:hyperlink>
          </w:p>
          <w:p w:rsidR="00CD460E" w:rsidRDefault="00377EFC" w:rsidP="00CD460E">
            <w:pPr>
              <w:autoSpaceDE w:val="0"/>
              <w:autoSpaceDN w:val="0"/>
              <w:adjustRightInd w:val="0"/>
              <w:rPr>
                <w:rFonts w:eastAsiaTheme="minorHAnsi"/>
                <w:szCs w:val="24"/>
              </w:rPr>
            </w:pPr>
            <w:hyperlink r:id="rId25" w:history="1">
              <w:r w:rsidR="00CD460E" w:rsidRPr="006840F0">
                <w:rPr>
                  <w:rStyle w:val="Hyperlink"/>
                  <w:rFonts w:eastAsiaTheme="minorHAnsi"/>
                  <w:szCs w:val="24"/>
                </w:rPr>
                <w:t>Mandy.willey@puc.state.oh.us</w:t>
              </w:r>
            </w:hyperlink>
          </w:p>
          <w:p w:rsidR="00CD460E" w:rsidRDefault="00CD460E" w:rsidP="00CD460E">
            <w:pPr>
              <w:autoSpaceDE w:val="0"/>
              <w:autoSpaceDN w:val="0"/>
              <w:adjustRightInd w:val="0"/>
              <w:rPr>
                <w:rFonts w:eastAsiaTheme="minorHAnsi"/>
                <w:szCs w:val="24"/>
              </w:rPr>
            </w:pPr>
          </w:p>
          <w:p w:rsidR="00CD460E" w:rsidRPr="00C405C7" w:rsidRDefault="00CD460E" w:rsidP="00CD460E">
            <w:pPr>
              <w:autoSpaceDE w:val="0"/>
              <w:autoSpaceDN w:val="0"/>
              <w:adjustRightInd w:val="0"/>
              <w:rPr>
                <w:rFonts w:eastAsiaTheme="minorHAnsi"/>
                <w:szCs w:val="24"/>
              </w:rPr>
            </w:pPr>
          </w:p>
        </w:tc>
      </w:tr>
    </w:tbl>
    <w:p w:rsidR="00C405C7" w:rsidRDefault="00C405C7" w:rsidP="00724362">
      <w:pPr>
        <w:pStyle w:val="BodyText"/>
        <w:rPr>
          <w:bCs/>
          <w:lang w:val="en-US"/>
        </w:rPr>
      </w:pPr>
    </w:p>
    <w:sectPr w:rsidR="00C405C7" w:rsidSect="00D15D3F">
      <w:headerReference w:type="even" r:id="rId26"/>
      <w:headerReference w:type="default" r:id="rId27"/>
      <w:footerReference w:type="default" r:id="rId28"/>
      <w:headerReference w:type="first" r:id="rId2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C59" w:rsidRDefault="007E1C59" w:rsidP="00724362">
      <w:r>
        <w:separator/>
      </w:r>
    </w:p>
  </w:endnote>
  <w:endnote w:type="continuationSeparator" w:id="0">
    <w:p w:rsidR="007E1C59" w:rsidRDefault="007E1C59" w:rsidP="00724362">
      <w:r>
        <w:continuationSeparator/>
      </w:r>
    </w:p>
  </w:endnote>
  <w:endnote w:type="continuationNotice" w:id="1">
    <w:p w:rsidR="007E1C59" w:rsidRDefault="007E1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10" w:rsidRDefault="001A35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10" w:rsidRDefault="001A35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10" w:rsidRDefault="001A35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208943"/>
      <w:docPartObj>
        <w:docPartGallery w:val="Page Numbers (Bottom of Page)"/>
        <w:docPartUnique/>
      </w:docPartObj>
    </w:sdtPr>
    <w:sdtEndPr>
      <w:rPr>
        <w:noProof/>
      </w:rPr>
    </w:sdtEndPr>
    <w:sdtContent>
      <w:p w:rsidR="00A9550E" w:rsidRDefault="00A9550E">
        <w:pPr>
          <w:pStyle w:val="Footer"/>
          <w:jc w:val="center"/>
        </w:pPr>
        <w:r>
          <w:fldChar w:fldCharType="begin"/>
        </w:r>
        <w:r>
          <w:instrText xml:space="preserve"> PAGE   \* MERGEFORMAT </w:instrText>
        </w:r>
        <w:r>
          <w:fldChar w:fldCharType="separate"/>
        </w:r>
        <w:r w:rsidR="00377EFC">
          <w:rPr>
            <w:noProof/>
          </w:rPr>
          <w:t>i</w:t>
        </w:r>
        <w:r>
          <w:rPr>
            <w:noProof/>
          </w:rPr>
          <w:fldChar w:fldCharType="end"/>
        </w:r>
      </w:p>
    </w:sdtContent>
  </w:sdt>
  <w:p w:rsidR="00A9550E" w:rsidRDefault="00A9550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537325"/>
      <w:docPartObj>
        <w:docPartGallery w:val="Page Numbers (Bottom of Page)"/>
        <w:docPartUnique/>
      </w:docPartObj>
    </w:sdtPr>
    <w:sdtEndPr>
      <w:rPr>
        <w:noProof/>
        <w:sz w:val="24"/>
        <w:szCs w:val="24"/>
      </w:rPr>
    </w:sdtEndPr>
    <w:sdtContent>
      <w:p w:rsidR="00A9550E" w:rsidRPr="005A6473" w:rsidRDefault="00A9550E">
        <w:pPr>
          <w:pStyle w:val="Footer"/>
          <w:jc w:val="center"/>
          <w:rPr>
            <w:sz w:val="24"/>
            <w:szCs w:val="24"/>
          </w:rPr>
        </w:pPr>
        <w:r w:rsidRPr="005A6473">
          <w:rPr>
            <w:sz w:val="24"/>
            <w:szCs w:val="24"/>
          </w:rPr>
          <w:fldChar w:fldCharType="begin"/>
        </w:r>
        <w:r w:rsidRPr="005A6473">
          <w:rPr>
            <w:sz w:val="24"/>
            <w:szCs w:val="24"/>
          </w:rPr>
          <w:instrText xml:space="preserve"> PAGE   \* MERGEFORMAT </w:instrText>
        </w:r>
        <w:r w:rsidRPr="005A6473">
          <w:rPr>
            <w:sz w:val="24"/>
            <w:szCs w:val="24"/>
          </w:rPr>
          <w:fldChar w:fldCharType="separate"/>
        </w:r>
        <w:r w:rsidR="001A3510">
          <w:rPr>
            <w:noProof/>
            <w:sz w:val="24"/>
            <w:szCs w:val="24"/>
          </w:rPr>
          <w:t>11</w:t>
        </w:r>
        <w:r w:rsidRPr="005A6473">
          <w:rPr>
            <w:noProof/>
            <w:sz w:val="24"/>
            <w:szCs w:val="24"/>
          </w:rPr>
          <w:fldChar w:fldCharType="end"/>
        </w:r>
      </w:p>
    </w:sdtContent>
  </w:sdt>
  <w:p w:rsidR="00A9550E" w:rsidRDefault="00A95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C59" w:rsidRDefault="007E1C59" w:rsidP="00724362">
      <w:r>
        <w:separator/>
      </w:r>
    </w:p>
  </w:footnote>
  <w:footnote w:type="continuationSeparator" w:id="0">
    <w:p w:rsidR="007E1C59" w:rsidRDefault="007E1C59" w:rsidP="00724362">
      <w:r>
        <w:continuationSeparator/>
      </w:r>
    </w:p>
  </w:footnote>
  <w:footnote w:type="continuationNotice" w:id="1">
    <w:p w:rsidR="007E1C59" w:rsidRDefault="007E1C59"/>
  </w:footnote>
  <w:footnote w:id="2">
    <w:p w:rsidR="00A9550E" w:rsidRDefault="00A9550E" w:rsidP="00D15D3F">
      <w:pPr>
        <w:pStyle w:val="FootnoteText"/>
        <w:spacing w:after="120"/>
      </w:pPr>
      <w:r>
        <w:rPr>
          <w:rStyle w:val="FootnoteReference"/>
        </w:rPr>
        <w:footnoteRef/>
      </w:r>
      <w:r>
        <w:t xml:space="preserve"> </w:t>
      </w:r>
      <w:r>
        <w:rPr>
          <w:i/>
        </w:rPr>
        <w:t>See</w:t>
      </w:r>
      <w:r>
        <w:t xml:space="preserve"> R.C. Chapter 4911, R.C. 4903.221 and Ohio Adm. Code 4901-1-11.</w:t>
      </w:r>
    </w:p>
  </w:footnote>
  <w:footnote w:id="3">
    <w:p w:rsidR="00A9550E" w:rsidRDefault="00A9550E" w:rsidP="00D15D3F">
      <w:pPr>
        <w:pStyle w:val="FootnoteText"/>
        <w:spacing w:after="120"/>
      </w:pPr>
      <w:r w:rsidRPr="004331BA">
        <w:rPr>
          <w:rStyle w:val="FootnoteReference"/>
          <w:i/>
        </w:rPr>
        <w:footnoteRef/>
      </w:r>
      <w:r w:rsidRPr="004331BA">
        <w:rPr>
          <w:i/>
        </w:rPr>
        <w:t xml:space="preserve"> In the Matter of the Application of Ohio Edison Company, The Cleveland Electric Illuminating Company and The Toledo Edison Company for Approval</w:t>
      </w:r>
      <w:r>
        <w:t>, Case Nos. 14-1980-EL-ATA, 14-1981-EL-ATA, and 14-1982-EL-ATA, Application at Exhibit B (Nov. 11, 2014).</w:t>
      </w:r>
    </w:p>
  </w:footnote>
  <w:footnote w:id="4">
    <w:p w:rsidR="00A9550E" w:rsidRDefault="00A9550E" w:rsidP="00D15D3F">
      <w:pPr>
        <w:pStyle w:val="FootnoteText"/>
        <w:spacing w:after="120"/>
      </w:pPr>
      <w:r>
        <w:rPr>
          <w:rStyle w:val="FootnoteReference"/>
        </w:rPr>
        <w:footnoteRef/>
      </w:r>
      <w:r>
        <w:t xml:space="preserve"> </w:t>
      </w:r>
      <w:r>
        <w:rPr>
          <w:szCs w:val="24"/>
        </w:rPr>
        <w:t xml:space="preserve">OCC has authority under law to represent </w:t>
      </w:r>
      <w:r>
        <w:t>the interests of the 1.9 million FirstEnergy residential utility customers pursuant to R.C. Chapter 4911</w:t>
      </w:r>
      <w:r>
        <w:rPr>
          <w:szCs w:val="24"/>
        </w:rPr>
        <w:t>.</w:t>
      </w:r>
      <w:r>
        <w:t xml:space="preserve"> </w:t>
      </w:r>
    </w:p>
  </w:footnote>
  <w:footnote w:id="5">
    <w:p w:rsidR="00A9550E" w:rsidRDefault="00A9550E" w:rsidP="00D15D3F">
      <w:pPr>
        <w:pStyle w:val="FootnoteText"/>
        <w:spacing w:after="120"/>
      </w:pPr>
      <w:r>
        <w:rPr>
          <w:rStyle w:val="FootnoteReference"/>
        </w:rPr>
        <w:footnoteRef/>
      </w:r>
      <w:r>
        <w:t xml:space="preserve"> Ohio </w:t>
      </w:r>
      <w:r w:rsidR="00172A41">
        <w:t>Adm.</w:t>
      </w:r>
      <w:r>
        <w:t xml:space="preserve"> Code 4901:1-10-22(B).</w:t>
      </w:r>
    </w:p>
  </w:footnote>
  <w:footnote w:id="6">
    <w:p w:rsidR="00A9550E" w:rsidRDefault="00A9550E" w:rsidP="00D15D3F">
      <w:pPr>
        <w:pStyle w:val="FootnoteText"/>
        <w:spacing w:after="120"/>
      </w:pPr>
      <w:r>
        <w:rPr>
          <w:rStyle w:val="FootnoteReference"/>
        </w:rPr>
        <w:footnoteRef/>
      </w:r>
      <w:r>
        <w:rPr>
          <w:i/>
        </w:rPr>
        <w:t xml:space="preserve"> See Ohio Consumers’ Counsel v. Pub. Util. Comm</w:t>
      </w:r>
      <w:r>
        <w:t>., 111 Ohio St.3d 384, 2006-Ohio-5853, ¶¶13-20 (2006).</w:t>
      </w:r>
    </w:p>
  </w:footnote>
  <w:footnote w:id="7">
    <w:p w:rsidR="00A9550E" w:rsidRDefault="00A9550E" w:rsidP="00D15D3F">
      <w:pPr>
        <w:pStyle w:val="FootnoteText"/>
        <w:spacing w:after="120"/>
      </w:pPr>
      <w:r>
        <w:rPr>
          <w:rStyle w:val="FootnoteReference"/>
        </w:rPr>
        <w:footnoteRef/>
      </w:r>
      <w:r>
        <w:t xml:space="preserve"> </w:t>
      </w:r>
      <w:r w:rsidRPr="004331BA">
        <w:rPr>
          <w:i/>
        </w:rPr>
        <w:t>In the Matter of the Application of Ohio Edison Company, The Cleveland Electric Illuminating Company and The Toledo Edison Company for Approval</w:t>
      </w:r>
      <w:r>
        <w:t>, Case Nos. 14-1980-EL-ATA, 14-1981-EL-ATA, and 14-1982-EL-ATA, Application at Exhibit B (Nov. 11, 2014).</w:t>
      </w:r>
    </w:p>
  </w:footnote>
  <w:footnote w:id="8">
    <w:p w:rsidR="00A9550E" w:rsidRDefault="00A9550E" w:rsidP="00D15D3F">
      <w:pPr>
        <w:pStyle w:val="FootnoteText"/>
        <w:spacing w:after="120"/>
      </w:pPr>
      <w:r>
        <w:rPr>
          <w:rStyle w:val="FootnoteReference"/>
        </w:rPr>
        <w:footnoteRef/>
      </w:r>
      <w:r>
        <w:t xml:space="preserve"> Ohio Rev. Code 4905.04.</w:t>
      </w:r>
    </w:p>
  </w:footnote>
  <w:footnote w:id="9">
    <w:p w:rsidR="00A9550E" w:rsidRDefault="00A9550E" w:rsidP="00D15D3F">
      <w:pPr>
        <w:pStyle w:val="FootnoteText"/>
        <w:spacing w:after="120"/>
      </w:pPr>
      <w:r>
        <w:rPr>
          <w:rStyle w:val="FootnoteReference"/>
        </w:rPr>
        <w:footnoteRef/>
      </w:r>
      <w:r>
        <w:rPr>
          <w:i/>
        </w:rPr>
        <w:t xml:space="preserve"> </w:t>
      </w:r>
      <w:r w:rsidRPr="004331BA">
        <w:rPr>
          <w:i/>
        </w:rPr>
        <w:t>In the Matter of the Application of Ohio Edison Company, The Cleveland Electric Illuminating Company and The Toledo Edison Company for Approval</w:t>
      </w:r>
      <w:r>
        <w:t xml:space="preserve">, Case Nos. 14-1980-EL-ATA, 14-1981-EL-ATA, and 14-1982-EL-ATA, Application at Exhibit C-2 (Nov. 11, 2014)(emphasis added). </w:t>
      </w:r>
    </w:p>
  </w:footnote>
  <w:footnote w:id="10">
    <w:p w:rsidR="00A9550E" w:rsidRDefault="00A9550E" w:rsidP="0045701D">
      <w:pPr>
        <w:pStyle w:val="FootnoteText"/>
        <w:spacing w:after="120"/>
      </w:pPr>
      <w:r>
        <w:rPr>
          <w:rStyle w:val="FootnoteReference"/>
        </w:rPr>
        <w:footnoteRef/>
      </w:r>
      <w:r>
        <w:t xml:space="preserve"> Ohio </w:t>
      </w:r>
      <w:r w:rsidR="00172A41">
        <w:t>Adm.</w:t>
      </w:r>
      <w:r>
        <w:t xml:space="preserve"> Code 4901:1-18-03.</w:t>
      </w:r>
    </w:p>
  </w:footnote>
  <w:footnote w:id="11">
    <w:p w:rsidR="00A9550E" w:rsidRDefault="00A9550E" w:rsidP="0045701D">
      <w:pPr>
        <w:pStyle w:val="FootnoteText"/>
        <w:spacing w:after="120"/>
      </w:pPr>
      <w:r>
        <w:rPr>
          <w:rStyle w:val="FootnoteReference"/>
        </w:rPr>
        <w:footnoteRef/>
      </w:r>
      <w:r>
        <w:t xml:space="preserve"> Ohio </w:t>
      </w:r>
      <w:r w:rsidR="00172A41">
        <w:t>Adm.</w:t>
      </w:r>
      <w:r>
        <w:t xml:space="preserve"> Code 4901:1-10-19.</w:t>
      </w:r>
    </w:p>
  </w:footnote>
  <w:footnote w:id="12">
    <w:p w:rsidR="00A9550E" w:rsidRDefault="00A9550E" w:rsidP="0045701D">
      <w:pPr>
        <w:pStyle w:val="FootnoteText"/>
        <w:spacing w:after="120"/>
      </w:pPr>
      <w:r>
        <w:rPr>
          <w:rStyle w:val="FootnoteReference"/>
        </w:rPr>
        <w:footnoteRef/>
      </w:r>
      <w:r>
        <w:t xml:space="preserve"> FirstEnergy App. Ex. B.</w:t>
      </w:r>
    </w:p>
  </w:footnote>
  <w:footnote w:id="13">
    <w:p w:rsidR="00A9550E" w:rsidRDefault="00A9550E" w:rsidP="0045701D">
      <w:pPr>
        <w:pStyle w:val="FootnoteText"/>
        <w:spacing w:after="120"/>
      </w:pPr>
      <w:r>
        <w:rPr>
          <w:rStyle w:val="FootnoteReference"/>
        </w:rPr>
        <w:footnoteRef/>
      </w:r>
      <w:r>
        <w:t xml:space="preserve"> R.C. 4928.02(H) and </w:t>
      </w:r>
      <w:r w:rsidRPr="006E43F1">
        <w:rPr>
          <w:i/>
        </w:rPr>
        <w:t>Elyria Foundry</w:t>
      </w:r>
      <w:r w:rsidRPr="009D0A99">
        <w:rPr>
          <w:i/>
        </w:rPr>
        <w:t xml:space="preserve"> Co</w:t>
      </w:r>
      <w:r w:rsidRPr="006E43F1">
        <w:rPr>
          <w:i/>
        </w:rPr>
        <w:t>, v. PUC</w:t>
      </w:r>
      <w:r>
        <w:t>, 114 Ohio St.3d 305, 871 N.E.2d 1176 (2007).</w:t>
      </w:r>
    </w:p>
  </w:footnote>
  <w:footnote w:id="14">
    <w:p w:rsidR="00A9550E" w:rsidRDefault="00A9550E" w:rsidP="0045701D">
      <w:pPr>
        <w:pStyle w:val="FootnoteText"/>
        <w:spacing w:after="120"/>
      </w:pPr>
      <w:r>
        <w:rPr>
          <w:rStyle w:val="FootnoteReference"/>
        </w:rPr>
        <w:footnoteRef/>
      </w:r>
      <w:r>
        <w:t xml:space="preserve"> </w:t>
      </w:r>
      <w:r w:rsidRPr="00705D5F">
        <w:rPr>
          <w:i/>
        </w:rPr>
        <w:t>Elyria Foundry</w:t>
      </w:r>
      <w:r w:rsidRPr="009D0A99">
        <w:rPr>
          <w:i/>
        </w:rPr>
        <w:t xml:space="preserve"> Co</w:t>
      </w:r>
      <w:r w:rsidRPr="00705D5F">
        <w:rPr>
          <w:i/>
        </w:rPr>
        <w:t>, v. PUC</w:t>
      </w:r>
      <w:r>
        <w:t>, 114 Ohio St.3d 305, 871 N.E.2d 1176 (2007).</w:t>
      </w:r>
    </w:p>
  </w:footnote>
  <w:footnote w:id="15">
    <w:p w:rsidR="00A9550E" w:rsidRDefault="00A9550E" w:rsidP="0045701D">
      <w:pPr>
        <w:pStyle w:val="FootnoteText"/>
        <w:spacing w:after="120"/>
      </w:pPr>
      <w:r>
        <w:rPr>
          <w:rStyle w:val="FootnoteReference"/>
        </w:rPr>
        <w:footnoteRef/>
      </w:r>
      <w:r>
        <w:t xml:space="preserve"> </w:t>
      </w:r>
      <w:r w:rsidRPr="006E43F1">
        <w:rPr>
          <w:i/>
        </w:rPr>
        <w:t>Migden-Ostrander v. PUC</w:t>
      </w:r>
      <w:r>
        <w:t>, 102 Ohio St.3d 451, 813 N.E.2d 955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10" w:rsidRDefault="001A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10" w:rsidRDefault="001A35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10" w:rsidRDefault="001A35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14" w:rsidRDefault="00FE11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0E" w:rsidRDefault="00A9550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14" w:rsidRDefault="00FE11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14" w:rsidRDefault="00FE111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0E" w:rsidRDefault="00A9550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14" w:rsidRDefault="00FE1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F64BF0E"/>
    <w:lvl w:ilvl="0">
      <w:start w:val="1"/>
      <w:numFmt w:val="decimal"/>
      <w:lvlText w:val="%1."/>
      <w:lvlJc w:val="left"/>
      <w:pPr>
        <w:tabs>
          <w:tab w:val="num" w:pos="1080"/>
        </w:tabs>
        <w:ind w:left="1080" w:hanging="360"/>
      </w:pPr>
    </w:lvl>
  </w:abstractNum>
  <w:abstractNum w:abstractNumId="1">
    <w:nsid w:val="FFFFFF7F"/>
    <w:multiLevelType w:val="singleLevel"/>
    <w:tmpl w:val="F836F550"/>
    <w:lvl w:ilvl="0">
      <w:start w:val="1"/>
      <w:numFmt w:val="decimal"/>
      <w:lvlText w:val="%1."/>
      <w:lvlJc w:val="left"/>
      <w:pPr>
        <w:tabs>
          <w:tab w:val="num" w:pos="720"/>
        </w:tabs>
        <w:ind w:left="720" w:hanging="360"/>
      </w:pPr>
    </w:lvl>
  </w:abstractNum>
  <w:abstractNum w:abstractNumId="2">
    <w:nsid w:val="FFFFFF80"/>
    <w:multiLevelType w:val="singleLevel"/>
    <w:tmpl w:val="7FE63220"/>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D1D80072"/>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913C0D5C"/>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3414348E"/>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3EA6C0E8"/>
    <w:lvl w:ilvl="0">
      <w:start w:val="1"/>
      <w:numFmt w:val="decimal"/>
      <w:lvlText w:val="%1."/>
      <w:lvlJc w:val="left"/>
      <w:pPr>
        <w:tabs>
          <w:tab w:val="num" w:pos="360"/>
        </w:tabs>
        <w:ind w:left="360" w:hanging="360"/>
      </w:pPr>
    </w:lvl>
  </w:abstractNum>
  <w:abstractNum w:abstractNumId="7">
    <w:nsid w:val="FFFFFF89"/>
    <w:multiLevelType w:val="singleLevel"/>
    <w:tmpl w:val="47365C9C"/>
    <w:lvl w:ilvl="0">
      <w:start w:val="1"/>
      <w:numFmt w:val="bullet"/>
      <w:lvlText w:val=""/>
      <w:lvlJc w:val="left"/>
      <w:pPr>
        <w:tabs>
          <w:tab w:val="num" w:pos="360"/>
        </w:tabs>
        <w:ind w:left="360" w:hanging="360"/>
      </w:pPr>
      <w:rPr>
        <w:rFonts w:ascii="Symbol" w:hAnsi="Symbol" w:hint="default"/>
      </w:rPr>
    </w:lvl>
  </w:abstractNum>
  <w:abstractNum w:abstractNumId="8">
    <w:nsid w:val="5F883637"/>
    <w:multiLevelType w:val="hybridMultilevel"/>
    <w:tmpl w:val="9AD0B7CE"/>
    <w:lvl w:ilvl="0" w:tplc="FD80DAC4">
      <w:start w:val="1"/>
      <w:numFmt w:val="upperLetter"/>
      <w:lvlText w:val="%1."/>
      <w:lvlJc w:val="left"/>
      <w:pPr>
        <w:ind w:left="72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4"/>
  </w:num>
  <w:num w:numId="5">
    <w:abstractNumId w:val="3"/>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62"/>
    <w:rsid w:val="00004C94"/>
    <w:rsid w:val="0001360B"/>
    <w:rsid w:val="0005141C"/>
    <w:rsid w:val="00062332"/>
    <w:rsid w:val="00064622"/>
    <w:rsid w:val="0006647F"/>
    <w:rsid w:val="00074DDE"/>
    <w:rsid w:val="00077FFC"/>
    <w:rsid w:val="000818F9"/>
    <w:rsid w:val="00081C5E"/>
    <w:rsid w:val="000A18B6"/>
    <w:rsid w:val="000B2393"/>
    <w:rsid w:val="000D7E2D"/>
    <w:rsid w:val="000F32DB"/>
    <w:rsid w:val="000F55A5"/>
    <w:rsid w:val="000F61B9"/>
    <w:rsid w:val="00102F0A"/>
    <w:rsid w:val="00124E97"/>
    <w:rsid w:val="0014369B"/>
    <w:rsid w:val="00150D6D"/>
    <w:rsid w:val="00172A41"/>
    <w:rsid w:val="00180483"/>
    <w:rsid w:val="00196D39"/>
    <w:rsid w:val="00196EC2"/>
    <w:rsid w:val="001A03ED"/>
    <w:rsid w:val="001A3510"/>
    <w:rsid w:val="001C64C2"/>
    <w:rsid w:val="001D3C57"/>
    <w:rsid w:val="001E5751"/>
    <w:rsid w:val="001E7585"/>
    <w:rsid w:val="001E768F"/>
    <w:rsid w:val="001F0849"/>
    <w:rsid w:val="001F37A4"/>
    <w:rsid w:val="001F7611"/>
    <w:rsid w:val="001F7B33"/>
    <w:rsid w:val="002200F0"/>
    <w:rsid w:val="002240FB"/>
    <w:rsid w:val="00245DBF"/>
    <w:rsid w:val="00250D65"/>
    <w:rsid w:val="00264886"/>
    <w:rsid w:val="00291E93"/>
    <w:rsid w:val="002B619A"/>
    <w:rsid w:val="002E05B8"/>
    <w:rsid w:val="002E450C"/>
    <w:rsid w:val="002E6FE2"/>
    <w:rsid w:val="002F35F4"/>
    <w:rsid w:val="002F7D68"/>
    <w:rsid w:val="00344A55"/>
    <w:rsid w:val="0034758A"/>
    <w:rsid w:val="00377373"/>
    <w:rsid w:val="00377DCE"/>
    <w:rsid w:val="00377EFC"/>
    <w:rsid w:val="00383231"/>
    <w:rsid w:val="00390D54"/>
    <w:rsid w:val="00391738"/>
    <w:rsid w:val="0039413B"/>
    <w:rsid w:val="003A0B95"/>
    <w:rsid w:val="003A64FA"/>
    <w:rsid w:val="003E7F9B"/>
    <w:rsid w:val="003F41FD"/>
    <w:rsid w:val="003F7024"/>
    <w:rsid w:val="00426449"/>
    <w:rsid w:val="004271C7"/>
    <w:rsid w:val="004331BA"/>
    <w:rsid w:val="00434FA4"/>
    <w:rsid w:val="00446424"/>
    <w:rsid w:val="004524CF"/>
    <w:rsid w:val="0045701D"/>
    <w:rsid w:val="00461211"/>
    <w:rsid w:val="00481C55"/>
    <w:rsid w:val="0048569F"/>
    <w:rsid w:val="0048764B"/>
    <w:rsid w:val="00492F22"/>
    <w:rsid w:val="00496B32"/>
    <w:rsid w:val="004A22B6"/>
    <w:rsid w:val="004B3C4B"/>
    <w:rsid w:val="004C186C"/>
    <w:rsid w:val="004C2EB5"/>
    <w:rsid w:val="004D45BA"/>
    <w:rsid w:val="004D5A7B"/>
    <w:rsid w:val="004E0863"/>
    <w:rsid w:val="004E1245"/>
    <w:rsid w:val="004E39AD"/>
    <w:rsid w:val="00527B81"/>
    <w:rsid w:val="00527E64"/>
    <w:rsid w:val="005300BC"/>
    <w:rsid w:val="00534593"/>
    <w:rsid w:val="00541FE6"/>
    <w:rsid w:val="00542312"/>
    <w:rsid w:val="005427B0"/>
    <w:rsid w:val="00591904"/>
    <w:rsid w:val="0059624D"/>
    <w:rsid w:val="005A6473"/>
    <w:rsid w:val="005B0A88"/>
    <w:rsid w:val="005C533F"/>
    <w:rsid w:val="005D0087"/>
    <w:rsid w:val="005D2B65"/>
    <w:rsid w:val="005E10FA"/>
    <w:rsid w:val="005E6B33"/>
    <w:rsid w:val="005E6C14"/>
    <w:rsid w:val="005F4FFD"/>
    <w:rsid w:val="00644E6C"/>
    <w:rsid w:val="00670A36"/>
    <w:rsid w:val="006766C1"/>
    <w:rsid w:val="006E2357"/>
    <w:rsid w:val="006E43F1"/>
    <w:rsid w:val="006F704E"/>
    <w:rsid w:val="00704EF9"/>
    <w:rsid w:val="00710511"/>
    <w:rsid w:val="00724362"/>
    <w:rsid w:val="00733C89"/>
    <w:rsid w:val="00737E31"/>
    <w:rsid w:val="0074471F"/>
    <w:rsid w:val="00751091"/>
    <w:rsid w:val="00753954"/>
    <w:rsid w:val="00754AC5"/>
    <w:rsid w:val="00761FAA"/>
    <w:rsid w:val="0076464F"/>
    <w:rsid w:val="007717B3"/>
    <w:rsid w:val="0077425F"/>
    <w:rsid w:val="00777EAB"/>
    <w:rsid w:val="007901D6"/>
    <w:rsid w:val="00791DC4"/>
    <w:rsid w:val="007A5976"/>
    <w:rsid w:val="007B52E7"/>
    <w:rsid w:val="007B5625"/>
    <w:rsid w:val="007C0551"/>
    <w:rsid w:val="007D51E2"/>
    <w:rsid w:val="007E1C59"/>
    <w:rsid w:val="007E2240"/>
    <w:rsid w:val="007F369C"/>
    <w:rsid w:val="00803B39"/>
    <w:rsid w:val="008218EC"/>
    <w:rsid w:val="00823FC9"/>
    <w:rsid w:val="00830E54"/>
    <w:rsid w:val="008335B7"/>
    <w:rsid w:val="00837016"/>
    <w:rsid w:val="0084296A"/>
    <w:rsid w:val="00842CCA"/>
    <w:rsid w:val="00844B61"/>
    <w:rsid w:val="00854AB0"/>
    <w:rsid w:val="00867944"/>
    <w:rsid w:val="00871968"/>
    <w:rsid w:val="00877669"/>
    <w:rsid w:val="00886A8C"/>
    <w:rsid w:val="008C7E41"/>
    <w:rsid w:val="008E09FA"/>
    <w:rsid w:val="008E54E9"/>
    <w:rsid w:val="008F7410"/>
    <w:rsid w:val="0090092F"/>
    <w:rsid w:val="009159B2"/>
    <w:rsid w:val="00915CCB"/>
    <w:rsid w:val="00921515"/>
    <w:rsid w:val="00927A41"/>
    <w:rsid w:val="00937C4B"/>
    <w:rsid w:val="00964E86"/>
    <w:rsid w:val="009665B7"/>
    <w:rsid w:val="0096740A"/>
    <w:rsid w:val="0097576C"/>
    <w:rsid w:val="0098050B"/>
    <w:rsid w:val="009919E6"/>
    <w:rsid w:val="009A55B1"/>
    <w:rsid w:val="009C1E17"/>
    <w:rsid w:val="009D0A99"/>
    <w:rsid w:val="009D221E"/>
    <w:rsid w:val="009D2917"/>
    <w:rsid w:val="009D2B9B"/>
    <w:rsid w:val="009F1878"/>
    <w:rsid w:val="00A027F1"/>
    <w:rsid w:val="00A03A21"/>
    <w:rsid w:val="00A0542B"/>
    <w:rsid w:val="00A06D27"/>
    <w:rsid w:val="00A1486B"/>
    <w:rsid w:val="00A30633"/>
    <w:rsid w:val="00A406DA"/>
    <w:rsid w:val="00A409E9"/>
    <w:rsid w:val="00A42F7A"/>
    <w:rsid w:val="00A4538F"/>
    <w:rsid w:val="00A621C5"/>
    <w:rsid w:val="00A62F6F"/>
    <w:rsid w:val="00A7356F"/>
    <w:rsid w:val="00A9550E"/>
    <w:rsid w:val="00AA7898"/>
    <w:rsid w:val="00AD767F"/>
    <w:rsid w:val="00AF34C9"/>
    <w:rsid w:val="00B177E7"/>
    <w:rsid w:val="00B26D04"/>
    <w:rsid w:val="00B3444F"/>
    <w:rsid w:val="00B34CAC"/>
    <w:rsid w:val="00B37CCD"/>
    <w:rsid w:val="00B42008"/>
    <w:rsid w:val="00B533B8"/>
    <w:rsid w:val="00B66BE1"/>
    <w:rsid w:val="00B90F61"/>
    <w:rsid w:val="00B91598"/>
    <w:rsid w:val="00B95477"/>
    <w:rsid w:val="00B95F65"/>
    <w:rsid w:val="00BA1E37"/>
    <w:rsid w:val="00BA5E0D"/>
    <w:rsid w:val="00BB28A5"/>
    <w:rsid w:val="00BC3B8B"/>
    <w:rsid w:val="00BC62CE"/>
    <w:rsid w:val="00BD27D5"/>
    <w:rsid w:val="00BD4676"/>
    <w:rsid w:val="00BE3A5A"/>
    <w:rsid w:val="00BE7A14"/>
    <w:rsid w:val="00BF53F4"/>
    <w:rsid w:val="00BF5BAE"/>
    <w:rsid w:val="00BF5EBC"/>
    <w:rsid w:val="00C1183F"/>
    <w:rsid w:val="00C323B4"/>
    <w:rsid w:val="00C405C7"/>
    <w:rsid w:val="00C54D2A"/>
    <w:rsid w:val="00C55585"/>
    <w:rsid w:val="00C60DDB"/>
    <w:rsid w:val="00C63A97"/>
    <w:rsid w:val="00C70362"/>
    <w:rsid w:val="00C72B4E"/>
    <w:rsid w:val="00C76784"/>
    <w:rsid w:val="00C82223"/>
    <w:rsid w:val="00CA1135"/>
    <w:rsid w:val="00CA2CE5"/>
    <w:rsid w:val="00CB2C24"/>
    <w:rsid w:val="00CC05F4"/>
    <w:rsid w:val="00CD460E"/>
    <w:rsid w:val="00CE112A"/>
    <w:rsid w:val="00CE412B"/>
    <w:rsid w:val="00CE536D"/>
    <w:rsid w:val="00CE6E98"/>
    <w:rsid w:val="00CF236C"/>
    <w:rsid w:val="00D15D3F"/>
    <w:rsid w:val="00D16406"/>
    <w:rsid w:val="00D70998"/>
    <w:rsid w:val="00D76E7B"/>
    <w:rsid w:val="00D95CB8"/>
    <w:rsid w:val="00DA49AD"/>
    <w:rsid w:val="00DA5C58"/>
    <w:rsid w:val="00DA7303"/>
    <w:rsid w:val="00DD1205"/>
    <w:rsid w:val="00DE232E"/>
    <w:rsid w:val="00E07FB8"/>
    <w:rsid w:val="00E12258"/>
    <w:rsid w:val="00E25884"/>
    <w:rsid w:val="00E46C72"/>
    <w:rsid w:val="00E47A67"/>
    <w:rsid w:val="00E525F5"/>
    <w:rsid w:val="00E70E04"/>
    <w:rsid w:val="00E943BF"/>
    <w:rsid w:val="00E96FB4"/>
    <w:rsid w:val="00E97BB0"/>
    <w:rsid w:val="00EA7B68"/>
    <w:rsid w:val="00EB7CD2"/>
    <w:rsid w:val="00ED2331"/>
    <w:rsid w:val="00F131F0"/>
    <w:rsid w:val="00F17A04"/>
    <w:rsid w:val="00F26DAF"/>
    <w:rsid w:val="00F31499"/>
    <w:rsid w:val="00F34E82"/>
    <w:rsid w:val="00F40559"/>
    <w:rsid w:val="00F5361C"/>
    <w:rsid w:val="00F60309"/>
    <w:rsid w:val="00F71F45"/>
    <w:rsid w:val="00F954C0"/>
    <w:rsid w:val="00FA022E"/>
    <w:rsid w:val="00FA3864"/>
    <w:rsid w:val="00FC2884"/>
    <w:rsid w:val="00FD503F"/>
    <w:rsid w:val="00FD6ECE"/>
    <w:rsid w:val="00FE1114"/>
    <w:rsid w:val="00FE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C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C405C7"/>
    <w:pPr>
      <w:keepNext/>
      <w:spacing w:after="240"/>
      <w:ind w:left="720" w:hanging="720"/>
      <w:outlineLvl w:val="0"/>
    </w:pPr>
    <w:rPr>
      <w:b/>
      <w:caps/>
      <w:szCs w:val="24"/>
    </w:rPr>
  </w:style>
  <w:style w:type="paragraph" w:styleId="Heading2">
    <w:name w:val="heading 2"/>
    <w:basedOn w:val="Normal"/>
    <w:next w:val="Normal"/>
    <w:link w:val="Heading2Char"/>
    <w:autoRedefine/>
    <w:unhideWhenUsed/>
    <w:qFormat/>
    <w:rsid w:val="00B42008"/>
    <w:pPr>
      <w:keepNext/>
      <w:spacing w:after="240"/>
      <w:ind w:left="1440" w:hanging="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5C7"/>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B42008"/>
    <w:rPr>
      <w:rFonts w:ascii="Times New Roman" w:eastAsia="Times New Roman" w:hAnsi="Times New Roman" w:cs="Times New Roman"/>
      <w:b/>
      <w:sz w:val="24"/>
      <w:szCs w:val="20"/>
    </w:rPr>
  </w:style>
  <w:style w:type="paragraph" w:styleId="HTMLPreformatted">
    <w:name w:val="HTML Preformatted"/>
    <w:basedOn w:val="Normal"/>
    <w:link w:val="HTMLPreformattedChar"/>
    <w:unhideWhenUsed/>
    <w:rsid w:val="0072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724362"/>
    <w:rPr>
      <w:rFonts w:ascii="Courier New" w:eastAsia="Courier New" w:hAnsi="Courier New" w:cs="Courier New"/>
      <w:sz w:val="20"/>
      <w:szCs w:val="20"/>
    </w:rPr>
  </w:style>
  <w:style w:type="paragraph" w:styleId="FootnoteText">
    <w:name w:val="footnote text"/>
    <w:basedOn w:val="Normal"/>
    <w:link w:val="FootnoteTextChar"/>
    <w:uiPriority w:val="99"/>
    <w:semiHidden/>
    <w:unhideWhenUsed/>
    <w:rsid w:val="00724362"/>
    <w:rPr>
      <w:sz w:val="20"/>
    </w:rPr>
  </w:style>
  <w:style w:type="character" w:customStyle="1" w:styleId="FootnoteTextChar">
    <w:name w:val="Footnote Text Char"/>
    <w:basedOn w:val="DefaultParagraphFont"/>
    <w:link w:val="FootnoteText"/>
    <w:uiPriority w:val="99"/>
    <w:semiHidden/>
    <w:rsid w:val="0072436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724362"/>
    <w:rPr>
      <w:szCs w:val="24"/>
      <w:lang w:val="x-none" w:eastAsia="x-none"/>
    </w:rPr>
  </w:style>
  <w:style w:type="character" w:customStyle="1" w:styleId="CommentTextChar">
    <w:name w:val="Comment Text Char"/>
    <w:basedOn w:val="DefaultParagraphFont"/>
    <w:link w:val="CommentText"/>
    <w:uiPriority w:val="99"/>
    <w:semiHidden/>
    <w:rsid w:val="00724362"/>
    <w:rPr>
      <w:rFonts w:ascii="Times New Roman" w:eastAsia="Times New Roman" w:hAnsi="Times New Roman" w:cs="Times New Roman"/>
      <w:sz w:val="24"/>
      <w:szCs w:val="24"/>
      <w:lang w:val="x-none" w:eastAsia="x-none"/>
    </w:rPr>
  </w:style>
  <w:style w:type="paragraph" w:styleId="Footer">
    <w:name w:val="footer"/>
    <w:basedOn w:val="Normal"/>
    <w:link w:val="FooterChar"/>
    <w:unhideWhenUsed/>
    <w:rsid w:val="00724362"/>
    <w:pPr>
      <w:tabs>
        <w:tab w:val="center" w:pos="4320"/>
        <w:tab w:val="right" w:pos="8640"/>
      </w:tabs>
    </w:pPr>
    <w:rPr>
      <w:sz w:val="20"/>
    </w:rPr>
  </w:style>
  <w:style w:type="character" w:customStyle="1" w:styleId="FooterChar">
    <w:name w:val="Footer Char"/>
    <w:basedOn w:val="DefaultParagraphFont"/>
    <w:link w:val="Footer"/>
    <w:rsid w:val="00724362"/>
    <w:rPr>
      <w:rFonts w:ascii="Times New Roman" w:eastAsia="Times New Roman" w:hAnsi="Times New Roman" w:cs="Times New Roman"/>
      <w:sz w:val="20"/>
      <w:szCs w:val="20"/>
    </w:rPr>
  </w:style>
  <w:style w:type="paragraph" w:styleId="BodyText">
    <w:name w:val="Body Text"/>
    <w:basedOn w:val="Normal"/>
    <w:link w:val="BodyTextChar"/>
    <w:unhideWhenUsed/>
    <w:rsid w:val="00724362"/>
    <w:pPr>
      <w:jc w:val="both"/>
    </w:pPr>
    <w:rPr>
      <w:lang w:val="x-none" w:eastAsia="x-none"/>
    </w:rPr>
  </w:style>
  <w:style w:type="character" w:customStyle="1" w:styleId="BodyTextChar">
    <w:name w:val="Body Text Char"/>
    <w:basedOn w:val="DefaultParagraphFont"/>
    <w:link w:val="BodyText"/>
    <w:rsid w:val="00724362"/>
    <w:rPr>
      <w:rFonts w:ascii="Times New Roman" w:eastAsia="Times New Roman" w:hAnsi="Times New Roman" w:cs="Times New Roman"/>
      <w:sz w:val="24"/>
      <w:szCs w:val="20"/>
      <w:lang w:val="x-none" w:eastAsia="x-none"/>
    </w:rPr>
  </w:style>
  <w:style w:type="paragraph" w:styleId="BodyTextIndent">
    <w:name w:val="Body Text Indent"/>
    <w:basedOn w:val="Normal"/>
    <w:link w:val="BodyTextIndentChar"/>
    <w:semiHidden/>
    <w:unhideWhenUsed/>
    <w:rsid w:val="00724362"/>
    <w:pPr>
      <w:spacing w:line="480" w:lineRule="auto"/>
      <w:ind w:firstLine="720"/>
    </w:pPr>
    <w:rPr>
      <w:lang w:val="x-none" w:eastAsia="x-none"/>
    </w:rPr>
  </w:style>
  <w:style w:type="character" w:customStyle="1" w:styleId="BodyTextIndentChar">
    <w:name w:val="Body Text Indent Char"/>
    <w:basedOn w:val="DefaultParagraphFont"/>
    <w:link w:val="BodyTextIndent"/>
    <w:semiHidden/>
    <w:rsid w:val="00724362"/>
    <w:rPr>
      <w:rFonts w:ascii="Times New Roman" w:eastAsia="Times New Roman" w:hAnsi="Times New Roman" w:cs="Times New Roman"/>
      <w:sz w:val="24"/>
      <w:szCs w:val="20"/>
      <w:lang w:val="x-none" w:eastAsia="x-none"/>
    </w:rPr>
  </w:style>
  <w:style w:type="paragraph" w:styleId="BodyTextIndent2">
    <w:name w:val="Body Text Indent 2"/>
    <w:basedOn w:val="Normal"/>
    <w:link w:val="BodyTextIndent2Char"/>
    <w:semiHidden/>
    <w:unhideWhenUsed/>
    <w:rsid w:val="00724362"/>
    <w:pPr>
      <w:tabs>
        <w:tab w:val="left" w:pos="720"/>
      </w:tabs>
      <w:spacing w:before="240" w:after="240"/>
      <w:ind w:left="1464" w:hanging="744"/>
    </w:pPr>
  </w:style>
  <w:style w:type="character" w:customStyle="1" w:styleId="BodyTextIndent2Char">
    <w:name w:val="Body Text Indent 2 Char"/>
    <w:basedOn w:val="DefaultParagraphFont"/>
    <w:link w:val="BodyTextIndent2"/>
    <w:semiHidden/>
    <w:rsid w:val="00724362"/>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724362"/>
    <w:pPr>
      <w:spacing w:line="480" w:lineRule="atLeast"/>
      <w:ind w:firstLine="720"/>
    </w:pPr>
  </w:style>
  <w:style w:type="character" w:customStyle="1" w:styleId="BodyTextIndent3Char">
    <w:name w:val="Body Text Indent 3 Char"/>
    <w:basedOn w:val="DefaultParagraphFont"/>
    <w:link w:val="BodyTextIndent3"/>
    <w:semiHidden/>
    <w:rsid w:val="0072436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unhideWhenUsed/>
    <w:rsid w:val="00724362"/>
    <w:rPr>
      <w:szCs w:val="20"/>
    </w:rPr>
  </w:style>
  <w:style w:type="character" w:customStyle="1" w:styleId="CommentSubjectChar">
    <w:name w:val="Comment Subject Char"/>
    <w:basedOn w:val="CommentTextChar"/>
    <w:link w:val="CommentSubject"/>
    <w:semiHidden/>
    <w:rsid w:val="00724362"/>
    <w:rPr>
      <w:rFonts w:ascii="Times New Roman" w:eastAsia="Times New Roman" w:hAnsi="Times New Roman" w:cs="Times New Roman"/>
      <w:sz w:val="24"/>
      <w:szCs w:val="20"/>
      <w:lang w:val="x-none" w:eastAsia="x-none"/>
    </w:rPr>
  </w:style>
  <w:style w:type="paragraph" w:customStyle="1" w:styleId="WW-BodyTextIndent3">
    <w:name w:val="WW-Body Text Indent 3"/>
    <w:basedOn w:val="Normal"/>
    <w:rsid w:val="00724362"/>
    <w:pPr>
      <w:suppressAutoHyphens/>
      <w:spacing w:line="480" w:lineRule="atLeast"/>
      <w:ind w:firstLine="720"/>
    </w:pPr>
    <w:rPr>
      <w:lang w:eastAsia="ar-SA"/>
    </w:rPr>
  </w:style>
  <w:style w:type="character" w:styleId="FootnoteReference">
    <w:name w:val="footnote reference"/>
    <w:uiPriority w:val="99"/>
    <w:semiHidden/>
    <w:unhideWhenUsed/>
    <w:rsid w:val="00724362"/>
    <w:rPr>
      <w:vertAlign w:val="superscript"/>
    </w:rPr>
  </w:style>
  <w:style w:type="paragraph" w:styleId="ListParagraph">
    <w:name w:val="List Paragraph"/>
    <w:basedOn w:val="Normal"/>
    <w:uiPriority w:val="34"/>
    <w:qFormat/>
    <w:rsid w:val="00BA5E0D"/>
    <w:pPr>
      <w:ind w:left="720"/>
      <w:contextualSpacing/>
    </w:pPr>
  </w:style>
  <w:style w:type="paragraph" w:styleId="BalloonText">
    <w:name w:val="Balloon Text"/>
    <w:basedOn w:val="Normal"/>
    <w:link w:val="BalloonTextChar"/>
    <w:uiPriority w:val="99"/>
    <w:semiHidden/>
    <w:unhideWhenUsed/>
    <w:rsid w:val="00842CCA"/>
    <w:rPr>
      <w:rFonts w:ascii="Tahoma" w:hAnsi="Tahoma" w:cs="Tahoma"/>
      <w:sz w:val="16"/>
      <w:szCs w:val="16"/>
    </w:rPr>
  </w:style>
  <w:style w:type="character" w:customStyle="1" w:styleId="BalloonTextChar">
    <w:name w:val="Balloon Text Char"/>
    <w:basedOn w:val="DefaultParagraphFont"/>
    <w:link w:val="BalloonText"/>
    <w:uiPriority w:val="99"/>
    <w:semiHidden/>
    <w:rsid w:val="00842CCA"/>
    <w:rPr>
      <w:rFonts w:ascii="Tahoma" w:eastAsia="Times New Roman" w:hAnsi="Tahoma" w:cs="Tahoma"/>
      <w:sz w:val="16"/>
      <w:szCs w:val="16"/>
    </w:rPr>
  </w:style>
  <w:style w:type="paragraph" w:styleId="Header">
    <w:name w:val="header"/>
    <w:basedOn w:val="Normal"/>
    <w:link w:val="HeaderChar"/>
    <w:uiPriority w:val="99"/>
    <w:unhideWhenUsed/>
    <w:rsid w:val="00DD1205"/>
    <w:pPr>
      <w:tabs>
        <w:tab w:val="center" w:pos="4680"/>
        <w:tab w:val="right" w:pos="9360"/>
      </w:tabs>
    </w:pPr>
  </w:style>
  <w:style w:type="character" w:customStyle="1" w:styleId="HeaderChar">
    <w:name w:val="Header Char"/>
    <w:basedOn w:val="DefaultParagraphFont"/>
    <w:link w:val="Header"/>
    <w:uiPriority w:val="99"/>
    <w:rsid w:val="00DD120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77DCE"/>
    <w:rPr>
      <w:sz w:val="16"/>
      <w:szCs w:val="16"/>
    </w:rPr>
  </w:style>
  <w:style w:type="character" w:styleId="Hyperlink">
    <w:name w:val="Hyperlink"/>
    <w:basedOn w:val="DefaultParagraphFont"/>
    <w:uiPriority w:val="99"/>
    <w:unhideWhenUsed/>
    <w:rsid w:val="00C1183F"/>
    <w:rPr>
      <w:color w:val="0000FF" w:themeColor="hyperlink"/>
      <w:u w:val="single"/>
    </w:rPr>
  </w:style>
  <w:style w:type="table" w:styleId="TableGrid">
    <w:name w:val="Table Grid"/>
    <w:basedOn w:val="TableNormal"/>
    <w:uiPriority w:val="59"/>
    <w:rsid w:val="00C4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EB7CD2"/>
    <w:pPr>
      <w:tabs>
        <w:tab w:val="decimal" w:pos="720"/>
        <w:tab w:val="decimal" w:leader="dot" w:pos="8640"/>
      </w:tabs>
      <w:spacing w:after="240"/>
      <w:ind w:left="720" w:hanging="720"/>
    </w:pPr>
    <w:rPr>
      <w:caps/>
    </w:rPr>
  </w:style>
  <w:style w:type="paragraph" w:styleId="TOC2">
    <w:name w:val="toc 2"/>
    <w:basedOn w:val="Normal"/>
    <w:next w:val="Normal"/>
    <w:autoRedefine/>
    <w:uiPriority w:val="39"/>
    <w:unhideWhenUsed/>
    <w:qFormat/>
    <w:rsid w:val="00EB7CD2"/>
    <w:pPr>
      <w:tabs>
        <w:tab w:val="decimal" w:pos="720"/>
        <w:tab w:val="decimal" w:leader="dot" w:pos="8640"/>
      </w:tabs>
      <w:spacing w:after="240"/>
      <w:ind w:left="1440" w:hanging="720"/>
    </w:pPr>
  </w:style>
  <w:style w:type="paragraph" w:styleId="Revision">
    <w:name w:val="Revision"/>
    <w:hidden/>
    <w:uiPriority w:val="99"/>
    <w:semiHidden/>
    <w:rsid w:val="0001360B"/>
    <w:pPr>
      <w:spacing w:after="0" w:line="240" w:lineRule="auto"/>
    </w:pPr>
    <w:rPr>
      <w:rFonts w:ascii="Times New Roman" w:eastAsia="Times New Roman" w:hAnsi="Times New Roman" w:cs="Times New Roman"/>
      <w:sz w:val="24"/>
      <w:szCs w:val="20"/>
    </w:rPr>
  </w:style>
  <w:style w:type="paragraph" w:styleId="TOC3">
    <w:name w:val="toc 3"/>
    <w:basedOn w:val="Normal"/>
    <w:next w:val="Normal"/>
    <w:autoRedefine/>
    <w:uiPriority w:val="39"/>
    <w:semiHidden/>
    <w:unhideWhenUsed/>
    <w:rsid w:val="00EB7CD2"/>
    <w:pPr>
      <w:tabs>
        <w:tab w:val="left" w:pos="720"/>
        <w:tab w:val="left" w:pos="1440"/>
        <w:tab w:val="decimal" w:leader="dot" w:pos="8640"/>
      </w:tabs>
      <w:spacing w:after="240"/>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C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C405C7"/>
    <w:pPr>
      <w:keepNext/>
      <w:spacing w:after="240"/>
      <w:ind w:left="720" w:hanging="720"/>
      <w:outlineLvl w:val="0"/>
    </w:pPr>
    <w:rPr>
      <w:b/>
      <w:caps/>
      <w:szCs w:val="24"/>
    </w:rPr>
  </w:style>
  <w:style w:type="paragraph" w:styleId="Heading2">
    <w:name w:val="heading 2"/>
    <w:basedOn w:val="Normal"/>
    <w:next w:val="Normal"/>
    <w:link w:val="Heading2Char"/>
    <w:autoRedefine/>
    <w:unhideWhenUsed/>
    <w:qFormat/>
    <w:rsid w:val="00B42008"/>
    <w:pPr>
      <w:keepNext/>
      <w:spacing w:after="240"/>
      <w:ind w:left="1440" w:hanging="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5C7"/>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B42008"/>
    <w:rPr>
      <w:rFonts w:ascii="Times New Roman" w:eastAsia="Times New Roman" w:hAnsi="Times New Roman" w:cs="Times New Roman"/>
      <w:b/>
      <w:sz w:val="24"/>
      <w:szCs w:val="20"/>
    </w:rPr>
  </w:style>
  <w:style w:type="paragraph" w:styleId="HTMLPreformatted">
    <w:name w:val="HTML Preformatted"/>
    <w:basedOn w:val="Normal"/>
    <w:link w:val="HTMLPreformattedChar"/>
    <w:unhideWhenUsed/>
    <w:rsid w:val="0072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724362"/>
    <w:rPr>
      <w:rFonts w:ascii="Courier New" w:eastAsia="Courier New" w:hAnsi="Courier New" w:cs="Courier New"/>
      <w:sz w:val="20"/>
      <w:szCs w:val="20"/>
    </w:rPr>
  </w:style>
  <w:style w:type="paragraph" w:styleId="FootnoteText">
    <w:name w:val="footnote text"/>
    <w:basedOn w:val="Normal"/>
    <w:link w:val="FootnoteTextChar"/>
    <w:uiPriority w:val="99"/>
    <w:semiHidden/>
    <w:unhideWhenUsed/>
    <w:rsid w:val="00724362"/>
    <w:rPr>
      <w:sz w:val="20"/>
    </w:rPr>
  </w:style>
  <w:style w:type="character" w:customStyle="1" w:styleId="FootnoteTextChar">
    <w:name w:val="Footnote Text Char"/>
    <w:basedOn w:val="DefaultParagraphFont"/>
    <w:link w:val="FootnoteText"/>
    <w:uiPriority w:val="99"/>
    <w:semiHidden/>
    <w:rsid w:val="0072436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724362"/>
    <w:rPr>
      <w:szCs w:val="24"/>
      <w:lang w:val="x-none" w:eastAsia="x-none"/>
    </w:rPr>
  </w:style>
  <w:style w:type="character" w:customStyle="1" w:styleId="CommentTextChar">
    <w:name w:val="Comment Text Char"/>
    <w:basedOn w:val="DefaultParagraphFont"/>
    <w:link w:val="CommentText"/>
    <w:uiPriority w:val="99"/>
    <w:semiHidden/>
    <w:rsid w:val="00724362"/>
    <w:rPr>
      <w:rFonts w:ascii="Times New Roman" w:eastAsia="Times New Roman" w:hAnsi="Times New Roman" w:cs="Times New Roman"/>
      <w:sz w:val="24"/>
      <w:szCs w:val="24"/>
      <w:lang w:val="x-none" w:eastAsia="x-none"/>
    </w:rPr>
  </w:style>
  <w:style w:type="paragraph" w:styleId="Footer">
    <w:name w:val="footer"/>
    <w:basedOn w:val="Normal"/>
    <w:link w:val="FooterChar"/>
    <w:unhideWhenUsed/>
    <w:rsid w:val="00724362"/>
    <w:pPr>
      <w:tabs>
        <w:tab w:val="center" w:pos="4320"/>
        <w:tab w:val="right" w:pos="8640"/>
      </w:tabs>
    </w:pPr>
    <w:rPr>
      <w:sz w:val="20"/>
    </w:rPr>
  </w:style>
  <w:style w:type="character" w:customStyle="1" w:styleId="FooterChar">
    <w:name w:val="Footer Char"/>
    <w:basedOn w:val="DefaultParagraphFont"/>
    <w:link w:val="Footer"/>
    <w:rsid w:val="00724362"/>
    <w:rPr>
      <w:rFonts w:ascii="Times New Roman" w:eastAsia="Times New Roman" w:hAnsi="Times New Roman" w:cs="Times New Roman"/>
      <w:sz w:val="20"/>
      <w:szCs w:val="20"/>
    </w:rPr>
  </w:style>
  <w:style w:type="paragraph" w:styleId="BodyText">
    <w:name w:val="Body Text"/>
    <w:basedOn w:val="Normal"/>
    <w:link w:val="BodyTextChar"/>
    <w:unhideWhenUsed/>
    <w:rsid w:val="00724362"/>
    <w:pPr>
      <w:jc w:val="both"/>
    </w:pPr>
    <w:rPr>
      <w:lang w:val="x-none" w:eastAsia="x-none"/>
    </w:rPr>
  </w:style>
  <w:style w:type="character" w:customStyle="1" w:styleId="BodyTextChar">
    <w:name w:val="Body Text Char"/>
    <w:basedOn w:val="DefaultParagraphFont"/>
    <w:link w:val="BodyText"/>
    <w:rsid w:val="00724362"/>
    <w:rPr>
      <w:rFonts w:ascii="Times New Roman" w:eastAsia="Times New Roman" w:hAnsi="Times New Roman" w:cs="Times New Roman"/>
      <w:sz w:val="24"/>
      <w:szCs w:val="20"/>
      <w:lang w:val="x-none" w:eastAsia="x-none"/>
    </w:rPr>
  </w:style>
  <w:style w:type="paragraph" w:styleId="BodyTextIndent">
    <w:name w:val="Body Text Indent"/>
    <w:basedOn w:val="Normal"/>
    <w:link w:val="BodyTextIndentChar"/>
    <w:semiHidden/>
    <w:unhideWhenUsed/>
    <w:rsid w:val="00724362"/>
    <w:pPr>
      <w:spacing w:line="480" w:lineRule="auto"/>
      <w:ind w:firstLine="720"/>
    </w:pPr>
    <w:rPr>
      <w:lang w:val="x-none" w:eastAsia="x-none"/>
    </w:rPr>
  </w:style>
  <w:style w:type="character" w:customStyle="1" w:styleId="BodyTextIndentChar">
    <w:name w:val="Body Text Indent Char"/>
    <w:basedOn w:val="DefaultParagraphFont"/>
    <w:link w:val="BodyTextIndent"/>
    <w:semiHidden/>
    <w:rsid w:val="00724362"/>
    <w:rPr>
      <w:rFonts w:ascii="Times New Roman" w:eastAsia="Times New Roman" w:hAnsi="Times New Roman" w:cs="Times New Roman"/>
      <w:sz w:val="24"/>
      <w:szCs w:val="20"/>
      <w:lang w:val="x-none" w:eastAsia="x-none"/>
    </w:rPr>
  </w:style>
  <w:style w:type="paragraph" w:styleId="BodyTextIndent2">
    <w:name w:val="Body Text Indent 2"/>
    <w:basedOn w:val="Normal"/>
    <w:link w:val="BodyTextIndent2Char"/>
    <w:semiHidden/>
    <w:unhideWhenUsed/>
    <w:rsid w:val="00724362"/>
    <w:pPr>
      <w:tabs>
        <w:tab w:val="left" w:pos="720"/>
      </w:tabs>
      <w:spacing w:before="240" w:after="240"/>
      <w:ind w:left="1464" w:hanging="744"/>
    </w:pPr>
  </w:style>
  <w:style w:type="character" w:customStyle="1" w:styleId="BodyTextIndent2Char">
    <w:name w:val="Body Text Indent 2 Char"/>
    <w:basedOn w:val="DefaultParagraphFont"/>
    <w:link w:val="BodyTextIndent2"/>
    <w:semiHidden/>
    <w:rsid w:val="00724362"/>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724362"/>
    <w:pPr>
      <w:spacing w:line="480" w:lineRule="atLeast"/>
      <w:ind w:firstLine="720"/>
    </w:pPr>
  </w:style>
  <w:style w:type="character" w:customStyle="1" w:styleId="BodyTextIndent3Char">
    <w:name w:val="Body Text Indent 3 Char"/>
    <w:basedOn w:val="DefaultParagraphFont"/>
    <w:link w:val="BodyTextIndent3"/>
    <w:semiHidden/>
    <w:rsid w:val="0072436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unhideWhenUsed/>
    <w:rsid w:val="00724362"/>
    <w:rPr>
      <w:szCs w:val="20"/>
    </w:rPr>
  </w:style>
  <w:style w:type="character" w:customStyle="1" w:styleId="CommentSubjectChar">
    <w:name w:val="Comment Subject Char"/>
    <w:basedOn w:val="CommentTextChar"/>
    <w:link w:val="CommentSubject"/>
    <w:semiHidden/>
    <w:rsid w:val="00724362"/>
    <w:rPr>
      <w:rFonts w:ascii="Times New Roman" w:eastAsia="Times New Roman" w:hAnsi="Times New Roman" w:cs="Times New Roman"/>
      <w:sz w:val="24"/>
      <w:szCs w:val="20"/>
      <w:lang w:val="x-none" w:eastAsia="x-none"/>
    </w:rPr>
  </w:style>
  <w:style w:type="paragraph" w:customStyle="1" w:styleId="WW-BodyTextIndent3">
    <w:name w:val="WW-Body Text Indent 3"/>
    <w:basedOn w:val="Normal"/>
    <w:rsid w:val="00724362"/>
    <w:pPr>
      <w:suppressAutoHyphens/>
      <w:spacing w:line="480" w:lineRule="atLeast"/>
      <w:ind w:firstLine="720"/>
    </w:pPr>
    <w:rPr>
      <w:lang w:eastAsia="ar-SA"/>
    </w:rPr>
  </w:style>
  <w:style w:type="character" w:styleId="FootnoteReference">
    <w:name w:val="footnote reference"/>
    <w:uiPriority w:val="99"/>
    <w:semiHidden/>
    <w:unhideWhenUsed/>
    <w:rsid w:val="00724362"/>
    <w:rPr>
      <w:vertAlign w:val="superscript"/>
    </w:rPr>
  </w:style>
  <w:style w:type="paragraph" w:styleId="ListParagraph">
    <w:name w:val="List Paragraph"/>
    <w:basedOn w:val="Normal"/>
    <w:uiPriority w:val="34"/>
    <w:qFormat/>
    <w:rsid w:val="00BA5E0D"/>
    <w:pPr>
      <w:ind w:left="720"/>
      <w:contextualSpacing/>
    </w:pPr>
  </w:style>
  <w:style w:type="paragraph" w:styleId="BalloonText">
    <w:name w:val="Balloon Text"/>
    <w:basedOn w:val="Normal"/>
    <w:link w:val="BalloonTextChar"/>
    <w:uiPriority w:val="99"/>
    <w:semiHidden/>
    <w:unhideWhenUsed/>
    <w:rsid w:val="00842CCA"/>
    <w:rPr>
      <w:rFonts w:ascii="Tahoma" w:hAnsi="Tahoma" w:cs="Tahoma"/>
      <w:sz w:val="16"/>
      <w:szCs w:val="16"/>
    </w:rPr>
  </w:style>
  <w:style w:type="character" w:customStyle="1" w:styleId="BalloonTextChar">
    <w:name w:val="Balloon Text Char"/>
    <w:basedOn w:val="DefaultParagraphFont"/>
    <w:link w:val="BalloonText"/>
    <w:uiPriority w:val="99"/>
    <w:semiHidden/>
    <w:rsid w:val="00842CCA"/>
    <w:rPr>
      <w:rFonts w:ascii="Tahoma" w:eastAsia="Times New Roman" w:hAnsi="Tahoma" w:cs="Tahoma"/>
      <w:sz w:val="16"/>
      <w:szCs w:val="16"/>
    </w:rPr>
  </w:style>
  <w:style w:type="paragraph" w:styleId="Header">
    <w:name w:val="header"/>
    <w:basedOn w:val="Normal"/>
    <w:link w:val="HeaderChar"/>
    <w:uiPriority w:val="99"/>
    <w:unhideWhenUsed/>
    <w:rsid w:val="00DD1205"/>
    <w:pPr>
      <w:tabs>
        <w:tab w:val="center" w:pos="4680"/>
        <w:tab w:val="right" w:pos="9360"/>
      </w:tabs>
    </w:pPr>
  </w:style>
  <w:style w:type="character" w:customStyle="1" w:styleId="HeaderChar">
    <w:name w:val="Header Char"/>
    <w:basedOn w:val="DefaultParagraphFont"/>
    <w:link w:val="Header"/>
    <w:uiPriority w:val="99"/>
    <w:rsid w:val="00DD120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77DCE"/>
    <w:rPr>
      <w:sz w:val="16"/>
      <w:szCs w:val="16"/>
    </w:rPr>
  </w:style>
  <w:style w:type="character" w:styleId="Hyperlink">
    <w:name w:val="Hyperlink"/>
    <w:basedOn w:val="DefaultParagraphFont"/>
    <w:uiPriority w:val="99"/>
    <w:unhideWhenUsed/>
    <w:rsid w:val="00C1183F"/>
    <w:rPr>
      <w:color w:val="0000FF" w:themeColor="hyperlink"/>
      <w:u w:val="single"/>
    </w:rPr>
  </w:style>
  <w:style w:type="table" w:styleId="TableGrid">
    <w:name w:val="Table Grid"/>
    <w:basedOn w:val="TableNormal"/>
    <w:uiPriority w:val="59"/>
    <w:rsid w:val="00C4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EB7CD2"/>
    <w:pPr>
      <w:tabs>
        <w:tab w:val="decimal" w:pos="720"/>
        <w:tab w:val="decimal" w:leader="dot" w:pos="8640"/>
      </w:tabs>
      <w:spacing w:after="240"/>
      <w:ind w:left="720" w:hanging="720"/>
    </w:pPr>
    <w:rPr>
      <w:caps/>
    </w:rPr>
  </w:style>
  <w:style w:type="paragraph" w:styleId="TOC2">
    <w:name w:val="toc 2"/>
    <w:basedOn w:val="Normal"/>
    <w:next w:val="Normal"/>
    <w:autoRedefine/>
    <w:uiPriority w:val="39"/>
    <w:unhideWhenUsed/>
    <w:qFormat/>
    <w:rsid w:val="00EB7CD2"/>
    <w:pPr>
      <w:tabs>
        <w:tab w:val="decimal" w:pos="720"/>
        <w:tab w:val="decimal" w:leader="dot" w:pos="8640"/>
      </w:tabs>
      <w:spacing w:after="240"/>
      <w:ind w:left="1440" w:hanging="720"/>
    </w:pPr>
  </w:style>
  <w:style w:type="paragraph" w:styleId="Revision">
    <w:name w:val="Revision"/>
    <w:hidden/>
    <w:uiPriority w:val="99"/>
    <w:semiHidden/>
    <w:rsid w:val="0001360B"/>
    <w:pPr>
      <w:spacing w:after="0" w:line="240" w:lineRule="auto"/>
    </w:pPr>
    <w:rPr>
      <w:rFonts w:ascii="Times New Roman" w:eastAsia="Times New Roman" w:hAnsi="Times New Roman" w:cs="Times New Roman"/>
      <w:sz w:val="24"/>
      <w:szCs w:val="20"/>
    </w:rPr>
  </w:style>
  <w:style w:type="paragraph" w:styleId="TOC3">
    <w:name w:val="toc 3"/>
    <w:basedOn w:val="Normal"/>
    <w:next w:val="Normal"/>
    <w:autoRedefine/>
    <w:uiPriority w:val="39"/>
    <w:semiHidden/>
    <w:unhideWhenUsed/>
    <w:rsid w:val="00EB7CD2"/>
    <w:pPr>
      <w:tabs>
        <w:tab w:val="left" w:pos="720"/>
        <w:tab w:val="left" w:pos="1440"/>
        <w:tab w:val="decimal" w:leader="dot" w:pos="8640"/>
      </w:tabs>
      <w:spacing w:after="240"/>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di.bair@occ.ohio.gov"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yperlink" Target="mailto:cdunn@firstenergycorp.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Mandy.willey@puc.state.oh.us"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William.wright@puc.state.oh.us" TargetMode="Externa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Gregory.price@puc.state.oh.u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joliker@igsenergy.com"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mailto:Jodi.bair@occ.ohio.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swhite@igsenergy.com" TargetMode="Externa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2656</Words>
  <Characters>15433</Characters>
  <Application>Microsoft Office Word</Application>
  <DocSecurity>0</DocSecurity>
  <Lines>354</Lines>
  <Paragraphs>131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18023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2015-01-30T17:33:00Z</cp:lastPrinted>
  <dcterms:created xsi:type="dcterms:W3CDTF">2015-01-30T19:28:00Z</dcterms:created>
  <dcterms:modified xsi:type="dcterms:W3CDTF">2015-01-30T19:28:00Z</dcterms:modified>
  <cp:category> </cp:category>
  <cp:contentStatus> </cp:contentStatus>
</cp:coreProperties>
</file>