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AB" w:rsidRDefault="00FE55AB">
      <w:pPr>
        <w:jc w:val="center"/>
        <w:rPr>
          <w:b/>
        </w:rPr>
      </w:pPr>
      <w:bookmarkStart w:id="0" w:name="_GoBack"/>
      <w:bookmarkEnd w:id="0"/>
      <w:r>
        <w:rPr>
          <w:b/>
        </w:rPr>
        <w:t>BEFORE</w:t>
      </w:r>
    </w:p>
    <w:p w:rsidR="00FE55AB" w:rsidRDefault="00FE55AB">
      <w:pPr>
        <w:jc w:val="center"/>
        <w:rPr>
          <w:b/>
        </w:rPr>
      </w:pPr>
      <w:r>
        <w:rPr>
          <w:b/>
        </w:rPr>
        <w:t>THE PUBLIC UTILITIES COMMISSION OF OHIO</w:t>
      </w:r>
    </w:p>
    <w:p w:rsidR="00FE55AB" w:rsidRDefault="00FE55AB">
      <w:pPr>
        <w:jc w:val="center"/>
      </w:pPr>
    </w:p>
    <w:tbl>
      <w:tblPr>
        <w:tblW w:w="0" w:type="auto"/>
        <w:tblLayout w:type="fixed"/>
        <w:tblLook w:val="0000" w:firstRow="0" w:lastRow="0" w:firstColumn="0" w:lastColumn="0" w:noHBand="0" w:noVBand="0"/>
      </w:tblPr>
      <w:tblGrid>
        <w:gridCol w:w="4338"/>
        <w:gridCol w:w="540"/>
        <w:gridCol w:w="3978"/>
      </w:tblGrid>
      <w:tr w:rsidR="00FE55AB">
        <w:trPr>
          <w:cantSplit/>
          <w:trHeight w:val="342"/>
        </w:trPr>
        <w:tc>
          <w:tcPr>
            <w:tcW w:w="4338" w:type="dxa"/>
          </w:tcPr>
          <w:p w:rsidR="00FE55AB" w:rsidRDefault="00FE55AB" w:rsidP="004A4FD9">
            <w:r>
              <w:t xml:space="preserve">In the Matter of the Application of </w:t>
            </w:r>
            <w:r w:rsidR="004A4FD9">
              <w:t xml:space="preserve">Ohio Edison Company, </w:t>
            </w:r>
            <w:r w:rsidR="00576351">
              <w:t xml:space="preserve">The Cleveland Electric Illuminating Company, </w:t>
            </w:r>
            <w:r>
              <w:t>and The Toledo Edison Company For Approval of Their Energy Efficiency and Peak Demand Reduction Program Portfolio Plans for 2013 through 2015.</w:t>
            </w:r>
          </w:p>
        </w:tc>
        <w:tc>
          <w:tcPr>
            <w:tcW w:w="540" w:type="dxa"/>
          </w:tcPr>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tc>
        <w:tc>
          <w:tcPr>
            <w:tcW w:w="3978" w:type="dxa"/>
          </w:tcPr>
          <w:p w:rsidR="002B3D31" w:rsidRDefault="002B3D31"/>
          <w:p w:rsidR="002B3D31" w:rsidRDefault="002B3D31"/>
          <w:p w:rsidR="00FE55AB" w:rsidRDefault="00FE55AB">
            <w:r>
              <w:t>Case No. 12-2190-EL-POR</w:t>
            </w:r>
          </w:p>
          <w:p w:rsidR="00FE55AB" w:rsidRDefault="00FE55AB">
            <w:r>
              <w:t>Case No. 12-2191-EL-POR</w:t>
            </w:r>
          </w:p>
          <w:p w:rsidR="00FE55AB" w:rsidRDefault="00FE55AB">
            <w:r>
              <w:t>Case No. 12-2192-EL-POR</w:t>
            </w:r>
          </w:p>
        </w:tc>
      </w:tr>
    </w:tbl>
    <w:p w:rsidR="00FE55AB" w:rsidRDefault="00FE55AB"/>
    <w:p w:rsidR="00FE55AB" w:rsidRDefault="00FE55AB">
      <w:pPr>
        <w:pBdr>
          <w:top w:val="single" w:sz="12" w:space="1" w:color="auto"/>
        </w:pBdr>
      </w:pPr>
    </w:p>
    <w:p w:rsidR="00FE55AB" w:rsidRDefault="00FE55AB">
      <w:pPr>
        <w:jc w:val="center"/>
        <w:rPr>
          <w:b/>
        </w:rPr>
      </w:pPr>
      <w:r>
        <w:rPr>
          <w:b/>
        </w:rPr>
        <w:t xml:space="preserve">APPLICATION FOR REHEARING </w:t>
      </w:r>
    </w:p>
    <w:p w:rsidR="00FE55AB" w:rsidRDefault="00FE55AB">
      <w:pPr>
        <w:jc w:val="center"/>
        <w:rPr>
          <w:b/>
        </w:rPr>
      </w:pPr>
      <w:r>
        <w:rPr>
          <w:b/>
        </w:rPr>
        <w:t>BY</w:t>
      </w:r>
    </w:p>
    <w:p w:rsidR="00FE55AB" w:rsidRDefault="00FE55AB">
      <w:pPr>
        <w:jc w:val="center"/>
        <w:rPr>
          <w:b/>
        </w:rPr>
      </w:pPr>
      <w:r>
        <w:rPr>
          <w:b/>
        </w:rPr>
        <w:t>THE OFFICE OF THE OHIO CONSUMERS</w:t>
      </w:r>
      <w:r w:rsidR="00182EB7">
        <w:rPr>
          <w:b/>
        </w:rPr>
        <w:t>’</w:t>
      </w:r>
      <w:r>
        <w:rPr>
          <w:b/>
        </w:rPr>
        <w:t xml:space="preserve"> COUNSEL</w:t>
      </w:r>
    </w:p>
    <w:p w:rsidR="00FE55AB" w:rsidRDefault="00FE55AB">
      <w:pPr>
        <w:pBdr>
          <w:bottom w:val="single" w:sz="12" w:space="1" w:color="auto"/>
        </w:pBdr>
      </w:pPr>
    </w:p>
    <w:p w:rsidR="00FE55AB" w:rsidRDefault="00FE55AB"/>
    <w:p w:rsidR="00FE55AB" w:rsidRDefault="00FE55AB">
      <w:pPr>
        <w:jc w:val="center"/>
        <w:rPr>
          <w:b/>
        </w:rPr>
      </w:pPr>
    </w:p>
    <w:p w:rsidR="00FE55AB" w:rsidRDefault="00FE55AB">
      <w:pPr>
        <w:jc w:val="center"/>
        <w:rPr>
          <w:b/>
        </w:rPr>
      </w:pPr>
    </w:p>
    <w:p w:rsidR="00FE55AB" w:rsidRDefault="00FE55AB">
      <w:pPr>
        <w:jc w:val="center"/>
        <w:rPr>
          <w:b/>
        </w:rPr>
      </w:pPr>
    </w:p>
    <w:p w:rsidR="00D037CA" w:rsidRDefault="00D037CA">
      <w:pPr>
        <w:ind w:left="4320"/>
        <w:rPr>
          <w:caps/>
        </w:rPr>
      </w:pPr>
    </w:p>
    <w:p w:rsidR="00D037CA" w:rsidRDefault="00D037CA">
      <w:pPr>
        <w:ind w:left="4320"/>
        <w:rPr>
          <w:caps/>
        </w:rPr>
      </w:pPr>
    </w:p>
    <w:p w:rsidR="00D037CA" w:rsidRDefault="00D037CA">
      <w:pPr>
        <w:ind w:left="4320"/>
        <w:rPr>
          <w:caps/>
        </w:rPr>
      </w:pPr>
    </w:p>
    <w:p w:rsidR="00D037CA" w:rsidRDefault="00D037CA">
      <w:pPr>
        <w:ind w:left="4320"/>
        <w:rPr>
          <w:caps/>
        </w:rPr>
      </w:pPr>
    </w:p>
    <w:p w:rsidR="00FE55AB" w:rsidRDefault="00FE55AB">
      <w:pPr>
        <w:ind w:left="4320"/>
        <w:rPr>
          <w:caps/>
        </w:rPr>
      </w:pPr>
      <w:r>
        <w:rPr>
          <w:caps/>
        </w:rPr>
        <w:t>BRUCE J. WESTON</w:t>
      </w:r>
    </w:p>
    <w:p w:rsidR="00FE55AB" w:rsidRDefault="00FE55AB">
      <w:pPr>
        <w:ind w:left="4320"/>
      </w:pPr>
      <w:r>
        <w:t>OHIO CONSUMERS</w:t>
      </w:r>
      <w:r w:rsidR="00182EB7">
        <w:t>’</w:t>
      </w:r>
      <w:r>
        <w:t xml:space="preserve"> COUNSEL</w:t>
      </w:r>
    </w:p>
    <w:p w:rsidR="00FE55AB" w:rsidRDefault="00FE55AB">
      <w:pPr>
        <w:ind w:left="4320"/>
      </w:pPr>
    </w:p>
    <w:p w:rsidR="00FE55AB" w:rsidRDefault="00FE55AB">
      <w:pPr>
        <w:ind w:left="4320"/>
      </w:pPr>
      <w:r>
        <w:t>Kyle L. Kern, Counsel of Record</w:t>
      </w:r>
    </w:p>
    <w:p w:rsidR="00FE55AB" w:rsidRDefault="00FE55AB">
      <w:pPr>
        <w:ind w:left="4320"/>
      </w:pPr>
      <w:r>
        <w:t>Assistant Consumers</w:t>
      </w:r>
      <w:r w:rsidR="00182EB7">
        <w:t>’</w:t>
      </w:r>
      <w:r>
        <w:t xml:space="preserve"> Counsel</w:t>
      </w:r>
    </w:p>
    <w:p w:rsidR="00FE55AB" w:rsidRDefault="00FE55AB">
      <w:pPr>
        <w:spacing w:before="120"/>
        <w:ind w:left="4320"/>
        <w:rPr>
          <w:b/>
          <w:caps/>
        </w:rPr>
      </w:pPr>
      <w:r>
        <w:rPr>
          <w:b/>
        </w:rPr>
        <w:t>Office of the Ohio Consumers</w:t>
      </w:r>
      <w:r w:rsidR="00182EB7">
        <w:rPr>
          <w:b/>
        </w:rPr>
        <w:t>’</w:t>
      </w:r>
      <w:r>
        <w:rPr>
          <w:b/>
        </w:rPr>
        <w:t xml:space="preserve"> Counsel</w:t>
      </w:r>
    </w:p>
    <w:p w:rsidR="00FE55AB" w:rsidRDefault="00FE55AB">
      <w:pPr>
        <w:ind w:left="4320"/>
      </w:pPr>
      <w:r>
        <w:t>10 West Broad Street, Suite 1800</w:t>
      </w:r>
    </w:p>
    <w:p w:rsidR="00FE55AB" w:rsidRDefault="00FE55AB">
      <w:pPr>
        <w:ind w:left="4320"/>
      </w:pPr>
      <w:r>
        <w:t>Columbus, Ohio 43215-3485</w:t>
      </w:r>
    </w:p>
    <w:p w:rsidR="00FE55AB" w:rsidRDefault="00FE55AB">
      <w:pPr>
        <w:ind w:left="4320"/>
      </w:pPr>
      <w:r>
        <w:t>614-466-9585 (Kern Telephone)</w:t>
      </w:r>
    </w:p>
    <w:p w:rsidR="00FE55AB" w:rsidRDefault="00FE55AB" w:rsidP="00182EB7">
      <w:pPr>
        <w:ind w:left="3600" w:firstLine="720"/>
      </w:pPr>
      <w:r>
        <w:rPr>
          <w:color w:val="0000FF"/>
          <w:u w:val="single"/>
        </w:rPr>
        <w:t>kern@occ.state.oh.us</w:t>
      </w:r>
    </w:p>
    <w:p w:rsidR="00FE55AB" w:rsidRDefault="00FE55AB">
      <w:pPr>
        <w:jc w:val="center"/>
        <w:rPr>
          <w:b/>
        </w:rPr>
      </w:pPr>
    </w:p>
    <w:p w:rsidR="00FE55AB" w:rsidRDefault="00FE55AB">
      <w:pPr>
        <w:jc w:val="center"/>
        <w:rPr>
          <w:b/>
        </w:rPr>
      </w:pPr>
    </w:p>
    <w:p w:rsidR="00182EB7" w:rsidRDefault="00182EB7">
      <w:pPr>
        <w:jc w:val="center"/>
        <w:rPr>
          <w:b/>
        </w:rPr>
      </w:pPr>
    </w:p>
    <w:p w:rsidR="00182EB7" w:rsidRDefault="00182EB7">
      <w:pPr>
        <w:jc w:val="center"/>
        <w:rPr>
          <w:b/>
        </w:rPr>
      </w:pPr>
    </w:p>
    <w:p w:rsidR="00182EB7" w:rsidRDefault="00182EB7">
      <w:pPr>
        <w:jc w:val="center"/>
        <w:rPr>
          <w:b/>
        </w:rPr>
      </w:pPr>
    </w:p>
    <w:p w:rsidR="00182EB7" w:rsidRDefault="00182EB7">
      <w:pPr>
        <w:jc w:val="center"/>
        <w:rPr>
          <w:b/>
        </w:rPr>
      </w:pPr>
    </w:p>
    <w:p w:rsidR="00182EB7" w:rsidRDefault="00182EB7">
      <w:pPr>
        <w:jc w:val="center"/>
        <w:rPr>
          <w:b/>
        </w:rPr>
      </w:pPr>
    </w:p>
    <w:p w:rsidR="00182EB7" w:rsidRDefault="00182EB7">
      <w:pPr>
        <w:jc w:val="center"/>
        <w:rPr>
          <w:b/>
        </w:rPr>
      </w:pPr>
    </w:p>
    <w:p w:rsidR="00182EB7" w:rsidRDefault="00182EB7" w:rsidP="00182EB7">
      <w:pPr>
        <w:rPr>
          <w:b/>
        </w:rPr>
      </w:pPr>
      <w:r>
        <w:rPr>
          <w:b/>
        </w:rPr>
        <w:t>August 16, 2013</w:t>
      </w:r>
    </w:p>
    <w:p w:rsidR="00182EB7" w:rsidRDefault="00182EB7">
      <w:pPr>
        <w:jc w:val="center"/>
        <w:rPr>
          <w:b/>
        </w:rPr>
      </w:pPr>
    </w:p>
    <w:p w:rsidR="0055180A" w:rsidRDefault="0055180A">
      <w:pPr>
        <w:jc w:val="center"/>
        <w:rPr>
          <w:b/>
        </w:rPr>
        <w:sectPr w:rsidR="0055180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pPr>
    </w:p>
    <w:p w:rsidR="00FE55AB" w:rsidRDefault="00FE55AB">
      <w:pPr>
        <w:jc w:val="center"/>
        <w:rPr>
          <w:b/>
        </w:rPr>
      </w:pPr>
      <w:r>
        <w:rPr>
          <w:b/>
        </w:rPr>
        <w:lastRenderedPageBreak/>
        <w:t>BEFORE</w:t>
      </w:r>
    </w:p>
    <w:p w:rsidR="00FE55AB" w:rsidRDefault="00FE55AB">
      <w:pPr>
        <w:jc w:val="center"/>
        <w:rPr>
          <w:b/>
        </w:rPr>
      </w:pPr>
      <w:r>
        <w:rPr>
          <w:b/>
        </w:rPr>
        <w:t>THE PUBLIC UTILITIES COMMISSION OF OHIO</w:t>
      </w:r>
    </w:p>
    <w:p w:rsidR="00FE55AB" w:rsidRDefault="00FE55AB">
      <w:pPr>
        <w:jc w:val="center"/>
      </w:pPr>
    </w:p>
    <w:tbl>
      <w:tblPr>
        <w:tblW w:w="0" w:type="auto"/>
        <w:tblLayout w:type="fixed"/>
        <w:tblLook w:val="0000" w:firstRow="0" w:lastRow="0" w:firstColumn="0" w:lastColumn="0" w:noHBand="0" w:noVBand="0"/>
      </w:tblPr>
      <w:tblGrid>
        <w:gridCol w:w="4338"/>
        <w:gridCol w:w="540"/>
        <w:gridCol w:w="3978"/>
      </w:tblGrid>
      <w:tr w:rsidR="00182EB7" w:rsidTr="00FC3FBF">
        <w:trPr>
          <w:cantSplit/>
          <w:trHeight w:val="342"/>
        </w:trPr>
        <w:tc>
          <w:tcPr>
            <w:tcW w:w="4338" w:type="dxa"/>
          </w:tcPr>
          <w:p w:rsidR="00182EB7" w:rsidRDefault="00182EB7" w:rsidP="00FC3FBF">
            <w:r>
              <w:t>In the Matter of the Application of Ohio Edison Company, The Cleveland Electric Illuminating Company, and The Toledo Edison Company For Approval of Their Energy Efficiency and Peak Demand Reduction Program Portfolio Plans for 2013 through 2015.</w:t>
            </w:r>
          </w:p>
        </w:tc>
        <w:tc>
          <w:tcPr>
            <w:tcW w:w="540" w:type="dxa"/>
          </w:tcPr>
          <w:p w:rsidR="00182EB7" w:rsidRDefault="00182EB7" w:rsidP="00FC3FBF">
            <w:r>
              <w:t>)</w:t>
            </w:r>
          </w:p>
          <w:p w:rsidR="00182EB7" w:rsidRDefault="00182EB7" w:rsidP="00FC3FBF">
            <w:r>
              <w:t>)</w:t>
            </w:r>
          </w:p>
          <w:p w:rsidR="00182EB7" w:rsidRDefault="00182EB7" w:rsidP="00FC3FBF">
            <w:r>
              <w:t>)</w:t>
            </w:r>
          </w:p>
          <w:p w:rsidR="00182EB7" w:rsidRDefault="00182EB7" w:rsidP="00FC3FBF">
            <w:r>
              <w:t>)</w:t>
            </w:r>
          </w:p>
          <w:p w:rsidR="00182EB7" w:rsidRDefault="00182EB7" w:rsidP="00FC3FBF">
            <w:r>
              <w:t>)</w:t>
            </w:r>
          </w:p>
          <w:p w:rsidR="00182EB7" w:rsidRDefault="00182EB7" w:rsidP="00FC3FBF">
            <w:r>
              <w:t>)</w:t>
            </w:r>
          </w:p>
          <w:p w:rsidR="00182EB7" w:rsidRDefault="00182EB7" w:rsidP="00FC3FBF">
            <w:r>
              <w:t>)</w:t>
            </w:r>
          </w:p>
        </w:tc>
        <w:tc>
          <w:tcPr>
            <w:tcW w:w="3978" w:type="dxa"/>
          </w:tcPr>
          <w:p w:rsidR="00182EB7" w:rsidRDefault="00182EB7" w:rsidP="00FC3FBF"/>
          <w:p w:rsidR="00182EB7" w:rsidRDefault="00182EB7" w:rsidP="00FC3FBF"/>
          <w:p w:rsidR="00182EB7" w:rsidRDefault="00182EB7" w:rsidP="00FC3FBF">
            <w:r>
              <w:t>Case No. 12-2190-EL-POR</w:t>
            </w:r>
          </w:p>
          <w:p w:rsidR="00182EB7" w:rsidRDefault="00182EB7" w:rsidP="00FC3FBF">
            <w:r>
              <w:t>Case No. 12-2191-EL-POR</w:t>
            </w:r>
          </w:p>
          <w:p w:rsidR="00182EB7" w:rsidRDefault="00182EB7" w:rsidP="00FC3FBF">
            <w:r>
              <w:t>Case No. 12-2192-EL-POR</w:t>
            </w:r>
          </w:p>
        </w:tc>
      </w:tr>
    </w:tbl>
    <w:p w:rsidR="00FE55AB" w:rsidRDefault="00FE55AB"/>
    <w:p w:rsidR="00FE55AB" w:rsidRDefault="00FE55AB">
      <w:pPr>
        <w:pBdr>
          <w:top w:val="single" w:sz="12" w:space="1" w:color="auto"/>
        </w:pBdr>
      </w:pPr>
    </w:p>
    <w:p w:rsidR="00FE55AB" w:rsidRDefault="00FE55AB">
      <w:pPr>
        <w:jc w:val="center"/>
        <w:rPr>
          <w:b/>
        </w:rPr>
      </w:pPr>
      <w:r>
        <w:rPr>
          <w:b/>
        </w:rPr>
        <w:t xml:space="preserve">APPLICATION FOR REHEARING </w:t>
      </w:r>
    </w:p>
    <w:p w:rsidR="00FE55AB" w:rsidRDefault="00FE55AB">
      <w:pPr>
        <w:jc w:val="center"/>
        <w:rPr>
          <w:b/>
        </w:rPr>
      </w:pPr>
      <w:r>
        <w:rPr>
          <w:b/>
        </w:rPr>
        <w:t>BY</w:t>
      </w:r>
    </w:p>
    <w:p w:rsidR="00FE55AB" w:rsidRDefault="00FE55AB">
      <w:pPr>
        <w:jc w:val="center"/>
        <w:rPr>
          <w:b/>
        </w:rPr>
      </w:pPr>
      <w:r>
        <w:rPr>
          <w:b/>
        </w:rPr>
        <w:t>THE OFFICE OF THE OHIO CONSUMERS</w:t>
      </w:r>
      <w:r w:rsidR="00182EB7">
        <w:rPr>
          <w:b/>
        </w:rPr>
        <w:t>’</w:t>
      </w:r>
      <w:r>
        <w:rPr>
          <w:b/>
        </w:rPr>
        <w:t xml:space="preserve"> COUNSEL</w:t>
      </w:r>
    </w:p>
    <w:p w:rsidR="00FE55AB" w:rsidRDefault="00FE55AB">
      <w:pPr>
        <w:pBdr>
          <w:bottom w:val="single" w:sz="12" w:space="1" w:color="auto"/>
        </w:pBdr>
      </w:pPr>
    </w:p>
    <w:p w:rsidR="00FE55AB" w:rsidRDefault="00FE55AB"/>
    <w:p w:rsidR="00712A58" w:rsidRDefault="00E21323" w:rsidP="000F2CE6">
      <w:pPr>
        <w:autoSpaceDE w:val="0"/>
        <w:autoSpaceDN w:val="0"/>
        <w:adjustRightInd w:val="0"/>
        <w:spacing w:line="480" w:lineRule="auto"/>
        <w:ind w:firstLine="720"/>
      </w:pPr>
      <w:r>
        <w:t>The Public Utilities Commission of Ohio (</w:t>
      </w:r>
      <w:r w:rsidR="00182EB7">
        <w:t>“</w:t>
      </w:r>
      <w:r>
        <w:t>PUCO</w:t>
      </w:r>
      <w:r w:rsidR="00182EB7">
        <w:t>”</w:t>
      </w:r>
      <w:r>
        <w:t xml:space="preserve"> or </w:t>
      </w:r>
      <w:r w:rsidR="00182EB7">
        <w:t>“</w:t>
      </w:r>
      <w:r>
        <w:t>Commission</w:t>
      </w:r>
      <w:r w:rsidR="00182EB7">
        <w:t>”</w:t>
      </w:r>
      <w:r>
        <w:t xml:space="preserve">) erred </w:t>
      </w:r>
      <w:r w:rsidR="00782798">
        <w:t xml:space="preserve">in </w:t>
      </w:r>
      <w:r w:rsidR="00C07971">
        <w:t>its decision</w:t>
      </w:r>
      <w:r w:rsidR="00C07971">
        <w:rPr>
          <w:rStyle w:val="FootnoteReference"/>
        </w:rPr>
        <w:footnoteReference w:id="2"/>
      </w:r>
      <w:r w:rsidR="00C07971">
        <w:t xml:space="preserve"> to </w:t>
      </w:r>
      <w:r w:rsidR="00E36315">
        <w:t>authorize</w:t>
      </w:r>
      <w:r w:rsidR="00782798">
        <w:t xml:space="preserve"> the FirstEnergy utilities</w:t>
      </w:r>
      <w:r w:rsidR="00464449">
        <w:rPr>
          <w:rStyle w:val="FootnoteReference"/>
        </w:rPr>
        <w:footnoteReference w:id="3"/>
      </w:r>
      <w:r w:rsidR="00782798">
        <w:t xml:space="preserve"> </w:t>
      </w:r>
      <w:r w:rsidR="00464449">
        <w:t xml:space="preserve">to keep certain payments </w:t>
      </w:r>
      <w:r w:rsidR="006A7EF5">
        <w:t xml:space="preserve">that would otherwise have been credited to customers </w:t>
      </w:r>
      <w:r w:rsidR="005835FB">
        <w:t xml:space="preserve">through </w:t>
      </w:r>
      <w:r w:rsidR="005835FB" w:rsidRPr="00A51A60">
        <w:t>Rider</w:t>
      </w:r>
      <w:r w:rsidR="00A51A60">
        <w:t xml:space="preserve"> Demand Side Energy (</w:t>
      </w:r>
      <w:r w:rsidR="00182EB7">
        <w:t>“</w:t>
      </w:r>
      <w:r w:rsidR="00A51A60">
        <w:t>DSE</w:t>
      </w:r>
      <w:r w:rsidR="00182EB7">
        <w:t>”</w:t>
      </w:r>
      <w:r w:rsidR="00A51A60">
        <w:t>)</w:t>
      </w:r>
      <w:r w:rsidR="00464449">
        <w:t>.</w:t>
      </w:r>
      <w:r w:rsidR="00712A58">
        <w:t xml:space="preserve"> </w:t>
      </w:r>
      <w:r w:rsidR="00852C7D">
        <w:t xml:space="preserve"> To </w:t>
      </w:r>
      <w:r w:rsidR="003E7150">
        <w:t>redress the</w:t>
      </w:r>
      <w:r w:rsidR="00092D1B">
        <w:t xml:space="preserve"> error</w:t>
      </w:r>
      <w:r w:rsidR="003E7150">
        <w:t>s in the July 17 Entry</w:t>
      </w:r>
      <w:r w:rsidR="00092D1B">
        <w:t>, t</w:t>
      </w:r>
      <w:r w:rsidR="00FE55AB">
        <w:t>he Office of the Ohio Consumers</w:t>
      </w:r>
      <w:r w:rsidR="00182EB7">
        <w:t>’</w:t>
      </w:r>
      <w:r w:rsidR="00FE55AB">
        <w:t xml:space="preserve"> Counsel (</w:t>
      </w:r>
      <w:r w:rsidR="00182EB7">
        <w:t>“</w:t>
      </w:r>
      <w:r w:rsidR="00FE55AB">
        <w:t>OCC</w:t>
      </w:r>
      <w:r w:rsidR="00182EB7">
        <w:t>”</w:t>
      </w:r>
      <w:r w:rsidR="00FE55AB">
        <w:t>) files this Application for Rehearing on behalf of the 1.9 million residential utility consumers of</w:t>
      </w:r>
      <w:r w:rsidR="00C03138">
        <w:t xml:space="preserve"> </w:t>
      </w:r>
      <w:r w:rsidR="00092D1B">
        <w:t>FirstEnergy.</w:t>
      </w:r>
      <w:r w:rsidR="00FE55AB">
        <w:t xml:space="preserve"> </w:t>
      </w:r>
      <w:r w:rsidR="00D037CA">
        <w:t xml:space="preserve"> </w:t>
      </w:r>
    </w:p>
    <w:p w:rsidR="00FE55AB" w:rsidRDefault="00712A58" w:rsidP="000F2CE6">
      <w:pPr>
        <w:autoSpaceDE w:val="0"/>
        <w:autoSpaceDN w:val="0"/>
        <w:adjustRightInd w:val="0"/>
        <w:spacing w:line="480" w:lineRule="auto"/>
        <w:ind w:firstLine="720"/>
      </w:pPr>
      <w:r>
        <w:t>FirstEnergy initiated this</w:t>
      </w:r>
      <w:r w:rsidR="00D8030E">
        <w:t xml:space="preserve"> case</w:t>
      </w:r>
      <w:r>
        <w:t xml:space="preserve"> with its Application dated </w:t>
      </w:r>
      <w:r w:rsidR="00576351">
        <w:t>July</w:t>
      </w:r>
      <w:r w:rsidR="00FE55AB">
        <w:t xml:space="preserve"> 31, 2012</w:t>
      </w:r>
      <w:r>
        <w:t>.</w:t>
      </w:r>
      <w:r w:rsidR="00FE55AB">
        <w:t xml:space="preserve"> </w:t>
      </w:r>
      <w:r>
        <w:t xml:space="preserve">FirstEnergy </w:t>
      </w:r>
      <w:r w:rsidR="00FE55AB">
        <w:t>request</w:t>
      </w:r>
      <w:r>
        <w:t>ed</w:t>
      </w:r>
      <w:r w:rsidR="00FE55AB">
        <w:t xml:space="preserve"> approval of </w:t>
      </w:r>
      <w:r>
        <w:t xml:space="preserve">its </w:t>
      </w:r>
      <w:r w:rsidR="00FE55AB">
        <w:t>Energy Efficiency and Peak Demand Reduction Program Portfolio Plans (</w:t>
      </w:r>
      <w:r w:rsidR="00182EB7">
        <w:t>“</w:t>
      </w:r>
      <w:r w:rsidR="00FE55AB">
        <w:t>EE/PDR Portfolios</w:t>
      </w:r>
      <w:r w:rsidR="00182EB7">
        <w:t>”</w:t>
      </w:r>
      <w:r w:rsidR="00FE55AB">
        <w:t>) for 2013 through 2015</w:t>
      </w:r>
      <w:r w:rsidR="00D037CA">
        <w:t>.</w:t>
      </w:r>
      <w:r w:rsidR="00231E60">
        <w:t xml:space="preserve">  These portfolios were proposed to provide Ohio customers with </w:t>
      </w:r>
      <w:r w:rsidR="00C03138">
        <w:t>EE/PDR programs that achieve quantifiable electric savings</w:t>
      </w:r>
      <w:r w:rsidR="00231E60">
        <w:t>, for purposes of meeting the standards in R.C. 4928.</w:t>
      </w:r>
      <w:r w:rsidR="00C03138">
        <w:t>66(A)</w:t>
      </w:r>
      <w:r w:rsidR="00067F37">
        <w:t>.</w:t>
      </w:r>
      <w:r w:rsidR="00D037CA">
        <w:t xml:space="preserve">  </w:t>
      </w:r>
    </w:p>
    <w:p w:rsidR="008027E9" w:rsidRDefault="00070669" w:rsidP="00070669">
      <w:pPr>
        <w:autoSpaceDE w:val="0"/>
        <w:autoSpaceDN w:val="0"/>
        <w:adjustRightInd w:val="0"/>
        <w:spacing w:line="480" w:lineRule="auto"/>
        <w:ind w:firstLine="720"/>
      </w:pPr>
      <w:r>
        <w:lastRenderedPageBreak/>
        <w:t>The PUCO</w:t>
      </w:r>
      <w:r w:rsidR="00D8030E">
        <w:t xml:space="preserve"> </w:t>
      </w:r>
      <w:r>
        <w:t>issued an Opinion and Order</w:t>
      </w:r>
      <w:r w:rsidR="004B5716">
        <w:t xml:space="preserve"> in this </w:t>
      </w:r>
      <w:r w:rsidR="00027E09">
        <w:t>case</w:t>
      </w:r>
      <w:r>
        <w:t xml:space="preserve"> on March 20, 2013</w:t>
      </w:r>
      <w:r w:rsidR="00576351">
        <w:t xml:space="preserve"> (</w:t>
      </w:r>
      <w:r w:rsidR="00182EB7">
        <w:t>“</w:t>
      </w:r>
      <w:r w:rsidR="00576351">
        <w:t>March 20 Order</w:t>
      </w:r>
      <w:r w:rsidR="00182EB7">
        <w:t>”</w:t>
      </w:r>
      <w:r w:rsidR="00576351">
        <w:t>)</w:t>
      </w:r>
      <w:r w:rsidR="00D430C6">
        <w:t>.</w:t>
      </w:r>
      <w:r>
        <w:t xml:space="preserve">  On April 19, 2013, </w:t>
      </w:r>
      <w:r w:rsidR="0063489D">
        <w:t>the Environmental Law and Policy Center (</w:t>
      </w:r>
      <w:r w:rsidR="00182EB7">
        <w:t>“</w:t>
      </w:r>
      <w:r w:rsidR="0063489D">
        <w:t>ELPC</w:t>
      </w:r>
      <w:r w:rsidR="00182EB7">
        <w:t>”</w:t>
      </w:r>
      <w:r w:rsidR="0063489D">
        <w:t>)</w:t>
      </w:r>
      <w:r w:rsidR="00541931">
        <w:t xml:space="preserve"> and Ohio Environmental Council (</w:t>
      </w:r>
      <w:r w:rsidR="00182EB7">
        <w:t>“</w:t>
      </w:r>
      <w:r w:rsidR="00541931">
        <w:t>OEC</w:t>
      </w:r>
      <w:r w:rsidR="00182EB7">
        <w:t>”</w:t>
      </w:r>
      <w:r w:rsidR="00541931">
        <w:t>)</w:t>
      </w:r>
      <w:r w:rsidR="0063489D">
        <w:t>, FirstEnergy, Industrial Energy User</w:t>
      </w:r>
      <w:r w:rsidR="005B21C4">
        <w:t>s</w:t>
      </w:r>
      <w:r w:rsidR="0063489D">
        <w:t>-Ohio (</w:t>
      </w:r>
      <w:r w:rsidR="00182EB7">
        <w:t>“</w:t>
      </w:r>
      <w:r w:rsidR="0063489D">
        <w:t>IEU</w:t>
      </w:r>
      <w:r w:rsidR="00182EB7">
        <w:t>”</w:t>
      </w:r>
      <w:r w:rsidR="0063489D">
        <w:t>), Nucor Steel Marion (</w:t>
      </w:r>
      <w:r w:rsidR="00182EB7">
        <w:t>“</w:t>
      </w:r>
      <w:r w:rsidR="0063489D">
        <w:t>Nucor</w:t>
      </w:r>
      <w:r w:rsidR="00182EB7">
        <w:t>”</w:t>
      </w:r>
      <w:r w:rsidR="0063489D">
        <w:t xml:space="preserve">), </w:t>
      </w:r>
      <w:r w:rsidR="00541931">
        <w:t xml:space="preserve">and </w:t>
      </w:r>
      <w:r w:rsidR="0010688C">
        <w:t>OCC</w:t>
      </w:r>
      <w:r>
        <w:t xml:space="preserve"> filed Applications for Rehearing of the March 20 Order.  </w:t>
      </w:r>
      <w:r w:rsidR="004C1C0A">
        <w:t>The PUCO ruled on the Applications for Rehearing in its</w:t>
      </w:r>
      <w:r w:rsidR="00FE55AB">
        <w:t xml:space="preserve"> </w:t>
      </w:r>
      <w:r w:rsidR="00843848">
        <w:t xml:space="preserve">Entry on </w:t>
      </w:r>
      <w:r w:rsidR="0033140D">
        <w:t>Rehearing</w:t>
      </w:r>
      <w:r w:rsidR="008027E9">
        <w:t xml:space="preserve"> dated July 17, 2013</w:t>
      </w:r>
      <w:r w:rsidR="0033140D">
        <w:t xml:space="preserve"> (</w:t>
      </w:r>
      <w:r w:rsidR="00182EB7">
        <w:t>“</w:t>
      </w:r>
      <w:r w:rsidR="00843848">
        <w:t>July 17</w:t>
      </w:r>
      <w:r w:rsidR="00FE55AB">
        <w:t xml:space="preserve"> </w:t>
      </w:r>
      <w:r w:rsidR="00843848">
        <w:t>Entry</w:t>
      </w:r>
      <w:r w:rsidR="00182EB7">
        <w:t>”</w:t>
      </w:r>
      <w:r w:rsidR="00FE55AB">
        <w:t xml:space="preserve">).  </w:t>
      </w:r>
    </w:p>
    <w:p w:rsidR="00FE55AB" w:rsidRDefault="008027E9" w:rsidP="00070669">
      <w:pPr>
        <w:autoSpaceDE w:val="0"/>
        <w:autoSpaceDN w:val="0"/>
        <w:adjustRightInd w:val="0"/>
        <w:spacing w:line="480" w:lineRule="auto"/>
        <w:ind w:firstLine="720"/>
      </w:pPr>
      <w:r>
        <w:t>T</w:t>
      </w:r>
      <w:r w:rsidR="00FE55AB">
        <w:t>he</w:t>
      </w:r>
      <w:r>
        <w:t xml:space="preserve"> PUCO</w:t>
      </w:r>
      <w:r w:rsidR="00182EB7">
        <w:t>’</w:t>
      </w:r>
      <w:r>
        <w:t>s</w:t>
      </w:r>
      <w:r w:rsidR="00FE55AB">
        <w:t xml:space="preserve"> </w:t>
      </w:r>
      <w:r w:rsidR="00526AAC">
        <w:t>July 17 Entry</w:t>
      </w:r>
      <w:r w:rsidR="00FE55AB">
        <w:t xml:space="preserve"> </w:t>
      </w:r>
      <w:r w:rsidR="007C70C4">
        <w:t xml:space="preserve">is </w:t>
      </w:r>
      <w:r w:rsidR="00FE55AB">
        <w:t>unreasonable and unlawful because:</w:t>
      </w:r>
    </w:p>
    <w:p w:rsidR="0010688C" w:rsidRDefault="0010688C" w:rsidP="0055180A">
      <w:pPr>
        <w:ind w:left="1440" w:right="720" w:hanging="720"/>
        <w:rPr>
          <w:rFonts w:ascii="Calibri" w:hAnsi="Calibri"/>
          <w:caps/>
          <w:noProof/>
          <w:sz w:val="22"/>
          <w:szCs w:val="22"/>
        </w:rPr>
      </w:pPr>
      <w:r>
        <w:t>A.</w:t>
      </w:r>
      <w:r>
        <w:tab/>
      </w:r>
      <w:r w:rsidR="006F4961" w:rsidRPr="004A4FD9">
        <w:t>The PUCO erred by deciding to authorize a pilot program allowing FirstEnergy to keep approximately $1.6</w:t>
      </w:r>
      <w:r w:rsidR="001751C1">
        <w:rPr>
          <w:rStyle w:val="FootnoteReference"/>
        </w:rPr>
        <w:footnoteReference w:id="4"/>
      </w:r>
      <w:r w:rsidR="006F4961" w:rsidRPr="004A4FD9">
        <w:t xml:space="preserve"> million in payments from PJM for energy efficiency that should instead be used to reduce Rider DSE for customers, when no application for rehearing was filed seeking that decision.  Under R.C. 4903.10, the PUCO lacks the legal authority and jurisdiction to render a decision on an issue not presented to the PUCO in an application for rehearing.</w:t>
      </w:r>
    </w:p>
    <w:p w:rsidR="006076ED" w:rsidRPr="00237E2A" w:rsidRDefault="0010688C" w:rsidP="00182EB7">
      <w:pPr>
        <w:ind w:left="1440" w:hanging="720"/>
      </w:pPr>
      <w:r>
        <w:tab/>
      </w:r>
    </w:p>
    <w:p w:rsidR="006076ED" w:rsidRPr="004A4FD9" w:rsidRDefault="006076ED" w:rsidP="00182EB7">
      <w:pPr>
        <w:ind w:left="1440" w:hanging="720"/>
        <w:rPr>
          <w:caps/>
          <w:noProof/>
          <w:sz w:val="22"/>
          <w:szCs w:val="22"/>
        </w:rPr>
      </w:pPr>
      <w:r w:rsidRPr="006076ED">
        <w:t>B.</w:t>
      </w:r>
      <w:r w:rsidRPr="006076ED">
        <w:tab/>
      </w:r>
      <w:r w:rsidR="00DC2849" w:rsidRPr="004A4FD9">
        <w:t>The PUCO erred in deciding to authorize a pilot program which allowed FirstEnergy to keep certain payments that should have been returned to customers, in violation of R.C. 4903.09, because the PUCO</w:t>
      </w:r>
      <w:r w:rsidR="00182EB7">
        <w:t>’</w:t>
      </w:r>
      <w:r w:rsidR="00DC2849" w:rsidRPr="004A4FD9">
        <w:t>s written decision failed to set forth the reasons prompting the decisions arrived at, based upon said findings of fact from the record of this case.</w:t>
      </w:r>
      <w:r w:rsidRPr="004A4FD9">
        <w:rPr>
          <w:rStyle w:val="FootnoteReference"/>
        </w:rPr>
        <w:footnoteReference w:id="5"/>
      </w:r>
    </w:p>
    <w:p w:rsidR="00380473" w:rsidRPr="00380473" w:rsidRDefault="00380473" w:rsidP="00380473">
      <w:pPr>
        <w:ind w:left="1260" w:right="720"/>
        <w:rPr>
          <w:rFonts w:ascii="Calibri" w:hAnsi="Calibri"/>
          <w:caps/>
          <w:noProof/>
          <w:sz w:val="22"/>
          <w:szCs w:val="22"/>
        </w:rPr>
      </w:pPr>
    </w:p>
    <w:p w:rsidR="00FE55AB" w:rsidRDefault="008027E9">
      <w:pPr>
        <w:spacing w:line="480" w:lineRule="auto"/>
        <w:ind w:firstLine="720"/>
      </w:pPr>
      <w:r>
        <w:t>T</w:t>
      </w:r>
      <w:r w:rsidR="00FE55AB">
        <w:t xml:space="preserve">his Application for Rehearing </w:t>
      </w:r>
      <w:r>
        <w:t>is filed under R.C. 4903.10 and Ohio Admin. Code 4901-1-35, with reasons explained</w:t>
      </w:r>
      <w:r w:rsidR="00FE55AB">
        <w:t xml:space="preserve"> in the attached Memorandum in Support.  </w:t>
      </w:r>
      <w:r w:rsidR="00FE55AB">
        <w:lastRenderedPageBreak/>
        <w:t>Consistent with R.C. 4903.10 and the claim</w:t>
      </w:r>
      <w:r w:rsidR="00380473">
        <w:t>s</w:t>
      </w:r>
      <w:r w:rsidR="00FE55AB">
        <w:t xml:space="preserve"> of error above, the PUCO should </w:t>
      </w:r>
      <w:r w:rsidR="00182EB7">
        <w:t>“</w:t>
      </w:r>
      <w:r w:rsidR="00FE7840">
        <w:t xml:space="preserve">abrogate or </w:t>
      </w:r>
      <w:r w:rsidR="00FE55AB">
        <w:t>modify</w:t>
      </w:r>
      <w:r w:rsidR="00182EB7">
        <w:t>”</w:t>
      </w:r>
      <w:r w:rsidR="00FE55AB">
        <w:t xml:space="preserve"> its </w:t>
      </w:r>
      <w:r>
        <w:t xml:space="preserve">July 17 </w:t>
      </w:r>
      <w:r w:rsidR="00FE55AB">
        <w:t xml:space="preserve">Entry. </w:t>
      </w:r>
    </w:p>
    <w:p w:rsidR="00FE55AB" w:rsidRDefault="00FE55AB">
      <w:pPr>
        <w:spacing w:line="480" w:lineRule="auto"/>
        <w:ind w:left="3600" w:firstLine="720"/>
        <w:rPr>
          <w:bCs/>
        </w:rPr>
      </w:pPr>
      <w:r>
        <w:rPr>
          <w:bCs/>
        </w:rPr>
        <w:t>Respectfully submitted,</w:t>
      </w:r>
    </w:p>
    <w:p w:rsidR="00FE55AB" w:rsidRDefault="00FE55AB">
      <w:pPr>
        <w:ind w:left="4320"/>
        <w:rPr>
          <w:caps/>
        </w:rPr>
      </w:pPr>
      <w:r>
        <w:rPr>
          <w:caps/>
        </w:rPr>
        <w:t>BRUCE J. WESTON</w:t>
      </w:r>
    </w:p>
    <w:p w:rsidR="00FE55AB" w:rsidRDefault="00FE55AB">
      <w:pPr>
        <w:ind w:left="4320"/>
      </w:pPr>
      <w:r>
        <w:t>OHIO CONSUMERS</w:t>
      </w:r>
      <w:r w:rsidR="00182EB7">
        <w:t>’</w:t>
      </w:r>
      <w:r>
        <w:t xml:space="preserve"> COUNSEL</w:t>
      </w:r>
    </w:p>
    <w:p w:rsidR="00FE55AB" w:rsidRDefault="00FE55AB">
      <w:pPr>
        <w:ind w:left="4320"/>
      </w:pPr>
    </w:p>
    <w:p w:rsidR="00FE55AB" w:rsidRDefault="00FE55AB">
      <w:pPr>
        <w:ind w:left="4320"/>
      </w:pPr>
    </w:p>
    <w:p w:rsidR="00FE55AB" w:rsidRDefault="00FE55AB">
      <w:pPr>
        <w:ind w:left="4320"/>
      </w:pPr>
      <w:r>
        <w:rPr>
          <w:i/>
          <w:u w:val="single"/>
        </w:rPr>
        <w:t>/s/ Kyle L. Kern</w:t>
      </w:r>
      <w:r>
        <w:t>_______________</w:t>
      </w:r>
    </w:p>
    <w:p w:rsidR="00FE55AB" w:rsidRDefault="00FE55AB">
      <w:pPr>
        <w:ind w:left="4320"/>
      </w:pPr>
      <w:r>
        <w:t>Kyle L. Kern, Counsel of Record</w:t>
      </w:r>
    </w:p>
    <w:p w:rsidR="00FE55AB" w:rsidRDefault="00FE55AB">
      <w:pPr>
        <w:ind w:left="4320"/>
      </w:pPr>
      <w:r>
        <w:t>Assistant Consumers</w:t>
      </w:r>
      <w:r w:rsidR="00182EB7">
        <w:t>’</w:t>
      </w:r>
      <w:r>
        <w:t xml:space="preserve"> Counsel</w:t>
      </w:r>
    </w:p>
    <w:p w:rsidR="00FE55AB" w:rsidRDefault="00FE55AB">
      <w:pPr>
        <w:spacing w:before="120"/>
        <w:ind w:left="4320"/>
        <w:rPr>
          <w:b/>
          <w:caps/>
        </w:rPr>
      </w:pPr>
      <w:r>
        <w:rPr>
          <w:b/>
        </w:rPr>
        <w:t>Office of the Ohio Consumers</w:t>
      </w:r>
      <w:r w:rsidR="00182EB7">
        <w:rPr>
          <w:b/>
        </w:rPr>
        <w:t>’</w:t>
      </w:r>
      <w:r>
        <w:rPr>
          <w:b/>
        </w:rPr>
        <w:t xml:space="preserve"> Counsel</w:t>
      </w:r>
    </w:p>
    <w:p w:rsidR="00FE55AB" w:rsidRDefault="00FE55AB">
      <w:pPr>
        <w:ind w:left="4320"/>
      </w:pPr>
      <w:r>
        <w:t>10 West Broad Street, Suite 1800</w:t>
      </w:r>
    </w:p>
    <w:p w:rsidR="00FE55AB" w:rsidRDefault="00FE55AB">
      <w:pPr>
        <w:ind w:left="4320"/>
      </w:pPr>
      <w:r>
        <w:t>Columbus, Ohio 43215-3485</w:t>
      </w:r>
    </w:p>
    <w:p w:rsidR="00FE55AB" w:rsidRDefault="00FE55AB">
      <w:pPr>
        <w:ind w:left="4320"/>
      </w:pPr>
      <w:r>
        <w:t>614-466-9585 (Kern Telephone)</w:t>
      </w:r>
    </w:p>
    <w:p w:rsidR="00FE55AB" w:rsidRDefault="00FE55AB">
      <w:pPr>
        <w:ind w:left="4320"/>
      </w:pPr>
      <w:r>
        <w:rPr>
          <w:color w:val="0000FF"/>
          <w:u w:val="single"/>
        </w:rPr>
        <w:t>kern@occ.state.oh.us</w:t>
      </w:r>
    </w:p>
    <w:p w:rsidR="00FE55AB" w:rsidRDefault="00FE55AB">
      <w:pPr>
        <w:ind w:left="4320"/>
      </w:pPr>
    </w:p>
    <w:p w:rsidR="00390A01" w:rsidRDefault="00390A01">
      <w:pPr>
        <w:jc w:val="center"/>
        <w:rPr>
          <w:b/>
        </w:rPr>
        <w:sectPr w:rsidR="00390A01">
          <w:headerReference w:type="even" r:id="rId14"/>
          <w:headerReference w:type="default" r:id="rId15"/>
          <w:headerReference w:type="first" r:id="rId16"/>
          <w:footerReference w:type="first" r:id="rId17"/>
          <w:pgSz w:w="12240" w:h="15840"/>
          <w:pgMar w:top="1440" w:right="1800" w:bottom="1440" w:left="1800" w:header="720" w:footer="720" w:gutter="0"/>
          <w:pgNumType w:start="1"/>
          <w:cols w:space="720"/>
          <w:titlePg/>
          <w:docGrid w:linePitch="360"/>
        </w:sectPr>
      </w:pPr>
    </w:p>
    <w:p w:rsidR="00FE55AB" w:rsidRDefault="00390A01">
      <w:pPr>
        <w:jc w:val="center"/>
        <w:rPr>
          <w:b/>
        </w:rPr>
      </w:pPr>
      <w:r>
        <w:rPr>
          <w:b/>
        </w:rPr>
        <w:t>TABLE OF CONTENTS</w:t>
      </w:r>
    </w:p>
    <w:p w:rsidR="00390A01" w:rsidRDefault="00390A01">
      <w:pPr>
        <w:jc w:val="center"/>
        <w:rPr>
          <w:b/>
        </w:rPr>
      </w:pPr>
    </w:p>
    <w:p w:rsidR="00390A01" w:rsidRDefault="00390A01">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390A01" w:rsidRDefault="00390A01">
      <w:pPr>
        <w:jc w:val="center"/>
        <w:rPr>
          <w:b/>
        </w:rPr>
      </w:pPr>
    </w:p>
    <w:p w:rsidR="00161183" w:rsidRDefault="00161183" w:rsidP="00161183">
      <w:pPr>
        <w:pStyle w:val="TOC1"/>
        <w:ind w:right="720"/>
        <w:rPr>
          <w:rFonts w:asciiTheme="minorHAnsi" w:eastAsiaTheme="minorEastAsia" w:hAnsiTheme="minorHAnsi" w:cstheme="minorBidi"/>
          <w:caps w:val="0"/>
          <w:noProof/>
          <w:sz w:val="22"/>
          <w:szCs w:val="22"/>
        </w:rPr>
      </w:pPr>
      <w:r>
        <w:rPr>
          <w:b/>
          <w:caps w:val="0"/>
        </w:rPr>
        <w:fldChar w:fldCharType="begin"/>
      </w:r>
      <w:r>
        <w:rPr>
          <w:b/>
          <w:caps w:val="0"/>
        </w:rPr>
        <w:instrText xml:space="preserve"> TOC \o "1-2" \h \z \u </w:instrText>
      </w:r>
      <w:r>
        <w:rPr>
          <w:b/>
          <w:caps w:val="0"/>
        </w:rPr>
        <w:fldChar w:fldCharType="separate"/>
      </w:r>
      <w:hyperlink w:anchor="_Toc364430700" w:history="1">
        <w:r w:rsidRPr="00414037">
          <w:rPr>
            <w:rStyle w:val="Hyperlink"/>
            <w:noProof/>
          </w:rPr>
          <w:t>I.</w:t>
        </w:r>
        <w:r>
          <w:rPr>
            <w:rFonts w:asciiTheme="minorHAnsi" w:eastAsiaTheme="minorEastAsia" w:hAnsiTheme="minorHAnsi" w:cstheme="minorBidi"/>
            <w:caps w:val="0"/>
            <w:noProof/>
            <w:sz w:val="22"/>
            <w:szCs w:val="22"/>
          </w:rPr>
          <w:tab/>
        </w:r>
        <w:r w:rsidRPr="00414037">
          <w:rPr>
            <w:rStyle w:val="Hyperlink"/>
            <w:noProof/>
          </w:rPr>
          <w:t>INTRODUCTION</w:t>
        </w:r>
        <w:r>
          <w:rPr>
            <w:noProof/>
            <w:webHidden/>
          </w:rPr>
          <w:tab/>
        </w:r>
        <w:r>
          <w:rPr>
            <w:noProof/>
            <w:webHidden/>
          </w:rPr>
          <w:fldChar w:fldCharType="begin"/>
        </w:r>
        <w:r>
          <w:rPr>
            <w:noProof/>
            <w:webHidden/>
          </w:rPr>
          <w:instrText xml:space="preserve"> PAGEREF _Toc364430700 \h </w:instrText>
        </w:r>
        <w:r>
          <w:rPr>
            <w:noProof/>
            <w:webHidden/>
          </w:rPr>
        </w:r>
        <w:r>
          <w:rPr>
            <w:noProof/>
            <w:webHidden/>
          </w:rPr>
          <w:fldChar w:fldCharType="separate"/>
        </w:r>
        <w:r w:rsidR="004A360D">
          <w:rPr>
            <w:noProof/>
            <w:webHidden/>
          </w:rPr>
          <w:t>1</w:t>
        </w:r>
        <w:r>
          <w:rPr>
            <w:noProof/>
            <w:webHidden/>
          </w:rPr>
          <w:fldChar w:fldCharType="end"/>
        </w:r>
      </w:hyperlink>
    </w:p>
    <w:p w:rsidR="00161183" w:rsidRDefault="00632CEB" w:rsidP="00161183">
      <w:pPr>
        <w:pStyle w:val="TOC1"/>
        <w:ind w:right="720"/>
        <w:rPr>
          <w:rFonts w:asciiTheme="minorHAnsi" w:eastAsiaTheme="minorEastAsia" w:hAnsiTheme="minorHAnsi" w:cstheme="minorBidi"/>
          <w:caps w:val="0"/>
          <w:noProof/>
          <w:sz w:val="22"/>
          <w:szCs w:val="22"/>
        </w:rPr>
      </w:pPr>
      <w:hyperlink w:anchor="_Toc364430701" w:history="1">
        <w:r w:rsidR="00161183" w:rsidRPr="00414037">
          <w:rPr>
            <w:rStyle w:val="Hyperlink"/>
            <w:noProof/>
          </w:rPr>
          <w:t>II.</w:t>
        </w:r>
        <w:r w:rsidR="00161183">
          <w:rPr>
            <w:rFonts w:asciiTheme="minorHAnsi" w:eastAsiaTheme="minorEastAsia" w:hAnsiTheme="minorHAnsi" w:cstheme="minorBidi"/>
            <w:caps w:val="0"/>
            <w:noProof/>
            <w:sz w:val="22"/>
            <w:szCs w:val="22"/>
          </w:rPr>
          <w:tab/>
        </w:r>
        <w:r w:rsidR="00161183" w:rsidRPr="00414037">
          <w:rPr>
            <w:rStyle w:val="Hyperlink"/>
            <w:noProof/>
          </w:rPr>
          <w:t>Standard of Review</w:t>
        </w:r>
        <w:r w:rsidR="00161183">
          <w:rPr>
            <w:noProof/>
            <w:webHidden/>
          </w:rPr>
          <w:tab/>
        </w:r>
        <w:r w:rsidR="00161183">
          <w:rPr>
            <w:noProof/>
            <w:webHidden/>
          </w:rPr>
          <w:fldChar w:fldCharType="begin"/>
        </w:r>
        <w:r w:rsidR="00161183">
          <w:rPr>
            <w:noProof/>
            <w:webHidden/>
          </w:rPr>
          <w:instrText xml:space="preserve"> PAGEREF _Toc364430701 \h </w:instrText>
        </w:r>
        <w:r w:rsidR="00161183">
          <w:rPr>
            <w:noProof/>
            <w:webHidden/>
          </w:rPr>
        </w:r>
        <w:r w:rsidR="00161183">
          <w:rPr>
            <w:noProof/>
            <w:webHidden/>
          </w:rPr>
          <w:fldChar w:fldCharType="separate"/>
        </w:r>
        <w:r w:rsidR="004A360D">
          <w:rPr>
            <w:noProof/>
            <w:webHidden/>
          </w:rPr>
          <w:t>3</w:t>
        </w:r>
        <w:r w:rsidR="00161183">
          <w:rPr>
            <w:noProof/>
            <w:webHidden/>
          </w:rPr>
          <w:fldChar w:fldCharType="end"/>
        </w:r>
      </w:hyperlink>
    </w:p>
    <w:p w:rsidR="00161183" w:rsidRDefault="00632CEB" w:rsidP="00161183">
      <w:pPr>
        <w:pStyle w:val="TOC1"/>
        <w:ind w:right="720"/>
        <w:rPr>
          <w:rFonts w:asciiTheme="minorHAnsi" w:eastAsiaTheme="minorEastAsia" w:hAnsiTheme="minorHAnsi" w:cstheme="minorBidi"/>
          <w:caps w:val="0"/>
          <w:noProof/>
          <w:sz w:val="22"/>
          <w:szCs w:val="22"/>
        </w:rPr>
      </w:pPr>
      <w:hyperlink w:anchor="_Toc364430702" w:history="1">
        <w:r w:rsidR="00161183" w:rsidRPr="00414037">
          <w:rPr>
            <w:rStyle w:val="Hyperlink"/>
            <w:noProof/>
          </w:rPr>
          <w:t>III.</w:t>
        </w:r>
        <w:r w:rsidR="00161183">
          <w:rPr>
            <w:rFonts w:asciiTheme="minorHAnsi" w:eastAsiaTheme="minorEastAsia" w:hAnsiTheme="minorHAnsi" w:cstheme="minorBidi"/>
            <w:caps w:val="0"/>
            <w:noProof/>
            <w:sz w:val="22"/>
            <w:szCs w:val="22"/>
          </w:rPr>
          <w:tab/>
        </w:r>
        <w:r w:rsidR="00161183" w:rsidRPr="00414037">
          <w:rPr>
            <w:rStyle w:val="Hyperlink"/>
            <w:noProof/>
          </w:rPr>
          <w:t>ARGUMENT</w:t>
        </w:r>
        <w:r w:rsidR="00161183">
          <w:rPr>
            <w:noProof/>
            <w:webHidden/>
          </w:rPr>
          <w:tab/>
        </w:r>
        <w:r w:rsidR="00161183">
          <w:rPr>
            <w:noProof/>
            <w:webHidden/>
          </w:rPr>
          <w:fldChar w:fldCharType="begin"/>
        </w:r>
        <w:r w:rsidR="00161183">
          <w:rPr>
            <w:noProof/>
            <w:webHidden/>
          </w:rPr>
          <w:instrText xml:space="preserve"> PAGEREF _Toc364430702 \h </w:instrText>
        </w:r>
        <w:r w:rsidR="00161183">
          <w:rPr>
            <w:noProof/>
            <w:webHidden/>
          </w:rPr>
        </w:r>
        <w:r w:rsidR="00161183">
          <w:rPr>
            <w:noProof/>
            <w:webHidden/>
          </w:rPr>
          <w:fldChar w:fldCharType="separate"/>
        </w:r>
        <w:r w:rsidR="004A360D">
          <w:rPr>
            <w:noProof/>
            <w:webHidden/>
          </w:rPr>
          <w:t>4</w:t>
        </w:r>
        <w:r w:rsidR="00161183">
          <w:rPr>
            <w:noProof/>
            <w:webHidden/>
          </w:rPr>
          <w:fldChar w:fldCharType="end"/>
        </w:r>
      </w:hyperlink>
    </w:p>
    <w:p w:rsidR="00161183" w:rsidRDefault="00632CEB" w:rsidP="00161183">
      <w:pPr>
        <w:pStyle w:val="TOC2"/>
        <w:tabs>
          <w:tab w:val="left" w:pos="1440"/>
        </w:tabs>
        <w:ind w:right="720"/>
        <w:rPr>
          <w:rFonts w:asciiTheme="minorHAnsi" w:eastAsiaTheme="minorEastAsia" w:hAnsiTheme="minorHAnsi" w:cstheme="minorBidi"/>
          <w:noProof/>
          <w:sz w:val="22"/>
          <w:szCs w:val="22"/>
        </w:rPr>
      </w:pPr>
      <w:hyperlink w:anchor="_Toc364430703" w:history="1">
        <w:r w:rsidR="00161183" w:rsidRPr="00414037">
          <w:rPr>
            <w:rStyle w:val="Hyperlink"/>
            <w:noProof/>
          </w:rPr>
          <w:t>A.</w:t>
        </w:r>
        <w:r w:rsidR="00161183">
          <w:rPr>
            <w:rFonts w:asciiTheme="minorHAnsi" w:eastAsiaTheme="minorEastAsia" w:hAnsiTheme="minorHAnsi" w:cstheme="minorBidi"/>
            <w:noProof/>
            <w:sz w:val="22"/>
            <w:szCs w:val="22"/>
          </w:rPr>
          <w:tab/>
        </w:r>
        <w:r w:rsidR="00161183" w:rsidRPr="00414037">
          <w:rPr>
            <w:rStyle w:val="Hyperlink"/>
            <w:noProof/>
          </w:rPr>
          <w:t>The PUCO Erred By Deciding To Authorize A Pilot Program Allowing FirstEnergy To Keep Approximately $1.6 Million In Payments From PJM For Energy Efficiency That Should Instead Be Used To Reduce Rider DSE For Customers, When No Application For Rehearing Was Filed Seeking That Decision.  Under R.C. 4903.10, The PUCO Lacks The Legal Authority And Jurisdiction To Render A Decision On An Issue Not Presented To The PUCO In An Application For Rehearing.</w:t>
        </w:r>
        <w:r w:rsidR="00161183">
          <w:rPr>
            <w:noProof/>
            <w:webHidden/>
          </w:rPr>
          <w:tab/>
        </w:r>
        <w:r w:rsidR="00161183">
          <w:rPr>
            <w:noProof/>
            <w:webHidden/>
          </w:rPr>
          <w:fldChar w:fldCharType="begin"/>
        </w:r>
        <w:r w:rsidR="00161183">
          <w:rPr>
            <w:noProof/>
            <w:webHidden/>
          </w:rPr>
          <w:instrText xml:space="preserve"> PAGEREF _Toc364430703 \h </w:instrText>
        </w:r>
        <w:r w:rsidR="00161183">
          <w:rPr>
            <w:noProof/>
            <w:webHidden/>
          </w:rPr>
        </w:r>
        <w:r w:rsidR="00161183">
          <w:rPr>
            <w:noProof/>
            <w:webHidden/>
          </w:rPr>
          <w:fldChar w:fldCharType="separate"/>
        </w:r>
        <w:r w:rsidR="004A360D">
          <w:rPr>
            <w:noProof/>
            <w:webHidden/>
          </w:rPr>
          <w:t>4</w:t>
        </w:r>
        <w:r w:rsidR="00161183">
          <w:rPr>
            <w:noProof/>
            <w:webHidden/>
          </w:rPr>
          <w:fldChar w:fldCharType="end"/>
        </w:r>
      </w:hyperlink>
    </w:p>
    <w:p w:rsidR="00161183" w:rsidRDefault="00632CEB" w:rsidP="00161183">
      <w:pPr>
        <w:pStyle w:val="TOC2"/>
        <w:tabs>
          <w:tab w:val="left" w:pos="1440"/>
        </w:tabs>
        <w:ind w:right="720"/>
        <w:rPr>
          <w:rFonts w:asciiTheme="minorHAnsi" w:eastAsiaTheme="minorEastAsia" w:hAnsiTheme="minorHAnsi" w:cstheme="minorBidi"/>
          <w:noProof/>
          <w:sz w:val="22"/>
          <w:szCs w:val="22"/>
        </w:rPr>
      </w:pPr>
      <w:hyperlink w:anchor="_Toc364430704" w:history="1">
        <w:r w:rsidR="00161183" w:rsidRPr="00414037">
          <w:rPr>
            <w:rStyle w:val="Hyperlink"/>
            <w:noProof/>
          </w:rPr>
          <w:t>B.</w:t>
        </w:r>
        <w:r w:rsidR="00161183">
          <w:rPr>
            <w:rFonts w:asciiTheme="minorHAnsi" w:eastAsiaTheme="minorEastAsia" w:hAnsiTheme="minorHAnsi" w:cstheme="minorBidi"/>
            <w:noProof/>
            <w:sz w:val="22"/>
            <w:szCs w:val="22"/>
          </w:rPr>
          <w:tab/>
        </w:r>
        <w:r w:rsidR="00161183" w:rsidRPr="00414037">
          <w:rPr>
            <w:rStyle w:val="Hyperlink"/>
            <w:noProof/>
          </w:rPr>
          <w:t>The PUCO Erred In Deciding To Authorize A Pilot Program Which Allowed FirstEnergy To Keep Certain Payments That Should Have Been Returned To Customers, In Violation Of R.C. 4903.09, Because The PUCO’s Written Decision Failed To Set Forth The Reasons Prompting The Decisions Arrived At, Based Upon Said Findings Of Fact From The Record Of This Case.</w:t>
        </w:r>
        <w:r w:rsidR="00161183">
          <w:rPr>
            <w:noProof/>
            <w:webHidden/>
          </w:rPr>
          <w:tab/>
        </w:r>
        <w:r w:rsidR="00161183">
          <w:rPr>
            <w:noProof/>
            <w:webHidden/>
          </w:rPr>
          <w:fldChar w:fldCharType="begin"/>
        </w:r>
        <w:r w:rsidR="00161183">
          <w:rPr>
            <w:noProof/>
            <w:webHidden/>
          </w:rPr>
          <w:instrText xml:space="preserve"> PAGEREF _Toc364430704 \h </w:instrText>
        </w:r>
        <w:r w:rsidR="00161183">
          <w:rPr>
            <w:noProof/>
            <w:webHidden/>
          </w:rPr>
        </w:r>
        <w:r w:rsidR="00161183">
          <w:rPr>
            <w:noProof/>
            <w:webHidden/>
          </w:rPr>
          <w:fldChar w:fldCharType="separate"/>
        </w:r>
        <w:r w:rsidR="004A360D">
          <w:rPr>
            <w:noProof/>
            <w:webHidden/>
          </w:rPr>
          <w:t>8</w:t>
        </w:r>
        <w:r w:rsidR="00161183">
          <w:rPr>
            <w:noProof/>
            <w:webHidden/>
          </w:rPr>
          <w:fldChar w:fldCharType="end"/>
        </w:r>
      </w:hyperlink>
    </w:p>
    <w:p w:rsidR="00161183" w:rsidRDefault="00632CEB" w:rsidP="00161183">
      <w:pPr>
        <w:pStyle w:val="TOC1"/>
        <w:ind w:right="720"/>
        <w:rPr>
          <w:rFonts w:asciiTheme="minorHAnsi" w:eastAsiaTheme="minorEastAsia" w:hAnsiTheme="minorHAnsi" w:cstheme="minorBidi"/>
          <w:caps w:val="0"/>
          <w:noProof/>
          <w:sz w:val="22"/>
          <w:szCs w:val="22"/>
        </w:rPr>
      </w:pPr>
      <w:hyperlink w:anchor="_Toc364430705" w:history="1">
        <w:r w:rsidR="00161183" w:rsidRPr="00414037">
          <w:rPr>
            <w:rStyle w:val="Hyperlink"/>
            <w:noProof/>
          </w:rPr>
          <w:t>Iv.</w:t>
        </w:r>
        <w:r w:rsidR="00161183">
          <w:rPr>
            <w:rFonts w:asciiTheme="minorHAnsi" w:eastAsiaTheme="minorEastAsia" w:hAnsiTheme="minorHAnsi" w:cstheme="minorBidi"/>
            <w:caps w:val="0"/>
            <w:noProof/>
            <w:sz w:val="22"/>
            <w:szCs w:val="22"/>
          </w:rPr>
          <w:tab/>
        </w:r>
        <w:r w:rsidR="00161183" w:rsidRPr="00414037">
          <w:rPr>
            <w:rStyle w:val="Hyperlink"/>
            <w:noProof/>
          </w:rPr>
          <w:t>CONCLUSION</w:t>
        </w:r>
        <w:r w:rsidR="00161183">
          <w:rPr>
            <w:noProof/>
            <w:webHidden/>
          </w:rPr>
          <w:tab/>
        </w:r>
        <w:r w:rsidR="00161183">
          <w:rPr>
            <w:noProof/>
            <w:webHidden/>
          </w:rPr>
          <w:fldChar w:fldCharType="begin"/>
        </w:r>
        <w:r w:rsidR="00161183">
          <w:rPr>
            <w:noProof/>
            <w:webHidden/>
          </w:rPr>
          <w:instrText xml:space="preserve"> PAGEREF _Toc364430705 \h </w:instrText>
        </w:r>
        <w:r w:rsidR="00161183">
          <w:rPr>
            <w:noProof/>
            <w:webHidden/>
          </w:rPr>
        </w:r>
        <w:r w:rsidR="00161183">
          <w:rPr>
            <w:noProof/>
            <w:webHidden/>
          </w:rPr>
          <w:fldChar w:fldCharType="separate"/>
        </w:r>
        <w:r w:rsidR="004A360D">
          <w:rPr>
            <w:noProof/>
            <w:webHidden/>
          </w:rPr>
          <w:t>14</w:t>
        </w:r>
        <w:r w:rsidR="00161183">
          <w:rPr>
            <w:noProof/>
            <w:webHidden/>
          </w:rPr>
          <w:fldChar w:fldCharType="end"/>
        </w:r>
      </w:hyperlink>
    </w:p>
    <w:p w:rsidR="00390A01" w:rsidRDefault="00161183">
      <w:pPr>
        <w:jc w:val="center"/>
        <w:rPr>
          <w:b/>
        </w:rPr>
      </w:pPr>
      <w:r>
        <w:rPr>
          <w:b/>
          <w:caps/>
        </w:rPr>
        <w:fldChar w:fldCharType="end"/>
      </w:r>
    </w:p>
    <w:p w:rsidR="004316EF" w:rsidRDefault="004316EF">
      <w:pPr>
        <w:jc w:val="center"/>
        <w:rPr>
          <w:b/>
        </w:rPr>
        <w:sectPr w:rsidR="004316EF" w:rsidSect="00390A01">
          <w:headerReference w:type="even" r:id="rId18"/>
          <w:headerReference w:type="default" r:id="rId19"/>
          <w:headerReference w:type="first" r:id="rId20"/>
          <w:footerReference w:type="first" r:id="rId21"/>
          <w:pgSz w:w="12240" w:h="15840"/>
          <w:pgMar w:top="1440" w:right="1800" w:bottom="1440" w:left="1800" w:header="720" w:footer="720" w:gutter="0"/>
          <w:pgNumType w:fmt="lowerRoman" w:start="1"/>
          <w:cols w:space="720"/>
          <w:titlePg/>
          <w:docGrid w:linePitch="360"/>
        </w:sectPr>
      </w:pPr>
    </w:p>
    <w:p w:rsidR="00FE55AB" w:rsidRDefault="00FE55AB">
      <w:pPr>
        <w:jc w:val="center"/>
        <w:rPr>
          <w:b/>
        </w:rPr>
      </w:pPr>
      <w:r>
        <w:rPr>
          <w:b/>
        </w:rPr>
        <w:t>BEFORE</w:t>
      </w:r>
    </w:p>
    <w:p w:rsidR="00FE55AB" w:rsidRDefault="00FE55AB">
      <w:pPr>
        <w:jc w:val="center"/>
        <w:rPr>
          <w:b/>
        </w:rPr>
      </w:pPr>
      <w:r>
        <w:rPr>
          <w:b/>
        </w:rPr>
        <w:t>THE PUBLIC UTILITIES COMMISSION OF OHIO</w:t>
      </w:r>
    </w:p>
    <w:p w:rsidR="00FE55AB" w:rsidRDefault="00FE55AB">
      <w:pPr>
        <w:jc w:val="center"/>
      </w:pPr>
    </w:p>
    <w:tbl>
      <w:tblPr>
        <w:tblW w:w="0" w:type="auto"/>
        <w:tblLayout w:type="fixed"/>
        <w:tblLook w:val="0000" w:firstRow="0" w:lastRow="0" w:firstColumn="0" w:lastColumn="0" w:noHBand="0" w:noVBand="0"/>
      </w:tblPr>
      <w:tblGrid>
        <w:gridCol w:w="4338"/>
        <w:gridCol w:w="540"/>
        <w:gridCol w:w="3978"/>
      </w:tblGrid>
      <w:tr w:rsidR="00FE55AB">
        <w:trPr>
          <w:cantSplit/>
          <w:trHeight w:val="342"/>
        </w:trPr>
        <w:tc>
          <w:tcPr>
            <w:tcW w:w="4338" w:type="dxa"/>
          </w:tcPr>
          <w:p w:rsidR="00FE55AB" w:rsidRDefault="00FE55AB" w:rsidP="00DA1254">
            <w:r>
              <w:t xml:space="preserve">In the Matter of the Application of </w:t>
            </w:r>
            <w:r w:rsidR="00DA1254">
              <w:t xml:space="preserve">The Cleveland Electric Illuminating Company, </w:t>
            </w:r>
            <w:r>
              <w:t>Ohio Edison Company, and The Toledo Edison Company For Approval of Their Energy Efficiency and Peak Demand Reduction Program Portfolio Plans for 2013 through 2015.</w:t>
            </w:r>
          </w:p>
        </w:tc>
        <w:tc>
          <w:tcPr>
            <w:tcW w:w="540" w:type="dxa"/>
          </w:tcPr>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tc>
        <w:tc>
          <w:tcPr>
            <w:tcW w:w="3978" w:type="dxa"/>
          </w:tcPr>
          <w:p w:rsidR="00FE55AB" w:rsidRDefault="00FE55AB"/>
          <w:p w:rsidR="00FE55AB" w:rsidRDefault="00FE55AB">
            <w:r>
              <w:t>Case No. 12-2190-EL-POR</w:t>
            </w:r>
          </w:p>
          <w:p w:rsidR="00FE55AB" w:rsidRDefault="00FE55AB">
            <w:r>
              <w:t>Case No. 12-2191-EL-POR</w:t>
            </w:r>
          </w:p>
          <w:p w:rsidR="00FE55AB" w:rsidRDefault="00FE55AB">
            <w:r>
              <w:t>Case No. 12-2192-EL-POR</w:t>
            </w:r>
          </w:p>
        </w:tc>
      </w:tr>
    </w:tbl>
    <w:p w:rsidR="00FE55AB" w:rsidRDefault="00FE55AB"/>
    <w:p w:rsidR="00FE55AB" w:rsidRDefault="00FE55AB">
      <w:pPr>
        <w:pBdr>
          <w:top w:val="single" w:sz="12" w:space="1" w:color="auto"/>
        </w:pBdr>
      </w:pPr>
    </w:p>
    <w:p w:rsidR="00FE55AB" w:rsidRDefault="00FE55AB">
      <w:pPr>
        <w:pBdr>
          <w:bottom w:val="single" w:sz="12" w:space="1" w:color="auto"/>
        </w:pBdr>
        <w:jc w:val="center"/>
        <w:rPr>
          <w:b/>
        </w:rPr>
      </w:pPr>
      <w:r>
        <w:rPr>
          <w:b/>
        </w:rPr>
        <w:t>MEMORANDUM IN SUPPORT</w:t>
      </w:r>
    </w:p>
    <w:p w:rsidR="00FE55AB" w:rsidRDefault="00FE55AB">
      <w:pPr>
        <w:pBdr>
          <w:bottom w:val="single" w:sz="12" w:space="1" w:color="auto"/>
        </w:pBdr>
      </w:pPr>
    </w:p>
    <w:p w:rsidR="00FE55AB" w:rsidRDefault="00FE55AB"/>
    <w:p w:rsidR="00FE55AB" w:rsidRDefault="00FE55AB" w:rsidP="004A4FD9">
      <w:pPr>
        <w:pStyle w:val="Heading1"/>
      </w:pPr>
      <w:bookmarkStart w:id="1" w:name="_Toc331598697"/>
      <w:bookmarkStart w:id="2" w:name="_Toc331602814"/>
      <w:bookmarkStart w:id="3" w:name="_Toc331603299"/>
      <w:bookmarkStart w:id="4" w:name="_Toc340153710"/>
      <w:bookmarkStart w:id="5" w:name="_Toc345674397"/>
      <w:bookmarkStart w:id="6" w:name="_Toc345675355"/>
      <w:bookmarkStart w:id="7" w:name="_Toc353617277"/>
      <w:bookmarkStart w:id="8" w:name="_Toc354150636"/>
      <w:bookmarkStart w:id="9" w:name="_Toc363632579"/>
      <w:bookmarkStart w:id="10" w:name="_Toc364332203"/>
      <w:bookmarkStart w:id="11" w:name="_Toc364430700"/>
      <w:r>
        <w:t>I.</w:t>
      </w:r>
      <w:r>
        <w:tab/>
        <w:t>INTRODUCTION</w:t>
      </w:r>
      <w:bookmarkEnd w:id="1"/>
      <w:bookmarkEnd w:id="2"/>
      <w:bookmarkEnd w:id="3"/>
      <w:bookmarkEnd w:id="4"/>
      <w:bookmarkEnd w:id="5"/>
      <w:bookmarkEnd w:id="6"/>
      <w:bookmarkEnd w:id="7"/>
      <w:bookmarkEnd w:id="8"/>
      <w:bookmarkEnd w:id="9"/>
      <w:bookmarkEnd w:id="10"/>
      <w:bookmarkEnd w:id="11"/>
    </w:p>
    <w:p w:rsidR="00ED0801" w:rsidRDefault="00FE55AB" w:rsidP="008105F0">
      <w:pPr>
        <w:autoSpaceDE w:val="0"/>
        <w:autoSpaceDN w:val="0"/>
        <w:adjustRightInd w:val="0"/>
        <w:spacing w:line="480" w:lineRule="auto"/>
        <w:ind w:firstLine="720"/>
      </w:pPr>
      <w:r>
        <w:t xml:space="preserve">This proceeding is significant because an appropriately designed </w:t>
      </w:r>
      <w:r w:rsidR="00465FBA">
        <w:t>p</w:t>
      </w:r>
      <w:r>
        <w:t>ortfolio</w:t>
      </w:r>
      <w:r w:rsidR="00743F34">
        <w:t xml:space="preserve"> for energy efficiency and peak demand reduction (</w:t>
      </w:r>
      <w:r w:rsidR="00182EB7">
        <w:t>“</w:t>
      </w:r>
      <w:r w:rsidR="00743F34">
        <w:t>EE/PDR</w:t>
      </w:r>
      <w:r w:rsidR="00182EB7">
        <w:t>”</w:t>
      </w:r>
      <w:r w:rsidR="00743F34">
        <w:t>)</w:t>
      </w:r>
      <w:r>
        <w:t xml:space="preserve"> can result in lower costs for electric energy and capacity in the wholesale market leading to lower retail electric energy prices for </w:t>
      </w:r>
      <w:r w:rsidR="00226180">
        <w:t xml:space="preserve">Ohio </w:t>
      </w:r>
      <w:r>
        <w:t>customers</w:t>
      </w:r>
      <w:r w:rsidR="00226180">
        <w:t>.</w:t>
      </w:r>
      <w:r>
        <w:t xml:space="preserve"> </w:t>
      </w:r>
      <w:r w:rsidR="00226180">
        <w:t>A</w:t>
      </w:r>
      <w:r>
        <w:t xml:space="preserve">nd </w:t>
      </w:r>
      <w:r w:rsidR="00226180">
        <w:t>the</w:t>
      </w:r>
      <w:r w:rsidR="00465FBA">
        <w:t xml:space="preserve"> </w:t>
      </w:r>
      <w:r w:rsidR="00465FBA" w:rsidRPr="006F4961">
        <w:t>Utilities</w:t>
      </w:r>
      <w:r w:rsidR="00182EB7">
        <w:t>’</w:t>
      </w:r>
      <w:r w:rsidR="00226180">
        <w:t xml:space="preserve"> portfolio </w:t>
      </w:r>
      <w:r>
        <w:t>can allow customers to better control their energy use</w:t>
      </w:r>
      <w:r w:rsidR="00226180">
        <w:t>, meaning they can reduce their electric bills by reducing usage even if their rate is unchanged</w:t>
      </w:r>
      <w:r>
        <w:t xml:space="preserve">. </w:t>
      </w:r>
      <w:r w:rsidR="00D037CA">
        <w:t xml:space="preserve"> </w:t>
      </w:r>
      <w:r w:rsidR="00070669">
        <w:t>In this regard</w:t>
      </w:r>
      <w:r w:rsidR="00526AAC">
        <w:t>, o</w:t>
      </w:r>
      <w:r>
        <w:t xml:space="preserve">ptimizing the EE/PDR capacity resources that </w:t>
      </w:r>
      <w:r w:rsidR="008105F0">
        <w:t xml:space="preserve">FirstEnergy </w:t>
      </w:r>
      <w:r>
        <w:t xml:space="preserve">can be bid into the PJM auctions can lead to future reductions in the Demand Side Management and Energy Efficiency Rider charged </w:t>
      </w:r>
      <w:r w:rsidR="004E1546">
        <w:t xml:space="preserve">to </w:t>
      </w:r>
      <w:r>
        <w:t>c</w:t>
      </w:r>
      <w:r w:rsidR="00070669">
        <w:t>ustomers</w:t>
      </w:r>
      <w:r>
        <w:t>.</w:t>
      </w:r>
      <w:r w:rsidR="004B5716">
        <w:t xml:space="preserve">  </w:t>
      </w:r>
    </w:p>
    <w:p w:rsidR="00526AAC" w:rsidRDefault="004B5716" w:rsidP="008105F0">
      <w:pPr>
        <w:autoSpaceDE w:val="0"/>
        <w:autoSpaceDN w:val="0"/>
        <w:adjustRightInd w:val="0"/>
        <w:spacing w:line="480" w:lineRule="auto"/>
        <w:ind w:firstLine="720"/>
      </w:pPr>
      <w:r>
        <w:t xml:space="preserve">The PUCO is aware of the substantial benefit customers can experience as a result of lowering capacity auction prices </w:t>
      </w:r>
      <w:r w:rsidR="00200EA5">
        <w:t>that</w:t>
      </w:r>
      <w:r>
        <w:t xml:space="preserve"> reduc</w:t>
      </w:r>
      <w:r w:rsidR="00200EA5">
        <w:t xml:space="preserve">es </w:t>
      </w:r>
      <w:r>
        <w:t>Rider DSE costs</w:t>
      </w:r>
      <w:r w:rsidR="00200EA5">
        <w:t xml:space="preserve"> billed to customers</w:t>
      </w:r>
      <w:r>
        <w:t>.</w:t>
      </w:r>
      <w:r>
        <w:rPr>
          <w:rStyle w:val="FootnoteReference"/>
        </w:rPr>
        <w:footnoteReference w:id="6"/>
      </w:r>
      <w:r>
        <w:t xml:space="preserve">  </w:t>
      </w:r>
      <w:r w:rsidR="00526AAC">
        <w:t>But</w:t>
      </w:r>
      <w:r w:rsidR="001A3404">
        <w:t xml:space="preserve"> instead of delivering lower utility bills to customers, </w:t>
      </w:r>
      <w:r w:rsidR="00526AAC">
        <w:t>the PUCO</w:t>
      </w:r>
      <w:r w:rsidR="00182EB7">
        <w:t>’</w:t>
      </w:r>
      <w:r w:rsidR="00526AAC">
        <w:t xml:space="preserve">s July 17 </w:t>
      </w:r>
      <w:r w:rsidR="005835FB">
        <w:t>Entry will</w:t>
      </w:r>
      <w:r w:rsidR="001A3404">
        <w:t xml:space="preserve"> accomplish the opposite and will raise electric bills </w:t>
      </w:r>
      <w:r w:rsidR="00237E2A">
        <w:t>for</w:t>
      </w:r>
      <w:r w:rsidR="001A3404">
        <w:t xml:space="preserve"> FirstEnergy</w:t>
      </w:r>
      <w:r w:rsidR="00182EB7">
        <w:t>’</w:t>
      </w:r>
      <w:r w:rsidR="00237E2A">
        <w:t>s customers</w:t>
      </w:r>
      <w:r w:rsidR="001A3404">
        <w:t>.</w:t>
      </w:r>
    </w:p>
    <w:p w:rsidR="00EA03E1" w:rsidRDefault="00347C4E" w:rsidP="00DF1C1E">
      <w:pPr>
        <w:autoSpaceDE w:val="0"/>
        <w:autoSpaceDN w:val="0"/>
        <w:adjustRightInd w:val="0"/>
        <w:spacing w:line="480" w:lineRule="auto"/>
        <w:ind w:firstLine="720"/>
      </w:pPr>
      <w:r>
        <w:t xml:space="preserve">Specifically, the PUCO determined that FirstEnergy can implement a pilot program </w:t>
      </w:r>
      <w:r w:rsidR="00CF568A">
        <w:t>where</w:t>
      </w:r>
      <w:r>
        <w:t xml:space="preserve"> </w:t>
      </w:r>
      <w:r w:rsidR="00CF568A">
        <w:t xml:space="preserve">it </w:t>
      </w:r>
      <w:r>
        <w:t>may</w:t>
      </w:r>
      <w:r w:rsidR="00CF568A">
        <w:t xml:space="preserve"> keep for itself a portion of the payments from PJM (for customers</w:t>
      </w:r>
      <w:r w:rsidR="00182EB7">
        <w:t>’</w:t>
      </w:r>
      <w:r w:rsidR="00CF568A">
        <w:t xml:space="preserve"> EE/PDF savings)</w:t>
      </w:r>
      <w:r w:rsidR="0058582B">
        <w:t>.  But PJM</w:t>
      </w:r>
      <w:r w:rsidR="00182EB7">
        <w:t>’</w:t>
      </w:r>
      <w:r w:rsidR="0058582B">
        <w:t>s payments should</w:t>
      </w:r>
      <w:r w:rsidR="00CF568A">
        <w:t xml:space="preserve"> all be credited to </w:t>
      </w:r>
      <w:r w:rsidR="00734102">
        <w:t>customers</w:t>
      </w:r>
      <w:r>
        <w:t>.</w:t>
      </w:r>
      <w:r w:rsidR="00027E09">
        <w:t xml:space="preserve">  Per the </w:t>
      </w:r>
      <w:r>
        <w:t>July 17 Entry, the Utilities will receive 20 percent of the benefit</w:t>
      </w:r>
      <w:r w:rsidR="00526AAC">
        <w:t xml:space="preserve"> of any revenue received in the PJM auctions</w:t>
      </w:r>
      <w:r>
        <w:t>, while customers will receive 80 percent.</w:t>
      </w:r>
      <w:r>
        <w:rPr>
          <w:rStyle w:val="FootnoteReference"/>
        </w:rPr>
        <w:footnoteReference w:id="7"/>
      </w:r>
      <w:r w:rsidR="00027E09">
        <w:t xml:space="preserve">  </w:t>
      </w:r>
      <w:r w:rsidR="00EA03E1">
        <w:t>This decision is bad for consumers because it</w:t>
      </w:r>
      <w:r w:rsidR="00FE55AB">
        <w:t xml:space="preserve"> prevent</w:t>
      </w:r>
      <w:r w:rsidR="00EA03E1">
        <w:t>s</w:t>
      </w:r>
      <w:r w:rsidR="00FE55AB">
        <w:t xml:space="preserve"> </w:t>
      </w:r>
      <w:r w:rsidR="00BA2B51">
        <w:t xml:space="preserve">customers </w:t>
      </w:r>
      <w:r w:rsidR="00FE55AB">
        <w:t xml:space="preserve">from </w:t>
      </w:r>
      <w:r w:rsidR="00EA03E1">
        <w:t xml:space="preserve">receiving the benefit of </w:t>
      </w:r>
      <w:r w:rsidR="001834D7">
        <w:t xml:space="preserve">100 percent of the </w:t>
      </w:r>
      <w:r w:rsidR="003B693A">
        <w:t>PJM auction revenues</w:t>
      </w:r>
      <w:r w:rsidR="00CF568A">
        <w:t xml:space="preserve"> that they earned by reducing </w:t>
      </w:r>
      <w:r w:rsidR="00200EA5">
        <w:t xml:space="preserve">their </w:t>
      </w:r>
      <w:r w:rsidR="00CF568A">
        <w:t>use of electricity</w:t>
      </w:r>
      <w:r w:rsidR="00EA03E1">
        <w:t xml:space="preserve">.  </w:t>
      </w:r>
    </w:p>
    <w:p w:rsidR="00EA03E1" w:rsidRDefault="00EA03E1" w:rsidP="00DF1C1E">
      <w:pPr>
        <w:autoSpaceDE w:val="0"/>
        <w:autoSpaceDN w:val="0"/>
        <w:adjustRightInd w:val="0"/>
        <w:spacing w:line="480" w:lineRule="auto"/>
        <w:ind w:firstLine="720"/>
      </w:pPr>
      <w:r>
        <w:t>The decision is unlawful because</w:t>
      </w:r>
      <w:r w:rsidR="005B21C4">
        <w:t xml:space="preserve"> 1)</w:t>
      </w:r>
      <w:r w:rsidR="001F2B68">
        <w:t xml:space="preserve"> </w:t>
      </w:r>
      <w:r>
        <w:t>the PUCO lacked the authority and jurisdiction to hear the issue of the pilot program on rehearing</w:t>
      </w:r>
      <w:r w:rsidR="005B21C4">
        <w:t xml:space="preserve">, and 2) the July 17 Entry is not supported by the record </w:t>
      </w:r>
      <w:r w:rsidR="00200EA5">
        <w:t>in</w:t>
      </w:r>
      <w:r w:rsidR="005B21C4">
        <w:t xml:space="preserve"> this case</w:t>
      </w:r>
      <w:r>
        <w:t xml:space="preserve">.  On rehearing, the PUCO may consider </w:t>
      </w:r>
      <w:r w:rsidR="00D430C6">
        <w:t xml:space="preserve">only those matters raised in </w:t>
      </w:r>
      <w:r>
        <w:t>applications for rehearing.</w:t>
      </w:r>
      <w:r w:rsidR="00FB10B1">
        <w:rPr>
          <w:rStyle w:val="FootnoteReference"/>
        </w:rPr>
        <w:footnoteReference w:id="8"/>
      </w:r>
      <w:r>
        <w:t xml:space="preserve">  N</w:t>
      </w:r>
      <w:r w:rsidR="001F2B68">
        <w:t>o</w:t>
      </w:r>
      <w:r w:rsidR="00FC6F67">
        <w:t xml:space="preserve"> party raised this issue on rehearing.</w:t>
      </w:r>
      <w:r>
        <w:t xml:space="preserve">  In the absence of a rehearing request, </w:t>
      </w:r>
      <w:r w:rsidR="004E1546">
        <w:t xml:space="preserve">the July 17 Entry </w:t>
      </w:r>
      <w:r>
        <w:t>exceeds the PUCO</w:t>
      </w:r>
      <w:r w:rsidR="00182EB7">
        <w:t>’</w:t>
      </w:r>
      <w:r>
        <w:t>s authority and jurisdiction.</w:t>
      </w:r>
      <w:r w:rsidR="00FC6F67">
        <w:t xml:space="preserve">  </w:t>
      </w:r>
      <w:r w:rsidR="00F5727D">
        <w:t xml:space="preserve">In addition, </w:t>
      </w:r>
      <w:r w:rsidR="00443D07">
        <w:t xml:space="preserve">the Ohio Supreme Court has held that </w:t>
      </w:r>
      <w:r w:rsidR="00F5727D">
        <w:t xml:space="preserve">the PUCO must </w:t>
      </w:r>
      <w:r w:rsidR="0010688C">
        <w:t>provide in sufficient detail the facts in the record upon which i</w:t>
      </w:r>
      <w:r w:rsidR="00F5727D">
        <w:t xml:space="preserve">ts decisions </w:t>
      </w:r>
      <w:r w:rsidR="0010688C">
        <w:t>are based</w:t>
      </w:r>
      <w:r w:rsidR="00F5727D">
        <w:t>,</w:t>
      </w:r>
      <w:r w:rsidR="00443D07">
        <w:rPr>
          <w:rStyle w:val="FootnoteReference"/>
        </w:rPr>
        <w:footnoteReference w:id="9"/>
      </w:r>
      <w:r w:rsidR="0010688C">
        <w:t xml:space="preserve"> and its decisions must be based upon the record.  The PUCO failed </w:t>
      </w:r>
      <w:r w:rsidR="00726615">
        <w:t>to meet th</w:t>
      </w:r>
      <w:r w:rsidR="00742751">
        <w:t>ese</w:t>
      </w:r>
      <w:r w:rsidR="00726615">
        <w:t xml:space="preserve"> requirement</w:t>
      </w:r>
      <w:r w:rsidR="00742751">
        <w:t>s</w:t>
      </w:r>
      <w:r w:rsidR="00726615">
        <w:t xml:space="preserve"> in its July 17 Entry</w:t>
      </w:r>
      <w:r w:rsidR="00F5727D">
        <w:t>.</w:t>
      </w:r>
    </w:p>
    <w:p w:rsidR="009D1160" w:rsidRDefault="00EA03E1" w:rsidP="00DF1C1E">
      <w:pPr>
        <w:autoSpaceDE w:val="0"/>
        <w:autoSpaceDN w:val="0"/>
        <w:adjustRightInd w:val="0"/>
        <w:spacing w:line="480" w:lineRule="auto"/>
        <w:ind w:firstLine="720"/>
      </w:pPr>
      <w:r>
        <w:t xml:space="preserve">The PUCO should grant </w:t>
      </w:r>
      <w:r w:rsidR="00027E09">
        <w:t>rehearing</w:t>
      </w:r>
      <w:r w:rsidR="001F2B68">
        <w:t>.</w:t>
      </w:r>
    </w:p>
    <w:p w:rsidR="00FE55AB" w:rsidRDefault="00FE55AB" w:rsidP="004A4FD9">
      <w:pPr>
        <w:pStyle w:val="Heading1"/>
      </w:pPr>
      <w:bookmarkStart w:id="12" w:name="_Toc285028425"/>
      <w:bookmarkStart w:id="13" w:name="_Toc285028467"/>
      <w:bookmarkStart w:id="14" w:name="_Toc331598698"/>
      <w:bookmarkStart w:id="15" w:name="_Toc331602815"/>
      <w:bookmarkStart w:id="16" w:name="_Toc331603300"/>
      <w:bookmarkStart w:id="17" w:name="_Toc340153711"/>
      <w:bookmarkStart w:id="18" w:name="_Toc345674398"/>
      <w:bookmarkStart w:id="19" w:name="_Toc345675356"/>
      <w:bookmarkStart w:id="20" w:name="_Toc353617278"/>
      <w:bookmarkStart w:id="21" w:name="_Toc354150637"/>
      <w:bookmarkStart w:id="22" w:name="_Toc363632580"/>
      <w:bookmarkStart w:id="23" w:name="_Toc364332204"/>
      <w:bookmarkStart w:id="24" w:name="_Toc364430701"/>
      <w:r>
        <w:t>II.</w:t>
      </w:r>
      <w:r>
        <w:tab/>
        <w:t>Standard of Review</w:t>
      </w:r>
      <w:bookmarkEnd w:id="12"/>
      <w:bookmarkEnd w:id="13"/>
      <w:bookmarkEnd w:id="14"/>
      <w:bookmarkEnd w:id="15"/>
      <w:bookmarkEnd w:id="16"/>
      <w:bookmarkEnd w:id="17"/>
      <w:bookmarkEnd w:id="18"/>
      <w:bookmarkEnd w:id="19"/>
      <w:bookmarkEnd w:id="20"/>
      <w:bookmarkEnd w:id="21"/>
      <w:bookmarkEnd w:id="22"/>
      <w:bookmarkEnd w:id="23"/>
      <w:bookmarkEnd w:id="24"/>
    </w:p>
    <w:p w:rsidR="00FE55AB" w:rsidRDefault="00FE55AB">
      <w:pPr>
        <w:spacing w:line="480" w:lineRule="auto"/>
      </w:pPr>
      <w:r>
        <w:tab/>
        <w:t>Applications for rehearing are governed by R.C. 4903.10.  This statute provides that any party may apply for rehearing on matters decided by the Commission within thirty days after an order is issued.</w:t>
      </w:r>
      <w:r>
        <w:rPr>
          <w:rStyle w:val="FootnoteReference"/>
        </w:rPr>
        <w:footnoteReference w:id="10"/>
      </w:r>
      <w:r>
        <w:t xml:space="preserve">  An application for rehearing must be written and must specify how the order is unreasonable or unlawful.</w:t>
      </w:r>
      <w:r>
        <w:rPr>
          <w:rStyle w:val="FootnoteReference"/>
        </w:rPr>
        <w:footnoteReference w:id="11"/>
      </w:r>
      <w:r>
        <w:t xml:space="preserve">  </w:t>
      </w:r>
    </w:p>
    <w:p w:rsidR="00FE55AB" w:rsidRDefault="00FE55AB">
      <w:pPr>
        <w:spacing w:line="480" w:lineRule="auto"/>
      </w:pPr>
      <w:r>
        <w:tab/>
        <w:t xml:space="preserve">In considering an application for rehearing, the </w:t>
      </w:r>
      <w:r w:rsidR="003B693A">
        <w:t>PUCO may</w:t>
      </w:r>
      <w:r>
        <w:t xml:space="preserve"> grant rehearing requested in an application, if </w:t>
      </w:r>
      <w:r w:rsidR="00182EB7">
        <w:t>“</w:t>
      </w:r>
      <w:r>
        <w:t>sufficient reason therefore is made to appear.</w:t>
      </w:r>
      <w:r w:rsidR="00182EB7">
        <w:t>”</w:t>
      </w:r>
      <w:r>
        <w:rPr>
          <w:rStyle w:val="FootnoteReference"/>
        </w:rPr>
        <w:footnoteReference w:id="12"/>
      </w:r>
      <w:r>
        <w:t xml:space="preserve">  If the Commission grants a rehearing and determines that its Order is unjust or unwarranted, or should be changed, it may abrogate or modify the Order.</w:t>
      </w:r>
      <w:r>
        <w:rPr>
          <w:rStyle w:val="FootnoteReference"/>
        </w:rPr>
        <w:footnoteReference w:id="13"/>
      </w:r>
      <w:r>
        <w:t xml:space="preserve">  Otherwise the Order is affirmed.   </w:t>
      </w:r>
      <w:r w:rsidR="005F67A3">
        <w:t xml:space="preserve">Under R.C. 4903.10(B), the PUCO is limited on rehearing to granting or denying a </w:t>
      </w:r>
      <w:r w:rsidR="00182EB7">
        <w:t>“</w:t>
      </w:r>
      <w:r w:rsidR="00613C9D" w:rsidRPr="00613C9D">
        <w:t>matter</w:t>
      </w:r>
      <w:r w:rsidR="005F67A3">
        <w:t>[]</w:t>
      </w:r>
      <w:r w:rsidR="00613C9D" w:rsidRPr="00613C9D">
        <w:t xml:space="preserve"> specified in such application</w:t>
      </w:r>
      <w:r w:rsidR="005F67A3">
        <w:t xml:space="preserve"> [for rehearing].</w:t>
      </w:r>
      <w:r w:rsidR="00182EB7">
        <w:t>”</w:t>
      </w:r>
      <w:r w:rsidR="00613C9D" w:rsidRPr="00613C9D">
        <w:t xml:space="preserve"> </w:t>
      </w:r>
    </w:p>
    <w:p w:rsidR="00FE55AB" w:rsidRDefault="00FE55AB">
      <w:pPr>
        <w:spacing w:line="480" w:lineRule="auto"/>
      </w:pPr>
      <w:r>
        <w:tab/>
        <w:t xml:space="preserve">OCC meets both the statutory conditions applicable to an applicant for rehearing pursuant to R.C. 4903.10 and the requirements of the </w:t>
      </w:r>
      <w:r w:rsidR="00CB20E9">
        <w:t>PUCO</w:t>
      </w:r>
      <w:r w:rsidR="00182EB7">
        <w:t>’</w:t>
      </w:r>
      <w:r w:rsidR="00CB20E9">
        <w:t xml:space="preserve">s </w:t>
      </w:r>
      <w:r>
        <w:t>rule on applications for rehearing.</w:t>
      </w:r>
      <w:r>
        <w:rPr>
          <w:rStyle w:val="FootnoteReference"/>
        </w:rPr>
        <w:footnoteReference w:id="14"/>
      </w:r>
      <w:r>
        <w:t xml:space="preserve">  OCC is a party to the case. </w:t>
      </w:r>
      <w:r w:rsidR="00D037CA">
        <w:t xml:space="preserve"> </w:t>
      </w:r>
      <w:r>
        <w:t xml:space="preserve">Additionally, OCC actively participated in this case, and thus, may apply for rehearing under R.C. 4903.10.  </w:t>
      </w:r>
      <w:r w:rsidR="00CB20E9">
        <w:t>T</w:t>
      </w:r>
      <w:r>
        <w:t xml:space="preserve">he </w:t>
      </w:r>
      <w:r w:rsidR="00CB20E9">
        <w:t xml:space="preserve">PUCO should </w:t>
      </w:r>
      <w:r>
        <w:t xml:space="preserve">determine </w:t>
      </w:r>
      <w:r w:rsidR="00CB20E9">
        <w:t xml:space="preserve">that </w:t>
      </w:r>
      <w:r>
        <w:t xml:space="preserve">OCC has shown </w:t>
      </w:r>
      <w:r w:rsidR="00182EB7">
        <w:t>“</w:t>
      </w:r>
      <w:r>
        <w:t>sufficient reason</w:t>
      </w:r>
      <w:r w:rsidR="00182EB7">
        <w:t>”</w:t>
      </w:r>
      <w:r>
        <w:t xml:space="preserve"> to grant rehearing on the matters specified below</w:t>
      </w:r>
      <w:r w:rsidR="00CB20E9">
        <w:t xml:space="preserve"> and should </w:t>
      </w:r>
      <w:r w:rsidR="00182EB7">
        <w:t>“</w:t>
      </w:r>
      <w:r w:rsidR="00CB20E9">
        <w:t>abrogate or modify</w:t>
      </w:r>
      <w:r w:rsidR="00182EB7">
        <w:t>”</w:t>
      </w:r>
      <w:r w:rsidR="00CB20E9">
        <w:t xml:space="preserve"> its </w:t>
      </w:r>
      <w:r w:rsidR="00DF2376">
        <w:t xml:space="preserve">March 20 </w:t>
      </w:r>
      <w:r w:rsidR="00CB20E9">
        <w:t>Order</w:t>
      </w:r>
      <w:r>
        <w:t xml:space="preserve">.  </w:t>
      </w:r>
    </w:p>
    <w:p w:rsidR="00FE55AB" w:rsidRDefault="00FE55AB"/>
    <w:p w:rsidR="00FE55AB" w:rsidRDefault="00981442" w:rsidP="004A4FD9">
      <w:pPr>
        <w:pStyle w:val="Heading1"/>
      </w:pPr>
      <w:bookmarkStart w:id="25" w:name="_Toc331598699"/>
      <w:bookmarkStart w:id="26" w:name="_Toc331602816"/>
      <w:bookmarkStart w:id="27" w:name="_Toc331603301"/>
      <w:bookmarkStart w:id="28" w:name="_Toc340153712"/>
      <w:bookmarkStart w:id="29" w:name="_Toc345674399"/>
      <w:bookmarkStart w:id="30" w:name="_Toc345675357"/>
      <w:bookmarkStart w:id="31" w:name="_Toc353617279"/>
      <w:bookmarkStart w:id="32" w:name="_Toc354150638"/>
      <w:bookmarkStart w:id="33" w:name="_Toc363632581"/>
      <w:r>
        <w:br w:type="page"/>
      </w:r>
      <w:bookmarkStart w:id="34" w:name="_Toc364332205"/>
      <w:bookmarkStart w:id="35" w:name="_Toc364430702"/>
      <w:r w:rsidR="00FE55AB">
        <w:t>III.</w:t>
      </w:r>
      <w:r w:rsidR="00FE55AB">
        <w:tab/>
        <w:t>ARGUMENT</w:t>
      </w:r>
      <w:bookmarkEnd w:id="25"/>
      <w:bookmarkEnd w:id="26"/>
      <w:bookmarkEnd w:id="27"/>
      <w:bookmarkEnd w:id="28"/>
      <w:bookmarkEnd w:id="29"/>
      <w:bookmarkEnd w:id="30"/>
      <w:bookmarkEnd w:id="31"/>
      <w:bookmarkEnd w:id="32"/>
      <w:bookmarkEnd w:id="33"/>
      <w:bookmarkEnd w:id="34"/>
      <w:bookmarkEnd w:id="35"/>
    </w:p>
    <w:p w:rsidR="004A4FD9" w:rsidRDefault="004A4FD9" w:rsidP="004A4FD9">
      <w:pPr>
        <w:pStyle w:val="Heading2"/>
        <w:rPr>
          <w:rFonts w:ascii="Calibri" w:hAnsi="Calibri"/>
          <w:caps/>
          <w:noProof/>
          <w:sz w:val="22"/>
          <w:szCs w:val="22"/>
        </w:rPr>
      </w:pPr>
      <w:bookmarkStart w:id="36" w:name="_Toc364430703"/>
      <w:r>
        <w:t>A.</w:t>
      </w:r>
      <w:r>
        <w:tab/>
      </w:r>
      <w:r w:rsidRPr="004A4FD9">
        <w:t xml:space="preserve">The PUCO </w:t>
      </w:r>
      <w:r w:rsidR="006D2827" w:rsidRPr="004A4FD9">
        <w:t>Erred By Deciding To Authorize A Pilot Program Allowing First</w:t>
      </w:r>
      <w:r w:rsidR="00182EB7">
        <w:t>E</w:t>
      </w:r>
      <w:r w:rsidR="006D2827" w:rsidRPr="004A4FD9">
        <w:t xml:space="preserve">nergy To Keep Approximately $1.6 Million In Payments From </w:t>
      </w:r>
      <w:r w:rsidRPr="004A4FD9">
        <w:t xml:space="preserve">PJM </w:t>
      </w:r>
      <w:r w:rsidR="006D2827" w:rsidRPr="004A4FD9">
        <w:t xml:space="preserve">For Energy Efficiency That Should Instead Be Used To Reduce </w:t>
      </w:r>
      <w:r w:rsidRPr="004A4FD9">
        <w:t xml:space="preserve">Rider DSE </w:t>
      </w:r>
      <w:r w:rsidR="006D2827" w:rsidRPr="004A4FD9">
        <w:t xml:space="preserve">For Customers, When No Application For Rehearing Was Filed Seeking That Decision.  </w:t>
      </w:r>
      <w:r w:rsidRPr="004A4FD9">
        <w:t>Under R</w:t>
      </w:r>
      <w:r w:rsidR="006D2827" w:rsidRPr="004A4FD9">
        <w:t>.</w:t>
      </w:r>
      <w:r w:rsidRPr="004A4FD9">
        <w:t>C</w:t>
      </w:r>
      <w:r w:rsidR="006D2827" w:rsidRPr="004A4FD9">
        <w:t xml:space="preserve">. 4903.10, The </w:t>
      </w:r>
      <w:r w:rsidRPr="004A4FD9">
        <w:t xml:space="preserve">PUCO </w:t>
      </w:r>
      <w:r w:rsidR="006D2827" w:rsidRPr="004A4FD9">
        <w:t xml:space="preserve">Lacks The Legal Authority And Jurisdiction To Render A Decision On An Issue Not Presented To The </w:t>
      </w:r>
      <w:r w:rsidRPr="004A4FD9">
        <w:t xml:space="preserve">PUCO </w:t>
      </w:r>
      <w:r w:rsidR="006D2827" w:rsidRPr="004A4FD9">
        <w:t>In An Application For Rehearing.</w:t>
      </w:r>
      <w:bookmarkEnd w:id="36"/>
    </w:p>
    <w:p w:rsidR="008B76D9" w:rsidRDefault="008B76D9" w:rsidP="004A4FD9">
      <w:pPr>
        <w:autoSpaceDE w:val="0"/>
        <w:autoSpaceDN w:val="0"/>
        <w:adjustRightInd w:val="0"/>
        <w:spacing w:line="480" w:lineRule="auto"/>
        <w:ind w:firstLine="720"/>
      </w:pPr>
      <w:r>
        <w:t xml:space="preserve">On April 19, 2013, </w:t>
      </w:r>
      <w:r w:rsidR="00734102">
        <w:t>ELPC and OEC,</w:t>
      </w:r>
      <w:r w:rsidR="00541931" w:rsidRPr="00541931">
        <w:rPr>
          <w:rStyle w:val="FootnoteReference"/>
        </w:rPr>
        <w:t xml:space="preserve"> </w:t>
      </w:r>
      <w:r w:rsidR="00541931">
        <w:rPr>
          <w:rStyle w:val="FootnoteReference"/>
        </w:rPr>
        <w:footnoteReference w:id="15"/>
      </w:r>
      <w:r w:rsidR="00734102">
        <w:t xml:space="preserve"> FirstEnergy, </w:t>
      </w:r>
      <w:r w:rsidR="00541931">
        <w:t>IEU</w:t>
      </w:r>
      <w:r w:rsidR="008A6186">
        <w:t>,</w:t>
      </w:r>
      <w:r w:rsidR="00541931">
        <w:rPr>
          <w:rStyle w:val="FootnoteReference"/>
        </w:rPr>
        <w:footnoteReference w:id="16"/>
      </w:r>
      <w:r w:rsidR="00541931">
        <w:t xml:space="preserve"> </w:t>
      </w:r>
      <w:r>
        <w:t>Nucor</w:t>
      </w:r>
      <w:r w:rsidR="008A6186">
        <w:t>,</w:t>
      </w:r>
      <w:r w:rsidR="00773142">
        <w:rPr>
          <w:rStyle w:val="FootnoteReference"/>
        </w:rPr>
        <w:footnoteReference w:id="17"/>
      </w:r>
      <w:r w:rsidR="00541931">
        <w:t xml:space="preserve"> </w:t>
      </w:r>
      <w:r w:rsidR="0089632F">
        <w:t xml:space="preserve">and </w:t>
      </w:r>
      <w:r w:rsidR="00541931">
        <w:t>OCC</w:t>
      </w:r>
      <w:r w:rsidR="008A6186">
        <w:t xml:space="preserve"> </w:t>
      </w:r>
      <w:r>
        <w:t xml:space="preserve">filed applications for rehearing.  </w:t>
      </w:r>
      <w:r w:rsidR="00922D9D">
        <w:t>With respect to bidding</w:t>
      </w:r>
      <w:r w:rsidR="007302D4">
        <w:t xml:space="preserve"> </w:t>
      </w:r>
      <w:r w:rsidR="00541931">
        <w:t>megawatts</w:t>
      </w:r>
      <w:r w:rsidR="008A6186">
        <w:t xml:space="preserve"> </w:t>
      </w:r>
      <w:r w:rsidR="007302D4">
        <w:t xml:space="preserve">into the PJM </w:t>
      </w:r>
      <w:r w:rsidR="00541931">
        <w:t>B</w:t>
      </w:r>
      <w:r w:rsidR="000A1590">
        <w:t xml:space="preserve">ase Residual Auction </w:t>
      </w:r>
      <w:r w:rsidR="00E26A94">
        <w:t>(</w:t>
      </w:r>
      <w:r w:rsidR="00182EB7">
        <w:t>“</w:t>
      </w:r>
      <w:r w:rsidR="00FB10B1">
        <w:t>A</w:t>
      </w:r>
      <w:r w:rsidR="00F850BA">
        <w:t>uction</w:t>
      </w:r>
      <w:r w:rsidR="00182EB7">
        <w:t>”</w:t>
      </w:r>
      <w:r w:rsidR="00FB10B1">
        <w:t xml:space="preserve"> or </w:t>
      </w:r>
      <w:r w:rsidR="00182EB7">
        <w:t>“</w:t>
      </w:r>
      <w:r w:rsidR="00FB10B1">
        <w:t>PJM Auction</w:t>
      </w:r>
      <w:r w:rsidR="00182EB7">
        <w:t>”</w:t>
      </w:r>
      <w:r w:rsidR="000A1590">
        <w:t>)</w:t>
      </w:r>
      <w:r w:rsidR="00922D9D">
        <w:t xml:space="preserve">, </w:t>
      </w:r>
      <w:r>
        <w:t xml:space="preserve">FirstEnergy alleged </w:t>
      </w:r>
      <w:r w:rsidR="00F15E45">
        <w:t>that the PUCO</w:t>
      </w:r>
      <w:r w:rsidR="00182EB7">
        <w:t>’</w:t>
      </w:r>
      <w:r w:rsidR="00F15E45">
        <w:t xml:space="preserve">s mandate that the Utilities bid planned energy efficiency resources into the 2016/2-17 PJM auction was unjust and unreasonable, especially in light of Senate Bill 58.  FirstEnergy also argued that the PUCO does not have statutory authority to require the Utilities to bid into the PJM </w:t>
      </w:r>
      <w:r w:rsidR="00FB10B1">
        <w:t>A</w:t>
      </w:r>
      <w:r w:rsidR="00F15E45">
        <w:t>uction.</w:t>
      </w:r>
      <w:r w:rsidR="00F15E45" w:rsidRPr="00F15E45">
        <w:rPr>
          <w:rStyle w:val="FootnoteReference"/>
        </w:rPr>
        <w:t xml:space="preserve"> </w:t>
      </w:r>
      <w:r w:rsidR="00F15E45">
        <w:rPr>
          <w:rStyle w:val="FootnoteReference"/>
        </w:rPr>
        <w:footnoteReference w:id="18"/>
      </w:r>
    </w:p>
    <w:p w:rsidR="00C20412" w:rsidRDefault="008B76D9" w:rsidP="00C20412">
      <w:pPr>
        <w:pStyle w:val="BodyText"/>
        <w:spacing w:after="0" w:line="480" w:lineRule="auto"/>
        <w:ind w:firstLine="720"/>
        <w:contextualSpacing/>
        <w:rPr>
          <w:lang w:val="en-US"/>
        </w:rPr>
      </w:pPr>
      <w:r>
        <w:rPr>
          <w:lang w:val="en-US"/>
        </w:rPr>
        <w:t xml:space="preserve">OCC argued on rehearing that the PUCO erred in only requiring FirstEnergy to bid in 75 percent of its planned energy efficiency resources into the May 2013 </w:t>
      </w:r>
      <w:r w:rsidR="00F850BA">
        <w:rPr>
          <w:lang w:val="en-US"/>
        </w:rPr>
        <w:t>PJM</w:t>
      </w:r>
      <w:r>
        <w:rPr>
          <w:lang w:val="en-US"/>
        </w:rPr>
        <w:t xml:space="preserve"> </w:t>
      </w:r>
      <w:r w:rsidR="00FB10B1">
        <w:rPr>
          <w:lang w:val="en-US"/>
        </w:rPr>
        <w:t>A</w:t>
      </w:r>
      <w:r>
        <w:rPr>
          <w:lang w:val="en-US"/>
        </w:rPr>
        <w:t xml:space="preserve">uction.  OCC </w:t>
      </w:r>
      <w:r w:rsidR="003B693A">
        <w:rPr>
          <w:lang w:val="en-US"/>
        </w:rPr>
        <w:t xml:space="preserve">explained </w:t>
      </w:r>
      <w:r>
        <w:rPr>
          <w:lang w:val="en-US"/>
        </w:rPr>
        <w:t>that the PUCO</w:t>
      </w:r>
      <w:r w:rsidR="00182EB7">
        <w:rPr>
          <w:lang w:val="en-US"/>
        </w:rPr>
        <w:t>’</w:t>
      </w:r>
      <w:r>
        <w:rPr>
          <w:lang w:val="en-US"/>
        </w:rPr>
        <w:t>s decision did not maximize the benefits for customers.</w:t>
      </w:r>
      <w:r>
        <w:rPr>
          <w:rStyle w:val="FootnoteReference"/>
          <w:lang w:val="en-US"/>
        </w:rPr>
        <w:footnoteReference w:id="19"/>
      </w:r>
      <w:r>
        <w:rPr>
          <w:lang w:val="en-US"/>
        </w:rPr>
        <w:t xml:space="preserve">  </w:t>
      </w:r>
      <w:r w:rsidR="001A3404">
        <w:rPr>
          <w:lang w:val="en-US"/>
        </w:rPr>
        <w:t>In response to OCC</w:t>
      </w:r>
      <w:r w:rsidR="00182EB7">
        <w:rPr>
          <w:lang w:val="en-US"/>
        </w:rPr>
        <w:t>’</w:t>
      </w:r>
      <w:r w:rsidR="001A3404">
        <w:rPr>
          <w:lang w:val="en-US"/>
        </w:rPr>
        <w:t>s argument, t</w:t>
      </w:r>
      <w:r w:rsidR="00230138">
        <w:rPr>
          <w:lang w:val="en-US"/>
        </w:rPr>
        <w:t xml:space="preserve">he PUCO held: </w:t>
      </w:r>
    </w:p>
    <w:p w:rsidR="00230138" w:rsidRDefault="00230138" w:rsidP="006241C3">
      <w:pPr>
        <w:autoSpaceDE w:val="0"/>
        <w:autoSpaceDN w:val="0"/>
        <w:adjustRightInd w:val="0"/>
        <w:ind w:left="1440" w:right="720"/>
      </w:pPr>
      <w:r>
        <w:t xml:space="preserve">[T]he Commission thoroughly considered these arguments in the Opinion and Order where the Commission </w:t>
      </w:r>
      <w:r w:rsidRPr="00B64E66">
        <w:rPr>
          <w:b/>
        </w:rPr>
        <w:t>established a reasonable balance to mitigate risks to both the Companies and ratepayers while lowering the net costs of the energy efficiency and peak demand reduction programs</w:t>
      </w:r>
      <w:r>
        <w:t xml:space="preserve">. </w:t>
      </w:r>
      <w:r>
        <w:rPr>
          <w:rStyle w:val="FootnoteReference"/>
        </w:rPr>
        <w:footnoteReference w:id="20"/>
      </w:r>
    </w:p>
    <w:p w:rsidR="00230138" w:rsidRDefault="00230138" w:rsidP="00230138">
      <w:pPr>
        <w:autoSpaceDE w:val="0"/>
        <w:autoSpaceDN w:val="0"/>
        <w:adjustRightInd w:val="0"/>
      </w:pPr>
    </w:p>
    <w:p w:rsidR="008B76D9" w:rsidRPr="00C20412" w:rsidRDefault="00754E29" w:rsidP="00B64E66">
      <w:pPr>
        <w:pStyle w:val="BodyText"/>
        <w:spacing w:line="480" w:lineRule="auto"/>
        <w:ind w:firstLine="720"/>
        <w:contextualSpacing/>
        <w:rPr>
          <w:lang w:val="en-US"/>
        </w:rPr>
      </w:pPr>
      <w:r>
        <w:rPr>
          <w:lang w:val="en-US"/>
        </w:rPr>
        <w:t>But</w:t>
      </w:r>
      <w:r w:rsidR="00D430C6">
        <w:rPr>
          <w:lang w:val="en-US"/>
        </w:rPr>
        <w:t xml:space="preserve"> </w:t>
      </w:r>
      <w:r>
        <w:rPr>
          <w:lang w:val="en-US"/>
        </w:rPr>
        <w:t>i</w:t>
      </w:r>
      <w:r w:rsidR="008B76D9">
        <w:rPr>
          <w:lang w:val="en-US"/>
        </w:rPr>
        <w:t xml:space="preserve">n its July 17 Entry, the PUCO determined that </w:t>
      </w:r>
      <w:r w:rsidR="008A6186">
        <w:rPr>
          <w:lang w:val="en-US"/>
        </w:rPr>
        <w:t xml:space="preserve">FirstEnergy </w:t>
      </w:r>
      <w:r w:rsidR="00E04445">
        <w:rPr>
          <w:lang w:val="en-US"/>
        </w:rPr>
        <w:t>may</w:t>
      </w:r>
      <w:r w:rsidR="008A6186" w:rsidRPr="008A6186">
        <w:rPr>
          <w:lang w:val="en-US"/>
        </w:rPr>
        <w:t xml:space="preserve"> implement a pilot program</w:t>
      </w:r>
      <w:r w:rsidR="008A6186">
        <w:rPr>
          <w:lang w:val="en-US"/>
        </w:rPr>
        <w:t xml:space="preserve"> </w:t>
      </w:r>
      <w:r w:rsidR="008A6186" w:rsidRPr="008A6186">
        <w:rPr>
          <w:lang w:val="en-US"/>
        </w:rPr>
        <w:t xml:space="preserve">through which the </w:t>
      </w:r>
      <w:r w:rsidR="008A6186">
        <w:rPr>
          <w:lang w:val="en-US"/>
        </w:rPr>
        <w:t>Utilities</w:t>
      </w:r>
      <w:r w:rsidR="008A6186" w:rsidRPr="008A6186">
        <w:rPr>
          <w:lang w:val="en-US"/>
        </w:rPr>
        <w:t xml:space="preserve"> may share in any revenue</w:t>
      </w:r>
      <w:r w:rsidR="008A6186">
        <w:rPr>
          <w:lang w:val="en-US"/>
        </w:rPr>
        <w:t xml:space="preserve"> </w:t>
      </w:r>
      <w:r w:rsidR="008A6186" w:rsidRPr="008A6186">
        <w:rPr>
          <w:lang w:val="en-US"/>
        </w:rPr>
        <w:t>received in the PJM auctions</w:t>
      </w:r>
      <w:r w:rsidR="008A6186">
        <w:rPr>
          <w:lang w:val="en-US"/>
        </w:rPr>
        <w:t>.</w:t>
      </w:r>
      <w:r w:rsidR="008A6186">
        <w:rPr>
          <w:rStyle w:val="FootnoteReference"/>
          <w:lang w:val="en-US"/>
        </w:rPr>
        <w:footnoteReference w:id="21"/>
      </w:r>
      <w:r w:rsidR="008A6186">
        <w:rPr>
          <w:lang w:val="en-US"/>
        </w:rPr>
        <w:t xml:space="preserve">  The PUCO found that </w:t>
      </w:r>
      <w:r w:rsidR="008B76D9">
        <w:rPr>
          <w:lang w:val="en-US"/>
        </w:rPr>
        <w:t xml:space="preserve">an </w:t>
      </w:r>
      <w:r w:rsidR="00182EB7">
        <w:rPr>
          <w:lang w:val="en-US"/>
        </w:rPr>
        <w:t>“</w:t>
      </w:r>
      <w:r w:rsidR="008B76D9">
        <w:t>80/20 percent share</w:t>
      </w:r>
      <w:r w:rsidR="008B76D9">
        <w:rPr>
          <w:lang w:val="en-US"/>
        </w:rPr>
        <w:t xml:space="preserve"> </w:t>
      </w:r>
      <w:r w:rsidR="008B76D9" w:rsidRPr="00FD6D6A">
        <w:t xml:space="preserve">of revenue between ratepayers </w:t>
      </w:r>
      <w:r w:rsidR="008B76D9">
        <w:t>and a company, respectively, is</w:t>
      </w:r>
      <w:r w:rsidR="008B76D9">
        <w:rPr>
          <w:lang w:val="en-US"/>
        </w:rPr>
        <w:t xml:space="preserve"> </w:t>
      </w:r>
      <w:r w:rsidR="008B76D9" w:rsidRPr="00FD6D6A">
        <w:rPr>
          <w:lang w:val="en-US"/>
        </w:rPr>
        <w:t>appropriate.</w:t>
      </w:r>
      <w:r w:rsidR="00182EB7">
        <w:rPr>
          <w:lang w:val="en-US"/>
        </w:rPr>
        <w:t>”</w:t>
      </w:r>
      <w:r w:rsidR="008B76D9">
        <w:rPr>
          <w:rStyle w:val="FootnoteReference"/>
          <w:lang w:val="en-US"/>
        </w:rPr>
        <w:footnoteReference w:id="22"/>
      </w:r>
      <w:r w:rsidR="008B76D9">
        <w:rPr>
          <w:lang w:val="en-US"/>
        </w:rPr>
        <w:t xml:space="preserve"> </w:t>
      </w:r>
      <w:r w:rsidR="004E73AF">
        <w:rPr>
          <w:lang w:val="en-US"/>
        </w:rPr>
        <w:t xml:space="preserve"> </w:t>
      </w:r>
      <w:r w:rsidR="008B76D9">
        <w:rPr>
          <w:lang w:val="en-US"/>
        </w:rPr>
        <w:t>Specifically, the PUCO</w:t>
      </w:r>
      <w:r w:rsidR="008A6186">
        <w:rPr>
          <w:lang w:val="en-US"/>
        </w:rPr>
        <w:t xml:space="preserve"> </w:t>
      </w:r>
      <w:r w:rsidR="008B76D9">
        <w:rPr>
          <w:lang w:val="en-US"/>
        </w:rPr>
        <w:t xml:space="preserve">stated that it granted rehearing </w:t>
      </w:r>
      <w:r w:rsidR="00182EB7">
        <w:rPr>
          <w:lang w:val="en-US"/>
        </w:rPr>
        <w:t>“</w:t>
      </w:r>
      <w:r w:rsidR="008B76D9">
        <w:rPr>
          <w:lang w:val="en-US"/>
        </w:rPr>
        <w:t>to better align the interests of the electric distribution utility and the interests of its customers in support of the implementation of energy efficiency and peak demand reduction programs.</w:t>
      </w:r>
      <w:r w:rsidR="00182EB7">
        <w:rPr>
          <w:lang w:val="en-US"/>
        </w:rPr>
        <w:t>”</w:t>
      </w:r>
      <w:r w:rsidR="008A6186">
        <w:rPr>
          <w:rStyle w:val="FootnoteReference"/>
          <w:lang w:val="en-US"/>
        </w:rPr>
        <w:footnoteReference w:id="23"/>
      </w:r>
      <w:r>
        <w:rPr>
          <w:lang w:val="en-US"/>
        </w:rPr>
        <w:t xml:space="preserve">  The PUCO made th</w:t>
      </w:r>
      <w:r w:rsidR="008A6186">
        <w:rPr>
          <w:lang w:val="en-US"/>
        </w:rPr>
        <w:t>ese</w:t>
      </w:r>
      <w:r>
        <w:rPr>
          <w:lang w:val="en-US"/>
        </w:rPr>
        <w:t xml:space="preserve"> finding</w:t>
      </w:r>
      <w:r w:rsidR="008A6186">
        <w:rPr>
          <w:lang w:val="en-US"/>
        </w:rPr>
        <w:t>s</w:t>
      </w:r>
      <w:r>
        <w:rPr>
          <w:lang w:val="en-US"/>
        </w:rPr>
        <w:t xml:space="preserve"> despite the fact that no party argued on rehearing </w:t>
      </w:r>
      <w:r w:rsidR="006F4961" w:rsidRPr="004A4FD9">
        <w:rPr>
          <w:lang w:val="en-US"/>
        </w:rPr>
        <w:t xml:space="preserve">asked the Commission to alter the alignment interests </w:t>
      </w:r>
      <w:r w:rsidR="0057609C" w:rsidRPr="004A4FD9">
        <w:rPr>
          <w:lang w:val="en-US"/>
        </w:rPr>
        <w:t>or sought implementation</w:t>
      </w:r>
      <w:r w:rsidR="00922D9D">
        <w:rPr>
          <w:lang w:val="en-US"/>
        </w:rPr>
        <w:t xml:space="preserve"> of</w:t>
      </w:r>
      <w:r>
        <w:rPr>
          <w:lang w:val="en-US"/>
        </w:rPr>
        <w:t xml:space="preserve"> a </w:t>
      </w:r>
      <w:r w:rsidR="001A3404">
        <w:rPr>
          <w:lang w:val="en-US"/>
        </w:rPr>
        <w:t>pilot program</w:t>
      </w:r>
      <w:r w:rsidR="00EF0DA8">
        <w:rPr>
          <w:lang w:val="en-US"/>
        </w:rPr>
        <w:t xml:space="preserve"> </w:t>
      </w:r>
      <w:r>
        <w:rPr>
          <w:lang w:val="en-US"/>
        </w:rPr>
        <w:t xml:space="preserve">whereby customers and the Utilities share in the revenues generated from bidding energy efficiency resources into the PJM </w:t>
      </w:r>
      <w:r w:rsidR="00FB10B1">
        <w:rPr>
          <w:lang w:val="en-US"/>
        </w:rPr>
        <w:t>A</w:t>
      </w:r>
      <w:r w:rsidR="00F850BA">
        <w:rPr>
          <w:lang w:val="en-US"/>
        </w:rPr>
        <w:t>uction</w:t>
      </w:r>
      <w:r>
        <w:rPr>
          <w:lang w:val="en-US"/>
        </w:rPr>
        <w:t>.</w:t>
      </w:r>
      <w:r w:rsidR="00922D9D">
        <w:rPr>
          <w:lang w:val="en-US"/>
        </w:rPr>
        <w:t xml:space="preserve"> </w:t>
      </w:r>
      <w:r w:rsidR="008B76D9">
        <w:rPr>
          <w:lang w:val="en-US"/>
        </w:rPr>
        <w:t>Consequently, the PUCO</w:t>
      </w:r>
      <w:r>
        <w:rPr>
          <w:lang w:val="en-US"/>
        </w:rPr>
        <w:t xml:space="preserve"> exceeded its </w:t>
      </w:r>
      <w:r w:rsidR="007E4E05">
        <w:rPr>
          <w:lang w:val="en-US"/>
        </w:rPr>
        <w:t xml:space="preserve">authority and </w:t>
      </w:r>
      <w:r>
        <w:rPr>
          <w:lang w:val="en-US"/>
        </w:rPr>
        <w:t>jurisdiction by granting</w:t>
      </w:r>
      <w:r w:rsidR="008B76D9">
        <w:rPr>
          <w:lang w:val="en-US"/>
        </w:rPr>
        <w:t xml:space="preserve"> rehearing on </w:t>
      </w:r>
      <w:r w:rsidR="007263E3">
        <w:rPr>
          <w:lang w:val="en-US"/>
        </w:rPr>
        <w:t xml:space="preserve">an </w:t>
      </w:r>
      <w:r w:rsidR="008B76D9">
        <w:rPr>
          <w:lang w:val="en-US"/>
        </w:rPr>
        <w:t xml:space="preserve">issue that was not raised on rehearing.  </w:t>
      </w:r>
    </w:p>
    <w:p w:rsidR="009E0E14" w:rsidRDefault="00180ED5" w:rsidP="008B76D9">
      <w:pPr>
        <w:pStyle w:val="BodyText"/>
        <w:spacing w:after="0" w:line="480" w:lineRule="auto"/>
        <w:ind w:firstLine="720"/>
        <w:contextualSpacing/>
        <w:rPr>
          <w:lang w:val="en-US"/>
        </w:rPr>
      </w:pPr>
      <w:r w:rsidRPr="004A4FD9">
        <w:t>The Commission is a creature of statute and lacks authority to deviate from the statutory requirements related to ratemaking.</w:t>
      </w:r>
      <w:r w:rsidRPr="004A4FD9">
        <w:rPr>
          <w:rStyle w:val="FootnoteReference"/>
        </w:rPr>
        <w:footnoteReference w:id="24"/>
      </w:r>
      <w:r>
        <w:t xml:space="preserve">  </w:t>
      </w:r>
      <w:r w:rsidR="005072F0">
        <w:t>As such, t</w:t>
      </w:r>
      <w:r w:rsidR="008B76D9">
        <w:t>he PUCO lacked jurisdiction to establish a revenue sharing pilot program in its July 17, 2013 Entry on Rehearing.</w:t>
      </w:r>
      <w:r w:rsidR="008B76D9">
        <w:rPr>
          <w:rStyle w:val="FootnoteReference"/>
        </w:rPr>
        <w:footnoteReference w:id="25"/>
      </w:r>
      <w:r w:rsidR="008B76D9">
        <w:t xml:space="preserve"> </w:t>
      </w:r>
      <w:r w:rsidR="008B76D9">
        <w:rPr>
          <w:lang w:val="en-US"/>
        </w:rPr>
        <w:t xml:space="preserve"> R.C. 4903.10 governs applications for rehearing filed before the PUCO, and states:  </w:t>
      </w:r>
      <w:r w:rsidR="00182EB7">
        <w:rPr>
          <w:lang w:val="en-US"/>
        </w:rPr>
        <w:t>“</w:t>
      </w:r>
      <w:r w:rsidR="008B76D9">
        <w:rPr>
          <w:lang w:val="en-US"/>
        </w:rPr>
        <w:t>[s]</w:t>
      </w:r>
      <w:r w:rsidR="008B76D9" w:rsidRPr="00410D91">
        <w:rPr>
          <w:lang w:val="en-US"/>
        </w:rPr>
        <w:t xml:space="preserve">uch application shall be in writing and shall </w:t>
      </w:r>
      <w:r w:rsidR="008B76D9" w:rsidRPr="00410D91">
        <w:rPr>
          <w:b/>
          <w:lang w:val="en-US"/>
        </w:rPr>
        <w:t>set forth specifically the ground or grounds</w:t>
      </w:r>
      <w:r w:rsidR="008B76D9" w:rsidRPr="00410D91">
        <w:rPr>
          <w:lang w:val="en-US"/>
        </w:rPr>
        <w:t xml:space="preserve"> on which the applicant considers the order to be unreasonable or unlawful.</w:t>
      </w:r>
      <w:r w:rsidR="00182EB7">
        <w:rPr>
          <w:lang w:val="en-US"/>
        </w:rPr>
        <w:t>”</w:t>
      </w:r>
      <w:r w:rsidR="008B76D9">
        <w:rPr>
          <w:lang w:val="en-US"/>
        </w:rPr>
        <w:t xml:space="preserve">  (Emphasis added).</w:t>
      </w:r>
      <w:r w:rsidR="008B76D9">
        <w:t xml:space="preserve"> </w:t>
      </w:r>
      <w:r w:rsidR="007263E3">
        <w:rPr>
          <w:lang w:val="en-US"/>
        </w:rPr>
        <w:t xml:space="preserve"> </w:t>
      </w:r>
      <w:r w:rsidR="00E26A94">
        <w:rPr>
          <w:lang w:val="en-US"/>
        </w:rPr>
        <w:t>The language of R.C. 4903.10 is plain on its face, and under R.C. 1.42, the plain language of a statute must control.  Thus, the PUCO may only grant rehearing on those matters specified on rehearing.</w:t>
      </w:r>
    </w:p>
    <w:p w:rsidR="0086772D" w:rsidRDefault="008B76D9" w:rsidP="00083B13">
      <w:pPr>
        <w:pStyle w:val="BodyText"/>
        <w:spacing w:after="0" w:line="480" w:lineRule="auto"/>
        <w:ind w:firstLine="720"/>
        <w:contextualSpacing/>
        <w:rPr>
          <w:lang w:val="en-US"/>
        </w:rPr>
      </w:pPr>
      <w:r>
        <w:t>Through</w:t>
      </w:r>
      <w:r>
        <w:rPr>
          <w:lang w:val="en-US"/>
        </w:rPr>
        <w:t xml:space="preserve"> R.C. </w:t>
      </w:r>
      <w:r>
        <w:t xml:space="preserve"> 4903.10, the General Assembly established the procedure and requirements regarding applications for rehearing. </w:t>
      </w:r>
      <w:r w:rsidR="007263E3">
        <w:rPr>
          <w:lang w:val="en-US"/>
        </w:rPr>
        <w:t xml:space="preserve"> </w:t>
      </w:r>
      <w:r>
        <w:t xml:space="preserve">The General Assembly </w:t>
      </w:r>
      <w:r>
        <w:rPr>
          <w:lang w:val="en-US"/>
        </w:rPr>
        <w:t>provided</w:t>
      </w:r>
      <w:r>
        <w:t xml:space="preserve"> the PUCO authority to grant and hold rehearing on specific matters raised in an application for rehearing.</w:t>
      </w:r>
      <w:r>
        <w:rPr>
          <w:rStyle w:val="FootnoteReference"/>
        </w:rPr>
        <w:footnoteReference w:id="26"/>
      </w:r>
      <w:r>
        <w:t xml:space="preserve"> </w:t>
      </w:r>
      <w:r w:rsidR="007263E3">
        <w:rPr>
          <w:lang w:val="en-US"/>
        </w:rPr>
        <w:t xml:space="preserve"> </w:t>
      </w:r>
      <w:r w:rsidRPr="00A05E2B">
        <w:t xml:space="preserve">If the General Assembly intended to confer upon the </w:t>
      </w:r>
      <w:r>
        <w:rPr>
          <w:lang w:val="en-US"/>
        </w:rPr>
        <w:t>PUCO</w:t>
      </w:r>
      <w:r w:rsidRPr="00A05E2B">
        <w:t xml:space="preserve"> broad authority to grant rehearing on </w:t>
      </w:r>
      <w:r w:rsidRPr="00410D91">
        <w:rPr>
          <w:i/>
        </w:rPr>
        <w:t xml:space="preserve">any </w:t>
      </w:r>
      <w:r w:rsidRPr="00A05E2B">
        <w:t>matter</w:t>
      </w:r>
      <w:r>
        <w:rPr>
          <w:lang w:val="en-US"/>
        </w:rPr>
        <w:t xml:space="preserve"> (and not just those raised on rehearing)</w:t>
      </w:r>
      <w:r>
        <w:t xml:space="preserve">, then the legislature </w:t>
      </w:r>
      <w:r>
        <w:rPr>
          <w:lang w:val="en-US"/>
        </w:rPr>
        <w:t>w</w:t>
      </w:r>
      <w:r w:rsidRPr="00A05E2B">
        <w:t>ould</w:t>
      </w:r>
      <w:r>
        <w:rPr>
          <w:lang w:val="en-US"/>
        </w:rPr>
        <w:t xml:space="preserve"> have</w:t>
      </w:r>
      <w:r w:rsidRPr="00A05E2B">
        <w:t xml:space="preserve"> </w:t>
      </w:r>
      <w:r>
        <w:rPr>
          <w:lang w:val="en-US"/>
        </w:rPr>
        <w:t>included language in the</w:t>
      </w:r>
      <w:r w:rsidRPr="00A05E2B">
        <w:t xml:space="preserve"> statute </w:t>
      </w:r>
      <w:r>
        <w:rPr>
          <w:lang w:val="en-US"/>
        </w:rPr>
        <w:t>to that affect</w:t>
      </w:r>
      <w:r w:rsidRPr="00A05E2B">
        <w:t>.</w:t>
      </w:r>
      <w:r w:rsidR="007263E3">
        <w:rPr>
          <w:lang w:val="en-US"/>
        </w:rPr>
        <w:t xml:space="preserve"> </w:t>
      </w:r>
      <w:r w:rsidRPr="00A05E2B">
        <w:t xml:space="preserve"> </w:t>
      </w:r>
      <w:r>
        <w:rPr>
          <w:lang w:val="en-US"/>
        </w:rPr>
        <w:t>But</w:t>
      </w:r>
      <w:r>
        <w:t xml:space="preserve"> the General Assembly only authorized the PUCO to grant rehearing on matters specified in an application.</w:t>
      </w:r>
      <w:r w:rsidR="00754E29">
        <w:rPr>
          <w:lang w:val="en-US"/>
        </w:rPr>
        <w:t xml:space="preserve">  </w:t>
      </w:r>
    </w:p>
    <w:p w:rsidR="00981442" w:rsidRDefault="008B76D9" w:rsidP="00C907FE">
      <w:pPr>
        <w:pStyle w:val="BodyText"/>
        <w:spacing w:after="0" w:line="480" w:lineRule="auto"/>
        <w:ind w:firstLine="720"/>
        <w:contextualSpacing/>
      </w:pPr>
      <w:r>
        <w:t>R.C. 4903.10 emphasizes</w:t>
      </w:r>
      <w:r>
        <w:rPr>
          <w:lang w:val="en-US"/>
        </w:rPr>
        <w:t xml:space="preserve"> the requirement of</w:t>
      </w:r>
      <w:r>
        <w:t xml:space="preserve"> specificity</w:t>
      </w:r>
      <w:r w:rsidR="00C20412">
        <w:rPr>
          <w:lang w:val="en-US"/>
        </w:rPr>
        <w:t xml:space="preserve"> with respect to applications for rehearing</w:t>
      </w:r>
      <w:r>
        <w:t xml:space="preserve">. </w:t>
      </w:r>
      <w:r w:rsidR="00164541">
        <w:rPr>
          <w:lang w:val="en-US"/>
        </w:rPr>
        <w:t xml:space="preserve"> </w:t>
      </w:r>
      <w:r w:rsidR="00922D9D">
        <w:rPr>
          <w:lang w:val="en-US"/>
        </w:rPr>
        <w:t xml:space="preserve">The Supreme Court of Ohio has held that </w:t>
      </w:r>
      <w:r w:rsidR="00922D9D">
        <w:t>general</w:t>
      </w:r>
      <w:r>
        <w:t xml:space="preserve"> phrases are not sufficient to preserve a claim, either in an application for rehearing or on appeal to the Supreme Court from the Commission.</w:t>
      </w:r>
      <w:r>
        <w:rPr>
          <w:rStyle w:val="FootnoteReference"/>
        </w:rPr>
        <w:footnoteReference w:id="27"/>
      </w:r>
      <w:r>
        <w:t xml:space="preserve"> </w:t>
      </w:r>
      <w:r w:rsidR="00291060">
        <w:rPr>
          <w:lang w:val="en-US"/>
        </w:rPr>
        <w:t xml:space="preserve"> </w:t>
      </w:r>
      <w:r>
        <w:t xml:space="preserve">Parties must </w:t>
      </w:r>
      <w:r w:rsidRPr="00181EB3">
        <w:t>specifically</w:t>
      </w:r>
      <w:r>
        <w:t xml:space="preserve"> explain the error, and </w:t>
      </w:r>
    </w:p>
    <w:p w:rsidR="004C60AF" w:rsidRDefault="008B76D9" w:rsidP="00B64E66">
      <w:pPr>
        <w:pStyle w:val="BodyText"/>
        <w:spacing w:after="0" w:line="480" w:lineRule="auto"/>
        <w:contextualSpacing/>
      </w:pPr>
      <w:r>
        <w:t>cannot merely draw conclusions that an order was unjust and unreasonable.</w:t>
      </w:r>
      <w:r>
        <w:rPr>
          <w:rStyle w:val="FootnoteReference"/>
        </w:rPr>
        <w:footnoteReference w:id="28"/>
      </w:r>
      <w:r>
        <w:t xml:space="preserve"> </w:t>
      </w:r>
      <w:r w:rsidR="00291060">
        <w:rPr>
          <w:lang w:val="en-US"/>
        </w:rPr>
        <w:t xml:space="preserve"> </w:t>
      </w:r>
      <w:r>
        <w:t>A</w:t>
      </w:r>
      <w:r w:rsidR="004E1546">
        <w:rPr>
          <w:lang w:val="en-US"/>
        </w:rPr>
        <w:t>n</w:t>
      </w:r>
      <w:r>
        <w:t xml:space="preserve"> application </w:t>
      </w:r>
      <w:r w:rsidR="00C20412">
        <w:t>for rehearing is properly filed</w:t>
      </w:r>
      <w:r>
        <w:t xml:space="preserve"> when it specifically explains the error. </w:t>
      </w:r>
      <w:r w:rsidR="0055180A">
        <w:rPr>
          <w:lang w:val="en-US"/>
        </w:rPr>
        <w:t xml:space="preserve"> </w:t>
      </w:r>
      <w:r w:rsidRPr="00F57F10">
        <w:t>The</w:t>
      </w:r>
      <w:r>
        <w:t xml:space="preserve"> </w:t>
      </w:r>
      <w:r w:rsidR="00C20412">
        <w:rPr>
          <w:lang w:val="en-US"/>
        </w:rPr>
        <w:t xml:space="preserve">Ohio Supreme </w:t>
      </w:r>
      <w:r>
        <w:t>Court has strictly construed the specificity test set forth in RC 4903.10.</w:t>
      </w:r>
      <w:r>
        <w:rPr>
          <w:rStyle w:val="FootnoteReference"/>
        </w:rPr>
        <w:footnoteReference w:id="29"/>
      </w:r>
      <w:r>
        <w:t xml:space="preserve"> </w:t>
      </w:r>
      <w:r w:rsidR="00030191">
        <w:rPr>
          <w:lang w:val="en-US"/>
        </w:rPr>
        <w:t xml:space="preserve"> </w:t>
      </w:r>
      <w:r w:rsidR="00182EB7">
        <w:t>“</w:t>
      </w:r>
      <w:r w:rsidR="00030191">
        <w:rPr>
          <w:lang w:val="en-US"/>
        </w:rPr>
        <w:t>[</w:t>
      </w:r>
      <w:r>
        <w:t>T]</w:t>
      </w:r>
      <w:r w:rsidRPr="00394E8C">
        <w:t>he General Assembly indicated clearly its intention to deny the right to raise a questio</w:t>
      </w:r>
      <w:r w:rsidR="00C20412">
        <w:t>n on appeal where the appellant</w:t>
      </w:r>
      <w:r w:rsidR="00182EB7">
        <w:rPr>
          <w:lang w:val="en-US"/>
        </w:rPr>
        <w:t>’</w:t>
      </w:r>
      <w:r w:rsidRPr="00394E8C">
        <w:t>s application for rehearing used a shotgun instead of a rifle to hit that question</w:t>
      </w:r>
      <w:r>
        <w:t>.</w:t>
      </w:r>
      <w:r w:rsidR="00182EB7">
        <w:t>’”</w:t>
      </w:r>
      <w:r>
        <w:rPr>
          <w:rStyle w:val="FootnoteReference"/>
        </w:rPr>
        <w:footnoteReference w:id="30"/>
      </w:r>
      <w:r>
        <w:t xml:space="preserve"> </w:t>
      </w:r>
      <w:r w:rsidR="0055180A">
        <w:rPr>
          <w:lang w:val="en-US"/>
        </w:rPr>
        <w:t xml:space="preserve"> </w:t>
      </w:r>
    </w:p>
    <w:p w:rsidR="008B76D9" w:rsidRPr="009E1F70" w:rsidRDefault="006F4961" w:rsidP="008B76D9">
      <w:pPr>
        <w:pStyle w:val="BodyText"/>
        <w:spacing w:after="0" w:line="480" w:lineRule="auto"/>
        <w:ind w:firstLine="720"/>
        <w:contextualSpacing/>
        <w:rPr>
          <w:lang w:val="en-US"/>
        </w:rPr>
      </w:pPr>
      <w:r w:rsidRPr="004A4FD9">
        <w:rPr>
          <w:lang w:val="en-US"/>
        </w:rPr>
        <w:t>Under the PUCO</w:t>
      </w:r>
      <w:r w:rsidR="00182EB7">
        <w:rPr>
          <w:lang w:val="en-US"/>
        </w:rPr>
        <w:t>’</w:t>
      </w:r>
      <w:r w:rsidRPr="004A4FD9">
        <w:rPr>
          <w:lang w:val="en-US"/>
        </w:rPr>
        <w:t>s March 20, 2013 Order, in which the Commission admitted that it had</w:t>
      </w:r>
      <w:r w:rsidRPr="004A4FD9">
        <w:t xml:space="preserve"> established a reasonable balance to mitigate risks to both the </w:t>
      </w:r>
      <w:r w:rsidR="00E26A94">
        <w:rPr>
          <w:lang w:val="en-US"/>
        </w:rPr>
        <w:t>Utilities</w:t>
      </w:r>
      <w:r w:rsidRPr="004A4FD9">
        <w:t xml:space="preserve"> and ratepayers while lowering the net costs of the energy efficiency and peak demand reduction programs</w:t>
      </w:r>
      <w:r w:rsidRPr="004A4FD9">
        <w:rPr>
          <w:lang w:val="en-US"/>
        </w:rPr>
        <w:t>, all PJM payments would have been returned to customers.</w:t>
      </w:r>
      <w:r>
        <w:rPr>
          <w:lang w:val="en-US"/>
        </w:rPr>
        <w:t xml:space="preserve">  </w:t>
      </w:r>
      <w:r w:rsidR="009E1F70">
        <w:rPr>
          <w:lang w:val="en-US"/>
        </w:rPr>
        <w:t>Given the requirements</w:t>
      </w:r>
      <w:r>
        <w:rPr>
          <w:lang w:val="en-US"/>
        </w:rPr>
        <w:t xml:space="preserve"> of R.C. 4903.10</w:t>
      </w:r>
      <w:r w:rsidR="009E1F70">
        <w:rPr>
          <w:lang w:val="en-US"/>
        </w:rPr>
        <w:t xml:space="preserve">, the issue as to the appropriateness of a revenue </w:t>
      </w:r>
      <w:r w:rsidR="001A3404">
        <w:rPr>
          <w:lang w:val="en-US"/>
        </w:rPr>
        <w:t xml:space="preserve">sharing pilot program </w:t>
      </w:r>
      <w:r w:rsidR="009E1F70">
        <w:rPr>
          <w:lang w:val="en-US"/>
        </w:rPr>
        <w:t xml:space="preserve">would </w:t>
      </w:r>
      <w:r w:rsidR="00B24843">
        <w:rPr>
          <w:lang w:val="en-US"/>
        </w:rPr>
        <w:t xml:space="preserve">need </w:t>
      </w:r>
      <w:r w:rsidR="009E1F70">
        <w:rPr>
          <w:lang w:val="en-US"/>
        </w:rPr>
        <w:t xml:space="preserve">to </w:t>
      </w:r>
      <w:r w:rsidR="00B24843">
        <w:rPr>
          <w:lang w:val="en-US"/>
        </w:rPr>
        <w:t xml:space="preserve">have </w:t>
      </w:r>
      <w:r w:rsidR="009E1F70">
        <w:rPr>
          <w:lang w:val="en-US"/>
        </w:rPr>
        <w:t xml:space="preserve">been specifically raised </w:t>
      </w:r>
      <w:r w:rsidR="0086772D">
        <w:rPr>
          <w:lang w:val="en-US"/>
        </w:rPr>
        <w:t xml:space="preserve">in an application for </w:t>
      </w:r>
      <w:r w:rsidR="009E1F70">
        <w:rPr>
          <w:lang w:val="en-US"/>
        </w:rPr>
        <w:t xml:space="preserve">rehearing in order for the issue to be properly before the PUCO.  </w:t>
      </w:r>
      <w:r>
        <w:rPr>
          <w:lang w:val="en-US"/>
        </w:rPr>
        <w:t xml:space="preserve"> </w:t>
      </w:r>
      <w:r w:rsidR="00A7246F">
        <w:rPr>
          <w:lang w:val="en-US"/>
        </w:rPr>
        <w:t>The issue</w:t>
      </w:r>
      <w:r w:rsidR="0086772D">
        <w:rPr>
          <w:lang w:val="en-US"/>
        </w:rPr>
        <w:t xml:space="preserve"> was not</w:t>
      </w:r>
      <w:r w:rsidR="00B24843">
        <w:rPr>
          <w:lang w:val="en-US"/>
        </w:rPr>
        <w:t xml:space="preserve"> raised in an application for rehearing.  </w:t>
      </w:r>
      <w:r w:rsidR="00A7246F">
        <w:rPr>
          <w:lang w:val="en-US"/>
        </w:rPr>
        <w:t>The issue therefore should</w:t>
      </w:r>
      <w:r w:rsidR="00A7626B">
        <w:rPr>
          <w:lang w:val="en-US"/>
        </w:rPr>
        <w:t xml:space="preserve"> not have been addressed in the July 17 Entry.</w:t>
      </w:r>
    </w:p>
    <w:p w:rsidR="008B76D9" w:rsidRDefault="009E1F70" w:rsidP="008B76D9">
      <w:pPr>
        <w:pStyle w:val="BodyText"/>
        <w:spacing w:after="0" w:line="480" w:lineRule="auto"/>
        <w:ind w:firstLine="720"/>
        <w:contextualSpacing/>
      </w:pPr>
      <w:r>
        <w:t>Whi</w:t>
      </w:r>
      <w:r>
        <w:rPr>
          <w:lang w:val="en-US"/>
        </w:rPr>
        <w:t>le the</w:t>
      </w:r>
      <w:r w:rsidR="008B76D9">
        <w:t xml:space="preserve"> </w:t>
      </w:r>
      <w:r w:rsidR="008B76D9">
        <w:rPr>
          <w:lang w:val="en-US"/>
        </w:rPr>
        <w:t>PUCO</w:t>
      </w:r>
      <w:r w:rsidR="008B76D9">
        <w:t xml:space="preserve"> may modify an or</w:t>
      </w:r>
      <w:r>
        <w:t>der after justifying the change</w:t>
      </w:r>
      <w:r>
        <w:rPr>
          <w:lang w:val="en-US"/>
        </w:rPr>
        <w:t>,</w:t>
      </w:r>
      <w:r w:rsidR="008B76D9">
        <w:rPr>
          <w:rStyle w:val="FootnoteReference"/>
        </w:rPr>
        <w:footnoteReference w:id="31"/>
      </w:r>
      <w:r w:rsidR="008B76D9">
        <w:t xml:space="preserve"> the </w:t>
      </w:r>
      <w:r w:rsidR="006A62FF">
        <w:rPr>
          <w:lang w:val="en-US"/>
        </w:rPr>
        <w:t xml:space="preserve">Ohio Supreme </w:t>
      </w:r>
      <w:r w:rsidR="008B76D9">
        <w:t xml:space="preserve">Court has </w:t>
      </w:r>
      <w:r w:rsidR="006A62FF">
        <w:rPr>
          <w:lang w:val="en-US"/>
        </w:rPr>
        <w:t>held</w:t>
      </w:r>
      <w:r w:rsidR="008B76D9">
        <w:t xml:space="preserve"> that the PUCO may only modify an order after </w:t>
      </w:r>
      <w:r w:rsidR="008B76D9" w:rsidRPr="006A62FF">
        <w:rPr>
          <w:i/>
        </w:rPr>
        <w:t>granting</w:t>
      </w:r>
      <w:r w:rsidR="008B76D9">
        <w:t xml:space="preserve"> an application for rehearing.</w:t>
      </w:r>
      <w:r w:rsidR="008B76D9">
        <w:rPr>
          <w:rStyle w:val="FootnoteReference"/>
        </w:rPr>
        <w:footnoteReference w:id="32"/>
      </w:r>
      <w:r w:rsidR="008B76D9">
        <w:t xml:space="preserve"> </w:t>
      </w:r>
      <w:r w:rsidR="0055180A">
        <w:rPr>
          <w:lang w:val="en-US"/>
        </w:rPr>
        <w:t xml:space="preserve"> </w:t>
      </w:r>
      <w:r w:rsidR="008B76D9">
        <w:t xml:space="preserve">Moreover, the </w:t>
      </w:r>
      <w:r w:rsidR="00C20412">
        <w:rPr>
          <w:lang w:val="en-US"/>
        </w:rPr>
        <w:t>PUCO</w:t>
      </w:r>
      <w:r w:rsidR="008B76D9">
        <w:t xml:space="preserve"> must grant rehearing on a matter specified in the application for rehearing.</w:t>
      </w:r>
      <w:r w:rsidR="008B76D9">
        <w:rPr>
          <w:rStyle w:val="FootnoteReference"/>
        </w:rPr>
        <w:footnoteReference w:id="33"/>
      </w:r>
      <w:r w:rsidR="00C20412">
        <w:t xml:space="preserve"> </w:t>
      </w:r>
      <w:r w:rsidR="0055180A">
        <w:rPr>
          <w:lang w:val="en-US"/>
        </w:rPr>
        <w:t xml:space="preserve"> </w:t>
      </w:r>
      <w:r w:rsidR="00C20412">
        <w:t>A</w:t>
      </w:r>
      <w:r w:rsidR="00C20412">
        <w:rPr>
          <w:lang w:val="en-US"/>
        </w:rPr>
        <w:t>n</w:t>
      </w:r>
      <w:r w:rsidR="008B76D9">
        <w:t xml:space="preserve"> interpretation of the statute that allows the</w:t>
      </w:r>
      <w:r w:rsidR="00C20412">
        <w:rPr>
          <w:lang w:val="en-US"/>
        </w:rPr>
        <w:t xml:space="preserve"> PUCO</w:t>
      </w:r>
      <w:r w:rsidR="008B76D9">
        <w:t xml:space="preserve"> to </w:t>
      </w:r>
      <w:r w:rsidR="00754E29">
        <w:rPr>
          <w:lang w:val="en-US"/>
        </w:rPr>
        <w:t xml:space="preserve">address on rehearing matters that were not raised in an application for rehearing </w:t>
      </w:r>
      <w:r>
        <w:rPr>
          <w:lang w:val="en-US"/>
        </w:rPr>
        <w:t>negates</w:t>
      </w:r>
      <w:r w:rsidR="008B76D9">
        <w:t xml:space="preserve"> the specificity requirement </w:t>
      </w:r>
      <w:r w:rsidR="00754E29">
        <w:rPr>
          <w:lang w:val="en-US"/>
        </w:rPr>
        <w:t>of R.C. 4903.10</w:t>
      </w:r>
      <w:r w:rsidR="008B76D9">
        <w:t>.</w:t>
      </w:r>
    </w:p>
    <w:p w:rsidR="008B76D9" w:rsidRDefault="00EF0DA8" w:rsidP="008B76D9">
      <w:pPr>
        <w:pStyle w:val="BodyText"/>
        <w:spacing w:after="0" w:line="480" w:lineRule="auto"/>
        <w:ind w:firstLine="720"/>
        <w:contextualSpacing/>
        <w:rPr>
          <w:lang w:val="en-US"/>
        </w:rPr>
      </w:pPr>
      <w:r>
        <w:rPr>
          <w:lang w:val="en-US"/>
        </w:rPr>
        <w:t xml:space="preserve">Essentially, </w:t>
      </w:r>
      <w:r w:rsidR="00BF6DC8">
        <w:rPr>
          <w:lang w:val="en-US"/>
        </w:rPr>
        <w:t>t</w:t>
      </w:r>
      <w:r w:rsidR="00BF6DC8" w:rsidRPr="00A34E6D">
        <w:t>h</w:t>
      </w:r>
      <w:r w:rsidR="00291060">
        <w:rPr>
          <w:lang w:val="en-US"/>
        </w:rPr>
        <w:t>rough the July 17 Entry, the</w:t>
      </w:r>
      <w:r w:rsidR="008B76D9" w:rsidRPr="00A34E6D">
        <w:t xml:space="preserve"> </w:t>
      </w:r>
      <w:r>
        <w:rPr>
          <w:lang w:val="en-US"/>
        </w:rPr>
        <w:t>PUCO</w:t>
      </w:r>
      <w:r>
        <w:t xml:space="preserve"> modifie</w:t>
      </w:r>
      <w:r>
        <w:rPr>
          <w:lang w:val="en-US"/>
        </w:rPr>
        <w:t>d</w:t>
      </w:r>
      <w:r w:rsidR="008B76D9" w:rsidRPr="00A34E6D">
        <w:t xml:space="preserve"> its original order to include the sharing pilot program. </w:t>
      </w:r>
      <w:r w:rsidR="00291060">
        <w:rPr>
          <w:lang w:val="en-US"/>
        </w:rPr>
        <w:t xml:space="preserve"> </w:t>
      </w:r>
      <w:r w:rsidR="008B76D9" w:rsidRPr="00A34E6D">
        <w:t xml:space="preserve">The </w:t>
      </w:r>
      <w:r>
        <w:rPr>
          <w:lang w:val="en-US"/>
        </w:rPr>
        <w:t>PUCO</w:t>
      </w:r>
      <w:r w:rsidR="008B76D9" w:rsidRPr="00A34E6D">
        <w:t xml:space="preserve"> justifies the change by claiming it </w:t>
      </w:r>
      <w:r w:rsidR="00182EB7">
        <w:t>“</w:t>
      </w:r>
      <w:r w:rsidR="008B76D9" w:rsidRPr="00A34E6D">
        <w:t>better align[s] the interests of the electric distribution utility and the interests of its customers.</w:t>
      </w:r>
      <w:r w:rsidR="00182EB7">
        <w:t>”</w:t>
      </w:r>
      <w:r w:rsidR="008B76D9" w:rsidRPr="00A34E6D">
        <w:t xml:space="preserve"> </w:t>
      </w:r>
      <w:r w:rsidR="0055180A">
        <w:rPr>
          <w:lang w:val="en-US"/>
        </w:rPr>
        <w:t xml:space="preserve"> </w:t>
      </w:r>
      <w:r w:rsidR="00C907FE">
        <w:rPr>
          <w:lang w:val="en-US"/>
        </w:rPr>
        <w:t>But</w:t>
      </w:r>
      <w:r w:rsidR="008B76D9" w:rsidRPr="00A34E6D">
        <w:t xml:space="preserve"> no party raised the matter of sharing revenues generated from bidding resources into the PJM </w:t>
      </w:r>
      <w:r w:rsidR="006F4961">
        <w:rPr>
          <w:lang w:val="en-US"/>
        </w:rPr>
        <w:t>A</w:t>
      </w:r>
      <w:r w:rsidR="00F850BA">
        <w:rPr>
          <w:lang w:val="en-US"/>
        </w:rPr>
        <w:t>uction</w:t>
      </w:r>
      <w:r w:rsidR="008B76D9" w:rsidRPr="00A34E6D">
        <w:t xml:space="preserve">. </w:t>
      </w:r>
      <w:r w:rsidR="0055180A">
        <w:rPr>
          <w:lang w:val="en-US"/>
        </w:rPr>
        <w:t xml:space="preserve"> </w:t>
      </w:r>
      <w:r w:rsidR="00C907FE" w:rsidRPr="00B64E66">
        <w:rPr>
          <w:lang w:val="en-US"/>
        </w:rPr>
        <w:t>T</w:t>
      </w:r>
      <w:r w:rsidR="008B76D9" w:rsidRPr="00A34E6D">
        <w:t xml:space="preserve">he </w:t>
      </w:r>
      <w:r w:rsidR="006A62FF">
        <w:rPr>
          <w:lang w:val="en-US"/>
        </w:rPr>
        <w:t>PUCO</w:t>
      </w:r>
      <w:r w:rsidR="008B76D9" w:rsidRPr="00A34E6D">
        <w:t xml:space="preserve"> exceeded its statutory authority when it addressed a matter on rehearing that was not specified in an application for rehearing</w:t>
      </w:r>
      <w:r w:rsidR="005072F0">
        <w:t xml:space="preserve"> pending before it</w:t>
      </w:r>
      <w:r w:rsidR="008B76D9" w:rsidRPr="00A34E6D">
        <w:t>.</w:t>
      </w:r>
      <w:r w:rsidR="00C907FE">
        <w:rPr>
          <w:lang w:val="en-US"/>
        </w:rPr>
        <w:t xml:space="preserve">  </w:t>
      </w:r>
      <w:r w:rsidR="00A3141F">
        <w:rPr>
          <w:lang w:val="en-US"/>
        </w:rPr>
        <w:t>Therefore, OCC</w:t>
      </w:r>
      <w:r w:rsidR="00182EB7">
        <w:rPr>
          <w:lang w:val="en-US"/>
        </w:rPr>
        <w:t>’</w:t>
      </w:r>
      <w:r w:rsidR="00A3141F">
        <w:rPr>
          <w:lang w:val="en-US"/>
        </w:rPr>
        <w:t xml:space="preserve">s </w:t>
      </w:r>
      <w:r w:rsidR="00C907FE">
        <w:rPr>
          <w:lang w:val="en-US"/>
        </w:rPr>
        <w:t xml:space="preserve">Rehearing </w:t>
      </w:r>
      <w:r w:rsidR="00A3141F">
        <w:rPr>
          <w:lang w:val="en-US"/>
        </w:rPr>
        <w:t xml:space="preserve">request </w:t>
      </w:r>
      <w:r w:rsidR="00C907FE">
        <w:rPr>
          <w:lang w:val="en-US"/>
        </w:rPr>
        <w:t>should be granted.</w:t>
      </w:r>
    </w:p>
    <w:p w:rsidR="004A4FD9" w:rsidRPr="004A4FD9" w:rsidRDefault="006D2827" w:rsidP="006D2827">
      <w:pPr>
        <w:pStyle w:val="Heading2"/>
        <w:rPr>
          <w:rFonts w:ascii="Times New Roman" w:hAnsi="Times New Roman"/>
          <w:caps/>
          <w:noProof/>
          <w:sz w:val="22"/>
          <w:szCs w:val="22"/>
        </w:rPr>
      </w:pPr>
      <w:bookmarkStart w:id="37" w:name="_Toc364332207"/>
      <w:bookmarkStart w:id="38" w:name="_Toc364430704"/>
      <w:bookmarkStart w:id="39" w:name="_Toc363632583"/>
      <w:r>
        <w:t>B.</w:t>
      </w:r>
      <w:r>
        <w:tab/>
      </w:r>
      <w:bookmarkEnd w:id="37"/>
      <w:r w:rsidRPr="004A4FD9">
        <w:t>The P</w:t>
      </w:r>
      <w:r>
        <w:t>UCO</w:t>
      </w:r>
      <w:r w:rsidRPr="004A4FD9">
        <w:t xml:space="preserve"> Erred In Deciding To Authorize A Pilot Program Which Allowed First</w:t>
      </w:r>
      <w:r>
        <w:t>E</w:t>
      </w:r>
      <w:r w:rsidRPr="004A4FD9">
        <w:t>nergy To Keep Certain Payments That Should Have Been Returned To Customers, In Violation Of R.C. 4903.09, Because The P</w:t>
      </w:r>
      <w:r>
        <w:t>UCO</w:t>
      </w:r>
      <w:r w:rsidR="00182EB7">
        <w:t>’</w:t>
      </w:r>
      <w:r w:rsidRPr="004A4FD9">
        <w:t>s Written Decision Failed To Set Forth The Reasons Prompting The Decisions Arrived At, Based Upon Said Findings Of Fact From The Record Of This Case.</w:t>
      </w:r>
      <w:r w:rsidR="004A4FD9" w:rsidRPr="004A4FD9">
        <w:rPr>
          <w:rStyle w:val="FootnoteReference"/>
        </w:rPr>
        <w:footnoteReference w:id="34"/>
      </w:r>
      <w:bookmarkEnd w:id="38"/>
    </w:p>
    <w:bookmarkEnd w:id="39"/>
    <w:p w:rsidR="00440C7A" w:rsidRDefault="006711BC" w:rsidP="00981442">
      <w:pPr>
        <w:pStyle w:val="BodyText"/>
        <w:spacing w:after="0" w:line="480" w:lineRule="auto"/>
        <w:ind w:firstLine="720"/>
        <w:rPr>
          <w:lang w:val="en-US"/>
        </w:rPr>
      </w:pPr>
      <w:r>
        <w:rPr>
          <w:lang w:val="en-US"/>
        </w:rPr>
        <w:t>The March 20</w:t>
      </w:r>
      <w:r w:rsidR="006B71EF">
        <w:rPr>
          <w:lang w:val="en-US"/>
        </w:rPr>
        <w:t xml:space="preserve"> Order requires</w:t>
      </w:r>
      <w:r>
        <w:rPr>
          <w:lang w:val="en-US"/>
        </w:rPr>
        <w:t xml:space="preserve"> FirstEnergy to bid 75 percent of its planned energy efficiency resources for the 2016/2017 planning year under its program portfolio into the May 2013 PJM </w:t>
      </w:r>
      <w:r w:rsidR="00A3141F">
        <w:rPr>
          <w:lang w:val="en-US"/>
        </w:rPr>
        <w:t>A</w:t>
      </w:r>
      <w:r w:rsidR="00F850BA">
        <w:rPr>
          <w:lang w:val="en-US"/>
        </w:rPr>
        <w:t>uction</w:t>
      </w:r>
      <w:r>
        <w:rPr>
          <w:lang w:val="en-US"/>
        </w:rPr>
        <w:t>.</w:t>
      </w:r>
      <w:r>
        <w:rPr>
          <w:rStyle w:val="FootnoteReference"/>
          <w:lang w:val="en-US"/>
        </w:rPr>
        <w:footnoteReference w:id="35"/>
      </w:r>
      <w:r>
        <w:rPr>
          <w:lang w:val="en-US"/>
        </w:rPr>
        <w:t xml:space="preserve">  The rationale for the PUCO</w:t>
      </w:r>
      <w:r w:rsidR="00182EB7">
        <w:rPr>
          <w:lang w:val="en-US"/>
        </w:rPr>
        <w:t>’</w:t>
      </w:r>
      <w:r>
        <w:rPr>
          <w:lang w:val="en-US"/>
        </w:rPr>
        <w:t xml:space="preserve">s decision was that bidding 75 percent into the </w:t>
      </w:r>
      <w:r w:rsidR="00A3141F">
        <w:rPr>
          <w:lang w:val="en-US"/>
        </w:rPr>
        <w:t>A</w:t>
      </w:r>
      <w:r w:rsidR="00F850BA">
        <w:rPr>
          <w:lang w:val="en-US"/>
        </w:rPr>
        <w:t xml:space="preserve">uction </w:t>
      </w:r>
      <w:r>
        <w:rPr>
          <w:lang w:val="en-US"/>
        </w:rPr>
        <w:t>(rather than 100 percent as argued by OCC</w:t>
      </w:r>
      <w:r w:rsidR="001834D7">
        <w:rPr>
          <w:lang w:val="en-US"/>
        </w:rPr>
        <w:t xml:space="preserve"> and others</w:t>
      </w:r>
      <w:r>
        <w:rPr>
          <w:lang w:val="en-US"/>
        </w:rPr>
        <w:t xml:space="preserve">) would create </w:t>
      </w:r>
      <w:r w:rsidR="00182EB7">
        <w:rPr>
          <w:lang w:val="en-US"/>
        </w:rPr>
        <w:t>“</w:t>
      </w:r>
      <w:r>
        <w:rPr>
          <w:lang w:val="en-US"/>
        </w:rPr>
        <w:t xml:space="preserve">a reasonable balance between the uncertainty and potentially substantial benefits [of bidding planned </w:t>
      </w:r>
      <w:r w:rsidR="00A3141F" w:rsidRPr="00182EB7">
        <w:rPr>
          <w:lang w:val="en-US"/>
        </w:rPr>
        <w:t>energy efficiency</w:t>
      </w:r>
      <w:r w:rsidR="00A3141F">
        <w:rPr>
          <w:lang w:val="en-US"/>
        </w:rPr>
        <w:t xml:space="preserve"> </w:t>
      </w:r>
      <w:r>
        <w:rPr>
          <w:lang w:val="en-US"/>
        </w:rPr>
        <w:t xml:space="preserve">savings into the </w:t>
      </w:r>
      <w:r w:rsidR="006076ED">
        <w:rPr>
          <w:lang w:val="en-US"/>
        </w:rPr>
        <w:t xml:space="preserve">PJM </w:t>
      </w:r>
      <w:r w:rsidR="00F850BA">
        <w:rPr>
          <w:lang w:val="en-US"/>
        </w:rPr>
        <w:t>auction</w:t>
      </w:r>
      <w:r>
        <w:rPr>
          <w:lang w:val="en-US"/>
        </w:rPr>
        <w:t>].</w:t>
      </w:r>
      <w:r w:rsidR="00182EB7">
        <w:rPr>
          <w:lang w:val="en-US"/>
        </w:rPr>
        <w:t>”</w:t>
      </w:r>
      <w:r>
        <w:rPr>
          <w:rStyle w:val="FootnoteReference"/>
          <w:lang w:val="en-US"/>
        </w:rPr>
        <w:footnoteReference w:id="36"/>
      </w:r>
      <w:r>
        <w:rPr>
          <w:lang w:val="en-US"/>
        </w:rPr>
        <w:t xml:space="preserve">  </w:t>
      </w:r>
    </w:p>
    <w:p w:rsidR="009437DD" w:rsidRDefault="006A6CFF" w:rsidP="00083B13">
      <w:pPr>
        <w:pStyle w:val="BodyText"/>
        <w:spacing w:after="0" w:line="480" w:lineRule="auto"/>
        <w:ind w:firstLine="720"/>
        <w:rPr>
          <w:lang w:val="en-US"/>
        </w:rPr>
      </w:pPr>
      <w:r>
        <w:rPr>
          <w:lang w:val="en-US"/>
        </w:rPr>
        <w:t>While t</w:t>
      </w:r>
      <w:r w:rsidR="006711BC">
        <w:rPr>
          <w:lang w:val="en-US"/>
        </w:rPr>
        <w:t xml:space="preserve">he PUCO intended to protect FirstEnergy from the alleged </w:t>
      </w:r>
      <w:r w:rsidR="00182EB7">
        <w:rPr>
          <w:lang w:val="en-US"/>
        </w:rPr>
        <w:t>“</w:t>
      </w:r>
      <w:r w:rsidR="006711BC">
        <w:rPr>
          <w:lang w:val="en-US"/>
        </w:rPr>
        <w:t>risks</w:t>
      </w:r>
      <w:r w:rsidR="00182EB7">
        <w:rPr>
          <w:lang w:val="en-US"/>
        </w:rPr>
        <w:t>”</w:t>
      </w:r>
      <w:r w:rsidR="006711BC">
        <w:rPr>
          <w:lang w:val="en-US"/>
        </w:rPr>
        <w:t xml:space="preserve"> of bidding in energy efficiency resources that are planned but not yet installed</w:t>
      </w:r>
      <w:r>
        <w:rPr>
          <w:lang w:val="en-US"/>
        </w:rPr>
        <w:t xml:space="preserve">, the Commission </w:t>
      </w:r>
      <w:r w:rsidR="006711BC">
        <w:rPr>
          <w:lang w:val="en-US"/>
        </w:rPr>
        <w:t xml:space="preserve">also acknowledged that requiring the Utilities to bid in all planned </w:t>
      </w:r>
      <w:r w:rsidR="00A3141F" w:rsidRPr="00182EB7">
        <w:rPr>
          <w:lang w:val="en-US"/>
        </w:rPr>
        <w:t>energy efficiency</w:t>
      </w:r>
      <w:r w:rsidR="00A3141F">
        <w:rPr>
          <w:lang w:val="en-US"/>
        </w:rPr>
        <w:t xml:space="preserve"> </w:t>
      </w:r>
      <w:r w:rsidR="006711BC">
        <w:rPr>
          <w:lang w:val="en-US"/>
        </w:rPr>
        <w:t xml:space="preserve">savings into future PJM </w:t>
      </w:r>
      <w:r w:rsidR="00A3141F">
        <w:rPr>
          <w:lang w:val="en-US"/>
        </w:rPr>
        <w:t>Auctions</w:t>
      </w:r>
      <w:r w:rsidR="006711BC">
        <w:rPr>
          <w:lang w:val="en-US"/>
        </w:rPr>
        <w:t xml:space="preserve"> </w:t>
      </w:r>
      <w:r w:rsidR="00182EB7">
        <w:rPr>
          <w:lang w:val="en-US"/>
        </w:rPr>
        <w:t>“</w:t>
      </w:r>
      <w:r w:rsidR="006711BC">
        <w:rPr>
          <w:lang w:val="en-US"/>
        </w:rPr>
        <w:t>could substantially benefit ratepayers by lowering capacity auction prices and reducing Rider DSE costs.</w:t>
      </w:r>
      <w:r w:rsidR="00182EB7">
        <w:rPr>
          <w:lang w:val="en-US"/>
        </w:rPr>
        <w:t>”</w:t>
      </w:r>
      <w:r w:rsidR="006711BC">
        <w:rPr>
          <w:rStyle w:val="FootnoteReference"/>
          <w:lang w:val="en-US"/>
        </w:rPr>
        <w:footnoteReference w:id="37"/>
      </w:r>
      <w:r w:rsidR="006711BC">
        <w:rPr>
          <w:lang w:val="en-US"/>
        </w:rPr>
        <w:t xml:space="preserve">  </w:t>
      </w:r>
      <w:r w:rsidR="0043651E">
        <w:rPr>
          <w:lang w:val="en-US"/>
        </w:rPr>
        <w:t xml:space="preserve">But the </w:t>
      </w:r>
      <w:r w:rsidR="00711BD5">
        <w:rPr>
          <w:lang w:val="en-US"/>
        </w:rPr>
        <w:t xml:space="preserve">July 17 Entry </w:t>
      </w:r>
      <w:r w:rsidR="0043651E">
        <w:rPr>
          <w:lang w:val="en-US"/>
        </w:rPr>
        <w:t xml:space="preserve">provided FirstEnergy with </w:t>
      </w:r>
      <w:r w:rsidR="00083B13">
        <w:rPr>
          <w:lang w:val="en-US"/>
        </w:rPr>
        <w:t>a</w:t>
      </w:r>
      <w:r>
        <w:rPr>
          <w:lang w:val="en-US"/>
        </w:rPr>
        <w:t>n additional</w:t>
      </w:r>
      <w:r w:rsidR="00A3141F">
        <w:rPr>
          <w:lang w:val="en-US"/>
        </w:rPr>
        <w:t xml:space="preserve"> </w:t>
      </w:r>
      <w:r w:rsidR="00A3141F" w:rsidRPr="00182EB7">
        <w:rPr>
          <w:lang w:val="en-US"/>
        </w:rPr>
        <w:t>(and unrequested)</w:t>
      </w:r>
      <w:r w:rsidR="00083B13">
        <w:rPr>
          <w:lang w:val="en-US"/>
        </w:rPr>
        <w:t xml:space="preserve"> </w:t>
      </w:r>
      <w:r w:rsidR="0043651E">
        <w:rPr>
          <w:lang w:val="en-US"/>
        </w:rPr>
        <w:t>benefit</w:t>
      </w:r>
      <w:r w:rsidR="00067F37">
        <w:rPr>
          <w:lang w:val="en-US"/>
        </w:rPr>
        <w:t>, the sharing of PJM auction revenue,</w:t>
      </w:r>
      <w:r w:rsidR="00981442">
        <w:rPr>
          <w:lang w:val="en-US"/>
        </w:rPr>
        <w:t xml:space="preserve"> </w:t>
      </w:r>
      <w:r w:rsidR="00083B13">
        <w:rPr>
          <w:lang w:val="en-US"/>
        </w:rPr>
        <w:t>that is not supported by the record.</w:t>
      </w:r>
    </w:p>
    <w:p w:rsidR="00B44839" w:rsidRDefault="00711BD5" w:rsidP="00B64E66">
      <w:pPr>
        <w:pStyle w:val="BodyText"/>
        <w:spacing w:after="0" w:line="480" w:lineRule="auto"/>
        <w:ind w:firstLine="720"/>
        <w:rPr>
          <w:lang w:val="en-US"/>
        </w:rPr>
      </w:pPr>
      <w:r>
        <w:rPr>
          <w:lang w:val="en-US"/>
        </w:rPr>
        <w:t>R.C. 4903.09 requires</w:t>
      </w:r>
      <w:r w:rsidR="00D430C6">
        <w:rPr>
          <w:lang w:val="en-US"/>
        </w:rPr>
        <w:t xml:space="preserve"> that the PUCO</w:t>
      </w:r>
      <w:r w:rsidR="00182EB7">
        <w:rPr>
          <w:lang w:val="en-US"/>
        </w:rPr>
        <w:t>’</w:t>
      </w:r>
      <w:r w:rsidR="00D430C6">
        <w:rPr>
          <w:lang w:val="en-US"/>
        </w:rPr>
        <w:t xml:space="preserve">s decisions be </w:t>
      </w:r>
      <w:r w:rsidR="00A3141F">
        <w:rPr>
          <w:lang w:val="en-US"/>
        </w:rPr>
        <w:t xml:space="preserve">based </w:t>
      </w:r>
      <w:r w:rsidR="00C907FE">
        <w:rPr>
          <w:lang w:val="en-US"/>
        </w:rPr>
        <w:t xml:space="preserve">upon </w:t>
      </w:r>
      <w:r w:rsidR="00A3141F">
        <w:rPr>
          <w:lang w:val="en-US"/>
        </w:rPr>
        <w:t xml:space="preserve">findings of </w:t>
      </w:r>
      <w:r w:rsidR="00C907FE">
        <w:rPr>
          <w:lang w:val="en-US"/>
        </w:rPr>
        <w:t>fact in the record</w:t>
      </w:r>
      <w:r w:rsidR="00D430C6">
        <w:rPr>
          <w:lang w:val="en-US"/>
        </w:rPr>
        <w:t>.  But</w:t>
      </w:r>
      <w:r>
        <w:rPr>
          <w:lang w:val="en-US"/>
        </w:rPr>
        <w:t xml:space="preserve"> </w:t>
      </w:r>
      <w:r w:rsidR="00D430C6">
        <w:rPr>
          <w:lang w:val="en-US"/>
        </w:rPr>
        <w:t>t</w:t>
      </w:r>
      <w:r>
        <w:rPr>
          <w:lang w:val="en-US"/>
        </w:rPr>
        <w:t>he record</w:t>
      </w:r>
      <w:r w:rsidR="00C907FE">
        <w:rPr>
          <w:lang w:val="en-US"/>
        </w:rPr>
        <w:t xml:space="preserve"> for this proceeding</w:t>
      </w:r>
      <w:r>
        <w:rPr>
          <w:lang w:val="en-US"/>
        </w:rPr>
        <w:t xml:space="preserve"> provides no support for the PUCO</w:t>
      </w:r>
      <w:r w:rsidR="00182EB7">
        <w:rPr>
          <w:lang w:val="en-US"/>
        </w:rPr>
        <w:t>’</w:t>
      </w:r>
      <w:r>
        <w:rPr>
          <w:lang w:val="en-US"/>
        </w:rPr>
        <w:t>s approval of an 80/20 revenue sharing pilot program</w:t>
      </w:r>
      <w:r w:rsidR="00C907FE">
        <w:rPr>
          <w:lang w:val="en-US"/>
        </w:rPr>
        <w:t>.</w:t>
      </w:r>
      <w:r w:rsidR="004D12FC">
        <w:rPr>
          <w:lang w:val="en-US"/>
        </w:rPr>
        <w:t xml:space="preserve">  </w:t>
      </w:r>
      <w:r w:rsidR="00C907FE">
        <w:rPr>
          <w:lang w:val="en-US"/>
        </w:rPr>
        <w:t>T</w:t>
      </w:r>
      <w:r w:rsidR="00C907FE" w:rsidRPr="00C907FE">
        <w:rPr>
          <w:lang w:val="en-US"/>
        </w:rPr>
        <w:t>he Ohio Supreme Court has held that</w:t>
      </w:r>
      <w:r w:rsidR="00C907FE">
        <w:rPr>
          <w:lang w:val="en-US"/>
        </w:rPr>
        <w:t xml:space="preserve"> </w:t>
      </w:r>
      <w:r w:rsidR="00182EB7">
        <w:rPr>
          <w:lang w:val="en-US"/>
        </w:rPr>
        <w:t>“</w:t>
      </w:r>
      <w:r w:rsidR="00C907FE" w:rsidRPr="00C907FE">
        <w:rPr>
          <w:lang w:val="en-US"/>
        </w:rPr>
        <w:t>the purpose of R.C. 4903.09 is to provide [the] court with sufficient details to enable [it]</w:t>
      </w:r>
      <w:r w:rsidR="00C907FE">
        <w:rPr>
          <w:lang w:val="en-US"/>
        </w:rPr>
        <w:t xml:space="preserve"> </w:t>
      </w:r>
      <w:r w:rsidR="00C907FE" w:rsidRPr="00C907FE">
        <w:rPr>
          <w:lang w:val="en-US"/>
        </w:rPr>
        <w:t>to determine, upon appeal, how the com</w:t>
      </w:r>
      <w:r w:rsidR="00C907FE">
        <w:rPr>
          <w:lang w:val="en-US"/>
        </w:rPr>
        <w:t>mission reached its decision.</w:t>
      </w:r>
      <w:r w:rsidR="00182EB7">
        <w:rPr>
          <w:lang w:val="en-US"/>
        </w:rPr>
        <w:t>”</w:t>
      </w:r>
      <w:r w:rsidR="00C907FE">
        <w:rPr>
          <w:rStyle w:val="FootnoteReference"/>
          <w:lang w:val="en-US"/>
        </w:rPr>
        <w:footnoteReference w:id="38"/>
      </w:r>
      <w:r w:rsidR="00C907FE" w:rsidRPr="00C907FE">
        <w:rPr>
          <w:lang w:val="en-US"/>
        </w:rPr>
        <w:t xml:space="preserve"> </w:t>
      </w:r>
      <w:r w:rsidR="004E73AF">
        <w:rPr>
          <w:lang w:val="en-US"/>
        </w:rPr>
        <w:t xml:space="preserve"> </w:t>
      </w:r>
      <w:r w:rsidR="00C907FE" w:rsidRPr="00C907FE">
        <w:rPr>
          <w:lang w:val="en-US"/>
        </w:rPr>
        <w:t>And only where</w:t>
      </w:r>
      <w:r w:rsidR="00C907FE">
        <w:rPr>
          <w:lang w:val="en-US"/>
        </w:rPr>
        <w:t xml:space="preserve"> </w:t>
      </w:r>
      <w:r w:rsidR="00182EB7">
        <w:rPr>
          <w:lang w:val="en-US"/>
        </w:rPr>
        <w:t>“</w:t>
      </w:r>
      <w:r w:rsidR="00C907FE" w:rsidRPr="00C907FE">
        <w:rPr>
          <w:lang w:val="en-US"/>
        </w:rPr>
        <w:t>there was enough evidence and discussion in order to enable the PUCO</w:t>
      </w:r>
      <w:r w:rsidR="00182EB7">
        <w:rPr>
          <w:lang w:val="en-US"/>
        </w:rPr>
        <w:t>’</w:t>
      </w:r>
      <w:r w:rsidR="00C907FE" w:rsidRPr="00C907FE">
        <w:rPr>
          <w:lang w:val="en-US"/>
        </w:rPr>
        <w:t>s reasoning to</w:t>
      </w:r>
      <w:r w:rsidR="00C907FE">
        <w:rPr>
          <w:lang w:val="en-US"/>
        </w:rPr>
        <w:t xml:space="preserve"> </w:t>
      </w:r>
      <w:r w:rsidR="00C907FE" w:rsidRPr="00C907FE">
        <w:t>be readily discerned</w:t>
      </w:r>
      <w:r w:rsidR="00182EB7">
        <w:t>”</w:t>
      </w:r>
      <w:r w:rsidR="00C907FE" w:rsidRPr="00C907FE">
        <w:t xml:space="preserve"> has the Ohio Supreme Court found substantial compliance with</w:t>
      </w:r>
      <w:r w:rsidR="00C907FE">
        <w:rPr>
          <w:lang w:val="en-US"/>
        </w:rPr>
        <w:t xml:space="preserve"> R.C. 4903.09.</w:t>
      </w:r>
      <w:r w:rsidR="00C907FE">
        <w:rPr>
          <w:rStyle w:val="FootnoteReference"/>
          <w:lang w:val="en-US"/>
        </w:rPr>
        <w:footnoteReference w:id="39"/>
      </w:r>
      <w:r w:rsidR="00C907FE">
        <w:rPr>
          <w:lang w:val="en-US"/>
        </w:rPr>
        <w:t xml:space="preserve">  </w:t>
      </w:r>
      <w:r w:rsidR="00243749">
        <w:rPr>
          <w:lang w:val="en-US"/>
        </w:rPr>
        <w:t>But instead of citing to the record as support for its decision as is required, t</w:t>
      </w:r>
      <w:r w:rsidR="00B44839">
        <w:rPr>
          <w:lang w:val="en-US"/>
        </w:rPr>
        <w:t xml:space="preserve">he PUCO </w:t>
      </w:r>
      <w:r w:rsidR="00243749">
        <w:rPr>
          <w:lang w:val="en-US"/>
        </w:rPr>
        <w:t>cites to</w:t>
      </w:r>
      <w:r w:rsidR="00B44839">
        <w:rPr>
          <w:lang w:val="en-US"/>
        </w:rPr>
        <w:t xml:space="preserve"> </w:t>
      </w:r>
      <w:r w:rsidR="00B44839" w:rsidRPr="0033306F">
        <w:rPr>
          <w:i/>
        </w:rPr>
        <w:t>In the Matter of the Application of Duke Ener</w:t>
      </w:r>
      <w:r w:rsidR="00B44839" w:rsidRPr="0033306F">
        <w:rPr>
          <w:i/>
          <w:lang w:val="en-US"/>
        </w:rPr>
        <w:t xml:space="preserve">gy </w:t>
      </w:r>
      <w:r w:rsidR="00B44839" w:rsidRPr="0033306F">
        <w:rPr>
          <w:i/>
        </w:rPr>
        <w:t>Ohio, Inc., for an Increase in Rates</w:t>
      </w:r>
      <w:r w:rsidR="00B44839">
        <w:t>, et al. Case No. 07-589-GA</w:t>
      </w:r>
      <w:r w:rsidR="00B44839">
        <w:rPr>
          <w:lang w:val="en-US"/>
        </w:rPr>
        <w:t>-</w:t>
      </w:r>
      <w:r w:rsidR="00B44839">
        <w:t>AIR</w:t>
      </w:r>
      <w:r w:rsidR="00B44839">
        <w:rPr>
          <w:lang w:val="en-US"/>
        </w:rPr>
        <w:t xml:space="preserve"> and </w:t>
      </w:r>
      <w:r w:rsidR="00B44839" w:rsidRPr="0033306F">
        <w:rPr>
          <w:i/>
        </w:rPr>
        <w:t>In the Matter of</w:t>
      </w:r>
      <w:r w:rsidR="00B44839" w:rsidRPr="0033306F">
        <w:rPr>
          <w:i/>
          <w:lang w:val="en-US"/>
        </w:rPr>
        <w:t xml:space="preserve"> </w:t>
      </w:r>
      <w:r w:rsidR="00B44839" w:rsidRPr="0033306F">
        <w:rPr>
          <w:i/>
        </w:rPr>
        <w:t>the Long-Term Forecast Report of Vectren Energy Delivery of Ohio</w:t>
      </w:r>
      <w:r w:rsidR="00B44839">
        <w:rPr>
          <w:i/>
          <w:lang w:val="en-US"/>
        </w:rPr>
        <w:t xml:space="preserve"> </w:t>
      </w:r>
      <w:r w:rsidR="00B44839" w:rsidRPr="0033306F">
        <w:rPr>
          <w:i/>
        </w:rPr>
        <w:t>and Related Matters</w:t>
      </w:r>
      <w:r w:rsidR="00B44839" w:rsidRPr="0033306F">
        <w:t>,</w:t>
      </w:r>
      <w:r w:rsidR="00B44839">
        <w:t xml:space="preserve"> et al. Case No. 00-120-GA-FOR</w:t>
      </w:r>
      <w:r w:rsidR="00B44839">
        <w:rPr>
          <w:lang w:val="en-US"/>
        </w:rPr>
        <w:t>.  But neither of the cases cited by the PUCO are energy efficiency portfolio proceedings</w:t>
      </w:r>
      <w:r w:rsidR="00AC0675">
        <w:rPr>
          <w:lang w:val="en-US"/>
        </w:rPr>
        <w:t xml:space="preserve"> (and th</w:t>
      </w:r>
      <w:r w:rsidR="00270F89">
        <w:rPr>
          <w:lang w:val="en-US"/>
        </w:rPr>
        <w:t>us,</w:t>
      </w:r>
      <w:r w:rsidR="00AC0675" w:rsidRPr="00AC0675">
        <w:rPr>
          <w:lang w:val="en-US"/>
        </w:rPr>
        <w:t xml:space="preserve"> </w:t>
      </w:r>
      <w:r w:rsidR="00AC0675">
        <w:rPr>
          <w:lang w:val="en-US"/>
        </w:rPr>
        <w:t xml:space="preserve">neither of the cases cited by the PUCO deal with </w:t>
      </w:r>
      <w:r w:rsidR="00270F89">
        <w:rPr>
          <w:lang w:val="en-US"/>
        </w:rPr>
        <w:t>sharing of PJM auction revenues</w:t>
      </w:r>
      <w:r w:rsidR="00AC0675">
        <w:rPr>
          <w:lang w:val="en-US"/>
        </w:rPr>
        <w:t>)</w:t>
      </w:r>
      <w:r w:rsidR="00270F89">
        <w:rPr>
          <w:lang w:val="en-US"/>
        </w:rPr>
        <w:t>.</w:t>
      </w:r>
      <w:r w:rsidR="00B44839">
        <w:rPr>
          <w:lang w:val="en-US"/>
        </w:rPr>
        <w:t xml:space="preserve"> </w:t>
      </w:r>
      <w:r w:rsidR="004E73AF">
        <w:rPr>
          <w:lang w:val="en-US"/>
        </w:rPr>
        <w:t xml:space="preserve"> </w:t>
      </w:r>
      <w:r w:rsidR="00B44839">
        <w:rPr>
          <w:lang w:val="en-US"/>
        </w:rPr>
        <w:t>In fact</w:t>
      </w:r>
      <w:r w:rsidR="00B011C1">
        <w:rPr>
          <w:lang w:val="en-US"/>
        </w:rPr>
        <w:t>,</w:t>
      </w:r>
      <w:r w:rsidR="00270F89">
        <w:rPr>
          <w:lang w:val="en-US"/>
        </w:rPr>
        <w:t xml:space="preserve"> both cases cited by the PUCO in support of its decision</w:t>
      </w:r>
      <w:r w:rsidR="00B44839">
        <w:rPr>
          <w:lang w:val="en-US"/>
        </w:rPr>
        <w:t xml:space="preserve"> are </w:t>
      </w:r>
      <w:r w:rsidR="00270F89">
        <w:rPr>
          <w:lang w:val="en-US"/>
        </w:rPr>
        <w:t xml:space="preserve">natural </w:t>
      </w:r>
      <w:r w:rsidR="00B44839">
        <w:rPr>
          <w:lang w:val="en-US"/>
        </w:rPr>
        <w:t xml:space="preserve">gas proceedings.  </w:t>
      </w:r>
    </w:p>
    <w:p w:rsidR="004D1977" w:rsidRDefault="003428F8" w:rsidP="004D1977">
      <w:pPr>
        <w:pStyle w:val="BodyText"/>
        <w:spacing w:after="0" w:line="480" w:lineRule="auto"/>
        <w:ind w:firstLine="720"/>
        <w:rPr>
          <w:lang w:val="en-US"/>
        </w:rPr>
      </w:pPr>
      <w:r>
        <w:rPr>
          <w:lang w:val="en-US"/>
        </w:rPr>
        <w:t xml:space="preserve">PUCO </w:t>
      </w:r>
      <w:r w:rsidR="00564391">
        <w:t>Case No. 07-589-GA</w:t>
      </w:r>
      <w:r w:rsidR="00564391">
        <w:rPr>
          <w:lang w:val="en-US"/>
        </w:rPr>
        <w:t>-</w:t>
      </w:r>
      <w:r w:rsidR="00564391">
        <w:t>AIR</w:t>
      </w:r>
      <w:r w:rsidR="00564391">
        <w:rPr>
          <w:lang w:val="en-US"/>
        </w:rPr>
        <w:t xml:space="preserve"> is a </w:t>
      </w:r>
      <w:r w:rsidR="00270F89">
        <w:rPr>
          <w:lang w:val="en-US"/>
        </w:rPr>
        <w:t xml:space="preserve">natural </w:t>
      </w:r>
      <w:r w:rsidR="00564391">
        <w:rPr>
          <w:lang w:val="en-US"/>
        </w:rPr>
        <w:t>gas case whereby Duke</w:t>
      </w:r>
      <w:r w:rsidR="00270F89">
        <w:rPr>
          <w:lang w:val="en-US"/>
        </w:rPr>
        <w:t xml:space="preserve"> Energy Ohio</w:t>
      </w:r>
      <w:r w:rsidR="00564391">
        <w:rPr>
          <w:lang w:val="en-US"/>
        </w:rPr>
        <w:t xml:space="preserve"> was permitted to revise its Gas Cost Recovery tariff to implement a sharing mechanism for sharing of net revenues from off-system transactions.</w:t>
      </w:r>
      <w:r w:rsidR="00564391">
        <w:rPr>
          <w:rStyle w:val="FootnoteReference"/>
          <w:lang w:val="en-US"/>
        </w:rPr>
        <w:footnoteReference w:id="40"/>
      </w:r>
      <w:r w:rsidR="00564391">
        <w:rPr>
          <w:lang w:val="en-US"/>
        </w:rPr>
        <w:t xml:space="preserve">  But the revenue sharing mechanism and </w:t>
      </w:r>
      <w:r w:rsidR="0029312A">
        <w:rPr>
          <w:lang w:val="en-US"/>
        </w:rPr>
        <w:t xml:space="preserve">approved </w:t>
      </w:r>
      <w:r w:rsidR="00564391">
        <w:rPr>
          <w:lang w:val="en-US"/>
        </w:rPr>
        <w:t xml:space="preserve">percentages in 07-589-GA-AIR </w:t>
      </w:r>
      <w:r w:rsidR="00BF6DC8">
        <w:rPr>
          <w:lang w:val="en-US"/>
        </w:rPr>
        <w:t>w</w:t>
      </w:r>
      <w:r w:rsidR="0029312A">
        <w:rPr>
          <w:lang w:val="en-US"/>
        </w:rPr>
        <w:t>ere</w:t>
      </w:r>
      <w:r w:rsidR="00564391">
        <w:rPr>
          <w:lang w:val="en-US"/>
        </w:rPr>
        <w:t xml:space="preserve"> derived from a Stipulation</w:t>
      </w:r>
      <w:r w:rsidR="00B011C1">
        <w:rPr>
          <w:lang w:val="en-US"/>
        </w:rPr>
        <w:t xml:space="preserve"> (which by its terms does not allow for use in other cases)</w:t>
      </w:r>
      <w:r w:rsidR="00564391">
        <w:rPr>
          <w:lang w:val="en-US"/>
        </w:rPr>
        <w:t>.</w:t>
      </w:r>
      <w:r>
        <w:rPr>
          <w:rStyle w:val="FootnoteReference"/>
          <w:lang w:val="en-US"/>
        </w:rPr>
        <w:footnoteReference w:id="41"/>
      </w:r>
      <w:r w:rsidR="00564391">
        <w:rPr>
          <w:lang w:val="en-US"/>
        </w:rPr>
        <w:t xml:space="preserve">  </w:t>
      </w:r>
      <w:r w:rsidR="00270F89">
        <w:rPr>
          <w:lang w:val="en-US"/>
        </w:rPr>
        <w:t>In addition, t</w:t>
      </w:r>
      <w:r w:rsidR="00564391">
        <w:rPr>
          <w:lang w:val="en-US"/>
        </w:rPr>
        <w:t>he PUCO included langua</w:t>
      </w:r>
      <w:r>
        <w:rPr>
          <w:lang w:val="en-US"/>
        </w:rPr>
        <w:t xml:space="preserve">ge in its Opinion and Order that </w:t>
      </w:r>
      <w:r w:rsidR="00564391">
        <w:rPr>
          <w:lang w:val="en-US"/>
        </w:rPr>
        <w:t>expressly limited the applicability of the revenue sharing mechanism</w:t>
      </w:r>
      <w:r>
        <w:rPr>
          <w:lang w:val="en-US"/>
        </w:rPr>
        <w:t xml:space="preserve"> to </w:t>
      </w:r>
      <w:r w:rsidR="00AC0675">
        <w:rPr>
          <w:lang w:val="en-US"/>
        </w:rPr>
        <w:t>gas-related sales transactions</w:t>
      </w:r>
      <w:r w:rsidR="00564391">
        <w:rPr>
          <w:lang w:val="en-US"/>
        </w:rPr>
        <w:t>.</w:t>
      </w:r>
      <w:r w:rsidR="007055DD">
        <w:rPr>
          <w:rStyle w:val="FootnoteReference"/>
          <w:lang w:val="en-US"/>
        </w:rPr>
        <w:footnoteReference w:id="42"/>
      </w:r>
      <w:r w:rsidR="00564391">
        <w:rPr>
          <w:lang w:val="en-US"/>
        </w:rPr>
        <w:t xml:space="preserve">  </w:t>
      </w:r>
    </w:p>
    <w:p w:rsidR="00564391" w:rsidRDefault="00564391" w:rsidP="004D1977">
      <w:pPr>
        <w:pStyle w:val="BodyText"/>
        <w:spacing w:after="0" w:line="480" w:lineRule="auto"/>
        <w:ind w:firstLine="720"/>
        <w:rPr>
          <w:lang w:val="en-US"/>
        </w:rPr>
      </w:pPr>
      <w:r>
        <w:rPr>
          <w:lang w:val="en-US"/>
        </w:rPr>
        <w:t>In this regard, the PUCO stated</w:t>
      </w:r>
      <w:r w:rsidR="003428F8">
        <w:rPr>
          <w:lang w:val="en-US"/>
        </w:rPr>
        <w:t>:</w:t>
      </w:r>
      <w:r>
        <w:rPr>
          <w:lang w:val="en-US"/>
        </w:rPr>
        <w:t xml:space="preserve"> </w:t>
      </w:r>
      <w:r w:rsidR="00981442">
        <w:rPr>
          <w:lang w:val="en-US"/>
        </w:rPr>
        <w:t xml:space="preserve"> </w:t>
      </w:r>
      <w:r w:rsidR="00182EB7">
        <w:rPr>
          <w:lang w:val="en-US"/>
        </w:rPr>
        <w:t>“</w:t>
      </w:r>
      <w:r w:rsidRPr="003428F8">
        <w:rPr>
          <w:b/>
          <w:lang w:val="en-US"/>
        </w:rPr>
        <w:t>the revenue sharing percentage proposed by implementation of the sharing mechanism in this Stipulation</w:t>
      </w:r>
      <w:r>
        <w:rPr>
          <w:lang w:val="en-US"/>
        </w:rPr>
        <w:t xml:space="preserve"> </w:t>
      </w:r>
      <w:r w:rsidRPr="003428F8">
        <w:rPr>
          <w:b/>
          <w:lang w:val="en-US"/>
        </w:rPr>
        <w:t>is expressly limited to gas-related sales transactions</w:t>
      </w:r>
      <w:r>
        <w:rPr>
          <w:lang w:val="en-US"/>
        </w:rPr>
        <w:t>, and shall not have precedential value in establishing sharing percentages for similar electric sales transactions by Duke.</w:t>
      </w:r>
      <w:r w:rsidR="00182EB7">
        <w:rPr>
          <w:lang w:val="en-US"/>
        </w:rPr>
        <w:t>”</w:t>
      </w:r>
      <w:r>
        <w:rPr>
          <w:rStyle w:val="FootnoteReference"/>
          <w:lang w:val="en-US"/>
        </w:rPr>
        <w:footnoteReference w:id="43"/>
      </w:r>
      <w:r w:rsidR="00270F89">
        <w:rPr>
          <w:lang w:val="en-US"/>
        </w:rPr>
        <w:t xml:space="preserve">  </w:t>
      </w:r>
      <w:r w:rsidR="000C6406">
        <w:rPr>
          <w:lang w:val="en-US"/>
        </w:rPr>
        <w:t xml:space="preserve">If the PUCO ruled that the sharing mechanism it approved in 07-589-GA-AIR could not be used as precedent in </w:t>
      </w:r>
      <w:r w:rsidR="00182EB7">
        <w:rPr>
          <w:lang w:val="en-US"/>
        </w:rPr>
        <w:t>“</w:t>
      </w:r>
      <w:r w:rsidR="000C6406">
        <w:rPr>
          <w:lang w:val="en-US"/>
        </w:rPr>
        <w:t>similar electric cases,</w:t>
      </w:r>
      <w:r w:rsidR="00182EB7">
        <w:rPr>
          <w:lang w:val="en-US"/>
        </w:rPr>
        <w:t>”</w:t>
      </w:r>
      <w:r w:rsidR="000C6406">
        <w:rPr>
          <w:lang w:val="en-US"/>
        </w:rPr>
        <w:t xml:space="preserve"> it simply cannot be precedent for </w:t>
      </w:r>
      <w:r w:rsidR="007743F0">
        <w:rPr>
          <w:lang w:val="en-US"/>
        </w:rPr>
        <w:t>this</w:t>
      </w:r>
      <w:r w:rsidR="000C6406">
        <w:rPr>
          <w:lang w:val="en-US"/>
        </w:rPr>
        <w:t xml:space="preserve"> </w:t>
      </w:r>
      <w:r w:rsidR="009D3F4A">
        <w:rPr>
          <w:lang w:val="en-US"/>
        </w:rPr>
        <w:t xml:space="preserve">electric utility </w:t>
      </w:r>
      <w:r w:rsidR="000C6406">
        <w:rPr>
          <w:lang w:val="en-US"/>
        </w:rPr>
        <w:t xml:space="preserve">energy efficiency portfolio case.  </w:t>
      </w:r>
    </w:p>
    <w:p w:rsidR="004E7C6C" w:rsidRDefault="00AC0675" w:rsidP="0055180A">
      <w:pPr>
        <w:pStyle w:val="BodyText"/>
        <w:spacing w:after="0" w:line="480" w:lineRule="auto"/>
        <w:ind w:firstLine="720"/>
        <w:rPr>
          <w:lang w:val="en-US"/>
        </w:rPr>
      </w:pPr>
      <w:r>
        <w:rPr>
          <w:lang w:val="en-US"/>
        </w:rPr>
        <w:t xml:space="preserve">Similarly, </w:t>
      </w:r>
      <w:r w:rsidR="003428F8">
        <w:rPr>
          <w:lang w:val="en-US"/>
        </w:rPr>
        <w:t xml:space="preserve">PUCO </w:t>
      </w:r>
      <w:r w:rsidR="003428F8">
        <w:t>Case No. 00-120-GA-FOR</w:t>
      </w:r>
      <w:r w:rsidR="003428F8">
        <w:rPr>
          <w:lang w:val="en-US"/>
        </w:rPr>
        <w:t xml:space="preserve"> is also not applicable to the present proceeding.  </w:t>
      </w:r>
      <w:r w:rsidR="009739F6">
        <w:rPr>
          <w:lang w:val="en-US"/>
        </w:rPr>
        <w:t>T</w:t>
      </w:r>
      <w:r w:rsidR="003428F8">
        <w:rPr>
          <w:lang w:val="en-US"/>
        </w:rPr>
        <w:t>his case also involved a sharing mechanism that was a result of a Stipulation.</w:t>
      </w:r>
      <w:r w:rsidR="003428F8">
        <w:rPr>
          <w:rStyle w:val="FootnoteReference"/>
          <w:lang w:val="en-US"/>
        </w:rPr>
        <w:footnoteReference w:id="44"/>
      </w:r>
      <w:r>
        <w:rPr>
          <w:lang w:val="en-US"/>
        </w:rPr>
        <w:t xml:space="preserve"> </w:t>
      </w:r>
      <w:r w:rsidR="00981442">
        <w:rPr>
          <w:lang w:val="en-US"/>
        </w:rPr>
        <w:t xml:space="preserve"> </w:t>
      </w:r>
      <w:r>
        <w:rPr>
          <w:lang w:val="en-US"/>
        </w:rPr>
        <w:t>In that</w:t>
      </w:r>
      <w:r w:rsidR="003428F8">
        <w:rPr>
          <w:lang w:val="en-US"/>
        </w:rPr>
        <w:t xml:space="preserve"> </w:t>
      </w:r>
      <w:r>
        <w:rPr>
          <w:lang w:val="en-US"/>
        </w:rPr>
        <w:t>proceeding</w:t>
      </w:r>
      <w:r w:rsidR="003428F8">
        <w:rPr>
          <w:lang w:val="en-US"/>
        </w:rPr>
        <w:t>, Dayton Power &amp; Light, OCC and the PUC</w:t>
      </w:r>
      <w:r>
        <w:rPr>
          <w:lang w:val="en-US"/>
        </w:rPr>
        <w:t>O S</w:t>
      </w:r>
      <w:r w:rsidR="003428F8">
        <w:rPr>
          <w:lang w:val="en-US"/>
        </w:rPr>
        <w:t>taff agreed that DP&amp;L would retai</w:t>
      </w:r>
      <w:r w:rsidR="003D39E6">
        <w:rPr>
          <w:lang w:val="en-US"/>
        </w:rPr>
        <w:t>n</w:t>
      </w:r>
      <w:r w:rsidR="003428F8">
        <w:rPr>
          <w:lang w:val="en-US"/>
        </w:rPr>
        <w:t xml:space="preserve"> 20 percent of the exchange of fee revenues received from Columbia Energy Services.</w:t>
      </w:r>
      <w:r w:rsidR="003428F8">
        <w:rPr>
          <w:rStyle w:val="FootnoteReference"/>
          <w:lang w:val="en-US"/>
        </w:rPr>
        <w:footnoteReference w:id="45"/>
      </w:r>
      <w:r w:rsidR="003428F8">
        <w:rPr>
          <w:lang w:val="en-US"/>
        </w:rPr>
        <w:t xml:space="preserve">  </w:t>
      </w:r>
      <w:r w:rsidR="003D39E6">
        <w:rPr>
          <w:lang w:val="en-US"/>
        </w:rPr>
        <w:t>Alt</w:t>
      </w:r>
      <w:r w:rsidR="003428F8">
        <w:rPr>
          <w:lang w:val="en-US"/>
        </w:rPr>
        <w:t xml:space="preserve">hough the PUCO approved this Stipulation, </w:t>
      </w:r>
      <w:r>
        <w:rPr>
          <w:lang w:val="en-US"/>
        </w:rPr>
        <w:t>it also</w:t>
      </w:r>
      <w:r w:rsidR="003428F8">
        <w:rPr>
          <w:lang w:val="en-US"/>
        </w:rPr>
        <w:t xml:space="preserve"> found that </w:t>
      </w:r>
      <w:r w:rsidR="00182EB7">
        <w:rPr>
          <w:lang w:val="en-US"/>
        </w:rPr>
        <w:t>“</w:t>
      </w:r>
      <w:r w:rsidR="003428F8">
        <w:rPr>
          <w:lang w:val="en-US"/>
        </w:rPr>
        <w:t>DP&amp;L improperly concluded, without prior Commission approval or even notice to Commission staff, what DP&amp;L believed to be the appropriate proportion of exchange fees received from CES.</w:t>
      </w:r>
      <w:r w:rsidR="00182EB7">
        <w:rPr>
          <w:lang w:val="en-US"/>
        </w:rPr>
        <w:t>”</w:t>
      </w:r>
      <w:r w:rsidR="003428F8">
        <w:rPr>
          <w:rStyle w:val="FootnoteReference"/>
          <w:lang w:val="en-US"/>
        </w:rPr>
        <w:footnoteReference w:id="46"/>
      </w:r>
      <w:r>
        <w:rPr>
          <w:lang w:val="en-US"/>
        </w:rPr>
        <w:t xml:space="preserve">  </w:t>
      </w:r>
    </w:p>
    <w:p w:rsidR="003428F8" w:rsidRDefault="00AC0675" w:rsidP="0055180A">
      <w:pPr>
        <w:pStyle w:val="BodyText"/>
        <w:spacing w:after="0" w:line="480" w:lineRule="auto"/>
        <w:ind w:firstLine="720"/>
        <w:rPr>
          <w:lang w:val="en-US"/>
        </w:rPr>
      </w:pPr>
      <w:r>
        <w:rPr>
          <w:lang w:val="en-US"/>
        </w:rPr>
        <w:t>The PUCO</w:t>
      </w:r>
      <w:r w:rsidR="009739F6">
        <w:rPr>
          <w:lang w:val="en-US"/>
        </w:rPr>
        <w:t xml:space="preserve"> </w:t>
      </w:r>
      <w:r>
        <w:rPr>
          <w:lang w:val="en-US"/>
        </w:rPr>
        <w:t xml:space="preserve">emphasized that the benefit of all </w:t>
      </w:r>
      <w:r w:rsidR="001A3DD2">
        <w:rPr>
          <w:lang w:val="en-US"/>
        </w:rPr>
        <w:t xml:space="preserve">future </w:t>
      </w:r>
      <w:r>
        <w:rPr>
          <w:lang w:val="en-US"/>
        </w:rPr>
        <w:t>pipeline capacity/asset management arrangements must be credited to</w:t>
      </w:r>
      <w:r w:rsidR="004E7C6C">
        <w:rPr>
          <w:lang w:val="en-US"/>
        </w:rPr>
        <w:t xml:space="preserve"> (benefit)</w:t>
      </w:r>
      <w:r>
        <w:rPr>
          <w:lang w:val="en-US"/>
        </w:rPr>
        <w:t xml:space="preserve"> GCR customers, unless otherwise approved by the PUCO.</w:t>
      </w:r>
      <w:r>
        <w:rPr>
          <w:rStyle w:val="FootnoteReference"/>
          <w:lang w:val="en-US"/>
        </w:rPr>
        <w:footnoteReference w:id="47"/>
      </w:r>
      <w:r>
        <w:rPr>
          <w:lang w:val="en-US"/>
        </w:rPr>
        <w:t xml:space="preserve">  The PUCO ultimately adopted the 20 percent sharing mechanism in 00-120-GA-FOR because it determined that the difficulty and delays that reopening case would be contrary to the public interest.</w:t>
      </w:r>
      <w:r>
        <w:rPr>
          <w:rStyle w:val="FootnoteReference"/>
          <w:lang w:val="en-US"/>
        </w:rPr>
        <w:footnoteReference w:id="48"/>
      </w:r>
      <w:r w:rsidR="00270F89">
        <w:rPr>
          <w:lang w:val="en-US"/>
        </w:rPr>
        <w:t xml:space="preserve">  Thus,</w:t>
      </w:r>
      <w:r w:rsidR="00495FCA">
        <w:rPr>
          <w:lang w:val="en-US"/>
        </w:rPr>
        <w:t xml:space="preserve"> the PUCO did not approve the </w:t>
      </w:r>
      <w:r w:rsidR="00270F89">
        <w:rPr>
          <w:lang w:val="en-US"/>
        </w:rPr>
        <w:t xml:space="preserve">sharing mechanism because it found the percentages to be </w:t>
      </w:r>
      <w:r w:rsidR="001A3DD2">
        <w:rPr>
          <w:lang w:val="en-US"/>
        </w:rPr>
        <w:t>appropriate</w:t>
      </w:r>
      <w:r w:rsidR="005945F3">
        <w:rPr>
          <w:lang w:val="en-US"/>
        </w:rPr>
        <w:t xml:space="preserve">. </w:t>
      </w:r>
      <w:r w:rsidR="001A3DD2">
        <w:rPr>
          <w:lang w:val="en-US"/>
        </w:rPr>
        <w:t xml:space="preserve"> </w:t>
      </w:r>
      <w:r w:rsidR="005945F3">
        <w:rPr>
          <w:lang w:val="en-US"/>
        </w:rPr>
        <w:t>It</w:t>
      </w:r>
      <w:r w:rsidR="00270F89">
        <w:rPr>
          <w:lang w:val="en-US"/>
        </w:rPr>
        <w:t xml:space="preserve"> did so because of the possible harm that delay</w:t>
      </w:r>
      <w:r w:rsidR="001A3DD2">
        <w:rPr>
          <w:lang w:val="en-US"/>
        </w:rPr>
        <w:t xml:space="preserve"> in approval</w:t>
      </w:r>
      <w:r w:rsidR="00270F89">
        <w:rPr>
          <w:lang w:val="en-US"/>
        </w:rPr>
        <w:t xml:space="preserve"> could cause the public.</w:t>
      </w:r>
      <w:r w:rsidR="009739F6">
        <w:rPr>
          <w:lang w:val="en-US"/>
        </w:rPr>
        <w:t xml:space="preserve">  The purpose </w:t>
      </w:r>
      <w:r w:rsidR="007055DD">
        <w:rPr>
          <w:lang w:val="en-US"/>
        </w:rPr>
        <w:t xml:space="preserve">for which </w:t>
      </w:r>
      <w:r w:rsidR="009739F6">
        <w:rPr>
          <w:lang w:val="en-US"/>
        </w:rPr>
        <w:t xml:space="preserve">the PUCO cites </w:t>
      </w:r>
      <w:r w:rsidR="007055DD">
        <w:rPr>
          <w:lang w:val="en-US"/>
        </w:rPr>
        <w:t>to</w:t>
      </w:r>
      <w:r w:rsidR="003D39E6">
        <w:rPr>
          <w:lang w:val="en-US"/>
        </w:rPr>
        <w:t xml:space="preserve"> the July 17 entry </w:t>
      </w:r>
      <w:r w:rsidR="009739F6">
        <w:rPr>
          <w:lang w:val="en-US"/>
        </w:rPr>
        <w:t>to 00-120-GA-FOR (to show that the PUCO has found an 80/20 revenue sharing to be appropriate</w:t>
      </w:r>
      <w:r w:rsidR="00E26A94">
        <w:rPr>
          <w:lang w:val="en-US"/>
        </w:rPr>
        <w:t xml:space="preserve"> in the past</w:t>
      </w:r>
      <w:r w:rsidR="009739F6">
        <w:rPr>
          <w:lang w:val="en-US"/>
        </w:rPr>
        <w:t>) is not supported by the actual facts of 00-120-GA-FOR.</w:t>
      </w:r>
      <w:r w:rsidR="00495FCA">
        <w:rPr>
          <w:lang w:val="en-US"/>
        </w:rPr>
        <w:t xml:space="preserve">  </w:t>
      </w:r>
      <w:r w:rsidR="00E26A94">
        <w:rPr>
          <w:lang w:val="en-US"/>
        </w:rPr>
        <w:t>This case certainly does not support the PUCO’s decision that an 80/20 sharing is appropriate for the current proceeding.</w:t>
      </w:r>
    </w:p>
    <w:p w:rsidR="004E7C6C" w:rsidRDefault="00AC0675" w:rsidP="0055180A">
      <w:pPr>
        <w:pStyle w:val="BodyText"/>
        <w:spacing w:after="0" w:line="480" w:lineRule="auto"/>
        <w:ind w:firstLine="720"/>
        <w:rPr>
          <w:lang w:val="en-US"/>
        </w:rPr>
      </w:pPr>
      <w:r>
        <w:rPr>
          <w:lang w:val="en-US"/>
        </w:rPr>
        <w:t>The PUCO also cites to testimony by Staff Witness Scheck in support of its finding.</w:t>
      </w:r>
      <w:r w:rsidR="009739F6">
        <w:rPr>
          <w:rStyle w:val="FootnoteReference"/>
          <w:lang w:val="en-US"/>
        </w:rPr>
        <w:footnoteReference w:id="49"/>
      </w:r>
      <w:r>
        <w:rPr>
          <w:lang w:val="en-US"/>
        </w:rPr>
        <w:t xml:space="preserve">  But examination of Witness Scheck</w:t>
      </w:r>
      <w:r w:rsidR="00182EB7">
        <w:rPr>
          <w:lang w:val="en-US"/>
        </w:rPr>
        <w:t>’</w:t>
      </w:r>
      <w:r>
        <w:rPr>
          <w:lang w:val="en-US"/>
        </w:rPr>
        <w:t xml:space="preserve">s prefiled testimony in this proceeding </w:t>
      </w:r>
      <w:r w:rsidR="00270F89">
        <w:rPr>
          <w:lang w:val="en-US"/>
        </w:rPr>
        <w:t>confirms</w:t>
      </w:r>
      <w:r>
        <w:rPr>
          <w:lang w:val="en-US"/>
        </w:rPr>
        <w:t xml:space="preserve"> that </w:t>
      </w:r>
      <w:r w:rsidR="001A3DD2">
        <w:rPr>
          <w:lang w:val="en-US"/>
        </w:rPr>
        <w:t>Mr. Scheck</w:t>
      </w:r>
      <w:r>
        <w:rPr>
          <w:lang w:val="en-US"/>
        </w:rPr>
        <w:t xml:space="preserve"> did not make a specific recommendation as to PJM auction revenue sharing</w:t>
      </w:r>
      <w:r w:rsidR="005945F3">
        <w:rPr>
          <w:lang w:val="en-US"/>
        </w:rPr>
        <w:t>. I</w:t>
      </w:r>
      <w:r w:rsidR="00270F89">
        <w:rPr>
          <w:lang w:val="en-US"/>
        </w:rPr>
        <w:t>nstead</w:t>
      </w:r>
      <w:r w:rsidR="005945F3">
        <w:rPr>
          <w:lang w:val="en-US"/>
        </w:rPr>
        <w:t>,</w:t>
      </w:r>
      <w:r w:rsidR="00270F89">
        <w:rPr>
          <w:lang w:val="en-US"/>
        </w:rPr>
        <w:t xml:space="preserve"> he offered </w:t>
      </w:r>
      <w:r w:rsidR="00182EB7">
        <w:rPr>
          <w:lang w:val="en-US"/>
        </w:rPr>
        <w:t>“</w:t>
      </w:r>
      <w:r w:rsidR="00270F89">
        <w:rPr>
          <w:lang w:val="en-US"/>
        </w:rPr>
        <w:t>revenue sharing</w:t>
      </w:r>
      <w:r w:rsidR="00182EB7">
        <w:rPr>
          <w:lang w:val="en-US"/>
        </w:rPr>
        <w:t>”</w:t>
      </w:r>
      <w:r w:rsidR="00270F89">
        <w:rPr>
          <w:lang w:val="en-US"/>
        </w:rPr>
        <w:t xml:space="preserve"> as one potential option to mitigate risk</w:t>
      </w:r>
      <w:r>
        <w:rPr>
          <w:lang w:val="en-US"/>
        </w:rPr>
        <w:t>.</w:t>
      </w:r>
      <w:r w:rsidR="00270F89">
        <w:rPr>
          <w:lang w:val="en-US"/>
        </w:rPr>
        <w:t xml:space="preserve">  </w:t>
      </w:r>
      <w:r w:rsidR="009739F6">
        <w:rPr>
          <w:lang w:val="en-US"/>
        </w:rPr>
        <w:t>Witness Scheck also testified that r</w:t>
      </w:r>
      <w:r w:rsidR="00270F89">
        <w:rPr>
          <w:lang w:val="en-US"/>
        </w:rPr>
        <w:t>equiring the Utilities to bid 75% of planned resources was another way</w:t>
      </w:r>
      <w:r w:rsidR="009739F6">
        <w:rPr>
          <w:lang w:val="en-US"/>
        </w:rPr>
        <w:t xml:space="preserve"> </w:t>
      </w:r>
      <w:r w:rsidR="00270F89">
        <w:rPr>
          <w:lang w:val="en-US"/>
        </w:rPr>
        <w:t>to mitigate risk.</w:t>
      </w:r>
      <w:r w:rsidR="009739F6">
        <w:rPr>
          <w:rStyle w:val="FootnoteReference"/>
          <w:lang w:val="en-US"/>
        </w:rPr>
        <w:footnoteReference w:id="50"/>
      </w:r>
      <w:r>
        <w:rPr>
          <w:lang w:val="en-US"/>
        </w:rPr>
        <w:t xml:space="preserve">  </w:t>
      </w:r>
      <w:r w:rsidR="001A3DD2">
        <w:rPr>
          <w:lang w:val="en-US"/>
        </w:rPr>
        <w:t>He</w:t>
      </w:r>
      <w:r>
        <w:rPr>
          <w:lang w:val="en-US"/>
        </w:rPr>
        <w:t xml:space="preserve"> stated that </w:t>
      </w:r>
      <w:r w:rsidR="00182EB7">
        <w:rPr>
          <w:lang w:val="en-US"/>
        </w:rPr>
        <w:t>“</w:t>
      </w:r>
      <w:r>
        <w:rPr>
          <w:lang w:val="en-US"/>
        </w:rPr>
        <w:t>it is possible that [FirstEnergy] could share in any revenues from the PJM auctions so long as the amount cleared and delivered into PJM exceeded the annual peak demand reduction benchmark for an FE Operating Company.</w:t>
      </w:r>
      <w:r w:rsidR="00182EB7">
        <w:rPr>
          <w:lang w:val="en-US"/>
        </w:rPr>
        <w:t>”</w:t>
      </w:r>
      <w:r>
        <w:rPr>
          <w:rStyle w:val="FootnoteReference"/>
          <w:lang w:val="en-US"/>
        </w:rPr>
        <w:footnoteReference w:id="51"/>
      </w:r>
      <w:r>
        <w:rPr>
          <w:lang w:val="en-US"/>
        </w:rPr>
        <w:t xml:space="preserve">  </w:t>
      </w:r>
    </w:p>
    <w:p w:rsidR="00AC0675" w:rsidRDefault="00AC0675" w:rsidP="0055180A">
      <w:pPr>
        <w:pStyle w:val="BodyText"/>
        <w:spacing w:after="0" w:line="480" w:lineRule="auto"/>
        <w:ind w:firstLine="720"/>
        <w:rPr>
          <w:lang w:val="en-US"/>
        </w:rPr>
      </w:pPr>
      <w:r>
        <w:rPr>
          <w:lang w:val="en-US"/>
        </w:rPr>
        <w:t xml:space="preserve">But </w:t>
      </w:r>
      <w:r w:rsidR="004E7C6C">
        <w:rPr>
          <w:lang w:val="en-US"/>
        </w:rPr>
        <w:t xml:space="preserve">Staff Witness Scheck </w:t>
      </w:r>
      <w:r>
        <w:rPr>
          <w:lang w:val="en-US"/>
        </w:rPr>
        <w:t>did not expound on this recommendation</w:t>
      </w:r>
      <w:r w:rsidR="00270F89">
        <w:rPr>
          <w:lang w:val="en-US"/>
        </w:rPr>
        <w:t xml:space="preserve"> or explain </w:t>
      </w:r>
      <w:r w:rsidR="00495FCA">
        <w:rPr>
          <w:lang w:val="en-US"/>
        </w:rPr>
        <w:t>in what context</w:t>
      </w:r>
      <w:r w:rsidR="00270F89">
        <w:rPr>
          <w:lang w:val="en-US"/>
        </w:rPr>
        <w:t xml:space="preserve"> such sharing would actually be appropriate.  </w:t>
      </w:r>
      <w:r>
        <w:rPr>
          <w:lang w:val="en-US"/>
        </w:rPr>
        <w:t xml:space="preserve">He did not specify whether sharing would </w:t>
      </w:r>
      <w:r w:rsidR="001A3DD2">
        <w:rPr>
          <w:lang w:val="en-US"/>
        </w:rPr>
        <w:t xml:space="preserve">even </w:t>
      </w:r>
      <w:r>
        <w:rPr>
          <w:lang w:val="en-US"/>
        </w:rPr>
        <w:t>be necessary if the Utilities were only required to bid 75 percent of planned resources rather than 100 percent</w:t>
      </w:r>
      <w:r w:rsidR="00270F89">
        <w:rPr>
          <w:lang w:val="en-US"/>
        </w:rPr>
        <w:t>, as is the case here</w:t>
      </w:r>
      <w:r>
        <w:rPr>
          <w:lang w:val="en-US"/>
        </w:rPr>
        <w:t xml:space="preserve">. </w:t>
      </w:r>
      <w:r w:rsidR="006B0993">
        <w:rPr>
          <w:lang w:val="en-US"/>
        </w:rPr>
        <w:t xml:space="preserve"> He </w:t>
      </w:r>
      <w:r w:rsidR="001A26D4">
        <w:rPr>
          <w:lang w:val="en-US"/>
        </w:rPr>
        <w:t xml:space="preserve">also </w:t>
      </w:r>
      <w:r w:rsidR="00270F89">
        <w:rPr>
          <w:lang w:val="en-US"/>
        </w:rPr>
        <w:t xml:space="preserve">did not recommend </w:t>
      </w:r>
      <w:r w:rsidR="006B0993">
        <w:rPr>
          <w:lang w:val="en-US"/>
        </w:rPr>
        <w:t>an 80/20 sharing</w:t>
      </w:r>
      <w:r w:rsidR="001A3DD2">
        <w:rPr>
          <w:lang w:val="en-US"/>
        </w:rPr>
        <w:t xml:space="preserve"> mechanism</w:t>
      </w:r>
      <w:r w:rsidR="00270F89">
        <w:rPr>
          <w:lang w:val="en-US"/>
        </w:rPr>
        <w:t xml:space="preserve">.  </w:t>
      </w:r>
      <w:r w:rsidR="001A26D4">
        <w:rPr>
          <w:lang w:val="en-US"/>
        </w:rPr>
        <w:t>Notably, t</w:t>
      </w:r>
      <w:r w:rsidR="006B0993">
        <w:rPr>
          <w:lang w:val="en-US"/>
        </w:rPr>
        <w:t xml:space="preserve">he PUCO Staff did not </w:t>
      </w:r>
      <w:r w:rsidR="00243749">
        <w:rPr>
          <w:lang w:val="en-US"/>
        </w:rPr>
        <w:t>explain</w:t>
      </w:r>
      <w:r w:rsidR="000A0120">
        <w:rPr>
          <w:lang w:val="en-US"/>
        </w:rPr>
        <w:t xml:space="preserve"> and/or make</w:t>
      </w:r>
      <w:r w:rsidR="006B0993">
        <w:rPr>
          <w:lang w:val="en-US"/>
        </w:rPr>
        <w:t xml:space="preserve"> this recommendation in </w:t>
      </w:r>
      <w:r w:rsidR="005945F3">
        <w:rPr>
          <w:lang w:val="en-US"/>
        </w:rPr>
        <w:t xml:space="preserve">its </w:t>
      </w:r>
      <w:r w:rsidR="006B0993">
        <w:rPr>
          <w:lang w:val="en-US"/>
        </w:rPr>
        <w:t>Initial or Reply briefs in this case</w:t>
      </w:r>
      <w:r w:rsidR="005945F3">
        <w:rPr>
          <w:lang w:val="en-US"/>
        </w:rPr>
        <w:t xml:space="preserve">.  </w:t>
      </w:r>
      <w:r w:rsidR="005B21C4">
        <w:rPr>
          <w:lang w:val="en-US"/>
        </w:rPr>
        <w:t>Staff Witness Scheck</w:t>
      </w:r>
      <w:r w:rsidR="00182EB7">
        <w:rPr>
          <w:lang w:val="en-US"/>
        </w:rPr>
        <w:t>’</w:t>
      </w:r>
      <w:r w:rsidR="005B21C4">
        <w:rPr>
          <w:lang w:val="en-US"/>
        </w:rPr>
        <w:t xml:space="preserve">s </w:t>
      </w:r>
      <w:r w:rsidR="004E2E6B">
        <w:rPr>
          <w:lang w:val="en-US"/>
        </w:rPr>
        <w:t xml:space="preserve">direct </w:t>
      </w:r>
      <w:r w:rsidR="005B21C4">
        <w:rPr>
          <w:lang w:val="en-US"/>
        </w:rPr>
        <w:t>testimony does not support the PUCO</w:t>
      </w:r>
      <w:r w:rsidR="00182EB7">
        <w:rPr>
          <w:lang w:val="en-US"/>
        </w:rPr>
        <w:t>’</w:t>
      </w:r>
      <w:r w:rsidR="005B21C4">
        <w:rPr>
          <w:lang w:val="en-US"/>
        </w:rPr>
        <w:t>s finding that a revenue sharing pilot program is appropriate.</w:t>
      </w:r>
      <w:r w:rsidR="00243749">
        <w:rPr>
          <w:lang w:val="en-US"/>
        </w:rPr>
        <w:t xml:space="preserve">  </w:t>
      </w:r>
    </w:p>
    <w:p w:rsidR="00711BD5" w:rsidRPr="00B64E66" w:rsidRDefault="00115F4F" w:rsidP="00B64E66">
      <w:pPr>
        <w:pStyle w:val="BodyText"/>
        <w:spacing w:line="480" w:lineRule="auto"/>
        <w:ind w:firstLine="720"/>
      </w:pPr>
      <w:r>
        <w:rPr>
          <w:lang w:val="en-US"/>
        </w:rPr>
        <w:t>PUCO S</w:t>
      </w:r>
      <w:r w:rsidR="00FE6C46">
        <w:rPr>
          <w:lang w:val="en-US"/>
        </w:rPr>
        <w:t>taff w</w:t>
      </w:r>
      <w:r w:rsidR="000C6406">
        <w:rPr>
          <w:lang w:val="en-US"/>
        </w:rPr>
        <w:t>itness Scheck was examined on this issue</w:t>
      </w:r>
      <w:r w:rsidR="000338E1">
        <w:rPr>
          <w:lang w:val="en-US"/>
        </w:rPr>
        <w:t xml:space="preserve"> during the evidentiary hearing</w:t>
      </w:r>
      <w:r w:rsidR="00083B13">
        <w:rPr>
          <w:lang w:val="en-US"/>
        </w:rPr>
        <w:t xml:space="preserve"> by </w:t>
      </w:r>
      <w:r w:rsidR="00D430C6">
        <w:rPr>
          <w:lang w:val="en-US"/>
        </w:rPr>
        <w:t>an</w:t>
      </w:r>
      <w:r w:rsidR="00083B13">
        <w:rPr>
          <w:lang w:val="en-US"/>
        </w:rPr>
        <w:t xml:space="preserve"> attorney examiner</w:t>
      </w:r>
      <w:r>
        <w:rPr>
          <w:lang w:val="en-US"/>
        </w:rPr>
        <w:t>.</w:t>
      </w:r>
      <w:r w:rsidR="000C6406">
        <w:rPr>
          <w:lang w:val="en-US"/>
        </w:rPr>
        <w:t xml:space="preserve"> </w:t>
      </w:r>
      <w:r w:rsidR="00C906F6">
        <w:rPr>
          <w:lang w:val="en-US"/>
        </w:rPr>
        <w:t xml:space="preserve"> </w:t>
      </w:r>
      <w:r>
        <w:rPr>
          <w:lang w:val="en-US"/>
        </w:rPr>
        <w:t xml:space="preserve">The Examiner asked him to </w:t>
      </w:r>
      <w:r w:rsidR="000338E1">
        <w:rPr>
          <w:lang w:val="en-US"/>
        </w:rPr>
        <w:t>acknowledge</w:t>
      </w:r>
      <w:r w:rsidR="000C6406">
        <w:rPr>
          <w:lang w:val="en-US"/>
        </w:rPr>
        <w:t xml:space="preserve"> that </w:t>
      </w:r>
      <w:r w:rsidR="000338E1">
        <w:rPr>
          <w:lang w:val="en-US"/>
        </w:rPr>
        <w:t xml:space="preserve">the result of </w:t>
      </w:r>
      <w:r w:rsidR="000C6406">
        <w:rPr>
          <w:lang w:val="en-US"/>
        </w:rPr>
        <w:t xml:space="preserve">a 90/10 </w:t>
      </w:r>
      <w:r w:rsidR="000338E1">
        <w:rPr>
          <w:lang w:val="en-US"/>
        </w:rPr>
        <w:t xml:space="preserve">revenue </w:t>
      </w:r>
      <w:r w:rsidR="000C6406">
        <w:rPr>
          <w:lang w:val="en-US"/>
        </w:rPr>
        <w:t xml:space="preserve">sharing could </w:t>
      </w:r>
      <w:r w:rsidR="000338E1">
        <w:rPr>
          <w:lang w:val="en-US"/>
        </w:rPr>
        <w:t xml:space="preserve">likely be </w:t>
      </w:r>
      <w:r w:rsidR="00182EB7">
        <w:rPr>
          <w:lang w:val="en-US"/>
        </w:rPr>
        <w:t>“</w:t>
      </w:r>
      <w:r w:rsidR="000338E1">
        <w:rPr>
          <w:lang w:val="en-US"/>
        </w:rPr>
        <w:t>substantially more</w:t>
      </w:r>
      <w:r w:rsidR="00182EB7">
        <w:rPr>
          <w:lang w:val="en-US"/>
        </w:rPr>
        <w:t>”</w:t>
      </w:r>
      <w:r w:rsidR="000338E1">
        <w:rPr>
          <w:lang w:val="en-US"/>
        </w:rPr>
        <w:t xml:space="preserve"> than the maximum shared savings the Utilities could earn.</w:t>
      </w:r>
      <w:r w:rsidR="000338E1">
        <w:rPr>
          <w:rStyle w:val="FootnoteReference"/>
          <w:lang w:val="en-US"/>
        </w:rPr>
        <w:footnoteReference w:id="52"/>
      </w:r>
      <w:r w:rsidR="004E2E6B">
        <w:rPr>
          <w:lang w:val="en-US"/>
        </w:rPr>
        <w:t xml:space="preserve">  </w:t>
      </w:r>
      <w:r w:rsidR="00495FCA">
        <w:rPr>
          <w:lang w:val="en-US"/>
        </w:rPr>
        <w:t xml:space="preserve">And </w:t>
      </w:r>
      <w:r>
        <w:rPr>
          <w:lang w:val="en-US"/>
        </w:rPr>
        <w:t>t</w:t>
      </w:r>
      <w:r w:rsidR="00E26A94">
        <w:rPr>
          <w:lang w:val="en-US"/>
        </w:rPr>
        <w:t>he E</w:t>
      </w:r>
      <w:r w:rsidR="00495FCA">
        <w:rPr>
          <w:lang w:val="en-US"/>
        </w:rPr>
        <w:t xml:space="preserve">xaminer asked Witness Scheck to </w:t>
      </w:r>
      <w:r w:rsidR="00182EB7">
        <w:rPr>
          <w:lang w:val="en-US"/>
        </w:rPr>
        <w:t>“</w:t>
      </w:r>
      <w:r w:rsidR="00495FCA">
        <w:rPr>
          <w:lang w:val="en-US"/>
        </w:rPr>
        <w:t>suggest a way to mitigate [FirstEnergy</w:t>
      </w:r>
      <w:r w:rsidR="00182EB7">
        <w:rPr>
          <w:lang w:val="en-US"/>
        </w:rPr>
        <w:t>’</w:t>
      </w:r>
      <w:r w:rsidR="00495FCA">
        <w:rPr>
          <w:lang w:val="en-US"/>
        </w:rPr>
        <w:t>s] performance risk</w:t>
      </w:r>
      <w:r>
        <w:rPr>
          <w:lang w:val="en-US"/>
        </w:rPr>
        <w:t>.</w:t>
      </w:r>
      <w:r w:rsidR="00182EB7">
        <w:rPr>
          <w:lang w:val="en-US"/>
        </w:rPr>
        <w:t>”</w:t>
      </w:r>
      <w:r w:rsidR="00495FCA">
        <w:rPr>
          <w:lang w:val="en-US"/>
        </w:rPr>
        <w:t xml:space="preserve"> Mr. Scheck responded by saying </w:t>
      </w:r>
      <w:r w:rsidR="00182EB7">
        <w:rPr>
          <w:lang w:val="en-US"/>
        </w:rPr>
        <w:t>“</w:t>
      </w:r>
      <w:r w:rsidR="00495FCA">
        <w:rPr>
          <w:lang w:val="en-US"/>
        </w:rPr>
        <w:t>I think I already put it down, 75 percent of whatever you can qualify and that you can claim would be a way to mitigate the risk.</w:t>
      </w:r>
      <w:r w:rsidR="00182EB7">
        <w:rPr>
          <w:lang w:val="en-US"/>
        </w:rPr>
        <w:t>”</w:t>
      </w:r>
      <w:r w:rsidR="00495FCA">
        <w:rPr>
          <w:rStyle w:val="FootnoteReference"/>
          <w:lang w:val="en-US"/>
        </w:rPr>
        <w:footnoteReference w:id="53"/>
      </w:r>
      <w:r w:rsidR="00495FCA">
        <w:rPr>
          <w:lang w:val="en-US"/>
        </w:rPr>
        <w:t xml:space="preserve">  The </w:t>
      </w:r>
      <w:r w:rsidR="00E26A94">
        <w:rPr>
          <w:lang w:val="en-US"/>
        </w:rPr>
        <w:t>Examiner</w:t>
      </w:r>
      <w:r w:rsidR="00495FCA">
        <w:rPr>
          <w:lang w:val="en-US"/>
        </w:rPr>
        <w:t xml:space="preserve"> then asked Mr. Scheck about revenue sharing and Mr. Scheck acknowledged that he did not have a </w:t>
      </w:r>
      <w:r w:rsidR="00182EB7">
        <w:rPr>
          <w:lang w:val="en-US"/>
        </w:rPr>
        <w:t>“</w:t>
      </w:r>
      <w:r w:rsidR="00495FCA">
        <w:rPr>
          <w:lang w:val="en-US"/>
        </w:rPr>
        <w:t>prescribed amount</w:t>
      </w:r>
      <w:r w:rsidR="00182EB7">
        <w:rPr>
          <w:lang w:val="en-US"/>
        </w:rPr>
        <w:t>”</w:t>
      </w:r>
      <w:r w:rsidR="00495FCA">
        <w:rPr>
          <w:lang w:val="en-US"/>
        </w:rPr>
        <w:t xml:space="preserve"> that would be appropriate.</w:t>
      </w:r>
      <w:r w:rsidR="00495FCA">
        <w:rPr>
          <w:rStyle w:val="FootnoteReference"/>
          <w:lang w:val="en-US"/>
        </w:rPr>
        <w:footnoteReference w:id="54"/>
      </w:r>
      <w:r w:rsidR="00495FCA">
        <w:rPr>
          <w:lang w:val="en-US"/>
        </w:rPr>
        <w:t xml:space="preserve">  </w:t>
      </w:r>
      <w:r w:rsidR="008D2BDB">
        <w:rPr>
          <w:lang w:val="en-US"/>
        </w:rPr>
        <w:t xml:space="preserve">Then </w:t>
      </w:r>
      <w:r w:rsidR="000338E1">
        <w:rPr>
          <w:lang w:val="en-US"/>
        </w:rPr>
        <w:t>the PUCO</w:t>
      </w:r>
      <w:r w:rsidR="000A0120">
        <w:rPr>
          <w:lang w:val="en-US"/>
        </w:rPr>
        <w:t xml:space="preserve"> used </w:t>
      </w:r>
      <w:r w:rsidR="008D2BDB">
        <w:rPr>
          <w:lang w:val="en-US"/>
        </w:rPr>
        <w:t>these responses from Mr. Scheck</w:t>
      </w:r>
      <w:r w:rsidR="00FA2C51">
        <w:rPr>
          <w:lang w:val="en-US"/>
        </w:rPr>
        <w:t xml:space="preserve"> (to the Attorney Examiner</w:t>
      </w:r>
      <w:r w:rsidR="00182EB7">
        <w:rPr>
          <w:lang w:val="en-US"/>
        </w:rPr>
        <w:t>’</w:t>
      </w:r>
      <w:r w:rsidR="00FA2C51">
        <w:rPr>
          <w:lang w:val="en-US"/>
        </w:rPr>
        <w:t>s questions)</w:t>
      </w:r>
      <w:r w:rsidR="000A0120">
        <w:rPr>
          <w:lang w:val="en-US"/>
        </w:rPr>
        <w:t xml:space="preserve"> </w:t>
      </w:r>
      <w:r w:rsidR="004E2E6B">
        <w:rPr>
          <w:lang w:val="en-US"/>
        </w:rPr>
        <w:t>in its July 17 Entry</w:t>
      </w:r>
      <w:r w:rsidR="000A0120">
        <w:rPr>
          <w:lang w:val="en-US"/>
        </w:rPr>
        <w:t xml:space="preserve"> to support its</w:t>
      </w:r>
      <w:r w:rsidR="000338E1">
        <w:rPr>
          <w:lang w:val="en-US"/>
        </w:rPr>
        <w:t xml:space="preserve"> </w:t>
      </w:r>
      <w:r w:rsidR="000A0120">
        <w:rPr>
          <w:lang w:val="en-US"/>
        </w:rPr>
        <w:t>finding that customers should pay more for Rider DSE.</w:t>
      </w:r>
      <w:r w:rsidR="004E2E6B">
        <w:rPr>
          <w:lang w:val="en-US"/>
        </w:rPr>
        <w:t xml:space="preserve">  This is wrong.  The record does not support the PUCO</w:t>
      </w:r>
      <w:r w:rsidR="00182EB7">
        <w:rPr>
          <w:lang w:val="en-US"/>
        </w:rPr>
        <w:t>’</w:t>
      </w:r>
      <w:r w:rsidR="004E2E6B">
        <w:rPr>
          <w:lang w:val="en-US"/>
        </w:rPr>
        <w:t>s finding.</w:t>
      </w:r>
      <w:r w:rsidR="000A0120">
        <w:rPr>
          <w:lang w:val="en-US"/>
        </w:rPr>
        <w:t xml:space="preserve">  </w:t>
      </w:r>
    </w:p>
    <w:p w:rsidR="00B44839" w:rsidRDefault="00B44839" w:rsidP="0055180A">
      <w:pPr>
        <w:pStyle w:val="BodyText"/>
        <w:spacing w:after="0" w:line="480" w:lineRule="auto"/>
        <w:ind w:firstLine="720"/>
        <w:rPr>
          <w:lang w:val="en-US"/>
        </w:rPr>
      </w:pPr>
      <w:r>
        <w:rPr>
          <w:lang w:val="en-US"/>
        </w:rPr>
        <w:t xml:space="preserve">A legion of cases establishes that the PUCO abuses its discretion if it renders an opinion on an issue without a record </w:t>
      </w:r>
      <w:r w:rsidR="003D252F">
        <w:rPr>
          <w:lang w:val="en-US"/>
        </w:rPr>
        <w:t xml:space="preserve">in </w:t>
      </w:r>
      <w:r>
        <w:rPr>
          <w:lang w:val="en-US"/>
        </w:rPr>
        <w:t>support.</w:t>
      </w:r>
      <w:r>
        <w:rPr>
          <w:rStyle w:val="FootnoteReference"/>
          <w:lang w:val="en-US"/>
        </w:rPr>
        <w:footnoteReference w:id="55"/>
      </w:r>
      <w:r w:rsidR="009126F6">
        <w:rPr>
          <w:lang w:val="en-US"/>
        </w:rPr>
        <w:t xml:space="preserve"> </w:t>
      </w:r>
      <w:r w:rsidR="003D39E6">
        <w:rPr>
          <w:lang w:val="en-US"/>
        </w:rPr>
        <w:t xml:space="preserve"> </w:t>
      </w:r>
      <w:r>
        <w:rPr>
          <w:lang w:val="en-US"/>
        </w:rPr>
        <w:t>The need for record support is mandated under R.C. 4903.09.</w:t>
      </w:r>
      <w:r w:rsidR="00564391">
        <w:rPr>
          <w:lang w:val="en-US"/>
        </w:rPr>
        <w:t xml:space="preserve">  Under R.C. 4903.09 in all contested cases heard, the PUCO </w:t>
      </w:r>
      <w:r w:rsidR="00182EB7">
        <w:rPr>
          <w:lang w:val="en-US"/>
        </w:rPr>
        <w:t>“</w:t>
      </w:r>
      <w:r w:rsidR="00564391">
        <w:rPr>
          <w:lang w:val="en-US"/>
        </w:rPr>
        <w:t>shall file, with records of such cases, finding of fact and written opinions setting forth the reasons prompting the decisions arrived at, based upon said findings of fact.</w:t>
      </w:r>
      <w:r w:rsidR="00182EB7">
        <w:rPr>
          <w:lang w:val="en-US"/>
        </w:rPr>
        <w:t>”</w:t>
      </w:r>
      <w:r w:rsidR="00564391">
        <w:rPr>
          <w:lang w:val="en-US"/>
        </w:rPr>
        <w:t xml:space="preserve">  Some factual support for </w:t>
      </w:r>
      <w:r w:rsidR="000A0120">
        <w:rPr>
          <w:lang w:val="en-US"/>
        </w:rPr>
        <w:t>PUCO</w:t>
      </w:r>
      <w:r w:rsidR="00564391">
        <w:rPr>
          <w:lang w:val="en-US"/>
        </w:rPr>
        <w:t xml:space="preserve"> determinations must exist in the record, an obligation which the </w:t>
      </w:r>
      <w:r w:rsidR="000A0120">
        <w:rPr>
          <w:lang w:val="en-US"/>
        </w:rPr>
        <w:t>PUCO</w:t>
      </w:r>
      <w:r w:rsidR="00564391">
        <w:rPr>
          <w:lang w:val="en-US"/>
        </w:rPr>
        <w:t xml:space="preserve"> itself has recognized in its orders.</w:t>
      </w:r>
      <w:r w:rsidR="00564391">
        <w:rPr>
          <w:rStyle w:val="FootnoteReference"/>
          <w:lang w:val="en-US"/>
        </w:rPr>
        <w:footnoteReference w:id="56"/>
      </w:r>
    </w:p>
    <w:p w:rsidR="00564391" w:rsidRDefault="00564391" w:rsidP="0055180A">
      <w:pPr>
        <w:pStyle w:val="BodyText"/>
        <w:spacing w:after="0" w:line="480" w:lineRule="auto"/>
        <w:ind w:firstLine="720"/>
        <w:rPr>
          <w:lang w:val="en-US"/>
        </w:rPr>
      </w:pPr>
      <w:r>
        <w:rPr>
          <w:lang w:val="en-US"/>
        </w:rPr>
        <w:t>Without adequate facts and reasons to support the PUCO</w:t>
      </w:r>
      <w:r w:rsidR="00182EB7">
        <w:rPr>
          <w:lang w:val="en-US"/>
        </w:rPr>
        <w:t>’</w:t>
      </w:r>
      <w:r>
        <w:rPr>
          <w:lang w:val="en-US"/>
        </w:rPr>
        <w:t>s decision, the Court would not be able to determine if the Rehearing Entry is reasonable and lawful under R.C. 4903.10.  Additionally, lack of a record stymies a complaining party</w:t>
      </w:r>
      <w:r w:rsidR="00182EB7">
        <w:rPr>
          <w:lang w:val="en-US"/>
        </w:rPr>
        <w:t>’</w:t>
      </w:r>
      <w:r>
        <w:rPr>
          <w:lang w:val="en-US"/>
        </w:rPr>
        <w:t>s effort in demonstrating prejudice,</w:t>
      </w:r>
      <w:r>
        <w:rPr>
          <w:rStyle w:val="FootnoteReference"/>
          <w:lang w:val="en-US"/>
        </w:rPr>
        <w:footnoteReference w:id="57"/>
      </w:r>
      <w:r>
        <w:rPr>
          <w:lang w:val="en-US"/>
        </w:rPr>
        <w:t xml:space="preserve"> a necessary element to obtain reversal of a Commission order by the Ohio Supreme Court.</w:t>
      </w:r>
      <w:r>
        <w:rPr>
          <w:rStyle w:val="FootnoteReference"/>
          <w:lang w:val="en-US"/>
        </w:rPr>
        <w:footnoteReference w:id="58"/>
      </w:r>
      <w:r w:rsidR="005B21C4">
        <w:rPr>
          <w:lang w:val="en-US"/>
        </w:rPr>
        <w:t xml:space="preserve">  The PUCO</w:t>
      </w:r>
      <w:r w:rsidR="00182EB7">
        <w:rPr>
          <w:lang w:val="en-US"/>
        </w:rPr>
        <w:t>’</w:t>
      </w:r>
      <w:r w:rsidR="005B21C4">
        <w:rPr>
          <w:lang w:val="en-US"/>
        </w:rPr>
        <w:t>s decision</w:t>
      </w:r>
      <w:r w:rsidR="000A0120">
        <w:rPr>
          <w:lang w:val="en-US"/>
        </w:rPr>
        <w:t xml:space="preserve"> in its July 17 Entry</w:t>
      </w:r>
      <w:r w:rsidR="005B21C4">
        <w:rPr>
          <w:lang w:val="en-US"/>
        </w:rPr>
        <w:t xml:space="preserve"> is not supported by the record and rehearing should be granted.</w:t>
      </w:r>
    </w:p>
    <w:p w:rsidR="0055180A" w:rsidRPr="0055180A" w:rsidRDefault="0055180A" w:rsidP="0055180A">
      <w:pPr>
        <w:pStyle w:val="BodyText"/>
        <w:spacing w:after="0"/>
        <w:ind w:firstLine="720"/>
        <w:contextualSpacing/>
        <w:rPr>
          <w:lang w:val="en-US"/>
        </w:rPr>
      </w:pPr>
    </w:p>
    <w:p w:rsidR="00FE55AB" w:rsidRDefault="00FE55AB" w:rsidP="004A4FD9">
      <w:pPr>
        <w:pStyle w:val="Heading1"/>
      </w:pPr>
      <w:bookmarkStart w:id="40" w:name="_Toc331598712"/>
      <w:bookmarkStart w:id="41" w:name="_Toc331602829"/>
      <w:bookmarkStart w:id="42" w:name="_Toc331603314"/>
      <w:bookmarkStart w:id="43" w:name="_Toc340153716"/>
      <w:bookmarkStart w:id="44" w:name="_Toc345674401"/>
      <w:bookmarkStart w:id="45" w:name="_Toc345675359"/>
      <w:bookmarkStart w:id="46" w:name="_Toc353617289"/>
      <w:bookmarkStart w:id="47" w:name="_Toc354150649"/>
      <w:bookmarkStart w:id="48" w:name="_Toc363632584"/>
      <w:bookmarkStart w:id="49" w:name="_Toc364332208"/>
      <w:bookmarkStart w:id="50" w:name="_Toc364430705"/>
      <w:r>
        <w:t>Iv.</w:t>
      </w:r>
      <w:r>
        <w:tab/>
        <w:t>CONCLUSION</w:t>
      </w:r>
      <w:bookmarkEnd w:id="40"/>
      <w:bookmarkEnd w:id="41"/>
      <w:bookmarkEnd w:id="42"/>
      <w:bookmarkEnd w:id="43"/>
      <w:bookmarkEnd w:id="44"/>
      <w:bookmarkEnd w:id="45"/>
      <w:bookmarkEnd w:id="46"/>
      <w:bookmarkEnd w:id="47"/>
      <w:bookmarkEnd w:id="48"/>
      <w:bookmarkEnd w:id="49"/>
      <w:bookmarkEnd w:id="50"/>
    </w:p>
    <w:p w:rsidR="009277B1" w:rsidRDefault="00FE55AB" w:rsidP="009B6E7E">
      <w:pPr>
        <w:spacing w:line="480" w:lineRule="auto"/>
        <w:ind w:firstLine="720"/>
      </w:pPr>
      <w:r>
        <w:t xml:space="preserve">For the reasons stated herein, the </w:t>
      </w:r>
      <w:r w:rsidR="001A26D4">
        <w:t>PUCO</w:t>
      </w:r>
      <w:r>
        <w:t xml:space="preserve"> should grant OCC</w:t>
      </w:r>
      <w:r w:rsidR="00182EB7">
        <w:t>’</w:t>
      </w:r>
      <w:r>
        <w:t xml:space="preserve">s application for rehearing and </w:t>
      </w:r>
      <w:r w:rsidR="009277B1">
        <w:t xml:space="preserve">abrogate or </w:t>
      </w:r>
      <w:r>
        <w:t xml:space="preserve">modify its </w:t>
      </w:r>
      <w:r w:rsidR="001A26D4">
        <w:t>July 17 Entry</w:t>
      </w:r>
      <w:r w:rsidR="003D39E6">
        <w:t xml:space="preserve">. </w:t>
      </w:r>
      <w:r w:rsidR="004E73AF">
        <w:t xml:space="preserve"> </w:t>
      </w:r>
      <w:r w:rsidR="001A26D4">
        <w:t xml:space="preserve">The pilot program </w:t>
      </w:r>
      <w:r w:rsidR="009277B1">
        <w:t xml:space="preserve">that the PUCO </w:t>
      </w:r>
      <w:r w:rsidR="001A26D4">
        <w:t>approved</w:t>
      </w:r>
      <w:r w:rsidR="00FA2C51">
        <w:t xml:space="preserve"> in the July 17 Entry</w:t>
      </w:r>
      <w:r w:rsidR="001A26D4">
        <w:t xml:space="preserve"> </w:t>
      </w:r>
      <w:r w:rsidR="009277B1">
        <w:t>gave FirstEnergy some of PJM</w:t>
      </w:r>
      <w:r w:rsidR="00182EB7">
        <w:t>’</w:t>
      </w:r>
      <w:r w:rsidR="009277B1">
        <w:t>s payments for energy efficiency instead of giving consumers the full benefit of the payme</w:t>
      </w:r>
      <w:r w:rsidR="004E2E6B">
        <w:t xml:space="preserve">nts in the form of lower rates.  </w:t>
      </w:r>
      <w:r w:rsidR="009277B1">
        <w:t>But that decision</w:t>
      </w:r>
      <w:r w:rsidR="00FA2C51">
        <w:t xml:space="preserve"> to deny </w:t>
      </w:r>
      <w:r w:rsidR="007A6885">
        <w:t xml:space="preserve">benefits to </w:t>
      </w:r>
      <w:r w:rsidR="00FA2C51">
        <w:t>customer</w:t>
      </w:r>
      <w:r w:rsidR="007A6885">
        <w:t>s</w:t>
      </w:r>
      <w:r w:rsidR="00FA2C51">
        <w:t xml:space="preserve"> </w:t>
      </w:r>
      <w:r w:rsidR="009277B1">
        <w:t xml:space="preserve">was not </w:t>
      </w:r>
      <w:r w:rsidR="007A6885">
        <w:t>sought by any party in applications for rehearing.</w:t>
      </w:r>
      <w:r w:rsidR="00FA2C51">
        <w:t xml:space="preserve"> </w:t>
      </w:r>
      <w:r w:rsidR="007A6885">
        <w:t>T</w:t>
      </w:r>
      <w:r w:rsidR="0005594C">
        <w:t>hus</w:t>
      </w:r>
      <w:r w:rsidR="007A6885">
        <w:t>,</w:t>
      </w:r>
      <w:r w:rsidR="0005594C">
        <w:t xml:space="preserve"> the PUCO exceeded its jurisdictional authority</w:t>
      </w:r>
      <w:r w:rsidR="00640B42">
        <w:t xml:space="preserve"> under R.C. 4903.10</w:t>
      </w:r>
      <w:r w:rsidR="0005594C">
        <w:t xml:space="preserve"> by </w:t>
      </w:r>
      <w:r w:rsidR="009277B1">
        <w:t>addressing the issue</w:t>
      </w:r>
      <w:r w:rsidR="0005594C">
        <w:t xml:space="preserve"> in the July 17 Entry</w:t>
      </w:r>
      <w:r w:rsidR="001A26D4">
        <w:t xml:space="preserve">. </w:t>
      </w:r>
      <w:r w:rsidR="009B6E7E">
        <w:t xml:space="preserve"> </w:t>
      </w:r>
    </w:p>
    <w:p w:rsidR="006C0A25" w:rsidRDefault="00957AA5" w:rsidP="001A3404">
      <w:pPr>
        <w:spacing w:line="480" w:lineRule="auto"/>
        <w:ind w:firstLine="720"/>
        <w:rPr>
          <w:bCs/>
        </w:rPr>
      </w:pPr>
      <w:r>
        <w:t>In addition, the PUCO</w:t>
      </w:r>
      <w:r w:rsidR="00182EB7">
        <w:t>’</w:t>
      </w:r>
      <w:r>
        <w:t>s finding that an 80/20 revenue sharing pilot program is appropriate is inadequately supported</w:t>
      </w:r>
      <w:r w:rsidR="005B21C4">
        <w:t xml:space="preserve"> by the record</w:t>
      </w:r>
      <w:r w:rsidR="0005594C">
        <w:t xml:space="preserve"> and does not comply with the mandates of R.C. 4903.</w:t>
      </w:r>
      <w:r w:rsidR="004D12FC">
        <w:t>09</w:t>
      </w:r>
      <w:r w:rsidR="0045298F">
        <w:t>.</w:t>
      </w:r>
      <w:r>
        <w:t xml:space="preserve"> </w:t>
      </w:r>
      <w:r w:rsidR="009B6E7E">
        <w:t xml:space="preserve"> </w:t>
      </w:r>
      <w:r>
        <w:t>The PUCO</w:t>
      </w:r>
      <w:r w:rsidR="00182EB7">
        <w:t>’</w:t>
      </w:r>
      <w:r>
        <w:t>s decision</w:t>
      </w:r>
      <w:r w:rsidR="0005594C">
        <w:t xml:space="preserve"> </w:t>
      </w:r>
      <w:r>
        <w:t xml:space="preserve">takes benefits away from customers and provides them to the Utilities.  </w:t>
      </w:r>
      <w:r w:rsidR="007A6885">
        <w:rPr>
          <w:bCs/>
        </w:rPr>
        <w:t>The Entry should be abrogated or modified.</w:t>
      </w:r>
      <w:r w:rsidR="00FE55AB">
        <w:rPr>
          <w:bCs/>
        </w:rPr>
        <w:tab/>
      </w:r>
      <w:r w:rsidR="00FE55AB">
        <w:rPr>
          <w:bCs/>
        </w:rPr>
        <w:tab/>
      </w:r>
      <w:r w:rsidR="00FE55AB">
        <w:rPr>
          <w:bCs/>
        </w:rPr>
        <w:tab/>
      </w:r>
      <w:r w:rsidR="00FE55AB">
        <w:rPr>
          <w:bCs/>
        </w:rPr>
        <w:tab/>
      </w:r>
      <w:r w:rsidR="006241C3">
        <w:rPr>
          <w:bCs/>
        </w:rPr>
        <w:tab/>
      </w:r>
      <w:r w:rsidR="006241C3">
        <w:rPr>
          <w:bCs/>
        </w:rPr>
        <w:tab/>
      </w:r>
      <w:r w:rsidR="009277B1">
        <w:rPr>
          <w:bCs/>
        </w:rPr>
        <w:tab/>
      </w:r>
      <w:r w:rsidR="009277B1">
        <w:rPr>
          <w:bCs/>
        </w:rPr>
        <w:tab/>
      </w:r>
      <w:r w:rsidR="009277B1">
        <w:rPr>
          <w:bCs/>
        </w:rPr>
        <w:tab/>
      </w:r>
      <w:r w:rsidR="009277B1">
        <w:rPr>
          <w:bCs/>
        </w:rPr>
        <w:tab/>
      </w:r>
      <w:r w:rsidR="009277B1">
        <w:rPr>
          <w:bCs/>
        </w:rPr>
        <w:tab/>
      </w:r>
      <w:r w:rsidR="009277B1">
        <w:rPr>
          <w:bCs/>
        </w:rPr>
        <w:tab/>
      </w:r>
      <w:r w:rsidR="009277B1">
        <w:rPr>
          <w:bCs/>
        </w:rPr>
        <w:tab/>
      </w:r>
      <w:r w:rsidR="00F2421F">
        <w:rPr>
          <w:bCs/>
        </w:rPr>
        <w:tab/>
      </w:r>
    </w:p>
    <w:p w:rsidR="00FE55AB" w:rsidRDefault="006C0A25" w:rsidP="001A3404">
      <w:pPr>
        <w:spacing w:line="480" w:lineRule="auto"/>
        <w:ind w:firstLine="720"/>
        <w:rPr>
          <w:bCs/>
        </w:rPr>
      </w:pPr>
      <w:r>
        <w:rPr>
          <w:bCs/>
        </w:rPr>
        <w:br w:type="page"/>
      </w:r>
      <w:r w:rsidR="00F2421F">
        <w:rPr>
          <w:bCs/>
        </w:rPr>
        <w:tab/>
      </w:r>
      <w:r w:rsidR="00F2421F">
        <w:rPr>
          <w:bCs/>
        </w:rPr>
        <w:tab/>
      </w:r>
      <w:r w:rsidR="00F2421F">
        <w:rPr>
          <w:bCs/>
        </w:rPr>
        <w:tab/>
      </w:r>
      <w:r w:rsidR="00F2421F">
        <w:rPr>
          <w:bCs/>
        </w:rPr>
        <w:tab/>
      </w:r>
      <w:r w:rsidR="00F2421F">
        <w:rPr>
          <w:bCs/>
        </w:rPr>
        <w:tab/>
      </w:r>
      <w:r w:rsidR="00FE55AB">
        <w:rPr>
          <w:bCs/>
        </w:rPr>
        <w:t>Respectfully submitted,</w:t>
      </w:r>
    </w:p>
    <w:p w:rsidR="00FE55AB" w:rsidRDefault="00FE55AB">
      <w:pPr>
        <w:ind w:left="4320"/>
        <w:rPr>
          <w:caps/>
        </w:rPr>
      </w:pPr>
      <w:r>
        <w:rPr>
          <w:caps/>
        </w:rPr>
        <w:t>BRUCE J. WESTON</w:t>
      </w:r>
    </w:p>
    <w:p w:rsidR="00FE55AB" w:rsidRDefault="00FE55AB">
      <w:pPr>
        <w:ind w:left="4320"/>
      </w:pPr>
      <w:r>
        <w:t>OHIO CONSUMERS</w:t>
      </w:r>
      <w:r w:rsidR="00182EB7">
        <w:t>’</w:t>
      </w:r>
      <w:r>
        <w:t xml:space="preserve"> COUNSEL</w:t>
      </w:r>
    </w:p>
    <w:p w:rsidR="00FE55AB" w:rsidRDefault="00FE55AB">
      <w:pPr>
        <w:ind w:left="4320"/>
      </w:pPr>
    </w:p>
    <w:p w:rsidR="00FE55AB" w:rsidRDefault="00FE55AB">
      <w:pPr>
        <w:ind w:left="4320"/>
      </w:pPr>
    </w:p>
    <w:p w:rsidR="00FE55AB" w:rsidRDefault="00FE55AB">
      <w:pPr>
        <w:ind w:left="4320"/>
      </w:pPr>
      <w:r>
        <w:rPr>
          <w:i/>
          <w:u w:val="single"/>
        </w:rPr>
        <w:t>/s/ Kyle L. Kern</w:t>
      </w:r>
      <w:r>
        <w:t>_______________</w:t>
      </w:r>
    </w:p>
    <w:p w:rsidR="00FE55AB" w:rsidRDefault="00FE55AB">
      <w:pPr>
        <w:ind w:left="4320"/>
      </w:pPr>
      <w:r>
        <w:t>Kyle L. Kern, Counsel of Record</w:t>
      </w:r>
    </w:p>
    <w:p w:rsidR="00FE55AB" w:rsidRDefault="00FE55AB">
      <w:pPr>
        <w:ind w:left="4320"/>
      </w:pPr>
      <w:r>
        <w:t>Assistant Consumers</w:t>
      </w:r>
      <w:r w:rsidR="00182EB7">
        <w:t>’</w:t>
      </w:r>
      <w:r>
        <w:t xml:space="preserve"> Counsel</w:t>
      </w:r>
    </w:p>
    <w:p w:rsidR="00FE55AB" w:rsidRDefault="00FE55AB">
      <w:pPr>
        <w:spacing w:before="120"/>
        <w:ind w:left="4320"/>
        <w:rPr>
          <w:b/>
          <w:caps/>
        </w:rPr>
      </w:pPr>
      <w:r>
        <w:rPr>
          <w:b/>
        </w:rPr>
        <w:t>Office of the Ohio Consumers</w:t>
      </w:r>
      <w:r w:rsidR="00182EB7">
        <w:rPr>
          <w:b/>
        </w:rPr>
        <w:t>’</w:t>
      </w:r>
      <w:r>
        <w:rPr>
          <w:b/>
        </w:rPr>
        <w:t xml:space="preserve"> Counsel</w:t>
      </w:r>
    </w:p>
    <w:p w:rsidR="00FE55AB" w:rsidRDefault="00FE55AB">
      <w:pPr>
        <w:ind w:left="4320"/>
      </w:pPr>
      <w:r>
        <w:t>10 West Broad Street, Suite 1800</w:t>
      </w:r>
    </w:p>
    <w:p w:rsidR="00FE55AB" w:rsidRDefault="00FE55AB">
      <w:pPr>
        <w:ind w:left="4320"/>
      </w:pPr>
      <w:r>
        <w:t>Columbus, Ohio 43215-3485</w:t>
      </w:r>
    </w:p>
    <w:p w:rsidR="00FE55AB" w:rsidRDefault="00FE55AB">
      <w:pPr>
        <w:ind w:left="4320"/>
      </w:pPr>
      <w:r>
        <w:t>614-466-9585 (Kern Telephone)</w:t>
      </w:r>
    </w:p>
    <w:p w:rsidR="00FE55AB" w:rsidRDefault="00FE55AB">
      <w:pPr>
        <w:ind w:left="4320"/>
      </w:pPr>
      <w:r>
        <w:rPr>
          <w:color w:val="0000FF"/>
          <w:u w:val="single"/>
        </w:rPr>
        <w:t>kern@occ.state.oh.us</w:t>
      </w:r>
    </w:p>
    <w:p w:rsidR="00FE55AB" w:rsidRDefault="00FE55AB">
      <w:pPr>
        <w:ind w:left="4320"/>
      </w:pPr>
    </w:p>
    <w:p w:rsidR="00FE55AB" w:rsidRDefault="00FE55AB">
      <w:pPr>
        <w:jc w:val="center"/>
        <w:rPr>
          <w:b/>
          <w:bCs/>
          <w:u w:val="single"/>
        </w:rPr>
      </w:pPr>
      <w:r>
        <w:rPr>
          <w:b/>
          <w:bCs/>
          <w:u w:val="single"/>
        </w:rPr>
        <w:br w:type="page"/>
      </w:r>
      <w:r>
        <w:tab/>
      </w:r>
      <w:r>
        <w:rPr>
          <w:b/>
          <w:bCs/>
          <w:u w:val="single"/>
        </w:rPr>
        <w:t>CERTIFICATE OF SERVICE</w:t>
      </w:r>
    </w:p>
    <w:p w:rsidR="00FE55AB" w:rsidRDefault="00FE55AB">
      <w:pPr>
        <w:spacing w:line="480" w:lineRule="atLeast"/>
      </w:pPr>
      <w:r>
        <w:tab/>
        <w:t>I hereby certify that a copy of this Application for Rehearing was served on the persons stated below via electronic service this 1</w:t>
      </w:r>
      <w:r w:rsidR="0055180A">
        <w:t>6</w:t>
      </w:r>
      <w:r>
        <w:t>th day of A</w:t>
      </w:r>
      <w:r w:rsidR="0055180A">
        <w:t>ugust</w:t>
      </w:r>
      <w:r>
        <w:t xml:space="preserve"> 2013.</w:t>
      </w:r>
    </w:p>
    <w:p w:rsidR="00FE55AB" w:rsidRDefault="00FE55AB">
      <w:pPr>
        <w:spacing w:line="480" w:lineRule="atLeast"/>
      </w:pPr>
    </w:p>
    <w:p w:rsidR="00FE55AB" w:rsidRDefault="00FE55AB">
      <w:pPr>
        <w:tabs>
          <w:tab w:val="left" w:pos="4320"/>
        </w:tabs>
      </w:pPr>
      <w:r>
        <w:tab/>
      </w:r>
      <w:r>
        <w:rPr>
          <w:i/>
          <w:u w:val="single"/>
        </w:rPr>
        <w:t>/s/ Kyle L. Kern</w:t>
      </w:r>
      <w:r>
        <w:t>____________________</w:t>
      </w:r>
    </w:p>
    <w:p w:rsidR="00FE55AB" w:rsidRDefault="00FE55AB">
      <w:pPr>
        <w:tabs>
          <w:tab w:val="left" w:pos="4320"/>
        </w:tabs>
      </w:pPr>
      <w:r>
        <w:tab/>
        <w:t>Kyle L. Kern</w:t>
      </w:r>
    </w:p>
    <w:p w:rsidR="00FE55AB" w:rsidRDefault="00FE55AB">
      <w:pPr>
        <w:tabs>
          <w:tab w:val="left" w:pos="4320"/>
        </w:tabs>
      </w:pPr>
      <w:r>
        <w:tab/>
        <w:t>Assistant Consumers</w:t>
      </w:r>
      <w:r w:rsidR="00182EB7">
        <w:t>’</w:t>
      </w:r>
      <w:r>
        <w:t xml:space="preserve"> Counsel</w:t>
      </w:r>
    </w:p>
    <w:p w:rsidR="00FE55AB" w:rsidRDefault="00FE55AB">
      <w:pPr>
        <w:rPr>
          <w:lang w:val="x-none" w:eastAsia="x-none"/>
        </w:rPr>
      </w:pPr>
    </w:p>
    <w:p w:rsidR="00FE55AB" w:rsidRDefault="00FE55AB">
      <w:pPr>
        <w:jc w:val="center"/>
        <w:rPr>
          <w:b/>
          <w:u w:val="single"/>
          <w:lang w:val="x-none" w:eastAsia="x-none"/>
        </w:rPr>
      </w:pPr>
      <w:r>
        <w:rPr>
          <w:b/>
          <w:u w:val="single"/>
          <w:lang w:val="x-none" w:eastAsia="x-none"/>
        </w:rPr>
        <w:t>SERVICE LIST</w:t>
      </w:r>
    </w:p>
    <w:p w:rsidR="00FE55AB" w:rsidRDefault="00FE55AB">
      <w:pPr>
        <w:jc w:val="center"/>
        <w:rPr>
          <w:b/>
          <w:u w:val="single"/>
          <w:lang w:val="x-none" w:eastAsia="x-none"/>
        </w:rPr>
      </w:pPr>
    </w:p>
    <w:p w:rsidR="00FE55AB" w:rsidRDefault="00FE55AB">
      <w:pPr>
        <w:autoSpaceDE w:val="0"/>
        <w:autoSpaceDN w:val="0"/>
        <w:adjustRightInd w:val="0"/>
        <w:rPr>
          <w:bCs/>
        </w:rPr>
      </w:pPr>
    </w:p>
    <w:tbl>
      <w:tblPr>
        <w:tblW w:w="0" w:type="auto"/>
        <w:tblLook w:val="04A0" w:firstRow="1" w:lastRow="0" w:firstColumn="1" w:lastColumn="0" w:noHBand="0" w:noVBand="1"/>
      </w:tblPr>
      <w:tblGrid>
        <w:gridCol w:w="4428"/>
        <w:gridCol w:w="4428"/>
      </w:tblGrid>
      <w:tr w:rsidR="00FE55AB">
        <w:tc>
          <w:tcPr>
            <w:tcW w:w="4428" w:type="dxa"/>
            <w:shd w:val="clear" w:color="auto" w:fill="auto"/>
          </w:tcPr>
          <w:p w:rsidR="00FE55AB" w:rsidRDefault="00FE55AB">
            <w:pPr>
              <w:autoSpaceDE w:val="0"/>
              <w:autoSpaceDN w:val="0"/>
              <w:adjustRightInd w:val="0"/>
              <w:rPr>
                <w:bCs/>
              </w:rPr>
            </w:pPr>
            <w:r>
              <w:rPr>
                <w:bCs/>
                <w:color w:val="0000FF"/>
                <w:u w:val="single"/>
              </w:rPr>
              <w:t>Devin.parram@puc.state.oh.us</w:t>
            </w:r>
          </w:p>
          <w:p w:rsidR="00FE55AB" w:rsidRDefault="00FE55AB">
            <w:pPr>
              <w:autoSpaceDE w:val="0"/>
              <w:autoSpaceDN w:val="0"/>
              <w:adjustRightInd w:val="0"/>
              <w:rPr>
                <w:color w:val="0000FF"/>
              </w:rPr>
            </w:pPr>
            <w:r>
              <w:rPr>
                <w:color w:val="0000FF"/>
                <w:u w:val="single"/>
              </w:rPr>
              <w:t>kjkolich@firstenergycorp.com</w:t>
            </w:r>
          </w:p>
          <w:p w:rsidR="00FE55AB" w:rsidRDefault="00FE55AB">
            <w:pPr>
              <w:autoSpaceDE w:val="0"/>
              <w:autoSpaceDN w:val="0"/>
              <w:adjustRightInd w:val="0"/>
              <w:rPr>
                <w:color w:val="000000"/>
              </w:rPr>
            </w:pPr>
            <w:r>
              <w:rPr>
                <w:color w:val="0000FF"/>
                <w:u w:val="single"/>
              </w:rPr>
              <w:t>cdunn@firstenergycorp.com</w:t>
            </w:r>
          </w:p>
          <w:p w:rsidR="00FE55AB" w:rsidRDefault="00FE55AB">
            <w:pPr>
              <w:rPr>
                <w:color w:val="0000FF"/>
              </w:rPr>
            </w:pPr>
            <w:r>
              <w:rPr>
                <w:color w:val="0000FF"/>
                <w:u w:val="single"/>
              </w:rPr>
              <w:t>toddm@wamenergylaw.com</w:t>
            </w:r>
          </w:p>
          <w:p w:rsidR="00FE55AB" w:rsidRDefault="00FE55AB">
            <w:pPr>
              <w:rPr>
                <w:rFonts w:ascii="Arial" w:hAnsi="Arial" w:cs="Arial"/>
                <w:color w:val="0000FF"/>
              </w:rPr>
            </w:pPr>
            <w:r>
              <w:rPr>
                <w:color w:val="0000FF"/>
                <w:u w:val="single"/>
              </w:rPr>
              <w:t>cmooney2@columbus.rr.com</w:t>
            </w:r>
          </w:p>
          <w:p w:rsidR="00FE55AB" w:rsidRDefault="00FE55AB">
            <w:pPr>
              <w:autoSpaceDE w:val="0"/>
              <w:autoSpaceDN w:val="0"/>
              <w:adjustRightInd w:val="0"/>
              <w:rPr>
                <w:iCs/>
              </w:rPr>
            </w:pPr>
            <w:r>
              <w:rPr>
                <w:iCs/>
                <w:color w:val="0000FF"/>
                <w:u w:val="single"/>
              </w:rPr>
              <w:t>Cathy@theOEC.org</w:t>
            </w:r>
          </w:p>
          <w:p w:rsidR="00FE55AB" w:rsidRDefault="00FE55AB">
            <w:pPr>
              <w:autoSpaceDE w:val="0"/>
              <w:autoSpaceDN w:val="0"/>
              <w:adjustRightInd w:val="0"/>
              <w:rPr>
                <w:iCs/>
              </w:rPr>
            </w:pPr>
            <w:r>
              <w:rPr>
                <w:iCs/>
                <w:color w:val="0000FF"/>
                <w:u w:val="single"/>
              </w:rPr>
              <w:t>Trent@theOEC.org</w:t>
            </w:r>
          </w:p>
          <w:p w:rsidR="00FE55AB" w:rsidRDefault="00FE55AB">
            <w:pPr>
              <w:autoSpaceDE w:val="0"/>
              <w:autoSpaceDN w:val="0"/>
              <w:adjustRightInd w:val="0"/>
              <w:rPr>
                <w:color w:val="0000FF"/>
              </w:rPr>
            </w:pPr>
            <w:r>
              <w:rPr>
                <w:color w:val="0000FF"/>
                <w:u w:val="single"/>
              </w:rPr>
              <w:t>callwein@wamenergylaw.com</w:t>
            </w:r>
          </w:p>
          <w:p w:rsidR="00FE55AB" w:rsidRDefault="00FE55AB">
            <w:pPr>
              <w:autoSpaceDE w:val="0"/>
              <w:autoSpaceDN w:val="0"/>
              <w:adjustRightInd w:val="0"/>
            </w:pPr>
            <w:r>
              <w:rPr>
                <w:color w:val="0000FF"/>
                <w:u w:val="single"/>
              </w:rPr>
              <w:t>jvickers@elpc.org</w:t>
            </w:r>
          </w:p>
          <w:p w:rsidR="00FE55AB" w:rsidRDefault="00FE55AB">
            <w:pPr>
              <w:autoSpaceDE w:val="0"/>
              <w:autoSpaceDN w:val="0"/>
              <w:adjustRightInd w:val="0"/>
            </w:pPr>
            <w:r>
              <w:rPr>
                <w:color w:val="0000FF"/>
                <w:u w:val="single"/>
              </w:rPr>
              <w:t>rkelter@elpc.org</w:t>
            </w:r>
          </w:p>
          <w:p w:rsidR="00FE55AB" w:rsidRDefault="00FE55AB">
            <w:pPr>
              <w:autoSpaceDE w:val="0"/>
              <w:autoSpaceDN w:val="0"/>
              <w:adjustRightInd w:val="0"/>
            </w:pPr>
            <w:r>
              <w:rPr>
                <w:color w:val="0000FF"/>
                <w:u w:val="single"/>
              </w:rPr>
              <w:t>dboehm@BKLlawfirm.com</w:t>
            </w:r>
          </w:p>
          <w:p w:rsidR="00FE55AB" w:rsidRDefault="00FE55AB">
            <w:pPr>
              <w:autoSpaceDE w:val="0"/>
              <w:autoSpaceDN w:val="0"/>
              <w:adjustRightInd w:val="0"/>
            </w:pPr>
            <w:r>
              <w:rPr>
                <w:color w:val="0000FF"/>
                <w:u w:val="single"/>
              </w:rPr>
              <w:t>mkurtz@BKLlawfirm.com</w:t>
            </w:r>
          </w:p>
          <w:p w:rsidR="00FE55AB" w:rsidRDefault="00CC119D">
            <w:pPr>
              <w:autoSpaceDE w:val="0"/>
              <w:autoSpaceDN w:val="0"/>
              <w:adjustRightInd w:val="0"/>
            </w:pPr>
            <w:r w:rsidRPr="004A360D">
              <w:t>jkylercohn@BKLlawfirm.com</w:t>
            </w:r>
          </w:p>
          <w:p w:rsidR="00FE55AB" w:rsidRDefault="00FE55AB">
            <w:pPr>
              <w:autoSpaceDE w:val="0"/>
              <w:autoSpaceDN w:val="0"/>
              <w:adjustRightInd w:val="0"/>
              <w:rPr>
                <w:bCs/>
              </w:rPr>
            </w:pPr>
          </w:p>
        </w:tc>
        <w:tc>
          <w:tcPr>
            <w:tcW w:w="4428" w:type="dxa"/>
            <w:shd w:val="clear" w:color="auto" w:fill="auto"/>
          </w:tcPr>
          <w:p w:rsidR="00FE55AB" w:rsidRDefault="00FE55AB">
            <w:pPr>
              <w:autoSpaceDE w:val="0"/>
              <w:autoSpaceDN w:val="0"/>
              <w:adjustRightInd w:val="0"/>
            </w:pPr>
            <w:r>
              <w:rPr>
                <w:color w:val="0000FF"/>
                <w:u w:val="single"/>
              </w:rPr>
              <w:t>ricks@ohanet.org</w:t>
            </w:r>
          </w:p>
          <w:p w:rsidR="00FE55AB" w:rsidRDefault="00FE55AB">
            <w:pPr>
              <w:autoSpaceDE w:val="0"/>
              <w:autoSpaceDN w:val="0"/>
              <w:adjustRightInd w:val="0"/>
            </w:pPr>
            <w:r>
              <w:rPr>
                <w:color w:val="0000FF"/>
                <w:u w:val="single"/>
              </w:rPr>
              <w:t>tobrien@bricker.com</w:t>
            </w:r>
          </w:p>
          <w:p w:rsidR="00FE55AB" w:rsidRDefault="00FE55AB">
            <w:pPr>
              <w:autoSpaceDE w:val="0"/>
              <w:autoSpaceDN w:val="0"/>
              <w:adjustRightInd w:val="0"/>
              <w:rPr>
                <w:color w:val="0000FF"/>
              </w:rPr>
            </w:pPr>
            <w:r>
              <w:rPr>
                <w:color w:val="0000FF"/>
                <w:u w:val="single"/>
              </w:rPr>
              <w:t>tsiwo@bricker.com</w:t>
            </w:r>
          </w:p>
          <w:p w:rsidR="00FE55AB" w:rsidRDefault="00FE55AB">
            <w:pPr>
              <w:autoSpaceDE w:val="0"/>
              <w:autoSpaceDN w:val="0"/>
              <w:adjustRightInd w:val="0"/>
              <w:rPr>
                <w:color w:val="0000FF"/>
              </w:rPr>
            </w:pPr>
            <w:r>
              <w:rPr>
                <w:color w:val="0000FF"/>
                <w:u w:val="single"/>
              </w:rPr>
              <w:t>gpoulos@enernoc.com</w:t>
            </w:r>
          </w:p>
          <w:p w:rsidR="00FE55AB" w:rsidRDefault="00FE55AB">
            <w:pPr>
              <w:autoSpaceDE w:val="0"/>
              <w:autoSpaceDN w:val="0"/>
              <w:adjustRightInd w:val="0"/>
            </w:pPr>
            <w:r>
              <w:rPr>
                <w:color w:val="0000FF"/>
                <w:u w:val="single"/>
              </w:rPr>
              <w:t>sam@mwncmh.com</w:t>
            </w:r>
          </w:p>
          <w:p w:rsidR="00FE55AB" w:rsidRDefault="00FE55AB">
            <w:pPr>
              <w:autoSpaceDE w:val="0"/>
              <w:autoSpaceDN w:val="0"/>
              <w:adjustRightInd w:val="0"/>
            </w:pPr>
            <w:r>
              <w:rPr>
                <w:color w:val="0000FF"/>
                <w:u w:val="single"/>
              </w:rPr>
              <w:t>fdarr@mwncmh.com</w:t>
            </w:r>
          </w:p>
          <w:p w:rsidR="00FE55AB" w:rsidRDefault="00FE55AB">
            <w:pPr>
              <w:autoSpaceDE w:val="0"/>
              <w:autoSpaceDN w:val="0"/>
              <w:adjustRightInd w:val="0"/>
            </w:pPr>
            <w:r>
              <w:rPr>
                <w:color w:val="0000FF"/>
                <w:u w:val="single"/>
              </w:rPr>
              <w:t>joliker@mwncmh.com</w:t>
            </w:r>
          </w:p>
          <w:p w:rsidR="00FE55AB" w:rsidRDefault="00FE55AB">
            <w:pPr>
              <w:autoSpaceDE w:val="0"/>
              <w:autoSpaceDN w:val="0"/>
              <w:adjustRightInd w:val="0"/>
            </w:pPr>
            <w:r>
              <w:rPr>
                <w:color w:val="0000FF"/>
                <w:u w:val="single"/>
              </w:rPr>
              <w:t>mpritchard@mwncmh.com</w:t>
            </w:r>
          </w:p>
          <w:p w:rsidR="00FE55AB" w:rsidRDefault="00FE55AB">
            <w:pPr>
              <w:autoSpaceDE w:val="0"/>
              <w:autoSpaceDN w:val="0"/>
              <w:adjustRightInd w:val="0"/>
            </w:pPr>
            <w:r>
              <w:rPr>
                <w:color w:val="0000FF"/>
                <w:u w:val="single"/>
              </w:rPr>
              <w:t>mlavanga@bbrslaw.com</w:t>
            </w:r>
          </w:p>
          <w:p w:rsidR="00FE55AB" w:rsidRDefault="00FE55AB">
            <w:pPr>
              <w:autoSpaceDE w:val="0"/>
              <w:autoSpaceDN w:val="0"/>
              <w:adjustRightInd w:val="0"/>
            </w:pPr>
            <w:r>
              <w:rPr>
                <w:color w:val="0000FF"/>
                <w:u w:val="single"/>
              </w:rPr>
              <w:t>NMcDaniel@elpc.org</w:t>
            </w:r>
          </w:p>
          <w:p w:rsidR="00FE55AB" w:rsidRDefault="00FE55AB">
            <w:pPr>
              <w:autoSpaceDE w:val="0"/>
              <w:autoSpaceDN w:val="0"/>
              <w:adjustRightInd w:val="0"/>
            </w:pPr>
            <w:r>
              <w:rPr>
                <w:color w:val="0000FF"/>
                <w:u w:val="single"/>
              </w:rPr>
              <w:t>robinson@citizenpower.com</w:t>
            </w:r>
          </w:p>
          <w:p w:rsidR="00FE55AB" w:rsidRDefault="00FE55AB">
            <w:pPr>
              <w:autoSpaceDE w:val="0"/>
              <w:autoSpaceDN w:val="0"/>
              <w:adjustRightInd w:val="0"/>
            </w:pPr>
            <w:r>
              <w:rPr>
                <w:color w:val="0000FF"/>
                <w:u w:val="single"/>
              </w:rPr>
              <w:t>mandy.willey@puc.state.oh.us</w:t>
            </w:r>
          </w:p>
          <w:p w:rsidR="00FE55AB" w:rsidRDefault="00FE55AB">
            <w:pPr>
              <w:autoSpaceDE w:val="0"/>
              <w:autoSpaceDN w:val="0"/>
              <w:adjustRightInd w:val="0"/>
              <w:rPr>
                <w:bCs/>
              </w:rPr>
            </w:pPr>
            <w:r>
              <w:rPr>
                <w:color w:val="0000FF"/>
                <w:u w:val="single"/>
              </w:rPr>
              <w:t>Gregory.price@puc.state.oh.us</w:t>
            </w:r>
          </w:p>
        </w:tc>
      </w:tr>
    </w:tbl>
    <w:p w:rsidR="00FE55AB" w:rsidRDefault="00FE55AB">
      <w:pPr>
        <w:autoSpaceDE w:val="0"/>
        <w:autoSpaceDN w:val="0"/>
        <w:adjustRightInd w:val="0"/>
        <w:rPr>
          <w:bCs/>
        </w:rPr>
      </w:pPr>
    </w:p>
    <w:p w:rsidR="00FE55AB" w:rsidRDefault="00FE55AB">
      <w:pPr>
        <w:spacing w:line="480" w:lineRule="atLeast"/>
      </w:pPr>
    </w:p>
    <w:sectPr w:rsidR="00FE55AB">
      <w:headerReference w:type="even" r:id="rId22"/>
      <w:headerReference w:type="default" r:id="rId23"/>
      <w:headerReference w:type="first" r:id="rId24"/>
      <w:footerReference w:type="first" r:id="rId2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69" w:rsidRDefault="00914269">
      <w:r>
        <w:separator/>
      </w:r>
    </w:p>
  </w:endnote>
  <w:endnote w:type="continuationSeparator" w:id="0">
    <w:p w:rsidR="00914269" w:rsidRDefault="00914269">
      <w:r>
        <w:continuationSeparator/>
      </w:r>
    </w:p>
  </w:endnote>
  <w:endnote w:type="continuationNotice" w:id="1">
    <w:p w:rsidR="00914269" w:rsidRDefault="0091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D" w:rsidRDefault="004A3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CEB">
      <w:rPr>
        <w:rStyle w:val="PageNumber"/>
        <w:noProof/>
      </w:rPr>
      <w:t>2</w:t>
    </w:r>
    <w:r>
      <w:rPr>
        <w:rStyle w:val="PageNumber"/>
      </w:rPr>
      <w:fldChar w:fldCharType="end"/>
    </w:r>
  </w:p>
  <w:p w:rsidR="00404E27" w:rsidRDefault="00404E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D" w:rsidRDefault="004A36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Footer"/>
      <w:jc w:val="center"/>
    </w:pPr>
    <w:r>
      <w:fldChar w:fldCharType="begin"/>
    </w:r>
    <w:r>
      <w:instrText xml:space="preserve"> PAGE   \* MERGEFORMAT </w:instrText>
    </w:r>
    <w:r>
      <w:fldChar w:fldCharType="separate"/>
    </w:r>
    <w:r w:rsidR="004A360D">
      <w:rPr>
        <w:noProof/>
      </w:rPr>
      <w:t>i</w:t>
    </w:r>
    <w:r>
      <w:rPr>
        <w:noProof/>
      </w:rPr>
      <w:fldChar w:fldCharType="end"/>
    </w:r>
  </w:p>
  <w:p w:rsidR="00404E27" w:rsidRDefault="00404E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60D">
      <w:rPr>
        <w:rStyle w:val="PageNumber"/>
        <w:noProof/>
      </w:rPr>
      <w:t>1</w:t>
    </w:r>
    <w:r>
      <w:rPr>
        <w:rStyle w:val="PageNumber"/>
      </w:rPr>
      <w:fldChar w:fldCharType="end"/>
    </w:r>
  </w:p>
  <w:p w:rsidR="00404E27" w:rsidRDefault="00404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69" w:rsidRDefault="00914269">
      <w:r>
        <w:separator/>
      </w:r>
    </w:p>
  </w:footnote>
  <w:footnote w:type="continuationSeparator" w:id="0">
    <w:p w:rsidR="00914269" w:rsidRDefault="00914269">
      <w:r>
        <w:continuationSeparator/>
      </w:r>
    </w:p>
  </w:footnote>
  <w:footnote w:type="continuationNotice" w:id="1">
    <w:p w:rsidR="00914269" w:rsidRDefault="00914269"/>
  </w:footnote>
  <w:footnote w:id="2">
    <w:p w:rsidR="00404E27" w:rsidRPr="00425D1F" w:rsidRDefault="00404E27" w:rsidP="00182EB7">
      <w:pPr>
        <w:pStyle w:val="FootnoteText"/>
        <w:spacing w:after="120"/>
      </w:pPr>
      <w:r w:rsidRPr="00425D1F">
        <w:rPr>
          <w:rStyle w:val="FootnoteReference"/>
        </w:rPr>
        <w:footnoteRef/>
      </w:r>
      <w:r w:rsidRPr="00425D1F">
        <w:t xml:space="preserve"> Entry on Rehearing (July 17, 2013).</w:t>
      </w:r>
    </w:p>
  </w:footnote>
  <w:footnote w:id="3">
    <w:p w:rsidR="00404E27" w:rsidRPr="00425D1F" w:rsidRDefault="00404E27" w:rsidP="00182EB7">
      <w:pPr>
        <w:pStyle w:val="FootnoteText"/>
        <w:spacing w:after="120"/>
      </w:pPr>
      <w:r w:rsidRPr="00425D1F">
        <w:rPr>
          <w:rStyle w:val="FootnoteReference"/>
        </w:rPr>
        <w:footnoteRef/>
      </w:r>
      <w:r w:rsidRPr="00425D1F">
        <w:t xml:space="preserve"> Ohio Edison Company (</w:t>
      </w:r>
      <w:r w:rsidR="00182EB7">
        <w:t>“</w:t>
      </w:r>
      <w:r w:rsidRPr="00425D1F">
        <w:t>Ohio Edison</w:t>
      </w:r>
      <w:r w:rsidR="00182EB7">
        <w:t>”</w:t>
      </w:r>
      <w:r w:rsidRPr="00425D1F">
        <w:t>), the Cleveland Electric Illuminating Company (</w:t>
      </w:r>
      <w:r w:rsidR="00182EB7">
        <w:t>“</w:t>
      </w:r>
      <w:r w:rsidRPr="00425D1F">
        <w:t>CEI</w:t>
      </w:r>
      <w:r w:rsidR="00182EB7">
        <w:t>”</w:t>
      </w:r>
      <w:r w:rsidRPr="00425D1F">
        <w:t>), and the Toledo Edison Company (</w:t>
      </w:r>
      <w:r w:rsidR="00182EB7">
        <w:t>“</w:t>
      </w:r>
      <w:r w:rsidRPr="00425D1F">
        <w:t>Toledo Edison</w:t>
      </w:r>
      <w:r w:rsidR="00182EB7">
        <w:t>”</w:t>
      </w:r>
      <w:r w:rsidRPr="00425D1F">
        <w:t xml:space="preserve">) (collectively, </w:t>
      </w:r>
      <w:r w:rsidR="00182EB7">
        <w:t>“</w:t>
      </w:r>
      <w:r w:rsidRPr="00425D1F">
        <w:t>FirstEnergy</w:t>
      </w:r>
      <w:r w:rsidR="00182EB7">
        <w:t>”</w:t>
      </w:r>
      <w:r w:rsidRPr="00425D1F">
        <w:t xml:space="preserve"> or the </w:t>
      </w:r>
      <w:r w:rsidR="00182EB7">
        <w:t>“</w:t>
      </w:r>
      <w:r w:rsidRPr="00425D1F">
        <w:t>Utilities</w:t>
      </w:r>
      <w:r w:rsidR="00182EB7">
        <w:t>”</w:t>
      </w:r>
      <w:r w:rsidRPr="00425D1F">
        <w:t>).</w:t>
      </w:r>
    </w:p>
  </w:footnote>
  <w:footnote w:id="4">
    <w:p w:rsidR="001751C1" w:rsidRDefault="001751C1" w:rsidP="001751C1">
      <w:pPr>
        <w:pStyle w:val="FootnoteText"/>
        <w:spacing w:after="120"/>
      </w:pPr>
      <w:r>
        <w:rPr>
          <w:rStyle w:val="FootnoteReference"/>
        </w:rPr>
        <w:footnoteRef/>
      </w:r>
      <w:r>
        <w:t xml:space="preserve"> 196.6 megawatts of energy efficiency cleared the 2016/2017 PJM Base Residual Auction in the ATSI zone at a price of $114.23.  Assuming most of that capacity was bid by FirstEnergy and not accounting for the small amount of incremental monitoring and verification cost yields a revenue payment of $8.2 million (196.6*114.23*365=$8,197,031)  of which 20 percent equals $1.6 million.  The $1.6 million represents only the first year of FirstEnergy’s PJM bid shared revenue stemming from their Portfolio, and it is expected that FirstEnergy will generate additional revenue by bidding in their energy efficiency capacity in the 2017/2018 and 2018/2019 PJM Base Residual Auctions.  http://www.pjm.com/~/media/markets-ops/rpm/rpm-auction-info/2016-2017-base-residual-auction-report.ashx.</w:t>
      </w:r>
    </w:p>
  </w:footnote>
  <w:footnote w:id="5">
    <w:p w:rsidR="00404E27" w:rsidRPr="00425D1F" w:rsidRDefault="00404E27" w:rsidP="00182EB7">
      <w:pPr>
        <w:pStyle w:val="FootnoteText"/>
        <w:spacing w:after="120"/>
      </w:pPr>
      <w:r w:rsidRPr="00425D1F">
        <w:rPr>
          <w:rStyle w:val="FootnoteReference"/>
        </w:rPr>
        <w:footnoteRef/>
      </w:r>
      <w:r w:rsidRPr="00425D1F">
        <w:t xml:space="preserve"> See </w:t>
      </w:r>
      <w:r w:rsidRPr="00425D1F">
        <w:rPr>
          <w:i/>
        </w:rPr>
        <w:t>MCI Telecommunications Corp. v. Pub. Util. Comm</w:t>
      </w:r>
      <w:r w:rsidRPr="00425D1F">
        <w:t xml:space="preserve">. (1987), 32 Ohio St.3d 306, 312, 513 N.E.2d 337 citing </w:t>
      </w:r>
      <w:r w:rsidRPr="00425D1F">
        <w:rPr>
          <w:i/>
        </w:rPr>
        <w:t>Dayton Power &amp; Light Co. v. Pub. Util. Comm</w:t>
      </w:r>
      <w:r w:rsidRPr="00425D1F">
        <w:t xml:space="preserve">. (1983), 4 Ohio St.3d 91, 4 OBR 241, 447 N.E. 2d 733; </w:t>
      </w:r>
      <w:r w:rsidRPr="00425D1F">
        <w:rPr>
          <w:i/>
        </w:rPr>
        <w:t>Columbus v. Pub. Util. Comm.</w:t>
      </w:r>
      <w:r w:rsidRPr="00425D1F">
        <w:t xml:space="preserve"> (1979), 58 Ohio St.2d 103, 12 O.O.3d 112, 388 N.W. 2d 1237, see also, </w:t>
      </w:r>
      <w:r w:rsidRPr="00425D1F">
        <w:rPr>
          <w:i/>
        </w:rPr>
        <w:t xml:space="preserve">Tongren v. PUC </w:t>
      </w:r>
      <w:r w:rsidRPr="00425D1F">
        <w:t xml:space="preserve">(1999), 85 Ohio St. 3d 87, 89, where the Ohio Supreme Court held that </w:t>
      </w:r>
      <w:r w:rsidR="00182EB7">
        <w:t>“</w:t>
      </w:r>
      <w:r w:rsidRPr="00425D1F">
        <w:t>a commission order must provide in sufficient detail, the facts upon which the order is based, and the reasoning followed by the Public Utilities Commission of Ohio in reaching its conclusion.</w:t>
      </w:r>
      <w:r w:rsidR="00182EB7">
        <w:t>”</w:t>
      </w:r>
    </w:p>
  </w:footnote>
  <w:footnote w:id="6">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In the Matter of the Application of Ohio Edison Company, The Cleveland Electric Illuminating Company, and The Toledo Edison Company For Approval of Their Energy Efficiency and Peak Demand Reduction Program Portfolio Plans for 2013 through 2015</w:t>
      </w:r>
      <w:r w:rsidRPr="00425D1F">
        <w:t xml:space="preserve">, </w:t>
      </w:r>
      <w:r w:rsidR="00182EB7">
        <w:t xml:space="preserve">Case No. 12-2190-EL-POR, et al., </w:t>
      </w:r>
      <w:r w:rsidRPr="00425D1F">
        <w:t>Opinion and Order at 20-21 (March 20, 2013).</w:t>
      </w:r>
    </w:p>
  </w:footnote>
  <w:footnote w:id="7">
    <w:p w:rsidR="00404E27" w:rsidRPr="00425D1F" w:rsidRDefault="00404E27" w:rsidP="00182EB7">
      <w:pPr>
        <w:pStyle w:val="FootnoteText"/>
        <w:spacing w:after="120"/>
      </w:pPr>
      <w:r w:rsidRPr="00425D1F">
        <w:rPr>
          <w:rStyle w:val="FootnoteReference"/>
        </w:rPr>
        <w:footnoteRef/>
      </w:r>
      <w:r w:rsidRPr="00425D1F">
        <w:t xml:space="preserve"> </w:t>
      </w:r>
      <w:r w:rsidR="00200EA5" w:rsidRPr="00425D1F">
        <w:rPr>
          <w:i/>
        </w:rPr>
        <w:t>In the Matter of the Application of Ohio Edison Company, The Cleveland Electric Illuminating Company, and The Toledo Edison Company For Approval of Their Energy Efficiency and Peak Demand Reduction Program Portfolio Plans for 2013 through 2015</w:t>
      </w:r>
      <w:r w:rsidR="00200EA5" w:rsidRPr="00425D1F">
        <w:t>, Case No. 12-2190-EL-POR, et al., Entry on Rehearing at 5 (July 17, 2013).</w:t>
      </w:r>
    </w:p>
  </w:footnote>
  <w:footnote w:id="8">
    <w:p w:rsidR="00FB10B1" w:rsidRDefault="00FB10B1" w:rsidP="00182EB7">
      <w:pPr>
        <w:pStyle w:val="FootnoteText"/>
        <w:spacing w:after="120"/>
      </w:pPr>
      <w:r>
        <w:rPr>
          <w:rStyle w:val="FootnoteReference"/>
        </w:rPr>
        <w:footnoteRef/>
      </w:r>
      <w:r>
        <w:t xml:space="preserve"> R.C. 4903.10.</w:t>
      </w:r>
    </w:p>
  </w:footnote>
  <w:footnote w:id="9">
    <w:p w:rsidR="00FB10B1" w:rsidRDefault="00404E27" w:rsidP="00182EB7">
      <w:pPr>
        <w:pStyle w:val="FootnoteText"/>
        <w:spacing w:after="120"/>
      </w:pPr>
      <w:r>
        <w:rPr>
          <w:rStyle w:val="FootnoteReference"/>
        </w:rPr>
        <w:footnoteRef/>
      </w:r>
      <w:r>
        <w:t xml:space="preserve"> </w:t>
      </w:r>
      <w:r w:rsidRPr="004A4FD9">
        <w:rPr>
          <w:i/>
        </w:rPr>
        <w:t>Tongren v. PUC</w:t>
      </w:r>
      <w:r>
        <w:rPr>
          <w:i/>
        </w:rPr>
        <w:t xml:space="preserve"> </w:t>
      </w:r>
      <w:r>
        <w:t>(1999), 85 Ohio St. 3d 87, 89.</w:t>
      </w:r>
    </w:p>
  </w:footnote>
  <w:footnote w:id="10">
    <w:p w:rsidR="00404E27" w:rsidRPr="00425D1F" w:rsidRDefault="00404E27" w:rsidP="00182EB7">
      <w:pPr>
        <w:pStyle w:val="FootnoteText"/>
        <w:spacing w:after="120"/>
      </w:pPr>
      <w:r w:rsidRPr="00425D1F">
        <w:rPr>
          <w:rStyle w:val="FootnoteReference"/>
        </w:rPr>
        <w:footnoteRef/>
      </w:r>
      <w:r w:rsidRPr="00425D1F">
        <w:t xml:space="preserve"> R.C. 4903.10.  </w:t>
      </w:r>
    </w:p>
  </w:footnote>
  <w:footnote w:id="11">
    <w:p w:rsidR="00404E27" w:rsidRPr="00425D1F" w:rsidRDefault="00404E27" w:rsidP="00182EB7">
      <w:pPr>
        <w:pStyle w:val="FootnoteText"/>
        <w:spacing w:after="120"/>
      </w:pPr>
      <w:r w:rsidRPr="00425D1F">
        <w:rPr>
          <w:rStyle w:val="FootnoteReference"/>
        </w:rPr>
        <w:footnoteRef/>
      </w:r>
      <w:r w:rsidRPr="00425D1F">
        <w:t xml:space="preserve"> Id</w:t>
      </w:r>
      <w:r w:rsidRPr="00425D1F">
        <w:rPr>
          <w:i/>
        </w:rPr>
        <w:t>.</w:t>
      </w:r>
    </w:p>
  </w:footnote>
  <w:footnote w:id="12">
    <w:p w:rsidR="00404E27" w:rsidRPr="00425D1F" w:rsidRDefault="00404E27" w:rsidP="00182EB7">
      <w:pPr>
        <w:pStyle w:val="FootnoteText"/>
        <w:spacing w:after="120"/>
      </w:pPr>
      <w:r w:rsidRPr="00425D1F">
        <w:rPr>
          <w:rStyle w:val="FootnoteReference"/>
        </w:rPr>
        <w:footnoteRef/>
      </w:r>
      <w:r w:rsidRPr="00425D1F">
        <w:t xml:space="preserve"> Id.</w:t>
      </w:r>
    </w:p>
  </w:footnote>
  <w:footnote w:id="13">
    <w:p w:rsidR="00404E27" w:rsidRPr="00425D1F" w:rsidRDefault="00404E27" w:rsidP="00182EB7">
      <w:pPr>
        <w:pStyle w:val="FootnoteText"/>
        <w:spacing w:after="120"/>
      </w:pPr>
      <w:r w:rsidRPr="00425D1F">
        <w:rPr>
          <w:rStyle w:val="FootnoteReference"/>
        </w:rPr>
        <w:footnoteRef/>
      </w:r>
      <w:r w:rsidRPr="00425D1F">
        <w:t xml:space="preserve"> Id.</w:t>
      </w:r>
    </w:p>
  </w:footnote>
  <w:footnote w:id="14">
    <w:p w:rsidR="00404E27" w:rsidRPr="00425D1F" w:rsidRDefault="00404E27" w:rsidP="00182EB7">
      <w:pPr>
        <w:pStyle w:val="FootnoteText"/>
        <w:spacing w:after="120"/>
      </w:pPr>
      <w:r w:rsidRPr="00425D1F">
        <w:rPr>
          <w:rStyle w:val="FootnoteReference"/>
        </w:rPr>
        <w:footnoteRef/>
      </w:r>
      <w:r w:rsidRPr="00425D1F">
        <w:t xml:space="preserve"> See Ohio Adm. Code 4901-1-35.</w:t>
      </w:r>
    </w:p>
  </w:footnote>
  <w:footnote w:id="15">
    <w:p w:rsidR="00404E27" w:rsidRPr="00425D1F" w:rsidRDefault="00404E27" w:rsidP="00182EB7">
      <w:pPr>
        <w:pStyle w:val="FootnoteText"/>
        <w:spacing w:after="120"/>
      </w:pPr>
      <w:r w:rsidRPr="00425D1F">
        <w:rPr>
          <w:rStyle w:val="FootnoteReference"/>
        </w:rPr>
        <w:footnoteRef/>
      </w:r>
      <w:r w:rsidRPr="00425D1F">
        <w:t xml:space="preserve"> ELPC and OEC did not raise the PJM bidding issue in their Application for Rehearing.</w:t>
      </w:r>
    </w:p>
  </w:footnote>
  <w:footnote w:id="16">
    <w:p w:rsidR="00404E27" w:rsidRPr="00425D1F" w:rsidRDefault="00404E27" w:rsidP="00182EB7">
      <w:pPr>
        <w:pStyle w:val="FootnoteText"/>
        <w:spacing w:after="120"/>
      </w:pPr>
      <w:r w:rsidRPr="00425D1F">
        <w:rPr>
          <w:rStyle w:val="FootnoteReference"/>
        </w:rPr>
        <w:footnoteRef/>
      </w:r>
      <w:r w:rsidRPr="00425D1F">
        <w:t xml:space="preserve"> IEU discusses PJM bidding within the context of the PUCO</w:t>
      </w:r>
      <w:r w:rsidR="00182EB7">
        <w:t>’</w:t>
      </w:r>
      <w:r w:rsidRPr="00425D1F">
        <w:t>s lack of statutory authority to require a mercantile customer to cede PJM bidding rights to FirstEnergy.</w:t>
      </w:r>
    </w:p>
  </w:footnote>
  <w:footnote w:id="17">
    <w:p w:rsidR="00404E27" w:rsidRPr="00425D1F" w:rsidRDefault="00404E27" w:rsidP="00182EB7">
      <w:pPr>
        <w:pStyle w:val="FootnoteText"/>
        <w:spacing w:after="120"/>
      </w:pPr>
      <w:r w:rsidRPr="00425D1F">
        <w:rPr>
          <w:rStyle w:val="FootnoteReference"/>
        </w:rPr>
        <w:footnoteRef/>
      </w:r>
      <w:r w:rsidRPr="00425D1F">
        <w:t xml:space="preserve"> Nucor argued that the March 20 Order was unclear as to whether FirstEnergy should be required to bid Rider ELR interruptible load into the annual PJM auctions.</w:t>
      </w:r>
    </w:p>
  </w:footnote>
  <w:footnote w:id="18">
    <w:p w:rsidR="00404E27" w:rsidRPr="00425D1F" w:rsidRDefault="00404E27" w:rsidP="00182EB7">
      <w:pPr>
        <w:pStyle w:val="FootnoteText"/>
        <w:spacing w:after="120"/>
      </w:pPr>
      <w:r w:rsidRPr="00425D1F">
        <w:rPr>
          <w:rStyle w:val="FootnoteReference"/>
        </w:rPr>
        <w:footnoteRef/>
      </w:r>
      <w:r w:rsidRPr="00425D1F">
        <w:t xml:space="preserve"> Case No. 12-2190-EL-POR, FirstEnergy Application for Rehearing (April 19, 2013).</w:t>
      </w:r>
    </w:p>
  </w:footnote>
  <w:footnote w:id="19">
    <w:p w:rsidR="00404E27" w:rsidRPr="00425D1F" w:rsidRDefault="00404E27" w:rsidP="00182EB7">
      <w:pPr>
        <w:pStyle w:val="FootnoteText"/>
        <w:spacing w:after="120"/>
      </w:pPr>
      <w:r w:rsidRPr="00425D1F">
        <w:rPr>
          <w:rStyle w:val="FootnoteReference"/>
        </w:rPr>
        <w:footnoteRef/>
      </w:r>
      <w:r w:rsidRPr="00425D1F">
        <w:t xml:space="preserve"> Case No. 12-2190-EL-POR, OCC Application for Rehearing (April 19, 2013).</w:t>
      </w:r>
    </w:p>
  </w:footnote>
  <w:footnote w:id="20">
    <w:p w:rsidR="00404E27" w:rsidRPr="00425D1F" w:rsidRDefault="00404E27" w:rsidP="00182EB7">
      <w:pPr>
        <w:pStyle w:val="FootnoteText"/>
        <w:spacing w:after="120"/>
      </w:pPr>
      <w:r w:rsidRPr="00425D1F">
        <w:rPr>
          <w:rStyle w:val="FootnoteReference"/>
        </w:rPr>
        <w:footnoteRef/>
      </w:r>
      <w:r w:rsidRPr="00425D1F">
        <w:t xml:space="preserve"> Id. referencing March 20, 2013, Opinion and Order at 17-21. (Emphasis added).</w:t>
      </w:r>
    </w:p>
  </w:footnote>
  <w:footnote w:id="21">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In the Matter of the Application of The Cleveland Electric illuminating Company, Ohio Edison Company, and The Toledo Edison Company for Approval of Their Energy Efficiency and Peak Demand Reduction Program Plans for 2013 through 2015</w:t>
      </w:r>
      <w:r w:rsidRPr="00425D1F">
        <w:t>, Case No. 12-2190-EL-POR, et al., Entry on Rehearing at 4 (July 17, 2013).</w:t>
      </w:r>
    </w:p>
  </w:footnote>
  <w:footnote w:id="22">
    <w:p w:rsidR="00404E27" w:rsidRPr="00425D1F" w:rsidRDefault="00404E27" w:rsidP="00182EB7">
      <w:pPr>
        <w:pStyle w:val="FootnoteText"/>
        <w:spacing w:after="120"/>
      </w:pPr>
      <w:r w:rsidRPr="00425D1F">
        <w:rPr>
          <w:rStyle w:val="FootnoteReference"/>
        </w:rPr>
        <w:footnoteRef/>
      </w:r>
      <w:r w:rsidRPr="00425D1F">
        <w:t xml:space="preserve"> Id.</w:t>
      </w:r>
    </w:p>
  </w:footnote>
  <w:footnote w:id="23">
    <w:p w:rsidR="00404E27" w:rsidRPr="00425D1F" w:rsidRDefault="00404E27" w:rsidP="00182EB7">
      <w:pPr>
        <w:pStyle w:val="FootnoteText"/>
        <w:spacing w:after="120"/>
      </w:pPr>
      <w:r w:rsidRPr="00425D1F">
        <w:rPr>
          <w:rStyle w:val="FootnoteReference"/>
        </w:rPr>
        <w:footnoteRef/>
      </w:r>
      <w:r w:rsidRPr="00425D1F">
        <w:t xml:space="preserve"> Id.</w:t>
      </w:r>
    </w:p>
  </w:footnote>
  <w:footnote w:id="24">
    <w:p w:rsidR="00180ED5" w:rsidRDefault="00180ED5" w:rsidP="00182EB7">
      <w:pPr>
        <w:pStyle w:val="FootnoteText"/>
        <w:spacing w:after="120"/>
      </w:pPr>
      <w:r>
        <w:rPr>
          <w:rStyle w:val="FootnoteReference"/>
        </w:rPr>
        <w:footnoteRef/>
      </w:r>
      <w:r>
        <w:t xml:space="preserve"> </w:t>
      </w:r>
      <w:r>
        <w:rPr>
          <w:i/>
        </w:rPr>
        <w:t xml:space="preserve">Canton Storage and Transfer Co. v. Pub. Util. Comm. </w:t>
      </w:r>
      <w:r>
        <w:t>(1995), 72 Ohio St.3d 1.</w:t>
      </w:r>
    </w:p>
  </w:footnote>
  <w:footnote w:id="25">
    <w:p w:rsidR="00404E27" w:rsidRPr="00425D1F" w:rsidRDefault="00404E27" w:rsidP="00182EB7">
      <w:pPr>
        <w:pStyle w:val="FootnoteText"/>
        <w:spacing w:after="120"/>
      </w:pPr>
      <w:r w:rsidRPr="00425D1F">
        <w:rPr>
          <w:rStyle w:val="FootnoteReference"/>
        </w:rPr>
        <w:footnoteRef/>
      </w:r>
      <w:r w:rsidRPr="00425D1F">
        <w:t xml:space="preserve"> Id.</w:t>
      </w:r>
    </w:p>
  </w:footnote>
  <w:footnote w:id="26">
    <w:p w:rsidR="00404E27" w:rsidRPr="00425D1F" w:rsidRDefault="00404E27" w:rsidP="00182EB7">
      <w:pPr>
        <w:pStyle w:val="FootnoteText"/>
        <w:spacing w:after="120"/>
      </w:pPr>
      <w:r w:rsidRPr="00425D1F">
        <w:rPr>
          <w:rStyle w:val="FootnoteReference"/>
        </w:rPr>
        <w:footnoteRef/>
      </w:r>
      <w:r w:rsidRPr="00425D1F">
        <w:t xml:space="preserve"> R.C. 4903.10 (</w:t>
      </w:r>
      <w:r w:rsidR="00182EB7">
        <w:t>“</w:t>
      </w:r>
      <w:r w:rsidRPr="00425D1F">
        <w:t>Where such application for rehearing has been filed, the commission may grant and hold such rehearing on the matter specified in such application, if in its judgment sufficient reason therefore is made to appear.</w:t>
      </w:r>
      <w:r w:rsidR="00182EB7">
        <w:t>”</w:t>
      </w:r>
      <w:r w:rsidRPr="00425D1F">
        <w:t>).</w:t>
      </w:r>
    </w:p>
  </w:footnote>
  <w:footnote w:id="27">
    <w:p w:rsidR="00404E27" w:rsidRPr="00B64E66" w:rsidRDefault="00404E27" w:rsidP="00182EB7">
      <w:pPr>
        <w:pStyle w:val="FootnoteText"/>
        <w:spacing w:after="120"/>
        <w:rPr>
          <w:i/>
        </w:rPr>
      </w:pPr>
      <w:r w:rsidRPr="00425D1F">
        <w:rPr>
          <w:rStyle w:val="FootnoteReference"/>
        </w:rPr>
        <w:footnoteRef/>
      </w:r>
      <w:r w:rsidRPr="00425D1F">
        <w:t xml:space="preserve"> </w:t>
      </w:r>
      <w:r w:rsidRPr="00425D1F">
        <w:rPr>
          <w:i/>
        </w:rPr>
        <w:t>See e.g.</w:t>
      </w:r>
      <w:r w:rsidRPr="00425D1F">
        <w:t xml:space="preserve"> </w:t>
      </w:r>
      <w:r w:rsidRPr="00425D1F">
        <w:rPr>
          <w:i/>
        </w:rPr>
        <w:t xml:space="preserve">OCC v. PUC </w:t>
      </w:r>
      <w:r w:rsidRPr="00425D1F">
        <w:t>(2010), 127 Ohio St. 3d 524,528 (</w:t>
      </w:r>
      <w:r w:rsidR="00182EB7">
        <w:t>“</w:t>
      </w:r>
      <w:r w:rsidRPr="00425D1F">
        <w:t xml:space="preserve">The more general phrase </w:t>
      </w:r>
      <w:r w:rsidR="00182EB7">
        <w:t>“</w:t>
      </w:r>
      <w:r w:rsidRPr="00425D1F">
        <w:t>unlawfully approving</w:t>
      </w:r>
      <w:r w:rsidR="00182EB7">
        <w:t>”</w:t>
      </w:r>
      <w:r w:rsidRPr="00425D1F">
        <w:t xml:space="preserve"> does not equate to the more specific claim of lack of subject-matter jurisdiction and therefore does not state a claim of subject-matter jurisdiction in the notice of appeal.</w:t>
      </w:r>
      <w:r w:rsidR="00182EB7">
        <w:t>”</w:t>
      </w:r>
      <w:r w:rsidRPr="00425D1F">
        <w:t>).</w:t>
      </w:r>
    </w:p>
  </w:footnote>
  <w:footnote w:id="28">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See e.g.</w:t>
      </w:r>
      <w:r w:rsidRPr="00425D1F">
        <w:t xml:space="preserve"> </w:t>
      </w:r>
      <w:r w:rsidRPr="00425D1F">
        <w:rPr>
          <w:i/>
        </w:rPr>
        <w:t>Marion v. PUC</w:t>
      </w:r>
      <w:r w:rsidRPr="00425D1F">
        <w:t xml:space="preserve"> (1954), 161 Ohio St. 276, 278 (</w:t>
      </w:r>
      <w:r w:rsidR="00182EB7">
        <w:t>“</w:t>
      </w:r>
      <w:r w:rsidRPr="00425D1F">
        <w:t>The first assignment of error in this court and the first ground for rehearing before the commission are broad and general and state no more than a conclusion; they completely fail to allege in what respect the commission lacked jurisdiction to hear and determine the applications for increased telephone rates.</w:t>
      </w:r>
      <w:r w:rsidR="00182EB7">
        <w:t>”</w:t>
      </w:r>
      <w:r w:rsidRPr="00425D1F">
        <w:t>).</w:t>
      </w:r>
    </w:p>
  </w:footnote>
  <w:footnote w:id="29">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Disc Cellular</w:t>
      </w:r>
      <w:r w:rsidRPr="00425D1F">
        <w:t xml:space="preserve"> at 374 (citing </w:t>
      </w:r>
      <w:r w:rsidRPr="00425D1F">
        <w:rPr>
          <w:i/>
        </w:rPr>
        <w:t>OCC v. PUC</w:t>
      </w:r>
      <w:r w:rsidRPr="00425D1F">
        <w:t xml:space="preserve"> (1994), 70 Ohio St. 3d 244, 248).</w:t>
      </w:r>
    </w:p>
  </w:footnote>
  <w:footnote w:id="30">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Disc Cellular</w:t>
      </w:r>
      <w:r w:rsidRPr="00425D1F">
        <w:t xml:space="preserve"> at 374-75 (quotation omitted).</w:t>
      </w:r>
    </w:p>
  </w:footnote>
  <w:footnote w:id="31">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 xml:space="preserve">OCC v. PUC </w:t>
      </w:r>
      <w:r w:rsidRPr="00425D1F">
        <w:t>(2006), 111 Ohio St. 3d 300, 304 (</w:t>
      </w:r>
      <w:r w:rsidR="00182EB7">
        <w:t>“</w:t>
      </w:r>
      <w:r w:rsidRPr="00425D1F">
        <w:t>The commission cannot justify the modifications made on rehearing merely by stating that those changes benefit consumers and the utility and promote competitive markets.  The commission</w:t>
      </w:r>
      <w:r w:rsidR="00182EB7">
        <w:t>’</w:t>
      </w:r>
      <w:r w:rsidRPr="00425D1F">
        <w:t>s reasoning and the factual basis supporting the modifications on rehearing must be discernible from its orders.</w:t>
      </w:r>
      <w:r w:rsidR="00182EB7">
        <w:t>”</w:t>
      </w:r>
      <w:r w:rsidRPr="00425D1F">
        <w:t>).</w:t>
      </w:r>
    </w:p>
  </w:footnote>
  <w:footnote w:id="32">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Disc Cellular</w:t>
      </w:r>
      <w:r w:rsidRPr="00425D1F">
        <w:t xml:space="preserve"> at 375.</w:t>
      </w:r>
    </w:p>
  </w:footnote>
  <w:footnote w:id="33">
    <w:p w:rsidR="00404E27" w:rsidRPr="00425D1F" w:rsidRDefault="00404E27" w:rsidP="00182EB7">
      <w:pPr>
        <w:pStyle w:val="FootnoteText"/>
        <w:spacing w:after="120"/>
      </w:pPr>
      <w:r w:rsidRPr="00425D1F">
        <w:rPr>
          <w:rStyle w:val="FootnoteReference"/>
        </w:rPr>
        <w:footnoteRef/>
      </w:r>
      <w:r w:rsidRPr="00425D1F">
        <w:t xml:space="preserve"> R.C. 4903.10.</w:t>
      </w:r>
    </w:p>
  </w:footnote>
  <w:footnote w:id="34">
    <w:p w:rsidR="004A4FD9" w:rsidRPr="00425D1F" w:rsidRDefault="004A4FD9" w:rsidP="00182EB7">
      <w:pPr>
        <w:pStyle w:val="FootnoteText"/>
        <w:spacing w:after="120"/>
      </w:pPr>
      <w:r w:rsidRPr="00425D1F">
        <w:rPr>
          <w:rStyle w:val="FootnoteReference"/>
        </w:rPr>
        <w:footnoteRef/>
      </w:r>
      <w:r w:rsidRPr="00425D1F">
        <w:t xml:space="preserve"> See </w:t>
      </w:r>
      <w:r w:rsidRPr="00425D1F">
        <w:rPr>
          <w:i/>
        </w:rPr>
        <w:t>MCI Telecommunications Corp. v. Pub. Util. Comm</w:t>
      </w:r>
      <w:r w:rsidRPr="00425D1F">
        <w:t xml:space="preserve">. (1987), 32 Ohio St.3d 306, 312, 513 N.E.2d 337 citing </w:t>
      </w:r>
      <w:r w:rsidRPr="00425D1F">
        <w:rPr>
          <w:i/>
        </w:rPr>
        <w:t>Dayton Power &amp; Light Co. v. Pub. Util. Comm</w:t>
      </w:r>
      <w:r w:rsidRPr="00425D1F">
        <w:t xml:space="preserve">. (1983), 4 Ohio St.3d 91, 4 OBR 241, 447 N.E. 2d 733; </w:t>
      </w:r>
      <w:r w:rsidRPr="00425D1F">
        <w:rPr>
          <w:i/>
        </w:rPr>
        <w:t>Columbus v. Pub. Util. Comm.</w:t>
      </w:r>
      <w:r w:rsidRPr="00425D1F">
        <w:t xml:space="preserve"> (1979), 58 Ohio St.2d 103, 12 O.O.3d 112, 388 N.W. 2d 1237, see also, </w:t>
      </w:r>
      <w:r w:rsidRPr="00425D1F">
        <w:rPr>
          <w:i/>
        </w:rPr>
        <w:t xml:space="preserve">Tongren v. PUC </w:t>
      </w:r>
      <w:r w:rsidRPr="00425D1F">
        <w:t xml:space="preserve">(1999), 85 Ohio St. 3d 87, 89, where the Ohio Supreme Court held that </w:t>
      </w:r>
      <w:r w:rsidR="00182EB7">
        <w:t>“</w:t>
      </w:r>
      <w:r w:rsidRPr="00425D1F">
        <w:t>a commission order must provide in sufficient detail, the facts upon which the order is based, and the reasoning followed by the Public Utilities Commission of Ohio in reaching its conclusion.</w:t>
      </w:r>
      <w:r w:rsidR="00182EB7">
        <w:t>”</w:t>
      </w:r>
    </w:p>
  </w:footnote>
  <w:footnote w:id="35">
    <w:p w:rsidR="00404E27" w:rsidRPr="00425D1F" w:rsidRDefault="00404E27" w:rsidP="00182EB7">
      <w:pPr>
        <w:pStyle w:val="FootnoteText"/>
        <w:spacing w:after="120"/>
      </w:pPr>
      <w:r w:rsidRPr="00425D1F">
        <w:rPr>
          <w:rStyle w:val="FootnoteReference"/>
        </w:rPr>
        <w:footnoteRef/>
      </w:r>
      <w:r w:rsidRPr="00425D1F">
        <w:t xml:space="preserve"> Case No. 12-2190-EL-POR, Opinion and Order at 20 (March 20, 2013).</w:t>
      </w:r>
    </w:p>
  </w:footnote>
  <w:footnote w:id="36">
    <w:p w:rsidR="00404E27" w:rsidRPr="00425D1F" w:rsidRDefault="00404E27" w:rsidP="00182EB7">
      <w:pPr>
        <w:pStyle w:val="FootnoteText"/>
        <w:spacing w:after="120"/>
      </w:pPr>
      <w:r w:rsidRPr="00425D1F">
        <w:rPr>
          <w:rStyle w:val="FootnoteReference"/>
        </w:rPr>
        <w:footnoteRef/>
      </w:r>
      <w:r w:rsidRPr="00425D1F">
        <w:t xml:space="preserve"> Id.</w:t>
      </w:r>
    </w:p>
  </w:footnote>
  <w:footnote w:id="37">
    <w:p w:rsidR="00404E27" w:rsidRPr="00425D1F" w:rsidRDefault="00404E27" w:rsidP="00182EB7">
      <w:pPr>
        <w:pStyle w:val="FootnoteText"/>
        <w:spacing w:after="120"/>
      </w:pPr>
      <w:r w:rsidRPr="00425D1F">
        <w:rPr>
          <w:rStyle w:val="FootnoteReference"/>
        </w:rPr>
        <w:footnoteRef/>
      </w:r>
      <w:r w:rsidRPr="00425D1F">
        <w:t xml:space="preserve"> Id.</w:t>
      </w:r>
    </w:p>
  </w:footnote>
  <w:footnote w:id="38">
    <w:p w:rsidR="00404E27" w:rsidRPr="00425D1F" w:rsidRDefault="00404E27" w:rsidP="00182EB7">
      <w:pPr>
        <w:autoSpaceDE w:val="0"/>
        <w:autoSpaceDN w:val="0"/>
        <w:adjustRightInd w:val="0"/>
        <w:spacing w:after="120"/>
        <w:rPr>
          <w:i/>
          <w:iCs/>
          <w:sz w:val="20"/>
          <w:szCs w:val="20"/>
        </w:rPr>
      </w:pPr>
      <w:r w:rsidRPr="00425D1F">
        <w:rPr>
          <w:rStyle w:val="FootnoteReference"/>
          <w:sz w:val="20"/>
          <w:szCs w:val="20"/>
        </w:rPr>
        <w:footnoteRef/>
      </w:r>
      <w:r w:rsidRPr="00425D1F">
        <w:rPr>
          <w:sz w:val="20"/>
          <w:szCs w:val="20"/>
        </w:rPr>
        <w:t xml:space="preserve"> See </w:t>
      </w:r>
      <w:r w:rsidRPr="00425D1F">
        <w:rPr>
          <w:i/>
          <w:iCs/>
          <w:sz w:val="20"/>
          <w:szCs w:val="20"/>
        </w:rPr>
        <w:t>Cleveland Elec. Illuminating Co. v. PUC</w:t>
      </w:r>
      <w:r w:rsidRPr="00425D1F">
        <w:rPr>
          <w:sz w:val="20"/>
          <w:szCs w:val="20"/>
        </w:rPr>
        <w:t xml:space="preserve">, 4 Ohio St. 3d 107, 110 (Ohio 1983), citing to, </w:t>
      </w:r>
      <w:r w:rsidRPr="00425D1F">
        <w:rPr>
          <w:i/>
          <w:iCs/>
          <w:sz w:val="20"/>
          <w:szCs w:val="20"/>
        </w:rPr>
        <w:t>General Tel. Co. v. Pub. Util. Comm</w:t>
      </w:r>
      <w:r w:rsidRPr="00425D1F">
        <w:rPr>
          <w:sz w:val="20"/>
          <w:szCs w:val="20"/>
        </w:rPr>
        <w:t>. (1972), 30 Ohio St. 2d 271.</w:t>
      </w:r>
    </w:p>
  </w:footnote>
  <w:footnote w:id="39">
    <w:p w:rsidR="00404E27" w:rsidRPr="00425D1F" w:rsidRDefault="00404E27" w:rsidP="00182EB7">
      <w:pPr>
        <w:pStyle w:val="FootnoteText"/>
        <w:spacing w:after="120"/>
      </w:pPr>
      <w:r w:rsidRPr="00425D1F">
        <w:rPr>
          <w:rStyle w:val="FootnoteReference"/>
        </w:rPr>
        <w:footnoteRef/>
      </w:r>
      <w:r w:rsidRPr="00425D1F">
        <w:t xml:space="preserve"> </w:t>
      </w:r>
      <w:r w:rsidRPr="00425D1F">
        <w:rPr>
          <w:i/>
          <w:iCs/>
        </w:rPr>
        <w:t>MCI Telecommunications Corp. v. Public Utilities Com.</w:t>
      </w:r>
      <w:r w:rsidRPr="00425D1F">
        <w:t>, 32 Ohio St. 3d 306, 312 (Ohio 1987).</w:t>
      </w:r>
    </w:p>
  </w:footnote>
  <w:footnote w:id="40">
    <w:p w:rsidR="00404E27" w:rsidRPr="00425D1F" w:rsidRDefault="00404E27" w:rsidP="00182EB7">
      <w:pPr>
        <w:pStyle w:val="FootnoteText"/>
        <w:spacing w:after="120"/>
      </w:pPr>
      <w:r w:rsidRPr="00425D1F">
        <w:rPr>
          <w:rStyle w:val="FootnoteReference"/>
        </w:rPr>
        <w:footnoteRef/>
      </w:r>
      <w:r w:rsidRPr="00425D1F">
        <w:t xml:space="preserve"> Case No. 07-589-GA-AIR, et al. Opinion and Order at 11 (May 28, 2008).</w:t>
      </w:r>
    </w:p>
  </w:footnote>
  <w:footnote w:id="41">
    <w:p w:rsidR="00404E27" w:rsidRPr="00425D1F" w:rsidRDefault="00404E27" w:rsidP="00182EB7">
      <w:pPr>
        <w:pStyle w:val="FootnoteText"/>
        <w:spacing w:after="120"/>
      </w:pPr>
      <w:r w:rsidRPr="00425D1F">
        <w:rPr>
          <w:rStyle w:val="FootnoteReference"/>
        </w:rPr>
        <w:footnoteRef/>
      </w:r>
      <w:r w:rsidRPr="00425D1F">
        <w:t xml:space="preserve"> Id.</w:t>
      </w:r>
      <w:r>
        <w:t xml:space="preserve">  The Stipulation prohibits its use as precedent in other cases, see page 2.</w:t>
      </w:r>
    </w:p>
  </w:footnote>
  <w:footnote w:id="42">
    <w:p w:rsidR="007055DD" w:rsidRDefault="007055DD" w:rsidP="00182EB7">
      <w:pPr>
        <w:pStyle w:val="FootnoteText"/>
        <w:spacing w:after="120"/>
      </w:pPr>
      <w:r>
        <w:rPr>
          <w:rStyle w:val="FootnoteReference"/>
        </w:rPr>
        <w:footnoteRef/>
      </w:r>
      <w:r>
        <w:t xml:space="preserve"> </w:t>
      </w:r>
      <w:r w:rsidRPr="00425D1F">
        <w:t xml:space="preserve">Case No. 07-589-GA-AIR, et al. Opinion and Order at </w:t>
      </w:r>
      <w:r w:rsidR="00965719">
        <w:t>11</w:t>
      </w:r>
      <w:r w:rsidRPr="00425D1F">
        <w:t>(May 28, 2008).</w:t>
      </w:r>
    </w:p>
  </w:footnote>
  <w:footnote w:id="43">
    <w:p w:rsidR="00404E27" w:rsidRPr="00425D1F" w:rsidRDefault="00404E27" w:rsidP="00182EB7">
      <w:pPr>
        <w:pStyle w:val="FootnoteText"/>
        <w:spacing w:after="120"/>
      </w:pPr>
      <w:r w:rsidRPr="00425D1F">
        <w:rPr>
          <w:rStyle w:val="FootnoteReference"/>
        </w:rPr>
        <w:footnoteRef/>
      </w:r>
      <w:r w:rsidRPr="00425D1F">
        <w:t xml:space="preserve"> Id. </w:t>
      </w:r>
      <w:r w:rsidR="00161183">
        <w:t xml:space="preserve">Stipulation and Recommendation at 21-22 (February 28, 2008) </w:t>
      </w:r>
      <w:r w:rsidRPr="00425D1F">
        <w:t>(emphasis added).</w:t>
      </w:r>
    </w:p>
  </w:footnote>
  <w:footnote w:id="44">
    <w:p w:rsidR="00404E27" w:rsidRPr="00425D1F" w:rsidRDefault="00404E27" w:rsidP="00182EB7">
      <w:pPr>
        <w:pStyle w:val="FootnoteText"/>
        <w:spacing w:after="120"/>
      </w:pPr>
      <w:r w:rsidRPr="00425D1F">
        <w:rPr>
          <w:rStyle w:val="FootnoteReference"/>
        </w:rPr>
        <w:footnoteRef/>
      </w:r>
      <w:r w:rsidRPr="00425D1F">
        <w:t xml:space="preserve"> Case No. 00-120-GA-FOR Opinion and Order at 11 (September 25, 2001).</w:t>
      </w:r>
    </w:p>
  </w:footnote>
  <w:footnote w:id="45">
    <w:p w:rsidR="00404E27" w:rsidRPr="00425D1F" w:rsidRDefault="00404E27" w:rsidP="00182EB7">
      <w:pPr>
        <w:pStyle w:val="FootnoteText"/>
        <w:spacing w:after="120"/>
      </w:pPr>
      <w:r w:rsidRPr="00425D1F">
        <w:rPr>
          <w:rStyle w:val="FootnoteReference"/>
        </w:rPr>
        <w:footnoteRef/>
      </w:r>
      <w:r w:rsidRPr="00425D1F">
        <w:t xml:space="preserve"> Id.</w:t>
      </w:r>
    </w:p>
  </w:footnote>
  <w:footnote w:id="46">
    <w:p w:rsidR="00404E27" w:rsidRPr="00425D1F" w:rsidRDefault="00404E27" w:rsidP="00182EB7">
      <w:pPr>
        <w:pStyle w:val="FootnoteText"/>
        <w:spacing w:after="120"/>
      </w:pPr>
      <w:r w:rsidRPr="00425D1F">
        <w:rPr>
          <w:rStyle w:val="FootnoteReference"/>
        </w:rPr>
        <w:footnoteRef/>
      </w:r>
      <w:r w:rsidRPr="00425D1F">
        <w:t xml:space="preserve"> Id. at 12.</w:t>
      </w:r>
    </w:p>
  </w:footnote>
  <w:footnote w:id="47">
    <w:p w:rsidR="00404E27" w:rsidRPr="00425D1F" w:rsidRDefault="00404E27" w:rsidP="00182EB7">
      <w:pPr>
        <w:pStyle w:val="FootnoteText"/>
        <w:spacing w:after="120"/>
      </w:pPr>
      <w:r w:rsidRPr="00425D1F">
        <w:rPr>
          <w:rStyle w:val="FootnoteReference"/>
        </w:rPr>
        <w:footnoteRef/>
      </w:r>
      <w:r w:rsidRPr="00425D1F">
        <w:t xml:space="preserve"> Id.</w:t>
      </w:r>
    </w:p>
  </w:footnote>
  <w:footnote w:id="48">
    <w:p w:rsidR="00404E27" w:rsidRPr="00425D1F" w:rsidRDefault="00404E27" w:rsidP="00182EB7">
      <w:pPr>
        <w:pStyle w:val="FootnoteText"/>
        <w:spacing w:after="120"/>
      </w:pPr>
      <w:r w:rsidRPr="00425D1F">
        <w:rPr>
          <w:rStyle w:val="FootnoteReference"/>
        </w:rPr>
        <w:footnoteRef/>
      </w:r>
      <w:r w:rsidRPr="00425D1F">
        <w:t xml:space="preserve"> Id.</w:t>
      </w:r>
    </w:p>
  </w:footnote>
  <w:footnote w:id="49">
    <w:p w:rsidR="00404E27" w:rsidRPr="00425D1F" w:rsidRDefault="00404E27" w:rsidP="00182EB7">
      <w:pPr>
        <w:pStyle w:val="FootnoteText"/>
        <w:spacing w:after="120"/>
      </w:pPr>
      <w:r w:rsidRPr="00425D1F">
        <w:rPr>
          <w:rStyle w:val="FootnoteReference"/>
        </w:rPr>
        <w:footnoteRef/>
      </w:r>
      <w:r w:rsidRPr="00425D1F">
        <w:t xml:space="preserve"> Case No. 12-2190-EL-POR, Entry at 4</w:t>
      </w:r>
      <w:r>
        <w:t xml:space="preserve"> </w:t>
      </w:r>
      <w:r w:rsidRPr="00425D1F">
        <w:t>(July 17, 2013).</w:t>
      </w:r>
    </w:p>
  </w:footnote>
  <w:footnote w:id="50">
    <w:p w:rsidR="00404E27" w:rsidRPr="00425D1F" w:rsidRDefault="00404E27" w:rsidP="00182EB7">
      <w:pPr>
        <w:pStyle w:val="FootnoteText"/>
        <w:spacing w:after="120"/>
      </w:pPr>
      <w:r w:rsidRPr="00425D1F">
        <w:rPr>
          <w:rStyle w:val="FootnoteReference"/>
        </w:rPr>
        <w:footnoteRef/>
      </w:r>
      <w:r w:rsidRPr="00425D1F">
        <w:t xml:space="preserve"> Case No. 12-2190-El-POR, Scheck Direct Testimony at 12 (October 9, 2012).</w:t>
      </w:r>
    </w:p>
  </w:footnote>
  <w:footnote w:id="51">
    <w:p w:rsidR="00404E27" w:rsidRPr="00425D1F" w:rsidRDefault="00404E27" w:rsidP="00182EB7">
      <w:pPr>
        <w:pStyle w:val="FootnoteText"/>
        <w:spacing w:after="120"/>
      </w:pPr>
      <w:r w:rsidRPr="00425D1F">
        <w:rPr>
          <w:rStyle w:val="FootnoteReference"/>
        </w:rPr>
        <w:footnoteRef/>
      </w:r>
      <w:r w:rsidRPr="00425D1F">
        <w:t xml:space="preserve"> Id.</w:t>
      </w:r>
    </w:p>
  </w:footnote>
  <w:footnote w:id="52">
    <w:p w:rsidR="00404E27" w:rsidRPr="00425D1F" w:rsidRDefault="00404E27" w:rsidP="00182EB7">
      <w:pPr>
        <w:pStyle w:val="FootnoteText"/>
        <w:spacing w:after="120"/>
      </w:pPr>
      <w:r w:rsidRPr="00425D1F">
        <w:rPr>
          <w:rStyle w:val="FootnoteReference"/>
        </w:rPr>
        <w:footnoteRef/>
      </w:r>
      <w:r w:rsidRPr="00425D1F">
        <w:t xml:space="preserve"> Case No. 12-2190-EL-POR, Tr. Vol IV at 811.</w:t>
      </w:r>
    </w:p>
  </w:footnote>
  <w:footnote w:id="53">
    <w:p w:rsidR="00404E27" w:rsidRDefault="00404E27" w:rsidP="00182EB7">
      <w:pPr>
        <w:pStyle w:val="FootnoteText"/>
        <w:spacing w:after="120"/>
      </w:pPr>
      <w:r>
        <w:rPr>
          <w:rStyle w:val="FootnoteReference"/>
        </w:rPr>
        <w:footnoteRef/>
      </w:r>
      <w:r>
        <w:t xml:space="preserve"> Tr. V. IV at 810.</w:t>
      </w:r>
    </w:p>
  </w:footnote>
  <w:footnote w:id="54">
    <w:p w:rsidR="00404E27" w:rsidRDefault="00404E27" w:rsidP="00182EB7">
      <w:pPr>
        <w:pStyle w:val="FootnoteText"/>
        <w:spacing w:after="120"/>
      </w:pPr>
      <w:r>
        <w:rPr>
          <w:rStyle w:val="FootnoteReference"/>
        </w:rPr>
        <w:footnoteRef/>
      </w:r>
      <w:r>
        <w:t xml:space="preserve"> Id. at 811.</w:t>
      </w:r>
    </w:p>
  </w:footnote>
  <w:footnote w:id="55">
    <w:p w:rsidR="00404E27" w:rsidRPr="00425D1F" w:rsidRDefault="00404E27" w:rsidP="00182EB7">
      <w:pPr>
        <w:pStyle w:val="FootnoteText"/>
        <w:spacing w:after="120"/>
      </w:pPr>
      <w:r w:rsidRPr="00425D1F">
        <w:rPr>
          <w:rStyle w:val="FootnoteReference"/>
        </w:rPr>
        <w:footnoteRef/>
      </w:r>
      <w:r w:rsidRPr="00425D1F">
        <w:t xml:space="preserve"> </w:t>
      </w:r>
      <w:r w:rsidRPr="00425D1F">
        <w:rPr>
          <w:i/>
        </w:rPr>
        <w:t>Cleveland Elec. Illum. Co. v. Pub. Util. Comm</w:t>
      </w:r>
      <w:r w:rsidRPr="00425D1F">
        <w:t>. (1996), 76 Ohio St.3d 163, 166.</w:t>
      </w:r>
    </w:p>
  </w:footnote>
  <w:footnote w:id="56">
    <w:p w:rsidR="00404E27" w:rsidRPr="00425D1F" w:rsidRDefault="00404E27" w:rsidP="00182EB7">
      <w:pPr>
        <w:pStyle w:val="FootnoteText"/>
        <w:spacing w:after="120"/>
      </w:pPr>
      <w:r w:rsidRPr="00425D1F">
        <w:rPr>
          <w:rStyle w:val="FootnoteReference"/>
        </w:rPr>
        <w:footnoteRef/>
      </w:r>
      <w:r w:rsidRPr="00425D1F">
        <w:t xml:space="preserve"> See, e.g., In re Petition of Studer &amp; Numerous Other Subscribers of Neapolis Exchange of ALLTEL Ohio, Case No. 88-481-TP-PEX. Entry on Rehearing (Sept. 6 1990).</w:t>
      </w:r>
    </w:p>
  </w:footnote>
  <w:footnote w:id="57">
    <w:p w:rsidR="00404E27" w:rsidRPr="00425D1F" w:rsidRDefault="00404E27" w:rsidP="00182EB7">
      <w:pPr>
        <w:pStyle w:val="FootnoteText"/>
        <w:spacing w:after="120"/>
      </w:pPr>
      <w:r w:rsidRPr="00425D1F">
        <w:rPr>
          <w:rStyle w:val="FootnoteReference"/>
        </w:rPr>
        <w:footnoteRef/>
      </w:r>
      <w:r w:rsidRPr="00425D1F">
        <w:t xml:space="preserve"> See </w:t>
      </w:r>
      <w:r w:rsidRPr="00425D1F">
        <w:rPr>
          <w:i/>
        </w:rPr>
        <w:t>Tongren v. Pub. Util. Comm.</w:t>
      </w:r>
      <w:r w:rsidRPr="00425D1F">
        <w:t xml:space="preserve"> (1999), 85 Ohio St.3d 87, 92-93.</w:t>
      </w:r>
    </w:p>
  </w:footnote>
  <w:footnote w:id="58">
    <w:p w:rsidR="00404E27" w:rsidRPr="00425D1F" w:rsidRDefault="00404E27" w:rsidP="00182EB7">
      <w:pPr>
        <w:pStyle w:val="FootnoteText"/>
        <w:spacing w:after="120"/>
      </w:pPr>
      <w:r w:rsidRPr="00425D1F">
        <w:rPr>
          <w:rStyle w:val="FootnoteReference"/>
        </w:rPr>
        <w:footnoteRef/>
      </w:r>
      <w:r w:rsidRPr="00425D1F">
        <w:t xml:space="preserve"> Id., citing </w:t>
      </w:r>
      <w:r w:rsidRPr="00425D1F">
        <w:rPr>
          <w:i/>
        </w:rPr>
        <w:t>Holliday Corp. v. Pub. Util. Comm.</w:t>
      </w:r>
      <w:r w:rsidRPr="00425D1F">
        <w:t>, (1980, 61 Ohio St.2d 335, syllabus.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632CEB">
    <w:pPr>
      <w:pStyle w:val="Header"/>
    </w:pPr>
    <w:r>
      <w:rPr>
        <w:noProof/>
      </w:rPr>
      <w:pict w14:anchorId="7750E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532.95pt;height:76.1pt;rotation:315;z-index:-251660288;mso-wrap-edited:f;mso-position-horizontal:center;mso-position-horizontal-relative:margin;mso-position-vertical:center;mso-position-vertical-relative:margin" wrapcoords="20688 3849 19989 3849 19807 4063 19837 5132 20111 9409 18683 3421 18592 4063 18410 7271 17681 4277 17377 3207 17255 3849 16739 4063 16587 4063 16070 2566 15858 3849 14187 4063 14156 4491 14400 7912 13184 3635 11058 3849 11027 4063 11179 9196 10511 5132 9903 2566 9691 3849 5559 3849 5468 4063 5589 7699 5741 9837 4708 4704 4344 2994 4010 4063 4405 10265 3554 4704 2977 2352 2794 3635 2400 4918 1762 3635 1670 3635 1488 4277 1275 3635 820 3635 303 5560 91 8768 30 9196 121 13687 243 14970 243 14328 151 13900 607 16895 546 16467 455 16467 637 17322 1275 17964 1367 17536 1792 15825 2734 17536 3402 17536 3767 15398 4040 16895 4617 18392 4891 17322 4617 11762 5741 16895 5924 17536 5954 16253 6075 16895 6713 17964 6805 17536 7139 17108 7139 16895 6865 13045 7048 13900 8111 17964 8232 17536 8870 17108 9417 18605 9630 17536 10207 17108 10602 15398 10906 16895 11483 18392 11665 17536 13488 17322 13549 16895 13306 14756 13306 9837 14551 17536 14612 17536 14612 14328 14825 15398 15645 17964 15736 17536 16192 17322 16253 16895 16162 15398 17043 17964 17194 17536 18288 17322 18349 16895 18197 15184 19169 17536 19868 17108 20384 18605 20627 17536 21356 17322 21448 16681 21600 14328 20779 4704 20688 3849" o:allowincell="f" fillcolor="#a5a5a5 [2092]" stroked="f">
          <v:textpath style="font-family:&quot;Times New Roman&quot;;font-size:1pt" string="CONFIDENTI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632CEB">
    <w:pPr>
      <w:pStyle w:val="Header"/>
    </w:pPr>
    <w:r>
      <w:rPr>
        <w:noProof/>
      </w:rPr>
      <w:pict w14:anchorId="4F3BC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63" type="#_x0000_t136" style="position:absolute;margin-left:0;margin-top:0;width:532.95pt;height:76.1pt;rotation:315;z-index:-251657216;mso-wrap-edited:f;mso-position-horizontal:center;mso-position-horizontal-relative:margin;mso-position-vertical:center;mso-position-vertical-relative:margin" wrapcoords="20688 3849 19989 3849 19807 4063 19837 5132 20111 9409 18683 3421 18592 4063 18410 7271 17681 4277 17377 3207 17255 3849 16739 4063 16587 4063 16070 2566 15858 3849 14187 4063 14156 4491 14400 7912 13184 3635 11058 3849 11027 4063 11179 9196 10511 5132 9903 2566 9691 3849 5559 3849 5468 4063 5589 7699 5741 9837 4708 4704 4344 2994 4010 4063 4405 10265 3554 4704 2977 2352 2794 3635 2400 4918 1762 3635 1670 3635 1488 4277 1275 3635 820 3635 303 5560 91 8768 30 9196 121 13687 243 14970 243 14328 151 13900 607 16895 546 16467 455 16467 637 17322 1275 17964 1367 17536 1792 15825 2734 17536 3402 17536 3767 15398 4040 16895 4617 18392 4891 17322 4617 11762 5741 16895 5924 17536 5954 16253 6075 16895 6713 17964 6805 17536 7139 17108 7139 16895 6865 13045 7048 13900 8111 17964 8232 17536 8870 17108 9417 18605 9630 17536 10207 17108 10602 15398 10906 16895 11483 18392 11665 17536 13488 17322 13549 16895 13306 14756 13306 9837 14551 17536 14612 17536 14612 14328 14825 15398 15645 17964 15736 17536 16192 17322 16253 16895 16162 15398 17043 17964 17194 17536 18288 17322 18349 16895 18197 15184 19169 17536 19868 17108 20384 18605 20627 17536 21356 17322 21448 16681 21600 14328 20779 4704 20688 3849" o:allowincell="f" fillcolor="#a5a5a5 [2092]" stroked="f">
          <v:textpath style="font-family:&quot;Times New Roman&quot;;font-size:1pt" string="CONFIDENTI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632CEB">
    <w:pPr>
      <w:pStyle w:val="Header"/>
    </w:pPr>
    <w:r>
      <w:rPr>
        <w:noProof/>
      </w:rPr>
      <w:pict w14:anchorId="752BB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532.95pt;height:76.1pt;rotation:315;z-index:-251659264;mso-wrap-edited:f;mso-position-horizontal:center;mso-position-horizontal-relative:margin;mso-position-vertical:center;mso-position-vertical-relative:margin" wrapcoords="20688 3849 19989 3849 19807 4063 19837 5132 20111 9409 18683 3421 18592 4063 18410 7271 17681 4277 17377 3207 17255 3849 16739 4063 16587 4063 16070 2566 15858 3849 14187 4063 14156 4491 14400 7912 13184 3635 11058 3849 11027 4063 11179 9196 10511 5132 9903 2566 9691 3849 5559 3849 5468 4063 5589 7699 5741 9837 4708 4704 4344 2994 4010 4063 4405 10265 3554 4704 2977 2352 2794 3635 2400 4918 1762 3635 1670 3635 1488 4277 1275 3635 820 3635 303 5560 91 8768 30 9196 121 13687 243 14970 243 14328 151 13900 607 16895 546 16467 455 16467 637 17322 1275 17964 1367 17536 1792 15825 2734 17536 3402 17536 3767 15398 4040 16895 4617 18392 4891 17322 4617 11762 5741 16895 5924 17536 5954 16253 6075 16895 6713 17964 6805 17536 7139 17108 7139 16895 6865 13045 7048 13900 8111 17964 8232 17536 8870 17108 9417 18605 9630 17536 10207 17108 10602 15398 10906 16895 11483 18392 11665 17536 13488 17322 13549 16895 13306 14756 13306 9837 14551 17536 14612 17536 14612 14328 14825 15398 15645 17964 15736 17536 16192 17322 16253 16895 16162 15398 17043 17964 17194 17536 18288 17322 18349 16895 18197 15184 19169 17536 19868 17108 20384 18605 20627 17536 21356 17322 21448 16681 21600 14328 20779 4704 20688 3849" o:allowincell="f" fillcolor="#a5a5a5 [2092]" stroked="f">
          <v:textpath style="font-family:&quot;Times New Roman&quot;;font-size:1pt" string="CONFIDENT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D" w:rsidRDefault="004A36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632CEB">
    <w:pPr>
      <w:pStyle w:val="Header"/>
    </w:pPr>
    <w:r>
      <w:rPr>
        <w:noProof/>
      </w:rPr>
      <w:pict w14:anchorId="2878E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0" type="#_x0000_t136" style="position:absolute;margin-left:0;margin-top:0;width:532.95pt;height:76.1pt;rotation:315;z-index:-251658240;mso-wrap-edited:f;mso-position-horizontal:center;mso-position-horizontal-relative:margin;mso-position-vertical:center;mso-position-vertical-relative:margin" wrapcoords="20688 3849 19989 3849 19807 4063 19837 5132 20111 9409 18683 3421 18592 4063 18410 7271 17681 4277 17377 3207 17255 3849 16739 4063 16587 4063 16070 2566 15858 3849 14187 4063 14156 4491 14400 7912 13184 3635 11058 3849 11027 4063 11179 9196 10511 5132 9903 2566 9691 3849 5559 3849 5468 4063 5589 7699 5741 9837 4708 4704 4344 2994 4010 4063 4405 10265 3554 4704 2977 2352 2794 3635 2400 4918 1762 3635 1670 3635 1488 4277 1275 3635 820 3635 303 5560 91 8768 30 9196 121 13687 243 14970 243 14328 151 13900 607 16895 546 16467 455 16467 637 17322 1275 17964 1367 17536 1792 15825 2734 17536 3402 17536 3767 15398 4040 16895 4617 18392 4891 17322 4617 11762 5741 16895 5924 17536 5954 16253 6075 16895 6713 17964 6805 17536 7139 17108 7139 16895 6865 13045 7048 13900 8111 17964 8232 17536 8870 17108 9417 18605 9630 17536 10207 17108 10602 15398 10906 16895 11483 18392 11665 17536 13488 17322 13549 16895 13306 14756 13306 9837 14551 17536 14612 17536 14612 14328 14825 15398 15645 17964 15736 17536 16192 17322 16253 16895 16162 15398 17043 17964 17194 17536 18288 17322 18349 16895 18197 15184 19169 17536 19868 17108 20384 18605 20627 17536 21356 17322 21448 16681 21600 14328 20779 4704 20688 3849" o:allowincell="f" fillcolor="#a5a5a5 [2092]" stroked="f">
          <v:textpath style="font-family:&quot;Times New Roman&quot;;font-size:1pt" string="CONFIDENT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27" w:rsidRDefault="00404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5E7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6CA0B34"/>
    <w:lvl w:ilvl="0">
      <w:start w:val="1"/>
      <w:numFmt w:val="decimal"/>
      <w:lvlText w:val="%1."/>
      <w:lvlJc w:val="left"/>
      <w:pPr>
        <w:tabs>
          <w:tab w:val="num" w:pos="1800"/>
        </w:tabs>
        <w:ind w:left="1800" w:hanging="360"/>
      </w:pPr>
    </w:lvl>
  </w:abstractNum>
  <w:abstractNum w:abstractNumId="2">
    <w:nsid w:val="FFFFFF7D"/>
    <w:multiLevelType w:val="singleLevel"/>
    <w:tmpl w:val="DFA0BDCC"/>
    <w:lvl w:ilvl="0">
      <w:start w:val="1"/>
      <w:numFmt w:val="decimal"/>
      <w:lvlText w:val="%1."/>
      <w:lvlJc w:val="left"/>
      <w:pPr>
        <w:tabs>
          <w:tab w:val="num" w:pos="1440"/>
        </w:tabs>
        <w:ind w:left="1440" w:hanging="360"/>
      </w:pPr>
    </w:lvl>
  </w:abstractNum>
  <w:abstractNum w:abstractNumId="3">
    <w:nsid w:val="FFFFFF7E"/>
    <w:multiLevelType w:val="singleLevel"/>
    <w:tmpl w:val="85A81B20"/>
    <w:lvl w:ilvl="0">
      <w:start w:val="1"/>
      <w:numFmt w:val="decimal"/>
      <w:lvlText w:val="%1."/>
      <w:lvlJc w:val="left"/>
      <w:pPr>
        <w:tabs>
          <w:tab w:val="num" w:pos="1080"/>
        </w:tabs>
        <w:ind w:left="1080" w:hanging="360"/>
      </w:pPr>
    </w:lvl>
  </w:abstractNum>
  <w:abstractNum w:abstractNumId="4">
    <w:nsid w:val="FFFFFF7F"/>
    <w:multiLevelType w:val="singleLevel"/>
    <w:tmpl w:val="96B4F3A0"/>
    <w:lvl w:ilvl="0">
      <w:start w:val="1"/>
      <w:numFmt w:val="decimal"/>
      <w:lvlText w:val="%1."/>
      <w:lvlJc w:val="left"/>
      <w:pPr>
        <w:tabs>
          <w:tab w:val="num" w:pos="720"/>
        </w:tabs>
        <w:ind w:left="720" w:hanging="360"/>
      </w:pPr>
    </w:lvl>
  </w:abstractNum>
  <w:abstractNum w:abstractNumId="5">
    <w:nsid w:val="FFFFFF80"/>
    <w:multiLevelType w:val="singleLevel"/>
    <w:tmpl w:val="4F1410B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522AB6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1067C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600390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D349066"/>
    <w:lvl w:ilvl="0">
      <w:start w:val="1"/>
      <w:numFmt w:val="decimal"/>
      <w:lvlText w:val="%1."/>
      <w:lvlJc w:val="left"/>
      <w:pPr>
        <w:tabs>
          <w:tab w:val="num" w:pos="360"/>
        </w:tabs>
        <w:ind w:left="360" w:hanging="360"/>
      </w:pPr>
    </w:lvl>
  </w:abstractNum>
  <w:abstractNum w:abstractNumId="10">
    <w:nsid w:val="FFFFFF89"/>
    <w:multiLevelType w:val="singleLevel"/>
    <w:tmpl w:val="2D989C76"/>
    <w:lvl w:ilvl="0">
      <w:start w:val="1"/>
      <w:numFmt w:val="bullet"/>
      <w:lvlText w:val=""/>
      <w:lvlJc w:val="left"/>
      <w:pPr>
        <w:tabs>
          <w:tab w:val="num" w:pos="360"/>
        </w:tabs>
        <w:ind w:left="360" w:hanging="360"/>
      </w:pPr>
      <w:rPr>
        <w:rFonts w:ascii="Symbol" w:hAnsi="Symbol" w:hint="default"/>
      </w:rPr>
    </w:lvl>
  </w:abstractNum>
  <w:abstractNum w:abstractNumId="11">
    <w:nsid w:val="016A5DB7"/>
    <w:multiLevelType w:val="hybridMultilevel"/>
    <w:tmpl w:val="64BC00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908253A"/>
    <w:multiLevelType w:val="hybridMultilevel"/>
    <w:tmpl w:val="A95487C4"/>
    <w:lvl w:ilvl="0" w:tplc="30FCAF1E">
      <w:start w:val="1"/>
      <w:numFmt w:val="upperLetter"/>
      <w:lvlText w:val="%1."/>
      <w:lvlJc w:val="left"/>
      <w:pPr>
        <w:ind w:left="1350" w:hanging="360"/>
      </w:pPr>
      <w:rPr>
        <w:rFonts w:ascii="Times New Roman" w:hAnsi="Times New Roman"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0B641A3D"/>
    <w:multiLevelType w:val="hybridMultilevel"/>
    <w:tmpl w:val="912E20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EBD28CA"/>
    <w:multiLevelType w:val="hybridMultilevel"/>
    <w:tmpl w:val="36085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F3764A"/>
    <w:multiLevelType w:val="hybridMultilevel"/>
    <w:tmpl w:val="23E6B006"/>
    <w:lvl w:ilvl="0" w:tplc="66765B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E54758"/>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285F3C"/>
    <w:multiLevelType w:val="hybridMultilevel"/>
    <w:tmpl w:val="8B5E1CB6"/>
    <w:lvl w:ilvl="0" w:tplc="9F74D5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9375F8"/>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437597"/>
    <w:multiLevelType w:val="hybridMultilevel"/>
    <w:tmpl w:val="18FA71A4"/>
    <w:lvl w:ilvl="0" w:tplc="F43C341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AF93469"/>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C73514"/>
    <w:multiLevelType w:val="hybridMultilevel"/>
    <w:tmpl w:val="F0B6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13EDB"/>
    <w:multiLevelType w:val="hybridMultilevel"/>
    <w:tmpl w:val="9D9CF59C"/>
    <w:lvl w:ilvl="0" w:tplc="C40816C4">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CDE540B"/>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EC6F4A"/>
    <w:multiLevelType w:val="hybridMultilevel"/>
    <w:tmpl w:val="EF2E46B8"/>
    <w:lvl w:ilvl="0" w:tplc="4ED480FA">
      <w:start w:val="1"/>
      <w:numFmt w:val="upperLetter"/>
      <w:lvlText w:val="%1."/>
      <w:lvlJc w:val="left"/>
      <w:pPr>
        <w:ind w:left="1080" w:hanging="360"/>
      </w:pPr>
      <w:rPr>
        <w:rFonts w:ascii="Times New Roman Bold" w:hAnsi="Times New Roman Bold"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332E89"/>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6"/>
  </w:num>
  <w:num w:numId="17">
    <w:abstractNumId w:val="14"/>
  </w:num>
  <w:num w:numId="18">
    <w:abstractNumId w:val="16"/>
    <w:lvlOverride w:ilvl="0">
      <w:startOverride w:val="2"/>
    </w:lvlOverride>
  </w:num>
  <w:num w:numId="19">
    <w:abstractNumId w:val="16"/>
    <w:lvlOverride w:ilvl="0">
      <w:startOverride w:val="1"/>
    </w:lvlOverride>
  </w:num>
  <w:num w:numId="20">
    <w:abstractNumId w:val="16"/>
    <w:lvlOverride w:ilvl="0">
      <w:startOverride w:val="1"/>
    </w:lvlOverride>
  </w:num>
  <w:num w:numId="21">
    <w:abstractNumId w:val="22"/>
  </w:num>
  <w:num w:numId="22">
    <w:abstractNumId w:val="12"/>
  </w:num>
  <w:num w:numId="23">
    <w:abstractNumId w:val="18"/>
  </w:num>
  <w:num w:numId="24">
    <w:abstractNumId w:val="15"/>
  </w:num>
  <w:num w:numId="25">
    <w:abstractNumId w:val="21"/>
  </w:num>
  <w:num w:numId="26">
    <w:abstractNumId w:val="25"/>
  </w:num>
  <w:num w:numId="27">
    <w:abstractNumId w:val="23"/>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CE6"/>
    <w:rsid w:val="00006368"/>
    <w:rsid w:val="00027E09"/>
    <w:rsid w:val="00030191"/>
    <w:rsid w:val="000338E1"/>
    <w:rsid w:val="0004097A"/>
    <w:rsid w:val="0005594C"/>
    <w:rsid w:val="00061CDE"/>
    <w:rsid w:val="00063FFB"/>
    <w:rsid w:val="00067F37"/>
    <w:rsid w:val="00070669"/>
    <w:rsid w:val="000834C2"/>
    <w:rsid w:val="00083B13"/>
    <w:rsid w:val="00092D1B"/>
    <w:rsid w:val="00095AB5"/>
    <w:rsid w:val="000A0120"/>
    <w:rsid w:val="000A1590"/>
    <w:rsid w:val="000B0B15"/>
    <w:rsid w:val="000C6406"/>
    <w:rsid w:val="000D223A"/>
    <w:rsid w:val="000F2CE6"/>
    <w:rsid w:val="0010688C"/>
    <w:rsid w:val="001153ED"/>
    <w:rsid w:val="00115F4F"/>
    <w:rsid w:val="001213CB"/>
    <w:rsid w:val="0012572D"/>
    <w:rsid w:val="00131AFC"/>
    <w:rsid w:val="00142550"/>
    <w:rsid w:val="00161183"/>
    <w:rsid w:val="00164541"/>
    <w:rsid w:val="001751C1"/>
    <w:rsid w:val="00175844"/>
    <w:rsid w:val="00180ED5"/>
    <w:rsid w:val="00181EB3"/>
    <w:rsid w:val="00182EB7"/>
    <w:rsid w:val="001834D7"/>
    <w:rsid w:val="00186951"/>
    <w:rsid w:val="00186967"/>
    <w:rsid w:val="00193BCC"/>
    <w:rsid w:val="001A26D4"/>
    <w:rsid w:val="001A3404"/>
    <w:rsid w:val="001A364B"/>
    <w:rsid w:val="001A3DD2"/>
    <w:rsid w:val="001C62A2"/>
    <w:rsid w:val="001C7CB0"/>
    <w:rsid w:val="001E45A8"/>
    <w:rsid w:val="001E53DC"/>
    <w:rsid w:val="001F2B68"/>
    <w:rsid w:val="001F2F56"/>
    <w:rsid w:val="00200EA5"/>
    <w:rsid w:val="00226180"/>
    <w:rsid w:val="00230138"/>
    <w:rsid w:val="00231E60"/>
    <w:rsid w:val="0023598C"/>
    <w:rsid w:val="00236E82"/>
    <w:rsid w:val="00237E2A"/>
    <w:rsid w:val="00243749"/>
    <w:rsid w:val="00253F98"/>
    <w:rsid w:val="0025506A"/>
    <w:rsid w:val="002676F8"/>
    <w:rsid w:val="00270F89"/>
    <w:rsid w:val="00284678"/>
    <w:rsid w:val="00291060"/>
    <w:rsid w:val="0029312A"/>
    <w:rsid w:val="002A10FB"/>
    <w:rsid w:val="002B3D31"/>
    <w:rsid w:val="002C1A40"/>
    <w:rsid w:val="002C3117"/>
    <w:rsid w:val="002C6819"/>
    <w:rsid w:val="002E48C2"/>
    <w:rsid w:val="00300B28"/>
    <w:rsid w:val="00314884"/>
    <w:rsid w:val="00323943"/>
    <w:rsid w:val="0033140D"/>
    <w:rsid w:val="0033306F"/>
    <w:rsid w:val="003428F8"/>
    <w:rsid w:val="00343F73"/>
    <w:rsid w:val="00347C4E"/>
    <w:rsid w:val="00380473"/>
    <w:rsid w:val="00390A01"/>
    <w:rsid w:val="003B693A"/>
    <w:rsid w:val="003D252F"/>
    <w:rsid w:val="003D39E6"/>
    <w:rsid w:val="003E7150"/>
    <w:rsid w:val="00404E27"/>
    <w:rsid w:val="00410D91"/>
    <w:rsid w:val="004205BD"/>
    <w:rsid w:val="00420A8D"/>
    <w:rsid w:val="00425D1F"/>
    <w:rsid w:val="00430F74"/>
    <w:rsid w:val="004316EF"/>
    <w:rsid w:val="0043651E"/>
    <w:rsid w:val="00440C7A"/>
    <w:rsid w:val="00443D07"/>
    <w:rsid w:val="00443FBC"/>
    <w:rsid w:val="00444AA0"/>
    <w:rsid w:val="0045298F"/>
    <w:rsid w:val="00464449"/>
    <w:rsid w:val="00465FBA"/>
    <w:rsid w:val="004944A0"/>
    <w:rsid w:val="00495FCA"/>
    <w:rsid w:val="004A360D"/>
    <w:rsid w:val="004A4FD9"/>
    <w:rsid w:val="004B11D7"/>
    <w:rsid w:val="004B5716"/>
    <w:rsid w:val="004C1C0A"/>
    <w:rsid w:val="004C60AF"/>
    <w:rsid w:val="004D0193"/>
    <w:rsid w:val="004D12FC"/>
    <w:rsid w:val="004D1977"/>
    <w:rsid w:val="004E0127"/>
    <w:rsid w:val="004E1546"/>
    <w:rsid w:val="004E2E6B"/>
    <w:rsid w:val="004E73AF"/>
    <w:rsid w:val="004E7C6C"/>
    <w:rsid w:val="004F0513"/>
    <w:rsid w:val="004F3C78"/>
    <w:rsid w:val="004F5014"/>
    <w:rsid w:val="005072F0"/>
    <w:rsid w:val="005108CF"/>
    <w:rsid w:val="005127F0"/>
    <w:rsid w:val="0052283B"/>
    <w:rsid w:val="00526AAC"/>
    <w:rsid w:val="00526F11"/>
    <w:rsid w:val="00531F1E"/>
    <w:rsid w:val="00533BEA"/>
    <w:rsid w:val="005357F9"/>
    <w:rsid w:val="00541931"/>
    <w:rsid w:val="0055180A"/>
    <w:rsid w:val="00564391"/>
    <w:rsid w:val="0057609C"/>
    <w:rsid w:val="00576351"/>
    <w:rsid w:val="00581BEA"/>
    <w:rsid w:val="005835FB"/>
    <w:rsid w:val="0058582B"/>
    <w:rsid w:val="005945F3"/>
    <w:rsid w:val="005A533C"/>
    <w:rsid w:val="005A691C"/>
    <w:rsid w:val="005B21C4"/>
    <w:rsid w:val="005D379F"/>
    <w:rsid w:val="005F67A3"/>
    <w:rsid w:val="006076ED"/>
    <w:rsid w:val="00613C9D"/>
    <w:rsid w:val="00615B9B"/>
    <w:rsid w:val="006241A1"/>
    <w:rsid w:val="006241C3"/>
    <w:rsid w:val="006302F3"/>
    <w:rsid w:val="00632CEB"/>
    <w:rsid w:val="0063489D"/>
    <w:rsid w:val="0064098F"/>
    <w:rsid w:val="00640B42"/>
    <w:rsid w:val="00670F05"/>
    <w:rsid w:val="006711BC"/>
    <w:rsid w:val="00680A3F"/>
    <w:rsid w:val="00686BC2"/>
    <w:rsid w:val="00693C72"/>
    <w:rsid w:val="006A62FF"/>
    <w:rsid w:val="006A6CFF"/>
    <w:rsid w:val="006A7EF5"/>
    <w:rsid w:val="006B0993"/>
    <w:rsid w:val="006B71EF"/>
    <w:rsid w:val="006C050C"/>
    <w:rsid w:val="006C0A25"/>
    <w:rsid w:val="006C639F"/>
    <w:rsid w:val="006D2827"/>
    <w:rsid w:val="006F4961"/>
    <w:rsid w:val="007055DD"/>
    <w:rsid w:val="00711BD5"/>
    <w:rsid w:val="00712539"/>
    <w:rsid w:val="00712A58"/>
    <w:rsid w:val="007263E3"/>
    <w:rsid w:val="00726615"/>
    <w:rsid w:val="007302D4"/>
    <w:rsid w:val="00734102"/>
    <w:rsid w:val="00736F4C"/>
    <w:rsid w:val="0074007D"/>
    <w:rsid w:val="00742751"/>
    <w:rsid w:val="00743F34"/>
    <w:rsid w:val="00754070"/>
    <w:rsid w:val="00754E29"/>
    <w:rsid w:val="00773142"/>
    <w:rsid w:val="007743F0"/>
    <w:rsid w:val="00782798"/>
    <w:rsid w:val="007A1EFD"/>
    <w:rsid w:val="007A2A69"/>
    <w:rsid w:val="007A6885"/>
    <w:rsid w:val="007C01CE"/>
    <w:rsid w:val="007C70C4"/>
    <w:rsid w:val="007D6DAA"/>
    <w:rsid w:val="007E4E05"/>
    <w:rsid w:val="008000B5"/>
    <w:rsid w:val="008027E9"/>
    <w:rsid w:val="00807F06"/>
    <w:rsid w:val="008105F0"/>
    <w:rsid w:val="00810CBA"/>
    <w:rsid w:val="008271D6"/>
    <w:rsid w:val="00843848"/>
    <w:rsid w:val="00852C7D"/>
    <w:rsid w:val="00856940"/>
    <w:rsid w:val="00857F03"/>
    <w:rsid w:val="00866361"/>
    <w:rsid w:val="0086772D"/>
    <w:rsid w:val="0089632F"/>
    <w:rsid w:val="008A2C7C"/>
    <w:rsid w:val="008A6186"/>
    <w:rsid w:val="008B5FB0"/>
    <w:rsid w:val="008B76D9"/>
    <w:rsid w:val="008D2BDB"/>
    <w:rsid w:val="008E1DF5"/>
    <w:rsid w:val="008E465E"/>
    <w:rsid w:val="008E690C"/>
    <w:rsid w:val="009126F6"/>
    <w:rsid w:val="00914269"/>
    <w:rsid w:val="00915A1D"/>
    <w:rsid w:val="00917C7B"/>
    <w:rsid w:val="00920DA6"/>
    <w:rsid w:val="00922D9D"/>
    <w:rsid w:val="00926EE4"/>
    <w:rsid w:val="009277B1"/>
    <w:rsid w:val="009333D6"/>
    <w:rsid w:val="009437DD"/>
    <w:rsid w:val="00945AFE"/>
    <w:rsid w:val="00952C5A"/>
    <w:rsid w:val="00953A94"/>
    <w:rsid w:val="00957AA5"/>
    <w:rsid w:val="00964633"/>
    <w:rsid w:val="00965719"/>
    <w:rsid w:val="009739F6"/>
    <w:rsid w:val="00974E16"/>
    <w:rsid w:val="00977A3B"/>
    <w:rsid w:val="00981442"/>
    <w:rsid w:val="00990ECC"/>
    <w:rsid w:val="009B6E7E"/>
    <w:rsid w:val="009D1160"/>
    <w:rsid w:val="009D3F4A"/>
    <w:rsid w:val="009E0E14"/>
    <w:rsid w:val="009E1F70"/>
    <w:rsid w:val="009E3B54"/>
    <w:rsid w:val="009F6EB6"/>
    <w:rsid w:val="009F79AB"/>
    <w:rsid w:val="00A07007"/>
    <w:rsid w:val="00A072F3"/>
    <w:rsid w:val="00A14748"/>
    <w:rsid w:val="00A3141F"/>
    <w:rsid w:val="00A35CD0"/>
    <w:rsid w:val="00A3792B"/>
    <w:rsid w:val="00A44E31"/>
    <w:rsid w:val="00A51A60"/>
    <w:rsid w:val="00A649D9"/>
    <w:rsid w:val="00A64C8A"/>
    <w:rsid w:val="00A67979"/>
    <w:rsid w:val="00A7246F"/>
    <w:rsid w:val="00A7626B"/>
    <w:rsid w:val="00AA3F28"/>
    <w:rsid w:val="00AC0675"/>
    <w:rsid w:val="00AC27C2"/>
    <w:rsid w:val="00AF362A"/>
    <w:rsid w:val="00B011C1"/>
    <w:rsid w:val="00B20A17"/>
    <w:rsid w:val="00B24843"/>
    <w:rsid w:val="00B41B65"/>
    <w:rsid w:val="00B44839"/>
    <w:rsid w:val="00B54531"/>
    <w:rsid w:val="00B64E66"/>
    <w:rsid w:val="00B868F4"/>
    <w:rsid w:val="00B92954"/>
    <w:rsid w:val="00BA0C1F"/>
    <w:rsid w:val="00BA2B51"/>
    <w:rsid w:val="00BA4571"/>
    <w:rsid w:val="00BA7201"/>
    <w:rsid w:val="00BD40C2"/>
    <w:rsid w:val="00BF6DC8"/>
    <w:rsid w:val="00C03138"/>
    <w:rsid w:val="00C04A6A"/>
    <w:rsid w:val="00C07971"/>
    <w:rsid w:val="00C122E0"/>
    <w:rsid w:val="00C20412"/>
    <w:rsid w:val="00C30547"/>
    <w:rsid w:val="00C32AFF"/>
    <w:rsid w:val="00C500CF"/>
    <w:rsid w:val="00C906F6"/>
    <w:rsid w:val="00C907FE"/>
    <w:rsid w:val="00CA1E95"/>
    <w:rsid w:val="00CB20E9"/>
    <w:rsid w:val="00CB5716"/>
    <w:rsid w:val="00CB7777"/>
    <w:rsid w:val="00CC119D"/>
    <w:rsid w:val="00CC1F0D"/>
    <w:rsid w:val="00CF3368"/>
    <w:rsid w:val="00CF534A"/>
    <w:rsid w:val="00CF563B"/>
    <w:rsid w:val="00CF568A"/>
    <w:rsid w:val="00D037CA"/>
    <w:rsid w:val="00D22C8B"/>
    <w:rsid w:val="00D2723B"/>
    <w:rsid w:val="00D42521"/>
    <w:rsid w:val="00D430C6"/>
    <w:rsid w:val="00D61EE0"/>
    <w:rsid w:val="00D73F38"/>
    <w:rsid w:val="00D75FD6"/>
    <w:rsid w:val="00D8030E"/>
    <w:rsid w:val="00DA1254"/>
    <w:rsid w:val="00DA4CA7"/>
    <w:rsid w:val="00DB56E9"/>
    <w:rsid w:val="00DC2849"/>
    <w:rsid w:val="00DE5734"/>
    <w:rsid w:val="00DF1C1E"/>
    <w:rsid w:val="00DF1F8C"/>
    <w:rsid w:val="00DF2376"/>
    <w:rsid w:val="00DF3C48"/>
    <w:rsid w:val="00DF5702"/>
    <w:rsid w:val="00E04445"/>
    <w:rsid w:val="00E110D5"/>
    <w:rsid w:val="00E21323"/>
    <w:rsid w:val="00E25206"/>
    <w:rsid w:val="00E26A94"/>
    <w:rsid w:val="00E36315"/>
    <w:rsid w:val="00E71701"/>
    <w:rsid w:val="00E75784"/>
    <w:rsid w:val="00E77178"/>
    <w:rsid w:val="00E82547"/>
    <w:rsid w:val="00E94C08"/>
    <w:rsid w:val="00EA03E1"/>
    <w:rsid w:val="00EB3A2C"/>
    <w:rsid w:val="00ED0801"/>
    <w:rsid w:val="00EE6A07"/>
    <w:rsid w:val="00EF0DA8"/>
    <w:rsid w:val="00EF64BE"/>
    <w:rsid w:val="00F02801"/>
    <w:rsid w:val="00F118E5"/>
    <w:rsid w:val="00F15AE9"/>
    <w:rsid w:val="00F15E45"/>
    <w:rsid w:val="00F2421F"/>
    <w:rsid w:val="00F47059"/>
    <w:rsid w:val="00F50927"/>
    <w:rsid w:val="00F5727D"/>
    <w:rsid w:val="00F850BA"/>
    <w:rsid w:val="00FA2C00"/>
    <w:rsid w:val="00FA2C51"/>
    <w:rsid w:val="00FB10B1"/>
    <w:rsid w:val="00FC41DA"/>
    <w:rsid w:val="00FC6F67"/>
    <w:rsid w:val="00FD6650"/>
    <w:rsid w:val="00FD6D6A"/>
    <w:rsid w:val="00FD7BCC"/>
    <w:rsid w:val="00FE55AB"/>
    <w:rsid w:val="00FE6C46"/>
    <w:rsid w:val="00FE7840"/>
    <w:rsid w:val="00FF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F06"/>
    <w:rPr>
      <w:sz w:val="24"/>
      <w:szCs w:val="24"/>
    </w:rPr>
  </w:style>
  <w:style w:type="paragraph" w:styleId="Heading1">
    <w:name w:val="heading 1"/>
    <w:basedOn w:val="Normal"/>
    <w:next w:val="Normal"/>
    <w:autoRedefine/>
    <w:qFormat/>
    <w:rsid w:val="004A4FD9"/>
    <w:pPr>
      <w:keepNext/>
      <w:spacing w:after="240"/>
      <w:ind w:left="720" w:hanging="720"/>
      <w:outlineLvl w:val="0"/>
    </w:pPr>
    <w:rPr>
      <w:rFonts w:ascii="Times New Roman Bold" w:hAnsi="Times New Roman Bold"/>
      <w:b/>
      <w:bCs/>
      <w:caps/>
      <w:kern w:val="32"/>
    </w:rPr>
  </w:style>
  <w:style w:type="paragraph" w:styleId="Heading2">
    <w:name w:val="heading 2"/>
    <w:basedOn w:val="Normal"/>
    <w:next w:val="Normal"/>
    <w:autoRedefine/>
    <w:qFormat/>
    <w:rsid w:val="004A4FD9"/>
    <w:pPr>
      <w:keepNext/>
      <w:spacing w:after="240"/>
      <w:ind w:left="1440" w:right="720" w:hanging="720"/>
      <w:outlineLvl w:val="1"/>
    </w:pPr>
    <w:rPr>
      <w:rFonts w:ascii="Times New Roman Bold" w:hAnsi="Times New Roman Bold" w:cs="Arial"/>
      <w:b/>
      <w:bCs/>
      <w:iCs/>
    </w:rPr>
  </w:style>
  <w:style w:type="paragraph" w:styleId="Heading3">
    <w:name w:val="heading 3"/>
    <w:basedOn w:val="Normal"/>
    <w:next w:val="Normal"/>
    <w:autoRedefine/>
    <w:qFormat/>
    <w:pPr>
      <w:keepNext/>
      <w:spacing w:after="240"/>
      <w:ind w:left="2160" w:right="720" w:hanging="720"/>
      <w:outlineLvl w:val="2"/>
    </w:pPr>
    <w:rPr>
      <w:rFonts w:ascii="Times New Roman Bold" w:hAnsi="Times New Roman Bold" w:cs="Arial"/>
      <w:b/>
      <w:bCs/>
    </w:rPr>
  </w:style>
  <w:style w:type="paragraph" w:styleId="Heading4">
    <w:name w:val="heading 4"/>
    <w:basedOn w:val="Normal"/>
    <w:next w:val="Normal"/>
    <w:autoRedefine/>
    <w:qFormat/>
    <w:pPr>
      <w:keepNext/>
      <w:spacing w:after="240"/>
      <w:ind w:left="2880" w:right="720" w:hanging="720"/>
      <w:outlineLvl w:val="3"/>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rPr>
      <w:sz w:val="20"/>
      <w:szCs w:val="20"/>
    </w:rPr>
  </w:style>
  <w:style w:type="character" w:styleId="FootnoteReference">
    <w:name w:val="footnote reference"/>
    <w:aliases w:val="o,fr,Style 3,Style 13,Appel note de bas de p,Style 12,(NECG) Footnote Reference,Style 124"/>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semiHidden/>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style>
  <w:style w:type="character" w:customStyle="1" w:styleId="CommentTextChar">
    <w:name w:val="Comment Text Char"/>
    <w:link w:val="CommentText"/>
    <w:rPr>
      <w:sz w:val="24"/>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OC1">
    <w:name w:val="toc 1"/>
    <w:basedOn w:val="Normal"/>
    <w:next w:val="Normal"/>
    <w:autoRedefine/>
    <w:uiPriority w:val="39"/>
    <w:qFormat/>
    <w:pPr>
      <w:tabs>
        <w:tab w:val="left" w:pos="720"/>
        <w:tab w:val="decimal" w:leader="dot" w:pos="8640"/>
      </w:tabs>
      <w:spacing w:after="240"/>
      <w:ind w:left="720" w:hanging="720"/>
    </w:pPr>
    <w:rPr>
      <w:caps/>
    </w:rPr>
  </w:style>
  <w:style w:type="paragraph" w:styleId="TOC2">
    <w:name w:val="toc 2"/>
    <w:basedOn w:val="Normal"/>
    <w:next w:val="Normal"/>
    <w:autoRedefine/>
    <w:uiPriority w:val="39"/>
    <w:qFormat/>
    <w:pPr>
      <w:tabs>
        <w:tab w:val="left" w:pos="0"/>
        <w:tab w:val="left" w:pos="720"/>
        <w:tab w:val="decimal" w:leader="dot" w:pos="8640"/>
      </w:tabs>
      <w:spacing w:after="240"/>
      <w:ind w:left="1440" w:hanging="720"/>
    </w:pPr>
  </w:style>
  <w:style w:type="paragraph" w:styleId="TOC3">
    <w:name w:val="toc 3"/>
    <w:basedOn w:val="Normal"/>
    <w:next w:val="Normal"/>
    <w:autoRedefine/>
    <w:uiPriority w:val="39"/>
    <w:qFormat/>
    <w:pPr>
      <w:tabs>
        <w:tab w:val="left" w:pos="720"/>
        <w:tab w:val="left" w:pos="1440"/>
        <w:tab w:val="decimal" w:leader="dot" w:pos="8640"/>
      </w:tabs>
      <w:spacing w:after="240"/>
      <w:ind w:left="2160" w:hanging="720"/>
    </w:pPr>
  </w:style>
  <w:style w:type="character" w:customStyle="1" w:styleId="CharChar4">
    <w:name w:val="Char Char4"/>
    <w:semiHidden/>
    <w:rPr>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Subject">
    <w:name w:val="annotation subject"/>
    <w:basedOn w:val="CommentText"/>
    <w:next w:val="CommentText"/>
    <w:semiHidden/>
    <w:rPr>
      <w:b/>
      <w:bCs/>
      <w:sz w:val="20"/>
      <w:szCs w:val="20"/>
    </w:r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pPr>
      <w:spacing w:line="480" w:lineRule="atLeast"/>
      <w:ind w:firstLine="720"/>
    </w:pPr>
  </w:style>
  <w:style w:type="character" w:customStyle="1" w:styleId="BodyTextIndent3Char">
    <w:name w:val="Body Text Indent 3 Char"/>
    <w:link w:val="BodyTextIndent3"/>
    <w:semiHidden/>
    <w:locked/>
    <w:rPr>
      <w:sz w:val="24"/>
      <w:szCs w:val="24"/>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semiHidden/>
    <w:locked/>
    <w:rPr>
      <w:lang w:val="en-US" w:eastAsia="en-US"/>
    </w:rPr>
  </w:style>
  <w:style w:type="character" w:customStyle="1" w:styleId="FooterChar">
    <w:name w:val="Footer Char"/>
    <w:link w:val="Footer"/>
    <w:uiPriority w:val="99"/>
    <w:rPr>
      <w:sz w:val="24"/>
      <w:szCs w:val="24"/>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locked/>
    <w:rPr>
      <w:lang w:val="en-US" w:eastAsia="en-US" w:bidi="ar-SA"/>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2">
    <w:name w:val="Colorful List - Accent 12"/>
    <w:basedOn w:val="Normal"/>
    <w:uiPriority w:val="34"/>
    <w:qFormat/>
    <w:pPr>
      <w:ind w:left="720"/>
    </w:pPr>
  </w:style>
  <w:style w:type="paragraph" w:customStyle="1" w:styleId="ColorfulShading-Accent11">
    <w:name w:val="Colorful Shading - Accent 11"/>
    <w:hidden/>
    <w:uiPriority w:val="71"/>
    <w:rsid w:val="00AA3F28"/>
    <w:rPr>
      <w:sz w:val="24"/>
      <w:szCs w:val="24"/>
    </w:rPr>
  </w:style>
  <w:style w:type="paragraph" w:styleId="TOC4">
    <w:name w:val="toc 4"/>
    <w:basedOn w:val="Normal"/>
    <w:next w:val="Normal"/>
    <w:autoRedefine/>
    <w:uiPriority w:val="39"/>
    <w:qFormat/>
    <w:pPr>
      <w:tabs>
        <w:tab w:val="left" w:pos="720"/>
        <w:tab w:val="decimal" w:leader="dot" w:pos="8640"/>
      </w:tabs>
      <w:spacing w:after="240"/>
      <w:ind w:left="2880" w:hanging="720"/>
    </w:pPr>
  </w:style>
  <w:style w:type="paragraph" w:styleId="Revision">
    <w:name w:val="Revision"/>
    <w:hidden/>
    <w:uiPriority w:val="99"/>
    <w:semiHidden/>
    <w:rsid w:val="002676F8"/>
    <w:rPr>
      <w:sz w:val="24"/>
      <w:szCs w:val="24"/>
    </w:rPr>
  </w:style>
  <w:style w:type="paragraph" w:styleId="TOCHeading">
    <w:name w:val="TOC Heading"/>
    <w:basedOn w:val="Heading1"/>
    <w:next w:val="Normal"/>
    <w:uiPriority w:val="39"/>
    <w:unhideWhenUsed/>
    <w:qFormat/>
    <w:rsid w:val="00161183"/>
    <w:pPr>
      <w:keepLines/>
      <w:spacing w:before="480" w:after="0" w:line="276" w:lineRule="auto"/>
      <w:ind w:left="0" w:firstLine="0"/>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F06"/>
    <w:rPr>
      <w:sz w:val="24"/>
      <w:szCs w:val="24"/>
    </w:rPr>
  </w:style>
  <w:style w:type="paragraph" w:styleId="Heading1">
    <w:name w:val="heading 1"/>
    <w:basedOn w:val="Normal"/>
    <w:next w:val="Normal"/>
    <w:autoRedefine/>
    <w:qFormat/>
    <w:rsid w:val="004A4FD9"/>
    <w:pPr>
      <w:keepNext/>
      <w:spacing w:after="240"/>
      <w:ind w:left="720" w:hanging="720"/>
      <w:outlineLvl w:val="0"/>
    </w:pPr>
    <w:rPr>
      <w:rFonts w:ascii="Times New Roman Bold" w:hAnsi="Times New Roman Bold"/>
      <w:b/>
      <w:bCs/>
      <w:caps/>
      <w:kern w:val="32"/>
    </w:rPr>
  </w:style>
  <w:style w:type="paragraph" w:styleId="Heading2">
    <w:name w:val="heading 2"/>
    <w:basedOn w:val="Normal"/>
    <w:next w:val="Normal"/>
    <w:autoRedefine/>
    <w:qFormat/>
    <w:rsid w:val="004A4FD9"/>
    <w:pPr>
      <w:keepNext/>
      <w:spacing w:after="240"/>
      <w:ind w:left="1440" w:right="720" w:hanging="720"/>
      <w:outlineLvl w:val="1"/>
    </w:pPr>
    <w:rPr>
      <w:rFonts w:ascii="Times New Roman Bold" w:hAnsi="Times New Roman Bold" w:cs="Arial"/>
      <w:b/>
      <w:bCs/>
      <w:iCs/>
    </w:rPr>
  </w:style>
  <w:style w:type="paragraph" w:styleId="Heading3">
    <w:name w:val="heading 3"/>
    <w:basedOn w:val="Normal"/>
    <w:next w:val="Normal"/>
    <w:autoRedefine/>
    <w:qFormat/>
    <w:pPr>
      <w:keepNext/>
      <w:spacing w:after="240"/>
      <w:ind w:left="2160" w:right="720" w:hanging="720"/>
      <w:outlineLvl w:val="2"/>
    </w:pPr>
    <w:rPr>
      <w:rFonts w:ascii="Times New Roman Bold" w:hAnsi="Times New Roman Bold" w:cs="Arial"/>
      <w:b/>
      <w:bCs/>
    </w:rPr>
  </w:style>
  <w:style w:type="paragraph" w:styleId="Heading4">
    <w:name w:val="heading 4"/>
    <w:basedOn w:val="Normal"/>
    <w:next w:val="Normal"/>
    <w:autoRedefine/>
    <w:qFormat/>
    <w:pPr>
      <w:keepNext/>
      <w:spacing w:after="240"/>
      <w:ind w:left="2880" w:right="720" w:hanging="720"/>
      <w:outlineLvl w:val="3"/>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rPr>
      <w:sz w:val="20"/>
      <w:szCs w:val="20"/>
    </w:rPr>
  </w:style>
  <w:style w:type="character" w:styleId="FootnoteReference">
    <w:name w:val="footnote reference"/>
    <w:aliases w:val="o,fr,Style 3,Style 13,Appel note de bas de p,Style 12,(NECG) Footnote Reference,Style 124"/>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semiHidden/>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style>
  <w:style w:type="character" w:customStyle="1" w:styleId="CommentTextChar">
    <w:name w:val="Comment Text Char"/>
    <w:link w:val="CommentText"/>
    <w:rPr>
      <w:sz w:val="24"/>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OC1">
    <w:name w:val="toc 1"/>
    <w:basedOn w:val="Normal"/>
    <w:next w:val="Normal"/>
    <w:autoRedefine/>
    <w:uiPriority w:val="39"/>
    <w:qFormat/>
    <w:pPr>
      <w:tabs>
        <w:tab w:val="left" w:pos="720"/>
        <w:tab w:val="decimal" w:leader="dot" w:pos="8640"/>
      </w:tabs>
      <w:spacing w:after="240"/>
      <w:ind w:left="720" w:hanging="720"/>
    </w:pPr>
    <w:rPr>
      <w:caps/>
    </w:rPr>
  </w:style>
  <w:style w:type="paragraph" w:styleId="TOC2">
    <w:name w:val="toc 2"/>
    <w:basedOn w:val="Normal"/>
    <w:next w:val="Normal"/>
    <w:autoRedefine/>
    <w:uiPriority w:val="39"/>
    <w:qFormat/>
    <w:pPr>
      <w:tabs>
        <w:tab w:val="left" w:pos="0"/>
        <w:tab w:val="left" w:pos="720"/>
        <w:tab w:val="decimal" w:leader="dot" w:pos="8640"/>
      </w:tabs>
      <w:spacing w:after="240"/>
      <w:ind w:left="1440" w:hanging="720"/>
    </w:pPr>
  </w:style>
  <w:style w:type="paragraph" w:styleId="TOC3">
    <w:name w:val="toc 3"/>
    <w:basedOn w:val="Normal"/>
    <w:next w:val="Normal"/>
    <w:autoRedefine/>
    <w:uiPriority w:val="39"/>
    <w:qFormat/>
    <w:pPr>
      <w:tabs>
        <w:tab w:val="left" w:pos="720"/>
        <w:tab w:val="left" w:pos="1440"/>
        <w:tab w:val="decimal" w:leader="dot" w:pos="8640"/>
      </w:tabs>
      <w:spacing w:after="240"/>
      <w:ind w:left="2160" w:hanging="720"/>
    </w:pPr>
  </w:style>
  <w:style w:type="character" w:customStyle="1" w:styleId="CharChar4">
    <w:name w:val="Char Char4"/>
    <w:semiHidden/>
    <w:rPr>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Subject">
    <w:name w:val="annotation subject"/>
    <w:basedOn w:val="CommentText"/>
    <w:next w:val="CommentText"/>
    <w:semiHidden/>
    <w:rPr>
      <w:b/>
      <w:bCs/>
      <w:sz w:val="20"/>
      <w:szCs w:val="20"/>
    </w:r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pPr>
      <w:spacing w:line="480" w:lineRule="atLeast"/>
      <w:ind w:firstLine="720"/>
    </w:pPr>
  </w:style>
  <w:style w:type="character" w:customStyle="1" w:styleId="BodyTextIndent3Char">
    <w:name w:val="Body Text Indent 3 Char"/>
    <w:link w:val="BodyTextIndent3"/>
    <w:semiHidden/>
    <w:locked/>
    <w:rPr>
      <w:sz w:val="24"/>
      <w:szCs w:val="24"/>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semiHidden/>
    <w:locked/>
    <w:rPr>
      <w:lang w:val="en-US" w:eastAsia="en-US"/>
    </w:rPr>
  </w:style>
  <w:style w:type="character" w:customStyle="1" w:styleId="FooterChar">
    <w:name w:val="Footer Char"/>
    <w:link w:val="Footer"/>
    <w:uiPriority w:val="99"/>
    <w:rPr>
      <w:sz w:val="24"/>
      <w:szCs w:val="24"/>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locked/>
    <w:rPr>
      <w:lang w:val="en-US" w:eastAsia="en-US" w:bidi="ar-SA"/>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2">
    <w:name w:val="Colorful List - Accent 12"/>
    <w:basedOn w:val="Normal"/>
    <w:uiPriority w:val="34"/>
    <w:qFormat/>
    <w:pPr>
      <w:ind w:left="720"/>
    </w:pPr>
  </w:style>
  <w:style w:type="paragraph" w:customStyle="1" w:styleId="ColorfulShading-Accent11">
    <w:name w:val="Colorful Shading - Accent 11"/>
    <w:hidden/>
    <w:uiPriority w:val="71"/>
    <w:rsid w:val="00AA3F28"/>
    <w:rPr>
      <w:sz w:val="24"/>
      <w:szCs w:val="24"/>
    </w:rPr>
  </w:style>
  <w:style w:type="paragraph" w:styleId="TOC4">
    <w:name w:val="toc 4"/>
    <w:basedOn w:val="Normal"/>
    <w:next w:val="Normal"/>
    <w:autoRedefine/>
    <w:uiPriority w:val="39"/>
    <w:qFormat/>
    <w:pPr>
      <w:tabs>
        <w:tab w:val="left" w:pos="720"/>
        <w:tab w:val="decimal" w:leader="dot" w:pos="8640"/>
      </w:tabs>
      <w:spacing w:after="240"/>
      <w:ind w:left="2880" w:hanging="720"/>
    </w:pPr>
  </w:style>
  <w:style w:type="paragraph" w:styleId="Revision">
    <w:name w:val="Revision"/>
    <w:hidden/>
    <w:uiPriority w:val="99"/>
    <w:semiHidden/>
    <w:rsid w:val="002676F8"/>
    <w:rPr>
      <w:sz w:val="24"/>
      <w:szCs w:val="24"/>
    </w:rPr>
  </w:style>
  <w:style w:type="paragraph" w:styleId="TOCHeading">
    <w:name w:val="TOC Heading"/>
    <w:basedOn w:val="Heading1"/>
    <w:next w:val="Normal"/>
    <w:uiPriority w:val="39"/>
    <w:unhideWhenUsed/>
    <w:qFormat/>
    <w:rsid w:val="00161183"/>
    <w:pPr>
      <w:keepLines/>
      <w:spacing w:before="480" w:after="0" w:line="276" w:lineRule="auto"/>
      <w:ind w:left="0" w:firstLine="0"/>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6907">
      <w:bodyDiv w:val="1"/>
      <w:marLeft w:val="0"/>
      <w:marRight w:val="0"/>
      <w:marTop w:val="0"/>
      <w:marBottom w:val="0"/>
      <w:divBdr>
        <w:top w:val="none" w:sz="0" w:space="0" w:color="auto"/>
        <w:left w:val="none" w:sz="0" w:space="0" w:color="auto"/>
        <w:bottom w:val="none" w:sz="0" w:space="0" w:color="auto"/>
        <w:right w:val="none" w:sz="0" w:space="0" w:color="auto"/>
      </w:divBdr>
      <w:divsChild>
        <w:div w:id="760031866">
          <w:marLeft w:val="0"/>
          <w:marRight w:val="-5040"/>
          <w:marTop w:val="0"/>
          <w:marBottom w:val="0"/>
          <w:divBdr>
            <w:top w:val="none" w:sz="0" w:space="0" w:color="auto"/>
            <w:left w:val="none" w:sz="0" w:space="0" w:color="auto"/>
            <w:bottom w:val="none" w:sz="0" w:space="0" w:color="auto"/>
            <w:right w:val="none" w:sz="0" w:space="0" w:color="auto"/>
          </w:divBdr>
          <w:divsChild>
            <w:div w:id="1819421797">
              <w:marLeft w:val="0"/>
              <w:marRight w:val="5040"/>
              <w:marTop w:val="0"/>
              <w:marBottom w:val="0"/>
              <w:divBdr>
                <w:top w:val="none" w:sz="0" w:space="0" w:color="auto"/>
                <w:left w:val="none" w:sz="0" w:space="0" w:color="auto"/>
                <w:bottom w:val="none" w:sz="0" w:space="0" w:color="auto"/>
                <w:right w:val="none" w:sz="0" w:space="0" w:color="auto"/>
              </w:divBdr>
              <w:divsChild>
                <w:div w:id="9628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245">
      <w:bodyDiv w:val="1"/>
      <w:marLeft w:val="0"/>
      <w:marRight w:val="0"/>
      <w:marTop w:val="0"/>
      <w:marBottom w:val="0"/>
      <w:divBdr>
        <w:top w:val="none" w:sz="0" w:space="0" w:color="auto"/>
        <w:left w:val="none" w:sz="0" w:space="0" w:color="auto"/>
        <w:bottom w:val="none" w:sz="0" w:space="0" w:color="auto"/>
        <w:right w:val="none" w:sz="0" w:space="0" w:color="auto"/>
      </w:divBdr>
    </w:div>
    <w:div w:id="13228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173125">
          <w:marLeft w:val="0"/>
          <w:marRight w:val="-5040"/>
          <w:marTop w:val="0"/>
          <w:marBottom w:val="0"/>
          <w:divBdr>
            <w:top w:val="none" w:sz="0" w:space="0" w:color="auto"/>
            <w:left w:val="none" w:sz="0" w:space="0" w:color="auto"/>
            <w:bottom w:val="none" w:sz="0" w:space="0" w:color="auto"/>
            <w:right w:val="none" w:sz="0" w:space="0" w:color="auto"/>
          </w:divBdr>
          <w:divsChild>
            <w:div w:id="1580754864">
              <w:marLeft w:val="0"/>
              <w:marRight w:val="5040"/>
              <w:marTop w:val="0"/>
              <w:marBottom w:val="0"/>
              <w:divBdr>
                <w:top w:val="none" w:sz="0" w:space="0" w:color="auto"/>
                <w:left w:val="none" w:sz="0" w:space="0" w:color="auto"/>
                <w:bottom w:val="none" w:sz="0" w:space="0" w:color="auto"/>
                <w:right w:val="none" w:sz="0" w:space="0" w:color="auto"/>
              </w:divBdr>
              <w:divsChild>
                <w:div w:id="1287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3676">
      <w:bodyDiv w:val="1"/>
      <w:marLeft w:val="0"/>
      <w:marRight w:val="0"/>
      <w:marTop w:val="0"/>
      <w:marBottom w:val="0"/>
      <w:divBdr>
        <w:top w:val="none" w:sz="0" w:space="0" w:color="auto"/>
        <w:left w:val="none" w:sz="0" w:space="0" w:color="auto"/>
        <w:bottom w:val="none" w:sz="0" w:space="0" w:color="auto"/>
        <w:right w:val="none" w:sz="0" w:space="0" w:color="auto"/>
      </w:divBdr>
      <w:divsChild>
        <w:div w:id="1321933458">
          <w:marLeft w:val="0"/>
          <w:marRight w:val="0"/>
          <w:marTop w:val="0"/>
          <w:marBottom w:val="0"/>
          <w:divBdr>
            <w:top w:val="none" w:sz="0" w:space="0" w:color="auto"/>
            <w:left w:val="none" w:sz="0" w:space="0" w:color="auto"/>
            <w:bottom w:val="none" w:sz="0" w:space="0" w:color="auto"/>
            <w:right w:val="none" w:sz="0" w:space="0" w:color="auto"/>
          </w:divBdr>
          <w:divsChild>
            <w:div w:id="342319850">
              <w:marLeft w:val="0"/>
              <w:marRight w:val="0"/>
              <w:marTop w:val="150"/>
              <w:marBottom w:val="150"/>
              <w:divBdr>
                <w:top w:val="none" w:sz="0" w:space="0" w:color="auto"/>
                <w:left w:val="none" w:sz="0" w:space="0" w:color="auto"/>
                <w:bottom w:val="none" w:sz="0" w:space="0" w:color="auto"/>
                <w:right w:val="none" w:sz="0" w:space="0" w:color="auto"/>
              </w:divBdr>
              <w:divsChild>
                <w:div w:id="476190559">
                  <w:marLeft w:val="0"/>
                  <w:marRight w:val="0"/>
                  <w:marTop w:val="0"/>
                  <w:marBottom w:val="0"/>
                  <w:divBdr>
                    <w:top w:val="none" w:sz="0" w:space="0" w:color="auto"/>
                    <w:left w:val="none" w:sz="0" w:space="0" w:color="auto"/>
                    <w:bottom w:val="none" w:sz="0" w:space="0" w:color="auto"/>
                    <w:right w:val="none" w:sz="0" w:space="0" w:color="auto"/>
                  </w:divBdr>
                  <w:divsChild>
                    <w:div w:id="1468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7490">
      <w:bodyDiv w:val="1"/>
      <w:marLeft w:val="0"/>
      <w:marRight w:val="0"/>
      <w:marTop w:val="0"/>
      <w:marBottom w:val="0"/>
      <w:divBdr>
        <w:top w:val="none" w:sz="0" w:space="0" w:color="auto"/>
        <w:left w:val="none" w:sz="0" w:space="0" w:color="auto"/>
        <w:bottom w:val="none" w:sz="0" w:space="0" w:color="auto"/>
        <w:right w:val="none" w:sz="0" w:space="0" w:color="auto"/>
      </w:divBdr>
      <w:divsChild>
        <w:div w:id="1375885782">
          <w:marLeft w:val="0"/>
          <w:marRight w:val="-5040"/>
          <w:marTop w:val="0"/>
          <w:marBottom w:val="0"/>
          <w:divBdr>
            <w:top w:val="none" w:sz="0" w:space="0" w:color="auto"/>
            <w:left w:val="none" w:sz="0" w:space="0" w:color="auto"/>
            <w:bottom w:val="none" w:sz="0" w:space="0" w:color="auto"/>
            <w:right w:val="none" w:sz="0" w:space="0" w:color="auto"/>
          </w:divBdr>
          <w:divsChild>
            <w:div w:id="1052584895">
              <w:marLeft w:val="0"/>
              <w:marRight w:val="5040"/>
              <w:marTop w:val="0"/>
              <w:marBottom w:val="0"/>
              <w:divBdr>
                <w:top w:val="none" w:sz="0" w:space="0" w:color="auto"/>
                <w:left w:val="none" w:sz="0" w:space="0" w:color="auto"/>
                <w:bottom w:val="none" w:sz="0" w:space="0" w:color="auto"/>
                <w:right w:val="none" w:sz="0" w:space="0" w:color="auto"/>
              </w:divBdr>
              <w:divsChild>
                <w:div w:id="1316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4057</Words>
  <Characters>21885</Characters>
  <Application>Microsoft Office Word</Application>
  <DocSecurity>0</DocSecurity>
  <Lines>504</Lines>
  <Paragraphs>164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25962</CharactersWithSpaces>
  <SharedDoc>false</SharedDoc>
  <HyperlinkBase> </HyperlinkBase>
  <HLinks>
    <vt:vector size="210" baseType="variant">
      <vt:variant>
        <vt:i4>6029370</vt:i4>
      </vt:variant>
      <vt:variant>
        <vt:i4>123</vt:i4>
      </vt:variant>
      <vt:variant>
        <vt:i4>0</vt:i4>
      </vt:variant>
      <vt:variant>
        <vt:i4>5</vt:i4>
      </vt:variant>
      <vt:variant>
        <vt:lpwstr>mailto:Gregory.price@puc.state.oh.us</vt:lpwstr>
      </vt:variant>
      <vt:variant>
        <vt:lpwstr/>
      </vt:variant>
      <vt:variant>
        <vt:i4>5111864</vt:i4>
      </vt:variant>
      <vt:variant>
        <vt:i4>120</vt:i4>
      </vt:variant>
      <vt:variant>
        <vt:i4>0</vt:i4>
      </vt:variant>
      <vt:variant>
        <vt:i4>5</vt:i4>
      </vt:variant>
      <vt:variant>
        <vt:lpwstr>mailto:mandy.willey@puc.state.oh.us</vt:lpwstr>
      </vt:variant>
      <vt:variant>
        <vt:lpwstr/>
      </vt:variant>
      <vt:variant>
        <vt:i4>2949145</vt:i4>
      </vt:variant>
      <vt:variant>
        <vt:i4>117</vt:i4>
      </vt:variant>
      <vt:variant>
        <vt:i4>0</vt:i4>
      </vt:variant>
      <vt:variant>
        <vt:i4>5</vt:i4>
      </vt:variant>
      <vt:variant>
        <vt:lpwstr>mailto:robinson@citizenpower.com</vt:lpwstr>
      </vt:variant>
      <vt:variant>
        <vt:lpwstr/>
      </vt:variant>
      <vt:variant>
        <vt:i4>4325480</vt:i4>
      </vt:variant>
      <vt:variant>
        <vt:i4>114</vt:i4>
      </vt:variant>
      <vt:variant>
        <vt:i4>0</vt:i4>
      </vt:variant>
      <vt:variant>
        <vt:i4>5</vt:i4>
      </vt:variant>
      <vt:variant>
        <vt:lpwstr>mailto:NMcDaniel@elpc.org</vt:lpwstr>
      </vt:variant>
      <vt:variant>
        <vt:lpwstr/>
      </vt:variant>
      <vt:variant>
        <vt:i4>1638455</vt:i4>
      </vt:variant>
      <vt:variant>
        <vt:i4>111</vt:i4>
      </vt:variant>
      <vt:variant>
        <vt:i4>0</vt:i4>
      </vt:variant>
      <vt:variant>
        <vt:i4>5</vt:i4>
      </vt:variant>
      <vt:variant>
        <vt:lpwstr>mailto:mlavanga@bbrslaw.com</vt:lpwstr>
      </vt:variant>
      <vt:variant>
        <vt:lpwstr/>
      </vt:variant>
      <vt:variant>
        <vt:i4>2162714</vt:i4>
      </vt:variant>
      <vt:variant>
        <vt:i4>108</vt:i4>
      </vt:variant>
      <vt:variant>
        <vt:i4>0</vt:i4>
      </vt:variant>
      <vt:variant>
        <vt:i4>5</vt:i4>
      </vt:variant>
      <vt:variant>
        <vt:lpwstr>mailto:mpritchard@mwncmh.com</vt:lpwstr>
      </vt:variant>
      <vt:variant>
        <vt:lpwstr/>
      </vt:variant>
      <vt:variant>
        <vt:i4>5374070</vt:i4>
      </vt:variant>
      <vt:variant>
        <vt:i4>105</vt:i4>
      </vt:variant>
      <vt:variant>
        <vt:i4>0</vt:i4>
      </vt:variant>
      <vt:variant>
        <vt:i4>5</vt:i4>
      </vt:variant>
      <vt:variant>
        <vt:lpwstr>mailto:joliker@mwncmh.com</vt:lpwstr>
      </vt:variant>
      <vt:variant>
        <vt:lpwstr/>
      </vt:variant>
      <vt:variant>
        <vt:i4>3670019</vt:i4>
      </vt:variant>
      <vt:variant>
        <vt:i4>102</vt:i4>
      </vt:variant>
      <vt:variant>
        <vt:i4>0</vt:i4>
      </vt:variant>
      <vt:variant>
        <vt:i4>5</vt:i4>
      </vt:variant>
      <vt:variant>
        <vt:lpwstr>mailto:fdarr@mwncmh.com</vt:lpwstr>
      </vt:variant>
      <vt:variant>
        <vt:lpwstr/>
      </vt:variant>
      <vt:variant>
        <vt:i4>5439604</vt:i4>
      </vt:variant>
      <vt:variant>
        <vt:i4>99</vt:i4>
      </vt:variant>
      <vt:variant>
        <vt:i4>0</vt:i4>
      </vt:variant>
      <vt:variant>
        <vt:i4>5</vt:i4>
      </vt:variant>
      <vt:variant>
        <vt:lpwstr>mailto:sam@mwncmh.com</vt:lpwstr>
      </vt:variant>
      <vt:variant>
        <vt:lpwstr/>
      </vt:variant>
      <vt:variant>
        <vt:i4>7733330</vt:i4>
      </vt:variant>
      <vt:variant>
        <vt:i4>96</vt:i4>
      </vt:variant>
      <vt:variant>
        <vt:i4>0</vt:i4>
      </vt:variant>
      <vt:variant>
        <vt:i4>5</vt:i4>
      </vt:variant>
      <vt:variant>
        <vt:lpwstr>mailto:gpoulos@enernoc.com</vt:lpwstr>
      </vt:variant>
      <vt:variant>
        <vt:lpwstr/>
      </vt:variant>
      <vt:variant>
        <vt:i4>786491</vt:i4>
      </vt:variant>
      <vt:variant>
        <vt:i4>93</vt:i4>
      </vt:variant>
      <vt:variant>
        <vt:i4>0</vt:i4>
      </vt:variant>
      <vt:variant>
        <vt:i4>5</vt:i4>
      </vt:variant>
      <vt:variant>
        <vt:lpwstr>mailto:tsiwo@bricker.com</vt:lpwstr>
      </vt:variant>
      <vt:variant>
        <vt:lpwstr/>
      </vt:variant>
      <vt:variant>
        <vt:i4>7274567</vt:i4>
      </vt:variant>
      <vt:variant>
        <vt:i4>90</vt:i4>
      </vt:variant>
      <vt:variant>
        <vt:i4>0</vt:i4>
      </vt:variant>
      <vt:variant>
        <vt:i4>5</vt:i4>
      </vt:variant>
      <vt:variant>
        <vt:lpwstr>mailto:tobrien@bricker.com</vt:lpwstr>
      </vt:variant>
      <vt:variant>
        <vt:lpwstr/>
      </vt:variant>
      <vt:variant>
        <vt:i4>3604501</vt:i4>
      </vt:variant>
      <vt:variant>
        <vt:i4>87</vt:i4>
      </vt:variant>
      <vt:variant>
        <vt:i4>0</vt:i4>
      </vt:variant>
      <vt:variant>
        <vt:i4>5</vt:i4>
      </vt:variant>
      <vt:variant>
        <vt:lpwstr>mailto:ricks@ohanet.org</vt:lpwstr>
      </vt:variant>
      <vt:variant>
        <vt:lpwstr/>
      </vt:variant>
      <vt:variant>
        <vt:i4>2424836</vt:i4>
      </vt:variant>
      <vt:variant>
        <vt:i4>84</vt:i4>
      </vt:variant>
      <vt:variant>
        <vt:i4>0</vt:i4>
      </vt:variant>
      <vt:variant>
        <vt:i4>5</vt:i4>
      </vt:variant>
      <vt:variant>
        <vt:lpwstr>mailto:jkylercohn@BKLlawfirm.com</vt:lpwstr>
      </vt:variant>
      <vt:variant>
        <vt:lpwstr/>
      </vt:variant>
      <vt:variant>
        <vt:i4>3407891</vt:i4>
      </vt:variant>
      <vt:variant>
        <vt:i4>81</vt:i4>
      </vt:variant>
      <vt:variant>
        <vt:i4>0</vt:i4>
      </vt:variant>
      <vt:variant>
        <vt:i4>5</vt:i4>
      </vt:variant>
      <vt:variant>
        <vt:lpwstr>mailto:mkurtz@BKLlawfirm.com</vt:lpwstr>
      </vt:variant>
      <vt:variant>
        <vt:lpwstr/>
      </vt:variant>
      <vt:variant>
        <vt:i4>3866650</vt:i4>
      </vt:variant>
      <vt:variant>
        <vt:i4>78</vt:i4>
      </vt:variant>
      <vt:variant>
        <vt:i4>0</vt:i4>
      </vt:variant>
      <vt:variant>
        <vt:i4>5</vt:i4>
      </vt:variant>
      <vt:variant>
        <vt:lpwstr>mailto:dboehm@BKLlawfirm.com</vt:lpwstr>
      </vt:variant>
      <vt:variant>
        <vt:lpwstr/>
      </vt:variant>
      <vt:variant>
        <vt:i4>3801096</vt:i4>
      </vt:variant>
      <vt:variant>
        <vt:i4>75</vt:i4>
      </vt:variant>
      <vt:variant>
        <vt:i4>0</vt:i4>
      </vt:variant>
      <vt:variant>
        <vt:i4>5</vt:i4>
      </vt:variant>
      <vt:variant>
        <vt:lpwstr>mailto:rkelter@elpc.org</vt:lpwstr>
      </vt:variant>
      <vt:variant>
        <vt:lpwstr/>
      </vt:variant>
      <vt:variant>
        <vt:i4>4128768</vt:i4>
      </vt:variant>
      <vt:variant>
        <vt:i4>72</vt:i4>
      </vt:variant>
      <vt:variant>
        <vt:i4>0</vt:i4>
      </vt:variant>
      <vt:variant>
        <vt:i4>5</vt:i4>
      </vt:variant>
      <vt:variant>
        <vt:lpwstr>mailto:jvickers@elpc.org</vt:lpwstr>
      </vt:variant>
      <vt:variant>
        <vt:lpwstr/>
      </vt:variant>
      <vt:variant>
        <vt:i4>2097171</vt:i4>
      </vt:variant>
      <vt:variant>
        <vt:i4>69</vt:i4>
      </vt:variant>
      <vt:variant>
        <vt:i4>0</vt:i4>
      </vt:variant>
      <vt:variant>
        <vt:i4>5</vt:i4>
      </vt:variant>
      <vt:variant>
        <vt:lpwstr>mailto:callwein@wamenergylaw.com</vt:lpwstr>
      </vt:variant>
      <vt:variant>
        <vt:lpwstr/>
      </vt:variant>
      <vt:variant>
        <vt:i4>3080221</vt:i4>
      </vt:variant>
      <vt:variant>
        <vt:i4>66</vt:i4>
      </vt:variant>
      <vt:variant>
        <vt:i4>0</vt:i4>
      </vt:variant>
      <vt:variant>
        <vt:i4>5</vt:i4>
      </vt:variant>
      <vt:variant>
        <vt:lpwstr>mailto:Trent@theOEC.org</vt:lpwstr>
      </vt:variant>
      <vt:variant>
        <vt:lpwstr/>
      </vt:variant>
      <vt:variant>
        <vt:i4>2359304</vt:i4>
      </vt:variant>
      <vt:variant>
        <vt:i4>63</vt:i4>
      </vt:variant>
      <vt:variant>
        <vt:i4>0</vt:i4>
      </vt:variant>
      <vt:variant>
        <vt:i4>5</vt:i4>
      </vt:variant>
      <vt:variant>
        <vt:lpwstr>mailto:Cathy@theOEC.org</vt:lpwstr>
      </vt:variant>
      <vt:variant>
        <vt:lpwstr/>
      </vt:variant>
      <vt:variant>
        <vt:i4>65591</vt:i4>
      </vt:variant>
      <vt:variant>
        <vt:i4>60</vt:i4>
      </vt:variant>
      <vt:variant>
        <vt:i4>0</vt:i4>
      </vt:variant>
      <vt:variant>
        <vt:i4>5</vt:i4>
      </vt:variant>
      <vt:variant>
        <vt:lpwstr>mailto:cmooney2@columbus.rr.com</vt:lpwstr>
      </vt:variant>
      <vt:variant>
        <vt:lpwstr/>
      </vt:variant>
      <vt:variant>
        <vt:i4>4194431</vt:i4>
      </vt:variant>
      <vt:variant>
        <vt:i4>57</vt:i4>
      </vt:variant>
      <vt:variant>
        <vt:i4>0</vt:i4>
      </vt:variant>
      <vt:variant>
        <vt:i4>5</vt:i4>
      </vt:variant>
      <vt:variant>
        <vt:lpwstr>mailto:toddm@wamenergylaw.com</vt:lpwstr>
      </vt:variant>
      <vt:variant>
        <vt:lpwstr/>
      </vt:variant>
      <vt:variant>
        <vt:i4>917549</vt:i4>
      </vt:variant>
      <vt:variant>
        <vt:i4>54</vt:i4>
      </vt:variant>
      <vt:variant>
        <vt:i4>0</vt:i4>
      </vt:variant>
      <vt:variant>
        <vt:i4>5</vt:i4>
      </vt:variant>
      <vt:variant>
        <vt:lpwstr>mailto:cdunn@firstenergycorp.com</vt:lpwstr>
      </vt:variant>
      <vt:variant>
        <vt:lpwstr/>
      </vt:variant>
      <vt:variant>
        <vt:i4>55</vt:i4>
      </vt:variant>
      <vt:variant>
        <vt:i4>51</vt:i4>
      </vt:variant>
      <vt:variant>
        <vt:i4>0</vt:i4>
      </vt:variant>
      <vt:variant>
        <vt:i4>5</vt:i4>
      </vt:variant>
      <vt:variant>
        <vt:lpwstr>mailto:kjkolich@firstenergycorp.com</vt:lpwstr>
      </vt:variant>
      <vt:variant>
        <vt:lpwstr/>
      </vt:variant>
      <vt:variant>
        <vt:i4>5570611</vt:i4>
      </vt:variant>
      <vt:variant>
        <vt:i4>48</vt:i4>
      </vt:variant>
      <vt:variant>
        <vt:i4>0</vt:i4>
      </vt:variant>
      <vt:variant>
        <vt:i4>5</vt:i4>
      </vt:variant>
      <vt:variant>
        <vt:lpwstr>mailto:Devin.parram@puc.state.oh.us</vt:lpwstr>
      </vt:variant>
      <vt:variant>
        <vt:lpwstr/>
      </vt:variant>
      <vt:variant>
        <vt:i4>4522107</vt:i4>
      </vt:variant>
      <vt:variant>
        <vt:i4>45</vt:i4>
      </vt:variant>
      <vt:variant>
        <vt:i4>0</vt:i4>
      </vt:variant>
      <vt:variant>
        <vt:i4>5</vt:i4>
      </vt:variant>
      <vt:variant>
        <vt:lpwstr>mailto:kern@occ.state.oh.us</vt:lpwstr>
      </vt:variant>
      <vt:variant>
        <vt:lpwstr/>
      </vt:variant>
      <vt:variant>
        <vt:i4>1048630</vt:i4>
      </vt:variant>
      <vt:variant>
        <vt:i4>38</vt:i4>
      </vt:variant>
      <vt:variant>
        <vt:i4>0</vt:i4>
      </vt:variant>
      <vt:variant>
        <vt:i4>5</vt:i4>
      </vt:variant>
      <vt:variant>
        <vt:lpwstr/>
      </vt:variant>
      <vt:variant>
        <vt:lpwstr>_Toc364332208</vt:lpwstr>
      </vt:variant>
      <vt:variant>
        <vt:i4>1048630</vt:i4>
      </vt:variant>
      <vt:variant>
        <vt:i4>32</vt:i4>
      </vt:variant>
      <vt:variant>
        <vt:i4>0</vt:i4>
      </vt:variant>
      <vt:variant>
        <vt:i4>5</vt:i4>
      </vt:variant>
      <vt:variant>
        <vt:lpwstr/>
      </vt:variant>
      <vt:variant>
        <vt:lpwstr>_Toc364332207</vt:lpwstr>
      </vt:variant>
      <vt:variant>
        <vt:i4>1048630</vt:i4>
      </vt:variant>
      <vt:variant>
        <vt:i4>26</vt:i4>
      </vt:variant>
      <vt:variant>
        <vt:i4>0</vt:i4>
      </vt:variant>
      <vt:variant>
        <vt:i4>5</vt:i4>
      </vt:variant>
      <vt:variant>
        <vt:lpwstr/>
      </vt:variant>
      <vt:variant>
        <vt:lpwstr>_Toc364332206</vt:lpwstr>
      </vt:variant>
      <vt:variant>
        <vt:i4>1048630</vt:i4>
      </vt:variant>
      <vt:variant>
        <vt:i4>20</vt:i4>
      </vt:variant>
      <vt:variant>
        <vt:i4>0</vt:i4>
      </vt:variant>
      <vt:variant>
        <vt:i4>5</vt:i4>
      </vt:variant>
      <vt:variant>
        <vt:lpwstr/>
      </vt:variant>
      <vt:variant>
        <vt:lpwstr>_Toc364332205</vt:lpwstr>
      </vt:variant>
      <vt:variant>
        <vt:i4>1048630</vt:i4>
      </vt:variant>
      <vt:variant>
        <vt:i4>14</vt:i4>
      </vt:variant>
      <vt:variant>
        <vt:i4>0</vt:i4>
      </vt:variant>
      <vt:variant>
        <vt:i4>5</vt:i4>
      </vt:variant>
      <vt:variant>
        <vt:lpwstr/>
      </vt:variant>
      <vt:variant>
        <vt:lpwstr>_Toc364332204</vt:lpwstr>
      </vt:variant>
      <vt:variant>
        <vt:i4>1048630</vt:i4>
      </vt:variant>
      <vt:variant>
        <vt:i4>8</vt:i4>
      </vt:variant>
      <vt:variant>
        <vt:i4>0</vt:i4>
      </vt:variant>
      <vt:variant>
        <vt:i4>5</vt:i4>
      </vt:variant>
      <vt:variant>
        <vt:lpwstr/>
      </vt:variant>
      <vt:variant>
        <vt:lpwstr>_Toc364332203</vt:lpwstr>
      </vt:variant>
      <vt:variant>
        <vt:i4>4522107</vt:i4>
      </vt:variant>
      <vt:variant>
        <vt:i4>3</vt:i4>
      </vt:variant>
      <vt:variant>
        <vt:i4>0</vt:i4>
      </vt:variant>
      <vt:variant>
        <vt:i4>5</vt:i4>
      </vt:variant>
      <vt:variant>
        <vt:lpwstr>mailto:kern@occ.state.oh.us</vt:lpwstr>
      </vt:variant>
      <vt:variant>
        <vt:lpwstr/>
      </vt:variant>
      <vt:variant>
        <vt:i4>4522107</vt:i4>
      </vt:variant>
      <vt:variant>
        <vt:i4>0</vt:i4>
      </vt:variant>
      <vt:variant>
        <vt:i4>0</vt:i4>
      </vt:variant>
      <vt:variant>
        <vt:i4>5</vt:i4>
      </vt:variant>
      <vt:variant>
        <vt:lpwstr>mailto:kern@occ.state.oh.us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2013-08-15T12:57:00Z</cp:lastPrinted>
  <dcterms:created xsi:type="dcterms:W3CDTF">2013-08-16T19:49:00Z</dcterms:created>
  <dcterms:modified xsi:type="dcterms:W3CDTF">2013-08-16T19:49:00Z</dcterms:modified>
  <cp:category> </cp:category>
  <cp:contentStatus> </cp:contentStatus>
</cp:coreProperties>
</file>