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57DD1" w:rsidRPr="0032583B" w:rsidP="00057DD1" w14:paraId="416796A8" w14:textId="77777777">
      <w:pPr>
        <w:jc w:val="center"/>
        <w:rPr>
          <w:b/>
        </w:rPr>
      </w:pPr>
      <w:r w:rsidRPr="0032583B">
        <w:rPr>
          <w:b/>
        </w:rPr>
        <w:t>BEFORE</w:t>
      </w:r>
    </w:p>
    <w:p w:rsidR="00057DD1" w:rsidRPr="0032583B" w:rsidP="00057DD1" w14:paraId="3E0B7775" w14:textId="2546C74B">
      <w:pPr>
        <w:jc w:val="center"/>
        <w:rPr>
          <w:b/>
        </w:rPr>
      </w:pPr>
      <w:r w:rsidRPr="0032583B">
        <w:rPr>
          <w:b/>
        </w:rPr>
        <w:t>THE PUBLIC UTILITIES COMMISSION OF OHIO</w:t>
      </w:r>
    </w:p>
    <w:p w:rsidR="00AC5127" w:rsidRPr="0032583B" w:rsidP="00057DD1" w14:paraId="6D6CA9D3" w14:textId="77777777">
      <w:pPr>
        <w:jc w:val="center"/>
        <w:rPr>
          <w:b/>
        </w:rPr>
      </w:pPr>
    </w:p>
    <w:tbl>
      <w:tblPr>
        <w:tblW w:w="4906" w:type="pct"/>
        <w:tblInd w:w="0" w:type="dxa"/>
        <w:tblCellMar>
          <w:top w:w="0" w:type="dxa"/>
          <w:left w:w="108" w:type="dxa"/>
          <w:bottom w:w="0" w:type="dxa"/>
          <w:right w:w="108" w:type="dxa"/>
        </w:tblCellMar>
        <w:tblLook w:val="01E0"/>
      </w:tblPr>
      <w:tblGrid>
        <w:gridCol w:w="4080"/>
        <w:gridCol w:w="490"/>
        <w:gridCol w:w="3908"/>
      </w:tblGrid>
      <w:tr w14:paraId="5B98A63A" w14:textId="77777777" w:rsidTr="00F969DA">
        <w:tblPrEx>
          <w:tblW w:w="4906" w:type="pct"/>
          <w:tblInd w:w="0" w:type="dxa"/>
          <w:tblCellMar>
            <w:top w:w="0" w:type="dxa"/>
            <w:left w:w="108" w:type="dxa"/>
            <w:bottom w:w="0" w:type="dxa"/>
            <w:right w:w="108" w:type="dxa"/>
          </w:tblCellMar>
          <w:tblLook w:val="01E0"/>
        </w:tblPrEx>
        <w:trPr>
          <w:trHeight w:val="1341"/>
        </w:trPr>
        <w:tc>
          <w:tcPr>
            <w:tcW w:w="2406" w:type="pct"/>
            <w:shd w:val="clear" w:color="auto" w:fill="auto"/>
          </w:tcPr>
          <w:p w:rsidR="00AC5127" w:rsidRPr="0032583B" w:rsidP="00AC5127" w14:paraId="5177BF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6"/>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In the Matter of the Application of Duke Energy Ohio, Inc., to Adjust and Set Rider DSR.</w:t>
            </w:r>
          </w:p>
          <w:p w:rsidR="00AC5127" w:rsidRPr="0032583B" w:rsidP="00AC5127" w14:paraId="79ED32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6"/>
              <w:rPr>
                <w:rFonts w:ascii="Times New Roman" w:eastAsia="Courier New" w:hAnsi="Times New Roman" w:cs="Times New Roman"/>
                <w:sz w:val="24"/>
                <w:szCs w:val="24"/>
                <w:lang w:val="en-US" w:eastAsia="en-US" w:bidi="ar-SA"/>
              </w:rPr>
            </w:pPr>
          </w:p>
          <w:p w:rsidR="00AC5127" w:rsidRPr="0032583B" w:rsidP="00AC5127" w14:paraId="701D7888" w14:textId="1BA70D39">
            <w:pPr>
              <w:spacing w:after="0" w:line="240" w:lineRule="auto"/>
              <w:rPr>
                <w:rFonts w:ascii="Times New Roman" w:eastAsia="Times New Roman"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In the Matter of the Application of Duke Energy Ohio, Inc., for Approval of Tariff Amendments.</w:t>
            </w:r>
          </w:p>
        </w:tc>
        <w:tc>
          <w:tcPr>
            <w:tcW w:w="289" w:type="pct"/>
            <w:shd w:val="clear" w:color="auto" w:fill="auto"/>
          </w:tcPr>
          <w:p w:rsidR="00AC5127" w:rsidRPr="0032583B" w:rsidP="00AC5127" w14:paraId="588D83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AC5127" w14:paraId="47E982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AC5127" w14:paraId="643DA7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AC5127" w14:paraId="2C5773E4" w14:textId="41F9B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AC5127" w14:paraId="3205C0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AC5127" w14:paraId="21C823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AC5127" w:rsidRPr="0032583B" w:rsidP="006A2C1C" w14:paraId="6C2D1DC6" w14:textId="77777777">
            <w:pPr>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w:t>
            </w:r>
          </w:p>
          <w:p w:rsidR="00F0146C" w:rsidRPr="0032583B" w:rsidP="006A2C1C" w14:paraId="35A5F7A9" w14:textId="15FE8EC6">
            <w:pPr>
              <w:spacing w:after="0" w:line="240" w:lineRule="auto"/>
              <w:rPr>
                <w:rFonts w:ascii="Times New Roman" w:eastAsia="Times New Roman" w:hAnsi="Times New Roman" w:cs="Times New Roman"/>
                <w:sz w:val="24"/>
                <w:szCs w:val="24"/>
                <w:lang w:val="en-US" w:eastAsia="en-US" w:bidi="ar-SA"/>
              </w:rPr>
            </w:pPr>
          </w:p>
        </w:tc>
        <w:tc>
          <w:tcPr>
            <w:tcW w:w="2305" w:type="pct"/>
            <w:shd w:val="clear" w:color="auto" w:fill="auto"/>
          </w:tcPr>
          <w:p w:rsidR="00AC5127" w:rsidRPr="0032583B" w:rsidP="00AC5127" w14:paraId="6B0914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C5127" w:rsidRPr="0032583B" w:rsidP="00AC5127" w14:paraId="5665B6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Case No. 23-126-EL-RDR</w:t>
            </w:r>
          </w:p>
          <w:p w:rsidR="00AC5127" w:rsidRPr="0032583B" w:rsidP="00AC5127" w14:paraId="171E85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C5127" w:rsidRPr="0032583B" w:rsidP="00AC5127" w14:paraId="0904EF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C5127" w:rsidRPr="0032583B" w:rsidP="00AC5127" w14:paraId="1D5D2F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AC5127" w:rsidRPr="0032583B" w:rsidP="00AC5127" w14:paraId="2CB94BAB" w14:textId="1AFE6765">
            <w:pPr>
              <w:spacing w:after="0" w:line="240" w:lineRule="auto"/>
              <w:rPr>
                <w:rFonts w:ascii="Times New Roman" w:eastAsia="Times New Roman" w:hAnsi="Times New Roman" w:cs="Times New Roman"/>
                <w:sz w:val="24"/>
                <w:szCs w:val="24"/>
                <w:lang w:val="en-US" w:eastAsia="en-US" w:bidi="ar-SA"/>
              </w:rPr>
            </w:pPr>
            <w:r w:rsidRPr="0032583B">
              <w:rPr>
                <w:rFonts w:ascii="Times New Roman" w:eastAsia="Courier New" w:hAnsi="Times New Roman" w:cs="Times New Roman"/>
                <w:sz w:val="24"/>
                <w:szCs w:val="24"/>
                <w:lang w:val="en-US" w:eastAsia="en-US" w:bidi="ar-SA"/>
              </w:rPr>
              <w:t>Case No. 23-281-EL-ATA</w:t>
            </w:r>
          </w:p>
        </w:tc>
      </w:tr>
    </w:tbl>
    <w:p w:rsidR="00F0146C" w:rsidRPr="0032583B" w:rsidP="00F0146C" w14:paraId="514DA201" w14:textId="77777777">
      <w:pPr>
        <w:pStyle w:val="HTMLPreformatted"/>
        <w:pBdr>
          <w:top w:val="single" w:sz="12" w:space="1" w:color="auto"/>
        </w:pBdr>
        <w:rPr>
          <w:rFonts w:ascii="Times New Roman" w:hAnsi="Times New Roman" w:cs="Times New Roman"/>
          <w:sz w:val="24"/>
          <w:szCs w:val="24"/>
        </w:rPr>
      </w:pPr>
    </w:p>
    <w:p w:rsidR="00F0146C" w:rsidRPr="0032583B" w:rsidP="00F0146C" w14:paraId="33B27961" w14:textId="77777777">
      <w:pPr>
        <w:jc w:val="center"/>
        <w:rPr>
          <w:b/>
        </w:rPr>
      </w:pPr>
      <w:r w:rsidRPr="0032583B">
        <w:rPr>
          <w:b/>
        </w:rPr>
        <w:t xml:space="preserve">MEMORANDUM CONTRA DUKE ENERGY OHIO, INC’S MOTION FOR LEAVE TO FILE SURREPLY COMMENTS (THAT IS UNAUTHORIZED) </w:t>
      </w:r>
    </w:p>
    <w:p w:rsidR="00F0146C" w:rsidRPr="0032583B" w:rsidP="00F0146C" w14:paraId="60E74AD0" w14:textId="77777777">
      <w:pPr>
        <w:jc w:val="center"/>
        <w:rPr>
          <w:b/>
        </w:rPr>
      </w:pPr>
      <w:r w:rsidRPr="0032583B">
        <w:rPr>
          <w:b/>
        </w:rPr>
        <w:t xml:space="preserve">BY </w:t>
      </w:r>
    </w:p>
    <w:p w:rsidR="00F0146C" w:rsidRPr="0032583B" w:rsidP="00F0146C" w14:paraId="242DFFD5" w14:textId="04204894">
      <w:pPr>
        <w:jc w:val="center"/>
        <w:rPr>
          <w:b/>
        </w:rPr>
      </w:pPr>
      <w:r w:rsidRPr="0032583B">
        <w:rPr>
          <w:b/>
        </w:rPr>
        <w:t>OFFICE OF THE OHIO CONSUMERS’ COUNSEL</w:t>
      </w:r>
    </w:p>
    <w:p w:rsidR="00F0146C" w:rsidRPr="0032583B" w:rsidP="00F0146C" w14:paraId="5FC84C09" w14:textId="77777777">
      <w:pPr>
        <w:pBdr>
          <w:bottom w:val="single" w:sz="12" w:space="1" w:color="auto"/>
        </w:pBdr>
        <w:autoSpaceDE w:val="0"/>
        <w:autoSpaceDN w:val="0"/>
        <w:adjustRightInd w:val="0"/>
        <w:jc w:val="center"/>
        <w:rPr>
          <w:rFonts w:eastAsia="Calibri"/>
          <w:b/>
          <w:bCs/>
        </w:rPr>
      </w:pPr>
    </w:p>
    <w:p w:rsidR="00F0146C" w:rsidRPr="0032583B" w:rsidP="00F0146C" w14:paraId="2219D1C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B25955" w:rsidRPr="0032583B" w:rsidP="005C27CE" w14:paraId="66994295" w14:textId="1CCD5DB5">
      <w:pPr>
        <w:pStyle w:val="Heading1"/>
        <w:rPr>
          <w:rFonts w:ascii="Times New Roman" w:hAnsi="Times New Roman"/>
          <w:kern w:val="0"/>
          <w:szCs w:val="24"/>
        </w:rPr>
      </w:pPr>
      <w:r w:rsidRPr="0032583B">
        <w:rPr>
          <w:rFonts w:ascii="Times New Roman" w:hAnsi="Times New Roman"/>
          <w:kern w:val="0"/>
          <w:szCs w:val="24"/>
        </w:rPr>
        <w:t>I.</w:t>
      </w:r>
      <w:r w:rsidRPr="0032583B">
        <w:rPr>
          <w:rFonts w:ascii="Times New Roman" w:hAnsi="Times New Roman"/>
          <w:kern w:val="0"/>
          <w:szCs w:val="24"/>
        </w:rPr>
        <w:tab/>
        <w:t>INTRODUCTION</w:t>
      </w:r>
      <w:r w:rsidRPr="0032583B" w:rsidR="006F0357">
        <w:rPr>
          <w:rFonts w:ascii="Times New Roman" w:hAnsi="Times New Roman"/>
          <w:kern w:val="0"/>
          <w:szCs w:val="24"/>
        </w:rPr>
        <w:tab/>
      </w:r>
    </w:p>
    <w:p w:rsidR="00A47EAC" w:rsidRPr="0032583B" w:rsidP="00A47EAC" w14:paraId="2FA43E07" w14:textId="37EFAF20">
      <w:pPr>
        <w:spacing w:line="480" w:lineRule="auto"/>
        <w:ind w:firstLine="720"/>
        <w:rPr>
          <w:rFonts w:eastAsia="Calibri"/>
        </w:rPr>
      </w:pPr>
      <w:r w:rsidRPr="0032583B">
        <w:t xml:space="preserve"> </w:t>
      </w:r>
      <w:r w:rsidRPr="0032583B">
        <w:rPr>
          <w:rFonts w:eastAsia="Calibri"/>
        </w:rPr>
        <w:t xml:space="preserve">On September 7, 2023, the PUCO Staff filed </w:t>
      </w:r>
      <w:r w:rsidRPr="0032583B" w:rsidR="00D22F1D">
        <w:rPr>
          <w:rFonts w:eastAsia="Calibri"/>
        </w:rPr>
        <w:t>its</w:t>
      </w:r>
      <w:r w:rsidRPr="0032583B">
        <w:rPr>
          <w:rFonts w:eastAsia="Calibri"/>
        </w:rPr>
        <w:t xml:space="preserve"> Review and Recommendations on Duke Energy Ohio</w:t>
      </w:r>
      <w:r w:rsidRPr="0032583B" w:rsidR="00D22F1D">
        <w:rPr>
          <w:rFonts w:eastAsia="Calibri"/>
        </w:rPr>
        <w:t>’s</w:t>
      </w:r>
      <w:r w:rsidRPr="0032583B">
        <w:rPr>
          <w:rFonts w:eastAsia="Calibri"/>
        </w:rPr>
        <w:t xml:space="preserve"> (“Duke”) application to adjust and set distribution storm rider charges to consumers in Case No. 23-126-EL-RDR. The Distribution Storm Rider (“Rider DSR”) </w:t>
      </w:r>
      <w:r w:rsidRPr="0032583B" w:rsidR="00552090">
        <w:rPr>
          <w:rFonts w:eastAsia="Calibri"/>
        </w:rPr>
        <w:t>allows Duke</w:t>
      </w:r>
      <w:r w:rsidRPr="0032583B">
        <w:rPr>
          <w:rFonts w:eastAsia="Calibri"/>
        </w:rPr>
        <w:t xml:space="preserve"> to collect from consumers incremental major storm expenses that exceed the $4.3 million that it already collects from consumers in distribution base rates.</w:t>
      </w:r>
      <w:r>
        <w:rPr>
          <w:rFonts w:eastAsia="Calibri"/>
          <w:vertAlign w:val="superscript"/>
        </w:rPr>
        <w:footnoteReference w:id="2"/>
      </w:r>
      <w:r w:rsidRPr="0032583B">
        <w:rPr>
          <w:rFonts w:eastAsia="Calibri"/>
        </w:rPr>
        <w:t xml:space="preserve"> </w:t>
      </w:r>
    </w:p>
    <w:p w:rsidR="00A47EAC" w:rsidRPr="0032583B" w:rsidP="00A47EAC" w14:paraId="4AEC6F74" w14:textId="6CD7DE71">
      <w:pPr>
        <w:spacing w:line="480" w:lineRule="auto"/>
        <w:ind w:firstLine="720"/>
        <w:rPr>
          <w:rFonts w:eastAsia="Calibri"/>
        </w:rPr>
      </w:pPr>
      <w:r w:rsidRPr="0032583B">
        <w:rPr>
          <w:rFonts w:eastAsia="Calibri"/>
        </w:rPr>
        <w:t>The PUCO Staff’s audit findings included three adjustments to the proposed Rider DSR</w:t>
      </w:r>
      <w:r w:rsidRPr="0032583B" w:rsidR="00433A1E">
        <w:rPr>
          <w:rFonts w:eastAsia="Calibri"/>
        </w:rPr>
        <w:t>. The adjustments</w:t>
      </w:r>
      <w:r w:rsidRPr="0032583B">
        <w:rPr>
          <w:rFonts w:eastAsia="Calibri"/>
        </w:rPr>
        <w:t xml:space="preserve"> </w:t>
      </w:r>
      <w:r w:rsidRPr="0032583B" w:rsidR="00433A1E">
        <w:rPr>
          <w:rFonts w:eastAsia="Calibri"/>
        </w:rPr>
        <w:t>would reduce</w:t>
      </w:r>
      <w:r w:rsidRPr="0032583B">
        <w:rPr>
          <w:rFonts w:eastAsia="Calibri"/>
        </w:rPr>
        <w:t xml:space="preserve"> the </w:t>
      </w:r>
      <w:bookmarkStart w:id="0" w:name="_Hlk147079567"/>
      <w:r w:rsidRPr="0032583B">
        <w:rPr>
          <w:rFonts w:eastAsia="Calibri"/>
        </w:rPr>
        <w:t>charges collected from consumers by $84,066.02</w:t>
      </w:r>
      <w:bookmarkEnd w:id="0"/>
      <w:r w:rsidRPr="0032583B">
        <w:rPr>
          <w:rFonts w:eastAsia="Calibri"/>
        </w:rPr>
        <w:t>.</w:t>
      </w:r>
      <w:r>
        <w:rPr>
          <w:rFonts w:eastAsia="Calibri"/>
          <w:vertAlign w:val="superscript"/>
        </w:rPr>
        <w:footnoteReference w:id="3"/>
      </w:r>
      <w:r w:rsidRPr="0032583B">
        <w:rPr>
          <w:rFonts w:eastAsia="Calibri"/>
        </w:rPr>
        <w:t xml:space="preserve"> The adjustments included:</w:t>
      </w:r>
    </w:p>
    <w:p w:rsidR="00A47EAC" w:rsidRPr="0032583B" w:rsidP="002B6D65" w14:paraId="6B7C97F8" w14:textId="77777777">
      <w:pPr>
        <w:numPr>
          <w:ilvl w:val="0"/>
          <w:numId w:val="22"/>
        </w:numPr>
        <w:spacing w:after="160" w:line="480" w:lineRule="auto"/>
        <w:ind w:left="1080"/>
        <w:contextualSpacing/>
        <w:rPr>
          <w:rFonts w:eastAsia="Calibri"/>
        </w:rPr>
      </w:pPr>
      <w:r w:rsidRPr="0032583B">
        <w:rPr>
          <w:rFonts w:eastAsia="Calibri"/>
        </w:rPr>
        <w:t>Removal of $4,980.27 that was improperly included in the Rider DSR revenue requirement;</w:t>
      </w:r>
      <w:r>
        <w:rPr>
          <w:rFonts w:eastAsia="Calibri"/>
          <w:vertAlign w:val="superscript"/>
        </w:rPr>
        <w:footnoteReference w:id="4"/>
      </w:r>
    </w:p>
    <w:p w:rsidR="00A47EAC" w:rsidRPr="0032583B" w:rsidP="002B6D65" w14:paraId="25DEF557" w14:textId="743E0997">
      <w:pPr>
        <w:numPr>
          <w:ilvl w:val="0"/>
          <w:numId w:val="22"/>
        </w:numPr>
        <w:spacing w:after="160" w:line="480" w:lineRule="auto"/>
        <w:ind w:left="1080"/>
        <w:contextualSpacing/>
        <w:rPr>
          <w:rFonts w:eastAsia="Calibri"/>
        </w:rPr>
      </w:pPr>
      <w:r w:rsidRPr="0032583B">
        <w:rPr>
          <w:rFonts w:eastAsia="Calibri"/>
        </w:rPr>
        <w:t xml:space="preserve">Reducing </w:t>
      </w:r>
      <w:r w:rsidRPr="0032583B">
        <w:rPr>
          <w:rFonts w:eastAsia="Calibri"/>
        </w:rPr>
        <w:t>the revenue requirement by $236.19 due to a calculation error;</w:t>
      </w:r>
      <w:r>
        <w:rPr>
          <w:rFonts w:eastAsia="Calibri"/>
          <w:vertAlign w:val="superscript"/>
        </w:rPr>
        <w:footnoteReference w:id="5"/>
      </w:r>
      <w:r w:rsidRPr="0032583B">
        <w:rPr>
          <w:rFonts w:eastAsia="Calibri"/>
        </w:rPr>
        <w:t xml:space="preserve"> and</w:t>
      </w:r>
    </w:p>
    <w:p w:rsidR="00A47EAC" w:rsidRPr="0032583B" w:rsidP="002B6D65" w14:paraId="7576C1F9" w14:textId="4E94E6AE">
      <w:pPr>
        <w:numPr>
          <w:ilvl w:val="0"/>
          <w:numId w:val="22"/>
        </w:numPr>
        <w:spacing w:after="160" w:line="480" w:lineRule="auto"/>
        <w:ind w:left="1080"/>
        <w:contextualSpacing/>
        <w:rPr>
          <w:rFonts w:eastAsia="Calibri"/>
        </w:rPr>
      </w:pPr>
      <w:r w:rsidRPr="0032583B">
        <w:rPr>
          <w:rFonts w:eastAsia="Calibri"/>
        </w:rPr>
        <w:t>Disallow</w:t>
      </w:r>
      <w:r w:rsidRPr="0032583B" w:rsidR="00552090">
        <w:rPr>
          <w:rFonts w:eastAsia="Calibri"/>
        </w:rPr>
        <w:t>ing</w:t>
      </w:r>
      <w:r w:rsidRPr="0032583B">
        <w:rPr>
          <w:rFonts w:eastAsia="Calibri"/>
        </w:rPr>
        <w:t xml:space="preserve"> </w:t>
      </w:r>
      <w:bookmarkStart w:id="1" w:name="_Hlk147067086"/>
      <w:r w:rsidRPr="0032583B">
        <w:rPr>
          <w:rFonts w:eastAsia="Calibri"/>
        </w:rPr>
        <w:t>$79,085.75</w:t>
      </w:r>
      <w:bookmarkEnd w:id="1"/>
      <w:r w:rsidRPr="0032583B">
        <w:rPr>
          <w:rFonts w:eastAsia="Calibri"/>
        </w:rPr>
        <w:t xml:space="preserve"> associated with a November 5, 2022 storm that did not qualify as a major event under PUCO rules.</w:t>
      </w:r>
      <w:r>
        <w:rPr>
          <w:rFonts w:eastAsia="Calibri"/>
          <w:vertAlign w:val="superscript"/>
        </w:rPr>
        <w:footnoteReference w:id="6"/>
      </w:r>
    </w:p>
    <w:p w:rsidR="00D22F1D" w:rsidRPr="0032583B" w:rsidP="00865F50" w14:paraId="3BE09D7B" w14:textId="6467FA2A">
      <w:pPr>
        <w:spacing w:line="480" w:lineRule="auto"/>
        <w:ind w:firstLine="720"/>
        <w:rPr>
          <w:rFonts w:eastAsia="Calibri"/>
        </w:rPr>
      </w:pPr>
      <w:r w:rsidRPr="0032583B">
        <w:rPr>
          <w:rFonts w:eastAsia="Calibri"/>
        </w:rPr>
        <w:t>Duke</w:t>
      </w:r>
      <w:r w:rsidRPr="0032583B" w:rsidR="008510DA">
        <w:rPr>
          <w:rFonts w:eastAsia="Calibri"/>
        </w:rPr>
        <w:t xml:space="preserve"> </w:t>
      </w:r>
      <w:r w:rsidRPr="0032583B">
        <w:rPr>
          <w:rFonts w:eastAsia="Calibri"/>
        </w:rPr>
        <w:t>file</w:t>
      </w:r>
      <w:r w:rsidRPr="0032583B" w:rsidR="00433A1E">
        <w:rPr>
          <w:rFonts w:eastAsia="Calibri"/>
        </w:rPr>
        <w:t>d</w:t>
      </w:r>
      <w:r w:rsidRPr="0032583B">
        <w:rPr>
          <w:rFonts w:eastAsia="Calibri"/>
        </w:rPr>
        <w:t xml:space="preserve"> Initial Comments </w:t>
      </w:r>
      <w:r w:rsidRPr="0032583B" w:rsidR="00433A1E">
        <w:rPr>
          <w:rFonts w:eastAsia="Calibri"/>
        </w:rPr>
        <w:t xml:space="preserve">on </w:t>
      </w:r>
      <w:r w:rsidRPr="0032583B">
        <w:rPr>
          <w:rFonts w:eastAsia="Calibri"/>
        </w:rPr>
        <w:t xml:space="preserve">the PUCO Staff Review and Recommendations on September 15, 2023. In its Initial Comments, </w:t>
      </w:r>
      <w:r w:rsidRPr="0032583B" w:rsidR="00A47EAC">
        <w:rPr>
          <w:rFonts w:eastAsia="Calibri"/>
        </w:rPr>
        <w:t>Duke d</w:t>
      </w:r>
      <w:r w:rsidRPr="0032583B">
        <w:rPr>
          <w:rFonts w:eastAsia="Calibri"/>
        </w:rPr>
        <w:t>id</w:t>
      </w:r>
      <w:r w:rsidRPr="0032583B" w:rsidR="00A47EAC">
        <w:rPr>
          <w:rFonts w:eastAsia="Calibri"/>
        </w:rPr>
        <w:t xml:space="preserve"> not contest the PUCO Staff’s recommendation to reduce the charges to consumers by $4,980.27</w:t>
      </w:r>
      <w:r>
        <w:rPr>
          <w:rFonts w:eastAsia="Calibri"/>
          <w:vertAlign w:val="superscript"/>
        </w:rPr>
        <w:footnoteReference w:id="7"/>
      </w:r>
      <w:r w:rsidRPr="0032583B" w:rsidR="00A47EAC">
        <w:rPr>
          <w:rFonts w:eastAsia="Calibri"/>
        </w:rPr>
        <w:t xml:space="preserve"> due to improper inclusion of unrelated expenses. Duke</w:t>
      </w:r>
      <w:r w:rsidRPr="0032583B">
        <w:rPr>
          <w:rFonts w:eastAsia="Calibri"/>
        </w:rPr>
        <w:t xml:space="preserve"> did</w:t>
      </w:r>
      <w:r w:rsidRPr="0032583B" w:rsidR="00A47EAC">
        <w:rPr>
          <w:rFonts w:eastAsia="Calibri"/>
        </w:rPr>
        <w:t xml:space="preserve"> contest the PUCO Staff’s recommendation to disallow </w:t>
      </w:r>
      <w:bookmarkStart w:id="2" w:name="_Hlk147079799"/>
      <w:bookmarkStart w:id="3" w:name="_Hlk147070183"/>
      <w:r w:rsidRPr="0032583B" w:rsidR="00A47EAC">
        <w:rPr>
          <w:rFonts w:eastAsia="Calibri"/>
        </w:rPr>
        <w:t>$79,085.75 in costs associated with the November 5, 2022 storm</w:t>
      </w:r>
      <w:bookmarkEnd w:id="2"/>
      <w:r w:rsidRPr="0032583B" w:rsidR="00A47EAC">
        <w:rPr>
          <w:rFonts w:eastAsia="Calibri"/>
        </w:rPr>
        <w:t>.</w:t>
      </w:r>
      <w:bookmarkEnd w:id="3"/>
      <w:r>
        <w:rPr>
          <w:rFonts w:eastAsia="Calibri"/>
          <w:vertAlign w:val="superscript"/>
        </w:rPr>
        <w:footnoteReference w:id="8"/>
      </w:r>
    </w:p>
    <w:p w:rsidR="00512A5B" w:rsidRPr="0032583B" w:rsidP="00865F50" w14:paraId="7EABD38C" w14:textId="04A14965">
      <w:pPr>
        <w:spacing w:line="480" w:lineRule="auto"/>
        <w:ind w:firstLine="720"/>
        <w:rPr>
          <w:rFonts w:eastAsia="Calibri"/>
        </w:rPr>
      </w:pPr>
      <w:r w:rsidRPr="0032583B">
        <w:rPr>
          <w:rFonts w:eastAsia="Calibri"/>
        </w:rPr>
        <w:t xml:space="preserve">On September 22, 2023, OCC filed </w:t>
      </w:r>
      <w:bookmarkStart w:id="4" w:name="_Hlk147082570"/>
      <w:r w:rsidRPr="0032583B" w:rsidR="00547C2D">
        <w:rPr>
          <w:rFonts w:eastAsia="Calibri"/>
        </w:rPr>
        <w:t>Reply Comments to Duke’s Initial Comments</w:t>
      </w:r>
      <w:bookmarkEnd w:id="4"/>
      <w:r w:rsidRPr="0032583B" w:rsidR="00547C2D">
        <w:rPr>
          <w:rFonts w:eastAsia="Calibri"/>
        </w:rPr>
        <w:t xml:space="preserve">. </w:t>
      </w:r>
      <w:r w:rsidRPr="0032583B" w:rsidR="00E433D0">
        <w:rPr>
          <w:rFonts w:eastAsia="Calibri"/>
        </w:rPr>
        <w:t>In its Reply Comments</w:t>
      </w:r>
      <w:r w:rsidRPr="0032583B" w:rsidR="00DF3749">
        <w:rPr>
          <w:rFonts w:eastAsia="Calibri"/>
        </w:rPr>
        <w:t>,</w:t>
      </w:r>
      <w:r w:rsidRPr="0032583B" w:rsidR="00E433D0">
        <w:rPr>
          <w:rFonts w:eastAsia="Calibri"/>
        </w:rPr>
        <w:t xml:space="preserve"> OCC </w:t>
      </w:r>
      <w:r w:rsidRPr="0032583B" w:rsidR="00433A1E">
        <w:rPr>
          <w:rFonts w:eastAsia="Calibri"/>
        </w:rPr>
        <w:t>recommend</w:t>
      </w:r>
      <w:r w:rsidRPr="0032583B" w:rsidR="00EF0695">
        <w:rPr>
          <w:rFonts w:eastAsia="Calibri"/>
        </w:rPr>
        <w:t>ed</w:t>
      </w:r>
      <w:r w:rsidRPr="0032583B" w:rsidR="00433A1E">
        <w:rPr>
          <w:rFonts w:eastAsia="Calibri"/>
        </w:rPr>
        <w:t xml:space="preserve"> that </w:t>
      </w:r>
      <w:r w:rsidRPr="0032583B" w:rsidR="00547C2D">
        <w:rPr>
          <w:rFonts w:eastAsia="Calibri"/>
        </w:rPr>
        <w:t xml:space="preserve">the PUCO adopt </w:t>
      </w:r>
      <w:r w:rsidRPr="0032583B" w:rsidR="00433A1E">
        <w:rPr>
          <w:rFonts w:eastAsia="Calibri"/>
        </w:rPr>
        <w:t xml:space="preserve">the PUCO </w:t>
      </w:r>
      <w:r w:rsidRPr="0032583B" w:rsidR="00547C2D">
        <w:rPr>
          <w:rFonts w:eastAsia="Calibri"/>
        </w:rPr>
        <w:t>S</w:t>
      </w:r>
      <w:r w:rsidRPr="0032583B" w:rsidR="00547C2D">
        <w:t xml:space="preserve">taff’s recommendation </w:t>
      </w:r>
      <w:r w:rsidRPr="0032583B" w:rsidR="00E433D0">
        <w:t xml:space="preserve">to </w:t>
      </w:r>
      <w:r w:rsidRPr="0032583B" w:rsidR="00E433D0">
        <w:rPr>
          <w:rFonts w:eastAsia="Calibri"/>
        </w:rPr>
        <w:t xml:space="preserve">reduce charges collected from consumers by $84,066.02, including the $79,085.75 storm costs in </w:t>
      </w:r>
      <w:r w:rsidRPr="0032583B" w:rsidR="00547C2D">
        <w:t>Rider DSR.</w:t>
      </w:r>
      <w:r w:rsidRPr="0032583B" w:rsidR="00535F0B">
        <w:t xml:space="preserve"> </w:t>
      </w:r>
      <w:r w:rsidRPr="0032583B" w:rsidR="00E433D0">
        <w:t>OCC also asked the</w:t>
      </w:r>
      <w:r w:rsidRPr="0032583B" w:rsidR="00547C2D">
        <w:t xml:space="preserve"> PUCO </w:t>
      </w:r>
      <w:r w:rsidRPr="0032583B" w:rsidR="00E433D0">
        <w:t>to</w:t>
      </w:r>
      <w:r w:rsidRPr="0032583B" w:rsidR="00547C2D">
        <w:t xml:space="preserve"> require </w:t>
      </w:r>
      <w:r w:rsidRPr="0032583B" w:rsidR="00433A1E">
        <w:t xml:space="preserve">the </w:t>
      </w:r>
      <w:r w:rsidRPr="0032583B" w:rsidR="00547C2D">
        <w:t xml:space="preserve">PUCO Staff to examine Duke’s practices in calculating </w:t>
      </w:r>
      <w:r w:rsidRPr="0032583B" w:rsidR="00F36D90">
        <w:t xml:space="preserve">the </w:t>
      </w:r>
      <w:r w:rsidRPr="0032583B" w:rsidR="00547C2D">
        <w:t xml:space="preserve">reliability data </w:t>
      </w:r>
      <w:r w:rsidRPr="0032583B" w:rsidR="00F36D90">
        <w:t>in Duke’s</w:t>
      </w:r>
      <w:r w:rsidRPr="0032583B" w:rsidR="00547C2D">
        <w:t xml:space="preserve"> Rule 10 Reports to verify compliance with PUCO reporting requirements</w:t>
      </w:r>
      <w:r w:rsidRPr="0032583B" w:rsidR="00F36D90">
        <w:t>.</w:t>
      </w:r>
    </w:p>
    <w:p w:rsidR="00865F50" w:rsidRPr="0032583B" w:rsidP="00865F50" w14:paraId="6B8B1370" w14:textId="40B799ED">
      <w:pPr>
        <w:spacing w:line="480" w:lineRule="auto"/>
        <w:ind w:firstLine="720"/>
      </w:pPr>
      <w:r w:rsidRPr="0032583B">
        <w:rPr>
          <w:rFonts w:eastAsia="Calibri"/>
        </w:rPr>
        <w:t>O</w:t>
      </w:r>
      <w:r w:rsidRPr="0032583B" w:rsidR="00F36D90">
        <w:rPr>
          <w:rFonts w:eastAsia="Calibri"/>
        </w:rPr>
        <w:t xml:space="preserve">n September 26, 2023 </w:t>
      </w:r>
      <w:r w:rsidRPr="0032583B">
        <w:rPr>
          <w:rFonts w:eastAsia="Calibri"/>
        </w:rPr>
        <w:t xml:space="preserve">the </w:t>
      </w:r>
      <w:r w:rsidRPr="0032583B" w:rsidR="00A41A92">
        <w:rPr>
          <w:rFonts w:eastAsia="Calibri"/>
        </w:rPr>
        <w:t>P</w:t>
      </w:r>
      <w:r w:rsidRPr="0032583B">
        <w:rPr>
          <w:rFonts w:eastAsia="Calibri"/>
        </w:rPr>
        <w:t xml:space="preserve">UCO Staff revised its </w:t>
      </w:r>
      <w:r w:rsidRPr="0032583B" w:rsidR="00D22F1D">
        <w:rPr>
          <w:rFonts w:eastAsia="Calibri"/>
        </w:rPr>
        <w:t xml:space="preserve">initial </w:t>
      </w:r>
      <w:r w:rsidRPr="0032583B">
        <w:rPr>
          <w:rFonts w:eastAsia="Calibri"/>
        </w:rPr>
        <w:t xml:space="preserve">recommendation </w:t>
      </w:r>
      <w:r w:rsidRPr="0032583B">
        <w:rPr>
          <w:rFonts w:eastAsia="Calibri"/>
        </w:rPr>
        <w:t>and recommended allowing collection from consumers</w:t>
      </w:r>
      <w:r w:rsidRPr="0032583B" w:rsidR="00E433D0">
        <w:rPr>
          <w:rFonts w:eastAsia="Calibri"/>
        </w:rPr>
        <w:t xml:space="preserve"> the</w:t>
      </w:r>
      <w:r w:rsidRPr="0032583B">
        <w:rPr>
          <w:rFonts w:eastAsia="Calibri"/>
        </w:rPr>
        <w:t xml:space="preserve"> </w:t>
      </w:r>
      <w:bookmarkStart w:id="5" w:name="_Hlk147074215"/>
      <w:r w:rsidRPr="0032583B">
        <w:rPr>
          <w:rFonts w:eastAsia="Calibri"/>
        </w:rPr>
        <w:t>$79,085.75 in costs associated with the November 5, 2022 storm</w:t>
      </w:r>
      <w:bookmarkEnd w:id="5"/>
      <w:r w:rsidRPr="0032583B">
        <w:rPr>
          <w:rFonts w:eastAsia="Calibri"/>
        </w:rPr>
        <w:t>.</w:t>
      </w:r>
      <w:r>
        <w:rPr>
          <w:rStyle w:val="FootnoteReference"/>
          <w:rFonts w:eastAsia="Calibri"/>
        </w:rPr>
        <w:footnoteReference w:id="9"/>
      </w:r>
      <w:r w:rsidRPr="0032583B" w:rsidR="00A41A92">
        <w:rPr>
          <w:rFonts w:eastAsia="Calibri"/>
        </w:rPr>
        <w:t xml:space="preserve"> </w:t>
      </w:r>
      <w:r w:rsidRPr="0032583B">
        <w:rPr>
          <w:rFonts w:eastAsia="Calibri"/>
        </w:rPr>
        <w:t xml:space="preserve">The </w:t>
      </w:r>
      <w:r w:rsidRPr="0032583B" w:rsidR="00A41A92">
        <w:rPr>
          <w:rFonts w:eastAsia="Calibri"/>
        </w:rPr>
        <w:t>PUCO Staff did not explain how the November 5, 2022 storm qualified as a Major Event as defined by</w:t>
      </w:r>
      <w:r w:rsidRPr="0032583B" w:rsidR="00FD4FCF">
        <w:rPr>
          <w:rFonts w:eastAsia="Calibri"/>
        </w:rPr>
        <w:t xml:space="preserve"> O.A.C.</w:t>
      </w:r>
      <w:r w:rsidRPr="0032583B" w:rsidR="00A41A92">
        <w:rPr>
          <w:rFonts w:eastAsia="Calibri"/>
        </w:rPr>
        <w:t xml:space="preserve"> 4901:1-10-01(T) in its </w:t>
      </w:r>
      <w:r w:rsidRPr="0032583B" w:rsidR="00F36D90">
        <w:rPr>
          <w:rFonts w:eastAsia="Calibri"/>
        </w:rPr>
        <w:t>R</w:t>
      </w:r>
      <w:r w:rsidRPr="0032583B" w:rsidR="00A41A92">
        <w:rPr>
          <w:rFonts w:eastAsia="Calibri"/>
        </w:rPr>
        <w:t xml:space="preserve">evised </w:t>
      </w:r>
      <w:r w:rsidRPr="0032583B" w:rsidR="00F36D90">
        <w:rPr>
          <w:rFonts w:eastAsia="Calibri"/>
        </w:rPr>
        <w:t>R</w:t>
      </w:r>
      <w:r w:rsidRPr="0032583B" w:rsidR="00A41A92">
        <w:rPr>
          <w:rFonts w:eastAsia="Calibri"/>
        </w:rPr>
        <w:t>ecommendation. The PUCO Staff</w:t>
      </w:r>
      <w:r w:rsidRPr="0032583B" w:rsidR="00512A5B">
        <w:rPr>
          <w:rFonts w:eastAsia="Calibri"/>
        </w:rPr>
        <w:t xml:space="preserve">’s </w:t>
      </w:r>
      <w:r w:rsidRPr="0032583B" w:rsidR="00A41A92">
        <w:rPr>
          <w:rFonts w:eastAsia="Calibri"/>
        </w:rPr>
        <w:t xml:space="preserve">Revised Recommendation merely recited that “Staff </w:t>
      </w:r>
      <w:r w:rsidRPr="0032583B" w:rsidR="00A41A92">
        <w:t>met with and received additional support from Duke. Staff confirms that the November storm qualifies as a Major Event and agrees with Duke that the November storm should be allowed for recovery.”</w:t>
      </w:r>
      <w:r>
        <w:rPr>
          <w:rStyle w:val="FootnoteReference"/>
        </w:rPr>
        <w:footnoteReference w:id="10"/>
      </w:r>
    </w:p>
    <w:p w:rsidR="00F36D90" w:rsidRPr="0032583B" w:rsidP="00865F50" w14:paraId="454E7482" w14:textId="68C9B3C7">
      <w:pPr>
        <w:spacing w:line="480" w:lineRule="auto"/>
        <w:ind w:firstLine="720"/>
        <w:rPr>
          <w:rFonts w:eastAsia="Calibri"/>
        </w:rPr>
      </w:pPr>
      <w:r w:rsidRPr="0032583B">
        <w:t>Also on September 26, 2023</w:t>
      </w:r>
      <w:r w:rsidRPr="0032583B" w:rsidR="00E02D67">
        <w:t>,</w:t>
      </w:r>
      <w:r w:rsidRPr="0032583B">
        <w:t xml:space="preserve"> Duke filed </w:t>
      </w:r>
      <w:r w:rsidRPr="0032583B" w:rsidR="00275654">
        <w:t>its</w:t>
      </w:r>
      <w:r w:rsidRPr="0032583B">
        <w:t xml:space="preserve"> </w:t>
      </w:r>
      <w:bookmarkStart w:id="7" w:name="_Hlk147095031"/>
      <w:r w:rsidRPr="0032583B">
        <w:t>out</w:t>
      </w:r>
      <w:r w:rsidRPr="0032583B" w:rsidR="00B9282C">
        <w:t>-</w:t>
      </w:r>
      <w:r w:rsidRPr="0032583B">
        <w:t>of</w:t>
      </w:r>
      <w:r w:rsidRPr="0032583B" w:rsidR="00B9282C">
        <w:t>-</w:t>
      </w:r>
      <w:r w:rsidRPr="0032583B">
        <w:t xml:space="preserve">order and wholly unauthorized self-styled </w:t>
      </w:r>
      <w:r w:rsidRPr="0032583B" w:rsidR="00B9282C">
        <w:t>M</w:t>
      </w:r>
      <w:r w:rsidRPr="0032583B">
        <w:t xml:space="preserve">otion </w:t>
      </w:r>
      <w:r w:rsidRPr="0032583B" w:rsidR="00E02D67">
        <w:t>for</w:t>
      </w:r>
      <w:r w:rsidRPr="0032583B">
        <w:t xml:space="preserve"> Leave to File Surreply Comments</w:t>
      </w:r>
      <w:bookmarkEnd w:id="7"/>
      <w:r w:rsidRPr="0032583B" w:rsidR="008262BF">
        <w:t xml:space="preserve"> to OCC’s </w:t>
      </w:r>
      <w:r w:rsidRPr="0032583B" w:rsidR="008262BF">
        <w:rPr>
          <w:rFonts w:eastAsia="Calibri"/>
        </w:rPr>
        <w:t>Reply</w:t>
      </w:r>
      <w:r w:rsidRPr="0032583B" w:rsidR="00DF3749">
        <w:rPr>
          <w:rFonts w:eastAsia="Calibri"/>
        </w:rPr>
        <w:t xml:space="preserve"> Comments</w:t>
      </w:r>
      <w:r w:rsidRPr="0032583B">
        <w:t>.</w:t>
      </w:r>
      <w:r w:rsidRPr="0032583B" w:rsidR="00B9282C">
        <w:t xml:space="preserve"> Based on the authority and argument below, </w:t>
      </w:r>
      <w:bookmarkStart w:id="8" w:name="_Hlk147098686"/>
      <w:r w:rsidRPr="0032583B" w:rsidR="00433A1E">
        <w:t xml:space="preserve">to protect consumers </w:t>
      </w:r>
      <w:r w:rsidRPr="0032583B" w:rsidR="00B9282C">
        <w:t xml:space="preserve">the PUCO should </w:t>
      </w:r>
      <w:r w:rsidRPr="0032583B" w:rsidR="00177B5A">
        <w:t>reject</w:t>
      </w:r>
      <w:r w:rsidRPr="0032583B" w:rsidR="00B9282C">
        <w:t xml:space="preserve"> Duke’s </w:t>
      </w:r>
      <w:r w:rsidRPr="0032583B" w:rsidR="00433A1E">
        <w:t xml:space="preserve">Motion for Leave </w:t>
      </w:r>
      <w:r w:rsidRPr="0032583B" w:rsidR="00B9282C">
        <w:t xml:space="preserve">and adopt </w:t>
      </w:r>
      <w:r w:rsidRPr="0032583B" w:rsidR="00664340">
        <w:t xml:space="preserve">the </w:t>
      </w:r>
      <w:r w:rsidRPr="0032583B" w:rsidR="00B9282C">
        <w:t xml:space="preserve">initial recommendation of </w:t>
      </w:r>
      <w:r w:rsidRPr="0032583B" w:rsidR="00433A1E">
        <w:t xml:space="preserve">the </w:t>
      </w:r>
      <w:r w:rsidRPr="0032583B" w:rsidR="00B9282C">
        <w:t>PUCO Staff</w:t>
      </w:r>
      <w:r w:rsidRPr="0032583B" w:rsidR="00433A1E">
        <w:t>, as recommended by OCC in its Reply Comments</w:t>
      </w:r>
      <w:r w:rsidRPr="0032583B" w:rsidR="00552090">
        <w:t>.</w:t>
      </w:r>
      <w:r w:rsidR="0032583B">
        <w:t xml:space="preserve"> </w:t>
      </w:r>
      <w:r w:rsidRPr="0032583B" w:rsidR="00552090">
        <w:t xml:space="preserve">That would </w:t>
      </w:r>
      <w:r w:rsidRPr="0032583B" w:rsidR="00B9282C">
        <w:rPr>
          <w:rFonts w:eastAsia="Calibri"/>
        </w:rPr>
        <w:t>reduc</w:t>
      </w:r>
      <w:r w:rsidRPr="0032583B" w:rsidR="00552090">
        <w:rPr>
          <w:rFonts w:eastAsia="Calibri"/>
        </w:rPr>
        <w:t xml:space="preserve">e </w:t>
      </w:r>
      <w:r w:rsidRPr="0032583B" w:rsidR="00B9282C">
        <w:rPr>
          <w:rFonts w:eastAsia="Calibri"/>
        </w:rPr>
        <w:t xml:space="preserve">charges collected from consumers </w:t>
      </w:r>
      <w:r w:rsidRPr="0032583B" w:rsidR="00552090">
        <w:rPr>
          <w:rFonts w:eastAsia="Calibri"/>
        </w:rPr>
        <w:t xml:space="preserve">under the rider </w:t>
      </w:r>
      <w:r w:rsidRPr="0032583B" w:rsidR="00B9282C">
        <w:rPr>
          <w:rFonts w:eastAsia="Calibri"/>
        </w:rPr>
        <w:t>by $84,066.02</w:t>
      </w:r>
      <w:r w:rsidRPr="0032583B" w:rsidR="00552090">
        <w:rPr>
          <w:rFonts w:eastAsia="Calibri"/>
        </w:rPr>
        <w:t xml:space="preserve">. </w:t>
      </w:r>
    </w:p>
    <w:p w:rsidR="002B6D65" w:rsidRPr="0032583B" w:rsidP="002B6D65" w14:paraId="2A1F966F" w14:textId="77777777">
      <w:pPr>
        <w:ind w:firstLine="720"/>
      </w:pPr>
    </w:p>
    <w:bookmarkEnd w:id="8"/>
    <w:p w:rsidR="00DA395E" w:rsidRPr="0032583B" w:rsidP="002B6D65" w14:paraId="0A6BA11E" w14:textId="3255FB0C">
      <w:pPr>
        <w:pStyle w:val="Heading1"/>
        <w:rPr>
          <w:rFonts w:ascii="Times New Roman" w:hAnsi="Times New Roman"/>
          <w:kern w:val="0"/>
          <w:szCs w:val="24"/>
        </w:rPr>
      </w:pPr>
      <w:r w:rsidRPr="0032583B">
        <w:rPr>
          <w:rFonts w:ascii="Times New Roman" w:hAnsi="Times New Roman"/>
          <w:kern w:val="0"/>
          <w:szCs w:val="24"/>
        </w:rPr>
        <w:t xml:space="preserve">II. </w:t>
      </w:r>
      <w:r w:rsidRPr="0032583B">
        <w:rPr>
          <w:rFonts w:ascii="Times New Roman" w:hAnsi="Times New Roman"/>
          <w:kern w:val="0"/>
          <w:szCs w:val="24"/>
        </w:rPr>
        <w:tab/>
        <w:t>ARGUMENT</w:t>
      </w:r>
    </w:p>
    <w:p w:rsidR="00433A1E" w:rsidRPr="0032583B" w:rsidP="002B6D65" w14:paraId="647685F9" w14:textId="354B4D90">
      <w:pPr>
        <w:pStyle w:val="Heading2"/>
        <w:rPr>
          <w:rFonts w:ascii="Times New Roman" w:hAnsi="Times New Roman" w:cs="Times New Roman"/>
          <w:szCs w:val="24"/>
        </w:rPr>
      </w:pPr>
      <w:r w:rsidRPr="0032583B">
        <w:rPr>
          <w:rFonts w:ascii="Times New Roman" w:hAnsi="Times New Roman" w:cs="Times New Roman"/>
          <w:szCs w:val="24"/>
        </w:rPr>
        <w:t>A.</w:t>
      </w:r>
      <w:r w:rsidRPr="0032583B">
        <w:rPr>
          <w:rFonts w:ascii="Times New Roman" w:hAnsi="Times New Roman" w:cs="Times New Roman"/>
          <w:szCs w:val="24"/>
        </w:rPr>
        <w:tab/>
        <w:t xml:space="preserve">To protect consumers, </w:t>
      </w:r>
      <w:r w:rsidRPr="0032583B" w:rsidR="005775EC">
        <w:rPr>
          <w:rFonts w:ascii="Times New Roman" w:hAnsi="Times New Roman" w:cs="Times New Roman"/>
          <w:szCs w:val="24"/>
        </w:rPr>
        <w:t>D</w:t>
      </w:r>
      <w:r w:rsidRPr="0032583B">
        <w:rPr>
          <w:rFonts w:ascii="Times New Roman" w:hAnsi="Times New Roman" w:cs="Times New Roman"/>
          <w:szCs w:val="24"/>
        </w:rPr>
        <w:t xml:space="preserve">uke’s </w:t>
      </w:r>
      <w:r w:rsidRPr="0032583B" w:rsidR="00A130A9">
        <w:rPr>
          <w:rFonts w:ascii="Times New Roman" w:hAnsi="Times New Roman" w:cs="Times New Roman"/>
          <w:szCs w:val="24"/>
        </w:rPr>
        <w:t>M</w:t>
      </w:r>
      <w:r w:rsidRPr="0032583B">
        <w:rPr>
          <w:rFonts w:ascii="Times New Roman" w:hAnsi="Times New Roman" w:cs="Times New Roman"/>
          <w:szCs w:val="24"/>
        </w:rPr>
        <w:t xml:space="preserve">otion for </w:t>
      </w:r>
      <w:r w:rsidRPr="0032583B" w:rsidR="00A130A9">
        <w:rPr>
          <w:rFonts w:ascii="Times New Roman" w:hAnsi="Times New Roman" w:cs="Times New Roman"/>
          <w:szCs w:val="24"/>
        </w:rPr>
        <w:t>L</w:t>
      </w:r>
      <w:r w:rsidRPr="0032583B">
        <w:rPr>
          <w:rFonts w:ascii="Times New Roman" w:hAnsi="Times New Roman" w:cs="Times New Roman"/>
          <w:szCs w:val="24"/>
        </w:rPr>
        <w:t>eave should be denied as contrary to governing rules and the scheduling order.</w:t>
      </w:r>
    </w:p>
    <w:p w:rsidR="00385DB0" w:rsidRPr="0032583B" w:rsidP="008262BF" w14:paraId="128485E5" w14:textId="2622828D">
      <w:pPr>
        <w:spacing w:line="480" w:lineRule="auto"/>
        <w:ind w:firstLine="720"/>
      </w:pPr>
      <w:r w:rsidRPr="0032583B">
        <w:t>At the outset, it must be noted that n</w:t>
      </w:r>
      <w:r w:rsidRPr="0032583B" w:rsidR="004453A9">
        <w:t>either the Ohio Rules of Civil Procedure nor the PUCO Rules contemplate or permit Duke’s self-styled Motion</w:t>
      </w:r>
      <w:r w:rsidRPr="0032583B" w:rsidR="0038195C">
        <w:t xml:space="preserve"> to File Surreply Comments</w:t>
      </w:r>
      <w:r w:rsidRPr="0032583B" w:rsidR="004453A9">
        <w:t xml:space="preserve">. </w:t>
      </w:r>
      <w:r w:rsidRPr="0032583B" w:rsidR="00433A1E">
        <w:t>Further</w:t>
      </w:r>
      <w:r w:rsidRPr="0032583B" w:rsidR="004453A9">
        <w:t xml:space="preserve">, under </w:t>
      </w:r>
      <w:r w:rsidRPr="0032583B" w:rsidR="008262BF">
        <w:t xml:space="preserve">the scheduling order </w:t>
      </w:r>
      <w:r w:rsidRPr="0032583B" w:rsidR="0038195C">
        <w:t>in</w:t>
      </w:r>
      <w:r w:rsidRPr="0032583B" w:rsidR="008262BF">
        <w:t xml:space="preserve"> this matter, </w:t>
      </w:r>
      <w:r w:rsidRPr="0032583B">
        <w:t xml:space="preserve">the reply period closed on September 22, 2023 and </w:t>
      </w:r>
      <w:r w:rsidRPr="0032583B" w:rsidR="008262BF">
        <w:t xml:space="preserve">briefing was complete </w:t>
      </w:r>
      <w:r w:rsidRPr="0032583B">
        <w:rPr>
          <w:rFonts w:eastAsia="Calibri"/>
        </w:rPr>
        <w:t>on the same date</w:t>
      </w:r>
      <w:r w:rsidRPr="0032583B" w:rsidR="008262BF">
        <w:rPr>
          <w:rFonts w:eastAsia="Calibri"/>
        </w:rPr>
        <w:t>.</w:t>
      </w:r>
      <w:r>
        <w:rPr>
          <w:rStyle w:val="FootnoteReference"/>
          <w:rFonts w:eastAsia="Calibri"/>
        </w:rPr>
        <w:footnoteReference w:id="11"/>
      </w:r>
      <w:r w:rsidRPr="0032583B" w:rsidR="00535F0B">
        <w:rPr>
          <w:rFonts w:eastAsia="Calibri"/>
        </w:rPr>
        <w:t xml:space="preserve"> </w:t>
      </w:r>
      <w:r w:rsidRPr="0032583B" w:rsidR="00DC2018">
        <w:rPr>
          <w:rFonts w:eastAsia="Calibri"/>
        </w:rPr>
        <w:t xml:space="preserve">Duke has disregarded the </w:t>
      </w:r>
      <w:r w:rsidRPr="0032583B" w:rsidR="00433A1E">
        <w:rPr>
          <w:rFonts w:eastAsia="Calibri"/>
        </w:rPr>
        <w:t xml:space="preserve">governing rules and the </w:t>
      </w:r>
      <w:r w:rsidRPr="0032583B">
        <w:rPr>
          <w:rFonts w:eastAsia="Calibri"/>
        </w:rPr>
        <w:t xml:space="preserve">PUCO’s </w:t>
      </w:r>
      <w:r w:rsidRPr="0032583B" w:rsidR="00DC2018">
        <w:rPr>
          <w:rFonts w:eastAsia="Calibri"/>
        </w:rPr>
        <w:t>scheduling order</w:t>
      </w:r>
      <w:r w:rsidRPr="0032583B" w:rsidR="00DC2018">
        <w:t>.</w:t>
      </w:r>
      <w:r w:rsidR="0032583B">
        <w:t xml:space="preserve"> </w:t>
      </w:r>
      <w:r w:rsidRPr="0032583B" w:rsidR="00552090">
        <w:t>Rules exist for reasons.</w:t>
      </w:r>
      <w:r w:rsidR="0032583B">
        <w:t xml:space="preserve"> </w:t>
      </w:r>
      <w:r w:rsidRPr="0032583B" w:rsidR="00552090">
        <w:t>The rules should be followed unless good cause can be shown as to why there should be an exception.</w:t>
      </w:r>
      <w:r>
        <w:rPr>
          <w:rStyle w:val="FootnoteReference"/>
        </w:rPr>
        <w:footnoteReference w:id="12"/>
      </w:r>
      <w:r w:rsidR="0032583B">
        <w:t xml:space="preserve"> </w:t>
      </w:r>
      <w:r w:rsidRPr="0032583B" w:rsidR="00552090">
        <w:t xml:space="preserve">Duke has not provided good cause. </w:t>
      </w:r>
    </w:p>
    <w:p w:rsidR="00433A1E" w:rsidRPr="0032583B" w:rsidP="00F7054A" w14:paraId="4189F0BD" w14:textId="1341A8BF">
      <w:pPr>
        <w:pStyle w:val="Heading2"/>
        <w:rPr>
          <w:rFonts w:ascii="Times New Roman" w:hAnsi="Times New Roman" w:cs="Times New Roman"/>
          <w:szCs w:val="24"/>
        </w:rPr>
      </w:pPr>
      <w:r w:rsidRPr="0032583B">
        <w:rPr>
          <w:rFonts w:ascii="Times New Roman" w:hAnsi="Times New Roman" w:cs="Times New Roman"/>
          <w:szCs w:val="24"/>
        </w:rPr>
        <w:t>B.</w:t>
      </w:r>
      <w:r w:rsidRPr="0032583B">
        <w:rPr>
          <w:rFonts w:ascii="Times New Roman" w:hAnsi="Times New Roman" w:cs="Times New Roman"/>
          <w:szCs w:val="24"/>
        </w:rPr>
        <w:tab/>
      </w:r>
      <w:r w:rsidRPr="0032583B" w:rsidR="0055595A">
        <w:rPr>
          <w:rFonts w:ascii="Times New Roman" w:hAnsi="Times New Roman" w:cs="Times New Roman"/>
          <w:szCs w:val="24"/>
        </w:rPr>
        <w:t>To protect consumers, Duke’s Motion for Leave should be denied because it seeks to distort and obscure, not reply.</w:t>
      </w:r>
    </w:p>
    <w:p w:rsidR="00552090" w:rsidRPr="0032583B" w:rsidP="0027585E" w14:paraId="7B8132DD" w14:textId="77777777">
      <w:pPr>
        <w:spacing w:line="480" w:lineRule="auto"/>
        <w:ind w:firstLine="720"/>
      </w:pPr>
      <w:r w:rsidRPr="0032583B">
        <w:t>I</w:t>
      </w:r>
      <w:r w:rsidRPr="0032583B" w:rsidR="00C257EF">
        <w:t xml:space="preserve">t is readily apparent </w:t>
      </w:r>
      <w:r w:rsidRPr="0032583B">
        <w:t xml:space="preserve">that Duke’s efforts </w:t>
      </w:r>
      <w:r w:rsidRPr="0032583B" w:rsidR="000A24A3">
        <w:t>serve</w:t>
      </w:r>
      <w:r w:rsidRPr="0032583B" w:rsidR="0027585E">
        <w:t xml:space="preserve"> no purpose other than to distort the record and obscure the fact that </w:t>
      </w:r>
      <w:r w:rsidRPr="0032583B" w:rsidR="00C257EF">
        <w:t>Duke</w:t>
      </w:r>
      <w:r w:rsidRPr="0032583B" w:rsidR="0027585E">
        <w:t xml:space="preserve"> is not </w:t>
      </w:r>
      <w:bookmarkStart w:id="9" w:name="_Hlk147098553"/>
      <w:r w:rsidRPr="0032583B" w:rsidR="0027585E">
        <w:t>reporting annual power outages in the manner required under PUCO rules.</w:t>
      </w:r>
      <w:bookmarkEnd w:id="9"/>
      <w:r w:rsidRPr="0032583B" w:rsidR="0027585E">
        <w:t xml:space="preserve"> </w:t>
      </w:r>
      <w:r w:rsidRPr="0032583B" w:rsidR="00C257EF">
        <w:t>By</w:t>
      </w:r>
      <w:r w:rsidRPr="0032583B" w:rsidR="0027585E">
        <w:t xml:space="preserve"> Duke’s own admission, the </w:t>
      </w:r>
      <w:r w:rsidRPr="0032583B">
        <w:t>“</w:t>
      </w:r>
      <w:r w:rsidRPr="0032583B" w:rsidR="0027585E">
        <w:t>Surreply Comments do not address a matter discussed in the OCC Reply Comments.”</w:t>
      </w:r>
      <w:r>
        <w:rPr>
          <w:rStyle w:val="FootnoteReference"/>
        </w:rPr>
        <w:footnoteReference w:id="13"/>
      </w:r>
      <w:r w:rsidRPr="0032583B" w:rsidR="0027585E">
        <w:t xml:space="preserve"> </w:t>
      </w:r>
      <w:r w:rsidRPr="0032583B">
        <w:t>T</w:t>
      </w:r>
      <w:r w:rsidRPr="0032583B" w:rsidR="0027585E">
        <w:t xml:space="preserve">he misguided Surreply Comments do not address anything. </w:t>
      </w:r>
    </w:p>
    <w:p w:rsidR="0027585E" w:rsidRPr="0032583B" w:rsidP="0027585E" w14:paraId="2A5CED10" w14:textId="62D5935A">
      <w:pPr>
        <w:spacing w:line="480" w:lineRule="auto"/>
        <w:ind w:firstLine="720"/>
      </w:pPr>
      <w:r w:rsidRPr="0032583B">
        <w:t xml:space="preserve">Duke </w:t>
      </w:r>
      <w:r w:rsidRPr="0032583B" w:rsidR="00797035">
        <w:t xml:space="preserve">asserts without foundation </w:t>
      </w:r>
      <w:r w:rsidRPr="0032583B">
        <w:t>that it is not clear whether OCC believes the November 5, 2022 storm was only a transmission outage, or if OCC is simply trying to muddy the record</w:t>
      </w:r>
      <w:r w:rsidRPr="0032583B" w:rsidR="00E04E99">
        <w:t>.</w:t>
      </w:r>
      <w:r w:rsidRPr="0032583B">
        <w:t xml:space="preserve"> Duke </w:t>
      </w:r>
      <w:r w:rsidRPr="0032583B" w:rsidR="00E04E99">
        <w:t xml:space="preserve">asserts without foundation that it is unclear if OCC believes that Duke </w:t>
      </w:r>
      <w:r w:rsidRPr="0032583B">
        <w:t>included transmission expenses for collection from consumers in the Rider DSR.</w:t>
      </w:r>
      <w:r>
        <w:rPr>
          <w:vertAlign w:val="superscript"/>
        </w:rPr>
        <w:footnoteReference w:id="14"/>
      </w:r>
      <w:r w:rsidRPr="0032583B">
        <w:t xml:space="preserve"> </w:t>
      </w:r>
      <w:r w:rsidRPr="0032583B" w:rsidR="00797035">
        <w:t xml:space="preserve">But </w:t>
      </w:r>
      <w:r w:rsidRPr="0032583B">
        <w:t>OCC</w:t>
      </w:r>
      <w:r w:rsidRPr="0032583B" w:rsidR="00C257EF">
        <w:t>’s</w:t>
      </w:r>
      <w:r w:rsidRPr="0032583B">
        <w:t xml:space="preserve"> Reply Comments </w:t>
      </w:r>
      <w:r w:rsidRPr="0032583B" w:rsidR="00C257EF">
        <w:t>unambiguously declare</w:t>
      </w:r>
      <w:r w:rsidRPr="0032583B">
        <w:t xml:space="preserve"> that if Duke experienced a major event on November 5, 2022 as defined in the PUCO rules,</w:t>
      </w:r>
      <w:r>
        <w:rPr>
          <w:vertAlign w:val="superscript"/>
        </w:rPr>
        <w:footnoteReference w:id="15"/>
      </w:r>
      <w:r w:rsidRPr="0032583B">
        <w:t xml:space="preserve"> the characteristics of that major event should have been reported as a major event in the </w:t>
      </w:r>
      <w:bookmarkStart w:id="10" w:name="_Hlk147102779"/>
      <w:r w:rsidRPr="0032583B">
        <w:t>annual distribution reliability report</w:t>
      </w:r>
      <w:bookmarkEnd w:id="10"/>
      <w:r w:rsidRPr="0032583B">
        <w:t>.</w:t>
      </w:r>
      <w:r>
        <w:rPr>
          <w:rStyle w:val="FootnoteReference"/>
        </w:rPr>
        <w:footnoteReference w:id="16"/>
      </w:r>
    </w:p>
    <w:p w:rsidR="0027585E" w:rsidRPr="0032583B" w:rsidP="0027585E" w14:paraId="49FF507C" w14:textId="1E6615BF">
      <w:pPr>
        <w:spacing w:line="480" w:lineRule="auto"/>
        <w:ind w:firstLine="720"/>
      </w:pPr>
      <w:r w:rsidRPr="0032583B">
        <w:t xml:space="preserve">Given that there is no basis for the PUCO to grant Duke’s Motion for </w:t>
      </w:r>
      <w:r w:rsidRPr="0032583B" w:rsidR="0038195C">
        <w:t>L</w:t>
      </w:r>
      <w:r w:rsidRPr="0032583B">
        <w:t xml:space="preserve">eave, the PUCO </w:t>
      </w:r>
      <w:r w:rsidRPr="0032583B" w:rsidR="00797035">
        <w:t xml:space="preserve">should </w:t>
      </w:r>
      <w:r w:rsidRPr="0032583B">
        <w:t xml:space="preserve">reject Duke’s motion. </w:t>
      </w:r>
      <w:r w:rsidRPr="0032583B" w:rsidR="00797035">
        <w:t>The PUCO</w:t>
      </w:r>
      <w:r w:rsidRPr="0032583B">
        <w:t xml:space="preserve"> should adopt the recommendations made in the OCC Reply Comments and instruct Duke to comply with PUCO rules and accurately report major events and other reporting characteristics in the PUCO required annual reliability reports.</w:t>
      </w:r>
      <w:r>
        <w:rPr>
          <w:vertAlign w:val="superscript"/>
        </w:rPr>
        <w:footnoteReference w:id="17"/>
      </w:r>
      <w:r w:rsidRPr="0032583B">
        <w:t xml:space="preserve"> </w:t>
      </w:r>
    </w:p>
    <w:p w:rsidR="0027585E" w:rsidRPr="0032583B" w:rsidP="00492845" w14:paraId="67625CE9" w14:textId="0B8717D6">
      <w:pPr>
        <w:spacing w:line="480" w:lineRule="auto"/>
        <w:ind w:firstLine="720"/>
      </w:pPr>
      <w:r w:rsidRPr="0032583B">
        <w:t>The PUCO rules require Duke to file an annual reliability report by March thirty-first of each year.</w:t>
      </w:r>
      <w:r>
        <w:rPr>
          <w:vertAlign w:val="superscript"/>
        </w:rPr>
        <w:footnoteReference w:id="18"/>
      </w:r>
      <w:r w:rsidRPr="0032583B">
        <w:t xml:space="preserve"> PUCO rules set forth the minimum specific informational requirements that must be contained in that annual report. </w:t>
      </w:r>
      <w:r w:rsidRPr="0032583B" w:rsidR="00797035">
        <w:t>M</w:t>
      </w:r>
      <w:r w:rsidRPr="0032583B">
        <w:t xml:space="preserve">ajor events and transmission outages are to be separately reported along with other characteristics in the annual reliability report as follows: </w:t>
      </w:r>
    </w:p>
    <w:p w:rsidR="0027585E" w:rsidRPr="0032583B" w:rsidP="00492845" w14:paraId="439348C3" w14:textId="71CE58E8">
      <w:pPr>
        <w:ind w:left="1440" w:right="1440"/>
      </w:pPr>
      <w:r w:rsidRPr="0032583B">
        <w:t>* * *</w:t>
      </w:r>
    </w:p>
    <w:p w:rsidR="0027585E" w:rsidRPr="0032583B" w:rsidP="00492845" w14:paraId="045B2CD2" w14:textId="69124A89">
      <w:pPr>
        <w:ind w:left="1440" w:right="1440"/>
      </w:pPr>
      <w:r w:rsidRPr="0032583B">
        <w:t xml:space="preserve">(1) Annual performance and supporting data for each service reliability index set forth in paragraph (B) of this rule both with and without exclusions </w:t>
      </w:r>
      <w:r w:rsidRPr="0032583B">
        <w:rPr>
          <w:i/>
          <w:iCs/>
        </w:rPr>
        <w:t>for major events and transmission outages</w:t>
      </w:r>
      <w:r w:rsidRPr="0032583B">
        <w:t>. Supporting data includes, for example, the number of customers served, the number of customer interruptions, the number of customer minutes interrupted, SAIFI data for a major event, CAIDI data for a major event, information concerning a transmission interruption, and a listing of distribution circuits interrupted during a transmission interruption</w:t>
      </w:r>
      <w:r w:rsidRPr="0032583B" w:rsidR="00A864C8">
        <w:t>.</w:t>
      </w:r>
    </w:p>
    <w:p w:rsidR="005D5C62" w:rsidRPr="0032583B" w:rsidP="00492845" w14:paraId="2FC22E78" w14:textId="77777777">
      <w:pPr>
        <w:ind w:left="1440" w:right="1440"/>
      </w:pPr>
    </w:p>
    <w:p w:rsidR="0027585E" w:rsidRPr="0032583B" w:rsidP="00492845" w14:paraId="38D32ECF" w14:textId="5027BB99">
      <w:pPr>
        <w:ind w:left="1440" w:right="1440"/>
      </w:pPr>
      <w:r w:rsidRPr="0032583B">
        <w:t xml:space="preserve">(2) Performance on the same indices </w:t>
      </w:r>
      <w:r w:rsidRPr="0032583B">
        <w:rPr>
          <w:i/>
          <w:iCs/>
        </w:rPr>
        <w:t>during major events and transmission outages</w:t>
      </w:r>
      <w:r w:rsidRPr="0032583B">
        <w:t>, reported in separate categories with their respective supporting data.</w:t>
      </w:r>
    </w:p>
    <w:p w:rsidR="005D5C62" w:rsidRPr="0032583B" w:rsidP="00492845" w14:paraId="372FA96D" w14:textId="77777777">
      <w:pPr>
        <w:ind w:left="1440" w:right="1440"/>
      </w:pPr>
    </w:p>
    <w:p w:rsidR="005D5C62" w:rsidP="00F615CC" w14:paraId="264BDAD3" w14:textId="2983549B">
      <w:pPr>
        <w:ind w:left="1440" w:right="1440"/>
      </w:pPr>
      <w:r w:rsidRPr="0032583B">
        <w:t>(3) Data for the total number of sustained outages, customers interrupted, and customer minutes interrupted for each outage cause code, all of which shall be reported in the following versions:</w:t>
      </w:r>
    </w:p>
    <w:p w:rsidR="00F615CC" w:rsidRPr="0032583B" w:rsidP="00F615CC" w14:paraId="0B9A17BB" w14:textId="77777777">
      <w:pPr>
        <w:ind w:left="1440" w:right="1440"/>
      </w:pPr>
    </w:p>
    <w:p w:rsidR="0027585E" w:rsidRPr="0032583B" w:rsidP="00492845" w14:paraId="55115B7C" w14:textId="210A6184">
      <w:pPr>
        <w:ind w:left="2160" w:right="1440"/>
      </w:pPr>
      <w:r w:rsidRPr="0032583B">
        <w:t xml:space="preserve">(a) </w:t>
      </w:r>
      <w:r w:rsidRPr="0032583B">
        <w:rPr>
          <w:i/>
          <w:iCs/>
        </w:rPr>
        <w:t>Data excluding major events and transmission outages</w:t>
      </w:r>
      <w:r w:rsidRPr="0032583B" w:rsidR="00A864C8">
        <w:rPr>
          <w:i/>
          <w:iCs/>
        </w:rPr>
        <w:t>.</w:t>
      </w:r>
    </w:p>
    <w:p w:rsidR="0027585E" w:rsidRPr="0032583B" w:rsidP="00492845" w14:paraId="15EF957E" w14:textId="4D90463B">
      <w:pPr>
        <w:ind w:left="2160" w:right="1440"/>
      </w:pPr>
      <w:r w:rsidRPr="0032583B">
        <w:t xml:space="preserve">(b) </w:t>
      </w:r>
      <w:r w:rsidRPr="0032583B">
        <w:rPr>
          <w:i/>
          <w:iCs/>
        </w:rPr>
        <w:t>Data for major events only</w:t>
      </w:r>
      <w:r w:rsidRPr="0032583B">
        <w:t>.</w:t>
      </w:r>
    </w:p>
    <w:p w:rsidR="0027585E" w:rsidRPr="0032583B" w:rsidP="00492845" w14:paraId="2346B667" w14:textId="42AE5AC6">
      <w:pPr>
        <w:ind w:left="2160" w:right="1440"/>
        <w:rPr>
          <w:i/>
          <w:iCs/>
        </w:rPr>
      </w:pPr>
      <w:r w:rsidRPr="0032583B">
        <w:rPr>
          <w:i/>
          <w:iCs/>
        </w:rPr>
        <w:t>(c) Data for transmission outages only</w:t>
      </w:r>
      <w:r w:rsidRPr="0032583B" w:rsidR="00B902DF">
        <w:rPr>
          <w:i/>
          <w:iCs/>
        </w:rPr>
        <w:t>.</w:t>
      </w:r>
      <w:r>
        <w:rPr>
          <w:i/>
          <w:iCs/>
          <w:vertAlign w:val="superscript"/>
        </w:rPr>
        <w:footnoteReference w:id="19"/>
      </w:r>
    </w:p>
    <w:p w:rsidR="00DA0819" w:rsidRPr="0032583B" w:rsidP="00492845" w14:paraId="6C361067" w14:textId="77777777">
      <w:pPr>
        <w:ind w:left="1440" w:right="1440"/>
      </w:pPr>
    </w:p>
    <w:p w:rsidR="00A864C8" w:rsidRPr="0032583B" w:rsidP="00492845" w14:paraId="119C0B40" w14:textId="65EA651E">
      <w:pPr>
        <w:ind w:left="1440" w:right="1440"/>
      </w:pPr>
      <w:r w:rsidRPr="0032583B">
        <w:t>(Emphasis added.)</w:t>
      </w:r>
    </w:p>
    <w:p w:rsidR="005D5C62" w:rsidRPr="0032583B" w:rsidP="00492845" w14:paraId="46C36D0E" w14:textId="77777777">
      <w:pPr>
        <w:ind w:left="1440" w:right="1440"/>
      </w:pPr>
    </w:p>
    <w:p w:rsidR="00206E6B" w:rsidRPr="0032583B" w:rsidP="000A24A3" w14:paraId="03209030" w14:textId="0AC12785">
      <w:pPr>
        <w:spacing w:line="480" w:lineRule="auto"/>
        <w:ind w:firstLine="720"/>
      </w:pPr>
      <w:r w:rsidRPr="0032583B">
        <w:t>Duke’s annual reliability report for 2022 does not reflect a major event having occurred on November 5, 2022.</w:t>
      </w:r>
      <w:r>
        <w:rPr>
          <w:vertAlign w:val="superscript"/>
        </w:rPr>
        <w:footnoteReference w:id="20"/>
      </w:r>
      <w:r w:rsidRPr="0032583B">
        <w:t xml:space="preserve"> Yet the Company is seeking collection of costs through </w:t>
      </w:r>
      <w:r w:rsidRPr="0032583B" w:rsidR="006A332B">
        <w:t xml:space="preserve">Rider </w:t>
      </w:r>
      <w:r w:rsidRPr="0032583B">
        <w:t xml:space="preserve">DSR for a major event that supposedly occurred that day. </w:t>
      </w:r>
      <w:r w:rsidRPr="0032583B" w:rsidR="00B902DF">
        <w:t xml:space="preserve">Duke therefore cannot collect from consumers costs associated with the November 5, 2022 storm. </w:t>
      </w:r>
    </w:p>
    <w:p w:rsidR="00552090" w:rsidRPr="0032583B" w:rsidP="000A24A3" w14:paraId="123DE168" w14:textId="77777777">
      <w:pPr>
        <w:spacing w:line="480" w:lineRule="auto"/>
        <w:ind w:firstLine="720"/>
        <w:rPr>
          <w:rFonts w:eastAsia="Calibri"/>
        </w:rPr>
      </w:pPr>
      <w:r w:rsidRPr="0032583B">
        <w:rPr>
          <w:rFonts w:eastAsia="Calibri"/>
        </w:rPr>
        <w:t xml:space="preserve">It is clear </w:t>
      </w:r>
      <w:r w:rsidRPr="0032583B" w:rsidR="00206E6B">
        <w:rPr>
          <w:rFonts w:eastAsia="Calibri"/>
        </w:rPr>
        <w:t xml:space="preserve">Duke misapprehends the importance of the annual reliability report to its 600,000 residential consumers and their consumer advocate, the OCC. The </w:t>
      </w:r>
      <w:r w:rsidRPr="0032583B" w:rsidR="00206E6B">
        <w:t>annual distribution reliability report</w:t>
      </w:r>
      <w:r w:rsidRPr="0032583B" w:rsidR="00206E6B">
        <w:rPr>
          <w:rFonts w:eastAsia="Calibri"/>
        </w:rPr>
        <w:t xml:space="preserve"> is intended to serve as the single source that can be relied upon by the public to determine if reliability performance conforms with the PUCO reliability standards. </w:t>
      </w:r>
      <w:r w:rsidRPr="0032583B">
        <w:rPr>
          <w:rFonts w:eastAsia="Calibri"/>
        </w:rPr>
        <w:t>In other words, are consumers receiving reliable service?</w:t>
      </w:r>
    </w:p>
    <w:p w:rsidR="00206E6B" w:rsidRPr="0032583B" w:rsidP="000A24A3" w14:paraId="46AF3D18" w14:textId="026C5D24">
      <w:pPr>
        <w:spacing w:line="480" w:lineRule="auto"/>
        <w:ind w:firstLine="720"/>
        <w:rPr>
          <w:rFonts w:eastAsia="Calibri"/>
        </w:rPr>
      </w:pPr>
      <w:r w:rsidRPr="0032583B">
        <w:rPr>
          <w:rFonts w:eastAsia="Calibri"/>
        </w:rPr>
        <w:t xml:space="preserve">Inaccurate or incomplete reporting of reliability data in the </w:t>
      </w:r>
      <w:r w:rsidRPr="0032583B">
        <w:t>annual distribution reliability report</w:t>
      </w:r>
      <w:r w:rsidRPr="0032583B">
        <w:rPr>
          <w:rFonts w:eastAsia="Calibri"/>
        </w:rPr>
        <w:t xml:space="preserve"> distorts the public view of the reliability consumers are receiving. Duke’s inaccurate or incomplete reporting of reliability data contradicts Ohio policy regarding the development of performance standards to measure service quality, and to provide written reports that demonstrate the achievement against those standards in plain English.</w:t>
      </w:r>
      <w:r>
        <w:rPr>
          <w:rFonts w:eastAsia="Calibri"/>
          <w:vertAlign w:val="superscript"/>
        </w:rPr>
        <w:footnoteReference w:id="21"/>
      </w:r>
    </w:p>
    <w:p w:rsidR="00227D54" w:rsidRPr="0032583B" w:rsidP="00227D54" w14:paraId="330DA2C2" w14:textId="77777777">
      <w:pPr>
        <w:ind w:firstLine="720"/>
      </w:pPr>
    </w:p>
    <w:p w:rsidR="00DC5F31" w:rsidRPr="0032583B" w:rsidP="00DC5F31" w14:paraId="0521B723" w14:textId="260F04DD">
      <w:pPr>
        <w:spacing w:line="480" w:lineRule="auto"/>
      </w:pPr>
      <w:r w:rsidRPr="0032583B">
        <w:rPr>
          <w:rStyle w:val="Heading1Char"/>
          <w:rFonts w:ascii="Times New Roman" w:hAnsi="Times New Roman"/>
          <w:kern w:val="0"/>
          <w:szCs w:val="24"/>
        </w:rPr>
        <w:t>III.</w:t>
      </w:r>
      <w:r w:rsidRPr="0032583B">
        <w:rPr>
          <w:rStyle w:val="Heading1Char"/>
          <w:rFonts w:ascii="Times New Roman" w:hAnsi="Times New Roman"/>
          <w:kern w:val="0"/>
          <w:szCs w:val="24"/>
        </w:rPr>
        <w:tab/>
        <w:t>CONCLUSION</w:t>
      </w:r>
      <w:bookmarkStart w:id="11" w:name="_Hlk20052913"/>
      <w:r w:rsidRPr="0032583B">
        <w:rPr>
          <w:rStyle w:val="Heading1Char"/>
          <w:rFonts w:ascii="Times New Roman" w:hAnsi="Times New Roman"/>
          <w:kern w:val="0"/>
          <w:szCs w:val="24"/>
        </w:rPr>
        <w:br/>
      </w:r>
      <w:r w:rsidRPr="0032583B">
        <w:tab/>
        <w:t xml:space="preserve">Duke’s self-styled Motion </w:t>
      </w:r>
      <w:r w:rsidRPr="0032583B" w:rsidR="00A864C8">
        <w:t>f</w:t>
      </w:r>
      <w:r w:rsidRPr="0032583B">
        <w:t xml:space="preserve">or Leave to File Surreply Comments is out-of-order and wholly unauthorized by rule and the PUCO’s scheduling order in this matter. </w:t>
      </w:r>
      <w:r w:rsidRPr="0032583B" w:rsidR="00B902DF">
        <w:t>Further</w:t>
      </w:r>
      <w:r w:rsidRPr="0032583B">
        <w:t xml:space="preserve">, Duke’s Surreply Comments do not reply to anything in OCC’s </w:t>
      </w:r>
      <w:r w:rsidRPr="0032583B">
        <w:t>Reply Comments</w:t>
      </w:r>
      <w:r w:rsidRPr="0032583B" w:rsidR="00B902DF">
        <w:t>. They</w:t>
      </w:r>
      <w:r w:rsidRPr="0032583B">
        <w:t xml:space="preserve"> are merely an excuse for failing to adhere to the PUCO’s rules for reporting annual power outages under PUCO rules. </w:t>
      </w:r>
    </w:p>
    <w:p w:rsidR="00DC5F31" w:rsidRPr="0032583B" w:rsidP="00DC5F31" w14:paraId="3E3D7ADE" w14:textId="71250783">
      <w:pPr>
        <w:spacing w:line="480" w:lineRule="auto"/>
      </w:pPr>
      <w:r w:rsidRPr="0032583B">
        <w:tab/>
      </w:r>
      <w:r w:rsidRPr="0032583B" w:rsidR="00BD3D33">
        <w:t>F</w:t>
      </w:r>
      <w:r w:rsidRPr="0032583B" w:rsidR="00A864C8">
        <w:t xml:space="preserve">or the benefit of Duke’s 600,00 residential consumers </w:t>
      </w:r>
      <w:r w:rsidRPr="0032583B" w:rsidR="00BD3D33">
        <w:t>t</w:t>
      </w:r>
      <w:r w:rsidRPr="0032583B">
        <w:t xml:space="preserve">he PUCO should reject Duke’s Motion and adopt the initial recommendation of </w:t>
      </w:r>
      <w:r w:rsidRPr="0032583B" w:rsidR="00B902DF">
        <w:t xml:space="preserve">the </w:t>
      </w:r>
      <w:r w:rsidRPr="0032583B">
        <w:t>PUCO Staff</w:t>
      </w:r>
      <w:r w:rsidRPr="0032583B" w:rsidR="00B902DF">
        <w:t xml:space="preserve">, </w:t>
      </w:r>
      <w:r w:rsidRPr="0032583B">
        <w:t>reducing charges collected from consumers by $84,066.02 and specifically disallowing the $79,085.75 in storm costs for Rider DSR.</w:t>
      </w:r>
    </w:p>
    <w:p w:rsidR="00D87351" w:rsidRPr="0032583B" w:rsidP="00DC5F31" w14:paraId="294A0631" w14:textId="55E145BE">
      <w:pPr>
        <w:spacing w:line="480" w:lineRule="auto"/>
        <w:ind w:left="3240" w:firstLine="720"/>
      </w:pPr>
      <w:r w:rsidRPr="0032583B">
        <w:t>Respectfully submitted,</w:t>
      </w:r>
    </w:p>
    <w:p w:rsidR="006B6A87" w:rsidRPr="0032583B" w:rsidP="006B6A87" w14:paraId="72B71B4E" w14:textId="2F6EB5BB">
      <w:pPr>
        <w:ind w:left="3960"/>
      </w:pPr>
      <w:r w:rsidRPr="0032583B">
        <w:t xml:space="preserve">Maureen </w:t>
      </w:r>
      <w:r w:rsidRPr="0032583B" w:rsidR="00BD3D33">
        <w:t xml:space="preserve">R. </w:t>
      </w:r>
      <w:r w:rsidRPr="0032583B">
        <w:t>Willis (</w:t>
      </w:r>
      <w:r w:rsidRPr="0032583B" w:rsidR="00BD3D33">
        <w:t>0020847</w:t>
      </w:r>
      <w:r w:rsidRPr="0032583B">
        <w:t>)</w:t>
      </w:r>
    </w:p>
    <w:p w:rsidR="006B6A87" w:rsidRPr="0032583B" w:rsidP="006B6A87" w14:paraId="759F6EE7" w14:textId="72D90670">
      <w:pPr>
        <w:ind w:left="3960"/>
      </w:pPr>
      <w:r w:rsidRPr="0032583B">
        <w:t>Ohio Consumers</w:t>
      </w:r>
      <w:r w:rsidRPr="0032583B" w:rsidR="00886ADA">
        <w:t>’</w:t>
      </w:r>
      <w:r w:rsidRPr="0032583B">
        <w:t xml:space="preserve"> Counsel</w:t>
      </w:r>
    </w:p>
    <w:p w:rsidR="006B6A87" w:rsidRPr="0032583B" w:rsidP="006B6A87" w14:paraId="006E7F98" w14:textId="77777777">
      <w:pPr>
        <w:ind w:left="4320"/>
      </w:pPr>
    </w:p>
    <w:p w:rsidR="00AC5127" w:rsidRPr="0032583B" w:rsidP="000611EB" w14:paraId="4A3FA674" w14:textId="3A609E13">
      <w:pPr>
        <w:tabs>
          <w:tab w:val="left" w:pos="4320"/>
        </w:tabs>
        <w:ind w:firstLine="3960"/>
        <w:rPr>
          <w:i/>
          <w:iCs/>
          <w:color w:val="000000"/>
          <w:u w:val="single"/>
        </w:rPr>
      </w:pPr>
      <w:r w:rsidRPr="0032583B">
        <w:rPr>
          <w:i/>
          <w:iCs/>
          <w:color w:val="000000"/>
          <w:u w:val="single"/>
        </w:rPr>
        <w:t>/s/ William J. Michael</w:t>
      </w:r>
    </w:p>
    <w:p w:rsidR="00AC5127" w:rsidRPr="0032583B" w:rsidP="00AC5127" w14:paraId="06E17DB2" w14:textId="77777777">
      <w:pPr>
        <w:tabs>
          <w:tab w:val="center" w:pos="4680"/>
          <w:tab w:val="right" w:pos="9360"/>
        </w:tabs>
        <w:ind w:left="3960"/>
        <w:rPr>
          <w:rFonts w:eastAsiaTheme="minorHAnsi"/>
        </w:rPr>
      </w:pPr>
      <w:r w:rsidRPr="0032583B">
        <w:rPr>
          <w:rFonts w:eastAsiaTheme="minorHAnsi"/>
        </w:rPr>
        <w:t>William J. Michael (0070921)</w:t>
      </w:r>
    </w:p>
    <w:p w:rsidR="00AC5127" w:rsidRPr="0032583B" w:rsidP="00AC5127" w14:paraId="139FC911" w14:textId="77777777">
      <w:pPr>
        <w:tabs>
          <w:tab w:val="center" w:pos="4680"/>
          <w:tab w:val="right" w:pos="9360"/>
        </w:tabs>
        <w:ind w:left="3960"/>
        <w:rPr>
          <w:rFonts w:eastAsiaTheme="minorHAnsi"/>
        </w:rPr>
      </w:pPr>
      <w:r w:rsidRPr="0032583B">
        <w:rPr>
          <w:rFonts w:eastAsiaTheme="minorHAnsi"/>
        </w:rPr>
        <w:t>Counsel of Record</w:t>
      </w:r>
    </w:p>
    <w:p w:rsidR="00AC5127" w:rsidRPr="0032583B" w:rsidP="00AC5127" w14:paraId="73F15BE0" w14:textId="77777777">
      <w:pPr>
        <w:tabs>
          <w:tab w:val="center" w:pos="4680"/>
          <w:tab w:val="right" w:pos="9360"/>
        </w:tabs>
        <w:ind w:left="3960"/>
        <w:rPr>
          <w:rFonts w:eastAsiaTheme="minorHAnsi"/>
        </w:rPr>
      </w:pPr>
      <w:r w:rsidRPr="0032583B">
        <w:rPr>
          <w:rFonts w:eastAsiaTheme="minorHAnsi"/>
        </w:rPr>
        <w:t>Assistant Consumers’ Counsel</w:t>
      </w:r>
    </w:p>
    <w:p w:rsidR="00AC5127" w:rsidRPr="0032583B" w:rsidP="00AC5127" w14:paraId="0D5EA441" w14:textId="77777777">
      <w:pPr>
        <w:tabs>
          <w:tab w:val="center" w:pos="4680"/>
          <w:tab w:val="right" w:pos="9360"/>
        </w:tabs>
        <w:ind w:left="3960"/>
        <w:rPr>
          <w:rFonts w:eastAsiaTheme="minorHAnsi"/>
        </w:rPr>
      </w:pPr>
    </w:p>
    <w:p w:rsidR="00AC5127" w:rsidRPr="0032583B" w:rsidP="00AC5127" w14:paraId="02CFF91B" w14:textId="77777777">
      <w:pPr>
        <w:tabs>
          <w:tab w:val="center" w:pos="4680"/>
          <w:tab w:val="right" w:pos="9360"/>
        </w:tabs>
        <w:ind w:left="3960"/>
        <w:rPr>
          <w:rFonts w:eastAsiaTheme="minorHAnsi"/>
          <w:b/>
          <w:bCs/>
        </w:rPr>
      </w:pPr>
      <w:r w:rsidRPr="0032583B">
        <w:rPr>
          <w:rFonts w:eastAsiaTheme="minorHAnsi"/>
          <w:b/>
          <w:bCs/>
        </w:rPr>
        <w:t>Office of the Ohio Consumers’ Counsel</w:t>
      </w:r>
    </w:p>
    <w:p w:rsidR="00AC5127" w:rsidRPr="0032583B" w:rsidP="00AC5127" w14:paraId="7F9429B7" w14:textId="77777777">
      <w:pPr>
        <w:tabs>
          <w:tab w:val="center" w:pos="4680"/>
          <w:tab w:val="right" w:pos="9360"/>
        </w:tabs>
        <w:ind w:left="3960"/>
        <w:rPr>
          <w:rFonts w:eastAsiaTheme="minorHAnsi"/>
          <w:b/>
        </w:rPr>
      </w:pPr>
      <w:r w:rsidRPr="0032583B">
        <w:rPr>
          <w:rFonts w:eastAsiaTheme="minorHAnsi"/>
        </w:rPr>
        <w:t>65 East State Street, Suite 700</w:t>
      </w:r>
    </w:p>
    <w:p w:rsidR="00AC5127" w:rsidRPr="0032583B" w:rsidP="00AC5127" w14:paraId="7211586D" w14:textId="77777777">
      <w:pPr>
        <w:tabs>
          <w:tab w:val="center" w:pos="4680"/>
          <w:tab w:val="right" w:pos="9360"/>
        </w:tabs>
        <w:ind w:left="3960"/>
        <w:rPr>
          <w:rFonts w:eastAsiaTheme="minorHAnsi"/>
          <w:b/>
        </w:rPr>
      </w:pPr>
      <w:r w:rsidRPr="0032583B">
        <w:rPr>
          <w:rFonts w:eastAsiaTheme="minorHAnsi"/>
        </w:rPr>
        <w:t>Columbus, Ohio 43215</w:t>
      </w:r>
    </w:p>
    <w:p w:rsidR="00AC5127" w:rsidRPr="0032583B" w:rsidP="00AC5127" w14:paraId="1E7A439D" w14:textId="77777777">
      <w:pPr>
        <w:tabs>
          <w:tab w:val="center" w:pos="4680"/>
          <w:tab w:val="right" w:pos="9360"/>
        </w:tabs>
        <w:ind w:left="3960"/>
        <w:rPr>
          <w:rFonts w:eastAsiaTheme="minorHAnsi"/>
        </w:rPr>
      </w:pPr>
      <w:r w:rsidRPr="0032583B">
        <w:rPr>
          <w:rFonts w:eastAsiaTheme="minorHAnsi"/>
        </w:rPr>
        <w:t>Telephone [Michael]: (614) 466-1291</w:t>
      </w:r>
    </w:p>
    <w:p w:rsidR="003F6CF8" w:rsidRPr="0032583B" w:rsidP="00AC5127" w14:paraId="57DFD5C4" w14:textId="77777777">
      <w:pPr>
        <w:tabs>
          <w:tab w:val="center" w:pos="4680"/>
          <w:tab w:val="right" w:pos="9360"/>
        </w:tabs>
        <w:ind w:left="3960"/>
        <w:rPr>
          <w:rFonts w:eastAsiaTheme="minorHAnsi"/>
        </w:rPr>
      </w:pPr>
      <w:hyperlink r:id="rId6" w:history="1">
        <w:r w:rsidRPr="0032583B" w:rsidR="00AC5127">
          <w:rPr>
            <w:rStyle w:val="Hyperlink"/>
            <w:rFonts w:eastAsiaTheme="minorHAnsi"/>
          </w:rPr>
          <w:t>william.michael@occ.ohio.gov</w:t>
        </w:r>
      </w:hyperlink>
      <w:r w:rsidRPr="0032583B" w:rsidR="00AC5127">
        <w:rPr>
          <w:rFonts w:eastAsiaTheme="minorHAnsi"/>
        </w:rPr>
        <w:t xml:space="preserve"> </w:t>
      </w:r>
    </w:p>
    <w:p w:rsidR="00D87351" w:rsidRPr="0032583B" w:rsidP="00AC5127" w14:paraId="0F28EBF0" w14:textId="117BDD27">
      <w:pPr>
        <w:tabs>
          <w:tab w:val="center" w:pos="4680"/>
          <w:tab w:val="right" w:pos="9360"/>
        </w:tabs>
        <w:ind w:left="3960"/>
        <w:rPr>
          <w:rFonts w:eastAsiaTheme="minorHAnsi"/>
        </w:rPr>
      </w:pPr>
      <w:r w:rsidRPr="0032583B">
        <w:rPr>
          <w:rFonts w:eastAsiaTheme="minorHAnsi"/>
        </w:rPr>
        <w:t>(willing to accept service by e-mail)</w:t>
      </w:r>
    </w:p>
    <w:p w:rsidR="00D91CD9" w:rsidRPr="0032583B" w:rsidP="00D87351" w14:paraId="6A08784F" w14:textId="77777777">
      <w:pPr>
        <w:ind w:left="4320"/>
      </w:pPr>
    </w:p>
    <w:bookmarkEnd w:id="11"/>
    <w:p w:rsidR="00FF6483" w:rsidRPr="0032583B" w:rsidP="008A6192" w14:paraId="4F4C6254" w14:textId="1B799E21">
      <w:pPr>
        <w:widowControl w:val="0"/>
        <w:tabs>
          <w:tab w:val="center" w:pos="4680"/>
          <w:tab w:val="right" w:pos="9360"/>
        </w:tabs>
        <w:ind w:left="3960"/>
        <w:rPr>
          <w:rFonts w:eastAsiaTheme="minorHAnsi"/>
          <w:iCs/>
        </w:rPr>
      </w:pPr>
      <w:r w:rsidRPr="0032583B">
        <w:rPr>
          <w:rFonts w:eastAsiaTheme="minorHAnsi"/>
          <w:iCs/>
        </w:rPr>
        <w:br w:type="page"/>
      </w:r>
    </w:p>
    <w:p w:rsidR="00FF6483" w:rsidRPr="0032583B" w:rsidP="007739C1" w14:paraId="25B69775" w14:textId="77777777">
      <w:pPr>
        <w:spacing w:line="480" w:lineRule="auto"/>
        <w:jc w:val="center"/>
        <w:rPr>
          <w:b/>
          <w:u w:val="single"/>
        </w:rPr>
      </w:pPr>
      <w:r w:rsidRPr="0032583B">
        <w:rPr>
          <w:b/>
          <w:u w:val="single"/>
        </w:rPr>
        <w:t>CERTIFICATE OF SERVICE</w:t>
      </w:r>
    </w:p>
    <w:p w:rsidR="00307F0F" w:rsidRPr="0032583B" w:rsidP="007B284A" w14:paraId="13699E05" w14:textId="02A26CC1">
      <w:pPr>
        <w:spacing w:line="480" w:lineRule="auto"/>
      </w:pPr>
      <w:bookmarkStart w:id="12" w:name="_Toc20390392"/>
      <w:bookmarkStart w:id="13" w:name="_Toc20390523"/>
      <w:bookmarkStart w:id="14" w:name="_Toc20391399"/>
      <w:r w:rsidRPr="0032583B">
        <w:tab/>
      </w:r>
      <w:r w:rsidRPr="0032583B" w:rsidR="001A532C">
        <w:t xml:space="preserve">I hereby certify that a copy of the foregoing Memorandum Contra </w:t>
      </w:r>
      <w:r w:rsidRPr="0032583B" w:rsidR="00AC5127">
        <w:t>Duke Energy Ohio, Inc’s Motion for Leave to File Surreply Comments</w:t>
      </w:r>
      <w:r w:rsidRPr="0032583B" w:rsidR="001E212E">
        <w:t xml:space="preserve"> (That Is Unauthorized)</w:t>
      </w:r>
      <w:r w:rsidRPr="0032583B" w:rsidR="001A532C">
        <w:t xml:space="preserve"> </w:t>
      </w:r>
      <w:r w:rsidRPr="0032583B" w:rsidR="00FF6483">
        <w:t xml:space="preserve">was served via </w:t>
      </w:r>
      <w:r w:rsidRPr="0032583B" w:rsidR="00AC5127">
        <w:t>e</w:t>
      </w:r>
      <w:r w:rsidRPr="0032583B" w:rsidR="00FF6483">
        <w:t xml:space="preserve">lectronic </w:t>
      </w:r>
      <w:r w:rsidRPr="0032583B" w:rsidR="001A532C">
        <w:t>transmission upon the parties this</w:t>
      </w:r>
      <w:r w:rsidRPr="0032583B" w:rsidR="00F6071D">
        <w:t xml:space="preserve"> 3</w:t>
      </w:r>
      <w:r w:rsidRPr="0032583B" w:rsidR="00F6071D">
        <w:rPr>
          <w:vertAlign w:val="superscript"/>
        </w:rPr>
        <w:t>rd</w:t>
      </w:r>
      <w:r w:rsidRPr="0032583B" w:rsidR="00F6071D">
        <w:t xml:space="preserve"> </w:t>
      </w:r>
      <w:r w:rsidRPr="0032583B" w:rsidR="001A532C">
        <w:t>day of</w:t>
      </w:r>
      <w:r w:rsidRPr="0032583B" w:rsidR="00DA395E">
        <w:t xml:space="preserve"> </w:t>
      </w:r>
      <w:r w:rsidRPr="0032583B" w:rsidR="007B284A">
        <w:t>October</w:t>
      </w:r>
      <w:r w:rsidRPr="0032583B" w:rsidR="001A532C">
        <w:t xml:space="preserve"> 20</w:t>
      </w:r>
      <w:r w:rsidRPr="0032583B" w:rsidR="00DA395E">
        <w:t>2</w:t>
      </w:r>
      <w:r w:rsidRPr="0032583B" w:rsidR="00C81B26">
        <w:t>3</w:t>
      </w:r>
      <w:r w:rsidRPr="0032583B" w:rsidR="001A532C">
        <w:t>.</w:t>
      </w:r>
      <w:bookmarkEnd w:id="12"/>
      <w:bookmarkEnd w:id="13"/>
      <w:bookmarkEnd w:id="14"/>
      <w:r w:rsidRPr="0032583B" w:rsidR="009B5B05">
        <w:t xml:space="preserve"> </w:t>
      </w:r>
    </w:p>
    <w:p w:rsidR="007B284A" w:rsidRPr="0032583B" w:rsidP="007B284A" w14:paraId="638EE885" w14:textId="20B358A7">
      <w:pPr>
        <w:ind w:left="4320"/>
      </w:pPr>
      <w:r w:rsidRPr="0032583B">
        <w:rPr>
          <w:i/>
          <w:u w:val="single"/>
        </w:rPr>
        <w:t>/s/ William J. Michael</w:t>
      </w:r>
    </w:p>
    <w:p w:rsidR="007B284A" w:rsidRPr="0032583B" w:rsidP="007B284A" w14:paraId="7C7B1519" w14:textId="77777777">
      <w:pPr>
        <w:tabs>
          <w:tab w:val="left" w:pos="4320"/>
        </w:tabs>
      </w:pPr>
      <w:r w:rsidRPr="0032583B">
        <w:tab/>
        <w:t>William J. Michael</w:t>
      </w:r>
    </w:p>
    <w:p w:rsidR="007B284A" w:rsidRPr="0032583B" w:rsidP="007B284A" w14:paraId="18E557AC" w14:textId="77777777">
      <w:pPr>
        <w:tabs>
          <w:tab w:val="left" w:pos="4320"/>
        </w:tabs>
      </w:pPr>
      <w:r w:rsidRPr="0032583B">
        <w:tab/>
        <w:t>Assistant Consumers’ Counsel</w:t>
      </w:r>
    </w:p>
    <w:p w:rsidR="00FF6483" w:rsidRPr="0032583B" w:rsidP="00FF6483" w14:paraId="10A0E277" w14:textId="77777777">
      <w:pPr>
        <w:pStyle w:val="CommentText"/>
        <w:jc w:val="center"/>
        <w:rPr>
          <w:b/>
          <w:szCs w:val="24"/>
          <w:u w:val="single"/>
        </w:rPr>
      </w:pPr>
    </w:p>
    <w:p w:rsidR="00FF6483" w:rsidRPr="0032583B" w:rsidP="00FF6483" w14:paraId="071CB405" w14:textId="5F4DE334">
      <w:pPr>
        <w:pStyle w:val="CommentText"/>
        <w:rPr>
          <w:szCs w:val="24"/>
        </w:rPr>
      </w:pPr>
      <w:r w:rsidRPr="0032583B">
        <w:rPr>
          <w:szCs w:val="24"/>
        </w:rPr>
        <w:t>The PUCO</w:t>
      </w:r>
      <w:r w:rsidRPr="0032583B" w:rsidR="00886ADA">
        <w:rPr>
          <w:szCs w:val="24"/>
        </w:rPr>
        <w:t>’</w:t>
      </w:r>
      <w:r w:rsidRPr="0032583B">
        <w:rPr>
          <w:szCs w:val="24"/>
        </w:rPr>
        <w:t>s e-filing system will electronically serve notice of the filing of this document on the following parties:</w:t>
      </w:r>
    </w:p>
    <w:p w:rsidR="00FF6483" w:rsidRPr="0032583B" w:rsidP="00FF6483" w14:paraId="7332CD8C" w14:textId="77777777">
      <w:pPr>
        <w:pStyle w:val="CommentText"/>
        <w:jc w:val="center"/>
        <w:rPr>
          <w:b/>
          <w:szCs w:val="24"/>
          <w:u w:val="single"/>
        </w:rPr>
      </w:pPr>
    </w:p>
    <w:p w:rsidR="00FF6483" w:rsidRPr="0032583B" w:rsidP="00FF6483" w14:paraId="7F047ABA" w14:textId="55DFD4A5">
      <w:pPr>
        <w:pStyle w:val="CommentText"/>
        <w:jc w:val="center"/>
        <w:rPr>
          <w:b/>
          <w:szCs w:val="24"/>
          <w:u w:val="single"/>
        </w:rPr>
      </w:pPr>
      <w:r w:rsidRPr="0032583B">
        <w:rPr>
          <w:b/>
          <w:szCs w:val="24"/>
          <w:u w:val="single"/>
        </w:rPr>
        <w:t>SERVICE LIST</w:t>
      </w:r>
    </w:p>
    <w:p w:rsidR="00FF6483" w:rsidRPr="0032583B" w:rsidP="00FF6483" w14:paraId="69E52FF9" w14:textId="77777777">
      <w:pPr>
        <w:pStyle w:val="CommentText"/>
        <w:rPr>
          <w:szCs w:val="24"/>
        </w:rPr>
      </w:pPr>
    </w:p>
    <w:tbl>
      <w:tblPr>
        <w:tblW w:w="0" w:type="auto"/>
        <w:tblInd w:w="0" w:type="dxa"/>
        <w:tblCellMar>
          <w:top w:w="0" w:type="dxa"/>
          <w:left w:w="108" w:type="dxa"/>
          <w:bottom w:w="0" w:type="dxa"/>
          <w:right w:w="108" w:type="dxa"/>
        </w:tblCellMar>
        <w:tblLook w:val="01E0"/>
      </w:tblPr>
      <w:tblGrid>
        <w:gridCol w:w="4426"/>
        <w:gridCol w:w="4214"/>
      </w:tblGrid>
      <w:tr w14:paraId="558FF218" w14:textId="77777777" w:rsidTr="00C81B26">
        <w:tblPrEx>
          <w:tblW w:w="0" w:type="auto"/>
          <w:tblInd w:w="0" w:type="dxa"/>
          <w:tblCellMar>
            <w:top w:w="0" w:type="dxa"/>
            <w:left w:w="108" w:type="dxa"/>
            <w:bottom w:w="0" w:type="dxa"/>
            <w:right w:w="108" w:type="dxa"/>
          </w:tblCellMar>
          <w:tblLook w:val="01E0"/>
        </w:tblPrEx>
        <w:tc>
          <w:tcPr>
            <w:tcW w:w="4426" w:type="dxa"/>
            <w:shd w:val="clear" w:color="auto" w:fill="auto"/>
          </w:tcPr>
          <w:p w:rsidR="00C81B26" w:rsidRPr="0032583B" w:rsidP="00C81B26" w14:paraId="2CCCC902" w14:textId="77777777">
            <w:pPr>
              <w:spacing w:after="0" w:line="240" w:lineRule="auto"/>
              <w:jc w:val="both"/>
              <w:rPr>
                <w:rFonts w:ascii="Times New Roman" w:eastAsia="Times New Roman" w:hAnsi="Times New Roman" w:cs="Times New Roman"/>
                <w:sz w:val="24"/>
                <w:szCs w:val="24"/>
                <w:lang w:val="en-US" w:eastAsia="en-US" w:bidi="ar-SA"/>
              </w:rPr>
            </w:pPr>
            <w:hyperlink r:id="rId7" w:history="1">
              <w:r w:rsidRPr="0032583B">
                <w:rPr>
                  <w:rFonts w:ascii="Times New Roman" w:eastAsia="Times New Roman" w:hAnsi="Times New Roman" w:cs="Times New Roman"/>
                  <w:color w:val="0000FF"/>
                  <w:sz w:val="24"/>
                  <w:szCs w:val="24"/>
                  <w:u w:val="single"/>
                  <w:lang w:val="en-US" w:eastAsia="en-US" w:bidi="ar-SA"/>
                </w:rPr>
                <w:t>john.jones@ohioago.gov</w:t>
              </w:r>
            </w:hyperlink>
          </w:p>
          <w:p w:rsidR="00C81B26" w:rsidRPr="0032583B" w:rsidP="00C81B26" w14:paraId="47481B62" w14:textId="77777777">
            <w:pPr>
              <w:spacing w:after="0" w:line="240" w:lineRule="auto"/>
              <w:jc w:val="both"/>
              <w:rPr>
                <w:rFonts w:ascii="Times New Roman" w:eastAsia="Times New Roman" w:hAnsi="Times New Roman" w:cs="Times New Roman"/>
                <w:sz w:val="24"/>
                <w:szCs w:val="24"/>
                <w:lang w:val="en-US" w:eastAsia="en-US" w:bidi="ar-SA"/>
              </w:rPr>
            </w:pPr>
          </w:p>
          <w:p w:rsidR="00C81B26" w:rsidRPr="0032583B" w:rsidP="00C81B26" w14:paraId="344F4748" w14:textId="77777777">
            <w:pPr>
              <w:spacing w:after="0" w:line="240" w:lineRule="auto"/>
              <w:jc w:val="both"/>
              <w:rPr>
                <w:rFonts w:ascii="Times New Roman" w:eastAsia="Times New Roman" w:hAnsi="Times New Roman" w:cs="Times New Roman"/>
                <w:sz w:val="24"/>
                <w:szCs w:val="24"/>
                <w:lang w:val="en-US" w:eastAsia="en-US" w:bidi="ar-SA"/>
              </w:rPr>
            </w:pPr>
            <w:r w:rsidRPr="0032583B">
              <w:rPr>
                <w:rFonts w:ascii="Times New Roman" w:eastAsia="Times New Roman" w:hAnsi="Times New Roman" w:cs="Times New Roman"/>
                <w:sz w:val="24"/>
                <w:szCs w:val="24"/>
                <w:lang w:val="en-US" w:eastAsia="en-US" w:bidi="ar-SA"/>
              </w:rPr>
              <w:t>Attorney Examiners:</w:t>
            </w:r>
          </w:p>
          <w:p w:rsidR="00C81B26" w:rsidRPr="0032583B" w:rsidP="00C81B26" w14:paraId="606E7656" w14:textId="77777777">
            <w:pPr>
              <w:spacing w:after="0" w:line="240" w:lineRule="auto"/>
              <w:jc w:val="both"/>
              <w:rPr>
                <w:rFonts w:ascii="Times New Roman" w:eastAsia="Times New Roman" w:hAnsi="Times New Roman" w:cs="Times New Roman"/>
                <w:sz w:val="24"/>
                <w:szCs w:val="24"/>
                <w:lang w:val="en-US" w:eastAsia="en-US" w:bidi="ar-SA"/>
              </w:rPr>
            </w:pPr>
            <w:hyperlink r:id="rId8" w:history="1">
              <w:r w:rsidRPr="0032583B">
                <w:rPr>
                  <w:rFonts w:ascii="Times New Roman" w:eastAsia="Times New Roman" w:hAnsi="Times New Roman" w:cs="Times New Roman"/>
                  <w:color w:val="0000FF"/>
                  <w:sz w:val="24"/>
                  <w:szCs w:val="24"/>
                  <w:u w:val="single"/>
                  <w:lang w:val="en-US" w:eastAsia="en-US" w:bidi="ar-SA"/>
                </w:rPr>
                <w:t>matthew.sandor@puco.ohio.gov</w:t>
              </w:r>
            </w:hyperlink>
          </w:p>
          <w:p w:rsidR="00C81B26" w:rsidRPr="0032583B" w:rsidP="00C81B26" w14:paraId="08BEB1A3" w14:textId="77777777">
            <w:pPr>
              <w:spacing w:after="0" w:line="240" w:lineRule="auto"/>
              <w:jc w:val="both"/>
              <w:rPr>
                <w:rFonts w:ascii="Times New Roman" w:eastAsia="Times New Roman" w:hAnsi="Times New Roman" w:cs="Times New Roman"/>
                <w:sz w:val="24"/>
                <w:szCs w:val="24"/>
                <w:lang w:val="en-US" w:eastAsia="en-US" w:bidi="ar-SA"/>
              </w:rPr>
            </w:pPr>
            <w:hyperlink r:id="rId9" w:history="1">
              <w:r w:rsidRPr="0032583B">
                <w:rPr>
                  <w:rFonts w:ascii="Times New Roman" w:eastAsia="Times New Roman" w:hAnsi="Times New Roman" w:cs="Times New Roman"/>
                  <w:color w:val="0000FF"/>
                  <w:sz w:val="24"/>
                  <w:szCs w:val="24"/>
                  <w:u w:val="single"/>
                  <w:lang w:val="en-US" w:eastAsia="en-US" w:bidi="ar-SA"/>
                </w:rPr>
                <w:t>nicholas.walstra@puco.ohio.gov</w:t>
              </w:r>
            </w:hyperlink>
          </w:p>
          <w:p w:rsidR="00C81B26" w:rsidRPr="0032583B" w:rsidP="00C81B26" w14:paraId="6BC5300E" w14:textId="7A305F81">
            <w:pPr>
              <w:spacing w:after="0" w:line="240" w:lineRule="auto"/>
              <w:rPr>
                <w:rFonts w:ascii="Times New Roman" w:eastAsia="Times New Roman" w:hAnsi="Times New Roman" w:cs="Times New Roman"/>
                <w:sz w:val="24"/>
                <w:szCs w:val="24"/>
                <w:lang w:val="en-US" w:eastAsia="en-US" w:bidi="ar-SA"/>
              </w:rPr>
            </w:pPr>
          </w:p>
        </w:tc>
        <w:tc>
          <w:tcPr>
            <w:tcW w:w="4214" w:type="dxa"/>
            <w:shd w:val="clear" w:color="auto" w:fill="auto"/>
          </w:tcPr>
          <w:p w:rsidR="00C81B26" w:rsidRPr="0032583B" w:rsidP="00C81B26" w14:paraId="32705274" w14:textId="77777777">
            <w:pPr>
              <w:spacing w:after="0" w:line="240" w:lineRule="auto"/>
              <w:jc w:val="both"/>
              <w:rPr>
                <w:rFonts w:ascii="Times New Roman" w:eastAsia="Times New Roman" w:hAnsi="Times New Roman" w:cs="Times New Roman"/>
                <w:sz w:val="24"/>
                <w:szCs w:val="24"/>
                <w:lang w:val="en-US" w:eastAsia="en-US" w:bidi="ar-SA"/>
              </w:rPr>
            </w:pPr>
            <w:hyperlink r:id="rId10" w:history="1">
              <w:r w:rsidRPr="0032583B">
                <w:rPr>
                  <w:rFonts w:ascii="Times New Roman" w:eastAsia="Times New Roman" w:hAnsi="Times New Roman" w:cs="Times New Roman"/>
                  <w:color w:val="0000FF"/>
                  <w:sz w:val="24"/>
                  <w:szCs w:val="24"/>
                  <w:u w:val="single"/>
                  <w:lang w:val="en-US" w:eastAsia="en-US" w:bidi="ar-SA"/>
                </w:rPr>
                <w:t>rocco.dascenzo@duke-energy.com</w:t>
              </w:r>
            </w:hyperlink>
          </w:p>
          <w:p w:rsidR="00C81B26" w:rsidRPr="0032583B" w:rsidP="00C81B26" w14:paraId="1A17F80C" w14:textId="77777777">
            <w:pPr>
              <w:spacing w:after="0" w:line="240" w:lineRule="auto"/>
              <w:jc w:val="both"/>
              <w:rPr>
                <w:rFonts w:ascii="Times New Roman" w:eastAsia="Times New Roman" w:hAnsi="Times New Roman" w:cs="Times New Roman"/>
                <w:sz w:val="24"/>
                <w:szCs w:val="24"/>
                <w:lang w:val="en-US" w:eastAsia="en-US" w:bidi="ar-SA"/>
              </w:rPr>
            </w:pPr>
            <w:hyperlink r:id="rId11" w:history="1">
              <w:r w:rsidRPr="0032583B">
                <w:rPr>
                  <w:rFonts w:ascii="Times New Roman" w:eastAsia="Times New Roman" w:hAnsi="Times New Roman" w:cs="Times New Roman"/>
                  <w:color w:val="0000FF"/>
                  <w:sz w:val="24"/>
                  <w:szCs w:val="24"/>
                  <w:u w:val="single"/>
                  <w:lang w:val="en-US" w:eastAsia="en-US" w:bidi="ar-SA"/>
                </w:rPr>
                <w:t>jeanne.kingery@duke-energy.com</w:t>
              </w:r>
            </w:hyperlink>
          </w:p>
          <w:p w:rsidR="00C81B26" w:rsidRPr="0032583B" w:rsidP="00C81B26" w14:paraId="249397E9" w14:textId="77777777">
            <w:pPr>
              <w:spacing w:after="0" w:line="240" w:lineRule="auto"/>
              <w:jc w:val="both"/>
              <w:rPr>
                <w:rFonts w:ascii="Times New Roman" w:eastAsia="Times New Roman" w:hAnsi="Times New Roman" w:cs="Times New Roman"/>
                <w:sz w:val="24"/>
                <w:szCs w:val="24"/>
                <w:lang w:val="en-US" w:eastAsia="en-US" w:bidi="ar-SA"/>
              </w:rPr>
            </w:pPr>
            <w:hyperlink r:id="rId12" w:history="1">
              <w:r w:rsidRPr="0032583B">
                <w:rPr>
                  <w:rFonts w:ascii="Times New Roman" w:eastAsia="Times New Roman" w:hAnsi="Times New Roman" w:cs="Times New Roman"/>
                  <w:color w:val="0000FF"/>
                  <w:sz w:val="24"/>
                  <w:szCs w:val="24"/>
                  <w:u w:val="single"/>
                  <w:lang w:val="en-US" w:eastAsia="en-US" w:bidi="ar-SA"/>
                </w:rPr>
                <w:t>larisa.vaysman@duke-energy.com</w:t>
              </w:r>
            </w:hyperlink>
          </w:p>
          <w:p w:rsidR="00C81B26" w:rsidRPr="0032583B" w:rsidP="00C81B26" w14:paraId="4D379E49" w14:textId="77777777">
            <w:pPr>
              <w:spacing w:after="0" w:line="240" w:lineRule="auto"/>
              <w:jc w:val="both"/>
              <w:rPr>
                <w:rFonts w:ascii="Times New Roman" w:eastAsia="Times New Roman" w:hAnsi="Times New Roman" w:cs="Times New Roman"/>
                <w:sz w:val="24"/>
                <w:szCs w:val="24"/>
                <w:lang w:val="en-US" w:eastAsia="en-US" w:bidi="ar-SA"/>
              </w:rPr>
            </w:pPr>
            <w:hyperlink r:id="rId13" w:history="1">
              <w:r w:rsidRPr="0032583B">
                <w:rPr>
                  <w:rFonts w:ascii="Times New Roman" w:eastAsia="Times New Roman" w:hAnsi="Times New Roman" w:cs="Times New Roman"/>
                  <w:color w:val="0000FF"/>
                  <w:sz w:val="24"/>
                  <w:szCs w:val="24"/>
                  <w:u w:val="single"/>
                  <w:lang w:val="en-US" w:eastAsia="en-US" w:bidi="ar-SA"/>
                </w:rPr>
                <w:t>elyse.akhbari@duke-energy.com</w:t>
              </w:r>
            </w:hyperlink>
          </w:p>
          <w:p w:rsidR="00C81B26" w:rsidRPr="0032583B" w:rsidP="00C81B26" w14:paraId="69C02BC9" w14:textId="77777777">
            <w:pPr>
              <w:spacing w:after="0" w:line="240" w:lineRule="auto"/>
              <w:jc w:val="both"/>
              <w:rPr>
                <w:rFonts w:ascii="Times New Roman" w:eastAsia="Times New Roman" w:hAnsi="Times New Roman" w:cs="Times New Roman"/>
                <w:sz w:val="24"/>
                <w:szCs w:val="24"/>
                <w:lang w:val="en-US" w:eastAsia="en-US" w:bidi="ar-SA"/>
              </w:rPr>
            </w:pPr>
          </w:p>
          <w:p w:rsidR="00C81B26" w:rsidRPr="0032583B" w:rsidP="00C81B26" w14:paraId="2028BAB8" w14:textId="0C5CB2FC">
            <w:pPr>
              <w:spacing w:after="0" w:line="240" w:lineRule="auto"/>
              <w:rPr>
                <w:rFonts w:ascii="Times New Roman" w:eastAsia="Times New Roman" w:hAnsi="Times New Roman" w:cs="Times New Roman"/>
                <w:bCs/>
                <w:sz w:val="24"/>
                <w:szCs w:val="24"/>
                <w:lang w:val="en-US" w:eastAsia="en-US" w:bidi="ar-SA"/>
              </w:rPr>
            </w:pPr>
            <w:r w:rsidRPr="0032583B">
              <w:rPr>
                <w:rFonts w:ascii="Times New Roman" w:eastAsia="Times New Roman" w:hAnsi="Times New Roman" w:cs="Times New Roman"/>
                <w:sz w:val="24"/>
                <w:szCs w:val="24"/>
                <w:lang w:val="en-US" w:eastAsia="en-US" w:bidi="ar-SA"/>
              </w:rPr>
              <w:t xml:space="preserve"> </w:t>
            </w:r>
          </w:p>
        </w:tc>
      </w:tr>
    </w:tbl>
    <w:p w:rsidR="00FF6483" w:rsidRPr="0032583B" w:rsidP="009779CA" w14:paraId="0189FCDF" w14:textId="77777777">
      <w:pPr>
        <w:rPr>
          <w:rFonts w:eastAsiaTheme="minorHAnsi"/>
          <w:iCs/>
        </w:rPr>
      </w:pPr>
    </w:p>
    <w:sectPr w:rsidSect="0039704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36AE" w14:paraId="71F923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6015917"/>
      <w:docPartObj>
        <w:docPartGallery w:val="Page Numbers (Bottom of Page)"/>
        <w:docPartUnique/>
      </w:docPartObj>
    </w:sdtPr>
    <w:sdtEndPr>
      <w:rPr>
        <w:noProof/>
      </w:rPr>
    </w:sdtEndPr>
    <w:sdtContent>
      <w:p w:rsidR="00397043" w14:paraId="1A5506C9" w14:textId="131B82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36AE" w14:paraId="3060A7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0D19" w:rsidP="00DE0FB0" w14:paraId="2D5EFA2C" w14:textId="77777777">
      <w:r>
        <w:separator/>
      </w:r>
    </w:p>
  </w:footnote>
  <w:footnote w:type="continuationSeparator" w:id="1">
    <w:p w:rsidR="00760D19" w:rsidP="00DE0FB0" w14:paraId="136C9DC6" w14:textId="77777777">
      <w:r>
        <w:continuationSeparator/>
      </w:r>
    </w:p>
  </w:footnote>
  <w:footnote w:id="2">
    <w:p w:rsidR="00A47EAC" w:rsidRPr="00573BBB" w:rsidP="00EF0695" w14:paraId="38D4644C" w14:textId="77777777">
      <w:pPr>
        <w:pStyle w:val="FootnoteText"/>
      </w:pPr>
      <w:r w:rsidRPr="00573BBB">
        <w:rPr>
          <w:rStyle w:val="FootnoteReference"/>
        </w:rPr>
        <w:footnoteRef/>
      </w:r>
      <w:r w:rsidRPr="00573BBB">
        <w:t xml:space="preserve"> </w:t>
      </w:r>
      <w:r w:rsidRPr="00E376A2">
        <w:rPr>
          <w:i/>
          <w:iCs/>
        </w:rPr>
        <w:t>In the Matter of the Application of Duke Energy Ohio, Inc., for an Increase in Electric Distribution Rates</w:t>
      </w:r>
      <w:r>
        <w:t>,</w:t>
      </w:r>
      <w:r w:rsidRPr="00573BBB">
        <w:t xml:space="preserve"> Case No. 17-32-EL-AIR, Opinion and Order (September 19, 2018) at 42. </w:t>
      </w:r>
    </w:p>
  </w:footnote>
  <w:footnote w:id="3">
    <w:p w:rsidR="00A47EAC" w:rsidRPr="00573BBB" w:rsidP="00EF0695" w14:paraId="471883D0" w14:textId="77777777">
      <w:pPr>
        <w:pStyle w:val="FootnoteText"/>
      </w:pPr>
      <w:r w:rsidRPr="00573BBB">
        <w:rPr>
          <w:rStyle w:val="FootnoteReference"/>
        </w:rPr>
        <w:footnoteRef/>
      </w:r>
      <w:r w:rsidRPr="00573BBB">
        <w:t xml:space="preserve"> 23-126-EL-RDR, Staff Review and Recommendation Regarding the Application of Duke Energy Ohio, Inc. to </w:t>
      </w:r>
      <w:r>
        <w:t>A</w:t>
      </w:r>
      <w:r w:rsidRPr="00573BBB">
        <w:t xml:space="preserve">djust and </w:t>
      </w:r>
      <w:r>
        <w:t>S</w:t>
      </w:r>
      <w:r w:rsidRPr="00573BBB">
        <w:t>et Rider DSR (September 7, 2023).</w:t>
      </w:r>
    </w:p>
  </w:footnote>
  <w:footnote w:id="4">
    <w:p w:rsidR="00A47EAC" w:rsidRPr="00573BBB" w:rsidP="00EF0695" w14:paraId="128591FD" w14:textId="77777777">
      <w:pPr>
        <w:pStyle w:val="FootnoteText"/>
      </w:pPr>
      <w:r w:rsidRPr="00573BBB">
        <w:rPr>
          <w:rStyle w:val="FootnoteReference"/>
        </w:rPr>
        <w:footnoteRef/>
      </w:r>
      <w:r w:rsidRPr="00573BBB">
        <w:t xml:space="preserve"> </w:t>
      </w:r>
      <w:r w:rsidRPr="00F0146C">
        <w:rPr>
          <w:i/>
          <w:iCs/>
        </w:rPr>
        <w:t>Id</w:t>
      </w:r>
      <w:r w:rsidRPr="00573BBB">
        <w:t>.</w:t>
      </w:r>
    </w:p>
  </w:footnote>
  <w:footnote w:id="5">
    <w:p w:rsidR="00A47EAC" w:rsidRPr="00573BBB" w:rsidP="00EF0695" w14:paraId="293E5F11" w14:textId="77777777">
      <w:pPr>
        <w:pStyle w:val="FootnoteText"/>
      </w:pPr>
      <w:r w:rsidRPr="00573BBB">
        <w:rPr>
          <w:rStyle w:val="FootnoteReference"/>
        </w:rPr>
        <w:footnoteRef/>
      </w:r>
      <w:r w:rsidRPr="00573BBB">
        <w:t xml:space="preserve"> </w:t>
      </w:r>
      <w:r w:rsidRPr="00F0146C">
        <w:rPr>
          <w:i/>
          <w:iCs/>
        </w:rPr>
        <w:t>Id</w:t>
      </w:r>
      <w:r w:rsidRPr="00573BBB">
        <w:t>.</w:t>
      </w:r>
    </w:p>
  </w:footnote>
  <w:footnote w:id="6">
    <w:p w:rsidR="00A47EAC" w:rsidRPr="00573BBB" w:rsidP="00EF0695" w14:paraId="076F356E" w14:textId="77777777">
      <w:pPr>
        <w:pStyle w:val="FootnoteText"/>
      </w:pPr>
      <w:r w:rsidRPr="00573BBB">
        <w:rPr>
          <w:rStyle w:val="FootnoteReference"/>
        </w:rPr>
        <w:footnoteRef/>
      </w:r>
      <w:r w:rsidRPr="00573BBB">
        <w:t xml:space="preserve"> </w:t>
      </w:r>
      <w:r w:rsidRPr="00F0146C">
        <w:rPr>
          <w:i/>
          <w:iCs/>
        </w:rPr>
        <w:t>Id</w:t>
      </w:r>
      <w:r w:rsidRPr="00573BBB">
        <w:t xml:space="preserve">. </w:t>
      </w:r>
    </w:p>
  </w:footnote>
  <w:footnote w:id="7">
    <w:p w:rsidR="00A47EAC" w:rsidRPr="00573BBB" w:rsidP="00EF0695" w14:paraId="50617F7F" w14:textId="77777777">
      <w:pPr>
        <w:pStyle w:val="FootnoteText"/>
      </w:pPr>
      <w:r w:rsidRPr="00573BBB">
        <w:rPr>
          <w:rStyle w:val="FootnoteReference"/>
        </w:rPr>
        <w:footnoteRef/>
      </w:r>
      <w:r w:rsidRPr="00573BBB">
        <w:t xml:space="preserve"> </w:t>
      </w:r>
      <w:r w:rsidRPr="00F0146C">
        <w:rPr>
          <w:i/>
          <w:iCs/>
        </w:rPr>
        <w:t>Id</w:t>
      </w:r>
      <w:r w:rsidRPr="00573BBB">
        <w:t>.</w:t>
      </w:r>
    </w:p>
  </w:footnote>
  <w:footnote w:id="8">
    <w:p w:rsidR="00A47EAC" w:rsidRPr="00573BBB" w:rsidP="00EF0695" w14:paraId="4765105D" w14:textId="77777777">
      <w:pPr>
        <w:pStyle w:val="FootnoteText"/>
      </w:pPr>
      <w:r w:rsidRPr="00573BBB">
        <w:rPr>
          <w:rStyle w:val="FootnoteReference"/>
        </w:rPr>
        <w:footnoteRef/>
      </w:r>
      <w:r w:rsidRPr="00573BBB">
        <w:t xml:space="preserve"> 23-126-EL-RDR, Initial Comments of Duke Energy Ohio, Inc. Regarding Staff Review and Recommendations</w:t>
      </w:r>
      <w:r w:rsidRPr="00573BBB">
        <w:rPr>
          <w:i/>
          <w:iCs/>
        </w:rPr>
        <w:t xml:space="preserve"> </w:t>
      </w:r>
      <w:r w:rsidRPr="00573BBB">
        <w:t>(September 15, 2023).</w:t>
      </w:r>
    </w:p>
  </w:footnote>
  <w:footnote w:id="9">
    <w:p w:rsidR="00A41A92" w:rsidP="00EF0695" w14:paraId="3BF836AE" w14:textId="6C5D8AFB">
      <w:pPr>
        <w:pStyle w:val="FootnoteText"/>
      </w:pPr>
      <w:r>
        <w:rPr>
          <w:rStyle w:val="FootnoteReference"/>
        </w:rPr>
        <w:footnoteRef/>
      </w:r>
      <w:r>
        <w:t xml:space="preserve"> </w:t>
      </w:r>
      <w:bookmarkStart w:id="6" w:name="_Hlk147070885"/>
      <w:r>
        <w:t>PUCO Staff Revised Recommendation (September 26, 2023).</w:t>
      </w:r>
      <w:bookmarkEnd w:id="6"/>
    </w:p>
  </w:footnote>
  <w:footnote w:id="10">
    <w:p w:rsidR="00A41A92" w:rsidP="00EF0695" w14:paraId="2F7DB603" w14:textId="753E7473">
      <w:pPr>
        <w:pStyle w:val="FootnoteText"/>
      </w:pPr>
      <w:r>
        <w:rPr>
          <w:rStyle w:val="FootnoteReference"/>
        </w:rPr>
        <w:footnoteRef/>
      </w:r>
      <w:r>
        <w:t xml:space="preserve"> </w:t>
      </w:r>
      <w:r w:rsidRPr="00F0146C" w:rsidR="008262BF">
        <w:rPr>
          <w:i/>
          <w:iCs/>
        </w:rPr>
        <w:t>Id</w:t>
      </w:r>
      <w:r w:rsidRPr="008262BF">
        <w:t>.</w:t>
      </w:r>
    </w:p>
  </w:footnote>
  <w:footnote w:id="11">
    <w:p w:rsidR="00177B5A" w:rsidP="00EF0695" w14:paraId="0606FBB3" w14:textId="52182649">
      <w:pPr>
        <w:pStyle w:val="FootnoteText"/>
      </w:pPr>
      <w:r>
        <w:rPr>
          <w:rStyle w:val="FootnoteReference"/>
        </w:rPr>
        <w:footnoteRef/>
      </w:r>
      <w:r>
        <w:t xml:space="preserve"> Entry at </w:t>
      </w:r>
      <w:r w:rsidRPr="00177B5A">
        <w:t>¶</w:t>
      </w:r>
      <w:r>
        <w:t xml:space="preserve"> </w:t>
      </w:r>
      <w:r w:rsidRPr="00177B5A">
        <w:t>7</w:t>
      </w:r>
      <w:r>
        <w:t xml:space="preserve"> (September 8, 202</w:t>
      </w:r>
      <w:r w:rsidR="00055ACA">
        <w:t>3</w:t>
      </w:r>
      <w:r>
        <w:t>)</w:t>
      </w:r>
      <w:r w:rsidR="001F4F6C">
        <w:t>.</w:t>
      </w:r>
    </w:p>
  </w:footnote>
  <w:footnote w:id="12">
    <w:p w:rsidR="00E04E99" w:rsidRPr="00E04E99" w:rsidP="00EF0695" w14:paraId="01A4E3DA" w14:textId="2204265C">
      <w:pPr>
        <w:pStyle w:val="FootnoteText"/>
      </w:pPr>
      <w:r>
        <w:rPr>
          <w:rStyle w:val="FootnoteReference"/>
        </w:rPr>
        <w:footnoteRef/>
      </w:r>
      <w:r>
        <w:t xml:space="preserve"> </w:t>
      </w:r>
      <w:r>
        <w:rPr>
          <w:i/>
          <w:iCs/>
        </w:rPr>
        <w:t xml:space="preserve">See, e.g., </w:t>
      </w:r>
      <w:r>
        <w:t>O.A.C. 4901-1-38(B).</w:t>
      </w:r>
    </w:p>
  </w:footnote>
  <w:footnote w:id="13">
    <w:p w:rsidR="00797035" w:rsidP="00EF0695" w14:paraId="72B37F22" w14:textId="30BB007F">
      <w:pPr>
        <w:pStyle w:val="FootnoteText"/>
      </w:pPr>
      <w:r>
        <w:rPr>
          <w:rStyle w:val="FootnoteReference"/>
        </w:rPr>
        <w:footnoteRef/>
      </w:r>
      <w:r>
        <w:t xml:space="preserve"> Duke Surreply Comments at 2.</w:t>
      </w:r>
    </w:p>
  </w:footnote>
  <w:footnote w:id="14">
    <w:p w:rsidR="0027585E" w:rsidP="00EF0695" w14:paraId="5333B8E8" w14:textId="77777777">
      <w:pPr>
        <w:pStyle w:val="FootnoteText"/>
      </w:pPr>
      <w:r>
        <w:rPr>
          <w:rStyle w:val="FootnoteReference"/>
        </w:rPr>
        <w:footnoteRef/>
      </w:r>
      <w:r>
        <w:t xml:space="preserve"> Duke Surreply Comments at 2.</w:t>
      </w:r>
    </w:p>
  </w:footnote>
  <w:footnote w:id="15">
    <w:p w:rsidR="0027585E" w:rsidP="00EF0695" w14:paraId="02496B56" w14:textId="74F82679">
      <w:pPr>
        <w:pStyle w:val="FootnoteText"/>
      </w:pPr>
      <w:r>
        <w:rPr>
          <w:rStyle w:val="FootnoteReference"/>
        </w:rPr>
        <w:footnoteRef/>
      </w:r>
      <w:r>
        <w:t xml:space="preserve"> </w:t>
      </w:r>
      <w:r w:rsidR="002E2414">
        <w:t>O.A.C.</w:t>
      </w:r>
      <w:r>
        <w:t xml:space="preserve"> 4901:1-10-01(T)</w:t>
      </w:r>
      <w:r w:rsidR="0066650D">
        <w:t>.</w:t>
      </w:r>
    </w:p>
  </w:footnote>
  <w:footnote w:id="16">
    <w:p w:rsidR="00797035" w:rsidRPr="00797035" w:rsidP="00EF0695" w14:paraId="4044A3D9" w14:textId="6EE8E4FE">
      <w:pPr>
        <w:pStyle w:val="FootnoteText"/>
      </w:pPr>
      <w:r>
        <w:rPr>
          <w:rStyle w:val="FootnoteReference"/>
        </w:rPr>
        <w:footnoteRef/>
      </w:r>
      <w:r>
        <w:t xml:space="preserve"> </w:t>
      </w:r>
      <w:r>
        <w:rPr>
          <w:i/>
          <w:iCs/>
        </w:rPr>
        <w:t xml:space="preserve">See, e.g., </w:t>
      </w:r>
      <w:r>
        <w:t>OCC Reply Comments at 4 (“Since Duke did not report the November 5th storm as a major event, the PUCO Staff correctly excluded the expenses that were allegedly associated with the storm from consideration for collection from consumers under Rider DSR.”)</w:t>
      </w:r>
    </w:p>
  </w:footnote>
  <w:footnote w:id="17">
    <w:p w:rsidR="0027585E" w:rsidP="00EF0695" w14:paraId="55A7678E" w14:textId="3E5EEBC7">
      <w:pPr>
        <w:pStyle w:val="FootnoteText"/>
      </w:pPr>
      <w:r>
        <w:rPr>
          <w:rStyle w:val="FootnoteReference"/>
        </w:rPr>
        <w:footnoteRef/>
      </w:r>
      <w:r>
        <w:t xml:space="preserve"> </w:t>
      </w:r>
      <w:r w:rsidR="002E2414">
        <w:t>O.A.C.</w:t>
      </w:r>
      <w:r>
        <w:t xml:space="preserve"> 4901:1-10-10(C)</w:t>
      </w:r>
      <w:r w:rsidR="003B5132">
        <w:t>.</w:t>
      </w:r>
    </w:p>
  </w:footnote>
  <w:footnote w:id="18">
    <w:p w:rsidR="0027585E" w:rsidP="00EF0695" w14:paraId="123C9DF7" w14:textId="0C79D34B">
      <w:pPr>
        <w:pStyle w:val="FootnoteText"/>
      </w:pPr>
      <w:r>
        <w:rPr>
          <w:rStyle w:val="FootnoteReference"/>
        </w:rPr>
        <w:footnoteRef/>
      </w:r>
      <w:r>
        <w:t xml:space="preserve"> </w:t>
      </w:r>
      <w:r w:rsidRPr="00F0146C" w:rsidR="00A864C8">
        <w:rPr>
          <w:i/>
          <w:iCs/>
        </w:rPr>
        <w:t>Id</w:t>
      </w:r>
      <w:r w:rsidRPr="00A864C8" w:rsidR="00A864C8">
        <w:t>.</w:t>
      </w:r>
    </w:p>
  </w:footnote>
  <w:footnote w:id="19">
    <w:p w:rsidR="0027585E" w:rsidP="00EF0695" w14:paraId="3A84BC03" w14:textId="5A881732">
      <w:pPr>
        <w:pStyle w:val="FootnoteText"/>
      </w:pPr>
      <w:r>
        <w:rPr>
          <w:rStyle w:val="FootnoteReference"/>
        </w:rPr>
        <w:footnoteRef/>
      </w:r>
      <w:r>
        <w:t xml:space="preserve"> </w:t>
      </w:r>
      <w:r w:rsidR="002E2414">
        <w:t>O.A.C.</w:t>
      </w:r>
      <w:r>
        <w:t xml:space="preserve"> 4901:1-10-10(C)(1) – (C)(3)</w:t>
      </w:r>
      <w:r w:rsidR="003B5132">
        <w:t>.</w:t>
      </w:r>
    </w:p>
  </w:footnote>
  <w:footnote w:id="20">
    <w:p w:rsidR="0027585E" w:rsidP="00EF0695" w14:paraId="112D8A2C" w14:textId="77777777">
      <w:pPr>
        <w:pStyle w:val="FootnoteText"/>
      </w:pPr>
      <w:r>
        <w:rPr>
          <w:rStyle w:val="FootnoteReference"/>
        </w:rPr>
        <w:footnoteRef/>
      </w:r>
      <w:r>
        <w:t xml:space="preserve"> </w:t>
      </w:r>
      <w:r w:rsidRPr="00F0146C">
        <w:rPr>
          <w:i/>
          <w:iCs/>
        </w:rPr>
        <w:t>See</w:t>
      </w:r>
      <w:r>
        <w:t xml:space="preserve"> Duke’s Annual Report of Electric Distribution System Reliability Pursuant to Rule 4901:1-10-10(C), Case No. 23-994-EL-ESS, (March 9, 2023) at 3.</w:t>
      </w:r>
    </w:p>
  </w:footnote>
  <w:footnote w:id="21">
    <w:p w:rsidR="00206E6B" w:rsidRPr="00573BBB" w:rsidP="00EF0695" w14:paraId="2007FCDF" w14:textId="327C1BD9">
      <w:pPr>
        <w:pStyle w:val="FootnoteText"/>
      </w:pPr>
      <w:r w:rsidRPr="00573BBB">
        <w:rPr>
          <w:rStyle w:val="FootnoteReference"/>
        </w:rPr>
        <w:footnoteRef/>
      </w:r>
      <w:r w:rsidRPr="00573BBB">
        <w:t xml:space="preserve"> </w:t>
      </w:r>
      <w:r>
        <w:t>R.C.</w:t>
      </w:r>
      <w:r w:rsidRPr="00573BBB">
        <w:t xml:space="preserve"> 4928.02(E).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36AE" w14:paraId="6EC408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36AE" w14:paraId="123BCA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36AE" w14:paraId="39554F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D5D53"/>
    <w:multiLevelType w:val="hybridMultilevel"/>
    <w:tmpl w:val="F634CD26"/>
    <w:lvl w:ilvl="0">
      <w:start w:val="1"/>
      <w:numFmt w:val="upperRoman"/>
      <w:lvlText w:val="%1."/>
      <w:lvlJc w:val="left"/>
      <w:pPr>
        <w:ind w:left="1080" w:hanging="720"/>
      </w:pPr>
      <w:rPr>
        <w:rFonts w:eastAsia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53CCD"/>
    <w:multiLevelType w:val="hybridMultilevel"/>
    <w:tmpl w:val="4FFE27C6"/>
    <w:lvl w:ilvl="0">
      <w:start w:val="1"/>
      <w:numFmt w:val="decimal"/>
      <w:lvlText w:val="%1."/>
      <w:lvlJc w:val="left"/>
      <w:pPr>
        <w:ind w:left="1260" w:hanging="360"/>
      </w:pPr>
    </w:lvl>
    <w:lvl w:ilvl="1">
      <w:start w:val="1"/>
      <w:numFmt w:val="lowerLetter"/>
      <w:lvlText w:val="%2."/>
      <w:lvlJc w:val="left"/>
      <w:pPr>
        <w:ind w:left="36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15DA7A59"/>
    <w:multiLevelType w:val="hybridMultilevel"/>
    <w:tmpl w:val="5D32B4A0"/>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FF3551"/>
    <w:multiLevelType w:val="hybridMultilevel"/>
    <w:tmpl w:val="307436CE"/>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
    <w:nsid w:val="1EFB292A"/>
    <w:multiLevelType w:val="hybridMultilevel"/>
    <w:tmpl w:val="F948D0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F790BEF"/>
    <w:multiLevelType w:val="hybridMultilevel"/>
    <w:tmpl w:val="173E08B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3840CD"/>
    <w:multiLevelType w:val="hybridMultilevel"/>
    <w:tmpl w:val="433E253A"/>
    <w:lvl w:ilvl="0">
      <w:start w:val="1"/>
      <w:numFmt w:val="decimal"/>
      <w:lvlText w:val="%1."/>
      <w:lvlJc w:val="left"/>
      <w:pPr>
        <w:ind w:left="1260" w:hanging="360"/>
      </w:pPr>
    </w:lvl>
    <w:lvl w:ilvl="1">
      <w:start w:val="1"/>
      <w:numFmt w:val="lowerLetter"/>
      <w:lvlText w:val="%2."/>
      <w:lvlJc w:val="left"/>
      <w:pPr>
        <w:ind w:left="36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26153CCD"/>
    <w:multiLevelType w:val="hybridMultilevel"/>
    <w:tmpl w:val="1774101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F42470"/>
    <w:multiLevelType w:val="hybridMultilevel"/>
    <w:tmpl w:val="5B427458"/>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4483AB9"/>
    <w:multiLevelType w:val="hybridMultilevel"/>
    <w:tmpl w:val="99A03B7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48D3192B"/>
    <w:multiLevelType w:val="hybridMultilevel"/>
    <w:tmpl w:val="4618526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53F365DC"/>
    <w:multiLevelType w:val="hybridMultilevel"/>
    <w:tmpl w:val="1A7EC5DA"/>
    <w:lvl w:ilvl="0">
      <w:start w:val="1"/>
      <w:numFmt w:val="decimal"/>
      <w:lvlText w:val="%1."/>
      <w:lvlJc w:val="left"/>
      <w:pPr>
        <w:ind w:left="1260" w:hanging="360"/>
      </w:pPr>
    </w:lvl>
    <w:lvl w:ilvl="1">
      <w:start w:val="1"/>
      <w:numFmt w:val="lowerLetter"/>
      <w:lvlText w:val="%2."/>
      <w:lvlJc w:val="left"/>
      <w:pPr>
        <w:ind w:left="36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56013CBD"/>
    <w:multiLevelType w:val="hybridMultilevel"/>
    <w:tmpl w:val="5F629C62"/>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8F915C7"/>
    <w:multiLevelType w:val="hybridMultilevel"/>
    <w:tmpl w:val="58ECDEDE"/>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F4D4C66"/>
    <w:multiLevelType w:val="hybridMultilevel"/>
    <w:tmpl w:val="FE2A3A00"/>
    <w:lvl w:ilvl="0">
      <w:start w:val="1"/>
      <w:numFmt w:val="decimal"/>
      <w:lvlText w:val="%1."/>
      <w:lvlJc w:val="left"/>
      <w:pPr>
        <w:ind w:left="1260" w:hanging="360"/>
      </w:pPr>
    </w:lvl>
    <w:lvl w:ilvl="1">
      <w:start w:val="1"/>
      <w:numFmt w:val="lowerLetter"/>
      <w:lvlText w:val="%2."/>
      <w:lvlJc w:val="left"/>
      <w:pPr>
        <w:ind w:left="36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60AF5B12"/>
    <w:multiLevelType w:val="hybridMultilevel"/>
    <w:tmpl w:val="AA8A1DF2"/>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2C188C"/>
    <w:multiLevelType w:val="hybridMultilevel"/>
    <w:tmpl w:val="F24E48F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61664EC5"/>
    <w:multiLevelType w:val="hybridMultilevel"/>
    <w:tmpl w:val="6994F41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69BD48CA"/>
    <w:multiLevelType w:val="hybridMultilevel"/>
    <w:tmpl w:val="EDE04CD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850FCD"/>
    <w:multiLevelType w:val="hybridMultilevel"/>
    <w:tmpl w:val="9632A82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0"/>
  </w:num>
  <w:num w:numId="10">
    <w:abstractNumId w:val="14"/>
  </w:num>
  <w:num w:numId="11">
    <w:abstractNumId w:val="6"/>
  </w:num>
  <w:num w:numId="12">
    <w:abstractNumId w:val="12"/>
  </w:num>
  <w:num w:numId="13">
    <w:abstractNumId w:val="18"/>
  </w:num>
  <w:num w:numId="14">
    <w:abstractNumId w:val="5"/>
  </w:num>
  <w:num w:numId="15">
    <w:abstractNumId w:val="5"/>
    <w:lvlOverride w:ilvl="0">
      <w:startOverride w:val="1"/>
    </w:lvlOverride>
  </w:num>
  <w:num w:numId="16">
    <w:abstractNumId w:val="3"/>
  </w:num>
  <w:num w:numId="17">
    <w:abstractNumId w:val="13"/>
  </w:num>
  <w:num w:numId="18">
    <w:abstractNumId w:val="7"/>
  </w:num>
  <w:num w:numId="19">
    <w:abstractNumId w:val="15"/>
  </w:num>
  <w:num w:numId="20">
    <w:abstractNumId w:val="2"/>
  </w:num>
  <w:num w:numId="21">
    <w:abstractNumId w:val="8"/>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B0"/>
    <w:rsid w:val="00002F6C"/>
    <w:rsid w:val="00007328"/>
    <w:rsid w:val="0000773D"/>
    <w:rsid w:val="00015D41"/>
    <w:rsid w:val="00023A28"/>
    <w:rsid w:val="00025A4A"/>
    <w:rsid w:val="0003291C"/>
    <w:rsid w:val="00035499"/>
    <w:rsid w:val="00040BB6"/>
    <w:rsid w:val="00044A1F"/>
    <w:rsid w:val="000471DB"/>
    <w:rsid w:val="00055ACA"/>
    <w:rsid w:val="00057DD1"/>
    <w:rsid w:val="000611EB"/>
    <w:rsid w:val="00075B6E"/>
    <w:rsid w:val="00076B5A"/>
    <w:rsid w:val="00080873"/>
    <w:rsid w:val="00083E98"/>
    <w:rsid w:val="00097555"/>
    <w:rsid w:val="000A2032"/>
    <w:rsid w:val="000A24A3"/>
    <w:rsid w:val="000C0C44"/>
    <w:rsid w:val="000F07BF"/>
    <w:rsid w:val="000F2F99"/>
    <w:rsid w:val="00104013"/>
    <w:rsid w:val="0011365C"/>
    <w:rsid w:val="00123EB3"/>
    <w:rsid w:val="001255B7"/>
    <w:rsid w:val="00125EB8"/>
    <w:rsid w:val="00131B03"/>
    <w:rsid w:val="00136EBE"/>
    <w:rsid w:val="001403A6"/>
    <w:rsid w:val="0015121A"/>
    <w:rsid w:val="00152B85"/>
    <w:rsid w:val="00154B3E"/>
    <w:rsid w:val="001605B3"/>
    <w:rsid w:val="00162388"/>
    <w:rsid w:val="00165A23"/>
    <w:rsid w:val="00174143"/>
    <w:rsid w:val="0017448B"/>
    <w:rsid w:val="00177B5A"/>
    <w:rsid w:val="00183C95"/>
    <w:rsid w:val="00193C88"/>
    <w:rsid w:val="001948BF"/>
    <w:rsid w:val="001A3427"/>
    <w:rsid w:val="001A532C"/>
    <w:rsid w:val="001C4816"/>
    <w:rsid w:val="001C4F0F"/>
    <w:rsid w:val="001C6F49"/>
    <w:rsid w:val="001D2282"/>
    <w:rsid w:val="001D58A5"/>
    <w:rsid w:val="001D6EFE"/>
    <w:rsid w:val="001D789E"/>
    <w:rsid w:val="001E0E8B"/>
    <w:rsid w:val="001E212E"/>
    <w:rsid w:val="001E2B4C"/>
    <w:rsid w:val="001E2C6B"/>
    <w:rsid w:val="001F0FC3"/>
    <w:rsid w:val="001F4F6C"/>
    <w:rsid w:val="00206E0A"/>
    <w:rsid w:val="00206E6B"/>
    <w:rsid w:val="002131A6"/>
    <w:rsid w:val="00222450"/>
    <w:rsid w:val="00227D54"/>
    <w:rsid w:val="00232FBC"/>
    <w:rsid w:val="00233083"/>
    <w:rsid w:val="00235FB9"/>
    <w:rsid w:val="002379D1"/>
    <w:rsid w:val="0024118D"/>
    <w:rsid w:val="00243C07"/>
    <w:rsid w:val="00244CE2"/>
    <w:rsid w:val="002518D5"/>
    <w:rsid w:val="002525A0"/>
    <w:rsid w:val="002541B4"/>
    <w:rsid w:val="00257456"/>
    <w:rsid w:val="002608DD"/>
    <w:rsid w:val="00273DAA"/>
    <w:rsid w:val="00275654"/>
    <w:rsid w:val="0027585E"/>
    <w:rsid w:val="002770F2"/>
    <w:rsid w:val="0028112A"/>
    <w:rsid w:val="0028239A"/>
    <w:rsid w:val="00291409"/>
    <w:rsid w:val="0029203D"/>
    <w:rsid w:val="00294AE4"/>
    <w:rsid w:val="0029599B"/>
    <w:rsid w:val="0029645D"/>
    <w:rsid w:val="002A2073"/>
    <w:rsid w:val="002A6AC3"/>
    <w:rsid w:val="002A6E3F"/>
    <w:rsid w:val="002B4F06"/>
    <w:rsid w:val="002B6D65"/>
    <w:rsid w:val="002C117E"/>
    <w:rsid w:val="002C42BD"/>
    <w:rsid w:val="002C42F7"/>
    <w:rsid w:val="002C45A5"/>
    <w:rsid w:val="002D0E07"/>
    <w:rsid w:val="002E1F69"/>
    <w:rsid w:val="002E2414"/>
    <w:rsid w:val="002F1965"/>
    <w:rsid w:val="002F4818"/>
    <w:rsid w:val="00301CA7"/>
    <w:rsid w:val="00307F0F"/>
    <w:rsid w:val="003139B0"/>
    <w:rsid w:val="00317DE1"/>
    <w:rsid w:val="0032124B"/>
    <w:rsid w:val="0032583B"/>
    <w:rsid w:val="0033015D"/>
    <w:rsid w:val="0034705E"/>
    <w:rsid w:val="00356E5D"/>
    <w:rsid w:val="00373375"/>
    <w:rsid w:val="00374B87"/>
    <w:rsid w:val="00375783"/>
    <w:rsid w:val="00375D29"/>
    <w:rsid w:val="00377DF6"/>
    <w:rsid w:val="0038195C"/>
    <w:rsid w:val="00385DB0"/>
    <w:rsid w:val="00392818"/>
    <w:rsid w:val="00395B1D"/>
    <w:rsid w:val="00397043"/>
    <w:rsid w:val="00397686"/>
    <w:rsid w:val="003A01A6"/>
    <w:rsid w:val="003A207E"/>
    <w:rsid w:val="003A4216"/>
    <w:rsid w:val="003A6578"/>
    <w:rsid w:val="003B2DCB"/>
    <w:rsid w:val="003B5022"/>
    <w:rsid w:val="003B5132"/>
    <w:rsid w:val="003B66D9"/>
    <w:rsid w:val="003C1C59"/>
    <w:rsid w:val="003C5CD0"/>
    <w:rsid w:val="003D1D3F"/>
    <w:rsid w:val="003D4A9D"/>
    <w:rsid w:val="003D70EC"/>
    <w:rsid w:val="003F102C"/>
    <w:rsid w:val="003F358B"/>
    <w:rsid w:val="003F6CF8"/>
    <w:rsid w:val="00401040"/>
    <w:rsid w:val="004062B3"/>
    <w:rsid w:val="00420AC2"/>
    <w:rsid w:val="00420EA4"/>
    <w:rsid w:val="00423528"/>
    <w:rsid w:val="0042575F"/>
    <w:rsid w:val="00425C9D"/>
    <w:rsid w:val="004320F5"/>
    <w:rsid w:val="00433A1E"/>
    <w:rsid w:val="0043672C"/>
    <w:rsid w:val="00442D42"/>
    <w:rsid w:val="004431EA"/>
    <w:rsid w:val="004453A9"/>
    <w:rsid w:val="00450A3C"/>
    <w:rsid w:val="00454DA8"/>
    <w:rsid w:val="0045748F"/>
    <w:rsid w:val="00475684"/>
    <w:rsid w:val="0048112B"/>
    <w:rsid w:val="004811B7"/>
    <w:rsid w:val="0048754D"/>
    <w:rsid w:val="00492845"/>
    <w:rsid w:val="00495A05"/>
    <w:rsid w:val="004A157B"/>
    <w:rsid w:val="004A3C4C"/>
    <w:rsid w:val="004A5BE9"/>
    <w:rsid w:val="004B0794"/>
    <w:rsid w:val="004B1888"/>
    <w:rsid w:val="004B3900"/>
    <w:rsid w:val="004B3F78"/>
    <w:rsid w:val="004C0CF9"/>
    <w:rsid w:val="004C3EB8"/>
    <w:rsid w:val="004C5C08"/>
    <w:rsid w:val="004C5EA0"/>
    <w:rsid w:val="004C682A"/>
    <w:rsid w:val="004D4E09"/>
    <w:rsid w:val="004D515E"/>
    <w:rsid w:val="004E0A8F"/>
    <w:rsid w:val="00500B84"/>
    <w:rsid w:val="005031B4"/>
    <w:rsid w:val="00505C13"/>
    <w:rsid w:val="00505EDA"/>
    <w:rsid w:val="00512A5B"/>
    <w:rsid w:val="005173B5"/>
    <w:rsid w:val="0052736D"/>
    <w:rsid w:val="00535F0B"/>
    <w:rsid w:val="00540258"/>
    <w:rsid w:val="00544428"/>
    <w:rsid w:val="005447DA"/>
    <w:rsid w:val="00544F23"/>
    <w:rsid w:val="005458CA"/>
    <w:rsid w:val="00547C2D"/>
    <w:rsid w:val="00552090"/>
    <w:rsid w:val="00553E4D"/>
    <w:rsid w:val="0055595A"/>
    <w:rsid w:val="00560835"/>
    <w:rsid w:val="00560DF9"/>
    <w:rsid w:val="00565E38"/>
    <w:rsid w:val="005705DC"/>
    <w:rsid w:val="00572761"/>
    <w:rsid w:val="00573BBB"/>
    <w:rsid w:val="005775EC"/>
    <w:rsid w:val="00577C24"/>
    <w:rsid w:val="00584524"/>
    <w:rsid w:val="00587E69"/>
    <w:rsid w:val="005929CB"/>
    <w:rsid w:val="005929DA"/>
    <w:rsid w:val="005A168C"/>
    <w:rsid w:val="005B4440"/>
    <w:rsid w:val="005B6BF8"/>
    <w:rsid w:val="005C14E8"/>
    <w:rsid w:val="005C27CE"/>
    <w:rsid w:val="005C60D2"/>
    <w:rsid w:val="005C6613"/>
    <w:rsid w:val="005C73B8"/>
    <w:rsid w:val="005D1782"/>
    <w:rsid w:val="005D3F52"/>
    <w:rsid w:val="005D5C62"/>
    <w:rsid w:val="005E096A"/>
    <w:rsid w:val="005E4158"/>
    <w:rsid w:val="005F73F2"/>
    <w:rsid w:val="00600C36"/>
    <w:rsid w:val="00601076"/>
    <w:rsid w:val="00601FD7"/>
    <w:rsid w:val="006039DF"/>
    <w:rsid w:val="00611458"/>
    <w:rsid w:val="00615DD6"/>
    <w:rsid w:val="00617BFB"/>
    <w:rsid w:val="006201BA"/>
    <w:rsid w:val="0062161B"/>
    <w:rsid w:val="00626B7F"/>
    <w:rsid w:val="00627A83"/>
    <w:rsid w:val="006326D9"/>
    <w:rsid w:val="00634AC3"/>
    <w:rsid w:val="00645684"/>
    <w:rsid w:val="006528C9"/>
    <w:rsid w:val="00653B62"/>
    <w:rsid w:val="00654072"/>
    <w:rsid w:val="006604F4"/>
    <w:rsid w:val="00664340"/>
    <w:rsid w:val="006645DF"/>
    <w:rsid w:val="006657E5"/>
    <w:rsid w:val="0066650D"/>
    <w:rsid w:val="006734D5"/>
    <w:rsid w:val="006917AB"/>
    <w:rsid w:val="00694D2E"/>
    <w:rsid w:val="006A2C1C"/>
    <w:rsid w:val="006A32B8"/>
    <w:rsid w:val="006A332B"/>
    <w:rsid w:val="006A7C57"/>
    <w:rsid w:val="006A7FAD"/>
    <w:rsid w:val="006B6A87"/>
    <w:rsid w:val="006B6C61"/>
    <w:rsid w:val="006B6D95"/>
    <w:rsid w:val="006C2B6E"/>
    <w:rsid w:val="006C7F48"/>
    <w:rsid w:val="006D156B"/>
    <w:rsid w:val="006E07B1"/>
    <w:rsid w:val="006E1CEA"/>
    <w:rsid w:val="006E4F5B"/>
    <w:rsid w:val="006E512C"/>
    <w:rsid w:val="006F0357"/>
    <w:rsid w:val="006F1FD5"/>
    <w:rsid w:val="0070560E"/>
    <w:rsid w:val="00706980"/>
    <w:rsid w:val="00711D2C"/>
    <w:rsid w:val="00716CA7"/>
    <w:rsid w:val="007217BD"/>
    <w:rsid w:val="007269D5"/>
    <w:rsid w:val="00727A1C"/>
    <w:rsid w:val="0073401E"/>
    <w:rsid w:val="007410B1"/>
    <w:rsid w:val="00746BCA"/>
    <w:rsid w:val="0075340B"/>
    <w:rsid w:val="007547E6"/>
    <w:rsid w:val="007600D5"/>
    <w:rsid w:val="00760D19"/>
    <w:rsid w:val="00763F26"/>
    <w:rsid w:val="00767BC5"/>
    <w:rsid w:val="007739C1"/>
    <w:rsid w:val="007760C6"/>
    <w:rsid w:val="0077614D"/>
    <w:rsid w:val="00783E8B"/>
    <w:rsid w:val="0079072D"/>
    <w:rsid w:val="0079160F"/>
    <w:rsid w:val="00797035"/>
    <w:rsid w:val="007A06E3"/>
    <w:rsid w:val="007B284A"/>
    <w:rsid w:val="007B2C72"/>
    <w:rsid w:val="007B31F0"/>
    <w:rsid w:val="007B5981"/>
    <w:rsid w:val="007B5D2C"/>
    <w:rsid w:val="007C0D74"/>
    <w:rsid w:val="007C5F52"/>
    <w:rsid w:val="007D0CCE"/>
    <w:rsid w:val="007D154B"/>
    <w:rsid w:val="007D428B"/>
    <w:rsid w:val="007D525D"/>
    <w:rsid w:val="007E0939"/>
    <w:rsid w:val="007E1D3A"/>
    <w:rsid w:val="00805630"/>
    <w:rsid w:val="008105BC"/>
    <w:rsid w:val="008136DD"/>
    <w:rsid w:val="00815A29"/>
    <w:rsid w:val="008177E9"/>
    <w:rsid w:val="008262BF"/>
    <w:rsid w:val="00831E7B"/>
    <w:rsid w:val="008330E0"/>
    <w:rsid w:val="00840550"/>
    <w:rsid w:val="00842307"/>
    <w:rsid w:val="00843805"/>
    <w:rsid w:val="00850FE5"/>
    <w:rsid w:val="008510DA"/>
    <w:rsid w:val="00860742"/>
    <w:rsid w:val="00865F50"/>
    <w:rsid w:val="00866029"/>
    <w:rsid w:val="0087028A"/>
    <w:rsid w:val="00875293"/>
    <w:rsid w:val="00881E9B"/>
    <w:rsid w:val="00883A4E"/>
    <w:rsid w:val="00886ADA"/>
    <w:rsid w:val="00887C30"/>
    <w:rsid w:val="00891E00"/>
    <w:rsid w:val="00892ACA"/>
    <w:rsid w:val="00894F1C"/>
    <w:rsid w:val="008A2503"/>
    <w:rsid w:val="008A3C1B"/>
    <w:rsid w:val="008A6192"/>
    <w:rsid w:val="008A69F0"/>
    <w:rsid w:val="008A6AE2"/>
    <w:rsid w:val="008A7A6C"/>
    <w:rsid w:val="008B4793"/>
    <w:rsid w:val="008B78D2"/>
    <w:rsid w:val="008C2C62"/>
    <w:rsid w:val="008C4255"/>
    <w:rsid w:val="008C50BB"/>
    <w:rsid w:val="008D04D7"/>
    <w:rsid w:val="008D1046"/>
    <w:rsid w:val="008D2022"/>
    <w:rsid w:val="008E15E3"/>
    <w:rsid w:val="008E201B"/>
    <w:rsid w:val="008E5879"/>
    <w:rsid w:val="008F369B"/>
    <w:rsid w:val="008F439F"/>
    <w:rsid w:val="008F48EB"/>
    <w:rsid w:val="00902237"/>
    <w:rsid w:val="00907A5D"/>
    <w:rsid w:val="009153DC"/>
    <w:rsid w:val="00915EF0"/>
    <w:rsid w:val="00922BBE"/>
    <w:rsid w:val="00936780"/>
    <w:rsid w:val="0094280F"/>
    <w:rsid w:val="00942F66"/>
    <w:rsid w:val="009504EB"/>
    <w:rsid w:val="00956A3D"/>
    <w:rsid w:val="00956B43"/>
    <w:rsid w:val="009612BB"/>
    <w:rsid w:val="009619A9"/>
    <w:rsid w:val="00962305"/>
    <w:rsid w:val="00966431"/>
    <w:rsid w:val="00966A12"/>
    <w:rsid w:val="009779CA"/>
    <w:rsid w:val="00977C91"/>
    <w:rsid w:val="00977E2C"/>
    <w:rsid w:val="0098078E"/>
    <w:rsid w:val="00987837"/>
    <w:rsid w:val="009A4D2A"/>
    <w:rsid w:val="009B5B05"/>
    <w:rsid w:val="009B6C5E"/>
    <w:rsid w:val="009C108F"/>
    <w:rsid w:val="009C25CD"/>
    <w:rsid w:val="009D085E"/>
    <w:rsid w:val="009D64B3"/>
    <w:rsid w:val="009E3FD8"/>
    <w:rsid w:val="009E4E08"/>
    <w:rsid w:val="009E61A2"/>
    <w:rsid w:val="009F2C6B"/>
    <w:rsid w:val="00A02CFA"/>
    <w:rsid w:val="00A06B19"/>
    <w:rsid w:val="00A0773B"/>
    <w:rsid w:val="00A07DB9"/>
    <w:rsid w:val="00A130A9"/>
    <w:rsid w:val="00A15505"/>
    <w:rsid w:val="00A17859"/>
    <w:rsid w:val="00A277E4"/>
    <w:rsid w:val="00A32B64"/>
    <w:rsid w:val="00A41A92"/>
    <w:rsid w:val="00A44156"/>
    <w:rsid w:val="00A45FA4"/>
    <w:rsid w:val="00A47EAC"/>
    <w:rsid w:val="00A555F5"/>
    <w:rsid w:val="00A64CD7"/>
    <w:rsid w:val="00A65D1B"/>
    <w:rsid w:val="00A715D7"/>
    <w:rsid w:val="00A73E9E"/>
    <w:rsid w:val="00A80145"/>
    <w:rsid w:val="00A8602E"/>
    <w:rsid w:val="00A864C8"/>
    <w:rsid w:val="00A92DA7"/>
    <w:rsid w:val="00A9369C"/>
    <w:rsid w:val="00AA05A5"/>
    <w:rsid w:val="00AA1326"/>
    <w:rsid w:val="00AB197F"/>
    <w:rsid w:val="00AB49D4"/>
    <w:rsid w:val="00AC17F8"/>
    <w:rsid w:val="00AC2967"/>
    <w:rsid w:val="00AC3D83"/>
    <w:rsid w:val="00AC5127"/>
    <w:rsid w:val="00AD3D0A"/>
    <w:rsid w:val="00AE61FD"/>
    <w:rsid w:val="00AF01EA"/>
    <w:rsid w:val="00AF13DE"/>
    <w:rsid w:val="00AF2462"/>
    <w:rsid w:val="00AF34B9"/>
    <w:rsid w:val="00AF6D35"/>
    <w:rsid w:val="00B0056C"/>
    <w:rsid w:val="00B106C4"/>
    <w:rsid w:val="00B10B5B"/>
    <w:rsid w:val="00B159E7"/>
    <w:rsid w:val="00B21FA1"/>
    <w:rsid w:val="00B23E26"/>
    <w:rsid w:val="00B25955"/>
    <w:rsid w:val="00B31449"/>
    <w:rsid w:val="00B332FC"/>
    <w:rsid w:val="00B35D3C"/>
    <w:rsid w:val="00B42641"/>
    <w:rsid w:val="00B42CEA"/>
    <w:rsid w:val="00B5005D"/>
    <w:rsid w:val="00B70009"/>
    <w:rsid w:val="00B81BED"/>
    <w:rsid w:val="00B902DF"/>
    <w:rsid w:val="00B9282C"/>
    <w:rsid w:val="00B93D29"/>
    <w:rsid w:val="00BA0BA3"/>
    <w:rsid w:val="00BA2344"/>
    <w:rsid w:val="00BA5540"/>
    <w:rsid w:val="00BB1D20"/>
    <w:rsid w:val="00BB2EAB"/>
    <w:rsid w:val="00BB5D1B"/>
    <w:rsid w:val="00BB7E0C"/>
    <w:rsid w:val="00BC3BB9"/>
    <w:rsid w:val="00BC74D5"/>
    <w:rsid w:val="00BD3D33"/>
    <w:rsid w:val="00BD4C95"/>
    <w:rsid w:val="00BE3611"/>
    <w:rsid w:val="00BE3F12"/>
    <w:rsid w:val="00BF0E22"/>
    <w:rsid w:val="00BF49FF"/>
    <w:rsid w:val="00BF671A"/>
    <w:rsid w:val="00C05E4F"/>
    <w:rsid w:val="00C15325"/>
    <w:rsid w:val="00C257EF"/>
    <w:rsid w:val="00C27751"/>
    <w:rsid w:val="00C3028B"/>
    <w:rsid w:val="00C403F6"/>
    <w:rsid w:val="00C40EF3"/>
    <w:rsid w:val="00C44F50"/>
    <w:rsid w:val="00C50E8C"/>
    <w:rsid w:val="00C51400"/>
    <w:rsid w:val="00C53024"/>
    <w:rsid w:val="00C56513"/>
    <w:rsid w:val="00C6057A"/>
    <w:rsid w:val="00C702AD"/>
    <w:rsid w:val="00C806C3"/>
    <w:rsid w:val="00C80CDF"/>
    <w:rsid w:val="00C81B26"/>
    <w:rsid w:val="00C8258E"/>
    <w:rsid w:val="00C922E9"/>
    <w:rsid w:val="00CA1397"/>
    <w:rsid w:val="00CA2D40"/>
    <w:rsid w:val="00CB36AE"/>
    <w:rsid w:val="00CC091B"/>
    <w:rsid w:val="00CC5079"/>
    <w:rsid w:val="00CC7D02"/>
    <w:rsid w:val="00CD099B"/>
    <w:rsid w:val="00CD1BCA"/>
    <w:rsid w:val="00CD78E5"/>
    <w:rsid w:val="00CF4F4A"/>
    <w:rsid w:val="00CF6828"/>
    <w:rsid w:val="00D054FE"/>
    <w:rsid w:val="00D06C9F"/>
    <w:rsid w:val="00D0778E"/>
    <w:rsid w:val="00D15BC0"/>
    <w:rsid w:val="00D16497"/>
    <w:rsid w:val="00D173E1"/>
    <w:rsid w:val="00D22F1D"/>
    <w:rsid w:val="00D26357"/>
    <w:rsid w:val="00D346CB"/>
    <w:rsid w:val="00D34AD2"/>
    <w:rsid w:val="00D50331"/>
    <w:rsid w:val="00D51F17"/>
    <w:rsid w:val="00D56EFE"/>
    <w:rsid w:val="00D576AA"/>
    <w:rsid w:val="00D63130"/>
    <w:rsid w:val="00D729E0"/>
    <w:rsid w:val="00D73CDC"/>
    <w:rsid w:val="00D86C41"/>
    <w:rsid w:val="00D87351"/>
    <w:rsid w:val="00D90081"/>
    <w:rsid w:val="00D91B1B"/>
    <w:rsid w:val="00D91CD9"/>
    <w:rsid w:val="00D92426"/>
    <w:rsid w:val="00D93566"/>
    <w:rsid w:val="00D93B95"/>
    <w:rsid w:val="00DA0819"/>
    <w:rsid w:val="00DA395E"/>
    <w:rsid w:val="00DA5EFA"/>
    <w:rsid w:val="00DB0256"/>
    <w:rsid w:val="00DB0389"/>
    <w:rsid w:val="00DB7056"/>
    <w:rsid w:val="00DB7640"/>
    <w:rsid w:val="00DB7FE0"/>
    <w:rsid w:val="00DC015A"/>
    <w:rsid w:val="00DC09DE"/>
    <w:rsid w:val="00DC2018"/>
    <w:rsid w:val="00DC5F31"/>
    <w:rsid w:val="00DD095E"/>
    <w:rsid w:val="00DE0FB0"/>
    <w:rsid w:val="00DE185E"/>
    <w:rsid w:val="00DE2627"/>
    <w:rsid w:val="00DE484E"/>
    <w:rsid w:val="00DE5B66"/>
    <w:rsid w:val="00DE75E2"/>
    <w:rsid w:val="00DF3749"/>
    <w:rsid w:val="00E02D67"/>
    <w:rsid w:val="00E02F92"/>
    <w:rsid w:val="00E04E99"/>
    <w:rsid w:val="00E1120E"/>
    <w:rsid w:val="00E12F7B"/>
    <w:rsid w:val="00E155AF"/>
    <w:rsid w:val="00E17227"/>
    <w:rsid w:val="00E20670"/>
    <w:rsid w:val="00E21A8B"/>
    <w:rsid w:val="00E25A4A"/>
    <w:rsid w:val="00E25AC3"/>
    <w:rsid w:val="00E26483"/>
    <w:rsid w:val="00E34A6A"/>
    <w:rsid w:val="00E34B9A"/>
    <w:rsid w:val="00E3608B"/>
    <w:rsid w:val="00E376A2"/>
    <w:rsid w:val="00E433D0"/>
    <w:rsid w:val="00E45B27"/>
    <w:rsid w:val="00E6162A"/>
    <w:rsid w:val="00E63DB7"/>
    <w:rsid w:val="00E640FB"/>
    <w:rsid w:val="00E720E8"/>
    <w:rsid w:val="00E74811"/>
    <w:rsid w:val="00E757E2"/>
    <w:rsid w:val="00E808DB"/>
    <w:rsid w:val="00E8180D"/>
    <w:rsid w:val="00E84E44"/>
    <w:rsid w:val="00EA2D5C"/>
    <w:rsid w:val="00EB02E2"/>
    <w:rsid w:val="00EB5269"/>
    <w:rsid w:val="00EB6ECB"/>
    <w:rsid w:val="00EC2854"/>
    <w:rsid w:val="00EC5A77"/>
    <w:rsid w:val="00ED585C"/>
    <w:rsid w:val="00ED7CAB"/>
    <w:rsid w:val="00EE008F"/>
    <w:rsid w:val="00EF0695"/>
    <w:rsid w:val="00EF136E"/>
    <w:rsid w:val="00EF31B8"/>
    <w:rsid w:val="00EF3C6C"/>
    <w:rsid w:val="00EF4C37"/>
    <w:rsid w:val="00F0146C"/>
    <w:rsid w:val="00F043F7"/>
    <w:rsid w:val="00F15EAA"/>
    <w:rsid w:val="00F16C77"/>
    <w:rsid w:val="00F1736B"/>
    <w:rsid w:val="00F17E3A"/>
    <w:rsid w:val="00F32D2F"/>
    <w:rsid w:val="00F36A4D"/>
    <w:rsid w:val="00F36D90"/>
    <w:rsid w:val="00F44B70"/>
    <w:rsid w:val="00F5027B"/>
    <w:rsid w:val="00F504D4"/>
    <w:rsid w:val="00F6071D"/>
    <w:rsid w:val="00F61533"/>
    <w:rsid w:val="00F615CC"/>
    <w:rsid w:val="00F675FB"/>
    <w:rsid w:val="00F7054A"/>
    <w:rsid w:val="00F7224D"/>
    <w:rsid w:val="00F73B4E"/>
    <w:rsid w:val="00F952D6"/>
    <w:rsid w:val="00F97715"/>
    <w:rsid w:val="00FA0A15"/>
    <w:rsid w:val="00FA1D32"/>
    <w:rsid w:val="00FA6630"/>
    <w:rsid w:val="00FB3DE9"/>
    <w:rsid w:val="00FB7BA5"/>
    <w:rsid w:val="00FB7D74"/>
    <w:rsid w:val="00FC0C47"/>
    <w:rsid w:val="00FC27AA"/>
    <w:rsid w:val="00FC3174"/>
    <w:rsid w:val="00FC55E0"/>
    <w:rsid w:val="00FD4F56"/>
    <w:rsid w:val="00FD4FCF"/>
    <w:rsid w:val="00FF07D8"/>
    <w:rsid w:val="00FF4DB5"/>
    <w:rsid w:val="00FF5725"/>
    <w:rsid w:val="00FF6483"/>
    <w:rsid w:val="00FF73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D14477"/>
  <w15:chartTrackingRefBased/>
  <w15:docId w15:val="{5063F06A-232A-426D-9D8E-021171DB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4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2B6D65"/>
    <w:pPr>
      <w:keepNext/>
      <w:spacing w:after="240"/>
      <w:ind w:left="720" w:hanging="720"/>
      <w:outlineLvl w:val="0"/>
    </w:pPr>
    <w:rPr>
      <w:rFonts w:ascii="Times New Roman Bold" w:eastAsia="Calibri" w:hAnsi="Times New Roman Bold"/>
      <w:b/>
      <w:caps/>
      <w:kern w:val="32"/>
      <w:szCs w:val="20"/>
    </w:rPr>
  </w:style>
  <w:style w:type="paragraph" w:styleId="Heading2">
    <w:name w:val="heading 2"/>
    <w:basedOn w:val="Normal"/>
    <w:next w:val="Normal"/>
    <w:link w:val="Heading2Char"/>
    <w:uiPriority w:val="9"/>
    <w:unhideWhenUsed/>
    <w:qFormat/>
    <w:rsid w:val="00002F6C"/>
    <w:pPr>
      <w:keepNext/>
      <w:keepLines/>
      <w:spacing w:after="240"/>
      <w:ind w:left="1440" w:hanging="72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uiPriority w:val="9"/>
    <w:semiHidden/>
    <w:unhideWhenUsed/>
    <w:qFormat/>
    <w:rsid w:val="00FF64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autoRedefine/>
    <w:unhideWhenUsed/>
    <w:qFormat/>
    <w:rsid w:val="00EF0695"/>
    <w:pPr>
      <w:spacing w:after="120"/>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EF069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E0FB0"/>
    <w:rPr>
      <w:color w:val="00008B"/>
      <w:u w:val="single"/>
    </w:rPr>
  </w:style>
  <w:style w:type="paragraph" w:styleId="ListParagraph">
    <w:name w:val="List Paragraph"/>
    <w:basedOn w:val="Normal"/>
    <w:uiPriority w:val="34"/>
    <w:qFormat/>
    <w:rsid w:val="00DE0FB0"/>
    <w:pPr>
      <w:ind w:left="720"/>
      <w:contextualSpacing/>
    </w:pPr>
  </w:style>
  <w:style w:type="character" w:styleId="FootnoteReference">
    <w:name w:val="footnote reference"/>
    <w:aliases w:val="(NECG) Footnote Reference,Appel note de bas de p,Style 12,Style 124,Style 13,Style 3,fr,o"/>
    <w:basedOn w:val="DefaultParagraphFont"/>
    <w:uiPriority w:val="99"/>
    <w:unhideWhenUsed/>
    <w:rsid w:val="00DE0FB0"/>
    <w:rPr>
      <w:vertAlign w:val="superscript"/>
    </w:rPr>
  </w:style>
  <w:style w:type="character" w:customStyle="1" w:styleId="apple-converted-space">
    <w:name w:val="apple-converted-space"/>
    <w:basedOn w:val="DefaultParagraphFont"/>
    <w:rsid w:val="00DE0FB0"/>
  </w:style>
  <w:style w:type="table" w:styleId="TableGrid">
    <w:name w:val="Table Grid"/>
    <w:basedOn w:val="TableNormal"/>
    <w:uiPriority w:val="59"/>
    <w:rsid w:val="00DE0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C117E"/>
    <w:pPr>
      <w:tabs>
        <w:tab w:val="center" w:pos="4680"/>
        <w:tab w:val="right" w:pos="9360"/>
      </w:tabs>
    </w:pPr>
  </w:style>
  <w:style w:type="character" w:customStyle="1" w:styleId="HeaderChar">
    <w:name w:val="Header Char"/>
    <w:basedOn w:val="DefaultParagraphFont"/>
    <w:link w:val="Header"/>
    <w:uiPriority w:val="99"/>
    <w:rsid w:val="002C117E"/>
    <w:rPr>
      <w:rFonts w:ascii="Times New Roman" w:eastAsia="Times New Roman" w:hAnsi="Times New Roman" w:cs="Times New Roman"/>
      <w:sz w:val="24"/>
      <w:szCs w:val="24"/>
    </w:rPr>
  </w:style>
  <w:style w:type="paragraph" w:styleId="Footer">
    <w:name w:val="footer"/>
    <w:aliases w:val="Char1"/>
    <w:basedOn w:val="Normal"/>
    <w:link w:val="FooterChar"/>
    <w:uiPriority w:val="99"/>
    <w:unhideWhenUsed/>
    <w:rsid w:val="002C117E"/>
    <w:pPr>
      <w:tabs>
        <w:tab w:val="center" w:pos="4680"/>
        <w:tab w:val="right" w:pos="9360"/>
      </w:tabs>
    </w:pPr>
  </w:style>
  <w:style w:type="character" w:customStyle="1" w:styleId="FooterChar">
    <w:name w:val="Footer Char"/>
    <w:aliases w:val="Char1 Char"/>
    <w:basedOn w:val="DefaultParagraphFont"/>
    <w:link w:val="Footer"/>
    <w:uiPriority w:val="99"/>
    <w:rsid w:val="002C11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D6"/>
    <w:rPr>
      <w:rFonts w:ascii="Segoe UI" w:eastAsia="Times New Roman" w:hAnsi="Segoe UI" w:cs="Segoe UI"/>
      <w:sz w:val="18"/>
      <w:szCs w:val="18"/>
    </w:rPr>
  </w:style>
  <w:style w:type="character" w:customStyle="1" w:styleId="Heading1Char">
    <w:name w:val="Heading 1 Char"/>
    <w:basedOn w:val="DefaultParagraphFont"/>
    <w:link w:val="Heading1"/>
    <w:uiPriority w:val="99"/>
    <w:rsid w:val="002B6D65"/>
    <w:rPr>
      <w:rFonts w:ascii="Times New Roman Bold" w:eastAsia="Calibri" w:hAnsi="Times New Roman Bold" w:cs="Times New Roman"/>
      <w:b/>
      <w:caps/>
      <w:kern w:val="32"/>
      <w:sz w:val="24"/>
      <w:szCs w:val="20"/>
    </w:r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uiPriority w:val="99"/>
    <w:locked/>
    <w:rsid w:val="00F952D6"/>
    <w:rPr>
      <w:rFonts w:eastAsia="Times New Roman"/>
      <w:color w:val="000000"/>
      <w:szCs w:val="19"/>
    </w:rPr>
  </w:style>
  <w:style w:type="paragraph" w:styleId="CommentText">
    <w:name w:val="annotation text"/>
    <w:basedOn w:val="Normal"/>
    <w:link w:val="CommentTextChar"/>
    <w:rsid w:val="00D87351"/>
    <w:rPr>
      <w:szCs w:val="20"/>
    </w:rPr>
  </w:style>
  <w:style w:type="character" w:customStyle="1" w:styleId="CommentTextChar">
    <w:name w:val="Comment Text Char"/>
    <w:basedOn w:val="DefaultParagraphFont"/>
    <w:link w:val="CommentText"/>
    <w:rsid w:val="00D87351"/>
    <w:rPr>
      <w:rFonts w:ascii="Times New Roman" w:eastAsia="Times New Roman" w:hAnsi="Times New Roman" w:cs="Times New Roman"/>
      <w:sz w:val="24"/>
      <w:szCs w:val="20"/>
    </w:rPr>
  </w:style>
  <w:style w:type="character" w:styleId="CommentReference">
    <w:name w:val="annotation reference"/>
    <w:uiPriority w:val="99"/>
    <w:semiHidden/>
    <w:rsid w:val="00D87351"/>
    <w:rPr>
      <w:rFonts w:cs="Times New Roman"/>
      <w:sz w:val="18"/>
    </w:rPr>
  </w:style>
  <w:style w:type="paragraph" w:styleId="BodyText">
    <w:name w:val="Body Text"/>
    <w:basedOn w:val="Normal"/>
    <w:link w:val="BodyTextChar"/>
    <w:uiPriority w:val="99"/>
    <w:rsid w:val="00D87351"/>
    <w:pPr>
      <w:tabs>
        <w:tab w:val="left" w:pos="0"/>
        <w:tab w:val="left" w:pos="720"/>
      </w:tabs>
      <w:spacing w:line="480" w:lineRule="auto"/>
      <w:ind w:firstLine="720"/>
    </w:pPr>
    <w:rPr>
      <w:szCs w:val="20"/>
    </w:rPr>
  </w:style>
  <w:style w:type="character" w:customStyle="1" w:styleId="BodyTextChar">
    <w:name w:val="Body Text Char"/>
    <w:basedOn w:val="DefaultParagraphFont"/>
    <w:link w:val="BodyText"/>
    <w:uiPriority w:val="99"/>
    <w:rsid w:val="00D8735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D873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1B1B"/>
    <w:rPr>
      <w:b/>
      <w:bCs/>
      <w:sz w:val="20"/>
    </w:rPr>
  </w:style>
  <w:style w:type="character" w:customStyle="1" w:styleId="CommentSubjectChar">
    <w:name w:val="Comment Subject Char"/>
    <w:basedOn w:val="CommentTextChar"/>
    <w:link w:val="CommentSubject"/>
    <w:uiPriority w:val="99"/>
    <w:semiHidden/>
    <w:rsid w:val="00D91B1B"/>
    <w:rPr>
      <w:rFonts w:ascii="Times New Roman" w:eastAsia="Times New Roman" w:hAnsi="Times New Roman" w:cs="Times New Roman"/>
      <w:b/>
      <w:bCs/>
      <w:sz w:val="20"/>
      <w:szCs w:val="20"/>
    </w:rPr>
  </w:style>
  <w:style w:type="paragraph" w:customStyle="1" w:styleId="indexheadin">
    <w:name w:val="index headin"/>
    <w:rsid w:val="009779CA"/>
    <w:pPr>
      <w:widowControl w:val="0"/>
      <w:tabs>
        <w:tab w:val="left" w:pos="-720"/>
      </w:tabs>
      <w:suppressAutoHyphens/>
      <w:spacing w:after="0" w:line="240" w:lineRule="auto"/>
    </w:pPr>
    <w:rPr>
      <w:rFonts w:ascii="Courier New" w:eastAsia="Times New Roman" w:hAnsi="Courier New" w:cs="Times New Roman"/>
      <w:b/>
      <w:snapToGrid w:val="0"/>
      <w:sz w:val="24"/>
      <w:szCs w:val="20"/>
    </w:rPr>
  </w:style>
  <w:style w:type="paragraph" w:styleId="HTMLPreformatted">
    <w:name w:val="HTML Preformatted"/>
    <w:aliases w:val=" Char,Char"/>
    <w:basedOn w:val="Normal"/>
    <w:link w:val="HTMLPreformattedChar"/>
    <w:rsid w:val="0097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9779CA"/>
    <w:rPr>
      <w:rFonts w:ascii="Courier New" w:eastAsia="Courier New" w:hAnsi="Courier New" w:cs="Courier New"/>
      <w:sz w:val="20"/>
      <w:szCs w:val="20"/>
    </w:rPr>
  </w:style>
  <w:style w:type="character" w:customStyle="1" w:styleId="UnresolvedMention2">
    <w:name w:val="Unresolved Mention2"/>
    <w:basedOn w:val="DefaultParagraphFont"/>
    <w:uiPriority w:val="99"/>
    <w:semiHidden/>
    <w:unhideWhenUsed/>
    <w:rsid w:val="0029203D"/>
    <w:rPr>
      <w:color w:val="605E5C"/>
      <w:shd w:val="clear" w:color="auto" w:fill="E1DFDD"/>
    </w:rPr>
  </w:style>
  <w:style w:type="character" w:customStyle="1" w:styleId="Heading2Char">
    <w:name w:val="Heading 2 Char"/>
    <w:basedOn w:val="DefaultParagraphFont"/>
    <w:link w:val="Heading2"/>
    <w:uiPriority w:val="9"/>
    <w:rsid w:val="00002F6C"/>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semiHidden/>
    <w:rsid w:val="00FF6483"/>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D91CD9"/>
    <w:pPr>
      <w:tabs>
        <w:tab w:val="left" w:pos="720"/>
        <w:tab w:val="decimal" w:leader="dot" w:pos="9360"/>
      </w:tabs>
      <w:spacing w:after="240"/>
      <w:ind w:left="720" w:hanging="720"/>
    </w:pPr>
    <w:rPr>
      <w:caps/>
    </w:rPr>
  </w:style>
  <w:style w:type="paragraph" w:styleId="TOC2">
    <w:name w:val="toc 2"/>
    <w:basedOn w:val="Normal"/>
    <w:next w:val="Normal"/>
    <w:autoRedefine/>
    <w:uiPriority w:val="39"/>
    <w:unhideWhenUsed/>
    <w:rsid w:val="00D91CD9"/>
    <w:pPr>
      <w:tabs>
        <w:tab w:val="left" w:pos="720"/>
        <w:tab w:val="decimal" w:leader="dot" w:pos="9360"/>
      </w:tabs>
      <w:spacing w:after="240"/>
      <w:ind w:left="1440" w:hanging="720"/>
    </w:pPr>
  </w:style>
  <w:style w:type="paragraph" w:styleId="BodyTextIndent3">
    <w:name w:val="Body Text Indent 3"/>
    <w:basedOn w:val="Normal"/>
    <w:link w:val="BodyTextIndent3Char"/>
    <w:uiPriority w:val="99"/>
    <w:unhideWhenUsed/>
    <w:rsid w:val="008D2022"/>
    <w:pPr>
      <w:spacing w:after="120"/>
      <w:ind w:left="360"/>
    </w:pPr>
    <w:rPr>
      <w:sz w:val="16"/>
      <w:szCs w:val="16"/>
    </w:rPr>
  </w:style>
  <w:style w:type="character" w:customStyle="1" w:styleId="BodyTextIndent3Char">
    <w:name w:val="Body Text Indent 3 Char"/>
    <w:basedOn w:val="DefaultParagraphFont"/>
    <w:link w:val="BodyTextIndent3"/>
    <w:uiPriority w:val="99"/>
    <w:rsid w:val="008D2022"/>
    <w:rPr>
      <w:rFonts w:ascii="Times New Roman" w:eastAsia="Times New Roman" w:hAnsi="Times New Roman" w:cs="Times New Roman"/>
      <w:sz w:val="16"/>
      <w:szCs w:val="16"/>
    </w:rPr>
  </w:style>
  <w:style w:type="paragraph" w:styleId="TOC3">
    <w:name w:val="toc 3"/>
    <w:basedOn w:val="Normal"/>
    <w:next w:val="Normal"/>
    <w:autoRedefine/>
    <w:uiPriority w:val="39"/>
    <w:unhideWhenUsed/>
    <w:rsid w:val="005E4158"/>
    <w:pPr>
      <w:spacing w:after="100"/>
      <w:ind w:left="480"/>
    </w:pPr>
  </w:style>
  <w:style w:type="paragraph" w:styleId="Revision">
    <w:name w:val="Revision"/>
    <w:hidden/>
    <w:uiPriority w:val="99"/>
    <w:semiHidden/>
    <w:rsid w:val="00E34B9A"/>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rsid w:val="00AC5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occo.dascenzo@duke-energy.com" TargetMode="External" /><Relationship Id="rId11" Type="http://schemas.openxmlformats.org/officeDocument/2006/relationships/hyperlink" Target="mailto:jeanne.kingery@duke-energy.com" TargetMode="External" /><Relationship Id="rId12" Type="http://schemas.openxmlformats.org/officeDocument/2006/relationships/hyperlink" Target="mailto:larisa.vaysman@duke-energy.com" TargetMode="External" /><Relationship Id="rId13" Type="http://schemas.openxmlformats.org/officeDocument/2006/relationships/hyperlink" Target="mailto:elyse.akhbari@duke-energy.co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jones@ohioago.gov" TargetMode="External" /><Relationship Id="rId8" Type="http://schemas.openxmlformats.org/officeDocument/2006/relationships/hyperlink" Target="mailto:matthew.sandor@puco.ohio.gov" TargetMode="External" /><Relationship Id="rId9" Type="http://schemas.openxmlformats.org/officeDocument/2006/relationships/hyperlink" Target="mailto:nicholas.walstra@puco.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69F5-FC1B-44A3-A219-ACFFDE2D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2023-10-03T17:25:42Z</dcterms:created>
  <dcterms:modified xsi:type="dcterms:W3CDTF">2023-10-03T17:25:42Z</dcterms:modified>
</cp:coreProperties>
</file>