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27156E" w:rsidRPr="003528CC" w:rsidP="0027156E">
      <w:pPr>
        <w:jc w:val="center"/>
        <w:rPr>
          <w:b/>
          <w:bCs/>
        </w:rPr>
      </w:pPr>
      <w:bookmarkStart w:id="0" w:name="_GoBack"/>
      <w:bookmarkEnd w:id="0"/>
      <w:r w:rsidRPr="003528CC">
        <w:rPr>
          <w:b/>
        </w:rPr>
        <w:t>BEFORE</w:t>
      </w:r>
    </w:p>
    <w:p w:rsidR="0027156E" w:rsidRPr="003528CC" w:rsidP="0027156E">
      <w:pPr>
        <w:jc w:val="center"/>
        <w:rPr>
          <w:b/>
        </w:rPr>
      </w:pPr>
      <w:r w:rsidRPr="003528CC">
        <w:rPr>
          <w:b/>
        </w:rPr>
        <w:t>THE</w:t>
      </w:r>
      <w:r w:rsidRPr="003528CC">
        <w:rPr>
          <w:b/>
          <w:spacing w:val="-10"/>
        </w:rPr>
        <w:t xml:space="preserve"> </w:t>
      </w:r>
      <w:r w:rsidRPr="003528CC">
        <w:rPr>
          <w:b/>
          <w:spacing w:val="-1"/>
        </w:rPr>
        <w:t>PUBLIC</w:t>
      </w:r>
      <w:r w:rsidRPr="003528CC">
        <w:rPr>
          <w:b/>
          <w:spacing w:val="-12"/>
        </w:rPr>
        <w:t xml:space="preserve"> </w:t>
      </w:r>
      <w:r w:rsidRPr="003528CC">
        <w:rPr>
          <w:b/>
        </w:rPr>
        <w:t>UTILITIES</w:t>
      </w:r>
      <w:r w:rsidRPr="003528CC">
        <w:rPr>
          <w:b/>
          <w:spacing w:val="-10"/>
        </w:rPr>
        <w:t xml:space="preserve"> </w:t>
      </w:r>
      <w:r w:rsidRPr="003528CC">
        <w:rPr>
          <w:b/>
          <w:spacing w:val="-1"/>
        </w:rPr>
        <w:t>COMMISSION</w:t>
      </w:r>
      <w:r w:rsidRPr="003528CC">
        <w:rPr>
          <w:b/>
          <w:spacing w:val="-11"/>
        </w:rPr>
        <w:t xml:space="preserve"> </w:t>
      </w:r>
      <w:r w:rsidRPr="003528CC">
        <w:rPr>
          <w:b/>
          <w:spacing w:val="-1"/>
        </w:rPr>
        <w:t>OF</w:t>
      </w:r>
      <w:r w:rsidRPr="003528CC">
        <w:rPr>
          <w:b/>
          <w:spacing w:val="-13"/>
        </w:rPr>
        <w:t xml:space="preserve"> O</w:t>
      </w:r>
      <w:r w:rsidRPr="003528CC">
        <w:rPr>
          <w:b/>
        </w:rPr>
        <w:t>HIO</w:t>
      </w:r>
    </w:p>
    <w:p w:rsidR="0027156E" w:rsidP="0027156E">
      <w:pPr>
        <w:ind w:left="1679" w:right="1679"/>
        <w:jc w:val="center"/>
        <w:rPr>
          <w:rFonts w:eastAsia="Times New Roman" w:cs="Times New Roman"/>
          <w:szCs w:val="24"/>
        </w:rPr>
      </w:pPr>
    </w:p>
    <w:tbl>
      <w:tblPr>
        <w:tblW w:w="9092" w:type="dxa"/>
        <w:tblInd w:w="0" w:type="dxa"/>
        <w:tblCellMar>
          <w:top w:w="0" w:type="dxa"/>
          <w:left w:w="108" w:type="dxa"/>
          <w:bottom w:w="0" w:type="dxa"/>
          <w:right w:w="108" w:type="dxa"/>
        </w:tblCellMar>
        <w:tblLook w:val="01E0"/>
      </w:tblPr>
      <w:tblGrid>
        <w:gridCol w:w="4396"/>
        <w:gridCol w:w="296"/>
        <w:gridCol w:w="4400"/>
      </w:tblGrid>
      <w:tr w:rsidTr="0040117B">
        <w:tblPrEx>
          <w:tblW w:w="9092" w:type="dxa"/>
          <w:tblInd w:w="0" w:type="dxa"/>
          <w:tblCellMar>
            <w:top w:w="0" w:type="dxa"/>
            <w:left w:w="108" w:type="dxa"/>
            <w:bottom w:w="0" w:type="dxa"/>
            <w:right w:w="108" w:type="dxa"/>
          </w:tblCellMar>
          <w:tblLook w:val="01E0"/>
        </w:tblPrEx>
        <w:trPr>
          <w:trHeight w:val="807"/>
        </w:trPr>
        <w:tc>
          <w:tcPr>
            <w:tcW w:w="4396" w:type="dxa"/>
            <w:shd w:val="clear" w:color="auto" w:fill="auto"/>
          </w:tcPr>
          <w:p w:rsidR="0027156E" w:rsidRPr="006729F4" w:rsidP="0040117B">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r w:rsidRPr="006729F4">
              <w:rPr>
                <w:rFonts w:ascii="Times New Roman" w:eastAsia="Times New Roman" w:hAnsi="Times New Roman" w:cs="Times New Roman"/>
                <w:sz w:val="24"/>
                <w:szCs w:val="24"/>
                <w:lang w:val="en-US" w:eastAsia="en-US" w:bidi="ar-SA"/>
              </w:rPr>
              <w:t xml:space="preserve">In the Matter of the Application of Duke Energy Ohio, Inc. for Authority to Defer Environmental Investigation and Remediation Costs. </w:t>
            </w:r>
          </w:p>
          <w:p w:rsidR="0027156E" w:rsidRPr="006729F4" w:rsidP="0040117B">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p>
          <w:p w:rsidR="0027156E" w:rsidRPr="006729F4" w:rsidP="0040117B">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r w:rsidRPr="006729F4">
              <w:rPr>
                <w:rFonts w:ascii="Times New Roman" w:eastAsia="Times New Roman" w:hAnsi="Times New Roman" w:cs="Times New Roman"/>
                <w:sz w:val="24"/>
                <w:szCs w:val="24"/>
                <w:lang w:val="en-US" w:eastAsia="en-US" w:bidi="ar-SA"/>
              </w:rPr>
              <w:t>In the Matter of the Application of Duke Energy Ohio, Inc. for Tariff Approval</w:t>
            </w:r>
          </w:p>
        </w:tc>
        <w:tc>
          <w:tcPr>
            <w:tcW w:w="296" w:type="dxa"/>
            <w:shd w:val="clear" w:color="auto" w:fill="auto"/>
          </w:tcPr>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4400" w:type="dxa"/>
            <w:shd w:val="clear" w:color="auto" w:fill="auto"/>
          </w:tcPr>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27156E" w:rsidRPr="006729F4" w:rsidP="0040117B">
            <w:pPr>
              <w:widowControl/>
              <w:rPr>
                <w:rStyle w:val="DefaultParagraphFont"/>
                <w:rFonts w:ascii="Times New Roman" w:eastAsia="Times New Roman" w:hAnsi="Times New Roman" w:cs="Times New Roman"/>
                <w:i/>
                <w:sz w:val="24"/>
                <w:szCs w:val="24"/>
                <w:lang w:val="en-US" w:eastAsia="en-US" w:bidi="ar-SA"/>
              </w:rPr>
            </w:pPr>
            <w:r w:rsidRPr="006729F4">
              <w:rPr>
                <w:rFonts w:ascii="Times New Roman" w:eastAsia="Times New Roman" w:hAnsi="Times New Roman" w:cs="Times New Roman"/>
                <w:sz w:val="24"/>
                <w:szCs w:val="24"/>
                <w:lang w:val="en-US" w:eastAsia="en-US" w:bidi="ar-SA"/>
              </w:rPr>
              <w:t>Case No. 16-1106-GA-AAM</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Case No. 16-1107-GA-UNC</w:t>
            </w:r>
          </w:p>
          <w:p w:rsidR="0027156E" w:rsidRPr="006729F4" w:rsidP="00401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r>
    </w:tbl>
    <w:p w:rsidR="0027156E" w:rsidRPr="00B70844" w:rsidP="0027156E">
      <w:pPr>
        <w:pBdr>
          <w:bottom w:val="single" w:sz="12" w:space="1" w:color="auto"/>
        </w:pBdr>
        <w:spacing w:before="4"/>
        <w:rPr>
          <w:rFonts w:eastAsia="Times New Roman" w:cs="Times New Roman"/>
          <w:sz w:val="18"/>
          <w:szCs w:val="18"/>
        </w:rPr>
      </w:pPr>
    </w:p>
    <w:p w:rsidR="0027156E" w:rsidP="0027156E">
      <w:pPr>
        <w:spacing w:before="9"/>
        <w:rPr>
          <w:rFonts w:eastAsia="Times New Roman" w:cs="Times New Roman"/>
          <w:sz w:val="16"/>
          <w:szCs w:val="16"/>
        </w:rPr>
      </w:pPr>
    </w:p>
    <w:p w:rsidR="0027156E" w:rsidRPr="003528CC" w:rsidP="0027156E">
      <w:pPr>
        <w:jc w:val="center"/>
        <w:rPr>
          <w:b/>
        </w:rPr>
      </w:pPr>
      <w:r w:rsidRPr="003528CC">
        <w:rPr>
          <w:b/>
        </w:rPr>
        <w:t>APPLICATION</w:t>
      </w:r>
      <w:r w:rsidRPr="003528CC">
        <w:rPr>
          <w:b/>
          <w:spacing w:val="-17"/>
        </w:rPr>
        <w:t xml:space="preserve"> </w:t>
      </w:r>
      <w:r w:rsidRPr="003528CC">
        <w:rPr>
          <w:b/>
        </w:rPr>
        <w:t>FOR</w:t>
      </w:r>
      <w:r w:rsidRPr="003528CC">
        <w:rPr>
          <w:b/>
          <w:spacing w:val="-16"/>
        </w:rPr>
        <w:t xml:space="preserve"> R</w:t>
      </w:r>
      <w:r w:rsidRPr="003528CC">
        <w:rPr>
          <w:b/>
        </w:rPr>
        <w:t>EHEARING</w:t>
      </w:r>
      <w:r>
        <w:rPr>
          <w:b/>
        </w:rPr>
        <w:t xml:space="preserve"> </w:t>
      </w:r>
      <w:r w:rsidRPr="003528CC">
        <w:rPr>
          <w:b/>
        </w:rPr>
        <w:t>BY</w:t>
      </w:r>
    </w:p>
    <w:p w:rsidR="0027156E" w:rsidP="0027156E">
      <w:pPr>
        <w:jc w:val="center"/>
        <w:rPr>
          <w:rFonts w:eastAsia="Times New Roman" w:cs="Times New Roman"/>
          <w:b/>
          <w:bCs/>
          <w:spacing w:val="-1"/>
          <w:szCs w:val="24"/>
        </w:rPr>
      </w:pPr>
      <w:r w:rsidRPr="003528CC">
        <w:rPr>
          <w:rFonts w:eastAsia="Times New Roman" w:cs="Times New Roman"/>
          <w:b/>
          <w:bCs/>
          <w:szCs w:val="24"/>
        </w:rPr>
        <w:t>THE</w:t>
      </w:r>
      <w:r w:rsidRPr="003528CC">
        <w:rPr>
          <w:rFonts w:eastAsia="Times New Roman" w:cs="Times New Roman"/>
          <w:b/>
          <w:bCs/>
          <w:spacing w:val="-9"/>
          <w:szCs w:val="24"/>
        </w:rPr>
        <w:t xml:space="preserve"> </w:t>
      </w:r>
      <w:r w:rsidRPr="003528CC">
        <w:rPr>
          <w:rFonts w:eastAsia="Times New Roman" w:cs="Times New Roman"/>
          <w:b/>
          <w:bCs/>
          <w:spacing w:val="-2"/>
          <w:szCs w:val="24"/>
        </w:rPr>
        <w:t>OFFICE</w:t>
      </w:r>
      <w:r w:rsidRPr="003528CC">
        <w:rPr>
          <w:rFonts w:eastAsia="Times New Roman" w:cs="Times New Roman"/>
          <w:b/>
          <w:bCs/>
          <w:spacing w:val="-9"/>
          <w:szCs w:val="24"/>
        </w:rPr>
        <w:t xml:space="preserve"> </w:t>
      </w:r>
      <w:r w:rsidRPr="003528CC">
        <w:rPr>
          <w:rFonts w:eastAsia="Times New Roman" w:cs="Times New Roman"/>
          <w:b/>
          <w:bCs/>
          <w:spacing w:val="1"/>
          <w:szCs w:val="24"/>
        </w:rPr>
        <w:t>OF</w:t>
      </w:r>
      <w:r w:rsidRPr="003528CC">
        <w:rPr>
          <w:rFonts w:eastAsia="Times New Roman" w:cs="Times New Roman"/>
          <w:b/>
          <w:bCs/>
          <w:spacing w:val="-12"/>
          <w:szCs w:val="24"/>
        </w:rPr>
        <w:t xml:space="preserve"> </w:t>
      </w:r>
      <w:r w:rsidRPr="003528CC">
        <w:rPr>
          <w:rFonts w:eastAsia="Times New Roman" w:cs="Times New Roman"/>
          <w:b/>
          <w:bCs/>
          <w:szCs w:val="24"/>
        </w:rPr>
        <w:t>THE</w:t>
      </w:r>
      <w:r w:rsidRPr="003528CC">
        <w:rPr>
          <w:rFonts w:eastAsia="Times New Roman" w:cs="Times New Roman"/>
          <w:b/>
          <w:bCs/>
          <w:spacing w:val="-8"/>
          <w:szCs w:val="24"/>
        </w:rPr>
        <w:t xml:space="preserve"> </w:t>
      </w:r>
      <w:r w:rsidRPr="003528CC">
        <w:rPr>
          <w:rFonts w:eastAsia="Times New Roman" w:cs="Times New Roman"/>
          <w:b/>
          <w:bCs/>
          <w:szCs w:val="24"/>
        </w:rPr>
        <w:t>OHIO</w:t>
      </w:r>
      <w:r w:rsidRPr="003528CC">
        <w:rPr>
          <w:rFonts w:eastAsia="Times New Roman" w:cs="Times New Roman"/>
          <w:b/>
          <w:bCs/>
          <w:spacing w:val="-10"/>
          <w:szCs w:val="24"/>
        </w:rPr>
        <w:t xml:space="preserve"> </w:t>
      </w:r>
      <w:r w:rsidRPr="003528CC">
        <w:rPr>
          <w:rFonts w:eastAsia="Times New Roman" w:cs="Times New Roman"/>
          <w:b/>
          <w:bCs/>
          <w:spacing w:val="-1"/>
          <w:szCs w:val="24"/>
        </w:rPr>
        <w:t>CONSUMERS</w:t>
      </w:r>
      <w:r>
        <w:rPr>
          <w:rFonts w:eastAsia="Times New Roman" w:cs="Times New Roman"/>
          <w:b/>
          <w:bCs/>
          <w:spacing w:val="-1"/>
          <w:szCs w:val="24"/>
        </w:rPr>
        <w:t>'</w:t>
      </w:r>
      <w:r w:rsidRPr="003528CC">
        <w:rPr>
          <w:rFonts w:eastAsia="Times New Roman" w:cs="Times New Roman"/>
          <w:b/>
          <w:bCs/>
          <w:spacing w:val="-10"/>
          <w:szCs w:val="24"/>
        </w:rPr>
        <w:t xml:space="preserve"> </w:t>
      </w:r>
      <w:r w:rsidRPr="003528CC">
        <w:rPr>
          <w:rFonts w:eastAsia="Times New Roman" w:cs="Times New Roman"/>
          <w:b/>
          <w:bCs/>
          <w:spacing w:val="-1"/>
          <w:szCs w:val="24"/>
        </w:rPr>
        <w:t>COUNSEL</w:t>
      </w:r>
    </w:p>
    <w:p w:rsidR="0027156E" w:rsidRPr="003528CC" w:rsidP="0027156E">
      <w:pPr>
        <w:jc w:val="center"/>
        <w:rPr>
          <w:rFonts w:eastAsia="Times New Roman" w:cs="Times New Roman"/>
          <w:b/>
          <w:bCs/>
          <w:spacing w:val="-1"/>
          <w:szCs w:val="24"/>
        </w:rPr>
      </w:pPr>
      <w:r>
        <w:rPr>
          <w:rFonts w:eastAsia="Times New Roman" w:cs="Times New Roman"/>
          <w:b/>
          <w:bCs/>
          <w:spacing w:val="-1"/>
          <w:szCs w:val="24"/>
        </w:rPr>
        <w:t>AND THE KROGER COMPANY</w:t>
      </w:r>
    </w:p>
    <w:p w:rsidR="0027156E" w:rsidRPr="00B7153B" w:rsidP="0027156E">
      <w:pPr>
        <w:pBdr>
          <w:bottom w:val="single" w:sz="12" w:space="1" w:color="auto"/>
        </w:pBdr>
        <w:jc w:val="center"/>
        <w:rPr>
          <w:b/>
          <w:sz w:val="16"/>
          <w:szCs w:val="16"/>
        </w:rPr>
      </w:pPr>
    </w:p>
    <w:p w:rsidR="0027156E" w:rsidRPr="003528CC" w:rsidP="0027156E">
      <w:pPr>
        <w:rPr>
          <w:b/>
        </w:rPr>
      </w:pPr>
    </w:p>
    <w:p w:rsidR="0027156E" w:rsidP="0027156E">
      <w:pPr>
        <w:rPr>
          <w:b/>
        </w:rPr>
      </w:pPr>
    </w:p>
    <w:p w:rsidR="0027156E" w:rsidRPr="006729F4" w:rsidP="0027156E">
      <w:pPr>
        <w:widowControl/>
        <w:tabs>
          <w:tab w:val="left" w:pos="4320"/>
        </w:tabs>
        <w:ind w:firstLine="4320"/>
        <w:rPr>
          <w:rFonts w:eastAsia="Times New Roman" w:cs="Times New Roman"/>
          <w:szCs w:val="24"/>
        </w:rPr>
      </w:pPr>
      <w:r w:rsidRPr="006729F4">
        <w:rPr>
          <w:rFonts w:eastAsia="Times New Roman" w:cs="Times New Roman"/>
          <w:szCs w:val="24"/>
        </w:rPr>
        <w:t>BRUCE WESTON (0016973)</w:t>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t>OHIO CONSUMERS</w:t>
      </w:r>
      <w:r>
        <w:rPr>
          <w:rFonts w:eastAsia="Times New Roman" w:cs="Times New Roman"/>
          <w:szCs w:val="24"/>
        </w:rPr>
        <w:t>'</w:t>
      </w:r>
      <w:r w:rsidRPr="006729F4">
        <w:rPr>
          <w:rFonts w:eastAsia="Times New Roman" w:cs="Times New Roman"/>
          <w:szCs w:val="24"/>
        </w:rPr>
        <w:t xml:space="preserve"> COUNSEL</w:t>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t>Christopher Healey (</w:t>
      </w:r>
      <w:r w:rsidRPr="006729F4">
        <w:rPr>
          <w:rFonts w:eastAsia="Times New Roman" w:cs="Times New Roman"/>
          <w:szCs w:val="20"/>
        </w:rPr>
        <w:t>0086027)</w:t>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t>Counsel of Record</w:t>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t>Ajay Kumar (0092208)</w:t>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t>Assistant Consumers</w:t>
      </w:r>
      <w:r>
        <w:rPr>
          <w:rFonts w:eastAsia="Times New Roman" w:cs="Times New Roman"/>
          <w:szCs w:val="24"/>
        </w:rPr>
        <w:t>'</w:t>
      </w:r>
      <w:r w:rsidRPr="006729F4">
        <w:rPr>
          <w:rFonts w:eastAsia="Times New Roman" w:cs="Times New Roman"/>
          <w:szCs w:val="24"/>
        </w:rPr>
        <w:t xml:space="preserve"> Counsel</w:t>
      </w:r>
    </w:p>
    <w:p w:rsidR="0027156E" w:rsidRPr="006729F4" w:rsidP="0027156E">
      <w:pPr>
        <w:widowControl/>
        <w:tabs>
          <w:tab w:val="left" w:pos="4320"/>
        </w:tabs>
        <w:rPr>
          <w:rFonts w:eastAsia="Times New Roman" w:cs="Times New Roman"/>
          <w:szCs w:val="24"/>
        </w:rPr>
      </w:pPr>
      <w:r w:rsidRPr="006729F4">
        <w:rPr>
          <w:rFonts w:eastAsia="Times New Roman" w:cs="Times New Roman"/>
          <w:szCs w:val="24"/>
        </w:rPr>
        <w:tab/>
      </w:r>
    </w:p>
    <w:p w:rsidR="0027156E" w:rsidRPr="006729F4" w:rsidP="0027156E">
      <w:pPr>
        <w:ind w:firstLine="4320"/>
      </w:pPr>
      <w:r w:rsidRPr="006729F4">
        <w:t>Office of the Ohio Consumers</w:t>
      </w:r>
      <w:r>
        <w:t>'</w:t>
      </w:r>
      <w:r w:rsidRPr="006729F4">
        <w:t xml:space="preserve"> Counsel</w:t>
      </w:r>
    </w:p>
    <w:p w:rsidR="0027156E" w:rsidRPr="006729F4" w:rsidP="0027156E">
      <w:pPr>
        <w:ind w:firstLine="4320"/>
        <w:rPr>
          <w:szCs w:val="24"/>
        </w:rPr>
      </w:pPr>
      <w:r w:rsidRPr="006729F4">
        <w:rPr>
          <w:szCs w:val="24"/>
        </w:rPr>
        <w:t>10 West Broad Street, Suite 1800</w:t>
      </w:r>
    </w:p>
    <w:p w:rsidR="0027156E" w:rsidRPr="006729F4" w:rsidP="0027156E">
      <w:pPr>
        <w:ind w:firstLine="4320"/>
        <w:rPr>
          <w:szCs w:val="24"/>
        </w:rPr>
      </w:pPr>
      <w:r w:rsidRPr="006729F4">
        <w:rPr>
          <w:szCs w:val="24"/>
        </w:rPr>
        <w:t>Columbus, Ohio 43215-3485</w:t>
      </w:r>
    </w:p>
    <w:p w:rsidR="0027156E" w:rsidRPr="006729F4" w:rsidP="0027156E">
      <w:pPr>
        <w:ind w:firstLine="4320"/>
        <w:rPr>
          <w:szCs w:val="24"/>
        </w:rPr>
      </w:pPr>
      <w:r w:rsidRPr="006729F4">
        <w:rPr>
          <w:szCs w:val="24"/>
        </w:rPr>
        <w:t>Telephone: Healey Direct – 614-466-9571</w:t>
      </w:r>
    </w:p>
    <w:p w:rsidR="0027156E" w:rsidRPr="006729F4" w:rsidP="0027156E">
      <w:pPr>
        <w:ind w:firstLine="4320"/>
        <w:rPr>
          <w:szCs w:val="24"/>
        </w:rPr>
      </w:pPr>
      <w:r w:rsidRPr="006729F4">
        <w:rPr>
          <w:szCs w:val="24"/>
        </w:rPr>
        <w:t>Telephone: Kumar Direct – 614-466-1292</w:t>
      </w:r>
    </w:p>
    <w:p w:rsidR="0027156E" w:rsidRPr="006729F4" w:rsidP="0027156E">
      <w:pPr>
        <w:widowControl/>
        <w:ind w:left="4320"/>
        <w:rPr>
          <w:rFonts w:eastAsia="Times New Roman" w:cs="Times New Roman"/>
          <w:szCs w:val="24"/>
        </w:rPr>
      </w:pPr>
      <w:r>
        <w:fldChar w:fldCharType="begin"/>
      </w:r>
      <w:r>
        <w:instrText xml:space="preserve"> HYPERLINK "mailto:Christopher.Healey@occ.ohio.gov" </w:instrText>
      </w:r>
      <w:r>
        <w:fldChar w:fldCharType="separate"/>
      </w:r>
      <w:r w:rsidRPr="006729F4" w:rsidR="008D6ED3">
        <w:rPr>
          <w:rFonts w:eastAsia="Times New Roman" w:cs="Times New Roman"/>
          <w:color w:val="0000FF"/>
          <w:szCs w:val="24"/>
          <w:u w:val="single"/>
        </w:rPr>
        <w:t>Christopher.Healey@occ.ohio.gov</w:t>
      </w:r>
      <w:r>
        <w:fldChar w:fldCharType="end"/>
      </w:r>
      <w:r w:rsidRPr="006729F4" w:rsidR="008D6ED3">
        <w:rPr>
          <w:rFonts w:eastAsia="Times New Roman" w:cs="Times New Roman"/>
          <w:szCs w:val="24"/>
        </w:rPr>
        <w:t xml:space="preserve"> </w:t>
      </w:r>
    </w:p>
    <w:p w:rsidR="0027156E" w:rsidRPr="006729F4" w:rsidP="0027156E">
      <w:pPr>
        <w:widowControl/>
        <w:autoSpaceDE w:val="0"/>
        <w:autoSpaceDN w:val="0"/>
        <w:adjustRightInd w:val="0"/>
        <w:ind w:left="3600" w:firstLine="720"/>
        <w:rPr>
          <w:rFonts w:eastAsia="Times New Roman" w:cs="Times New Roman"/>
          <w:szCs w:val="24"/>
        </w:rPr>
      </w:pPr>
      <w:r>
        <w:fldChar w:fldCharType="begin"/>
      </w:r>
      <w:r>
        <w:instrText xml:space="preserve"> HYPERLINK "mailto:Ajay.Kumar@occ.ohio.gov" </w:instrText>
      </w:r>
      <w:r>
        <w:fldChar w:fldCharType="separate"/>
      </w:r>
      <w:r w:rsidRPr="006729F4" w:rsidR="008D6ED3">
        <w:rPr>
          <w:rFonts w:eastAsia="Times New Roman" w:cs="Times New Roman"/>
          <w:color w:val="0000FF"/>
          <w:szCs w:val="24"/>
          <w:u w:val="single"/>
        </w:rPr>
        <w:t>Ajay.Kumar@occ.ohio.gov</w:t>
      </w:r>
      <w:r>
        <w:fldChar w:fldCharType="end"/>
      </w:r>
    </w:p>
    <w:p w:rsidR="0027156E" w:rsidRPr="006729F4" w:rsidP="0027156E">
      <w:pPr>
        <w:widowControl/>
        <w:ind w:left="4320"/>
        <w:rPr>
          <w:rFonts w:eastAsia="Times New Roman" w:cs="Times New Roman"/>
          <w:szCs w:val="24"/>
        </w:rPr>
      </w:pPr>
      <w:r w:rsidRPr="006729F4">
        <w:rPr>
          <w:rFonts w:eastAsia="Times New Roman" w:cs="Times New Roman"/>
          <w:szCs w:val="24"/>
        </w:rPr>
        <w:t>(Will accept service via email)</w:t>
      </w:r>
    </w:p>
    <w:p w:rsidR="0027156E" w:rsidP="0027156E">
      <w:pPr>
        <w:widowControl/>
        <w:autoSpaceDE w:val="0"/>
        <w:autoSpaceDN w:val="0"/>
        <w:jc w:val="both"/>
        <w:rPr>
          <w:rFonts w:eastAsia="Times New Roman" w:cs="Times New Roman"/>
          <w:szCs w:val="24"/>
          <w:u w:val="single"/>
        </w:rPr>
      </w:pPr>
    </w:p>
    <w:p w:rsidR="0027156E" w:rsidRPr="006729F4" w:rsidP="0027156E">
      <w:pPr>
        <w:widowControl/>
        <w:ind w:left="4320"/>
        <w:jc w:val="both"/>
        <w:rPr>
          <w:rFonts w:eastAsia="Times New Roman" w:cs="Times New Roman"/>
          <w:szCs w:val="20"/>
        </w:rPr>
      </w:pPr>
      <w:r w:rsidRPr="006729F4">
        <w:rPr>
          <w:rFonts w:eastAsia="Times New Roman" w:cs="Times New Roman"/>
          <w:szCs w:val="24"/>
        </w:rPr>
        <w:t>Kimberly W. Bojko (0069402)</w:t>
      </w:r>
    </w:p>
    <w:p w:rsidR="0027156E" w:rsidRPr="006729F4" w:rsidP="0027156E">
      <w:pPr>
        <w:widowControl/>
        <w:ind w:left="4320"/>
        <w:jc w:val="both"/>
        <w:rPr>
          <w:rFonts w:eastAsia="Times New Roman" w:cs="Times New Roman"/>
          <w:szCs w:val="20"/>
        </w:rPr>
      </w:pPr>
      <w:r w:rsidRPr="006729F4">
        <w:rPr>
          <w:rFonts w:eastAsia="Times New Roman" w:cs="Times New Roman"/>
          <w:szCs w:val="24"/>
        </w:rPr>
        <w:t>Carpenter Lipps &amp; Leland LLP</w:t>
      </w:r>
    </w:p>
    <w:p w:rsidR="0027156E" w:rsidRPr="006729F4" w:rsidP="0027156E">
      <w:pPr>
        <w:widowControl/>
        <w:ind w:left="4320"/>
        <w:jc w:val="both"/>
        <w:rPr>
          <w:rFonts w:eastAsia="Times New Roman" w:cs="Times New Roman"/>
          <w:szCs w:val="20"/>
        </w:rPr>
      </w:pPr>
      <w:r w:rsidRPr="006729F4">
        <w:rPr>
          <w:rFonts w:eastAsia="Times New Roman" w:cs="Times New Roman"/>
          <w:szCs w:val="24"/>
        </w:rPr>
        <w:t>280 Plaza, Suite 1300</w:t>
      </w:r>
    </w:p>
    <w:p w:rsidR="0027156E" w:rsidRPr="006729F4" w:rsidP="0027156E">
      <w:pPr>
        <w:widowControl/>
        <w:ind w:left="4320"/>
        <w:jc w:val="both"/>
        <w:rPr>
          <w:rFonts w:eastAsia="Times New Roman" w:cs="Times New Roman"/>
          <w:szCs w:val="20"/>
        </w:rPr>
      </w:pPr>
      <w:r w:rsidRPr="006729F4">
        <w:rPr>
          <w:rFonts w:eastAsia="Times New Roman" w:cs="Times New Roman"/>
          <w:szCs w:val="24"/>
        </w:rPr>
        <w:t>280 North High Street</w:t>
      </w:r>
    </w:p>
    <w:p w:rsidR="0027156E" w:rsidRPr="006729F4" w:rsidP="0027156E">
      <w:pPr>
        <w:widowControl/>
        <w:ind w:firstLine="4320"/>
        <w:jc w:val="both"/>
        <w:rPr>
          <w:rFonts w:eastAsia="Times New Roman" w:cs="Times New Roman"/>
          <w:szCs w:val="20"/>
        </w:rPr>
      </w:pPr>
      <w:r w:rsidRPr="006729F4">
        <w:rPr>
          <w:rFonts w:eastAsia="Times New Roman" w:cs="Times New Roman"/>
          <w:szCs w:val="24"/>
        </w:rPr>
        <w:t>Columbus, Ohio 43215</w:t>
      </w:r>
    </w:p>
    <w:p w:rsidR="0027156E" w:rsidRPr="006729F4" w:rsidP="0027156E">
      <w:pPr>
        <w:widowControl/>
        <w:ind w:firstLine="4320"/>
        <w:jc w:val="both"/>
        <w:rPr>
          <w:rFonts w:eastAsia="Times New Roman" w:cs="Times New Roman"/>
          <w:szCs w:val="20"/>
        </w:rPr>
      </w:pPr>
      <w:r w:rsidRPr="006729F4">
        <w:rPr>
          <w:rFonts w:eastAsia="Times New Roman" w:cs="Times New Roman"/>
          <w:szCs w:val="24"/>
        </w:rPr>
        <w:t>Telephone: (614) 365-4100</w:t>
      </w:r>
    </w:p>
    <w:p w:rsidR="0027156E" w:rsidRPr="006729F4" w:rsidP="0027156E">
      <w:pPr>
        <w:widowControl/>
        <w:ind w:firstLine="4320"/>
        <w:jc w:val="both"/>
        <w:rPr>
          <w:rFonts w:eastAsia="Times New Roman" w:cs="Times New Roman"/>
          <w:szCs w:val="20"/>
        </w:rPr>
      </w:pPr>
      <w:r w:rsidRPr="006729F4">
        <w:rPr>
          <w:rFonts w:eastAsia="Times New Roman" w:cs="Times New Roman"/>
          <w:szCs w:val="24"/>
        </w:rPr>
        <w:t xml:space="preserve">Email: </w:t>
      </w:r>
      <w:r>
        <w:fldChar w:fldCharType="begin"/>
      </w:r>
      <w:r>
        <w:instrText xml:space="preserve"> HYPERLINK "mailto:Bojko@carpenterlipps.com" </w:instrText>
      </w:r>
      <w:r>
        <w:fldChar w:fldCharType="separate"/>
      </w:r>
      <w:r w:rsidRPr="006729F4">
        <w:rPr>
          <w:rFonts w:eastAsia="Times New Roman" w:cs="Times New Roman"/>
          <w:color w:val="0000FF"/>
          <w:szCs w:val="24"/>
          <w:u w:val="single"/>
        </w:rPr>
        <w:t>Bojko@carpenterlipps.com</w:t>
      </w:r>
      <w:r>
        <w:fldChar w:fldCharType="end"/>
      </w:r>
    </w:p>
    <w:p w:rsidR="0027156E" w:rsidRPr="006729F4" w:rsidP="0027156E">
      <w:pPr>
        <w:widowControl/>
        <w:jc w:val="both"/>
        <w:rPr>
          <w:rFonts w:eastAsia="Times New Roman" w:cs="Times New Roman"/>
          <w:szCs w:val="20"/>
        </w:rPr>
      </w:pP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t>(Will accept service via email)</w:t>
      </w:r>
    </w:p>
    <w:p w:rsidR="0027156E" w:rsidRPr="006729F4" w:rsidP="0027156E">
      <w:pPr>
        <w:widowControl/>
        <w:jc w:val="both"/>
        <w:rPr>
          <w:rFonts w:eastAsia="Times New Roman" w:cs="Times New Roman"/>
          <w:szCs w:val="20"/>
        </w:rPr>
      </w:pPr>
    </w:p>
    <w:p w:rsidR="0027156E" w:rsidRPr="0027156E" w:rsidP="0027156E">
      <w:pPr>
        <w:widowControl/>
        <w:ind w:firstLine="4320"/>
        <w:rPr>
          <w:rFonts w:eastAsia="Times New Roman" w:cs="Times New Roman"/>
          <w:b/>
          <w:szCs w:val="24"/>
        </w:rPr>
      </w:pPr>
      <w:r w:rsidRPr="006729F4">
        <w:rPr>
          <w:rFonts w:eastAsia="Times New Roman" w:cs="Times New Roman"/>
          <w:i/>
          <w:iCs/>
          <w:szCs w:val="24"/>
        </w:rPr>
        <w:t>Counsel for The Kroger Co.</w:t>
      </w:r>
    </w:p>
    <w:p w:rsidR="00B01758" w:rsidRPr="003528CC" w:rsidP="003528CC">
      <w:pPr>
        <w:jc w:val="center"/>
        <w:rPr>
          <w:b/>
          <w:bCs/>
        </w:rPr>
      </w:pPr>
      <w:r w:rsidRPr="003528CC">
        <w:rPr>
          <w:b/>
        </w:rPr>
        <w:t>BEFORE</w:t>
      </w:r>
    </w:p>
    <w:p w:rsidR="00B01758" w:rsidRPr="003528CC" w:rsidP="003528CC">
      <w:pPr>
        <w:jc w:val="center"/>
        <w:rPr>
          <w:b/>
        </w:rPr>
      </w:pPr>
      <w:r w:rsidRPr="003528CC">
        <w:rPr>
          <w:b/>
        </w:rPr>
        <w:t>THE</w:t>
      </w:r>
      <w:r w:rsidRPr="003528CC">
        <w:rPr>
          <w:b/>
          <w:spacing w:val="-10"/>
        </w:rPr>
        <w:t xml:space="preserve"> </w:t>
      </w:r>
      <w:r w:rsidRPr="003528CC">
        <w:rPr>
          <w:b/>
          <w:spacing w:val="-1"/>
        </w:rPr>
        <w:t>PUBLIC</w:t>
      </w:r>
      <w:r w:rsidRPr="003528CC">
        <w:rPr>
          <w:b/>
          <w:spacing w:val="-12"/>
        </w:rPr>
        <w:t xml:space="preserve"> </w:t>
      </w:r>
      <w:r w:rsidRPr="003528CC">
        <w:rPr>
          <w:b/>
        </w:rPr>
        <w:t>UTILITIES</w:t>
      </w:r>
      <w:r w:rsidRPr="003528CC">
        <w:rPr>
          <w:b/>
          <w:spacing w:val="-10"/>
        </w:rPr>
        <w:t xml:space="preserve"> </w:t>
      </w:r>
      <w:r w:rsidRPr="003528CC">
        <w:rPr>
          <w:b/>
          <w:spacing w:val="-1"/>
        </w:rPr>
        <w:t>COMMISSION</w:t>
      </w:r>
      <w:r w:rsidRPr="003528CC">
        <w:rPr>
          <w:b/>
          <w:spacing w:val="-11"/>
        </w:rPr>
        <w:t xml:space="preserve"> </w:t>
      </w:r>
      <w:r w:rsidRPr="003528CC">
        <w:rPr>
          <w:b/>
          <w:spacing w:val="-1"/>
        </w:rPr>
        <w:t>OF</w:t>
      </w:r>
      <w:r w:rsidRPr="003528CC">
        <w:rPr>
          <w:b/>
          <w:spacing w:val="-13"/>
        </w:rPr>
        <w:t xml:space="preserve"> O</w:t>
      </w:r>
      <w:r w:rsidRPr="003528CC">
        <w:rPr>
          <w:b/>
        </w:rPr>
        <w:t>HIO</w:t>
      </w:r>
    </w:p>
    <w:p w:rsidR="009506AB">
      <w:pPr>
        <w:ind w:left="1679" w:right="1679"/>
        <w:jc w:val="center"/>
        <w:rPr>
          <w:rFonts w:eastAsia="Times New Roman" w:cs="Times New Roman"/>
          <w:szCs w:val="24"/>
        </w:rPr>
      </w:pPr>
    </w:p>
    <w:tbl>
      <w:tblPr>
        <w:tblW w:w="9092" w:type="dxa"/>
        <w:tblInd w:w="0" w:type="dxa"/>
        <w:tblCellMar>
          <w:top w:w="0" w:type="dxa"/>
          <w:left w:w="108" w:type="dxa"/>
          <w:bottom w:w="0" w:type="dxa"/>
          <w:right w:w="108" w:type="dxa"/>
        </w:tblCellMar>
        <w:tblLook w:val="01E0"/>
      </w:tblPr>
      <w:tblGrid>
        <w:gridCol w:w="4396"/>
        <w:gridCol w:w="296"/>
        <w:gridCol w:w="4400"/>
      </w:tblGrid>
      <w:tr w:rsidTr="00D618D9">
        <w:tblPrEx>
          <w:tblW w:w="9092" w:type="dxa"/>
          <w:tblInd w:w="0" w:type="dxa"/>
          <w:tblCellMar>
            <w:top w:w="0" w:type="dxa"/>
            <w:left w:w="108" w:type="dxa"/>
            <w:bottom w:w="0" w:type="dxa"/>
            <w:right w:w="108" w:type="dxa"/>
          </w:tblCellMar>
          <w:tblLook w:val="01E0"/>
        </w:tblPrEx>
        <w:trPr>
          <w:trHeight w:val="807"/>
        </w:trPr>
        <w:tc>
          <w:tcPr>
            <w:tcW w:w="4396" w:type="dxa"/>
            <w:shd w:val="clear" w:color="auto" w:fill="auto"/>
          </w:tcPr>
          <w:p w:rsidR="006729F4" w:rsidRPr="006729F4" w:rsidP="006729F4">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r w:rsidRPr="006729F4">
              <w:rPr>
                <w:rFonts w:ascii="Times New Roman" w:eastAsia="Times New Roman" w:hAnsi="Times New Roman" w:cs="Times New Roman"/>
                <w:sz w:val="24"/>
                <w:szCs w:val="24"/>
                <w:lang w:val="en-US" w:eastAsia="en-US" w:bidi="ar-SA"/>
              </w:rPr>
              <w:t xml:space="preserve">In the Matter of the Application of Duke Energy Ohio, Inc. for Authority to Defer Environmental Investigation and Remediation Costs. </w:t>
            </w:r>
          </w:p>
          <w:p w:rsidR="006729F4" w:rsidRPr="006729F4" w:rsidP="006729F4">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p>
          <w:p w:rsidR="006729F4" w:rsidRPr="006729F4" w:rsidP="006729F4">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r w:rsidRPr="006729F4">
              <w:rPr>
                <w:rFonts w:ascii="Times New Roman" w:eastAsia="Times New Roman" w:hAnsi="Times New Roman" w:cs="Times New Roman"/>
                <w:sz w:val="24"/>
                <w:szCs w:val="24"/>
                <w:lang w:val="en-US" w:eastAsia="en-US" w:bidi="ar-SA"/>
              </w:rPr>
              <w:t>In the Matter of the Application of Duke Energy Ohio, Inc. for Tariff Approval</w:t>
            </w:r>
          </w:p>
        </w:tc>
        <w:tc>
          <w:tcPr>
            <w:tcW w:w="296" w:type="dxa"/>
            <w:shd w:val="clear" w:color="auto" w:fill="auto"/>
          </w:tcPr>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4400" w:type="dxa"/>
            <w:shd w:val="clear" w:color="auto" w:fill="auto"/>
          </w:tcPr>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6729F4" w:rsidRPr="006729F4" w:rsidP="006729F4">
            <w:pPr>
              <w:widowControl/>
              <w:rPr>
                <w:rStyle w:val="DefaultParagraphFont"/>
                <w:rFonts w:ascii="Times New Roman" w:eastAsia="Times New Roman" w:hAnsi="Times New Roman" w:cs="Times New Roman"/>
                <w:i/>
                <w:sz w:val="24"/>
                <w:szCs w:val="24"/>
                <w:lang w:val="en-US" w:eastAsia="en-US" w:bidi="ar-SA"/>
              </w:rPr>
            </w:pPr>
            <w:r w:rsidRPr="006729F4">
              <w:rPr>
                <w:rFonts w:ascii="Times New Roman" w:eastAsia="Times New Roman" w:hAnsi="Times New Roman" w:cs="Times New Roman"/>
                <w:sz w:val="24"/>
                <w:szCs w:val="24"/>
                <w:lang w:val="en-US" w:eastAsia="en-US" w:bidi="ar-SA"/>
              </w:rPr>
              <w:t>Case No. 16-1106-GA-AAM</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6729F4">
              <w:rPr>
                <w:rFonts w:ascii="Times New Roman" w:eastAsia="Courier New" w:hAnsi="Times New Roman" w:cs="Times New Roman"/>
                <w:sz w:val="24"/>
                <w:szCs w:val="24"/>
                <w:lang w:val="en-US" w:eastAsia="en-US" w:bidi="ar-SA"/>
              </w:rPr>
              <w:t>Case No. 16-1107-GA-UNC</w:t>
            </w:r>
          </w:p>
          <w:p w:rsidR="006729F4" w:rsidRPr="006729F4" w:rsidP="006729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r>
    </w:tbl>
    <w:p w:rsidR="00B01758" w:rsidRPr="00B70844">
      <w:pPr>
        <w:pBdr>
          <w:bottom w:val="single" w:sz="12" w:space="1" w:color="auto"/>
        </w:pBdr>
        <w:spacing w:before="4"/>
        <w:rPr>
          <w:rFonts w:eastAsia="Times New Roman" w:cs="Times New Roman"/>
          <w:sz w:val="18"/>
          <w:szCs w:val="18"/>
        </w:rPr>
      </w:pPr>
    </w:p>
    <w:p w:rsidR="00B01758">
      <w:pPr>
        <w:spacing w:before="9"/>
        <w:rPr>
          <w:rFonts w:eastAsia="Times New Roman" w:cs="Times New Roman"/>
          <w:sz w:val="16"/>
          <w:szCs w:val="16"/>
        </w:rPr>
      </w:pPr>
    </w:p>
    <w:p w:rsidR="00B01758" w:rsidRPr="003528CC" w:rsidP="003528CC">
      <w:pPr>
        <w:jc w:val="center"/>
        <w:rPr>
          <w:b/>
        </w:rPr>
      </w:pPr>
      <w:r w:rsidRPr="003528CC">
        <w:rPr>
          <w:b/>
        </w:rPr>
        <w:t>APPLICATION</w:t>
      </w:r>
      <w:r w:rsidRPr="003528CC">
        <w:rPr>
          <w:b/>
          <w:spacing w:val="-17"/>
        </w:rPr>
        <w:t xml:space="preserve"> </w:t>
      </w:r>
      <w:r w:rsidRPr="003528CC">
        <w:rPr>
          <w:b/>
        </w:rPr>
        <w:t>FOR</w:t>
      </w:r>
      <w:r w:rsidRPr="003528CC">
        <w:rPr>
          <w:b/>
          <w:spacing w:val="-16"/>
        </w:rPr>
        <w:t xml:space="preserve"> R</w:t>
      </w:r>
      <w:r w:rsidRPr="003528CC">
        <w:rPr>
          <w:b/>
        </w:rPr>
        <w:t>EHEARING</w:t>
      </w:r>
      <w:r>
        <w:rPr>
          <w:b/>
        </w:rPr>
        <w:t xml:space="preserve"> </w:t>
      </w:r>
      <w:r w:rsidRPr="003528CC">
        <w:rPr>
          <w:b/>
        </w:rPr>
        <w:t>BY</w:t>
      </w:r>
    </w:p>
    <w:p w:rsidR="0046148C" w:rsidP="003528CC">
      <w:pPr>
        <w:jc w:val="center"/>
        <w:rPr>
          <w:rFonts w:eastAsia="Times New Roman" w:cs="Times New Roman"/>
          <w:b/>
          <w:bCs/>
          <w:spacing w:val="-1"/>
          <w:szCs w:val="24"/>
        </w:rPr>
      </w:pPr>
      <w:r w:rsidRPr="003528CC">
        <w:rPr>
          <w:rFonts w:eastAsia="Times New Roman" w:cs="Times New Roman"/>
          <w:b/>
          <w:bCs/>
          <w:szCs w:val="24"/>
        </w:rPr>
        <w:t>THE</w:t>
      </w:r>
      <w:r w:rsidRPr="003528CC">
        <w:rPr>
          <w:rFonts w:eastAsia="Times New Roman" w:cs="Times New Roman"/>
          <w:b/>
          <w:bCs/>
          <w:spacing w:val="-9"/>
          <w:szCs w:val="24"/>
        </w:rPr>
        <w:t xml:space="preserve"> </w:t>
      </w:r>
      <w:r w:rsidRPr="003528CC">
        <w:rPr>
          <w:rFonts w:eastAsia="Times New Roman" w:cs="Times New Roman"/>
          <w:b/>
          <w:bCs/>
          <w:spacing w:val="-2"/>
          <w:szCs w:val="24"/>
        </w:rPr>
        <w:t>OFFICE</w:t>
      </w:r>
      <w:r w:rsidRPr="003528CC">
        <w:rPr>
          <w:rFonts w:eastAsia="Times New Roman" w:cs="Times New Roman"/>
          <w:b/>
          <w:bCs/>
          <w:spacing w:val="-9"/>
          <w:szCs w:val="24"/>
        </w:rPr>
        <w:t xml:space="preserve"> </w:t>
      </w:r>
      <w:r w:rsidRPr="003528CC">
        <w:rPr>
          <w:rFonts w:eastAsia="Times New Roman" w:cs="Times New Roman"/>
          <w:b/>
          <w:bCs/>
          <w:spacing w:val="1"/>
          <w:szCs w:val="24"/>
        </w:rPr>
        <w:t>OF</w:t>
      </w:r>
      <w:r w:rsidRPr="003528CC">
        <w:rPr>
          <w:rFonts w:eastAsia="Times New Roman" w:cs="Times New Roman"/>
          <w:b/>
          <w:bCs/>
          <w:spacing w:val="-12"/>
          <w:szCs w:val="24"/>
        </w:rPr>
        <w:t xml:space="preserve"> </w:t>
      </w:r>
      <w:r w:rsidRPr="003528CC">
        <w:rPr>
          <w:rFonts w:eastAsia="Times New Roman" w:cs="Times New Roman"/>
          <w:b/>
          <w:bCs/>
          <w:szCs w:val="24"/>
        </w:rPr>
        <w:t>THE</w:t>
      </w:r>
      <w:r w:rsidRPr="003528CC">
        <w:rPr>
          <w:rFonts w:eastAsia="Times New Roman" w:cs="Times New Roman"/>
          <w:b/>
          <w:bCs/>
          <w:spacing w:val="-8"/>
          <w:szCs w:val="24"/>
        </w:rPr>
        <w:t xml:space="preserve"> </w:t>
      </w:r>
      <w:r w:rsidRPr="003528CC">
        <w:rPr>
          <w:rFonts w:eastAsia="Times New Roman" w:cs="Times New Roman"/>
          <w:b/>
          <w:bCs/>
          <w:szCs w:val="24"/>
        </w:rPr>
        <w:t>OHIO</w:t>
      </w:r>
      <w:r w:rsidRPr="003528CC">
        <w:rPr>
          <w:rFonts w:eastAsia="Times New Roman" w:cs="Times New Roman"/>
          <w:b/>
          <w:bCs/>
          <w:spacing w:val="-10"/>
          <w:szCs w:val="24"/>
        </w:rPr>
        <w:t xml:space="preserve"> </w:t>
      </w:r>
      <w:r w:rsidRPr="003528CC">
        <w:rPr>
          <w:rFonts w:eastAsia="Times New Roman" w:cs="Times New Roman"/>
          <w:b/>
          <w:bCs/>
          <w:spacing w:val="-1"/>
          <w:szCs w:val="24"/>
        </w:rPr>
        <w:t>CONSUMERS</w:t>
      </w:r>
      <w:r>
        <w:rPr>
          <w:rFonts w:eastAsia="Times New Roman" w:cs="Times New Roman"/>
          <w:b/>
          <w:bCs/>
          <w:spacing w:val="-1"/>
          <w:szCs w:val="24"/>
        </w:rPr>
        <w:t>'</w:t>
      </w:r>
      <w:r w:rsidRPr="003528CC">
        <w:rPr>
          <w:rFonts w:eastAsia="Times New Roman" w:cs="Times New Roman"/>
          <w:b/>
          <w:bCs/>
          <w:spacing w:val="-10"/>
          <w:szCs w:val="24"/>
        </w:rPr>
        <w:t xml:space="preserve"> </w:t>
      </w:r>
      <w:r w:rsidRPr="003528CC">
        <w:rPr>
          <w:rFonts w:eastAsia="Times New Roman" w:cs="Times New Roman"/>
          <w:b/>
          <w:bCs/>
          <w:spacing w:val="-1"/>
          <w:szCs w:val="24"/>
        </w:rPr>
        <w:t>COUNSEL</w:t>
      </w:r>
    </w:p>
    <w:p w:rsidR="00DD1DCE" w:rsidRPr="003528CC" w:rsidP="003528CC">
      <w:pPr>
        <w:jc w:val="center"/>
        <w:rPr>
          <w:rFonts w:eastAsia="Times New Roman" w:cs="Times New Roman"/>
          <w:b/>
          <w:bCs/>
          <w:spacing w:val="-1"/>
          <w:szCs w:val="24"/>
        </w:rPr>
      </w:pPr>
      <w:r>
        <w:rPr>
          <w:rFonts w:eastAsia="Times New Roman" w:cs="Times New Roman"/>
          <w:b/>
          <w:bCs/>
          <w:spacing w:val="-1"/>
          <w:szCs w:val="24"/>
        </w:rPr>
        <w:t>AND THE KROGER COMPANY</w:t>
      </w:r>
    </w:p>
    <w:p w:rsidR="00EE00EB" w:rsidRPr="00B7153B" w:rsidP="003528CC">
      <w:pPr>
        <w:pBdr>
          <w:bottom w:val="single" w:sz="12" w:space="1" w:color="auto"/>
        </w:pBdr>
        <w:jc w:val="center"/>
        <w:rPr>
          <w:b/>
          <w:sz w:val="16"/>
          <w:szCs w:val="16"/>
        </w:rPr>
      </w:pPr>
    </w:p>
    <w:p w:rsidR="00EE00EB" w:rsidRPr="003528CC" w:rsidP="00EE00EB">
      <w:pPr>
        <w:rPr>
          <w:b/>
        </w:rPr>
      </w:pPr>
    </w:p>
    <w:p w:rsidR="00CB1CD0" w:rsidP="004C3422">
      <w:pPr>
        <w:pStyle w:val="BodyText"/>
        <w:spacing w:before="69" w:line="480" w:lineRule="auto"/>
        <w:ind w:left="0" w:right="292" w:firstLine="720"/>
        <w:rPr>
          <w:spacing w:val="-6"/>
        </w:rPr>
        <w:sectPr w:rsidSect="00CB1CD0">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0" w:footer="1049" w:gutter="0"/>
          <w:pgNumType w:start="1"/>
          <w:cols w:space="720"/>
        </w:sectPr>
      </w:pPr>
      <w:r>
        <w:t>In its December 21, 2016 Finding and Order,</w:t>
      </w:r>
      <w:r>
        <w:rPr>
          <w:rStyle w:val="FootnoteReference"/>
        </w:rPr>
        <w:footnoteReference w:id="2"/>
      </w:r>
      <w:r>
        <w:t xml:space="preserve"> the PUCO continues on its course to facilitate Duke's quest to </w:t>
      </w:r>
      <w:r w:rsidRPr="00DB437B">
        <w:rPr>
          <w:spacing w:val="-6"/>
        </w:rPr>
        <w:t xml:space="preserve">charge customers </w:t>
      </w:r>
      <w:r>
        <w:rPr>
          <w:spacing w:val="-6"/>
        </w:rPr>
        <w:t>millions of dollars</w:t>
      </w:r>
      <w:r w:rsidRPr="00DB437B">
        <w:rPr>
          <w:spacing w:val="-6"/>
        </w:rPr>
        <w:t xml:space="preserve"> for environmental remediation of manufactured gas plant sites </w:t>
      </w:r>
      <w:r>
        <w:rPr>
          <w:spacing w:val="-6"/>
        </w:rPr>
        <w:t>--</w:t>
      </w:r>
      <w:r w:rsidRPr="00164DC7">
        <w:rPr>
          <w:spacing w:val="-6"/>
        </w:rPr>
        <w:t xml:space="preserve"> </w:t>
      </w:r>
      <w:r>
        <w:rPr>
          <w:spacing w:val="-6"/>
        </w:rPr>
        <w:t xml:space="preserve">locations </w:t>
      </w:r>
      <w:r w:rsidRPr="00DB437B">
        <w:rPr>
          <w:spacing w:val="-6"/>
        </w:rPr>
        <w:t>that have not been used and useful for 50 years.</w:t>
      </w:r>
      <w:r>
        <w:rPr>
          <w:spacing w:val="-6"/>
        </w:rPr>
        <w:t xml:space="preserve"> Previously, the PUCO ordered Duke to complete remediation of the "East End" MGP site over a ten-year period ending December 31, 2016.</w:t>
      </w:r>
      <w:r>
        <w:rPr>
          <w:rStyle w:val="FootnoteReference"/>
          <w:spacing w:val="-6"/>
        </w:rPr>
        <w:footnoteReference w:id="3"/>
      </w:r>
      <w:r>
        <w:rPr>
          <w:spacing w:val="-6"/>
        </w:rPr>
        <w:t xml:space="preserve"> Now, the PUCO is allowing Duke to continue deferring remediation costs (for later collection from customers) for an additional three years.</w:t>
      </w:r>
      <w:r>
        <w:rPr>
          <w:rStyle w:val="FootnoteReference"/>
          <w:spacing w:val="-6"/>
        </w:rPr>
        <w:footnoteReference w:id="4"/>
      </w:r>
      <w:r>
        <w:rPr>
          <w:spacing w:val="-6"/>
        </w:rPr>
        <w:t xml:space="preserve"> In the Order, the PUCO agreed with Duke that "exigent circumstances" occurred that delayed Duke's remediation of the East End site. The evidence, however, does not support this conclusion.</w:t>
      </w:r>
    </w:p>
    <w:p w:rsidR="008D1D01" w:rsidP="008D1D01">
      <w:pPr>
        <w:spacing w:line="480" w:lineRule="auto"/>
        <w:ind w:firstLine="720"/>
      </w:pPr>
      <w:r>
        <w:t xml:space="preserve">The Order is unreasonable and unlawful for at least the following reasons: </w:t>
      </w:r>
    </w:p>
    <w:p w:rsidR="000A3453" w:rsidP="00C36E7F">
      <w:pPr>
        <w:widowControl/>
        <w:spacing w:after="240"/>
        <w:ind w:left="2880" w:hanging="2880"/>
        <w:rPr>
          <w:rFonts w:eastAsia="Calibri" w:cs="Times New Roman"/>
        </w:rPr>
      </w:pPr>
      <w:r w:rsidRPr="009A0459">
        <w:rPr>
          <w:rFonts w:eastAsia="Calibri" w:cs="Times New Roman"/>
        </w:rPr>
        <w:t>A</w:t>
      </w:r>
      <w:r>
        <w:rPr>
          <w:rFonts w:eastAsia="Calibri" w:cs="Times New Roman"/>
        </w:rPr>
        <w:t xml:space="preserve">ssignment of Error </w:t>
      </w:r>
      <w:r w:rsidRPr="009A0459">
        <w:rPr>
          <w:rFonts w:eastAsia="Calibri" w:cs="Times New Roman"/>
        </w:rPr>
        <w:t>1:</w:t>
      </w:r>
      <w:r>
        <w:rPr>
          <w:rFonts w:eastAsia="Calibri" w:cs="Times New Roman"/>
        </w:rPr>
        <w:tab/>
      </w:r>
      <w:r w:rsidRPr="00C97637">
        <w:rPr>
          <w:rFonts w:eastAsia="Calibri" w:cs="Times New Roman"/>
        </w:rPr>
        <w:t>The PUCO unreasonably and unlawfully found that Duke "established that exigent circumstances have occurred, warranting an extension of the Company's deferral authority." The circumstances that arose during remediation do not constitute "exigent circumstances." The PUCO's finding that exigent circumstances existed is manifestly against the weight of the evidence, violating R.C. 4903.09.</w:t>
      </w:r>
    </w:p>
    <w:p w:rsidR="000A3453" w:rsidP="00C36E7F">
      <w:pPr>
        <w:widowControl/>
        <w:spacing w:after="240"/>
        <w:ind w:left="2880" w:hanging="2880"/>
        <w:rPr>
          <w:rFonts w:eastAsia="Calibri" w:cs="Times New Roman"/>
        </w:rPr>
      </w:pPr>
      <w:r>
        <w:rPr>
          <w:rFonts w:eastAsia="Calibri" w:cs="Times New Roman"/>
        </w:rPr>
        <w:t>Assignment of Error 2</w:t>
      </w:r>
      <w:r w:rsidRPr="009A0459">
        <w:rPr>
          <w:rFonts w:eastAsia="Calibri" w:cs="Times New Roman"/>
        </w:rPr>
        <w:t>:</w:t>
      </w:r>
      <w:r>
        <w:rPr>
          <w:rFonts w:eastAsia="Calibri" w:cs="Times New Roman"/>
        </w:rPr>
        <w:tab/>
      </w:r>
      <w:r w:rsidRPr="00C97637">
        <w:rPr>
          <w:rFonts w:eastAsia="Calibri" w:cs="Times New Roman"/>
        </w:rPr>
        <w:t>The PUCO unreasonably and unlawfully found that Duke could extend the deferral period by three years, causing customers to potentially bear more costs.  The PUCO failed to provide record support or justification for the three-year extension period. Nor did it properly set forth the reasons prompting this decision as required by R.C. 4903.09.</w:t>
      </w:r>
    </w:p>
    <w:p w:rsidR="009A0459" w:rsidRPr="009A0459" w:rsidP="00C36E7F">
      <w:pPr>
        <w:widowControl/>
        <w:spacing w:after="240"/>
        <w:ind w:left="2880" w:hanging="2880"/>
        <w:rPr>
          <w:rFonts w:eastAsia="Calibri" w:cs="Times New Roman"/>
        </w:rPr>
      </w:pPr>
      <w:r>
        <w:rPr>
          <w:rFonts w:eastAsia="Calibri" w:cs="Times New Roman"/>
        </w:rPr>
        <w:t>Assignment of Error 3</w:t>
      </w:r>
      <w:r w:rsidRPr="009A0459">
        <w:rPr>
          <w:rFonts w:eastAsia="Calibri" w:cs="Times New Roman"/>
        </w:rPr>
        <w:t>:</w:t>
      </w:r>
      <w:r>
        <w:rPr>
          <w:rFonts w:eastAsia="Calibri" w:cs="Times New Roman"/>
        </w:rPr>
        <w:tab/>
      </w:r>
      <w:r w:rsidRPr="00C97637">
        <w:rPr>
          <w:rFonts w:eastAsia="Calibri" w:cs="Times New Roman"/>
        </w:rPr>
        <w:t>The PUCO unreasonably and unlawfully extended Duke's deferral authority for the costs related to environmental investigation and remediation that cannot be lawfully collected from Ohio customers under R.C. 4909.15. The environmental investigation and remediation costs are costs associated with MGP sites that were never "used and useful" in providing public utility service to Duke's Ohio customers.</w:t>
      </w:r>
    </w:p>
    <w:p w:rsidR="0030404C" w:rsidP="00C36E7F">
      <w:pPr>
        <w:spacing w:line="480" w:lineRule="auto"/>
        <w:ind w:firstLine="720"/>
        <w:rPr>
          <w:rFonts w:eastAsia="Times New Roman" w:cs="Times New Roman"/>
          <w:szCs w:val="24"/>
        </w:rPr>
      </w:pPr>
      <w:r>
        <w:rPr>
          <w:rFonts w:eastAsia="Times New Roman" w:cs="Times New Roman"/>
          <w:szCs w:val="24"/>
        </w:rPr>
        <w:t>The Office of the Ohio Consumers' Counsel ("OCC") and the Kroger Co. respectfully request that the PUCO grant rehearing and abrogate or modify the Order for the reasons in the attached memorandum in support.</w:t>
      </w:r>
    </w:p>
    <w:p w:rsidR="0030404C">
      <w:pPr>
        <w:rPr>
          <w:rFonts w:eastAsia="Times New Roman" w:cs="Times New Roman"/>
          <w:szCs w:val="24"/>
        </w:rPr>
      </w:pPr>
    </w:p>
    <w:p w:rsidR="000A3453">
      <w:pPr>
        <w:rPr>
          <w:rFonts w:eastAsia="Times New Roman" w:cs="Times New Roman"/>
          <w:szCs w:val="24"/>
        </w:rPr>
      </w:pPr>
      <w:r>
        <w:rPr>
          <w:rFonts w:eastAsia="Times New Roman" w:cs="Times New Roman"/>
          <w:szCs w:val="24"/>
        </w:rPr>
        <w:br w:type="page"/>
      </w:r>
    </w:p>
    <w:p w:rsidR="006729F4" w:rsidRPr="006729F4" w:rsidP="006729F4">
      <w:pPr>
        <w:spacing w:line="480" w:lineRule="auto"/>
        <w:ind w:left="3600" w:firstLine="720"/>
        <w:rPr>
          <w:rFonts w:eastAsia="Times New Roman" w:cs="Times New Roman"/>
          <w:szCs w:val="24"/>
        </w:rPr>
      </w:pPr>
      <w:r>
        <w:rPr>
          <w:rFonts w:eastAsia="Times New Roman" w:cs="Times New Roman"/>
          <w:szCs w:val="24"/>
        </w:rPr>
        <w:t>R</w:t>
      </w:r>
      <w:r w:rsidRPr="006729F4">
        <w:rPr>
          <w:rFonts w:eastAsia="Times New Roman" w:cs="Times New Roman"/>
          <w:szCs w:val="24"/>
        </w:rPr>
        <w:t>espectfully submitted,</w:t>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t>BRUCE WESTON (0016973)</w:t>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t>OHIO CONSUMERS</w:t>
      </w:r>
      <w:r>
        <w:rPr>
          <w:rFonts w:eastAsia="Times New Roman" w:cs="Times New Roman"/>
          <w:szCs w:val="24"/>
        </w:rPr>
        <w:t>'</w:t>
      </w:r>
      <w:r w:rsidRPr="006729F4">
        <w:rPr>
          <w:rFonts w:eastAsia="Times New Roman" w:cs="Times New Roman"/>
          <w:szCs w:val="24"/>
        </w:rPr>
        <w:t xml:space="preserve"> COUNSEL</w:t>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t>Christopher Healey (</w:t>
      </w:r>
      <w:r w:rsidRPr="006729F4">
        <w:rPr>
          <w:rFonts w:eastAsia="Times New Roman" w:cs="Times New Roman"/>
          <w:szCs w:val="20"/>
        </w:rPr>
        <w:t>0086027)</w:t>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t>Counsel of Record</w:t>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t>Ajay Kumar (0092208)</w:t>
      </w:r>
    </w:p>
    <w:p w:rsidR="006729F4" w:rsidRPr="006729F4" w:rsidP="006729F4">
      <w:pPr>
        <w:widowControl/>
        <w:tabs>
          <w:tab w:val="left" w:pos="4320"/>
        </w:tabs>
        <w:rPr>
          <w:rFonts w:eastAsia="Times New Roman" w:cs="Times New Roman"/>
          <w:szCs w:val="24"/>
        </w:rPr>
      </w:pPr>
      <w:r w:rsidRPr="006729F4">
        <w:rPr>
          <w:rFonts w:eastAsia="Times New Roman" w:cs="Times New Roman"/>
          <w:szCs w:val="24"/>
        </w:rPr>
        <w:tab/>
        <w:t>Assistant Consumers</w:t>
      </w:r>
      <w:r>
        <w:rPr>
          <w:rFonts w:eastAsia="Times New Roman" w:cs="Times New Roman"/>
          <w:szCs w:val="24"/>
        </w:rPr>
        <w:t>'</w:t>
      </w:r>
      <w:r w:rsidRPr="006729F4">
        <w:rPr>
          <w:rFonts w:eastAsia="Times New Roman" w:cs="Times New Roman"/>
          <w:szCs w:val="24"/>
        </w:rPr>
        <w:t xml:space="preserve"> Counsel</w:t>
      </w:r>
    </w:p>
    <w:p w:rsidR="006729F4" w:rsidRPr="006729F4" w:rsidP="0027156E">
      <w:pPr>
        <w:widowControl/>
        <w:tabs>
          <w:tab w:val="left" w:pos="4320"/>
        </w:tabs>
        <w:ind w:firstLine="4320"/>
        <w:rPr>
          <w:rFonts w:eastAsia="Times New Roman" w:cs="Times New Roman"/>
          <w:szCs w:val="24"/>
        </w:rPr>
      </w:pPr>
      <w:r w:rsidRPr="006729F4">
        <w:rPr>
          <w:rFonts w:eastAsia="Times New Roman" w:cs="Times New Roman"/>
          <w:szCs w:val="24"/>
        </w:rPr>
        <w:tab/>
      </w:r>
    </w:p>
    <w:p w:rsidR="006729F4" w:rsidRPr="006729F4" w:rsidP="0027156E">
      <w:pPr>
        <w:ind w:firstLine="4320"/>
      </w:pPr>
      <w:r w:rsidRPr="006729F4">
        <w:t>Office of the Ohio Consumers</w:t>
      </w:r>
      <w:r>
        <w:t>'</w:t>
      </w:r>
      <w:r w:rsidRPr="006729F4">
        <w:t xml:space="preserve"> Counsel</w:t>
      </w:r>
    </w:p>
    <w:p w:rsidR="006729F4" w:rsidRPr="006729F4" w:rsidP="0027156E">
      <w:pPr>
        <w:ind w:firstLine="4320"/>
        <w:rPr>
          <w:szCs w:val="24"/>
        </w:rPr>
      </w:pPr>
      <w:r w:rsidRPr="006729F4">
        <w:rPr>
          <w:szCs w:val="24"/>
        </w:rPr>
        <w:t>10 West Broad Street, Suite 1800</w:t>
      </w:r>
    </w:p>
    <w:p w:rsidR="006729F4" w:rsidRPr="006729F4" w:rsidP="0027156E">
      <w:pPr>
        <w:ind w:firstLine="4320"/>
        <w:rPr>
          <w:szCs w:val="24"/>
        </w:rPr>
      </w:pPr>
      <w:r w:rsidRPr="006729F4">
        <w:rPr>
          <w:szCs w:val="24"/>
        </w:rPr>
        <w:t>Columbus, Ohio 43215-3485</w:t>
      </w:r>
    </w:p>
    <w:p w:rsidR="006729F4" w:rsidRPr="006729F4" w:rsidP="0027156E">
      <w:pPr>
        <w:ind w:firstLine="4320"/>
        <w:rPr>
          <w:szCs w:val="24"/>
        </w:rPr>
      </w:pPr>
      <w:r w:rsidRPr="006729F4">
        <w:rPr>
          <w:szCs w:val="24"/>
        </w:rPr>
        <w:t>Telephone: Healey Direct – 614-466-9571</w:t>
      </w:r>
    </w:p>
    <w:p w:rsidR="006729F4" w:rsidRPr="006729F4" w:rsidP="0027156E">
      <w:pPr>
        <w:ind w:firstLine="4320"/>
        <w:rPr>
          <w:szCs w:val="24"/>
        </w:rPr>
      </w:pPr>
      <w:r w:rsidRPr="006729F4">
        <w:rPr>
          <w:szCs w:val="24"/>
        </w:rPr>
        <w:t>Telephone: Kumar Direct – 614-466-1292</w:t>
      </w:r>
    </w:p>
    <w:p w:rsidR="006729F4" w:rsidRPr="006729F4" w:rsidP="006729F4">
      <w:pPr>
        <w:widowControl/>
        <w:ind w:left="4320"/>
        <w:rPr>
          <w:rFonts w:eastAsia="Times New Roman" w:cs="Times New Roman"/>
          <w:szCs w:val="24"/>
        </w:rPr>
      </w:pPr>
      <w:r>
        <w:fldChar w:fldCharType="begin"/>
      </w:r>
      <w:r>
        <w:instrText xml:space="preserve"> HYPERLINK "mailto:Christopher.Healey@occ.ohio.gov" </w:instrText>
      </w:r>
      <w:r>
        <w:fldChar w:fldCharType="separate"/>
      </w:r>
      <w:r w:rsidRPr="006729F4" w:rsidR="008D6ED3">
        <w:rPr>
          <w:rFonts w:eastAsia="Times New Roman" w:cs="Times New Roman"/>
          <w:color w:val="0000FF"/>
          <w:szCs w:val="24"/>
          <w:u w:val="single"/>
        </w:rPr>
        <w:t>Christopher.Healey@occ.ohio.gov</w:t>
      </w:r>
      <w:r>
        <w:fldChar w:fldCharType="end"/>
      </w:r>
      <w:r w:rsidRPr="006729F4" w:rsidR="008D6ED3">
        <w:rPr>
          <w:rFonts w:eastAsia="Times New Roman" w:cs="Times New Roman"/>
          <w:szCs w:val="24"/>
        </w:rPr>
        <w:t xml:space="preserve"> </w:t>
      </w:r>
    </w:p>
    <w:p w:rsidR="006729F4" w:rsidRPr="006729F4" w:rsidP="006729F4">
      <w:pPr>
        <w:widowControl/>
        <w:autoSpaceDE w:val="0"/>
        <w:autoSpaceDN w:val="0"/>
        <w:adjustRightInd w:val="0"/>
        <w:ind w:left="3600" w:firstLine="720"/>
        <w:rPr>
          <w:rFonts w:eastAsia="Times New Roman" w:cs="Times New Roman"/>
          <w:szCs w:val="24"/>
        </w:rPr>
      </w:pPr>
      <w:r>
        <w:fldChar w:fldCharType="begin"/>
      </w:r>
      <w:r>
        <w:instrText xml:space="preserve"> HYPERLINK "mailto:Ajay.Kumar@occ.ohio.gov" </w:instrText>
      </w:r>
      <w:r>
        <w:fldChar w:fldCharType="separate"/>
      </w:r>
      <w:r w:rsidRPr="006729F4" w:rsidR="008D6ED3">
        <w:rPr>
          <w:rFonts w:eastAsia="Times New Roman" w:cs="Times New Roman"/>
          <w:color w:val="0000FF"/>
          <w:szCs w:val="24"/>
          <w:u w:val="single"/>
        </w:rPr>
        <w:t>Ajay.Kumar@occ.ohio.gov</w:t>
      </w:r>
      <w:r>
        <w:fldChar w:fldCharType="end"/>
      </w:r>
    </w:p>
    <w:p w:rsidR="006729F4" w:rsidRPr="006729F4" w:rsidP="006729F4">
      <w:pPr>
        <w:widowControl/>
        <w:ind w:left="4320"/>
        <w:rPr>
          <w:rFonts w:eastAsia="Times New Roman" w:cs="Times New Roman"/>
          <w:szCs w:val="24"/>
        </w:rPr>
      </w:pPr>
      <w:r w:rsidRPr="006729F4">
        <w:rPr>
          <w:rFonts w:eastAsia="Times New Roman" w:cs="Times New Roman"/>
          <w:szCs w:val="24"/>
        </w:rPr>
        <w:t>(Will accept service via email)</w:t>
      </w:r>
    </w:p>
    <w:p w:rsidR="006729F4" w:rsidP="005A00F3">
      <w:pPr>
        <w:widowControl/>
        <w:autoSpaceDE w:val="0"/>
        <w:autoSpaceDN w:val="0"/>
        <w:jc w:val="both"/>
        <w:rPr>
          <w:rFonts w:eastAsia="Times New Roman" w:cs="Times New Roman"/>
          <w:szCs w:val="24"/>
          <w:u w:val="single"/>
        </w:rPr>
      </w:pPr>
    </w:p>
    <w:p w:rsidR="006729F4" w:rsidRPr="006729F4" w:rsidP="006729F4">
      <w:pPr>
        <w:widowControl/>
        <w:ind w:left="4320"/>
        <w:jc w:val="both"/>
        <w:rPr>
          <w:rFonts w:eastAsia="Times New Roman" w:cs="Times New Roman"/>
          <w:szCs w:val="20"/>
        </w:rPr>
      </w:pPr>
      <w:r w:rsidRPr="006729F4">
        <w:rPr>
          <w:rFonts w:eastAsia="Times New Roman" w:cs="Times New Roman"/>
          <w:szCs w:val="24"/>
        </w:rPr>
        <w:t>Kimberly W. Bojko (0069402)</w:t>
      </w:r>
    </w:p>
    <w:p w:rsidR="006729F4" w:rsidRPr="006729F4" w:rsidP="006729F4">
      <w:pPr>
        <w:widowControl/>
        <w:ind w:left="4320"/>
        <w:jc w:val="both"/>
        <w:rPr>
          <w:rFonts w:eastAsia="Times New Roman" w:cs="Times New Roman"/>
          <w:szCs w:val="20"/>
        </w:rPr>
      </w:pPr>
      <w:r w:rsidRPr="006729F4">
        <w:rPr>
          <w:rFonts w:eastAsia="Times New Roman" w:cs="Times New Roman"/>
          <w:szCs w:val="24"/>
        </w:rPr>
        <w:t>Carpenter Lipps &amp; Leland LLP</w:t>
      </w:r>
    </w:p>
    <w:p w:rsidR="006729F4" w:rsidRPr="006729F4" w:rsidP="006729F4">
      <w:pPr>
        <w:widowControl/>
        <w:ind w:left="4320"/>
        <w:jc w:val="both"/>
        <w:rPr>
          <w:rFonts w:eastAsia="Times New Roman" w:cs="Times New Roman"/>
          <w:szCs w:val="20"/>
        </w:rPr>
      </w:pPr>
      <w:r w:rsidRPr="006729F4">
        <w:rPr>
          <w:rFonts w:eastAsia="Times New Roman" w:cs="Times New Roman"/>
          <w:szCs w:val="24"/>
        </w:rPr>
        <w:t>280 Plaza, Suite 1300</w:t>
      </w:r>
    </w:p>
    <w:p w:rsidR="006729F4" w:rsidRPr="006729F4" w:rsidP="006729F4">
      <w:pPr>
        <w:widowControl/>
        <w:ind w:left="4320"/>
        <w:jc w:val="both"/>
        <w:rPr>
          <w:rFonts w:eastAsia="Times New Roman" w:cs="Times New Roman"/>
          <w:szCs w:val="20"/>
        </w:rPr>
      </w:pPr>
      <w:r w:rsidRPr="006729F4">
        <w:rPr>
          <w:rFonts w:eastAsia="Times New Roman" w:cs="Times New Roman"/>
          <w:szCs w:val="24"/>
        </w:rPr>
        <w:t>280 North High Street</w:t>
      </w:r>
    </w:p>
    <w:p w:rsidR="006729F4" w:rsidRPr="006729F4" w:rsidP="006729F4">
      <w:pPr>
        <w:widowControl/>
        <w:ind w:firstLine="4320"/>
        <w:jc w:val="both"/>
        <w:rPr>
          <w:rFonts w:eastAsia="Times New Roman" w:cs="Times New Roman"/>
          <w:szCs w:val="20"/>
        </w:rPr>
      </w:pPr>
      <w:r w:rsidRPr="006729F4">
        <w:rPr>
          <w:rFonts w:eastAsia="Times New Roman" w:cs="Times New Roman"/>
          <w:szCs w:val="24"/>
        </w:rPr>
        <w:t>Columbus, Ohio 43215</w:t>
      </w:r>
    </w:p>
    <w:p w:rsidR="006729F4" w:rsidRPr="006729F4" w:rsidP="006729F4">
      <w:pPr>
        <w:widowControl/>
        <w:ind w:firstLine="4320"/>
        <w:jc w:val="both"/>
        <w:rPr>
          <w:rFonts w:eastAsia="Times New Roman" w:cs="Times New Roman"/>
          <w:szCs w:val="20"/>
        </w:rPr>
      </w:pPr>
      <w:r w:rsidRPr="006729F4">
        <w:rPr>
          <w:rFonts w:eastAsia="Times New Roman" w:cs="Times New Roman"/>
          <w:szCs w:val="24"/>
        </w:rPr>
        <w:t>Telephone: (614) 365-4100</w:t>
      </w:r>
    </w:p>
    <w:p w:rsidR="006729F4" w:rsidRPr="006729F4" w:rsidP="006729F4">
      <w:pPr>
        <w:widowControl/>
        <w:ind w:firstLine="4320"/>
        <w:jc w:val="both"/>
        <w:rPr>
          <w:rFonts w:eastAsia="Times New Roman" w:cs="Times New Roman"/>
          <w:szCs w:val="20"/>
        </w:rPr>
      </w:pPr>
      <w:r w:rsidRPr="006729F4">
        <w:rPr>
          <w:rFonts w:eastAsia="Times New Roman" w:cs="Times New Roman"/>
          <w:szCs w:val="24"/>
        </w:rPr>
        <w:t xml:space="preserve">Email: </w:t>
      </w:r>
      <w:r>
        <w:fldChar w:fldCharType="begin"/>
      </w:r>
      <w:r>
        <w:instrText xml:space="preserve"> HYPERLINK "mailto:Bojko@carpenterlipps.com" </w:instrText>
      </w:r>
      <w:r>
        <w:fldChar w:fldCharType="separate"/>
      </w:r>
      <w:r w:rsidRPr="006729F4">
        <w:rPr>
          <w:rFonts w:eastAsia="Times New Roman" w:cs="Times New Roman"/>
          <w:color w:val="0000FF"/>
          <w:szCs w:val="24"/>
          <w:u w:val="single"/>
        </w:rPr>
        <w:t>Bojko@carpenterlipps.com</w:t>
      </w:r>
      <w:r>
        <w:fldChar w:fldCharType="end"/>
      </w:r>
    </w:p>
    <w:p w:rsidR="006729F4" w:rsidRPr="006729F4" w:rsidP="006729F4">
      <w:pPr>
        <w:widowControl/>
        <w:jc w:val="both"/>
        <w:rPr>
          <w:rFonts w:eastAsia="Times New Roman" w:cs="Times New Roman"/>
          <w:szCs w:val="20"/>
        </w:rPr>
      </w:pP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t>(Will accept service via email)</w:t>
      </w:r>
    </w:p>
    <w:p w:rsidR="006729F4" w:rsidRPr="006729F4" w:rsidP="006729F4">
      <w:pPr>
        <w:widowControl/>
        <w:jc w:val="both"/>
        <w:rPr>
          <w:rFonts w:eastAsia="Times New Roman" w:cs="Times New Roman"/>
          <w:szCs w:val="20"/>
        </w:rPr>
      </w:pPr>
    </w:p>
    <w:p w:rsidR="006729F4" w:rsidRPr="006729F4" w:rsidP="006729F4">
      <w:pPr>
        <w:widowControl/>
        <w:ind w:firstLine="4320"/>
        <w:rPr>
          <w:rFonts w:eastAsia="Times New Roman" w:cs="Times New Roman"/>
          <w:b/>
          <w:szCs w:val="24"/>
        </w:rPr>
      </w:pPr>
      <w:r w:rsidRPr="006729F4">
        <w:rPr>
          <w:rFonts w:eastAsia="Times New Roman" w:cs="Times New Roman"/>
          <w:i/>
          <w:iCs/>
          <w:szCs w:val="24"/>
        </w:rPr>
        <w:t>Counsel for The Kroger Co.</w:t>
      </w:r>
    </w:p>
    <w:p w:rsidR="00B31544" w:rsidP="006729F4">
      <w:pPr>
        <w:widowControl/>
        <w:tabs>
          <w:tab w:val="left" w:pos="-720"/>
        </w:tabs>
        <w:suppressAutoHyphens/>
        <w:jc w:val="both"/>
        <w:rPr>
          <w:spacing w:val="-1"/>
        </w:rPr>
      </w:pPr>
    </w:p>
    <w:p w:rsidR="0046148C"/>
    <w:p w:rsidR="009A4EEA"/>
    <w:p w:rsidR="009A4EEA">
      <w:pPr>
        <w:sectPr w:rsidSect="00CB1CD0">
          <w:footerReference w:type="default" r:id="rId11"/>
          <w:pgSz w:w="12240" w:h="15840"/>
          <w:pgMar w:top="1440" w:right="1800" w:bottom="1440" w:left="1800" w:header="0" w:footer="1049" w:gutter="0"/>
          <w:pgNumType w:start="2"/>
          <w:cols w:space="720"/>
        </w:sectPr>
      </w:pPr>
    </w:p>
    <w:p w:rsidR="0027156E" w:rsidRPr="0027156E" w:rsidP="0027156E">
      <w:pPr>
        <w:jc w:val="center"/>
        <w:rPr>
          <w:b/>
          <w:u w:val="single"/>
        </w:rPr>
      </w:pPr>
      <w:r w:rsidRPr="0027156E">
        <w:rPr>
          <w:b/>
          <w:u w:val="single"/>
        </w:rPr>
        <w:t>TABLE OF CONTENTS</w:t>
      </w:r>
    </w:p>
    <w:p w:rsidR="0027156E" w:rsidP="0027156E">
      <w:pPr>
        <w:jc w:val="right"/>
        <w:rPr>
          <w:b/>
        </w:rPr>
      </w:pPr>
      <w:r>
        <w:rPr>
          <w:b/>
        </w:rPr>
        <w:t>Page</w:t>
      </w:r>
    </w:p>
    <w:p w:rsidR="0027156E" w:rsidP="0027156E">
      <w:pPr>
        <w:rPr>
          <w:b/>
        </w:rPr>
      </w:pPr>
    </w:p>
    <w:p w:rsidR="008D6ED3">
      <w:pPr>
        <w:pStyle w:val="TOC1"/>
        <w:tabs>
          <w:tab w:val="right" w:leader="dot" w:pos="8630"/>
        </w:tabs>
        <w:rPr>
          <w:rFonts w:asciiTheme="minorHAnsi" w:eastAsiaTheme="minorEastAsia" w:hAnsiTheme="minorHAnsi"/>
          <w:b w:val="0"/>
          <w:noProof/>
          <w:sz w:val="22"/>
          <w:szCs w:val="22"/>
        </w:rPr>
      </w:pPr>
      <w:r>
        <w:rPr>
          <w:b w:val="0"/>
        </w:rPr>
        <w:fldChar w:fldCharType="begin"/>
      </w:r>
      <w:r>
        <w:rPr>
          <w:b w:val="0"/>
        </w:rPr>
        <w:instrText xml:space="preserve"> TOC \o "1-2" \h \z \u </w:instrText>
      </w:r>
      <w:r>
        <w:rPr>
          <w:b w:val="0"/>
        </w:rPr>
        <w:fldChar w:fldCharType="separate"/>
      </w:r>
      <w:r>
        <w:fldChar w:fldCharType="begin"/>
      </w:r>
      <w:r>
        <w:instrText xml:space="preserve"> HYPERLINK \l "_Toc472693577" </w:instrText>
      </w:r>
      <w:r>
        <w:fldChar w:fldCharType="separate"/>
      </w:r>
      <w:r w:rsidRPr="004C0E7D">
        <w:rPr>
          <w:rStyle w:val="Hyperlink"/>
          <w:noProof/>
        </w:rPr>
        <w:t>I.</w:t>
      </w:r>
      <w:r>
        <w:rPr>
          <w:rFonts w:asciiTheme="minorHAnsi" w:eastAsiaTheme="minorEastAsia" w:hAnsiTheme="minorHAnsi"/>
          <w:b w:val="0"/>
          <w:noProof/>
          <w:sz w:val="22"/>
          <w:szCs w:val="22"/>
        </w:rPr>
        <w:tab/>
      </w:r>
      <w:r w:rsidRPr="004C0E7D">
        <w:rPr>
          <w:rStyle w:val="Hyperlink"/>
          <w:noProof/>
        </w:rPr>
        <w:t>INTRODUCTION</w:t>
      </w:r>
      <w:r>
        <w:rPr>
          <w:noProof/>
          <w:webHidden/>
        </w:rPr>
        <w:tab/>
      </w:r>
      <w:r>
        <w:rPr>
          <w:noProof/>
          <w:webHidden/>
        </w:rPr>
        <w:fldChar w:fldCharType="begin"/>
      </w:r>
      <w:r>
        <w:rPr>
          <w:noProof/>
          <w:webHidden/>
        </w:rPr>
        <w:instrText xml:space="preserve"> PAGEREF _Toc472693577 \h </w:instrText>
      </w:r>
      <w:r>
        <w:rPr>
          <w:noProof/>
          <w:webHidden/>
        </w:rPr>
        <w:fldChar w:fldCharType="separate"/>
      </w:r>
      <w:r>
        <w:rPr>
          <w:noProof/>
          <w:webHidden/>
        </w:rPr>
        <w:t>1</w:t>
      </w:r>
      <w:r>
        <w:rPr>
          <w:noProof/>
          <w:webHidden/>
        </w:rPr>
        <w:fldChar w:fldCharType="end"/>
      </w:r>
      <w:r>
        <w:fldChar w:fldCharType="end"/>
      </w:r>
    </w:p>
    <w:p w:rsidR="008D6ED3">
      <w:pPr>
        <w:pStyle w:val="TOC1"/>
        <w:tabs>
          <w:tab w:val="right" w:leader="dot" w:pos="8630"/>
        </w:tabs>
        <w:rPr>
          <w:rFonts w:asciiTheme="minorHAnsi" w:eastAsiaTheme="minorEastAsia" w:hAnsiTheme="minorHAnsi"/>
          <w:b w:val="0"/>
          <w:noProof/>
          <w:sz w:val="22"/>
          <w:szCs w:val="22"/>
        </w:rPr>
      </w:pPr>
      <w:r>
        <w:fldChar w:fldCharType="begin"/>
      </w:r>
      <w:r>
        <w:instrText xml:space="preserve"> HYPERLINK \l "_Toc472693578" </w:instrText>
      </w:r>
      <w:r>
        <w:fldChar w:fldCharType="separate"/>
      </w:r>
      <w:r w:rsidRPr="004C0E7D">
        <w:rPr>
          <w:rStyle w:val="Hyperlink"/>
          <w:noProof/>
        </w:rPr>
        <w:t>II.</w:t>
      </w:r>
      <w:r>
        <w:rPr>
          <w:rFonts w:asciiTheme="minorHAnsi" w:eastAsiaTheme="minorEastAsia" w:hAnsiTheme="minorHAnsi"/>
          <w:b w:val="0"/>
          <w:noProof/>
          <w:sz w:val="22"/>
          <w:szCs w:val="22"/>
        </w:rPr>
        <w:tab/>
      </w:r>
      <w:r w:rsidRPr="004C0E7D">
        <w:rPr>
          <w:rStyle w:val="Hyperlink"/>
          <w:noProof/>
          <w:spacing w:val="-1"/>
        </w:rPr>
        <w:t>STANDARD</w:t>
      </w:r>
      <w:r w:rsidRPr="004C0E7D">
        <w:rPr>
          <w:rStyle w:val="Hyperlink"/>
          <w:noProof/>
          <w:spacing w:val="-3"/>
        </w:rPr>
        <w:t xml:space="preserve"> </w:t>
      </w:r>
      <w:r w:rsidRPr="004C0E7D">
        <w:rPr>
          <w:rStyle w:val="Hyperlink"/>
          <w:noProof/>
          <w:spacing w:val="1"/>
        </w:rPr>
        <w:t>OF</w:t>
      </w:r>
      <w:r w:rsidRPr="004C0E7D">
        <w:rPr>
          <w:rStyle w:val="Hyperlink"/>
          <w:noProof/>
          <w:spacing w:val="-6"/>
        </w:rPr>
        <w:t xml:space="preserve"> </w:t>
      </w:r>
      <w:r w:rsidRPr="004C0E7D">
        <w:rPr>
          <w:rStyle w:val="Hyperlink"/>
          <w:noProof/>
        </w:rPr>
        <w:t>REVIEW</w:t>
      </w:r>
      <w:r>
        <w:rPr>
          <w:noProof/>
          <w:webHidden/>
        </w:rPr>
        <w:tab/>
      </w:r>
      <w:r>
        <w:rPr>
          <w:noProof/>
          <w:webHidden/>
        </w:rPr>
        <w:fldChar w:fldCharType="begin"/>
      </w:r>
      <w:r>
        <w:rPr>
          <w:noProof/>
          <w:webHidden/>
        </w:rPr>
        <w:instrText xml:space="preserve"> PAGEREF _Toc472693578 \h </w:instrText>
      </w:r>
      <w:r>
        <w:rPr>
          <w:noProof/>
          <w:webHidden/>
        </w:rPr>
        <w:fldChar w:fldCharType="separate"/>
      </w:r>
      <w:r>
        <w:rPr>
          <w:noProof/>
          <w:webHidden/>
        </w:rPr>
        <w:t>2</w:t>
      </w:r>
      <w:r>
        <w:rPr>
          <w:noProof/>
          <w:webHidden/>
        </w:rPr>
        <w:fldChar w:fldCharType="end"/>
      </w:r>
      <w:r>
        <w:fldChar w:fldCharType="end"/>
      </w:r>
    </w:p>
    <w:p w:rsidR="008D6ED3">
      <w:pPr>
        <w:pStyle w:val="TOC1"/>
        <w:tabs>
          <w:tab w:val="right" w:leader="dot" w:pos="8630"/>
        </w:tabs>
        <w:rPr>
          <w:rFonts w:asciiTheme="minorHAnsi" w:eastAsiaTheme="minorEastAsia" w:hAnsiTheme="minorHAnsi"/>
          <w:b w:val="0"/>
          <w:noProof/>
          <w:sz w:val="22"/>
          <w:szCs w:val="22"/>
        </w:rPr>
      </w:pPr>
      <w:r>
        <w:fldChar w:fldCharType="begin"/>
      </w:r>
      <w:r>
        <w:instrText xml:space="preserve"> HYPERLINK \l "_Toc472693579" </w:instrText>
      </w:r>
      <w:r>
        <w:fldChar w:fldCharType="separate"/>
      </w:r>
      <w:r w:rsidRPr="004C0E7D">
        <w:rPr>
          <w:rStyle w:val="Hyperlink"/>
          <w:noProof/>
        </w:rPr>
        <w:t>III.</w:t>
      </w:r>
      <w:r>
        <w:rPr>
          <w:rFonts w:asciiTheme="minorHAnsi" w:eastAsiaTheme="minorEastAsia" w:hAnsiTheme="minorHAnsi"/>
          <w:b w:val="0"/>
          <w:noProof/>
          <w:sz w:val="22"/>
          <w:szCs w:val="22"/>
        </w:rPr>
        <w:tab/>
      </w:r>
      <w:r w:rsidRPr="004C0E7D">
        <w:rPr>
          <w:rStyle w:val="Hyperlink"/>
          <w:noProof/>
        </w:rPr>
        <w:t>BACKGROUND</w:t>
      </w:r>
      <w:r>
        <w:rPr>
          <w:noProof/>
          <w:webHidden/>
        </w:rPr>
        <w:tab/>
      </w:r>
      <w:r>
        <w:rPr>
          <w:noProof/>
          <w:webHidden/>
        </w:rPr>
        <w:fldChar w:fldCharType="begin"/>
      </w:r>
      <w:r>
        <w:rPr>
          <w:noProof/>
          <w:webHidden/>
        </w:rPr>
        <w:instrText xml:space="preserve"> PAGEREF _Toc472693579 \h </w:instrText>
      </w:r>
      <w:r>
        <w:rPr>
          <w:noProof/>
          <w:webHidden/>
        </w:rPr>
        <w:fldChar w:fldCharType="separate"/>
      </w:r>
      <w:r>
        <w:rPr>
          <w:noProof/>
          <w:webHidden/>
        </w:rPr>
        <w:t>2</w:t>
      </w:r>
      <w:r>
        <w:rPr>
          <w:noProof/>
          <w:webHidden/>
        </w:rPr>
        <w:fldChar w:fldCharType="end"/>
      </w:r>
      <w:r>
        <w:fldChar w:fldCharType="end"/>
      </w:r>
    </w:p>
    <w:p w:rsidR="008D6ED3">
      <w:pPr>
        <w:pStyle w:val="TOC1"/>
        <w:tabs>
          <w:tab w:val="right" w:leader="dot" w:pos="8630"/>
        </w:tabs>
        <w:rPr>
          <w:rFonts w:asciiTheme="minorHAnsi" w:eastAsiaTheme="minorEastAsia" w:hAnsiTheme="minorHAnsi"/>
          <w:b w:val="0"/>
          <w:noProof/>
          <w:sz w:val="22"/>
          <w:szCs w:val="22"/>
        </w:rPr>
      </w:pPr>
      <w:r>
        <w:fldChar w:fldCharType="begin"/>
      </w:r>
      <w:r>
        <w:instrText xml:space="preserve"> HYPERLINK \l "_Toc472693580" </w:instrText>
      </w:r>
      <w:r>
        <w:fldChar w:fldCharType="separate"/>
      </w:r>
      <w:r w:rsidRPr="004C0E7D">
        <w:rPr>
          <w:rStyle w:val="Hyperlink"/>
          <w:noProof/>
        </w:rPr>
        <w:t>IV.</w:t>
      </w:r>
      <w:r>
        <w:rPr>
          <w:rFonts w:asciiTheme="minorHAnsi" w:eastAsiaTheme="minorEastAsia" w:hAnsiTheme="minorHAnsi"/>
          <w:b w:val="0"/>
          <w:noProof/>
          <w:sz w:val="22"/>
          <w:szCs w:val="22"/>
        </w:rPr>
        <w:tab/>
      </w:r>
      <w:r w:rsidRPr="004C0E7D">
        <w:rPr>
          <w:rStyle w:val="Hyperlink"/>
          <w:noProof/>
        </w:rPr>
        <w:t>ERRORS</w:t>
      </w:r>
      <w:r>
        <w:rPr>
          <w:noProof/>
          <w:webHidden/>
        </w:rPr>
        <w:tab/>
      </w:r>
      <w:r>
        <w:rPr>
          <w:noProof/>
          <w:webHidden/>
        </w:rPr>
        <w:fldChar w:fldCharType="begin"/>
      </w:r>
      <w:r>
        <w:rPr>
          <w:noProof/>
          <w:webHidden/>
        </w:rPr>
        <w:instrText xml:space="preserve"> PAGEREF _Toc472693580 \h </w:instrText>
      </w:r>
      <w:r>
        <w:rPr>
          <w:noProof/>
          <w:webHidden/>
        </w:rPr>
        <w:fldChar w:fldCharType="separate"/>
      </w:r>
      <w:r>
        <w:rPr>
          <w:noProof/>
          <w:webHidden/>
        </w:rPr>
        <w:t>5</w:t>
      </w:r>
      <w:r>
        <w:rPr>
          <w:noProof/>
          <w:webHidden/>
        </w:rPr>
        <w:fldChar w:fldCharType="end"/>
      </w:r>
      <w:r>
        <w:fldChar w:fldCharType="end"/>
      </w:r>
    </w:p>
    <w:p w:rsidR="008D6ED3">
      <w:pPr>
        <w:pStyle w:val="TOC2"/>
        <w:tabs>
          <w:tab w:val="left" w:pos="1440"/>
          <w:tab w:val="right" w:leader="dot" w:pos="8630"/>
        </w:tabs>
        <w:rPr>
          <w:rFonts w:asciiTheme="minorHAnsi" w:eastAsiaTheme="minorEastAsia" w:hAnsiTheme="minorHAnsi"/>
          <w:noProof/>
          <w:sz w:val="22"/>
          <w:szCs w:val="22"/>
        </w:rPr>
      </w:pPr>
      <w:r>
        <w:fldChar w:fldCharType="begin"/>
      </w:r>
      <w:r>
        <w:instrText xml:space="preserve"> HYPERLINK \l "_Toc472693581" </w:instrText>
      </w:r>
      <w:r>
        <w:fldChar w:fldCharType="separate"/>
      </w:r>
      <w:r w:rsidRPr="004C0E7D">
        <w:rPr>
          <w:rStyle w:val="Hyperlink"/>
          <w:rFonts w:eastAsia="Calibri"/>
          <w:noProof/>
        </w:rPr>
        <w:t>A.</w:t>
      </w:r>
      <w:r>
        <w:rPr>
          <w:rFonts w:asciiTheme="minorHAnsi" w:eastAsiaTheme="minorEastAsia" w:hAnsiTheme="minorHAnsi"/>
          <w:noProof/>
          <w:sz w:val="22"/>
          <w:szCs w:val="22"/>
        </w:rPr>
        <w:tab/>
      </w:r>
      <w:r w:rsidRPr="004C0E7D">
        <w:rPr>
          <w:rStyle w:val="Hyperlink"/>
          <w:rFonts w:eastAsia="Calibri"/>
          <w:noProof/>
        </w:rPr>
        <w:t>The PUCO unreasonably and unlawfully found that Duke "established that exigent circumstances have occurred, warranting an extension of the Company's deferral authority." The circumstances that arose during remediation do not constitute "exigent circumstances." The PUCO's finding that exigent circumstances existed is manifestly against the weight of the evidence, violating R.C. 4903.09.</w:t>
      </w:r>
      <w:r>
        <w:rPr>
          <w:noProof/>
          <w:webHidden/>
        </w:rPr>
        <w:tab/>
      </w:r>
      <w:r>
        <w:rPr>
          <w:noProof/>
          <w:webHidden/>
        </w:rPr>
        <w:fldChar w:fldCharType="begin"/>
      </w:r>
      <w:r>
        <w:rPr>
          <w:noProof/>
          <w:webHidden/>
        </w:rPr>
        <w:instrText xml:space="preserve"> PAGEREF _Toc472693581 \h </w:instrText>
      </w:r>
      <w:r>
        <w:rPr>
          <w:noProof/>
          <w:webHidden/>
        </w:rPr>
        <w:fldChar w:fldCharType="separate"/>
      </w:r>
      <w:r>
        <w:rPr>
          <w:noProof/>
          <w:webHidden/>
        </w:rPr>
        <w:t>5</w:t>
      </w:r>
      <w:r>
        <w:rPr>
          <w:noProof/>
          <w:webHidden/>
        </w:rPr>
        <w:fldChar w:fldCharType="end"/>
      </w:r>
      <w:r>
        <w:fldChar w:fldCharType="end"/>
      </w:r>
    </w:p>
    <w:p w:rsidR="008D6ED3">
      <w:pPr>
        <w:pStyle w:val="TOC2"/>
        <w:tabs>
          <w:tab w:val="left" w:pos="1440"/>
          <w:tab w:val="right" w:leader="dot" w:pos="8630"/>
        </w:tabs>
        <w:rPr>
          <w:rFonts w:asciiTheme="minorHAnsi" w:eastAsiaTheme="minorEastAsia" w:hAnsiTheme="minorHAnsi"/>
          <w:noProof/>
          <w:sz w:val="22"/>
          <w:szCs w:val="22"/>
        </w:rPr>
      </w:pPr>
      <w:r>
        <w:fldChar w:fldCharType="begin"/>
      </w:r>
      <w:r>
        <w:instrText xml:space="preserve"> HYPERLINK \l "_Toc472693582" </w:instrText>
      </w:r>
      <w:r>
        <w:fldChar w:fldCharType="separate"/>
      </w:r>
      <w:r w:rsidRPr="004C0E7D">
        <w:rPr>
          <w:rStyle w:val="Hyperlink"/>
          <w:rFonts w:eastAsia="Calibri"/>
          <w:noProof/>
        </w:rPr>
        <w:t>B.</w:t>
      </w:r>
      <w:r>
        <w:rPr>
          <w:rFonts w:asciiTheme="minorHAnsi" w:eastAsiaTheme="minorEastAsia" w:hAnsiTheme="minorHAnsi"/>
          <w:noProof/>
          <w:sz w:val="22"/>
          <w:szCs w:val="22"/>
        </w:rPr>
        <w:tab/>
      </w:r>
      <w:r w:rsidRPr="004C0E7D">
        <w:rPr>
          <w:rStyle w:val="Hyperlink"/>
          <w:rFonts w:eastAsia="Calibri"/>
          <w:noProof/>
        </w:rPr>
        <w:t>The PUCO unreasonably and unlawfully found that Duke could extend the deferral period by three years, causing customers to potentially bear more costs.  The PUCO failed to provide record support or justification for the three-year extension period. Nor did it properly set forth the reasons prompting this decision as required by R.C. 4903.09.</w:t>
      </w:r>
      <w:r>
        <w:rPr>
          <w:noProof/>
          <w:webHidden/>
        </w:rPr>
        <w:tab/>
      </w:r>
      <w:r>
        <w:rPr>
          <w:noProof/>
          <w:webHidden/>
        </w:rPr>
        <w:fldChar w:fldCharType="begin"/>
      </w:r>
      <w:r>
        <w:rPr>
          <w:noProof/>
          <w:webHidden/>
        </w:rPr>
        <w:instrText xml:space="preserve"> PAGEREF _Toc472693582 \h </w:instrText>
      </w:r>
      <w:r>
        <w:rPr>
          <w:noProof/>
          <w:webHidden/>
        </w:rPr>
        <w:fldChar w:fldCharType="separate"/>
      </w:r>
      <w:r>
        <w:rPr>
          <w:noProof/>
          <w:webHidden/>
        </w:rPr>
        <w:t>7</w:t>
      </w:r>
      <w:r>
        <w:rPr>
          <w:noProof/>
          <w:webHidden/>
        </w:rPr>
        <w:fldChar w:fldCharType="end"/>
      </w:r>
      <w:r>
        <w:fldChar w:fldCharType="end"/>
      </w:r>
    </w:p>
    <w:p w:rsidR="008D6ED3">
      <w:pPr>
        <w:pStyle w:val="TOC2"/>
        <w:tabs>
          <w:tab w:val="left" w:pos="1440"/>
          <w:tab w:val="right" w:leader="dot" w:pos="8630"/>
        </w:tabs>
        <w:rPr>
          <w:rFonts w:asciiTheme="minorHAnsi" w:eastAsiaTheme="minorEastAsia" w:hAnsiTheme="minorHAnsi"/>
          <w:noProof/>
          <w:sz w:val="22"/>
          <w:szCs w:val="22"/>
        </w:rPr>
      </w:pPr>
      <w:r>
        <w:fldChar w:fldCharType="begin"/>
      </w:r>
      <w:r>
        <w:instrText xml:space="preserve"> HYPERLINK \l "_Toc472693583" </w:instrText>
      </w:r>
      <w:r>
        <w:fldChar w:fldCharType="separate"/>
      </w:r>
      <w:r w:rsidRPr="004C0E7D">
        <w:rPr>
          <w:rStyle w:val="Hyperlink"/>
          <w:rFonts w:eastAsia="Calibri"/>
          <w:noProof/>
        </w:rPr>
        <w:t>C.</w:t>
      </w:r>
      <w:r>
        <w:rPr>
          <w:rFonts w:asciiTheme="minorHAnsi" w:eastAsiaTheme="minorEastAsia" w:hAnsiTheme="minorHAnsi"/>
          <w:noProof/>
          <w:sz w:val="22"/>
          <w:szCs w:val="22"/>
        </w:rPr>
        <w:tab/>
      </w:r>
      <w:r w:rsidRPr="004C0E7D">
        <w:rPr>
          <w:rStyle w:val="Hyperlink"/>
          <w:rFonts w:eastAsia="Calibri"/>
          <w:noProof/>
        </w:rPr>
        <w:t xml:space="preserve">The PUCO unreasonably and unlawfully extended Duke's deferral authority for the costs related to environmental investigation and remediation that cannot be lawfully collected from Ohio customers under R.C. 4909.15. The environmental investigation and remediation costs are costs associated with MGP sites that were never "used and useful" in providing public utility service to Duke's Ohio </w:t>
      </w:r>
      <w:r w:rsidR="009B5AA9">
        <w:rPr>
          <w:rStyle w:val="Hyperlink"/>
          <w:rFonts w:eastAsia="Calibri"/>
          <w:noProof/>
        </w:rPr>
        <w:br/>
      </w:r>
      <w:r w:rsidRPr="004C0E7D">
        <w:rPr>
          <w:rStyle w:val="Hyperlink"/>
          <w:rFonts w:eastAsia="Calibri"/>
          <w:noProof/>
        </w:rPr>
        <w:t>customers.</w:t>
      </w:r>
      <w:r>
        <w:rPr>
          <w:noProof/>
          <w:webHidden/>
        </w:rPr>
        <w:tab/>
      </w:r>
      <w:r>
        <w:rPr>
          <w:noProof/>
          <w:webHidden/>
        </w:rPr>
        <w:fldChar w:fldCharType="begin"/>
      </w:r>
      <w:r>
        <w:rPr>
          <w:noProof/>
          <w:webHidden/>
        </w:rPr>
        <w:instrText xml:space="preserve"> PAGEREF _Toc472693583 \h </w:instrText>
      </w:r>
      <w:r>
        <w:rPr>
          <w:noProof/>
          <w:webHidden/>
        </w:rPr>
        <w:fldChar w:fldCharType="separate"/>
      </w:r>
      <w:r>
        <w:rPr>
          <w:noProof/>
          <w:webHidden/>
        </w:rPr>
        <w:t>8</w:t>
      </w:r>
      <w:r>
        <w:rPr>
          <w:noProof/>
          <w:webHidden/>
        </w:rPr>
        <w:fldChar w:fldCharType="end"/>
      </w:r>
      <w:r>
        <w:fldChar w:fldCharType="end"/>
      </w:r>
    </w:p>
    <w:p w:rsidR="008D6ED3">
      <w:pPr>
        <w:pStyle w:val="TOC1"/>
        <w:tabs>
          <w:tab w:val="right" w:leader="dot" w:pos="8630"/>
        </w:tabs>
        <w:rPr>
          <w:rFonts w:asciiTheme="minorHAnsi" w:eastAsiaTheme="minorEastAsia" w:hAnsiTheme="minorHAnsi"/>
          <w:b w:val="0"/>
          <w:noProof/>
          <w:sz w:val="22"/>
          <w:szCs w:val="22"/>
        </w:rPr>
      </w:pPr>
      <w:r>
        <w:fldChar w:fldCharType="begin"/>
      </w:r>
      <w:r>
        <w:instrText xml:space="preserve"> HYPERLINK \l "_Toc472693584" </w:instrText>
      </w:r>
      <w:r>
        <w:fldChar w:fldCharType="separate"/>
      </w:r>
      <w:r w:rsidRPr="004C0E7D">
        <w:rPr>
          <w:rStyle w:val="Hyperlink"/>
          <w:noProof/>
          <w:shd w:val="clear" w:color="auto" w:fill="FFFFFF"/>
        </w:rPr>
        <w:t xml:space="preserve">V. </w:t>
      </w:r>
      <w:r>
        <w:rPr>
          <w:rFonts w:asciiTheme="minorHAnsi" w:eastAsiaTheme="minorEastAsia" w:hAnsiTheme="minorHAnsi"/>
          <w:b w:val="0"/>
          <w:noProof/>
          <w:sz w:val="22"/>
          <w:szCs w:val="22"/>
        </w:rPr>
        <w:tab/>
      </w:r>
      <w:r w:rsidRPr="004C0E7D">
        <w:rPr>
          <w:rStyle w:val="Hyperlink"/>
          <w:noProof/>
          <w:shd w:val="clear" w:color="auto" w:fill="FFFFFF"/>
        </w:rPr>
        <w:t>CONCLUSION</w:t>
      </w:r>
      <w:r>
        <w:rPr>
          <w:noProof/>
          <w:webHidden/>
        </w:rPr>
        <w:tab/>
      </w:r>
      <w:r>
        <w:rPr>
          <w:noProof/>
          <w:webHidden/>
        </w:rPr>
        <w:fldChar w:fldCharType="begin"/>
      </w:r>
      <w:r>
        <w:rPr>
          <w:noProof/>
          <w:webHidden/>
        </w:rPr>
        <w:instrText xml:space="preserve"> PAGEREF _Toc472693584 \h </w:instrText>
      </w:r>
      <w:r>
        <w:rPr>
          <w:noProof/>
          <w:webHidden/>
        </w:rPr>
        <w:fldChar w:fldCharType="separate"/>
      </w:r>
      <w:r>
        <w:rPr>
          <w:noProof/>
          <w:webHidden/>
        </w:rPr>
        <w:t>10</w:t>
      </w:r>
      <w:r>
        <w:rPr>
          <w:noProof/>
          <w:webHidden/>
        </w:rPr>
        <w:fldChar w:fldCharType="end"/>
      </w:r>
      <w:r>
        <w:fldChar w:fldCharType="end"/>
      </w:r>
    </w:p>
    <w:p w:rsidR="00EC1102" w:rsidP="00EC1102">
      <w:pPr>
        <w:rPr>
          <w:b/>
        </w:rPr>
        <w:sectPr w:rsidSect="0027156E">
          <w:footerReference w:type="default" r:id="rId12"/>
          <w:pgSz w:w="12240" w:h="15840"/>
          <w:pgMar w:top="1440" w:right="1800" w:bottom="1440" w:left="1800" w:header="0" w:footer="0" w:gutter="0"/>
          <w:pgNumType w:fmt="lowerRoman" w:start="1"/>
          <w:cols w:space="720"/>
        </w:sectPr>
      </w:pPr>
      <w:r>
        <w:rPr>
          <w:b/>
        </w:rPr>
        <w:fldChar w:fldCharType="end"/>
      </w:r>
    </w:p>
    <w:p w:rsidR="009A63F9" w:rsidRPr="009A4EEA" w:rsidP="009A4EEA">
      <w:pPr>
        <w:jc w:val="center"/>
        <w:rPr>
          <w:b/>
          <w:bCs/>
        </w:rPr>
      </w:pPr>
      <w:r w:rsidRPr="009A4EEA">
        <w:rPr>
          <w:b/>
        </w:rPr>
        <w:t>BEFORE</w:t>
      </w:r>
    </w:p>
    <w:p w:rsidR="009A63F9" w:rsidP="009A4EEA">
      <w:pPr>
        <w:jc w:val="center"/>
        <w:rPr>
          <w:rFonts w:eastAsia="Times New Roman" w:cs="Times New Roman"/>
          <w:szCs w:val="24"/>
        </w:rPr>
      </w:pPr>
      <w:r>
        <w:rPr>
          <w:b/>
        </w:rPr>
        <w:t>THE</w:t>
      </w:r>
      <w:r>
        <w:rPr>
          <w:b/>
          <w:spacing w:val="-10"/>
        </w:rPr>
        <w:t xml:space="preserve"> </w:t>
      </w:r>
      <w:r>
        <w:rPr>
          <w:b/>
          <w:spacing w:val="-1"/>
        </w:rPr>
        <w:t>PUBLIC</w:t>
      </w:r>
      <w:r>
        <w:rPr>
          <w:b/>
          <w:spacing w:val="-12"/>
        </w:rPr>
        <w:t xml:space="preserve"> </w:t>
      </w:r>
      <w:r>
        <w:rPr>
          <w:b/>
        </w:rPr>
        <w:t>UTILITIES</w:t>
      </w:r>
      <w:r>
        <w:rPr>
          <w:b/>
          <w:spacing w:val="-10"/>
        </w:rPr>
        <w:t xml:space="preserve"> </w:t>
      </w:r>
      <w:r>
        <w:rPr>
          <w:b/>
          <w:spacing w:val="-1"/>
        </w:rPr>
        <w:t>COMMISSION</w:t>
      </w:r>
      <w:r>
        <w:rPr>
          <w:b/>
          <w:spacing w:val="-11"/>
        </w:rPr>
        <w:t xml:space="preserve"> </w:t>
      </w:r>
      <w:r>
        <w:rPr>
          <w:b/>
          <w:spacing w:val="-1"/>
        </w:rPr>
        <w:t>OF</w:t>
      </w:r>
      <w:r>
        <w:rPr>
          <w:b/>
          <w:spacing w:val="-13"/>
        </w:rPr>
        <w:t xml:space="preserve"> </w:t>
      </w:r>
      <w:r>
        <w:rPr>
          <w:b/>
        </w:rPr>
        <w:t>OHIO</w:t>
      </w:r>
    </w:p>
    <w:p w:rsidR="009A63F9" w:rsidP="009A63F9">
      <w:pPr>
        <w:spacing w:before="7"/>
        <w:rPr>
          <w:rFonts w:eastAsia="Times New Roman" w:cs="Times New Roman"/>
          <w:b/>
          <w:bCs/>
          <w:sz w:val="17"/>
          <w:szCs w:val="17"/>
        </w:rPr>
      </w:pPr>
    </w:p>
    <w:tbl>
      <w:tblPr>
        <w:tblW w:w="9092" w:type="dxa"/>
        <w:tblInd w:w="0" w:type="dxa"/>
        <w:tblCellMar>
          <w:top w:w="0" w:type="dxa"/>
          <w:left w:w="108" w:type="dxa"/>
          <w:bottom w:w="0" w:type="dxa"/>
          <w:right w:w="108" w:type="dxa"/>
        </w:tblCellMar>
        <w:tblLook w:val="01E0"/>
      </w:tblPr>
      <w:tblGrid>
        <w:gridCol w:w="4396"/>
        <w:gridCol w:w="296"/>
        <w:gridCol w:w="4400"/>
      </w:tblGrid>
      <w:tr w:rsidTr="00B71BD2">
        <w:tblPrEx>
          <w:tblW w:w="9092" w:type="dxa"/>
          <w:tblInd w:w="0" w:type="dxa"/>
          <w:tblCellMar>
            <w:top w:w="0" w:type="dxa"/>
            <w:left w:w="108" w:type="dxa"/>
            <w:bottom w:w="0" w:type="dxa"/>
            <w:right w:w="108" w:type="dxa"/>
          </w:tblCellMar>
          <w:tblLook w:val="01E0"/>
        </w:tblPrEx>
        <w:trPr>
          <w:trHeight w:val="807"/>
        </w:trPr>
        <w:tc>
          <w:tcPr>
            <w:tcW w:w="4396" w:type="dxa"/>
            <w:shd w:val="clear" w:color="auto" w:fill="auto"/>
          </w:tcPr>
          <w:p w:rsidR="009A0459" w:rsidRPr="009A0459" w:rsidP="009A0459">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r w:rsidRPr="009A0459">
              <w:rPr>
                <w:rFonts w:ascii="Times New Roman" w:eastAsia="Times New Roman" w:hAnsi="Times New Roman" w:cs="Times New Roman"/>
                <w:sz w:val="24"/>
                <w:szCs w:val="24"/>
                <w:lang w:val="en-US" w:eastAsia="en-US" w:bidi="ar-SA"/>
              </w:rPr>
              <w:t xml:space="preserve">In the Matter of the Application of Duke Energy Ohio, Inc. for Authority to Defer Environmental Investigation and Remediation Costs. </w:t>
            </w:r>
          </w:p>
          <w:p w:rsidR="009A0459" w:rsidRPr="009A0459" w:rsidP="009A0459">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p>
          <w:p w:rsidR="009A0459" w:rsidRPr="009A0459" w:rsidP="009A0459">
            <w:pPr>
              <w:widowControl/>
              <w:autoSpaceDE w:val="0"/>
              <w:autoSpaceDN w:val="0"/>
              <w:adjustRightInd w:val="0"/>
              <w:rPr>
                <w:rStyle w:val="DefaultParagraphFont"/>
                <w:rFonts w:ascii="Times New Roman" w:eastAsia="Times New Roman" w:hAnsi="Times New Roman" w:cs="Times New Roman"/>
                <w:sz w:val="24"/>
                <w:szCs w:val="24"/>
                <w:lang w:val="en-US" w:eastAsia="en-US" w:bidi="ar-SA"/>
              </w:rPr>
            </w:pPr>
            <w:r w:rsidRPr="009A0459">
              <w:rPr>
                <w:rFonts w:ascii="Times New Roman" w:eastAsia="Times New Roman" w:hAnsi="Times New Roman" w:cs="Times New Roman"/>
                <w:sz w:val="24"/>
                <w:szCs w:val="24"/>
                <w:lang w:val="en-US" w:eastAsia="en-US" w:bidi="ar-SA"/>
              </w:rPr>
              <w:t>In the Matter of the Application of Duke Energy Ohio, Inc. for Tariff Approval</w:t>
            </w:r>
          </w:p>
        </w:tc>
        <w:tc>
          <w:tcPr>
            <w:tcW w:w="296" w:type="dxa"/>
            <w:shd w:val="clear" w:color="auto" w:fill="auto"/>
          </w:tcPr>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4400" w:type="dxa"/>
            <w:shd w:val="clear" w:color="auto" w:fill="auto"/>
          </w:tcPr>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9A0459" w:rsidRPr="009A0459" w:rsidP="009A0459">
            <w:pPr>
              <w:widowControl/>
              <w:rPr>
                <w:rStyle w:val="DefaultParagraphFont"/>
                <w:rFonts w:ascii="Times New Roman" w:eastAsia="Times New Roman" w:hAnsi="Times New Roman" w:cs="Times New Roman"/>
                <w:i/>
                <w:sz w:val="24"/>
                <w:szCs w:val="24"/>
                <w:lang w:val="en-US" w:eastAsia="en-US" w:bidi="ar-SA"/>
              </w:rPr>
            </w:pPr>
            <w:r w:rsidRPr="009A0459">
              <w:rPr>
                <w:rFonts w:ascii="Times New Roman" w:eastAsia="Times New Roman" w:hAnsi="Times New Roman" w:cs="Times New Roman"/>
                <w:sz w:val="24"/>
                <w:szCs w:val="24"/>
                <w:lang w:val="en-US" w:eastAsia="en-US" w:bidi="ar-SA"/>
              </w:rPr>
              <w:t>Case No. 16-1106-GA-AAM</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9A0459">
              <w:rPr>
                <w:rFonts w:ascii="Times New Roman" w:eastAsia="Courier New" w:hAnsi="Times New Roman" w:cs="Times New Roman"/>
                <w:sz w:val="24"/>
                <w:szCs w:val="24"/>
                <w:lang w:val="en-US" w:eastAsia="en-US" w:bidi="ar-SA"/>
              </w:rPr>
              <w:t>Case No. 16-1107-GA-UNC</w:t>
            </w:r>
          </w:p>
          <w:p w:rsidR="009A0459" w:rsidRPr="009A0459" w:rsidP="009A0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r>
    </w:tbl>
    <w:p w:rsidR="00B01758" w:rsidRPr="00B70844">
      <w:pPr>
        <w:pBdr>
          <w:bottom w:val="single" w:sz="12" w:space="1" w:color="auto"/>
        </w:pBdr>
        <w:spacing w:before="3"/>
        <w:rPr>
          <w:rFonts w:eastAsia="Times New Roman" w:cs="Times New Roman"/>
          <w:sz w:val="18"/>
          <w:szCs w:val="18"/>
        </w:rPr>
      </w:pPr>
    </w:p>
    <w:p w:rsidR="00B01758">
      <w:pPr>
        <w:spacing w:before="9"/>
        <w:rPr>
          <w:rFonts w:eastAsia="Times New Roman" w:cs="Times New Roman"/>
          <w:sz w:val="16"/>
          <w:szCs w:val="16"/>
        </w:rPr>
      </w:pPr>
    </w:p>
    <w:p w:rsidR="00B01758" w:rsidP="009A4EEA">
      <w:pPr>
        <w:pBdr>
          <w:bottom w:val="single" w:sz="12" w:space="1" w:color="auto"/>
        </w:pBdr>
        <w:jc w:val="center"/>
        <w:rPr>
          <w:b/>
        </w:rPr>
      </w:pPr>
      <w:r w:rsidRPr="009A4EEA">
        <w:rPr>
          <w:b/>
        </w:rPr>
        <w:t>MEMORANDUM</w:t>
      </w:r>
      <w:r w:rsidRPr="009A4EEA">
        <w:rPr>
          <w:b/>
          <w:spacing w:val="-18"/>
        </w:rPr>
        <w:t xml:space="preserve"> </w:t>
      </w:r>
      <w:r w:rsidRPr="009A4EEA">
        <w:rPr>
          <w:b/>
        </w:rPr>
        <w:t>IN</w:t>
      </w:r>
      <w:r w:rsidRPr="009A4EEA">
        <w:rPr>
          <w:b/>
          <w:spacing w:val="-17"/>
        </w:rPr>
        <w:t xml:space="preserve"> </w:t>
      </w:r>
      <w:r w:rsidRPr="009A4EEA">
        <w:rPr>
          <w:b/>
        </w:rPr>
        <w:t>SUPPORT</w:t>
      </w:r>
    </w:p>
    <w:p w:rsidR="00EE00EB" w:rsidRPr="00B7153B" w:rsidP="009A4EEA">
      <w:pPr>
        <w:pBdr>
          <w:bottom w:val="single" w:sz="12" w:space="1" w:color="auto"/>
        </w:pBdr>
        <w:jc w:val="center"/>
        <w:rPr>
          <w:b/>
          <w:sz w:val="16"/>
          <w:szCs w:val="16"/>
        </w:rPr>
      </w:pPr>
    </w:p>
    <w:p w:rsidR="00EE00EB" w:rsidRPr="00220502" w:rsidP="00A02B05">
      <w:pPr>
        <w:pStyle w:val="Heading1"/>
        <w:rPr>
          <w:sz w:val="12"/>
          <w:szCs w:val="12"/>
        </w:rPr>
      </w:pPr>
    </w:p>
    <w:p w:rsidR="00F152EE" w:rsidP="00A02B05">
      <w:pPr>
        <w:pStyle w:val="Heading1"/>
        <w:rPr>
          <w:rFonts w:cs="Times New Roman"/>
          <w:sz w:val="25"/>
          <w:szCs w:val="25"/>
        </w:rPr>
      </w:pPr>
      <w:bookmarkStart w:id="1" w:name="_Toc472693577"/>
      <w:r>
        <w:t>I.</w:t>
      </w:r>
      <w:r>
        <w:tab/>
        <w:t>INTRODUCTION</w:t>
      </w:r>
      <w:bookmarkEnd w:id="1"/>
      <w:r>
        <w:rPr>
          <w:rFonts w:cs="Times New Roman"/>
          <w:sz w:val="25"/>
          <w:szCs w:val="25"/>
        </w:rPr>
        <w:tab/>
      </w:r>
    </w:p>
    <w:p w:rsidR="00EC1102" w:rsidP="0041751D">
      <w:pPr>
        <w:pStyle w:val="BodyText"/>
        <w:spacing w:line="480" w:lineRule="auto"/>
        <w:ind w:left="0" w:right="361" w:firstLine="720"/>
        <w:rPr>
          <w:rFonts w:cs="Times New Roman"/>
        </w:rPr>
        <w:sectPr w:rsidSect="008D6ED3">
          <w:footerReference w:type="default" r:id="rId13"/>
          <w:pgSz w:w="12240" w:h="15840"/>
          <w:pgMar w:top="1440" w:right="1800" w:bottom="1440" w:left="1800" w:header="0" w:footer="0" w:gutter="0"/>
          <w:pgNumType w:start="1"/>
          <w:cols w:space="720"/>
        </w:sectPr>
      </w:pPr>
      <w:r>
        <w:rPr>
          <w:rFonts w:cs="Times New Roman"/>
        </w:rPr>
        <w:t>In November 2013</w:t>
      </w:r>
      <w:r w:rsidRPr="00366C8D">
        <w:rPr>
          <w:rFonts w:cs="Times New Roman"/>
        </w:rPr>
        <w:t>, the PUCO determined that it was appropriate for Duke Energy Ohio</w:t>
      </w:r>
      <w:r>
        <w:rPr>
          <w:rFonts w:cs="Times New Roman"/>
        </w:rPr>
        <w:t xml:space="preserve"> </w:t>
      </w:r>
      <w:r w:rsidRPr="00366C8D">
        <w:rPr>
          <w:rFonts w:cs="Times New Roman"/>
        </w:rPr>
        <w:t>to begin charging customers nearly $55.5 million for environmental investigation and remediation costs for the cleanup of coal tar residues from two manufacture</w:t>
      </w:r>
      <w:r>
        <w:rPr>
          <w:rFonts w:cs="Times New Roman"/>
        </w:rPr>
        <w:t>d</w:t>
      </w:r>
      <w:r w:rsidRPr="00366C8D">
        <w:rPr>
          <w:rFonts w:cs="Times New Roman"/>
        </w:rPr>
        <w:t xml:space="preserve"> gas plants through Rider MGP.</w:t>
      </w:r>
      <w:r>
        <w:rPr>
          <w:rFonts w:cs="Times New Roman"/>
          <w:vertAlign w:val="superscript"/>
        </w:rPr>
        <w:footnoteReference w:id="5"/>
      </w:r>
      <w:r w:rsidRPr="00366C8D">
        <w:rPr>
          <w:rFonts w:cs="Times New Roman"/>
        </w:rPr>
        <w:t xml:space="preserve"> These plants have not produced gas in more than 50 years and </w:t>
      </w:r>
      <w:r>
        <w:rPr>
          <w:rFonts w:cs="Times New Roman"/>
        </w:rPr>
        <w:t>were</w:t>
      </w:r>
      <w:r w:rsidRPr="00366C8D">
        <w:rPr>
          <w:rFonts w:cs="Times New Roman"/>
        </w:rPr>
        <w:t xml:space="preserve"> not used or useful in providing utility service to </w:t>
      </w:r>
      <w:r>
        <w:rPr>
          <w:rFonts w:cs="Times New Roman"/>
        </w:rPr>
        <w:t>c</w:t>
      </w:r>
      <w:r w:rsidRPr="00366C8D">
        <w:rPr>
          <w:rFonts w:cs="Times New Roman"/>
        </w:rPr>
        <w:t>ustomers.</w:t>
      </w:r>
      <w:r>
        <w:rPr>
          <w:rFonts w:cs="Times New Roman"/>
          <w:vertAlign w:val="superscript"/>
        </w:rPr>
        <w:footnoteReference w:id="6"/>
      </w:r>
      <w:r>
        <w:rPr>
          <w:rFonts w:cs="Times New Roman"/>
        </w:rPr>
        <w:t xml:space="preserve"> The PUCO has now unlawfully and unreasonably approved Duke's application to continue deferring costs at its East End Site for another three years.</w:t>
      </w:r>
      <w:r>
        <w:rPr>
          <w:rStyle w:val="FootnoteReference"/>
        </w:rPr>
        <w:footnoteReference w:id="7"/>
      </w:r>
      <w:r>
        <w:rPr>
          <w:rFonts w:cs="Times New Roman"/>
        </w:rPr>
        <w:t xml:space="preserve"> For customers this means the potential for added costs associated with collecting from customers Duke's deferred remediation costs for another three years.  OCC,</w:t>
      </w:r>
      <w:r w:rsidRPr="00366C8D">
        <w:rPr>
          <w:rFonts w:cs="Times New Roman"/>
        </w:rPr>
        <w:t xml:space="preserve"> on behalf of Duke</w:t>
      </w:r>
      <w:r>
        <w:rPr>
          <w:rFonts w:cs="Times New Roman"/>
        </w:rPr>
        <w:t>'</w:t>
      </w:r>
      <w:r w:rsidRPr="00366C8D">
        <w:rPr>
          <w:rFonts w:cs="Times New Roman"/>
        </w:rPr>
        <w:t xml:space="preserve">s 420,000 residential customers, </w:t>
      </w:r>
      <w:r>
        <w:rPr>
          <w:rFonts w:cs="Times New Roman"/>
        </w:rPr>
        <w:t>and Kroger, now request</w:t>
      </w:r>
      <w:r w:rsidRPr="00366C8D">
        <w:rPr>
          <w:rFonts w:cs="Times New Roman"/>
        </w:rPr>
        <w:t xml:space="preserve"> </w:t>
      </w:r>
    </w:p>
    <w:p w:rsidR="00220502" w:rsidP="00EC1102">
      <w:pPr>
        <w:pStyle w:val="BodyText"/>
        <w:spacing w:line="480" w:lineRule="auto"/>
        <w:ind w:left="0" w:right="361"/>
        <w:rPr>
          <w:rFonts w:cs="Times New Roman"/>
        </w:rPr>
      </w:pPr>
      <w:r w:rsidRPr="00366C8D">
        <w:rPr>
          <w:rFonts w:cs="Times New Roman"/>
        </w:rPr>
        <w:t>that the PUCO</w:t>
      </w:r>
      <w:r>
        <w:rPr>
          <w:rFonts w:cs="Times New Roman"/>
        </w:rPr>
        <w:t xml:space="preserve"> grant rehearing to prevent Duke from deferring these costs- costs it will seek to collect from customers in the future.</w:t>
      </w:r>
    </w:p>
    <w:p w:rsidR="00BF1BA9" w:rsidP="00BF1BA9">
      <w:pPr>
        <w:pStyle w:val="BodyText"/>
        <w:ind w:left="0" w:right="361"/>
        <w:rPr>
          <w:rFonts w:cs="Times New Roman"/>
        </w:rPr>
      </w:pPr>
    </w:p>
    <w:p w:rsidR="00EE00EB" w:rsidP="00BF1BA9">
      <w:pPr>
        <w:pStyle w:val="Heading1"/>
      </w:pPr>
      <w:bookmarkStart w:id="2" w:name="_Toc472693578"/>
      <w:r>
        <w:t>II.</w:t>
      </w:r>
      <w:r>
        <w:tab/>
      </w:r>
      <w:r>
        <w:rPr>
          <w:spacing w:val="-1"/>
        </w:rPr>
        <w:t>STANDARD</w:t>
      </w:r>
      <w:r>
        <w:rPr>
          <w:spacing w:val="-3"/>
        </w:rPr>
        <w:t xml:space="preserve"> </w:t>
      </w:r>
      <w:r>
        <w:rPr>
          <w:spacing w:val="1"/>
        </w:rPr>
        <w:t>OF</w:t>
      </w:r>
      <w:r>
        <w:rPr>
          <w:spacing w:val="-6"/>
        </w:rPr>
        <w:t xml:space="preserve"> </w:t>
      </w:r>
      <w:r>
        <w:t>REVIEW</w:t>
      </w:r>
      <w:bookmarkEnd w:id="2"/>
    </w:p>
    <w:p w:rsidR="00B01758" w:rsidP="00E864EA">
      <w:pPr>
        <w:pStyle w:val="BodyText"/>
        <w:spacing w:line="480" w:lineRule="auto"/>
        <w:ind w:left="0" w:right="361" w:firstLine="720"/>
      </w:pPr>
      <w:r>
        <w:rPr>
          <w:spacing w:val="-1"/>
        </w:rPr>
        <w:t>Applications</w:t>
      </w:r>
      <w:r>
        <w:rPr>
          <w:spacing w:val="-7"/>
        </w:rPr>
        <w:t xml:space="preserve"> </w:t>
      </w:r>
      <w:r>
        <w:rPr>
          <w:spacing w:val="-1"/>
        </w:rPr>
        <w:t>for</w:t>
      </w:r>
      <w:r>
        <w:rPr>
          <w:spacing w:val="-8"/>
        </w:rPr>
        <w:t xml:space="preserve"> </w:t>
      </w:r>
      <w:r>
        <w:rPr>
          <w:spacing w:val="-1"/>
        </w:rPr>
        <w:t>rehearing</w:t>
      </w:r>
      <w:r>
        <w:rPr>
          <w:spacing w:val="-10"/>
        </w:rPr>
        <w:t xml:space="preserve"> </w:t>
      </w:r>
      <w:r>
        <w:t>are</w:t>
      </w:r>
      <w:r>
        <w:rPr>
          <w:spacing w:val="-6"/>
        </w:rPr>
        <w:t xml:space="preserve"> </w:t>
      </w:r>
      <w:r>
        <w:rPr>
          <w:spacing w:val="-1"/>
        </w:rPr>
        <w:t>governed</w:t>
      </w:r>
      <w:r>
        <w:rPr>
          <w:spacing w:val="-7"/>
        </w:rPr>
        <w:t xml:space="preserve"> </w:t>
      </w:r>
      <w:r>
        <w:rPr>
          <w:spacing w:val="2"/>
        </w:rPr>
        <w:t>by</w:t>
      </w:r>
      <w:r>
        <w:rPr>
          <w:spacing w:val="-11"/>
        </w:rPr>
        <w:t xml:space="preserve"> </w:t>
      </w:r>
      <w:r>
        <w:t>R.C. 4903.10.</w:t>
      </w:r>
      <w:r>
        <w:rPr>
          <w:spacing w:val="-7"/>
        </w:rPr>
        <w:t xml:space="preserve"> </w:t>
      </w:r>
      <w:r>
        <w:t>The</w:t>
      </w:r>
      <w:r>
        <w:rPr>
          <w:spacing w:val="-8"/>
        </w:rPr>
        <w:t xml:space="preserve"> </w:t>
      </w:r>
      <w:r>
        <w:rPr>
          <w:spacing w:val="-1"/>
        </w:rPr>
        <w:t>statute</w:t>
      </w:r>
      <w:r>
        <w:rPr>
          <w:spacing w:val="-8"/>
        </w:rPr>
        <w:t xml:space="preserve"> </w:t>
      </w:r>
      <w:r>
        <w:t>permits</w:t>
      </w:r>
      <w:r>
        <w:rPr>
          <w:spacing w:val="71"/>
          <w:w w:val="99"/>
        </w:rPr>
        <w:t xml:space="preserve"> </w:t>
      </w:r>
      <w:r>
        <w:t>"any</w:t>
      </w:r>
      <w:r>
        <w:rPr>
          <w:spacing w:val="-10"/>
        </w:rPr>
        <w:t xml:space="preserve"> </w:t>
      </w:r>
      <w:r>
        <w:t>party</w:t>
      </w:r>
      <w:r>
        <w:rPr>
          <w:spacing w:val="-10"/>
        </w:rPr>
        <w:t xml:space="preserve"> </w:t>
      </w:r>
      <w:r>
        <w:t>who</w:t>
      </w:r>
      <w:r>
        <w:rPr>
          <w:spacing w:val="-5"/>
        </w:rPr>
        <w:t xml:space="preserve"> </w:t>
      </w:r>
      <w:r>
        <w:rPr>
          <w:spacing w:val="-1"/>
        </w:rPr>
        <w:t>has</w:t>
      </w:r>
      <w:r>
        <w:rPr>
          <w:spacing w:val="-5"/>
        </w:rPr>
        <w:t xml:space="preserve"> </w:t>
      </w:r>
      <w:r>
        <w:t>entered</w:t>
      </w:r>
      <w:r>
        <w:rPr>
          <w:spacing w:val="-5"/>
        </w:rPr>
        <w:t xml:space="preserve"> </w:t>
      </w:r>
      <w:r>
        <w:rPr>
          <w:spacing w:val="-1"/>
        </w:rPr>
        <w:t>an</w:t>
      </w:r>
      <w:r>
        <w:rPr>
          <w:spacing w:val="-5"/>
        </w:rPr>
        <w:t xml:space="preserve"> </w:t>
      </w:r>
      <w:r>
        <w:rPr>
          <w:spacing w:val="-1"/>
        </w:rPr>
        <w:t>appearance</w:t>
      </w:r>
      <w:r>
        <w:rPr>
          <w:spacing w:val="-6"/>
        </w:rPr>
        <w:t xml:space="preserve"> </w:t>
      </w:r>
      <w:r>
        <w:t>in</w:t>
      </w:r>
      <w:r>
        <w:rPr>
          <w:spacing w:val="-5"/>
        </w:rPr>
        <w:t xml:space="preserve"> </w:t>
      </w:r>
      <w:r>
        <w:t>person</w:t>
      </w:r>
      <w:r>
        <w:rPr>
          <w:spacing w:val="-6"/>
        </w:rPr>
        <w:t xml:space="preserve"> </w:t>
      </w:r>
      <w:r>
        <w:t>or</w:t>
      </w:r>
      <w:r>
        <w:rPr>
          <w:spacing w:val="-6"/>
        </w:rPr>
        <w:t xml:space="preserve"> </w:t>
      </w:r>
      <w:r>
        <w:rPr>
          <w:spacing w:val="1"/>
        </w:rPr>
        <w:t>by</w:t>
      </w:r>
      <w:r>
        <w:rPr>
          <w:spacing w:val="-7"/>
        </w:rPr>
        <w:t xml:space="preserve"> </w:t>
      </w:r>
      <w:r>
        <w:rPr>
          <w:spacing w:val="-1"/>
        </w:rPr>
        <w:t>counsel</w:t>
      </w:r>
      <w:r>
        <w:rPr>
          <w:spacing w:val="-6"/>
        </w:rPr>
        <w:t xml:space="preserve"> </w:t>
      </w:r>
      <w:r>
        <w:t>in</w:t>
      </w:r>
      <w:r>
        <w:rPr>
          <w:spacing w:val="-5"/>
        </w:rPr>
        <w:t xml:space="preserve"> </w:t>
      </w:r>
      <w:r>
        <w:t>the</w:t>
      </w:r>
      <w:r>
        <w:rPr>
          <w:spacing w:val="-6"/>
        </w:rPr>
        <w:t xml:space="preserve"> </w:t>
      </w:r>
      <w:r>
        <w:t>proceeding" to</w:t>
      </w:r>
      <w:r>
        <w:rPr>
          <w:spacing w:val="51"/>
          <w:w w:val="99"/>
        </w:rPr>
        <w:t xml:space="preserve"> </w:t>
      </w:r>
      <w:r>
        <w:t>apply</w:t>
      </w:r>
      <w:r>
        <w:rPr>
          <w:spacing w:val="-11"/>
        </w:rPr>
        <w:t xml:space="preserve"> </w:t>
      </w:r>
      <w:r>
        <w:t>for</w:t>
      </w:r>
      <w:r>
        <w:rPr>
          <w:spacing w:val="-7"/>
        </w:rPr>
        <w:t xml:space="preserve"> </w:t>
      </w:r>
      <w:r>
        <w:rPr>
          <w:spacing w:val="-1"/>
        </w:rPr>
        <w:t>rehearing</w:t>
      </w:r>
      <w:r>
        <w:rPr>
          <w:spacing w:val="-9"/>
        </w:rPr>
        <w:t xml:space="preserve"> </w:t>
      </w:r>
      <w:r>
        <w:t>in</w:t>
      </w:r>
      <w:r>
        <w:rPr>
          <w:spacing w:val="-7"/>
        </w:rPr>
        <w:t xml:space="preserve"> </w:t>
      </w:r>
      <w:r>
        <w:t>respect</w:t>
      </w:r>
      <w:r>
        <w:rPr>
          <w:spacing w:val="-6"/>
        </w:rPr>
        <w:t xml:space="preserve"> </w:t>
      </w:r>
      <w:r>
        <w:t>to</w:t>
      </w:r>
      <w:r>
        <w:rPr>
          <w:spacing w:val="-6"/>
        </w:rPr>
        <w:t xml:space="preserve"> </w:t>
      </w:r>
      <w:r>
        <w:rPr>
          <w:spacing w:val="1"/>
        </w:rPr>
        <w:t>"any</w:t>
      </w:r>
      <w:r>
        <w:rPr>
          <w:spacing w:val="-11"/>
        </w:rPr>
        <w:t xml:space="preserve"> </w:t>
      </w:r>
      <w:r>
        <w:rPr>
          <w:spacing w:val="-1"/>
        </w:rPr>
        <w:t>matters</w:t>
      </w:r>
      <w:r>
        <w:rPr>
          <w:spacing w:val="-6"/>
        </w:rPr>
        <w:t xml:space="preserve"> </w:t>
      </w:r>
      <w:r>
        <w:t>determined</w:t>
      </w:r>
      <w:r>
        <w:rPr>
          <w:spacing w:val="-6"/>
        </w:rPr>
        <w:t xml:space="preserve"> </w:t>
      </w:r>
      <w:r>
        <w:t>in</w:t>
      </w:r>
      <w:r>
        <w:rPr>
          <w:spacing w:val="-6"/>
        </w:rPr>
        <w:t xml:space="preserve"> </w:t>
      </w:r>
      <w:r>
        <w:t>the</w:t>
      </w:r>
      <w:r>
        <w:rPr>
          <w:spacing w:val="-8"/>
        </w:rPr>
        <w:t xml:space="preserve"> </w:t>
      </w:r>
      <w:r>
        <w:t>proceeding."</w:t>
      </w:r>
      <w:r>
        <w:rPr>
          <w:spacing w:val="32"/>
          <w:w w:val="99"/>
        </w:rPr>
        <w:t xml:space="preserve"> </w:t>
      </w:r>
      <w:r>
        <w:rPr>
          <w:spacing w:val="-1"/>
        </w:rPr>
        <w:t>Applications</w:t>
      </w:r>
      <w:r>
        <w:rPr>
          <w:spacing w:val="-6"/>
        </w:rPr>
        <w:t xml:space="preserve"> </w:t>
      </w:r>
      <w:r>
        <w:rPr>
          <w:spacing w:val="-1"/>
        </w:rPr>
        <w:t>for</w:t>
      </w:r>
      <w:r>
        <w:rPr>
          <w:spacing w:val="-7"/>
        </w:rPr>
        <w:t xml:space="preserve"> </w:t>
      </w:r>
      <w:r>
        <w:rPr>
          <w:spacing w:val="-1"/>
        </w:rPr>
        <w:t>rehearing</w:t>
      </w:r>
      <w:r>
        <w:rPr>
          <w:spacing w:val="-9"/>
        </w:rPr>
        <w:t xml:space="preserve"> </w:t>
      </w:r>
      <w:r>
        <w:t>must</w:t>
      </w:r>
      <w:r>
        <w:rPr>
          <w:spacing w:val="-6"/>
        </w:rPr>
        <w:t xml:space="preserve"> </w:t>
      </w:r>
      <w:r>
        <w:t>be</w:t>
      </w:r>
      <w:r>
        <w:rPr>
          <w:spacing w:val="-7"/>
        </w:rPr>
        <w:t xml:space="preserve"> </w:t>
      </w:r>
      <w:r>
        <w:rPr>
          <w:spacing w:val="-1"/>
        </w:rPr>
        <w:t>filed</w:t>
      </w:r>
      <w:r>
        <w:rPr>
          <w:spacing w:val="-6"/>
        </w:rPr>
        <w:t xml:space="preserve"> </w:t>
      </w:r>
      <w:r>
        <w:rPr>
          <w:spacing w:val="-1"/>
        </w:rPr>
        <w:t>within</w:t>
      </w:r>
      <w:r>
        <w:rPr>
          <w:spacing w:val="-6"/>
        </w:rPr>
        <w:t xml:space="preserve"> </w:t>
      </w:r>
      <w:r>
        <w:t>thirty</w:t>
      </w:r>
      <w:r>
        <w:rPr>
          <w:spacing w:val="-10"/>
        </w:rPr>
        <w:t xml:space="preserve"> </w:t>
      </w:r>
      <w:r>
        <w:rPr>
          <w:spacing w:val="-1"/>
        </w:rPr>
        <w:t>days</w:t>
      </w:r>
      <w:r>
        <w:rPr>
          <w:spacing w:val="-6"/>
        </w:rPr>
        <w:t xml:space="preserve"> </w:t>
      </w:r>
      <w:r>
        <w:rPr>
          <w:spacing w:val="1"/>
        </w:rPr>
        <w:t>of</w:t>
      </w:r>
      <w:r>
        <w:rPr>
          <w:spacing w:val="-7"/>
        </w:rPr>
        <w:t xml:space="preserve"> </w:t>
      </w:r>
      <w:r>
        <w:t>the</w:t>
      </w:r>
      <w:r>
        <w:rPr>
          <w:spacing w:val="-7"/>
        </w:rPr>
        <w:t xml:space="preserve"> </w:t>
      </w:r>
      <w:r>
        <w:t>PUCO's</w:t>
      </w:r>
      <w:r>
        <w:rPr>
          <w:spacing w:val="-6"/>
        </w:rPr>
        <w:t xml:space="preserve"> </w:t>
      </w:r>
      <w:r>
        <w:rPr>
          <w:spacing w:val="-1"/>
        </w:rPr>
        <w:t>order.</w:t>
      </w:r>
    </w:p>
    <w:p w:rsidR="00B01758" w:rsidP="00E864EA">
      <w:pPr>
        <w:pStyle w:val="BodyText"/>
        <w:spacing w:before="10" w:line="480" w:lineRule="auto"/>
        <w:ind w:left="0" w:right="361" w:firstLine="720"/>
      </w:pPr>
      <w:r>
        <w:t>OCC</w:t>
      </w:r>
      <w:r>
        <w:rPr>
          <w:spacing w:val="-5"/>
        </w:rPr>
        <w:t xml:space="preserve"> and Kroger </w:t>
      </w:r>
      <w:r>
        <w:rPr>
          <w:spacing w:val="-1"/>
        </w:rPr>
        <w:t>filed</w:t>
      </w:r>
      <w:r>
        <w:rPr>
          <w:spacing w:val="-5"/>
        </w:rPr>
        <w:t xml:space="preserve"> </w:t>
      </w:r>
      <w:r>
        <w:t>motions</w:t>
      </w:r>
      <w:r>
        <w:rPr>
          <w:spacing w:val="-5"/>
        </w:rPr>
        <w:t xml:space="preserve"> </w:t>
      </w:r>
      <w:r>
        <w:t>to</w:t>
      </w:r>
      <w:r>
        <w:rPr>
          <w:spacing w:val="-6"/>
        </w:rPr>
        <w:t xml:space="preserve"> </w:t>
      </w:r>
      <w:r>
        <w:rPr>
          <w:spacing w:val="-1"/>
        </w:rPr>
        <w:t>intervene</w:t>
      </w:r>
      <w:r>
        <w:rPr>
          <w:spacing w:val="-6"/>
        </w:rPr>
        <w:t xml:space="preserve"> </w:t>
      </w:r>
      <w:r>
        <w:t>in</w:t>
      </w:r>
      <w:r>
        <w:rPr>
          <w:spacing w:val="-5"/>
        </w:rPr>
        <w:t xml:space="preserve"> </w:t>
      </w:r>
      <w:r>
        <w:t>this</w:t>
      </w:r>
      <w:r>
        <w:rPr>
          <w:spacing w:val="-5"/>
        </w:rPr>
        <w:t xml:space="preserve"> </w:t>
      </w:r>
      <w:r>
        <w:t>proceeding</w:t>
      </w:r>
      <w:r>
        <w:rPr>
          <w:spacing w:val="-8"/>
        </w:rPr>
        <w:t>. The PUCO granted both</w:t>
      </w:r>
      <w:r>
        <w:t>.</w:t>
      </w:r>
      <w:r>
        <w:rPr>
          <w:rStyle w:val="FootnoteReference"/>
        </w:rPr>
        <w:footnoteReference w:id="8"/>
      </w:r>
      <w:r>
        <w:rPr>
          <w:spacing w:val="50"/>
        </w:rPr>
        <w:t xml:space="preserve"> </w:t>
      </w:r>
    </w:p>
    <w:p w:rsidR="00B01758" w:rsidP="00E864EA">
      <w:pPr>
        <w:pStyle w:val="BodyText"/>
        <w:spacing w:before="10" w:line="480" w:lineRule="auto"/>
        <w:ind w:left="0" w:right="299" w:firstLine="720"/>
      </w:pPr>
      <w:r>
        <w:rPr>
          <w:spacing w:val="-2"/>
        </w:rPr>
        <w:t>In</w:t>
      </w:r>
      <w:r>
        <w:rPr>
          <w:spacing w:val="-5"/>
        </w:rPr>
        <w:t xml:space="preserve"> </w:t>
      </w:r>
      <w:r>
        <w:rPr>
          <w:spacing w:val="-1"/>
        </w:rPr>
        <w:t>considering</w:t>
      </w:r>
      <w:r>
        <w:rPr>
          <w:spacing w:val="-10"/>
        </w:rPr>
        <w:t xml:space="preserve"> </w:t>
      </w:r>
      <w:r>
        <w:rPr>
          <w:spacing w:val="-1"/>
        </w:rPr>
        <w:t>an</w:t>
      </w:r>
      <w:r>
        <w:rPr>
          <w:spacing w:val="-5"/>
        </w:rPr>
        <w:t xml:space="preserve"> </w:t>
      </w:r>
      <w:r>
        <w:rPr>
          <w:spacing w:val="-1"/>
        </w:rPr>
        <w:t>application</w:t>
      </w:r>
      <w:r>
        <w:rPr>
          <w:spacing w:val="-6"/>
        </w:rPr>
        <w:t xml:space="preserve"> </w:t>
      </w:r>
      <w:r>
        <w:rPr>
          <w:spacing w:val="-1"/>
        </w:rPr>
        <w:t>for</w:t>
      </w:r>
      <w:r>
        <w:rPr>
          <w:spacing w:val="-8"/>
        </w:rPr>
        <w:t xml:space="preserve"> </w:t>
      </w:r>
      <w:r>
        <w:rPr>
          <w:spacing w:val="-1"/>
        </w:rPr>
        <w:t>rehearing,</w:t>
      </w:r>
      <w:r>
        <w:rPr>
          <w:spacing w:val="-6"/>
        </w:rPr>
        <w:t xml:space="preserve"> </w:t>
      </w:r>
      <w:r>
        <w:t>R.C.</w:t>
      </w:r>
      <w:r>
        <w:rPr>
          <w:spacing w:val="-7"/>
        </w:rPr>
        <w:t xml:space="preserve"> </w:t>
      </w:r>
      <w:r>
        <w:t>4903.10</w:t>
      </w:r>
      <w:r>
        <w:rPr>
          <w:spacing w:val="-7"/>
        </w:rPr>
        <w:t xml:space="preserve"> </w:t>
      </w:r>
      <w:r>
        <w:rPr>
          <w:spacing w:val="-1"/>
        </w:rPr>
        <w:t>provides</w:t>
      </w:r>
      <w:r>
        <w:rPr>
          <w:spacing w:val="-6"/>
        </w:rPr>
        <w:t xml:space="preserve"> </w:t>
      </w:r>
      <w:r>
        <w:rPr>
          <w:spacing w:val="-1"/>
        </w:rPr>
        <w:t>that</w:t>
      </w:r>
      <w:r>
        <w:rPr>
          <w:spacing w:val="-7"/>
        </w:rPr>
        <w:t xml:space="preserve"> the PUCO may grant and hold rehearing if there is "sufficient" reason to do so</w:t>
      </w:r>
      <w:r>
        <w:rPr>
          <w:spacing w:val="-6"/>
        </w:rPr>
        <w:t xml:space="preserve">. </w:t>
      </w:r>
      <w:r>
        <w:t>After such rehearing, the PUCO may "abrogate or modify" the order in question if "the commission is of the opinion that the original order or any part thereof is in any respect unjust or unwarranted."</w:t>
      </w:r>
      <w:r>
        <w:rPr>
          <w:rStyle w:val="FootnoteReference"/>
        </w:rPr>
        <w:footnoteReference w:id="9"/>
      </w:r>
    </w:p>
    <w:p w:rsidR="00B01758" w:rsidP="00E864EA">
      <w:pPr>
        <w:pStyle w:val="BodyText"/>
        <w:spacing w:before="10" w:line="480" w:lineRule="auto"/>
        <w:ind w:left="0" w:right="135" w:firstLine="720"/>
      </w:pPr>
      <w:r>
        <w:rPr>
          <w:rFonts w:cs="Times New Roman"/>
        </w:rPr>
        <w:t>For the reasons describe below, the Order is unreasonable, unlawful, unjust, and unwarranted under R.C. 4903.10. The PUCO should grant OCC's and Kroger's application for rehearing. It should abrogate or modify the Order, consistent with OCC's and Kroger's recommendations in this application for rehearing.</w:t>
      </w:r>
    </w:p>
    <w:p w:rsidR="00BC67ED">
      <w:pPr>
        <w:rPr>
          <w:rFonts w:ascii="Times New Roman Bold" w:eastAsia="Times New Roman" w:hAnsi="Times New Roman Bold"/>
          <w:b/>
          <w:bCs/>
          <w:caps/>
          <w:szCs w:val="24"/>
        </w:rPr>
      </w:pPr>
    </w:p>
    <w:p w:rsidR="00EE00EB" w:rsidP="00A02B05">
      <w:pPr>
        <w:pStyle w:val="Heading1"/>
      </w:pPr>
      <w:bookmarkStart w:id="3" w:name="_Toc472693579"/>
      <w:r>
        <w:t>III.</w:t>
      </w:r>
      <w:r>
        <w:tab/>
        <w:t>BACKGROUND</w:t>
      </w:r>
      <w:bookmarkEnd w:id="3"/>
      <w:r w:rsidRPr="00EE00EB">
        <w:tab/>
      </w:r>
    </w:p>
    <w:p w:rsidR="00F641D1" w:rsidRPr="00F641D1" w:rsidP="00F641D1">
      <w:pPr>
        <w:widowControl/>
        <w:spacing w:line="480" w:lineRule="auto"/>
        <w:ind w:firstLine="720"/>
        <w:rPr>
          <w:rFonts w:eastAsia="Times New Roman" w:cs="Times New Roman"/>
          <w:color w:val="333333"/>
          <w:szCs w:val="24"/>
          <w:shd w:val="clear" w:color="auto" w:fill="FFFFFF"/>
        </w:rPr>
      </w:pPr>
      <w:r>
        <w:rPr>
          <w:rFonts w:eastAsia="Times New Roman" w:cs="Times New Roman"/>
          <w:szCs w:val="24"/>
        </w:rPr>
        <w:t>Nearly 40 years ago, the</w:t>
      </w:r>
      <w:r w:rsidRPr="00F641D1">
        <w:rPr>
          <w:rFonts w:eastAsia="Times New Roman" w:cs="Times New Roman"/>
          <w:szCs w:val="24"/>
        </w:rPr>
        <w:t xml:space="preserve"> Supreme Court</w:t>
      </w:r>
      <w:r>
        <w:rPr>
          <w:rFonts w:eastAsia="Times New Roman" w:cs="Times New Roman"/>
          <w:szCs w:val="24"/>
        </w:rPr>
        <w:t xml:space="preserve"> of Ohio (“Supreme Court”)</w:t>
      </w:r>
      <w:r w:rsidRPr="00F641D1">
        <w:rPr>
          <w:rFonts w:eastAsia="Times New Roman" w:cs="Times New Roman"/>
          <w:szCs w:val="24"/>
        </w:rPr>
        <w:t xml:space="preserve"> acknowledged the </w:t>
      </w:r>
      <w:r>
        <w:rPr>
          <w:rFonts w:eastAsia="Times New Roman" w:cs="Times New Roman"/>
          <w:szCs w:val="24"/>
        </w:rPr>
        <w:t>"</w:t>
      </w:r>
      <w:r w:rsidRPr="00F641D1">
        <w:rPr>
          <w:rFonts w:eastAsia="Times New Roman" w:cs="Times New Roman"/>
          <w:szCs w:val="24"/>
        </w:rPr>
        <w:t xml:space="preserve">generally accepted principle that a utility is not entitled to include in the valuation of its rate base property not </w:t>
      </w:r>
      <w:r w:rsidRPr="00F641D1">
        <w:rPr>
          <w:rFonts w:eastAsia="Times New Roman" w:cs="Times New Roman"/>
          <w:color w:val="333333"/>
          <w:szCs w:val="24"/>
          <w:shd w:val="clear" w:color="auto" w:fill="FFFFFF"/>
        </w:rPr>
        <w:t xml:space="preserve">actually used or useful in providing public service, </w:t>
      </w:r>
      <w:r w:rsidRPr="00F641D1">
        <w:rPr>
          <w:rFonts w:eastAsia="Times New Roman" w:cs="Times New Roman"/>
          <w:color w:val="333333"/>
          <w:szCs w:val="24"/>
          <w:u w:val="single"/>
          <w:shd w:val="clear" w:color="auto" w:fill="FFFFFF"/>
        </w:rPr>
        <w:t>no matter how useful the property may have been in the past</w:t>
      </w:r>
      <w:r w:rsidRPr="00F641D1">
        <w:rPr>
          <w:rFonts w:eastAsia="Times New Roman" w:cs="Times New Roman"/>
          <w:b/>
          <w:color w:val="333333"/>
          <w:szCs w:val="24"/>
          <w:shd w:val="clear" w:color="auto" w:fill="FFFFFF"/>
        </w:rPr>
        <w:t xml:space="preserve"> </w:t>
      </w:r>
      <w:r w:rsidRPr="00F641D1">
        <w:rPr>
          <w:rFonts w:eastAsia="Times New Roman" w:cs="Times New Roman"/>
          <w:color w:val="333333"/>
          <w:szCs w:val="24"/>
          <w:shd w:val="clear" w:color="auto" w:fill="FFFFFF"/>
        </w:rPr>
        <w:t>or may yet be in the future.</w:t>
      </w:r>
      <w:r>
        <w:rPr>
          <w:rFonts w:eastAsia="Times New Roman" w:cs="Times New Roman"/>
          <w:color w:val="333333"/>
          <w:szCs w:val="24"/>
          <w:shd w:val="clear" w:color="auto" w:fill="FFFFFF"/>
        </w:rPr>
        <w:t>"</w:t>
      </w:r>
      <w:r>
        <w:rPr>
          <w:rFonts w:eastAsia="Times New Roman" w:cs="Times New Roman"/>
          <w:color w:val="333333"/>
          <w:szCs w:val="24"/>
          <w:shd w:val="clear" w:color="auto" w:fill="FFFFFF"/>
          <w:vertAlign w:val="superscript"/>
        </w:rPr>
        <w:footnoteReference w:id="10"/>
      </w:r>
      <w:r w:rsidRPr="00F641D1">
        <w:rPr>
          <w:rFonts w:eastAsia="Times New Roman" w:cs="Times New Roman"/>
          <w:color w:val="333333"/>
          <w:szCs w:val="24"/>
          <w:shd w:val="clear" w:color="auto" w:fill="FFFFFF"/>
        </w:rPr>
        <w:t xml:space="preserve"> This longstanding principle is codified in Ohio law under R</w:t>
      </w:r>
      <w:r>
        <w:rPr>
          <w:rFonts w:eastAsia="Times New Roman" w:cs="Times New Roman"/>
          <w:color w:val="333333"/>
          <w:szCs w:val="24"/>
          <w:shd w:val="clear" w:color="auto" w:fill="FFFFFF"/>
        </w:rPr>
        <w:t>.C.</w:t>
      </w:r>
      <w:r w:rsidRPr="00F641D1">
        <w:rPr>
          <w:rFonts w:eastAsia="Times New Roman" w:cs="Times New Roman"/>
          <w:color w:val="333333"/>
          <w:szCs w:val="24"/>
          <w:shd w:val="clear" w:color="auto" w:fill="FFFFFF"/>
        </w:rPr>
        <w:t xml:space="preserve"> 4909.15.</w:t>
      </w:r>
      <w:r>
        <w:rPr>
          <w:rFonts w:eastAsia="Times New Roman" w:cs="Times New Roman"/>
          <w:color w:val="333333"/>
          <w:szCs w:val="24"/>
          <w:shd w:val="clear" w:color="auto" w:fill="FFFFFF"/>
          <w:vertAlign w:val="superscript"/>
        </w:rPr>
        <w:footnoteReference w:id="11"/>
      </w:r>
    </w:p>
    <w:p w:rsidR="00CD58E6" w:rsidP="00F641D1">
      <w:pPr>
        <w:widowControl/>
        <w:spacing w:line="480" w:lineRule="auto"/>
        <w:ind w:firstLine="720"/>
        <w:contextualSpacing/>
        <w:rPr>
          <w:rFonts w:eastAsia="Calibri" w:cs="Times New Roman"/>
          <w:szCs w:val="24"/>
        </w:rPr>
      </w:pPr>
      <w:r w:rsidRPr="00F641D1">
        <w:rPr>
          <w:rFonts w:eastAsia="Times New Roman" w:cs="Times New Roman"/>
          <w:color w:val="333333"/>
          <w:szCs w:val="24"/>
          <w:shd w:val="clear" w:color="auto" w:fill="FFFFFF"/>
        </w:rPr>
        <w:t xml:space="preserve">Despite the law, in its last rate case, Duke sought to charge customers </w:t>
      </w:r>
      <w:r w:rsidRPr="00F641D1">
        <w:rPr>
          <w:rFonts w:eastAsia="Calibri" w:cs="Times New Roman"/>
          <w:szCs w:val="24"/>
        </w:rPr>
        <w:t>for environmental investigation and remediation for two former manufactured gas plants.</w:t>
      </w:r>
      <w:r>
        <w:rPr>
          <w:rFonts w:eastAsia="Calibri" w:cs="Times New Roman"/>
          <w:szCs w:val="24"/>
          <w:vertAlign w:val="superscript"/>
        </w:rPr>
        <w:footnoteReference w:id="12"/>
      </w:r>
      <w:r w:rsidRPr="00F641D1">
        <w:rPr>
          <w:rFonts w:eastAsia="Calibri" w:cs="Times New Roman"/>
          <w:szCs w:val="24"/>
        </w:rPr>
        <w:t xml:space="preserve"> </w:t>
      </w:r>
      <w:r>
        <w:rPr>
          <w:rFonts w:eastAsia="Calibri" w:cs="Times New Roman"/>
          <w:szCs w:val="24"/>
        </w:rPr>
        <w:t>Duke was first granted authority to defer environmental investigation and remediation costs related to these plants in 2009.</w:t>
      </w:r>
      <w:r>
        <w:rPr>
          <w:rStyle w:val="FootnoteReference"/>
          <w:rFonts w:eastAsia="Calibri"/>
          <w:szCs w:val="24"/>
        </w:rPr>
        <w:footnoteReference w:id="13"/>
      </w:r>
      <w:r>
        <w:rPr>
          <w:rFonts w:eastAsia="Calibri" w:cs="Times New Roman"/>
          <w:szCs w:val="24"/>
        </w:rPr>
        <w:t xml:space="preserve"> In 2012, Duke sought to recover the costs they had begun deferring in 2009. </w:t>
      </w:r>
      <w:r w:rsidRPr="00F641D1">
        <w:rPr>
          <w:rFonts w:eastAsia="Calibri" w:cs="Times New Roman"/>
          <w:szCs w:val="24"/>
        </w:rPr>
        <w:t>OCC, Kroger, and other parties opposed this customer charge because these plants have not been used and useful for</w:t>
      </w:r>
      <w:r>
        <w:rPr>
          <w:rFonts w:eastAsia="Calibri" w:cs="Times New Roman"/>
          <w:szCs w:val="24"/>
        </w:rPr>
        <w:t xml:space="preserve"> over</w:t>
      </w:r>
      <w:r w:rsidRPr="00F641D1">
        <w:rPr>
          <w:rFonts w:eastAsia="Calibri" w:cs="Times New Roman"/>
          <w:szCs w:val="24"/>
        </w:rPr>
        <w:t xml:space="preserve"> 50 years. Production of manufactured gas at these plants ended in the 1960s.</w:t>
      </w:r>
      <w:r>
        <w:rPr>
          <w:rFonts w:eastAsia="Times New Roman" w:cs="Times New Roman"/>
          <w:color w:val="333333"/>
          <w:szCs w:val="24"/>
          <w:shd w:val="clear" w:color="auto" w:fill="FFFFFF"/>
          <w:vertAlign w:val="superscript"/>
        </w:rPr>
        <w:footnoteReference w:id="14"/>
      </w:r>
      <w:r w:rsidRPr="00F641D1">
        <w:rPr>
          <w:rFonts w:eastAsia="Calibri" w:cs="Times New Roman"/>
          <w:szCs w:val="24"/>
        </w:rPr>
        <w:t xml:space="preserve"> </w:t>
      </w:r>
    </w:p>
    <w:p w:rsidR="00F641D1" w:rsidRPr="00F641D1" w:rsidP="00F641D1">
      <w:pPr>
        <w:widowControl/>
        <w:spacing w:line="480" w:lineRule="auto"/>
        <w:ind w:firstLine="720"/>
        <w:contextualSpacing/>
        <w:rPr>
          <w:rFonts w:eastAsia="Times New Roman" w:cs="Times New Roman"/>
          <w:color w:val="333333"/>
          <w:szCs w:val="24"/>
          <w:shd w:val="clear" w:color="auto" w:fill="FFFFFF"/>
        </w:rPr>
      </w:pPr>
      <w:r w:rsidRPr="00F641D1">
        <w:rPr>
          <w:rFonts w:eastAsia="Calibri" w:cs="Times New Roman"/>
          <w:szCs w:val="24"/>
        </w:rPr>
        <w:t xml:space="preserve">PUCO Commissioners </w:t>
      </w:r>
      <w:r w:rsidRPr="00F641D1">
        <w:rPr>
          <w:rFonts w:eastAsia="Times New Roman" w:cs="Times New Roman"/>
          <w:color w:val="333333"/>
          <w:szCs w:val="24"/>
          <w:shd w:val="clear" w:color="auto" w:fill="FFFFFF"/>
        </w:rPr>
        <w:t xml:space="preserve">Lesser and Haque agreed with the intervening parties:  </w:t>
      </w:r>
    </w:p>
    <w:p w:rsidR="00F641D1" w:rsidRPr="00F641D1" w:rsidP="00220502">
      <w:pPr>
        <w:widowControl/>
        <w:spacing w:after="240"/>
        <w:ind w:left="1440" w:right="720"/>
        <w:jc w:val="both"/>
        <w:rPr>
          <w:rFonts w:eastAsia="Calibri" w:cs="Times New Roman"/>
          <w:szCs w:val="24"/>
        </w:rPr>
      </w:pPr>
      <w:r w:rsidRPr="00F641D1">
        <w:rPr>
          <w:rFonts w:eastAsia="Calibri" w:cs="Times New Roman"/>
          <w:szCs w:val="24"/>
        </w:rPr>
        <w:t>Duke is attempting to obtain relief that we are simply unable to grant as we are limited by the statutory authority given to this Commission under R.C. 4909.15. Specifically, Duke is attempting to recover the expenses for remediation of the subject properties under R.C</w:t>
      </w:r>
      <w:r>
        <w:rPr>
          <w:rFonts w:eastAsia="Calibri" w:cs="Times New Roman"/>
          <w:szCs w:val="24"/>
        </w:rPr>
        <w:t>.</w:t>
      </w:r>
      <w:r w:rsidRPr="00F641D1">
        <w:rPr>
          <w:rFonts w:eastAsia="Calibri" w:cs="Times New Roman"/>
          <w:szCs w:val="24"/>
        </w:rPr>
        <w:t xml:space="preserve"> 4909.15(A)(4). We decline to extend the statutory language and the established precedent to interpret (A)(4) to include the remediation performed by Duke here, that is, we find that the remediation is not a </w:t>
      </w:r>
      <w:r>
        <w:rPr>
          <w:rFonts w:eastAsia="Calibri" w:cs="Times New Roman"/>
          <w:szCs w:val="24"/>
        </w:rPr>
        <w:t>'</w:t>
      </w:r>
      <w:r w:rsidRPr="00F641D1">
        <w:rPr>
          <w:rFonts w:eastAsia="Calibri" w:cs="Times New Roman"/>
          <w:szCs w:val="24"/>
        </w:rPr>
        <w:t>cost to the utility of rendering the public utility service</w:t>
      </w:r>
      <w:r>
        <w:rPr>
          <w:rFonts w:eastAsia="Calibri" w:cs="Times New Roman"/>
          <w:szCs w:val="24"/>
        </w:rPr>
        <w:t>'</w:t>
      </w:r>
      <w:r w:rsidRPr="00F641D1">
        <w:rPr>
          <w:rFonts w:eastAsia="Calibri" w:cs="Times New Roman"/>
          <w:szCs w:val="24"/>
        </w:rPr>
        <w:t xml:space="preserve"> as being incurred during the test year, and is not a </w:t>
      </w:r>
      <w:r>
        <w:rPr>
          <w:rFonts w:eastAsia="Calibri" w:cs="Times New Roman"/>
          <w:szCs w:val="24"/>
        </w:rPr>
        <w:t>'</w:t>
      </w:r>
      <w:r w:rsidRPr="00F641D1">
        <w:rPr>
          <w:rFonts w:eastAsia="Calibri" w:cs="Times New Roman"/>
          <w:szCs w:val="24"/>
        </w:rPr>
        <w:t>normal, recurring</w:t>
      </w:r>
      <w:r>
        <w:rPr>
          <w:rFonts w:eastAsia="Calibri" w:cs="Times New Roman"/>
          <w:szCs w:val="24"/>
        </w:rPr>
        <w:t>'</w:t>
      </w:r>
      <w:r w:rsidRPr="00F641D1">
        <w:rPr>
          <w:rFonts w:eastAsia="Calibri" w:cs="Times New Roman"/>
          <w:szCs w:val="24"/>
        </w:rPr>
        <w:t xml:space="preserve"> expense.</w:t>
      </w:r>
      <w:r>
        <w:rPr>
          <w:rFonts w:eastAsia="Calibri" w:cs="Times New Roman"/>
          <w:szCs w:val="24"/>
          <w:vertAlign w:val="superscript"/>
        </w:rPr>
        <w:footnoteReference w:id="15"/>
      </w:r>
    </w:p>
    <w:p w:rsidR="00F641D1" w:rsidRPr="00F641D1" w:rsidP="00F641D1">
      <w:pPr>
        <w:widowControl/>
        <w:spacing w:line="480" w:lineRule="auto"/>
        <w:contextualSpacing/>
        <w:rPr>
          <w:rFonts w:eastAsia="Times New Roman" w:cs="Times New Roman"/>
          <w:color w:val="333333"/>
          <w:szCs w:val="24"/>
          <w:shd w:val="clear" w:color="auto" w:fill="FFFFFF"/>
        </w:rPr>
      </w:pPr>
      <w:r w:rsidRPr="00F641D1">
        <w:rPr>
          <w:rFonts w:eastAsia="Calibri" w:cs="Times New Roman"/>
          <w:szCs w:val="24"/>
        </w:rPr>
        <w:t xml:space="preserve">But the </w:t>
      </w:r>
      <w:r>
        <w:rPr>
          <w:rFonts w:eastAsia="Calibri" w:cs="Times New Roman"/>
          <w:szCs w:val="24"/>
        </w:rPr>
        <w:t xml:space="preserve">other </w:t>
      </w:r>
      <w:r w:rsidRPr="00F641D1">
        <w:rPr>
          <w:rFonts w:eastAsia="Calibri" w:cs="Times New Roman"/>
          <w:szCs w:val="24"/>
        </w:rPr>
        <w:t xml:space="preserve">Commissioners found otherwise. Duke was </w:t>
      </w:r>
      <w:r w:rsidRPr="00F641D1">
        <w:rPr>
          <w:rFonts w:eastAsia="Times New Roman" w:cs="Times New Roman"/>
          <w:color w:val="333333"/>
          <w:szCs w:val="24"/>
          <w:shd w:val="clear" w:color="auto" w:fill="FFFFFF"/>
        </w:rPr>
        <w:t xml:space="preserve">authorized to charge customers </w:t>
      </w:r>
      <w:r w:rsidRPr="00F641D1">
        <w:rPr>
          <w:rFonts w:eastAsia="Calibri" w:cs="Times New Roman"/>
          <w:szCs w:val="24"/>
        </w:rPr>
        <w:t>nearly $55.5 million in remediation costs for its manufactured gas plants.</w:t>
      </w:r>
      <w:r>
        <w:rPr>
          <w:rFonts w:eastAsia="Calibri" w:cs="Times New Roman"/>
          <w:szCs w:val="24"/>
          <w:vertAlign w:val="superscript"/>
        </w:rPr>
        <w:footnoteReference w:id="16"/>
      </w:r>
      <w:r>
        <w:rPr>
          <w:rFonts w:eastAsia="Calibri" w:cs="Times New Roman"/>
          <w:szCs w:val="24"/>
        </w:rPr>
        <w:t xml:space="preserve">  </w:t>
      </w:r>
    </w:p>
    <w:p w:rsidR="00F641D1" w:rsidP="00F641D1">
      <w:pPr>
        <w:widowControl/>
        <w:spacing w:line="480" w:lineRule="auto"/>
        <w:ind w:firstLine="720"/>
        <w:contextualSpacing/>
        <w:rPr>
          <w:rFonts w:eastAsia="Times New Roman" w:cs="Times New Roman"/>
          <w:color w:val="333333"/>
          <w:szCs w:val="24"/>
          <w:shd w:val="clear" w:color="auto" w:fill="FFFFFF"/>
        </w:rPr>
      </w:pPr>
      <w:r w:rsidRPr="00F641D1">
        <w:rPr>
          <w:rFonts w:eastAsia="Calibri" w:cs="Times New Roman"/>
          <w:szCs w:val="24"/>
        </w:rPr>
        <w:t>OCC, Kroger, and other parties appealed the PUCO</w:t>
      </w:r>
      <w:r>
        <w:rPr>
          <w:rFonts w:eastAsia="Calibri" w:cs="Times New Roman"/>
          <w:szCs w:val="24"/>
        </w:rPr>
        <w:t xml:space="preserve">'s ruling to the </w:t>
      </w:r>
      <w:r w:rsidRPr="00F641D1">
        <w:rPr>
          <w:rFonts w:eastAsia="Calibri" w:cs="Times New Roman"/>
          <w:szCs w:val="24"/>
        </w:rPr>
        <w:t>Supreme Court.</w:t>
      </w:r>
      <w:r>
        <w:rPr>
          <w:rFonts w:eastAsia="Calibri" w:cs="Times New Roman"/>
          <w:szCs w:val="24"/>
          <w:vertAlign w:val="superscript"/>
        </w:rPr>
        <w:footnoteReference w:id="17"/>
      </w:r>
      <w:r w:rsidRPr="00F641D1">
        <w:rPr>
          <w:rFonts w:eastAsia="Calibri" w:cs="Times New Roman"/>
          <w:szCs w:val="24"/>
        </w:rPr>
        <w:t xml:space="preserve"> The Supreme Court will soon decide whether t</w:t>
      </w:r>
      <w:r w:rsidRPr="00F641D1">
        <w:rPr>
          <w:rFonts w:eastAsia="Times New Roman" w:cs="Times New Roman"/>
          <w:color w:val="333333"/>
          <w:szCs w:val="24"/>
          <w:shd w:val="clear" w:color="auto" w:fill="FFFFFF"/>
        </w:rPr>
        <w:t xml:space="preserve">he PUCO illegally </w:t>
      </w:r>
      <w:r>
        <w:rPr>
          <w:rFonts w:eastAsia="Times New Roman" w:cs="Times New Roman"/>
          <w:color w:val="333333"/>
          <w:szCs w:val="24"/>
          <w:shd w:val="clear" w:color="auto" w:fill="FFFFFF"/>
        </w:rPr>
        <w:t>allowed</w:t>
      </w:r>
      <w:r w:rsidRPr="00F641D1">
        <w:rPr>
          <w:rFonts w:eastAsia="Times New Roman" w:cs="Times New Roman"/>
          <w:color w:val="333333"/>
          <w:szCs w:val="24"/>
          <w:shd w:val="clear" w:color="auto" w:fill="FFFFFF"/>
        </w:rPr>
        <w:t xml:space="preserve"> Duke to charge customers for these manufactured gas plants.</w:t>
      </w:r>
      <w:r>
        <w:rPr>
          <w:rFonts w:eastAsia="Times New Roman" w:cs="Times New Roman"/>
          <w:color w:val="333333"/>
          <w:szCs w:val="24"/>
          <w:shd w:val="clear" w:color="auto" w:fill="FFFFFF"/>
          <w:vertAlign w:val="superscript"/>
        </w:rPr>
        <w:footnoteReference w:id="18"/>
      </w:r>
      <w:r w:rsidRPr="00F641D1">
        <w:rPr>
          <w:rFonts w:eastAsia="Times New Roman" w:cs="Times New Roman"/>
          <w:color w:val="333333"/>
          <w:szCs w:val="24"/>
          <w:shd w:val="clear" w:color="auto" w:fill="FFFFFF"/>
        </w:rPr>
        <w:t xml:space="preserve"> </w:t>
      </w:r>
      <w:r>
        <w:rPr>
          <w:rFonts w:eastAsia="Times New Roman" w:cs="Times New Roman"/>
          <w:color w:val="333333"/>
          <w:szCs w:val="24"/>
          <w:shd w:val="clear" w:color="auto" w:fill="FFFFFF"/>
        </w:rPr>
        <w:t>On May 16, 2016, Duke filed an application to seek to continue deferring costs at the East End site for an additional five years.</w:t>
      </w:r>
      <w:r>
        <w:rPr>
          <w:rStyle w:val="FootnoteReference"/>
          <w:rFonts w:eastAsia="Times New Roman"/>
          <w:color w:val="333333"/>
          <w:szCs w:val="24"/>
          <w:shd w:val="clear" w:color="auto" w:fill="FFFFFF"/>
        </w:rPr>
        <w:footnoteReference w:id="19"/>
      </w:r>
      <w:r>
        <w:rPr>
          <w:rFonts w:eastAsia="Times New Roman" w:cs="Times New Roman"/>
          <w:color w:val="333333"/>
          <w:szCs w:val="24"/>
          <w:shd w:val="clear" w:color="auto" w:fill="FFFFFF"/>
        </w:rPr>
        <w:t xml:space="preserve"> OCC, Kroger, OPAE, and PUCO Staff individually filed comments opposing this deferral.</w:t>
      </w:r>
      <w:r>
        <w:rPr>
          <w:rStyle w:val="FootnoteReference"/>
          <w:rFonts w:eastAsia="Times New Roman"/>
          <w:color w:val="333333"/>
          <w:szCs w:val="24"/>
          <w:shd w:val="clear" w:color="auto" w:fill="FFFFFF"/>
        </w:rPr>
        <w:footnoteReference w:id="20"/>
      </w:r>
      <w:r>
        <w:rPr>
          <w:rFonts w:eastAsia="Times New Roman" w:cs="Times New Roman"/>
          <w:color w:val="333333"/>
          <w:szCs w:val="24"/>
          <w:shd w:val="clear" w:color="auto" w:fill="FFFFFF"/>
        </w:rPr>
        <w:t xml:space="preserve"> On December 21, 2016, the PUCO issued a Finding and Order granting Duke's request to continue deferring costs, but modified the period of the deferral to three years from five years.</w:t>
      </w:r>
      <w:r>
        <w:rPr>
          <w:rStyle w:val="FootnoteReference"/>
          <w:rFonts w:eastAsia="Times New Roman"/>
          <w:color w:val="333333"/>
          <w:szCs w:val="24"/>
          <w:shd w:val="clear" w:color="auto" w:fill="FFFFFF"/>
        </w:rPr>
        <w:footnoteReference w:id="21"/>
      </w:r>
    </w:p>
    <w:p w:rsidR="00EE00EB" w:rsidP="00A02B05">
      <w:pPr>
        <w:pStyle w:val="Heading1"/>
      </w:pPr>
      <w:bookmarkStart w:id="4" w:name="_Toc472693580"/>
      <w:r>
        <w:t>IV.</w:t>
      </w:r>
      <w:r>
        <w:tab/>
        <w:t>ERRORS</w:t>
      </w:r>
      <w:bookmarkEnd w:id="4"/>
    </w:p>
    <w:p w:rsidR="009A0459" w:rsidRPr="006F1EA6" w:rsidP="00220502">
      <w:pPr>
        <w:pStyle w:val="Heading2"/>
        <w:rPr>
          <w:rFonts w:eastAsia="Calibri"/>
        </w:rPr>
      </w:pPr>
      <w:bookmarkStart w:id="5" w:name="_Toc472693581"/>
      <w:r w:rsidRPr="006F1EA6">
        <w:rPr>
          <w:rFonts w:eastAsia="Calibri"/>
        </w:rPr>
        <w:t xml:space="preserve">The PUCO unreasonably and unlawfully found that Duke </w:t>
      </w:r>
      <w:r>
        <w:rPr>
          <w:rFonts w:eastAsia="Calibri"/>
        </w:rPr>
        <w:t>"</w:t>
      </w:r>
      <w:r w:rsidRPr="006F1EA6">
        <w:rPr>
          <w:rFonts w:eastAsia="Calibri"/>
        </w:rPr>
        <w:t>established that exigent circumstances have occurred, warranting an extension of the Company</w:t>
      </w:r>
      <w:r>
        <w:rPr>
          <w:rFonts w:eastAsia="Calibri"/>
        </w:rPr>
        <w:t>'</w:t>
      </w:r>
      <w:r w:rsidRPr="006F1EA6">
        <w:rPr>
          <w:rFonts w:eastAsia="Calibri"/>
        </w:rPr>
        <w:t>s deferral authority.</w:t>
      </w:r>
      <w:r>
        <w:rPr>
          <w:rFonts w:eastAsia="Calibri"/>
        </w:rPr>
        <w:t>"</w:t>
      </w:r>
      <w:r w:rsidRPr="006F1EA6">
        <w:rPr>
          <w:rFonts w:eastAsia="Calibri"/>
        </w:rPr>
        <w:t xml:space="preserve"> The circumstances that arose during remediation do not constitute </w:t>
      </w:r>
      <w:r>
        <w:rPr>
          <w:rFonts w:eastAsia="Calibri"/>
        </w:rPr>
        <w:t>"</w:t>
      </w:r>
      <w:r w:rsidRPr="006F1EA6">
        <w:rPr>
          <w:rFonts w:eastAsia="Calibri"/>
        </w:rPr>
        <w:t>exigent circumstances.</w:t>
      </w:r>
      <w:r>
        <w:rPr>
          <w:rFonts w:eastAsia="Calibri"/>
        </w:rPr>
        <w:t>"</w:t>
      </w:r>
      <w:r w:rsidRPr="006F1EA6">
        <w:rPr>
          <w:rFonts w:eastAsia="Calibri"/>
        </w:rPr>
        <w:t xml:space="preserve"> The PUCO</w:t>
      </w:r>
      <w:r>
        <w:rPr>
          <w:rFonts w:eastAsia="Calibri"/>
        </w:rPr>
        <w:t>'s</w:t>
      </w:r>
      <w:r w:rsidRPr="006F1EA6">
        <w:rPr>
          <w:rFonts w:eastAsia="Calibri"/>
        </w:rPr>
        <w:t xml:space="preserve"> finding that exigent circumstances existed </w:t>
      </w:r>
      <w:r>
        <w:rPr>
          <w:rFonts w:eastAsia="Calibri"/>
        </w:rPr>
        <w:t>is manifestly against the weight of the evidence, violating R.C. 4903.09.</w:t>
      </w:r>
      <w:bookmarkEnd w:id="5"/>
    </w:p>
    <w:p w:rsidR="00D64E8F" w:rsidP="006F1EA6">
      <w:pPr>
        <w:widowControl/>
        <w:spacing w:line="480" w:lineRule="auto"/>
        <w:ind w:firstLine="720"/>
        <w:rPr>
          <w:rFonts w:eastAsia="Calibri" w:cs="Times New Roman"/>
        </w:rPr>
      </w:pPr>
      <w:r>
        <w:rPr>
          <w:rFonts w:eastAsia="Calibri" w:cs="Times New Roman"/>
        </w:rPr>
        <w:t>In the Order allowing Duke to defer MGP costs at the East End site for another three years, the PUCO found that Duke had established that "exigent circumstances" occurred to allow it to extend the deferral period.</w:t>
      </w:r>
      <w:r>
        <w:rPr>
          <w:rStyle w:val="FootnoteReference"/>
          <w:rFonts w:eastAsia="Calibri"/>
        </w:rPr>
        <w:footnoteReference w:id="22"/>
      </w:r>
      <w:r>
        <w:rPr>
          <w:rFonts w:eastAsia="Calibri" w:cs="Times New Roman"/>
        </w:rPr>
        <w:t xml:space="preserve"> This finding was unreasonable and unlawful because it was manifestly against the weight of evidence violating R.C. 4903.09.</w:t>
      </w:r>
    </w:p>
    <w:p w:rsidR="006F1EA6" w:rsidP="006F1EA6">
      <w:pPr>
        <w:widowControl/>
        <w:spacing w:line="480" w:lineRule="auto"/>
        <w:ind w:firstLine="720"/>
        <w:rPr>
          <w:rFonts w:eastAsia="Calibri" w:cs="Times New Roman"/>
        </w:rPr>
      </w:pPr>
      <w:r>
        <w:rPr>
          <w:rFonts w:eastAsia="Calibri" w:cs="Times New Roman"/>
        </w:rPr>
        <w:t>Under Ohio law, all decisions must be supported by findings of fact that “set forth the reasons prompting the decisions arrived at, based upon said findings of fact."</w:t>
      </w:r>
      <w:r>
        <w:rPr>
          <w:rStyle w:val="FootnoteReference"/>
          <w:rFonts w:eastAsia="Calibri"/>
        </w:rPr>
        <w:footnoteReference w:id="23"/>
      </w:r>
      <w:r>
        <w:rPr>
          <w:rFonts w:eastAsia="Calibri" w:cs="Times New Roman"/>
        </w:rPr>
        <w:t xml:space="preserve"> So the PUCO must set forth the grounds for their decision. The Supreme Court has determined that the record must contain sufficient probative evidence "to show that the PUCO's determination is not manifestly against the weight of evidence."</w:t>
      </w:r>
      <w:r>
        <w:rPr>
          <w:rStyle w:val="FootnoteReference"/>
          <w:rFonts w:eastAsia="Calibri"/>
        </w:rPr>
        <w:footnoteReference w:id="24"/>
      </w:r>
      <w:r>
        <w:rPr>
          <w:rFonts w:eastAsia="Calibri" w:cs="Times New Roman"/>
        </w:rPr>
        <w:t xml:space="preserve"> When the PUCO determined that Duke met the standard for "exigent circumstances," this finding was manifestly against the weight of the evidence as presented by the PUCO Staff, OPAE, OCC, and Kroger.</w:t>
      </w:r>
    </w:p>
    <w:p w:rsidR="00714028" w:rsidP="004E09EE">
      <w:pPr>
        <w:widowControl/>
        <w:spacing w:line="480" w:lineRule="auto"/>
        <w:ind w:firstLine="720"/>
        <w:rPr>
          <w:rFonts w:eastAsia="Times New Roman" w:cs="Times New Roman"/>
          <w:szCs w:val="24"/>
        </w:rPr>
      </w:pPr>
      <w:r>
        <w:rPr>
          <w:rFonts w:eastAsia="Calibri" w:cs="Times New Roman"/>
        </w:rPr>
        <w:t>The PUCO accepted Duke's arguments that complications that resulted from the sensitive underground infrastructure that existed under the middle parcel of the MGP sites resulted in delays and were "exigent circumstances."</w:t>
      </w:r>
      <w:r>
        <w:rPr>
          <w:rStyle w:val="FootnoteReference"/>
          <w:rFonts w:eastAsia="Calibri"/>
        </w:rPr>
        <w:footnoteReference w:id="25"/>
      </w:r>
      <w:r>
        <w:rPr>
          <w:rFonts w:eastAsia="Calibri" w:cs="Times New Roman"/>
        </w:rPr>
        <w:t xml:space="preserve"> </w:t>
      </w:r>
      <w:r w:rsidRPr="007C3702">
        <w:rPr>
          <w:rFonts w:eastAsia="Times New Roman" w:cs="Times New Roman"/>
          <w:szCs w:val="24"/>
        </w:rPr>
        <w:t xml:space="preserve">An </w:t>
      </w:r>
      <w:r>
        <w:rPr>
          <w:rFonts w:eastAsia="Times New Roman" w:cs="Times New Roman"/>
          <w:szCs w:val="24"/>
        </w:rPr>
        <w:t>"</w:t>
      </w:r>
      <w:r w:rsidRPr="007C3702">
        <w:rPr>
          <w:rFonts w:eastAsia="Times New Roman" w:cs="Times New Roman"/>
          <w:szCs w:val="24"/>
        </w:rPr>
        <w:t>exigent circumstance</w:t>
      </w:r>
      <w:r>
        <w:rPr>
          <w:rFonts w:eastAsia="Times New Roman" w:cs="Times New Roman"/>
          <w:szCs w:val="24"/>
        </w:rPr>
        <w:t>"</w:t>
      </w:r>
      <w:r w:rsidRPr="007C3702">
        <w:rPr>
          <w:rFonts w:eastAsia="Times New Roman" w:cs="Times New Roman"/>
          <w:szCs w:val="24"/>
        </w:rPr>
        <w:t xml:space="preserve"> is </w:t>
      </w:r>
      <w:r>
        <w:rPr>
          <w:rFonts w:eastAsia="Times New Roman" w:cs="Times New Roman"/>
          <w:szCs w:val="24"/>
        </w:rPr>
        <w:t>characterized in the PUCO's earlier order as "</w:t>
      </w:r>
      <w:r w:rsidRPr="007C3702">
        <w:rPr>
          <w:rFonts w:eastAsia="Times New Roman" w:cs="Times New Roman"/>
          <w:szCs w:val="24"/>
        </w:rPr>
        <w:t>an event beyond the control of the Company.</w:t>
      </w:r>
      <w:r>
        <w:rPr>
          <w:rFonts w:eastAsia="Times New Roman" w:cs="Times New Roman"/>
          <w:szCs w:val="24"/>
        </w:rPr>
        <w:t>"</w:t>
      </w:r>
      <w:r>
        <w:rPr>
          <w:rFonts w:eastAsia="Times New Roman" w:cs="Times New Roman"/>
          <w:szCs w:val="24"/>
          <w:vertAlign w:val="superscript"/>
        </w:rPr>
        <w:footnoteReference w:id="26"/>
      </w:r>
      <w:r>
        <w:rPr>
          <w:rFonts w:eastAsia="Times New Roman" w:cs="Times New Roman"/>
          <w:szCs w:val="24"/>
        </w:rPr>
        <w:t xml:space="preserve"> But not all events beyond human control cause delay in completing a project on a pre-specified schedule. If an event is foreseeable, and its probable occurrence is taken into account in planning, scheduling, and managing a project, there is no reason for the event to cause delays. Therefore, the mere occurrence of an adverse event is insufficient to create an exigent circumstance.</w:t>
      </w:r>
    </w:p>
    <w:p w:rsidR="004E09EE" w:rsidP="004E09EE">
      <w:pPr>
        <w:widowControl/>
        <w:spacing w:line="480" w:lineRule="auto"/>
        <w:ind w:firstLine="720"/>
        <w:rPr>
          <w:rFonts w:eastAsia="Times New Roman" w:cs="Times New Roman"/>
          <w:szCs w:val="24"/>
        </w:rPr>
      </w:pPr>
      <w:r>
        <w:rPr>
          <w:rFonts w:eastAsia="Times New Roman" w:cs="Times New Roman"/>
          <w:szCs w:val="24"/>
        </w:rPr>
        <w:t xml:space="preserve"> Duke did know, or should have known, about the complex nature of the sensitive underground infrastructure that lies below the middle parcel. Therefore, the presence of such infrastructure does not constitute an "exigent circumstance" causing Duke's delay.</w:t>
      </w:r>
    </w:p>
    <w:p w:rsidR="00AB24A8" w:rsidP="00D63B59">
      <w:pPr>
        <w:widowControl/>
        <w:spacing w:line="480" w:lineRule="auto"/>
        <w:ind w:firstLine="720"/>
        <w:rPr>
          <w:rFonts w:eastAsia="Times New Roman" w:cs="Times New Roman"/>
          <w:szCs w:val="24"/>
        </w:rPr>
      </w:pPr>
      <w:r w:rsidRPr="007C3702">
        <w:rPr>
          <w:rFonts w:eastAsia="Times New Roman" w:cs="Times New Roman"/>
          <w:szCs w:val="24"/>
        </w:rPr>
        <w:t>Duke had been investigating and remediating costs since at least 2008, five years before the recovery of the costs was approved.</w:t>
      </w:r>
      <w:r>
        <w:rPr>
          <w:rFonts w:eastAsia="Times New Roman" w:cs="Times New Roman"/>
          <w:szCs w:val="24"/>
        </w:rPr>
        <w:t xml:space="preserve"> </w:t>
      </w:r>
      <w:r w:rsidRPr="007C3702">
        <w:rPr>
          <w:rFonts w:eastAsia="Times New Roman" w:cs="Times New Roman"/>
          <w:szCs w:val="24"/>
        </w:rPr>
        <w:t>It should not come as a surprise to Duke</w:t>
      </w:r>
      <w:r>
        <w:rPr>
          <w:rFonts w:eastAsia="Times New Roman" w:cs="Times New Roman"/>
          <w:szCs w:val="24"/>
        </w:rPr>
        <w:t xml:space="preserve"> </w:t>
      </w:r>
      <w:r w:rsidRPr="007C3702">
        <w:rPr>
          <w:rFonts w:eastAsia="Times New Roman" w:cs="Times New Roman"/>
          <w:szCs w:val="24"/>
        </w:rPr>
        <w:t>that there was complex geology or subsurface gas pipes.</w:t>
      </w:r>
      <w:r>
        <w:rPr>
          <w:rStyle w:val="FootnoteReference"/>
          <w:rFonts w:eastAsia="Times New Roman"/>
          <w:szCs w:val="24"/>
        </w:rPr>
        <w:footnoteReference w:id="27"/>
      </w:r>
      <w:r>
        <w:rPr>
          <w:rFonts w:eastAsia="Times New Roman" w:cs="Times New Roman"/>
          <w:szCs w:val="24"/>
        </w:rPr>
        <w:t xml:space="preserve"> The company had control over planning, scheduling and managing its work such that the event would not cause any inordinate delays in completing the remediation project. In fact, Duke's claims that the remediation of the middle parcel could not have been "fully realized until after the site assessments were complete"</w:t>
      </w:r>
      <w:r>
        <w:rPr>
          <w:rStyle w:val="FootnoteReference"/>
          <w:rFonts w:eastAsia="Times New Roman"/>
          <w:szCs w:val="24"/>
        </w:rPr>
        <w:footnoteReference w:id="28"/>
      </w:r>
      <w:r>
        <w:rPr>
          <w:rFonts w:eastAsia="Times New Roman" w:cs="Times New Roman"/>
          <w:szCs w:val="24"/>
        </w:rPr>
        <w:t xml:space="preserve"> suggest a fundamental lack of planning and proper project management, which was not an event beyond Duke's control. As the PUCO Staff comments pointed out: "</w:t>
      </w:r>
      <w:r w:rsidRPr="00D63B59">
        <w:rPr>
          <w:rFonts w:eastAsia="Times New Roman" w:cs="Times New Roman"/>
          <w:szCs w:val="24"/>
        </w:rPr>
        <w:t>Staff has shown that Duke has maintained exclusive control over the location, amount, schedule, and pace of the remediation work at the East End site and that the Company</w:t>
      </w:r>
      <w:r>
        <w:rPr>
          <w:rFonts w:eastAsia="Times New Roman" w:cs="Times New Roman"/>
          <w:szCs w:val="24"/>
        </w:rPr>
        <w:t>'</w:t>
      </w:r>
      <w:r w:rsidRPr="00D63B59">
        <w:rPr>
          <w:rFonts w:eastAsia="Times New Roman" w:cs="Times New Roman"/>
          <w:szCs w:val="24"/>
        </w:rPr>
        <w:t>s Application does not</w:t>
      </w:r>
      <w:r>
        <w:rPr>
          <w:rFonts w:eastAsia="Times New Roman" w:cs="Times New Roman"/>
          <w:szCs w:val="24"/>
        </w:rPr>
        <w:t xml:space="preserve"> </w:t>
      </w:r>
      <w:r w:rsidRPr="00D63B59">
        <w:rPr>
          <w:rFonts w:eastAsia="Times New Roman" w:cs="Times New Roman"/>
          <w:szCs w:val="24"/>
        </w:rPr>
        <w:t>point to any new or even unusual conditions that could have reasonably caused delays in completing the remediation.</w:t>
      </w:r>
      <w:r>
        <w:rPr>
          <w:rFonts w:eastAsia="Times New Roman" w:cs="Times New Roman"/>
          <w:szCs w:val="24"/>
        </w:rPr>
        <w:t>"</w:t>
      </w:r>
      <w:r>
        <w:rPr>
          <w:rStyle w:val="FootnoteReference"/>
          <w:rFonts w:eastAsia="Times New Roman"/>
          <w:szCs w:val="24"/>
        </w:rPr>
        <w:footnoteReference w:id="29"/>
      </w:r>
      <w:r>
        <w:rPr>
          <w:rFonts w:eastAsia="Times New Roman" w:cs="Times New Roman"/>
          <w:szCs w:val="24"/>
        </w:rPr>
        <w:t xml:space="preserve"> There is no evidence that any of the events or facts that Duke relies on were truly out of Duke's control or that these events did, or should have, resulted in any delay in remediation. </w:t>
      </w:r>
    </w:p>
    <w:p w:rsidR="009A0459" w:rsidRPr="00AB24A8" w:rsidP="00D63B59">
      <w:pPr>
        <w:widowControl/>
        <w:spacing w:line="480" w:lineRule="auto"/>
        <w:ind w:firstLine="720"/>
        <w:rPr>
          <w:rFonts w:eastAsia="Times New Roman" w:cs="Times New Roman"/>
          <w:szCs w:val="24"/>
        </w:rPr>
      </w:pPr>
      <w:r>
        <w:rPr>
          <w:rFonts w:eastAsia="Times New Roman" w:cs="Times New Roman"/>
          <w:szCs w:val="24"/>
        </w:rPr>
        <w:t xml:space="preserve">Therefore, the PUCO's conclusion that Duke can continue to defer remediation costs for three more years based on a finding of exigent circumstances is manifestly against the weight of evidence in this case. As a result, rehearing should be granted to thoroughly investigate the nature of Duke's cost and time overruns. </w:t>
      </w:r>
    </w:p>
    <w:p w:rsidR="009A0459" w:rsidRPr="003A2F84" w:rsidP="00220502">
      <w:pPr>
        <w:pStyle w:val="Heading2"/>
        <w:rPr>
          <w:rFonts w:eastAsia="Calibri"/>
        </w:rPr>
      </w:pPr>
      <w:bookmarkStart w:id="6" w:name="_Toc472693582"/>
      <w:r w:rsidRPr="003A2F84">
        <w:rPr>
          <w:rFonts w:eastAsia="Calibri"/>
        </w:rPr>
        <w:t>The PUCO unreasonably and unlawfully found that Duke could extend the deferral period by three years</w:t>
      </w:r>
      <w:r>
        <w:rPr>
          <w:rFonts w:eastAsia="Calibri"/>
        </w:rPr>
        <w:t>, causing customers to potentially bear more costs</w:t>
      </w:r>
      <w:r w:rsidRPr="003A2F84">
        <w:rPr>
          <w:rFonts w:eastAsia="Calibri"/>
        </w:rPr>
        <w:t>.  The PUCO failed to provide record support or justification for the three</w:t>
      </w:r>
      <w:r>
        <w:rPr>
          <w:rFonts w:eastAsia="Calibri"/>
        </w:rPr>
        <w:t>-</w:t>
      </w:r>
      <w:r w:rsidRPr="003A2F84">
        <w:rPr>
          <w:rFonts w:eastAsia="Calibri"/>
        </w:rPr>
        <w:t>year extension period</w:t>
      </w:r>
      <w:r>
        <w:rPr>
          <w:rFonts w:eastAsia="Calibri"/>
        </w:rPr>
        <w:t>. Nor did it</w:t>
      </w:r>
      <w:r w:rsidRPr="003A2F84">
        <w:rPr>
          <w:rFonts w:eastAsia="Calibri"/>
        </w:rPr>
        <w:t xml:space="preserve"> properly set forth the reasons prompting this decision as </w:t>
      </w:r>
      <w:r>
        <w:rPr>
          <w:rFonts w:eastAsia="Calibri"/>
        </w:rPr>
        <w:t>required by</w:t>
      </w:r>
      <w:r w:rsidRPr="003A2F84">
        <w:rPr>
          <w:rFonts w:eastAsia="Calibri"/>
        </w:rPr>
        <w:t xml:space="preserve"> R.C. 4903.09.</w:t>
      </w:r>
      <w:bookmarkEnd w:id="6"/>
    </w:p>
    <w:p w:rsidR="00DD4AC0" w:rsidP="00EC4B03">
      <w:pPr>
        <w:widowControl/>
        <w:tabs>
          <w:tab w:val="left" w:pos="720"/>
        </w:tabs>
        <w:spacing w:line="480" w:lineRule="auto"/>
        <w:ind w:firstLine="720"/>
        <w:rPr>
          <w:rFonts w:eastAsia="Calibri" w:cs="Times New Roman"/>
        </w:rPr>
      </w:pPr>
      <w:r>
        <w:rPr>
          <w:rFonts w:eastAsia="Calibri" w:cs="Times New Roman"/>
        </w:rPr>
        <w:t>In its Finding and Order, the PUCO determined that the five-year deferral extension suggested in Duke's application was "excessive and contradictory to the Commission's reasoning for the initial ten-year time frame."</w:t>
      </w:r>
      <w:r>
        <w:rPr>
          <w:rStyle w:val="FootnoteReference"/>
          <w:rFonts w:eastAsia="Calibri"/>
        </w:rPr>
        <w:footnoteReference w:id="30"/>
      </w:r>
      <w:r>
        <w:rPr>
          <w:rFonts w:eastAsia="Calibri" w:cs="Times New Roman"/>
        </w:rPr>
        <w:t xml:space="preserve"> As a result, the PUCO modified Duke's proposed deferral period to three years. While OCC and Kroger agree with the PUCO that a five-year time period is excessive, there is no record support for a three-year deferral period. As stated above, Ohio law requires PUCO to base its decisions on findings of fact and record evidence.</w:t>
      </w:r>
      <w:r>
        <w:rPr>
          <w:rStyle w:val="FootnoteReference"/>
          <w:rFonts w:eastAsia="Calibri"/>
        </w:rPr>
        <w:footnoteReference w:id="31"/>
      </w:r>
      <w:r>
        <w:rPr>
          <w:rFonts w:eastAsia="Calibri" w:cs="Times New Roman"/>
        </w:rPr>
        <w:t xml:space="preserve"> There is no record support for a three-year deferral period. </w:t>
      </w:r>
    </w:p>
    <w:p w:rsidR="0009217E" w:rsidP="00272D06">
      <w:pPr>
        <w:widowControl/>
        <w:spacing w:after="200" w:line="480" w:lineRule="auto"/>
        <w:ind w:firstLine="720"/>
        <w:rPr>
          <w:rFonts w:eastAsia="Calibri" w:cs="Times New Roman"/>
        </w:rPr>
      </w:pPr>
      <w:r>
        <w:rPr>
          <w:rFonts w:eastAsia="Calibri" w:cs="Times New Roman"/>
        </w:rPr>
        <w:t>OPAE, OCC, Kroger, and the PUCO Staff all advocated for no extension of the deferral period. Since the PUCO determined that Duke's proposed five-year period is excessive and contradictory to the PUCO’s past reasoning,</w:t>
      </w:r>
      <w:r>
        <w:rPr>
          <w:rStyle w:val="FootnoteReference"/>
          <w:rFonts w:eastAsia="Calibri"/>
        </w:rPr>
        <w:footnoteReference w:id="32"/>
      </w:r>
      <w:r>
        <w:rPr>
          <w:rFonts w:eastAsia="Calibri" w:cs="Times New Roman"/>
        </w:rPr>
        <w:t xml:space="preserve"> there is no other evidence to support any deferral period in this case. The PUCO cannot justify a three-year deferral period without citing any evidence in the record supporting that period. This is both unreasonable and contrary to R.C. 4903.09 (requiring the PUCO to base its decisions on facts in the record.)</w:t>
      </w:r>
      <w:r>
        <w:rPr>
          <w:rStyle w:val="FootnoteReference"/>
          <w:rFonts w:eastAsia="Calibri"/>
        </w:rPr>
        <w:footnoteReference w:id="33"/>
      </w:r>
      <w:r>
        <w:rPr>
          <w:rFonts w:eastAsia="Calibri" w:cs="Times New Roman"/>
        </w:rPr>
        <w:t xml:space="preserve"> </w:t>
      </w:r>
    </w:p>
    <w:p w:rsidR="009A0459" w:rsidRPr="009A0459" w:rsidP="00272D06">
      <w:pPr>
        <w:widowControl/>
        <w:spacing w:after="200" w:line="480" w:lineRule="auto"/>
        <w:ind w:firstLine="720"/>
        <w:rPr>
          <w:rFonts w:eastAsia="Calibri" w:cs="Times New Roman"/>
        </w:rPr>
      </w:pPr>
      <w:r>
        <w:rPr>
          <w:rFonts w:eastAsia="Calibri" w:cs="Times New Roman"/>
        </w:rPr>
        <w:t>The PUCO found that Duke failed to meet its burden of proof</w:t>
      </w:r>
      <w:r>
        <w:rPr>
          <w:rStyle w:val="FootnoteReference"/>
          <w:rFonts w:eastAsia="Calibri"/>
        </w:rPr>
        <w:footnoteReference w:id="34"/>
      </w:r>
      <w:r>
        <w:rPr>
          <w:rFonts w:eastAsia="Calibri" w:cs="Times New Roman"/>
        </w:rPr>
        <w:t xml:space="preserve"> for a five-year extension. Similarly, there is no evidence to support a three-year deferral period. So the proper result is to deny Duke's application in its entirety—not to grant the application for a shorter period of time that lacks record support. </w:t>
      </w:r>
    </w:p>
    <w:p w:rsidR="00EC4B03" w:rsidP="00220502">
      <w:pPr>
        <w:pStyle w:val="Heading2"/>
        <w:rPr>
          <w:rFonts w:eastAsia="Calibri"/>
        </w:rPr>
      </w:pPr>
      <w:bookmarkStart w:id="7" w:name="_Toc472693583"/>
      <w:r w:rsidRPr="00EC4B03">
        <w:rPr>
          <w:rFonts w:eastAsia="Calibri"/>
        </w:rPr>
        <w:t>The PUCO unreasonably and unlawfully extended Duke</w:t>
      </w:r>
      <w:r>
        <w:rPr>
          <w:rFonts w:eastAsia="Calibri"/>
        </w:rPr>
        <w:t>'</w:t>
      </w:r>
      <w:r w:rsidRPr="00EC4B03">
        <w:rPr>
          <w:rFonts w:eastAsia="Calibri"/>
        </w:rPr>
        <w:t xml:space="preserve">s deferral authority for the costs related to environmental investigation and remediation that cannot be lawfully collected from Ohio customers under R.C. 4909.15. The environmental investigation and remediation costs are costs associated with MGP sites that were never </w:t>
      </w:r>
      <w:r>
        <w:rPr>
          <w:rFonts w:eastAsia="Calibri"/>
        </w:rPr>
        <w:t>"</w:t>
      </w:r>
      <w:r w:rsidRPr="00EC4B03">
        <w:rPr>
          <w:rFonts w:eastAsia="Calibri"/>
        </w:rPr>
        <w:t>used and useful</w:t>
      </w:r>
      <w:r>
        <w:rPr>
          <w:rFonts w:eastAsia="Calibri"/>
        </w:rPr>
        <w:t>"</w:t>
      </w:r>
      <w:r w:rsidRPr="00EC4B03">
        <w:rPr>
          <w:rFonts w:eastAsia="Calibri"/>
        </w:rPr>
        <w:t xml:space="preserve"> in providing public utility service to Duke</w:t>
      </w:r>
      <w:r>
        <w:rPr>
          <w:rFonts w:eastAsia="Calibri"/>
        </w:rPr>
        <w:t>'</w:t>
      </w:r>
      <w:r w:rsidRPr="00EC4B03">
        <w:rPr>
          <w:rFonts w:eastAsia="Calibri"/>
        </w:rPr>
        <w:t>s Ohio customers.</w:t>
      </w:r>
      <w:bookmarkEnd w:id="7"/>
      <w:r>
        <w:rPr>
          <w:rFonts w:eastAsia="Calibri"/>
        </w:rPr>
        <w:t xml:space="preserve"> </w:t>
      </w:r>
    </w:p>
    <w:p w:rsidR="00EC4B03" w:rsidRPr="00EC4B03" w:rsidP="00EC4B03">
      <w:pPr>
        <w:widowControl/>
        <w:spacing w:before="240" w:line="480" w:lineRule="auto"/>
        <w:ind w:firstLine="720"/>
        <w:contextualSpacing/>
        <w:rPr>
          <w:rFonts w:eastAsia="Calibri" w:cs="Times New Roman"/>
          <w:szCs w:val="24"/>
        </w:rPr>
      </w:pPr>
      <w:r w:rsidRPr="00EC4B03">
        <w:rPr>
          <w:rFonts w:eastAsia="Calibri" w:cs="Times New Roman"/>
          <w:szCs w:val="24"/>
        </w:rPr>
        <w:t xml:space="preserve">Under Ohio law, only costs from utility plant that </w:t>
      </w:r>
      <w:r>
        <w:rPr>
          <w:rFonts w:eastAsia="Calibri" w:cs="Times New Roman"/>
          <w:szCs w:val="24"/>
        </w:rPr>
        <w:t>are</w:t>
      </w:r>
      <w:r w:rsidRPr="00EC4B03">
        <w:rPr>
          <w:rFonts w:eastAsia="Calibri" w:cs="Times New Roman"/>
          <w:szCs w:val="24"/>
        </w:rPr>
        <w:t xml:space="preserve"> </w:t>
      </w:r>
      <w:r>
        <w:rPr>
          <w:rFonts w:eastAsia="Calibri" w:cs="Times New Roman"/>
          <w:szCs w:val="24"/>
        </w:rPr>
        <w:t>"</w:t>
      </w:r>
      <w:r w:rsidRPr="00EC4B03">
        <w:rPr>
          <w:rFonts w:eastAsia="Calibri" w:cs="Times New Roman"/>
          <w:szCs w:val="24"/>
        </w:rPr>
        <w:t>used and useful</w:t>
      </w:r>
      <w:r>
        <w:rPr>
          <w:rFonts w:eastAsia="Calibri" w:cs="Times New Roman"/>
          <w:szCs w:val="24"/>
        </w:rPr>
        <w:t>"</w:t>
      </w:r>
      <w:r w:rsidRPr="00EC4B03">
        <w:rPr>
          <w:rFonts w:eastAsia="Calibri" w:cs="Times New Roman"/>
          <w:szCs w:val="24"/>
        </w:rPr>
        <w:t xml:space="preserve"> in rendering utility service may be collected from customers.</w:t>
      </w:r>
      <w:r>
        <w:rPr>
          <w:rFonts w:eastAsia="Calibri" w:cs="Times New Roman"/>
          <w:szCs w:val="24"/>
          <w:vertAlign w:val="superscript"/>
        </w:rPr>
        <w:footnoteReference w:id="35"/>
      </w:r>
      <w:r w:rsidRPr="00EC4B03">
        <w:rPr>
          <w:rFonts w:eastAsia="Calibri" w:cs="Times New Roman"/>
          <w:szCs w:val="24"/>
        </w:rPr>
        <w:t xml:space="preserve"> The environmental clean-up costs that</w:t>
      </w:r>
      <w:r>
        <w:rPr>
          <w:rFonts w:eastAsia="Calibri" w:cs="Times New Roman"/>
          <w:szCs w:val="24"/>
        </w:rPr>
        <w:t xml:space="preserve"> the PUCO approved</w:t>
      </w:r>
      <w:r w:rsidRPr="00EC4B03">
        <w:rPr>
          <w:rFonts w:eastAsia="Calibri" w:cs="Times New Roman"/>
          <w:szCs w:val="24"/>
        </w:rPr>
        <w:t xml:space="preserve"> are related to utility plant (in this case the manufactured gas plant) that </w:t>
      </w:r>
      <w:r>
        <w:rPr>
          <w:rFonts w:eastAsia="Calibri" w:cs="Times New Roman"/>
          <w:szCs w:val="24"/>
        </w:rPr>
        <w:t>has</w:t>
      </w:r>
      <w:r w:rsidRPr="00EC4B03">
        <w:rPr>
          <w:rFonts w:eastAsia="Calibri" w:cs="Times New Roman"/>
          <w:szCs w:val="24"/>
        </w:rPr>
        <w:t xml:space="preserve"> not</w:t>
      </w:r>
      <w:r>
        <w:rPr>
          <w:rFonts w:eastAsia="Calibri" w:cs="Times New Roman"/>
          <w:szCs w:val="24"/>
        </w:rPr>
        <w:t xml:space="preserve"> been</w:t>
      </w:r>
      <w:r w:rsidRPr="00EC4B03">
        <w:rPr>
          <w:rFonts w:eastAsia="Calibri" w:cs="Times New Roman"/>
          <w:szCs w:val="24"/>
        </w:rPr>
        <w:t xml:space="preserve"> used and useful</w:t>
      </w:r>
      <w:r>
        <w:rPr>
          <w:rFonts w:eastAsia="Calibri" w:cs="Times New Roman"/>
          <w:szCs w:val="24"/>
        </w:rPr>
        <w:t xml:space="preserve"> for many years</w:t>
      </w:r>
      <w:r w:rsidRPr="00EC4B03">
        <w:rPr>
          <w:rFonts w:eastAsia="Calibri" w:cs="Times New Roman"/>
          <w:szCs w:val="24"/>
        </w:rPr>
        <w:t xml:space="preserve">. </w:t>
      </w:r>
      <w:r>
        <w:rPr>
          <w:rFonts w:eastAsia="Calibri" w:cs="Times New Roman"/>
          <w:szCs w:val="24"/>
        </w:rPr>
        <w:t xml:space="preserve">The PUCO was wrong. </w:t>
      </w:r>
      <w:r w:rsidRPr="00EC4B03">
        <w:rPr>
          <w:rFonts w:eastAsia="Calibri" w:cs="Times New Roman"/>
          <w:szCs w:val="24"/>
        </w:rPr>
        <w:t>The Supreme Court will soon be hearing this case</w:t>
      </w:r>
      <w:r>
        <w:rPr>
          <w:rFonts w:eastAsia="Calibri" w:cs="Times New Roman"/>
          <w:szCs w:val="24"/>
        </w:rPr>
        <w:t>;</w:t>
      </w:r>
      <w:r w:rsidRPr="00EC4B03">
        <w:rPr>
          <w:rFonts w:eastAsia="Calibri" w:cs="Times New Roman"/>
          <w:szCs w:val="24"/>
        </w:rPr>
        <w:t xml:space="preserve"> it is currently scheduled for oral argument on February 28, 2017. </w:t>
      </w:r>
      <w:r>
        <w:rPr>
          <w:rFonts w:eastAsia="Calibri" w:cs="Times New Roman"/>
          <w:szCs w:val="24"/>
        </w:rPr>
        <w:t>But in the meantime it</w:t>
      </w:r>
      <w:r w:rsidRPr="00EC4B03">
        <w:rPr>
          <w:rFonts w:eastAsia="Calibri" w:cs="Times New Roman"/>
          <w:szCs w:val="24"/>
        </w:rPr>
        <w:t xml:space="preserve"> is inappropriate for</w:t>
      </w:r>
      <w:r>
        <w:rPr>
          <w:rFonts w:eastAsia="Calibri" w:cs="Times New Roman"/>
          <w:szCs w:val="24"/>
        </w:rPr>
        <w:t xml:space="preserve"> the PUCO to allow Duke to defer (for future collection from customers) </w:t>
      </w:r>
      <w:r w:rsidRPr="00EC4B03">
        <w:rPr>
          <w:rFonts w:eastAsia="Calibri" w:cs="Times New Roman"/>
          <w:szCs w:val="24"/>
        </w:rPr>
        <w:t xml:space="preserve">more </w:t>
      </w:r>
      <w:r>
        <w:rPr>
          <w:rFonts w:eastAsia="Calibri" w:cs="Times New Roman"/>
          <w:szCs w:val="24"/>
        </w:rPr>
        <w:t xml:space="preserve">of these </w:t>
      </w:r>
      <w:r w:rsidRPr="00EC4B03">
        <w:rPr>
          <w:rFonts w:eastAsia="Calibri" w:cs="Times New Roman"/>
          <w:szCs w:val="24"/>
        </w:rPr>
        <w:t>illegal and unreasonable charges</w:t>
      </w:r>
      <w:r>
        <w:rPr>
          <w:rFonts w:eastAsia="Calibri" w:cs="Times New Roman"/>
          <w:szCs w:val="24"/>
        </w:rPr>
        <w:t>.</w:t>
      </w:r>
      <w:r w:rsidRPr="00EC4B03">
        <w:rPr>
          <w:rFonts w:eastAsia="Calibri" w:cs="Times New Roman"/>
          <w:szCs w:val="24"/>
        </w:rPr>
        <w:t xml:space="preserve"> </w:t>
      </w:r>
    </w:p>
    <w:p w:rsidR="00EC4B03" w:rsidRPr="00EC4B03" w:rsidP="00EC4B03">
      <w:pPr>
        <w:widowControl/>
        <w:spacing w:line="480" w:lineRule="auto"/>
        <w:ind w:firstLine="720"/>
        <w:rPr>
          <w:rFonts w:eastAsia="Times New Roman" w:cs="Times New Roman"/>
          <w:color w:val="333333"/>
          <w:szCs w:val="24"/>
          <w:shd w:val="clear" w:color="auto" w:fill="FFFFFF"/>
        </w:rPr>
      </w:pPr>
      <w:r w:rsidRPr="00EC4B03">
        <w:rPr>
          <w:rFonts w:eastAsia="Times New Roman" w:cs="Times New Roman"/>
          <w:color w:val="333333"/>
          <w:szCs w:val="24"/>
          <w:shd w:val="clear" w:color="auto" w:fill="FFFFFF"/>
        </w:rPr>
        <w:t xml:space="preserve">The Supreme Court has interpreted R.C. 4909.15 to mean that only the facilities that are </w:t>
      </w:r>
      <w:r>
        <w:rPr>
          <w:rFonts w:eastAsia="Times New Roman" w:cs="Times New Roman"/>
          <w:color w:val="333333"/>
          <w:szCs w:val="24"/>
          <w:shd w:val="clear" w:color="auto" w:fill="FFFFFF"/>
        </w:rPr>
        <w:t>"</w:t>
      </w:r>
      <w:r w:rsidRPr="00EC4B03">
        <w:rPr>
          <w:rFonts w:eastAsia="Times New Roman" w:cs="Times New Roman"/>
          <w:color w:val="333333"/>
          <w:szCs w:val="24"/>
          <w:shd w:val="clear" w:color="auto" w:fill="FFFFFF"/>
        </w:rPr>
        <w:t>actually used and useful</w:t>
      </w:r>
      <w:r>
        <w:rPr>
          <w:rFonts w:eastAsia="Times New Roman" w:cs="Times New Roman"/>
          <w:color w:val="333333"/>
          <w:szCs w:val="24"/>
          <w:shd w:val="clear" w:color="auto" w:fill="FFFFFF"/>
        </w:rPr>
        <w:t>"</w:t>
      </w:r>
      <w:r w:rsidRPr="00EC4B03">
        <w:rPr>
          <w:rFonts w:eastAsia="Times New Roman" w:cs="Times New Roman"/>
          <w:color w:val="333333"/>
          <w:szCs w:val="24"/>
          <w:shd w:val="clear" w:color="auto" w:fill="FFFFFF"/>
        </w:rPr>
        <w:t xml:space="preserve"> may be included in rates for recovery from customers.</w:t>
      </w:r>
      <w:r>
        <w:rPr>
          <w:rFonts w:eastAsia="Times New Roman" w:cs="Arial"/>
          <w:color w:val="333333"/>
          <w:szCs w:val="24"/>
          <w:shd w:val="clear" w:color="auto" w:fill="FFFFFF"/>
          <w:vertAlign w:val="superscript"/>
        </w:rPr>
        <w:footnoteReference w:id="36"/>
      </w:r>
      <w:r>
        <w:rPr>
          <w:rFonts w:eastAsia="Times New Roman" w:cs="Times New Roman"/>
          <w:color w:val="333333"/>
          <w:szCs w:val="24"/>
          <w:shd w:val="clear" w:color="auto" w:fill="FFFFFF"/>
        </w:rPr>
        <w:t xml:space="preserve">  Previously</w:t>
      </w:r>
      <w:r w:rsidRPr="00EC4B03">
        <w:rPr>
          <w:rFonts w:eastAsia="Times New Roman" w:cs="Times New Roman"/>
          <w:color w:val="333333"/>
          <w:szCs w:val="24"/>
          <w:shd w:val="clear" w:color="auto" w:fill="FFFFFF"/>
        </w:rPr>
        <w:t xml:space="preserve">, the </w:t>
      </w:r>
      <w:r>
        <w:rPr>
          <w:rFonts w:eastAsia="Times New Roman" w:cs="Times New Roman"/>
          <w:color w:val="333333"/>
          <w:szCs w:val="24"/>
          <w:shd w:val="clear" w:color="auto" w:fill="FFFFFF"/>
        </w:rPr>
        <w:t xml:space="preserve">Supreme </w:t>
      </w:r>
      <w:r w:rsidRPr="00EC4B03">
        <w:rPr>
          <w:rFonts w:eastAsia="Times New Roman" w:cs="Times New Roman"/>
          <w:color w:val="333333"/>
          <w:szCs w:val="24"/>
          <w:shd w:val="clear" w:color="auto" w:fill="FFFFFF"/>
        </w:rPr>
        <w:t>Court reviewed whether a utility</w:t>
      </w:r>
      <w:r>
        <w:rPr>
          <w:rFonts w:eastAsia="Times New Roman" w:cs="Times New Roman"/>
          <w:color w:val="333333"/>
          <w:szCs w:val="24"/>
          <w:shd w:val="clear" w:color="auto" w:fill="FFFFFF"/>
        </w:rPr>
        <w:t>'</w:t>
      </w:r>
      <w:r w:rsidRPr="00EC4B03">
        <w:rPr>
          <w:rFonts w:eastAsia="Times New Roman" w:cs="Times New Roman"/>
          <w:color w:val="333333"/>
          <w:szCs w:val="24"/>
          <w:shd w:val="clear" w:color="auto" w:fill="FFFFFF"/>
        </w:rPr>
        <w:t>s nuclear power plant that had not yet become operational should have been included in the utility</w:t>
      </w:r>
      <w:r>
        <w:rPr>
          <w:rFonts w:eastAsia="Times New Roman" w:cs="Times New Roman"/>
          <w:color w:val="333333"/>
          <w:szCs w:val="24"/>
          <w:shd w:val="clear" w:color="auto" w:fill="FFFFFF"/>
        </w:rPr>
        <w:t>'</w:t>
      </w:r>
      <w:r w:rsidRPr="00EC4B03">
        <w:rPr>
          <w:rFonts w:eastAsia="Times New Roman" w:cs="Times New Roman"/>
          <w:color w:val="333333"/>
          <w:szCs w:val="24"/>
          <w:shd w:val="clear" w:color="auto" w:fill="FFFFFF"/>
        </w:rPr>
        <w:t>s rate base.</w:t>
      </w:r>
      <w:r>
        <w:rPr>
          <w:rFonts w:eastAsia="Times New Roman" w:cs="Arial"/>
          <w:color w:val="333333"/>
          <w:szCs w:val="24"/>
          <w:shd w:val="clear" w:color="auto" w:fill="FFFFFF"/>
          <w:vertAlign w:val="superscript"/>
        </w:rPr>
        <w:footnoteReference w:id="37"/>
      </w:r>
      <w:r w:rsidRPr="00EC4B03">
        <w:rPr>
          <w:rFonts w:eastAsia="Times New Roman" w:cs="Times New Roman"/>
          <w:color w:val="333333"/>
          <w:szCs w:val="24"/>
          <w:shd w:val="clear" w:color="auto" w:fill="FFFFFF"/>
        </w:rPr>
        <w:t xml:space="preserve"> The </w:t>
      </w:r>
      <w:r>
        <w:rPr>
          <w:rFonts w:eastAsia="Times New Roman" w:cs="Times New Roman"/>
          <w:color w:val="333333"/>
          <w:szCs w:val="24"/>
          <w:shd w:val="clear" w:color="auto" w:fill="FFFFFF"/>
        </w:rPr>
        <w:t xml:space="preserve">Supreme </w:t>
      </w:r>
      <w:r w:rsidRPr="00EC4B03">
        <w:rPr>
          <w:rFonts w:eastAsia="Times New Roman" w:cs="Times New Roman"/>
          <w:color w:val="333333"/>
          <w:szCs w:val="24"/>
          <w:shd w:val="clear" w:color="auto" w:fill="FFFFFF"/>
        </w:rPr>
        <w:t>Court held that the nuclear power plant was not includable in base rates because the requirements of R.C. 4909.15 had not been met.</w:t>
      </w:r>
      <w:r>
        <w:rPr>
          <w:rFonts w:eastAsia="Times New Roman" w:cs="Arial"/>
          <w:color w:val="333333"/>
          <w:szCs w:val="24"/>
          <w:shd w:val="clear" w:color="auto" w:fill="FFFFFF"/>
          <w:vertAlign w:val="superscript"/>
        </w:rPr>
        <w:footnoteReference w:id="38"/>
      </w:r>
      <w:r w:rsidRPr="00EC4B03">
        <w:rPr>
          <w:rFonts w:eastAsia="Times New Roman" w:cs="Times New Roman"/>
          <w:color w:val="333333"/>
          <w:szCs w:val="24"/>
          <w:shd w:val="clear" w:color="auto" w:fill="FFFFFF"/>
        </w:rPr>
        <w:t xml:space="preserve"> The </w:t>
      </w:r>
      <w:r>
        <w:rPr>
          <w:rFonts w:eastAsia="Times New Roman" w:cs="Times New Roman"/>
          <w:color w:val="333333"/>
          <w:szCs w:val="24"/>
          <w:shd w:val="clear" w:color="auto" w:fill="FFFFFF"/>
        </w:rPr>
        <w:t xml:space="preserve">Supreme </w:t>
      </w:r>
      <w:r w:rsidRPr="00EC4B03">
        <w:rPr>
          <w:rFonts w:eastAsia="Times New Roman" w:cs="Times New Roman"/>
          <w:color w:val="333333"/>
          <w:szCs w:val="24"/>
          <w:shd w:val="clear" w:color="auto" w:fill="FFFFFF"/>
        </w:rPr>
        <w:t xml:space="preserve">Court stated that the statutory language incorporated the generally accepted principle, given by the United States Supreme Court, </w:t>
      </w:r>
      <w:r>
        <w:rPr>
          <w:rFonts w:eastAsia="Times New Roman" w:cs="Times New Roman"/>
          <w:color w:val="333333"/>
          <w:szCs w:val="24"/>
          <w:shd w:val="clear" w:color="auto" w:fill="FFFFFF"/>
        </w:rPr>
        <w:t>"</w:t>
      </w:r>
      <w:r w:rsidRPr="00EC4B03">
        <w:rPr>
          <w:rFonts w:eastAsia="Times New Roman" w:cs="Times New Roman"/>
          <w:color w:val="333333"/>
          <w:szCs w:val="24"/>
          <w:shd w:val="clear" w:color="auto" w:fill="FFFFFF"/>
        </w:rPr>
        <w:t xml:space="preserve">that a utility is not entitled to include in the valuation of its rate base property not actually used or useful in providing public service, </w:t>
      </w:r>
      <w:r w:rsidRPr="00C36E7F">
        <w:rPr>
          <w:rFonts w:eastAsia="Times New Roman" w:cs="Times New Roman"/>
          <w:color w:val="333333"/>
          <w:szCs w:val="24"/>
          <w:u w:val="single"/>
          <w:shd w:val="clear" w:color="auto" w:fill="FFFFFF"/>
        </w:rPr>
        <w:t>no matter how useful the property may have been in the past</w:t>
      </w:r>
      <w:r w:rsidRPr="00EC4B03">
        <w:rPr>
          <w:rFonts w:eastAsia="Times New Roman" w:cs="Times New Roman"/>
          <w:b/>
          <w:color w:val="333333"/>
          <w:szCs w:val="24"/>
          <w:shd w:val="clear" w:color="auto" w:fill="FFFFFF"/>
        </w:rPr>
        <w:t xml:space="preserve"> </w:t>
      </w:r>
      <w:r w:rsidRPr="00EC4B03">
        <w:rPr>
          <w:rFonts w:eastAsia="Times New Roman" w:cs="Times New Roman"/>
          <w:color w:val="333333"/>
          <w:szCs w:val="24"/>
          <w:shd w:val="clear" w:color="auto" w:fill="FFFFFF"/>
        </w:rPr>
        <w:t>or may yet be in the future.</w:t>
      </w:r>
      <w:r>
        <w:rPr>
          <w:rFonts w:eastAsia="Times New Roman" w:cs="Times New Roman"/>
          <w:color w:val="333333"/>
          <w:szCs w:val="24"/>
          <w:shd w:val="clear" w:color="auto" w:fill="FFFFFF"/>
        </w:rPr>
        <w:t>"</w:t>
      </w:r>
      <w:r>
        <w:rPr>
          <w:rFonts w:eastAsia="Times New Roman" w:cs="Arial"/>
          <w:color w:val="333333"/>
          <w:szCs w:val="24"/>
          <w:shd w:val="clear" w:color="auto" w:fill="FFFFFF"/>
          <w:vertAlign w:val="superscript"/>
        </w:rPr>
        <w:footnoteReference w:id="39"/>
      </w:r>
      <w:r w:rsidRPr="00EC4B03">
        <w:rPr>
          <w:rFonts w:eastAsia="Times New Roman" w:cs="Times New Roman"/>
          <w:color w:val="333333"/>
          <w:szCs w:val="24"/>
          <w:shd w:val="clear" w:color="auto" w:fill="FFFFFF"/>
        </w:rPr>
        <w:t xml:space="preserve">  </w:t>
      </w:r>
    </w:p>
    <w:p w:rsidR="0009217E" w:rsidP="00EC4B03">
      <w:pPr>
        <w:widowControl/>
        <w:spacing w:line="480" w:lineRule="auto"/>
        <w:ind w:firstLine="720"/>
        <w:contextualSpacing/>
        <w:rPr>
          <w:rFonts w:eastAsia="Times New Roman" w:cs="Times New Roman"/>
          <w:color w:val="333333"/>
          <w:szCs w:val="24"/>
          <w:shd w:val="clear" w:color="auto" w:fill="FFFFFF"/>
        </w:rPr>
      </w:pPr>
      <w:r w:rsidRPr="00EC4B03">
        <w:rPr>
          <w:rFonts w:eastAsia="Times New Roman" w:cs="Times New Roman"/>
          <w:color w:val="333333"/>
          <w:szCs w:val="24"/>
          <w:shd w:val="clear" w:color="auto" w:fill="FFFFFF"/>
        </w:rPr>
        <w:t>The Supreme Court further stated that it would be inequitable to prematurely shift the risk of the failure of an asset not yet proven from the shareholders to the customer.</w:t>
      </w:r>
      <w:r>
        <w:rPr>
          <w:rFonts w:eastAsia="Times New Roman" w:cs="Arial"/>
          <w:color w:val="333333"/>
          <w:szCs w:val="24"/>
          <w:shd w:val="clear" w:color="auto" w:fill="FFFFFF"/>
          <w:vertAlign w:val="superscript"/>
        </w:rPr>
        <w:footnoteReference w:id="40"/>
      </w:r>
      <w:r w:rsidRPr="00EC4B03">
        <w:rPr>
          <w:rFonts w:eastAsia="Times New Roman" w:cs="Times New Roman"/>
          <w:color w:val="333333"/>
          <w:szCs w:val="24"/>
          <w:shd w:val="clear" w:color="auto" w:fill="FFFFFF"/>
        </w:rPr>
        <w:t xml:space="preserve">  The </w:t>
      </w:r>
      <w:r>
        <w:rPr>
          <w:rFonts w:eastAsia="Times New Roman" w:cs="Times New Roman"/>
          <w:color w:val="333333"/>
          <w:szCs w:val="24"/>
          <w:shd w:val="clear" w:color="auto" w:fill="FFFFFF"/>
        </w:rPr>
        <w:t xml:space="preserve">Supreme </w:t>
      </w:r>
      <w:r w:rsidRPr="00EC4B03">
        <w:rPr>
          <w:rFonts w:eastAsia="Times New Roman" w:cs="Times New Roman"/>
          <w:color w:val="333333"/>
          <w:szCs w:val="24"/>
          <w:shd w:val="clear" w:color="auto" w:fill="FFFFFF"/>
        </w:rPr>
        <w:t xml:space="preserve">Court </w:t>
      </w:r>
      <w:r>
        <w:rPr>
          <w:rFonts w:eastAsia="Times New Roman" w:cs="Times New Roman"/>
          <w:color w:val="333333"/>
          <w:szCs w:val="24"/>
          <w:shd w:val="clear" w:color="auto" w:fill="FFFFFF"/>
        </w:rPr>
        <w:t>reasoned</w:t>
      </w:r>
      <w:r w:rsidRPr="00EC4B03">
        <w:rPr>
          <w:rFonts w:eastAsia="Times New Roman" w:cs="Times New Roman"/>
          <w:color w:val="333333"/>
          <w:szCs w:val="24"/>
          <w:shd w:val="clear" w:color="auto" w:fill="FFFFFF"/>
        </w:rPr>
        <w:t xml:space="preserve"> that the shareholders stand to gain from the success of the plant</w:t>
      </w:r>
      <w:r>
        <w:rPr>
          <w:rFonts w:eastAsia="Times New Roman" w:cs="Times New Roman"/>
          <w:color w:val="333333"/>
          <w:szCs w:val="24"/>
          <w:shd w:val="clear" w:color="auto" w:fill="FFFFFF"/>
        </w:rPr>
        <w:t>,</w:t>
      </w:r>
      <w:r w:rsidRPr="00EC4B03">
        <w:rPr>
          <w:rFonts w:eastAsia="Times New Roman" w:cs="Times New Roman"/>
          <w:color w:val="333333"/>
          <w:szCs w:val="24"/>
          <w:shd w:val="clear" w:color="auto" w:fill="FFFFFF"/>
        </w:rPr>
        <w:t xml:space="preserve"> so it is appropriate for them to bear the risk of its failure as opposed to the customers, who gain nothing if the plant succeeds and therefore should not also be expected to bear the risk of its failure.</w:t>
      </w:r>
      <w:r>
        <w:rPr>
          <w:rFonts w:eastAsia="Times New Roman" w:cs="Arial"/>
          <w:color w:val="333333"/>
          <w:szCs w:val="24"/>
          <w:shd w:val="clear" w:color="auto" w:fill="FFFFFF"/>
          <w:vertAlign w:val="superscript"/>
        </w:rPr>
        <w:footnoteReference w:id="41"/>
      </w:r>
    </w:p>
    <w:p w:rsidR="00220502" w:rsidP="00EC4B03">
      <w:pPr>
        <w:widowControl/>
        <w:spacing w:line="480" w:lineRule="auto"/>
        <w:ind w:firstLine="720"/>
        <w:contextualSpacing/>
        <w:rPr>
          <w:rFonts w:eastAsia="Times New Roman" w:cs="Times New Roman"/>
          <w:color w:val="333333"/>
          <w:szCs w:val="24"/>
          <w:shd w:val="clear" w:color="auto" w:fill="FFFFFF"/>
        </w:rPr>
      </w:pPr>
      <w:r>
        <w:rPr>
          <w:rFonts w:eastAsia="Times New Roman" w:cs="Times New Roman"/>
          <w:color w:val="333333"/>
          <w:szCs w:val="24"/>
          <w:shd w:val="clear" w:color="auto" w:fill="FFFFFF"/>
        </w:rPr>
        <w:t xml:space="preserve"> </w:t>
      </w:r>
      <w:r w:rsidRPr="00EC4B03">
        <w:rPr>
          <w:rFonts w:eastAsia="Times New Roman" w:cs="Times New Roman"/>
          <w:color w:val="333333"/>
          <w:szCs w:val="24"/>
          <w:shd w:val="clear" w:color="auto" w:fill="FFFFFF"/>
        </w:rPr>
        <w:t>The</w:t>
      </w:r>
      <w:r>
        <w:rPr>
          <w:rFonts w:eastAsia="Times New Roman" w:cs="Times New Roman"/>
          <w:color w:val="333333"/>
          <w:szCs w:val="24"/>
          <w:shd w:val="clear" w:color="auto" w:fill="FFFFFF"/>
        </w:rPr>
        <w:t xml:space="preserve"> East End</w:t>
      </w:r>
      <w:r w:rsidRPr="00EC4B03">
        <w:rPr>
          <w:rFonts w:eastAsia="Times New Roman" w:cs="Times New Roman"/>
          <w:color w:val="333333"/>
          <w:szCs w:val="24"/>
          <w:shd w:val="clear" w:color="auto" w:fill="FFFFFF"/>
        </w:rPr>
        <w:t xml:space="preserve"> site that Duke is requesting to continue to</w:t>
      </w:r>
      <w:r>
        <w:rPr>
          <w:rFonts w:eastAsia="Times New Roman" w:cs="Times New Roman"/>
          <w:color w:val="333333"/>
          <w:szCs w:val="24"/>
          <w:shd w:val="clear" w:color="auto" w:fill="FFFFFF"/>
        </w:rPr>
        <w:t xml:space="preserve"> defer</w:t>
      </w:r>
      <w:r w:rsidRPr="00EC4B03">
        <w:rPr>
          <w:rFonts w:eastAsia="Times New Roman" w:cs="Times New Roman"/>
          <w:color w:val="333333"/>
          <w:szCs w:val="24"/>
          <w:shd w:val="clear" w:color="auto" w:fill="FFFFFF"/>
        </w:rPr>
        <w:t xml:space="preserve"> </w:t>
      </w:r>
      <w:r>
        <w:rPr>
          <w:rFonts w:eastAsia="Times New Roman" w:cs="Times New Roman"/>
          <w:color w:val="333333"/>
          <w:szCs w:val="24"/>
          <w:shd w:val="clear" w:color="auto" w:fill="FFFFFF"/>
        </w:rPr>
        <w:t xml:space="preserve">remediation </w:t>
      </w:r>
      <w:r w:rsidRPr="00EC4B03">
        <w:rPr>
          <w:rFonts w:eastAsia="Times New Roman" w:cs="Times New Roman"/>
          <w:color w:val="333333"/>
          <w:szCs w:val="24"/>
          <w:shd w:val="clear" w:color="auto" w:fill="FFFFFF"/>
        </w:rPr>
        <w:t>charges on ha</w:t>
      </w:r>
      <w:r>
        <w:rPr>
          <w:rFonts w:eastAsia="Times New Roman" w:cs="Times New Roman"/>
          <w:color w:val="333333"/>
          <w:szCs w:val="24"/>
          <w:shd w:val="clear" w:color="auto" w:fill="FFFFFF"/>
        </w:rPr>
        <w:t>s</w:t>
      </w:r>
      <w:r w:rsidRPr="00EC4B03">
        <w:rPr>
          <w:rFonts w:eastAsia="Times New Roman" w:cs="Times New Roman"/>
          <w:color w:val="333333"/>
          <w:szCs w:val="24"/>
          <w:shd w:val="clear" w:color="auto" w:fill="FFFFFF"/>
        </w:rPr>
        <w:t xml:space="preserve"> not been used a</w:t>
      </w:r>
      <w:r>
        <w:rPr>
          <w:rFonts w:eastAsia="Times New Roman" w:cs="Times New Roman"/>
          <w:color w:val="333333"/>
          <w:szCs w:val="24"/>
          <w:shd w:val="clear" w:color="auto" w:fill="FFFFFF"/>
        </w:rPr>
        <w:t>nd</w:t>
      </w:r>
      <w:r w:rsidRPr="00EC4B03">
        <w:rPr>
          <w:rFonts w:eastAsia="Times New Roman" w:cs="Times New Roman"/>
          <w:color w:val="333333"/>
          <w:szCs w:val="24"/>
          <w:shd w:val="clear" w:color="auto" w:fill="FFFFFF"/>
        </w:rPr>
        <w:t xml:space="preserve"> useful in providing utility service to customers in over 5</w:t>
      </w:r>
      <w:r>
        <w:rPr>
          <w:rFonts w:eastAsia="Times New Roman" w:cs="Times New Roman"/>
          <w:color w:val="333333"/>
          <w:szCs w:val="24"/>
          <w:shd w:val="clear" w:color="auto" w:fill="FFFFFF"/>
        </w:rPr>
        <w:t>0</w:t>
      </w:r>
      <w:r w:rsidRPr="00EC4B03">
        <w:rPr>
          <w:rFonts w:eastAsia="Times New Roman" w:cs="Times New Roman"/>
          <w:color w:val="333333"/>
          <w:szCs w:val="24"/>
          <w:shd w:val="clear" w:color="auto" w:fill="FFFFFF"/>
        </w:rPr>
        <w:t xml:space="preserve"> years.</w:t>
      </w:r>
      <w:r>
        <w:rPr>
          <w:rFonts w:eastAsia="Times New Roman" w:cs="Times New Roman"/>
          <w:color w:val="333333"/>
          <w:szCs w:val="24"/>
          <w:shd w:val="clear" w:color="auto" w:fill="FFFFFF"/>
          <w:vertAlign w:val="superscript"/>
        </w:rPr>
        <w:footnoteReference w:id="42"/>
      </w:r>
      <w:r>
        <w:rPr>
          <w:rFonts w:eastAsia="Times New Roman" w:cs="Times New Roman"/>
          <w:color w:val="333333"/>
          <w:szCs w:val="24"/>
          <w:shd w:val="clear" w:color="auto" w:fill="FFFFFF"/>
        </w:rPr>
        <w:t xml:space="preserve"> It is OCC’s and Kroger’s position that it was unlawful for the PUCO to approve any cost recovery for environmental remediation of the East End site in Duke's rate case. Therefore, it follows that it should be deemed unlawful for the PUCO to approve any deferral of unlawful costs, including the further deferral of East End remediation costs in this case. </w:t>
      </w:r>
    </w:p>
    <w:p w:rsidR="0027156E" w:rsidP="00BF1BA9">
      <w:pPr>
        <w:widowControl/>
        <w:ind w:firstLine="720"/>
        <w:contextualSpacing/>
        <w:rPr>
          <w:rFonts w:eastAsia="Times New Roman" w:cs="Times New Roman"/>
          <w:color w:val="333333"/>
          <w:szCs w:val="24"/>
          <w:shd w:val="clear" w:color="auto" w:fill="FFFFFF"/>
        </w:rPr>
      </w:pPr>
    </w:p>
    <w:p w:rsidR="0027156E" w:rsidRPr="0027156E" w:rsidP="0027156E">
      <w:pPr>
        <w:pStyle w:val="Heading1"/>
        <w:rPr>
          <w:shd w:val="clear" w:color="auto" w:fill="FFFFFF"/>
        </w:rPr>
      </w:pPr>
      <w:bookmarkStart w:id="8" w:name="_Toc472693584"/>
      <w:r>
        <w:rPr>
          <w:shd w:val="clear" w:color="auto" w:fill="FFFFFF"/>
        </w:rPr>
        <w:t xml:space="preserve">V. </w:t>
      </w:r>
      <w:r>
        <w:rPr>
          <w:shd w:val="clear" w:color="auto" w:fill="FFFFFF"/>
        </w:rPr>
        <w:tab/>
        <w:t>CONCLUSION</w:t>
      </w:r>
      <w:bookmarkEnd w:id="8"/>
    </w:p>
    <w:p w:rsidR="00EC4B03" w:rsidP="00F528E1">
      <w:pPr>
        <w:spacing w:line="480" w:lineRule="auto"/>
        <w:ind w:firstLine="720"/>
      </w:pPr>
      <w:r>
        <w:t xml:space="preserve">In its Order, the PUCO has again allowed Duke to defer gas plant remediation costs for plants that are not used and useful in providing service to its 420,000 residential customers and Kroger.  The PUCO unlawfully found exigent circumstances to allow Duke to extend the deferral of the costs beyond what was previously allowed.  The PUCO's decision that exigent circumstances exist to allow the extended deferral period was erroneous. </w:t>
      </w:r>
      <w:r>
        <w:rPr>
          <w:rFonts w:eastAsia="Times New Roman" w:cs="Times New Roman"/>
          <w:color w:val="333333"/>
          <w:szCs w:val="24"/>
          <w:shd w:val="clear" w:color="auto" w:fill="FFFFFF"/>
        </w:rPr>
        <w:t xml:space="preserve">The PUCO should grant rehearing, abrogate the Order, and deny Duke's application. </w:t>
      </w:r>
      <w:r>
        <w:t xml:space="preserve"> </w:t>
      </w:r>
    </w:p>
    <w:p w:rsidR="00EE00EB" w:rsidP="00E864EA">
      <w:pPr>
        <w:ind w:firstLine="720"/>
        <w:rPr>
          <w:rFonts w:eastAsia="Times New Roman" w:cs="Times New Roman"/>
          <w:szCs w:val="24"/>
        </w:rPr>
      </w:pPr>
    </w:p>
    <w:p w:rsidR="00EC1102">
      <w:pPr>
        <w:rPr>
          <w:rFonts w:eastAsia="Times New Roman" w:cs="Times New Roman"/>
          <w:szCs w:val="24"/>
        </w:rPr>
      </w:pPr>
      <w:r>
        <w:rPr>
          <w:rFonts w:eastAsia="Times New Roman" w:cs="Times New Roman"/>
          <w:szCs w:val="24"/>
        </w:rPr>
        <w:br w:type="page"/>
      </w:r>
    </w:p>
    <w:p w:rsidR="005262E6" w:rsidRPr="006729F4" w:rsidP="005262E6">
      <w:pPr>
        <w:spacing w:line="480" w:lineRule="auto"/>
        <w:ind w:left="3600" w:firstLine="720"/>
        <w:rPr>
          <w:rFonts w:eastAsia="Times New Roman" w:cs="Times New Roman"/>
          <w:szCs w:val="24"/>
        </w:rPr>
      </w:pPr>
      <w:r w:rsidRPr="006729F4">
        <w:rPr>
          <w:rFonts w:eastAsia="Times New Roman" w:cs="Times New Roman"/>
          <w:szCs w:val="24"/>
        </w:rPr>
        <w:t>Respectfully submitted,</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t>BRUCE WESTON (0016973)</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t>OHIO CONSUMERS</w:t>
      </w:r>
      <w:r>
        <w:rPr>
          <w:rFonts w:eastAsia="Times New Roman" w:cs="Times New Roman"/>
          <w:szCs w:val="24"/>
        </w:rPr>
        <w:t>'</w:t>
      </w:r>
      <w:r w:rsidRPr="006729F4">
        <w:rPr>
          <w:rFonts w:eastAsia="Times New Roman" w:cs="Times New Roman"/>
          <w:szCs w:val="24"/>
        </w:rPr>
        <w:t xml:space="preserve"> COUNSEL</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r>
      <w:r w:rsidRPr="006729F4">
        <w:rPr>
          <w:rFonts w:eastAsia="Times New Roman" w:cs="Times New Roman"/>
          <w:i/>
          <w:szCs w:val="24"/>
          <w:u w:val="single"/>
        </w:rPr>
        <w:t>/s/ Christopher Healey</w:t>
      </w:r>
      <w:r w:rsidRPr="006729F4">
        <w:rPr>
          <w:rFonts w:eastAsia="Times New Roman" w:cs="Times New Roman"/>
          <w:i/>
          <w:szCs w:val="24"/>
          <w:u w:val="single"/>
        </w:rPr>
        <w:tab/>
      </w:r>
      <w:r w:rsidRPr="006729F4">
        <w:rPr>
          <w:rFonts w:eastAsia="Times New Roman" w:cs="Times New Roman"/>
          <w:i/>
          <w:szCs w:val="24"/>
          <w:u w:val="single"/>
        </w:rPr>
        <w:tab/>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t>Christopher Healey (</w:t>
      </w:r>
      <w:r w:rsidRPr="006729F4">
        <w:rPr>
          <w:rFonts w:eastAsia="Times New Roman" w:cs="Times New Roman"/>
          <w:szCs w:val="20"/>
        </w:rPr>
        <w:t>0086027)</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t>Counsel of Record</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t>Ajay Kumar (0092208)</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t>Assistant Consumers</w:t>
      </w:r>
      <w:r>
        <w:rPr>
          <w:rFonts w:eastAsia="Times New Roman" w:cs="Times New Roman"/>
          <w:szCs w:val="24"/>
        </w:rPr>
        <w:t>'</w:t>
      </w:r>
      <w:r w:rsidRPr="006729F4">
        <w:rPr>
          <w:rFonts w:eastAsia="Times New Roman" w:cs="Times New Roman"/>
          <w:szCs w:val="24"/>
        </w:rPr>
        <w:t xml:space="preserve"> Counsel</w:t>
      </w:r>
    </w:p>
    <w:p w:rsidR="005262E6" w:rsidRPr="006729F4" w:rsidP="005262E6">
      <w:pPr>
        <w:widowControl/>
        <w:tabs>
          <w:tab w:val="left" w:pos="4320"/>
        </w:tabs>
        <w:rPr>
          <w:rFonts w:eastAsia="Times New Roman" w:cs="Times New Roman"/>
          <w:szCs w:val="24"/>
        </w:rPr>
      </w:pPr>
      <w:r w:rsidRPr="006729F4">
        <w:rPr>
          <w:rFonts w:eastAsia="Times New Roman" w:cs="Times New Roman"/>
          <w:szCs w:val="24"/>
        </w:rPr>
        <w:tab/>
      </w:r>
    </w:p>
    <w:p w:rsidR="005262E6" w:rsidRPr="006729F4" w:rsidP="005262E6">
      <w:pPr>
        <w:widowControl/>
        <w:tabs>
          <w:tab w:val="left" w:pos="4320"/>
        </w:tabs>
        <w:rPr>
          <w:rFonts w:eastAsia="Times New Roman" w:cs="Times New Roman"/>
          <w:b/>
          <w:szCs w:val="20"/>
        </w:rPr>
      </w:pPr>
      <w:r w:rsidRPr="006729F4">
        <w:rPr>
          <w:rFonts w:eastAsia="Times New Roman" w:cs="Times New Roman"/>
          <w:szCs w:val="24"/>
        </w:rPr>
        <w:tab/>
      </w:r>
      <w:r w:rsidRPr="006729F4">
        <w:rPr>
          <w:rFonts w:eastAsia="Times New Roman" w:cs="Times New Roman"/>
          <w:b/>
          <w:szCs w:val="20"/>
        </w:rPr>
        <w:t>Office of the Ohio Consumers</w:t>
      </w:r>
      <w:r>
        <w:rPr>
          <w:rFonts w:eastAsia="Times New Roman" w:cs="Times New Roman"/>
          <w:b/>
          <w:szCs w:val="20"/>
        </w:rPr>
        <w:t>'</w:t>
      </w:r>
      <w:r w:rsidRPr="006729F4">
        <w:rPr>
          <w:rFonts w:eastAsia="Times New Roman" w:cs="Times New Roman"/>
          <w:b/>
          <w:szCs w:val="20"/>
        </w:rPr>
        <w:t xml:space="preserve"> Counsel</w:t>
      </w:r>
    </w:p>
    <w:p w:rsidR="005262E6" w:rsidRPr="006729F4" w:rsidP="0027156E">
      <w:pPr>
        <w:ind w:firstLine="4320"/>
      </w:pPr>
      <w:r w:rsidRPr="006729F4">
        <w:t>10 West Broad Street, Suite 1800</w:t>
      </w:r>
    </w:p>
    <w:p w:rsidR="005262E6" w:rsidRPr="006729F4" w:rsidP="0027156E">
      <w:pPr>
        <w:ind w:firstLine="4320"/>
      </w:pPr>
      <w:r w:rsidRPr="006729F4">
        <w:t>Columbus, Ohio 43215-3485</w:t>
      </w:r>
    </w:p>
    <w:p w:rsidR="005262E6" w:rsidRPr="006729F4" w:rsidP="0027156E">
      <w:pPr>
        <w:ind w:firstLine="4320"/>
      </w:pPr>
      <w:r w:rsidRPr="006729F4">
        <w:t>Telephone: Healey Direct – 614-466-9571</w:t>
      </w:r>
    </w:p>
    <w:p w:rsidR="005262E6" w:rsidRPr="006729F4" w:rsidP="0027156E">
      <w:pPr>
        <w:ind w:firstLine="4320"/>
      </w:pPr>
      <w:r w:rsidRPr="006729F4">
        <w:t>Telephone: Kumar Direct – 614-466-1292</w:t>
      </w:r>
    </w:p>
    <w:p w:rsidR="005262E6" w:rsidRPr="006729F4" w:rsidP="005262E6">
      <w:pPr>
        <w:widowControl/>
        <w:ind w:left="4320"/>
        <w:rPr>
          <w:rFonts w:eastAsia="Times New Roman" w:cs="Times New Roman"/>
          <w:szCs w:val="24"/>
        </w:rPr>
      </w:pPr>
      <w:r>
        <w:fldChar w:fldCharType="begin"/>
      </w:r>
      <w:r>
        <w:instrText xml:space="preserve"> HYPERLINK "mailto:Christopher.Healey@occ.ohio.gov" </w:instrText>
      </w:r>
      <w:r>
        <w:fldChar w:fldCharType="separate"/>
      </w:r>
      <w:r w:rsidRPr="006729F4" w:rsidR="008D6ED3">
        <w:rPr>
          <w:rFonts w:eastAsia="Times New Roman" w:cs="Times New Roman"/>
          <w:color w:val="0000FF"/>
          <w:szCs w:val="24"/>
          <w:u w:val="single"/>
        </w:rPr>
        <w:t>Christopher.Healey@occ.ohio.gov</w:t>
      </w:r>
      <w:r>
        <w:fldChar w:fldCharType="end"/>
      </w:r>
      <w:r w:rsidRPr="006729F4" w:rsidR="008D6ED3">
        <w:rPr>
          <w:rFonts w:eastAsia="Times New Roman" w:cs="Times New Roman"/>
          <w:szCs w:val="24"/>
        </w:rPr>
        <w:t xml:space="preserve"> </w:t>
      </w:r>
    </w:p>
    <w:p w:rsidR="005262E6" w:rsidRPr="006729F4" w:rsidP="005262E6">
      <w:pPr>
        <w:widowControl/>
        <w:autoSpaceDE w:val="0"/>
        <w:autoSpaceDN w:val="0"/>
        <w:adjustRightInd w:val="0"/>
        <w:ind w:left="3600" w:firstLine="720"/>
        <w:rPr>
          <w:rFonts w:eastAsia="Times New Roman" w:cs="Times New Roman"/>
          <w:szCs w:val="24"/>
        </w:rPr>
      </w:pPr>
      <w:r>
        <w:fldChar w:fldCharType="begin"/>
      </w:r>
      <w:r>
        <w:instrText xml:space="preserve"> HYPERLINK "mailto:Ajay.Kumar@occ.ohio.gov" </w:instrText>
      </w:r>
      <w:r>
        <w:fldChar w:fldCharType="separate"/>
      </w:r>
      <w:r w:rsidRPr="006729F4" w:rsidR="008D6ED3">
        <w:rPr>
          <w:rFonts w:eastAsia="Times New Roman" w:cs="Times New Roman"/>
          <w:color w:val="0000FF"/>
          <w:szCs w:val="24"/>
          <w:u w:val="single"/>
        </w:rPr>
        <w:t>Ajay.Kumar@occ.ohio.gov</w:t>
      </w:r>
      <w:r>
        <w:fldChar w:fldCharType="end"/>
      </w:r>
    </w:p>
    <w:p w:rsidR="005262E6" w:rsidRPr="006729F4" w:rsidP="005262E6">
      <w:pPr>
        <w:widowControl/>
        <w:ind w:left="4320"/>
        <w:rPr>
          <w:rFonts w:eastAsia="Times New Roman" w:cs="Times New Roman"/>
          <w:szCs w:val="24"/>
        </w:rPr>
      </w:pPr>
      <w:r w:rsidRPr="006729F4">
        <w:rPr>
          <w:rFonts w:eastAsia="Times New Roman" w:cs="Times New Roman"/>
          <w:szCs w:val="24"/>
        </w:rPr>
        <w:t>(Will accept service via email)</w:t>
      </w:r>
    </w:p>
    <w:p w:rsidR="005262E6" w:rsidP="00EC1102">
      <w:pPr>
        <w:widowControl/>
        <w:autoSpaceDE w:val="0"/>
        <w:autoSpaceDN w:val="0"/>
        <w:jc w:val="both"/>
        <w:rPr>
          <w:rFonts w:eastAsia="Times New Roman" w:cs="Times New Roman"/>
          <w:szCs w:val="20"/>
        </w:rPr>
      </w:pPr>
    </w:p>
    <w:p w:rsidR="005A00F3" w:rsidRPr="005A00F3" w:rsidP="005A00F3">
      <w:pPr>
        <w:widowControl/>
        <w:autoSpaceDE w:val="0"/>
        <w:autoSpaceDN w:val="0"/>
        <w:ind w:firstLine="4320"/>
        <w:jc w:val="both"/>
        <w:rPr>
          <w:rFonts w:eastAsia="Times New Roman" w:cs="Times New Roman"/>
          <w:i/>
          <w:szCs w:val="20"/>
          <w:u w:val="single"/>
        </w:rPr>
      </w:pPr>
      <w:r>
        <w:rPr>
          <w:rFonts w:eastAsia="Times New Roman" w:cs="Times New Roman"/>
          <w:i/>
          <w:szCs w:val="20"/>
          <w:u w:val="single"/>
        </w:rPr>
        <w:t>/s/ Kimberly W. Bojko_______</w:t>
      </w:r>
    </w:p>
    <w:p w:rsidR="005262E6" w:rsidRPr="006729F4" w:rsidP="005262E6">
      <w:pPr>
        <w:widowControl/>
        <w:ind w:left="4320"/>
        <w:jc w:val="both"/>
        <w:rPr>
          <w:rFonts w:eastAsia="Times New Roman" w:cs="Times New Roman"/>
          <w:szCs w:val="20"/>
        </w:rPr>
      </w:pPr>
      <w:r w:rsidRPr="006729F4">
        <w:rPr>
          <w:rFonts w:eastAsia="Times New Roman" w:cs="Times New Roman"/>
          <w:szCs w:val="24"/>
        </w:rPr>
        <w:t>Kimberly W. Bojko (0069402)</w:t>
      </w:r>
    </w:p>
    <w:p w:rsidR="005262E6" w:rsidRPr="006729F4" w:rsidP="005262E6">
      <w:pPr>
        <w:widowControl/>
        <w:ind w:left="4320"/>
        <w:jc w:val="both"/>
        <w:rPr>
          <w:rFonts w:eastAsia="Times New Roman" w:cs="Times New Roman"/>
          <w:szCs w:val="20"/>
        </w:rPr>
      </w:pPr>
      <w:r w:rsidRPr="006729F4">
        <w:rPr>
          <w:rFonts w:eastAsia="Times New Roman" w:cs="Times New Roman"/>
          <w:szCs w:val="24"/>
        </w:rPr>
        <w:t>Carpenter Lipps &amp; Leland LLP</w:t>
      </w:r>
    </w:p>
    <w:p w:rsidR="005262E6" w:rsidRPr="006729F4" w:rsidP="005262E6">
      <w:pPr>
        <w:widowControl/>
        <w:ind w:left="4320"/>
        <w:jc w:val="both"/>
        <w:rPr>
          <w:rFonts w:eastAsia="Times New Roman" w:cs="Times New Roman"/>
          <w:szCs w:val="20"/>
        </w:rPr>
      </w:pPr>
      <w:r w:rsidRPr="006729F4">
        <w:rPr>
          <w:rFonts w:eastAsia="Times New Roman" w:cs="Times New Roman"/>
          <w:szCs w:val="24"/>
        </w:rPr>
        <w:t>280 Plaza, Suite 1300</w:t>
      </w:r>
    </w:p>
    <w:p w:rsidR="005262E6" w:rsidRPr="006729F4" w:rsidP="005262E6">
      <w:pPr>
        <w:widowControl/>
        <w:ind w:left="4320"/>
        <w:jc w:val="both"/>
        <w:rPr>
          <w:rFonts w:eastAsia="Times New Roman" w:cs="Times New Roman"/>
          <w:szCs w:val="20"/>
        </w:rPr>
      </w:pPr>
      <w:r w:rsidRPr="006729F4">
        <w:rPr>
          <w:rFonts w:eastAsia="Times New Roman" w:cs="Times New Roman"/>
          <w:szCs w:val="24"/>
        </w:rPr>
        <w:t>280 North High Street</w:t>
      </w:r>
    </w:p>
    <w:p w:rsidR="005262E6" w:rsidRPr="006729F4" w:rsidP="005262E6">
      <w:pPr>
        <w:widowControl/>
        <w:ind w:firstLine="4320"/>
        <w:jc w:val="both"/>
        <w:rPr>
          <w:rFonts w:eastAsia="Times New Roman" w:cs="Times New Roman"/>
          <w:szCs w:val="20"/>
        </w:rPr>
      </w:pPr>
      <w:r w:rsidRPr="006729F4">
        <w:rPr>
          <w:rFonts w:eastAsia="Times New Roman" w:cs="Times New Roman"/>
          <w:szCs w:val="24"/>
        </w:rPr>
        <w:t>Columbus, Ohio 43215</w:t>
      </w:r>
    </w:p>
    <w:p w:rsidR="005262E6" w:rsidRPr="006729F4" w:rsidP="005262E6">
      <w:pPr>
        <w:widowControl/>
        <w:ind w:firstLine="4320"/>
        <w:jc w:val="both"/>
        <w:rPr>
          <w:rFonts w:eastAsia="Times New Roman" w:cs="Times New Roman"/>
          <w:szCs w:val="20"/>
        </w:rPr>
      </w:pPr>
      <w:r w:rsidRPr="006729F4">
        <w:rPr>
          <w:rFonts w:eastAsia="Times New Roman" w:cs="Times New Roman"/>
          <w:szCs w:val="24"/>
        </w:rPr>
        <w:t>Telephone: (614) 365-4100</w:t>
      </w:r>
    </w:p>
    <w:p w:rsidR="005262E6" w:rsidRPr="006729F4" w:rsidP="005262E6">
      <w:pPr>
        <w:widowControl/>
        <w:ind w:firstLine="4320"/>
        <w:jc w:val="both"/>
        <w:rPr>
          <w:rFonts w:eastAsia="Times New Roman" w:cs="Times New Roman"/>
          <w:szCs w:val="20"/>
        </w:rPr>
      </w:pPr>
      <w:r w:rsidRPr="006729F4">
        <w:rPr>
          <w:rFonts w:eastAsia="Times New Roman" w:cs="Times New Roman"/>
          <w:szCs w:val="24"/>
        </w:rPr>
        <w:t xml:space="preserve">Email: </w:t>
      </w:r>
      <w:r>
        <w:fldChar w:fldCharType="begin"/>
      </w:r>
      <w:r>
        <w:instrText xml:space="preserve"> HYPERLINK "mailto:Bojko@carpenterlipps.com" </w:instrText>
      </w:r>
      <w:r>
        <w:fldChar w:fldCharType="separate"/>
      </w:r>
      <w:r w:rsidRPr="006729F4">
        <w:rPr>
          <w:rFonts w:eastAsia="Times New Roman" w:cs="Times New Roman"/>
          <w:color w:val="0000FF"/>
          <w:szCs w:val="24"/>
          <w:u w:val="single"/>
        </w:rPr>
        <w:t>Bojko@carpenterlipps.com</w:t>
      </w:r>
      <w:r>
        <w:fldChar w:fldCharType="end"/>
      </w:r>
    </w:p>
    <w:p w:rsidR="005262E6" w:rsidRPr="006729F4" w:rsidP="005262E6">
      <w:pPr>
        <w:widowControl/>
        <w:jc w:val="both"/>
        <w:rPr>
          <w:rFonts w:eastAsia="Times New Roman" w:cs="Times New Roman"/>
          <w:szCs w:val="20"/>
        </w:rPr>
      </w:pP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r>
      <w:r w:rsidRPr="006729F4">
        <w:rPr>
          <w:rFonts w:eastAsia="Times New Roman" w:cs="Times New Roman"/>
          <w:szCs w:val="20"/>
        </w:rPr>
        <w:tab/>
        <w:t>(Will accept service via email)</w:t>
      </w:r>
    </w:p>
    <w:p w:rsidR="005262E6" w:rsidRPr="006729F4" w:rsidP="005262E6">
      <w:pPr>
        <w:widowControl/>
        <w:jc w:val="both"/>
        <w:rPr>
          <w:rFonts w:eastAsia="Times New Roman" w:cs="Times New Roman"/>
          <w:szCs w:val="20"/>
        </w:rPr>
      </w:pPr>
    </w:p>
    <w:p w:rsidR="005262E6" w:rsidP="005262E6">
      <w:pPr>
        <w:widowControl/>
        <w:ind w:firstLine="4320"/>
        <w:rPr>
          <w:rFonts w:eastAsia="Times New Roman" w:cs="Times New Roman"/>
          <w:i/>
          <w:iCs/>
          <w:szCs w:val="24"/>
        </w:rPr>
      </w:pPr>
      <w:r w:rsidRPr="006729F4">
        <w:rPr>
          <w:rFonts w:eastAsia="Times New Roman" w:cs="Times New Roman"/>
          <w:i/>
          <w:iCs/>
          <w:szCs w:val="24"/>
        </w:rPr>
        <w:t>Counsel for The Kroger Co.</w:t>
      </w:r>
    </w:p>
    <w:p w:rsidR="00CB1CD0" w:rsidP="005262E6">
      <w:pPr>
        <w:jc w:val="center"/>
        <w:rPr>
          <w:b/>
        </w:rPr>
        <w:sectPr w:rsidSect="00EC1102">
          <w:footerReference w:type="default" r:id="rId14"/>
          <w:pgSz w:w="12240" w:h="15840"/>
          <w:pgMar w:top="1440" w:right="1800" w:bottom="1440" w:left="1800" w:header="0" w:footer="0" w:gutter="0"/>
          <w:pgNumType w:start="2"/>
          <w:cols w:space="720"/>
        </w:sectPr>
      </w:pPr>
    </w:p>
    <w:p w:rsidR="00B01758" w:rsidRPr="003528CC" w:rsidP="005262E6">
      <w:pPr>
        <w:jc w:val="center"/>
        <w:rPr>
          <w:b/>
          <w:bCs/>
        </w:rPr>
      </w:pPr>
      <w:r w:rsidRPr="003528CC">
        <w:rPr>
          <w:b/>
        </w:rPr>
        <w:t>CERTIFICATE</w:t>
      </w:r>
      <w:r w:rsidRPr="003528CC">
        <w:rPr>
          <w:b/>
          <w:spacing w:val="-15"/>
        </w:rPr>
        <w:t xml:space="preserve"> </w:t>
      </w:r>
      <w:r w:rsidRPr="003528CC">
        <w:rPr>
          <w:b/>
          <w:spacing w:val="1"/>
        </w:rPr>
        <w:t>OF</w:t>
      </w:r>
      <w:r w:rsidRPr="003528CC">
        <w:rPr>
          <w:b/>
          <w:spacing w:val="-18"/>
        </w:rPr>
        <w:t xml:space="preserve"> </w:t>
      </w:r>
      <w:r w:rsidRPr="003528CC">
        <w:rPr>
          <w:b/>
        </w:rPr>
        <w:t>SERVICE</w:t>
      </w:r>
    </w:p>
    <w:p w:rsidR="00B01758">
      <w:pPr>
        <w:spacing w:before="5"/>
        <w:rPr>
          <w:rFonts w:eastAsia="Times New Roman" w:cs="Times New Roman"/>
          <w:b/>
          <w:bCs/>
          <w:sz w:val="20"/>
          <w:szCs w:val="20"/>
        </w:rPr>
      </w:pPr>
    </w:p>
    <w:p w:rsidR="00B01758" w:rsidP="007D5296">
      <w:pPr>
        <w:pStyle w:val="BodyText"/>
        <w:spacing w:line="464" w:lineRule="auto"/>
        <w:ind w:left="0" w:firstLine="720"/>
      </w:pPr>
      <w:r>
        <w:t>I</w:t>
      </w:r>
      <w:r>
        <w:rPr>
          <w:spacing w:val="-9"/>
        </w:rPr>
        <w:t xml:space="preserve"> </w:t>
      </w:r>
      <w:r>
        <w:t>hereby</w:t>
      </w:r>
      <w:r>
        <w:rPr>
          <w:spacing w:val="-8"/>
        </w:rPr>
        <w:t xml:space="preserve"> </w:t>
      </w:r>
      <w:r>
        <w:t>certify</w:t>
      </w:r>
      <w:r>
        <w:rPr>
          <w:spacing w:val="-9"/>
        </w:rPr>
        <w:t xml:space="preserve"> </w:t>
      </w:r>
      <w:r>
        <w:t>that</w:t>
      </w:r>
      <w:r>
        <w:rPr>
          <w:spacing w:val="-6"/>
        </w:rPr>
        <w:t xml:space="preserve"> </w:t>
      </w:r>
      <w:r>
        <w:t>a</w:t>
      </w:r>
      <w:r>
        <w:rPr>
          <w:spacing w:val="-6"/>
        </w:rPr>
        <w:t xml:space="preserve"> </w:t>
      </w:r>
      <w:r>
        <w:t>copy</w:t>
      </w:r>
      <w:r>
        <w:rPr>
          <w:spacing w:val="-10"/>
        </w:rPr>
        <w:t xml:space="preserve"> </w:t>
      </w:r>
      <w:r>
        <w:t>of</w:t>
      </w:r>
      <w:r>
        <w:rPr>
          <w:spacing w:val="-6"/>
        </w:rPr>
        <w:t xml:space="preserve"> </w:t>
      </w:r>
      <w:r>
        <w:t>the</w:t>
      </w:r>
      <w:r>
        <w:rPr>
          <w:spacing w:val="-4"/>
        </w:rPr>
        <w:t xml:space="preserve"> </w:t>
      </w:r>
      <w:r>
        <w:rPr>
          <w:spacing w:val="-1"/>
        </w:rPr>
        <w:t>foregoing</w:t>
      </w:r>
      <w:r>
        <w:rPr>
          <w:spacing w:val="-6"/>
        </w:rPr>
        <w:t xml:space="preserve"> </w:t>
      </w:r>
      <w:r>
        <w:rPr>
          <w:spacing w:val="-1"/>
        </w:rPr>
        <w:t>Application</w:t>
      </w:r>
      <w:r>
        <w:rPr>
          <w:spacing w:val="-5"/>
        </w:rPr>
        <w:t xml:space="preserve"> </w:t>
      </w:r>
      <w:r>
        <w:rPr>
          <w:spacing w:val="-1"/>
        </w:rPr>
        <w:t>for</w:t>
      </w:r>
      <w:r>
        <w:rPr>
          <w:spacing w:val="-6"/>
        </w:rPr>
        <w:t xml:space="preserve"> </w:t>
      </w:r>
      <w:r>
        <w:t>Rehearing</w:t>
      </w:r>
      <w:r>
        <w:rPr>
          <w:spacing w:val="-8"/>
        </w:rPr>
        <w:t xml:space="preserve"> </w:t>
      </w:r>
      <w:r>
        <w:rPr>
          <w:spacing w:val="2"/>
        </w:rPr>
        <w:t>by</w:t>
      </w:r>
      <w:r>
        <w:rPr>
          <w:spacing w:val="-10"/>
        </w:rPr>
        <w:t xml:space="preserve"> </w:t>
      </w:r>
      <w:r>
        <w:rPr>
          <w:spacing w:val="1"/>
        </w:rPr>
        <w:t>the</w:t>
      </w:r>
      <w:r>
        <w:rPr>
          <w:spacing w:val="58"/>
          <w:w w:val="99"/>
        </w:rPr>
        <w:t xml:space="preserve"> </w:t>
      </w:r>
      <w:r>
        <w:rPr>
          <w:spacing w:val="-1"/>
        </w:rPr>
        <w:t>Office</w:t>
      </w:r>
      <w:r>
        <w:rPr>
          <w:spacing w:val="-8"/>
        </w:rPr>
        <w:t xml:space="preserve"> </w:t>
      </w:r>
      <w:r>
        <w:rPr>
          <w:spacing w:val="1"/>
        </w:rPr>
        <w:t>of</w:t>
      </w:r>
      <w:r>
        <w:rPr>
          <w:spacing w:val="-7"/>
        </w:rPr>
        <w:t xml:space="preserve"> </w:t>
      </w:r>
      <w:r>
        <w:t>the</w:t>
      </w:r>
      <w:r>
        <w:rPr>
          <w:spacing w:val="-7"/>
        </w:rPr>
        <w:t xml:space="preserve"> </w:t>
      </w:r>
      <w:r>
        <w:rPr>
          <w:spacing w:val="-1"/>
        </w:rPr>
        <w:t>Ohio</w:t>
      </w:r>
      <w:r>
        <w:rPr>
          <w:spacing w:val="-6"/>
        </w:rPr>
        <w:t xml:space="preserve"> </w:t>
      </w:r>
      <w:r>
        <w:t>Consumers'</w:t>
      </w:r>
      <w:r>
        <w:rPr>
          <w:spacing w:val="-7"/>
        </w:rPr>
        <w:t xml:space="preserve"> </w:t>
      </w:r>
      <w:r>
        <w:t>Counsel and Kroger Co.</w:t>
      </w:r>
      <w:r>
        <w:rPr>
          <w:spacing w:val="-6"/>
        </w:rPr>
        <w:t xml:space="preserve"> </w:t>
      </w:r>
      <w:r>
        <w:rPr>
          <w:spacing w:val="-1"/>
        </w:rPr>
        <w:t>was</w:t>
      </w:r>
      <w:r>
        <w:rPr>
          <w:spacing w:val="-6"/>
        </w:rPr>
        <w:t xml:space="preserve"> </w:t>
      </w:r>
      <w:r>
        <w:rPr>
          <w:spacing w:val="-1"/>
        </w:rPr>
        <w:t>served</w:t>
      </w:r>
      <w:r>
        <w:rPr>
          <w:spacing w:val="-6"/>
        </w:rPr>
        <w:t xml:space="preserve"> </w:t>
      </w:r>
      <w:r>
        <w:t>via</w:t>
      </w:r>
      <w:r>
        <w:rPr>
          <w:spacing w:val="-5"/>
        </w:rPr>
        <w:t xml:space="preserve"> </w:t>
      </w:r>
      <w:r>
        <w:rPr>
          <w:spacing w:val="-1"/>
        </w:rPr>
        <w:t>electronic</w:t>
      </w:r>
      <w:r>
        <w:rPr>
          <w:spacing w:val="47"/>
          <w:w w:val="99"/>
        </w:rPr>
        <w:t xml:space="preserve"> </w:t>
      </w:r>
      <w:r w:rsidRPr="00BC67ED">
        <w:t>transmission to</w:t>
      </w:r>
      <w:r>
        <w:rPr>
          <w:spacing w:val="-5"/>
        </w:rPr>
        <w:t xml:space="preserve"> </w:t>
      </w:r>
      <w:r>
        <w:t>the</w:t>
      </w:r>
      <w:r>
        <w:rPr>
          <w:spacing w:val="-6"/>
        </w:rPr>
        <w:t xml:space="preserve"> </w:t>
      </w:r>
      <w:r>
        <w:rPr>
          <w:spacing w:val="-1"/>
        </w:rPr>
        <w:t>persons</w:t>
      </w:r>
      <w:r>
        <w:rPr>
          <w:spacing w:val="-5"/>
        </w:rPr>
        <w:t xml:space="preserve"> </w:t>
      </w:r>
      <w:r>
        <w:rPr>
          <w:spacing w:val="-1"/>
        </w:rPr>
        <w:t>listed</w:t>
      </w:r>
      <w:r>
        <w:rPr>
          <w:spacing w:val="-5"/>
        </w:rPr>
        <w:t xml:space="preserve"> </w:t>
      </w:r>
      <w:r>
        <w:rPr>
          <w:spacing w:val="-1"/>
        </w:rPr>
        <w:t>below,</w:t>
      </w:r>
      <w:r>
        <w:rPr>
          <w:spacing w:val="-5"/>
        </w:rPr>
        <w:t xml:space="preserve"> </w:t>
      </w:r>
      <w:r>
        <w:t>on</w:t>
      </w:r>
      <w:r>
        <w:rPr>
          <w:spacing w:val="-5"/>
        </w:rPr>
        <w:t xml:space="preserve"> </w:t>
      </w:r>
      <w:r>
        <w:t>this 20</w:t>
      </w:r>
      <w:r w:rsidRPr="006C20BC">
        <w:rPr>
          <w:vertAlign w:val="superscript"/>
        </w:rPr>
        <w:t>th</w:t>
      </w:r>
      <w:r>
        <w:t xml:space="preserve"> day</w:t>
      </w:r>
      <w:r>
        <w:rPr>
          <w:spacing w:val="-12"/>
        </w:rPr>
        <w:t xml:space="preserve"> </w:t>
      </w:r>
      <w:r>
        <w:t>of</w:t>
      </w:r>
      <w:r>
        <w:rPr>
          <w:spacing w:val="-6"/>
        </w:rPr>
        <w:t xml:space="preserve"> January,</w:t>
      </w:r>
      <w:r>
        <w:rPr>
          <w:spacing w:val="-9"/>
        </w:rPr>
        <w:t xml:space="preserve"> </w:t>
      </w:r>
      <w:r>
        <w:t>2017.</w:t>
      </w:r>
    </w:p>
    <w:p w:rsidR="00B01758" w:rsidRPr="009A4EEA">
      <w:pPr>
        <w:tabs>
          <w:tab w:val="left" w:pos="7988"/>
        </w:tabs>
        <w:spacing w:line="267" w:lineRule="exact"/>
        <w:ind w:left="5159"/>
        <w:rPr>
          <w:rFonts w:eastAsia="Times New Roman" w:cs="Times New Roman"/>
          <w:i/>
          <w:szCs w:val="24"/>
          <w:u w:val="single"/>
        </w:rPr>
      </w:pPr>
      <w:r>
        <w:rPr>
          <w:rFonts w:eastAsia="Times New Roman" w:cs="Times New Roman"/>
          <w:i/>
          <w:szCs w:val="24"/>
          <w:u w:val="single"/>
        </w:rPr>
        <w:t>/s/ Christopher Healey    </w:t>
      </w:r>
    </w:p>
    <w:p w:rsidR="006C20BC">
      <w:pPr>
        <w:pStyle w:val="BodyText"/>
        <w:ind w:left="5159"/>
        <w:rPr>
          <w:spacing w:val="-15"/>
        </w:rPr>
      </w:pPr>
      <w:r>
        <w:rPr>
          <w:spacing w:val="-15"/>
        </w:rPr>
        <w:t>Christopher Healey</w:t>
      </w:r>
    </w:p>
    <w:p w:rsidR="00B01758">
      <w:pPr>
        <w:pStyle w:val="BodyText"/>
        <w:ind w:left="5159"/>
      </w:pPr>
      <w:r>
        <w:rPr>
          <w:spacing w:val="-15"/>
        </w:rPr>
        <w:t xml:space="preserve">Assistant </w:t>
      </w:r>
      <w:r>
        <w:rPr>
          <w:spacing w:val="-1"/>
        </w:rPr>
        <w:t>Consumers'</w:t>
      </w:r>
      <w:r>
        <w:rPr>
          <w:spacing w:val="-15"/>
        </w:rPr>
        <w:t xml:space="preserve"> </w:t>
      </w:r>
      <w:r>
        <w:t>Counsel</w:t>
      </w:r>
    </w:p>
    <w:p w:rsidR="009A4EEA" w:rsidP="00EC1102">
      <w:pPr>
        <w:pStyle w:val="NoSpacing"/>
        <w:rPr>
          <w:u w:color="000000"/>
        </w:rPr>
      </w:pPr>
    </w:p>
    <w:p w:rsidR="00EC1102" w:rsidP="00334EE6">
      <w:pPr>
        <w:jc w:val="center"/>
        <w:rPr>
          <w:rFonts w:eastAsia="Times New Roman" w:cs="Times New Roman"/>
          <w:b/>
          <w:szCs w:val="24"/>
          <w:u w:val="single"/>
        </w:rPr>
      </w:pPr>
    </w:p>
    <w:p w:rsidR="00334EE6" w:rsidP="00334EE6">
      <w:pPr>
        <w:jc w:val="center"/>
        <w:rPr>
          <w:rFonts w:eastAsia="Times New Roman" w:cs="Times New Roman"/>
          <w:b/>
          <w:szCs w:val="24"/>
          <w:u w:val="single"/>
        </w:rPr>
      </w:pPr>
      <w:r w:rsidRPr="003320C0">
        <w:rPr>
          <w:rFonts w:eastAsia="Times New Roman" w:cs="Times New Roman"/>
          <w:b/>
          <w:szCs w:val="24"/>
          <w:u w:val="single"/>
        </w:rPr>
        <w:t>SERVICE LIST</w:t>
      </w:r>
    </w:p>
    <w:p w:rsidR="008D1D01" w:rsidP="00334EE6">
      <w:pPr>
        <w:jc w:val="center"/>
        <w:rPr>
          <w:rFonts w:eastAsia="Times New Roman" w:cs="Times New Roman"/>
          <w:b/>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535"/>
        <w:gridCol w:w="4105"/>
      </w:tblGrid>
      <w:tr w:rsidTr="00395CB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fldChar w:fldCharType="begin"/>
            </w:r>
            <w:r>
              <w:rPr>
                <w:rFonts w:ascii="Times New Roman" w:eastAsia="Times New Roman" w:hAnsi="Times New Roman" w:cstheme="minorBidi"/>
                <w:sz w:val="24"/>
                <w:szCs w:val="24"/>
                <w:lang w:val="en-US" w:eastAsia="en-US" w:bidi="ar-SA"/>
              </w:rPr>
              <w:instrText xml:space="preserve"> HYPERLINK "mailto:William.wright@ohioattorneygeneral.gov" </w:instrText>
            </w:r>
            <w:r>
              <w:fldChar w:fldCharType="separate"/>
            </w:r>
            <w:r w:rsidRPr="00864689" w:rsidR="008D6ED3">
              <w:rPr>
                <w:rStyle w:val="Hyperlink"/>
                <w:rFonts w:ascii="Times New Roman" w:eastAsia="Times New Roman" w:hAnsi="Times New Roman" w:cstheme="minorBidi"/>
                <w:bCs/>
                <w:color w:val="0000FF"/>
                <w:sz w:val="24"/>
                <w:szCs w:val="24"/>
                <w:u w:val="single"/>
                <w:lang w:val="en-US" w:eastAsia="en-US" w:bidi="ar-SA"/>
              </w:rPr>
              <w:t>William.wright@ohioattorneygeneral.gov</w:t>
            </w:r>
            <w:r>
              <w:fldChar w:fldCharType="end"/>
            </w:r>
            <w:r w:rsidRPr="00864689" w:rsidR="008D6ED3">
              <w:rPr>
                <w:rFonts w:ascii="Times New Roman" w:eastAsia="Times New Roman" w:hAnsi="Times New Roman" w:cstheme="minorBidi"/>
                <w:bCs/>
                <w:sz w:val="24"/>
                <w:szCs w:val="24"/>
                <w:lang w:val="en-US" w:eastAsia="en-US" w:bidi="ar-SA"/>
              </w:rPr>
              <w:t xml:space="preserve"> </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fldChar w:fldCharType="begin"/>
            </w:r>
            <w:r>
              <w:rPr>
                <w:rFonts w:ascii="Times New Roman" w:eastAsia="Times New Roman" w:hAnsi="Times New Roman" w:cstheme="minorBidi"/>
                <w:sz w:val="24"/>
                <w:szCs w:val="24"/>
                <w:lang w:val="en-US" w:eastAsia="en-US" w:bidi="ar-SA"/>
              </w:rPr>
              <w:instrText xml:space="preserve"> HYPERLINK "mailto:Thomas.mcnamee@ohioattorneygeneral.gov" </w:instrText>
            </w:r>
            <w:r>
              <w:fldChar w:fldCharType="separate"/>
            </w:r>
            <w:r w:rsidRPr="00864689" w:rsidR="008D6ED3">
              <w:rPr>
                <w:rStyle w:val="Hyperlink"/>
                <w:rFonts w:ascii="Times New Roman" w:eastAsia="Times New Roman" w:hAnsi="Times New Roman" w:cstheme="minorBidi"/>
                <w:bCs/>
                <w:color w:val="0000FF"/>
                <w:sz w:val="24"/>
                <w:szCs w:val="24"/>
                <w:u w:val="single"/>
                <w:lang w:val="en-US" w:eastAsia="en-US" w:bidi="ar-SA"/>
              </w:rPr>
              <w:t>Thomas.mcnamee@ohioattorneygeneral.gov</w:t>
            </w:r>
            <w:r>
              <w:fldChar w:fldCharType="end"/>
            </w:r>
            <w:r w:rsidRPr="00864689" w:rsidR="008D6ED3">
              <w:rPr>
                <w:rFonts w:ascii="Times New Roman" w:eastAsia="Times New Roman" w:hAnsi="Times New Roman" w:cstheme="minorBidi"/>
                <w:bCs/>
                <w:sz w:val="24"/>
                <w:szCs w:val="24"/>
                <w:lang w:val="en-US" w:eastAsia="en-US" w:bidi="ar-SA"/>
              </w:rPr>
              <w:t xml:space="preserve"> </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fldChar w:fldCharType="begin"/>
            </w:r>
            <w:r>
              <w:rPr>
                <w:rFonts w:ascii="Times New Roman" w:eastAsia="Times New Roman" w:hAnsi="Times New Roman" w:cstheme="minorBidi"/>
                <w:sz w:val="24"/>
                <w:szCs w:val="24"/>
                <w:lang w:val="en-US" w:eastAsia="en-US" w:bidi="ar-SA"/>
              </w:rPr>
              <w:instrText xml:space="preserve"> HYPERLINK "mailto:cmooney@ohiopartners.org" </w:instrText>
            </w:r>
            <w:r>
              <w:fldChar w:fldCharType="separate"/>
            </w:r>
            <w:r w:rsidRPr="00864689" w:rsidR="008D6ED3">
              <w:rPr>
                <w:rStyle w:val="Hyperlink"/>
                <w:rFonts w:ascii="Times New Roman" w:eastAsia="Times New Roman" w:hAnsi="Times New Roman" w:cstheme="minorBidi"/>
                <w:bCs/>
                <w:color w:val="0000FF"/>
                <w:sz w:val="24"/>
                <w:szCs w:val="24"/>
                <w:u w:val="single"/>
                <w:lang w:val="en-US" w:eastAsia="en-US" w:bidi="ar-SA"/>
              </w:rPr>
              <w:t>cmooney@ohiopartners.org</w:t>
            </w:r>
            <w:r>
              <w:fldChar w:fldCharType="end"/>
            </w:r>
            <w:r w:rsidRPr="00864689" w:rsidR="008D6ED3">
              <w:rPr>
                <w:rFonts w:ascii="Times New Roman" w:eastAsia="Times New Roman" w:hAnsi="Times New Roman" w:cstheme="minorBidi"/>
                <w:bCs/>
                <w:sz w:val="24"/>
                <w:szCs w:val="24"/>
                <w:lang w:val="en-US" w:eastAsia="en-US" w:bidi="ar-SA"/>
              </w:rPr>
              <w:t xml:space="preserve"> </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rsidRPr="00864689">
              <w:rPr>
                <w:rFonts w:ascii="Times New Roman" w:eastAsia="Times New Roman" w:hAnsi="Times New Roman" w:cstheme="minorBidi"/>
                <w:bCs/>
                <w:sz w:val="24"/>
                <w:szCs w:val="24"/>
                <w:lang w:val="en-US" w:eastAsia="en-US" w:bidi="ar-SA"/>
              </w:rPr>
              <w:t>Attorney Examiner:</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fldChar w:fldCharType="begin"/>
            </w:r>
            <w:r>
              <w:rPr>
                <w:rFonts w:ascii="Times New Roman" w:eastAsia="Times New Roman" w:hAnsi="Times New Roman" w:cstheme="minorBidi"/>
                <w:sz w:val="24"/>
                <w:szCs w:val="24"/>
                <w:lang w:val="en-US" w:eastAsia="en-US" w:bidi="ar-SA"/>
              </w:rPr>
              <w:instrText xml:space="preserve"> HYPERLINK "mailto:Megan.addison@puc.state.oh.us" </w:instrText>
            </w:r>
            <w:r>
              <w:fldChar w:fldCharType="separate"/>
            </w:r>
            <w:r w:rsidRPr="00864689" w:rsidR="008D6ED3">
              <w:rPr>
                <w:rStyle w:val="Hyperlink"/>
                <w:rFonts w:ascii="Times New Roman" w:eastAsia="Times New Roman" w:hAnsi="Times New Roman" w:cstheme="minorBidi"/>
                <w:bCs/>
                <w:color w:val="0000FF"/>
                <w:sz w:val="24"/>
                <w:szCs w:val="24"/>
                <w:u w:val="single"/>
                <w:lang w:val="en-US" w:eastAsia="en-US" w:bidi="ar-SA"/>
              </w:rPr>
              <w:t>Megan.addison@puc.state.oh.us</w:t>
            </w:r>
            <w:r>
              <w:fldChar w:fldCharType="end"/>
            </w:r>
            <w:r w:rsidRPr="00864689" w:rsidR="008D6ED3">
              <w:rPr>
                <w:rFonts w:ascii="Times New Roman" w:eastAsia="Times New Roman" w:hAnsi="Times New Roman" w:cstheme="minorBidi"/>
                <w:bCs/>
                <w:sz w:val="24"/>
                <w:szCs w:val="24"/>
                <w:lang w:val="en-US" w:eastAsia="en-US" w:bidi="ar-SA"/>
              </w:rPr>
              <w:t xml:space="preserve"> </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p>
        </w:tc>
        <w:tc>
          <w:tcPr>
            <w:tcW w:w="4428" w:type="dxa"/>
          </w:tcPr>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fldChar w:fldCharType="begin"/>
            </w:r>
            <w:r>
              <w:rPr>
                <w:rFonts w:ascii="Times New Roman" w:eastAsia="Times New Roman" w:hAnsi="Times New Roman" w:cstheme="minorBidi"/>
                <w:sz w:val="24"/>
                <w:szCs w:val="24"/>
                <w:lang w:val="en-US" w:eastAsia="en-US" w:bidi="ar-SA"/>
              </w:rPr>
              <w:instrText xml:space="preserve"> HYPERLINK "mailto:Amy.spiller@duke-energy.com" </w:instrText>
            </w:r>
            <w:r>
              <w:fldChar w:fldCharType="separate"/>
            </w:r>
            <w:r w:rsidRPr="00864689" w:rsidR="008D6ED3">
              <w:rPr>
                <w:rStyle w:val="Hyperlink"/>
                <w:rFonts w:ascii="Times New Roman" w:eastAsia="Times New Roman" w:hAnsi="Times New Roman" w:cstheme="minorBidi"/>
                <w:bCs/>
                <w:color w:val="0000FF"/>
                <w:sz w:val="24"/>
                <w:szCs w:val="24"/>
                <w:u w:val="single"/>
                <w:lang w:val="en-US" w:eastAsia="en-US" w:bidi="ar-SA"/>
              </w:rPr>
              <w:t>Amy.spiller@duke-energy.com</w:t>
            </w:r>
            <w:r>
              <w:fldChar w:fldCharType="end"/>
            </w:r>
            <w:r w:rsidRPr="00864689" w:rsidR="008D6ED3">
              <w:rPr>
                <w:rFonts w:ascii="Times New Roman" w:eastAsia="Times New Roman" w:hAnsi="Times New Roman" w:cstheme="minorBidi"/>
                <w:bCs/>
                <w:sz w:val="24"/>
                <w:szCs w:val="24"/>
                <w:lang w:val="en-US" w:eastAsia="en-US" w:bidi="ar-SA"/>
              </w:rPr>
              <w:t xml:space="preserve"> </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r>
              <w:fldChar w:fldCharType="begin"/>
            </w:r>
            <w:r>
              <w:rPr>
                <w:rFonts w:ascii="Times New Roman" w:eastAsia="Times New Roman" w:hAnsi="Times New Roman" w:cstheme="minorBidi"/>
                <w:sz w:val="24"/>
                <w:szCs w:val="24"/>
                <w:lang w:val="en-US" w:eastAsia="en-US" w:bidi="ar-SA"/>
              </w:rPr>
              <w:instrText xml:space="preserve"> HYPERLINK "mailto:Elizabeth.watts@duke-energy.com" </w:instrText>
            </w:r>
            <w:r>
              <w:fldChar w:fldCharType="separate"/>
            </w:r>
            <w:r w:rsidRPr="00864689" w:rsidR="008D6ED3">
              <w:rPr>
                <w:rStyle w:val="Hyperlink"/>
                <w:rFonts w:ascii="Times New Roman" w:eastAsia="Times New Roman" w:hAnsi="Times New Roman" w:cstheme="minorBidi"/>
                <w:bCs/>
                <w:color w:val="0000FF"/>
                <w:sz w:val="24"/>
                <w:szCs w:val="24"/>
                <w:u w:val="single"/>
                <w:lang w:val="en-US" w:eastAsia="en-US" w:bidi="ar-SA"/>
              </w:rPr>
              <w:t>Elizabeth.watts@duke-energy.com</w:t>
            </w:r>
            <w:r>
              <w:fldChar w:fldCharType="end"/>
            </w:r>
            <w:r w:rsidRPr="00864689" w:rsidR="008D6ED3">
              <w:rPr>
                <w:rFonts w:ascii="Times New Roman" w:eastAsia="Times New Roman" w:hAnsi="Times New Roman" w:cstheme="minorBidi"/>
                <w:bCs/>
                <w:sz w:val="24"/>
                <w:szCs w:val="24"/>
                <w:lang w:val="en-US" w:eastAsia="en-US" w:bidi="ar-SA"/>
              </w:rPr>
              <w:t xml:space="preserve"> </w:t>
            </w:r>
          </w:p>
          <w:p w:rsidR="00220502" w:rsidRPr="00864689" w:rsidP="00395CB4">
            <w:pPr>
              <w:pStyle w:val="BodyText"/>
              <w:ind w:left="119"/>
              <w:rPr>
                <w:rStyle w:val="DefaultParagraphFont"/>
                <w:rFonts w:ascii="Times New Roman" w:eastAsia="Times New Roman" w:hAnsi="Times New Roman" w:cstheme="minorBidi"/>
                <w:bCs/>
                <w:sz w:val="24"/>
                <w:szCs w:val="24"/>
                <w:lang w:val="en-US" w:eastAsia="en-US" w:bidi="ar-SA"/>
              </w:rPr>
            </w:pPr>
          </w:p>
        </w:tc>
      </w:tr>
    </w:tbl>
    <w:p w:rsidR="008D1D01" w:rsidP="00220502">
      <w:pPr>
        <w:rPr>
          <w:b/>
          <w:u w:val="single"/>
        </w:rPr>
      </w:pPr>
    </w:p>
    <w:sectPr w:rsidSect="00CB1CD0">
      <w:footerReference w:type="default" r:id="rId15"/>
      <w:pgSz w:w="12240" w:h="15840"/>
      <w:pgMar w:top="1440" w:right="1800" w:bottom="1440" w:left="1800" w:header="0" w:footer="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6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CD0" w:rsidRPr="006D4360">
    <w:pPr>
      <w:pStyle w:val="Footer"/>
      <w:jc w:val="center"/>
    </w:pPr>
  </w:p>
  <w:p w:rsidR="00BC67ED" w:rsidRPr="006D4360" w:rsidP="00A81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6C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3636247"/>
      <w:docPartObj>
        <w:docPartGallery w:val="Page Numbers (Bottom of Page)"/>
        <w:docPartUnique/>
      </w:docPartObj>
    </w:sdtPr>
    <w:sdtEndPr>
      <w:rPr>
        <w:noProof/>
        <w:szCs w:val="24"/>
      </w:rPr>
    </w:sdtEndPr>
    <w:sdtContent>
      <w:p w:rsidR="00CB1CD0" w:rsidRPr="006D4360">
        <w:pPr>
          <w:pStyle w:val="Footer"/>
          <w:jc w:val="center"/>
          <w:rPr>
            <w:szCs w:val="24"/>
          </w:rPr>
        </w:pPr>
        <w:r w:rsidRPr="006D4360">
          <w:rPr>
            <w:szCs w:val="24"/>
          </w:rPr>
          <w:fldChar w:fldCharType="begin"/>
        </w:r>
        <w:r w:rsidRPr="006D4360">
          <w:rPr>
            <w:szCs w:val="24"/>
          </w:rPr>
          <w:instrText xml:space="preserve"> PAGE   \* MERGEFORMAT </w:instrText>
        </w:r>
        <w:r w:rsidRPr="006D4360">
          <w:rPr>
            <w:szCs w:val="24"/>
          </w:rPr>
          <w:fldChar w:fldCharType="separate"/>
        </w:r>
        <w:r w:rsidR="00510CD0">
          <w:rPr>
            <w:noProof/>
            <w:szCs w:val="24"/>
          </w:rPr>
          <w:t>3</w:t>
        </w:r>
        <w:r w:rsidRPr="006D4360">
          <w:rPr>
            <w:noProof/>
            <w:szCs w:val="24"/>
          </w:rPr>
          <w:fldChar w:fldCharType="end"/>
        </w:r>
      </w:p>
    </w:sdtContent>
  </w:sdt>
  <w:p w:rsidR="00CB1CD0" w:rsidRPr="006D4360" w:rsidP="00A81A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213447"/>
      <w:docPartObj>
        <w:docPartGallery w:val="Page Numbers (Bottom of Page)"/>
        <w:docPartUnique/>
      </w:docPartObj>
    </w:sdtPr>
    <w:sdtEndPr>
      <w:rPr>
        <w:noProof/>
      </w:rPr>
    </w:sdtEndPr>
    <w:sdtContent>
      <w:p w:rsidR="00220502" w:rsidRPr="006D4360">
        <w:pPr>
          <w:pStyle w:val="Footer"/>
          <w:jc w:val="center"/>
        </w:pPr>
        <w:r w:rsidRPr="006D4360">
          <w:fldChar w:fldCharType="begin"/>
        </w:r>
        <w:r w:rsidRPr="006D4360">
          <w:instrText xml:space="preserve"> PAGE   \* MERGEFORMAT </w:instrText>
        </w:r>
        <w:r w:rsidRPr="006D4360">
          <w:fldChar w:fldCharType="separate"/>
        </w:r>
        <w:r w:rsidR="00510CD0">
          <w:rPr>
            <w:noProof/>
          </w:rPr>
          <w:t>i</w:t>
        </w:r>
        <w:r w:rsidRPr="006D4360">
          <w:rPr>
            <w:noProof/>
          </w:rPr>
          <w:fldChar w:fldCharType="end"/>
        </w:r>
      </w:p>
    </w:sdtContent>
  </w:sdt>
  <w:p w:rsidR="00220502" w:rsidRPr="006D4360" w:rsidP="00CB1C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099047"/>
      <w:docPartObj>
        <w:docPartGallery w:val="Page Numbers (Bottom of Page)"/>
        <w:docPartUnique/>
      </w:docPartObj>
    </w:sdtPr>
    <w:sdtEndPr>
      <w:rPr>
        <w:noProof/>
      </w:rPr>
    </w:sdtEndPr>
    <w:sdtContent>
      <w:p w:rsidR="008D6ED3">
        <w:pPr>
          <w:pStyle w:val="Footer"/>
          <w:jc w:val="center"/>
        </w:pPr>
        <w:r>
          <w:fldChar w:fldCharType="begin"/>
        </w:r>
        <w:r>
          <w:instrText xml:space="preserve"> PAGE   \* MERGEFORMAT </w:instrText>
        </w:r>
        <w:r>
          <w:fldChar w:fldCharType="separate"/>
        </w:r>
        <w:r w:rsidR="00510CD0">
          <w:rPr>
            <w:noProof/>
          </w:rPr>
          <w:t>1</w:t>
        </w:r>
        <w:r>
          <w:rPr>
            <w:noProof/>
          </w:rPr>
          <w:fldChar w:fldCharType="end"/>
        </w:r>
      </w:p>
    </w:sdtContent>
  </w:sdt>
  <w:p w:rsidR="00EC1102" w:rsidRPr="006D4360" w:rsidP="00EC1102">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749099"/>
      <w:docPartObj>
        <w:docPartGallery w:val="Page Numbers (Bottom of Page)"/>
        <w:docPartUnique/>
      </w:docPartObj>
    </w:sdtPr>
    <w:sdtEndPr>
      <w:rPr>
        <w:noProof/>
      </w:rPr>
    </w:sdtEndPr>
    <w:sdtContent>
      <w:p w:rsidR="00EC1102" w:rsidRPr="006D4360">
        <w:pPr>
          <w:pStyle w:val="Footer"/>
          <w:jc w:val="center"/>
        </w:pPr>
        <w:r w:rsidRPr="006D4360">
          <w:fldChar w:fldCharType="begin"/>
        </w:r>
        <w:r w:rsidRPr="006D4360">
          <w:instrText xml:space="preserve"> PAGE   \* MERGEFORMAT </w:instrText>
        </w:r>
        <w:r w:rsidRPr="006D4360">
          <w:fldChar w:fldCharType="separate"/>
        </w:r>
        <w:r w:rsidR="00510CD0">
          <w:rPr>
            <w:noProof/>
          </w:rPr>
          <w:t>10</w:t>
        </w:r>
        <w:r w:rsidRPr="006D4360">
          <w:rPr>
            <w:noProof/>
          </w:rPr>
          <w:fldChar w:fldCharType="end"/>
        </w:r>
      </w:p>
    </w:sdtContent>
  </w:sdt>
  <w:p w:rsidR="00EC1102" w:rsidRPr="006D4360" w:rsidP="00EC1102">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CD0" w:rsidRPr="006D4360">
    <w:pPr>
      <w:pStyle w:val="Footer"/>
      <w:jc w:val="center"/>
    </w:pPr>
  </w:p>
  <w:p w:rsidR="00CB1CD0" w:rsidRPr="006D4360" w:rsidP="00CB1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68B2">
      <w:pPr>
        <w:rPr>
          <w:noProof/>
        </w:rPr>
      </w:pPr>
      <w:r>
        <w:rPr>
          <w:noProof/>
        </w:rPr>
        <w:separator/>
      </w:r>
    </w:p>
  </w:footnote>
  <w:footnote w:type="continuationSeparator" w:id="1">
    <w:p w:rsidR="005B68B2">
      <w:r>
        <w:continuationSeparator/>
      </w:r>
    </w:p>
  </w:footnote>
  <w:footnote w:id="2">
    <w:p w:rsidR="000A3453" w:rsidP="00C53549">
      <w:pPr>
        <w:pStyle w:val="FootnoteText"/>
        <w:spacing w:after="120"/>
      </w:pPr>
      <w:r>
        <w:rPr>
          <w:rStyle w:val="FootnoteReference"/>
        </w:rPr>
        <w:footnoteRef/>
      </w:r>
      <w:r>
        <w:t xml:space="preserve"> Finding &amp; Order (Dec. 21, 2016) (the "Order").</w:t>
      </w:r>
    </w:p>
  </w:footnote>
  <w:footnote w:id="3">
    <w:p w:rsidR="000A3453" w:rsidRPr="0030404C" w:rsidP="00C53549">
      <w:pPr>
        <w:pStyle w:val="FootnoteText"/>
        <w:spacing w:after="120"/>
      </w:pPr>
      <w:r>
        <w:rPr>
          <w:rStyle w:val="FootnoteReference"/>
        </w:rPr>
        <w:footnoteRef/>
      </w:r>
      <w:r>
        <w:t xml:space="preserve"> </w:t>
      </w:r>
      <w:r>
        <w:rPr>
          <w:i/>
        </w:rPr>
        <w:t>In re Application of Duke Energy Ohio, Inc. for an Increase in its Nat. Gas Distrib. Rates</w:t>
      </w:r>
      <w:r>
        <w:t>, Case No. 12-1685-GA-AIR, Opinion &amp; Order at 72 (Nov. 13, 2013).</w:t>
      </w:r>
    </w:p>
  </w:footnote>
  <w:footnote w:id="4">
    <w:p w:rsidR="000A3453" w:rsidP="00C53549">
      <w:pPr>
        <w:pStyle w:val="FootnoteText"/>
        <w:spacing w:after="120"/>
      </w:pPr>
      <w:r>
        <w:rPr>
          <w:rStyle w:val="FootnoteReference"/>
        </w:rPr>
        <w:footnoteRef/>
      </w:r>
      <w:r>
        <w:t xml:space="preserve"> Order ¶ 37.</w:t>
      </w:r>
    </w:p>
  </w:footnote>
  <w:footnote w:id="5">
    <w:p w:rsidR="00366C8D" w:rsidP="00C53549">
      <w:pPr>
        <w:pStyle w:val="FootnoteText"/>
        <w:spacing w:after="120"/>
      </w:pPr>
      <w:r>
        <w:rPr>
          <w:rStyle w:val="FootnoteReference"/>
        </w:rPr>
        <w:footnoteRef/>
      </w:r>
      <w:r>
        <w:t xml:space="preserve"> </w:t>
      </w:r>
      <w:r>
        <w:rPr>
          <w:i/>
        </w:rPr>
        <w:t>In the Matter of the Application of Duke Energy Ohio, Inc., for an Increase in its Natural Gas Distribution Rates</w:t>
      </w:r>
      <w:r>
        <w:t>, Case No. 12-1685, Opinion and Order at 72 (Nov. 13, 2013).</w:t>
      </w:r>
    </w:p>
  </w:footnote>
  <w:footnote w:id="6">
    <w:p w:rsidR="00366C8D" w:rsidRPr="00AF372C" w:rsidP="00C53549">
      <w:pPr>
        <w:pStyle w:val="FootnoteText"/>
        <w:spacing w:after="120"/>
      </w:pPr>
      <w:r>
        <w:rPr>
          <w:rStyle w:val="FootnoteReference"/>
        </w:rPr>
        <w:footnoteRef/>
      </w:r>
      <w:r>
        <w:t xml:space="preserve"> </w:t>
      </w:r>
      <w:r w:rsidRPr="00AB24A8">
        <w:rPr>
          <w:i/>
        </w:rPr>
        <w:t>See</w:t>
      </w:r>
      <w:r>
        <w:t xml:space="preserve"> </w:t>
      </w:r>
      <w:r>
        <w:rPr>
          <w:i/>
        </w:rPr>
        <w:t>In The Matter of the Application of Duke Energy Ohio, Inc., for an Increase in Gas Rates,</w:t>
      </w:r>
      <w:r>
        <w:t xml:space="preserve"> Case No. 12-1685-GA-AIR,</w:t>
      </w:r>
      <w:r w:rsidRPr="00C53549">
        <w:t xml:space="preserve"> </w:t>
      </w:r>
      <w:r>
        <w:t>Direct Testimony of Jessica Bednarcik at 5 (July 20, 2012) ("According to the Company's annual reports, manufactured gas operations ended at East End in 1963 and at West End in 1967.")</w:t>
      </w:r>
    </w:p>
  </w:footnote>
  <w:footnote w:id="7">
    <w:p w:rsidR="00366C8D" w:rsidP="00C53549">
      <w:pPr>
        <w:pStyle w:val="FootnoteText"/>
        <w:spacing w:after="120"/>
      </w:pPr>
      <w:r>
        <w:rPr>
          <w:rStyle w:val="FootnoteReference"/>
        </w:rPr>
        <w:footnoteRef/>
      </w:r>
      <w:r>
        <w:t xml:space="preserve"> Order ¶ 43.</w:t>
      </w:r>
    </w:p>
  </w:footnote>
  <w:footnote w:id="8">
    <w:p w:rsidR="00F64E54" w:rsidRPr="00DB437B" w:rsidP="00C53549">
      <w:pPr>
        <w:pStyle w:val="FootnoteText"/>
        <w:spacing w:after="120"/>
      </w:pPr>
      <w:r>
        <w:rPr>
          <w:rStyle w:val="FootnoteReference"/>
        </w:rPr>
        <w:footnoteRef/>
      </w:r>
      <w:r>
        <w:t xml:space="preserve"> </w:t>
      </w:r>
      <w:r w:rsidRPr="00366C8D">
        <w:rPr>
          <w:i/>
        </w:rPr>
        <w:t>Id.</w:t>
      </w:r>
      <w:r>
        <w:t xml:space="preserve"> ¶ 14.</w:t>
      </w:r>
    </w:p>
  </w:footnote>
  <w:footnote w:id="9">
    <w:p w:rsidR="00A02B05" w:rsidP="00C53549">
      <w:pPr>
        <w:pStyle w:val="FootnoteText"/>
        <w:spacing w:after="120"/>
      </w:pPr>
      <w:r>
        <w:rPr>
          <w:rStyle w:val="FootnoteReference"/>
        </w:rPr>
        <w:footnoteRef/>
      </w:r>
      <w:r>
        <w:t xml:space="preserve"> R.C. 4903.10(B).</w:t>
      </w:r>
    </w:p>
  </w:footnote>
  <w:footnote w:id="10">
    <w:p w:rsidR="00F641D1" w:rsidRPr="00BC1B21" w:rsidP="00C53549">
      <w:pPr>
        <w:pStyle w:val="FootnoteText"/>
        <w:spacing w:after="120"/>
      </w:pPr>
      <w:r w:rsidRPr="00BC1B21">
        <w:rPr>
          <w:rStyle w:val="FootnoteReference"/>
        </w:rPr>
        <w:footnoteRef/>
      </w:r>
      <w:r w:rsidRPr="00BC1B21">
        <w:t xml:space="preserve"> </w:t>
      </w:r>
      <w:r w:rsidRPr="00BC1B21">
        <w:rPr>
          <w:i/>
        </w:rPr>
        <w:t>Office of Consumers</w:t>
      </w:r>
      <w:r>
        <w:rPr>
          <w:i/>
        </w:rPr>
        <w:t>'</w:t>
      </w:r>
      <w:r w:rsidRPr="00BC1B21">
        <w:rPr>
          <w:i/>
        </w:rPr>
        <w:t xml:space="preserve"> Counsel v. Pub. Util. Comm.</w:t>
      </w:r>
      <w:r w:rsidRPr="00BC1B21">
        <w:t>, 58 Ohio St. 2d 449, 453 (1979</w:t>
      </w:r>
      <w:r>
        <w:t>)</w:t>
      </w:r>
      <w:r w:rsidRPr="00BC1B21">
        <w:t xml:space="preserve"> (denying the utility</w:t>
      </w:r>
      <w:r>
        <w:t>'</w:t>
      </w:r>
      <w:r w:rsidRPr="00BC1B21">
        <w:t>s request to include a nuclear power plant in its rate base because it was not used and useful)</w:t>
      </w:r>
      <w:r>
        <w:t xml:space="preserve"> (emphasis added)</w:t>
      </w:r>
      <w:r w:rsidRPr="00BC1B21">
        <w:t>.</w:t>
      </w:r>
    </w:p>
  </w:footnote>
  <w:footnote w:id="11">
    <w:p w:rsidR="00F641D1" w:rsidRPr="00BC1B21" w:rsidP="00C53549">
      <w:pPr>
        <w:pStyle w:val="FootnoteText"/>
        <w:spacing w:after="120"/>
      </w:pPr>
      <w:r w:rsidRPr="00BC1B21">
        <w:rPr>
          <w:rStyle w:val="FootnoteReference"/>
        </w:rPr>
        <w:footnoteRef/>
      </w:r>
      <w:r w:rsidRPr="00BC1B21">
        <w:t xml:space="preserve"> R.C. 4909.15(A)(1).</w:t>
      </w:r>
    </w:p>
  </w:footnote>
  <w:footnote w:id="12">
    <w:p w:rsidR="00F641D1" w:rsidRPr="00BC1B21" w:rsidP="00C53549">
      <w:pPr>
        <w:pStyle w:val="FootnoteText"/>
        <w:spacing w:after="120"/>
      </w:pPr>
      <w:r w:rsidRPr="00BC1B21">
        <w:rPr>
          <w:rStyle w:val="FootnoteReference"/>
        </w:rPr>
        <w:footnoteRef/>
      </w:r>
      <w:r w:rsidRPr="00BC1B21">
        <w:t xml:space="preserve"> </w:t>
      </w:r>
      <w:r w:rsidRPr="00BC1B21">
        <w:rPr>
          <w:i/>
        </w:rPr>
        <w:t>In the Matter of the Application of Duke Energy Ohio, Inc., for an Increase in its Natural Gas Distribution Rates</w:t>
      </w:r>
      <w:r w:rsidRPr="00BC1B21">
        <w:t>, Case No. 12-1685, Opinion and Order at 72 (Nov. 13, 2013).</w:t>
      </w:r>
    </w:p>
  </w:footnote>
  <w:footnote w:id="13">
    <w:p w:rsidR="00E85382" w:rsidRPr="00E85382" w:rsidP="00C53549">
      <w:pPr>
        <w:pStyle w:val="FootnoteText"/>
        <w:spacing w:after="120"/>
      </w:pPr>
      <w:r>
        <w:rPr>
          <w:rStyle w:val="FootnoteReference"/>
        </w:rPr>
        <w:footnoteRef/>
      </w:r>
      <w:r>
        <w:t xml:space="preserve"> </w:t>
      </w:r>
      <w:r>
        <w:rPr>
          <w:i/>
        </w:rPr>
        <w:t>In re Duke Energy Ohio, Inc.,</w:t>
      </w:r>
      <w:r>
        <w:t xml:space="preserve"> Case No. 09-712-GA-AAM, Finding and Order at 4 (Nov. 12, 2009).</w:t>
      </w:r>
    </w:p>
  </w:footnote>
  <w:footnote w:id="14">
    <w:p w:rsidR="00F641D1" w:rsidRPr="00BC1B21" w:rsidP="00C53549">
      <w:pPr>
        <w:pStyle w:val="FootnoteText"/>
        <w:spacing w:after="120"/>
      </w:pPr>
      <w:r w:rsidRPr="00BC1B21">
        <w:rPr>
          <w:rStyle w:val="FootnoteReference"/>
        </w:rPr>
        <w:footnoteRef/>
      </w:r>
      <w:r w:rsidRPr="00BC1B21">
        <w:t xml:space="preserve"> </w:t>
      </w:r>
      <w:r w:rsidRPr="00996110">
        <w:rPr>
          <w:i/>
        </w:rPr>
        <w:t>See</w:t>
      </w:r>
      <w:r w:rsidRPr="00BC1B21">
        <w:t xml:space="preserve"> </w:t>
      </w:r>
      <w:r w:rsidRPr="00BC1B21">
        <w:rPr>
          <w:i/>
        </w:rPr>
        <w:t>In The Matter of the Application of Duke Energy Ohio, Inc., for an Increase in Gas Rates,</w:t>
      </w:r>
      <w:r w:rsidRPr="00BC1B21">
        <w:t xml:space="preserve"> Case No. 12-1685-GA-AIR</w:t>
      </w:r>
      <w:r>
        <w:t xml:space="preserve">, </w:t>
      </w:r>
      <w:r w:rsidRPr="00BC1B21">
        <w:t>Direct Testimony of Jessica Bednarcik at 5 (July 20, 2012) (</w:t>
      </w:r>
      <w:r>
        <w:t>"</w:t>
      </w:r>
      <w:r w:rsidRPr="00BC1B21">
        <w:t>According to the Company</w:t>
      </w:r>
      <w:r>
        <w:t>'</w:t>
      </w:r>
      <w:r w:rsidRPr="00BC1B21">
        <w:t xml:space="preserve">s annual reports, manufactured gas operations ended at East End </w:t>
      </w:r>
      <w:r>
        <w:t>in 1963 and at West End in 1967."</w:t>
      </w:r>
      <w:r w:rsidRPr="00BC1B21">
        <w:t>)</w:t>
      </w:r>
    </w:p>
  </w:footnote>
  <w:footnote w:id="15">
    <w:p w:rsidR="00F641D1" w:rsidRPr="00BC1B21" w:rsidP="00C53549">
      <w:pPr>
        <w:pStyle w:val="FootnoteText"/>
        <w:spacing w:after="120"/>
      </w:pPr>
      <w:r w:rsidRPr="00BC1B21">
        <w:rPr>
          <w:rStyle w:val="FootnoteReference"/>
        </w:rPr>
        <w:footnoteRef/>
      </w:r>
      <w:r w:rsidRPr="00BC1B21">
        <w:t xml:space="preserve"> </w:t>
      </w:r>
      <w:r w:rsidRPr="00BC1B21">
        <w:rPr>
          <w:i/>
        </w:rPr>
        <w:t>In the Matter of the Application of Duke Energy Ohio, Inc., for an Increase in its Natural Gas Distribution Rates</w:t>
      </w:r>
      <w:r w:rsidRPr="00BC1B21">
        <w:t xml:space="preserve">, Case No. 12-1685, Dissenting Opinion of Commissioners Steven D. Lesser and Asim Z. Haque (Nov. 13, 2013). </w:t>
      </w:r>
    </w:p>
  </w:footnote>
  <w:footnote w:id="16">
    <w:p w:rsidR="00F641D1" w:rsidRPr="00BC1B21" w:rsidP="00C53549">
      <w:pPr>
        <w:pStyle w:val="FootnoteText"/>
        <w:spacing w:after="120"/>
      </w:pPr>
      <w:r w:rsidRPr="00BC1B21">
        <w:rPr>
          <w:rStyle w:val="FootnoteReference"/>
        </w:rPr>
        <w:footnoteRef/>
      </w:r>
      <w:r w:rsidRPr="00BC1B21">
        <w:t xml:space="preserve"> </w:t>
      </w:r>
      <w:r w:rsidRPr="00BC1B21">
        <w:rPr>
          <w:i/>
        </w:rPr>
        <w:t>In the Matter of the Application of Duke Energy Ohio, Inc., for an Increase in its Natural Gas Distribution Rates</w:t>
      </w:r>
      <w:r w:rsidRPr="00BC1B21">
        <w:t>, Case No. 12-1685, Opinion and Order at 72 (Nov. 13, 2013).</w:t>
      </w:r>
    </w:p>
  </w:footnote>
  <w:footnote w:id="17">
    <w:p w:rsidR="00F641D1" w:rsidRPr="00BC1B21" w:rsidP="00C53549">
      <w:pPr>
        <w:pStyle w:val="FootnoteText"/>
        <w:spacing w:after="120"/>
      </w:pPr>
      <w:r w:rsidRPr="00BC1B21">
        <w:rPr>
          <w:rStyle w:val="FootnoteReference"/>
        </w:rPr>
        <w:footnoteRef/>
      </w:r>
      <w:r w:rsidRPr="00BC1B21">
        <w:t xml:space="preserve"> Case No. 2014-0328.</w:t>
      </w:r>
    </w:p>
  </w:footnote>
  <w:footnote w:id="18">
    <w:p w:rsidR="00F641D1" w:rsidRPr="00BC1B21" w:rsidP="00C53549">
      <w:pPr>
        <w:pStyle w:val="FootnoteText"/>
        <w:spacing w:after="120"/>
      </w:pPr>
      <w:r w:rsidRPr="00BC1B21">
        <w:rPr>
          <w:rStyle w:val="FootnoteReference"/>
        </w:rPr>
        <w:footnoteRef/>
      </w:r>
      <w:r w:rsidRPr="00BC1B21">
        <w:t xml:space="preserve"> Oral argument before the Supreme Court is scheduled for February 28, 2017.</w:t>
      </w:r>
    </w:p>
  </w:footnote>
  <w:footnote w:id="19">
    <w:p w:rsidR="00060E1F" w:rsidP="00C53549">
      <w:pPr>
        <w:pStyle w:val="FootnoteText"/>
        <w:spacing w:after="120"/>
      </w:pPr>
      <w:r>
        <w:rPr>
          <w:rStyle w:val="FootnoteReference"/>
        </w:rPr>
        <w:footnoteRef/>
      </w:r>
      <w:r>
        <w:t xml:space="preserve"> Order ¶6.</w:t>
      </w:r>
    </w:p>
  </w:footnote>
  <w:footnote w:id="20">
    <w:p w:rsidR="00060E1F" w:rsidRPr="00366C8D" w:rsidP="00C53549">
      <w:pPr>
        <w:pStyle w:val="FootnoteText"/>
        <w:spacing w:after="120"/>
      </w:pPr>
      <w:r>
        <w:rPr>
          <w:rStyle w:val="FootnoteReference"/>
        </w:rPr>
        <w:footnoteRef/>
      </w:r>
      <w:r>
        <w:t xml:space="preserve"> </w:t>
      </w:r>
      <w:r>
        <w:rPr>
          <w:i/>
        </w:rPr>
        <w:t>Id.</w:t>
      </w:r>
    </w:p>
  </w:footnote>
  <w:footnote w:id="21">
    <w:p w:rsidR="000D6CB8" w:rsidRPr="00366C8D" w:rsidP="00C53549">
      <w:pPr>
        <w:pStyle w:val="FootnoteText"/>
        <w:spacing w:after="120"/>
      </w:pPr>
      <w:r>
        <w:rPr>
          <w:rStyle w:val="FootnoteReference"/>
        </w:rPr>
        <w:footnoteRef/>
      </w:r>
      <w:r>
        <w:t xml:space="preserve"> </w:t>
      </w:r>
      <w:r>
        <w:rPr>
          <w:i/>
        </w:rPr>
        <w:t>Id.</w:t>
      </w:r>
      <w:r>
        <w:t xml:space="preserve"> at ¶37.</w:t>
      </w:r>
    </w:p>
  </w:footnote>
  <w:footnote w:id="22">
    <w:p w:rsidR="00851A60" w:rsidRPr="00851A60" w:rsidP="00C53549">
      <w:pPr>
        <w:pStyle w:val="FootnoteText"/>
        <w:spacing w:after="120"/>
      </w:pPr>
      <w:r>
        <w:rPr>
          <w:rStyle w:val="FootnoteReference"/>
        </w:rPr>
        <w:footnoteRef/>
      </w:r>
      <w:r>
        <w:t xml:space="preserve"> </w:t>
      </w:r>
      <w:r>
        <w:rPr>
          <w:i/>
        </w:rPr>
        <w:t>Id.</w:t>
      </w:r>
      <w:r>
        <w:t xml:space="preserve"> at ¶36.</w:t>
      </w:r>
    </w:p>
  </w:footnote>
  <w:footnote w:id="23">
    <w:p w:rsidR="0032469F" w:rsidP="00C53549">
      <w:pPr>
        <w:pStyle w:val="FootnoteText"/>
        <w:spacing w:after="120"/>
      </w:pPr>
      <w:r>
        <w:rPr>
          <w:rStyle w:val="FootnoteReference"/>
        </w:rPr>
        <w:footnoteRef/>
      </w:r>
      <w:r>
        <w:t xml:space="preserve"> R.C. 4903.09.</w:t>
      </w:r>
    </w:p>
  </w:footnote>
  <w:footnote w:id="24">
    <w:p w:rsidR="00B21FFD" w:rsidRPr="00B21FFD" w:rsidP="00C53549">
      <w:pPr>
        <w:pStyle w:val="FootnoteText"/>
        <w:spacing w:after="120"/>
      </w:pPr>
      <w:r>
        <w:rPr>
          <w:rStyle w:val="FootnoteReference"/>
        </w:rPr>
        <w:footnoteRef/>
      </w:r>
      <w:r>
        <w:t xml:space="preserve"> </w:t>
      </w:r>
      <w:r>
        <w:rPr>
          <w:i/>
        </w:rPr>
        <w:t>MCI Telecomm. Corp. v Pub. Util. Comm'n</w:t>
      </w:r>
      <w:r>
        <w:t xml:space="preserve">, 38 Ohio St.3d 266, 268 (1988) (R.C. 4903.13 sets the standard for overturning PUCO decisions as "unreasonable or unlawful", and the Supreme Court has determined that in order to overturn a PUCO finding of fact, it must be "manifestly against the weight of evidence."). </w:t>
      </w:r>
    </w:p>
  </w:footnote>
  <w:footnote w:id="25">
    <w:p w:rsidR="00CA73AE" w:rsidP="00C53549">
      <w:pPr>
        <w:pStyle w:val="FootnoteText"/>
        <w:spacing w:after="120"/>
      </w:pPr>
      <w:r>
        <w:rPr>
          <w:rStyle w:val="FootnoteReference"/>
        </w:rPr>
        <w:footnoteRef/>
      </w:r>
      <w:r>
        <w:t xml:space="preserve"> Order ¶ 36.</w:t>
      </w:r>
    </w:p>
  </w:footnote>
  <w:footnote w:id="26">
    <w:p w:rsidR="007C3702" w:rsidP="00C53549">
      <w:pPr>
        <w:pStyle w:val="FootnoteText"/>
        <w:spacing w:after="120"/>
      </w:pPr>
      <w:r>
        <w:rPr>
          <w:rStyle w:val="FootnoteReference"/>
        </w:rPr>
        <w:footnoteRef/>
      </w:r>
      <w:r>
        <w:t xml:space="preserve"> </w:t>
      </w:r>
      <w:r>
        <w:rPr>
          <w:i/>
        </w:rPr>
        <w:t>In the Matter of the Application of Duke Energy Ohio, Inc., for an Increase in its Natural Gas Distribution Rates</w:t>
      </w:r>
      <w:r>
        <w:t>, Case No. 12-1685, Entry on Rehearing at 4 (Jan. 8, 2014).</w:t>
      </w:r>
    </w:p>
  </w:footnote>
  <w:footnote w:id="27">
    <w:p w:rsidR="006633C8" w:rsidRPr="006633C8" w:rsidP="00C53549">
      <w:pPr>
        <w:pStyle w:val="FootnoteText"/>
        <w:spacing w:after="120"/>
      </w:pPr>
      <w:r>
        <w:rPr>
          <w:rStyle w:val="FootnoteReference"/>
        </w:rPr>
        <w:footnoteRef/>
      </w:r>
      <w:r>
        <w:t xml:space="preserve"> In fact the existence of these pipes was referenced by Duke witnesses in 2013. </w:t>
      </w:r>
      <w:r>
        <w:rPr>
          <w:i/>
        </w:rPr>
        <w:t>See In the matter of the Application of Duke Energy Ohio, Inc. for an Increase in Gas Rates</w:t>
      </w:r>
      <w:r>
        <w:t xml:space="preserve">, Case No. 12-1685-GA-AIR, Supplemental Direct Testimony of Jessica L. Bednarcik at 15 (Feb. 25, 2013). </w:t>
      </w:r>
    </w:p>
  </w:footnote>
  <w:footnote w:id="28">
    <w:p w:rsidR="006F1EA6" w:rsidP="00C53549">
      <w:pPr>
        <w:pStyle w:val="FootnoteText"/>
        <w:spacing w:after="120"/>
      </w:pPr>
      <w:r>
        <w:rPr>
          <w:rStyle w:val="FootnoteReference"/>
        </w:rPr>
        <w:footnoteRef/>
      </w:r>
      <w:r>
        <w:t xml:space="preserve"> Reply Comments of Duke Energy at 9 (Dec. 2, 2016).</w:t>
      </w:r>
    </w:p>
  </w:footnote>
  <w:footnote w:id="29">
    <w:p w:rsidR="00D63B59" w:rsidP="00C53549">
      <w:pPr>
        <w:pStyle w:val="FootnoteText"/>
        <w:spacing w:after="120"/>
      </w:pPr>
      <w:r>
        <w:rPr>
          <w:rStyle w:val="FootnoteReference"/>
        </w:rPr>
        <w:footnoteRef/>
      </w:r>
      <w:r>
        <w:t xml:space="preserve"> PUCO Staff Comments at 12 (Nov. 23, 2016). </w:t>
      </w:r>
    </w:p>
  </w:footnote>
  <w:footnote w:id="30">
    <w:p w:rsidR="00DD4AC0" w:rsidP="00C53549">
      <w:pPr>
        <w:pStyle w:val="FootnoteText"/>
        <w:spacing w:after="120"/>
      </w:pPr>
      <w:r>
        <w:rPr>
          <w:rStyle w:val="FootnoteReference"/>
        </w:rPr>
        <w:footnoteRef/>
      </w:r>
      <w:r>
        <w:t xml:space="preserve"> Order ¶ 37.</w:t>
      </w:r>
    </w:p>
  </w:footnote>
  <w:footnote w:id="31">
    <w:p w:rsidR="00DD4AC0" w:rsidP="00C53549">
      <w:pPr>
        <w:pStyle w:val="FootnoteText"/>
        <w:spacing w:after="120"/>
      </w:pPr>
      <w:r>
        <w:rPr>
          <w:rStyle w:val="FootnoteReference"/>
        </w:rPr>
        <w:footnoteRef/>
      </w:r>
      <w:r>
        <w:t xml:space="preserve"> R.C. 4903.09.</w:t>
      </w:r>
    </w:p>
  </w:footnote>
  <w:footnote w:id="32">
    <w:p w:rsidR="00D746BE" w:rsidP="00C53549">
      <w:pPr>
        <w:pStyle w:val="FootnoteText"/>
        <w:spacing w:after="120"/>
      </w:pPr>
      <w:r>
        <w:rPr>
          <w:rStyle w:val="FootnoteReference"/>
        </w:rPr>
        <w:footnoteRef/>
      </w:r>
      <w:r>
        <w:t xml:space="preserve"> Order ¶37.</w:t>
      </w:r>
    </w:p>
  </w:footnote>
  <w:footnote w:id="33">
    <w:p w:rsidR="0009217E" w:rsidP="00C53549">
      <w:pPr>
        <w:pStyle w:val="FootnoteText"/>
        <w:spacing w:after="120"/>
      </w:pPr>
      <w:r>
        <w:rPr>
          <w:rStyle w:val="FootnoteReference"/>
        </w:rPr>
        <w:footnoteRef/>
      </w:r>
      <w:r>
        <w:t xml:space="preserve"> See, e.g., </w:t>
      </w:r>
      <w:r w:rsidRPr="003552C1">
        <w:rPr>
          <w:i/>
        </w:rPr>
        <w:t>MCI Telecommunications Corp. v. Pub. Util. Comm</w:t>
      </w:r>
      <w:r>
        <w:t xml:space="preserve">., 32 Ohio St.3d 306.  </w:t>
      </w:r>
    </w:p>
  </w:footnote>
  <w:footnote w:id="34">
    <w:p w:rsidR="00272D06" w:rsidRPr="00272D06" w:rsidP="00C53549">
      <w:pPr>
        <w:pStyle w:val="FootnoteText"/>
        <w:spacing w:after="120"/>
      </w:pPr>
      <w:r>
        <w:rPr>
          <w:rStyle w:val="FootnoteReference"/>
        </w:rPr>
        <w:footnoteRef/>
      </w:r>
      <w:r>
        <w:t xml:space="preserve"> </w:t>
      </w:r>
      <w:r>
        <w:rPr>
          <w:i/>
        </w:rPr>
        <w:t>In re Application of the Ottoville Mut. Tel. Co.</w:t>
      </w:r>
      <w:r>
        <w:t>, Case No. 73-356-Y, 1973 Ohio PUC LEXIS, at *4 ("the applicant must shoulder the burden of proof in every application proceeding before the Commission").</w:t>
      </w:r>
    </w:p>
  </w:footnote>
  <w:footnote w:id="35">
    <w:p w:rsidR="00EC4B03" w:rsidP="00C53549">
      <w:pPr>
        <w:pStyle w:val="FootnoteText"/>
        <w:spacing w:after="120"/>
      </w:pPr>
      <w:r>
        <w:rPr>
          <w:rStyle w:val="FootnoteReference"/>
        </w:rPr>
        <w:footnoteRef/>
      </w:r>
      <w:r>
        <w:t xml:space="preserve"> R.C. 4909.15(A)(1)</w:t>
      </w:r>
    </w:p>
  </w:footnote>
  <w:footnote w:id="36">
    <w:p w:rsidR="00EC4B03" w:rsidRPr="00F6072F" w:rsidP="00C53549">
      <w:pPr>
        <w:pStyle w:val="FootnoteText"/>
        <w:spacing w:after="120"/>
      </w:pPr>
      <w:r w:rsidRPr="00F6072F">
        <w:rPr>
          <w:rStyle w:val="FootnoteReference"/>
        </w:rPr>
        <w:footnoteRef/>
      </w:r>
      <w:r w:rsidRPr="00F6072F">
        <w:rPr>
          <w:i/>
          <w:iCs/>
        </w:rPr>
        <w:t xml:space="preserve"> Office of Consumers</w:t>
      </w:r>
      <w:r>
        <w:rPr>
          <w:i/>
          <w:iCs/>
        </w:rPr>
        <w:t>'</w:t>
      </w:r>
      <w:r w:rsidRPr="00F6072F">
        <w:rPr>
          <w:i/>
          <w:iCs/>
        </w:rPr>
        <w:t xml:space="preserve"> Counsel v. Pub. Util. Comm. of Ohio</w:t>
      </w:r>
      <w:r w:rsidRPr="00F6072F">
        <w:t>, 58 Ohio St.2d 449, 453, 391 N.E.2d 311 (1979)</w:t>
      </w:r>
      <w:r w:rsidRPr="00F6072F">
        <w:rPr>
          <w:i/>
          <w:iCs/>
        </w:rPr>
        <w:t>.</w:t>
      </w:r>
    </w:p>
  </w:footnote>
  <w:footnote w:id="37">
    <w:p w:rsidR="00EC4B03" w:rsidRPr="00F6072F" w:rsidP="00C53549">
      <w:pPr>
        <w:pStyle w:val="FootnoteText"/>
        <w:spacing w:after="120"/>
      </w:pPr>
      <w:r w:rsidRPr="00F6072F">
        <w:rPr>
          <w:rStyle w:val="FootnoteReference"/>
        </w:rPr>
        <w:footnoteRef/>
      </w:r>
      <w:r w:rsidRPr="00F6072F">
        <w:t xml:space="preserve"> </w:t>
      </w:r>
      <w:r w:rsidRPr="00C83F6B">
        <w:rPr>
          <w:i/>
        </w:rPr>
        <w:t>Id.</w:t>
      </w:r>
      <w:r w:rsidRPr="00F6072F">
        <w:t xml:space="preserve"> at 452.</w:t>
      </w:r>
    </w:p>
  </w:footnote>
  <w:footnote w:id="38">
    <w:p w:rsidR="00EC4B03" w:rsidRPr="00F6072F" w:rsidP="00C53549">
      <w:pPr>
        <w:pStyle w:val="FootnoteText"/>
        <w:spacing w:after="120"/>
      </w:pPr>
      <w:r w:rsidRPr="00F6072F">
        <w:rPr>
          <w:rStyle w:val="FootnoteReference"/>
        </w:rPr>
        <w:footnoteRef/>
      </w:r>
      <w:r w:rsidRPr="00F6072F">
        <w:t xml:space="preserve"> </w:t>
      </w:r>
      <w:r w:rsidRPr="00C83F6B">
        <w:rPr>
          <w:i/>
        </w:rPr>
        <w:t>Id.</w:t>
      </w:r>
      <w:r w:rsidRPr="00F6072F">
        <w:t xml:space="preserve"> at 457.</w:t>
      </w:r>
    </w:p>
  </w:footnote>
  <w:footnote w:id="39">
    <w:p w:rsidR="00EC4B03" w:rsidRPr="00F6072F" w:rsidP="00C53549">
      <w:pPr>
        <w:pStyle w:val="FootnoteText"/>
        <w:spacing w:after="120"/>
      </w:pPr>
      <w:r w:rsidRPr="00F6072F">
        <w:rPr>
          <w:rStyle w:val="FootnoteReference"/>
        </w:rPr>
        <w:footnoteRef/>
      </w:r>
      <w:r w:rsidRPr="00F6072F">
        <w:t xml:space="preserve"> </w:t>
      </w:r>
      <w:r w:rsidRPr="00C83F6B">
        <w:rPr>
          <w:i/>
        </w:rPr>
        <w:t>Id.</w:t>
      </w:r>
      <w:r w:rsidRPr="00F6072F">
        <w:t xml:space="preserve"> (citing to </w:t>
      </w:r>
      <w:r w:rsidRPr="00F6072F">
        <w:rPr>
          <w:i/>
          <w:iCs/>
        </w:rPr>
        <w:t>Denver Union Stock Yard Co. v. United States</w:t>
      </w:r>
      <w:r w:rsidRPr="00F6072F">
        <w:t xml:space="preserve">, 304 U.S. 470 </w:t>
      </w:r>
      <w:r>
        <w:t xml:space="preserve">(1938)) </w:t>
      </w:r>
      <w:r w:rsidRPr="00F6072F">
        <w:t>(</w:t>
      </w:r>
      <w:r>
        <w:t>e</w:t>
      </w:r>
      <w:r w:rsidRPr="00F6072F">
        <w:t>mphasis added).</w:t>
      </w:r>
    </w:p>
  </w:footnote>
  <w:footnote w:id="40">
    <w:p w:rsidR="00EC4B03" w:rsidRPr="00F6072F" w:rsidP="00C53549">
      <w:pPr>
        <w:pStyle w:val="FootnoteText"/>
        <w:spacing w:after="120"/>
      </w:pPr>
      <w:r w:rsidRPr="00F6072F">
        <w:rPr>
          <w:rStyle w:val="FootnoteReference"/>
        </w:rPr>
        <w:footnoteRef/>
      </w:r>
      <w:r w:rsidRPr="00F6072F">
        <w:t xml:space="preserve"> </w:t>
      </w:r>
      <w:r w:rsidRPr="00C83F6B">
        <w:rPr>
          <w:i/>
        </w:rPr>
        <w:t>Id.</w:t>
      </w:r>
      <w:r w:rsidRPr="00F6072F">
        <w:t xml:space="preserve"> at 456.</w:t>
      </w:r>
    </w:p>
  </w:footnote>
  <w:footnote w:id="41">
    <w:p w:rsidR="00EC4B03" w:rsidRPr="00F6072F" w:rsidP="00C53549">
      <w:pPr>
        <w:pStyle w:val="FootnoteText"/>
        <w:spacing w:after="120"/>
      </w:pPr>
      <w:r w:rsidRPr="00F6072F">
        <w:rPr>
          <w:rStyle w:val="FootnoteReference"/>
        </w:rPr>
        <w:footnoteRef/>
      </w:r>
      <w:r w:rsidRPr="00F6072F">
        <w:t xml:space="preserve"> </w:t>
      </w:r>
      <w:r w:rsidRPr="00C83F6B">
        <w:rPr>
          <w:i/>
        </w:rPr>
        <w:t>Id.</w:t>
      </w:r>
    </w:p>
  </w:footnote>
  <w:footnote w:id="42">
    <w:p w:rsidR="00EC4B03" w:rsidRPr="006200C8" w:rsidP="00C53549">
      <w:pPr>
        <w:pStyle w:val="FootnoteText"/>
        <w:spacing w:after="120"/>
      </w:pPr>
      <w:r>
        <w:rPr>
          <w:rStyle w:val="FootnoteReference"/>
        </w:rPr>
        <w:footnoteRef/>
      </w:r>
      <w:r>
        <w:t xml:space="preserve"> </w:t>
      </w:r>
      <w:r w:rsidRPr="00C53549">
        <w:rPr>
          <w:i/>
        </w:rPr>
        <w:t>See</w:t>
      </w:r>
      <w:r>
        <w:t xml:space="preserve"> </w:t>
      </w:r>
      <w:r>
        <w:rPr>
          <w:i/>
        </w:rPr>
        <w:t>In The Matter of the Application of Duke Energy Ohio, Inc., for an Increase in Gas Rates,</w:t>
      </w:r>
      <w:r>
        <w:t xml:space="preserve"> Case No. 12-1685-GA-AIR, </w:t>
      </w:r>
      <w:r w:rsidRPr="00BC1B21">
        <w:t>Direct Testimony of Jessica Bednarcik at 5</w:t>
      </w:r>
      <w:r>
        <w:t xml:space="preserve"> (July 20, 2012) ("According to the Company's annual reports, manufactured gas operations ended at East End in 1963 and at West End in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6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6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6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3000E5B4"/>
    <w:lvl w:ilvl="0">
      <w:start w:val="1"/>
      <w:numFmt w:val="decimal"/>
      <w:lvlText w:val="%1."/>
      <w:lvlJc w:val="left"/>
      <w:pPr>
        <w:tabs>
          <w:tab w:val="num" w:pos="1080"/>
        </w:tabs>
        <w:ind w:left="1080" w:hanging="360"/>
      </w:pPr>
    </w:lvl>
  </w:abstractNum>
  <w:abstractNum w:abstractNumId="1">
    <w:nsid w:val="FFFFFF7F"/>
    <w:multiLevelType w:val="singleLevel"/>
    <w:tmpl w:val="B28C33D6"/>
    <w:lvl w:ilvl="0">
      <w:start w:val="1"/>
      <w:numFmt w:val="decimal"/>
      <w:lvlText w:val="%1."/>
      <w:lvlJc w:val="left"/>
      <w:pPr>
        <w:tabs>
          <w:tab w:val="num" w:pos="720"/>
        </w:tabs>
        <w:ind w:left="720" w:hanging="360"/>
      </w:pPr>
    </w:lvl>
  </w:abstractNum>
  <w:abstractNum w:abstractNumId="2">
    <w:nsid w:val="FFFFFF80"/>
    <w:multiLevelType w:val="singleLevel"/>
    <w:tmpl w:val="BF3ABA6E"/>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755A8F4A"/>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0E7615E8"/>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C6FEA262"/>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B55612F6"/>
    <w:lvl w:ilvl="0">
      <w:start w:val="1"/>
      <w:numFmt w:val="decimal"/>
      <w:lvlText w:val="%1."/>
      <w:lvlJc w:val="left"/>
      <w:pPr>
        <w:tabs>
          <w:tab w:val="num" w:pos="360"/>
        </w:tabs>
        <w:ind w:left="360" w:hanging="360"/>
      </w:pPr>
    </w:lvl>
  </w:abstractNum>
  <w:abstractNum w:abstractNumId="7">
    <w:nsid w:val="FFFFFF89"/>
    <w:multiLevelType w:val="singleLevel"/>
    <w:tmpl w:val="584247EA"/>
    <w:lvl w:ilvl="0">
      <w:start w:val="1"/>
      <w:numFmt w:val="bullet"/>
      <w:lvlText w:val=""/>
      <w:lvlJc w:val="left"/>
      <w:pPr>
        <w:tabs>
          <w:tab w:val="num" w:pos="360"/>
        </w:tabs>
        <w:ind w:left="360" w:hanging="360"/>
      </w:pPr>
      <w:rPr>
        <w:rFonts w:ascii="Symbol" w:hAnsi="Symbol" w:hint="default"/>
      </w:rPr>
    </w:lvl>
  </w:abstractNum>
  <w:abstractNum w:abstractNumId="8">
    <w:nsid w:val="04195AA3"/>
    <w:multiLevelType w:val="hybridMultilevel"/>
    <w:tmpl w:val="B0E85176"/>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9">
    <w:nsid w:val="058316A3"/>
    <w:multiLevelType w:val="hybridMultilevel"/>
    <w:tmpl w:val="E476368C"/>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08653C31"/>
    <w:multiLevelType w:val="hybridMultilevel"/>
    <w:tmpl w:val="CA70D14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AF12FC"/>
    <w:multiLevelType w:val="hybridMultilevel"/>
    <w:tmpl w:val="0E423AAE"/>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88" w:hanging="720"/>
      </w:pPr>
      <w:rPr>
        <w:rFonts w:hint="default"/>
      </w:rPr>
    </w:lvl>
    <w:lvl w:ilvl="2">
      <w:start w:val="1"/>
      <w:numFmt w:val="bullet"/>
      <w:lvlText w:val="•"/>
      <w:lvlJc w:val="left"/>
      <w:pPr>
        <w:ind w:left="3016" w:hanging="720"/>
      </w:pPr>
      <w:rPr>
        <w:rFonts w:hint="default"/>
      </w:rPr>
    </w:lvl>
    <w:lvl w:ilvl="3">
      <w:start w:val="1"/>
      <w:numFmt w:val="bullet"/>
      <w:lvlText w:val="•"/>
      <w:lvlJc w:val="left"/>
      <w:pPr>
        <w:ind w:left="3744" w:hanging="720"/>
      </w:pPr>
      <w:rPr>
        <w:rFonts w:hint="default"/>
      </w:rPr>
    </w:lvl>
    <w:lvl w:ilvl="4">
      <w:start w:val="1"/>
      <w:numFmt w:val="bullet"/>
      <w:lvlText w:val="•"/>
      <w:lvlJc w:val="left"/>
      <w:pPr>
        <w:ind w:left="4472"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5928" w:hanging="720"/>
      </w:pPr>
      <w:rPr>
        <w:rFonts w:hint="default"/>
      </w:rPr>
    </w:lvl>
    <w:lvl w:ilvl="7">
      <w:start w:val="1"/>
      <w:numFmt w:val="bullet"/>
      <w:lvlText w:val="•"/>
      <w:lvlJc w:val="left"/>
      <w:pPr>
        <w:ind w:left="6656" w:hanging="720"/>
      </w:pPr>
      <w:rPr>
        <w:rFonts w:hint="default"/>
      </w:rPr>
    </w:lvl>
    <w:lvl w:ilvl="8">
      <w:start w:val="1"/>
      <w:numFmt w:val="bullet"/>
      <w:lvlText w:val="•"/>
      <w:lvlJc w:val="left"/>
      <w:pPr>
        <w:ind w:left="7384" w:hanging="720"/>
      </w:pPr>
      <w:rPr>
        <w:rFonts w:hint="default"/>
      </w:rPr>
    </w:lvl>
  </w:abstractNum>
  <w:abstractNum w:abstractNumId="12">
    <w:nsid w:val="0F241D28"/>
    <w:multiLevelType w:val="multilevel"/>
    <w:tmpl w:val="E60AB962"/>
    <w:lvl w:ilvl="0">
      <w:start w:val="8"/>
      <w:numFmt w:val="decimal"/>
      <w:lvlText w:val="%1"/>
      <w:lvlJc w:val="left"/>
      <w:pPr>
        <w:ind w:left="120" w:hanging="480"/>
      </w:pPr>
      <w:rPr>
        <w:rFonts w:hint="default"/>
      </w:rPr>
    </w:lvl>
    <w:lvl w:ilvl="1">
      <w:start w:val="48"/>
      <w:numFmt w:val="decimal"/>
      <w:lvlText w:val="%1.%2"/>
      <w:lvlJc w:val="left"/>
      <w:pPr>
        <w:ind w:left="120" w:hanging="480"/>
      </w:pPr>
      <w:rPr>
        <w:rFonts w:ascii="Times New Roman" w:eastAsia="Times New Roman" w:hAnsi="Times New Roman" w:hint="default"/>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decimal"/>
      <w:lvlText w:val="%4."/>
      <w:lvlJc w:val="left"/>
      <w:pPr>
        <w:ind w:left="2280" w:hanging="720"/>
      </w:pPr>
      <w:rPr>
        <w:rFonts w:ascii="Times New Roman" w:eastAsia="Times New Roman" w:hAnsi="Times New Roman" w:hint="default"/>
        <w:b/>
        <w:bCs/>
        <w:w w:val="99"/>
        <w:sz w:val="24"/>
        <w:szCs w:val="24"/>
      </w:rPr>
    </w:lvl>
    <w:lvl w:ilvl="4">
      <w:start w:val="1"/>
      <w:numFmt w:val="bullet"/>
      <w:lvlText w:val="•"/>
      <w:lvlJc w:val="left"/>
      <w:pPr>
        <w:ind w:left="3217" w:hanging="720"/>
      </w:pPr>
      <w:rPr>
        <w:rFonts w:hint="default"/>
      </w:rPr>
    </w:lvl>
    <w:lvl w:ilvl="5">
      <w:start w:val="1"/>
      <w:numFmt w:val="bullet"/>
      <w:lvlText w:val="•"/>
      <w:lvlJc w:val="left"/>
      <w:pPr>
        <w:ind w:left="4154" w:hanging="720"/>
      </w:pPr>
      <w:rPr>
        <w:rFonts w:hint="default"/>
      </w:rPr>
    </w:lvl>
    <w:lvl w:ilvl="6">
      <w:start w:val="1"/>
      <w:numFmt w:val="bullet"/>
      <w:lvlText w:val="•"/>
      <w:lvlJc w:val="left"/>
      <w:pPr>
        <w:ind w:left="5091" w:hanging="720"/>
      </w:pPr>
      <w:rPr>
        <w:rFonts w:hint="default"/>
      </w:rPr>
    </w:lvl>
    <w:lvl w:ilvl="7">
      <w:start w:val="1"/>
      <w:numFmt w:val="bullet"/>
      <w:lvlText w:val="•"/>
      <w:lvlJc w:val="left"/>
      <w:pPr>
        <w:ind w:left="6028" w:hanging="720"/>
      </w:pPr>
      <w:rPr>
        <w:rFonts w:hint="default"/>
      </w:rPr>
    </w:lvl>
    <w:lvl w:ilvl="8">
      <w:start w:val="1"/>
      <w:numFmt w:val="bullet"/>
      <w:lvlText w:val="•"/>
      <w:lvlJc w:val="left"/>
      <w:pPr>
        <w:ind w:left="6965" w:hanging="720"/>
      </w:pPr>
      <w:rPr>
        <w:rFonts w:hint="default"/>
      </w:rPr>
    </w:lvl>
  </w:abstractNum>
  <w:abstractNum w:abstractNumId="13">
    <w:nsid w:val="107A4A7C"/>
    <w:multiLevelType w:val="multilevel"/>
    <w:tmpl w:val="612A1F60"/>
    <w:lvl w:ilvl="0">
      <w:start w:val="18"/>
      <w:numFmt w:val="upperLetter"/>
      <w:lvlText w:val="%1"/>
      <w:lvlJc w:val="left"/>
      <w:pPr>
        <w:ind w:left="120" w:hanging="502"/>
      </w:pPr>
      <w:rPr>
        <w:rFonts w:hint="default"/>
      </w:rPr>
    </w:lvl>
    <w:lvl w:ilvl="1">
      <w:start w:val="3"/>
      <w:numFmt w:val="upperLetter"/>
      <w:lvlText w:val="%1.%2."/>
      <w:lvlJc w:val="left"/>
      <w:pPr>
        <w:ind w:left="120" w:hanging="502"/>
      </w:pPr>
      <w:rPr>
        <w:rFonts w:ascii="Times New Roman" w:eastAsia="Times New Roman" w:hAnsi="Times New Roman" w:hint="default"/>
        <w:spacing w:val="1"/>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bullet"/>
      <w:lvlText w:val="•"/>
      <w:lvlJc w:val="left"/>
      <w:pPr>
        <w:ind w:left="3182" w:hanging="720"/>
      </w:pPr>
      <w:rPr>
        <w:rFonts w:hint="default"/>
      </w:rPr>
    </w:lvl>
    <w:lvl w:ilvl="4">
      <w:start w:val="1"/>
      <w:numFmt w:val="bullet"/>
      <w:lvlText w:val="•"/>
      <w:lvlJc w:val="left"/>
      <w:pPr>
        <w:ind w:left="3993" w:hanging="720"/>
      </w:pPr>
      <w:rPr>
        <w:rFonts w:hint="default"/>
      </w:rPr>
    </w:lvl>
    <w:lvl w:ilvl="5">
      <w:start w:val="1"/>
      <w:numFmt w:val="bullet"/>
      <w:lvlText w:val="•"/>
      <w:lvlJc w:val="left"/>
      <w:pPr>
        <w:ind w:left="4804" w:hanging="720"/>
      </w:pPr>
      <w:rPr>
        <w:rFonts w:hint="default"/>
      </w:rPr>
    </w:lvl>
    <w:lvl w:ilvl="6">
      <w:start w:val="1"/>
      <w:numFmt w:val="bullet"/>
      <w:lvlText w:val="•"/>
      <w:lvlJc w:val="left"/>
      <w:pPr>
        <w:ind w:left="5615" w:hanging="720"/>
      </w:pPr>
      <w:rPr>
        <w:rFonts w:hint="default"/>
      </w:rPr>
    </w:lvl>
    <w:lvl w:ilvl="7">
      <w:start w:val="1"/>
      <w:numFmt w:val="bullet"/>
      <w:lvlText w:val="•"/>
      <w:lvlJc w:val="left"/>
      <w:pPr>
        <w:ind w:left="6426" w:hanging="720"/>
      </w:pPr>
      <w:rPr>
        <w:rFonts w:hint="default"/>
      </w:rPr>
    </w:lvl>
    <w:lvl w:ilvl="8">
      <w:start w:val="1"/>
      <w:numFmt w:val="bullet"/>
      <w:lvlText w:val="•"/>
      <w:lvlJc w:val="left"/>
      <w:pPr>
        <w:ind w:left="7237" w:hanging="720"/>
      </w:pPr>
      <w:rPr>
        <w:rFonts w:hint="default"/>
      </w:rPr>
    </w:lvl>
  </w:abstractNum>
  <w:abstractNum w:abstractNumId="14">
    <w:nsid w:val="10A95AA0"/>
    <w:multiLevelType w:val="hybridMultilevel"/>
    <w:tmpl w:val="C79AF7FA"/>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bullet"/>
      <w:lvlText w:val="•"/>
      <w:lvlJc w:val="left"/>
      <w:pPr>
        <w:ind w:left="3011" w:hanging="720"/>
      </w:pPr>
      <w:rPr>
        <w:rFonts w:hint="default"/>
      </w:rPr>
    </w:lvl>
    <w:lvl w:ilvl="3">
      <w:start w:val="1"/>
      <w:numFmt w:val="bullet"/>
      <w:lvlText w:val="•"/>
      <w:lvlJc w:val="left"/>
      <w:pPr>
        <w:ind w:left="3742" w:hanging="720"/>
      </w:pPr>
      <w:rPr>
        <w:rFonts w:hint="default"/>
      </w:rPr>
    </w:lvl>
    <w:lvl w:ilvl="4">
      <w:start w:val="1"/>
      <w:numFmt w:val="bullet"/>
      <w:lvlText w:val="•"/>
      <w:lvlJc w:val="left"/>
      <w:pPr>
        <w:ind w:left="4473" w:hanging="720"/>
      </w:pPr>
      <w:rPr>
        <w:rFonts w:hint="default"/>
      </w:rPr>
    </w:lvl>
    <w:lvl w:ilvl="5">
      <w:start w:val="1"/>
      <w:numFmt w:val="bullet"/>
      <w:lvlText w:val="•"/>
      <w:lvlJc w:val="left"/>
      <w:pPr>
        <w:ind w:left="5204" w:hanging="720"/>
      </w:pPr>
      <w:rPr>
        <w:rFonts w:hint="default"/>
      </w:rPr>
    </w:lvl>
    <w:lvl w:ilvl="6">
      <w:start w:val="1"/>
      <w:numFmt w:val="bullet"/>
      <w:lvlText w:val="•"/>
      <w:lvlJc w:val="left"/>
      <w:pPr>
        <w:ind w:left="5935" w:hanging="720"/>
      </w:pPr>
      <w:rPr>
        <w:rFonts w:hint="default"/>
      </w:rPr>
    </w:lvl>
    <w:lvl w:ilvl="7">
      <w:start w:val="1"/>
      <w:numFmt w:val="bullet"/>
      <w:lvlText w:val="•"/>
      <w:lvlJc w:val="left"/>
      <w:pPr>
        <w:ind w:left="6666" w:hanging="720"/>
      </w:pPr>
      <w:rPr>
        <w:rFonts w:hint="default"/>
      </w:rPr>
    </w:lvl>
    <w:lvl w:ilvl="8">
      <w:start w:val="1"/>
      <w:numFmt w:val="bullet"/>
      <w:lvlText w:val="•"/>
      <w:lvlJc w:val="left"/>
      <w:pPr>
        <w:ind w:left="7397" w:hanging="720"/>
      </w:pPr>
      <w:rPr>
        <w:rFonts w:hint="default"/>
      </w:rPr>
    </w:lvl>
  </w:abstractNum>
  <w:abstractNum w:abstractNumId="15">
    <w:nsid w:val="116C0431"/>
    <w:multiLevelType w:val="hybridMultilevel"/>
    <w:tmpl w:val="E93E9BE0"/>
    <w:lvl w:ilvl="0">
      <w:start w:val="3"/>
      <w:numFmt w:val="upperRoman"/>
      <w:lvlText w:val="%1."/>
      <w:lvlJc w:val="left"/>
      <w:pPr>
        <w:ind w:left="840" w:hanging="720"/>
      </w:pPr>
      <w:rPr>
        <w:rFonts w:ascii="Times New Roman" w:eastAsia="Times New Roman" w:hAnsi="Times New Roman" w:hint="default"/>
        <w:b/>
        <w:bCs/>
        <w:w w:val="99"/>
        <w:sz w:val="24"/>
        <w:szCs w:val="24"/>
      </w:rPr>
    </w:lvl>
    <w:lvl w:ilvl="1">
      <w:start w:val="1"/>
      <w:numFmt w:val="bullet"/>
      <w:lvlText w:val="•"/>
      <w:lvlJc w:val="left"/>
      <w:pPr>
        <w:ind w:left="840" w:hanging="720"/>
      </w:pPr>
      <w:rPr>
        <w:rFonts w:hint="default"/>
      </w:rPr>
    </w:lvl>
    <w:lvl w:ilvl="2">
      <w:start w:val="1"/>
      <w:numFmt w:val="bullet"/>
      <w:lvlText w:val="•"/>
      <w:lvlJc w:val="left"/>
      <w:pPr>
        <w:ind w:left="1728" w:hanging="720"/>
      </w:pPr>
      <w:rPr>
        <w:rFonts w:hint="default"/>
      </w:rPr>
    </w:lvl>
    <w:lvl w:ilvl="3">
      <w:start w:val="1"/>
      <w:numFmt w:val="bullet"/>
      <w:lvlText w:val="•"/>
      <w:lvlJc w:val="left"/>
      <w:pPr>
        <w:ind w:left="2617" w:hanging="720"/>
      </w:pPr>
      <w:rPr>
        <w:rFonts w:hint="default"/>
      </w:rPr>
    </w:lvl>
    <w:lvl w:ilvl="4">
      <w:start w:val="1"/>
      <w:numFmt w:val="bullet"/>
      <w:lvlText w:val="•"/>
      <w:lvlJc w:val="left"/>
      <w:pPr>
        <w:ind w:left="3506" w:hanging="720"/>
      </w:pPr>
      <w:rPr>
        <w:rFonts w:hint="default"/>
      </w:rPr>
    </w:lvl>
    <w:lvl w:ilvl="5">
      <w:start w:val="1"/>
      <w:numFmt w:val="bullet"/>
      <w:lvlText w:val="•"/>
      <w:lvlJc w:val="left"/>
      <w:pPr>
        <w:ind w:left="4395" w:hanging="720"/>
      </w:pPr>
      <w:rPr>
        <w:rFonts w:hint="default"/>
      </w:rPr>
    </w:lvl>
    <w:lvl w:ilvl="6">
      <w:start w:val="1"/>
      <w:numFmt w:val="bullet"/>
      <w:lvlText w:val="•"/>
      <w:lvlJc w:val="left"/>
      <w:pPr>
        <w:ind w:left="5284" w:hanging="720"/>
      </w:pPr>
      <w:rPr>
        <w:rFonts w:hint="default"/>
      </w:rPr>
    </w:lvl>
    <w:lvl w:ilvl="7">
      <w:start w:val="1"/>
      <w:numFmt w:val="bullet"/>
      <w:lvlText w:val="•"/>
      <w:lvlJc w:val="left"/>
      <w:pPr>
        <w:ind w:left="6173" w:hanging="720"/>
      </w:pPr>
      <w:rPr>
        <w:rFonts w:hint="default"/>
      </w:rPr>
    </w:lvl>
    <w:lvl w:ilvl="8">
      <w:start w:val="1"/>
      <w:numFmt w:val="bullet"/>
      <w:lvlText w:val="•"/>
      <w:lvlJc w:val="left"/>
      <w:pPr>
        <w:ind w:left="7062" w:hanging="720"/>
      </w:pPr>
      <w:rPr>
        <w:rFonts w:hint="default"/>
      </w:rPr>
    </w:lvl>
  </w:abstractNum>
  <w:abstractNum w:abstractNumId="16">
    <w:nsid w:val="142E4AC6"/>
    <w:multiLevelType w:val="hybridMultilevel"/>
    <w:tmpl w:val="A0708C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0E500D"/>
    <w:multiLevelType w:val="hybridMultilevel"/>
    <w:tmpl w:val="750EF4F4"/>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18">
    <w:nsid w:val="1A990903"/>
    <w:multiLevelType w:val="hybridMultilevel"/>
    <w:tmpl w:val="C742B06C"/>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19">
    <w:nsid w:val="1ADF08AF"/>
    <w:multiLevelType w:val="hybridMultilevel"/>
    <w:tmpl w:val="B7D01D84"/>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20">
    <w:nsid w:val="1F4311CF"/>
    <w:multiLevelType w:val="hybridMultilevel"/>
    <w:tmpl w:val="E4320324"/>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21">
    <w:nsid w:val="21BC4FD2"/>
    <w:multiLevelType w:val="multilevel"/>
    <w:tmpl w:val="E9AE3C8A"/>
    <w:lvl w:ilvl="0">
      <w:start w:val="14"/>
      <w:numFmt w:val="upperLetter"/>
      <w:lvlText w:val="%1"/>
      <w:lvlJc w:val="left"/>
      <w:pPr>
        <w:ind w:left="487" w:hanging="368"/>
      </w:pPr>
      <w:rPr>
        <w:rFonts w:hint="default"/>
      </w:rPr>
    </w:lvl>
    <w:lvl w:ilvl="1">
      <w:start w:val="5"/>
      <w:numFmt w:val="upperLetter"/>
      <w:lvlText w:val="%1.%2."/>
      <w:lvlJc w:val="left"/>
      <w:pPr>
        <w:ind w:left="487" w:hanging="368"/>
      </w:pPr>
      <w:rPr>
        <w:rFonts w:ascii="Times New Roman" w:eastAsia="Times New Roman" w:hAnsi="Times New Roman" w:hint="default"/>
        <w:w w:val="99"/>
        <w:sz w:val="20"/>
        <w:szCs w:val="20"/>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bullet"/>
      <w:lvlText w:val="•"/>
      <w:lvlJc w:val="left"/>
      <w:pPr>
        <w:ind w:left="3177" w:hanging="720"/>
      </w:pPr>
      <w:rPr>
        <w:rFonts w:hint="default"/>
      </w:rPr>
    </w:lvl>
    <w:lvl w:ilvl="4">
      <w:start w:val="1"/>
      <w:numFmt w:val="bullet"/>
      <w:lvlText w:val="•"/>
      <w:lvlJc w:val="left"/>
      <w:pPr>
        <w:ind w:left="3986" w:hanging="720"/>
      </w:pPr>
      <w:rPr>
        <w:rFonts w:hint="default"/>
      </w:rPr>
    </w:lvl>
    <w:lvl w:ilvl="5">
      <w:start w:val="1"/>
      <w:numFmt w:val="bullet"/>
      <w:lvlText w:val="•"/>
      <w:lvlJc w:val="left"/>
      <w:pPr>
        <w:ind w:left="4795" w:hanging="720"/>
      </w:pPr>
      <w:rPr>
        <w:rFonts w:hint="default"/>
      </w:rPr>
    </w:lvl>
    <w:lvl w:ilvl="6">
      <w:start w:val="1"/>
      <w:numFmt w:val="bullet"/>
      <w:lvlText w:val="•"/>
      <w:lvlJc w:val="left"/>
      <w:pPr>
        <w:ind w:left="5604" w:hanging="720"/>
      </w:pPr>
      <w:rPr>
        <w:rFonts w:hint="default"/>
      </w:rPr>
    </w:lvl>
    <w:lvl w:ilvl="7">
      <w:start w:val="1"/>
      <w:numFmt w:val="bullet"/>
      <w:lvlText w:val="•"/>
      <w:lvlJc w:val="left"/>
      <w:pPr>
        <w:ind w:left="6413" w:hanging="720"/>
      </w:pPr>
      <w:rPr>
        <w:rFonts w:hint="default"/>
      </w:rPr>
    </w:lvl>
    <w:lvl w:ilvl="8">
      <w:start w:val="1"/>
      <w:numFmt w:val="bullet"/>
      <w:lvlText w:val="•"/>
      <w:lvlJc w:val="left"/>
      <w:pPr>
        <w:ind w:left="7222" w:hanging="720"/>
      </w:pPr>
      <w:rPr>
        <w:rFonts w:hint="default"/>
      </w:rPr>
    </w:lvl>
  </w:abstractNum>
  <w:abstractNum w:abstractNumId="22">
    <w:nsid w:val="25671BFF"/>
    <w:multiLevelType w:val="hybridMultilevel"/>
    <w:tmpl w:val="741604C4"/>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23">
    <w:nsid w:val="358E37ED"/>
    <w:multiLevelType w:val="hybridMultilevel"/>
    <w:tmpl w:val="6CB606C8"/>
    <w:lvl w:ilvl="0">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bullet"/>
      <w:lvlText w:val="•"/>
      <w:lvlJc w:val="left"/>
      <w:pPr>
        <w:ind w:left="3008" w:hanging="720"/>
      </w:pPr>
      <w:rPr>
        <w:rFonts w:hint="default"/>
      </w:rPr>
    </w:lvl>
    <w:lvl w:ilvl="3">
      <w:start w:val="1"/>
      <w:numFmt w:val="bullet"/>
      <w:lvlText w:val="•"/>
      <w:lvlJc w:val="left"/>
      <w:pPr>
        <w:ind w:left="3737" w:hanging="720"/>
      </w:pPr>
      <w:rPr>
        <w:rFonts w:hint="default"/>
      </w:rPr>
    </w:lvl>
    <w:lvl w:ilvl="4">
      <w:start w:val="1"/>
      <w:numFmt w:val="bullet"/>
      <w:lvlText w:val="•"/>
      <w:lvlJc w:val="left"/>
      <w:pPr>
        <w:ind w:left="4466" w:hanging="720"/>
      </w:pPr>
      <w:rPr>
        <w:rFonts w:hint="default"/>
      </w:rPr>
    </w:lvl>
    <w:lvl w:ilvl="5">
      <w:start w:val="1"/>
      <w:numFmt w:val="bullet"/>
      <w:lvlText w:val="•"/>
      <w:lvlJc w:val="left"/>
      <w:pPr>
        <w:ind w:left="5195" w:hanging="720"/>
      </w:pPr>
      <w:rPr>
        <w:rFonts w:hint="default"/>
      </w:rPr>
    </w:lvl>
    <w:lvl w:ilvl="6">
      <w:start w:val="1"/>
      <w:numFmt w:val="bullet"/>
      <w:lvlText w:val="•"/>
      <w:lvlJc w:val="left"/>
      <w:pPr>
        <w:ind w:left="5924" w:hanging="720"/>
      </w:pPr>
      <w:rPr>
        <w:rFonts w:hint="default"/>
      </w:rPr>
    </w:lvl>
    <w:lvl w:ilvl="7">
      <w:start w:val="1"/>
      <w:numFmt w:val="bullet"/>
      <w:lvlText w:val="•"/>
      <w:lvlJc w:val="left"/>
      <w:pPr>
        <w:ind w:left="6653" w:hanging="720"/>
      </w:pPr>
      <w:rPr>
        <w:rFonts w:hint="default"/>
      </w:rPr>
    </w:lvl>
    <w:lvl w:ilvl="8">
      <w:start w:val="1"/>
      <w:numFmt w:val="bullet"/>
      <w:lvlText w:val="•"/>
      <w:lvlJc w:val="left"/>
      <w:pPr>
        <w:ind w:left="7382" w:hanging="720"/>
      </w:pPr>
      <w:rPr>
        <w:rFonts w:hint="default"/>
      </w:rPr>
    </w:lvl>
  </w:abstractNum>
  <w:abstractNum w:abstractNumId="24">
    <w:nsid w:val="41C97FDE"/>
    <w:multiLevelType w:val="hybridMultilevel"/>
    <w:tmpl w:val="9B70B2DC"/>
    <w:lvl w:ilvl="0">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start w:val="1"/>
      <w:numFmt w:val="bullet"/>
      <w:lvlText w:val="•"/>
      <w:lvlJc w:val="left"/>
      <w:pPr>
        <w:ind w:left="2292" w:hanging="720"/>
      </w:pPr>
      <w:rPr>
        <w:rFonts w:hint="default"/>
      </w:rPr>
    </w:lvl>
    <w:lvl w:ilvl="2">
      <w:start w:val="1"/>
      <w:numFmt w:val="bullet"/>
      <w:lvlText w:val="•"/>
      <w:lvlJc w:val="left"/>
      <w:pPr>
        <w:ind w:left="3024" w:hanging="720"/>
      </w:pPr>
      <w:rPr>
        <w:rFonts w:hint="default"/>
      </w:rPr>
    </w:lvl>
    <w:lvl w:ilvl="3">
      <w:start w:val="1"/>
      <w:numFmt w:val="bullet"/>
      <w:lvlText w:val="•"/>
      <w:lvlJc w:val="left"/>
      <w:pPr>
        <w:ind w:left="3756" w:hanging="720"/>
      </w:pPr>
      <w:rPr>
        <w:rFonts w:hint="default"/>
      </w:rPr>
    </w:lvl>
    <w:lvl w:ilvl="4">
      <w:start w:val="1"/>
      <w:numFmt w:val="bullet"/>
      <w:lvlText w:val="•"/>
      <w:lvlJc w:val="left"/>
      <w:pPr>
        <w:ind w:left="4488"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5952" w:hanging="720"/>
      </w:pPr>
      <w:rPr>
        <w:rFonts w:hint="default"/>
      </w:rPr>
    </w:lvl>
    <w:lvl w:ilvl="7">
      <w:start w:val="1"/>
      <w:numFmt w:val="bullet"/>
      <w:lvlText w:val="•"/>
      <w:lvlJc w:val="left"/>
      <w:pPr>
        <w:ind w:left="6684" w:hanging="720"/>
      </w:pPr>
      <w:rPr>
        <w:rFonts w:hint="default"/>
      </w:rPr>
    </w:lvl>
    <w:lvl w:ilvl="8">
      <w:start w:val="1"/>
      <w:numFmt w:val="bullet"/>
      <w:lvlText w:val="•"/>
      <w:lvlJc w:val="left"/>
      <w:pPr>
        <w:ind w:left="7416" w:hanging="720"/>
      </w:pPr>
      <w:rPr>
        <w:rFonts w:hint="default"/>
      </w:rPr>
    </w:lvl>
  </w:abstractNum>
  <w:abstractNum w:abstractNumId="25">
    <w:nsid w:val="4584236C"/>
    <w:multiLevelType w:val="hybridMultilevel"/>
    <w:tmpl w:val="276C9DE4"/>
    <w:lvl w:ilvl="0">
      <w:start w:val="3"/>
      <w:numFmt w:val="upperRoman"/>
      <w:lvlText w:val="%1."/>
      <w:lvlJc w:val="left"/>
      <w:pPr>
        <w:ind w:left="840" w:hanging="720"/>
      </w:pPr>
      <w:rPr>
        <w:rFonts w:ascii="Times New Roman" w:eastAsia="Times New Roman" w:hAnsi="Times New Roman" w:hint="default"/>
        <w:spacing w:val="-1"/>
        <w:w w:val="99"/>
        <w:sz w:val="24"/>
        <w:szCs w:val="24"/>
      </w:rPr>
    </w:lvl>
    <w:lvl w:ilvl="1">
      <w:start w:val="1"/>
      <w:numFmt w:val="upperLetter"/>
      <w:lvlText w:val="%2."/>
      <w:lvlJc w:val="left"/>
      <w:pPr>
        <w:ind w:left="1560" w:hanging="720"/>
      </w:pPr>
      <w:rPr>
        <w:rFonts w:ascii="Times New Roman" w:eastAsia="Times New Roman" w:hAnsi="Times New Roman" w:hint="default"/>
        <w:spacing w:val="-1"/>
        <w:w w:val="99"/>
        <w:sz w:val="24"/>
        <w:szCs w:val="24"/>
      </w:rPr>
    </w:lvl>
    <w:lvl w:ilvl="2">
      <w:start w:val="1"/>
      <w:numFmt w:val="bullet"/>
      <w:lvlText w:val="•"/>
      <w:lvlJc w:val="left"/>
      <w:pPr>
        <w:ind w:left="2371" w:hanging="720"/>
      </w:pPr>
      <w:rPr>
        <w:rFonts w:hint="default"/>
      </w:rPr>
    </w:lvl>
    <w:lvl w:ilvl="3">
      <w:start w:val="1"/>
      <w:numFmt w:val="bullet"/>
      <w:lvlText w:val="•"/>
      <w:lvlJc w:val="left"/>
      <w:pPr>
        <w:ind w:left="3182" w:hanging="720"/>
      </w:pPr>
      <w:rPr>
        <w:rFonts w:hint="default"/>
      </w:rPr>
    </w:lvl>
    <w:lvl w:ilvl="4">
      <w:start w:val="1"/>
      <w:numFmt w:val="bullet"/>
      <w:lvlText w:val="•"/>
      <w:lvlJc w:val="left"/>
      <w:pPr>
        <w:ind w:left="3993" w:hanging="720"/>
      </w:pPr>
      <w:rPr>
        <w:rFonts w:hint="default"/>
      </w:rPr>
    </w:lvl>
    <w:lvl w:ilvl="5">
      <w:start w:val="1"/>
      <w:numFmt w:val="bullet"/>
      <w:lvlText w:val="•"/>
      <w:lvlJc w:val="left"/>
      <w:pPr>
        <w:ind w:left="4804" w:hanging="720"/>
      </w:pPr>
      <w:rPr>
        <w:rFonts w:hint="default"/>
      </w:rPr>
    </w:lvl>
    <w:lvl w:ilvl="6">
      <w:start w:val="1"/>
      <w:numFmt w:val="bullet"/>
      <w:lvlText w:val="•"/>
      <w:lvlJc w:val="left"/>
      <w:pPr>
        <w:ind w:left="5615" w:hanging="720"/>
      </w:pPr>
      <w:rPr>
        <w:rFonts w:hint="default"/>
      </w:rPr>
    </w:lvl>
    <w:lvl w:ilvl="7">
      <w:start w:val="1"/>
      <w:numFmt w:val="bullet"/>
      <w:lvlText w:val="•"/>
      <w:lvlJc w:val="left"/>
      <w:pPr>
        <w:ind w:left="6426" w:hanging="720"/>
      </w:pPr>
      <w:rPr>
        <w:rFonts w:hint="default"/>
      </w:rPr>
    </w:lvl>
    <w:lvl w:ilvl="8">
      <w:start w:val="1"/>
      <w:numFmt w:val="bullet"/>
      <w:lvlText w:val="•"/>
      <w:lvlJc w:val="left"/>
      <w:pPr>
        <w:ind w:left="7237" w:hanging="720"/>
      </w:pPr>
      <w:rPr>
        <w:rFonts w:hint="default"/>
      </w:rPr>
    </w:lvl>
  </w:abstractNum>
  <w:abstractNum w:abstractNumId="26">
    <w:nsid w:val="48C32159"/>
    <w:multiLevelType w:val="hybridMultilevel"/>
    <w:tmpl w:val="E67CE916"/>
    <w:lvl w:ilvl="0">
      <w:start w:val="0"/>
      <w:numFmt w:val="none"/>
      <w:lvlJc w:val="left"/>
      <w:pPr>
        <w:tabs>
          <w:tab w:val="num" w:pos="360"/>
        </w:tabs>
      </w:pPr>
    </w:lvl>
    <w:lvl w:ilvl="1">
      <w:start w:val="0"/>
      <w:numFmt w:val="none"/>
      <w:lvlJc w:val="left"/>
      <w:pPr>
        <w:tabs>
          <w:tab w:val="num" w:pos="360"/>
        </w:tabs>
      </w:pPr>
    </w:lvl>
    <w:lvl w:ilvl="2">
      <w:start w:val="1"/>
      <w:numFmt w:val="decimal"/>
      <w:lvlText w:val="%3."/>
      <w:lvlJc w:val="left"/>
      <w:pPr>
        <w:ind w:left="2280" w:hanging="720"/>
      </w:pPr>
      <w:rPr>
        <w:rFonts w:ascii="Times New Roman" w:eastAsia="Times New Roman" w:hAnsi="Times New Roman" w:hint="default"/>
        <w:b/>
        <w:bCs/>
        <w:w w:val="99"/>
        <w:sz w:val="24"/>
        <w:szCs w:val="24"/>
      </w:rPr>
    </w:lvl>
    <w:lvl w:ilvl="3">
      <w:start w:val="1"/>
      <w:numFmt w:val="bullet"/>
      <w:lvlText w:val="•"/>
      <w:lvlJc w:val="left"/>
      <w:pPr>
        <w:ind w:left="3737" w:hanging="720"/>
      </w:pPr>
      <w:rPr>
        <w:rFonts w:hint="default"/>
      </w:rPr>
    </w:lvl>
    <w:lvl w:ilvl="4">
      <w:start w:val="1"/>
      <w:numFmt w:val="bullet"/>
      <w:lvlText w:val="•"/>
      <w:lvlJc w:val="left"/>
      <w:pPr>
        <w:ind w:left="4466" w:hanging="720"/>
      </w:pPr>
      <w:rPr>
        <w:rFonts w:hint="default"/>
      </w:rPr>
    </w:lvl>
    <w:lvl w:ilvl="5">
      <w:start w:val="1"/>
      <w:numFmt w:val="bullet"/>
      <w:lvlText w:val="•"/>
      <w:lvlJc w:val="left"/>
      <w:pPr>
        <w:ind w:left="5195" w:hanging="720"/>
      </w:pPr>
      <w:rPr>
        <w:rFonts w:hint="default"/>
      </w:rPr>
    </w:lvl>
    <w:lvl w:ilvl="6">
      <w:start w:val="1"/>
      <w:numFmt w:val="bullet"/>
      <w:lvlText w:val="•"/>
      <w:lvlJc w:val="left"/>
      <w:pPr>
        <w:ind w:left="5924" w:hanging="720"/>
      </w:pPr>
      <w:rPr>
        <w:rFonts w:hint="default"/>
      </w:rPr>
    </w:lvl>
    <w:lvl w:ilvl="7">
      <w:start w:val="1"/>
      <w:numFmt w:val="bullet"/>
      <w:lvlText w:val="•"/>
      <w:lvlJc w:val="left"/>
      <w:pPr>
        <w:ind w:left="6653" w:hanging="720"/>
      </w:pPr>
      <w:rPr>
        <w:rFonts w:hint="default"/>
      </w:rPr>
    </w:lvl>
    <w:lvl w:ilvl="8">
      <w:start w:val="1"/>
      <w:numFmt w:val="bullet"/>
      <w:lvlText w:val="•"/>
      <w:lvlJc w:val="left"/>
      <w:pPr>
        <w:ind w:left="7382" w:hanging="720"/>
      </w:pPr>
      <w:rPr>
        <w:rFonts w:hint="default"/>
      </w:rPr>
    </w:lvl>
  </w:abstractNum>
  <w:abstractNum w:abstractNumId="27">
    <w:nsid w:val="4E696ACE"/>
    <w:multiLevelType w:val="hybridMultilevel"/>
    <w:tmpl w:val="523EAEB2"/>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lowerLetter"/>
      <w:lvlText w:val="%3."/>
      <w:lvlJc w:val="left"/>
      <w:pPr>
        <w:ind w:left="3000" w:hanging="720"/>
      </w:pPr>
      <w:rPr>
        <w:rFonts w:ascii="Times New Roman" w:eastAsia="Times New Roman" w:hAnsi="Times New Roman" w:hint="default"/>
        <w:spacing w:val="-1"/>
        <w:w w:val="99"/>
        <w:sz w:val="24"/>
        <w:szCs w:val="24"/>
      </w:rPr>
    </w:lvl>
    <w:lvl w:ilvl="3">
      <w:start w:val="1"/>
      <w:numFmt w:val="bullet"/>
      <w:lvlText w:val="•"/>
      <w:lvlJc w:val="left"/>
      <w:pPr>
        <w:ind w:left="3732" w:hanging="720"/>
      </w:pPr>
      <w:rPr>
        <w:rFonts w:hint="default"/>
      </w:rPr>
    </w:lvl>
    <w:lvl w:ilvl="4">
      <w:start w:val="1"/>
      <w:numFmt w:val="bullet"/>
      <w:lvlText w:val="•"/>
      <w:lvlJc w:val="left"/>
      <w:pPr>
        <w:ind w:left="4465" w:hanging="720"/>
      </w:pPr>
      <w:rPr>
        <w:rFonts w:hint="default"/>
      </w:rPr>
    </w:lvl>
    <w:lvl w:ilvl="5">
      <w:start w:val="1"/>
      <w:numFmt w:val="bullet"/>
      <w:lvlText w:val="•"/>
      <w:lvlJc w:val="left"/>
      <w:pPr>
        <w:ind w:left="5197" w:hanging="720"/>
      </w:pPr>
      <w:rPr>
        <w:rFonts w:hint="default"/>
      </w:rPr>
    </w:lvl>
    <w:lvl w:ilvl="6">
      <w:start w:val="1"/>
      <w:numFmt w:val="bullet"/>
      <w:lvlText w:val="•"/>
      <w:lvlJc w:val="left"/>
      <w:pPr>
        <w:ind w:left="5930" w:hanging="720"/>
      </w:pPr>
      <w:rPr>
        <w:rFonts w:hint="default"/>
      </w:rPr>
    </w:lvl>
    <w:lvl w:ilvl="7">
      <w:start w:val="1"/>
      <w:numFmt w:val="bullet"/>
      <w:lvlText w:val="•"/>
      <w:lvlJc w:val="left"/>
      <w:pPr>
        <w:ind w:left="6662" w:hanging="720"/>
      </w:pPr>
      <w:rPr>
        <w:rFonts w:hint="default"/>
      </w:rPr>
    </w:lvl>
    <w:lvl w:ilvl="8">
      <w:start w:val="1"/>
      <w:numFmt w:val="bullet"/>
      <w:lvlText w:val="•"/>
      <w:lvlJc w:val="left"/>
      <w:pPr>
        <w:ind w:left="7395" w:hanging="720"/>
      </w:pPr>
      <w:rPr>
        <w:rFonts w:hint="default"/>
      </w:rPr>
    </w:lvl>
  </w:abstractNum>
  <w:abstractNum w:abstractNumId="28">
    <w:nsid w:val="57E41C2D"/>
    <w:multiLevelType w:val="multilevel"/>
    <w:tmpl w:val="C8702660"/>
    <w:lvl w:ilvl="0">
      <w:start w:val="10"/>
      <w:numFmt w:val="decimal"/>
      <w:lvlText w:val="%1"/>
      <w:lvlJc w:val="left"/>
      <w:pPr>
        <w:ind w:left="720" w:hanging="600"/>
      </w:pPr>
      <w:rPr>
        <w:rFonts w:hint="default"/>
      </w:rPr>
    </w:lvl>
    <w:lvl w:ilvl="1">
      <w:start w:val="88"/>
      <w:numFmt w:val="decimal"/>
      <w:lvlText w:val="%1.%2"/>
      <w:lvlJc w:val="left"/>
      <w:pPr>
        <w:ind w:left="720" w:hanging="600"/>
      </w:pPr>
      <w:rPr>
        <w:rFonts w:ascii="Times New Roman" w:eastAsia="Times New Roman" w:hAnsi="Times New Roman" w:hint="default"/>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decimal"/>
      <w:lvlText w:val="%4."/>
      <w:lvlJc w:val="left"/>
      <w:pPr>
        <w:ind w:left="2280" w:hanging="720"/>
      </w:pPr>
      <w:rPr>
        <w:rFonts w:ascii="Times New Roman" w:eastAsia="Times New Roman" w:hAnsi="Times New Roman" w:hint="default"/>
        <w:b/>
        <w:bCs/>
        <w:w w:val="99"/>
        <w:sz w:val="24"/>
        <w:szCs w:val="24"/>
      </w:rPr>
    </w:lvl>
    <w:lvl w:ilvl="4">
      <w:start w:val="1"/>
      <w:numFmt w:val="bullet"/>
      <w:lvlText w:val="•"/>
      <w:lvlJc w:val="left"/>
      <w:pPr>
        <w:ind w:left="3925" w:hanging="720"/>
      </w:pPr>
      <w:rPr>
        <w:rFonts w:hint="default"/>
      </w:rPr>
    </w:lvl>
    <w:lvl w:ilvl="5">
      <w:start w:val="1"/>
      <w:numFmt w:val="bullet"/>
      <w:lvlText w:val="•"/>
      <w:lvlJc w:val="left"/>
      <w:pPr>
        <w:ind w:left="4747" w:hanging="720"/>
      </w:pPr>
      <w:rPr>
        <w:rFonts w:hint="default"/>
      </w:rPr>
    </w:lvl>
    <w:lvl w:ilvl="6">
      <w:start w:val="1"/>
      <w:numFmt w:val="bullet"/>
      <w:lvlText w:val="•"/>
      <w:lvlJc w:val="left"/>
      <w:pPr>
        <w:ind w:left="5570" w:hanging="720"/>
      </w:pPr>
      <w:rPr>
        <w:rFonts w:hint="default"/>
      </w:rPr>
    </w:lvl>
    <w:lvl w:ilvl="7">
      <w:start w:val="1"/>
      <w:numFmt w:val="bullet"/>
      <w:lvlText w:val="•"/>
      <w:lvlJc w:val="left"/>
      <w:pPr>
        <w:ind w:left="6392" w:hanging="720"/>
      </w:pPr>
      <w:rPr>
        <w:rFonts w:hint="default"/>
      </w:rPr>
    </w:lvl>
    <w:lvl w:ilvl="8">
      <w:start w:val="1"/>
      <w:numFmt w:val="bullet"/>
      <w:lvlText w:val="•"/>
      <w:lvlJc w:val="left"/>
      <w:pPr>
        <w:ind w:left="7215" w:hanging="720"/>
      </w:pPr>
      <w:rPr>
        <w:rFonts w:hint="default"/>
      </w:rPr>
    </w:lvl>
  </w:abstractNum>
  <w:abstractNum w:abstractNumId="29">
    <w:nsid w:val="5D8E53F2"/>
    <w:multiLevelType w:val="hybridMultilevel"/>
    <w:tmpl w:val="89FC304C"/>
    <w:lvl w:ilvl="0">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start w:val="1"/>
      <w:numFmt w:val="decimal"/>
      <w:lvlText w:val="%2."/>
      <w:lvlJc w:val="left"/>
      <w:pPr>
        <w:ind w:left="2280" w:hanging="720"/>
      </w:pPr>
      <w:rPr>
        <w:rFonts w:ascii="Times New Roman" w:eastAsia="Times New Roman" w:hAnsi="Times New Roman" w:hint="default"/>
        <w:b/>
        <w:bCs/>
        <w:w w:val="99"/>
        <w:sz w:val="24"/>
        <w:szCs w:val="24"/>
      </w:rPr>
    </w:lvl>
    <w:lvl w:ilvl="2">
      <w:start w:val="1"/>
      <w:numFmt w:val="lowerLetter"/>
      <w:lvlText w:val="%3."/>
      <w:lvlJc w:val="left"/>
      <w:pPr>
        <w:ind w:left="3000" w:hanging="720"/>
      </w:pPr>
      <w:rPr>
        <w:rFonts w:ascii="Times New Roman" w:eastAsia="Times New Roman" w:hAnsi="Times New Roman" w:hint="default"/>
        <w:b/>
        <w:bCs/>
        <w:w w:val="99"/>
        <w:sz w:val="24"/>
        <w:szCs w:val="24"/>
      </w:rPr>
    </w:lvl>
    <w:lvl w:ilvl="3">
      <w:start w:val="1"/>
      <w:numFmt w:val="bullet"/>
      <w:lvlText w:val="•"/>
      <w:lvlJc w:val="left"/>
      <w:pPr>
        <w:ind w:left="3000" w:hanging="720"/>
      </w:pPr>
      <w:rPr>
        <w:rFonts w:hint="default"/>
      </w:rPr>
    </w:lvl>
    <w:lvl w:ilvl="4">
      <w:start w:val="1"/>
      <w:numFmt w:val="bullet"/>
      <w:lvlText w:val="•"/>
      <w:lvlJc w:val="left"/>
      <w:pPr>
        <w:ind w:left="3837" w:hanging="720"/>
      </w:pPr>
      <w:rPr>
        <w:rFonts w:hint="default"/>
      </w:rPr>
    </w:lvl>
    <w:lvl w:ilvl="5">
      <w:start w:val="1"/>
      <w:numFmt w:val="bullet"/>
      <w:lvlText w:val="•"/>
      <w:lvlJc w:val="left"/>
      <w:pPr>
        <w:ind w:left="4674" w:hanging="720"/>
      </w:pPr>
      <w:rPr>
        <w:rFonts w:hint="default"/>
      </w:rPr>
    </w:lvl>
    <w:lvl w:ilvl="6">
      <w:start w:val="1"/>
      <w:numFmt w:val="bullet"/>
      <w:lvlText w:val="•"/>
      <w:lvlJc w:val="left"/>
      <w:pPr>
        <w:ind w:left="5511" w:hanging="720"/>
      </w:pPr>
      <w:rPr>
        <w:rFonts w:hint="default"/>
      </w:rPr>
    </w:lvl>
    <w:lvl w:ilvl="7">
      <w:start w:val="1"/>
      <w:numFmt w:val="bullet"/>
      <w:lvlText w:val="•"/>
      <w:lvlJc w:val="left"/>
      <w:pPr>
        <w:ind w:left="6348" w:hanging="720"/>
      </w:pPr>
      <w:rPr>
        <w:rFonts w:hint="default"/>
      </w:rPr>
    </w:lvl>
    <w:lvl w:ilvl="8">
      <w:start w:val="1"/>
      <w:numFmt w:val="bullet"/>
      <w:lvlText w:val="•"/>
      <w:lvlJc w:val="left"/>
      <w:pPr>
        <w:ind w:left="7185" w:hanging="720"/>
      </w:pPr>
      <w:rPr>
        <w:rFonts w:hint="default"/>
      </w:rPr>
    </w:lvl>
  </w:abstractNum>
  <w:abstractNum w:abstractNumId="30">
    <w:nsid w:val="610371EF"/>
    <w:multiLevelType w:val="hybridMultilevel"/>
    <w:tmpl w:val="5A747BF4"/>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bullet"/>
      <w:lvlText w:val="•"/>
      <w:lvlJc w:val="left"/>
      <w:pPr>
        <w:ind w:left="3011" w:hanging="720"/>
      </w:pPr>
      <w:rPr>
        <w:rFonts w:hint="default"/>
      </w:rPr>
    </w:lvl>
    <w:lvl w:ilvl="3">
      <w:start w:val="1"/>
      <w:numFmt w:val="bullet"/>
      <w:lvlText w:val="•"/>
      <w:lvlJc w:val="left"/>
      <w:pPr>
        <w:ind w:left="3742" w:hanging="720"/>
      </w:pPr>
      <w:rPr>
        <w:rFonts w:hint="default"/>
      </w:rPr>
    </w:lvl>
    <w:lvl w:ilvl="4">
      <w:start w:val="1"/>
      <w:numFmt w:val="bullet"/>
      <w:lvlText w:val="•"/>
      <w:lvlJc w:val="left"/>
      <w:pPr>
        <w:ind w:left="4473" w:hanging="720"/>
      </w:pPr>
      <w:rPr>
        <w:rFonts w:hint="default"/>
      </w:rPr>
    </w:lvl>
    <w:lvl w:ilvl="5">
      <w:start w:val="1"/>
      <w:numFmt w:val="bullet"/>
      <w:lvlText w:val="•"/>
      <w:lvlJc w:val="left"/>
      <w:pPr>
        <w:ind w:left="5204" w:hanging="720"/>
      </w:pPr>
      <w:rPr>
        <w:rFonts w:hint="default"/>
      </w:rPr>
    </w:lvl>
    <w:lvl w:ilvl="6">
      <w:start w:val="1"/>
      <w:numFmt w:val="bullet"/>
      <w:lvlText w:val="•"/>
      <w:lvlJc w:val="left"/>
      <w:pPr>
        <w:ind w:left="5935" w:hanging="720"/>
      </w:pPr>
      <w:rPr>
        <w:rFonts w:hint="default"/>
      </w:rPr>
    </w:lvl>
    <w:lvl w:ilvl="7">
      <w:start w:val="1"/>
      <w:numFmt w:val="bullet"/>
      <w:lvlText w:val="•"/>
      <w:lvlJc w:val="left"/>
      <w:pPr>
        <w:ind w:left="6666" w:hanging="720"/>
      </w:pPr>
      <w:rPr>
        <w:rFonts w:hint="default"/>
      </w:rPr>
    </w:lvl>
    <w:lvl w:ilvl="8">
      <w:start w:val="1"/>
      <w:numFmt w:val="bullet"/>
      <w:lvlText w:val="•"/>
      <w:lvlJc w:val="left"/>
      <w:pPr>
        <w:ind w:left="7397" w:hanging="720"/>
      </w:pPr>
      <w:rPr>
        <w:rFonts w:hint="default"/>
      </w:rPr>
    </w:lvl>
  </w:abstractNum>
  <w:abstractNum w:abstractNumId="31">
    <w:nsid w:val="66702199"/>
    <w:multiLevelType w:val="hybridMultilevel"/>
    <w:tmpl w:val="617AF72A"/>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32">
    <w:nsid w:val="6AA46BC0"/>
    <w:multiLevelType w:val="hybridMultilevel"/>
    <w:tmpl w:val="D660B4B2"/>
    <w:lvl w:ilvl="0">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abstractNum w:abstractNumId="33">
    <w:nsid w:val="6AEB030A"/>
    <w:multiLevelType w:val="hybridMultilevel"/>
    <w:tmpl w:val="98461D00"/>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bullet"/>
      <w:lvlText w:val="•"/>
      <w:lvlJc w:val="left"/>
      <w:pPr>
        <w:ind w:left="3011" w:hanging="720"/>
      </w:pPr>
      <w:rPr>
        <w:rFonts w:hint="default"/>
      </w:rPr>
    </w:lvl>
    <w:lvl w:ilvl="3">
      <w:start w:val="1"/>
      <w:numFmt w:val="bullet"/>
      <w:lvlText w:val="•"/>
      <w:lvlJc w:val="left"/>
      <w:pPr>
        <w:ind w:left="3742" w:hanging="720"/>
      </w:pPr>
      <w:rPr>
        <w:rFonts w:hint="default"/>
      </w:rPr>
    </w:lvl>
    <w:lvl w:ilvl="4">
      <w:start w:val="1"/>
      <w:numFmt w:val="bullet"/>
      <w:lvlText w:val="•"/>
      <w:lvlJc w:val="left"/>
      <w:pPr>
        <w:ind w:left="4473" w:hanging="720"/>
      </w:pPr>
      <w:rPr>
        <w:rFonts w:hint="default"/>
      </w:rPr>
    </w:lvl>
    <w:lvl w:ilvl="5">
      <w:start w:val="1"/>
      <w:numFmt w:val="bullet"/>
      <w:lvlText w:val="•"/>
      <w:lvlJc w:val="left"/>
      <w:pPr>
        <w:ind w:left="5204" w:hanging="720"/>
      </w:pPr>
      <w:rPr>
        <w:rFonts w:hint="default"/>
      </w:rPr>
    </w:lvl>
    <w:lvl w:ilvl="6">
      <w:start w:val="1"/>
      <w:numFmt w:val="bullet"/>
      <w:lvlText w:val="•"/>
      <w:lvlJc w:val="left"/>
      <w:pPr>
        <w:ind w:left="5935" w:hanging="720"/>
      </w:pPr>
      <w:rPr>
        <w:rFonts w:hint="default"/>
      </w:rPr>
    </w:lvl>
    <w:lvl w:ilvl="7">
      <w:start w:val="1"/>
      <w:numFmt w:val="bullet"/>
      <w:lvlText w:val="•"/>
      <w:lvlJc w:val="left"/>
      <w:pPr>
        <w:ind w:left="6666" w:hanging="720"/>
      </w:pPr>
      <w:rPr>
        <w:rFonts w:hint="default"/>
      </w:rPr>
    </w:lvl>
    <w:lvl w:ilvl="8">
      <w:start w:val="1"/>
      <w:numFmt w:val="bullet"/>
      <w:lvlText w:val="•"/>
      <w:lvlJc w:val="left"/>
      <w:pPr>
        <w:ind w:left="7397" w:hanging="720"/>
      </w:pPr>
      <w:rPr>
        <w:rFonts w:hint="default"/>
      </w:rPr>
    </w:lvl>
  </w:abstractNum>
  <w:abstractNum w:abstractNumId="34">
    <w:nsid w:val="749D0BEC"/>
    <w:multiLevelType w:val="hybridMultilevel"/>
    <w:tmpl w:val="1B7009C8"/>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bullet"/>
      <w:lvlText w:val="•"/>
      <w:lvlJc w:val="left"/>
      <w:pPr>
        <w:ind w:left="2280" w:hanging="720"/>
      </w:pPr>
      <w:rPr>
        <w:rFonts w:hint="default"/>
      </w:rPr>
    </w:lvl>
    <w:lvl w:ilvl="3">
      <w:start w:val="1"/>
      <w:numFmt w:val="bullet"/>
      <w:lvlText w:val="•"/>
      <w:lvlJc w:val="left"/>
      <w:pPr>
        <w:ind w:left="3097" w:hanging="720"/>
      </w:pPr>
      <w:rPr>
        <w:rFonts w:hint="default"/>
      </w:rPr>
    </w:lvl>
    <w:lvl w:ilvl="4">
      <w:start w:val="1"/>
      <w:numFmt w:val="bullet"/>
      <w:lvlText w:val="•"/>
      <w:lvlJc w:val="left"/>
      <w:pPr>
        <w:ind w:left="3915" w:hanging="720"/>
      </w:pPr>
      <w:rPr>
        <w:rFonts w:hint="default"/>
      </w:rPr>
    </w:lvl>
    <w:lvl w:ilvl="5">
      <w:start w:val="1"/>
      <w:numFmt w:val="bullet"/>
      <w:lvlText w:val="•"/>
      <w:lvlJc w:val="left"/>
      <w:pPr>
        <w:ind w:left="4732" w:hanging="720"/>
      </w:pPr>
      <w:rPr>
        <w:rFonts w:hint="default"/>
      </w:rPr>
    </w:lvl>
    <w:lvl w:ilvl="6">
      <w:start w:val="1"/>
      <w:numFmt w:val="bullet"/>
      <w:lvlText w:val="•"/>
      <w:lvlJc w:val="left"/>
      <w:pPr>
        <w:ind w:left="5550" w:hanging="720"/>
      </w:pPr>
      <w:rPr>
        <w:rFonts w:hint="default"/>
      </w:rPr>
    </w:lvl>
    <w:lvl w:ilvl="7">
      <w:start w:val="1"/>
      <w:numFmt w:val="bullet"/>
      <w:lvlText w:val="•"/>
      <w:lvlJc w:val="left"/>
      <w:pPr>
        <w:ind w:left="6367" w:hanging="720"/>
      </w:pPr>
      <w:rPr>
        <w:rFonts w:hint="default"/>
      </w:rPr>
    </w:lvl>
    <w:lvl w:ilvl="8">
      <w:start w:val="1"/>
      <w:numFmt w:val="bullet"/>
      <w:lvlText w:val="•"/>
      <w:lvlJc w:val="left"/>
      <w:pPr>
        <w:ind w:left="7185" w:hanging="720"/>
      </w:pPr>
      <w:rPr>
        <w:rFonts w:hint="default"/>
      </w:rPr>
    </w:lvl>
  </w:abstractNum>
  <w:abstractNum w:abstractNumId="35">
    <w:nsid w:val="768A591C"/>
    <w:multiLevelType w:val="hybridMultilevel"/>
    <w:tmpl w:val="9842C4D4"/>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decimal"/>
      <w:lvlText w:val="%2."/>
      <w:lvlJc w:val="left"/>
      <w:pPr>
        <w:ind w:left="2280" w:hanging="720"/>
      </w:pPr>
      <w:rPr>
        <w:rFonts w:ascii="Times New Roman" w:eastAsia="Times New Roman" w:hAnsi="Times New Roman" w:hint="default"/>
        <w:w w:val="99"/>
        <w:sz w:val="24"/>
        <w:szCs w:val="24"/>
      </w:rPr>
    </w:lvl>
    <w:lvl w:ilvl="2">
      <w:start w:val="1"/>
      <w:numFmt w:val="lowerLetter"/>
      <w:lvlText w:val="%3."/>
      <w:lvlJc w:val="left"/>
      <w:pPr>
        <w:ind w:left="3000" w:hanging="720"/>
      </w:pPr>
      <w:rPr>
        <w:rFonts w:ascii="Times New Roman" w:eastAsia="Times New Roman" w:hAnsi="Times New Roman" w:hint="default"/>
        <w:spacing w:val="-1"/>
        <w:w w:val="99"/>
        <w:sz w:val="24"/>
        <w:szCs w:val="24"/>
      </w:rPr>
    </w:lvl>
    <w:lvl w:ilvl="3">
      <w:start w:val="1"/>
      <w:numFmt w:val="bullet"/>
      <w:lvlText w:val="•"/>
      <w:lvlJc w:val="left"/>
      <w:pPr>
        <w:ind w:left="3730" w:hanging="720"/>
      </w:pPr>
      <w:rPr>
        <w:rFonts w:hint="default"/>
      </w:rPr>
    </w:lvl>
    <w:lvl w:ilvl="4">
      <w:start w:val="1"/>
      <w:numFmt w:val="bullet"/>
      <w:lvlText w:val="•"/>
      <w:lvlJc w:val="left"/>
      <w:pPr>
        <w:ind w:left="4460" w:hanging="720"/>
      </w:pPr>
      <w:rPr>
        <w:rFonts w:hint="default"/>
      </w:rPr>
    </w:lvl>
    <w:lvl w:ilvl="5">
      <w:start w:val="1"/>
      <w:numFmt w:val="bullet"/>
      <w:lvlText w:val="•"/>
      <w:lvlJc w:val="left"/>
      <w:pPr>
        <w:ind w:left="5190"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650" w:hanging="720"/>
      </w:pPr>
      <w:rPr>
        <w:rFonts w:hint="default"/>
      </w:rPr>
    </w:lvl>
    <w:lvl w:ilvl="8">
      <w:start w:val="1"/>
      <w:numFmt w:val="bullet"/>
      <w:lvlText w:val="•"/>
      <w:lvlJc w:val="left"/>
      <w:pPr>
        <w:ind w:left="7380" w:hanging="720"/>
      </w:pPr>
      <w:rPr>
        <w:rFonts w:hint="default"/>
      </w:rPr>
    </w:lvl>
  </w:abstractNum>
  <w:abstractNum w:abstractNumId="36">
    <w:nsid w:val="79A462D7"/>
    <w:multiLevelType w:val="hybridMultilevel"/>
    <w:tmpl w:val="37EEF48A"/>
    <w:lvl w:ilvl="0">
      <w:start w:val="1"/>
      <w:numFmt w:val="upperLetter"/>
      <w:lvlText w:val="%1."/>
      <w:lvlJc w:val="left"/>
      <w:pPr>
        <w:ind w:left="1560" w:hanging="720"/>
      </w:pPr>
      <w:rPr>
        <w:rFonts w:ascii="Times New Roman" w:eastAsia="Times New Roman" w:hAnsi="Times New Roman" w:hint="default"/>
        <w:spacing w:val="-1"/>
        <w:w w:val="99"/>
        <w:sz w:val="24"/>
        <w:szCs w:val="24"/>
      </w:rPr>
    </w:lvl>
    <w:lvl w:ilvl="1">
      <w:start w:val="1"/>
      <w:numFmt w:val="bullet"/>
      <w:lvlText w:val="•"/>
      <w:lvlJc w:val="left"/>
      <w:pPr>
        <w:ind w:left="2290" w:hanging="720"/>
      </w:pPr>
      <w:rPr>
        <w:rFonts w:hint="default"/>
      </w:rPr>
    </w:lvl>
    <w:lvl w:ilvl="2">
      <w:start w:val="1"/>
      <w:numFmt w:val="bullet"/>
      <w:lvlText w:val="•"/>
      <w:lvlJc w:val="left"/>
      <w:pPr>
        <w:ind w:left="3020" w:hanging="720"/>
      </w:pPr>
      <w:rPr>
        <w:rFonts w:hint="default"/>
      </w:rPr>
    </w:lvl>
    <w:lvl w:ilvl="3">
      <w:start w:val="1"/>
      <w:numFmt w:val="bullet"/>
      <w:lvlText w:val="•"/>
      <w:lvlJc w:val="left"/>
      <w:pPr>
        <w:ind w:left="3750" w:hanging="720"/>
      </w:pPr>
      <w:rPr>
        <w:rFonts w:hint="default"/>
      </w:rPr>
    </w:lvl>
    <w:lvl w:ilvl="4">
      <w:start w:val="1"/>
      <w:numFmt w:val="bullet"/>
      <w:lvlText w:val="•"/>
      <w:lvlJc w:val="left"/>
      <w:pPr>
        <w:ind w:left="4480" w:hanging="720"/>
      </w:pPr>
      <w:rPr>
        <w:rFonts w:hint="default"/>
      </w:rPr>
    </w:lvl>
    <w:lvl w:ilvl="5">
      <w:start w:val="1"/>
      <w:numFmt w:val="bullet"/>
      <w:lvlText w:val="•"/>
      <w:lvlJc w:val="left"/>
      <w:pPr>
        <w:ind w:left="5210"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400" w:hanging="720"/>
      </w:pPr>
      <w:rPr>
        <w:rFonts w:hint="default"/>
      </w:rPr>
    </w:lvl>
  </w:abstractNum>
  <w:num w:numId="1">
    <w:abstractNumId w:val="21"/>
  </w:num>
  <w:num w:numId="2">
    <w:abstractNumId w:val="24"/>
  </w:num>
  <w:num w:numId="3">
    <w:abstractNumId w:val="23"/>
  </w:num>
  <w:num w:numId="4">
    <w:abstractNumId w:val="12"/>
  </w:num>
  <w:num w:numId="5">
    <w:abstractNumId w:val="32"/>
  </w:num>
  <w:num w:numId="6">
    <w:abstractNumId w:val="26"/>
  </w:num>
  <w:num w:numId="7">
    <w:abstractNumId w:val="28"/>
  </w:num>
  <w:num w:numId="8">
    <w:abstractNumId w:val="29"/>
  </w:num>
  <w:num w:numId="9">
    <w:abstractNumId w:val="13"/>
  </w:num>
  <w:num w:numId="10">
    <w:abstractNumId w:val="15"/>
  </w:num>
  <w:num w:numId="11">
    <w:abstractNumId w:val="8"/>
  </w:num>
  <w:num w:numId="12">
    <w:abstractNumId w:val="31"/>
  </w:num>
  <w:num w:numId="13">
    <w:abstractNumId w:val="20"/>
  </w:num>
  <w:num w:numId="14">
    <w:abstractNumId w:val="33"/>
  </w:num>
  <w:num w:numId="15">
    <w:abstractNumId w:val="22"/>
  </w:num>
  <w:num w:numId="16">
    <w:abstractNumId w:val="34"/>
  </w:num>
  <w:num w:numId="17">
    <w:abstractNumId w:val="27"/>
  </w:num>
  <w:num w:numId="18">
    <w:abstractNumId w:val="25"/>
  </w:num>
  <w:num w:numId="19">
    <w:abstractNumId w:val="19"/>
  </w:num>
  <w:num w:numId="20">
    <w:abstractNumId w:val="18"/>
  </w:num>
  <w:num w:numId="21">
    <w:abstractNumId w:val="17"/>
  </w:num>
  <w:num w:numId="22">
    <w:abstractNumId w:val="30"/>
  </w:num>
  <w:num w:numId="23">
    <w:abstractNumId w:val="36"/>
  </w:num>
  <w:num w:numId="24">
    <w:abstractNumId w:val="14"/>
  </w:num>
  <w:num w:numId="25">
    <w:abstractNumId w:val="35"/>
  </w:num>
  <w:num w:numId="26">
    <w:abstractNumId w:val="11"/>
  </w:num>
  <w:num w:numId="27">
    <w:abstractNumId w:val="7"/>
  </w:num>
  <w:num w:numId="28">
    <w:abstractNumId w:val="5"/>
  </w:num>
  <w:num w:numId="29">
    <w:abstractNumId w:val="4"/>
  </w:num>
  <w:num w:numId="30">
    <w:abstractNumId w:val="3"/>
  </w:num>
  <w:num w:numId="31">
    <w:abstractNumId w:val="2"/>
  </w:num>
  <w:num w:numId="32">
    <w:abstractNumId w:val="6"/>
  </w:num>
  <w:num w:numId="33">
    <w:abstractNumId w:val="1"/>
  </w:num>
  <w:num w:numId="34">
    <w:abstractNumId w:val="0"/>
  </w:num>
  <w:num w:numId="35">
    <w:abstractNumId w:val="16"/>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1544"/>
    <w:rPr>
      <w:rFonts w:ascii="Times New Roman" w:hAnsi="Times New Roman"/>
      <w:sz w:val="24"/>
    </w:rPr>
  </w:style>
  <w:style w:type="paragraph" w:styleId="Heading1">
    <w:name w:val="heading 1"/>
    <w:basedOn w:val="Normal"/>
    <w:autoRedefine/>
    <w:uiPriority w:val="1"/>
    <w:qFormat/>
    <w:rsid w:val="0027156E"/>
    <w:pPr>
      <w:keepNext/>
      <w:spacing w:after="240"/>
      <w:ind w:left="720" w:hanging="720"/>
      <w:outlineLvl w:val="0"/>
    </w:pPr>
    <w:rPr>
      <w:rFonts w:ascii="Times New Roman Bold" w:eastAsia="Times New Roman" w:hAnsi="Times New Roman Bold"/>
      <w:b/>
      <w:bCs/>
      <w:caps/>
      <w:szCs w:val="24"/>
    </w:rPr>
  </w:style>
  <w:style w:type="paragraph" w:styleId="Heading2">
    <w:name w:val="heading 2"/>
    <w:basedOn w:val="Normal"/>
    <w:next w:val="Normal"/>
    <w:link w:val="Heading2Char"/>
    <w:autoRedefine/>
    <w:uiPriority w:val="9"/>
    <w:unhideWhenUsed/>
    <w:qFormat/>
    <w:rsid w:val="00220502"/>
    <w:pPr>
      <w:keepNext/>
      <w:keepLines/>
      <w:numPr>
        <w:numId w:val="37"/>
      </w:numPr>
      <w:spacing w:after="240"/>
      <w:ind w:left="1440" w:right="720" w:hanging="720"/>
      <w:outlineLvl w:val="1"/>
    </w:pPr>
    <w:rPr>
      <w:rFonts w:ascii="Times New Roman Bold" w:hAnsi="Times New Roman Bold"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27156E"/>
    <w:pPr>
      <w:spacing w:after="240"/>
      <w:ind w:left="720" w:hanging="720"/>
      <w:outlineLvl w:val="0"/>
    </w:pPr>
    <w:rPr>
      <w:rFonts w:ascii="Times New Roman Bold" w:eastAsia="Times New Roman" w:hAnsi="Times New Roman Bold"/>
      <w:b/>
      <w:szCs w:val="24"/>
    </w:rPr>
  </w:style>
  <w:style w:type="paragraph" w:styleId="TOC2">
    <w:name w:val="toc 2"/>
    <w:basedOn w:val="Normal"/>
    <w:autoRedefine/>
    <w:uiPriority w:val="39"/>
    <w:qFormat/>
    <w:rsid w:val="0027156E"/>
    <w:pPr>
      <w:spacing w:after="120"/>
      <w:ind w:left="1440" w:hanging="720"/>
      <w:outlineLvl w:val="1"/>
    </w:pPr>
    <w:rPr>
      <w:rFonts w:ascii="Times New Roman Bold" w:eastAsia="Times New Roman" w:hAnsi="Times New Roman Bold"/>
      <w:szCs w:val="24"/>
    </w:rPr>
  </w:style>
  <w:style w:type="paragraph" w:styleId="TOC3">
    <w:name w:val="toc 3"/>
    <w:basedOn w:val="Normal"/>
    <w:uiPriority w:val="1"/>
    <w:qFormat/>
    <w:pPr>
      <w:spacing w:before="240"/>
      <w:ind w:left="2280" w:hanging="720"/>
    </w:pPr>
    <w:rPr>
      <w:rFonts w:eastAsia="Times New Roman"/>
      <w:szCs w:val="24"/>
    </w:rPr>
  </w:style>
  <w:style w:type="paragraph" w:styleId="TOC4">
    <w:name w:val="toc 4"/>
    <w:basedOn w:val="Normal"/>
    <w:uiPriority w:val="1"/>
    <w:qFormat/>
    <w:pPr>
      <w:ind w:left="2279" w:hanging="720"/>
    </w:pPr>
    <w:rPr>
      <w:rFonts w:eastAsia="Times New Roman"/>
      <w:szCs w:val="24"/>
    </w:rPr>
  </w:style>
  <w:style w:type="paragraph" w:styleId="BodyText">
    <w:name w:val="Body Text"/>
    <w:basedOn w:val="Normal"/>
    <w:link w:val="BodyTextChar"/>
    <w:uiPriority w:val="1"/>
    <w:qFormat/>
    <w:pPr>
      <w:ind w:left="119"/>
    </w:pPr>
    <w:rPr>
      <w:rFonts w:eastAsia="Times New Roman"/>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655A"/>
    <w:pPr>
      <w:tabs>
        <w:tab w:val="center" w:pos="4680"/>
        <w:tab w:val="right" w:pos="9360"/>
      </w:tabs>
    </w:pPr>
  </w:style>
  <w:style w:type="character" w:customStyle="1" w:styleId="HeaderChar">
    <w:name w:val="Header Char"/>
    <w:basedOn w:val="DefaultParagraphFont"/>
    <w:link w:val="Header"/>
    <w:uiPriority w:val="99"/>
    <w:rsid w:val="00C2655A"/>
  </w:style>
  <w:style w:type="paragraph" w:styleId="Footer">
    <w:name w:val="footer"/>
    <w:basedOn w:val="Normal"/>
    <w:link w:val="FooterChar"/>
    <w:uiPriority w:val="99"/>
    <w:unhideWhenUsed/>
    <w:rsid w:val="00C2655A"/>
    <w:pPr>
      <w:tabs>
        <w:tab w:val="center" w:pos="4680"/>
        <w:tab w:val="right" w:pos="9360"/>
      </w:tabs>
    </w:pPr>
  </w:style>
  <w:style w:type="character" w:customStyle="1" w:styleId="FooterChar">
    <w:name w:val="Footer Char"/>
    <w:basedOn w:val="DefaultParagraphFont"/>
    <w:link w:val="Footer"/>
    <w:uiPriority w:val="99"/>
    <w:rsid w:val="00C2655A"/>
  </w:style>
  <w:style w:type="paragraph" w:styleId="BalloonText">
    <w:name w:val="Balloon Text"/>
    <w:basedOn w:val="Normal"/>
    <w:link w:val="BalloonTextChar"/>
    <w:uiPriority w:val="99"/>
    <w:semiHidden/>
    <w:unhideWhenUsed/>
    <w:rsid w:val="00974839"/>
    <w:rPr>
      <w:rFonts w:ascii="Tahoma" w:hAnsi="Tahoma" w:cs="Tahoma"/>
      <w:sz w:val="16"/>
      <w:szCs w:val="16"/>
    </w:rPr>
  </w:style>
  <w:style w:type="character" w:customStyle="1" w:styleId="BalloonTextChar">
    <w:name w:val="Balloon Text Char"/>
    <w:basedOn w:val="DefaultParagraphFont"/>
    <w:link w:val="BalloonText"/>
    <w:uiPriority w:val="99"/>
    <w:semiHidden/>
    <w:rsid w:val="00974839"/>
    <w:rPr>
      <w:rFonts w:ascii="Tahoma" w:hAnsi="Tahoma" w:cs="Tahoma"/>
      <w:sz w:val="16"/>
      <w:szCs w:val="16"/>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sid w:val="00A7305F"/>
    <w:pPr>
      <w:widowControl/>
    </w:pPr>
    <w:rPr>
      <w:rFonts w:eastAsia="Times New Roman" w:cs="Times New Roman"/>
      <w:sz w:val="20"/>
      <w:szCs w:val="20"/>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A7305F"/>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sid w:val="0043464D"/>
    <w:rPr>
      <w:rFonts w:cs="Times New Roman"/>
      <w:vertAlign w:val="superscript"/>
    </w:rPr>
  </w:style>
  <w:style w:type="character" w:styleId="CommentReference">
    <w:name w:val="annotation reference"/>
    <w:basedOn w:val="DefaultParagraphFont"/>
    <w:uiPriority w:val="99"/>
    <w:semiHidden/>
    <w:unhideWhenUsed/>
    <w:rsid w:val="00800B25"/>
    <w:rPr>
      <w:sz w:val="16"/>
      <w:szCs w:val="16"/>
    </w:rPr>
  </w:style>
  <w:style w:type="paragraph" w:styleId="CommentText">
    <w:name w:val="annotation text"/>
    <w:basedOn w:val="Normal"/>
    <w:link w:val="CommentTextChar"/>
    <w:uiPriority w:val="99"/>
    <w:semiHidden/>
    <w:unhideWhenUsed/>
    <w:rsid w:val="00800B25"/>
    <w:rPr>
      <w:sz w:val="20"/>
      <w:szCs w:val="20"/>
    </w:rPr>
  </w:style>
  <w:style w:type="character" w:customStyle="1" w:styleId="CommentTextChar">
    <w:name w:val="Comment Text Char"/>
    <w:basedOn w:val="DefaultParagraphFont"/>
    <w:link w:val="CommentText"/>
    <w:uiPriority w:val="99"/>
    <w:semiHidden/>
    <w:rsid w:val="00800B25"/>
    <w:rPr>
      <w:sz w:val="20"/>
      <w:szCs w:val="20"/>
    </w:rPr>
  </w:style>
  <w:style w:type="paragraph" w:styleId="CommentSubject">
    <w:name w:val="annotation subject"/>
    <w:basedOn w:val="CommentText"/>
    <w:next w:val="CommentText"/>
    <w:link w:val="CommentSubjectChar"/>
    <w:uiPriority w:val="99"/>
    <w:semiHidden/>
    <w:unhideWhenUsed/>
    <w:rsid w:val="00800B25"/>
    <w:rPr>
      <w:b/>
      <w:bCs/>
    </w:rPr>
  </w:style>
  <w:style w:type="character" w:customStyle="1" w:styleId="CommentSubjectChar">
    <w:name w:val="Comment Subject Char"/>
    <w:basedOn w:val="CommentTextChar"/>
    <w:link w:val="CommentSubject"/>
    <w:uiPriority w:val="99"/>
    <w:semiHidden/>
    <w:rsid w:val="00800B25"/>
    <w:rPr>
      <w:b/>
      <w:bCs/>
      <w:sz w:val="20"/>
      <w:szCs w:val="20"/>
    </w:rPr>
  </w:style>
  <w:style w:type="character" w:customStyle="1" w:styleId="ssleftalign">
    <w:name w:val="ss_leftalign"/>
    <w:basedOn w:val="DefaultParagraphFont"/>
    <w:rsid w:val="006D240E"/>
  </w:style>
  <w:style w:type="character" w:customStyle="1" w:styleId="ssit">
    <w:name w:val="ss_it"/>
    <w:basedOn w:val="DefaultParagraphFont"/>
    <w:rsid w:val="006D240E"/>
  </w:style>
  <w:style w:type="character" w:customStyle="1" w:styleId="Heading2Char">
    <w:name w:val="Heading 2 Char"/>
    <w:basedOn w:val="DefaultParagraphFont"/>
    <w:link w:val="Heading2"/>
    <w:uiPriority w:val="9"/>
    <w:rsid w:val="00220502"/>
    <w:rPr>
      <w:rFonts w:ascii="Times New Roman Bold" w:hAnsi="Times New Roman Bold" w:eastAsiaTheme="majorEastAsia" w:cstheme="majorBidi"/>
      <w:b/>
      <w:bCs/>
      <w:sz w:val="24"/>
      <w:szCs w:val="26"/>
    </w:rPr>
  </w:style>
  <w:style w:type="character" w:customStyle="1" w:styleId="ssrfcpassagedeactivated">
    <w:name w:val="ss_rfcpassage_deactivated"/>
    <w:basedOn w:val="DefaultParagraphFont"/>
    <w:rsid w:val="00C259D0"/>
  </w:style>
  <w:style w:type="character" w:styleId="Hyperlink">
    <w:name w:val="Hyperlink"/>
    <w:uiPriority w:val="99"/>
    <w:rsid w:val="0046148C"/>
    <w:rPr>
      <w:color w:val="0000FF"/>
      <w:u w:val="single"/>
    </w:rPr>
  </w:style>
  <w:style w:type="table" w:styleId="TableGrid">
    <w:name w:val="Table Grid"/>
    <w:basedOn w:val="TableNormal"/>
    <w:uiPriority w:val="99"/>
    <w:rsid w:val="00E9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31544"/>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9A2F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2F2E"/>
    <w:rPr>
      <w:rFonts w:ascii="Times New Roman" w:hAnsi="Times New Roman"/>
      <w:sz w:val="16"/>
      <w:szCs w:val="16"/>
    </w:rPr>
  </w:style>
  <w:style w:type="character" w:customStyle="1" w:styleId="sssh">
    <w:name w:val="ss_sh"/>
    <w:basedOn w:val="DefaultParagraphFont"/>
    <w:rsid w:val="00A311CB"/>
  </w:style>
  <w:style w:type="paragraph" w:styleId="NoSpacing">
    <w:name w:val="No Spacing"/>
    <w:uiPriority w:val="1"/>
    <w:qFormat/>
    <w:rsid w:val="008D1D01"/>
    <w:rPr>
      <w:rFonts w:ascii="Times New Roman" w:hAnsi="Times New Roman"/>
      <w:sz w:val="24"/>
    </w:rPr>
  </w:style>
  <w:style w:type="paragraph" w:styleId="Revision">
    <w:name w:val="Revision"/>
    <w:hidden/>
    <w:uiPriority w:val="99"/>
    <w:semiHidden/>
    <w:rsid w:val="0030404C"/>
    <w:pPr>
      <w:widowControl/>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C16-1106-GA-AAM Application for Rehearing.DOCX</vt:lpstr>
    </vt:vector>
  </TitlesOfParts>
  <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2017-01-20T21:46:41Z</dcterms:created>
  <dcterms:modified xsi:type="dcterms:W3CDTF">2017-01-20T21:46:41Z</dcterms:modified>
</cp:coreProperties>
</file>