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25FB6" w:rsidRPr="00047311" w:rsidP="00025FB6" w14:paraId="43E4F95D" w14:textId="6394AEBB">
      <w:pPr>
        <w:jc w:val="right"/>
        <w:rPr>
          <w:rFonts w:eastAsia="Times New Roman"/>
          <w:b/>
          <w:bCs/>
          <w:i/>
          <w:iCs/>
          <w:bdr w:val="none" w:sz="0" w:space="0" w:color="auto"/>
        </w:rPr>
      </w:pPr>
      <w:r w:rsidRPr="00047311">
        <w:rPr>
          <w:b/>
          <w:bCs/>
          <w:i/>
          <w:iCs/>
        </w:rPr>
        <w:tab/>
      </w:r>
      <w:r w:rsidRPr="00047311">
        <w:rPr>
          <w:rFonts w:eastAsia="Times New Roman"/>
          <w:b/>
          <w:bCs/>
          <w:i/>
          <w:iCs/>
          <w:bdr w:val="none" w:sz="0" w:space="0" w:color="auto"/>
        </w:rPr>
        <w:t>OCC EXHIBIT_______</w:t>
      </w:r>
    </w:p>
    <w:p w:rsidR="00025FB6" w:rsidRPr="00047311" w:rsidP="00025FB6" w14:paraId="423F4392"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center"/>
        <w:rPr>
          <w:rFonts w:eastAsia="Times New Roman"/>
          <w:bdr w:val="none" w:sz="0" w:space="0" w:color="auto"/>
        </w:rPr>
      </w:pPr>
    </w:p>
    <w:p w:rsidR="00025FB6" w:rsidRPr="00047311" w:rsidP="00025FB6" w14:paraId="10100944"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bdr w:val="none" w:sz="0" w:space="0" w:color="auto"/>
        </w:rPr>
      </w:pPr>
      <w:r w:rsidRPr="00047311">
        <w:rPr>
          <w:rFonts w:eastAsia="Times New Roman"/>
          <w:b/>
          <w:bCs/>
          <w:bdr w:val="none" w:sz="0" w:space="0" w:color="auto"/>
        </w:rPr>
        <w:t>BEFORE</w:t>
      </w:r>
    </w:p>
    <w:p w:rsidR="00025FB6" w:rsidRPr="00047311" w:rsidP="00025FB6" w14:paraId="52402548"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bdr w:val="none" w:sz="0" w:space="0" w:color="auto"/>
        </w:rPr>
      </w:pPr>
      <w:r w:rsidRPr="00047311">
        <w:rPr>
          <w:rFonts w:eastAsia="Times New Roman"/>
          <w:b/>
          <w:bCs/>
          <w:bdr w:val="none" w:sz="0" w:space="0" w:color="auto"/>
        </w:rPr>
        <w:t>THE PUBLIC UTILITIES COMMISSION OF OHIO</w:t>
      </w:r>
    </w:p>
    <w:p w:rsidR="00025FB6" w:rsidRPr="00047311" w:rsidP="00025FB6" w14:paraId="01E3221D"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dr w:val="none" w:sz="0" w:space="0" w:color="auto"/>
        </w:rPr>
      </w:pPr>
    </w:p>
    <w:tbl>
      <w:tblPr>
        <w:tblW w:w="8897" w:type="dxa"/>
        <w:tblInd w:w="0" w:type="dxa"/>
        <w:tblCellMar>
          <w:top w:w="0" w:type="dxa"/>
          <w:left w:w="108" w:type="dxa"/>
          <w:bottom w:w="0" w:type="dxa"/>
          <w:right w:w="108" w:type="dxa"/>
        </w:tblCellMar>
        <w:tblLook w:val="01E0"/>
      </w:tblPr>
      <w:tblGrid>
        <w:gridCol w:w="4577"/>
        <w:gridCol w:w="553"/>
        <w:gridCol w:w="3767"/>
      </w:tblGrid>
      <w:tr w14:paraId="063537CB" w14:textId="77777777" w:rsidTr="00061C4E">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p w:rsidR="00025FB6" w:rsidRPr="00047311" w:rsidP="00061C4E" w14:paraId="01A055AE" w14:textId="77777777">
            <w:pPr>
              <w:autoSpaceDE w:val="0"/>
              <w:autoSpaceDN w:val="0"/>
              <w:adjustRightInd w:val="0"/>
              <w:rPr>
                <w:rFonts w:eastAsia="Times New Roman"/>
                <w:sz w:val="24"/>
                <w:szCs w:val="24"/>
                <w:bdr w:val="nil"/>
                <w:lang w:val="en-US" w:eastAsia="en-US" w:bidi="ar-SA"/>
              </w:rPr>
            </w:pPr>
            <w:r w:rsidRPr="00047311">
              <w:rPr>
                <w:rFonts w:eastAsia="Times New Roman"/>
                <w:sz w:val="24"/>
                <w:szCs w:val="24"/>
                <w:bdr w:val="nil"/>
                <w:lang w:val="en-US" w:eastAsia="en-US" w:bidi="ar-SA"/>
              </w:rPr>
              <w:t>In the Matter of the Application of Duke Energy Ohio, Inc., for Authority to Establish a Standard Service Offer Pursuant to Ohio Revised Code Section 4928.143 in the Form of an Electric Security Plan.</w:t>
            </w:r>
          </w:p>
          <w:p w:rsidR="00025FB6" w:rsidRPr="00047311" w:rsidP="00061C4E" w14:paraId="7F03AEF4" w14:textId="77777777">
            <w:pPr>
              <w:autoSpaceDE w:val="0"/>
              <w:autoSpaceDN w:val="0"/>
              <w:adjustRightInd w:val="0"/>
              <w:rPr>
                <w:rFonts w:eastAsia="Times New Roman"/>
                <w:sz w:val="24"/>
                <w:szCs w:val="24"/>
                <w:highlight w:val="cyan"/>
                <w:bdr w:val="nil"/>
                <w:lang w:val="en-US" w:eastAsia="en-US" w:bidi="ar-SA"/>
              </w:rPr>
            </w:pPr>
          </w:p>
          <w:p w:rsidR="00025FB6" w:rsidRPr="00047311" w:rsidP="00061C4E" w14:paraId="4B5BC710" w14:textId="77777777">
            <w:pPr>
              <w:autoSpaceDE w:val="0"/>
              <w:autoSpaceDN w:val="0"/>
              <w:adjustRightInd w:val="0"/>
              <w:rPr>
                <w:rFonts w:eastAsia="Times New Roman"/>
                <w:sz w:val="24"/>
                <w:szCs w:val="24"/>
                <w:bdr w:val="nil"/>
                <w:lang w:val="en-US" w:eastAsia="en-US" w:bidi="ar-SA"/>
              </w:rPr>
            </w:pPr>
            <w:r w:rsidRPr="00047311">
              <w:rPr>
                <w:rFonts w:eastAsia="Times New Roman"/>
                <w:sz w:val="24"/>
                <w:szCs w:val="24"/>
                <w:bdr w:val="nil"/>
                <w:lang w:val="en-US" w:eastAsia="en-US" w:bidi="ar-SA"/>
              </w:rPr>
              <w:t>In the Matter of the Application of Duke Energy Ohio, Inc., for Authority to Amend Tariffs, including its Certified Supplier Tariff, P.U.C.O. No. 20 and to Implement New Tariffs.</w:t>
            </w:r>
          </w:p>
          <w:p w:rsidR="00025FB6" w:rsidRPr="00047311" w:rsidP="00061C4E" w14:paraId="1AF0845C" w14:textId="77777777">
            <w:pPr>
              <w:autoSpaceDE w:val="0"/>
              <w:autoSpaceDN w:val="0"/>
              <w:adjustRightInd w:val="0"/>
              <w:rPr>
                <w:rFonts w:eastAsia="Times New Roman"/>
                <w:sz w:val="24"/>
                <w:szCs w:val="24"/>
                <w:highlight w:val="cyan"/>
                <w:bdr w:val="nil"/>
                <w:lang w:val="en-US" w:eastAsia="en-US" w:bidi="ar-SA"/>
              </w:rPr>
            </w:pPr>
          </w:p>
          <w:p w:rsidR="00025FB6" w:rsidRPr="00047311" w:rsidP="00061C4E" w14:paraId="18128535" w14:textId="77777777">
            <w:pPr>
              <w:autoSpaceDE w:val="0"/>
              <w:autoSpaceDN w:val="0"/>
              <w:adjustRightInd w:val="0"/>
              <w:rPr>
                <w:rFonts w:eastAsia="Times New Roman"/>
                <w:sz w:val="24"/>
                <w:szCs w:val="24"/>
                <w:highlight w:val="cyan"/>
                <w:bdr w:val="nil"/>
                <w:lang w:val="en-US" w:eastAsia="en-US" w:bidi="ar-SA"/>
              </w:rPr>
            </w:pPr>
            <w:r w:rsidRPr="00047311">
              <w:rPr>
                <w:rFonts w:eastAsia="Times New Roman"/>
                <w:sz w:val="24"/>
                <w:szCs w:val="24"/>
                <w:bdr w:val="nil"/>
                <w:lang w:val="en-US" w:eastAsia="en-US" w:bidi="ar-SA"/>
              </w:rPr>
              <w:t>In the Matter of the Application of Duke Energy Ohio, Inc., for Accounting Authority, including any Necessary Deferrals.</w:t>
            </w:r>
          </w:p>
        </w:tc>
        <w:tc>
          <w:tcPr>
            <w:tcW w:w="553" w:type="dxa"/>
            <w:shd w:val="clear" w:color="auto" w:fill="auto"/>
          </w:tcPr>
          <w:p w:rsidR="00025FB6" w:rsidRPr="00047311" w:rsidP="00061C4E" w14:paraId="198CF6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4FCD17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0A1807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56D301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77EC359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3BD058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42E278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053318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143779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2F4923D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23F0AB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62F2F0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1CF8D7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117968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p w:rsidR="00025FB6" w:rsidRPr="00047311" w:rsidP="00061C4E" w14:paraId="79B7F1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w:t>
            </w:r>
          </w:p>
        </w:tc>
        <w:tc>
          <w:tcPr>
            <w:tcW w:w="3767" w:type="dxa"/>
            <w:shd w:val="clear" w:color="auto" w:fill="auto"/>
          </w:tcPr>
          <w:p w:rsidR="00025FB6" w:rsidRPr="00047311" w:rsidP="00061C4E" w14:paraId="20BD41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highlight w:val="cyan"/>
                <w:bdr w:val="nil"/>
                <w:lang w:val="en-US" w:eastAsia="en-US" w:bidi="ar-SA"/>
              </w:rPr>
            </w:pPr>
          </w:p>
          <w:p w:rsidR="00025FB6" w:rsidRPr="00047311" w:rsidP="00061C4E" w14:paraId="178F0B7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65B84D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Case No. 24-278-EL-SSO</w:t>
            </w:r>
          </w:p>
          <w:p w:rsidR="00025FB6" w:rsidRPr="00047311" w:rsidP="00061C4E" w14:paraId="6A7447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09EDA8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7D74D0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056CB5C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36862E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54A6EF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Case No. 24-279-EL-ATA</w:t>
            </w:r>
          </w:p>
          <w:p w:rsidR="00025FB6" w:rsidRPr="00047311" w:rsidP="00061C4E" w14:paraId="2344E2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24AEC2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5F79677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4F846C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p>
          <w:p w:rsidR="00025FB6" w:rsidRPr="00047311" w:rsidP="00061C4E" w14:paraId="2632CE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bdr w:val="nil"/>
                <w:lang w:val="en-US" w:eastAsia="en-US" w:bidi="ar-SA"/>
              </w:rPr>
            </w:pPr>
            <w:r w:rsidRPr="00047311">
              <w:rPr>
                <w:rFonts w:eastAsia="Courier New"/>
                <w:sz w:val="24"/>
                <w:szCs w:val="24"/>
                <w:bdr w:val="nil"/>
                <w:lang w:val="en-US" w:eastAsia="en-US" w:bidi="ar-SA"/>
              </w:rPr>
              <w:t>Case No. 24-280-EL-AAM</w:t>
            </w:r>
          </w:p>
        </w:tc>
      </w:tr>
    </w:tbl>
    <w:p w:rsidR="00B50ECF" w:rsidRPr="00047311" w:rsidP="00025FB6" w14:paraId="67AFF2F5" w14:textId="42AA10A2">
      <w:pPr>
        <w:pStyle w:val="BodyA"/>
        <w:tabs>
          <w:tab w:val="right" w:pos="8640"/>
        </w:tabs>
        <w:rPr>
          <w:rFonts w:hAnsi="Times New Roman" w:cs="Times New Roman"/>
          <w:b/>
          <w:bCs/>
        </w:rPr>
      </w:pPr>
    </w:p>
    <w:tbl>
      <w:tblPr>
        <w:tblW w:w="9092" w:type="dxa"/>
        <w:tblInd w:w="0" w:type="dxa"/>
        <w:tblCellMar>
          <w:top w:w="0" w:type="dxa"/>
          <w:left w:w="108" w:type="dxa"/>
          <w:bottom w:w="0" w:type="dxa"/>
          <w:right w:w="108" w:type="dxa"/>
        </w:tblCellMar>
        <w:tblLook w:val="01E0"/>
      </w:tblPr>
      <w:tblGrid>
        <w:gridCol w:w="4332"/>
        <w:gridCol w:w="360"/>
        <w:gridCol w:w="4400"/>
      </w:tblGrid>
      <w:tr w14:paraId="6DE4DBD6" w14:textId="77777777" w:rsidTr="005F7B3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C01ABE" w:rsidRPr="00047311" w:rsidP="00C01ABE" w14:paraId="6A20C98D" w14:textId="6F7FFE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bdr w:val="nil"/>
                <w:lang w:val="en-US" w:eastAsia="en-US" w:bidi="ar-SA"/>
              </w:rPr>
            </w:pPr>
          </w:p>
        </w:tc>
        <w:tc>
          <w:tcPr>
            <w:tcW w:w="360" w:type="dxa"/>
            <w:shd w:val="clear" w:color="auto" w:fill="auto"/>
          </w:tcPr>
          <w:p w:rsidR="00C01ABE" w:rsidRPr="00047311" w:rsidP="00C01ABE" w14:paraId="4970A1F7" w14:textId="29C46C6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bdr w:val="nil"/>
                <w:lang w:val="en-US" w:eastAsia="en-US" w:bidi="ar-SA"/>
              </w:rPr>
            </w:pPr>
          </w:p>
        </w:tc>
        <w:tc>
          <w:tcPr>
            <w:tcW w:w="4400" w:type="dxa"/>
            <w:shd w:val="clear" w:color="auto" w:fill="auto"/>
          </w:tcPr>
          <w:p w:rsidR="00C01ABE" w:rsidRPr="00047311" w:rsidP="00C01ABE" w14:paraId="7659CB9A" w14:textId="3133C2C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bdr w:val="nil"/>
                <w:lang w:val="en-US" w:eastAsia="en-US" w:bidi="ar-SA"/>
              </w:rPr>
            </w:pPr>
          </w:p>
        </w:tc>
      </w:tr>
    </w:tbl>
    <w:p w:rsidR="00B50ECF" w:rsidRPr="00047311" w:rsidP="00B50ECF" w14:paraId="23F57817" w14:textId="77777777">
      <w:pPr>
        <w:pStyle w:val="BodyA"/>
        <w:jc w:val="center"/>
        <w:rPr>
          <w:rFonts w:hAnsi="Times New Roman" w:cs="Times New Roman"/>
          <w:b/>
          <w:bCs/>
        </w:rPr>
      </w:pPr>
    </w:p>
    <w:p w:rsidR="00B50ECF" w:rsidRPr="00047311" w:rsidP="00B50ECF" w14:paraId="1B0CD1EA" w14:textId="77777777">
      <w:pPr>
        <w:pStyle w:val="BodyA"/>
        <w:jc w:val="center"/>
        <w:rPr>
          <w:rFonts w:hAnsi="Times New Roman" w:cs="Times New Roman"/>
          <w:b/>
          <w:bCs/>
        </w:rPr>
      </w:pPr>
    </w:p>
    <w:p w:rsidR="00B50ECF" w:rsidRPr="00047311" w:rsidP="00B50ECF" w14:paraId="55DDC364" w14:textId="77777777">
      <w:pPr>
        <w:pStyle w:val="BodyA"/>
        <w:jc w:val="center"/>
        <w:rPr>
          <w:rFonts w:hAnsi="Times New Roman" w:cs="Times New Roman"/>
          <w:b/>
          <w:bCs/>
          <w:color w:val="000000" w:themeColor="text1"/>
          <w:u w:color="974706"/>
        </w:rPr>
      </w:pPr>
    </w:p>
    <w:p w:rsidR="00B50ECF" w:rsidRPr="00047311" w:rsidP="00B50ECF" w14:paraId="379DB4D0" w14:textId="77777777">
      <w:pPr>
        <w:pStyle w:val="BodyA"/>
        <w:jc w:val="center"/>
        <w:rPr>
          <w:rFonts w:hAnsi="Times New Roman" w:cs="Times New Roman"/>
          <w:b/>
          <w:bCs/>
          <w:color w:val="000000" w:themeColor="text1"/>
          <w:u w:color="974706"/>
        </w:rPr>
      </w:pPr>
    </w:p>
    <w:p w:rsidR="00BB209B" w:rsidRPr="00047311" w:rsidP="00BB209B" w14:paraId="382E4F1A" w14:textId="77777777">
      <w:pPr>
        <w:jc w:val="center"/>
        <w:rPr>
          <w:b/>
        </w:rPr>
      </w:pPr>
      <w:r w:rsidRPr="00047311">
        <w:rPr>
          <w:b/>
        </w:rPr>
        <w:t xml:space="preserve">DIRECT TESTIMONY </w:t>
      </w:r>
    </w:p>
    <w:p w:rsidR="00BB209B" w:rsidRPr="00047311" w:rsidP="00BB209B" w14:paraId="639D737B" w14:textId="77777777">
      <w:pPr>
        <w:jc w:val="center"/>
        <w:rPr>
          <w:b/>
        </w:rPr>
      </w:pPr>
      <w:r w:rsidRPr="00047311">
        <w:rPr>
          <w:b/>
        </w:rPr>
        <w:t xml:space="preserve">OF </w:t>
      </w:r>
    </w:p>
    <w:p w:rsidR="00BB209B" w:rsidRPr="00047311" w:rsidP="00BB209B" w14:paraId="2A642A20" w14:textId="77777777">
      <w:pPr>
        <w:jc w:val="center"/>
        <w:rPr>
          <w:b/>
        </w:rPr>
      </w:pPr>
      <w:r w:rsidRPr="00047311">
        <w:rPr>
          <w:b/>
        </w:rPr>
        <w:t>COLLEEN SHUTRUMP</w:t>
      </w:r>
    </w:p>
    <w:p w:rsidR="00BB209B" w:rsidRPr="00047311" w:rsidP="00BB209B" w14:paraId="5FB0CB70" w14:textId="77777777">
      <w:pPr>
        <w:jc w:val="center"/>
        <w:rPr>
          <w:b/>
        </w:rPr>
      </w:pPr>
    </w:p>
    <w:p w:rsidR="00B50ECF" w:rsidRPr="00047311" w:rsidP="00B50ECF" w14:paraId="7C877132" w14:textId="77777777">
      <w:pPr>
        <w:pStyle w:val="BodyA"/>
        <w:jc w:val="center"/>
        <w:rPr>
          <w:rFonts w:hAnsi="Times New Roman" w:cs="Times New Roman"/>
          <w:b/>
          <w:bCs/>
        </w:rPr>
      </w:pPr>
    </w:p>
    <w:p w:rsidR="00B50ECF" w:rsidRPr="00047311" w:rsidP="00B50ECF" w14:paraId="730E8D16" w14:textId="77777777">
      <w:pPr>
        <w:pStyle w:val="BodyA"/>
        <w:jc w:val="center"/>
        <w:rPr>
          <w:rFonts w:hAnsi="Times New Roman" w:cs="Times New Roman"/>
          <w:b/>
          <w:bCs/>
        </w:rPr>
      </w:pPr>
    </w:p>
    <w:p w:rsidR="00B50ECF" w:rsidRPr="00047311" w:rsidP="00B50ECF" w14:paraId="229FA2FB" w14:textId="77777777">
      <w:pPr>
        <w:pStyle w:val="BodyA"/>
        <w:jc w:val="center"/>
        <w:rPr>
          <w:rFonts w:hAnsi="Times New Roman" w:cs="Times New Roman"/>
          <w:b/>
          <w:bCs/>
        </w:rPr>
      </w:pPr>
    </w:p>
    <w:p w:rsidR="00025FB6" w:rsidRPr="00047311" w:rsidP="00025FB6" w14:paraId="0631EFB5" w14:textId="77777777">
      <w:pPr>
        <w:pStyle w:val="BodyA"/>
        <w:jc w:val="center"/>
        <w:rPr>
          <w:rFonts w:hAnsi="Times New Roman" w:cs="Times New Roman"/>
          <w:b/>
          <w:bCs/>
        </w:rPr>
      </w:pPr>
      <w:r w:rsidRPr="00047311">
        <w:rPr>
          <w:rFonts w:hAnsi="Times New Roman" w:cs="Times New Roman"/>
          <w:b/>
          <w:bCs/>
        </w:rPr>
        <w:t>On Behalf of the</w:t>
      </w:r>
    </w:p>
    <w:p w:rsidR="00025FB6" w:rsidRPr="00047311" w:rsidP="00025FB6" w14:paraId="44C5961F" w14:textId="164DB70C">
      <w:pPr>
        <w:pStyle w:val="BodyA"/>
        <w:jc w:val="center"/>
        <w:rPr>
          <w:rFonts w:hAnsi="Times New Roman" w:cs="Times New Roman"/>
          <w:b/>
          <w:bCs/>
        </w:rPr>
      </w:pPr>
      <w:r w:rsidRPr="00047311">
        <w:rPr>
          <w:rFonts w:hAnsi="Times New Roman" w:cs="Times New Roman"/>
          <w:b/>
          <w:bCs/>
        </w:rPr>
        <w:t>Office of the Ohio Consumers</w:t>
      </w:r>
      <w:r w:rsidR="00047311">
        <w:rPr>
          <w:rFonts w:hAnsi="Times New Roman" w:cs="Times New Roman"/>
          <w:b/>
          <w:bCs/>
          <w:lang w:val="fr-FR"/>
        </w:rPr>
        <w:t>’</w:t>
      </w:r>
      <w:r w:rsidRPr="00047311">
        <w:rPr>
          <w:rFonts w:hAnsi="Times New Roman" w:cs="Times New Roman"/>
          <w:b/>
          <w:bCs/>
          <w:lang w:val="fr-FR"/>
        </w:rPr>
        <w:t xml:space="preserve"> </w:t>
      </w:r>
      <w:r w:rsidRPr="00047311">
        <w:rPr>
          <w:rFonts w:hAnsi="Times New Roman" w:cs="Times New Roman"/>
          <w:b/>
          <w:bCs/>
        </w:rPr>
        <w:t>Counsel</w:t>
      </w:r>
    </w:p>
    <w:p w:rsidR="00025FB6" w:rsidRPr="00047311" w:rsidP="00025FB6" w14:paraId="6B1CF2E8" w14:textId="77777777">
      <w:pPr>
        <w:pStyle w:val="BodyA"/>
        <w:jc w:val="center"/>
        <w:rPr>
          <w:rFonts w:hAnsi="Times New Roman" w:cs="Times New Roman"/>
          <w:i/>
          <w:iCs/>
        </w:rPr>
      </w:pPr>
      <w:r w:rsidRPr="00047311">
        <w:rPr>
          <w:rFonts w:hAnsi="Times New Roman" w:cs="Times New Roman"/>
          <w:i/>
          <w:iCs/>
        </w:rPr>
        <w:t xml:space="preserve">65 East State Street, Suite 700 </w:t>
      </w:r>
    </w:p>
    <w:p w:rsidR="00025FB6" w:rsidRPr="00047311" w:rsidP="00025FB6" w14:paraId="509FB1B4" w14:textId="77777777">
      <w:pPr>
        <w:pStyle w:val="BodyA"/>
        <w:jc w:val="center"/>
        <w:rPr>
          <w:rFonts w:hAnsi="Times New Roman" w:cs="Times New Roman"/>
          <w:i/>
          <w:iCs/>
        </w:rPr>
      </w:pPr>
      <w:r w:rsidRPr="00047311">
        <w:rPr>
          <w:rFonts w:hAnsi="Times New Roman" w:cs="Times New Roman"/>
          <w:i/>
          <w:iCs/>
        </w:rPr>
        <w:t>Columbus, Ohio 43215</w:t>
      </w:r>
    </w:p>
    <w:p w:rsidR="00025FB6" w:rsidRPr="00047311" w:rsidP="00025FB6" w14:paraId="1971374F" w14:textId="77777777">
      <w:pPr>
        <w:pStyle w:val="BodyA"/>
        <w:jc w:val="center"/>
        <w:rPr>
          <w:rFonts w:hAnsi="Times New Roman" w:cs="Times New Roman"/>
          <w:b/>
          <w:bCs/>
        </w:rPr>
      </w:pPr>
    </w:p>
    <w:p w:rsidR="00025FB6" w:rsidRPr="00047311" w:rsidP="00025FB6" w14:paraId="2763A146" w14:textId="77777777">
      <w:pPr>
        <w:pStyle w:val="BodyA"/>
        <w:jc w:val="center"/>
        <w:rPr>
          <w:rFonts w:hAnsi="Times New Roman" w:cs="Times New Roman"/>
          <w:b/>
          <w:bCs/>
        </w:rPr>
      </w:pPr>
    </w:p>
    <w:p w:rsidR="00025FB6" w:rsidRPr="00047311" w:rsidP="00025FB6" w14:paraId="342ED086" w14:textId="77777777">
      <w:pPr>
        <w:pStyle w:val="BodyA"/>
        <w:jc w:val="center"/>
        <w:rPr>
          <w:rFonts w:hAnsi="Times New Roman" w:cs="Times New Roman"/>
          <w:b/>
          <w:bCs/>
        </w:rPr>
      </w:pPr>
    </w:p>
    <w:p w:rsidR="00025FB6" w:rsidRPr="00047311" w:rsidP="00025FB6" w14:paraId="03027335" w14:textId="77777777">
      <w:pPr>
        <w:pStyle w:val="BodyA"/>
        <w:jc w:val="center"/>
        <w:rPr>
          <w:rFonts w:hAnsi="Times New Roman" w:cs="Times New Roman"/>
          <w:b/>
          <w:bCs/>
        </w:rPr>
      </w:pPr>
    </w:p>
    <w:p w:rsidR="00025FB6" w:rsidRPr="00047311" w:rsidP="00025FB6" w14:paraId="380ACEC2" w14:textId="3A0B51C5">
      <w:pPr>
        <w:pStyle w:val="BodyA"/>
        <w:jc w:val="center"/>
        <w:rPr>
          <w:rFonts w:hAnsi="Times New Roman" w:cs="Times New Roman"/>
          <w:b/>
          <w:bCs/>
        </w:rPr>
        <w:sectPr w:rsidSect="00167E2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360" w:footer="720" w:gutter="0"/>
          <w:pgNumType w:fmt="lowerRoman" w:start="1"/>
          <w:cols w:space="720"/>
          <w:docGrid w:linePitch="326"/>
        </w:sectPr>
      </w:pPr>
      <w:r w:rsidRPr="00047311">
        <w:rPr>
          <w:rFonts w:hAnsi="Times New Roman" w:cs="Times New Roman"/>
          <w:b/>
          <w:bCs/>
        </w:rPr>
        <w:t xml:space="preserve">October </w:t>
      </w:r>
      <w:r w:rsidR="00B16678">
        <w:rPr>
          <w:rFonts w:hAnsi="Times New Roman" w:cs="Times New Roman"/>
          <w:b/>
          <w:bCs/>
        </w:rPr>
        <w:t>30</w:t>
      </w:r>
      <w:r w:rsidRPr="00047311">
        <w:rPr>
          <w:rFonts w:hAnsi="Times New Roman" w:cs="Times New Roman"/>
          <w:b/>
          <w:bCs/>
        </w:rPr>
        <w:t>, 2024</w:t>
      </w:r>
    </w:p>
    <w:p w:rsidR="00B32830" w:rsidRPr="00047311" w:rsidP="00B32830" w14:paraId="050E3597" w14:textId="77777777">
      <w:pPr>
        <w:pStyle w:val="BodyA"/>
        <w:jc w:val="center"/>
        <w:rPr>
          <w:rFonts w:hAnsi="Times New Roman" w:cs="Times New Roman"/>
          <w:b/>
          <w:bCs/>
          <w:u w:val="single"/>
        </w:rPr>
      </w:pPr>
      <w:r w:rsidRPr="00047311">
        <w:rPr>
          <w:rFonts w:hAnsi="Times New Roman" w:cs="Times New Roman"/>
          <w:b/>
          <w:bCs/>
          <w:u w:val="single"/>
        </w:rPr>
        <w:t>TABLE OF CONTENTS</w:t>
      </w:r>
    </w:p>
    <w:p w:rsidR="00B32830" w:rsidRPr="00047311" w:rsidP="00B32830" w14:paraId="0D2A99C1" w14:textId="77777777">
      <w:pPr>
        <w:pStyle w:val="BodyA"/>
        <w:jc w:val="center"/>
        <w:rPr>
          <w:rFonts w:hAnsi="Times New Roman" w:cs="Times New Roman"/>
          <w:b/>
          <w:bCs/>
          <w:u w:val="single"/>
        </w:rPr>
      </w:pPr>
    </w:p>
    <w:p w:rsidR="00B32830" w:rsidRPr="00047311" w:rsidP="00B32830" w14:paraId="365947EC" w14:textId="77777777">
      <w:pPr>
        <w:jc w:val="right"/>
        <w:rPr>
          <w:b/>
        </w:rPr>
      </w:pPr>
      <w:r w:rsidRPr="00047311">
        <w:rPr>
          <w:b/>
          <w:bCs/>
        </w:rPr>
        <w:tab/>
      </w:r>
      <w:r w:rsidRPr="00047311">
        <w:rPr>
          <w:b/>
        </w:rPr>
        <w:t>PAGE</w:t>
      </w:r>
    </w:p>
    <w:p w:rsidR="00B32830" w:rsidRPr="00047311" w:rsidP="00B32830" w14:paraId="1A28F52A" w14:textId="77777777">
      <w:pPr>
        <w:jc w:val="right"/>
        <w:rPr>
          <w:b/>
        </w:rPr>
      </w:pPr>
    </w:p>
    <w:p w:rsidR="00B34ED0" w14:paraId="1DC01415" w14:textId="07ED4541">
      <w:pPr>
        <w:pStyle w:val="TOC1"/>
        <w:rPr>
          <w:rFonts w:asciiTheme="minorHAnsi" w:eastAsiaTheme="minorEastAsia" w:hAnsiTheme="minorHAnsi" w:cstheme="minorBidi"/>
          <w:caps w:val="0"/>
          <w:noProof/>
          <w:kern w:val="2"/>
          <w:bdr w:val="none" w:sz="0" w:space="0" w:color="auto"/>
          <w14:ligatures w14:val="standardContextual"/>
        </w:rPr>
      </w:pPr>
      <w:r w:rsidRPr="00047311">
        <w:rPr>
          <w:caps w:val="0"/>
        </w:rPr>
        <w:fldChar w:fldCharType="begin"/>
      </w:r>
      <w:r w:rsidRPr="00047311">
        <w:rPr>
          <w:caps w:val="0"/>
        </w:rPr>
        <w:instrText xml:space="preserve"> TOC \o "1-3" \h \z \u </w:instrText>
      </w:r>
      <w:r w:rsidRPr="00047311">
        <w:rPr>
          <w:caps w:val="0"/>
        </w:rPr>
        <w:fldChar w:fldCharType="separate"/>
      </w:r>
      <w:hyperlink w:anchor="_Toc181176097" w:history="1">
        <w:r w:rsidRPr="00224CC7">
          <w:rPr>
            <w:rStyle w:val="Hyperlink"/>
            <w:noProof/>
          </w:rPr>
          <w:t>I.</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INTRODUCTION AND BACKGROUND</w:t>
        </w:r>
        <w:r>
          <w:rPr>
            <w:noProof/>
            <w:webHidden/>
          </w:rPr>
          <w:tab/>
        </w:r>
        <w:r>
          <w:rPr>
            <w:noProof/>
            <w:webHidden/>
          </w:rPr>
          <w:fldChar w:fldCharType="begin"/>
        </w:r>
        <w:r>
          <w:rPr>
            <w:noProof/>
            <w:webHidden/>
          </w:rPr>
          <w:instrText xml:space="preserve"> PAGEREF _Toc181176097 \h </w:instrText>
        </w:r>
        <w:r>
          <w:rPr>
            <w:noProof/>
            <w:webHidden/>
          </w:rPr>
          <w:fldChar w:fldCharType="separate"/>
        </w:r>
        <w:r>
          <w:rPr>
            <w:noProof/>
            <w:webHidden/>
          </w:rPr>
          <w:t>1</w:t>
        </w:r>
        <w:r>
          <w:rPr>
            <w:noProof/>
            <w:webHidden/>
          </w:rPr>
          <w:fldChar w:fldCharType="end"/>
        </w:r>
      </w:hyperlink>
    </w:p>
    <w:p w:rsidR="00B34ED0" w14:paraId="6CCF3B26" w14:textId="247900DC">
      <w:pPr>
        <w:pStyle w:val="TOC1"/>
        <w:rPr>
          <w:rFonts w:asciiTheme="minorHAnsi" w:eastAsiaTheme="minorEastAsia" w:hAnsiTheme="minorHAnsi" w:cstheme="minorBidi"/>
          <w:caps w:val="0"/>
          <w:noProof/>
          <w:kern w:val="2"/>
          <w:bdr w:val="none" w:sz="0" w:space="0" w:color="auto"/>
          <w14:ligatures w14:val="standardContextual"/>
        </w:rPr>
      </w:pPr>
      <w:hyperlink w:anchor="_Toc181176098" w:history="1">
        <w:r w:rsidRPr="00224CC7">
          <w:rPr>
            <w:rStyle w:val="Hyperlink"/>
            <w:noProof/>
          </w:rPr>
          <w:t>II.</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SUMMARY OF RECOMMENDATIONS</w:t>
        </w:r>
        <w:r>
          <w:rPr>
            <w:noProof/>
            <w:webHidden/>
          </w:rPr>
          <w:tab/>
        </w:r>
        <w:r>
          <w:rPr>
            <w:noProof/>
            <w:webHidden/>
          </w:rPr>
          <w:fldChar w:fldCharType="begin"/>
        </w:r>
        <w:r>
          <w:rPr>
            <w:noProof/>
            <w:webHidden/>
          </w:rPr>
          <w:instrText xml:space="preserve"> PAGEREF _Toc181176098 \h </w:instrText>
        </w:r>
        <w:r>
          <w:rPr>
            <w:noProof/>
            <w:webHidden/>
          </w:rPr>
          <w:fldChar w:fldCharType="separate"/>
        </w:r>
        <w:r>
          <w:rPr>
            <w:noProof/>
            <w:webHidden/>
          </w:rPr>
          <w:t>3</w:t>
        </w:r>
        <w:r>
          <w:rPr>
            <w:noProof/>
            <w:webHidden/>
          </w:rPr>
          <w:fldChar w:fldCharType="end"/>
        </w:r>
      </w:hyperlink>
    </w:p>
    <w:p w:rsidR="00B34ED0" w14:paraId="651D129E" w14:textId="0134F989">
      <w:pPr>
        <w:pStyle w:val="TOC1"/>
        <w:rPr>
          <w:rFonts w:asciiTheme="minorHAnsi" w:eastAsiaTheme="minorEastAsia" w:hAnsiTheme="minorHAnsi" w:cstheme="minorBidi"/>
          <w:caps w:val="0"/>
          <w:noProof/>
          <w:kern w:val="2"/>
          <w:bdr w:val="none" w:sz="0" w:space="0" w:color="auto"/>
          <w14:ligatures w14:val="standardContextual"/>
        </w:rPr>
      </w:pPr>
      <w:hyperlink w:anchor="_Toc181176099" w:history="1">
        <w:r w:rsidRPr="00224CC7">
          <w:rPr>
            <w:rStyle w:val="Hyperlink"/>
            <w:noProof/>
          </w:rPr>
          <w:t>III.</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DSM PROPOSAL FOR RESIDENTIAL CONSUMERS</w:t>
        </w:r>
        <w:r>
          <w:rPr>
            <w:noProof/>
            <w:webHidden/>
          </w:rPr>
          <w:tab/>
        </w:r>
        <w:r>
          <w:rPr>
            <w:noProof/>
            <w:webHidden/>
          </w:rPr>
          <w:fldChar w:fldCharType="begin"/>
        </w:r>
        <w:r>
          <w:rPr>
            <w:noProof/>
            <w:webHidden/>
          </w:rPr>
          <w:instrText xml:space="preserve"> PAGEREF _Toc181176099 \h </w:instrText>
        </w:r>
        <w:r>
          <w:rPr>
            <w:noProof/>
            <w:webHidden/>
          </w:rPr>
          <w:fldChar w:fldCharType="separate"/>
        </w:r>
        <w:r>
          <w:rPr>
            <w:noProof/>
            <w:webHidden/>
          </w:rPr>
          <w:t>5</w:t>
        </w:r>
        <w:r>
          <w:rPr>
            <w:noProof/>
            <w:webHidden/>
          </w:rPr>
          <w:fldChar w:fldCharType="end"/>
        </w:r>
      </w:hyperlink>
    </w:p>
    <w:p w:rsidR="00B34ED0" w14:paraId="2760344E" w14:textId="5D838992">
      <w:pPr>
        <w:pStyle w:val="TOC1"/>
        <w:rPr>
          <w:rFonts w:asciiTheme="minorHAnsi" w:eastAsiaTheme="minorEastAsia" w:hAnsiTheme="minorHAnsi" w:cstheme="minorBidi"/>
          <w:caps w:val="0"/>
          <w:noProof/>
          <w:kern w:val="2"/>
          <w:bdr w:val="none" w:sz="0" w:space="0" w:color="auto"/>
          <w14:ligatures w14:val="standardContextual"/>
        </w:rPr>
      </w:pPr>
      <w:hyperlink w:anchor="_Toc181176100" w:history="1">
        <w:r w:rsidRPr="00224CC7">
          <w:rPr>
            <w:rStyle w:val="Hyperlink"/>
            <w:noProof/>
          </w:rPr>
          <w:t>IV.</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LOW-INCOME ENERGY EFFICIENCY PROPOSAL</w:t>
        </w:r>
        <w:r>
          <w:rPr>
            <w:noProof/>
            <w:webHidden/>
          </w:rPr>
          <w:tab/>
        </w:r>
        <w:r>
          <w:rPr>
            <w:noProof/>
            <w:webHidden/>
          </w:rPr>
          <w:fldChar w:fldCharType="begin"/>
        </w:r>
        <w:r>
          <w:rPr>
            <w:noProof/>
            <w:webHidden/>
          </w:rPr>
          <w:instrText xml:space="preserve"> PAGEREF _Toc181176100 \h </w:instrText>
        </w:r>
        <w:r>
          <w:rPr>
            <w:noProof/>
            <w:webHidden/>
          </w:rPr>
          <w:fldChar w:fldCharType="separate"/>
        </w:r>
        <w:r>
          <w:rPr>
            <w:noProof/>
            <w:webHidden/>
          </w:rPr>
          <w:t>10</w:t>
        </w:r>
        <w:r>
          <w:rPr>
            <w:noProof/>
            <w:webHidden/>
          </w:rPr>
          <w:fldChar w:fldCharType="end"/>
        </w:r>
      </w:hyperlink>
    </w:p>
    <w:p w:rsidR="00B34ED0" w14:paraId="30C3664F" w14:textId="5CE1F208">
      <w:pPr>
        <w:pStyle w:val="TOC1"/>
        <w:rPr>
          <w:rFonts w:asciiTheme="minorHAnsi" w:eastAsiaTheme="minorEastAsia" w:hAnsiTheme="minorHAnsi" w:cstheme="minorBidi"/>
          <w:caps w:val="0"/>
          <w:noProof/>
          <w:kern w:val="2"/>
          <w:bdr w:val="none" w:sz="0" w:space="0" w:color="auto"/>
          <w14:ligatures w14:val="standardContextual"/>
        </w:rPr>
      </w:pPr>
      <w:hyperlink w:anchor="_Toc181176101" w:history="1">
        <w:r w:rsidRPr="00224CC7">
          <w:rPr>
            <w:rStyle w:val="Hyperlink"/>
            <w:noProof/>
          </w:rPr>
          <w:t>V.</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DECOUPLING RIDER</w:t>
        </w:r>
        <w:r>
          <w:rPr>
            <w:noProof/>
            <w:webHidden/>
          </w:rPr>
          <w:tab/>
        </w:r>
        <w:r>
          <w:rPr>
            <w:noProof/>
            <w:webHidden/>
          </w:rPr>
          <w:fldChar w:fldCharType="begin"/>
        </w:r>
        <w:r>
          <w:rPr>
            <w:noProof/>
            <w:webHidden/>
          </w:rPr>
          <w:instrText xml:space="preserve"> PAGEREF _Toc181176101 \h </w:instrText>
        </w:r>
        <w:r>
          <w:rPr>
            <w:noProof/>
            <w:webHidden/>
          </w:rPr>
          <w:fldChar w:fldCharType="separate"/>
        </w:r>
        <w:r>
          <w:rPr>
            <w:noProof/>
            <w:webHidden/>
          </w:rPr>
          <w:t>15</w:t>
        </w:r>
        <w:r>
          <w:rPr>
            <w:noProof/>
            <w:webHidden/>
          </w:rPr>
          <w:fldChar w:fldCharType="end"/>
        </w:r>
      </w:hyperlink>
    </w:p>
    <w:p w:rsidR="00B34ED0" w14:paraId="5338B399" w14:textId="52DA3937">
      <w:pPr>
        <w:pStyle w:val="TOC1"/>
        <w:rPr>
          <w:rFonts w:asciiTheme="minorHAnsi" w:eastAsiaTheme="minorEastAsia" w:hAnsiTheme="minorHAnsi" w:cstheme="minorBidi"/>
          <w:caps w:val="0"/>
          <w:noProof/>
          <w:kern w:val="2"/>
          <w:bdr w:val="none" w:sz="0" w:space="0" w:color="auto"/>
          <w14:ligatures w14:val="standardContextual"/>
        </w:rPr>
      </w:pPr>
      <w:hyperlink w:anchor="_Toc181176102" w:history="1">
        <w:r w:rsidRPr="00224CC7">
          <w:rPr>
            <w:rStyle w:val="Hyperlink"/>
            <w:noProof/>
          </w:rPr>
          <w:t>VI.</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LOST REVENUE BACKUP PLAN</w:t>
        </w:r>
        <w:r>
          <w:rPr>
            <w:noProof/>
            <w:webHidden/>
          </w:rPr>
          <w:tab/>
        </w:r>
        <w:r>
          <w:rPr>
            <w:noProof/>
            <w:webHidden/>
          </w:rPr>
          <w:fldChar w:fldCharType="begin"/>
        </w:r>
        <w:r>
          <w:rPr>
            <w:noProof/>
            <w:webHidden/>
          </w:rPr>
          <w:instrText xml:space="preserve"> PAGEREF _Toc181176102 \h </w:instrText>
        </w:r>
        <w:r>
          <w:rPr>
            <w:noProof/>
            <w:webHidden/>
          </w:rPr>
          <w:fldChar w:fldCharType="separate"/>
        </w:r>
        <w:r>
          <w:rPr>
            <w:noProof/>
            <w:webHidden/>
          </w:rPr>
          <w:t>17</w:t>
        </w:r>
        <w:r>
          <w:rPr>
            <w:noProof/>
            <w:webHidden/>
          </w:rPr>
          <w:fldChar w:fldCharType="end"/>
        </w:r>
      </w:hyperlink>
    </w:p>
    <w:p w:rsidR="00B34ED0" w14:paraId="414ED8B0" w14:textId="0DD2ED96">
      <w:pPr>
        <w:pStyle w:val="TOC1"/>
        <w:rPr>
          <w:rFonts w:asciiTheme="minorHAnsi" w:eastAsiaTheme="minorEastAsia" w:hAnsiTheme="minorHAnsi" w:cstheme="minorBidi"/>
          <w:caps w:val="0"/>
          <w:noProof/>
          <w:kern w:val="2"/>
          <w:bdr w:val="none" w:sz="0" w:space="0" w:color="auto"/>
          <w14:ligatures w14:val="standardContextual"/>
        </w:rPr>
      </w:pPr>
      <w:hyperlink w:anchor="_Toc181176103" w:history="1">
        <w:r w:rsidRPr="00224CC7">
          <w:rPr>
            <w:rStyle w:val="Hyperlink"/>
            <w:noProof/>
          </w:rPr>
          <w:t>VII.</w:t>
        </w:r>
        <w:r>
          <w:rPr>
            <w:rFonts w:asciiTheme="minorHAnsi" w:eastAsiaTheme="minorEastAsia" w:hAnsiTheme="minorHAnsi" w:cstheme="minorBidi"/>
            <w:caps w:val="0"/>
            <w:noProof/>
            <w:kern w:val="2"/>
            <w:bdr w:val="none" w:sz="0" w:space="0" w:color="auto"/>
            <w14:ligatures w14:val="standardContextual"/>
          </w:rPr>
          <w:tab/>
        </w:r>
        <w:r w:rsidRPr="00224CC7">
          <w:rPr>
            <w:rStyle w:val="Hyperlink"/>
            <w:noProof/>
          </w:rPr>
          <w:t>CONCLUSION</w:t>
        </w:r>
        <w:r>
          <w:rPr>
            <w:noProof/>
            <w:webHidden/>
          </w:rPr>
          <w:tab/>
        </w:r>
        <w:r>
          <w:rPr>
            <w:noProof/>
            <w:webHidden/>
          </w:rPr>
          <w:fldChar w:fldCharType="begin"/>
        </w:r>
        <w:r>
          <w:rPr>
            <w:noProof/>
            <w:webHidden/>
          </w:rPr>
          <w:instrText xml:space="preserve"> PAGEREF _Toc181176103 \h </w:instrText>
        </w:r>
        <w:r>
          <w:rPr>
            <w:noProof/>
            <w:webHidden/>
          </w:rPr>
          <w:fldChar w:fldCharType="separate"/>
        </w:r>
        <w:r>
          <w:rPr>
            <w:noProof/>
            <w:webHidden/>
          </w:rPr>
          <w:t>19</w:t>
        </w:r>
        <w:r>
          <w:rPr>
            <w:noProof/>
            <w:webHidden/>
          </w:rPr>
          <w:fldChar w:fldCharType="end"/>
        </w:r>
      </w:hyperlink>
    </w:p>
    <w:p w:rsidR="00B32830" w:rsidRPr="00047311" w:rsidP="00B32830" w14:paraId="76C85CF3" w14:textId="08DBA531">
      <w:pPr>
        <w:pStyle w:val="BodyA"/>
        <w:tabs>
          <w:tab w:val="right" w:pos="8640"/>
        </w:tabs>
        <w:rPr>
          <w:rFonts w:hAnsi="Times New Roman" w:cs="Times New Roman"/>
          <w:b/>
          <w:bCs/>
          <w:u w:val="single"/>
        </w:rPr>
      </w:pPr>
      <w:r w:rsidRPr="00047311">
        <w:rPr>
          <w:rFonts w:eastAsia="Times New Roman" w:hAnsi="Times New Roman" w:cs="Times New Roman"/>
          <w:caps/>
          <w:color w:val="auto"/>
        </w:rPr>
        <w:fldChar w:fldCharType="end"/>
      </w:r>
    </w:p>
    <w:p w:rsidR="00B32830" w:rsidRPr="00047311" w:rsidP="00B32830" w14:paraId="7FA2D73A" w14:textId="77777777">
      <w:pPr>
        <w:rPr>
          <w:b/>
          <w:bCs/>
          <w:color w:val="000000"/>
          <w:u w:color="000000"/>
        </w:rPr>
      </w:pPr>
    </w:p>
    <w:p w:rsidR="00B32830" w:rsidRPr="00047311" w:rsidP="00B32830" w14:paraId="2527BD24" w14:textId="77777777"/>
    <w:p w:rsidR="00877E71" w:rsidRPr="00047311" w14:paraId="7C61755E" w14:textId="77777777"/>
    <w:p w:rsidR="00877E71" w:rsidRPr="00047311" w14:paraId="41E08A77" w14:textId="77777777">
      <w:pPr>
        <w:sectPr w:rsidSect="00167E22">
          <w:footerReference w:type="default" r:id="rId12"/>
          <w:pgSz w:w="12240" w:h="15840"/>
          <w:pgMar w:top="1440" w:right="1800" w:bottom="1440" w:left="1800" w:header="360" w:footer="720" w:gutter="0"/>
          <w:pgNumType w:fmt="lowerRoman" w:start="1"/>
          <w:cols w:space="720"/>
          <w:docGrid w:linePitch="326"/>
        </w:sectPr>
      </w:pPr>
    </w:p>
    <w:p w:rsidR="005F5F25" w:rsidRPr="00047311" w:rsidP="0078231B" w14:paraId="5E2CBFAF" w14:textId="4DFB1737">
      <w:pPr>
        <w:pStyle w:val="Heading1"/>
      </w:pPr>
      <w:bookmarkStart w:id="0" w:name="_Toc178181193"/>
      <w:bookmarkStart w:id="1" w:name="_Toc178343806"/>
      <w:bookmarkStart w:id="2" w:name="_Toc181176097"/>
      <w:r w:rsidRPr="00047311">
        <w:t>I.</w:t>
      </w:r>
      <w:r w:rsidRPr="00047311" w:rsidR="00B860F4">
        <w:tab/>
      </w:r>
      <w:r w:rsidRPr="00047311" w:rsidR="00B61C44">
        <w:t xml:space="preserve">INTRODUCTION </w:t>
      </w:r>
      <w:r w:rsidRPr="00047311" w:rsidR="00922C7D">
        <w:t>AND BACKGROUND</w:t>
      </w:r>
      <w:bookmarkEnd w:id="0"/>
      <w:bookmarkEnd w:id="1"/>
      <w:bookmarkEnd w:id="2"/>
    </w:p>
    <w:p w:rsidR="005F5F25" w:rsidRPr="00047311" w:rsidP="005F5F25" w14:paraId="75C28F36" w14:textId="77777777">
      <w:pPr>
        <w:spacing w:line="480" w:lineRule="auto"/>
      </w:pPr>
    </w:p>
    <w:p w:rsidR="005F5F25" w:rsidRPr="00047311" w:rsidP="005F5F25" w14:paraId="43FD075F" w14:textId="77777777">
      <w:pPr>
        <w:pStyle w:val="Question1"/>
        <w:spacing w:after="0"/>
        <w:ind w:left="0"/>
      </w:pPr>
      <w:r w:rsidRPr="00047311">
        <w:t>Q</w:t>
      </w:r>
      <w:r w:rsidRPr="00047311" w:rsidR="00544C42">
        <w:t>1</w:t>
      </w:r>
      <w:r w:rsidRPr="00047311">
        <w:t>.</w:t>
      </w:r>
      <w:r w:rsidRPr="00047311">
        <w:tab/>
        <w:t>PLEASE STATE YOUR NAME, TITLE, AND BUSINESS ADDRESS.</w:t>
      </w:r>
    </w:p>
    <w:p w:rsidR="005F5F25" w:rsidRPr="00047311" w:rsidP="005F5F25" w14:paraId="5D10B1FC" w14:textId="2217CC29">
      <w:pPr>
        <w:pStyle w:val="Answer"/>
        <w:ind w:hanging="720"/>
      </w:pPr>
      <w:r w:rsidRPr="00047311">
        <w:rPr>
          <w:b/>
          <w:i/>
        </w:rPr>
        <w:t>A1.</w:t>
      </w:r>
      <w:r w:rsidRPr="00047311">
        <w:tab/>
        <w:t>My name is Colleen Shutrump.</w:t>
      </w:r>
      <w:r w:rsidRPr="00047311" w:rsidR="00FA5247">
        <w:t xml:space="preserve"> </w:t>
      </w:r>
      <w:r w:rsidRPr="00047311">
        <w:t xml:space="preserve">I am employed as </w:t>
      </w:r>
      <w:r w:rsidRPr="00047311" w:rsidR="000D1DBF">
        <w:t xml:space="preserve">a Senior </w:t>
      </w:r>
      <w:r w:rsidRPr="00047311" w:rsidR="00922C7D">
        <w:t xml:space="preserve">Analyst </w:t>
      </w:r>
      <w:r w:rsidRPr="00047311">
        <w:t>for the Office of the Ohio Consumers</w:t>
      </w:r>
      <w:r w:rsidR="00047311">
        <w:rPr>
          <w:lang w:val="fr-FR"/>
        </w:rPr>
        <w:t>’</w:t>
      </w:r>
      <w:r w:rsidRPr="00047311">
        <w:rPr>
          <w:lang w:val="fr-FR"/>
        </w:rPr>
        <w:t xml:space="preserve"> </w:t>
      </w:r>
      <w:r w:rsidRPr="00047311">
        <w:t>Counsel (</w:t>
      </w:r>
      <w:r w:rsidR="00047311">
        <w:t>“</w:t>
      </w:r>
      <w:r w:rsidRPr="00047311">
        <w:t>OCC</w:t>
      </w:r>
      <w:r w:rsidR="00047311">
        <w:t>”</w:t>
      </w:r>
      <w:r w:rsidRPr="00047311">
        <w:t>).</w:t>
      </w:r>
      <w:r w:rsidRPr="00047311" w:rsidR="00FA5247">
        <w:t xml:space="preserve"> </w:t>
      </w:r>
      <w:r w:rsidRPr="00047311">
        <w:t xml:space="preserve">My business address is 65 East State Street, Suite 700, Columbus, Ohio 43215. </w:t>
      </w:r>
    </w:p>
    <w:p w:rsidR="005F5F25" w:rsidRPr="00047311" w:rsidP="005F5F25" w14:paraId="6488EEA8" w14:textId="77777777">
      <w:pPr>
        <w:pStyle w:val="Answer"/>
      </w:pPr>
    </w:p>
    <w:p w:rsidR="005F5F25" w:rsidRPr="00047311" w:rsidP="00EB36ED" w14:paraId="74388243" w14:textId="596DA549">
      <w:pPr>
        <w:pStyle w:val="Question1"/>
        <w:spacing w:after="0" w:line="240" w:lineRule="auto"/>
        <w:ind w:left="720" w:hanging="720"/>
      </w:pPr>
      <w:r w:rsidRPr="00047311">
        <w:t>Q2.</w:t>
      </w:r>
      <w:r w:rsidRPr="00047311">
        <w:tab/>
        <w:t>Please briefly summarize your education and professional experience.</w:t>
      </w:r>
    </w:p>
    <w:p w:rsidR="00EB36ED" w:rsidRPr="00047311" w:rsidP="00EB36ED" w14:paraId="5E6AC998" w14:textId="77777777">
      <w:pPr>
        <w:pStyle w:val="Question1"/>
        <w:spacing w:after="0" w:line="240" w:lineRule="auto"/>
        <w:ind w:left="720" w:hanging="720"/>
      </w:pPr>
    </w:p>
    <w:p w:rsidR="00785503" w:rsidRPr="00047311" w:rsidP="00785503" w14:paraId="13AE8C5B" w14:textId="49E0F491">
      <w:pPr>
        <w:pStyle w:val="Answer"/>
        <w:ind w:hanging="720"/>
        <w:rPr>
          <w:bCs w:val="0"/>
          <w:iCs w:val="0"/>
          <w:color w:val="000000"/>
          <w:u w:color="000000"/>
        </w:rPr>
      </w:pPr>
      <w:r w:rsidRPr="00047311">
        <w:rPr>
          <w:b/>
          <w:i/>
        </w:rPr>
        <w:t>A2.</w:t>
      </w:r>
      <w:r w:rsidRPr="00047311">
        <w:tab/>
        <w:t xml:space="preserve">I have a Bachelor of Science in Business Administration from </w:t>
      </w:r>
      <w:r w:rsidRPr="00047311" w:rsidR="00A0128B">
        <w:t>Youngstown</w:t>
      </w:r>
      <w:r w:rsidRPr="00047311">
        <w:t xml:space="preserve"> State University with a major in Management and a Master of Business Administration from Baldwin Wallace College with emphasis in International </w:t>
      </w:r>
      <w:r w:rsidRPr="00047311" w:rsidR="00A0128B">
        <w:t>Affairs</w:t>
      </w:r>
      <w:r w:rsidRPr="00047311">
        <w:t>.</w:t>
      </w:r>
      <w:r w:rsidRPr="00047311" w:rsidR="00FA5247">
        <w:t xml:space="preserve"> </w:t>
      </w:r>
      <w:r w:rsidRPr="00047311">
        <w:t xml:space="preserve">I </w:t>
      </w:r>
      <w:r w:rsidRPr="00047311" w:rsidR="00922C7D">
        <w:t>have</w:t>
      </w:r>
      <w:r w:rsidRPr="00047311">
        <w:t xml:space="preserve"> </w:t>
      </w:r>
      <w:r w:rsidRPr="00047311" w:rsidR="004C5D38">
        <w:t>1</w:t>
      </w:r>
      <w:r w:rsidRPr="00047311" w:rsidR="000D1DBF">
        <w:t>5</w:t>
      </w:r>
      <w:r w:rsidRPr="00047311" w:rsidR="004C5D38">
        <w:t xml:space="preserve"> </w:t>
      </w:r>
      <w:r w:rsidRPr="00047311" w:rsidR="00922C7D">
        <w:t>years</w:t>
      </w:r>
      <w:r w:rsidR="00047311">
        <w:t>’</w:t>
      </w:r>
      <w:r w:rsidRPr="00047311" w:rsidR="00922C7D">
        <w:t xml:space="preserve"> experience in</w:t>
      </w:r>
      <w:r w:rsidRPr="00047311">
        <w:t xml:space="preserve"> </w:t>
      </w:r>
      <w:r w:rsidRPr="00047311" w:rsidR="009E01C3">
        <w:t xml:space="preserve">public </w:t>
      </w:r>
      <w:r w:rsidRPr="00047311">
        <w:t>utility regulation with emphasis on c</w:t>
      </w:r>
      <w:r w:rsidRPr="00047311" w:rsidR="00B84C4F">
        <w:t>onsumer</w:t>
      </w:r>
      <w:r w:rsidRPr="00047311">
        <w:t xml:space="preserve">-funded </w:t>
      </w:r>
      <w:r w:rsidRPr="00047311" w:rsidR="00A0128B">
        <w:t>Demand-</w:t>
      </w:r>
      <w:r w:rsidRPr="00047311" w:rsidR="008212A7">
        <w:t>S</w:t>
      </w:r>
      <w:r w:rsidRPr="00047311" w:rsidR="00A0128B">
        <w:t>ide Management Programs (</w:t>
      </w:r>
      <w:r w:rsidR="00047311">
        <w:t>“</w:t>
      </w:r>
      <w:r w:rsidRPr="00047311" w:rsidR="00A0128B">
        <w:t>DSM</w:t>
      </w:r>
      <w:r w:rsidR="00047311">
        <w:t>”</w:t>
      </w:r>
      <w:r w:rsidRPr="00047311" w:rsidR="00A0128B">
        <w:t xml:space="preserve">) </w:t>
      </w:r>
      <w:r w:rsidRPr="00047311" w:rsidR="009E01C3">
        <w:t xml:space="preserve">and </w:t>
      </w:r>
      <w:r w:rsidRPr="00047311">
        <w:t>other distributed energy resources.</w:t>
      </w:r>
      <w:r w:rsidRPr="00047311" w:rsidR="009E01C3">
        <w:t xml:space="preserve"> </w:t>
      </w:r>
      <w:r w:rsidRPr="00047311">
        <w:t xml:space="preserve">I started as a Utility Analyst at the Indiana Utility Regulatory Commission in 2009 serving as advisory staff to Commissioners. I was lead </w:t>
      </w:r>
      <w:r w:rsidRPr="00047311" w:rsidR="0096572A">
        <w:t xml:space="preserve">analyst </w:t>
      </w:r>
      <w:r w:rsidRPr="00047311">
        <w:t xml:space="preserve">for all electric public utility companies requesting approval </w:t>
      </w:r>
      <w:r w:rsidRPr="00047311" w:rsidR="0041078E">
        <w:t>of</w:t>
      </w:r>
      <w:r w:rsidRPr="00047311">
        <w:t xml:space="preserve"> DSM programs and responsible for all regulatory issues </w:t>
      </w:r>
      <w:r w:rsidRPr="00047311" w:rsidR="0041078E">
        <w:t>associated with</w:t>
      </w:r>
      <w:r w:rsidRPr="00047311">
        <w:t xml:space="preserve"> proposals by the Northern Indiana Public Se</w:t>
      </w:r>
      <w:r w:rsidRPr="00047311" w:rsidR="0041078E">
        <w:t>rvice Company (</w:t>
      </w:r>
      <w:r w:rsidR="00047311">
        <w:t>“</w:t>
      </w:r>
      <w:r w:rsidRPr="00047311" w:rsidR="0041078E">
        <w:t>NIPSCO</w:t>
      </w:r>
      <w:r w:rsidR="00047311">
        <w:t>”</w:t>
      </w:r>
      <w:r w:rsidRPr="00047311" w:rsidR="0041078E">
        <w:t>).</w:t>
      </w:r>
      <w:r w:rsidRPr="00047311">
        <w:t xml:space="preserve"> In 2015, I was promoted to Senior Utility Analyst before accepting a position at OCC. </w:t>
      </w:r>
    </w:p>
    <w:p w:rsidR="005E7665" w:rsidRPr="00047311" w:rsidP="002C0B62" w14:paraId="09F72DEE" w14:textId="5EDC4E1B">
      <w:pPr>
        <w:pStyle w:val="Answer"/>
        <w:ind w:firstLine="0"/>
        <w:rPr>
          <w:bCs w:val="0"/>
          <w:iCs w:val="0"/>
        </w:rPr>
      </w:pPr>
      <w:r w:rsidRPr="00047311">
        <w:t>In spring 2016, I attended a graduate level course on deregulation at the John Glenn College of Public Affairs.</w:t>
      </w:r>
      <w:r w:rsidRPr="00047311" w:rsidR="000F0926">
        <w:t xml:space="preserve"> </w:t>
      </w:r>
      <w:r w:rsidRPr="00047311">
        <w:br w:type="page"/>
      </w:r>
    </w:p>
    <w:p w:rsidR="005F5F25" w:rsidRPr="00047311" w:rsidP="005F5F25" w14:paraId="538E033E" w14:textId="29B81621">
      <w:pPr>
        <w:pStyle w:val="Question1"/>
        <w:spacing w:after="0"/>
        <w:ind w:left="720" w:hanging="720"/>
        <w:contextualSpacing w:val="0"/>
      </w:pPr>
      <w:r w:rsidRPr="00047311">
        <w:t>q3.</w:t>
      </w:r>
      <w:r w:rsidRPr="00047311">
        <w:tab/>
        <w:t>what are your duties at</w:t>
      </w:r>
      <w:r w:rsidRPr="00047311" w:rsidR="00466379">
        <w:t xml:space="preserve"> </w:t>
      </w:r>
      <w:r w:rsidRPr="00047311" w:rsidR="005D52D6">
        <w:t>OCC</w:t>
      </w:r>
      <w:r w:rsidRPr="00047311">
        <w:t>?</w:t>
      </w:r>
    </w:p>
    <w:p w:rsidR="003C57F6" w:rsidRPr="00047311" w:rsidP="00D81A93" w14:paraId="0A1F324D" w14:textId="1C1A405C">
      <w:pPr>
        <w:pStyle w:val="Answer"/>
        <w:ind w:hanging="720"/>
      </w:pPr>
      <w:r w:rsidRPr="00047311">
        <w:rPr>
          <w:b/>
          <w:bCs w:val="0"/>
          <w:i/>
          <w:iCs w:val="0"/>
        </w:rPr>
        <w:t>A3.</w:t>
      </w:r>
      <w:r w:rsidRPr="00047311" w:rsidR="00D81A93">
        <w:t xml:space="preserve"> </w:t>
      </w:r>
      <w:r w:rsidRPr="00047311" w:rsidR="00D81A93">
        <w:tab/>
      </w:r>
      <w:r w:rsidRPr="00047311">
        <w:t xml:space="preserve">I provide analytical support </w:t>
      </w:r>
      <w:r w:rsidRPr="00047311" w:rsidR="0041078E">
        <w:t xml:space="preserve">on issues </w:t>
      </w:r>
      <w:r w:rsidRPr="00047311">
        <w:t>impacting Ohio consumers</w:t>
      </w:r>
      <w:r w:rsidR="00047311">
        <w:t>’</w:t>
      </w:r>
      <w:r w:rsidRPr="00047311">
        <w:t xml:space="preserve"> </w:t>
      </w:r>
      <w:r w:rsidRPr="00047311" w:rsidR="00D81A93">
        <w:t>interests and</w:t>
      </w:r>
      <w:r w:rsidRPr="00047311" w:rsidR="0041078E">
        <w:t xml:space="preserve"> </w:t>
      </w:r>
      <w:r w:rsidRPr="00047311">
        <w:t xml:space="preserve">serve as lead analyst and policy advisor for the </w:t>
      </w:r>
      <w:r w:rsidRPr="00047311" w:rsidR="000F0926">
        <w:t>Consumers</w:t>
      </w:r>
      <w:r w:rsidR="00047311">
        <w:t>’</w:t>
      </w:r>
      <w:r w:rsidRPr="00047311" w:rsidR="000F0926">
        <w:t xml:space="preserve"> Counsel</w:t>
      </w:r>
      <w:r w:rsidRPr="00047311">
        <w:t xml:space="preserve"> on cases and issues relating to </w:t>
      </w:r>
      <w:r w:rsidRPr="00047311" w:rsidR="000F0926">
        <w:t xml:space="preserve">DSM programs </w:t>
      </w:r>
      <w:r w:rsidRPr="00047311" w:rsidR="0041078E">
        <w:t>and other distributed energy resources</w:t>
      </w:r>
      <w:r w:rsidRPr="00047311" w:rsidR="000F0926">
        <w:t>.</w:t>
      </w:r>
      <w:r w:rsidRPr="00047311" w:rsidR="00885EE7">
        <w:t xml:space="preserve"> </w:t>
      </w:r>
      <w:r w:rsidRPr="00047311">
        <w:t xml:space="preserve">I was extensively involved in each of the 2016 electric energy efficiency portfolio cases </w:t>
      </w:r>
      <w:r w:rsidRPr="00047311" w:rsidR="00930655">
        <w:t xml:space="preserve">of the four major Ohio electric utilities </w:t>
      </w:r>
      <w:r w:rsidRPr="00047311">
        <w:t>before the PUC</w:t>
      </w:r>
      <w:r w:rsidRPr="00047311" w:rsidR="003D240B">
        <w:t>O</w:t>
      </w:r>
      <w:r w:rsidRPr="00047311">
        <w:t xml:space="preserve">. My involvement included providing testimony in the </w:t>
      </w:r>
      <w:r w:rsidR="003D1B69">
        <w:t>AES</w:t>
      </w:r>
      <w:r>
        <w:rPr>
          <w:vertAlign w:val="superscript"/>
        </w:rPr>
        <w:footnoteReference w:id="2"/>
      </w:r>
      <w:r w:rsidRPr="00047311">
        <w:t xml:space="preserve"> </w:t>
      </w:r>
      <w:r w:rsidRPr="00047311" w:rsidR="00095A46">
        <w:t>(Case No. 16-649-EL-</w:t>
      </w:r>
      <w:r w:rsidRPr="00047311" w:rsidR="008621F7">
        <w:t>POR</w:t>
      </w:r>
      <w:r w:rsidRPr="00047311" w:rsidR="00095A46">
        <w:t xml:space="preserve">) </w:t>
      </w:r>
      <w:r w:rsidRPr="00047311">
        <w:t>and Duke Energy Ohio</w:t>
      </w:r>
      <w:r>
        <w:rPr>
          <w:vertAlign w:val="superscript"/>
        </w:rPr>
        <w:footnoteReference w:id="3"/>
      </w:r>
      <w:r w:rsidRPr="00047311">
        <w:t xml:space="preserve"> </w:t>
      </w:r>
      <w:r w:rsidRPr="00047311" w:rsidR="00095A46">
        <w:t>(Case No. 16-576-EL-</w:t>
      </w:r>
      <w:r w:rsidRPr="00047311" w:rsidR="008621F7">
        <w:t>POR</w:t>
      </w:r>
      <w:r w:rsidRPr="00047311" w:rsidR="00095A46">
        <w:t xml:space="preserve">) </w:t>
      </w:r>
      <w:r w:rsidRPr="00047311">
        <w:t>portfolio cases affecting consumers</w:t>
      </w:r>
      <w:r w:rsidRPr="00047311" w:rsidR="00DD4ABE">
        <w:t>.</w:t>
      </w:r>
      <w:r w:rsidRPr="00047311" w:rsidR="00E8298F">
        <w:t xml:space="preserve"> I testified </w:t>
      </w:r>
      <w:r w:rsidRPr="00047311" w:rsidR="00AD2A2F">
        <w:t>in</w:t>
      </w:r>
      <w:r w:rsidRPr="00047311" w:rsidR="008621F7">
        <w:t xml:space="preserve"> </w:t>
      </w:r>
      <w:r w:rsidRPr="00047311" w:rsidR="00AD2A2F">
        <w:t>the</w:t>
      </w:r>
      <w:r w:rsidRPr="00047311" w:rsidR="00F46C06">
        <w:t xml:space="preserve"> review of </w:t>
      </w:r>
      <w:r w:rsidRPr="00047311" w:rsidR="00AD2A2F">
        <w:t>FirstEnergy</w:t>
      </w:r>
      <w:r w:rsidR="00047311">
        <w:t>’</w:t>
      </w:r>
      <w:r w:rsidRPr="00047311" w:rsidR="00AD2A2F">
        <w:t xml:space="preserve">s </w:t>
      </w:r>
      <w:r w:rsidRPr="00047311" w:rsidR="00F46C06">
        <w:t>2014-2018 DSM rider</w:t>
      </w:r>
      <w:r w:rsidR="002423AF">
        <w:t xml:space="preserve"> (</w:t>
      </w:r>
      <w:r w:rsidRPr="00047311" w:rsidR="00F46C06">
        <w:t>Case No. 17-2277-EL-RDR</w:t>
      </w:r>
      <w:r w:rsidR="002423AF">
        <w:t>)</w:t>
      </w:r>
      <w:r w:rsidRPr="00047311" w:rsidR="00AD2A2F">
        <w:t>,</w:t>
      </w:r>
      <w:r w:rsidRPr="00047311" w:rsidR="00F46C06">
        <w:t xml:space="preserve"> affecting lost revenue charges to consumers.</w:t>
      </w:r>
      <w:r>
        <w:rPr>
          <w:vertAlign w:val="superscript"/>
        </w:rPr>
        <w:footnoteReference w:id="4"/>
      </w:r>
      <w:r w:rsidRPr="00047311" w:rsidR="00F46C06">
        <w:t xml:space="preserve"> I also testified in</w:t>
      </w:r>
      <w:r w:rsidRPr="00047311" w:rsidR="00D25817">
        <w:t xml:space="preserve"> Columbia</w:t>
      </w:r>
      <w:r w:rsidR="00047311">
        <w:t>’</w:t>
      </w:r>
      <w:r w:rsidRPr="00047311" w:rsidR="00D25817">
        <w:t>s DSM rider adjustment (</w:t>
      </w:r>
      <w:r w:rsidRPr="00047311" w:rsidR="00E8298F">
        <w:t>Case No. 19-1940-GA-RDR</w:t>
      </w:r>
      <w:r w:rsidRPr="00047311" w:rsidR="00D25817">
        <w:t>)</w:t>
      </w:r>
      <w:r w:rsidRPr="00047311" w:rsidR="00E8298F">
        <w:t xml:space="preserve"> in Vectren</w:t>
      </w:r>
      <w:r w:rsidR="00047311">
        <w:t>’</w:t>
      </w:r>
      <w:r w:rsidRPr="00047311" w:rsidR="00E8298F">
        <w:t>s rate case</w:t>
      </w:r>
      <w:r w:rsidR="006005BE">
        <w:t xml:space="preserve"> (</w:t>
      </w:r>
      <w:r w:rsidRPr="00047311" w:rsidR="00E8298F">
        <w:t>Case No. 18-298-G</w:t>
      </w:r>
      <w:r w:rsidRPr="00047311" w:rsidR="007303D7">
        <w:t>A</w:t>
      </w:r>
      <w:r w:rsidRPr="00047311" w:rsidR="00E8298F">
        <w:t>-AIR</w:t>
      </w:r>
      <w:r w:rsidR="006005BE">
        <w:t>)</w:t>
      </w:r>
      <w:r w:rsidRPr="00047311" w:rsidR="000D1DBF">
        <w:t xml:space="preserve">, and </w:t>
      </w:r>
      <w:r w:rsidRPr="00047311" w:rsidR="00D25817">
        <w:t xml:space="preserve">in </w:t>
      </w:r>
      <w:r w:rsidRPr="00047311" w:rsidR="000D1DBF">
        <w:t>Duke Energy Ohio</w:t>
      </w:r>
      <w:r w:rsidR="00047311">
        <w:t>’</w:t>
      </w:r>
      <w:r w:rsidRPr="00047311" w:rsidR="000D1DBF">
        <w:t>s rate case</w:t>
      </w:r>
      <w:r w:rsidR="006005BE">
        <w:t xml:space="preserve"> (</w:t>
      </w:r>
      <w:r w:rsidRPr="00047311" w:rsidR="000D1DBF">
        <w:t>Case No. 22-507-EL-AIR</w:t>
      </w:r>
      <w:r w:rsidR="00E3579F">
        <w:t>, et al.</w:t>
      </w:r>
      <w:r w:rsidR="006005BE">
        <w:t>)</w:t>
      </w:r>
      <w:r w:rsidRPr="00047311">
        <w:t>.</w:t>
      </w:r>
      <w:r w:rsidRPr="00047311" w:rsidR="0015074B">
        <w:t xml:space="preserve"> More recent testimony includes</w:t>
      </w:r>
      <w:r w:rsidRPr="00047311" w:rsidR="00D25817">
        <w:t xml:space="preserve"> both</w:t>
      </w:r>
      <w:r w:rsidRPr="00047311" w:rsidR="0015074B">
        <w:t xml:space="preserve"> FirstEnergy</w:t>
      </w:r>
      <w:r w:rsidR="00047311">
        <w:t>’</w:t>
      </w:r>
      <w:r w:rsidRPr="00047311" w:rsidR="0015074B">
        <w:t>s</w:t>
      </w:r>
      <w:r>
        <w:rPr>
          <w:vertAlign w:val="superscript"/>
        </w:rPr>
        <w:footnoteReference w:id="5"/>
      </w:r>
      <w:r w:rsidRPr="00047311" w:rsidR="0015074B">
        <w:rPr>
          <w:vertAlign w:val="superscript"/>
        </w:rPr>
        <w:t xml:space="preserve"> </w:t>
      </w:r>
      <w:r w:rsidRPr="00047311" w:rsidR="0015074B">
        <w:t>and AEP</w:t>
      </w:r>
      <w:r w:rsidR="00047311">
        <w:t>’</w:t>
      </w:r>
      <w:r w:rsidRPr="00047311" w:rsidR="0015074B">
        <w:t>s</w:t>
      </w:r>
      <w:r>
        <w:rPr>
          <w:rStyle w:val="FootnoteReference"/>
        </w:rPr>
        <w:footnoteReference w:id="6"/>
      </w:r>
      <w:r w:rsidRPr="00047311" w:rsidR="00BA63FC">
        <w:t xml:space="preserve"> respective</w:t>
      </w:r>
      <w:r w:rsidRPr="00047311" w:rsidR="0015074B">
        <w:t xml:space="preserve"> Electric </w:t>
      </w:r>
      <w:r w:rsidRPr="00047311" w:rsidR="00463D57">
        <w:t>S</w:t>
      </w:r>
      <w:r w:rsidRPr="00047311" w:rsidR="00917C6A">
        <w:t>e</w:t>
      </w:r>
      <w:r w:rsidRPr="00047311" w:rsidR="0015074B">
        <w:t>curity Plans (</w:t>
      </w:r>
      <w:r w:rsidR="00047311">
        <w:t>“</w:t>
      </w:r>
      <w:r w:rsidRPr="00047311" w:rsidR="0015074B">
        <w:t>ESP</w:t>
      </w:r>
      <w:r w:rsidR="00047311">
        <w:t>”</w:t>
      </w:r>
      <w:r w:rsidRPr="00047311" w:rsidR="0015074B">
        <w:t>).</w:t>
      </w:r>
      <w:r w:rsidRPr="00047311" w:rsidR="00885EE7">
        <w:t xml:space="preserve"> </w:t>
      </w:r>
      <w:r w:rsidRPr="00047311" w:rsidR="0041078E">
        <w:t xml:space="preserve">I serve </w:t>
      </w:r>
      <w:r w:rsidRPr="00047311" w:rsidR="00054EC7">
        <w:t>as analytical lead for</w:t>
      </w:r>
      <w:r w:rsidRPr="00047311" w:rsidR="000F0926">
        <w:t xml:space="preserve"> </w:t>
      </w:r>
      <w:r w:rsidRPr="00047311" w:rsidR="0041078E">
        <w:t xml:space="preserve">consumer issues related to </w:t>
      </w:r>
      <w:r w:rsidRPr="00047311" w:rsidR="00054EC7">
        <w:t>the PUCO</w:t>
      </w:r>
      <w:r w:rsidR="00047311">
        <w:t>’</w:t>
      </w:r>
      <w:r w:rsidRPr="00047311" w:rsidR="00054EC7">
        <w:t xml:space="preserve">s </w:t>
      </w:r>
      <w:r w:rsidRPr="00047311" w:rsidR="000F0926">
        <w:t>House Bill 6 cases</w:t>
      </w:r>
      <w:r w:rsidRPr="00047311" w:rsidR="00054EC7">
        <w:t>.</w:t>
      </w:r>
      <w:r>
        <w:rPr>
          <w:rStyle w:val="FootnoteReference"/>
        </w:rPr>
        <w:footnoteReference w:id="7"/>
      </w:r>
      <w:r w:rsidRPr="00047311" w:rsidR="000F0926">
        <w:t xml:space="preserve"> </w:t>
      </w:r>
    </w:p>
    <w:p w:rsidR="0049591A" w:rsidRPr="00047311" w:rsidP="00D81A93" w14:paraId="686851AF" w14:textId="77777777">
      <w:pPr>
        <w:pStyle w:val="Answer"/>
        <w:ind w:hanging="720"/>
      </w:pPr>
    </w:p>
    <w:p w:rsidR="00712DBE" w:rsidRPr="00047311" w:rsidP="0058452E" w14:paraId="198BB1E9" w14:textId="0B14C955">
      <w:pPr>
        <w:pStyle w:val="Question1"/>
        <w:spacing w:after="0"/>
        <w:ind w:left="720" w:hanging="720"/>
        <w:rPr>
          <w:rStyle w:val="Strong"/>
        </w:rPr>
      </w:pPr>
      <w:r w:rsidRPr="00047311">
        <w:t>Q</w:t>
      </w:r>
      <w:r w:rsidRPr="00047311" w:rsidR="00917C6A">
        <w:t>4</w:t>
      </w:r>
      <w:r w:rsidRPr="00047311">
        <w:t>.</w:t>
      </w:r>
      <w:r w:rsidRPr="00047311">
        <w:tab/>
      </w:r>
      <w:r w:rsidRPr="00047311">
        <w:rPr>
          <w:rStyle w:val="Strong"/>
        </w:rPr>
        <w:t xml:space="preserve"> WHAT IS THE PURPOSE OF YOUR TESTIMONY? </w:t>
      </w:r>
    </w:p>
    <w:p w:rsidR="00712DBE" w:rsidRPr="00047311" w:rsidP="00303022" w14:paraId="1F34EA60" w14:textId="3F667832">
      <w:pPr>
        <w:pStyle w:val="Answer"/>
        <w:ind w:hanging="720"/>
        <w:rPr>
          <w:rStyle w:val="Strong"/>
        </w:rPr>
      </w:pPr>
      <w:r w:rsidRPr="00047311">
        <w:rPr>
          <w:rStyle w:val="Strong"/>
          <w:b/>
          <w:bCs w:val="0"/>
          <w:i/>
          <w:iCs w:val="0"/>
        </w:rPr>
        <w:t>A4.</w:t>
      </w:r>
      <w:r w:rsidRPr="00047311" w:rsidR="00303022">
        <w:rPr>
          <w:rStyle w:val="Strong"/>
        </w:rPr>
        <w:tab/>
      </w:r>
      <w:r w:rsidRPr="00047311">
        <w:rPr>
          <w:rStyle w:val="Strong"/>
        </w:rPr>
        <w:t>The purpose of my testimony is to address and support OCC</w:t>
      </w:r>
      <w:r w:rsidR="00047311">
        <w:rPr>
          <w:rStyle w:val="Strong"/>
        </w:rPr>
        <w:t>’</w:t>
      </w:r>
      <w:r w:rsidRPr="00047311">
        <w:rPr>
          <w:rStyle w:val="Strong"/>
        </w:rPr>
        <w:t>s position protecting residential consumers as it relates to</w:t>
      </w:r>
      <w:r w:rsidRPr="00047311" w:rsidR="0049010B">
        <w:rPr>
          <w:rStyle w:val="Strong"/>
        </w:rPr>
        <w:t xml:space="preserve"> </w:t>
      </w:r>
      <w:r w:rsidRPr="00047311">
        <w:rPr>
          <w:rStyle w:val="Strong"/>
        </w:rPr>
        <w:t>Duke</w:t>
      </w:r>
      <w:r w:rsidR="00047311">
        <w:rPr>
          <w:rStyle w:val="Strong"/>
        </w:rPr>
        <w:t>’</w:t>
      </w:r>
      <w:r w:rsidRPr="00047311">
        <w:rPr>
          <w:rStyle w:val="Strong"/>
        </w:rPr>
        <w:t xml:space="preserve">s proposal </w:t>
      </w:r>
      <w:r w:rsidRPr="00047311" w:rsidR="00C73EC0">
        <w:rPr>
          <w:rStyle w:val="Strong"/>
        </w:rPr>
        <w:t xml:space="preserve">to </w:t>
      </w:r>
      <w:r w:rsidRPr="00047311" w:rsidR="00B00FCF">
        <w:rPr>
          <w:rStyle w:val="Strong"/>
        </w:rPr>
        <w:t xml:space="preserve">1) </w:t>
      </w:r>
      <w:r w:rsidRPr="00047311" w:rsidR="00C73EC0">
        <w:rPr>
          <w:rStyle w:val="Strong"/>
        </w:rPr>
        <w:t>restore</w:t>
      </w:r>
      <w:r w:rsidRPr="00047311" w:rsidR="00EE5413">
        <w:rPr>
          <w:rStyle w:val="Strong"/>
        </w:rPr>
        <w:t xml:space="preserve"> residential</w:t>
      </w:r>
      <w:r w:rsidRPr="00047311" w:rsidR="00C73EC0">
        <w:rPr>
          <w:rStyle w:val="Strong"/>
        </w:rPr>
        <w:t xml:space="preserve"> DSM programs</w:t>
      </w:r>
      <w:r w:rsidRPr="00047311" w:rsidR="0049010B">
        <w:rPr>
          <w:rStyle w:val="Strong"/>
        </w:rPr>
        <w:t xml:space="preserve"> and associated charges</w:t>
      </w:r>
      <w:r>
        <w:rPr>
          <w:rStyle w:val="FootnoteReference"/>
        </w:rPr>
        <w:footnoteReference w:id="8"/>
      </w:r>
      <w:r w:rsidRPr="00047311" w:rsidR="00AD5E02">
        <w:rPr>
          <w:rStyle w:val="Strong"/>
        </w:rPr>
        <w:t xml:space="preserve"> </w:t>
      </w:r>
      <w:r w:rsidRPr="00047311" w:rsidR="005E5B5C">
        <w:rPr>
          <w:rStyle w:val="Strong"/>
        </w:rPr>
        <w:t xml:space="preserve">and </w:t>
      </w:r>
      <w:r w:rsidRPr="00047311" w:rsidR="00B00FCF">
        <w:rPr>
          <w:rStyle w:val="Strong"/>
        </w:rPr>
        <w:t xml:space="preserve">2) </w:t>
      </w:r>
      <w:r w:rsidRPr="00047311" w:rsidR="005E5B5C">
        <w:rPr>
          <w:rStyle w:val="Strong"/>
        </w:rPr>
        <w:t xml:space="preserve">implement a new neighborhood </w:t>
      </w:r>
      <w:r w:rsidRPr="00047311" w:rsidR="00B00FCF">
        <w:rPr>
          <w:rStyle w:val="Strong"/>
        </w:rPr>
        <w:t>income-qualified</w:t>
      </w:r>
      <w:r w:rsidRPr="00047311" w:rsidR="005E5B5C">
        <w:rPr>
          <w:rStyle w:val="Strong"/>
        </w:rPr>
        <w:t xml:space="preserve"> program</w:t>
      </w:r>
      <w:r w:rsidRPr="00047311" w:rsidR="0049010B">
        <w:rPr>
          <w:rStyle w:val="Strong"/>
        </w:rPr>
        <w:t xml:space="preserve">. I also briefly discuss </w:t>
      </w:r>
      <w:r w:rsidRPr="00047311">
        <w:rPr>
          <w:rStyle w:val="Strong"/>
        </w:rPr>
        <w:t>Duke</w:t>
      </w:r>
      <w:r w:rsidR="00047311">
        <w:rPr>
          <w:rStyle w:val="Strong"/>
        </w:rPr>
        <w:t>’</w:t>
      </w:r>
      <w:r w:rsidRPr="00047311">
        <w:rPr>
          <w:rStyle w:val="Strong"/>
        </w:rPr>
        <w:t>s proposal to continue its existing distribution decoupling rider.</w:t>
      </w:r>
      <w:r>
        <w:rPr>
          <w:rStyle w:val="FootnoteReference"/>
        </w:rPr>
        <w:footnoteReference w:id="9"/>
      </w:r>
    </w:p>
    <w:p w:rsidR="00303022" w:rsidRPr="00047311" w:rsidP="00303022" w14:paraId="347AF7BA" w14:textId="77777777">
      <w:pPr>
        <w:pStyle w:val="Answer"/>
        <w:ind w:hanging="720"/>
        <w:rPr>
          <w:rStyle w:val="Strong"/>
          <w:color w:val="000000"/>
          <w:bdr w:val="none" w:sz="0" w:space="0" w:color="auto" w:frame="1"/>
          <w:shd w:val="clear" w:color="auto" w:fill="FFFFFF"/>
        </w:rPr>
      </w:pPr>
    </w:p>
    <w:p w:rsidR="00712DBE" w:rsidRPr="000F1975" w:rsidP="000F1975" w14:paraId="0A7375B3" w14:textId="662D3404">
      <w:pPr>
        <w:pStyle w:val="Heading1"/>
        <w:rPr>
          <w:rStyle w:val="AnswerChar"/>
          <w:rFonts w:hAnsi="Times New Roman" w:cs="Times New Roman"/>
          <w:bCs/>
          <w:iCs w:val="0"/>
        </w:rPr>
      </w:pPr>
      <w:bookmarkStart w:id="3" w:name="_Toc178343807"/>
      <w:bookmarkStart w:id="4" w:name="_Toc181176098"/>
      <w:r w:rsidRPr="000F1975">
        <w:rPr>
          <w:rStyle w:val="AnswerChar"/>
          <w:rFonts w:hAnsi="Times New Roman" w:cs="Times New Roman"/>
          <w:bCs/>
          <w:iCs w:val="0"/>
        </w:rPr>
        <w:t>II.</w:t>
      </w:r>
      <w:r w:rsidRPr="000F1975" w:rsidR="00303022">
        <w:rPr>
          <w:rStyle w:val="AnswerChar"/>
          <w:rFonts w:hAnsi="Times New Roman" w:cs="Times New Roman"/>
          <w:bCs/>
          <w:iCs w:val="0"/>
        </w:rPr>
        <w:tab/>
      </w:r>
      <w:r w:rsidRPr="000F1975">
        <w:rPr>
          <w:rStyle w:val="AnswerChar"/>
          <w:rFonts w:hAnsi="Times New Roman" w:cs="Times New Roman"/>
          <w:bCs/>
          <w:iCs w:val="0"/>
        </w:rPr>
        <w:t xml:space="preserve">SUMMARY OF </w:t>
      </w:r>
      <w:r w:rsidRPr="000F1975">
        <w:rPr>
          <w:rStyle w:val="AnswerChar"/>
          <w:rFonts w:hAnsi="Times New Roman" w:cs="Times New Roman"/>
          <w:bCs/>
          <w:iCs w:val="0"/>
        </w:rPr>
        <w:t>RECOMMENDATIONS</w:t>
      </w:r>
      <w:bookmarkEnd w:id="3"/>
      <w:bookmarkEnd w:id="4"/>
    </w:p>
    <w:p w:rsidR="00303022" w:rsidRPr="00047311" w:rsidP="00303022" w14:paraId="70C24308" w14:textId="77777777">
      <w:pPr>
        <w:spacing w:line="480" w:lineRule="auto"/>
      </w:pPr>
    </w:p>
    <w:p w:rsidR="00712DBE" w:rsidRPr="00047311" w:rsidP="00303022" w14:paraId="4C10173A" w14:textId="69E003E7">
      <w:pPr>
        <w:pStyle w:val="Question1"/>
        <w:spacing w:after="0"/>
        <w:ind w:left="720" w:hanging="720"/>
        <w:rPr>
          <w:rStyle w:val="xcontentpasted0"/>
          <w:color w:val="000000"/>
          <w:bdr w:val="none" w:sz="0" w:space="0" w:color="auto" w:frame="1"/>
          <w:shd w:val="clear" w:color="auto" w:fill="FFFFFF"/>
        </w:rPr>
      </w:pPr>
      <w:r w:rsidRPr="00047311">
        <w:rPr>
          <w:rStyle w:val="xcontentpasted0"/>
          <w:color w:val="000000"/>
          <w:bdr w:val="none" w:sz="0" w:space="0" w:color="auto" w:frame="1"/>
          <w:shd w:val="clear" w:color="auto" w:fill="FFFFFF"/>
        </w:rPr>
        <w:t>Q</w:t>
      </w:r>
      <w:r w:rsidRPr="00047311" w:rsidR="00D24C1B">
        <w:rPr>
          <w:rStyle w:val="xcontentpasted0"/>
          <w:color w:val="000000"/>
          <w:bdr w:val="none" w:sz="0" w:space="0" w:color="auto" w:frame="1"/>
          <w:shd w:val="clear" w:color="auto" w:fill="FFFFFF"/>
        </w:rPr>
        <w:t>5</w:t>
      </w:r>
      <w:r w:rsidRPr="00047311">
        <w:rPr>
          <w:rStyle w:val="xcontentpasted0"/>
          <w:color w:val="000000"/>
          <w:bdr w:val="none" w:sz="0" w:space="0" w:color="auto" w:frame="1"/>
          <w:shd w:val="clear" w:color="auto" w:fill="FFFFFF"/>
        </w:rPr>
        <w:t>.</w:t>
      </w:r>
      <w:r w:rsidRPr="00047311" w:rsidR="00303022">
        <w:rPr>
          <w:rStyle w:val="xcontentpasted0"/>
          <w:color w:val="000000"/>
          <w:bdr w:val="none" w:sz="0" w:space="0" w:color="auto" w:frame="1"/>
          <w:shd w:val="clear" w:color="auto" w:fill="FFFFFF"/>
        </w:rPr>
        <w:tab/>
      </w:r>
      <w:r w:rsidRPr="00047311">
        <w:rPr>
          <w:rStyle w:val="xcontentpasted0"/>
          <w:color w:val="000000"/>
          <w:bdr w:val="none" w:sz="0" w:space="0" w:color="auto" w:frame="1"/>
          <w:shd w:val="clear" w:color="auto" w:fill="FFFFFF"/>
        </w:rPr>
        <w:t>Please summarize your recommendations.</w:t>
      </w:r>
    </w:p>
    <w:p w:rsidR="00D24C1B" w:rsidRPr="00047311" w:rsidP="00303022" w14:paraId="530DDDCB" w14:textId="3BC66BC9">
      <w:pPr>
        <w:pStyle w:val="Answer"/>
        <w:ind w:hanging="720"/>
        <w:rPr>
          <w:rStyle w:val="xcontentpasted0"/>
          <w:color w:val="000000"/>
          <w:bdr w:val="none" w:sz="0" w:space="0" w:color="auto" w:frame="1"/>
          <w:shd w:val="clear" w:color="auto" w:fill="FFFFFF"/>
        </w:rPr>
      </w:pPr>
      <w:r w:rsidRPr="00047311">
        <w:rPr>
          <w:rStyle w:val="xcontentpasted0"/>
          <w:b/>
          <w:bCs w:val="0"/>
          <w:i/>
          <w:iCs w:val="0"/>
          <w:color w:val="000000"/>
          <w:bdr w:val="none" w:sz="0" w:space="0" w:color="auto" w:frame="1"/>
          <w:shd w:val="clear" w:color="auto" w:fill="FFFFFF"/>
        </w:rPr>
        <w:t>A5.</w:t>
      </w:r>
      <w:r w:rsidRPr="00047311" w:rsidR="00303022">
        <w:rPr>
          <w:rStyle w:val="xcontentpasted0"/>
          <w:color w:val="000000"/>
          <w:bdr w:val="none" w:sz="0" w:space="0" w:color="auto" w:frame="1"/>
          <w:shd w:val="clear" w:color="auto" w:fill="FFFFFF"/>
        </w:rPr>
        <w:tab/>
      </w:r>
      <w:r w:rsidRPr="00047311">
        <w:rPr>
          <w:rStyle w:val="xcontentpasted0"/>
          <w:color w:val="000000"/>
          <w:bdr w:val="none" w:sz="0" w:space="0" w:color="auto" w:frame="1"/>
          <w:shd w:val="clear" w:color="auto" w:fill="FFFFFF"/>
        </w:rPr>
        <w:t>My recommendations include</w:t>
      </w:r>
      <w:r w:rsidRPr="00047311" w:rsidR="00C01ABE">
        <w:rPr>
          <w:rStyle w:val="xcontentpasted0"/>
          <w:color w:val="000000"/>
          <w:bdr w:val="none" w:sz="0" w:space="0" w:color="auto" w:frame="1"/>
          <w:shd w:val="clear" w:color="auto" w:fill="FFFFFF"/>
        </w:rPr>
        <w:t>:</w:t>
      </w:r>
    </w:p>
    <w:p w:rsidR="00712DBE" w:rsidRPr="00047311" w:rsidP="0078154C" w14:paraId="2057E84F" w14:textId="6C87684B">
      <w:pPr>
        <w:pStyle w:val="Answer"/>
        <w:numPr>
          <w:ilvl w:val="0"/>
          <w:numId w:val="43"/>
        </w:numPr>
        <w:ind w:left="1440" w:hanging="720"/>
        <w:rPr>
          <w:rStyle w:val="xcontentpasted0"/>
        </w:rPr>
      </w:pPr>
      <w:r w:rsidRPr="00047311">
        <w:rPr>
          <w:rStyle w:val="xcontentpasted0"/>
        </w:rPr>
        <w:t xml:space="preserve">Duke should withdraw </w:t>
      </w:r>
      <w:r w:rsidRPr="00047311" w:rsidR="00B92FE0">
        <w:rPr>
          <w:rStyle w:val="xcontentpasted0"/>
        </w:rPr>
        <w:t xml:space="preserve">its </w:t>
      </w:r>
      <w:r w:rsidRPr="00047311">
        <w:rPr>
          <w:rStyle w:val="xcontentpasted0"/>
        </w:rPr>
        <w:t xml:space="preserve">identical </w:t>
      </w:r>
      <w:r w:rsidRPr="00047311" w:rsidR="00072C60">
        <w:rPr>
          <w:rStyle w:val="xcontentpasted0"/>
        </w:rPr>
        <w:t xml:space="preserve">DSM </w:t>
      </w:r>
      <w:r w:rsidRPr="00047311">
        <w:rPr>
          <w:rStyle w:val="xcontentpasted0"/>
        </w:rPr>
        <w:t>application in Case No. 24-45-EL-POR</w:t>
      </w:r>
      <w:r w:rsidRPr="00047311" w:rsidR="00DF7DA3">
        <w:rPr>
          <w:rStyle w:val="xcontentpasted0"/>
        </w:rPr>
        <w:t>.</w:t>
      </w:r>
      <w:r w:rsidRPr="00047311" w:rsidR="005D52D6">
        <w:rPr>
          <w:rStyle w:val="xcontentpasted0"/>
        </w:rPr>
        <w:t xml:space="preserve"> </w:t>
      </w:r>
      <w:r w:rsidRPr="00047311" w:rsidR="00336109">
        <w:rPr>
          <w:rStyle w:val="xcontentpasted0"/>
        </w:rPr>
        <w:t>It</w:t>
      </w:r>
      <w:r w:rsidRPr="00047311" w:rsidR="005D52D6">
        <w:rPr>
          <w:rStyle w:val="xcontentpasted0"/>
        </w:rPr>
        <w:t xml:space="preserve"> is a waste of resources </w:t>
      </w:r>
      <w:r w:rsidRPr="00047311" w:rsidR="00B92FE0">
        <w:rPr>
          <w:rStyle w:val="xcontentpasted0"/>
        </w:rPr>
        <w:t xml:space="preserve">for the parties and the PUCO </w:t>
      </w:r>
      <w:r w:rsidRPr="00047311" w:rsidR="005D52D6">
        <w:rPr>
          <w:rStyle w:val="xcontentpasted0"/>
        </w:rPr>
        <w:t>to</w:t>
      </w:r>
      <w:r w:rsidRPr="00047311" w:rsidR="00954366">
        <w:rPr>
          <w:rStyle w:val="xcontentpasted0"/>
        </w:rPr>
        <w:t xml:space="preserve"> address Duke</w:t>
      </w:r>
      <w:r w:rsidR="00047311">
        <w:rPr>
          <w:rStyle w:val="xcontentpasted0"/>
        </w:rPr>
        <w:t>’</w:t>
      </w:r>
      <w:r w:rsidRPr="00047311" w:rsidR="00954366">
        <w:rPr>
          <w:rStyle w:val="xcontentpasted0"/>
        </w:rPr>
        <w:t>s</w:t>
      </w:r>
      <w:r w:rsidRPr="00047311" w:rsidR="005D52D6">
        <w:rPr>
          <w:rStyle w:val="xcontentpasted0"/>
        </w:rPr>
        <w:t xml:space="preserve"> two identical proposals pending in two different cases</w:t>
      </w:r>
      <w:r w:rsidRPr="00047311">
        <w:rPr>
          <w:rStyle w:val="xcontentpasted0"/>
        </w:rPr>
        <w:t xml:space="preserve">. </w:t>
      </w:r>
    </w:p>
    <w:p w:rsidR="00EB76C1" w:rsidRPr="00047311" w:rsidP="0078154C" w14:paraId="07735FD7" w14:textId="197BC603">
      <w:pPr>
        <w:pStyle w:val="Answer"/>
        <w:numPr>
          <w:ilvl w:val="0"/>
          <w:numId w:val="43"/>
        </w:numPr>
        <w:ind w:left="1440" w:hanging="720"/>
        <w:rPr>
          <w:rStyle w:val="xcontentpasted0"/>
        </w:rPr>
      </w:pPr>
      <w:r w:rsidRPr="00047311">
        <w:rPr>
          <w:rStyle w:val="xcontentpasted0"/>
        </w:rPr>
        <w:t>Duke</w:t>
      </w:r>
      <w:r w:rsidR="00047311">
        <w:rPr>
          <w:rStyle w:val="xcontentpasted0"/>
        </w:rPr>
        <w:t>’</w:t>
      </w:r>
      <w:r w:rsidRPr="00047311">
        <w:rPr>
          <w:rStyle w:val="xcontentpasted0"/>
        </w:rPr>
        <w:t xml:space="preserve">s </w:t>
      </w:r>
      <w:r w:rsidRPr="00047311" w:rsidR="005D52D6">
        <w:rPr>
          <w:rStyle w:val="xcontentpasted0"/>
        </w:rPr>
        <w:t xml:space="preserve">non-low-income </w:t>
      </w:r>
      <w:r w:rsidRPr="00047311">
        <w:rPr>
          <w:rStyle w:val="xcontentpasted0"/>
        </w:rPr>
        <w:t>residential programs and proposed charges should be rejected</w:t>
      </w:r>
      <w:r w:rsidRPr="00047311" w:rsidR="005D52D6">
        <w:rPr>
          <w:rStyle w:val="xcontentpasted0"/>
        </w:rPr>
        <w:t xml:space="preserve"> </w:t>
      </w:r>
      <w:r w:rsidRPr="00047311" w:rsidR="00F73418">
        <w:rPr>
          <w:rStyle w:val="xcontentpasted0"/>
        </w:rPr>
        <w:t xml:space="preserve">because these programs are available in the competitive </w:t>
      </w:r>
      <w:r w:rsidRPr="00047311" w:rsidR="003735B8">
        <w:rPr>
          <w:rStyle w:val="xcontentpasted0"/>
        </w:rPr>
        <w:t>market</w:t>
      </w:r>
      <w:r w:rsidRPr="00047311" w:rsidR="00DD1BDF">
        <w:rPr>
          <w:rStyle w:val="xcontentpasted0"/>
        </w:rPr>
        <w:t xml:space="preserve"> and Duke</w:t>
      </w:r>
      <w:r w:rsidR="00047311">
        <w:rPr>
          <w:rStyle w:val="xcontentpasted0"/>
        </w:rPr>
        <w:t>’</w:t>
      </w:r>
      <w:r w:rsidRPr="00047311" w:rsidR="00DD1BDF">
        <w:rPr>
          <w:rStyle w:val="xcontentpasted0"/>
        </w:rPr>
        <w:t xml:space="preserve">s projected consumer charges of $46 million </w:t>
      </w:r>
      <w:r w:rsidRPr="00047311" w:rsidR="001F425A">
        <w:rPr>
          <w:rStyle w:val="xcontentpasted0"/>
        </w:rPr>
        <w:t xml:space="preserve">to subsidize these programs through utility rates </w:t>
      </w:r>
      <w:r w:rsidRPr="00047311" w:rsidR="00DD1BDF">
        <w:rPr>
          <w:rStyle w:val="xcontentpasted0"/>
        </w:rPr>
        <w:t>over three years is unreasonable</w:t>
      </w:r>
      <w:r w:rsidRPr="00047311" w:rsidR="003735B8">
        <w:rPr>
          <w:rStyle w:val="xcontentpasted0"/>
        </w:rPr>
        <w:t>.</w:t>
      </w:r>
    </w:p>
    <w:p w:rsidR="00072C60" w:rsidRPr="00047311" w:rsidP="0078154C" w14:paraId="02DDDA0C" w14:textId="7A0BE617">
      <w:pPr>
        <w:pStyle w:val="Answer"/>
        <w:numPr>
          <w:ilvl w:val="0"/>
          <w:numId w:val="43"/>
        </w:numPr>
        <w:ind w:left="1440" w:hanging="720"/>
        <w:rPr>
          <w:rStyle w:val="xcontentpasted0"/>
        </w:rPr>
      </w:pPr>
      <w:r w:rsidRPr="00047311">
        <w:rPr>
          <w:rStyle w:val="xcontentpasted0"/>
        </w:rPr>
        <w:t xml:space="preserve">The PUCO should </w:t>
      </w:r>
      <w:r w:rsidRPr="00047311" w:rsidR="00F73418">
        <w:rPr>
          <w:rStyle w:val="xcontentpasted0"/>
        </w:rPr>
        <w:t xml:space="preserve">approve </w:t>
      </w:r>
      <w:r w:rsidRPr="00047311">
        <w:rPr>
          <w:rStyle w:val="xcontentpasted0"/>
        </w:rPr>
        <w:t>Duke</w:t>
      </w:r>
      <w:r w:rsidR="00047311">
        <w:rPr>
          <w:rStyle w:val="xcontentpasted0"/>
        </w:rPr>
        <w:t>’</w:t>
      </w:r>
      <w:r w:rsidRPr="00047311">
        <w:rPr>
          <w:rStyle w:val="xcontentpasted0"/>
        </w:rPr>
        <w:t xml:space="preserve">s </w:t>
      </w:r>
      <w:r w:rsidRPr="00047311" w:rsidR="00F73418">
        <w:rPr>
          <w:rStyle w:val="xcontentpasted0"/>
        </w:rPr>
        <w:t>Neighborhood Energy Saver (</w:t>
      </w:r>
      <w:r w:rsidR="00047311">
        <w:rPr>
          <w:rStyle w:val="xcontentpasted0"/>
        </w:rPr>
        <w:t>“</w:t>
      </w:r>
      <w:r w:rsidRPr="00047311" w:rsidR="0057791A">
        <w:rPr>
          <w:rStyle w:val="xcontentpasted0"/>
        </w:rPr>
        <w:t>NES</w:t>
      </w:r>
      <w:r w:rsidR="00047311">
        <w:rPr>
          <w:rStyle w:val="xcontentpasted0"/>
        </w:rPr>
        <w:t>”</w:t>
      </w:r>
      <w:r w:rsidRPr="00047311" w:rsidR="00F73418">
        <w:rPr>
          <w:rStyle w:val="xcontentpasted0"/>
        </w:rPr>
        <w:t>)</w:t>
      </w:r>
      <w:r w:rsidRPr="00047311" w:rsidR="0057791A">
        <w:rPr>
          <w:rStyle w:val="xcontentpasted0"/>
        </w:rPr>
        <w:t xml:space="preserve"> program</w:t>
      </w:r>
      <w:r w:rsidRPr="00047311" w:rsidR="00F73418">
        <w:rPr>
          <w:rStyle w:val="xcontentpasted0"/>
        </w:rPr>
        <w:t xml:space="preserve">, subject to the following </w:t>
      </w:r>
      <w:r w:rsidRPr="00047311" w:rsidR="001F425A">
        <w:rPr>
          <w:rStyle w:val="xcontentpasted0"/>
        </w:rPr>
        <w:t>consumer protections</w:t>
      </w:r>
      <w:r w:rsidRPr="00047311" w:rsidR="00336109">
        <w:rPr>
          <w:rStyle w:val="xcontentpasted0"/>
        </w:rPr>
        <w:t xml:space="preserve">. </w:t>
      </w:r>
      <w:r w:rsidRPr="00047311" w:rsidR="00F73418">
        <w:rPr>
          <w:rStyle w:val="xcontentpasted0"/>
        </w:rPr>
        <w:t>First, Duke should eliminate the provision that allows it to earn profits on the program</w:t>
      </w:r>
      <w:r w:rsidRPr="00047311" w:rsidR="00F549A2">
        <w:rPr>
          <w:rStyle w:val="xcontentpasted0"/>
        </w:rPr>
        <w:t xml:space="preserve"> through what is call</w:t>
      </w:r>
      <w:r w:rsidR="000270FD">
        <w:rPr>
          <w:rStyle w:val="xcontentpasted0"/>
        </w:rPr>
        <w:t>ed</w:t>
      </w:r>
      <w:r w:rsidRPr="00047311" w:rsidR="00F549A2">
        <w:rPr>
          <w:rStyle w:val="xcontentpasted0"/>
        </w:rPr>
        <w:t xml:space="preserve"> the </w:t>
      </w:r>
      <w:r w:rsidR="00047311">
        <w:rPr>
          <w:rStyle w:val="xcontentpasted0"/>
        </w:rPr>
        <w:t>“</w:t>
      </w:r>
      <w:r w:rsidRPr="00047311" w:rsidR="00F549A2">
        <w:rPr>
          <w:rStyle w:val="xcontentpasted0"/>
        </w:rPr>
        <w:t>Joint Benefit Recognition</w:t>
      </w:r>
      <w:r w:rsidR="00047311">
        <w:rPr>
          <w:rStyle w:val="xcontentpasted0"/>
        </w:rPr>
        <w:t>”</w:t>
      </w:r>
      <w:r w:rsidRPr="00047311" w:rsidR="00F549A2">
        <w:rPr>
          <w:rStyle w:val="xcontentpasted0"/>
        </w:rPr>
        <w:t xml:space="preserve"> mechanism</w:t>
      </w:r>
      <w:r w:rsidRPr="00047311" w:rsidR="00F73418">
        <w:rPr>
          <w:rStyle w:val="xcontentpasted0"/>
        </w:rPr>
        <w:t>.</w:t>
      </w:r>
      <w:r w:rsidRPr="00047311" w:rsidR="00885EE7">
        <w:rPr>
          <w:rStyle w:val="xcontentpasted0"/>
        </w:rPr>
        <w:t xml:space="preserve"> </w:t>
      </w:r>
      <w:r w:rsidRPr="00047311">
        <w:rPr>
          <w:rStyle w:val="xcontentpasted0"/>
        </w:rPr>
        <w:t xml:space="preserve">Consumers should never pay profits on </w:t>
      </w:r>
      <w:r w:rsidRPr="00047311" w:rsidR="00C01ABE">
        <w:rPr>
          <w:rStyle w:val="xcontentpasted0"/>
        </w:rPr>
        <w:t>income qualified</w:t>
      </w:r>
      <w:r w:rsidRPr="00047311">
        <w:rPr>
          <w:rStyle w:val="xcontentpasted0"/>
        </w:rPr>
        <w:t xml:space="preserve"> energy efficiency programs.</w:t>
      </w:r>
      <w:r>
        <w:rPr>
          <w:rStyle w:val="FootnoteReference"/>
        </w:rPr>
        <w:footnoteReference w:id="10"/>
      </w:r>
      <w:r w:rsidRPr="00047311" w:rsidR="0057791A">
        <w:rPr>
          <w:rStyle w:val="xcontentpasted0"/>
        </w:rPr>
        <w:t xml:space="preserve"> </w:t>
      </w:r>
      <w:r w:rsidRPr="00047311" w:rsidR="00F73418">
        <w:rPr>
          <w:rStyle w:val="xcontentpasted0"/>
        </w:rPr>
        <w:t xml:space="preserve">Second, the PUCO should require Duke to tighten the eligibility requirements such that the programs and services are only available to </w:t>
      </w:r>
      <w:r w:rsidRPr="00047311" w:rsidR="00336109">
        <w:rPr>
          <w:rStyle w:val="xcontentpasted0"/>
        </w:rPr>
        <w:t>consumers at or below 200% of the Federal Poverty Level (</w:t>
      </w:r>
      <w:r w:rsidR="00047311">
        <w:rPr>
          <w:rStyle w:val="xcontentpasted0"/>
        </w:rPr>
        <w:t>“</w:t>
      </w:r>
      <w:r w:rsidRPr="00047311" w:rsidR="00336109">
        <w:rPr>
          <w:rStyle w:val="xcontentpasted0"/>
        </w:rPr>
        <w:t>FPL</w:t>
      </w:r>
      <w:r w:rsidR="00047311">
        <w:rPr>
          <w:rStyle w:val="xcontentpasted0"/>
        </w:rPr>
        <w:t>”</w:t>
      </w:r>
      <w:r w:rsidRPr="00047311" w:rsidR="00336109">
        <w:rPr>
          <w:rStyle w:val="xcontentpasted0"/>
        </w:rPr>
        <w:t>) guidelines</w:t>
      </w:r>
      <w:r w:rsidRPr="00047311" w:rsidR="00F73418">
        <w:rPr>
          <w:rStyle w:val="xcontentpasted0"/>
        </w:rPr>
        <w:t>.</w:t>
      </w:r>
      <w:r w:rsidRPr="00047311" w:rsidR="00885EE7">
        <w:rPr>
          <w:rStyle w:val="xcontentpasted0"/>
        </w:rPr>
        <w:t xml:space="preserve"> </w:t>
      </w:r>
      <w:r w:rsidRPr="00047311" w:rsidR="00336109">
        <w:rPr>
          <w:rStyle w:val="xcontentpasted0"/>
        </w:rPr>
        <w:t>As proposed, t</w:t>
      </w:r>
      <w:r w:rsidRPr="00047311" w:rsidR="0057791A">
        <w:rPr>
          <w:rStyle w:val="xcontentpasted0"/>
        </w:rPr>
        <w:t>he eligibility require</w:t>
      </w:r>
      <w:r w:rsidRPr="00047311" w:rsidR="00F73418">
        <w:rPr>
          <w:rStyle w:val="xcontentpasted0"/>
        </w:rPr>
        <w:t>ment</w:t>
      </w:r>
      <w:r w:rsidRPr="00047311" w:rsidR="0057791A">
        <w:rPr>
          <w:rStyle w:val="xcontentpasted0"/>
        </w:rPr>
        <w:t>s are</w:t>
      </w:r>
      <w:r w:rsidRPr="00047311" w:rsidR="00F73418">
        <w:rPr>
          <w:rStyle w:val="xcontentpasted0"/>
        </w:rPr>
        <w:t xml:space="preserve"> too</w:t>
      </w:r>
      <w:r w:rsidRPr="00047311" w:rsidR="0057791A">
        <w:rPr>
          <w:rStyle w:val="xcontentpasted0"/>
        </w:rPr>
        <w:t xml:space="preserve"> loosely defined. This increases the risk that non-low-income consumers will receive benefits at the expense of low-income consumers most in need of energy savings.</w:t>
      </w:r>
    </w:p>
    <w:p w:rsidR="00A540A1" w:rsidRPr="00047311" w:rsidP="0078154C" w14:paraId="082BB960" w14:textId="38B19493">
      <w:pPr>
        <w:pStyle w:val="Answer"/>
        <w:numPr>
          <w:ilvl w:val="0"/>
          <w:numId w:val="43"/>
        </w:numPr>
        <w:ind w:left="1440" w:hanging="720"/>
        <w:rPr>
          <w:rStyle w:val="xcontentpasted0"/>
        </w:rPr>
      </w:pPr>
      <w:r w:rsidRPr="00047311">
        <w:rPr>
          <w:rStyle w:val="xcontentpasted0"/>
        </w:rPr>
        <w:t xml:space="preserve">The PUCO should require </w:t>
      </w:r>
      <w:r w:rsidRPr="00047311">
        <w:rPr>
          <w:rStyle w:val="xcontentpasted0"/>
        </w:rPr>
        <w:t xml:space="preserve">oversight on </w:t>
      </w:r>
      <w:r w:rsidRPr="00047311" w:rsidR="00D24C1B">
        <w:rPr>
          <w:rStyle w:val="xcontentpasted0"/>
        </w:rPr>
        <w:t xml:space="preserve">the </w:t>
      </w:r>
      <w:r w:rsidRPr="00047311" w:rsidR="00C01ABE">
        <w:rPr>
          <w:rStyle w:val="xcontentpasted0"/>
        </w:rPr>
        <w:t xml:space="preserve">NES </w:t>
      </w:r>
      <w:r w:rsidRPr="00047311" w:rsidR="00D24C1B">
        <w:rPr>
          <w:rStyle w:val="xcontentpasted0"/>
        </w:rPr>
        <w:t xml:space="preserve">program, </w:t>
      </w:r>
      <w:r w:rsidRPr="00047311">
        <w:rPr>
          <w:rStyle w:val="xcontentpasted0"/>
        </w:rPr>
        <w:t>including a</w:t>
      </w:r>
      <w:r w:rsidRPr="00047311">
        <w:rPr>
          <w:rStyle w:val="xcontentpasted0"/>
        </w:rPr>
        <w:t xml:space="preserve"> collaborative process </w:t>
      </w:r>
      <w:r w:rsidRPr="00047311">
        <w:rPr>
          <w:rStyle w:val="xcontentpasted0"/>
        </w:rPr>
        <w:t xml:space="preserve">that meets every three months to report status on savings benefits for </w:t>
      </w:r>
      <w:r w:rsidRPr="00047311" w:rsidR="00336109">
        <w:rPr>
          <w:rStyle w:val="xcontentpasted0"/>
        </w:rPr>
        <w:t>low-income</w:t>
      </w:r>
      <w:r w:rsidRPr="00047311" w:rsidR="00985E93">
        <w:rPr>
          <w:rStyle w:val="xcontentpasted0"/>
        </w:rPr>
        <w:t xml:space="preserve"> </w:t>
      </w:r>
      <w:r w:rsidRPr="00047311">
        <w:rPr>
          <w:rStyle w:val="xcontentpasted0"/>
        </w:rPr>
        <w:t xml:space="preserve">consumers. The collaborative should include </w:t>
      </w:r>
      <w:r w:rsidRPr="00047311" w:rsidR="00F549A2">
        <w:rPr>
          <w:rStyle w:val="xcontentpasted0"/>
        </w:rPr>
        <w:t>t</w:t>
      </w:r>
      <w:r w:rsidRPr="00047311" w:rsidR="00954366">
        <w:rPr>
          <w:rStyle w:val="xcontentpasted0"/>
        </w:rPr>
        <w:t xml:space="preserve">he PUCO </w:t>
      </w:r>
      <w:r w:rsidRPr="00047311">
        <w:rPr>
          <w:rStyle w:val="xcontentpasted0"/>
        </w:rPr>
        <w:t>Staff, OCC</w:t>
      </w:r>
      <w:r w:rsidRPr="00047311" w:rsidR="00D24C1B">
        <w:rPr>
          <w:rStyle w:val="xcontentpasted0"/>
        </w:rPr>
        <w:t>,</w:t>
      </w:r>
      <w:r w:rsidRPr="00047311">
        <w:rPr>
          <w:rStyle w:val="xcontentpasted0"/>
        </w:rPr>
        <w:t xml:space="preserve"> and other interested parties.</w:t>
      </w:r>
      <w:r w:rsidRPr="00047311" w:rsidR="00D24C1B">
        <w:rPr>
          <w:rStyle w:val="xcontentpasted0"/>
        </w:rPr>
        <w:t xml:space="preserve"> And the local community action agencies in Butler, Warren and other counties in Duke</w:t>
      </w:r>
      <w:r w:rsidR="00047311">
        <w:rPr>
          <w:rStyle w:val="xcontentpasted0"/>
        </w:rPr>
        <w:t>’</w:t>
      </w:r>
      <w:r w:rsidRPr="00047311" w:rsidR="00D24C1B">
        <w:rPr>
          <w:rStyle w:val="xcontentpasted0"/>
        </w:rPr>
        <w:t>s service territory should be invited to attend.</w:t>
      </w:r>
    </w:p>
    <w:p w:rsidR="006A5D78" w:rsidRPr="00047311" w:rsidP="0078154C" w14:paraId="3B76D6D7" w14:textId="0FFE517B">
      <w:pPr>
        <w:pStyle w:val="Answer"/>
        <w:numPr>
          <w:ilvl w:val="0"/>
          <w:numId w:val="43"/>
        </w:numPr>
        <w:ind w:left="1440" w:hanging="720"/>
        <w:rPr>
          <w:rStyle w:val="xcontentpasted0"/>
          <w:bCs w:val="0"/>
          <w:iCs w:val="0"/>
        </w:rPr>
      </w:pPr>
      <w:r w:rsidRPr="00047311">
        <w:rPr>
          <w:rStyle w:val="xcontentpasted0"/>
        </w:rPr>
        <w:t xml:space="preserve">The PUCO should </w:t>
      </w:r>
      <w:r w:rsidRPr="00047311" w:rsidR="00336109">
        <w:rPr>
          <w:rStyle w:val="xcontentpasted0"/>
        </w:rPr>
        <w:t>reject Duke</w:t>
      </w:r>
      <w:r w:rsidR="00047311">
        <w:rPr>
          <w:rStyle w:val="xcontentpasted0"/>
        </w:rPr>
        <w:t>’</w:t>
      </w:r>
      <w:r w:rsidRPr="00047311" w:rsidR="00336109">
        <w:rPr>
          <w:rStyle w:val="xcontentpasted0"/>
        </w:rPr>
        <w:t xml:space="preserve">s proposal to continue </w:t>
      </w:r>
      <w:r w:rsidRPr="00047311" w:rsidR="00D62DEE">
        <w:rPr>
          <w:rStyle w:val="xcontentpasted0"/>
        </w:rPr>
        <w:t xml:space="preserve">the Distribution Decoupling </w:t>
      </w:r>
      <w:r w:rsidRPr="00047311" w:rsidR="00336109">
        <w:rPr>
          <w:rStyle w:val="xcontentpasted0"/>
        </w:rPr>
        <w:t xml:space="preserve">Rider </w:t>
      </w:r>
      <w:r w:rsidRPr="00047311" w:rsidR="00D62DEE">
        <w:rPr>
          <w:rStyle w:val="xcontentpasted0"/>
        </w:rPr>
        <w:t>(</w:t>
      </w:r>
      <w:r w:rsidR="00047311">
        <w:rPr>
          <w:rStyle w:val="xcontentpasted0"/>
        </w:rPr>
        <w:t>“</w:t>
      </w:r>
      <w:r w:rsidRPr="00047311" w:rsidR="00D62DEE">
        <w:rPr>
          <w:rStyle w:val="xcontentpasted0"/>
        </w:rPr>
        <w:t xml:space="preserve">Rider </w:t>
      </w:r>
      <w:r w:rsidRPr="00047311" w:rsidR="00336109">
        <w:rPr>
          <w:rStyle w:val="xcontentpasted0"/>
        </w:rPr>
        <w:t>DDR</w:t>
      </w:r>
      <w:r w:rsidR="00047311">
        <w:rPr>
          <w:rStyle w:val="xcontentpasted0"/>
        </w:rPr>
        <w:t>”</w:t>
      </w:r>
      <w:r w:rsidRPr="00047311" w:rsidR="00D62DEE">
        <w:rPr>
          <w:rStyle w:val="xcontentpasted0"/>
        </w:rPr>
        <w:t>)</w:t>
      </w:r>
      <w:r w:rsidRPr="00047311" w:rsidR="00336109">
        <w:rPr>
          <w:rStyle w:val="xcontentpasted0"/>
        </w:rPr>
        <w:t>. The PUCO</w:t>
      </w:r>
      <w:r w:rsidRPr="00047311" w:rsidR="00985E93">
        <w:rPr>
          <w:rStyle w:val="xcontentpasted0"/>
        </w:rPr>
        <w:t xml:space="preserve"> originally approved this rider under the construct of Ohio</w:t>
      </w:r>
      <w:r w:rsidR="00047311">
        <w:rPr>
          <w:rStyle w:val="xcontentpasted0"/>
        </w:rPr>
        <w:t>’</w:t>
      </w:r>
      <w:r w:rsidRPr="00047311" w:rsidR="00985E93">
        <w:rPr>
          <w:rStyle w:val="xcontentpasted0"/>
        </w:rPr>
        <w:t>s energy efficiency mandates</w:t>
      </w:r>
      <w:r w:rsidRPr="00047311" w:rsidR="00336109">
        <w:rPr>
          <w:rStyle w:val="xcontentpasted0"/>
        </w:rPr>
        <w:t xml:space="preserve"> as a better alternative than recovery of lost revenues from energy efficiency programs.</w:t>
      </w:r>
      <w:r w:rsidRPr="00047311" w:rsidR="00985E93">
        <w:rPr>
          <w:rStyle w:val="xcontentpasted0"/>
        </w:rPr>
        <w:t xml:space="preserve"> </w:t>
      </w:r>
      <w:r w:rsidRPr="00047311" w:rsidR="00D62DEE">
        <w:rPr>
          <w:rStyle w:val="xcontentpasted0"/>
        </w:rPr>
        <w:t xml:space="preserve">However, </w:t>
      </w:r>
      <w:r w:rsidRPr="00047311" w:rsidR="00E22570">
        <w:rPr>
          <w:rStyle w:val="xcontentpasted0"/>
        </w:rPr>
        <w:t>energy efficiency</w:t>
      </w:r>
      <w:r w:rsidRPr="00047311" w:rsidR="00985E93">
        <w:rPr>
          <w:rStyle w:val="xcontentpasted0"/>
        </w:rPr>
        <w:t xml:space="preserve"> mandates no longer exist</w:t>
      </w:r>
      <w:r w:rsidRPr="00047311" w:rsidR="00D62DEE">
        <w:rPr>
          <w:rStyle w:val="xcontentpasted0"/>
        </w:rPr>
        <w:t xml:space="preserve"> in Ohio</w:t>
      </w:r>
      <w:r w:rsidRPr="00047311" w:rsidR="00985E93">
        <w:rPr>
          <w:rStyle w:val="xcontentpasted0"/>
        </w:rPr>
        <w:t>.</w:t>
      </w:r>
      <w:r>
        <w:rPr>
          <w:rStyle w:val="FootnoteReference"/>
        </w:rPr>
        <w:footnoteReference w:id="11"/>
      </w:r>
    </w:p>
    <w:p w:rsidR="007134C9" w:rsidRPr="00047311" w:rsidP="0078154C" w14:paraId="17CB8264" w14:textId="2FAB9369">
      <w:pPr>
        <w:pStyle w:val="Answer"/>
        <w:numPr>
          <w:ilvl w:val="0"/>
          <w:numId w:val="43"/>
        </w:numPr>
        <w:ind w:left="1440" w:hanging="720"/>
        <w:rPr>
          <w:rStyle w:val="xcontentpasted0"/>
          <w:bCs w:val="0"/>
          <w:iCs w:val="0"/>
        </w:rPr>
      </w:pPr>
      <w:r w:rsidRPr="00047311">
        <w:rPr>
          <w:rStyle w:val="xcontentpasted0"/>
        </w:rPr>
        <w:t>Should the PUCO approve any residential DSM program, Duke should not be allowed to collect lost revenues.</w:t>
      </w:r>
    </w:p>
    <w:p w:rsidR="007134C9" w:rsidRPr="00047311" w:rsidP="007134C9" w14:paraId="4AA66B2D" w14:textId="77777777">
      <w:pPr>
        <w:pStyle w:val="Answer"/>
        <w:rPr>
          <w:rStyle w:val="xcontentpasted0"/>
          <w:bCs w:val="0"/>
          <w:iCs w:val="0"/>
        </w:rPr>
      </w:pPr>
    </w:p>
    <w:p w:rsidR="006A5D78" w:rsidRPr="00047311" w:rsidP="00281EC1" w14:paraId="1B3F01C3" w14:textId="357A68A2">
      <w:pPr>
        <w:pStyle w:val="Heading1"/>
        <w:rPr>
          <w:rStyle w:val="xcontentpasted0"/>
        </w:rPr>
      </w:pPr>
      <w:bookmarkStart w:id="5" w:name="_Toc178343808"/>
      <w:bookmarkStart w:id="6" w:name="_Toc181176099"/>
      <w:r w:rsidRPr="00047311">
        <w:rPr>
          <w:rStyle w:val="xcontentpasted0"/>
        </w:rPr>
        <w:t>I</w:t>
      </w:r>
      <w:r w:rsidRPr="00047311">
        <w:rPr>
          <w:rStyle w:val="xcontentpasted0"/>
        </w:rPr>
        <w:t>II.</w:t>
      </w:r>
      <w:r w:rsidRPr="00047311" w:rsidR="0078231B">
        <w:rPr>
          <w:rStyle w:val="xcontentpasted0"/>
        </w:rPr>
        <w:tab/>
      </w:r>
      <w:r w:rsidRPr="00047311">
        <w:rPr>
          <w:rStyle w:val="xcontentpasted0"/>
        </w:rPr>
        <w:t>DSM PROPOSAL</w:t>
      </w:r>
      <w:r w:rsidRPr="00047311" w:rsidR="003D15D3">
        <w:rPr>
          <w:rStyle w:val="xcontentpasted0"/>
        </w:rPr>
        <w:t xml:space="preserve"> FOR RESIDENTIAL CONSUMERS</w:t>
      </w:r>
      <w:bookmarkEnd w:id="5"/>
      <w:bookmarkEnd w:id="6"/>
    </w:p>
    <w:p w:rsidR="0078231B" w:rsidRPr="00047311" w:rsidP="0078231B" w14:paraId="0664F898" w14:textId="77777777">
      <w:pPr>
        <w:spacing w:line="480" w:lineRule="auto"/>
      </w:pPr>
    </w:p>
    <w:p w:rsidR="00B529A7" w:rsidRPr="00047311" w:rsidP="00276762" w14:paraId="0F1F1C1A" w14:textId="6C4178CB">
      <w:pPr>
        <w:pStyle w:val="Answer"/>
        <w:spacing w:line="240" w:lineRule="auto"/>
        <w:ind w:hanging="720"/>
      </w:pPr>
      <w:r w:rsidRPr="00047311">
        <w:rPr>
          <w:rStyle w:val="Question1Char"/>
        </w:rPr>
        <w:t>Q</w:t>
      </w:r>
      <w:r w:rsidRPr="00047311" w:rsidR="0049591A">
        <w:rPr>
          <w:rStyle w:val="Question1Char"/>
        </w:rPr>
        <w:t>6</w:t>
      </w:r>
      <w:r w:rsidRPr="00047311">
        <w:rPr>
          <w:rStyle w:val="Question1Char"/>
        </w:rPr>
        <w:t>.</w:t>
      </w:r>
      <w:r w:rsidRPr="00047311" w:rsidR="00643C4C">
        <w:rPr>
          <w:rStyle w:val="Question1Char"/>
        </w:rPr>
        <w:tab/>
      </w:r>
      <w:r w:rsidRPr="00047311">
        <w:rPr>
          <w:rStyle w:val="Question1Char"/>
        </w:rPr>
        <w:t>did Duke propose the same RESIDENTIAL programs in a separate proceeding?</w:t>
      </w:r>
      <w:r w:rsidRPr="00047311">
        <w:t xml:space="preserve"> </w:t>
      </w:r>
    </w:p>
    <w:p w:rsidR="00276762" w:rsidRPr="00047311" w:rsidP="00276762" w14:paraId="0F6B8CA1" w14:textId="77777777">
      <w:pPr>
        <w:pStyle w:val="Answer"/>
        <w:spacing w:line="240" w:lineRule="auto"/>
        <w:ind w:hanging="720"/>
      </w:pPr>
    </w:p>
    <w:p w:rsidR="00B63AB1" w:rsidP="00B63AB1" w14:paraId="489747F7" w14:textId="631F8917">
      <w:pPr>
        <w:pStyle w:val="Answer"/>
        <w:ind w:hanging="720"/>
        <w:rPr>
          <w:bCs w:val="0"/>
          <w:iCs w:val="0"/>
        </w:rPr>
      </w:pPr>
      <w:r w:rsidRPr="00047311">
        <w:rPr>
          <w:b/>
          <w:bCs w:val="0"/>
          <w:i/>
          <w:iCs w:val="0"/>
        </w:rPr>
        <w:t>A</w:t>
      </w:r>
      <w:r w:rsidRPr="00047311" w:rsidR="0049591A">
        <w:rPr>
          <w:b/>
          <w:bCs w:val="0"/>
          <w:i/>
          <w:iCs w:val="0"/>
        </w:rPr>
        <w:t>6</w:t>
      </w:r>
      <w:r w:rsidRPr="00047311">
        <w:rPr>
          <w:b/>
          <w:bCs w:val="0"/>
          <w:i/>
          <w:iCs w:val="0"/>
        </w:rPr>
        <w:t>.</w:t>
      </w:r>
      <w:r w:rsidRPr="00047311" w:rsidR="00643C4C">
        <w:tab/>
      </w:r>
      <w:r w:rsidRPr="00047311">
        <w:t>Yes. Duke proposed identical programs and consumer charges in a DSM portfolio case, Case No. 24-45-EL-POR</w:t>
      </w:r>
      <w:r w:rsidRPr="00047311" w:rsidR="00855CCD">
        <w:t>, which is currently pending</w:t>
      </w:r>
      <w:r w:rsidRPr="00047311">
        <w:t xml:space="preserve">. Duke should withdraw the portfolio case proposal because it is identical to </w:t>
      </w:r>
      <w:r w:rsidR="005120DD">
        <w:t xml:space="preserve">its </w:t>
      </w:r>
      <w:r w:rsidRPr="00047311">
        <w:t xml:space="preserve">proposal </w:t>
      </w:r>
      <w:r w:rsidRPr="00047311" w:rsidR="00855CCD">
        <w:t>in this case</w:t>
      </w:r>
      <w:r w:rsidRPr="00047311">
        <w:t xml:space="preserve">. </w:t>
      </w:r>
      <w:r w:rsidRPr="00047311" w:rsidR="00855CCD">
        <w:t xml:space="preserve">There is no reason to waste the resources of the </w:t>
      </w:r>
      <w:r w:rsidRPr="00047311">
        <w:t>PUCO</w:t>
      </w:r>
      <w:r w:rsidRPr="00047311" w:rsidR="00F73418">
        <w:t>, OCC and other stakeholders to review, analyze and litigate</w:t>
      </w:r>
      <w:r w:rsidRPr="00047311">
        <w:t xml:space="preserve"> identical DSM proposals</w:t>
      </w:r>
      <w:r w:rsidRPr="00047311" w:rsidR="00855CCD">
        <w:t xml:space="preserve"> in two cases</w:t>
      </w:r>
      <w:r w:rsidRPr="00047311">
        <w:t>.</w:t>
      </w:r>
      <w:r w:rsidRPr="00047311" w:rsidR="00885EE7">
        <w:t xml:space="preserve"> </w:t>
      </w:r>
      <w:r>
        <w:br w:type="page"/>
      </w:r>
    </w:p>
    <w:p w:rsidR="00712DBE" w:rsidRPr="00047311" w:rsidP="00903D8D" w14:paraId="53BE71D3" w14:textId="572D63EE">
      <w:pPr>
        <w:pStyle w:val="Question1"/>
        <w:spacing w:after="0" w:line="240" w:lineRule="auto"/>
        <w:ind w:left="720" w:hanging="720"/>
      </w:pPr>
      <w:r w:rsidRPr="00047311">
        <w:t>Q</w:t>
      </w:r>
      <w:r w:rsidRPr="00047311" w:rsidR="0049591A">
        <w:t>7</w:t>
      </w:r>
      <w:r w:rsidRPr="00047311">
        <w:t>.</w:t>
      </w:r>
      <w:r w:rsidRPr="00047311" w:rsidR="00643C4C">
        <w:tab/>
      </w:r>
      <w:r w:rsidRPr="00047311">
        <w:t>PLEASE EXPLAIN DUKE</w:t>
      </w:r>
      <w:r w:rsidR="00047311">
        <w:t>’</w:t>
      </w:r>
      <w:r w:rsidRPr="00047311">
        <w:t xml:space="preserve">S PROPOSAL </w:t>
      </w:r>
      <w:r w:rsidRPr="00047311" w:rsidR="00AD7F76">
        <w:t xml:space="preserve">FOR </w:t>
      </w:r>
      <w:r w:rsidRPr="00047311" w:rsidR="002B1922">
        <w:t>RESIDENTIAL</w:t>
      </w:r>
      <w:r w:rsidRPr="00047311">
        <w:t xml:space="preserve"> </w:t>
      </w:r>
      <w:r w:rsidRPr="00047311" w:rsidR="003D15D3">
        <w:t>DSM</w:t>
      </w:r>
      <w:r w:rsidRPr="00047311">
        <w:t xml:space="preserve"> PROGRAMS.</w:t>
      </w:r>
    </w:p>
    <w:p w:rsidR="00903D8D" w:rsidRPr="00047311" w:rsidP="00903D8D" w14:paraId="641E2916" w14:textId="77777777">
      <w:pPr>
        <w:pStyle w:val="Question1"/>
        <w:spacing w:after="0" w:line="240" w:lineRule="auto"/>
        <w:ind w:left="720" w:hanging="720"/>
      </w:pPr>
    </w:p>
    <w:p w:rsidR="00712DBE" w:rsidRPr="00047311" w:rsidP="00643C4C" w14:paraId="4C21851E" w14:textId="6063536C">
      <w:pPr>
        <w:pStyle w:val="Answer"/>
        <w:ind w:hanging="720"/>
      </w:pPr>
      <w:r w:rsidRPr="00047311">
        <w:rPr>
          <w:b/>
          <w:bCs w:val="0"/>
          <w:i/>
          <w:iCs w:val="0"/>
        </w:rPr>
        <w:t>A</w:t>
      </w:r>
      <w:r w:rsidRPr="00047311" w:rsidR="0049591A">
        <w:rPr>
          <w:b/>
          <w:bCs w:val="0"/>
          <w:i/>
          <w:iCs w:val="0"/>
        </w:rPr>
        <w:t>7</w:t>
      </w:r>
      <w:r w:rsidRPr="00047311">
        <w:rPr>
          <w:b/>
          <w:bCs w:val="0"/>
          <w:i/>
          <w:iCs w:val="0"/>
        </w:rPr>
        <w:t>.</w:t>
      </w:r>
      <w:r w:rsidRPr="00047311">
        <w:tab/>
      </w:r>
      <w:r w:rsidRPr="00047311" w:rsidR="00D24C1B">
        <w:t xml:space="preserve"> </w:t>
      </w:r>
      <w:r w:rsidRPr="00047311">
        <w:t>Duke</w:t>
      </w:r>
      <w:r w:rsidRPr="00047311" w:rsidR="002B1922">
        <w:t xml:space="preserve"> </w:t>
      </w:r>
      <w:r w:rsidRPr="00047311">
        <w:t xml:space="preserve">proposes </w:t>
      </w:r>
      <w:r w:rsidRPr="00047311" w:rsidR="00714574">
        <w:t xml:space="preserve">six residential DSM programs, including one </w:t>
      </w:r>
      <w:r w:rsidRPr="00047311" w:rsidR="00E22570">
        <w:t>low-income</w:t>
      </w:r>
      <w:r w:rsidRPr="00047311" w:rsidR="00D24C1B">
        <w:t xml:space="preserve"> energy efficiency</w:t>
      </w:r>
      <w:r w:rsidRPr="00047311" w:rsidR="00714574">
        <w:t xml:space="preserve"> program</w:t>
      </w:r>
      <w:r w:rsidRPr="00047311">
        <w:t xml:space="preserve"> </w:t>
      </w:r>
      <w:r w:rsidRPr="00047311" w:rsidR="00A87338">
        <w:t>(</w:t>
      </w:r>
      <w:r w:rsidR="00A46A7B">
        <w:t>NES</w:t>
      </w:r>
      <w:r w:rsidRPr="00047311" w:rsidR="00A87338">
        <w:t>)</w:t>
      </w:r>
      <w:r w:rsidRPr="00047311" w:rsidR="00F01DFC">
        <w:t xml:space="preserve"> and one demand response program (Power Manager)</w:t>
      </w:r>
      <w:r w:rsidRPr="00047311" w:rsidR="00A87338">
        <w:t>.</w:t>
      </w:r>
      <w:r>
        <w:rPr>
          <w:rStyle w:val="FootnoteReference"/>
        </w:rPr>
        <w:footnoteReference w:id="12"/>
      </w:r>
      <w:r w:rsidRPr="00047311" w:rsidR="00A87338">
        <w:t xml:space="preserve"> </w:t>
      </w:r>
      <w:r w:rsidRPr="00047311" w:rsidR="00F73418">
        <w:t>The p</w:t>
      </w:r>
      <w:r w:rsidRPr="00047311" w:rsidR="00A87338">
        <w:t xml:space="preserve">rograms are intended to run for the term of the </w:t>
      </w:r>
      <w:r w:rsidRPr="00047311" w:rsidR="008039A7">
        <w:t>ESP,</w:t>
      </w:r>
      <w:r w:rsidRPr="00047311" w:rsidR="00A87338">
        <w:t xml:space="preserve"> which is June 1, </w:t>
      </w:r>
      <w:r w:rsidRPr="00047311" w:rsidR="008039A7">
        <w:t>2025,</w:t>
      </w:r>
      <w:r w:rsidRPr="00047311" w:rsidR="00A87338">
        <w:t xml:space="preserve"> through May 31, 2028.</w:t>
      </w:r>
      <w:r>
        <w:rPr>
          <w:rStyle w:val="FootnoteReference"/>
        </w:rPr>
        <w:footnoteReference w:id="13"/>
      </w:r>
      <w:r w:rsidRPr="00047311" w:rsidR="00A87338">
        <w:t xml:space="preserve"> </w:t>
      </w:r>
      <w:r w:rsidRPr="00047311" w:rsidR="00307371">
        <w:t xml:space="preserve">In 2026, Duke will propose </w:t>
      </w:r>
      <w:r w:rsidRPr="00047311" w:rsidR="008039A7">
        <w:t>subsequent programs</w:t>
      </w:r>
      <w:r w:rsidRPr="00047311" w:rsidR="00307371">
        <w:t xml:space="preserve"> for years 2027 to 2029.</w:t>
      </w:r>
      <w:r>
        <w:rPr>
          <w:rStyle w:val="FootnoteReference"/>
        </w:rPr>
        <w:footnoteReference w:id="14"/>
      </w:r>
      <w:r w:rsidRPr="00047311" w:rsidR="00307371">
        <w:t xml:space="preserve"> </w:t>
      </w:r>
    </w:p>
    <w:p w:rsidR="00643C4C" w:rsidRPr="00047311" w:rsidP="00643C4C" w14:paraId="076E5359" w14:textId="77777777">
      <w:pPr>
        <w:pStyle w:val="Answer"/>
        <w:ind w:hanging="720"/>
      </w:pPr>
    </w:p>
    <w:p w:rsidR="00A379B5" w:rsidRPr="00047311" w:rsidP="00780FB8" w14:paraId="5FA2377D" w14:textId="053A3A69">
      <w:pPr>
        <w:pStyle w:val="Question1"/>
        <w:spacing w:after="0" w:line="240" w:lineRule="auto"/>
        <w:ind w:left="720" w:hanging="720"/>
      </w:pPr>
      <w:r w:rsidRPr="00047311">
        <w:t>Q</w:t>
      </w:r>
      <w:r w:rsidRPr="00047311" w:rsidR="00D24C1B">
        <w:t>8</w:t>
      </w:r>
      <w:r w:rsidRPr="00047311">
        <w:t>.</w:t>
      </w:r>
      <w:r w:rsidRPr="00047311" w:rsidR="00643C4C">
        <w:tab/>
      </w:r>
      <w:r w:rsidRPr="00047311">
        <w:t>What is Duke</w:t>
      </w:r>
      <w:r w:rsidR="00047311">
        <w:t>’</w:t>
      </w:r>
      <w:r w:rsidRPr="00047311">
        <w:t xml:space="preserve">s proposal </w:t>
      </w:r>
      <w:r w:rsidRPr="00047311" w:rsidR="00D81A93">
        <w:t xml:space="preserve">to collect </w:t>
      </w:r>
      <w:r w:rsidRPr="00047311">
        <w:t>consumer charges</w:t>
      </w:r>
      <w:r w:rsidRPr="00047311" w:rsidR="00D81A93">
        <w:t xml:space="preserve"> for</w:t>
      </w:r>
      <w:r w:rsidRPr="00047311">
        <w:t xml:space="preserve"> DSM programs? </w:t>
      </w:r>
    </w:p>
    <w:p w:rsidR="00780FB8" w:rsidRPr="00047311" w:rsidP="00780FB8" w14:paraId="3181E108" w14:textId="77777777">
      <w:pPr>
        <w:pStyle w:val="Question1"/>
        <w:spacing w:after="0" w:line="240" w:lineRule="auto"/>
        <w:ind w:left="720" w:hanging="720"/>
      </w:pPr>
    </w:p>
    <w:p w:rsidR="00E530BC" w:rsidP="00643C4C" w14:paraId="2A6A9F68" w14:textId="57362077">
      <w:pPr>
        <w:pStyle w:val="Answer"/>
        <w:ind w:hanging="720"/>
      </w:pPr>
      <w:r w:rsidRPr="00047311">
        <w:rPr>
          <w:b/>
          <w:bCs w:val="0"/>
          <w:i/>
          <w:iCs w:val="0"/>
        </w:rPr>
        <w:t>A</w:t>
      </w:r>
      <w:r w:rsidRPr="00047311" w:rsidR="00D24C1B">
        <w:rPr>
          <w:b/>
          <w:bCs w:val="0"/>
          <w:i/>
          <w:iCs w:val="0"/>
        </w:rPr>
        <w:t>8</w:t>
      </w:r>
      <w:r w:rsidRPr="00047311" w:rsidR="00AD5E02">
        <w:rPr>
          <w:b/>
          <w:bCs w:val="0"/>
          <w:i/>
          <w:iCs w:val="0"/>
        </w:rPr>
        <w:t>.</w:t>
      </w:r>
      <w:r w:rsidRPr="00047311" w:rsidR="00AD5E02">
        <w:tab/>
      </w:r>
      <w:r w:rsidRPr="00047311" w:rsidR="00D24C1B">
        <w:t xml:space="preserve"> </w:t>
      </w:r>
      <w:r w:rsidRPr="00047311" w:rsidR="00AD5E02">
        <w:t xml:space="preserve">Duke </w:t>
      </w:r>
      <w:r w:rsidRPr="00047311" w:rsidR="00DB650F">
        <w:t>proposes</w:t>
      </w:r>
      <w:r w:rsidRPr="00047311" w:rsidR="00AD5E02">
        <w:t xml:space="preserve"> </w:t>
      </w:r>
      <w:r w:rsidRPr="00047311" w:rsidR="00DB650F">
        <w:t>to restore Rider DSM to collect</w:t>
      </w:r>
      <w:r w:rsidRPr="00047311" w:rsidR="0067725F">
        <w:t xml:space="preserve"> residential charges for</w:t>
      </w:r>
      <w:r w:rsidRPr="00047311" w:rsidR="00DB650F">
        <w:t xml:space="preserve"> </w:t>
      </w:r>
      <w:r w:rsidRPr="00047311" w:rsidR="00E22570">
        <w:t xml:space="preserve">DSM </w:t>
      </w:r>
      <w:r w:rsidRPr="00047311" w:rsidR="00AD5E02">
        <w:t xml:space="preserve">program </w:t>
      </w:r>
      <w:r w:rsidRPr="00047311" w:rsidR="0067725F">
        <w:t xml:space="preserve">and overhead costs, </w:t>
      </w:r>
      <w:r w:rsidRPr="00047311">
        <w:t>Measurement and Verification (</w:t>
      </w:r>
      <w:r w:rsidR="00047311">
        <w:t>“</w:t>
      </w:r>
      <w:r w:rsidRPr="00047311" w:rsidR="0067725F">
        <w:t>M&amp;V</w:t>
      </w:r>
      <w:r w:rsidR="00047311">
        <w:t>”</w:t>
      </w:r>
      <w:r w:rsidRPr="00047311">
        <w:t>)</w:t>
      </w:r>
      <w:r w:rsidRPr="00047311" w:rsidR="0067725F">
        <w:t xml:space="preserve"> costs, and</w:t>
      </w:r>
      <w:r w:rsidRPr="00047311" w:rsidR="00343A7C">
        <w:t xml:space="preserve"> </w:t>
      </w:r>
      <w:r w:rsidRPr="00047311" w:rsidR="003B04AB">
        <w:t>profit in the form of a Joint Benefit Recognition mechanism</w:t>
      </w:r>
      <w:r w:rsidRPr="00047311" w:rsidR="0067725F">
        <w:t>.</w:t>
      </w:r>
      <w:r>
        <w:rPr>
          <w:rStyle w:val="FootnoteReference"/>
        </w:rPr>
        <w:footnoteReference w:id="15"/>
      </w:r>
      <w:r w:rsidRPr="00047311" w:rsidR="001629A3">
        <w:t xml:space="preserve"> </w:t>
      </w:r>
      <w:r w:rsidRPr="00047311" w:rsidR="00344315">
        <w:t xml:space="preserve">In total, </w:t>
      </w:r>
      <w:r w:rsidRPr="00047311">
        <w:t>Duke wants to spend nearly $46 million (Table 1) over three years for</w:t>
      </w:r>
      <w:r w:rsidRPr="00047311" w:rsidR="00C055E2">
        <w:t xml:space="preserve"> </w:t>
      </w:r>
      <w:r w:rsidRPr="00047311">
        <w:t xml:space="preserve">residential </w:t>
      </w:r>
      <w:r w:rsidRPr="00047311" w:rsidR="003D15D3">
        <w:t>DSM programs</w:t>
      </w:r>
      <w:r w:rsidRPr="00047311" w:rsidR="00C055E2">
        <w:t>.</w:t>
      </w:r>
      <w:r w:rsidRPr="00047311" w:rsidR="00C62F5B">
        <w:t xml:space="preserve"> These costs are unreasonable and should be rejected.</w:t>
      </w:r>
      <w:r w:rsidRPr="00047311" w:rsidR="00C055E2">
        <w:t xml:space="preserve"> </w:t>
      </w:r>
    </w:p>
    <w:p w:rsidR="00173533" w:rsidRPr="00047311" w:rsidP="00643C4C" w14:paraId="7353639D" w14:textId="77777777">
      <w:pPr>
        <w:pStyle w:val="Answer"/>
        <w:ind w:hanging="720"/>
      </w:pPr>
    </w:p>
    <w:p w:rsidR="003B04AB" w:rsidRPr="00047311" w:rsidP="00C51D56" w14:paraId="2A874456" w14:textId="2CFBFB76">
      <w:pPr>
        <w:pStyle w:val="Question1"/>
        <w:spacing w:line="240" w:lineRule="auto"/>
        <w:ind w:left="720" w:hanging="720"/>
      </w:pPr>
      <w:r w:rsidRPr="00047311">
        <w:t>Q9.</w:t>
      </w:r>
      <w:r w:rsidRPr="00047311">
        <w:tab/>
      </w:r>
      <w:r w:rsidRPr="00047311" w:rsidR="004379A4">
        <w:t>do you have concerns about how the joint benefit reconition mechanism is calculated</w:t>
      </w:r>
      <w:r w:rsidRPr="00047311" w:rsidR="00344315">
        <w:t>?</w:t>
      </w:r>
    </w:p>
    <w:p w:rsidR="00344315" w:rsidRPr="00047311" w:rsidP="00C51D56" w14:paraId="274676F7" w14:textId="0A06A7BD">
      <w:pPr>
        <w:pStyle w:val="Answer"/>
        <w:ind w:hanging="720"/>
      </w:pPr>
      <w:r w:rsidRPr="00047311">
        <w:rPr>
          <w:b/>
          <w:bCs w:val="0"/>
          <w:i/>
          <w:iCs w:val="0"/>
        </w:rPr>
        <w:t>A9</w:t>
      </w:r>
      <w:r w:rsidRPr="00047311" w:rsidR="00C51D56">
        <w:rPr>
          <w:b/>
          <w:bCs w:val="0"/>
          <w:i/>
          <w:iCs w:val="0"/>
        </w:rPr>
        <w:t>.</w:t>
      </w:r>
      <w:r w:rsidRPr="00047311" w:rsidR="00C51D56">
        <w:tab/>
      </w:r>
      <w:r w:rsidRPr="00047311" w:rsidR="004379A4">
        <w:t>Yes.</w:t>
      </w:r>
      <w:r w:rsidRPr="00047311">
        <w:t xml:space="preserve"> </w:t>
      </w:r>
      <w:r w:rsidRPr="00047311" w:rsidR="004379A4">
        <w:t xml:space="preserve">As shown in Table 1, Duke estimates collecting $3.2 million </w:t>
      </w:r>
      <w:r w:rsidRPr="00047311" w:rsidR="004172D8">
        <w:t xml:space="preserve">in profits </w:t>
      </w:r>
      <w:r w:rsidRPr="00047311" w:rsidR="004379A4">
        <w:t>over three years for the combined residential energ</w:t>
      </w:r>
      <w:r w:rsidRPr="00047311" w:rsidR="004172D8">
        <w:t>y</w:t>
      </w:r>
      <w:r w:rsidRPr="00047311" w:rsidR="004379A4">
        <w:t xml:space="preserve"> efficiency and demand response programs. </w:t>
      </w:r>
      <w:r w:rsidRPr="00047311">
        <w:t>Duke</w:t>
      </w:r>
      <w:r w:rsidR="00047311">
        <w:t>’</w:t>
      </w:r>
      <w:r w:rsidRPr="00047311">
        <w:t>s proposed profit mechanism is calculated by multiplying</w:t>
      </w:r>
      <w:r w:rsidRPr="00047311" w:rsidR="00162A09">
        <w:t xml:space="preserve"> the total avoided transmission and distribution cos</w:t>
      </w:r>
      <w:r w:rsidRPr="00047311" w:rsidR="00327EFC">
        <w:t>t</w:t>
      </w:r>
      <w:r w:rsidRPr="00047311" w:rsidR="00162A09">
        <w:t>s by 12.13 percent.</w:t>
      </w:r>
      <w:r>
        <w:rPr>
          <w:rStyle w:val="FootnoteReference"/>
        </w:rPr>
        <w:footnoteReference w:id="16"/>
      </w:r>
      <w:r w:rsidRPr="00047311" w:rsidR="004379A4">
        <w:t xml:space="preserve"> It is not clear how these avoided costs are determined.</w:t>
      </w:r>
      <w:r>
        <w:rPr>
          <w:rStyle w:val="FootnoteReference"/>
        </w:rPr>
        <w:footnoteReference w:id="17"/>
      </w:r>
      <w:r w:rsidRPr="00047311" w:rsidR="004379A4">
        <w:t xml:space="preserve"> </w:t>
      </w:r>
      <w:r w:rsidRPr="00047311" w:rsidR="00901D8A">
        <w:t>Thus, the estimated profits proposed below</w:t>
      </w:r>
      <w:r w:rsidR="00047311">
        <w:t xml:space="preserve"> </w:t>
      </w:r>
      <w:r w:rsidRPr="00047311" w:rsidR="00AC74DC">
        <w:t xml:space="preserve">could be greater than the $3.2 million collection that Duke proposes. </w:t>
      </w:r>
    </w:p>
    <w:p w:rsidR="00E530BC" w:rsidRPr="00047311" w:rsidP="007D6F37" w14:paraId="539E4D38" w14:textId="782E9F1F">
      <w:pPr>
        <w:pStyle w:val="NormalWeb"/>
        <w:shd w:val="clear" w:color="auto" w:fill="FFFFFF"/>
        <w:spacing w:before="0" w:beforeAutospacing="0" w:after="0" w:afterAutospacing="0" w:line="480" w:lineRule="auto"/>
        <w:jc w:val="center"/>
        <w:textAlignment w:val="baseline"/>
      </w:pPr>
      <w:r w:rsidRPr="00047311">
        <w:rPr>
          <w:noProof/>
        </w:rPr>
        <w:drawing>
          <wp:inline distT="0" distB="0" distL="0" distR="0">
            <wp:extent cx="5965199" cy="2355011"/>
            <wp:effectExtent l="0" t="0" r="0" b="7620"/>
            <wp:docPr id="18092687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68799" name="Picture 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1842" cy="2357633"/>
                    </a:xfrm>
                    <a:prstGeom prst="rect">
                      <a:avLst/>
                    </a:prstGeom>
                    <a:noFill/>
                    <a:ln>
                      <a:noFill/>
                    </a:ln>
                  </pic:spPr>
                </pic:pic>
              </a:graphicData>
            </a:graphic>
          </wp:inline>
        </w:drawing>
      </w:r>
    </w:p>
    <w:p w:rsidR="007D6F37" w:rsidRPr="00047311" w:rsidP="007D6F37" w14:paraId="3015109A" w14:textId="77777777">
      <w:pPr>
        <w:pStyle w:val="NormalWeb"/>
        <w:shd w:val="clear" w:color="auto" w:fill="FFFFFF"/>
        <w:spacing w:before="0" w:beforeAutospacing="0" w:after="0" w:afterAutospacing="0"/>
        <w:jc w:val="center"/>
        <w:textAlignment w:val="baseline"/>
      </w:pPr>
    </w:p>
    <w:p w:rsidR="00442C33" w:rsidRPr="00047311" w:rsidP="007D6F37" w14:paraId="4E76ECC5" w14:textId="3FF30EA8">
      <w:pPr>
        <w:pStyle w:val="Question1"/>
        <w:spacing w:after="0" w:line="240" w:lineRule="auto"/>
        <w:ind w:left="720" w:hanging="720"/>
        <w:rPr>
          <w:rStyle w:val="xcontentpasted0"/>
        </w:rPr>
      </w:pPr>
      <w:r w:rsidRPr="00047311">
        <w:rPr>
          <w:rStyle w:val="xcontentpasted0"/>
        </w:rPr>
        <w:t>Q</w:t>
      </w:r>
      <w:r w:rsidRPr="00047311" w:rsidR="00976B2D">
        <w:rPr>
          <w:rStyle w:val="xcontentpasted0"/>
        </w:rPr>
        <w:t>10</w:t>
      </w:r>
      <w:r w:rsidRPr="00047311">
        <w:rPr>
          <w:rStyle w:val="xcontentpasted0"/>
        </w:rPr>
        <w:t>.</w:t>
      </w:r>
      <w:r w:rsidRPr="00047311" w:rsidR="00A80F09">
        <w:rPr>
          <w:rStyle w:val="xcontentpasted0"/>
        </w:rPr>
        <w:tab/>
      </w:r>
      <w:r w:rsidRPr="00047311">
        <w:rPr>
          <w:rStyle w:val="xcontentpasted0"/>
        </w:rPr>
        <w:t xml:space="preserve">Has the </w:t>
      </w:r>
      <w:r w:rsidR="00A148A8">
        <w:rPr>
          <w:rStyle w:val="xcontentpasted0"/>
        </w:rPr>
        <w:t>PUCO</w:t>
      </w:r>
      <w:r w:rsidRPr="00047311">
        <w:rPr>
          <w:rStyle w:val="xcontentpasted0"/>
        </w:rPr>
        <w:t xml:space="preserve"> previously ruled on Duke</w:t>
      </w:r>
      <w:r w:rsidR="00047311">
        <w:rPr>
          <w:rStyle w:val="xcontentpasted0"/>
        </w:rPr>
        <w:t>’</w:t>
      </w:r>
      <w:r w:rsidRPr="00047311">
        <w:rPr>
          <w:rStyle w:val="xcontentpasted0"/>
        </w:rPr>
        <w:t xml:space="preserve">s </w:t>
      </w:r>
      <w:r w:rsidRPr="00047311" w:rsidR="003B04AB">
        <w:rPr>
          <w:rStyle w:val="xcontentpasted0"/>
        </w:rPr>
        <w:t>profit mecha</w:t>
      </w:r>
      <w:r w:rsidRPr="00047311" w:rsidR="00344315">
        <w:rPr>
          <w:rStyle w:val="xcontentpasted0"/>
        </w:rPr>
        <w:t>n</w:t>
      </w:r>
      <w:r w:rsidRPr="00047311" w:rsidR="003B04AB">
        <w:rPr>
          <w:rStyle w:val="xcontentpasted0"/>
        </w:rPr>
        <w:t>ism</w:t>
      </w:r>
      <w:r w:rsidRPr="00047311">
        <w:rPr>
          <w:rStyle w:val="xcontentpasted0"/>
        </w:rPr>
        <w:t>?</w:t>
      </w:r>
    </w:p>
    <w:p w:rsidR="007D6F37" w:rsidRPr="00047311" w:rsidP="007D6F37" w14:paraId="7BDC7EFD" w14:textId="77777777">
      <w:pPr>
        <w:pStyle w:val="Question1"/>
        <w:spacing w:after="0" w:line="240" w:lineRule="auto"/>
        <w:ind w:left="720" w:hanging="720"/>
        <w:rPr>
          <w:rStyle w:val="xcontentpasted0"/>
        </w:rPr>
      </w:pPr>
    </w:p>
    <w:p w:rsidR="00442C33" w:rsidRPr="00047311" w:rsidP="00A80F09" w14:paraId="43661E1A" w14:textId="006931D7">
      <w:pPr>
        <w:pStyle w:val="Answer"/>
        <w:ind w:hanging="720"/>
      </w:pPr>
      <w:r w:rsidRPr="00047311">
        <w:rPr>
          <w:b/>
          <w:bCs w:val="0"/>
          <w:i/>
          <w:iCs w:val="0"/>
        </w:rPr>
        <w:t>A</w:t>
      </w:r>
      <w:r w:rsidRPr="00047311" w:rsidR="008D35E1">
        <w:rPr>
          <w:b/>
          <w:bCs w:val="0"/>
          <w:i/>
          <w:iCs w:val="0"/>
        </w:rPr>
        <w:t>10</w:t>
      </w:r>
      <w:r w:rsidRPr="00047311">
        <w:rPr>
          <w:b/>
          <w:bCs w:val="0"/>
          <w:i/>
          <w:iCs w:val="0"/>
        </w:rPr>
        <w:t>.</w:t>
      </w:r>
      <w:r w:rsidRPr="00047311">
        <w:tab/>
        <w:t>Yes. On its own motion, the PUCO struck Duke</w:t>
      </w:r>
      <w:r w:rsidR="00047311">
        <w:t>’</w:t>
      </w:r>
      <w:r w:rsidRPr="00047311">
        <w:t>s shared savings provision contained in the utility</w:t>
      </w:r>
      <w:r w:rsidR="00047311">
        <w:t>’</w:t>
      </w:r>
      <w:r w:rsidRPr="00047311">
        <w:t>s June 2020 request for a new energy efficiency portfolio,</w:t>
      </w:r>
      <w:r w:rsidRPr="00047311" w:rsidR="003735B8">
        <w:t xml:space="preserve"> </w:t>
      </w:r>
      <w:r w:rsidRPr="00047311">
        <w:t>emphasizing</w:t>
      </w:r>
      <w:r w:rsidRPr="00047311" w:rsidR="00651730">
        <w:t xml:space="preserve"> the elimination of energy efficiency programs under H.B. 6 in R.C.</w:t>
      </w:r>
      <w:r w:rsidRPr="00047311">
        <w:t xml:space="preserve"> 4929.02(A)(4)</w:t>
      </w:r>
      <w:r w:rsidR="00E2014B">
        <w:t>.</w:t>
      </w:r>
      <w:r>
        <w:rPr>
          <w:rStyle w:val="FootnoteReference"/>
        </w:rPr>
        <w:footnoteReference w:id="18"/>
      </w:r>
      <w:r w:rsidRPr="00047311">
        <w:t xml:space="preserve"> The PUCO stated: </w:t>
      </w:r>
    </w:p>
    <w:p w:rsidR="001863AA" w:rsidRPr="00047311" w:rsidP="001863AA" w14:paraId="0A51CED6" w14:textId="3CE6CA57">
      <w:pPr>
        <w:pStyle w:val="Answer"/>
        <w:spacing w:line="240" w:lineRule="auto"/>
        <w:ind w:left="1440" w:right="1440" w:firstLine="0"/>
      </w:pPr>
      <w:r w:rsidRPr="00047311">
        <w:t>[A]pproval of the shared savings provision contained in Duke</w:t>
      </w:r>
      <w:r w:rsidR="00047311">
        <w:t>’</w:t>
      </w:r>
      <w:r w:rsidRPr="00047311">
        <w:t>s application, where such shared savings are recovered…would be against the objectives of this state which favors outcomes that provide customers with effective choices of the selection of supplies and suppliers and would discourage market access for cost effective supply-and demand-side retail services.</w:t>
      </w:r>
      <w:r>
        <w:rPr>
          <w:rStyle w:val="FootnoteReference"/>
        </w:rPr>
        <w:footnoteReference w:id="19"/>
      </w:r>
    </w:p>
    <w:p w:rsidR="00EC4EB2" w:rsidRPr="00047311" w:rsidP="0042612D" w14:paraId="15882AB5" w14:textId="77777777">
      <w:pPr>
        <w:pStyle w:val="Answer"/>
        <w:ind w:left="1440" w:right="1440" w:firstLine="0"/>
        <w:rPr>
          <w:bCs w:val="0"/>
          <w:iCs w:val="0"/>
        </w:rPr>
      </w:pPr>
    </w:p>
    <w:p w:rsidR="00712DBE" w:rsidRPr="00047311" w:rsidP="001863AA" w14:paraId="6777E92D" w14:textId="01F8E032">
      <w:pPr>
        <w:pStyle w:val="Question1"/>
        <w:spacing w:line="240" w:lineRule="auto"/>
        <w:ind w:left="720" w:hanging="720"/>
        <w:rPr>
          <w:rStyle w:val="xcontentpasted0"/>
        </w:rPr>
      </w:pPr>
      <w:r w:rsidRPr="00047311">
        <w:rPr>
          <w:rStyle w:val="xcontentpasted0"/>
        </w:rPr>
        <w:t>Q</w:t>
      </w:r>
      <w:r w:rsidRPr="00047311" w:rsidR="00442C33">
        <w:rPr>
          <w:rStyle w:val="xcontentpasted0"/>
        </w:rPr>
        <w:t>1</w:t>
      </w:r>
      <w:r w:rsidRPr="00047311" w:rsidR="004535BA">
        <w:rPr>
          <w:rStyle w:val="xcontentpasted0"/>
        </w:rPr>
        <w:t>1</w:t>
      </w:r>
      <w:r w:rsidRPr="00047311">
        <w:rPr>
          <w:rStyle w:val="xcontentpasted0"/>
        </w:rPr>
        <w:t>.</w:t>
      </w:r>
      <w:r w:rsidRPr="00047311" w:rsidR="00AD4A80">
        <w:rPr>
          <w:rStyle w:val="xcontentpasted0"/>
        </w:rPr>
        <w:tab/>
      </w:r>
      <w:r w:rsidRPr="00047311" w:rsidR="00343A7C">
        <w:rPr>
          <w:rStyle w:val="xcontentpasted0"/>
        </w:rPr>
        <w:t xml:space="preserve">has the puco ruled </w:t>
      </w:r>
      <w:r w:rsidRPr="00047311" w:rsidR="008F3EC0">
        <w:rPr>
          <w:rStyle w:val="xcontentpasted0"/>
        </w:rPr>
        <w:t>on dsm program proposals that include non-low-income programs?</w:t>
      </w:r>
    </w:p>
    <w:p w:rsidR="008F3EC0" w:rsidRPr="00047311" w:rsidP="00AD4A80" w14:paraId="774725A5" w14:textId="22902B95">
      <w:pPr>
        <w:pStyle w:val="Answer"/>
        <w:ind w:hanging="720"/>
        <w:rPr>
          <w:rStyle w:val="xcontentpasted0"/>
        </w:rPr>
      </w:pPr>
      <w:r w:rsidRPr="00047311">
        <w:rPr>
          <w:rStyle w:val="xcontentpasted0"/>
          <w:b/>
          <w:bCs w:val="0"/>
          <w:i/>
          <w:iCs w:val="0"/>
        </w:rPr>
        <w:t>A</w:t>
      </w:r>
      <w:r w:rsidRPr="00047311" w:rsidR="00442C33">
        <w:rPr>
          <w:rStyle w:val="xcontentpasted0"/>
          <w:b/>
          <w:bCs w:val="0"/>
          <w:i/>
          <w:iCs w:val="0"/>
        </w:rPr>
        <w:t>1</w:t>
      </w:r>
      <w:r w:rsidRPr="00047311" w:rsidR="004535BA">
        <w:rPr>
          <w:rStyle w:val="xcontentpasted0"/>
          <w:b/>
          <w:bCs w:val="0"/>
          <w:i/>
          <w:iCs w:val="0"/>
        </w:rPr>
        <w:t>1</w:t>
      </w:r>
      <w:r w:rsidRPr="00047311">
        <w:rPr>
          <w:rStyle w:val="xcontentpasted0"/>
          <w:b/>
          <w:bCs w:val="0"/>
          <w:i/>
          <w:iCs w:val="0"/>
        </w:rPr>
        <w:t>.</w:t>
      </w:r>
      <w:r w:rsidRPr="00047311" w:rsidR="00AD4A80">
        <w:rPr>
          <w:rStyle w:val="xcontentpasted0"/>
        </w:rPr>
        <w:tab/>
      </w:r>
      <w:r w:rsidRPr="00047311">
        <w:rPr>
          <w:rStyle w:val="xcontentpasted0"/>
        </w:rPr>
        <w:t xml:space="preserve">The PUCO has considered </w:t>
      </w:r>
      <w:r w:rsidRPr="00047311" w:rsidR="003D15D3">
        <w:rPr>
          <w:rStyle w:val="xcontentpasted0"/>
        </w:rPr>
        <w:t xml:space="preserve">non-low-income </w:t>
      </w:r>
      <w:r w:rsidRPr="00047311">
        <w:rPr>
          <w:rStyle w:val="xcontentpasted0"/>
        </w:rPr>
        <w:t xml:space="preserve">DSM programs on a case-by-case basis. </w:t>
      </w:r>
      <w:r w:rsidRPr="00047311" w:rsidR="00EE5413">
        <w:rPr>
          <w:rStyle w:val="xcontentpasted0"/>
        </w:rPr>
        <w:t xml:space="preserve">For each case listed below in Table 2, the </w:t>
      </w:r>
      <w:r w:rsidRPr="00047311">
        <w:rPr>
          <w:rStyle w:val="xcontentpasted0"/>
        </w:rPr>
        <w:t>PUCO</w:t>
      </w:r>
      <w:r w:rsidRPr="00047311" w:rsidR="00EE5413">
        <w:rPr>
          <w:rStyle w:val="xcontentpasted0"/>
        </w:rPr>
        <w:t xml:space="preserve"> rejected non-low-income programs and </w:t>
      </w:r>
      <w:r w:rsidRPr="00047311" w:rsidR="00BA63FC">
        <w:rPr>
          <w:rStyle w:val="xcontentpasted0"/>
        </w:rPr>
        <w:t>charges,</w:t>
      </w:r>
      <w:r w:rsidRPr="00047311" w:rsidR="0041078E">
        <w:rPr>
          <w:rStyle w:val="xcontentpasted0"/>
        </w:rPr>
        <w:t xml:space="preserve"> finding</w:t>
      </w:r>
      <w:r w:rsidRPr="00047311">
        <w:rPr>
          <w:rStyle w:val="xcontentpasted0"/>
        </w:rPr>
        <w:t xml:space="preserve"> that </w:t>
      </w:r>
      <w:r w:rsidRPr="00047311" w:rsidR="00E22570">
        <w:rPr>
          <w:rStyle w:val="xcontentpasted0"/>
        </w:rPr>
        <w:t>DSM</w:t>
      </w:r>
      <w:r w:rsidRPr="00047311">
        <w:rPr>
          <w:rStyle w:val="xcontentpasted0"/>
        </w:rPr>
        <w:t xml:space="preserve"> programs are best </w:t>
      </w:r>
      <w:r w:rsidRPr="00047311" w:rsidR="00F549A2">
        <w:rPr>
          <w:rStyle w:val="xcontentpasted0"/>
        </w:rPr>
        <w:t>offered in the</w:t>
      </w:r>
      <w:r w:rsidR="00047311">
        <w:rPr>
          <w:rStyle w:val="xcontentpasted0"/>
        </w:rPr>
        <w:t xml:space="preserve"> </w:t>
      </w:r>
      <w:r w:rsidRPr="00047311">
        <w:rPr>
          <w:rStyle w:val="xcontentpasted0"/>
        </w:rPr>
        <w:t xml:space="preserve">competitive market </w:t>
      </w:r>
      <w:r w:rsidRPr="00047311" w:rsidR="00584DBE">
        <w:rPr>
          <w:rStyle w:val="xcontentpasted0"/>
        </w:rPr>
        <w:t>and noted unnecessary costs for consumers</w:t>
      </w:r>
      <w:r w:rsidRPr="00047311">
        <w:rPr>
          <w:rStyle w:val="xcontentpasted0"/>
        </w:rPr>
        <w:t xml:space="preserve">. </w:t>
      </w:r>
      <w:r w:rsidRPr="00047311" w:rsidR="00327EFC">
        <w:rPr>
          <w:rStyle w:val="xcontentpasted0"/>
        </w:rPr>
        <w:t>Consistent with these rulings, OCC recommends that the PUCO reject the non-low-income programs.</w:t>
      </w:r>
    </w:p>
    <w:tbl>
      <w:tblPr>
        <w:tblStyle w:val="TableGrid"/>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520"/>
        <w:gridCol w:w="6210"/>
      </w:tblGrid>
      <w:tr w14:paraId="55B946CB" w14:textId="77777777" w:rsidTr="00AD4644">
        <w:tblPrEx>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730" w:type="dxa"/>
            <w:gridSpan w:val="2"/>
          </w:tcPr>
          <w:p w:rsidR="00584DBE" w:rsidRPr="00047311" w:rsidP="00584DBE" w14:paraId="4352ACBA" w14:textId="5101A671">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
                <w:bCs w:val="0"/>
                <w:iCs/>
                <w:color w:val="FF0000"/>
                <w:sz w:val="24"/>
                <w:szCs w:val="24"/>
                <w:bdr w:val="nil"/>
                <w:lang w:val="en-US" w:eastAsia="en-US" w:bidi="ar-SA"/>
              </w:rPr>
            </w:pPr>
            <w:r w:rsidRPr="00047311">
              <w:rPr>
                <w:rStyle w:val="xcontentpasted0"/>
                <w:rFonts w:eastAsia="Arial Unicode MS"/>
                <w:b/>
                <w:bCs w:val="0"/>
                <w:iCs/>
                <w:sz w:val="24"/>
                <w:szCs w:val="24"/>
                <w:bdr w:val="nil"/>
                <w:lang w:val="en-US" w:eastAsia="en-US" w:bidi="ar-SA"/>
              </w:rPr>
              <w:t>Table 2. PUCO Order and Ruling</w:t>
            </w:r>
          </w:p>
        </w:tc>
      </w:tr>
      <w:tr w14:paraId="5C695607" w14:textId="77777777" w:rsidTr="00584DBE">
        <w:tblPrEx>
          <w:tblW w:w="8730" w:type="dxa"/>
          <w:tblInd w:w="355" w:type="dxa"/>
          <w:tblCellMar>
            <w:top w:w="0" w:type="dxa"/>
            <w:left w:w="108" w:type="dxa"/>
            <w:bottom w:w="0" w:type="dxa"/>
            <w:right w:w="108" w:type="dxa"/>
          </w:tblCellMar>
          <w:tblLook w:val="04A0"/>
        </w:tblPrEx>
        <w:tc>
          <w:tcPr>
            <w:tcW w:w="2520" w:type="dxa"/>
          </w:tcPr>
          <w:p w:rsidR="00584DBE" w:rsidRPr="00047311" w:rsidP="00584DBE" w14:paraId="36D4F7F3" w14:textId="72DD1181">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sidRPr="00047311">
              <w:rPr>
                <w:rStyle w:val="xcontentpasted0"/>
                <w:rFonts w:eastAsia="Arial Unicode MS"/>
                <w:bCs/>
                <w:iCs/>
                <w:sz w:val="24"/>
                <w:szCs w:val="24"/>
                <w:bdr w:val="nil"/>
                <w:lang w:val="en-US" w:eastAsia="en-US" w:bidi="ar-SA"/>
              </w:rPr>
              <w:t>For Vectren: Case No. 22-1015-GA-UNC</w:t>
            </w:r>
            <w:r w:rsidRPr="00047311" w:rsidR="00BA63FC">
              <w:rPr>
                <w:rStyle w:val="xcontentpasted0"/>
                <w:rFonts w:eastAsia="Arial Unicode MS"/>
                <w:bCs/>
                <w:iCs/>
                <w:sz w:val="24"/>
                <w:szCs w:val="24"/>
                <w:bdr w:val="nil"/>
                <w:lang w:val="en-US" w:eastAsia="en-US" w:bidi="ar-SA"/>
              </w:rPr>
              <w:t xml:space="preserve"> Opinion &amp; Order</w:t>
            </w:r>
            <w:r w:rsidRPr="00047311">
              <w:rPr>
                <w:rStyle w:val="xcontentpasted0"/>
                <w:rFonts w:eastAsia="Arial Unicode MS"/>
                <w:bCs/>
                <w:iCs/>
                <w:sz w:val="24"/>
                <w:szCs w:val="24"/>
                <w:bdr w:val="nil"/>
                <w:lang w:val="en-US" w:eastAsia="en-US" w:bidi="ar-SA"/>
              </w:rPr>
              <w:t xml:space="preserve"> (Aug</w:t>
            </w:r>
            <w:r w:rsidRPr="00047311" w:rsidR="00004F63">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 xml:space="preserve"> 21, 2024)</w:t>
            </w:r>
            <w:r w:rsidRPr="00047311" w:rsidR="00BA63FC">
              <w:rPr>
                <w:rStyle w:val="xcontentpasted0"/>
                <w:rFonts w:eastAsia="Arial Unicode MS"/>
                <w:bCs/>
                <w:iCs/>
                <w:sz w:val="24"/>
                <w:szCs w:val="24"/>
                <w:bdr w:val="nil"/>
                <w:lang w:val="en-US" w:eastAsia="en-US" w:bidi="ar-SA"/>
              </w:rPr>
              <w:t xml:space="preserve"> at 22</w:t>
            </w:r>
            <w:r w:rsidRPr="00047311">
              <w:rPr>
                <w:rStyle w:val="xcontentpasted0"/>
                <w:rFonts w:eastAsia="Arial Unicode MS"/>
                <w:bCs/>
                <w:iCs/>
                <w:sz w:val="24"/>
                <w:szCs w:val="24"/>
                <w:bdr w:val="nil"/>
                <w:lang w:val="en-US" w:eastAsia="en-US" w:bidi="ar-SA"/>
              </w:rPr>
              <w:t>, approving modified stipulation.</w:t>
            </w:r>
          </w:p>
        </w:tc>
        <w:tc>
          <w:tcPr>
            <w:tcW w:w="6210" w:type="dxa"/>
          </w:tcPr>
          <w:p w:rsidR="00584DBE" w:rsidRPr="00047311" w:rsidP="00584DBE" w14:paraId="2338FDB2" w14:textId="1200EE27">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[T]he market for EE services and products has developed to the extent that customers should be aware of and sufficiently knowledgeable to explore the availability and benefits of such services and products through the competitive marketplace.</w:t>
            </w:r>
            <w:r>
              <w:rPr>
                <w:rStyle w:val="xcontentpasted0"/>
                <w:rFonts w:eastAsia="Arial Unicode MS"/>
                <w:bCs/>
                <w:iCs/>
                <w:sz w:val="24"/>
                <w:szCs w:val="24"/>
                <w:bdr w:val="nil"/>
                <w:lang w:val="en-US" w:eastAsia="en-US" w:bidi="ar-SA"/>
              </w:rPr>
              <w:t>”</w:t>
            </w:r>
          </w:p>
        </w:tc>
      </w:tr>
      <w:tr w14:paraId="7947348D" w14:textId="77777777" w:rsidTr="00584DBE">
        <w:tblPrEx>
          <w:tblW w:w="8730" w:type="dxa"/>
          <w:tblInd w:w="355" w:type="dxa"/>
          <w:tblCellMar>
            <w:top w:w="0" w:type="dxa"/>
            <w:left w:w="108" w:type="dxa"/>
            <w:bottom w:w="0" w:type="dxa"/>
            <w:right w:w="108" w:type="dxa"/>
          </w:tblCellMar>
          <w:tblLook w:val="04A0"/>
        </w:tblPrEx>
        <w:tc>
          <w:tcPr>
            <w:tcW w:w="2520" w:type="dxa"/>
          </w:tcPr>
          <w:p w:rsidR="00584DBE" w:rsidRPr="00047311" w:rsidP="00584DBE" w14:paraId="7CA9B355" w14:textId="3A8FEABB">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sidRPr="00047311">
              <w:rPr>
                <w:rStyle w:val="xcontentpasted0"/>
                <w:rFonts w:eastAsia="Arial Unicode MS"/>
                <w:bCs/>
                <w:iCs/>
                <w:sz w:val="24"/>
                <w:szCs w:val="24"/>
                <w:bdr w:val="nil"/>
                <w:lang w:val="en-US" w:eastAsia="en-US" w:bidi="ar-SA"/>
              </w:rPr>
              <w:t xml:space="preserve">For FirstEnergy: Case No. 23-301-EL-SSO, </w:t>
            </w:r>
            <w:r w:rsidRPr="00047311" w:rsidR="00BA63FC">
              <w:rPr>
                <w:rStyle w:val="xcontentpasted0"/>
                <w:rFonts w:eastAsia="Arial Unicode MS"/>
                <w:bCs/>
                <w:iCs/>
                <w:sz w:val="24"/>
                <w:szCs w:val="24"/>
                <w:bdr w:val="nil"/>
                <w:lang w:val="en-US" w:eastAsia="en-US" w:bidi="ar-SA"/>
              </w:rPr>
              <w:t xml:space="preserve">Opinion &amp; Order </w:t>
            </w:r>
            <w:r w:rsidRPr="00047311">
              <w:rPr>
                <w:rStyle w:val="xcontentpasted0"/>
                <w:rFonts w:eastAsia="Arial Unicode MS"/>
                <w:bCs/>
                <w:iCs/>
                <w:sz w:val="24"/>
                <w:szCs w:val="24"/>
                <w:bdr w:val="nil"/>
                <w:lang w:val="en-US" w:eastAsia="en-US" w:bidi="ar-SA"/>
              </w:rPr>
              <w:t>(May 15, 2024)</w:t>
            </w:r>
            <w:r w:rsidRPr="00047311" w:rsidR="00BA63FC">
              <w:rPr>
                <w:rStyle w:val="xcontentpasted0"/>
                <w:rFonts w:eastAsia="Arial Unicode MS"/>
                <w:bCs/>
                <w:iCs/>
                <w:sz w:val="24"/>
                <w:szCs w:val="24"/>
                <w:bdr w:val="nil"/>
                <w:lang w:val="en-US" w:eastAsia="en-US" w:bidi="ar-SA"/>
              </w:rPr>
              <w:t xml:space="preserve"> at 130</w:t>
            </w:r>
            <w:r w:rsidRPr="00047311" w:rsidR="007D3F83">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 xml:space="preserve"> approving modified application.</w:t>
            </w:r>
          </w:p>
        </w:tc>
        <w:tc>
          <w:tcPr>
            <w:tcW w:w="6210" w:type="dxa"/>
          </w:tcPr>
          <w:p w:rsidR="00584DBE" w:rsidRPr="00047311" w:rsidP="00584DBE" w14:paraId="1551AC2F" w14:textId="346A4F70">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Instead, and consistent with recent precedent, we agree with several of the points raised by NRG, OELC, OMAEG, Kroger, Nucor, RESA, NOAC, OCC, and IGS in opposition to these programs and find they are better suited for the competitive market, where both residential and non-residential customers will be able to obtain products and services to meet their individual needs.</w:t>
            </w:r>
            <w:r>
              <w:rPr>
                <w:rStyle w:val="xcontentpasted0"/>
                <w:rFonts w:eastAsia="Arial Unicode MS"/>
                <w:bCs/>
                <w:iCs/>
                <w:sz w:val="24"/>
                <w:szCs w:val="24"/>
                <w:bdr w:val="nil"/>
                <w:lang w:val="en-US" w:eastAsia="en-US" w:bidi="ar-SA"/>
              </w:rPr>
              <w:t>”</w:t>
            </w:r>
          </w:p>
        </w:tc>
      </w:tr>
      <w:tr w14:paraId="094B30D2" w14:textId="77777777" w:rsidTr="00584DBE">
        <w:tblPrEx>
          <w:tblW w:w="8730" w:type="dxa"/>
          <w:tblInd w:w="355" w:type="dxa"/>
          <w:tblCellMar>
            <w:top w:w="0" w:type="dxa"/>
            <w:left w:w="108" w:type="dxa"/>
            <w:bottom w:w="0" w:type="dxa"/>
            <w:right w:w="108" w:type="dxa"/>
          </w:tblCellMar>
          <w:tblLook w:val="04A0"/>
        </w:tblPrEx>
        <w:tc>
          <w:tcPr>
            <w:tcW w:w="2520" w:type="dxa"/>
          </w:tcPr>
          <w:p w:rsidR="00584DBE" w:rsidRPr="00047311" w:rsidP="00584DBE" w14:paraId="42AF647A" w14:textId="0DA31396">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sidRPr="00047311">
              <w:rPr>
                <w:rStyle w:val="xcontentpasted0"/>
                <w:rFonts w:eastAsia="Arial Unicode MS"/>
                <w:bCs/>
                <w:iCs/>
                <w:sz w:val="24"/>
                <w:szCs w:val="24"/>
                <w:bdr w:val="nil"/>
                <w:lang w:val="en-US" w:eastAsia="en-US" w:bidi="ar-SA"/>
              </w:rPr>
              <w:t>For Enbridge: Case No. 21-1109-GA-ALT</w:t>
            </w:r>
            <w:r w:rsidRPr="00047311" w:rsidR="00BA63FC">
              <w:rPr>
                <w:rStyle w:val="xcontentpasted0"/>
                <w:rFonts w:eastAsia="Arial Unicode MS"/>
                <w:bCs/>
                <w:iCs/>
                <w:sz w:val="24"/>
                <w:szCs w:val="24"/>
                <w:bdr w:val="nil"/>
                <w:lang w:val="en-US" w:eastAsia="en-US" w:bidi="ar-SA"/>
              </w:rPr>
              <w:t xml:space="preserve"> Opinion</w:t>
            </w:r>
            <w:r w:rsidR="006C6C00">
              <w:rPr>
                <w:rStyle w:val="xcontentpasted0"/>
                <w:rFonts w:eastAsia="Arial Unicode MS"/>
                <w:bCs/>
                <w:iCs/>
                <w:sz w:val="24"/>
                <w:szCs w:val="24"/>
                <w:bdr w:val="nil"/>
                <w:lang w:val="en-US" w:eastAsia="en-US" w:bidi="ar-SA"/>
              </w:rPr>
              <w:t xml:space="preserve"> </w:t>
            </w:r>
            <w:r w:rsidRPr="00047311" w:rsidR="00BA63FC">
              <w:rPr>
                <w:rStyle w:val="xcontentpasted0"/>
                <w:rFonts w:eastAsia="Arial Unicode MS"/>
                <w:bCs/>
                <w:iCs/>
                <w:sz w:val="24"/>
                <w:szCs w:val="24"/>
                <w:bdr w:val="nil"/>
                <w:lang w:val="en-US" w:eastAsia="en-US" w:bidi="ar-SA"/>
              </w:rPr>
              <w:t>&amp; Order</w:t>
            </w:r>
            <w:r w:rsidRPr="00047311">
              <w:rPr>
                <w:rStyle w:val="xcontentpasted0"/>
                <w:rFonts w:eastAsia="Arial Unicode MS"/>
                <w:bCs/>
                <w:iCs/>
                <w:sz w:val="24"/>
                <w:szCs w:val="24"/>
                <w:bdr w:val="nil"/>
                <w:lang w:val="en-US" w:eastAsia="en-US" w:bidi="ar-SA"/>
              </w:rPr>
              <w:t xml:space="preserve"> (Oct</w:t>
            </w:r>
            <w:r w:rsidRPr="00047311" w:rsidR="006C173A">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 xml:space="preserve"> 4, 2023) </w:t>
            </w:r>
            <w:r w:rsidRPr="00047311" w:rsidR="00BA63FC">
              <w:rPr>
                <w:rStyle w:val="xcontentpasted0"/>
                <w:rFonts w:eastAsia="Arial Unicode MS"/>
                <w:bCs/>
                <w:iCs/>
                <w:sz w:val="24"/>
                <w:szCs w:val="24"/>
                <w:bdr w:val="nil"/>
                <w:lang w:val="en-US" w:eastAsia="en-US" w:bidi="ar-SA"/>
              </w:rPr>
              <w:t>at 18</w:t>
            </w:r>
            <w:r w:rsidRPr="00047311" w:rsidR="000F377D">
              <w:rPr>
                <w:rStyle w:val="xcontentpasted0"/>
                <w:rFonts w:eastAsia="Arial Unicode MS"/>
                <w:bCs/>
                <w:iCs/>
                <w:sz w:val="24"/>
                <w:szCs w:val="24"/>
                <w:bdr w:val="nil"/>
                <w:lang w:val="en-US" w:eastAsia="en-US" w:bidi="ar-SA"/>
              </w:rPr>
              <w:t xml:space="preserve">, </w:t>
            </w:r>
            <w:r w:rsidRPr="00047311">
              <w:rPr>
                <w:rStyle w:val="xcontentpasted0"/>
                <w:rFonts w:eastAsia="Arial Unicode MS"/>
                <w:bCs/>
                <w:iCs/>
                <w:sz w:val="24"/>
                <w:szCs w:val="24"/>
                <w:bdr w:val="nil"/>
                <w:lang w:val="en-US" w:eastAsia="en-US" w:bidi="ar-SA"/>
              </w:rPr>
              <w:t>approving</w:t>
            </w:r>
            <w:r w:rsidRPr="00047311" w:rsidR="00BA63FC">
              <w:rPr>
                <w:rStyle w:val="xcontentpasted0"/>
                <w:rFonts w:eastAsia="Arial Unicode MS"/>
                <w:bCs/>
                <w:iCs/>
                <w:sz w:val="24"/>
                <w:szCs w:val="24"/>
                <w:bdr w:val="nil"/>
                <w:lang w:val="en-US" w:eastAsia="en-US" w:bidi="ar-SA"/>
              </w:rPr>
              <w:t xml:space="preserve"> t</w:t>
            </w:r>
            <w:r w:rsidRPr="00047311">
              <w:rPr>
                <w:rStyle w:val="xcontentpasted0"/>
                <w:rFonts w:eastAsia="Arial Unicode MS"/>
                <w:bCs/>
                <w:iCs/>
                <w:sz w:val="24"/>
                <w:szCs w:val="24"/>
                <w:bdr w:val="nil"/>
                <w:lang w:val="en-US" w:eastAsia="en-US" w:bidi="ar-SA"/>
              </w:rPr>
              <w:t>he application</w:t>
            </w:r>
            <w:r w:rsidRPr="00047311" w:rsidR="00BA63FC">
              <w:rPr>
                <w:rStyle w:val="xcontentpasted0"/>
                <w:rFonts w:eastAsia="Arial Unicode MS"/>
                <w:bCs/>
                <w:iCs/>
                <w:sz w:val="24"/>
                <w:szCs w:val="24"/>
                <w:bdr w:val="nil"/>
                <w:lang w:val="en-US" w:eastAsia="en-US" w:bidi="ar-SA"/>
              </w:rPr>
              <w:t xml:space="preserve"> in part.</w:t>
            </w:r>
          </w:p>
        </w:tc>
        <w:tc>
          <w:tcPr>
            <w:tcW w:w="6210" w:type="dxa"/>
          </w:tcPr>
          <w:p w:rsidR="00584DBE" w:rsidRPr="00047311" w:rsidP="00584DBE" w14:paraId="7C3A157B" w14:textId="35CA555F">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The Commission is not convinced by the record of this case that there continues to be a need for expansive, utility sponsored DSM/EE programs as presented in Dominion</w:t>
            </w: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s application.</w:t>
            </w:r>
            <w:r>
              <w:rPr>
                <w:rStyle w:val="xcontentpasted0"/>
                <w:rFonts w:eastAsia="Arial Unicode MS"/>
                <w:bCs/>
                <w:iCs/>
                <w:sz w:val="24"/>
                <w:szCs w:val="24"/>
                <w:bdr w:val="nil"/>
                <w:lang w:val="en-US" w:eastAsia="en-US" w:bidi="ar-SA"/>
              </w:rPr>
              <w:t>”</w:t>
            </w:r>
          </w:p>
          <w:p w:rsidR="00584DBE" w:rsidRPr="00047311" w:rsidP="00584DBE" w14:paraId="36654513" w14:textId="77777777">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p>
          <w:p w:rsidR="00584DBE" w:rsidRPr="00047311" w:rsidP="00584DBE" w14:paraId="5DAE7855" w14:textId="5D30C4DB">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[W]e find that the subsidization of the costs of these programs across Dominion</w:t>
            </w: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s footprint acts as a burden on the Company</w:t>
            </w: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s ratepayers.</w:t>
            </w:r>
            <w:r>
              <w:rPr>
                <w:rStyle w:val="xcontentpasted0"/>
                <w:rFonts w:eastAsia="Arial Unicode MS"/>
                <w:bCs/>
                <w:iCs/>
                <w:sz w:val="24"/>
                <w:szCs w:val="24"/>
                <w:bdr w:val="nil"/>
                <w:lang w:val="en-US" w:eastAsia="en-US" w:bidi="ar-SA"/>
              </w:rPr>
              <w:t>”</w:t>
            </w:r>
          </w:p>
        </w:tc>
      </w:tr>
      <w:tr w14:paraId="14671F75" w14:textId="77777777" w:rsidTr="00584DBE">
        <w:tblPrEx>
          <w:tblW w:w="8730" w:type="dxa"/>
          <w:tblInd w:w="355" w:type="dxa"/>
          <w:tblCellMar>
            <w:top w:w="0" w:type="dxa"/>
            <w:left w:w="108" w:type="dxa"/>
            <w:bottom w:w="0" w:type="dxa"/>
            <w:right w:w="108" w:type="dxa"/>
          </w:tblCellMar>
          <w:tblLook w:val="04A0"/>
        </w:tblPrEx>
        <w:tc>
          <w:tcPr>
            <w:tcW w:w="2520" w:type="dxa"/>
          </w:tcPr>
          <w:p w:rsidR="00584DBE" w:rsidRPr="00047311" w:rsidP="00584DBE" w14:paraId="4160F266" w14:textId="2A8B6CE0">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sidRPr="00047311">
              <w:rPr>
                <w:rStyle w:val="xcontentpasted0"/>
                <w:rFonts w:eastAsia="Arial Unicode MS"/>
                <w:bCs/>
                <w:iCs/>
                <w:sz w:val="24"/>
                <w:szCs w:val="24"/>
                <w:bdr w:val="nil"/>
                <w:lang w:val="en-US" w:eastAsia="en-US" w:bidi="ar-SA"/>
              </w:rPr>
              <w:t xml:space="preserve">For AEP Ohio: Case No. 20-585-EL-AIR </w:t>
            </w:r>
            <w:r w:rsidRPr="00047311" w:rsidR="00BA63FC">
              <w:rPr>
                <w:rStyle w:val="xcontentpasted0"/>
                <w:rFonts w:eastAsia="Arial Unicode MS"/>
                <w:bCs/>
                <w:iCs/>
                <w:sz w:val="24"/>
                <w:szCs w:val="24"/>
                <w:bdr w:val="nil"/>
                <w:lang w:val="en-US" w:eastAsia="en-US" w:bidi="ar-SA"/>
              </w:rPr>
              <w:t xml:space="preserve">Opinion &amp; Order </w:t>
            </w:r>
            <w:r w:rsidRPr="00047311">
              <w:rPr>
                <w:rStyle w:val="xcontentpasted0"/>
                <w:rFonts w:eastAsia="Arial Unicode MS"/>
                <w:bCs/>
                <w:iCs/>
                <w:sz w:val="24"/>
                <w:szCs w:val="24"/>
                <w:bdr w:val="nil"/>
                <w:lang w:val="en-US" w:eastAsia="en-US" w:bidi="ar-SA"/>
              </w:rPr>
              <w:t>(Nov</w:t>
            </w:r>
            <w:r w:rsidRPr="00047311" w:rsidR="00394821">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 xml:space="preserve"> 17, 2021) </w:t>
            </w:r>
            <w:r w:rsidRPr="00047311" w:rsidR="00BA63FC">
              <w:rPr>
                <w:rStyle w:val="xcontentpasted0"/>
                <w:rFonts w:eastAsia="Arial Unicode MS"/>
                <w:bCs/>
                <w:iCs/>
                <w:sz w:val="24"/>
                <w:szCs w:val="24"/>
                <w:bdr w:val="nil"/>
                <w:lang w:val="en-US" w:eastAsia="en-US" w:bidi="ar-SA"/>
              </w:rPr>
              <w:t>at 47-48</w:t>
            </w:r>
            <w:r w:rsidRPr="00047311" w:rsidR="00394821">
              <w:rPr>
                <w:rStyle w:val="xcontentpasted0"/>
                <w:rFonts w:eastAsia="Arial Unicode MS"/>
                <w:bCs/>
                <w:iCs/>
                <w:sz w:val="24"/>
                <w:szCs w:val="24"/>
                <w:bdr w:val="nil"/>
                <w:lang w:val="en-US" w:eastAsia="en-US" w:bidi="ar-SA"/>
              </w:rPr>
              <w:t>,</w:t>
            </w:r>
            <w:r w:rsidRPr="00047311" w:rsidR="00BA63FC">
              <w:rPr>
                <w:rStyle w:val="xcontentpasted0"/>
                <w:rFonts w:eastAsia="Arial Unicode MS"/>
                <w:bCs/>
                <w:iCs/>
                <w:sz w:val="24"/>
                <w:szCs w:val="24"/>
                <w:bdr w:val="nil"/>
                <w:lang w:val="en-US" w:eastAsia="en-US" w:bidi="ar-SA"/>
              </w:rPr>
              <w:t xml:space="preserve"> </w:t>
            </w:r>
            <w:r w:rsidRPr="00047311">
              <w:rPr>
                <w:rStyle w:val="xcontentpasted0"/>
                <w:rFonts w:eastAsia="Arial Unicode MS"/>
                <w:bCs/>
                <w:iCs/>
                <w:sz w:val="24"/>
                <w:szCs w:val="24"/>
                <w:bdr w:val="nil"/>
                <w:lang w:val="en-US" w:eastAsia="en-US" w:bidi="ar-SA"/>
              </w:rPr>
              <w:t xml:space="preserve">approving </w:t>
            </w:r>
            <w:r w:rsidRPr="00047311" w:rsidR="00BA63FC">
              <w:rPr>
                <w:rStyle w:val="xcontentpasted0"/>
                <w:rFonts w:eastAsia="Arial Unicode MS"/>
                <w:bCs/>
                <w:iCs/>
                <w:sz w:val="24"/>
                <w:szCs w:val="24"/>
                <w:bdr w:val="nil"/>
                <w:lang w:val="en-US" w:eastAsia="en-US" w:bidi="ar-SA"/>
              </w:rPr>
              <w:t xml:space="preserve">the </w:t>
            </w:r>
            <w:r w:rsidRPr="00047311">
              <w:rPr>
                <w:rStyle w:val="xcontentpasted0"/>
                <w:rFonts w:eastAsia="Arial Unicode MS"/>
                <w:bCs/>
                <w:iCs/>
                <w:sz w:val="24"/>
                <w:szCs w:val="24"/>
                <w:bdr w:val="nil"/>
                <w:lang w:val="en-US" w:eastAsia="en-US" w:bidi="ar-SA"/>
              </w:rPr>
              <w:t>stipulation.</w:t>
            </w:r>
          </w:p>
        </w:tc>
        <w:tc>
          <w:tcPr>
            <w:tcW w:w="6210" w:type="dxa"/>
          </w:tcPr>
          <w:p w:rsidR="00584DBE" w:rsidRPr="00047311" w:rsidP="00584DBE" w14:paraId="3F3FFA03" w14:textId="6E973BA2">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[A]s we have previously stated, the future of energy efficiency programs in this state, in light of Am. Sub. H.B. 6, will be best served by reliance on market-based approaches such as those available through PJM and CRES providers.</w:t>
            </w:r>
            <w:r>
              <w:rPr>
                <w:rStyle w:val="xcontentpasted0"/>
                <w:rFonts w:eastAsia="Arial Unicode MS"/>
                <w:bCs/>
                <w:iCs/>
                <w:sz w:val="24"/>
                <w:szCs w:val="24"/>
                <w:bdr w:val="nil"/>
                <w:lang w:val="en-US" w:eastAsia="en-US" w:bidi="ar-SA"/>
              </w:rPr>
              <w:t>”</w:t>
            </w:r>
          </w:p>
        </w:tc>
      </w:tr>
      <w:tr w14:paraId="5EA77A3E" w14:textId="77777777" w:rsidTr="00584DBE">
        <w:tblPrEx>
          <w:tblW w:w="8730" w:type="dxa"/>
          <w:tblInd w:w="355" w:type="dxa"/>
          <w:tblCellMar>
            <w:top w:w="0" w:type="dxa"/>
            <w:left w:w="108" w:type="dxa"/>
            <w:bottom w:w="0" w:type="dxa"/>
            <w:right w:w="108" w:type="dxa"/>
          </w:tblCellMar>
          <w:tblLook w:val="04A0"/>
        </w:tblPrEx>
        <w:tc>
          <w:tcPr>
            <w:tcW w:w="2520" w:type="dxa"/>
          </w:tcPr>
          <w:p w:rsidR="00584DBE" w:rsidRPr="00047311" w:rsidP="00584DBE" w14:paraId="6FD87A95" w14:textId="7D76BEAE">
            <w:pPr>
              <w:pStyle w:val="Answe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ind w:left="0" w:firstLine="0"/>
              <w:contextualSpacing/>
              <w:rPr>
                <w:rStyle w:val="xcontentpasted0"/>
                <w:rFonts w:eastAsia="Arial Unicode MS"/>
                <w:bCs/>
                <w:iCs/>
                <w:sz w:val="24"/>
                <w:szCs w:val="24"/>
                <w:bdr w:val="nil"/>
                <w:lang w:val="en-US" w:eastAsia="en-US" w:bidi="ar-SA"/>
              </w:rPr>
            </w:pPr>
            <w:r w:rsidRPr="00047311">
              <w:rPr>
                <w:rStyle w:val="xcontentpasted0"/>
                <w:rFonts w:eastAsia="Arial Unicode MS"/>
                <w:bCs/>
                <w:iCs/>
                <w:sz w:val="24"/>
                <w:szCs w:val="24"/>
                <w:bdr w:val="nil"/>
                <w:lang w:val="en-US" w:eastAsia="en-US" w:bidi="ar-SA"/>
              </w:rPr>
              <w:t>For Columbia Gas: Case No. 21-637-GA-AIR</w:t>
            </w:r>
            <w:r w:rsidRPr="00047311" w:rsidR="00885EE7">
              <w:rPr>
                <w:rStyle w:val="xcontentpasted0"/>
                <w:rFonts w:eastAsia="Arial Unicode MS"/>
                <w:bCs/>
                <w:iCs/>
                <w:sz w:val="24"/>
                <w:szCs w:val="24"/>
                <w:bdr w:val="nil"/>
                <w:lang w:val="en-US" w:eastAsia="en-US" w:bidi="ar-SA"/>
              </w:rPr>
              <w:t xml:space="preserve"> </w:t>
            </w:r>
            <w:r w:rsidRPr="00047311">
              <w:rPr>
                <w:rStyle w:val="xcontentpasted0"/>
                <w:rFonts w:eastAsia="Arial Unicode MS"/>
                <w:bCs/>
                <w:iCs/>
                <w:sz w:val="24"/>
                <w:szCs w:val="24"/>
                <w:bdr w:val="nil"/>
                <w:lang w:val="en-US" w:eastAsia="en-US" w:bidi="ar-SA"/>
              </w:rPr>
              <w:t>(Jan</w:t>
            </w:r>
            <w:r w:rsidRPr="00047311" w:rsidR="00894657">
              <w:rPr>
                <w:rStyle w:val="xcontentpasted0"/>
                <w:rFonts w:eastAsia="Arial Unicode MS"/>
                <w:bCs/>
                <w:iCs/>
                <w:sz w:val="24"/>
                <w:szCs w:val="24"/>
                <w:bdr w:val="nil"/>
                <w:lang w:val="en-US" w:eastAsia="en-US" w:bidi="ar-SA"/>
              </w:rPr>
              <w:t>.</w:t>
            </w:r>
            <w:r w:rsidRPr="00047311">
              <w:rPr>
                <w:rStyle w:val="xcontentpasted0"/>
                <w:rFonts w:eastAsia="Arial Unicode MS"/>
                <w:bCs/>
                <w:iCs/>
                <w:sz w:val="24"/>
                <w:szCs w:val="24"/>
                <w:bdr w:val="nil"/>
                <w:lang w:val="en-US" w:eastAsia="en-US" w:bidi="ar-SA"/>
              </w:rPr>
              <w:t xml:space="preserve"> 26, 2023)</w:t>
            </w:r>
            <w:r w:rsidRPr="00047311" w:rsidR="00BA63FC">
              <w:rPr>
                <w:rStyle w:val="xcontentpasted0"/>
                <w:rFonts w:eastAsia="Arial Unicode MS"/>
                <w:bCs/>
                <w:iCs/>
                <w:sz w:val="24"/>
                <w:szCs w:val="24"/>
                <w:bdr w:val="nil"/>
                <w:lang w:val="en-US" w:eastAsia="en-US" w:bidi="ar-SA"/>
              </w:rPr>
              <w:t xml:space="preserve"> at 19</w:t>
            </w:r>
            <w:r w:rsidRPr="00047311" w:rsidR="00894657">
              <w:rPr>
                <w:rStyle w:val="xcontentpasted0"/>
                <w:rFonts w:eastAsia="Arial Unicode MS"/>
                <w:bCs/>
                <w:iCs/>
                <w:sz w:val="24"/>
                <w:szCs w:val="24"/>
                <w:bdr w:val="nil"/>
                <w:lang w:val="en-US" w:eastAsia="en-US" w:bidi="ar-SA"/>
              </w:rPr>
              <w:t>,</w:t>
            </w:r>
            <w:r w:rsidRPr="00047311" w:rsidR="00BA63FC">
              <w:rPr>
                <w:rStyle w:val="xcontentpasted0"/>
                <w:rFonts w:eastAsia="Arial Unicode MS"/>
                <w:bCs/>
                <w:iCs/>
                <w:sz w:val="24"/>
                <w:szCs w:val="24"/>
                <w:bdr w:val="nil"/>
                <w:lang w:val="en-US" w:eastAsia="en-US" w:bidi="ar-SA"/>
              </w:rPr>
              <w:t xml:space="preserve"> </w:t>
            </w:r>
            <w:r w:rsidRPr="00047311">
              <w:rPr>
                <w:rStyle w:val="xcontentpasted0"/>
                <w:rFonts w:eastAsia="Arial Unicode MS"/>
                <w:bCs/>
                <w:iCs/>
                <w:sz w:val="24"/>
                <w:szCs w:val="24"/>
                <w:bdr w:val="nil"/>
                <w:lang w:val="en-US" w:eastAsia="en-US" w:bidi="ar-SA"/>
              </w:rPr>
              <w:t xml:space="preserve">approving </w:t>
            </w:r>
            <w:r w:rsidRPr="00047311" w:rsidR="00BA63FC">
              <w:rPr>
                <w:rStyle w:val="xcontentpasted0"/>
                <w:rFonts w:eastAsia="Arial Unicode MS"/>
                <w:bCs/>
                <w:iCs/>
                <w:sz w:val="24"/>
                <w:szCs w:val="24"/>
                <w:bdr w:val="nil"/>
                <w:lang w:val="en-US" w:eastAsia="en-US" w:bidi="ar-SA"/>
              </w:rPr>
              <w:t xml:space="preserve">the </w:t>
            </w:r>
            <w:r w:rsidRPr="00047311">
              <w:rPr>
                <w:rStyle w:val="xcontentpasted0"/>
                <w:rFonts w:eastAsia="Arial Unicode MS"/>
                <w:bCs/>
                <w:iCs/>
                <w:sz w:val="24"/>
                <w:szCs w:val="24"/>
                <w:bdr w:val="nil"/>
                <w:lang w:val="en-US" w:eastAsia="en-US" w:bidi="ar-SA"/>
              </w:rPr>
              <w:t>modified stipulation.</w:t>
            </w:r>
          </w:p>
        </w:tc>
        <w:tc>
          <w:tcPr>
            <w:tcW w:w="6210" w:type="dxa"/>
          </w:tcPr>
          <w:p w:rsidR="00584DBE" w:rsidRPr="00047311" w:rsidP="00584DBE" w14:paraId="381B6426" w14:textId="77777777">
            <w:pPr>
              <w:pStyle w:val="Answer"/>
              <w:spacing w:line="276" w:lineRule="auto"/>
              <w:ind w:left="0" w:right="720" w:firstLine="0"/>
              <w:contextualSpacing/>
              <w:rPr>
                <w:rFonts w:eastAsia="Arial Unicode MS"/>
                <w:bCs/>
                <w:iCs/>
                <w:sz w:val="24"/>
                <w:szCs w:val="24"/>
                <w:bdr w:val="nil"/>
                <w:lang w:val="en-US" w:eastAsia="en-US" w:bidi="ar-SA"/>
              </w:rPr>
            </w:pPr>
            <w:r w:rsidRPr="00047311">
              <w:rPr>
                <w:rFonts w:eastAsia="Arial Unicode MS"/>
                <w:bCs/>
                <w:iCs/>
                <w:sz w:val="24"/>
                <w:szCs w:val="24"/>
                <w:bdr w:val="nil"/>
                <w:lang w:val="en-US" w:eastAsia="en-US" w:bidi="ar-SA"/>
              </w:rPr>
              <w:t>[T]he Commission notes that, as codified at R.C. 4929.02(A), it is the policy of the state to promote the availability of unbundled and comparable natural gas services and goods that provide wholesale and retail consumers with the supplier, price, terms, conditions, and quality options they elect to meet their respective needs; promote diversity of natural gas supplies and suppliers, by giving consumers effective choices over the selection of those supplies and suppliers; and encourage innovation and market access for cost-effective supply- and demand-side natural gas services and goods.</w:t>
            </w:r>
          </w:p>
          <w:p w:rsidR="00584DBE" w:rsidRPr="00047311" w:rsidP="00584DBE" w14:paraId="14102C29" w14:textId="55D14C8E">
            <w:pPr>
              <w:pStyle w:val="Answer"/>
              <w:spacing w:line="276" w:lineRule="auto"/>
              <w:ind w:left="0" w:firstLine="0"/>
              <w:contextualSpacing/>
              <w:rPr>
                <w:rFonts w:eastAsia="Arial Unicode MS"/>
                <w:bCs/>
                <w:iCs/>
                <w:sz w:val="24"/>
                <w:szCs w:val="24"/>
                <w:bdr w:val="nil"/>
                <w:lang w:val="en-US" w:eastAsia="en-US" w:bidi="ar-SA"/>
              </w:rPr>
            </w:pPr>
          </w:p>
          <w:p w:rsidR="00584DBE" w:rsidRPr="00047311" w:rsidP="00584DBE" w14:paraId="0C9F2241" w14:textId="7BBE7EE3">
            <w:pPr>
              <w:pStyle w:val="Answer"/>
              <w:spacing w:line="276" w:lineRule="auto"/>
              <w:ind w:left="0" w:right="720" w:firstLine="0"/>
              <w:contextualSpacing/>
              <w:rPr>
                <w:rFonts w:eastAsia="Arial Unicode MS"/>
                <w:bCs/>
                <w:iCs/>
                <w:sz w:val="24"/>
                <w:szCs w:val="24"/>
                <w:bdr w:val="nil"/>
                <w:lang w:val="en-US" w:eastAsia="en-US" w:bidi="ar-SA"/>
              </w:rPr>
            </w:pPr>
            <w:r w:rsidRPr="00047311">
              <w:rPr>
                <w:rFonts w:eastAsia="Arial Unicode MS"/>
                <w:bCs/>
                <w:iCs/>
                <w:sz w:val="24"/>
                <w:szCs w:val="24"/>
                <w:bdr w:val="nil"/>
                <w:lang w:val="en-US" w:eastAsia="en-US" w:bidi="ar-SA"/>
              </w:rPr>
              <w:t>[I]t is time to look to competitive markets to play a more significant role in the provision of energy efficiency services in this state.</w:t>
            </w:r>
            <w:r w:rsidR="00047311">
              <w:rPr>
                <w:rFonts w:eastAsia="Arial Unicode MS"/>
                <w:bCs/>
                <w:iCs/>
                <w:sz w:val="24"/>
                <w:szCs w:val="24"/>
                <w:bdr w:val="nil"/>
                <w:lang w:val="en-US" w:eastAsia="en-US" w:bidi="ar-SA"/>
              </w:rPr>
              <w:t>”</w:t>
            </w:r>
          </w:p>
          <w:p w:rsidR="00327EFC" w:rsidRPr="00047311" w:rsidP="00584DBE" w14:paraId="5EE3A7C1" w14:textId="1D4B9D21">
            <w:pPr>
              <w:pStyle w:val="Answer"/>
              <w:spacing w:line="276" w:lineRule="auto"/>
              <w:ind w:left="0" w:right="720" w:firstLine="0"/>
              <w:contextualSpacing/>
              <w:rPr>
                <w:rStyle w:val="xcontentpasted0"/>
                <w:rFonts w:eastAsia="Arial Unicode MS"/>
                <w:bCs/>
                <w:iCs/>
                <w:sz w:val="24"/>
                <w:szCs w:val="24"/>
                <w:bdr w:val="nil"/>
                <w:lang w:val="en-US" w:eastAsia="en-US" w:bidi="ar-SA"/>
              </w:rPr>
            </w:pPr>
          </w:p>
        </w:tc>
      </w:tr>
    </w:tbl>
    <w:p w:rsidR="00911602" w:rsidRPr="00047311" w:rsidP="006D21FD" w14:paraId="7CC7A125" w14:textId="77777777">
      <w:pPr>
        <w:suppressLineNumbers/>
        <w:rPr>
          <w:rStyle w:val="xcontentpasted0"/>
          <w:bCs/>
          <w:iCs/>
        </w:rPr>
      </w:pPr>
      <w:r w:rsidRPr="00047311">
        <w:rPr>
          <w:rStyle w:val="xcontentpasted0"/>
        </w:rPr>
        <w:br w:type="page"/>
      </w:r>
    </w:p>
    <w:p w:rsidR="006A5D78" w:rsidRPr="00047311" w:rsidP="00A61BFB" w14:paraId="32E50B8D" w14:textId="7678BBA0">
      <w:pPr>
        <w:pStyle w:val="Heading1"/>
      </w:pPr>
      <w:bookmarkStart w:id="7" w:name="_Toc181176100"/>
      <w:r w:rsidRPr="00047311">
        <w:t>IV.</w:t>
      </w:r>
      <w:r w:rsidRPr="00047311" w:rsidR="00A61BFB">
        <w:tab/>
      </w:r>
      <w:r w:rsidRPr="00047311" w:rsidR="00E22570">
        <w:t>LOW-INCOME</w:t>
      </w:r>
      <w:r w:rsidRPr="00047311">
        <w:t xml:space="preserve"> ENERGY EFFICIENCY </w:t>
      </w:r>
      <w:r w:rsidRPr="00047311" w:rsidR="00DE0824">
        <w:t>PROP</w:t>
      </w:r>
      <w:r w:rsidRPr="00047311" w:rsidR="00E517B5">
        <w:t>O</w:t>
      </w:r>
      <w:r w:rsidRPr="00047311" w:rsidR="00DE0824">
        <w:t>SAL</w:t>
      </w:r>
      <w:bookmarkEnd w:id="7"/>
    </w:p>
    <w:p w:rsidR="001739EE" w:rsidRPr="00047311" w:rsidP="001739EE" w14:paraId="0F079842" w14:textId="77777777">
      <w:pPr>
        <w:spacing w:line="480" w:lineRule="auto"/>
      </w:pPr>
    </w:p>
    <w:p w:rsidR="00A00EA7" w:rsidRPr="00047311" w:rsidP="001739EE" w14:paraId="19C66920" w14:textId="2ED10B7B">
      <w:pPr>
        <w:pStyle w:val="Question1"/>
        <w:spacing w:after="0" w:line="240" w:lineRule="auto"/>
        <w:ind w:left="720" w:hanging="720"/>
      </w:pPr>
      <w:r w:rsidRPr="00047311">
        <w:t>q</w:t>
      </w:r>
      <w:r w:rsidRPr="00047311" w:rsidR="00442C33">
        <w:t>1</w:t>
      </w:r>
      <w:r w:rsidRPr="00047311" w:rsidR="004535BA">
        <w:t>2</w:t>
      </w:r>
      <w:r w:rsidRPr="00047311">
        <w:t>.</w:t>
      </w:r>
      <w:r w:rsidRPr="00047311" w:rsidR="003C1FD9">
        <w:tab/>
      </w:r>
      <w:r w:rsidRPr="00047311">
        <w:t xml:space="preserve">has the puco </w:t>
      </w:r>
      <w:r w:rsidRPr="00047311" w:rsidR="00651730">
        <w:t xml:space="preserve">APPROVED </w:t>
      </w:r>
      <w:r w:rsidRPr="00047311" w:rsidR="00B529A7">
        <w:t xml:space="preserve">LOW-INCOME </w:t>
      </w:r>
      <w:r w:rsidRPr="00047311">
        <w:t>DSM programs</w:t>
      </w:r>
      <w:r w:rsidRPr="00047311" w:rsidR="00651730">
        <w:t xml:space="preserve"> AFTER H.B. 6</w:t>
      </w:r>
      <w:r w:rsidRPr="00047311">
        <w:t>?</w:t>
      </w:r>
    </w:p>
    <w:p w:rsidR="001739EE" w:rsidRPr="00047311" w:rsidP="001739EE" w14:paraId="4FB09444" w14:textId="77777777">
      <w:pPr>
        <w:pStyle w:val="Question1"/>
        <w:spacing w:after="0" w:line="240" w:lineRule="auto"/>
        <w:ind w:left="720" w:hanging="720"/>
      </w:pPr>
    </w:p>
    <w:p w:rsidR="001378E1" w:rsidRPr="00047311" w:rsidP="003C1FD9" w14:paraId="747CDB35" w14:textId="206B6466">
      <w:pPr>
        <w:pStyle w:val="Answer"/>
        <w:ind w:hanging="720"/>
      </w:pPr>
      <w:r w:rsidRPr="00047311">
        <w:rPr>
          <w:b/>
          <w:bCs w:val="0"/>
          <w:i/>
          <w:iCs w:val="0"/>
        </w:rPr>
        <w:t>A</w:t>
      </w:r>
      <w:r w:rsidRPr="00047311" w:rsidR="00442C33">
        <w:rPr>
          <w:b/>
          <w:bCs w:val="0"/>
          <w:i/>
          <w:iCs w:val="0"/>
        </w:rPr>
        <w:t>1</w:t>
      </w:r>
      <w:r w:rsidRPr="00047311" w:rsidR="004535BA">
        <w:rPr>
          <w:b/>
          <w:bCs w:val="0"/>
          <w:i/>
          <w:iCs w:val="0"/>
        </w:rPr>
        <w:t>2</w:t>
      </w:r>
      <w:r w:rsidRPr="00047311">
        <w:rPr>
          <w:b/>
          <w:bCs w:val="0"/>
          <w:i/>
          <w:iCs w:val="0"/>
        </w:rPr>
        <w:t>.</w:t>
      </w:r>
      <w:r w:rsidRPr="00047311" w:rsidR="003C1FD9">
        <w:tab/>
      </w:r>
      <w:r w:rsidRPr="00047311">
        <w:t>Yes</w:t>
      </w:r>
      <w:r w:rsidRPr="00047311" w:rsidR="00971AA3">
        <w:t xml:space="preserve">. </w:t>
      </w:r>
      <w:r w:rsidRPr="00047311" w:rsidR="00E22570">
        <w:t>Post</w:t>
      </w:r>
      <w:r w:rsidR="00E330B1">
        <w:t>-</w:t>
      </w:r>
      <w:r w:rsidRPr="00047311" w:rsidR="00E22570">
        <w:t>H.B. 6, t</w:t>
      </w:r>
      <w:r w:rsidRPr="00047311" w:rsidR="0049010B">
        <w:t xml:space="preserve">he PUCO has approved </w:t>
      </w:r>
      <w:r w:rsidRPr="00047311" w:rsidR="00442C33">
        <w:rPr>
          <w:i/>
          <w:iCs w:val="0"/>
        </w:rPr>
        <w:t>only</w:t>
      </w:r>
      <w:r w:rsidRPr="00047311" w:rsidR="0049010B">
        <w:t xml:space="preserve"> </w:t>
      </w:r>
      <w:r w:rsidRPr="00047311" w:rsidR="00442C33">
        <w:t>energy efficiency</w:t>
      </w:r>
      <w:r w:rsidRPr="00047311" w:rsidR="0049010B">
        <w:t xml:space="preserve"> programs that reach low</w:t>
      </w:r>
      <w:r w:rsidRPr="00047311" w:rsidR="00B529A7">
        <w:t>-</w:t>
      </w:r>
      <w:r w:rsidRPr="00047311" w:rsidR="0049010B">
        <w:t>to</w:t>
      </w:r>
      <w:r w:rsidRPr="00047311" w:rsidR="00B529A7">
        <w:t>-</w:t>
      </w:r>
      <w:r w:rsidRPr="00047311" w:rsidR="0049010B">
        <w:t>moderate income consumers</w:t>
      </w:r>
      <w:r w:rsidR="009E4BAD">
        <w:t xml:space="preserve">, </w:t>
      </w:r>
      <w:r w:rsidRPr="009E4BAD" w:rsidR="009E4BAD">
        <w:t>except for a smart thermostat rebate program approved in Case No. 23-301-EL-SSO</w:t>
      </w:r>
      <w:r w:rsidRPr="00047311" w:rsidR="0049010B">
        <w:t xml:space="preserve">. </w:t>
      </w:r>
      <w:r w:rsidRPr="00047311" w:rsidR="00442C33">
        <w:t>Examples are provided i</w:t>
      </w:r>
      <w:r w:rsidRPr="00047311" w:rsidR="0049010B">
        <w:t>n Table 2 above. But</w:t>
      </w:r>
      <w:r w:rsidRPr="00047311" w:rsidR="00506484">
        <w:t xml:space="preserve"> </w:t>
      </w:r>
      <w:r w:rsidRPr="00047311" w:rsidR="00442C33">
        <w:t>income-qualified</w:t>
      </w:r>
      <w:r w:rsidRPr="00047311" w:rsidR="00506484">
        <w:t xml:space="preserve"> energy efficiency programs </w:t>
      </w:r>
      <w:r w:rsidRPr="00047311" w:rsidR="00C62F5B">
        <w:t xml:space="preserve">continue to </w:t>
      </w:r>
      <w:r w:rsidRPr="00047311" w:rsidR="00506484">
        <w:t>need consumer protections for those that participate, and those that fund these programs.</w:t>
      </w:r>
      <w:r w:rsidRPr="00047311" w:rsidR="00A540A1">
        <w:t xml:space="preserve"> </w:t>
      </w:r>
    </w:p>
    <w:p w:rsidR="001378E1" w:rsidRPr="00047311" w:rsidP="003C1FD9" w14:paraId="0278B300" w14:textId="77777777">
      <w:pPr>
        <w:pStyle w:val="Answer"/>
        <w:ind w:hanging="720"/>
      </w:pPr>
    </w:p>
    <w:p w:rsidR="00024131" w:rsidP="00024131" w14:paraId="2ED2D236" w14:textId="4424A041">
      <w:pPr>
        <w:pStyle w:val="Answer"/>
        <w:ind w:firstLine="0"/>
        <w:rPr>
          <w:rStyle w:val="xcontentpasted0"/>
          <w:bCs w:val="0"/>
          <w:iCs w:val="0"/>
        </w:rPr>
      </w:pPr>
      <w:r w:rsidRPr="00047311">
        <w:t xml:space="preserve">The PUCO should </w:t>
      </w:r>
      <w:r w:rsidRPr="00047311">
        <w:rPr>
          <w:rStyle w:val="xcontentpasted0"/>
        </w:rPr>
        <w:t>require oversight o</w:t>
      </w:r>
      <w:r w:rsidRPr="00047311" w:rsidR="00A87601">
        <w:rPr>
          <w:rStyle w:val="xcontentpasted0"/>
        </w:rPr>
        <w:t>f</w:t>
      </w:r>
      <w:r w:rsidRPr="00047311">
        <w:rPr>
          <w:rStyle w:val="xcontentpasted0"/>
        </w:rPr>
        <w:t xml:space="preserve"> </w:t>
      </w:r>
      <w:r w:rsidRPr="00047311" w:rsidR="00442C33">
        <w:rPr>
          <w:rStyle w:val="xcontentpasted0"/>
        </w:rPr>
        <w:t>these programs</w:t>
      </w:r>
      <w:r w:rsidRPr="00047311">
        <w:rPr>
          <w:rStyle w:val="xcontentpasted0"/>
        </w:rPr>
        <w:t xml:space="preserve"> including a collaborative process that meets every three months to report status on savings benefits for </w:t>
      </w:r>
      <w:r w:rsidRPr="00047311" w:rsidR="00B529A7">
        <w:rPr>
          <w:rStyle w:val="xcontentpasted0"/>
        </w:rPr>
        <w:t xml:space="preserve">low-to-moderate income </w:t>
      </w:r>
      <w:r w:rsidRPr="00047311">
        <w:rPr>
          <w:rStyle w:val="xcontentpasted0"/>
        </w:rPr>
        <w:t xml:space="preserve">consumers. The collaborative should include </w:t>
      </w:r>
      <w:r w:rsidRPr="00047311" w:rsidR="00A87601">
        <w:rPr>
          <w:rStyle w:val="xcontentpasted0"/>
        </w:rPr>
        <w:t xml:space="preserve">the PUCO </w:t>
      </w:r>
      <w:r w:rsidRPr="00047311">
        <w:rPr>
          <w:rStyle w:val="xcontentpasted0"/>
        </w:rPr>
        <w:t xml:space="preserve">Staff, OCC and other interested parties. </w:t>
      </w:r>
      <w:r w:rsidRPr="00047311" w:rsidR="00442C33">
        <w:rPr>
          <w:rStyle w:val="xcontentpasted0"/>
        </w:rPr>
        <w:t>And t</w:t>
      </w:r>
      <w:r w:rsidRPr="00047311">
        <w:rPr>
          <w:rStyle w:val="xcontentpasted0"/>
        </w:rPr>
        <w:t>he local community action agencies and others who understand consumer needs</w:t>
      </w:r>
      <w:r w:rsidRPr="00047311" w:rsidR="004F72E7">
        <w:rPr>
          <w:rStyle w:val="xcontentpasted0"/>
        </w:rPr>
        <w:t xml:space="preserve"> at the local level</w:t>
      </w:r>
      <w:r w:rsidRPr="00047311">
        <w:rPr>
          <w:rStyle w:val="xcontentpasted0"/>
        </w:rPr>
        <w:t xml:space="preserve"> should be invited to the collaboratives.</w:t>
      </w:r>
      <w:r>
        <w:rPr>
          <w:rStyle w:val="xcontentpasted0"/>
        </w:rPr>
        <w:br w:type="page"/>
      </w:r>
    </w:p>
    <w:p w:rsidR="003D15D3" w:rsidRPr="00047311" w:rsidP="006A05D7" w14:paraId="6D585195" w14:textId="2BCAE9F1">
      <w:pPr>
        <w:pStyle w:val="Question1"/>
        <w:spacing w:after="0" w:line="240" w:lineRule="auto"/>
        <w:ind w:left="720" w:hanging="720"/>
      </w:pPr>
      <w:r w:rsidRPr="00047311">
        <w:t>q</w:t>
      </w:r>
      <w:r w:rsidRPr="00047311" w:rsidR="00442C33">
        <w:t>1</w:t>
      </w:r>
      <w:r w:rsidRPr="00047311" w:rsidR="004535BA">
        <w:t>3</w:t>
      </w:r>
      <w:r w:rsidRPr="00047311">
        <w:t>.</w:t>
      </w:r>
      <w:r w:rsidRPr="00047311" w:rsidR="003C1FD9">
        <w:tab/>
      </w:r>
      <w:r w:rsidRPr="00047311">
        <w:t>please explain duke</w:t>
      </w:r>
      <w:r w:rsidR="00047311">
        <w:t>’</w:t>
      </w:r>
      <w:r w:rsidRPr="00047311">
        <w:t>s pro</w:t>
      </w:r>
      <w:r w:rsidRPr="00047311" w:rsidR="003038FD">
        <w:t>p</w:t>
      </w:r>
      <w:r w:rsidRPr="00047311">
        <w:t>osal for</w:t>
      </w:r>
      <w:r w:rsidRPr="00047311" w:rsidR="00DE0824">
        <w:t xml:space="preserve"> the</w:t>
      </w:r>
      <w:r w:rsidRPr="00047311">
        <w:t xml:space="preserve"> </w:t>
      </w:r>
      <w:r w:rsidRPr="00047311" w:rsidR="00E22570">
        <w:t>low-</w:t>
      </w:r>
      <w:r w:rsidRPr="00047311" w:rsidR="00442C33">
        <w:t>income</w:t>
      </w:r>
      <w:r w:rsidRPr="00047311" w:rsidR="00651730">
        <w:t>-</w:t>
      </w:r>
      <w:r w:rsidRPr="00047311">
        <w:t>energy efficiency program.</w:t>
      </w:r>
    </w:p>
    <w:p w:rsidR="008A0ADF" w:rsidRPr="00047311" w:rsidP="006A05D7" w14:paraId="062604F9" w14:textId="77777777">
      <w:pPr>
        <w:pStyle w:val="Question1"/>
        <w:spacing w:after="0" w:line="240" w:lineRule="auto"/>
        <w:ind w:left="720" w:hanging="720"/>
      </w:pPr>
    </w:p>
    <w:p w:rsidR="00621DB7" w:rsidP="00621DB7" w14:paraId="4D6FDBF4" w14:textId="1D033667">
      <w:pPr>
        <w:pStyle w:val="Answer"/>
        <w:ind w:hanging="720"/>
      </w:pPr>
      <w:r w:rsidRPr="00047311">
        <w:rPr>
          <w:b/>
          <w:bCs w:val="0"/>
          <w:i/>
          <w:iCs w:val="0"/>
        </w:rPr>
        <w:t>A</w:t>
      </w:r>
      <w:r w:rsidRPr="00047311" w:rsidR="00442C33">
        <w:rPr>
          <w:b/>
          <w:bCs w:val="0"/>
          <w:i/>
          <w:iCs w:val="0"/>
        </w:rPr>
        <w:t>1</w:t>
      </w:r>
      <w:r w:rsidRPr="00047311" w:rsidR="004535BA">
        <w:rPr>
          <w:b/>
          <w:bCs w:val="0"/>
          <w:i/>
          <w:iCs w:val="0"/>
        </w:rPr>
        <w:t>3</w:t>
      </w:r>
      <w:r w:rsidRPr="00047311">
        <w:rPr>
          <w:b/>
          <w:bCs w:val="0"/>
          <w:i/>
          <w:iCs w:val="0"/>
        </w:rPr>
        <w:t>.</w:t>
      </w:r>
      <w:r w:rsidRPr="00047311" w:rsidR="003C1FD9">
        <w:tab/>
      </w:r>
      <w:r w:rsidRPr="00047311">
        <w:t xml:space="preserve">Duke proposes </w:t>
      </w:r>
      <w:r w:rsidRPr="00047311" w:rsidR="00442C33">
        <w:t>the</w:t>
      </w:r>
      <w:r w:rsidRPr="00047311">
        <w:t xml:space="preserve"> NES Program.</w:t>
      </w:r>
      <w:r>
        <w:rPr>
          <w:rStyle w:val="FootnoteReference"/>
        </w:rPr>
        <w:footnoteReference w:id="20"/>
      </w:r>
      <w:r w:rsidRPr="00047311">
        <w:t xml:space="preserve"> This program </w:t>
      </w:r>
      <w:r w:rsidRPr="00047311" w:rsidR="00696D9F">
        <w:t>offers</w:t>
      </w:r>
      <w:r w:rsidRPr="00047311">
        <w:t xml:space="preserve"> installation of energy efficiency measures </w:t>
      </w:r>
      <w:r w:rsidRPr="00047311" w:rsidR="00696D9F">
        <w:t xml:space="preserve">for consumers </w:t>
      </w:r>
      <w:r w:rsidRPr="00047311" w:rsidR="007F646D">
        <w:t>at or below 200 percent of the Federal Poverty Level</w:t>
      </w:r>
      <w:r w:rsidRPr="00047311" w:rsidR="00BC0DA5">
        <w:t xml:space="preserve"> guidelines</w:t>
      </w:r>
      <w:r w:rsidRPr="00047311" w:rsidR="007F646D">
        <w:t>.</w:t>
      </w:r>
    </w:p>
    <w:p w:rsidR="00024131" w:rsidRPr="00047311" w:rsidP="00621DB7" w14:paraId="5CB3A981" w14:textId="77777777">
      <w:pPr>
        <w:pStyle w:val="Answer"/>
        <w:ind w:hanging="720"/>
        <w:rPr>
          <w:bCs w:val="0"/>
          <w:iCs w:val="0"/>
        </w:rPr>
      </w:pPr>
    </w:p>
    <w:p w:rsidR="00182BB3" w:rsidRPr="00047311" w:rsidP="006A05D7" w14:paraId="530C2C07" w14:textId="29DF5118">
      <w:pPr>
        <w:pStyle w:val="Question1"/>
        <w:spacing w:after="0" w:line="240" w:lineRule="auto"/>
        <w:ind w:left="720" w:hanging="720"/>
      </w:pPr>
      <w:r w:rsidRPr="00047311">
        <w:t>Q1</w:t>
      </w:r>
      <w:r w:rsidRPr="00047311" w:rsidR="004535BA">
        <w:t>4</w:t>
      </w:r>
      <w:r w:rsidRPr="00047311">
        <w:t>.</w:t>
      </w:r>
      <w:r w:rsidRPr="00047311" w:rsidR="003C1FD9">
        <w:tab/>
      </w:r>
      <w:r w:rsidRPr="00047311">
        <w:t xml:space="preserve">do you have concerns about </w:t>
      </w:r>
      <w:r w:rsidRPr="00047311" w:rsidR="00B529A7">
        <w:t>the</w:t>
      </w:r>
      <w:r w:rsidRPr="00047311">
        <w:t xml:space="preserve"> </w:t>
      </w:r>
      <w:r w:rsidRPr="00047311">
        <w:t>NES</w:t>
      </w:r>
      <w:r w:rsidRPr="00047311" w:rsidR="00B529A7">
        <w:t xml:space="preserve"> program</w:t>
      </w:r>
      <w:r w:rsidRPr="00047311">
        <w:t>?</w:t>
      </w:r>
    </w:p>
    <w:p w:rsidR="00E823C0" w:rsidRPr="00047311" w:rsidP="006A05D7" w14:paraId="0D99DE79" w14:textId="77777777">
      <w:pPr>
        <w:pStyle w:val="Question1"/>
        <w:spacing w:after="0" w:line="240" w:lineRule="auto"/>
        <w:ind w:left="720" w:hanging="720"/>
      </w:pPr>
    </w:p>
    <w:p w:rsidR="001378E1" w:rsidRPr="00047311" w:rsidP="003C1FD9" w14:paraId="2AA0917F" w14:textId="553538F3">
      <w:pPr>
        <w:pStyle w:val="Answer"/>
        <w:ind w:hanging="720"/>
      </w:pPr>
      <w:r w:rsidRPr="00047311">
        <w:rPr>
          <w:b/>
          <w:bCs w:val="0"/>
          <w:i/>
          <w:iCs w:val="0"/>
        </w:rPr>
        <w:t>A1</w:t>
      </w:r>
      <w:r w:rsidRPr="00047311" w:rsidR="004535BA">
        <w:rPr>
          <w:b/>
          <w:bCs w:val="0"/>
          <w:i/>
          <w:iCs w:val="0"/>
        </w:rPr>
        <w:t>4</w:t>
      </w:r>
      <w:r w:rsidRPr="00047311">
        <w:rPr>
          <w:b/>
          <w:bCs w:val="0"/>
          <w:i/>
          <w:iCs w:val="0"/>
        </w:rPr>
        <w:t>.</w:t>
      </w:r>
      <w:r w:rsidRPr="00047311" w:rsidR="003C1FD9">
        <w:tab/>
      </w:r>
      <w:r w:rsidRPr="00047311" w:rsidR="00B90CEC">
        <w:t>Yes.</w:t>
      </w:r>
      <w:r w:rsidRPr="00047311">
        <w:t xml:space="preserve"> </w:t>
      </w:r>
      <w:r w:rsidRPr="00047311" w:rsidR="00E22570">
        <w:t xml:space="preserve">The proposal lacks consumer protections and PUCO oversight. </w:t>
      </w:r>
      <w:r w:rsidRPr="00047311" w:rsidR="003735B8">
        <w:t xml:space="preserve">Approval of </w:t>
      </w:r>
      <w:r w:rsidRPr="00047311" w:rsidR="00B529A7">
        <w:t>Duke</w:t>
      </w:r>
      <w:r w:rsidR="00047311">
        <w:t>’</w:t>
      </w:r>
      <w:r w:rsidRPr="00047311" w:rsidR="00B529A7">
        <w:t>s proposal should be</w:t>
      </w:r>
      <w:r w:rsidRPr="00047311" w:rsidR="003735B8">
        <w:t xml:space="preserve"> subject to </w:t>
      </w:r>
      <w:r w:rsidRPr="00047311" w:rsidR="00651730">
        <w:t>revis</w:t>
      </w:r>
      <w:r w:rsidRPr="00047311" w:rsidR="003735B8">
        <w:t>ions.</w:t>
      </w:r>
      <w:r w:rsidRPr="00047311" w:rsidR="00885EE7">
        <w:t xml:space="preserve"> </w:t>
      </w:r>
      <w:r w:rsidRPr="00047311" w:rsidR="00D540A9">
        <w:t xml:space="preserve">In 2023, the number of Ohio consumers in poverty rose for the first time in decades indicating </w:t>
      </w:r>
      <w:r w:rsidR="00E330B1">
        <w:t>the</w:t>
      </w:r>
      <w:r w:rsidRPr="00047311" w:rsidR="00D540A9">
        <w:t xml:space="preserve"> necessity for well-designed low-income energy efficiency programs.</w:t>
      </w:r>
      <w:r>
        <w:rPr>
          <w:rStyle w:val="FootnoteReference"/>
        </w:rPr>
        <w:footnoteReference w:id="21"/>
      </w:r>
      <w:r w:rsidRPr="00047311" w:rsidR="00D540A9">
        <w:t xml:space="preserve"> </w:t>
      </w:r>
      <w:r w:rsidRPr="00047311">
        <w:t xml:space="preserve">While </w:t>
      </w:r>
      <w:r w:rsidRPr="00047311" w:rsidR="00E22570">
        <w:t>low-income</w:t>
      </w:r>
      <w:r w:rsidRPr="00047311">
        <w:t xml:space="preserve"> energy efficiency programs provide benefits to those most in need, these programs need consumer protections.</w:t>
      </w:r>
      <w:r w:rsidRPr="00047311" w:rsidR="00885EE7">
        <w:t xml:space="preserve"> </w:t>
      </w:r>
    </w:p>
    <w:p w:rsidR="001378E1" w:rsidRPr="00047311" w:rsidP="003C1FD9" w14:paraId="6A111213" w14:textId="77777777">
      <w:pPr>
        <w:pStyle w:val="Answer"/>
        <w:ind w:hanging="720"/>
      </w:pPr>
    </w:p>
    <w:p w:rsidR="00182BB3" w:rsidRPr="00047311" w:rsidP="00D12C92" w14:paraId="38A8776D" w14:textId="76FD5401">
      <w:pPr>
        <w:pStyle w:val="Answer"/>
        <w:ind w:firstLine="0"/>
      </w:pPr>
      <w:r w:rsidRPr="00047311">
        <w:t xml:space="preserve">My primary concern is that </w:t>
      </w:r>
      <w:r w:rsidRPr="00047311" w:rsidR="00353814">
        <w:t>Duke</w:t>
      </w:r>
      <w:r w:rsidR="00047311">
        <w:t>’</w:t>
      </w:r>
      <w:r w:rsidRPr="00047311" w:rsidR="00353814">
        <w:t>s proposal allow</w:t>
      </w:r>
      <w:r w:rsidRPr="00047311" w:rsidR="003735B8">
        <w:t>s</w:t>
      </w:r>
      <w:r w:rsidRPr="00047311" w:rsidR="00353814">
        <w:t xml:space="preserve"> profits</w:t>
      </w:r>
      <w:r w:rsidRPr="00047311" w:rsidR="00D540A9">
        <w:t>,</w:t>
      </w:r>
      <w:r w:rsidRPr="00047311">
        <w:t xml:space="preserve"> which is wrong. The PUCO should never allow profits on low-income programs under any circumstances</w:t>
      </w:r>
      <w:r w:rsidRPr="00047311" w:rsidR="00353814">
        <w:t>.</w:t>
      </w:r>
      <w:r w:rsidR="00047311">
        <w:t xml:space="preserve"> </w:t>
      </w:r>
      <w:r w:rsidRPr="00047311" w:rsidR="001378E1">
        <w:t>This merely inflates the costs to all consumers that pay for the programs.</w:t>
      </w:r>
      <w:r w:rsidR="00047311">
        <w:t xml:space="preserve"> </w:t>
      </w:r>
      <w:r w:rsidRPr="00047311" w:rsidR="00442C33">
        <w:t xml:space="preserve">Additionally, </w:t>
      </w:r>
      <w:r w:rsidRPr="00047311" w:rsidR="00C32062">
        <w:t>Duke</w:t>
      </w:r>
      <w:r w:rsidR="00047311">
        <w:t>’</w:t>
      </w:r>
      <w:r w:rsidRPr="00047311" w:rsidR="00C32062">
        <w:t xml:space="preserve">s program design </w:t>
      </w:r>
      <w:r w:rsidRPr="00047311" w:rsidR="00E55904">
        <w:t>obscures how consumer funds will be used</w:t>
      </w:r>
      <w:r w:rsidRPr="00047311" w:rsidR="00353814">
        <w:t xml:space="preserve"> and </w:t>
      </w:r>
      <w:r w:rsidRPr="00047311" w:rsidR="001378E1">
        <w:t xml:space="preserve">appears </w:t>
      </w:r>
      <w:r w:rsidRPr="00047311" w:rsidR="00E55904">
        <w:t>poorly designed</w:t>
      </w:r>
      <w:r w:rsidRPr="00047311" w:rsidR="00353814">
        <w:t xml:space="preserve">. </w:t>
      </w:r>
      <w:r w:rsidRPr="00047311">
        <w:t>Finally,</w:t>
      </w:r>
      <w:r w:rsidRPr="00047311" w:rsidR="00353814">
        <w:t xml:space="preserve"> the program </w:t>
      </w:r>
      <w:r w:rsidRPr="00047311">
        <w:t>lacks</w:t>
      </w:r>
      <w:r w:rsidRPr="00047311" w:rsidR="00353814">
        <w:t xml:space="preserve"> PUCO oversight. </w:t>
      </w:r>
      <w:r w:rsidRPr="00047311" w:rsidR="00561521">
        <w:t xml:space="preserve">For these reasons, </w:t>
      </w:r>
      <w:r w:rsidRPr="00047311" w:rsidR="00E22570">
        <w:t xml:space="preserve">the </w:t>
      </w:r>
      <w:r w:rsidRPr="00047311" w:rsidR="00FC0FF6">
        <w:t>program</w:t>
      </w:r>
      <w:r w:rsidRPr="00047311" w:rsidR="00E22570">
        <w:t xml:space="preserve"> </w:t>
      </w:r>
      <w:r w:rsidRPr="00047311" w:rsidR="00FC0FF6">
        <w:t xml:space="preserve">as </w:t>
      </w:r>
      <w:r w:rsidRPr="00047311" w:rsidR="00E22570">
        <w:t>proposed needs revisions.</w:t>
      </w:r>
    </w:p>
    <w:p w:rsidR="007F1372" w:rsidRPr="00047311" w:rsidP="006A05D7" w14:paraId="73628E30" w14:textId="14C197D2">
      <w:pPr>
        <w:pStyle w:val="Question1"/>
        <w:spacing w:after="0" w:line="240" w:lineRule="auto"/>
        <w:ind w:left="720" w:hanging="720"/>
      </w:pPr>
      <w:r w:rsidRPr="00047311">
        <w:t>Q</w:t>
      </w:r>
      <w:r w:rsidRPr="00047311" w:rsidR="00236E64">
        <w:t>1</w:t>
      </w:r>
      <w:r w:rsidRPr="00047311" w:rsidR="004535BA">
        <w:t>5</w:t>
      </w:r>
      <w:r w:rsidRPr="00047311">
        <w:t>.</w:t>
      </w:r>
      <w:r w:rsidRPr="00047311" w:rsidR="009C5FEC">
        <w:tab/>
      </w:r>
      <w:r w:rsidRPr="00047311">
        <w:t>Please explain</w:t>
      </w:r>
      <w:r w:rsidRPr="00047311" w:rsidR="00353814">
        <w:t xml:space="preserve"> further why the NES program </w:t>
      </w:r>
      <w:r w:rsidRPr="00047311" w:rsidR="0062228A">
        <w:t>obscures how consumer funds will be used and is poorly designed.</w:t>
      </w:r>
    </w:p>
    <w:p w:rsidR="002B1155" w:rsidRPr="00047311" w:rsidP="006A05D7" w14:paraId="21B6FBA5" w14:textId="30C43CF0">
      <w:pPr>
        <w:pStyle w:val="Question1"/>
        <w:spacing w:after="0" w:line="240" w:lineRule="auto"/>
        <w:ind w:left="720" w:hanging="720"/>
      </w:pPr>
      <w:r w:rsidRPr="00047311">
        <w:t xml:space="preserve"> </w:t>
      </w:r>
    </w:p>
    <w:p w:rsidR="00F359DC" w:rsidRPr="00047311" w:rsidP="003C1FD9" w14:paraId="03340B22" w14:textId="027B2E39">
      <w:pPr>
        <w:pStyle w:val="Answer"/>
        <w:ind w:hanging="720"/>
      </w:pPr>
      <w:r w:rsidRPr="00047311">
        <w:rPr>
          <w:b/>
          <w:i/>
        </w:rPr>
        <w:t>A</w:t>
      </w:r>
      <w:r w:rsidRPr="00047311" w:rsidR="00236E64">
        <w:rPr>
          <w:b/>
          <w:i/>
        </w:rPr>
        <w:t>1</w:t>
      </w:r>
      <w:r w:rsidRPr="00047311" w:rsidR="004535BA">
        <w:rPr>
          <w:b/>
          <w:i/>
        </w:rPr>
        <w:t>5</w:t>
      </w:r>
      <w:r w:rsidRPr="00047311">
        <w:rPr>
          <w:b/>
          <w:i/>
        </w:rPr>
        <w:t>.</w:t>
      </w:r>
      <w:r w:rsidRPr="00047311" w:rsidR="009C5FEC">
        <w:tab/>
      </w:r>
      <w:r w:rsidRPr="00047311" w:rsidR="00353814">
        <w:t>First, D</w:t>
      </w:r>
      <w:r w:rsidRPr="00047311">
        <w:t>uke</w:t>
      </w:r>
      <w:r w:rsidRPr="00047311" w:rsidR="00C820AE">
        <w:t xml:space="preserve"> proposes a </w:t>
      </w:r>
      <w:r w:rsidR="00047311">
        <w:t>“</w:t>
      </w:r>
      <w:r w:rsidRPr="00047311" w:rsidR="00C820AE">
        <w:t>non-traditional approach</w:t>
      </w:r>
      <w:r w:rsidR="00047311">
        <w:t>”</w:t>
      </w:r>
      <w:r>
        <w:rPr>
          <w:rStyle w:val="FootnoteReference"/>
        </w:rPr>
        <w:footnoteReference w:id="22"/>
      </w:r>
      <w:r w:rsidRPr="00047311" w:rsidR="00C820AE">
        <w:t xml:space="preserve"> to </w:t>
      </w:r>
      <w:r w:rsidRPr="00047311">
        <w:t xml:space="preserve">an income-qualified energy efficiency program. The program </w:t>
      </w:r>
      <w:r w:rsidRPr="00047311" w:rsidR="00C820AE">
        <w:t>ser</w:t>
      </w:r>
      <w:r w:rsidRPr="00047311">
        <w:t xml:space="preserve">ves </w:t>
      </w:r>
      <w:r w:rsidRPr="00047311" w:rsidR="00C820AE">
        <w:t>income-qualified consumers in neighborhoods</w:t>
      </w:r>
      <w:r w:rsidRPr="00047311" w:rsidR="00E51E58">
        <w:t xml:space="preserve"> where </w:t>
      </w:r>
      <w:r w:rsidRPr="00047311" w:rsidR="00506484">
        <w:t xml:space="preserve">only </w:t>
      </w:r>
      <w:r w:rsidRPr="00047311" w:rsidR="00E51E58">
        <w:t>50</w:t>
      </w:r>
      <w:r w:rsidRPr="00047311" w:rsidR="00843344">
        <w:t xml:space="preserve"> percent</w:t>
      </w:r>
      <w:r w:rsidRPr="00047311" w:rsidR="00E51E58">
        <w:t xml:space="preserve"> of th</w:t>
      </w:r>
      <w:r w:rsidRPr="00047311" w:rsidR="00BC0DA5">
        <w:t>ose</w:t>
      </w:r>
      <w:r w:rsidRPr="00047311" w:rsidR="00E51E58">
        <w:t xml:space="preserve"> households</w:t>
      </w:r>
      <w:r w:rsidRPr="00047311" w:rsidR="00C820AE">
        <w:t xml:space="preserve"> are at or below </w:t>
      </w:r>
      <w:r w:rsidRPr="00047311" w:rsidR="00E51E58">
        <w:t>200</w:t>
      </w:r>
      <w:r w:rsidRPr="00047311" w:rsidR="00843344">
        <w:t xml:space="preserve"> percent</w:t>
      </w:r>
      <w:r w:rsidRPr="00047311" w:rsidR="00E51E58">
        <w:t xml:space="preserve"> of the </w:t>
      </w:r>
      <w:r w:rsidRPr="00047311" w:rsidR="00843344">
        <w:t>FPL</w:t>
      </w:r>
      <w:r w:rsidRPr="00047311" w:rsidR="00C820AE">
        <w:t xml:space="preserve"> </w:t>
      </w:r>
      <w:r w:rsidRPr="00047311" w:rsidR="00E51E58">
        <w:t>guidelines.</w:t>
      </w:r>
      <w:r w:rsidRPr="00047311" w:rsidR="00696D9F">
        <w:t xml:space="preserve"> This obscures how consumer funds will be used</w:t>
      </w:r>
      <w:r w:rsidRPr="00047311" w:rsidR="001A0970">
        <w:t xml:space="preserve"> because the other 50</w:t>
      </w:r>
      <w:r w:rsidRPr="00047311" w:rsidR="00843344">
        <w:t xml:space="preserve"> percent</w:t>
      </w:r>
      <w:r w:rsidRPr="00047311" w:rsidR="001A0970">
        <w:t xml:space="preserve"> of households in that </w:t>
      </w:r>
      <w:r w:rsidRPr="00047311" w:rsidR="00BC0DA5">
        <w:t>neighborhood</w:t>
      </w:r>
      <w:r w:rsidRPr="00047311" w:rsidR="001A0970">
        <w:t xml:space="preserve"> could include consumers that </w:t>
      </w:r>
      <w:r w:rsidRPr="00047311" w:rsidR="001A0970">
        <w:rPr>
          <w:i/>
          <w:iCs w:val="0"/>
        </w:rPr>
        <w:t>are not</w:t>
      </w:r>
      <w:r w:rsidRPr="00047311" w:rsidR="001A0970">
        <w:t xml:space="preserve"> at or below 200</w:t>
      </w:r>
      <w:r w:rsidRPr="00047311" w:rsidR="00843344">
        <w:t xml:space="preserve"> percent</w:t>
      </w:r>
      <w:r w:rsidRPr="00047311" w:rsidR="001A0970">
        <w:t xml:space="preserve"> of the </w:t>
      </w:r>
      <w:r w:rsidRPr="00047311" w:rsidR="00C820AE">
        <w:t>FPL</w:t>
      </w:r>
      <w:r w:rsidRPr="00047311" w:rsidR="00843344">
        <w:t>.</w:t>
      </w:r>
      <w:r w:rsidRPr="00047311" w:rsidR="00C32062">
        <w:t xml:space="preserve"> As stated by Mr. Duff, while the goal is to serve neighborhoods where most consumers are low-income, the program is available to all Duke Energy customers within the selected </w:t>
      </w:r>
      <w:r w:rsidRPr="00047311" w:rsidR="000932AD">
        <w:t>neighborhood</w:t>
      </w:r>
      <w:r w:rsidRPr="00047311" w:rsidR="00C32062">
        <w:t>.</w:t>
      </w:r>
      <w:r>
        <w:rPr>
          <w:rStyle w:val="FootnoteReference"/>
        </w:rPr>
        <w:footnoteReference w:id="23"/>
      </w:r>
      <w:r w:rsidRPr="00047311" w:rsidR="001A0970">
        <w:t xml:space="preserve"> </w:t>
      </w:r>
      <w:r w:rsidRPr="00047311">
        <w:t>Allowing Duke to</w:t>
      </w:r>
      <w:r w:rsidRPr="00047311" w:rsidR="003735B8">
        <w:t xml:space="preserve"> implement</w:t>
      </w:r>
      <w:r w:rsidRPr="00047311" w:rsidR="000932AD">
        <w:t xml:space="preserve"> programs and services to all consumers within such neighborhoods</w:t>
      </w:r>
      <w:r w:rsidRPr="00047311">
        <w:t xml:space="preserve"> increases the risk that</w:t>
      </w:r>
      <w:r w:rsidRPr="00047311" w:rsidR="00236E64">
        <w:t xml:space="preserve"> consumers who need bill savings the most will not be served. </w:t>
      </w:r>
      <w:r w:rsidRPr="00047311">
        <w:t xml:space="preserve">And </w:t>
      </w:r>
      <w:r w:rsidRPr="00047311" w:rsidR="00506484">
        <w:t>Duke</w:t>
      </w:r>
      <w:r w:rsidR="00047311">
        <w:t>’</w:t>
      </w:r>
      <w:r w:rsidRPr="00047311" w:rsidR="00506484">
        <w:t>s consumers</w:t>
      </w:r>
      <w:r w:rsidRPr="00047311" w:rsidR="00696D9F">
        <w:t xml:space="preserve"> deserve </w:t>
      </w:r>
      <w:r w:rsidRPr="00047311" w:rsidR="001A0970">
        <w:t xml:space="preserve">transparency </w:t>
      </w:r>
      <w:r w:rsidRPr="00047311" w:rsidR="00506484">
        <w:t xml:space="preserve">and assurance that their </w:t>
      </w:r>
      <w:r w:rsidRPr="00047311" w:rsidR="00843344">
        <w:t xml:space="preserve">funding </w:t>
      </w:r>
      <w:r w:rsidRPr="00047311" w:rsidR="00506484">
        <w:t xml:space="preserve">dollars </w:t>
      </w:r>
      <w:r w:rsidRPr="00047311" w:rsidR="00C62F5B">
        <w:t>will be</w:t>
      </w:r>
      <w:r w:rsidRPr="00047311" w:rsidR="005A537F">
        <w:t xml:space="preserve"> used appropriately</w:t>
      </w:r>
      <w:r w:rsidRPr="00047311" w:rsidR="00C62F5B">
        <w:t>.</w:t>
      </w:r>
      <w:r w:rsidRPr="00047311" w:rsidR="00C820AE">
        <w:t xml:space="preserve"> </w:t>
      </w:r>
    </w:p>
    <w:p w:rsidR="0054498A" w:rsidRPr="00047311" w:rsidP="003C1FD9" w14:paraId="2A098990" w14:textId="77777777">
      <w:pPr>
        <w:pStyle w:val="Answer"/>
        <w:spacing w:line="360" w:lineRule="auto"/>
        <w:ind w:hanging="720"/>
      </w:pPr>
    </w:p>
    <w:p w:rsidR="009A52A7" w:rsidP="009A52A7" w14:paraId="055D5CD2" w14:textId="7BF5B12A">
      <w:pPr>
        <w:pStyle w:val="Answer"/>
        <w:ind w:firstLine="0"/>
        <w:rPr>
          <w:bCs w:val="0"/>
          <w:iCs w:val="0"/>
        </w:rPr>
      </w:pPr>
      <w:r w:rsidRPr="00047311">
        <w:t xml:space="preserve">Second, </w:t>
      </w:r>
      <w:r w:rsidRPr="00047311" w:rsidR="002B1155">
        <w:t xml:space="preserve">Duke proposes to re-start the previously offered NES program and add NES 2.0 </w:t>
      </w:r>
      <w:r w:rsidRPr="00047311" w:rsidR="0054498A">
        <w:t xml:space="preserve">which </w:t>
      </w:r>
      <w:r w:rsidRPr="00047311" w:rsidR="002B1155">
        <w:t>has different eligibility requirements. Eligibility for NES</w:t>
      </w:r>
      <w:r w:rsidRPr="00047311" w:rsidR="0054498A">
        <w:t xml:space="preserve"> </w:t>
      </w:r>
      <w:r w:rsidRPr="00047311" w:rsidR="002B1155">
        <w:t>2</w:t>
      </w:r>
      <w:r w:rsidRPr="00047311" w:rsidR="0054498A">
        <w:t>.0</w:t>
      </w:r>
      <w:r w:rsidRPr="00047311" w:rsidR="002B1155">
        <w:t xml:space="preserve"> includes customers that Duke deems high energy user</w:t>
      </w:r>
      <w:r w:rsidRPr="00047311" w:rsidR="00A87601">
        <w:t>s</w:t>
      </w:r>
      <w:r w:rsidRPr="00047311" w:rsidR="0054498A">
        <w:t xml:space="preserve">. Again, </w:t>
      </w:r>
      <w:r w:rsidRPr="00047311" w:rsidR="00843344">
        <w:t>eligibility requirements are loosely defined</w:t>
      </w:r>
      <w:r w:rsidRPr="00047311" w:rsidR="001378E1">
        <w:t>.</w:t>
      </w:r>
      <w:r w:rsidR="00047311">
        <w:t xml:space="preserve"> </w:t>
      </w:r>
      <w:r w:rsidRPr="00047311" w:rsidR="001378E1">
        <w:t xml:space="preserve">This </w:t>
      </w:r>
      <w:r w:rsidRPr="00047311" w:rsidR="0054498A">
        <w:t xml:space="preserve">increases the risk that </w:t>
      </w:r>
      <w:r w:rsidRPr="00047311" w:rsidR="00843344">
        <w:t>low-income</w:t>
      </w:r>
      <w:r w:rsidRPr="00047311" w:rsidR="0054498A">
        <w:t xml:space="preserve"> consumers will not benefit from the program</w:t>
      </w:r>
      <w:r w:rsidRPr="00047311" w:rsidR="00B50EC9">
        <w:t>.</w:t>
      </w:r>
      <w:r w:rsidRPr="00047311" w:rsidR="00353814">
        <w:t xml:space="preserve"> </w:t>
      </w:r>
      <w:r>
        <w:br w:type="page"/>
      </w:r>
    </w:p>
    <w:p w:rsidR="00353814" w:rsidRPr="00047311" w:rsidP="00652F8D" w14:paraId="0502F76E" w14:textId="7FE749C3">
      <w:pPr>
        <w:pStyle w:val="Answer"/>
        <w:spacing w:line="240" w:lineRule="auto"/>
        <w:ind w:hanging="720"/>
        <w:rPr>
          <w:b/>
          <w:bCs w:val="0"/>
          <w:i/>
          <w:iCs w:val="0"/>
        </w:rPr>
      </w:pPr>
      <w:r w:rsidRPr="00047311">
        <w:rPr>
          <w:b/>
          <w:bCs w:val="0"/>
          <w:i/>
          <w:iCs w:val="0"/>
        </w:rPr>
        <w:t>Q</w:t>
      </w:r>
      <w:r w:rsidRPr="00047311" w:rsidR="0049591A">
        <w:rPr>
          <w:b/>
          <w:bCs w:val="0"/>
          <w:i/>
          <w:iCs w:val="0"/>
        </w:rPr>
        <w:t>1</w:t>
      </w:r>
      <w:r w:rsidRPr="00047311" w:rsidR="009E105F">
        <w:rPr>
          <w:b/>
          <w:bCs w:val="0"/>
          <w:i/>
          <w:iCs w:val="0"/>
        </w:rPr>
        <w:t>6</w:t>
      </w:r>
      <w:r w:rsidRPr="00047311">
        <w:rPr>
          <w:b/>
          <w:bCs w:val="0"/>
          <w:i/>
          <w:iCs w:val="0"/>
        </w:rPr>
        <w:t>.</w:t>
      </w:r>
      <w:r w:rsidRPr="00047311" w:rsidR="008D681A">
        <w:rPr>
          <w:b/>
          <w:bCs w:val="0"/>
          <w:i/>
          <w:iCs w:val="0"/>
        </w:rPr>
        <w:tab/>
      </w:r>
      <w:r w:rsidRPr="00047311">
        <w:rPr>
          <w:b/>
          <w:bCs w:val="0"/>
          <w:i/>
          <w:iCs w:val="0"/>
        </w:rPr>
        <w:t>WHAT CHANGES DO YOU RECOMMEND FOR THE ELIGIBILITY REQUIREMENTS?</w:t>
      </w:r>
    </w:p>
    <w:p w:rsidR="00652F8D" w:rsidRPr="00047311" w:rsidP="00652F8D" w14:paraId="603C730B" w14:textId="77777777">
      <w:pPr>
        <w:pStyle w:val="Answer"/>
        <w:spacing w:line="240" w:lineRule="auto"/>
        <w:ind w:hanging="720"/>
        <w:rPr>
          <w:b/>
          <w:bCs w:val="0"/>
          <w:i/>
          <w:iCs w:val="0"/>
        </w:rPr>
      </w:pPr>
    </w:p>
    <w:p w:rsidR="00D93948" w:rsidP="00D93948" w14:paraId="60637D8E" w14:textId="3274570A">
      <w:pPr>
        <w:pStyle w:val="Answer"/>
        <w:ind w:hanging="720"/>
      </w:pPr>
      <w:r w:rsidRPr="00047311">
        <w:rPr>
          <w:b/>
          <w:i/>
        </w:rPr>
        <w:t>A</w:t>
      </w:r>
      <w:r w:rsidRPr="00047311" w:rsidR="0049591A">
        <w:rPr>
          <w:b/>
          <w:i/>
        </w:rPr>
        <w:t>1</w:t>
      </w:r>
      <w:r w:rsidRPr="00047311" w:rsidR="009E105F">
        <w:rPr>
          <w:b/>
          <w:i/>
        </w:rPr>
        <w:t>6</w:t>
      </w:r>
      <w:r w:rsidRPr="00047311">
        <w:rPr>
          <w:b/>
          <w:i/>
        </w:rPr>
        <w:t>.</w:t>
      </w:r>
      <w:r w:rsidRPr="00047311" w:rsidR="008D681A">
        <w:tab/>
      </w:r>
      <w:r w:rsidRPr="00047311">
        <w:t xml:space="preserve">I recommend that the programs and services be limited to consumers who are at or below </w:t>
      </w:r>
      <w:r w:rsidRPr="00047311" w:rsidR="00843344">
        <w:t>200 percent</w:t>
      </w:r>
      <w:r w:rsidRPr="00047311">
        <w:t xml:space="preserve"> of the FPL guidelines.</w:t>
      </w:r>
    </w:p>
    <w:p w:rsidR="009A52A7" w:rsidP="00D93948" w14:paraId="45E870D5" w14:textId="77777777">
      <w:pPr>
        <w:pStyle w:val="Answer"/>
        <w:ind w:hanging="720"/>
        <w:rPr>
          <w:bCs w:val="0"/>
          <w:iCs w:val="0"/>
        </w:rPr>
      </w:pPr>
    </w:p>
    <w:p w:rsidR="00182BB3" w:rsidRPr="00047311" w:rsidP="006A05D7" w14:paraId="266B8495" w14:textId="59B14499">
      <w:pPr>
        <w:pStyle w:val="Question1"/>
        <w:spacing w:after="0" w:line="240" w:lineRule="auto"/>
        <w:ind w:left="720" w:hanging="720"/>
      </w:pPr>
      <w:r w:rsidRPr="00047311">
        <w:t>Q</w:t>
      </w:r>
      <w:r w:rsidRPr="00047311" w:rsidR="004059CB">
        <w:t>1</w:t>
      </w:r>
      <w:r w:rsidRPr="00047311" w:rsidR="009E105F">
        <w:t>7</w:t>
      </w:r>
      <w:r w:rsidRPr="00047311">
        <w:t>.</w:t>
      </w:r>
      <w:r w:rsidRPr="00047311" w:rsidR="008D681A">
        <w:tab/>
      </w:r>
      <w:r w:rsidRPr="00047311">
        <w:t>Why does the NES program need PUCO oversight?</w:t>
      </w:r>
    </w:p>
    <w:p w:rsidR="00071807" w:rsidRPr="00047311" w:rsidP="006A05D7" w14:paraId="610342F1" w14:textId="77777777">
      <w:pPr>
        <w:pStyle w:val="Question1"/>
        <w:spacing w:after="0" w:line="240" w:lineRule="auto"/>
        <w:ind w:left="720" w:hanging="720"/>
      </w:pPr>
    </w:p>
    <w:p w:rsidR="006F7DA7" w:rsidP="006F7DA7" w14:paraId="4582A6E3" w14:textId="18137DDE">
      <w:pPr>
        <w:pStyle w:val="Answer"/>
        <w:ind w:hanging="720"/>
        <w:rPr>
          <w:bCs w:val="0"/>
          <w:iCs w:val="0"/>
        </w:rPr>
      </w:pPr>
      <w:r w:rsidRPr="00047311">
        <w:rPr>
          <w:b/>
          <w:i/>
        </w:rPr>
        <w:t>A</w:t>
      </w:r>
      <w:r w:rsidRPr="00047311" w:rsidR="004059CB">
        <w:rPr>
          <w:b/>
          <w:i/>
        </w:rPr>
        <w:t>1</w:t>
      </w:r>
      <w:r w:rsidRPr="00047311" w:rsidR="009E105F">
        <w:rPr>
          <w:b/>
          <w:i/>
        </w:rPr>
        <w:t>7</w:t>
      </w:r>
      <w:r w:rsidRPr="00047311">
        <w:rPr>
          <w:b/>
          <w:i/>
        </w:rPr>
        <w:t>.</w:t>
      </w:r>
      <w:r w:rsidRPr="00047311" w:rsidR="008D681A">
        <w:tab/>
      </w:r>
      <w:r w:rsidRPr="00047311" w:rsidR="00C6255F">
        <w:t xml:space="preserve">The NES program </w:t>
      </w:r>
      <w:r w:rsidRPr="00047311" w:rsidR="00E55904">
        <w:t>lacks accountability</w:t>
      </w:r>
      <w:r w:rsidRPr="00047311" w:rsidR="0062228A">
        <w:t>, oversight and collaboration</w:t>
      </w:r>
      <w:r w:rsidRPr="00047311" w:rsidR="00E55904">
        <w:t xml:space="preserve">. </w:t>
      </w:r>
      <w:r w:rsidRPr="00047311" w:rsidR="00843344">
        <w:t>Low-i</w:t>
      </w:r>
      <w:r w:rsidRPr="00047311" w:rsidR="001A6ED1">
        <w:t>ncome</w:t>
      </w:r>
      <w:r w:rsidRPr="00047311" w:rsidR="00843344">
        <w:t xml:space="preserve"> energy efficiency</w:t>
      </w:r>
      <w:r w:rsidRPr="00047311" w:rsidR="00E55904">
        <w:t xml:space="preserve"> programs need oversight to include </w:t>
      </w:r>
      <w:r w:rsidRPr="00047311" w:rsidR="00C6255F">
        <w:t>consistent collaboration with</w:t>
      </w:r>
      <w:r w:rsidRPr="00047311" w:rsidR="00E55904">
        <w:t xml:space="preserve"> </w:t>
      </w:r>
      <w:r w:rsidRPr="00047311" w:rsidR="002C5B20">
        <w:t xml:space="preserve">the PUCO </w:t>
      </w:r>
      <w:r w:rsidRPr="00047311" w:rsidR="00E55904">
        <w:t>Staff, OCC and other interested stakeholders</w:t>
      </w:r>
      <w:r w:rsidRPr="00047311" w:rsidR="0062228A">
        <w:t xml:space="preserve"> including the local community action agencies</w:t>
      </w:r>
      <w:r w:rsidRPr="00047311" w:rsidR="00E55904">
        <w:t>.</w:t>
      </w:r>
      <w:r w:rsidRPr="00047311" w:rsidR="00C6255F">
        <w:t xml:space="preserve"> </w:t>
      </w:r>
      <w:r w:rsidRPr="00047311" w:rsidR="0062228A">
        <w:t xml:space="preserve">Additionally, there is </w:t>
      </w:r>
      <w:r w:rsidRPr="00047311" w:rsidR="00B50EC9">
        <w:t>an opportunity</w:t>
      </w:r>
      <w:r w:rsidRPr="00047311" w:rsidR="0062228A">
        <w:t xml:space="preserve"> in a collaborative setting to get input from the local communities</w:t>
      </w:r>
      <w:r w:rsidRPr="00047311" w:rsidR="00843344">
        <w:t>. They could assist in helping Duke maximize savings per household, maximize the number of households served and prioritize consumer funding.</w:t>
      </w:r>
      <w:r w:rsidRPr="00047311" w:rsidR="0062228A">
        <w:t xml:space="preserve"> </w:t>
      </w:r>
      <w:r w:rsidRPr="00047311" w:rsidR="001A6ED1">
        <w:t xml:space="preserve">Challenges faced by </w:t>
      </w:r>
      <w:r w:rsidRPr="00047311" w:rsidR="00843344">
        <w:t>low-</w:t>
      </w:r>
      <w:r w:rsidRPr="00047311" w:rsidR="001A6ED1">
        <w:t>income</w:t>
      </w:r>
      <w:r w:rsidRPr="00047311" w:rsidR="00C6255F">
        <w:t xml:space="preserve"> consumer</w:t>
      </w:r>
      <w:r w:rsidRPr="00047311" w:rsidR="001A6ED1">
        <w:t>s</w:t>
      </w:r>
      <w:r w:rsidRPr="00047311" w:rsidR="00C6255F">
        <w:t xml:space="preserve"> </w:t>
      </w:r>
      <w:r w:rsidRPr="00047311" w:rsidR="001A6ED1">
        <w:t xml:space="preserve">may </w:t>
      </w:r>
      <w:r w:rsidRPr="00047311" w:rsidR="00A15B71">
        <w:t xml:space="preserve">extend to </w:t>
      </w:r>
      <w:r w:rsidRPr="00047311" w:rsidR="00F31D8D">
        <w:t xml:space="preserve">other </w:t>
      </w:r>
      <w:r w:rsidRPr="00047311" w:rsidR="00A15B71">
        <w:t xml:space="preserve">temporary or long-term </w:t>
      </w:r>
      <w:r w:rsidRPr="00047311" w:rsidR="00F31D8D">
        <w:t>factors impacting</w:t>
      </w:r>
      <w:r w:rsidRPr="00047311" w:rsidR="003D72D6">
        <w:t xml:space="preserve"> </w:t>
      </w:r>
      <w:r w:rsidRPr="00047311" w:rsidR="00C6255F">
        <w:t>a person</w:t>
      </w:r>
      <w:r w:rsidR="00047311">
        <w:t>’</w:t>
      </w:r>
      <w:r w:rsidRPr="00047311" w:rsidR="00C6255F">
        <w:t>s</w:t>
      </w:r>
      <w:r w:rsidRPr="00047311" w:rsidR="00C23A51">
        <w:t xml:space="preserve"> </w:t>
      </w:r>
      <w:r w:rsidRPr="00047311" w:rsidR="0045178C">
        <w:t xml:space="preserve">overall </w:t>
      </w:r>
      <w:r w:rsidRPr="00047311" w:rsidR="00C23A51">
        <w:t>economic well-being</w:t>
      </w:r>
      <w:r w:rsidRPr="00047311" w:rsidR="00C6255F">
        <w:t>.</w:t>
      </w:r>
      <w:r w:rsidRPr="00047311" w:rsidR="008A46F6">
        <w:t xml:space="preserve"> Examples include (but are not limited to)</w:t>
      </w:r>
      <w:r w:rsidRPr="00047311" w:rsidR="0045178C">
        <w:t xml:space="preserve"> a</w:t>
      </w:r>
      <w:r w:rsidRPr="00047311" w:rsidR="003D72D6">
        <w:t xml:space="preserve"> </w:t>
      </w:r>
      <w:r w:rsidRPr="00047311" w:rsidR="0045178C">
        <w:t>temporary crisis, long-term unemployment, disability, and food insecurity. For Ohioans, economic well-being is unstable and likely to get worse.</w:t>
      </w:r>
      <w:r>
        <w:rPr>
          <w:rStyle w:val="FootnoteReference"/>
        </w:rPr>
        <w:footnoteReference w:id="24"/>
      </w:r>
      <w:r w:rsidRPr="00047311" w:rsidR="0045178C">
        <w:t xml:space="preserve"> </w:t>
      </w:r>
      <w:r w:rsidRPr="00047311" w:rsidR="002B43BA">
        <w:t xml:space="preserve">Identifying these consumers could </w:t>
      </w:r>
      <w:r w:rsidRPr="00047311" w:rsidR="0045178C">
        <w:t xml:space="preserve">help to </w:t>
      </w:r>
      <w:r w:rsidRPr="00047311" w:rsidR="002B43BA">
        <w:t xml:space="preserve">prioritize </w:t>
      </w:r>
      <w:r w:rsidRPr="00047311" w:rsidR="008A46F6">
        <w:t>funds for the proposed NES program.</w:t>
      </w:r>
      <w:r w:rsidRPr="00047311" w:rsidR="005A537F">
        <w:t xml:space="preserve"> </w:t>
      </w:r>
      <w:r w:rsidRPr="00047311" w:rsidR="008A46F6">
        <w:t xml:space="preserve">And when energy bills are reduced, this frees up money in the family budget </w:t>
      </w:r>
      <w:r w:rsidRPr="00047311" w:rsidR="002B43BA">
        <w:t>for more urgent needs.</w:t>
      </w:r>
      <w:r>
        <w:br w:type="page"/>
      </w:r>
    </w:p>
    <w:p w:rsidR="00D101FF" w:rsidRPr="00047311" w:rsidP="006A05D7" w14:paraId="72664376" w14:textId="1A865FD0">
      <w:pPr>
        <w:pStyle w:val="Question1"/>
        <w:spacing w:after="0" w:line="240" w:lineRule="auto"/>
        <w:ind w:left="720" w:hanging="720"/>
      </w:pPr>
      <w:r w:rsidRPr="00047311">
        <w:t>Q1</w:t>
      </w:r>
      <w:r w:rsidRPr="00047311" w:rsidR="009E105F">
        <w:t>8</w:t>
      </w:r>
      <w:r w:rsidRPr="00047311">
        <w:t>.</w:t>
      </w:r>
      <w:r w:rsidRPr="00047311" w:rsidR="005A7D09">
        <w:tab/>
      </w:r>
      <w:r w:rsidRPr="00047311" w:rsidR="00C6255F">
        <w:t>do you have an example o</w:t>
      </w:r>
      <w:r w:rsidRPr="00047311" w:rsidR="00E55904">
        <w:t xml:space="preserve">f </w:t>
      </w:r>
      <w:r w:rsidRPr="00047311" w:rsidR="0057791A">
        <w:t>other interested stakeholders that should</w:t>
      </w:r>
      <w:r w:rsidRPr="00047311" w:rsidR="00E55904">
        <w:t xml:space="preserve"> be invited to attend the collaborative you propose?</w:t>
      </w:r>
    </w:p>
    <w:p w:rsidR="004059CB" w:rsidRPr="00047311" w:rsidP="005A7D09" w14:paraId="14474653" w14:textId="77777777">
      <w:pPr>
        <w:pStyle w:val="Answer"/>
        <w:spacing w:line="240" w:lineRule="auto"/>
        <w:ind w:hanging="720"/>
      </w:pPr>
    </w:p>
    <w:p w:rsidR="006F7DA7" w:rsidP="006F7DA7" w14:paraId="0FE14F43" w14:textId="697383DE">
      <w:pPr>
        <w:pStyle w:val="Answer"/>
        <w:ind w:hanging="720"/>
        <w:rPr>
          <w:bCs w:val="0"/>
          <w:iCs w:val="0"/>
        </w:rPr>
      </w:pPr>
      <w:r w:rsidRPr="00047311">
        <w:rPr>
          <w:b/>
          <w:i/>
        </w:rPr>
        <w:t>A</w:t>
      </w:r>
      <w:r w:rsidRPr="00047311" w:rsidR="004059CB">
        <w:rPr>
          <w:b/>
          <w:i/>
        </w:rPr>
        <w:t>1</w:t>
      </w:r>
      <w:r w:rsidRPr="00047311" w:rsidR="009E105F">
        <w:rPr>
          <w:b/>
          <w:i/>
        </w:rPr>
        <w:t>8</w:t>
      </w:r>
      <w:r w:rsidRPr="00047311" w:rsidR="00D86E3E">
        <w:rPr>
          <w:b/>
          <w:i/>
        </w:rPr>
        <w:t>.</w:t>
      </w:r>
      <w:r w:rsidRPr="00047311" w:rsidR="005A7D09">
        <w:tab/>
      </w:r>
      <w:r w:rsidRPr="00047311" w:rsidR="00C6255F">
        <w:t>Yes. I</w:t>
      </w:r>
      <w:r w:rsidRPr="00047311" w:rsidR="00695BF7">
        <w:t>n</w:t>
      </w:r>
      <w:r w:rsidRPr="00047311" w:rsidR="005523CB">
        <w:t xml:space="preserve"> </w:t>
      </w:r>
      <w:r w:rsidRPr="00047311" w:rsidR="00695BF7">
        <w:t xml:space="preserve">2020, </w:t>
      </w:r>
      <w:r w:rsidRPr="00047311" w:rsidR="005523CB">
        <w:t>three</w:t>
      </w:r>
      <w:r w:rsidRPr="00047311" w:rsidR="00182BB3">
        <w:t xml:space="preserve"> </w:t>
      </w:r>
      <w:r w:rsidRPr="00047311" w:rsidR="00695BF7">
        <w:t xml:space="preserve">community assistance </w:t>
      </w:r>
      <w:r w:rsidRPr="00047311" w:rsidR="00651F12">
        <w:t>agencies in</w:t>
      </w:r>
      <w:r w:rsidRPr="00047311" w:rsidR="00695BF7">
        <w:t xml:space="preserve"> </w:t>
      </w:r>
      <w:r w:rsidRPr="00047311" w:rsidR="005523CB">
        <w:t>Brown County</w:t>
      </w:r>
      <w:r w:rsidRPr="00047311" w:rsidR="008A46F6">
        <w:t xml:space="preserve"> (2</w:t>
      </w:r>
      <w:r w:rsidRPr="00047311" w:rsidR="00E14F24">
        <w:t>-</w:t>
      </w:r>
      <w:r w:rsidRPr="00047311" w:rsidR="008A46F6">
        <w:t>1</w:t>
      </w:r>
      <w:r w:rsidRPr="00047311" w:rsidR="00E14F24">
        <w:t>-</w:t>
      </w:r>
      <w:r w:rsidRPr="00047311" w:rsidR="008A46F6">
        <w:t>1, Family Service Crisis Center and the Aging and Disability Resource Center of Brown County</w:t>
      </w:r>
      <w:r w:rsidRPr="00047311" w:rsidR="00E14F24">
        <w:t xml:space="preserve"> or </w:t>
      </w:r>
      <w:r w:rsidRPr="00047311" w:rsidR="00FC0FF6">
        <w:t>(</w:t>
      </w:r>
      <w:r w:rsidR="00047311">
        <w:t>“</w:t>
      </w:r>
      <w:r w:rsidRPr="00047311" w:rsidR="00E14F24">
        <w:t>ADRC</w:t>
      </w:r>
      <w:r w:rsidR="00047311">
        <w:t>”</w:t>
      </w:r>
      <w:r w:rsidRPr="00047311" w:rsidR="008A46F6">
        <w:t>)</w:t>
      </w:r>
      <w:r w:rsidRPr="00047311" w:rsidR="00967558">
        <w:t>)</w:t>
      </w:r>
      <w:r w:rsidRPr="00047311" w:rsidR="00695BF7">
        <w:t xml:space="preserve"> </w:t>
      </w:r>
      <w:r w:rsidRPr="00047311" w:rsidR="00651F12">
        <w:t xml:space="preserve">collaborated to </w:t>
      </w:r>
      <w:r w:rsidRPr="00047311" w:rsidR="008A46F6">
        <w:t>study patterns of community needs and service gaps.</w:t>
      </w:r>
      <w:r>
        <w:rPr>
          <w:rStyle w:val="FootnoteReference"/>
        </w:rPr>
        <w:footnoteReference w:id="25"/>
      </w:r>
      <w:r w:rsidRPr="00047311" w:rsidR="008A46F6">
        <w:t xml:space="preserve"> These agencies</w:t>
      </w:r>
      <w:r w:rsidRPr="00047311" w:rsidR="000C20FC">
        <w:t xml:space="preserve"> have direct contact with consumers and</w:t>
      </w:r>
      <w:r w:rsidRPr="00047311" w:rsidR="008A46F6">
        <w:t xml:space="preserve"> participate in database collaboration to </w:t>
      </w:r>
      <w:r w:rsidRPr="00047311" w:rsidR="000C20FC">
        <w:t>identify crisis-related needs</w:t>
      </w:r>
      <w:r w:rsidRPr="00047311" w:rsidR="00E55904">
        <w:t>. Those consumers are then connected</w:t>
      </w:r>
      <w:r w:rsidRPr="00047311" w:rsidR="000C20FC">
        <w:t xml:space="preserve"> to the appropriate resources. </w:t>
      </w:r>
      <w:r w:rsidRPr="00047311" w:rsidR="00E55904">
        <w:t xml:space="preserve">According to their 2020 report, </w:t>
      </w:r>
      <w:r w:rsidRPr="00047311" w:rsidR="00E14F24">
        <w:t>utilities were among the top 10 issues for callers contacting 2-1-1.</w:t>
      </w:r>
      <w:r>
        <w:rPr>
          <w:rStyle w:val="FootnoteReference"/>
        </w:rPr>
        <w:footnoteReference w:id="26"/>
      </w:r>
      <w:r w:rsidRPr="00047311" w:rsidR="00E14F24">
        <w:t xml:space="preserve"> In addition, </w:t>
      </w:r>
      <w:r w:rsidRPr="00047311" w:rsidR="00D86E3E">
        <w:t>e</w:t>
      </w:r>
      <w:r w:rsidRPr="00047311" w:rsidR="00E14F24">
        <w:t>lectric service payment assistance was identified as a service gap.</w:t>
      </w:r>
      <w:r>
        <w:rPr>
          <w:rStyle w:val="FootnoteReference"/>
        </w:rPr>
        <w:footnoteReference w:id="27"/>
      </w:r>
      <w:r w:rsidRPr="00047311" w:rsidR="00E14F24">
        <w:t xml:space="preserve"> </w:t>
      </w:r>
      <w:r w:rsidRPr="00047311" w:rsidR="004545A1">
        <w:t>A service gap</w:t>
      </w:r>
      <w:r w:rsidRPr="00047311" w:rsidR="0096572A">
        <w:t xml:space="preserve"> refers to</w:t>
      </w:r>
      <w:r w:rsidRPr="00047311" w:rsidR="004545A1">
        <w:t xml:space="preserve"> </w:t>
      </w:r>
      <w:r w:rsidRPr="00047311" w:rsidR="0096572A">
        <w:t xml:space="preserve">people living in poverty, without financial or informal supports and struggle to access formal services provided by community agencies to meet their basic needs. </w:t>
      </w:r>
      <w:r w:rsidRPr="00047311" w:rsidR="00170723">
        <w:t xml:space="preserve">Data and first-hand knowledge of consumer </w:t>
      </w:r>
      <w:r w:rsidRPr="00047311" w:rsidR="00843344">
        <w:t>needs</w:t>
      </w:r>
      <w:r w:rsidRPr="00047311" w:rsidR="00170723">
        <w:t xml:space="preserve"> at the local level could provide meaningful input on where consumer-funded dollars are needed most.</w:t>
      </w:r>
      <w:r>
        <w:br w:type="page"/>
      </w:r>
    </w:p>
    <w:p w:rsidR="006A5D78" w:rsidRPr="00047311" w:rsidP="00627EAA" w14:paraId="769976C9" w14:textId="712AE532">
      <w:pPr>
        <w:pStyle w:val="Heading1"/>
        <w:rPr>
          <w:rStyle w:val="AnswerChar"/>
          <w:rFonts w:hAnsi="Times New Roman" w:cs="Times New Roman"/>
          <w:bCs/>
          <w:iCs w:val="0"/>
        </w:rPr>
      </w:pPr>
      <w:bookmarkStart w:id="8" w:name="_Toc178343809"/>
      <w:bookmarkStart w:id="9" w:name="_Toc181176101"/>
      <w:r w:rsidRPr="00047311">
        <w:rPr>
          <w:rStyle w:val="AnswerChar"/>
          <w:rFonts w:hAnsi="Times New Roman" w:cs="Times New Roman"/>
          <w:bCs/>
          <w:iCs w:val="0"/>
        </w:rPr>
        <w:t>V.</w:t>
      </w:r>
      <w:r w:rsidRPr="00047311" w:rsidR="005A7D09">
        <w:rPr>
          <w:rStyle w:val="AnswerChar"/>
          <w:rFonts w:hAnsi="Times New Roman" w:cs="Times New Roman"/>
          <w:bCs/>
          <w:iCs w:val="0"/>
        </w:rPr>
        <w:tab/>
      </w:r>
      <w:r w:rsidRPr="00047311">
        <w:rPr>
          <w:rStyle w:val="AnswerChar"/>
          <w:rFonts w:hAnsi="Times New Roman" w:cs="Times New Roman"/>
          <w:bCs/>
          <w:iCs w:val="0"/>
        </w:rPr>
        <w:t>DECOUPLING RIDER</w:t>
      </w:r>
      <w:bookmarkEnd w:id="8"/>
      <w:bookmarkEnd w:id="9"/>
    </w:p>
    <w:p w:rsidR="0003793D" w:rsidRPr="00047311" w:rsidP="00AA3ADB" w14:paraId="4A32F896" w14:textId="77777777">
      <w:pPr>
        <w:spacing w:line="480" w:lineRule="auto"/>
      </w:pPr>
    </w:p>
    <w:p w:rsidR="006963EC" w:rsidRPr="00047311" w:rsidP="006A05D7" w14:paraId="0504113D" w14:textId="7E8B64A5">
      <w:pPr>
        <w:pStyle w:val="NormalWeb"/>
        <w:shd w:val="clear" w:color="auto" w:fill="FFFFFF"/>
        <w:spacing w:before="0" w:beforeAutospacing="0" w:after="0" w:afterAutospacing="0"/>
        <w:ind w:left="720" w:hanging="720"/>
        <w:textAlignment w:val="baseline"/>
        <w:rPr>
          <w:b/>
          <w:bCs/>
          <w:i/>
          <w:iCs/>
        </w:rPr>
      </w:pPr>
      <w:r w:rsidRPr="00047311">
        <w:rPr>
          <w:b/>
          <w:bCs/>
          <w:i/>
          <w:iCs/>
        </w:rPr>
        <w:t>Q</w:t>
      </w:r>
      <w:r w:rsidRPr="00047311" w:rsidR="004059CB">
        <w:rPr>
          <w:b/>
          <w:bCs/>
          <w:i/>
          <w:iCs/>
        </w:rPr>
        <w:t>1</w:t>
      </w:r>
      <w:r w:rsidRPr="00047311" w:rsidR="0069210A">
        <w:rPr>
          <w:b/>
          <w:bCs/>
          <w:i/>
          <w:iCs/>
        </w:rPr>
        <w:t>9</w:t>
      </w:r>
      <w:r w:rsidRPr="00047311">
        <w:rPr>
          <w:b/>
          <w:bCs/>
          <w:i/>
          <w:iCs/>
        </w:rPr>
        <w:t>.</w:t>
      </w:r>
      <w:r w:rsidRPr="00047311">
        <w:rPr>
          <w:b/>
          <w:bCs/>
          <w:i/>
          <w:iCs/>
        </w:rPr>
        <w:tab/>
        <w:t>PLEASE EXPLAIN DUKE</w:t>
      </w:r>
      <w:r w:rsidR="00047311">
        <w:rPr>
          <w:b/>
          <w:bCs/>
          <w:i/>
          <w:iCs/>
        </w:rPr>
        <w:t>’</w:t>
      </w:r>
      <w:r w:rsidRPr="00047311">
        <w:rPr>
          <w:b/>
          <w:bCs/>
          <w:i/>
          <w:iCs/>
        </w:rPr>
        <w:t>S PROPOSAL TO CONTINUE ITS EXISTING DISTRIBUTION DECOUPLING RIDER</w:t>
      </w:r>
      <w:r w:rsidRPr="00047311" w:rsidR="00785E05">
        <w:rPr>
          <w:b/>
          <w:bCs/>
          <w:i/>
          <w:iCs/>
        </w:rPr>
        <w:t>.</w:t>
      </w:r>
    </w:p>
    <w:p w:rsidR="00AA3ADB" w:rsidRPr="00047311" w:rsidP="006A05D7" w14:paraId="052CEA16" w14:textId="77777777">
      <w:pPr>
        <w:pStyle w:val="NormalWeb"/>
        <w:shd w:val="clear" w:color="auto" w:fill="FFFFFF"/>
        <w:spacing w:before="0" w:beforeAutospacing="0" w:after="0" w:afterAutospacing="0"/>
        <w:ind w:left="720" w:hanging="720"/>
        <w:textAlignment w:val="baseline"/>
        <w:rPr>
          <w:b/>
          <w:bCs/>
          <w:i/>
          <w:iCs/>
        </w:rPr>
      </w:pPr>
    </w:p>
    <w:p w:rsidR="00F22BB8" w:rsidP="00F22BB8" w14:paraId="5B0E7377" w14:textId="491FF78F">
      <w:pPr>
        <w:pStyle w:val="NormalWeb"/>
        <w:shd w:val="clear" w:color="auto" w:fill="FFFFFF"/>
        <w:spacing w:before="0" w:beforeAutospacing="0" w:after="0" w:afterAutospacing="0" w:line="480" w:lineRule="auto"/>
        <w:ind w:left="720" w:hanging="720"/>
        <w:textAlignment w:val="baseline"/>
      </w:pPr>
      <w:r w:rsidRPr="00047311">
        <w:rPr>
          <w:b/>
          <w:bCs/>
          <w:i/>
          <w:iCs/>
        </w:rPr>
        <w:t>A</w:t>
      </w:r>
      <w:r w:rsidRPr="00047311" w:rsidR="004059CB">
        <w:rPr>
          <w:b/>
          <w:bCs/>
          <w:i/>
          <w:iCs/>
        </w:rPr>
        <w:t>1</w:t>
      </w:r>
      <w:r w:rsidRPr="00047311" w:rsidR="0069210A">
        <w:rPr>
          <w:b/>
          <w:bCs/>
          <w:i/>
          <w:iCs/>
        </w:rPr>
        <w:t>9</w:t>
      </w:r>
      <w:r w:rsidRPr="00047311">
        <w:rPr>
          <w:b/>
          <w:bCs/>
          <w:i/>
          <w:iCs/>
        </w:rPr>
        <w:t>.</w:t>
      </w:r>
      <w:r w:rsidRPr="00047311">
        <w:tab/>
        <w:t>Duke proposes to continue its existing Distribution Decoupling Rider (</w:t>
      </w:r>
      <w:r w:rsidR="00047311">
        <w:t>“</w:t>
      </w:r>
      <w:r w:rsidRPr="00047311">
        <w:t>Rider DDR</w:t>
      </w:r>
      <w:r w:rsidR="00047311">
        <w:t>”</w:t>
      </w:r>
      <w:r w:rsidRPr="00047311">
        <w:t>)</w:t>
      </w:r>
      <w:r w:rsidRPr="00047311" w:rsidR="009C443F">
        <w:t xml:space="preserve"> with one modification</w:t>
      </w:r>
      <w:r w:rsidRPr="00047311">
        <w:t>.</w:t>
      </w:r>
      <w:r w:rsidRPr="00047311" w:rsidR="00885EE7">
        <w:t xml:space="preserve"> </w:t>
      </w:r>
      <w:r w:rsidRPr="00047311">
        <w:t xml:space="preserve">Duke witness Amy Spiller discusses this proposal in her testimony. </w:t>
      </w:r>
      <w:r w:rsidRPr="00047311" w:rsidR="000C20FC">
        <w:t>Ms. Spiller proposes to modify Rider DDR to include adjustments for weather.</w:t>
      </w:r>
      <w:r>
        <w:rPr>
          <w:rStyle w:val="FootnoteReference"/>
        </w:rPr>
        <w:footnoteReference w:id="28"/>
      </w:r>
      <w:r w:rsidR="00047311">
        <w:t xml:space="preserve"> </w:t>
      </w:r>
      <w:r w:rsidRPr="00047311" w:rsidR="002B1547">
        <w:t>Ms. Spiller states that the rider allows it to mitigate revenue erosion that may result from reduced revenues which could be a result of energy efficiency measures.</w:t>
      </w:r>
      <w:r>
        <w:rPr>
          <w:rStyle w:val="FootnoteReference"/>
        </w:rPr>
        <w:footnoteReference w:id="29"/>
      </w:r>
      <w:r w:rsidR="00047311">
        <w:t xml:space="preserve"> </w:t>
      </w:r>
    </w:p>
    <w:p w:rsidR="000A7687" w:rsidRPr="00047311" w:rsidP="00F22BB8" w14:paraId="5FB38432" w14:textId="77777777">
      <w:pPr>
        <w:pStyle w:val="NormalWeb"/>
        <w:shd w:val="clear" w:color="auto" w:fill="FFFFFF"/>
        <w:spacing w:before="0" w:beforeAutospacing="0" w:after="0" w:afterAutospacing="0" w:line="480" w:lineRule="auto"/>
        <w:ind w:left="720" w:hanging="720"/>
        <w:textAlignment w:val="baseline"/>
      </w:pPr>
    </w:p>
    <w:p w:rsidR="00957956" w:rsidRPr="00047311" w:rsidP="0060473C" w14:paraId="0C3CFF06" w14:textId="40338069">
      <w:pPr>
        <w:pStyle w:val="NormalWeb"/>
        <w:spacing w:before="0" w:beforeAutospacing="0" w:after="0" w:afterAutospacing="0" w:line="480" w:lineRule="auto"/>
        <w:ind w:left="720" w:hanging="720"/>
        <w:rPr>
          <w:b/>
          <w:bCs/>
          <w:i/>
          <w:iCs/>
        </w:rPr>
      </w:pPr>
      <w:r w:rsidRPr="00047311">
        <w:rPr>
          <w:b/>
          <w:bCs/>
          <w:i/>
          <w:iCs/>
        </w:rPr>
        <w:t>Q</w:t>
      </w:r>
      <w:r w:rsidRPr="00047311" w:rsidR="0069210A">
        <w:rPr>
          <w:b/>
          <w:bCs/>
          <w:i/>
          <w:iCs/>
        </w:rPr>
        <w:t>20</w:t>
      </w:r>
      <w:r w:rsidRPr="00047311">
        <w:rPr>
          <w:b/>
          <w:bCs/>
          <w:i/>
          <w:iCs/>
        </w:rPr>
        <w:t>.</w:t>
      </w:r>
      <w:r w:rsidRPr="00047311" w:rsidR="00A34C1B">
        <w:rPr>
          <w:b/>
          <w:bCs/>
          <w:i/>
          <w:iCs/>
        </w:rPr>
        <w:tab/>
      </w:r>
      <w:r w:rsidRPr="00047311">
        <w:rPr>
          <w:b/>
          <w:bCs/>
          <w:i/>
          <w:iCs/>
        </w:rPr>
        <w:t>PLEASE EXPLAIN THE BACKGROUND OF RIDER DDR.</w:t>
      </w:r>
    </w:p>
    <w:p w:rsidR="006F7DA7" w:rsidP="006F7DA7" w14:paraId="312C1EA8" w14:textId="6F5B7922">
      <w:pPr>
        <w:pStyle w:val="Answer"/>
        <w:ind w:hanging="720"/>
        <w:rPr>
          <w:bCs w:val="0"/>
          <w:iCs w:val="0"/>
        </w:rPr>
      </w:pPr>
      <w:r w:rsidRPr="00047311">
        <w:rPr>
          <w:b/>
          <w:i/>
        </w:rPr>
        <w:t>A</w:t>
      </w:r>
      <w:r w:rsidRPr="00047311" w:rsidR="0069210A">
        <w:rPr>
          <w:b/>
          <w:i/>
        </w:rPr>
        <w:t>20</w:t>
      </w:r>
      <w:r w:rsidRPr="00047311">
        <w:rPr>
          <w:b/>
          <w:i/>
        </w:rPr>
        <w:t>.</w:t>
      </w:r>
      <w:r w:rsidRPr="00047311" w:rsidR="00A34C1B">
        <w:tab/>
      </w:r>
      <w:r w:rsidRPr="00047311" w:rsidR="00957956">
        <w:t xml:space="preserve">Rider DDR was originally approved as a </w:t>
      </w:r>
      <w:r w:rsidR="00047311">
        <w:t>“</w:t>
      </w:r>
      <w:r w:rsidRPr="00047311" w:rsidR="00957956">
        <w:t>placeholder</w:t>
      </w:r>
      <w:r w:rsidR="00047311">
        <w:t>”</w:t>
      </w:r>
      <w:r w:rsidRPr="00047311" w:rsidR="00957956">
        <w:t xml:space="preserve"> rider in Duke</w:t>
      </w:r>
      <w:r w:rsidR="00047311">
        <w:t>’</w:t>
      </w:r>
      <w:r w:rsidRPr="00047311" w:rsidR="00957956">
        <w:t>s second electric security plan case in Case No. 11-3549-EL-SSO (</w:t>
      </w:r>
      <w:r w:rsidR="00047311">
        <w:t>“</w:t>
      </w:r>
      <w:r w:rsidRPr="00047311" w:rsidR="00957956">
        <w:t>ESP II</w:t>
      </w:r>
      <w:r w:rsidR="00047311">
        <w:t>”</w:t>
      </w:r>
      <w:r w:rsidRPr="00047311" w:rsidR="00957956">
        <w:t>)</w:t>
      </w:r>
      <w:r>
        <w:rPr>
          <w:rStyle w:val="FootnoteReference"/>
        </w:rPr>
        <w:footnoteReference w:id="30"/>
      </w:r>
      <w:r w:rsidRPr="00047311" w:rsidR="00B24D96">
        <w:t xml:space="preserve"> to</w:t>
      </w:r>
      <w:r w:rsidRPr="00047311" w:rsidR="00681566">
        <w:t xml:space="preserve"> adjust rates between </w:t>
      </w:r>
      <w:r w:rsidRPr="00047311" w:rsidR="00B24D96">
        <w:t xml:space="preserve">rate cases to remove the throughput incentive related to its energy efficiency programs. </w:t>
      </w:r>
      <w:r>
        <w:br w:type="page"/>
      </w:r>
    </w:p>
    <w:p w:rsidR="00B23973" w:rsidRPr="00047311" w:rsidP="000A7687" w14:paraId="5C385D62" w14:textId="64442D89">
      <w:pPr>
        <w:pStyle w:val="Answer"/>
        <w:ind w:firstLine="0"/>
      </w:pPr>
      <w:r w:rsidRPr="00047311">
        <w:t>The placeholder rider was approved as part of a settlement.</w:t>
      </w:r>
      <w:r w:rsidR="00047311">
        <w:t xml:space="preserve"> </w:t>
      </w:r>
      <w:r w:rsidRPr="00047311">
        <w:t xml:space="preserve">Then in Case No. 11-5905-EL-RDR, </w:t>
      </w:r>
      <w:r w:rsidRPr="00047311" w:rsidR="00036476">
        <w:t>t</w:t>
      </w:r>
      <w:r w:rsidRPr="00047311">
        <w:t>he PUCO</w:t>
      </w:r>
      <w:r w:rsidRPr="00047311" w:rsidR="00036476">
        <w:t xml:space="preserve"> </w:t>
      </w:r>
      <w:r w:rsidRPr="00047311">
        <w:t xml:space="preserve">approved a </w:t>
      </w:r>
      <w:r w:rsidRPr="00047311" w:rsidR="00500B5E">
        <w:t xml:space="preserve">three-year distribution </w:t>
      </w:r>
      <w:r w:rsidRPr="00047311">
        <w:t xml:space="preserve">decoupling </w:t>
      </w:r>
      <w:r w:rsidRPr="00047311" w:rsidR="00500B5E">
        <w:t>rider (January 1, 2</w:t>
      </w:r>
      <w:r w:rsidR="00525F9E">
        <w:t>0</w:t>
      </w:r>
      <w:r w:rsidRPr="00047311" w:rsidR="00500B5E">
        <w:t>12</w:t>
      </w:r>
      <w:r w:rsidRPr="00047311" w:rsidR="00B629DE">
        <w:t xml:space="preserve"> through </w:t>
      </w:r>
      <w:r w:rsidRPr="00047311" w:rsidR="00500B5E">
        <w:t>December 31, 2014</w:t>
      </w:r>
      <w:r w:rsidR="00BE6E2D">
        <w:t>)</w:t>
      </w:r>
      <w:r w:rsidRPr="00047311" w:rsidR="00036476">
        <w:t>.</w:t>
      </w:r>
      <w:r>
        <w:rPr>
          <w:rStyle w:val="FootnoteReference"/>
        </w:rPr>
        <w:footnoteReference w:id="31"/>
      </w:r>
    </w:p>
    <w:p w:rsidR="000A7687" w:rsidP="000A7687" w14:paraId="20E99A00" w14:textId="77777777">
      <w:pPr>
        <w:pStyle w:val="Answer"/>
        <w:ind w:hanging="720"/>
      </w:pPr>
    </w:p>
    <w:p w:rsidR="00AE0CA3" w:rsidRPr="00047311" w:rsidP="000A7687" w14:paraId="33E7AD79" w14:textId="39F68666">
      <w:pPr>
        <w:pStyle w:val="Answer"/>
        <w:ind w:firstLine="0"/>
      </w:pPr>
      <w:r w:rsidRPr="00047311">
        <w:t xml:space="preserve">The </w:t>
      </w:r>
      <w:r w:rsidR="001B19F7">
        <w:t>PUCO</w:t>
      </w:r>
      <w:r w:rsidRPr="00047311">
        <w:t xml:space="preserve"> continued Rider DDR beyond 2014 in Duke</w:t>
      </w:r>
      <w:r w:rsidR="00047311">
        <w:t>’</w:t>
      </w:r>
      <w:r w:rsidRPr="00047311">
        <w:t xml:space="preserve">s ESP III </w:t>
      </w:r>
      <w:r w:rsidRPr="00047311" w:rsidR="00EA4244">
        <w:t xml:space="preserve">application on the basis that the rider allows Duke to help </w:t>
      </w:r>
      <w:r w:rsidR="00C63AA9">
        <w:t>consumers</w:t>
      </w:r>
      <w:r w:rsidRPr="00047311" w:rsidR="00EA4244">
        <w:t xml:space="preserve"> become more energy efficient</w:t>
      </w:r>
      <w:r w:rsidRPr="00047311" w:rsidR="00BF4D8B">
        <w:t>.</w:t>
      </w:r>
      <w:r>
        <w:rPr>
          <w:rStyle w:val="FootnoteReference"/>
        </w:rPr>
        <w:footnoteReference w:id="32"/>
      </w:r>
      <w:r w:rsidRPr="00047311">
        <w:t xml:space="preserve"> </w:t>
      </w:r>
      <w:r w:rsidRPr="00047311" w:rsidR="00BF4D8B">
        <w:t>Rider DDR was again continued in Duke</w:t>
      </w:r>
      <w:r w:rsidR="00047311">
        <w:t>’</w:t>
      </w:r>
      <w:r w:rsidRPr="00047311" w:rsidR="00BF4D8B">
        <w:t xml:space="preserve">s </w:t>
      </w:r>
      <w:r w:rsidRPr="00047311">
        <w:t>ESP IV</w:t>
      </w:r>
      <w:r w:rsidRPr="00047311" w:rsidR="00B24D96">
        <w:t xml:space="preserve"> case</w:t>
      </w:r>
      <w:r w:rsidRPr="00047311">
        <w:t>.</w:t>
      </w:r>
      <w:r>
        <w:rPr>
          <w:rStyle w:val="FootnoteReference"/>
        </w:rPr>
        <w:footnoteReference w:id="33"/>
      </w:r>
      <w:r w:rsidR="00047311">
        <w:t xml:space="preserve"> </w:t>
      </w:r>
      <w:r w:rsidRPr="00047311" w:rsidR="00AC74DC">
        <w:t>The PUCO</w:t>
      </w:r>
      <w:r w:rsidR="002135C8">
        <w:t>’s</w:t>
      </w:r>
      <w:r w:rsidRPr="00047311" w:rsidR="00AC74DC">
        <w:t xml:space="preserve"> approval was again premised upon the decoupling being linked to energy efficiency.</w:t>
      </w:r>
      <w:r w:rsidR="00047311">
        <w:t xml:space="preserve"> </w:t>
      </w:r>
    </w:p>
    <w:p w:rsidR="000D7F97" w:rsidRPr="00047311" w:rsidP="000D7F97" w14:paraId="3E7A3907" w14:textId="77777777">
      <w:pPr>
        <w:pStyle w:val="Answer"/>
        <w:ind w:hanging="720"/>
      </w:pPr>
    </w:p>
    <w:p w:rsidR="00957956" w:rsidRPr="00047311" w:rsidP="000D7F97" w14:paraId="3FB76D7C" w14:textId="10C719D7">
      <w:pPr>
        <w:pStyle w:val="NormalWeb"/>
        <w:spacing w:before="0" w:beforeAutospacing="0" w:after="0" w:afterAutospacing="0" w:line="480" w:lineRule="auto"/>
        <w:ind w:left="720" w:hanging="720"/>
        <w:rPr>
          <w:b/>
          <w:bCs/>
          <w:i/>
          <w:iCs/>
        </w:rPr>
      </w:pPr>
      <w:r w:rsidRPr="00047311">
        <w:rPr>
          <w:b/>
          <w:bCs/>
          <w:i/>
          <w:iCs/>
        </w:rPr>
        <w:t>Q2</w:t>
      </w:r>
      <w:r w:rsidRPr="00047311" w:rsidR="0064196F">
        <w:rPr>
          <w:b/>
          <w:bCs/>
          <w:i/>
          <w:iCs/>
        </w:rPr>
        <w:t>1</w:t>
      </w:r>
      <w:r w:rsidRPr="00047311">
        <w:rPr>
          <w:b/>
          <w:bCs/>
          <w:i/>
          <w:iCs/>
        </w:rPr>
        <w:t>.</w:t>
      </w:r>
      <w:r w:rsidRPr="00047311" w:rsidR="00A34C1B">
        <w:rPr>
          <w:b/>
          <w:bCs/>
          <w:i/>
          <w:iCs/>
        </w:rPr>
        <w:tab/>
      </w:r>
      <w:r w:rsidRPr="00047311">
        <w:rPr>
          <w:b/>
          <w:bCs/>
          <w:i/>
          <w:iCs/>
        </w:rPr>
        <w:t>WHAT IS YOUR RECOMMENDATION FOR RIDER DDR?</w:t>
      </w:r>
    </w:p>
    <w:p w:rsidR="009305EA" w:rsidP="009305EA" w14:paraId="1E42272B" w14:textId="5B06738D">
      <w:pPr>
        <w:pStyle w:val="Answer"/>
        <w:ind w:hanging="720"/>
        <w:rPr>
          <w:rStyle w:val="AnswerChar"/>
          <w:rFonts w:hAnsi="Times New Roman" w:cs="Times New Roman"/>
        </w:rPr>
      </w:pPr>
      <w:r w:rsidRPr="00047311">
        <w:rPr>
          <w:rStyle w:val="AnswerChar"/>
          <w:rFonts w:hAnsi="Times New Roman" w:cs="Times New Roman"/>
          <w:b/>
          <w:bCs/>
          <w:i/>
          <w:iCs/>
        </w:rPr>
        <w:t>A2</w:t>
      </w:r>
      <w:r w:rsidRPr="00047311" w:rsidR="0064196F">
        <w:rPr>
          <w:rStyle w:val="AnswerChar"/>
          <w:rFonts w:hAnsi="Times New Roman" w:cs="Times New Roman"/>
          <w:b/>
          <w:bCs/>
          <w:i/>
          <w:iCs/>
        </w:rPr>
        <w:t>1</w:t>
      </w:r>
      <w:r w:rsidRPr="00047311">
        <w:rPr>
          <w:rStyle w:val="AnswerChar"/>
          <w:rFonts w:hAnsi="Times New Roman" w:cs="Times New Roman"/>
          <w:b/>
          <w:bCs/>
          <w:i/>
          <w:iCs/>
        </w:rPr>
        <w:t>.</w:t>
      </w:r>
      <w:r w:rsidRPr="00047311" w:rsidR="00A34C1B">
        <w:rPr>
          <w:rStyle w:val="AnswerChar"/>
          <w:rFonts w:hAnsi="Times New Roman" w:cs="Times New Roman"/>
        </w:rPr>
        <w:tab/>
      </w:r>
      <w:r w:rsidRPr="00047311" w:rsidR="00957956">
        <w:rPr>
          <w:rStyle w:val="AnswerChar"/>
          <w:rFonts w:hAnsi="Times New Roman" w:cs="Times New Roman"/>
        </w:rPr>
        <w:t>The PUCO should reject Duke</w:t>
      </w:r>
      <w:r w:rsidR="00047311">
        <w:rPr>
          <w:rStyle w:val="AnswerChar"/>
          <w:rFonts w:hAnsi="Times New Roman" w:cs="Times New Roman"/>
        </w:rPr>
        <w:t>’</w:t>
      </w:r>
      <w:r w:rsidRPr="00047311" w:rsidR="00957956">
        <w:rPr>
          <w:rStyle w:val="AnswerChar"/>
          <w:rFonts w:hAnsi="Times New Roman" w:cs="Times New Roman"/>
        </w:rPr>
        <w:t>s proposal to continue Rider DDR because the PUCO</w:t>
      </w:r>
      <w:r w:rsidR="00047311">
        <w:rPr>
          <w:rStyle w:val="AnswerChar"/>
          <w:rFonts w:hAnsi="Times New Roman" w:cs="Times New Roman"/>
        </w:rPr>
        <w:t>’</w:t>
      </w:r>
      <w:r w:rsidRPr="00047311" w:rsidR="00957956">
        <w:rPr>
          <w:rStyle w:val="AnswerChar"/>
          <w:rFonts w:hAnsi="Times New Roman" w:cs="Times New Roman"/>
        </w:rPr>
        <w:t>s original rationale for approving Rider DDR</w:t>
      </w:r>
      <w:r w:rsidRPr="00047311" w:rsidR="00167B51">
        <w:rPr>
          <w:rStyle w:val="AnswerChar"/>
          <w:rFonts w:hAnsi="Times New Roman" w:cs="Times New Roman"/>
        </w:rPr>
        <w:t xml:space="preserve"> no longer exists. </w:t>
      </w:r>
      <w:r w:rsidRPr="00047311" w:rsidR="00AA3EE9">
        <w:rPr>
          <w:rStyle w:val="AnswerChar"/>
          <w:rFonts w:hAnsi="Times New Roman" w:cs="Times New Roman"/>
        </w:rPr>
        <w:t>R.C. 4928.66(G) terminated Ohio</w:t>
      </w:r>
      <w:r w:rsidR="00047311">
        <w:rPr>
          <w:rStyle w:val="AnswerChar"/>
          <w:rFonts w:hAnsi="Times New Roman" w:cs="Times New Roman"/>
        </w:rPr>
        <w:t>’</w:t>
      </w:r>
      <w:r w:rsidRPr="00047311" w:rsidR="00AA3EE9">
        <w:rPr>
          <w:rStyle w:val="AnswerChar"/>
          <w:rFonts w:hAnsi="Times New Roman" w:cs="Times New Roman"/>
        </w:rPr>
        <w:t>s annual energy efficiency savings requirements effective October 22, 2019.</w:t>
      </w:r>
      <w:r w:rsidRPr="00047311" w:rsidR="00885EE7">
        <w:rPr>
          <w:rStyle w:val="AnswerChar"/>
          <w:rFonts w:hAnsi="Times New Roman" w:cs="Times New Roman"/>
        </w:rPr>
        <w:t xml:space="preserve"> </w:t>
      </w:r>
      <w:bookmarkStart w:id="10" w:name="_Hlk178345243"/>
      <w:bookmarkStart w:id="11" w:name="_Hlk179986849"/>
      <w:r w:rsidRPr="00047311" w:rsidR="00167B51">
        <w:rPr>
          <w:rStyle w:val="AnswerChar"/>
          <w:rFonts w:hAnsi="Times New Roman" w:cs="Times New Roman"/>
        </w:rPr>
        <w:t>On November 1</w:t>
      </w:r>
      <w:r w:rsidR="006F6F59">
        <w:rPr>
          <w:rStyle w:val="AnswerChar"/>
          <w:rFonts w:hAnsi="Times New Roman" w:cs="Times New Roman"/>
        </w:rPr>
        <w:t>8</w:t>
      </w:r>
      <w:r w:rsidRPr="00047311" w:rsidR="00167B51">
        <w:rPr>
          <w:rStyle w:val="AnswerChar"/>
          <w:rFonts w:hAnsi="Times New Roman" w:cs="Times New Roman"/>
        </w:rPr>
        <w:t xml:space="preserve">, 2020, </w:t>
      </w:r>
      <w:r w:rsidRPr="00047311" w:rsidR="00FB4847">
        <w:rPr>
          <w:rStyle w:val="AnswerChar"/>
          <w:rFonts w:hAnsi="Times New Roman" w:cs="Times New Roman"/>
        </w:rPr>
        <w:t xml:space="preserve">the PUCO directed each utility </w:t>
      </w:r>
      <w:r w:rsidRPr="00047311" w:rsidR="00167B51">
        <w:rPr>
          <w:rStyle w:val="AnswerChar"/>
          <w:rFonts w:hAnsi="Times New Roman" w:cs="Times New Roman"/>
        </w:rPr>
        <w:t>to terminate their respective EE/PDR cost recovery riders effective January 1, 2021, subject to final reconciliation.</w:t>
      </w:r>
      <w:bookmarkEnd w:id="10"/>
      <w:bookmarkEnd w:id="11"/>
      <w:r>
        <w:rPr>
          <w:rStyle w:val="FootnoteReference"/>
          <w:bCs w:val="0"/>
          <w:iCs w:val="0"/>
          <w:color w:val="000000"/>
          <w:u w:color="000000"/>
        </w:rPr>
        <w:footnoteReference w:id="34"/>
      </w:r>
    </w:p>
    <w:p w:rsidR="00236584" w:rsidP="009305EA" w14:paraId="1E9EB659" w14:textId="77777777">
      <w:pPr>
        <w:pStyle w:val="Answer"/>
        <w:ind w:hanging="720"/>
        <w:rPr>
          <w:rStyle w:val="AnswerChar"/>
          <w:rFonts w:hAnsi="Times New Roman" w:cs="Times New Roman"/>
          <w:bCs/>
          <w:iCs/>
        </w:rPr>
      </w:pPr>
    </w:p>
    <w:p w:rsidR="001378E1" w:rsidRPr="00047311" w:rsidP="00D12C92" w14:paraId="16517A1D" w14:textId="75BBD8DD">
      <w:pPr>
        <w:pStyle w:val="Answer"/>
        <w:ind w:firstLine="0"/>
        <w:rPr>
          <w:rStyle w:val="AnswerChar"/>
          <w:rFonts w:hAnsi="Times New Roman" w:cs="Times New Roman"/>
        </w:rPr>
      </w:pPr>
      <w:r w:rsidRPr="00047311">
        <w:rPr>
          <w:rStyle w:val="AnswerChar"/>
          <w:rFonts w:hAnsi="Times New Roman" w:cs="Times New Roman"/>
        </w:rPr>
        <w:t>Duke</w:t>
      </w:r>
      <w:r w:rsidR="00047311">
        <w:rPr>
          <w:rStyle w:val="AnswerChar"/>
          <w:rFonts w:hAnsi="Times New Roman" w:cs="Times New Roman"/>
        </w:rPr>
        <w:t>’</w:t>
      </w:r>
      <w:r w:rsidRPr="00047311">
        <w:rPr>
          <w:rStyle w:val="AnswerChar"/>
          <w:rFonts w:hAnsi="Times New Roman" w:cs="Times New Roman"/>
        </w:rPr>
        <w:t>s proposal under Rider DDR is merely an attempt to recession-proof the utility.</w:t>
      </w:r>
      <w:r w:rsidR="00047311">
        <w:rPr>
          <w:rStyle w:val="AnswerChar"/>
          <w:rFonts w:hAnsi="Times New Roman" w:cs="Times New Roman"/>
        </w:rPr>
        <w:t xml:space="preserve"> </w:t>
      </w:r>
      <w:r w:rsidRPr="00047311">
        <w:rPr>
          <w:rStyle w:val="AnswerChar"/>
          <w:rFonts w:hAnsi="Times New Roman" w:cs="Times New Roman"/>
        </w:rPr>
        <w:t>There is no recession proofing for consumers. Rider DDR lacks justification and is not good public policy.</w:t>
      </w:r>
      <w:r w:rsidR="00047311">
        <w:rPr>
          <w:rStyle w:val="AnswerChar"/>
          <w:rFonts w:hAnsi="Times New Roman" w:cs="Times New Roman"/>
        </w:rPr>
        <w:t xml:space="preserve"> </w:t>
      </w:r>
    </w:p>
    <w:p w:rsidR="001378E1" w:rsidRPr="00047311" w:rsidP="00A34C1B" w14:paraId="6A8907BF" w14:textId="77777777">
      <w:pPr>
        <w:pStyle w:val="Answer"/>
        <w:ind w:hanging="720"/>
        <w:rPr>
          <w:rStyle w:val="AnswerChar"/>
          <w:rFonts w:hAnsi="Times New Roman" w:cs="Times New Roman"/>
        </w:rPr>
      </w:pPr>
    </w:p>
    <w:p w:rsidR="00782D53" w:rsidP="00D12C92" w14:paraId="164422B6" w14:textId="1F3A86AA">
      <w:pPr>
        <w:pStyle w:val="Answer"/>
        <w:ind w:firstLine="0"/>
        <w:rPr>
          <w:rFonts w:eastAsia="Times New Roman"/>
          <w:bdr w:val="none" w:sz="0" w:space="0" w:color="auto"/>
        </w:rPr>
      </w:pPr>
      <w:r w:rsidRPr="00047311">
        <w:rPr>
          <w:rStyle w:val="AnswerChar"/>
          <w:rFonts w:hAnsi="Times New Roman" w:cs="Times New Roman"/>
        </w:rPr>
        <w:t>I</w:t>
      </w:r>
      <w:r w:rsidRPr="00047311" w:rsidR="00FB4847">
        <w:rPr>
          <w:rStyle w:val="AnswerChar"/>
          <w:rFonts w:hAnsi="Times New Roman" w:cs="Times New Roman"/>
        </w:rPr>
        <w:t>n the present case, Duke proposes to re-establish a portfolio of energy efficiency and demand-side management programs.</w:t>
      </w:r>
      <w:r w:rsidRPr="00047311" w:rsidR="00885EE7">
        <w:rPr>
          <w:rStyle w:val="AnswerChar"/>
          <w:rFonts w:hAnsi="Times New Roman" w:cs="Times New Roman"/>
        </w:rPr>
        <w:t xml:space="preserve"> </w:t>
      </w:r>
      <w:r w:rsidRPr="00047311" w:rsidR="00FB4847">
        <w:rPr>
          <w:rStyle w:val="AnswerChar"/>
          <w:rFonts w:hAnsi="Times New Roman" w:cs="Times New Roman"/>
        </w:rPr>
        <w:t>As discussed earlier in my testimony, OCC opposes these programs except for the programs offered for low-income consumers.</w:t>
      </w:r>
      <w:r w:rsidRPr="00047311" w:rsidR="00FB4847">
        <w:rPr>
          <w:rFonts w:eastAsia="Times New Roman"/>
          <w:bdr w:val="none" w:sz="0" w:space="0" w:color="auto"/>
        </w:rPr>
        <w:t xml:space="preserve"> </w:t>
      </w:r>
      <w:r w:rsidRPr="00047311" w:rsidR="0032541C">
        <w:rPr>
          <w:rFonts w:eastAsia="Times New Roman"/>
          <w:bdr w:val="none" w:sz="0" w:space="0" w:color="auto"/>
        </w:rPr>
        <w:t xml:space="preserve">The </w:t>
      </w:r>
      <w:r w:rsidRPr="00047311" w:rsidR="00167B51">
        <w:rPr>
          <w:rFonts w:eastAsia="Times New Roman"/>
          <w:bdr w:val="none" w:sz="0" w:space="0" w:color="auto"/>
        </w:rPr>
        <w:t>PUCO should not approve the re-establishment of these programs because consumers can obtain these programs and services through the competitive market</w:t>
      </w:r>
      <w:r w:rsidRPr="00047311" w:rsidR="00D25817">
        <w:rPr>
          <w:rFonts w:eastAsia="Times New Roman"/>
          <w:bdr w:val="none" w:sz="0" w:space="0" w:color="auto"/>
        </w:rPr>
        <w:t>.</w:t>
      </w:r>
      <w:r w:rsidRPr="00047311" w:rsidR="00FB4847">
        <w:rPr>
          <w:rFonts w:eastAsia="Times New Roman"/>
          <w:bdr w:val="none" w:sz="0" w:space="0" w:color="auto"/>
        </w:rPr>
        <w:t xml:space="preserve"> </w:t>
      </w:r>
      <w:r w:rsidRPr="00047311">
        <w:rPr>
          <w:rFonts w:eastAsia="Times New Roman"/>
          <w:bdr w:val="none" w:sz="0" w:space="0" w:color="auto"/>
        </w:rPr>
        <w:t xml:space="preserve">Additionally, nonparticipants would not have to subsidize participants. </w:t>
      </w:r>
    </w:p>
    <w:p w:rsidR="00465C19" w:rsidRPr="00047311" w:rsidP="00D12C92" w14:paraId="0BF7E2FE" w14:textId="77777777">
      <w:pPr>
        <w:pStyle w:val="Answer"/>
        <w:ind w:firstLine="0"/>
        <w:rPr>
          <w:rFonts w:eastAsia="Times New Roman"/>
          <w:bdr w:val="none" w:sz="0" w:space="0" w:color="auto"/>
        </w:rPr>
      </w:pPr>
    </w:p>
    <w:p w:rsidR="00EB2A18" w:rsidRPr="00047311" w:rsidP="00A34C1B" w14:paraId="2EE49C07" w14:textId="08552006">
      <w:pPr>
        <w:pStyle w:val="Heading1"/>
      </w:pPr>
      <w:bookmarkStart w:id="12" w:name="_Toc178439528"/>
      <w:bookmarkStart w:id="13" w:name="_Toc181176102"/>
      <w:r w:rsidRPr="00047311">
        <w:t>VI.</w:t>
      </w:r>
      <w:r w:rsidRPr="00047311" w:rsidR="00A34C1B">
        <w:tab/>
      </w:r>
      <w:r w:rsidRPr="00047311">
        <w:t>LOST REVENUE BACKUP PLAN</w:t>
      </w:r>
      <w:bookmarkEnd w:id="12"/>
      <w:bookmarkEnd w:id="13"/>
      <w:r w:rsidRPr="00047311">
        <w:t xml:space="preserve"> </w:t>
      </w:r>
    </w:p>
    <w:p w:rsidR="00C465C7" w:rsidRPr="00047311" w:rsidP="002715EC" w14:paraId="025112FF" w14:textId="77777777">
      <w:pPr>
        <w:spacing w:line="480" w:lineRule="auto"/>
      </w:pPr>
    </w:p>
    <w:p w:rsidR="00EB2A18" w:rsidRPr="00047311" w:rsidP="002715EC" w14:paraId="13427E14" w14:textId="1A182D6F">
      <w:pPr>
        <w:pStyle w:val="Question1"/>
        <w:spacing w:after="0" w:line="240" w:lineRule="auto"/>
        <w:ind w:left="720" w:hanging="720"/>
        <w:rPr>
          <w:bdr w:val="none" w:sz="0" w:space="0" w:color="auto"/>
        </w:rPr>
      </w:pPr>
      <w:r w:rsidRPr="00047311">
        <w:rPr>
          <w:bdr w:val="none" w:sz="0" w:space="0" w:color="auto"/>
        </w:rPr>
        <w:t>Q</w:t>
      </w:r>
      <w:r w:rsidRPr="00047311" w:rsidR="00C26747">
        <w:rPr>
          <w:bdr w:val="none" w:sz="0" w:space="0" w:color="auto"/>
        </w:rPr>
        <w:t>2</w:t>
      </w:r>
      <w:r w:rsidRPr="00047311" w:rsidR="00AD0C68">
        <w:rPr>
          <w:bdr w:val="none" w:sz="0" w:space="0" w:color="auto"/>
        </w:rPr>
        <w:t>2</w:t>
      </w:r>
      <w:r w:rsidRPr="00047311">
        <w:rPr>
          <w:bdr w:val="none" w:sz="0" w:space="0" w:color="auto"/>
        </w:rPr>
        <w:t>.</w:t>
      </w:r>
      <w:r w:rsidRPr="00047311" w:rsidR="00963189">
        <w:rPr>
          <w:bdr w:val="none" w:sz="0" w:space="0" w:color="auto"/>
        </w:rPr>
        <w:tab/>
      </w:r>
      <w:r w:rsidRPr="00047311">
        <w:rPr>
          <w:bdr w:val="none" w:sz="0" w:space="0" w:color="auto"/>
        </w:rPr>
        <w:t>Does Duke</w:t>
      </w:r>
      <w:r w:rsidR="00047311">
        <w:rPr>
          <w:bdr w:val="none" w:sz="0" w:space="0" w:color="auto"/>
        </w:rPr>
        <w:t>’</w:t>
      </w:r>
      <w:r w:rsidRPr="00047311">
        <w:rPr>
          <w:bdr w:val="none" w:sz="0" w:space="0" w:color="auto"/>
        </w:rPr>
        <w:t xml:space="preserve">s proposal include a backup plan should continuation of rider DDR be denied? </w:t>
      </w:r>
    </w:p>
    <w:p w:rsidR="002715EC" w:rsidRPr="00047311" w:rsidP="002715EC" w14:paraId="39F071C2" w14:textId="77777777">
      <w:pPr>
        <w:pStyle w:val="Question1"/>
        <w:spacing w:after="0" w:line="240" w:lineRule="auto"/>
        <w:ind w:left="720" w:hanging="720"/>
        <w:rPr>
          <w:bdr w:val="none" w:sz="0" w:space="0" w:color="auto"/>
        </w:rPr>
      </w:pPr>
    </w:p>
    <w:p w:rsidR="009305EA" w:rsidP="009305EA" w14:paraId="3B9FD303" w14:textId="6CB784D3">
      <w:pPr>
        <w:pStyle w:val="Answer"/>
        <w:ind w:hanging="720"/>
        <w:rPr>
          <w:rFonts w:eastAsia="Times New Roman"/>
          <w:bdr w:val="none" w:sz="0" w:space="0" w:color="auto"/>
        </w:rPr>
      </w:pPr>
      <w:r w:rsidRPr="00047311">
        <w:rPr>
          <w:rFonts w:eastAsia="Times New Roman"/>
          <w:b/>
          <w:bCs w:val="0"/>
          <w:i/>
          <w:iCs w:val="0"/>
          <w:bdr w:val="none" w:sz="0" w:space="0" w:color="auto"/>
        </w:rPr>
        <w:t>A</w:t>
      </w:r>
      <w:r w:rsidRPr="00047311" w:rsidR="00C26747">
        <w:rPr>
          <w:rFonts w:eastAsia="Times New Roman"/>
          <w:b/>
          <w:bCs w:val="0"/>
          <w:i/>
          <w:iCs w:val="0"/>
          <w:bdr w:val="none" w:sz="0" w:space="0" w:color="auto"/>
        </w:rPr>
        <w:t>2</w:t>
      </w:r>
      <w:r w:rsidRPr="00047311" w:rsidR="00AD0C68">
        <w:rPr>
          <w:rFonts w:eastAsia="Times New Roman"/>
          <w:b/>
          <w:bCs w:val="0"/>
          <w:i/>
          <w:iCs w:val="0"/>
          <w:bdr w:val="none" w:sz="0" w:space="0" w:color="auto"/>
        </w:rPr>
        <w:t>2</w:t>
      </w:r>
      <w:r w:rsidRPr="00047311">
        <w:rPr>
          <w:rFonts w:eastAsia="Times New Roman"/>
          <w:b/>
          <w:bCs w:val="0"/>
          <w:i/>
          <w:iCs w:val="0"/>
          <w:bdr w:val="none" w:sz="0" w:space="0" w:color="auto"/>
        </w:rPr>
        <w:t>.</w:t>
      </w:r>
      <w:r w:rsidRPr="00047311" w:rsidR="00963189">
        <w:rPr>
          <w:rFonts w:eastAsia="Times New Roman"/>
          <w:bdr w:val="none" w:sz="0" w:space="0" w:color="auto"/>
        </w:rPr>
        <w:tab/>
      </w:r>
      <w:r w:rsidRPr="00047311">
        <w:rPr>
          <w:rFonts w:eastAsia="Times New Roman"/>
          <w:bdr w:val="none" w:sz="0" w:space="0" w:color="auto"/>
        </w:rPr>
        <w:t xml:space="preserve">Yes. </w:t>
      </w:r>
      <w:r w:rsidR="00C63AA9">
        <w:rPr>
          <w:rFonts w:eastAsia="Times New Roman"/>
          <w:bdr w:val="none" w:sz="0" w:space="0" w:color="auto"/>
        </w:rPr>
        <w:t>Under Duke’s proposal, r</w:t>
      </w:r>
      <w:r w:rsidRPr="00047311">
        <w:rPr>
          <w:rFonts w:eastAsia="Times New Roman"/>
          <w:bdr w:val="none" w:sz="0" w:space="0" w:color="auto"/>
        </w:rPr>
        <w:t xml:space="preserve">esidential consumers </w:t>
      </w:r>
      <w:r w:rsidRPr="00047311" w:rsidR="00AC74DC">
        <w:rPr>
          <w:rFonts w:eastAsia="Times New Roman"/>
          <w:bdr w:val="none" w:sz="0" w:space="0" w:color="auto"/>
        </w:rPr>
        <w:t xml:space="preserve">would </w:t>
      </w:r>
      <w:r w:rsidRPr="00047311">
        <w:rPr>
          <w:rFonts w:eastAsia="Times New Roman"/>
          <w:bdr w:val="none" w:sz="0" w:space="0" w:color="auto"/>
        </w:rPr>
        <w:t>pay the decoupling rider</w:t>
      </w:r>
      <w:r w:rsidR="00047311">
        <w:rPr>
          <w:rFonts w:eastAsia="Times New Roman"/>
          <w:bdr w:val="none" w:sz="0" w:space="0" w:color="auto"/>
        </w:rPr>
        <w:t xml:space="preserve"> </w:t>
      </w:r>
      <w:r w:rsidR="00C63AA9">
        <w:rPr>
          <w:rFonts w:eastAsia="Times New Roman"/>
          <w:bdr w:val="none" w:sz="0" w:space="0" w:color="auto"/>
        </w:rPr>
        <w:t xml:space="preserve">but </w:t>
      </w:r>
      <w:r w:rsidRPr="00047311">
        <w:rPr>
          <w:rFonts w:eastAsia="Times New Roman"/>
          <w:bdr w:val="none" w:sz="0" w:space="0" w:color="auto"/>
        </w:rPr>
        <w:t xml:space="preserve">not lost revenues. In the present case, Duke Witness </w:t>
      </w:r>
      <w:r w:rsidRPr="00047311" w:rsidR="008B18A5">
        <w:t>Ziolkowski</w:t>
      </w:r>
      <w:r w:rsidRPr="00047311" w:rsidR="008B18A5">
        <w:rPr>
          <w:rFonts w:eastAsia="Times New Roman"/>
          <w:bdr w:val="none" w:sz="0" w:space="0" w:color="auto"/>
        </w:rPr>
        <w:t xml:space="preserve"> </w:t>
      </w:r>
      <w:r w:rsidRPr="00047311">
        <w:rPr>
          <w:rFonts w:eastAsia="Times New Roman"/>
          <w:bdr w:val="none" w:sz="0" w:space="0" w:color="auto"/>
        </w:rPr>
        <w:t>recommends that if Rider DDR were to be modified or eliminated, it would be appropriate to modify Rider DSM rates to collect lost revenues.</w:t>
      </w:r>
      <w:r>
        <w:rPr>
          <w:rStyle w:val="FootnoteReference"/>
          <w:rFonts w:eastAsia="Times New Roman"/>
          <w:bdr w:val="none" w:sz="0" w:space="0" w:color="auto"/>
        </w:rPr>
        <w:footnoteReference w:id="35"/>
      </w:r>
      <w:r w:rsidRPr="00047311">
        <w:rPr>
          <w:rFonts w:eastAsia="Times New Roman"/>
          <w:bdr w:val="none" w:sz="0" w:space="0" w:color="auto"/>
        </w:rPr>
        <w:t xml:space="preserve"> </w:t>
      </w:r>
    </w:p>
    <w:p w:rsidR="00D20D64" w:rsidP="009305EA" w14:paraId="03B65865" w14:textId="77777777">
      <w:pPr>
        <w:pStyle w:val="Answer"/>
        <w:ind w:hanging="720"/>
        <w:rPr>
          <w:rFonts w:eastAsia="Times New Roman"/>
          <w:bCs w:val="0"/>
          <w:iCs w:val="0"/>
          <w:bdr w:val="none" w:sz="0" w:space="0" w:color="auto"/>
        </w:rPr>
      </w:pPr>
    </w:p>
    <w:p w:rsidR="00EB2A18" w:rsidRPr="00047311" w:rsidP="00EE7720" w14:paraId="7FBFBD72" w14:textId="1BE28D3B">
      <w:pPr>
        <w:pStyle w:val="Question1"/>
        <w:spacing w:after="0" w:line="240" w:lineRule="auto"/>
        <w:ind w:left="720" w:hanging="720"/>
        <w:rPr>
          <w:bdr w:val="none" w:sz="0" w:space="0" w:color="auto"/>
        </w:rPr>
      </w:pPr>
      <w:r w:rsidRPr="00047311">
        <w:rPr>
          <w:bdr w:val="none" w:sz="0" w:space="0" w:color="auto"/>
        </w:rPr>
        <w:t>Q</w:t>
      </w:r>
      <w:r w:rsidRPr="00047311" w:rsidR="00C26747">
        <w:rPr>
          <w:bdr w:val="none" w:sz="0" w:space="0" w:color="auto"/>
        </w:rPr>
        <w:t>2</w:t>
      </w:r>
      <w:r w:rsidRPr="00047311" w:rsidR="00AD0C68">
        <w:rPr>
          <w:bdr w:val="none" w:sz="0" w:space="0" w:color="auto"/>
        </w:rPr>
        <w:t>3</w:t>
      </w:r>
      <w:r w:rsidRPr="00047311">
        <w:rPr>
          <w:bdr w:val="none" w:sz="0" w:space="0" w:color="auto"/>
        </w:rPr>
        <w:t>.</w:t>
      </w:r>
      <w:r w:rsidRPr="00047311" w:rsidR="00753149">
        <w:rPr>
          <w:bdr w:val="none" w:sz="0" w:space="0" w:color="auto"/>
        </w:rPr>
        <w:tab/>
      </w:r>
      <w:r w:rsidRPr="00047311">
        <w:rPr>
          <w:bdr w:val="none" w:sz="0" w:space="0" w:color="auto"/>
        </w:rPr>
        <w:t>Should the PUCO allow Duke to collect lost revenues from residential customers?</w:t>
      </w:r>
    </w:p>
    <w:p w:rsidR="00AA6BCB" w:rsidRPr="00047311" w:rsidP="00EE7720" w14:paraId="702E8690" w14:textId="77777777">
      <w:pPr>
        <w:pStyle w:val="Question1"/>
        <w:spacing w:after="0" w:line="240" w:lineRule="auto"/>
        <w:ind w:left="720" w:hanging="720"/>
        <w:rPr>
          <w:bdr w:val="none" w:sz="0" w:space="0" w:color="auto"/>
        </w:rPr>
      </w:pPr>
    </w:p>
    <w:p w:rsidR="00EB2A18" w:rsidRPr="00047311" w:rsidP="00963189" w14:paraId="79D3C0B6" w14:textId="331FC963">
      <w:pPr>
        <w:pStyle w:val="Answer"/>
        <w:ind w:hanging="720"/>
        <w:rPr>
          <w:rFonts w:eastAsia="Times New Roman"/>
          <w:bdr w:val="none" w:sz="0" w:space="0" w:color="auto"/>
        </w:rPr>
      </w:pPr>
      <w:r w:rsidRPr="00047311">
        <w:rPr>
          <w:rFonts w:eastAsia="Times New Roman"/>
          <w:b/>
          <w:bCs w:val="0"/>
          <w:i/>
          <w:iCs w:val="0"/>
          <w:bdr w:val="none" w:sz="0" w:space="0" w:color="auto"/>
        </w:rPr>
        <w:t>A</w:t>
      </w:r>
      <w:r w:rsidRPr="00047311" w:rsidR="00C26747">
        <w:rPr>
          <w:rFonts w:eastAsia="Times New Roman"/>
          <w:b/>
          <w:bCs w:val="0"/>
          <w:i/>
          <w:iCs w:val="0"/>
          <w:bdr w:val="none" w:sz="0" w:space="0" w:color="auto"/>
        </w:rPr>
        <w:t>2</w:t>
      </w:r>
      <w:r w:rsidRPr="00047311" w:rsidR="00AD0C68">
        <w:rPr>
          <w:rFonts w:eastAsia="Times New Roman"/>
          <w:b/>
          <w:bCs w:val="0"/>
          <w:i/>
          <w:iCs w:val="0"/>
          <w:bdr w:val="none" w:sz="0" w:space="0" w:color="auto"/>
        </w:rPr>
        <w:t>3</w:t>
      </w:r>
      <w:r w:rsidRPr="00047311">
        <w:rPr>
          <w:rFonts w:eastAsia="Times New Roman"/>
          <w:b/>
          <w:bCs w:val="0"/>
          <w:i/>
          <w:iCs w:val="0"/>
          <w:bdr w:val="none" w:sz="0" w:space="0" w:color="auto"/>
        </w:rPr>
        <w:t>.</w:t>
      </w:r>
      <w:r w:rsidRPr="00047311" w:rsidR="00753149">
        <w:rPr>
          <w:rFonts w:eastAsia="Times New Roman"/>
          <w:bdr w:val="none" w:sz="0" w:space="0" w:color="auto"/>
        </w:rPr>
        <w:tab/>
      </w:r>
      <w:r w:rsidRPr="00047311">
        <w:rPr>
          <w:rFonts w:eastAsia="Times New Roman"/>
          <w:bdr w:val="none" w:sz="0" w:space="0" w:color="auto"/>
        </w:rPr>
        <w:t>No. First, Duke is not obligated to offer DSM programs. Duke could instead withdraw their non-low-income program proposal and their concerns about being made whole from DSM programs would no longer apply.</w:t>
      </w:r>
    </w:p>
    <w:p w:rsidR="00753149" w:rsidRPr="00047311" w:rsidP="00963189" w14:paraId="13517223" w14:textId="77777777">
      <w:pPr>
        <w:pStyle w:val="Answer"/>
        <w:ind w:hanging="720"/>
        <w:rPr>
          <w:rFonts w:eastAsia="Times New Roman"/>
          <w:bdr w:val="none" w:sz="0" w:space="0" w:color="auto"/>
        </w:rPr>
      </w:pPr>
    </w:p>
    <w:p w:rsidR="009A2296" w:rsidRPr="00047311" w:rsidP="009A2296" w14:paraId="713207C3" w14:textId="20F89317">
      <w:pPr>
        <w:pStyle w:val="Answer"/>
        <w:ind w:firstLine="0"/>
        <w:rPr>
          <w:rFonts w:eastAsia="Times New Roman"/>
          <w:bdr w:val="none" w:sz="0" w:space="0" w:color="auto"/>
        </w:rPr>
      </w:pPr>
      <w:r w:rsidRPr="00047311">
        <w:rPr>
          <w:rFonts w:eastAsia="Times New Roman"/>
          <w:bdr w:val="none" w:sz="0" w:space="0" w:color="auto"/>
        </w:rPr>
        <w:t>Second</w:t>
      </w:r>
      <w:r w:rsidRPr="00047311" w:rsidR="008F786A">
        <w:rPr>
          <w:rFonts w:eastAsia="Times New Roman"/>
          <w:bdr w:val="none" w:sz="0" w:space="0" w:color="auto"/>
        </w:rPr>
        <w:t>,</w:t>
      </w:r>
      <w:r w:rsidRPr="00047311">
        <w:rPr>
          <w:rFonts w:eastAsia="Times New Roman"/>
          <w:bdr w:val="none" w:sz="0" w:space="0" w:color="auto"/>
        </w:rPr>
        <w:t xml:space="preserve"> </w:t>
      </w:r>
      <w:r w:rsidRPr="00047311" w:rsidR="008F786A">
        <w:rPr>
          <w:rFonts w:eastAsia="Times New Roman"/>
          <w:bdr w:val="none" w:sz="0" w:space="0" w:color="auto"/>
        </w:rPr>
        <w:t>R.C.</w:t>
      </w:r>
      <w:r w:rsidRPr="00047311">
        <w:rPr>
          <w:rFonts w:eastAsia="Times New Roman"/>
          <w:bdr w:val="none" w:sz="0" w:space="0" w:color="auto"/>
        </w:rPr>
        <w:t xml:space="preserve"> 4928.143</w:t>
      </w:r>
      <w:r w:rsidRPr="00047311" w:rsidR="003E24D7">
        <w:rPr>
          <w:rFonts w:eastAsia="Times New Roman"/>
          <w:bdr w:val="none" w:sz="0" w:space="0" w:color="auto"/>
        </w:rPr>
        <w:t>(</w:t>
      </w:r>
      <w:r w:rsidRPr="00047311" w:rsidR="00C1565C">
        <w:rPr>
          <w:rFonts w:eastAsia="Times New Roman"/>
          <w:bdr w:val="none" w:sz="0" w:space="0" w:color="auto"/>
        </w:rPr>
        <w:t>h)</w:t>
      </w:r>
      <w:r w:rsidR="00047311">
        <w:rPr>
          <w:rFonts w:eastAsia="Times New Roman"/>
          <w:bdr w:val="none" w:sz="0" w:space="0" w:color="auto"/>
        </w:rPr>
        <w:t xml:space="preserve"> </w:t>
      </w:r>
      <w:r w:rsidRPr="00047311">
        <w:rPr>
          <w:rFonts w:eastAsia="Times New Roman"/>
          <w:bdr w:val="none" w:sz="0" w:space="0" w:color="auto"/>
        </w:rPr>
        <w:t xml:space="preserve">allows </w:t>
      </w:r>
      <w:r w:rsidRPr="00047311" w:rsidR="00C1565C">
        <w:rPr>
          <w:rFonts w:eastAsia="Times New Roman"/>
          <w:bdr w:val="none" w:sz="0" w:space="0" w:color="auto"/>
        </w:rPr>
        <w:t xml:space="preserve">a revenue decoupling mechanism </w:t>
      </w:r>
      <w:r w:rsidRPr="00047311" w:rsidR="0041480D">
        <w:rPr>
          <w:rFonts w:eastAsia="Times New Roman"/>
          <w:bdr w:val="none" w:sz="0" w:space="0" w:color="auto"/>
        </w:rPr>
        <w:t xml:space="preserve">or lost revenues </w:t>
      </w:r>
      <w:r w:rsidRPr="00047311" w:rsidR="00C1565C">
        <w:rPr>
          <w:rFonts w:eastAsia="Times New Roman"/>
          <w:bdr w:val="none" w:sz="0" w:space="0" w:color="auto"/>
        </w:rPr>
        <w:t>to be a provision of an electric security plan</w:t>
      </w:r>
      <w:r w:rsidRPr="00047311">
        <w:rPr>
          <w:rFonts w:eastAsia="Times New Roman"/>
          <w:bdr w:val="none" w:sz="0" w:space="0" w:color="auto"/>
        </w:rPr>
        <w:t xml:space="preserve">. But the law does not </w:t>
      </w:r>
      <w:r w:rsidRPr="00047311" w:rsidR="003E24D7">
        <w:rPr>
          <w:rFonts w:eastAsia="Times New Roman"/>
          <w:bdr w:val="none" w:sz="0" w:space="0" w:color="auto"/>
        </w:rPr>
        <w:t xml:space="preserve">require the PUCO to approve </w:t>
      </w:r>
      <w:r w:rsidRPr="00047311" w:rsidR="0041480D">
        <w:rPr>
          <w:rFonts w:eastAsia="Times New Roman"/>
          <w:bdr w:val="none" w:sz="0" w:space="0" w:color="auto"/>
        </w:rPr>
        <w:t>either mechanism</w:t>
      </w:r>
      <w:r w:rsidRPr="00047311" w:rsidR="001F3EBC">
        <w:rPr>
          <w:rFonts w:eastAsia="Times New Roman"/>
          <w:bdr w:val="none" w:sz="0" w:space="0" w:color="auto"/>
        </w:rPr>
        <w:t xml:space="preserve">. </w:t>
      </w:r>
      <w:r w:rsidRPr="00047311">
        <w:rPr>
          <w:rFonts w:eastAsia="Times New Roman"/>
          <w:bdr w:val="none" w:sz="0" w:space="0" w:color="auto"/>
        </w:rPr>
        <w:t xml:space="preserve">Under the energy efficiency mandates, lack of consumer protections </w:t>
      </w:r>
      <w:r w:rsidRPr="00047311" w:rsidR="003E24D7">
        <w:rPr>
          <w:rFonts w:eastAsia="Times New Roman"/>
          <w:bdr w:val="none" w:sz="0" w:space="0" w:color="auto"/>
        </w:rPr>
        <w:t>in calculating</w:t>
      </w:r>
      <w:r w:rsidR="00047311">
        <w:rPr>
          <w:rFonts w:eastAsia="Times New Roman"/>
          <w:bdr w:val="none" w:sz="0" w:space="0" w:color="auto"/>
        </w:rPr>
        <w:t xml:space="preserve"> </w:t>
      </w:r>
      <w:r w:rsidRPr="00047311">
        <w:rPr>
          <w:rFonts w:eastAsia="Times New Roman"/>
          <w:bdr w:val="none" w:sz="0" w:space="0" w:color="auto"/>
        </w:rPr>
        <w:t>lost revenues created a pro-utility scheme</w:t>
      </w:r>
      <w:r w:rsidRPr="00047311" w:rsidR="00563DB0">
        <w:rPr>
          <w:rFonts w:eastAsia="Times New Roman"/>
          <w:bdr w:val="none" w:sz="0" w:space="0" w:color="auto"/>
        </w:rPr>
        <w:t xml:space="preserve"> that harmed consumers</w:t>
      </w:r>
      <w:r w:rsidRPr="00047311">
        <w:rPr>
          <w:rFonts w:eastAsia="Times New Roman"/>
          <w:bdr w:val="none" w:sz="0" w:space="0" w:color="auto"/>
        </w:rPr>
        <w:t xml:space="preserve">. </w:t>
      </w:r>
    </w:p>
    <w:p w:rsidR="007B5DB1" w:rsidRPr="00047311" w:rsidP="009A2296" w14:paraId="62E42159" w14:textId="77777777">
      <w:pPr>
        <w:pStyle w:val="Answer"/>
        <w:ind w:firstLine="0"/>
        <w:rPr>
          <w:rFonts w:eastAsia="Times New Roman"/>
          <w:bCs w:val="0"/>
          <w:iCs w:val="0"/>
          <w:bdr w:val="none" w:sz="0" w:space="0" w:color="auto"/>
        </w:rPr>
      </w:pPr>
    </w:p>
    <w:p w:rsidR="00EB2A18" w:rsidRPr="00047311" w:rsidP="00EE7720" w14:paraId="2E6851D0" w14:textId="43863843">
      <w:pPr>
        <w:pStyle w:val="Question1"/>
        <w:spacing w:after="0" w:line="240" w:lineRule="auto"/>
        <w:ind w:left="720" w:hanging="720"/>
        <w:rPr>
          <w:bdr w:val="none" w:sz="0" w:space="0" w:color="auto"/>
        </w:rPr>
      </w:pPr>
      <w:r w:rsidRPr="00047311">
        <w:rPr>
          <w:bdr w:val="none" w:sz="0" w:space="0" w:color="auto"/>
        </w:rPr>
        <w:t>Q</w:t>
      </w:r>
      <w:r w:rsidRPr="00047311" w:rsidR="00C26747">
        <w:rPr>
          <w:bdr w:val="none" w:sz="0" w:space="0" w:color="auto"/>
        </w:rPr>
        <w:t>2</w:t>
      </w:r>
      <w:r w:rsidRPr="00047311" w:rsidR="00AD0C68">
        <w:rPr>
          <w:bdr w:val="none" w:sz="0" w:space="0" w:color="auto"/>
        </w:rPr>
        <w:t>4</w:t>
      </w:r>
      <w:r w:rsidRPr="00047311">
        <w:rPr>
          <w:bdr w:val="none" w:sz="0" w:space="0" w:color="auto"/>
        </w:rPr>
        <w:t>.</w:t>
      </w:r>
      <w:r w:rsidRPr="00047311" w:rsidR="00753149">
        <w:rPr>
          <w:bdr w:val="none" w:sz="0" w:space="0" w:color="auto"/>
        </w:rPr>
        <w:tab/>
      </w:r>
      <w:r w:rsidRPr="00047311">
        <w:rPr>
          <w:bdr w:val="none" w:sz="0" w:space="0" w:color="auto"/>
        </w:rPr>
        <w:t>Do you have an example of a pro-utility scheme related to consumer charges for lost revenues?</w:t>
      </w:r>
    </w:p>
    <w:p w:rsidR="002A1A4A" w:rsidRPr="00047311" w:rsidP="00EE7720" w14:paraId="250584E9" w14:textId="77777777">
      <w:pPr>
        <w:pStyle w:val="Question1"/>
        <w:spacing w:after="0" w:line="240" w:lineRule="auto"/>
        <w:ind w:left="720" w:hanging="720"/>
        <w:rPr>
          <w:bdr w:val="none" w:sz="0" w:space="0" w:color="auto"/>
        </w:rPr>
      </w:pPr>
    </w:p>
    <w:p w:rsidR="005B2CDB" w:rsidP="005B2CDB" w14:paraId="5C22A497" w14:textId="65604DDC">
      <w:pPr>
        <w:pStyle w:val="Answer"/>
        <w:ind w:hanging="720"/>
        <w:rPr>
          <w:rFonts w:eastAsia="Times New Roman"/>
          <w:bdr w:val="none" w:sz="0" w:space="0" w:color="auto"/>
        </w:rPr>
      </w:pPr>
      <w:r w:rsidRPr="00047311">
        <w:rPr>
          <w:rFonts w:eastAsia="Times New Roman"/>
          <w:b/>
          <w:bCs w:val="0"/>
          <w:i/>
          <w:iCs w:val="0"/>
          <w:bdr w:val="none" w:sz="0" w:space="0" w:color="auto"/>
        </w:rPr>
        <w:t>A</w:t>
      </w:r>
      <w:r w:rsidRPr="00047311" w:rsidR="00C26747">
        <w:rPr>
          <w:rFonts w:eastAsia="Times New Roman"/>
          <w:b/>
          <w:bCs w:val="0"/>
          <w:i/>
          <w:iCs w:val="0"/>
          <w:bdr w:val="none" w:sz="0" w:space="0" w:color="auto"/>
        </w:rPr>
        <w:t>2</w:t>
      </w:r>
      <w:r w:rsidRPr="00047311" w:rsidR="00AD0C68">
        <w:rPr>
          <w:rFonts w:eastAsia="Times New Roman"/>
          <w:b/>
          <w:bCs w:val="0"/>
          <w:i/>
          <w:iCs w:val="0"/>
          <w:bdr w:val="none" w:sz="0" w:space="0" w:color="auto"/>
        </w:rPr>
        <w:t>4</w:t>
      </w:r>
      <w:r w:rsidRPr="00047311">
        <w:rPr>
          <w:rFonts w:eastAsia="Times New Roman"/>
          <w:b/>
          <w:bCs w:val="0"/>
          <w:i/>
          <w:iCs w:val="0"/>
          <w:bdr w:val="none" w:sz="0" w:space="0" w:color="auto"/>
        </w:rPr>
        <w:t>.</w:t>
      </w:r>
      <w:r w:rsidRPr="00047311" w:rsidR="00753149">
        <w:rPr>
          <w:rFonts w:eastAsia="Times New Roman"/>
          <w:bdr w:val="none" w:sz="0" w:space="0" w:color="auto"/>
        </w:rPr>
        <w:tab/>
      </w:r>
      <w:r w:rsidRPr="00047311">
        <w:rPr>
          <w:rFonts w:eastAsia="Times New Roman"/>
          <w:bdr w:val="none" w:sz="0" w:space="0" w:color="auto"/>
        </w:rPr>
        <w:t>Yes. The most egregious example is FirstEnergy. During 2014-2018 FirstEnergy</w:t>
      </w:r>
      <w:r w:rsidR="00047311">
        <w:rPr>
          <w:rFonts w:eastAsia="Times New Roman"/>
          <w:bdr w:val="none" w:sz="0" w:space="0" w:color="auto"/>
        </w:rPr>
        <w:t>’</w:t>
      </w:r>
      <w:r w:rsidRPr="00047311">
        <w:rPr>
          <w:rFonts w:eastAsia="Times New Roman"/>
          <w:bdr w:val="none" w:sz="0" w:space="0" w:color="auto"/>
        </w:rPr>
        <w:t xml:space="preserve">s calculation of lost revenues </w:t>
      </w:r>
      <w:r w:rsidRPr="00047311" w:rsidR="00D62DEE">
        <w:rPr>
          <w:rFonts w:eastAsia="Times New Roman"/>
          <w:bdr w:val="none" w:sz="0" w:space="0" w:color="auto"/>
        </w:rPr>
        <w:t xml:space="preserve">resulted in </w:t>
      </w:r>
      <w:r w:rsidRPr="00047311">
        <w:rPr>
          <w:rFonts w:eastAsia="Times New Roman"/>
          <w:bdr w:val="none" w:sz="0" w:space="0" w:color="auto"/>
        </w:rPr>
        <w:t>consumers paying</w:t>
      </w:r>
      <w:r w:rsidRPr="00047311" w:rsidR="00D62DEE">
        <w:rPr>
          <w:rFonts w:eastAsia="Times New Roman"/>
          <w:bdr w:val="none" w:sz="0" w:space="0" w:color="auto"/>
        </w:rPr>
        <w:t xml:space="preserve"> nearly 135%</w:t>
      </w:r>
      <w:r w:rsidRPr="00047311">
        <w:rPr>
          <w:rFonts w:eastAsia="Times New Roman"/>
          <w:bdr w:val="none" w:sz="0" w:space="0" w:color="auto"/>
        </w:rPr>
        <w:t xml:space="preserve"> more in lost revenues than they</w:t>
      </w:r>
      <w:r w:rsidR="00FE7D40">
        <w:rPr>
          <w:rFonts w:eastAsia="Times New Roman"/>
          <w:bdr w:val="none" w:sz="0" w:space="0" w:color="auto"/>
        </w:rPr>
        <w:t xml:space="preserve"> </w:t>
      </w:r>
      <w:r w:rsidR="00C63AA9">
        <w:rPr>
          <w:rFonts w:eastAsia="Times New Roman"/>
          <w:bdr w:val="none" w:sz="0" w:space="0" w:color="auto"/>
        </w:rPr>
        <w:t xml:space="preserve">paid </w:t>
      </w:r>
      <w:r w:rsidRPr="00047311">
        <w:rPr>
          <w:rFonts w:eastAsia="Times New Roman"/>
          <w:bdr w:val="none" w:sz="0" w:space="0" w:color="auto"/>
        </w:rPr>
        <w:t>for program costs.</w:t>
      </w:r>
      <w:r>
        <w:rPr>
          <w:rStyle w:val="FootnoteReference"/>
          <w:rFonts w:eastAsia="Times New Roman"/>
          <w:bdr w:val="none" w:sz="0" w:space="0" w:color="auto"/>
        </w:rPr>
        <w:footnoteReference w:id="36"/>
      </w:r>
      <w:r w:rsidRPr="00047311">
        <w:rPr>
          <w:rFonts w:eastAsia="Times New Roman"/>
          <w:bdr w:val="none" w:sz="0" w:space="0" w:color="auto"/>
        </w:rPr>
        <w:t xml:space="preserve"> </w:t>
      </w:r>
    </w:p>
    <w:p w:rsidR="00EB0419" w:rsidP="0056076E" w14:paraId="5323CCAC" w14:textId="4C557BBF">
      <w:pPr>
        <w:pStyle w:val="Answer"/>
        <w:ind w:firstLine="0"/>
        <w:rPr>
          <w:rFonts w:eastAsia="Times New Roman"/>
          <w:bdr w:val="none" w:sz="0" w:space="0" w:color="auto"/>
        </w:rPr>
      </w:pPr>
      <w:r>
        <w:rPr>
          <w:rFonts w:eastAsia="Times New Roman"/>
          <w:bdr w:val="none" w:sz="0" w:space="0" w:color="auto"/>
        </w:rPr>
        <w:t xml:space="preserve">Regardless of whether </w:t>
      </w:r>
      <w:r w:rsidRPr="00047311" w:rsidR="00EB2A18">
        <w:rPr>
          <w:rFonts w:eastAsia="Times New Roman"/>
          <w:bdr w:val="none" w:sz="0" w:space="0" w:color="auto"/>
        </w:rPr>
        <w:t>the PUCO approve</w:t>
      </w:r>
      <w:r>
        <w:rPr>
          <w:rFonts w:eastAsia="Times New Roman"/>
          <w:bdr w:val="none" w:sz="0" w:space="0" w:color="auto"/>
        </w:rPr>
        <w:t>s</w:t>
      </w:r>
      <w:r w:rsidRPr="00047311" w:rsidR="00EB2A18">
        <w:rPr>
          <w:rFonts w:eastAsia="Times New Roman"/>
          <w:bdr w:val="none" w:sz="0" w:space="0" w:color="auto"/>
        </w:rPr>
        <w:t xml:space="preserve"> any residential program (including the low-income program), </w:t>
      </w:r>
      <w:r w:rsidRPr="00047311" w:rsidR="00FD0152">
        <w:rPr>
          <w:rFonts w:eastAsia="Times New Roman"/>
          <w:bdr w:val="none" w:sz="0" w:space="0" w:color="auto"/>
        </w:rPr>
        <w:t>I recommend not approving Rider DDR</w:t>
      </w:r>
      <w:r w:rsidRPr="00047311" w:rsidR="00EB2A18">
        <w:rPr>
          <w:rFonts w:eastAsia="Times New Roman"/>
          <w:bdr w:val="none" w:sz="0" w:space="0" w:color="auto"/>
        </w:rPr>
        <w:t xml:space="preserve">. Additionally, lost revenues on any residential </w:t>
      </w:r>
      <w:r w:rsidRPr="00047311" w:rsidR="00FD0152">
        <w:rPr>
          <w:rFonts w:eastAsia="Times New Roman"/>
          <w:bdr w:val="none" w:sz="0" w:space="0" w:color="auto"/>
        </w:rPr>
        <w:t xml:space="preserve">energy efficiency </w:t>
      </w:r>
      <w:r w:rsidRPr="00047311" w:rsidR="00EB2A18">
        <w:rPr>
          <w:rFonts w:eastAsia="Times New Roman"/>
          <w:bdr w:val="none" w:sz="0" w:space="0" w:color="auto"/>
        </w:rPr>
        <w:t xml:space="preserve">program should </w:t>
      </w:r>
      <w:r w:rsidRPr="00047311" w:rsidR="003E24D7">
        <w:rPr>
          <w:rFonts w:eastAsia="Times New Roman"/>
          <w:bdr w:val="none" w:sz="0" w:space="0" w:color="auto"/>
        </w:rPr>
        <w:t xml:space="preserve">also </w:t>
      </w:r>
      <w:r w:rsidRPr="00047311" w:rsidR="00EB2A18">
        <w:rPr>
          <w:rFonts w:eastAsia="Times New Roman"/>
          <w:bdr w:val="none" w:sz="0" w:space="0" w:color="auto"/>
        </w:rPr>
        <w:t>be denied.</w:t>
      </w:r>
    </w:p>
    <w:p w:rsidR="00182C63" w:rsidRPr="00047311" w:rsidP="0056076E" w14:paraId="1FEC5F12" w14:textId="77777777">
      <w:pPr>
        <w:pStyle w:val="Answer"/>
        <w:ind w:firstLine="0"/>
        <w:rPr>
          <w:rFonts w:eastAsia="Times New Roman"/>
          <w:bdr w:val="none" w:sz="0" w:space="0" w:color="auto"/>
        </w:rPr>
      </w:pPr>
    </w:p>
    <w:p w:rsidR="008C2ADF" w:rsidRPr="00047311" w:rsidP="005E7F3B" w14:paraId="44C6D492" w14:textId="0F429D95">
      <w:pPr>
        <w:pStyle w:val="Heading1"/>
      </w:pPr>
      <w:bookmarkStart w:id="14" w:name="_Toc178343810"/>
      <w:bookmarkStart w:id="15" w:name="_Toc181176103"/>
      <w:r w:rsidRPr="00047311">
        <w:t>VII</w:t>
      </w:r>
      <w:r w:rsidRPr="00047311" w:rsidR="006A5D78">
        <w:t>.</w:t>
      </w:r>
      <w:r w:rsidRPr="00047311" w:rsidR="005E7F3B">
        <w:tab/>
      </w:r>
      <w:r w:rsidRPr="00047311" w:rsidR="00B61C44">
        <w:t>CONCLUSION</w:t>
      </w:r>
      <w:bookmarkEnd w:id="14"/>
      <w:bookmarkEnd w:id="15"/>
    </w:p>
    <w:p w:rsidR="008C2ADF" w:rsidRPr="00047311" w:rsidP="00EB0419" w14:paraId="727B37FA" w14:textId="77777777">
      <w:pPr>
        <w:spacing w:line="480" w:lineRule="auto"/>
      </w:pPr>
    </w:p>
    <w:p w:rsidR="00E419A9" w:rsidRPr="00047311" w:rsidP="001B5E7A" w14:paraId="7D0C4A06" w14:textId="6374D4DE">
      <w:pPr>
        <w:pStyle w:val="Question1"/>
        <w:spacing w:after="0"/>
        <w:ind w:left="720" w:hanging="720"/>
      </w:pPr>
      <w:r w:rsidRPr="00047311">
        <w:t>Q</w:t>
      </w:r>
      <w:r w:rsidRPr="00047311" w:rsidR="00C26747">
        <w:t>2</w:t>
      </w:r>
      <w:r w:rsidRPr="00047311" w:rsidR="00AD0C68">
        <w:t>5</w:t>
      </w:r>
      <w:r w:rsidRPr="00047311">
        <w:t xml:space="preserve">. </w:t>
      </w:r>
      <w:r w:rsidRPr="00047311" w:rsidR="001B5E7A">
        <w:tab/>
      </w:r>
      <w:r w:rsidRPr="00047311">
        <w:t>Does this conclude your testimony?</w:t>
      </w:r>
    </w:p>
    <w:p w:rsidR="006B140F" w:rsidRPr="00047311" w:rsidP="00775498" w14:paraId="3E839200" w14:textId="332C2FE5">
      <w:pPr>
        <w:pStyle w:val="Answer"/>
        <w:ind w:hanging="720"/>
        <w:sectPr w:rsidSect="000F178B">
          <w:headerReference w:type="default" r:id="rId14"/>
          <w:pgSz w:w="12240" w:h="15840"/>
          <w:pgMar w:top="1440" w:right="1800" w:bottom="1440" w:left="1800" w:header="720" w:footer="720" w:gutter="0"/>
          <w:lnNumType w:countBy="1"/>
          <w:pgNumType w:start="1"/>
          <w:cols w:space="720"/>
          <w:docGrid w:linePitch="326"/>
        </w:sectPr>
      </w:pPr>
      <w:r w:rsidRPr="00047311">
        <w:rPr>
          <w:b/>
          <w:bCs w:val="0"/>
          <w:i/>
          <w:iCs w:val="0"/>
        </w:rPr>
        <w:t>A</w:t>
      </w:r>
      <w:r w:rsidRPr="00047311" w:rsidR="00C26747">
        <w:rPr>
          <w:b/>
          <w:bCs w:val="0"/>
          <w:i/>
          <w:iCs w:val="0"/>
        </w:rPr>
        <w:t>2</w:t>
      </w:r>
      <w:r w:rsidRPr="00047311" w:rsidR="00AD0C68">
        <w:rPr>
          <w:b/>
          <w:bCs w:val="0"/>
          <w:i/>
          <w:iCs w:val="0"/>
        </w:rPr>
        <w:t>5</w:t>
      </w:r>
      <w:r w:rsidRPr="00047311">
        <w:rPr>
          <w:b/>
          <w:bCs w:val="0"/>
          <w:i/>
          <w:iCs w:val="0"/>
        </w:rPr>
        <w:t>.</w:t>
      </w:r>
      <w:r w:rsidRPr="00047311">
        <w:t xml:space="preserve"> </w:t>
      </w:r>
      <w:r w:rsidRPr="00047311" w:rsidR="001B5E7A">
        <w:tab/>
      </w:r>
      <w:r w:rsidRPr="00047311" w:rsidR="00E419A9">
        <w:t>Yes. However, I reserve the right to supplement my testimony if additional testimony is filed, or if new information or data in connection with this proceeding becomes available.</w:t>
      </w:r>
    </w:p>
    <w:p w:rsidR="00B50ECF" w:rsidRPr="00047311" w:rsidP="00B50ECF" w14:paraId="5884D168" w14:textId="77777777">
      <w:pPr>
        <w:pStyle w:val="BodyA"/>
        <w:spacing w:line="480" w:lineRule="auto"/>
        <w:jc w:val="center"/>
        <w:rPr>
          <w:rFonts w:hAnsi="Times New Roman" w:cs="Times New Roman"/>
          <w:b/>
          <w:bCs/>
          <w:u w:val="single"/>
        </w:rPr>
      </w:pPr>
      <w:r w:rsidRPr="00047311">
        <w:rPr>
          <w:rFonts w:hAnsi="Times New Roman" w:cs="Times New Roman"/>
          <w:b/>
          <w:bCs/>
          <w:u w:val="single"/>
        </w:rPr>
        <w:t>CERTIFICATE OF SERVICE</w:t>
      </w:r>
    </w:p>
    <w:p w:rsidR="00B10B8C" w:rsidRPr="00047311" w:rsidP="00B10B8C" w14:paraId="7A626097" w14:textId="7C31B1C9">
      <w:pPr>
        <w:suppressAutoHyphens/>
        <w:spacing w:line="480" w:lineRule="auto"/>
        <w:ind w:firstLine="720"/>
      </w:pPr>
      <w:r w:rsidRPr="00047311">
        <w:t xml:space="preserve">I hereby certify that a copy of this </w:t>
      </w:r>
      <w:r w:rsidRPr="00047311" w:rsidR="00B61C44">
        <w:t>Direct Testimony of Colleen Shutrump on Behalf of the Office of the Ohio Consumers</w:t>
      </w:r>
      <w:r w:rsidR="00047311">
        <w:t>’</w:t>
      </w:r>
      <w:r w:rsidRPr="00047311" w:rsidR="00B61C44">
        <w:t xml:space="preserve"> Counsel </w:t>
      </w:r>
      <w:r w:rsidRPr="00047311">
        <w:t xml:space="preserve">was served on the persons stated below </w:t>
      </w:r>
      <w:r w:rsidRPr="00047311">
        <w:rPr>
          <w:iCs/>
        </w:rPr>
        <w:t xml:space="preserve">via </w:t>
      </w:r>
      <w:r w:rsidRPr="00047311">
        <w:t xml:space="preserve">electronic transmission, this </w:t>
      </w:r>
      <w:r w:rsidR="00B16678">
        <w:t>30</w:t>
      </w:r>
      <w:r w:rsidRPr="00B16678" w:rsidR="00B16678">
        <w:rPr>
          <w:vertAlign w:val="superscript"/>
        </w:rPr>
        <w:t>th</w:t>
      </w:r>
      <w:r w:rsidR="00B16678">
        <w:t xml:space="preserve"> </w:t>
      </w:r>
      <w:r w:rsidRPr="00047311">
        <w:t>day of October 2024.</w:t>
      </w:r>
    </w:p>
    <w:p w:rsidR="003E2F38" w:rsidRPr="00047311" w:rsidP="003E2F38" w14:paraId="75D77E58" w14:textId="77777777">
      <w:pPr>
        <w:pBdr>
          <w:top w:val="none" w:sz="0" w:space="0" w:color="auto"/>
          <w:left w:val="none" w:sz="0" w:space="0" w:color="auto"/>
          <w:bottom w:val="none" w:sz="0" w:space="0" w:color="auto"/>
          <w:right w:val="none" w:sz="0" w:space="0" w:color="auto"/>
          <w:between w:val="none" w:sz="0" w:space="0" w:color="auto"/>
          <w:bar w:val="none" w:sz="0" w:space="0" w:color="auto"/>
        </w:pBdr>
        <w:snapToGrid w:val="0"/>
        <w:ind w:firstLine="5040"/>
        <w:rPr>
          <w:rFonts w:eastAsia="Times New Roman"/>
          <w:bdr w:val="none" w:sz="0" w:space="0" w:color="auto"/>
        </w:rPr>
      </w:pPr>
      <w:r w:rsidRPr="00047311">
        <w:rPr>
          <w:rFonts w:eastAsia="Times New Roman"/>
          <w:i/>
          <w:iCs/>
          <w:u w:val="single"/>
          <w:bdr w:val="none" w:sz="0" w:space="0" w:color="auto"/>
        </w:rPr>
        <w:t>/s/ John Finnigan</w:t>
      </w:r>
    </w:p>
    <w:p w:rsidR="003E2F38" w:rsidRPr="00047311" w:rsidP="003E2F38" w14:paraId="6716FB7D" w14:textId="77777777">
      <w:pPr>
        <w:pBdr>
          <w:top w:val="none" w:sz="0" w:space="0" w:color="auto"/>
          <w:left w:val="none" w:sz="0" w:space="0" w:color="auto"/>
          <w:bottom w:val="none" w:sz="0" w:space="0" w:color="auto"/>
          <w:right w:val="none" w:sz="0" w:space="0" w:color="auto"/>
          <w:between w:val="none" w:sz="0" w:space="0" w:color="auto"/>
          <w:bar w:val="none" w:sz="0" w:space="0" w:color="auto"/>
        </w:pBdr>
        <w:snapToGrid w:val="0"/>
        <w:ind w:firstLine="5040"/>
        <w:rPr>
          <w:rFonts w:eastAsia="Times New Roman"/>
          <w:bdr w:val="none" w:sz="0" w:space="0" w:color="auto"/>
        </w:rPr>
      </w:pPr>
      <w:r w:rsidRPr="00047311">
        <w:rPr>
          <w:rFonts w:eastAsia="Times New Roman"/>
          <w:bdr w:val="none" w:sz="0" w:space="0" w:color="auto"/>
        </w:rPr>
        <w:t>John Finnigan</w:t>
      </w:r>
    </w:p>
    <w:p w:rsidR="00EB36ED" w:rsidRPr="00047311" w:rsidP="003E2F38" w14:paraId="29B3A7D9" w14:textId="2F25FD39">
      <w:pPr>
        <w:pBdr>
          <w:top w:val="none" w:sz="0" w:space="0" w:color="auto"/>
          <w:left w:val="none" w:sz="0" w:space="0" w:color="auto"/>
          <w:bottom w:val="none" w:sz="0" w:space="0" w:color="auto"/>
          <w:right w:val="none" w:sz="0" w:space="0" w:color="auto"/>
          <w:between w:val="none" w:sz="0" w:space="0" w:color="auto"/>
          <w:bar w:val="none" w:sz="0" w:space="0" w:color="auto"/>
        </w:pBdr>
        <w:snapToGrid w:val="0"/>
        <w:rPr>
          <w:rFonts w:eastAsia="Times New Roman"/>
          <w:bdr w:val="none" w:sz="0" w:space="0" w:color="auto"/>
        </w:rPr>
      </w:pPr>
      <w:r w:rsidRPr="00047311">
        <w:rPr>
          <w:rFonts w:eastAsia="Times New Roman"/>
          <w:bdr w:val="none" w:sz="0" w:space="0" w:color="auto"/>
        </w:rPr>
        <w:tab/>
      </w:r>
      <w:r w:rsidRPr="00047311">
        <w:rPr>
          <w:rFonts w:eastAsia="Times New Roman"/>
          <w:bdr w:val="none" w:sz="0" w:space="0" w:color="auto"/>
        </w:rPr>
        <w:tab/>
      </w:r>
      <w:r w:rsidRPr="00047311">
        <w:rPr>
          <w:rFonts w:eastAsia="Times New Roman"/>
          <w:bdr w:val="none" w:sz="0" w:space="0" w:color="auto"/>
        </w:rPr>
        <w:tab/>
      </w:r>
      <w:r w:rsidRPr="00047311">
        <w:rPr>
          <w:rFonts w:eastAsia="Times New Roman"/>
          <w:bdr w:val="none" w:sz="0" w:space="0" w:color="auto"/>
        </w:rPr>
        <w:tab/>
      </w:r>
      <w:r w:rsidRPr="00047311">
        <w:rPr>
          <w:rFonts w:eastAsia="Times New Roman"/>
          <w:bdr w:val="none" w:sz="0" w:space="0" w:color="auto"/>
        </w:rPr>
        <w:tab/>
      </w:r>
      <w:r w:rsidRPr="00047311">
        <w:rPr>
          <w:rFonts w:eastAsia="Times New Roman"/>
          <w:bdr w:val="none" w:sz="0" w:space="0" w:color="auto"/>
        </w:rPr>
        <w:tab/>
      </w:r>
      <w:r w:rsidRPr="00047311">
        <w:rPr>
          <w:rFonts w:eastAsia="Times New Roman"/>
          <w:bdr w:val="none" w:sz="0" w:space="0" w:color="auto"/>
        </w:rPr>
        <w:tab/>
        <w:t>Assistant Consumers</w:t>
      </w:r>
      <w:r w:rsidR="00047311">
        <w:rPr>
          <w:rFonts w:eastAsia="Times New Roman"/>
          <w:bdr w:val="none" w:sz="0" w:space="0" w:color="auto"/>
        </w:rPr>
        <w:t>’</w:t>
      </w:r>
      <w:r w:rsidRPr="00047311">
        <w:rPr>
          <w:rFonts w:eastAsia="Times New Roman"/>
          <w:bdr w:val="none" w:sz="0" w:space="0" w:color="auto"/>
        </w:rPr>
        <w:t xml:space="preserve"> Counsel</w:t>
      </w:r>
    </w:p>
    <w:p w:rsidR="00CD47F8" w:rsidRPr="00047311" w:rsidP="00EB36ED" w14:paraId="0C51BD54" w14:textId="6C3AFFC7">
      <w:pPr>
        <w:tabs>
          <w:tab w:val="left" w:pos="4320"/>
        </w:tabs>
      </w:pPr>
    </w:p>
    <w:p w:rsidR="00CD47F8" w:rsidRPr="00047311" w:rsidP="00CD47F8" w14:paraId="36D8E5F4" w14:textId="70A3F951">
      <w:r w:rsidRPr="00047311">
        <w:t>The PUCO</w:t>
      </w:r>
      <w:r w:rsidR="00047311">
        <w:t>’</w:t>
      </w:r>
      <w:r w:rsidRPr="00047311">
        <w:t>s e-filing system will electronically serve notice of the filing of this document on the following parties:</w:t>
      </w:r>
    </w:p>
    <w:p w:rsidR="00CD47F8" w:rsidRPr="00047311" w:rsidP="00CD47F8" w14:paraId="39FAA273" w14:textId="77777777"/>
    <w:p w:rsidR="00CD47F8" w:rsidRPr="00047311" w:rsidP="00CD47F8" w14:paraId="5F36E354" w14:textId="77777777">
      <w:pPr>
        <w:jc w:val="center"/>
        <w:rPr>
          <w:b/>
          <w:bCs/>
          <w:u w:val="single"/>
        </w:rPr>
      </w:pPr>
      <w:r w:rsidRPr="00047311">
        <w:rPr>
          <w:b/>
          <w:bCs/>
          <w:u w:val="single"/>
        </w:rPr>
        <w:t>SERVICE LIST</w:t>
      </w:r>
    </w:p>
    <w:p w:rsidR="00CD47F8" w:rsidRPr="00047311" w:rsidP="00CD47F8" w14:paraId="57BBE747" w14:textId="77777777">
      <w:pPr>
        <w:jc w:val="center"/>
        <w:rPr>
          <w:b/>
          <w:bCs/>
          <w:u w:val="single"/>
        </w:rPr>
      </w:pPr>
    </w:p>
    <w:tbl>
      <w:tblPr>
        <w:tblW w:w="8640" w:type="dxa"/>
        <w:tblInd w:w="0" w:type="dxa"/>
        <w:tblCellMar>
          <w:top w:w="0" w:type="dxa"/>
          <w:left w:w="108" w:type="dxa"/>
          <w:bottom w:w="0" w:type="dxa"/>
          <w:right w:w="108" w:type="dxa"/>
        </w:tblCellMar>
        <w:tblLook w:val="04A0"/>
      </w:tblPr>
      <w:tblGrid>
        <w:gridCol w:w="4476"/>
        <w:gridCol w:w="4164"/>
      </w:tblGrid>
      <w:tr w14:paraId="60ABB493" w14:textId="77777777" w:rsidTr="003579CA">
        <w:tblPrEx>
          <w:tblW w:w="8640" w:type="dxa"/>
          <w:tblInd w:w="0" w:type="dxa"/>
          <w:tblCellMar>
            <w:top w:w="0" w:type="dxa"/>
            <w:left w:w="108" w:type="dxa"/>
            <w:bottom w:w="0" w:type="dxa"/>
            <w:right w:w="108" w:type="dxa"/>
          </w:tblCellMar>
          <w:tblLook w:val="04A0"/>
        </w:tblPrEx>
        <w:tc>
          <w:tcPr>
            <w:tcW w:w="4320" w:type="dxa"/>
            <w:shd w:val="clear" w:color="auto" w:fill="auto"/>
          </w:tcPr>
          <w:p w:rsidR="0018359B" w:rsidRPr="00047311" w:rsidP="003579CA" w14:paraId="34352D13" w14:textId="77777777">
            <w:pPr>
              <w:rPr>
                <w:rFonts w:eastAsia="Times New Roman"/>
                <w:sz w:val="24"/>
                <w:szCs w:val="24"/>
                <w:bdr w:val="nil"/>
                <w:lang w:val="en-US" w:eastAsia="en-US" w:bidi="ar-SA"/>
              </w:rPr>
            </w:pPr>
            <w:hyperlink r:id="rId15" w:history="1">
              <w:r w:rsidRPr="00047311">
                <w:rPr>
                  <w:rFonts w:eastAsia="Times New Roman"/>
                  <w:color w:val="0000FF"/>
                  <w:sz w:val="24"/>
                  <w:szCs w:val="24"/>
                  <w:u w:val="single"/>
                  <w:bdr w:val="nil"/>
                  <w:lang w:val="en-US" w:eastAsia="en-US" w:bidi="ar-SA"/>
                </w:rPr>
                <w:t>ambrosia.wilson@ohioago.gov</w:t>
              </w:r>
            </w:hyperlink>
          </w:p>
          <w:p w:rsidR="0018359B" w:rsidRPr="00047311" w:rsidP="003579CA" w14:paraId="770EF496" w14:textId="77777777">
            <w:pPr>
              <w:rPr>
                <w:rFonts w:eastAsia="Times New Roman"/>
                <w:sz w:val="24"/>
                <w:szCs w:val="24"/>
                <w:bdr w:val="nil"/>
                <w:lang w:val="en-US" w:eastAsia="en-US" w:bidi="ar-SA"/>
              </w:rPr>
            </w:pPr>
            <w:hyperlink r:id="rId16" w:history="1">
              <w:r w:rsidRPr="00047311">
                <w:rPr>
                  <w:rFonts w:eastAsia="Times New Roman"/>
                  <w:color w:val="0000FF"/>
                  <w:sz w:val="24"/>
                  <w:szCs w:val="24"/>
                  <w:u w:val="single"/>
                  <w:bdr w:val="nil"/>
                  <w:lang w:val="en-US" w:eastAsia="en-US" w:bidi="ar-SA"/>
                </w:rPr>
                <w:t>janet.gregory@ohioago.gov</w:t>
              </w:r>
            </w:hyperlink>
          </w:p>
          <w:p w:rsidR="0018359B" w:rsidRPr="00047311" w:rsidP="003579CA" w14:paraId="13CA11A9" w14:textId="77777777">
            <w:pPr>
              <w:rPr>
                <w:rFonts w:eastAsia="Times New Roman"/>
                <w:bCs/>
                <w:color w:val="0000FF"/>
                <w:sz w:val="24"/>
                <w:szCs w:val="24"/>
                <w:u w:val="single"/>
                <w:bdr w:val="nil"/>
                <w:lang w:val="en-US" w:eastAsia="en-US" w:bidi="ar-SA"/>
              </w:rPr>
            </w:pPr>
            <w:r w:rsidRPr="00047311">
              <w:rPr>
                <w:rFonts w:eastAsia="Times New Roman"/>
                <w:bCs/>
                <w:color w:val="0000FF"/>
                <w:sz w:val="24"/>
                <w:szCs w:val="24"/>
                <w:u w:val="single"/>
                <w:bdr w:val="nil"/>
                <w:lang w:val="en-US" w:eastAsia="en-US" w:bidi="ar-SA"/>
              </w:rPr>
              <w:t>connor.semple@ohioago.gov</w:t>
            </w:r>
          </w:p>
          <w:p w:rsidR="0018359B" w:rsidRPr="00047311" w:rsidP="003579CA" w14:paraId="4A143AEA" w14:textId="77777777">
            <w:pPr>
              <w:rPr>
                <w:rFonts w:eastAsia="Times New Roman"/>
                <w:sz w:val="24"/>
                <w:szCs w:val="24"/>
                <w:bdr w:val="nil"/>
                <w:lang w:val="en-US" w:eastAsia="en-US" w:bidi="ar-SA"/>
              </w:rPr>
            </w:pPr>
            <w:hyperlink r:id="rId17" w:history="1">
              <w:r w:rsidRPr="00047311">
                <w:rPr>
                  <w:rFonts w:eastAsia="Times New Roman"/>
                  <w:color w:val="0000FF"/>
                  <w:sz w:val="24"/>
                  <w:szCs w:val="24"/>
                  <w:u w:val="single"/>
                  <w:bdr w:val="nil"/>
                  <w:lang w:val="en-US" w:eastAsia="en-US" w:bidi="ar-SA"/>
                </w:rPr>
                <w:t>knordstrom@theOEC.org</w:t>
              </w:r>
            </w:hyperlink>
          </w:p>
          <w:p w:rsidR="0018359B" w:rsidRPr="00047311" w:rsidP="003579CA" w14:paraId="0524F788" w14:textId="77777777">
            <w:pPr>
              <w:rPr>
                <w:rFonts w:eastAsia="Times New Roman"/>
                <w:color w:val="0000FF"/>
                <w:sz w:val="24"/>
                <w:szCs w:val="24"/>
                <w:u w:val="single"/>
                <w:bdr w:val="nil"/>
                <w:lang w:val="en-US" w:eastAsia="en-US" w:bidi="ar-SA"/>
              </w:rPr>
            </w:pPr>
            <w:hyperlink r:id="rId18" w:history="1">
              <w:r w:rsidRPr="00047311">
                <w:rPr>
                  <w:rFonts w:eastAsia="Times New Roman"/>
                  <w:color w:val="0000FF"/>
                  <w:sz w:val="24"/>
                  <w:szCs w:val="24"/>
                  <w:u w:val="single"/>
                  <w:bdr w:val="nil"/>
                  <w:lang w:val="en-US" w:eastAsia="en-US" w:bidi="ar-SA"/>
                </w:rPr>
                <w:t>ctavenor@theOEC.org</w:t>
              </w:r>
            </w:hyperlink>
          </w:p>
          <w:p w:rsidR="0018359B" w:rsidRPr="00047311" w:rsidP="003579CA" w14:paraId="7638CBAF" w14:textId="77777777">
            <w:pPr>
              <w:rPr>
                <w:rFonts w:eastAsia="Times New Roman"/>
                <w:sz w:val="24"/>
                <w:szCs w:val="24"/>
                <w:bdr w:val="nil"/>
                <w:lang w:val="en-US" w:eastAsia="en-US" w:bidi="ar-SA"/>
              </w:rPr>
            </w:pPr>
            <w:hyperlink r:id="rId19" w:history="1">
              <w:r w:rsidRPr="00047311">
                <w:rPr>
                  <w:rFonts w:eastAsia="Times New Roman"/>
                  <w:color w:val="0000FF"/>
                  <w:sz w:val="24"/>
                  <w:szCs w:val="24"/>
                  <w:u w:val="single"/>
                  <w:bdr w:val="nil"/>
                  <w:lang w:val="en-US" w:eastAsia="en-US" w:bidi="ar-SA"/>
                </w:rPr>
                <w:t>jdunn@oneenergyllc.com</w:t>
              </w:r>
            </w:hyperlink>
          </w:p>
          <w:p w:rsidR="0018359B" w:rsidRPr="00047311" w:rsidP="003579CA" w14:paraId="7BEAEA03" w14:textId="77777777">
            <w:pPr>
              <w:rPr>
                <w:rFonts w:eastAsia="Times New Roman"/>
                <w:color w:val="0000FF"/>
                <w:sz w:val="24"/>
                <w:szCs w:val="24"/>
                <w:u w:val="single"/>
                <w:bdr w:val="nil"/>
                <w:lang w:val="en-US" w:eastAsia="en-US" w:bidi="ar-SA"/>
              </w:rPr>
            </w:pPr>
            <w:hyperlink r:id="rId20" w:history="1">
              <w:r w:rsidRPr="00047311">
                <w:rPr>
                  <w:rFonts w:eastAsia="Times New Roman"/>
                  <w:color w:val="0000FF"/>
                  <w:sz w:val="24"/>
                  <w:szCs w:val="24"/>
                  <w:u w:val="single"/>
                  <w:bdr w:val="nil"/>
                  <w:lang w:val="en-US" w:eastAsia="en-US" w:bidi="ar-SA"/>
                </w:rPr>
                <w:t>ktreadway@oneenergyllc.com</w:t>
              </w:r>
            </w:hyperlink>
          </w:p>
          <w:p w:rsidR="0018359B" w:rsidRPr="00047311" w:rsidP="003579CA" w14:paraId="7E207597" w14:textId="77777777">
            <w:pPr>
              <w:rPr>
                <w:rFonts w:eastAsia="Times New Roman"/>
                <w:color w:val="0000FF"/>
                <w:sz w:val="24"/>
                <w:szCs w:val="24"/>
                <w:u w:val="single"/>
                <w:bdr w:val="nil"/>
                <w:lang w:val="en-US" w:eastAsia="en-US" w:bidi="ar-SA"/>
              </w:rPr>
            </w:pPr>
            <w:hyperlink r:id="rId21" w:history="1">
              <w:r w:rsidRPr="00047311">
                <w:rPr>
                  <w:rFonts w:eastAsia="Times New Roman"/>
                  <w:color w:val="0000FF"/>
                  <w:sz w:val="24"/>
                  <w:szCs w:val="24"/>
                  <w:u w:val="single"/>
                  <w:bdr w:val="nil"/>
                  <w:lang w:val="en-US" w:eastAsia="en-US" w:bidi="ar-SA"/>
                </w:rPr>
                <w:t>emcconnell@elpc.org</w:t>
              </w:r>
            </w:hyperlink>
          </w:p>
          <w:p w:rsidR="0018359B" w:rsidRPr="00047311" w:rsidP="003579CA" w14:paraId="3E4C0F7A" w14:textId="77777777">
            <w:pPr>
              <w:rPr>
                <w:rFonts w:eastAsia="Times New Roman"/>
                <w:color w:val="0000FF"/>
                <w:sz w:val="24"/>
                <w:szCs w:val="24"/>
                <w:u w:val="single"/>
                <w:bdr w:val="nil"/>
                <w:lang w:val="en-US" w:eastAsia="en-US" w:bidi="ar-SA"/>
              </w:rPr>
            </w:pPr>
            <w:r w:rsidRPr="00047311">
              <w:rPr>
                <w:rFonts w:eastAsia="Times New Roman"/>
                <w:color w:val="0000FF"/>
                <w:sz w:val="24"/>
                <w:szCs w:val="24"/>
                <w:u w:val="single"/>
                <w:bdr w:val="nil"/>
                <w:lang w:val="en-US" w:eastAsia="en-US" w:bidi="ar-SA"/>
              </w:rPr>
              <w:t>EWalton@elpc.org</w:t>
            </w:r>
          </w:p>
          <w:p w:rsidR="0018359B" w:rsidRPr="00047311" w:rsidP="003579CA" w14:paraId="06FA8B46" w14:textId="77777777">
            <w:pPr>
              <w:rPr>
                <w:rFonts w:eastAsia="Times New Roman"/>
                <w:color w:val="0000FF"/>
                <w:sz w:val="24"/>
                <w:szCs w:val="24"/>
                <w:u w:val="single"/>
                <w:bdr w:val="nil"/>
                <w:lang w:val="en-US" w:eastAsia="en-US" w:bidi="ar-SA"/>
              </w:rPr>
            </w:pPr>
            <w:hyperlink r:id="rId22" w:history="1">
              <w:r w:rsidRPr="00047311">
                <w:rPr>
                  <w:rFonts w:eastAsia="Times New Roman"/>
                  <w:color w:val="0000FF"/>
                  <w:sz w:val="24"/>
                  <w:szCs w:val="24"/>
                  <w:u w:val="single"/>
                  <w:bdr w:val="nil"/>
                  <w:lang w:val="en-US" w:eastAsia="en-US" w:bidi="ar-SA"/>
                </w:rPr>
                <w:t>trent@hubaydougherty.com</w:t>
              </w:r>
            </w:hyperlink>
          </w:p>
          <w:p w:rsidR="0018359B" w:rsidRPr="00047311" w:rsidP="003579CA" w14:paraId="54BDA8A3" w14:textId="77777777">
            <w:pPr>
              <w:rPr>
                <w:rFonts w:eastAsia="Times New Roman"/>
                <w:color w:val="0000FF"/>
                <w:sz w:val="24"/>
                <w:szCs w:val="24"/>
                <w:u w:val="single"/>
                <w:bdr w:val="nil"/>
                <w:lang w:val="en-US" w:eastAsia="en-US" w:bidi="ar-SA"/>
              </w:rPr>
            </w:pPr>
            <w:hyperlink r:id="rId23" w:history="1">
              <w:r w:rsidRPr="00047311">
                <w:rPr>
                  <w:rFonts w:eastAsia="Times New Roman"/>
                  <w:color w:val="0000FF"/>
                  <w:sz w:val="24"/>
                  <w:szCs w:val="24"/>
                  <w:u w:val="single"/>
                  <w:bdr w:val="nil"/>
                  <w:lang w:val="en-US" w:eastAsia="en-US" w:bidi="ar-SA"/>
                </w:rPr>
                <w:t>Paul@carpenterlipps.com</w:t>
              </w:r>
            </w:hyperlink>
          </w:p>
          <w:p w:rsidR="0018359B" w:rsidRPr="00047311" w:rsidP="003579CA" w14:paraId="0AFB5580" w14:textId="77777777">
            <w:pPr>
              <w:rPr>
                <w:rFonts w:eastAsia="Times New Roman"/>
                <w:color w:val="0000FF"/>
                <w:sz w:val="24"/>
                <w:szCs w:val="24"/>
                <w:u w:val="single"/>
                <w:bdr w:val="nil"/>
                <w:lang w:val="en-US" w:eastAsia="en-US" w:bidi="ar-SA"/>
              </w:rPr>
            </w:pPr>
            <w:hyperlink r:id="rId24" w:history="1">
              <w:r w:rsidRPr="00047311">
                <w:rPr>
                  <w:rFonts w:eastAsia="Times New Roman"/>
                  <w:color w:val="0000FF"/>
                  <w:sz w:val="24"/>
                  <w:szCs w:val="24"/>
                  <w:u w:val="single"/>
                  <w:bdr w:val="nil"/>
                  <w:lang w:val="en-US" w:eastAsia="en-US" w:bidi="ar-SA"/>
                </w:rPr>
                <w:t>brian.gibbs@nationwideenergypartners.com</w:t>
              </w:r>
            </w:hyperlink>
          </w:p>
          <w:p w:rsidR="0018359B" w:rsidRPr="00047311" w:rsidP="003579CA" w14:paraId="670BD2A2" w14:textId="77777777">
            <w:pPr>
              <w:rPr>
                <w:rFonts w:eastAsia="Times New Roman"/>
                <w:color w:val="0000FF"/>
                <w:sz w:val="24"/>
                <w:szCs w:val="24"/>
                <w:u w:val="single"/>
                <w:bdr w:val="nil"/>
                <w:lang w:val="en-US" w:eastAsia="en-US" w:bidi="ar-SA"/>
              </w:rPr>
            </w:pPr>
            <w:hyperlink r:id="rId25" w:history="1">
              <w:r w:rsidRPr="00047311">
                <w:rPr>
                  <w:rFonts w:eastAsia="Times New Roman"/>
                  <w:color w:val="0000FF"/>
                  <w:sz w:val="24"/>
                  <w:szCs w:val="24"/>
                  <w:u w:val="single"/>
                  <w:bdr w:val="nil"/>
                  <w:lang w:val="en-US" w:eastAsia="en-US" w:bidi="ar-SA"/>
                </w:rPr>
                <w:t>kevin.frank@cincinnati-oh.gov</w:t>
              </w:r>
            </w:hyperlink>
          </w:p>
          <w:p w:rsidR="0018359B" w:rsidRPr="00047311" w:rsidP="003579CA" w14:paraId="4B9C8776" w14:textId="77777777">
            <w:pPr>
              <w:rPr>
                <w:rFonts w:eastAsia="Times New Roman"/>
                <w:sz w:val="24"/>
                <w:szCs w:val="24"/>
                <w:bdr w:val="nil"/>
                <w:lang w:val="en-US" w:eastAsia="en-US" w:bidi="ar-SA"/>
              </w:rPr>
            </w:pPr>
            <w:hyperlink r:id="rId26" w:history="1">
              <w:r w:rsidRPr="00047311">
                <w:rPr>
                  <w:rFonts w:eastAsia="Times New Roman"/>
                  <w:color w:val="0000FF"/>
                  <w:sz w:val="24"/>
                  <w:szCs w:val="24"/>
                  <w:u w:val="single"/>
                  <w:bdr w:val="nil"/>
                  <w:lang w:val="en-US" w:eastAsia="en-US" w:bidi="ar-SA"/>
                </w:rPr>
                <w:t>mpritchard@mcneeslaw.com</w:t>
              </w:r>
            </w:hyperlink>
          </w:p>
          <w:p w:rsidR="0018359B" w:rsidRPr="00047311" w:rsidP="003579CA" w14:paraId="4F05A850" w14:textId="77777777">
            <w:pPr>
              <w:rPr>
                <w:rFonts w:eastAsia="Times New Roman"/>
                <w:color w:val="0000FF"/>
                <w:sz w:val="24"/>
                <w:szCs w:val="24"/>
                <w:u w:val="single"/>
                <w:bdr w:val="nil"/>
                <w:lang w:val="en-US" w:eastAsia="en-US" w:bidi="ar-SA"/>
              </w:rPr>
            </w:pPr>
            <w:r w:rsidRPr="00047311">
              <w:rPr>
                <w:rFonts w:eastAsia="Times New Roman"/>
                <w:color w:val="0000FF"/>
                <w:sz w:val="24"/>
                <w:szCs w:val="24"/>
                <w:u w:val="single"/>
                <w:bdr w:val="nil"/>
                <w:lang w:val="en-US" w:eastAsia="en-US" w:bidi="ar-SA"/>
              </w:rPr>
              <w:t>rdove@keglerbrown.com</w:t>
            </w:r>
          </w:p>
          <w:p w:rsidR="0018359B" w:rsidRPr="00047311" w:rsidP="003579CA" w14:paraId="2716D4DD" w14:textId="77777777">
            <w:pPr>
              <w:rPr>
                <w:rFonts w:eastAsia="Times New Roman"/>
                <w:sz w:val="24"/>
                <w:szCs w:val="24"/>
                <w:bdr w:val="nil"/>
                <w:lang w:val="en-US" w:eastAsia="en-US" w:bidi="ar-SA"/>
              </w:rPr>
            </w:pPr>
          </w:p>
          <w:p w:rsidR="0018359B" w:rsidRPr="00047311" w:rsidP="003579CA" w14:paraId="31F0E6EC" w14:textId="77777777">
            <w:pPr>
              <w:rPr>
                <w:rFonts w:eastAsia="Times New Roman"/>
                <w:sz w:val="24"/>
                <w:szCs w:val="24"/>
                <w:bdr w:val="nil"/>
                <w:lang w:val="en-US" w:eastAsia="en-US" w:bidi="ar-SA"/>
              </w:rPr>
            </w:pPr>
            <w:r w:rsidRPr="00047311">
              <w:rPr>
                <w:rFonts w:eastAsia="Times New Roman"/>
                <w:sz w:val="24"/>
                <w:szCs w:val="24"/>
                <w:bdr w:val="nil"/>
                <w:lang w:val="en-US" w:eastAsia="en-US" w:bidi="ar-SA"/>
              </w:rPr>
              <w:t>Administrative Law Judges:</w:t>
            </w:r>
          </w:p>
          <w:p w:rsidR="0018359B" w:rsidRPr="00047311" w:rsidP="003579CA" w14:paraId="01D7ADE6" w14:textId="77777777">
            <w:pPr>
              <w:rPr>
                <w:rFonts w:eastAsia="Times New Roman"/>
                <w:sz w:val="24"/>
                <w:szCs w:val="24"/>
                <w:bdr w:val="nil"/>
                <w:lang w:val="en-US" w:eastAsia="en-US" w:bidi="ar-SA"/>
              </w:rPr>
            </w:pPr>
            <w:hyperlink r:id="rId27" w:history="1">
              <w:r w:rsidRPr="00047311">
                <w:rPr>
                  <w:rFonts w:eastAsia="Times New Roman"/>
                  <w:color w:val="0000FF"/>
                  <w:sz w:val="24"/>
                  <w:szCs w:val="24"/>
                  <w:u w:val="single"/>
                  <w:bdr w:val="nil"/>
                  <w:lang w:val="en-US" w:eastAsia="en-US" w:bidi="ar-SA"/>
                </w:rPr>
                <w:t>matthew.sandor@puco.ohio.gov</w:t>
              </w:r>
            </w:hyperlink>
          </w:p>
          <w:p w:rsidR="0018359B" w:rsidRPr="00047311" w:rsidP="003579CA" w14:paraId="4A3712F1" w14:textId="77777777">
            <w:pPr>
              <w:rPr>
                <w:rFonts w:eastAsia="Times New Roman"/>
                <w:color w:val="0000FF"/>
                <w:sz w:val="24"/>
                <w:szCs w:val="24"/>
                <w:u w:val="single"/>
                <w:bdr w:val="nil"/>
                <w:lang w:val="en-US" w:eastAsia="en-US" w:bidi="ar-SA"/>
              </w:rPr>
            </w:pPr>
            <w:hyperlink r:id="rId28" w:history="1">
              <w:r w:rsidRPr="00047311">
                <w:rPr>
                  <w:rFonts w:eastAsia="Times New Roman"/>
                  <w:color w:val="0000FF"/>
                  <w:sz w:val="24"/>
                  <w:szCs w:val="24"/>
                  <w:u w:val="single"/>
                  <w:bdr w:val="nil"/>
                  <w:lang w:val="en-US" w:eastAsia="en-US" w:bidi="ar-SA"/>
                </w:rPr>
                <w:t>nicholas.walstra@puco.ohio.gov</w:t>
              </w:r>
            </w:hyperlink>
          </w:p>
          <w:p w:rsidR="0018359B" w:rsidRPr="00047311" w:rsidP="003579CA" w14:paraId="3DDE7ED8" w14:textId="77777777">
            <w:pPr>
              <w:rPr>
                <w:rFonts w:eastAsia="Times New Roman"/>
                <w:sz w:val="24"/>
                <w:szCs w:val="24"/>
                <w:bdr w:val="nil"/>
                <w:lang w:val="en-US" w:eastAsia="en-US" w:bidi="ar-SA"/>
              </w:rPr>
            </w:pPr>
            <w:hyperlink r:id="rId29" w:history="1">
              <w:r w:rsidRPr="00047311">
                <w:rPr>
                  <w:rStyle w:val="Hyperlink"/>
                  <w:rFonts w:eastAsia="Times New Roman"/>
                  <w:color w:val="0000FF"/>
                  <w:sz w:val="24"/>
                  <w:szCs w:val="24"/>
                  <w:u w:val="single"/>
                  <w:bdr w:val="nil"/>
                  <w:lang w:val="en-US" w:eastAsia="en-US" w:bidi="ar-SA"/>
                </w:rPr>
                <w:t>clint.white@puco.ohio.gov</w:t>
              </w:r>
            </w:hyperlink>
          </w:p>
          <w:p w:rsidR="0018359B" w:rsidRPr="00047311" w:rsidP="003579CA" w14:paraId="1BB50667" w14:textId="77777777">
            <w:pPr>
              <w:rPr>
                <w:rFonts w:eastAsia="Times New Roman"/>
                <w:sz w:val="24"/>
                <w:szCs w:val="24"/>
                <w:bdr w:val="nil"/>
                <w:lang w:val="en-US" w:eastAsia="en-US" w:bidi="ar-SA"/>
              </w:rPr>
            </w:pPr>
          </w:p>
          <w:p w:rsidR="0018359B" w:rsidRPr="00047311" w:rsidP="003579CA" w14:paraId="0AC36068" w14:textId="77777777">
            <w:pPr>
              <w:rPr>
                <w:rFonts w:eastAsia="Times New Roman"/>
                <w:sz w:val="24"/>
                <w:szCs w:val="24"/>
                <w:bdr w:val="nil"/>
                <w:lang w:val="en-US" w:eastAsia="en-US" w:bidi="ar-SA"/>
              </w:rPr>
            </w:pPr>
          </w:p>
          <w:p w:rsidR="0018359B" w:rsidRPr="00047311" w:rsidP="003579CA" w14:paraId="04563819" w14:textId="77777777">
            <w:pPr>
              <w:rPr>
                <w:rFonts w:eastAsia="Times New Roman"/>
                <w:bCs/>
                <w:sz w:val="24"/>
                <w:szCs w:val="24"/>
                <w:bdr w:val="nil"/>
                <w:lang w:val="en-US" w:eastAsia="en-US" w:bidi="ar-SA"/>
              </w:rPr>
            </w:pPr>
          </w:p>
          <w:p w:rsidR="0018359B" w:rsidRPr="00047311" w:rsidP="003579CA" w14:paraId="7AB2C10A" w14:textId="77777777">
            <w:pPr>
              <w:rPr>
                <w:rFonts w:eastAsia="Times New Roman"/>
                <w:bCs/>
                <w:sz w:val="24"/>
                <w:szCs w:val="24"/>
                <w:bdr w:val="nil"/>
                <w:lang w:val="en-US" w:eastAsia="en-US" w:bidi="ar-SA"/>
              </w:rPr>
            </w:pPr>
          </w:p>
        </w:tc>
        <w:tc>
          <w:tcPr>
            <w:tcW w:w="4320" w:type="dxa"/>
            <w:shd w:val="clear" w:color="auto" w:fill="auto"/>
          </w:tcPr>
          <w:p w:rsidR="0018359B" w:rsidRPr="00047311" w:rsidP="003579CA" w14:paraId="36A4920C" w14:textId="77777777">
            <w:pPr>
              <w:ind w:left="192"/>
              <w:rPr>
                <w:rFonts w:eastAsia="Times New Roman"/>
                <w:sz w:val="24"/>
                <w:szCs w:val="24"/>
                <w:bdr w:val="nil"/>
                <w:lang w:val="en-US" w:eastAsia="en-US" w:bidi="ar-SA"/>
              </w:rPr>
            </w:pPr>
            <w:hyperlink r:id="rId30" w:history="1">
              <w:r w:rsidRPr="00047311">
                <w:rPr>
                  <w:rFonts w:eastAsia="Times New Roman"/>
                  <w:color w:val="0000FF"/>
                  <w:sz w:val="24"/>
                  <w:szCs w:val="24"/>
                  <w:u w:val="single"/>
                  <w:bdr w:val="nil"/>
                  <w:lang w:val="en-US" w:eastAsia="en-US" w:bidi="ar-SA"/>
                </w:rPr>
                <w:t>rocco.dascenzo@duke-energy.com</w:t>
              </w:r>
            </w:hyperlink>
          </w:p>
          <w:p w:rsidR="0018359B" w:rsidRPr="00047311" w:rsidP="003579CA" w14:paraId="6283A21C" w14:textId="77777777">
            <w:pPr>
              <w:ind w:left="192"/>
              <w:rPr>
                <w:rFonts w:eastAsia="Times New Roman"/>
                <w:sz w:val="24"/>
                <w:szCs w:val="24"/>
                <w:bdr w:val="nil"/>
                <w:lang w:val="en-US" w:eastAsia="en-US" w:bidi="ar-SA"/>
              </w:rPr>
            </w:pPr>
            <w:hyperlink r:id="rId31" w:history="1">
              <w:r w:rsidRPr="00047311">
                <w:rPr>
                  <w:rFonts w:eastAsia="Times New Roman"/>
                  <w:color w:val="0000FF"/>
                  <w:sz w:val="24"/>
                  <w:szCs w:val="24"/>
                  <w:u w:val="single"/>
                  <w:bdr w:val="nil"/>
                  <w:lang w:val="en-US" w:eastAsia="en-US" w:bidi="ar-SA"/>
                </w:rPr>
                <w:t>jeanne.kingery@duke-energy.com</w:t>
              </w:r>
            </w:hyperlink>
          </w:p>
          <w:p w:rsidR="0018359B" w:rsidRPr="00047311" w:rsidP="003579CA" w14:paraId="6EEEFE83" w14:textId="77777777">
            <w:pPr>
              <w:ind w:left="192"/>
              <w:rPr>
                <w:rFonts w:eastAsia="Times New Roman"/>
                <w:sz w:val="24"/>
                <w:szCs w:val="24"/>
                <w:bdr w:val="nil"/>
                <w:lang w:val="en-US" w:eastAsia="en-US" w:bidi="ar-SA"/>
              </w:rPr>
            </w:pPr>
            <w:hyperlink r:id="rId32" w:history="1">
              <w:r w:rsidRPr="00047311">
                <w:rPr>
                  <w:rFonts w:eastAsia="Times New Roman"/>
                  <w:color w:val="0000FF"/>
                  <w:sz w:val="24"/>
                  <w:szCs w:val="24"/>
                  <w:u w:val="single"/>
                  <w:bdr w:val="nil"/>
                  <w:lang w:val="en-US" w:eastAsia="en-US" w:bidi="ar-SA"/>
                </w:rPr>
                <w:t>larisa.vaysman@duke-energy.com</w:t>
              </w:r>
            </w:hyperlink>
          </w:p>
          <w:p w:rsidR="0018359B" w:rsidRPr="00047311" w:rsidP="003579CA" w14:paraId="61A6C878" w14:textId="77777777">
            <w:pPr>
              <w:ind w:left="192"/>
              <w:rPr>
                <w:rFonts w:eastAsia="Times New Roman"/>
                <w:sz w:val="24"/>
                <w:szCs w:val="24"/>
                <w:bdr w:val="nil"/>
                <w:lang w:val="en-US" w:eastAsia="en-US" w:bidi="ar-SA"/>
              </w:rPr>
            </w:pPr>
            <w:hyperlink r:id="rId33" w:history="1">
              <w:r w:rsidRPr="00047311">
                <w:rPr>
                  <w:rFonts w:eastAsia="Times New Roman"/>
                  <w:color w:val="0000FF"/>
                  <w:sz w:val="24"/>
                  <w:szCs w:val="24"/>
                  <w:u w:val="single"/>
                  <w:bdr w:val="nil"/>
                  <w:lang w:val="en-US" w:eastAsia="en-US" w:bidi="ar-SA"/>
                </w:rPr>
                <w:t>elyse.akhbari@duke-energy.com</w:t>
              </w:r>
            </w:hyperlink>
          </w:p>
          <w:p w:rsidR="0018359B" w:rsidRPr="00047311" w:rsidP="003579CA" w14:paraId="56659E8D" w14:textId="77777777">
            <w:pPr>
              <w:ind w:left="192"/>
              <w:rPr>
                <w:rFonts w:eastAsia="Times New Roman"/>
                <w:sz w:val="24"/>
                <w:szCs w:val="24"/>
                <w:bdr w:val="nil"/>
                <w:lang w:val="en-US" w:eastAsia="en-US" w:bidi="ar-SA"/>
              </w:rPr>
            </w:pPr>
            <w:hyperlink r:id="rId34" w:history="1">
              <w:r w:rsidRPr="00047311">
                <w:rPr>
                  <w:rFonts w:eastAsia="Times New Roman"/>
                  <w:color w:val="0000FF"/>
                  <w:sz w:val="24"/>
                  <w:szCs w:val="24"/>
                  <w:u w:val="single"/>
                  <w:bdr w:val="nil"/>
                  <w:lang w:val="en-US" w:eastAsia="en-US" w:bidi="ar-SA"/>
                </w:rPr>
                <w:t>mkurtz@BKLlawfirm.com</w:t>
              </w:r>
            </w:hyperlink>
          </w:p>
          <w:p w:rsidR="0018359B" w:rsidRPr="00047311" w:rsidP="003579CA" w14:paraId="138063D6" w14:textId="77777777">
            <w:pPr>
              <w:ind w:left="192"/>
              <w:rPr>
                <w:rFonts w:eastAsia="Times New Roman"/>
                <w:color w:val="0000FF"/>
                <w:sz w:val="24"/>
                <w:szCs w:val="24"/>
                <w:u w:val="single"/>
                <w:bdr w:val="nil"/>
                <w:lang w:val="en-US" w:eastAsia="en-US" w:bidi="ar-SA"/>
              </w:rPr>
            </w:pPr>
            <w:hyperlink r:id="rId35" w:history="1">
              <w:r w:rsidRPr="00047311">
                <w:rPr>
                  <w:rFonts w:eastAsia="Times New Roman"/>
                  <w:color w:val="0000FF"/>
                  <w:sz w:val="24"/>
                  <w:szCs w:val="24"/>
                  <w:u w:val="single"/>
                  <w:bdr w:val="nil"/>
                  <w:lang w:val="en-US" w:eastAsia="en-US" w:bidi="ar-SA"/>
                </w:rPr>
                <w:t>jkylercohn@BKLlawfirm.com</w:t>
              </w:r>
            </w:hyperlink>
          </w:p>
          <w:p w:rsidR="0018359B" w:rsidRPr="00047311" w:rsidP="003579CA" w14:paraId="3F82CFB3" w14:textId="77777777">
            <w:pPr>
              <w:ind w:left="192"/>
              <w:rPr>
                <w:rFonts w:eastAsia="Times New Roman"/>
                <w:sz w:val="24"/>
                <w:szCs w:val="24"/>
                <w:bdr w:val="nil"/>
                <w:lang w:val="en-US" w:eastAsia="en-US" w:bidi="ar-SA"/>
              </w:rPr>
            </w:pPr>
            <w:hyperlink r:id="rId36" w:history="1">
              <w:r w:rsidRPr="00047311">
                <w:rPr>
                  <w:rFonts w:eastAsia="Times New Roman"/>
                  <w:color w:val="0000FF"/>
                  <w:sz w:val="24"/>
                  <w:szCs w:val="24"/>
                  <w:u w:val="single"/>
                  <w:bdr w:val="nil"/>
                  <w:lang w:val="en-US" w:eastAsia="en-US" w:bidi="ar-SA"/>
                </w:rPr>
                <w:t>dproano@bakerlaw.com</w:t>
              </w:r>
            </w:hyperlink>
          </w:p>
          <w:p w:rsidR="0018359B" w:rsidRPr="00047311" w:rsidP="003579CA" w14:paraId="1866E065" w14:textId="77777777">
            <w:pPr>
              <w:ind w:left="192"/>
              <w:rPr>
                <w:rFonts w:eastAsia="Times New Roman"/>
                <w:color w:val="0000FF"/>
                <w:sz w:val="24"/>
                <w:szCs w:val="24"/>
                <w:u w:val="single"/>
                <w:bdr w:val="nil"/>
                <w:lang w:val="en-US" w:eastAsia="en-US" w:bidi="ar-SA"/>
              </w:rPr>
            </w:pPr>
            <w:hyperlink r:id="rId37" w:history="1">
              <w:r w:rsidRPr="00047311">
                <w:rPr>
                  <w:rFonts w:eastAsia="Times New Roman"/>
                  <w:color w:val="0000FF"/>
                  <w:sz w:val="24"/>
                  <w:szCs w:val="24"/>
                  <w:u w:val="single"/>
                  <w:bdr w:val="nil"/>
                  <w:lang w:val="en-US" w:eastAsia="en-US" w:bidi="ar-SA"/>
                </w:rPr>
                <w:t>pwillison@bakerlaw.com</w:t>
              </w:r>
            </w:hyperlink>
          </w:p>
          <w:p w:rsidR="0018359B" w:rsidRPr="00047311" w:rsidP="003579CA" w14:paraId="3DBB386A" w14:textId="77777777">
            <w:pPr>
              <w:ind w:left="192"/>
              <w:rPr>
                <w:rFonts w:eastAsia="Times New Roman"/>
                <w:sz w:val="24"/>
                <w:szCs w:val="24"/>
                <w:bdr w:val="nil"/>
                <w:lang w:val="en-US" w:eastAsia="en-US" w:bidi="ar-SA"/>
              </w:rPr>
            </w:pPr>
            <w:hyperlink r:id="rId38" w:history="1">
              <w:r w:rsidRPr="00047311">
                <w:rPr>
                  <w:rFonts w:eastAsia="Times New Roman"/>
                  <w:color w:val="0000FF"/>
                  <w:sz w:val="24"/>
                  <w:szCs w:val="24"/>
                  <w:u w:val="single"/>
                  <w:bdr w:val="nil"/>
                  <w:lang w:val="en-US" w:eastAsia="en-US" w:bidi="ar-SA"/>
                </w:rPr>
                <w:t>bojko@carpenterlipps.com</w:t>
              </w:r>
            </w:hyperlink>
          </w:p>
          <w:p w:rsidR="0018359B" w:rsidRPr="00047311" w:rsidP="003579CA" w14:paraId="52701D6A" w14:textId="77777777">
            <w:pPr>
              <w:ind w:left="192"/>
              <w:rPr>
                <w:rFonts w:eastAsia="Times New Roman"/>
                <w:sz w:val="24"/>
                <w:szCs w:val="24"/>
                <w:bdr w:val="nil"/>
                <w:lang w:val="en-US" w:eastAsia="en-US" w:bidi="ar-SA"/>
              </w:rPr>
            </w:pPr>
            <w:hyperlink r:id="rId39" w:history="1">
              <w:r w:rsidRPr="00047311">
                <w:rPr>
                  <w:rFonts w:eastAsia="Times New Roman"/>
                  <w:color w:val="0000FF"/>
                  <w:sz w:val="24"/>
                  <w:szCs w:val="24"/>
                  <w:u w:val="single"/>
                  <w:bdr w:val="nil"/>
                  <w:lang w:val="en-US" w:eastAsia="en-US" w:bidi="ar-SA"/>
                </w:rPr>
                <w:t>easley@carpenterlipps.com</w:t>
              </w:r>
            </w:hyperlink>
          </w:p>
          <w:p w:rsidR="0018359B" w:rsidRPr="00047311" w:rsidP="003579CA" w14:paraId="32253C5B" w14:textId="77777777">
            <w:pPr>
              <w:ind w:left="192"/>
              <w:rPr>
                <w:rFonts w:eastAsia="Times New Roman"/>
                <w:sz w:val="24"/>
                <w:szCs w:val="24"/>
                <w:bdr w:val="nil"/>
                <w:lang w:val="en-US" w:eastAsia="en-US" w:bidi="ar-SA"/>
              </w:rPr>
            </w:pPr>
            <w:hyperlink r:id="rId40" w:history="1">
              <w:r w:rsidRPr="00047311">
                <w:rPr>
                  <w:rFonts w:eastAsia="Times New Roman"/>
                  <w:color w:val="0000FF"/>
                  <w:sz w:val="24"/>
                  <w:szCs w:val="24"/>
                  <w:u w:val="single"/>
                  <w:bdr w:val="nil"/>
                  <w:lang w:val="en-US" w:eastAsia="en-US" w:bidi="ar-SA"/>
                </w:rPr>
                <w:t>stacie.cathcart@igs.com</w:t>
              </w:r>
            </w:hyperlink>
          </w:p>
          <w:p w:rsidR="0018359B" w:rsidRPr="00047311" w:rsidP="003579CA" w14:paraId="59894886" w14:textId="77777777">
            <w:pPr>
              <w:ind w:left="192"/>
              <w:rPr>
                <w:rFonts w:eastAsia="Times New Roman"/>
                <w:color w:val="0000FF"/>
                <w:sz w:val="24"/>
                <w:szCs w:val="24"/>
                <w:u w:val="single"/>
                <w:bdr w:val="nil"/>
                <w:lang w:val="en-US" w:eastAsia="en-US" w:bidi="ar-SA"/>
              </w:rPr>
            </w:pPr>
            <w:hyperlink r:id="rId41" w:history="1">
              <w:r w:rsidRPr="00047311">
                <w:rPr>
                  <w:rFonts w:eastAsia="Times New Roman"/>
                  <w:color w:val="0000FF"/>
                  <w:sz w:val="24"/>
                  <w:szCs w:val="24"/>
                  <w:u w:val="single"/>
                  <w:bdr w:val="nil"/>
                  <w:lang w:val="en-US" w:eastAsia="en-US" w:bidi="ar-SA"/>
                </w:rPr>
                <w:t>natalia.messenger@igs.com</w:t>
              </w:r>
            </w:hyperlink>
          </w:p>
          <w:p w:rsidR="0018359B" w:rsidRPr="00047311" w:rsidP="003579CA" w14:paraId="02B011E1" w14:textId="77777777">
            <w:pPr>
              <w:ind w:left="192"/>
              <w:rPr>
                <w:rFonts w:eastAsia="Times New Roman"/>
                <w:color w:val="0000FF"/>
                <w:sz w:val="24"/>
                <w:szCs w:val="24"/>
                <w:u w:val="single"/>
                <w:bdr w:val="nil"/>
                <w:lang w:val="en-US" w:eastAsia="en-US" w:bidi="ar-SA"/>
              </w:rPr>
            </w:pPr>
            <w:hyperlink r:id="rId42" w:history="1">
              <w:r w:rsidRPr="00047311">
                <w:rPr>
                  <w:rFonts w:eastAsia="Times New Roman"/>
                  <w:color w:val="0000FF"/>
                  <w:sz w:val="24"/>
                  <w:szCs w:val="24"/>
                  <w:u w:val="single"/>
                  <w:bdr w:val="nil"/>
                  <w:lang w:val="en-US" w:eastAsia="en-US" w:bidi="ar-SA"/>
                </w:rPr>
                <w:t>mjsettineri@vorys.com</w:t>
              </w:r>
            </w:hyperlink>
          </w:p>
          <w:p w:rsidR="0018359B" w:rsidRPr="00047311" w:rsidP="003579CA" w14:paraId="37AA8602" w14:textId="77777777">
            <w:pPr>
              <w:ind w:left="192"/>
              <w:rPr>
                <w:rFonts w:eastAsia="Calibri"/>
                <w:color w:val="0000FF"/>
                <w:sz w:val="24"/>
                <w:szCs w:val="24"/>
                <w:u w:val="single"/>
                <w:bdr w:val="nil"/>
                <w:lang w:val="en-US" w:eastAsia="en-US" w:bidi="ar-SA"/>
              </w:rPr>
            </w:pPr>
            <w:hyperlink r:id="rId43" w:history="1">
              <w:r w:rsidRPr="00047311">
                <w:rPr>
                  <w:rFonts w:eastAsia="Calibri"/>
                  <w:color w:val="0000FF"/>
                  <w:sz w:val="24"/>
                  <w:szCs w:val="24"/>
                  <w:u w:val="single"/>
                  <w:bdr w:val="nil"/>
                  <w:lang w:val="en-US" w:eastAsia="en-US" w:bidi="ar-SA"/>
                </w:rPr>
                <w:t>glpetrucci@vorys.com</w:t>
              </w:r>
            </w:hyperlink>
          </w:p>
          <w:p w:rsidR="0018359B" w:rsidRPr="00047311" w:rsidP="003579CA" w14:paraId="23E3C715" w14:textId="77777777">
            <w:pPr>
              <w:ind w:left="192"/>
              <w:rPr>
                <w:rFonts w:eastAsia="Calibri"/>
                <w:color w:val="0000FF"/>
                <w:sz w:val="24"/>
                <w:szCs w:val="24"/>
                <w:u w:val="single"/>
                <w:bdr w:val="nil"/>
                <w:lang w:val="en-US" w:eastAsia="en-US" w:bidi="ar-SA"/>
              </w:rPr>
            </w:pPr>
            <w:hyperlink r:id="rId44" w:history="1">
              <w:r w:rsidRPr="00047311">
                <w:rPr>
                  <w:rFonts w:eastAsia="Calibri"/>
                  <w:color w:val="0000FF"/>
                  <w:sz w:val="24"/>
                  <w:szCs w:val="24"/>
                  <w:u w:val="single"/>
                  <w:bdr w:val="nil"/>
                  <w:lang w:val="en-US" w:eastAsia="en-US" w:bidi="ar-SA"/>
                </w:rPr>
                <w:t>jreckert@vorys.com</w:t>
              </w:r>
            </w:hyperlink>
          </w:p>
          <w:p w:rsidR="0018359B" w:rsidRPr="00047311" w:rsidP="003579CA" w14:paraId="74593EA0" w14:textId="77777777">
            <w:pPr>
              <w:ind w:left="192"/>
              <w:rPr>
                <w:rFonts w:eastAsia="Calibri"/>
                <w:color w:val="0000FF"/>
                <w:sz w:val="24"/>
                <w:szCs w:val="24"/>
                <w:u w:val="single"/>
                <w:bdr w:val="nil"/>
                <w:lang w:val="en-US" w:eastAsia="en-US" w:bidi="ar-SA"/>
              </w:rPr>
            </w:pPr>
            <w:hyperlink r:id="rId45" w:history="1">
              <w:r w:rsidRPr="00047311">
                <w:rPr>
                  <w:rFonts w:eastAsia="Calibri"/>
                  <w:color w:val="0000FF"/>
                  <w:sz w:val="24"/>
                  <w:szCs w:val="24"/>
                  <w:u w:val="single"/>
                  <w:bdr w:val="nil"/>
                  <w:lang w:val="en-US" w:eastAsia="en-US" w:bidi="ar-SA"/>
                </w:rPr>
                <w:t>cgrundmann@spilmanlaw.com</w:t>
              </w:r>
            </w:hyperlink>
          </w:p>
          <w:p w:rsidR="0018359B" w:rsidRPr="00047311" w:rsidP="003579CA" w14:paraId="1EC483B4" w14:textId="77777777">
            <w:pPr>
              <w:ind w:left="192"/>
              <w:rPr>
                <w:rFonts w:eastAsia="Calibri"/>
                <w:color w:val="0000FF"/>
                <w:sz w:val="24"/>
                <w:szCs w:val="24"/>
                <w:u w:val="single"/>
                <w:bdr w:val="nil"/>
                <w:lang w:val="en-US" w:eastAsia="en-US" w:bidi="ar-SA"/>
              </w:rPr>
            </w:pPr>
            <w:hyperlink r:id="rId46" w:history="1">
              <w:r w:rsidRPr="00047311">
                <w:rPr>
                  <w:rFonts w:eastAsia="Calibri"/>
                  <w:color w:val="0000FF"/>
                  <w:sz w:val="24"/>
                  <w:szCs w:val="24"/>
                  <w:u w:val="single"/>
                  <w:bdr w:val="nil"/>
                  <w:lang w:val="en-US" w:eastAsia="en-US" w:bidi="ar-SA"/>
                </w:rPr>
                <w:t>dwilliamson@spilmanlaw.com</w:t>
              </w:r>
            </w:hyperlink>
          </w:p>
          <w:p w:rsidR="0018359B" w:rsidRPr="00047311" w:rsidP="003579CA" w14:paraId="73FD425D" w14:textId="77777777">
            <w:pPr>
              <w:ind w:left="192"/>
              <w:rPr>
                <w:rFonts w:eastAsia="Calibri"/>
                <w:color w:val="0000FF"/>
                <w:sz w:val="24"/>
                <w:szCs w:val="24"/>
                <w:u w:val="single"/>
                <w:bdr w:val="nil"/>
                <w:lang w:val="en-US" w:eastAsia="en-US" w:bidi="ar-SA"/>
              </w:rPr>
            </w:pPr>
            <w:hyperlink r:id="rId47" w:history="1">
              <w:r w:rsidRPr="00047311">
                <w:rPr>
                  <w:rFonts w:eastAsia="Calibri"/>
                  <w:color w:val="0000FF"/>
                  <w:sz w:val="24"/>
                  <w:szCs w:val="24"/>
                  <w:u w:val="single"/>
                  <w:bdr w:val="nil"/>
                  <w:lang w:val="en-US" w:eastAsia="en-US" w:bidi="ar-SA"/>
                </w:rPr>
                <w:t>slee@spilmanlaw.com</w:t>
              </w:r>
            </w:hyperlink>
          </w:p>
          <w:p w:rsidR="0018359B" w:rsidRPr="00047311" w:rsidP="003579CA" w14:paraId="55E7EFE8" w14:textId="77777777">
            <w:pPr>
              <w:rPr>
                <w:rFonts w:eastAsia="Times New Roman"/>
                <w:sz w:val="24"/>
                <w:szCs w:val="24"/>
                <w:bdr w:val="nil"/>
                <w:lang w:val="en-US" w:eastAsia="en-US" w:bidi="ar-SA"/>
              </w:rPr>
            </w:pPr>
          </w:p>
          <w:p w:rsidR="0018359B" w:rsidRPr="00047311" w:rsidP="003579CA" w14:paraId="3DEB7684" w14:textId="77777777">
            <w:pPr>
              <w:rPr>
                <w:rFonts w:eastAsia="Times New Roman"/>
                <w:sz w:val="24"/>
                <w:szCs w:val="24"/>
                <w:bdr w:val="nil"/>
                <w:lang w:val="en-US" w:eastAsia="en-US" w:bidi="ar-SA"/>
              </w:rPr>
            </w:pPr>
          </w:p>
          <w:p w:rsidR="0018359B" w:rsidRPr="00047311" w:rsidP="003579CA" w14:paraId="0D2E7AA0" w14:textId="77777777">
            <w:pPr>
              <w:rPr>
                <w:rFonts w:eastAsia="Times New Roman"/>
                <w:sz w:val="24"/>
                <w:szCs w:val="24"/>
                <w:bdr w:val="nil"/>
                <w:lang w:val="en-US" w:eastAsia="en-US" w:bidi="ar-SA"/>
              </w:rPr>
            </w:pPr>
          </w:p>
          <w:p w:rsidR="0018359B" w:rsidRPr="00047311" w:rsidP="003579CA" w14:paraId="4B230957" w14:textId="77777777">
            <w:pPr>
              <w:rPr>
                <w:rFonts w:eastAsia="Times New Roman"/>
                <w:sz w:val="24"/>
                <w:szCs w:val="24"/>
                <w:bdr w:val="nil"/>
                <w:lang w:val="en-US" w:eastAsia="en-US" w:bidi="ar-SA"/>
              </w:rPr>
            </w:pPr>
          </w:p>
          <w:p w:rsidR="0018359B" w:rsidRPr="00047311" w:rsidP="003579CA" w14:paraId="1A2A37CF" w14:textId="77777777">
            <w:pPr>
              <w:rPr>
                <w:rFonts w:eastAsia="Times New Roman"/>
                <w:bCs/>
                <w:sz w:val="24"/>
                <w:szCs w:val="24"/>
                <w:bdr w:val="nil"/>
                <w:lang w:val="en-US" w:eastAsia="en-US" w:bidi="ar-SA"/>
              </w:rPr>
            </w:pPr>
          </w:p>
        </w:tc>
      </w:tr>
    </w:tbl>
    <w:p w:rsidR="00B50ECF" w:rsidRPr="00047311" w:rsidP="00CD47F8" w14:paraId="7CC8F96E" w14:textId="77777777">
      <w:pPr>
        <w:tabs>
          <w:tab w:val="left" w:pos="4320"/>
          <w:tab w:val="left" w:pos="4860"/>
        </w:tabs>
        <w:rPr>
          <w:b/>
          <w:bCs/>
          <w:u w:val="single"/>
        </w:rPr>
      </w:pPr>
    </w:p>
    <w:sectPr w:rsidSect="00855C27">
      <w:headerReference w:type="default" r:id="rId48"/>
      <w:footerReference w:type="default" r:id="rId49"/>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F05" w14:paraId="125384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P="003E13B3" w14:paraId="30900F26" w14:textId="4FECF5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F05" w14:paraId="43459C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1993540"/>
      <w:docPartObj>
        <w:docPartGallery w:val="Page Numbers (Bottom of Page)"/>
        <w:docPartUnique/>
      </w:docPartObj>
    </w:sdtPr>
    <w:sdtEndPr>
      <w:rPr>
        <w:noProof/>
      </w:rPr>
    </w:sdtEndPr>
    <w:sdtContent>
      <w:p w:rsidR="00466379" w14:paraId="2BB9174E" w14:textId="7A84A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6588751"/>
      <w:docPartObj>
        <w:docPartGallery w:val="Page Numbers (Bottom of Page)"/>
        <w:docPartUnique/>
      </w:docPartObj>
    </w:sdtPr>
    <w:sdtEndPr>
      <w:rPr>
        <w:noProof/>
      </w:rPr>
    </w:sdtEndPr>
    <w:sdtContent>
      <w:p w:rsidR="00855C27" w:rsidP="003E13B3" w14:paraId="31A90F01" w14:textId="75CC9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952CE" w:rsidP="003E13B3" w14:paraId="61A32A4B" w14:textId="77777777">
      <w:r>
        <w:separator/>
      </w:r>
    </w:p>
  </w:footnote>
  <w:footnote w:type="continuationSeparator" w:id="1">
    <w:p w:rsidR="007952CE" w:rsidP="003E13B3" w14:paraId="7D3E3CCE" w14:textId="77777777">
      <w:r>
        <w:continuationSeparator/>
      </w:r>
    </w:p>
  </w:footnote>
  <w:footnote w:id="2">
    <w:p w:rsidR="00150900" w:rsidRPr="007344A3" w:rsidP="007344A3" w14:paraId="22B6CAE5" w14:textId="1059BA18">
      <w:pPr>
        <w:pStyle w:val="FootnoteText"/>
        <w:spacing w:after="120"/>
      </w:pPr>
      <w:r w:rsidRPr="007344A3">
        <w:rPr>
          <w:rStyle w:val="FootnoteReference"/>
        </w:rPr>
        <w:footnoteRef/>
      </w:r>
      <w:r w:rsidRPr="007344A3">
        <w:t xml:space="preserve"> Direct </w:t>
      </w:r>
      <w:r w:rsidRPr="007344A3" w:rsidR="00AA7D95">
        <w:t>T</w:t>
      </w:r>
      <w:r w:rsidRPr="007344A3">
        <w:t>estimony of Colleen Shutrump (Jan</w:t>
      </w:r>
      <w:r w:rsidRPr="007344A3" w:rsidR="005D4B24">
        <w:t>.</w:t>
      </w:r>
      <w:r w:rsidRPr="007344A3">
        <w:t xml:space="preserve"> 30, 2017), </w:t>
      </w:r>
      <w:r w:rsidRPr="007344A3">
        <w:rPr>
          <w:i/>
          <w:iCs/>
        </w:rPr>
        <w:t>In re</w:t>
      </w:r>
      <w:r w:rsidRPr="007344A3">
        <w:t xml:space="preserve"> </w:t>
      </w:r>
      <w:r w:rsidRPr="007344A3">
        <w:rPr>
          <w:i/>
          <w:iCs/>
        </w:rPr>
        <w:t xml:space="preserve">the Application of the Dayton Power and Light Company for Approval of </w:t>
      </w:r>
      <w:r w:rsidRPr="007344A3" w:rsidR="006006EE">
        <w:rPr>
          <w:i/>
          <w:iCs/>
        </w:rPr>
        <w:t>I</w:t>
      </w:r>
      <w:r w:rsidRPr="007344A3">
        <w:rPr>
          <w:i/>
          <w:iCs/>
        </w:rPr>
        <w:t>ts Energy Efficiency and Peak Demand Reduction Program Portfolio Plan for 2017 Through 2019</w:t>
      </w:r>
      <w:r w:rsidRPr="007344A3">
        <w:t>, Case No. 16-649-EL-POR.</w:t>
      </w:r>
    </w:p>
  </w:footnote>
  <w:footnote w:id="3">
    <w:p w:rsidR="00150900" w:rsidRPr="007344A3" w:rsidP="007344A3" w14:paraId="59928516" w14:textId="152494DE">
      <w:pPr>
        <w:pStyle w:val="FootnoteText"/>
        <w:spacing w:after="120"/>
      </w:pPr>
      <w:r w:rsidRPr="007344A3">
        <w:rPr>
          <w:rStyle w:val="FootnoteReference"/>
        </w:rPr>
        <w:footnoteRef/>
      </w:r>
      <w:r w:rsidRPr="007344A3">
        <w:t xml:space="preserve"> Direct </w:t>
      </w:r>
      <w:r w:rsidRPr="007344A3" w:rsidR="00D377E9">
        <w:t>T</w:t>
      </w:r>
      <w:r w:rsidRPr="007344A3">
        <w:t>estimony of Colleen Shutrump (Feb</w:t>
      </w:r>
      <w:r w:rsidRPr="007344A3" w:rsidR="00261016">
        <w:t>.</w:t>
      </w:r>
      <w:r w:rsidRPr="007344A3">
        <w:t xml:space="preserve"> 6, 2017)</w:t>
      </w:r>
      <w:r w:rsidRPr="007344A3" w:rsidR="00831973">
        <w:t>,</w:t>
      </w:r>
      <w:r w:rsidRPr="007344A3">
        <w:t xml:space="preserve"> </w:t>
      </w:r>
      <w:r w:rsidRPr="007344A3">
        <w:rPr>
          <w:i/>
          <w:iCs/>
        </w:rPr>
        <w:t>In re</w:t>
      </w:r>
      <w:r w:rsidRPr="007344A3">
        <w:t xml:space="preserve"> </w:t>
      </w:r>
      <w:r w:rsidRPr="007344A3">
        <w:rPr>
          <w:i/>
          <w:iCs/>
        </w:rPr>
        <w:t xml:space="preserve">the Application of Duke Energy Ohio, Inc. for Approval of </w:t>
      </w:r>
      <w:r w:rsidRPr="007344A3" w:rsidR="00FC1818">
        <w:rPr>
          <w:i/>
          <w:iCs/>
        </w:rPr>
        <w:t>I</w:t>
      </w:r>
      <w:r w:rsidRPr="007344A3">
        <w:rPr>
          <w:i/>
          <w:iCs/>
        </w:rPr>
        <w:t>ts Energy Efficiency and Peak Demand Reduction Portfolio of Programs</w:t>
      </w:r>
      <w:r w:rsidRPr="007344A3">
        <w:t>, Case No</w:t>
      </w:r>
      <w:r w:rsidRPr="007344A3" w:rsidR="00515854">
        <w:t>.</w:t>
      </w:r>
      <w:r w:rsidRPr="007344A3" w:rsidR="00FC1818">
        <w:t xml:space="preserve"> </w:t>
      </w:r>
      <w:r w:rsidRPr="007344A3">
        <w:t>16-576-EL-POR.</w:t>
      </w:r>
    </w:p>
  </w:footnote>
  <w:footnote w:id="4">
    <w:p w:rsidR="00150900" w:rsidRPr="007344A3" w:rsidP="007344A3" w14:paraId="23B0230B" w14:textId="376FB2D5">
      <w:pPr>
        <w:pStyle w:val="FootnoteText"/>
        <w:spacing w:after="120"/>
      </w:pPr>
      <w:r w:rsidRPr="007344A3">
        <w:rPr>
          <w:rStyle w:val="FootnoteReference"/>
        </w:rPr>
        <w:footnoteRef/>
      </w:r>
      <w:r w:rsidRPr="007344A3">
        <w:t xml:space="preserve"> Direct </w:t>
      </w:r>
      <w:r w:rsidRPr="007344A3" w:rsidR="00A55C6C">
        <w:t>T</w:t>
      </w:r>
      <w:r w:rsidRPr="007344A3">
        <w:t>estimony of Colleen Shutrump (June 22, 2020)</w:t>
      </w:r>
      <w:r w:rsidRPr="007344A3" w:rsidR="00831973">
        <w:t>,</w:t>
      </w:r>
      <w:r w:rsidRPr="007344A3">
        <w:t xml:space="preserve"> </w:t>
      </w:r>
      <w:r w:rsidRPr="007344A3" w:rsidR="001A48C4">
        <w:rPr>
          <w:i/>
          <w:iCs/>
        </w:rPr>
        <w:t>I</w:t>
      </w:r>
      <w:r w:rsidRPr="007344A3">
        <w:rPr>
          <w:i/>
          <w:iCs/>
        </w:rPr>
        <w:t xml:space="preserve">n re the Matter of the 2018 Review of the Demand Side Management and Energy Efficiency Rider of Ohio Edison Company, </w:t>
      </w:r>
      <w:r w:rsidRPr="007344A3" w:rsidR="00523B5B">
        <w:rPr>
          <w:i/>
          <w:iCs/>
        </w:rPr>
        <w:t>T</w:t>
      </w:r>
      <w:r w:rsidRPr="007344A3">
        <w:rPr>
          <w:i/>
          <w:iCs/>
        </w:rPr>
        <w:t xml:space="preserve">he Cleveland Electric Illuminating Company, and </w:t>
      </w:r>
      <w:r w:rsidRPr="007344A3" w:rsidR="00523B5B">
        <w:rPr>
          <w:i/>
          <w:iCs/>
        </w:rPr>
        <w:t>T</w:t>
      </w:r>
      <w:r w:rsidRPr="007344A3">
        <w:rPr>
          <w:i/>
          <w:iCs/>
        </w:rPr>
        <w:t>he Toledo Edison Company</w:t>
      </w:r>
      <w:r w:rsidRPr="007344A3">
        <w:t>, Case No. 17-2277-EL-RDR.</w:t>
      </w:r>
    </w:p>
  </w:footnote>
  <w:footnote w:id="5">
    <w:p w:rsidR="0015074B" w:rsidRPr="007344A3" w:rsidP="007344A3" w14:paraId="66AB9222" w14:textId="0C2BC59F">
      <w:pPr>
        <w:pStyle w:val="FootnoteText"/>
        <w:spacing w:after="120"/>
      </w:pPr>
      <w:r w:rsidRPr="007344A3">
        <w:rPr>
          <w:rStyle w:val="FootnoteReference"/>
        </w:rPr>
        <w:footnoteRef/>
      </w:r>
      <w:r w:rsidRPr="007344A3">
        <w:t xml:space="preserve"> Direct Testimony of Colleen Shutrump (Oct</w:t>
      </w:r>
      <w:r w:rsidRPr="007344A3" w:rsidR="00CF3CA1">
        <w:t>.</w:t>
      </w:r>
      <w:r w:rsidRPr="007344A3">
        <w:t xml:space="preserve"> 23, 2023)</w:t>
      </w:r>
      <w:r w:rsidRPr="007344A3" w:rsidR="00283590">
        <w:t>,</w:t>
      </w:r>
      <w:r w:rsidRPr="007344A3">
        <w:t xml:space="preserve"> </w:t>
      </w:r>
      <w:r w:rsidRPr="007344A3">
        <w:rPr>
          <w:i/>
          <w:iCs/>
        </w:rPr>
        <w:t xml:space="preserve">In re the Matter of the Application of Ohio Edison Company, </w:t>
      </w:r>
      <w:r w:rsidRPr="007344A3" w:rsidR="003514F9">
        <w:rPr>
          <w:i/>
          <w:iCs/>
        </w:rPr>
        <w:t>T</w:t>
      </w:r>
      <w:r w:rsidRPr="007344A3">
        <w:rPr>
          <w:i/>
          <w:iCs/>
        </w:rPr>
        <w:t xml:space="preserve">he Cleveland Electric Illuminating Company, and </w:t>
      </w:r>
      <w:r w:rsidRPr="007344A3" w:rsidR="003514F9">
        <w:rPr>
          <w:i/>
          <w:iCs/>
        </w:rPr>
        <w:t>T</w:t>
      </w:r>
      <w:r w:rsidRPr="007344A3">
        <w:rPr>
          <w:i/>
          <w:iCs/>
        </w:rPr>
        <w:t>he Toledo Edison Company for Authority to Establish a Standard Service Offer Pursuant to R.C. 4928.143 in the Form of an Electric Security Plan</w:t>
      </w:r>
      <w:r w:rsidRPr="007344A3" w:rsidR="00515854">
        <w:t>, Case No. 23-301-EL-SSO.</w:t>
      </w:r>
    </w:p>
  </w:footnote>
  <w:footnote w:id="6">
    <w:p w:rsidR="00BA63FC" w:rsidRPr="007344A3" w:rsidP="007344A3" w14:paraId="4B86247E" w14:textId="48941575">
      <w:pPr>
        <w:pStyle w:val="FootnoteText"/>
        <w:spacing w:after="120"/>
      </w:pPr>
      <w:r w:rsidRPr="007344A3">
        <w:rPr>
          <w:rStyle w:val="FootnoteReference"/>
        </w:rPr>
        <w:footnoteRef/>
      </w:r>
      <w:r w:rsidRPr="007344A3">
        <w:t xml:space="preserve"> Direct Testimony of Colleen Shutrump (Sept</w:t>
      </w:r>
      <w:r w:rsidRPr="007344A3" w:rsidR="00D103A5">
        <w:t>.</w:t>
      </w:r>
      <w:r w:rsidRPr="007344A3">
        <w:t xml:space="preserve"> 20, 2023)</w:t>
      </w:r>
      <w:r w:rsidRPr="007344A3" w:rsidR="00831973">
        <w:t>,</w:t>
      </w:r>
      <w:r w:rsidRPr="007344A3">
        <w:t xml:space="preserve"> </w:t>
      </w:r>
      <w:r w:rsidRPr="007344A3" w:rsidR="00831973">
        <w:rPr>
          <w:i/>
          <w:iCs/>
        </w:rPr>
        <w:t>In re</w:t>
      </w:r>
      <w:r w:rsidRPr="007344A3">
        <w:rPr>
          <w:i/>
          <w:iCs/>
        </w:rPr>
        <w:t xml:space="preserve"> the Matter of the Application of Ohio Edison Company, </w:t>
      </w:r>
      <w:r w:rsidRPr="007344A3" w:rsidR="00FB10D4">
        <w:rPr>
          <w:i/>
          <w:iCs/>
        </w:rPr>
        <w:t>T</w:t>
      </w:r>
      <w:r w:rsidRPr="007344A3">
        <w:rPr>
          <w:i/>
          <w:iCs/>
        </w:rPr>
        <w:t xml:space="preserve">he Cleveland Electric Illuminating Company, and </w:t>
      </w:r>
      <w:r w:rsidRPr="007344A3" w:rsidR="00FB10D4">
        <w:rPr>
          <w:i/>
          <w:iCs/>
        </w:rPr>
        <w:t>T</w:t>
      </w:r>
      <w:r w:rsidRPr="007344A3">
        <w:rPr>
          <w:i/>
          <w:iCs/>
        </w:rPr>
        <w:t>he Toledo Edison Company for Authority to Establish a Standard Service Offer Pursuant to R.C. 4928.143 in the Form of an Electric Security Plan</w:t>
      </w:r>
      <w:r w:rsidRPr="007344A3" w:rsidR="00737218">
        <w:t xml:space="preserve">, Case No. </w:t>
      </w:r>
      <w:r w:rsidRPr="007344A3" w:rsidR="004545A1">
        <w:t>23-23-EL-SSO</w:t>
      </w:r>
      <w:r w:rsidRPr="007344A3" w:rsidR="001629A3">
        <w:t>, et al.</w:t>
      </w:r>
    </w:p>
  </w:footnote>
  <w:footnote w:id="7">
    <w:p w:rsidR="00054EC7" w:rsidRPr="007344A3" w:rsidP="007344A3" w14:paraId="523BC040" w14:textId="282971FE">
      <w:pPr>
        <w:pStyle w:val="FootnoteText"/>
        <w:spacing w:after="120"/>
      </w:pPr>
      <w:r w:rsidRPr="007344A3">
        <w:rPr>
          <w:rStyle w:val="FootnoteReference"/>
        </w:rPr>
        <w:footnoteRef/>
      </w:r>
      <w:r w:rsidRPr="007344A3">
        <w:t xml:space="preserve"> Case Nos</w:t>
      </w:r>
      <w:r w:rsidRPr="007344A3" w:rsidR="003E0C63">
        <w:t>.</w:t>
      </w:r>
      <w:r w:rsidRPr="007344A3">
        <w:t xml:space="preserve"> </w:t>
      </w:r>
      <w:r w:rsidRPr="007344A3" w:rsidR="00785D73">
        <w:t>17-974-EL-UNC, 20-1629-EL-RDR</w:t>
      </w:r>
      <w:r w:rsidRPr="007344A3">
        <w:t xml:space="preserve">, </w:t>
      </w:r>
      <w:r w:rsidRPr="007344A3" w:rsidR="00785D73">
        <w:t>17-2474-EL-RDR</w:t>
      </w:r>
      <w:r w:rsidRPr="007344A3">
        <w:t xml:space="preserve"> and </w:t>
      </w:r>
      <w:r w:rsidRPr="007344A3" w:rsidR="00785D73">
        <w:t>20-1502-EL-UNC.</w:t>
      </w:r>
    </w:p>
  </w:footnote>
  <w:footnote w:id="8">
    <w:p w:rsidR="00C73EC0" w:rsidRPr="007344A3" w:rsidP="007344A3" w14:paraId="160C9F44" w14:textId="5ACABB79">
      <w:pPr>
        <w:pStyle w:val="FootnoteText"/>
        <w:spacing w:after="120"/>
      </w:pPr>
      <w:r w:rsidRPr="007344A3">
        <w:rPr>
          <w:rStyle w:val="FootnoteReference"/>
        </w:rPr>
        <w:footnoteRef/>
      </w:r>
      <w:r w:rsidRPr="007344A3">
        <w:t xml:space="preserve"> Direct </w:t>
      </w:r>
      <w:r w:rsidRPr="007344A3" w:rsidR="009A2802">
        <w:t>T</w:t>
      </w:r>
      <w:r w:rsidRPr="007344A3">
        <w:t>estimony of Amy Spill</w:t>
      </w:r>
      <w:r w:rsidRPr="007344A3" w:rsidR="00AD5E02">
        <w:t>e</w:t>
      </w:r>
      <w:r w:rsidRPr="007344A3">
        <w:t>r at 22 (</w:t>
      </w:r>
      <w:r w:rsidRPr="007344A3" w:rsidR="0005166D">
        <w:t>April 1, 2024).</w:t>
      </w:r>
    </w:p>
  </w:footnote>
  <w:footnote w:id="9">
    <w:p w:rsidR="00AD5E02" w:rsidRPr="007344A3" w:rsidP="007344A3" w14:paraId="5392356F" w14:textId="16961D32">
      <w:pPr>
        <w:pStyle w:val="FootnoteText"/>
        <w:spacing w:after="120"/>
      </w:pPr>
      <w:r w:rsidRPr="007344A3">
        <w:rPr>
          <w:rStyle w:val="FootnoteReference"/>
        </w:rPr>
        <w:footnoteRef/>
      </w:r>
      <w:r w:rsidRPr="007344A3">
        <w:t xml:space="preserve"> </w:t>
      </w:r>
      <w:r w:rsidRPr="007344A3" w:rsidR="00336109">
        <w:rPr>
          <w:i/>
          <w:iCs/>
        </w:rPr>
        <w:t>Id</w:t>
      </w:r>
      <w:r w:rsidRPr="007344A3" w:rsidR="00336109">
        <w:t>.</w:t>
      </w:r>
      <w:r w:rsidRPr="007344A3">
        <w:t xml:space="preserve"> at 9 </w:t>
      </w:r>
    </w:p>
  </w:footnote>
  <w:footnote w:id="10">
    <w:p w:rsidR="00072C60" w:rsidRPr="007344A3" w:rsidP="007344A3" w14:paraId="658F9B51" w14:textId="190EEAD8">
      <w:pPr>
        <w:pStyle w:val="FootnoteText"/>
        <w:spacing w:after="120"/>
      </w:pPr>
      <w:r w:rsidRPr="007344A3">
        <w:rPr>
          <w:rStyle w:val="FootnoteReference"/>
        </w:rPr>
        <w:footnoteRef/>
      </w:r>
      <w:r w:rsidRPr="007344A3">
        <w:t xml:space="preserve"> Duke consumers pay the decoupling rider, not lost revenues. </w:t>
      </w:r>
    </w:p>
  </w:footnote>
  <w:footnote w:id="11">
    <w:p w:rsidR="00985E93" w:rsidRPr="007344A3" w:rsidP="007344A3" w14:paraId="2FAAE059" w14:textId="71BC304F">
      <w:pPr>
        <w:pStyle w:val="FootnoteText"/>
        <w:spacing w:after="120"/>
      </w:pPr>
      <w:r w:rsidRPr="007344A3">
        <w:rPr>
          <w:rStyle w:val="FootnoteReference"/>
        </w:rPr>
        <w:footnoteRef/>
      </w:r>
      <w:r w:rsidRPr="007344A3">
        <w:t xml:space="preserve"> R.C. </w:t>
      </w:r>
      <w:r w:rsidRPr="007344A3" w:rsidR="00E22570">
        <w:t>4928.66(G) terminated Ohio</w:t>
      </w:r>
      <w:r w:rsidRPr="007344A3" w:rsidR="00047311">
        <w:t>’</w:t>
      </w:r>
      <w:r w:rsidRPr="007344A3" w:rsidR="00E22570">
        <w:t>s annual energy efficiency mandates on Oct</w:t>
      </w:r>
      <w:r w:rsidRPr="007344A3" w:rsidR="00916136">
        <w:t>.</w:t>
      </w:r>
      <w:r w:rsidRPr="007344A3" w:rsidR="00E22570">
        <w:t xml:space="preserve"> 22, 2019. </w:t>
      </w:r>
    </w:p>
  </w:footnote>
  <w:footnote w:id="12">
    <w:p w:rsidR="003A4944" w:rsidRPr="007344A3" w:rsidP="007344A3" w14:paraId="3B617D34" w14:textId="14D0E14A">
      <w:pPr>
        <w:pStyle w:val="FootnoteText"/>
        <w:spacing w:after="120"/>
      </w:pPr>
      <w:r w:rsidRPr="007344A3">
        <w:rPr>
          <w:rStyle w:val="FootnoteReference"/>
        </w:rPr>
        <w:footnoteRef/>
      </w:r>
      <w:r w:rsidRPr="007344A3" w:rsidR="00885EE7">
        <w:t xml:space="preserve"> </w:t>
      </w:r>
      <w:r w:rsidRPr="007344A3" w:rsidR="00EE5413">
        <w:t>Direct Testimony of James E</w:t>
      </w:r>
      <w:r w:rsidRPr="007344A3" w:rsidR="006D6DF4">
        <w:t>.</w:t>
      </w:r>
      <w:r w:rsidRPr="007344A3" w:rsidR="00EE5413">
        <w:t xml:space="preserve"> </w:t>
      </w:r>
      <w:r w:rsidRPr="007344A3" w:rsidR="008B18A5">
        <w:t>Ziolkowski</w:t>
      </w:r>
      <w:r w:rsidRPr="007344A3" w:rsidR="00FD369C">
        <w:t xml:space="preserve"> (April 1, 2024)</w:t>
      </w:r>
      <w:r w:rsidRPr="007344A3" w:rsidR="00EE5413">
        <w:t>, </w:t>
      </w:r>
      <w:r w:rsidRPr="007344A3" w:rsidR="00156EA0">
        <w:t>JEZ-5 DSM Workpapers</w:t>
      </w:r>
      <w:r w:rsidRPr="007344A3" w:rsidR="000B367D">
        <w:t>.</w:t>
      </w:r>
    </w:p>
  </w:footnote>
  <w:footnote w:id="13">
    <w:p w:rsidR="00D24C1B" w:rsidRPr="007344A3" w:rsidP="007344A3" w14:paraId="6ED0420D" w14:textId="6B206A69">
      <w:pPr>
        <w:pStyle w:val="FootnoteText"/>
        <w:spacing w:after="120"/>
      </w:pPr>
      <w:r w:rsidRPr="007344A3">
        <w:rPr>
          <w:rStyle w:val="FootnoteReference"/>
        </w:rPr>
        <w:footnoteRef/>
      </w:r>
      <w:r w:rsidRPr="007344A3">
        <w:t xml:space="preserve"> </w:t>
      </w:r>
      <w:r w:rsidRPr="007344A3" w:rsidR="00B775AA">
        <w:t>Spiller Testimony</w:t>
      </w:r>
      <w:r w:rsidRPr="007344A3" w:rsidR="00D81A93">
        <w:t xml:space="preserve"> at 5</w:t>
      </w:r>
      <w:r w:rsidRPr="007344A3" w:rsidR="00B775AA">
        <w:t>.</w:t>
      </w:r>
    </w:p>
  </w:footnote>
  <w:footnote w:id="14">
    <w:p w:rsidR="00307371" w:rsidRPr="007344A3" w:rsidP="007344A3" w14:paraId="194225CE" w14:textId="751336DA">
      <w:pPr>
        <w:pStyle w:val="FootnoteText"/>
        <w:spacing w:after="120"/>
      </w:pPr>
      <w:r w:rsidRPr="007344A3">
        <w:rPr>
          <w:rStyle w:val="FootnoteReference"/>
        </w:rPr>
        <w:footnoteRef/>
      </w:r>
      <w:r w:rsidRPr="007344A3">
        <w:t xml:space="preserve"> </w:t>
      </w:r>
      <w:r w:rsidRPr="007344A3" w:rsidR="008B18A5">
        <w:t>Ziolkowski</w:t>
      </w:r>
      <w:r w:rsidRPr="007344A3" w:rsidR="00923BE5">
        <w:t xml:space="preserve"> Testimony </w:t>
      </w:r>
      <w:r w:rsidRPr="007344A3">
        <w:t>at 13.</w:t>
      </w:r>
    </w:p>
  </w:footnote>
  <w:footnote w:id="15">
    <w:p w:rsidR="00DB650F" w:rsidRPr="007344A3" w:rsidP="007344A3" w14:paraId="4A01EE8C" w14:textId="249FC5F6">
      <w:pPr>
        <w:pStyle w:val="FootnoteText"/>
        <w:spacing w:after="120"/>
      </w:pPr>
      <w:r w:rsidRPr="007344A3">
        <w:rPr>
          <w:rStyle w:val="FootnoteReference"/>
        </w:rPr>
        <w:footnoteRef/>
      </w:r>
      <w:r w:rsidRPr="007344A3">
        <w:t xml:space="preserve"> </w:t>
      </w:r>
      <w:r w:rsidRPr="007344A3" w:rsidR="00CE74A6">
        <w:rPr>
          <w:i/>
          <w:iCs/>
        </w:rPr>
        <w:t>Id.</w:t>
      </w:r>
      <w:r w:rsidRPr="007344A3" w:rsidR="00CE74A6">
        <w:t>,</w:t>
      </w:r>
      <w:r w:rsidRPr="007344A3" w:rsidR="00BA63FC">
        <w:t xml:space="preserve"> </w:t>
      </w:r>
      <w:r w:rsidRPr="007344A3" w:rsidR="0067725F">
        <w:t>JEZ-5</w:t>
      </w:r>
      <w:r w:rsidRPr="007344A3" w:rsidR="0057791A">
        <w:t xml:space="preserve"> DSM</w:t>
      </w:r>
      <w:r w:rsidRPr="007344A3" w:rsidR="0067725F">
        <w:t xml:space="preserve"> Work</w:t>
      </w:r>
      <w:r w:rsidRPr="007344A3" w:rsidR="00BA63FC">
        <w:t xml:space="preserve"> P</w:t>
      </w:r>
      <w:r w:rsidRPr="007344A3" w:rsidR="0067725F">
        <w:t>aper</w:t>
      </w:r>
      <w:r w:rsidRPr="007344A3" w:rsidR="00156EA0">
        <w:t>s.</w:t>
      </w:r>
    </w:p>
  </w:footnote>
  <w:footnote w:id="16">
    <w:p w:rsidR="00344315" w:rsidRPr="007344A3" w:rsidP="007344A3" w14:paraId="0CF4D348" w14:textId="06F7634A">
      <w:pPr>
        <w:pStyle w:val="FootnoteText"/>
        <w:spacing w:after="120"/>
      </w:pPr>
      <w:r w:rsidRPr="007344A3">
        <w:rPr>
          <w:rStyle w:val="FootnoteReference"/>
        </w:rPr>
        <w:footnoteRef/>
      </w:r>
      <w:r w:rsidRPr="007344A3">
        <w:t xml:space="preserve"> Ziolkowski Testimony at 13.</w:t>
      </w:r>
    </w:p>
  </w:footnote>
  <w:footnote w:id="17">
    <w:p w:rsidR="00161ACD" w:rsidRPr="007344A3" w:rsidP="007344A3" w14:paraId="04CC3D9A" w14:textId="3C07C601">
      <w:pPr>
        <w:pStyle w:val="FootnoteText"/>
        <w:spacing w:after="120"/>
      </w:pPr>
      <w:r w:rsidRPr="007344A3">
        <w:rPr>
          <w:rStyle w:val="FootnoteReference"/>
        </w:rPr>
        <w:footnoteRef/>
      </w:r>
      <w:r w:rsidRPr="007344A3">
        <w:t xml:space="preserve"> JEZ-5 Workpapers, p</w:t>
      </w:r>
      <w:r w:rsidRPr="007344A3" w:rsidR="0097580D">
        <w:t>p.</w:t>
      </w:r>
      <w:r w:rsidRPr="007344A3">
        <w:t xml:space="preserve"> 1-5.</w:t>
      </w:r>
    </w:p>
  </w:footnote>
  <w:footnote w:id="18">
    <w:p w:rsidR="00651730" w:rsidRPr="007344A3" w:rsidP="007344A3" w14:paraId="55C5389C" w14:textId="043F709A">
      <w:pPr>
        <w:pStyle w:val="FootnoteText"/>
        <w:spacing w:after="120"/>
        <w:rPr>
          <w:i/>
          <w:iCs/>
        </w:rPr>
      </w:pPr>
      <w:r w:rsidRPr="007344A3">
        <w:rPr>
          <w:rStyle w:val="FootnoteReference"/>
        </w:rPr>
        <w:footnoteRef/>
      </w:r>
      <w:r w:rsidRPr="007344A3">
        <w:t xml:space="preserve"> </w:t>
      </w:r>
      <w:r w:rsidRPr="007344A3">
        <w:rPr>
          <w:i/>
          <w:iCs/>
        </w:rPr>
        <w:t xml:space="preserve">In the Matter of the Application of Duke Energy Ohio, Inc., for Approval of </w:t>
      </w:r>
      <w:r w:rsidRPr="007344A3" w:rsidR="00B51576">
        <w:rPr>
          <w:i/>
          <w:iCs/>
        </w:rPr>
        <w:t>I</w:t>
      </w:r>
      <w:r w:rsidRPr="007344A3">
        <w:rPr>
          <w:i/>
          <w:iCs/>
        </w:rPr>
        <w:t>ts 2021 Energy Efficiency and Demand Side Management Portfolio of Programs and Cost Recovery Mechanism</w:t>
      </w:r>
      <w:r w:rsidRPr="007344A3">
        <w:t>, Case No. 20-1013-EL-POR, Entry (June 17, 2020) at 2.</w:t>
      </w:r>
    </w:p>
  </w:footnote>
  <w:footnote w:id="19">
    <w:p w:rsidR="00651730" w:rsidRPr="007344A3" w:rsidP="007344A3" w14:paraId="62CE4EAC" w14:textId="520A512C">
      <w:pPr>
        <w:pStyle w:val="FootnoteText"/>
        <w:spacing w:after="120"/>
        <w:rPr>
          <w:i/>
          <w:iCs/>
        </w:rPr>
      </w:pPr>
      <w:r w:rsidRPr="007344A3">
        <w:rPr>
          <w:rStyle w:val="FootnoteReference"/>
        </w:rPr>
        <w:footnoteRef/>
      </w:r>
      <w:r w:rsidRPr="007344A3">
        <w:t xml:space="preserve"> </w:t>
      </w:r>
      <w:r w:rsidRPr="007344A3">
        <w:rPr>
          <w:i/>
          <w:iCs/>
        </w:rPr>
        <w:t>Id.</w:t>
      </w:r>
    </w:p>
  </w:footnote>
  <w:footnote w:id="20">
    <w:p w:rsidR="00DE0824" w:rsidRPr="007344A3" w:rsidP="007344A3" w14:paraId="190C3A7D" w14:textId="5791143E">
      <w:pPr>
        <w:pStyle w:val="FootnoteText"/>
        <w:spacing w:after="120"/>
      </w:pPr>
      <w:r w:rsidRPr="007344A3">
        <w:rPr>
          <w:rStyle w:val="FootnoteReference"/>
        </w:rPr>
        <w:footnoteRef/>
      </w:r>
      <w:r w:rsidRPr="007344A3">
        <w:t xml:space="preserve"> Direct testimony of Tim Duff</w:t>
      </w:r>
      <w:r w:rsidRPr="007344A3" w:rsidR="00BA63FC">
        <w:t xml:space="preserve"> (April 1, 2024)</w:t>
      </w:r>
      <w:r w:rsidRPr="007344A3">
        <w:t>, Attachment TJD-1</w:t>
      </w:r>
      <w:r w:rsidRPr="007344A3" w:rsidR="0036051C">
        <w:t>.</w:t>
      </w:r>
    </w:p>
  </w:footnote>
  <w:footnote w:id="21">
    <w:p w:rsidR="00D540A9" w:rsidRPr="007344A3" w:rsidP="007344A3" w14:paraId="31842234" w14:textId="15FF4E95">
      <w:pPr>
        <w:pStyle w:val="FootnoteText"/>
        <w:spacing w:after="120"/>
        <w:rPr>
          <w:u w:val="single"/>
        </w:rPr>
      </w:pPr>
      <w:r w:rsidRPr="007344A3">
        <w:rPr>
          <w:rStyle w:val="FootnoteReference"/>
        </w:rPr>
        <w:footnoteRef/>
      </w:r>
      <w:r w:rsidRPr="007344A3">
        <w:t xml:space="preserve"> </w:t>
      </w:r>
      <w:r w:rsidRPr="007344A3" w:rsidR="00BA63FC">
        <w:t>Karen Kasler</w:t>
      </w:r>
      <w:r w:rsidRPr="007344A3" w:rsidR="00063ECB">
        <w:t>,</w:t>
      </w:r>
      <w:r w:rsidRPr="007344A3" w:rsidR="00BA63FC">
        <w:t xml:space="preserve"> The Statehouse News Bureau</w:t>
      </w:r>
      <w:r w:rsidRPr="007344A3" w:rsidR="009C115A">
        <w:t>,</w:t>
      </w:r>
      <w:r w:rsidRPr="007344A3" w:rsidR="00BA63FC">
        <w:t xml:space="preserve"> </w:t>
      </w:r>
      <w:r w:rsidRPr="007344A3" w:rsidR="00047311">
        <w:t>“</w:t>
      </w:r>
      <w:r w:rsidRPr="007344A3">
        <w:t>Report shows rate of Ohioans in poverty rose for the first time in a decade</w:t>
      </w:r>
      <w:r w:rsidRPr="007344A3" w:rsidR="00047311">
        <w:t>”</w:t>
      </w:r>
      <w:r w:rsidRPr="007344A3" w:rsidR="00A54B10">
        <w:t xml:space="preserve"> (July 11, 2023),</w:t>
      </w:r>
      <w:r w:rsidRPr="007344A3">
        <w:t xml:space="preserve"> </w:t>
      </w:r>
      <w:hyperlink r:id="rId1" w:history="1">
        <w:r w:rsidRPr="007344A3" w:rsidR="00FC0FF6">
          <w:rPr>
            <w:rStyle w:val="Hyperlink"/>
          </w:rPr>
          <w:t>https://www.statenews.org/government-politics/2023-07-11/report-shows-rate-of-ohioans-in-poverty-rose-for-first-time-in-a-decade</w:t>
        </w:r>
      </w:hyperlink>
      <w:r w:rsidRPr="007344A3" w:rsidR="00A54B10">
        <w:rPr>
          <w:rStyle w:val="Hyperlink"/>
          <w:u w:val="none"/>
        </w:rPr>
        <w:t>.</w:t>
      </w:r>
    </w:p>
  </w:footnote>
  <w:footnote w:id="22">
    <w:p w:rsidR="00561521" w:rsidRPr="007344A3" w:rsidP="007344A3" w14:paraId="6CEA580F" w14:textId="784E2FE1">
      <w:pPr>
        <w:pStyle w:val="FootnoteText"/>
        <w:spacing w:after="120"/>
      </w:pPr>
      <w:r w:rsidRPr="007344A3">
        <w:rPr>
          <w:rStyle w:val="FootnoteReference"/>
        </w:rPr>
        <w:footnoteRef/>
      </w:r>
      <w:r w:rsidRPr="007344A3">
        <w:t xml:space="preserve"> </w:t>
      </w:r>
      <w:r w:rsidRPr="007344A3" w:rsidR="00866737">
        <w:t>Duff Testimony</w:t>
      </w:r>
      <w:r w:rsidRPr="007344A3">
        <w:t xml:space="preserve"> at 7.</w:t>
      </w:r>
    </w:p>
  </w:footnote>
  <w:footnote w:id="23">
    <w:p w:rsidR="00C32062" w:rsidRPr="007344A3" w:rsidP="007344A3" w14:paraId="756DA55C" w14:textId="5857F0E8">
      <w:pPr>
        <w:pStyle w:val="FootnoteText"/>
        <w:spacing w:after="120"/>
      </w:pPr>
      <w:r w:rsidRPr="007344A3">
        <w:rPr>
          <w:rStyle w:val="FootnoteReference"/>
        </w:rPr>
        <w:footnoteRef/>
      </w:r>
      <w:r w:rsidRPr="007344A3">
        <w:t xml:space="preserve"> </w:t>
      </w:r>
      <w:r w:rsidRPr="007344A3" w:rsidR="00866737">
        <w:rPr>
          <w:i/>
          <w:iCs/>
        </w:rPr>
        <w:t>Id.</w:t>
      </w:r>
    </w:p>
  </w:footnote>
  <w:footnote w:id="24">
    <w:p w:rsidR="0045178C" w:rsidRPr="007344A3" w:rsidP="007344A3" w14:paraId="19FBB704" w14:textId="7CD91563">
      <w:pPr>
        <w:pStyle w:val="FootnoteText"/>
        <w:spacing w:after="120"/>
      </w:pPr>
      <w:r w:rsidRPr="007344A3">
        <w:rPr>
          <w:rStyle w:val="FootnoteReference"/>
        </w:rPr>
        <w:footnoteRef/>
      </w:r>
      <w:r w:rsidRPr="007344A3">
        <w:t xml:space="preserve"> </w:t>
      </w:r>
      <w:r w:rsidRPr="007344A3" w:rsidR="00FC0FF6">
        <w:rPr>
          <w:i/>
          <w:iCs/>
        </w:rPr>
        <w:t>See</w:t>
      </w:r>
      <w:r w:rsidRPr="007344A3" w:rsidR="00FC0FF6">
        <w:t xml:space="preserve"> Ohio Association of Community Action Agencies</w:t>
      </w:r>
      <w:r w:rsidRPr="007344A3" w:rsidR="00096905">
        <w:t>,</w:t>
      </w:r>
      <w:r w:rsidRPr="007344A3" w:rsidR="00FC0FF6">
        <w:t xml:space="preserve"> </w:t>
      </w:r>
      <w:r w:rsidRPr="007344A3">
        <w:rPr>
          <w:i/>
          <w:iCs/>
        </w:rPr>
        <w:t>The State of Poverty in Ohio, Vulnerable to Disruption</w:t>
      </w:r>
      <w:r w:rsidRPr="007344A3">
        <w:t xml:space="preserve">, </w:t>
      </w:r>
      <w:r w:rsidRPr="007344A3">
        <w:rPr>
          <w:i/>
          <w:iCs/>
        </w:rPr>
        <w:t>2023 Report</w:t>
      </w:r>
      <w:r w:rsidRPr="007344A3" w:rsidR="00FC0FF6">
        <w:t xml:space="preserve">, </w:t>
      </w:r>
      <w:hyperlink r:id="rId2" w:history="1">
        <w:r w:rsidRPr="007344A3" w:rsidR="00FC0FF6">
          <w:rPr>
            <w:rStyle w:val="Hyperlink"/>
          </w:rPr>
          <w:t>https://oacaa.org/wp-content/uploads/2023/07/State-of-Poverty-2023-web_FINAL-UPDATE.pdf</w:t>
        </w:r>
      </w:hyperlink>
      <w:r w:rsidRPr="007344A3" w:rsidR="002A67C8">
        <w:t>.</w:t>
      </w:r>
    </w:p>
  </w:footnote>
  <w:footnote w:id="25">
    <w:p w:rsidR="00E14F24" w:rsidRPr="007344A3" w:rsidP="007344A3" w14:paraId="39F13195" w14:textId="034F773A">
      <w:pPr>
        <w:pStyle w:val="FootnoteText"/>
        <w:spacing w:after="120"/>
      </w:pPr>
      <w:r w:rsidRPr="007344A3">
        <w:rPr>
          <w:rStyle w:val="FootnoteReference"/>
        </w:rPr>
        <w:footnoteRef/>
      </w:r>
      <w:r w:rsidRPr="007344A3">
        <w:t xml:space="preserve"> </w:t>
      </w:r>
      <w:r w:rsidRPr="007344A3" w:rsidR="00FC0FF6">
        <w:rPr>
          <w:i/>
          <w:iCs/>
        </w:rPr>
        <w:t>See</w:t>
      </w:r>
      <w:r w:rsidRPr="007344A3" w:rsidR="00FC0FF6">
        <w:t xml:space="preserve"> 211, Crisis Center and ADRC, </w:t>
      </w:r>
      <w:r w:rsidRPr="007344A3">
        <w:rPr>
          <w:i/>
          <w:iCs/>
        </w:rPr>
        <w:t>2020 Collaborative Community Report</w:t>
      </w:r>
      <w:r w:rsidRPr="007344A3" w:rsidR="00FC0FF6">
        <w:t xml:space="preserve"> (2021), </w:t>
      </w:r>
      <w:hyperlink r:id="rId3" w:history="1">
        <w:r w:rsidRPr="007344A3" w:rsidR="00FC0FF6">
          <w:rPr>
            <w:rStyle w:val="Hyperlink"/>
          </w:rPr>
          <w:t>https://adrcofbrowncounty.org/wp-content/uploads/2021/08/2020-Collaborative-Report-211-Crisis-Center-ADRC.pdf</w:t>
        </w:r>
      </w:hyperlink>
      <w:r w:rsidRPr="007344A3" w:rsidR="00953FDE">
        <w:t>.</w:t>
      </w:r>
    </w:p>
  </w:footnote>
  <w:footnote w:id="26">
    <w:p w:rsidR="00D25817" w:rsidRPr="007344A3" w:rsidP="007344A3" w14:paraId="4AF4ABFB" w14:textId="6BC944C0">
      <w:pPr>
        <w:pStyle w:val="FootnoteText"/>
        <w:spacing w:after="120"/>
      </w:pPr>
      <w:r w:rsidRPr="007344A3">
        <w:rPr>
          <w:rStyle w:val="FootnoteReference"/>
        </w:rPr>
        <w:footnoteRef/>
      </w:r>
      <w:r w:rsidRPr="007344A3">
        <w:t xml:space="preserve"> </w:t>
      </w:r>
      <w:r w:rsidRPr="007344A3">
        <w:rPr>
          <w:i/>
          <w:iCs/>
        </w:rPr>
        <w:t>Id.</w:t>
      </w:r>
    </w:p>
  </w:footnote>
  <w:footnote w:id="27">
    <w:p w:rsidR="00D25817" w:rsidRPr="007344A3" w:rsidP="007344A3" w14:paraId="6F8A96F5" w14:textId="718E2B8F">
      <w:pPr>
        <w:pStyle w:val="FootnoteText"/>
        <w:spacing w:after="120"/>
      </w:pPr>
      <w:r w:rsidRPr="007344A3">
        <w:rPr>
          <w:rStyle w:val="FootnoteReference"/>
        </w:rPr>
        <w:footnoteRef/>
      </w:r>
      <w:r w:rsidRPr="007344A3">
        <w:t xml:space="preserve"> </w:t>
      </w:r>
      <w:r w:rsidRPr="007344A3">
        <w:rPr>
          <w:i/>
          <w:iCs/>
        </w:rPr>
        <w:t>Id.</w:t>
      </w:r>
    </w:p>
  </w:footnote>
  <w:footnote w:id="28">
    <w:p w:rsidR="000C20FC" w:rsidRPr="007344A3" w:rsidP="007344A3" w14:paraId="3CFEE9E0" w14:textId="7BEB3385">
      <w:pPr>
        <w:pStyle w:val="FootnoteText"/>
        <w:spacing w:after="120"/>
        <w:rPr>
          <w:i/>
          <w:iCs/>
        </w:rPr>
      </w:pPr>
      <w:r w:rsidRPr="007344A3">
        <w:rPr>
          <w:rStyle w:val="FootnoteReference"/>
        </w:rPr>
        <w:footnoteRef/>
      </w:r>
      <w:r w:rsidRPr="007344A3">
        <w:t xml:space="preserve"> </w:t>
      </w:r>
      <w:r w:rsidRPr="007344A3" w:rsidR="00843344">
        <w:t>Spiller</w:t>
      </w:r>
      <w:r w:rsidRPr="007344A3" w:rsidR="00575673">
        <w:t xml:space="preserve"> Testimony</w:t>
      </w:r>
      <w:r w:rsidRPr="007344A3" w:rsidR="00FC0FF6">
        <w:t xml:space="preserve"> at 10.</w:t>
      </w:r>
    </w:p>
  </w:footnote>
  <w:footnote w:id="29">
    <w:p w:rsidR="00F11BC2" w:rsidRPr="007344A3" w:rsidP="007344A3" w14:paraId="1521D117" w14:textId="489D5168">
      <w:pPr>
        <w:pStyle w:val="FootnoteText"/>
        <w:spacing w:after="120"/>
      </w:pPr>
      <w:r w:rsidRPr="007344A3">
        <w:rPr>
          <w:rStyle w:val="FootnoteReference"/>
        </w:rPr>
        <w:footnoteRef/>
      </w:r>
      <w:r w:rsidRPr="007344A3">
        <w:t xml:space="preserve"> Spiller </w:t>
      </w:r>
      <w:r w:rsidRPr="007344A3" w:rsidR="00451A4A">
        <w:t>T</w:t>
      </w:r>
      <w:r w:rsidRPr="007344A3">
        <w:t>estimony at 9.</w:t>
      </w:r>
    </w:p>
  </w:footnote>
  <w:footnote w:id="30">
    <w:p w:rsidR="00167B51" w:rsidRPr="007344A3" w:rsidP="007344A3" w14:paraId="457B5C81" w14:textId="518ED678">
      <w:pPr>
        <w:pStyle w:val="FootnoteText"/>
        <w:spacing w:after="120"/>
      </w:pPr>
      <w:r w:rsidRPr="007344A3">
        <w:rPr>
          <w:rStyle w:val="FootnoteReference"/>
        </w:rPr>
        <w:footnoteRef/>
      </w:r>
      <w:r w:rsidRPr="007344A3">
        <w:t xml:space="preserve"> </w:t>
      </w:r>
      <w:r w:rsidRPr="007344A3">
        <w:rPr>
          <w:i/>
          <w:iCs/>
        </w:rPr>
        <w:t xml:space="preserve">In the Matter of the Application of Duke Energy Ohio for Authority to Establish a Standard Service Offer Pursuant to Section 4928.143, Revised Code, in the Form of an Electric Security Plan, Accounting Modifications and Tariffs for Generation Service, </w:t>
      </w:r>
      <w:r w:rsidRPr="007344A3">
        <w:t>Case No. 11-3549-EL-SSO, Opinion and Order at 44 (Nov. 22, 2011).</w:t>
      </w:r>
    </w:p>
  </w:footnote>
  <w:footnote w:id="31">
    <w:p w:rsidR="00036476" w:rsidRPr="007344A3" w:rsidP="007344A3" w14:paraId="1BD9086D" w14:textId="63981C5E">
      <w:pPr>
        <w:pStyle w:val="FootnoteText"/>
        <w:spacing w:after="120"/>
      </w:pPr>
      <w:r w:rsidRPr="007344A3">
        <w:rPr>
          <w:rStyle w:val="FootnoteReference"/>
        </w:rPr>
        <w:footnoteRef/>
      </w:r>
      <w:r w:rsidRPr="007344A3">
        <w:t xml:space="preserve"> </w:t>
      </w:r>
      <w:r w:rsidRPr="007344A3" w:rsidR="00EE0AB0">
        <w:rPr>
          <w:i/>
          <w:iCs/>
        </w:rPr>
        <w:t xml:space="preserve">In the </w:t>
      </w:r>
      <w:r w:rsidRPr="007344A3" w:rsidR="00083D7F">
        <w:rPr>
          <w:i/>
          <w:iCs/>
        </w:rPr>
        <w:t>M</w:t>
      </w:r>
      <w:r w:rsidRPr="007344A3" w:rsidR="00EE0AB0">
        <w:rPr>
          <w:i/>
          <w:iCs/>
        </w:rPr>
        <w:t xml:space="preserve">atter of the Application of Duke Energy Ohio, Inc, for Approval of a Distribution Decoupling Rider, </w:t>
      </w:r>
      <w:r w:rsidRPr="007344A3" w:rsidR="00EE0AB0">
        <w:t>Case No.</w:t>
      </w:r>
      <w:r w:rsidRPr="007344A3" w:rsidR="00AB6C89">
        <w:t xml:space="preserve"> </w:t>
      </w:r>
      <w:r w:rsidRPr="007344A3">
        <w:t>11-5905</w:t>
      </w:r>
      <w:r w:rsidRPr="007344A3" w:rsidR="00EE0AB0">
        <w:t xml:space="preserve">-EL-RDR, </w:t>
      </w:r>
      <w:r w:rsidRPr="007344A3" w:rsidR="005657C8">
        <w:t>Finding</w:t>
      </w:r>
      <w:r w:rsidRPr="007344A3" w:rsidR="00EE0AB0">
        <w:t xml:space="preserve"> and Order at 4</w:t>
      </w:r>
      <w:r w:rsidRPr="007344A3">
        <w:t xml:space="preserve"> </w:t>
      </w:r>
      <w:r w:rsidRPr="007344A3" w:rsidR="00EE0AB0">
        <w:t>(May 30, 20</w:t>
      </w:r>
      <w:r w:rsidRPr="007344A3" w:rsidR="005B2732">
        <w:t>12</w:t>
      </w:r>
      <w:r w:rsidRPr="007344A3" w:rsidR="00EE0AB0">
        <w:t>).</w:t>
      </w:r>
    </w:p>
  </w:footnote>
  <w:footnote w:id="32">
    <w:p w:rsidR="00B629DE" w:rsidRPr="007344A3" w:rsidP="007344A3" w14:paraId="150EC7E9" w14:textId="1301A757">
      <w:pPr>
        <w:pStyle w:val="FootnoteText"/>
        <w:spacing w:after="120"/>
      </w:pPr>
      <w:r w:rsidRPr="007344A3">
        <w:rPr>
          <w:rStyle w:val="FootnoteReference"/>
        </w:rPr>
        <w:footnoteRef/>
      </w:r>
      <w:r w:rsidRPr="007344A3">
        <w:t xml:space="preserve"> </w:t>
      </w:r>
      <w:r w:rsidRPr="007344A3" w:rsidR="00EA4244">
        <w:rPr>
          <w:i/>
          <w:iCs/>
        </w:rPr>
        <w:t xml:space="preserve">In the Matter of Application of Duke Energy Ohio, Inc. for Authority to Establish a Standard Service Offer Pursuant to R.C. 4928.143 in the </w:t>
      </w:r>
      <w:r w:rsidRPr="007344A3" w:rsidR="00CE6262">
        <w:rPr>
          <w:i/>
          <w:iCs/>
        </w:rPr>
        <w:t>F</w:t>
      </w:r>
      <w:r w:rsidRPr="007344A3" w:rsidR="00EA4244">
        <w:rPr>
          <w:i/>
          <w:iCs/>
        </w:rPr>
        <w:t>orm of an Electric Security Plan, Accounting Modifications, and Tariffs for Generation Service</w:t>
      </w:r>
      <w:r w:rsidRPr="007344A3" w:rsidR="00EA4244">
        <w:t xml:space="preserve">, </w:t>
      </w:r>
      <w:r w:rsidRPr="007344A3">
        <w:t xml:space="preserve">Case No. 14-841-EL-SSO, et al. </w:t>
      </w:r>
      <w:r w:rsidRPr="007344A3" w:rsidR="00EA4244">
        <w:t>Opinion and Order</w:t>
      </w:r>
      <w:r w:rsidRPr="007344A3" w:rsidR="0007358C">
        <w:t xml:space="preserve"> </w:t>
      </w:r>
      <w:r w:rsidRPr="007344A3">
        <w:t>(Apr</w:t>
      </w:r>
      <w:r w:rsidRPr="007344A3" w:rsidR="0007358C">
        <w:t>il</w:t>
      </w:r>
      <w:r w:rsidRPr="007344A3">
        <w:t xml:space="preserve"> 2,</w:t>
      </w:r>
      <w:r w:rsidRPr="007344A3" w:rsidR="00F35A5A">
        <w:t xml:space="preserve"> </w:t>
      </w:r>
      <w:r w:rsidRPr="007344A3">
        <w:t>2015).</w:t>
      </w:r>
    </w:p>
  </w:footnote>
  <w:footnote w:id="33">
    <w:p w:rsidR="00B629DE" w:rsidRPr="007344A3" w:rsidP="007344A3" w14:paraId="16869649" w14:textId="655909D9">
      <w:pPr>
        <w:pStyle w:val="FootnoteText"/>
        <w:spacing w:after="120"/>
      </w:pPr>
      <w:r w:rsidRPr="007344A3">
        <w:rPr>
          <w:rStyle w:val="FootnoteReference"/>
        </w:rPr>
        <w:footnoteRef/>
      </w:r>
      <w:r w:rsidRPr="007344A3">
        <w:t xml:space="preserve"> </w:t>
      </w:r>
      <w:r w:rsidRPr="007344A3">
        <w:rPr>
          <w:i/>
          <w:iCs/>
        </w:rPr>
        <w:t xml:space="preserve">In </w:t>
      </w:r>
      <w:r w:rsidRPr="007344A3" w:rsidR="006B0D1B">
        <w:rPr>
          <w:i/>
          <w:iCs/>
        </w:rPr>
        <w:t>the Matter of Application of Duke Energy Ohio, Inc. for Authority to Establish a Standard Service Offer Pursuant to R.C. 4928.143 in the Form of an Electric Security Plan, Accounting Modifications, and Tariffs for Generation Service</w:t>
      </w:r>
      <w:r w:rsidRPr="007344A3" w:rsidR="006B0D1B">
        <w:t xml:space="preserve">, </w:t>
      </w:r>
      <w:r w:rsidRPr="007344A3">
        <w:t>Case No. 17-1263-EL-SSO, et al</w:t>
      </w:r>
      <w:r w:rsidRPr="007344A3" w:rsidR="004B16B9">
        <w:t>.</w:t>
      </w:r>
      <w:r w:rsidRPr="007344A3">
        <w:t>, O</w:t>
      </w:r>
      <w:r w:rsidRPr="007344A3" w:rsidR="004B16B9">
        <w:t>pinion &amp; Order</w:t>
      </w:r>
      <w:r w:rsidRPr="007344A3">
        <w:t xml:space="preserve"> (Dec. 19, 2018)</w:t>
      </w:r>
    </w:p>
  </w:footnote>
  <w:footnote w:id="34">
    <w:p w:rsidR="00D459CF" w:rsidRPr="007344A3" w:rsidP="007344A3" w14:paraId="2C131E5A" w14:textId="348F323F">
      <w:pPr>
        <w:spacing w:after="120"/>
        <w:rPr>
          <w:sz w:val="20"/>
          <w:szCs w:val="20"/>
        </w:rPr>
      </w:pPr>
      <w:r w:rsidRPr="007344A3">
        <w:rPr>
          <w:rStyle w:val="FootnoteReference"/>
          <w:sz w:val="20"/>
          <w:szCs w:val="20"/>
        </w:rPr>
        <w:footnoteRef/>
      </w:r>
      <w:r w:rsidRPr="007344A3">
        <w:rPr>
          <w:sz w:val="20"/>
          <w:szCs w:val="20"/>
        </w:rPr>
        <w:t xml:space="preserve"> </w:t>
      </w:r>
      <w:r w:rsidRPr="007344A3">
        <w:rPr>
          <w:i/>
          <w:iCs/>
          <w:sz w:val="20"/>
          <w:szCs w:val="20"/>
        </w:rPr>
        <w:t>In the Matter of the Application of Duke Energy Ohio, Inc. for Approval of Its 2017-2019 Energy Efficiency and Peak Demand Reduction Program Portfolio Plan</w:t>
      </w:r>
      <w:r w:rsidRPr="007344A3">
        <w:rPr>
          <w:sz w:val="20"/>
          <w:szCs w:val="20"/>
        </w:rPr>
        <w:t>, Case No. 16-574-EL-POR, et al., Finding &amp; Order (Feb. 24, 2021) at ¶ 7.</w:t>
      </w:r>
    </w:p>
  </w:footnote>
  <w:footnote w:id="35">
    <w:p w:rsidR="00EB2A18" w:rsidRPr="007344A3" w:rsidP="007344A3" w14:paraId="0F92D56A" w14:textId="62EE5CB6">
      <w:pPr>
        <w:pStyle w:val="FootnoteText"/>
        <w:spacing w:after="120"/>
      </w:pPr>
      <w:r w:rsidRPr="007344A3">
        <w:rPr>
          <w:rStyle w:val="FootnoteReference"/>
        </w:rPr>
        <w:footnoteRef/>
      </w:r>
      <w:r w:rsidRPr="007344A3">
        <w:t xml:space="preserve"> </w:t>
      </w:r>
      <w:r w:rsidRPr="007344A3" w:rsidR="00090739">
        <w:t xml:space="preserve">Ziolkowski Testimony </w:t>
      </w:r>
      <w:r w:rsidRPr="007344A3">
        <w:t>at 15.</w:t>
      </w:r>
    </w:p>
  </w:footnote>
  <w:footnote w:id="36">
    <w:p w:rsidR="00EB2A18" w:rsidRPr="007344A3" w:rsidP="007344A3" w14:paraId="0F11FF3B" w14:textId="1569126C">
      <w:pPr>
        <w:pStyle w:val="FootnoteText"/>
        <w:spacing w:after="120"/>
      </w:pPr>
      <w:r w:rsidRPr="007344A3">
        <w:rPr>
          <w:rStyle w:val="FootnoteReference"/>
        </w:rPr>
        <w:footnoteRef/>
      </w:r>
      <w:r w:rsidRPr="007344A3" w:rsidR="00145EEC">
        <w:t xml:space="preserve"> Direct Testimony of Colleen Shutrump </w:t>
      </w:r>
      <w:r w:rsidRPr="007344A3" w:rsidR="005E54A4">
        <w:t xml:space="preserve">at 13 </w:t>
      </w:r>
      <w:r w:rsidRPr="007344A3" w:rsidR="00145EEC">
        <w:t>(June 6, 2020),</w:t>
      </w:r>
      <w:r w:rsidRPr="007344A3">
        <w:t xml:space="preserve"> </w:t>
      </w:r>
      <w:r w:rsidRPr="007344A3">
        <w:rPr>
          <w:i/>
          <w:iCs/>
        </w:rPr>
        <w:t>In the Matter of the 2014, 2015, 2016, 2017 and 2018 Review of the Demand Side Management and Energy Efficiency Riders of Ohio Edison Company, The Cleveland Electric Illuminating Company, and The Toledo Edison Company</w:t>
      </w:r>
      <w:r w:rsidRPr="007344A3">
        <w:t>, Case No. 13-2173-EL-RDR</w:t>
      </w:r>
      <w:r w:rsidRPr="007344A3" w:rsidR="00145EEC">
        <w:t>,</w:t>
      </w:r>
      <w:r w:rsidRPr="007344A3">
        <w:t xml:space="preserve"> et 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F05" w14:paraId="7DB298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F05" w14:paraId="4A6AB3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F05" w14:paraId="3066D7E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P="003E13B3" w14:paraId="58A895BD" w14:textId="77777777">
    <w:pPr>
      <w:tabs>
        <w:tab w:val="center" w:pos="4320"/>
        <w:tab w:val="right" w:pos="8640"/>
      </w:tabs>
      <w:jc w:val="center"/>
      <w:rPr>
        <w:i/>
        <w:iCs/>
      </w:rPr>
    </w:pPr>
    <w:r>
      <w:rPr>
        <w:i/>
        <w:iCs/>
      </w:rPr>
      <w:t>Direct Testimony of Colleen Shutrump</w:t>
    </w:r>
  </w:p>
  <w:p w:rsidR="00885EE7" w:rsidP="00885EE7" w14:paraId="33862C87" w14:textId="2D509314">
    <w:pPr>
      <w:pStyle w:val="Header"/>
      <w:tabs>
        <w:tab w:val="right" w:pos="8620"/>
        <w:tab w:val="clear" w:pos="9360"/>
      </w:tabs>
      <w:jc w:val="center"/>
    </w:pPr>
    <w:r>
      <w:rPr>
        <w:i/>
        <w:iCs/>
      </w:rPr>
      <w:t>On Behalf of the Office of the Ohio Consumers</w:t>
    </w:r>
    <w:r w:rsidR="00047311">
      <w:rPr>
        <w:rFonts w:hAnsi="Times New Roman"/>
        <w:i/>
        <w:iCs/>
      </w:rPr>
      <w:t>’</w:t>
    </w:r>
    <w:r>
      <w:rPr>
        <w:rFonts w:hAnsi="Times New Roman"/>
        <w:i/>
        <w:iCs/>
      </w:rPr>
      <w:t xml:space="preserve"> </w:t>
    </w:r>
    <w:r>
      <w:rPr>
        <w:i/>
        <w:iCs/>
      </w:rPr>
      <w:t>Counsel</w:t>
    </w:r>
    <w:r>
      <w:t xml:space="preserve"> </w:t>
    </w:r>
  </w:p>
  <w:p w:rsidR="00885EE7" w:rsidRPr="003C57F6" w:rsidP="00885EE7" w14:paraId="3D67160D" w14:textId="77777777">
    <w:pPr>
      <w:pStyle w:val="HTMLPreformatted"/>
      <w:jc w:val="center"/>
      <w:rPr>
        <w:rFonts w:ascii="Times New Roman" w:hAnsi="Times New Roman" w:cs="Times New Roman"/>
        <w:i/>
        <w:iCs/>
        <w:sz w:val="24"/>
        <w:szCs w:val="24"/>
      </w:rPr>
    </w:pPr>
    <w:r w:rsidRPr="003C57F6">
      <w:rPr>
        <w:rFonts w:ascii="Times New Roman" w:hAnsi="Times New Roman" w:cs="Times New Roman"/>
        <w:i/>
        <w:iCs/>
        <w:sz w:val="24"/>
        <w:szCs w:val="24"/>
      </w:rPr>
      <w:t xml:space="preserve">PUCO Case No. </w:t>
    </w:r>
    <w:r w:rsidRPr="00E44A0B">
      <w:rPr>
        <w:rFonts w:ascii="Times New Roman" w:hAnsi="Times New Roman" w:cs="Times New Roman"/>
        <w:i/>
        <w:iCs/>
        <w:sz w:val="24"/>
        <w:szCs w:val="24"/>
      </w:rPr>
      <w:t>24-278-EL-SSO</w:t>
    </w:r>
    <w:r>
      <w:rPr>
        <w:rFonts w:ascii="Times New Roman" w:hAnsi="Times New Roman" w:cs="Times New Roman"/>
        <w:i/>
        <w:iCs/>
        <w:sz w:val="24"/>
        <w:szCs w:val="24"/>
      </w:rPr>
      <w:t>, et al.</w:t>
    </w:r>
  </w:p>
  <w:p w:rsidR="00150900" w:rsidRPr="00B73B11" w:rsidP="003E13B3" w14:paraId="75328CEC" w14:textId="7777777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9A4CDE" w:rsidP="003E13B3" w14:paraId="2CEF9B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375A"/>
    <w:multiLevelType w:val="hybridMultilevel"/>
    <w:tmpl w:val="6D26A8CA"/>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1">
    <w:nsid w:val="01DA3DDC"/>
    <w:multiLevelType w:val="hybridMultilevel"/>
    <w:tmpl w:val="AF503D5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C74207"/>
    <w:multiLevelType w:val="hybridMultilevel"/>
    <w:tmpl w:val="AEF44724"/>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3">
    <w:nsid w:val="039A63C8"/>
    <w:multiLevelType w:val="hybridMultilevel"/>
    <w:tmpl w:val="A5B48C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F3A1B"/>
    <w:multiLevelType w:val="hybridMultilevel"/>
    <w:tmpl w:val="EED63D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98F56CF"/>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0466FA"/>
    <w:multiLevelType w:val="hybridMultilevel"/>
    <w:tmpl w:val="265CEE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822108A"/>
    <w:multiLevelType w:val="hybridMultilevel"/>
    <w:tmpl w:val="11C4C8D4"/>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D84D29"/>
    <w:multiLevelType w:val="hybridMultilevel"/>
    <w:tmpl w:val="979A8A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917EC7"/>
    <w:multiLevelType w:val="hybridMultilevel"/>
    <w:tmpl w:val="7FBA9CB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E816C2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1F5A6559"/>
    <w:multiLevelType w:val="hybridMultilevel"/>
    <w:tmpl w:val="961421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31F0278"/>
    <w:multiLevelType w:val="hybridMultilevel"/>
    <w:tmpl w:val="39BEA6E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5E45060"/>
    <w:multiLevelType w:val="hybridMultilevel"/>
    <w:tmpl w:val="1F8A61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AD3401"/>
    <w:multiLevelType w:val="hybridMultilevel"/>
    <w:tmpl w:val="8792813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FB73C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31AC6027"/>
    <w:multiLevelType w:val="hybridMultilevel"/>
    <w:tmpl w:val="0BC866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5583231"/>
    <w:multiLevelType w:val="hybridMultilevel"/>
    <w:tmpl w:val="5C9E9E3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3A0507D9"/>
    <w:multiLevelType w:val="hybridMultilevel"/>
    <w:tmpl w:val="CED0AFEC"/>
    <w:lvl w:ilvl="0">
      <w:start w:val="1"/>
      <w:numFmt w:val="decimal"/>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BD33B83"/>
    <w:multiLevelType w:val="hybridMultilevel"/>
    <w:tmpl w:val="2E56FAA4"/>
    <w:lvl w:ilvl="0">
      <w:start w:val="1"/>
      <w:numFmt w:val="decimal"/>
      <w:lvlText w:val="%1)"/>
      <w:lvlJc w:val="left"/>
      <w:pPr>
        <w:ind w:left="1440" w:hanging="72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E6974B2"/>
    <w:multiLevelType w:val="hybridMultilevel"/>
    <w:tmpl w:val="4CFA65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0484458"/>
    <w:multiLevelType w:val="hybridMultilevel"/>
    <w:tmpl w:val="945C37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F84AD1"/>
    <w:multiLevelType w:val="hybridMultilevel"/>
    <w:tmpl w:val="643CE0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B04A92"/>
    <w:multiLevelType w:val="hybridMultilevel"/>
    <w:tmpl w:val="75362304"/>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B91CFF"/>
    <w:multiLevelType w:val="hybridMultilevel"/>
    <w:tmpl w:val="3D3808D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4603267A"/>
    <w:multiLevelType w:val="multilevel"/>
    <w:tmpl w:val="7944B920"/>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nsid w:val="486472E7"/>
    <w:multiLevelType w:val="hybridMultilevel"/>
    <w:tmpl w:val="9C24B424"/>
    <w:lvl w:ilvl="0">
      <w:start w:val="1"/>
      <w:numFmt w:val="decimal"/>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BE027F6"/>
    <w:multiLevelType w:val="hybridMultilevel"/>
    <w:tmpl w:val="933841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9125DC"/>
    <w:multiLevelType w:val="hybridMultilevel"/>
    <w:tmpl w:val="624EDD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96037B"/>
    <w:multiLevelType w:val="hybridMultilevel"/>
    <w:tmpl w:val="953211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F646B08"/>
    <w:multiLevelType w:val="hybridMultilevel"/>
    <w:tmpl w:val="BAF28F36"/>
    <w:lvl w:ilvl="0">
      <w:start w:val="1"/>
      <w:numFmt w:val="decimal"/>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29E2EB8"/>
    <w:multiLevelType w:val="hybridMultilevel"/>
    <w:tmpl w:val="908A8C66"/>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3F10A71"/>
    <w:multiLevelType w:val="hybridMultilevel"/>
    <w:tmpl w:val="8C2C19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9E195C"/>
    <w:multiLevelType w:val="hybridMultilevel"/>
    <w:tmpl w:val="49781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86D14C5"/>
    <w:multiLevelType w:val="hybridMultilevel"/>
    <w:tmpl w:val="8DA691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427388"/>
    <w:multiLevelType w:val="hybridMultilevel"/>
    <w:tmpl w:val="23723F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403D90"/>
    <w:multiLevelType w:val="hybridMultilevel"/>
    <w:tmpl w:val="6BF64DF4"/>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41A1213"/>
    <w:multiLevelType w:val="multilevel"/>
    <w:tmpl w:val="3BA0FC60"/>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38">
    <w:nsid w:val="662D0F38"/>
    <w:multiLevelType w:val="hybridMultilevel"/>
    <w:tmpl w:val="2D7EAEB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7B025C1"/>
    <w:multiLevelType w:val="hybridMultilevel"/>
    <w:tmpl w:val="9EC200C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803774E"/>
    <w:multiLevelType w:val="hybridMultilevel"/>
    <w:tmpl w:val="9814E2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D4A7C32"/>
    <w:multiLevelType w:val="hybridMultilevel"/>
    <w:tmpl w:val="AF84E2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E090C74"/>
    <w:multiLevelType w:val="hybridMultilevel"/>
    <w:tmpl w:val="A3522A4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E832D5"/>
    <w:multiLevelType w:val="hybridMultilevel"/>
    <w:tmpl w:val="293640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8459BD"/>
    <w:multiLevelType w:val="hybridMultilevel"/>
    <w:tmpl w:val="B64062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912E9E"/>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077DCF"/>
    <w:multiLevelType w:val="hybridMultilevel"/>
    <w:tmpl w:val="2D7EAEB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7"/>
  </w:num>
  <w:num w:numId="2">
    <w:abstractNumId w:val="25"/>
  </w:num>
  <w:num w:numId="3">
    <w:abstractNumId w:val="4"/>
  </w:num>
  <w:num w:numId="4">
    <w:abstractNumId w:val="36"/>
  </w:num>
  <w:num w:numId="5">
    <w:abstractNumId w:val="26"/>
  </w:num>
  <w:num w:numId="6">
    <w:abstractNumId w:val="31"/>
  </w:num>
  <w:num w:numId="7">
    <w:abstractNumId w:val="31"/>
  </w:num>
  <w:num w:numId="8">
    <w:abstractNumId w:val="14"/>
  </w:num>
  <w:num w:numId="9">
    <w:abstractNumId w:val="19"/>
  </w:num>
  <w:num w:numId="10">
    <w:abstractNumId w:val="44"/>
  </w:num>
  <w:num w:numId="11">
    <w:abstractNumId w:val="35"/>
  </w:num>
  <w:num w:numId="12">
    <w:abstractNumId w:val="15"/>
  </w:num>
  <w:num w:numId="13">
    <w:abstractNumId w:val="10"/>
  </w:num>
  <w:num w:numId="14">
    <w:abstractNumId w:val="2"/>
  </w:num>
  <w:num w:numId="15">
    <w:abstractNumId w:val="39"/>
  </w:num>
  <w:num w:numId="16">
    <w:abstractNumId w:val="27"/>
  </w:num>
  <w:num w:numId="17">
    <w:abstractNumId w:val="22"/>
  </w:num>
  <w:num w:numId="18">
    <w:abstractNumId w:val="8"/>
  </w:num>
  <w:num w:numId="19">
    <w:abstractNumId w:val="45"/>
  </w:num>
  <w:num w:numId="20">
    <w:abstractNumId w:val="0"/>
  </w:num>
  <w:num w:numId="21">
    <w:abstractNumId w:val="5"/>
  </w:num>
  <w:num w:numId="22">
    <w:abstractNumId w:val="29"/>
  </w:num>
  <w:num w:numId="23">
    <w:abstractNumId w:val="6"/>
  </w:num>
  <w:num w:numId="24">
    <w:abstractNumId w:val="18"/>
  </w:num>
  <w:num w:numId="25">
    <w:abstractNumId w:val="12"/>
  </w:num>
  <w:num w:numId="26">
    <w:abstractNumId w:val="40"/>
  </w:num>
  <w:num w:numId="27">
    <w:abstractNumId w:val="33"/>
  </w:num>
  <w:num w:numId="28">
    <w:abstractNumId w:val="11"/>
  </w:num>
  <w:num w:numId="29">
    <w:abstractNumId w:val="16"/>
  </w:num>
  <w:num w:numId="30">
    <w:abstractNumId w:val="24"/>
  </w:num>
  <w:num w:numId="31">
    <w:abstractNumId w:val="32"/>
  </w:num>
  <w:num w:numId="32">
    <w:abstractNumId w:val="30"/>
  </w:num>
  <w:num w:numId="33">
    <w:abstractNumId w:val="7"/>
  </w:num>
  <w:num w:numId="34">
    <w:abstractNumId w:val="28"/>
  </w:num>
  <w:num w:numId="35">
    <w:abstractNumId w:val="3"/>
  </w:num>
  <w:num w:numId="36">
    <w:abstractNumId w:val="43"/>
  </w:num>
  <w:num w:numId="37">
    <w:abstractNumId w:val="23"/>
  </w:num>
  <w:num w:numId="38">
    <w:abstractNumId w:val="17"/>
  </w:num>
  <w:num w:numId="39">
    <w:abstractNumId w:val="34"/>
  </w:num>
  <w:num w:numId="40">
    <w:abstractNumId w:val="9"/>
  </w:num>
  <w:num w:numId="41">
    <w:abstractNumId w:val="41"/>
  </w:num>
  <w:num w:numId="42">
    <w:abstractNumId w:val="20"/>
  </w:num>
  <w:num w:numId="43">
    <w:abstractNumId w:val="38"/>
  </w:num>
  <w:num w:numId="44">
    <w:abstractNumId w:val="46"/>
  </w:num>
  <w:num w:numId="45">
    <w:abstractNumId w:val="21"/>
  </w:num>
  <w:num w:numId="46">
    <w:abstractNumId w:val="42"/>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5E"/>
    <w:rsid w:val="000033A4"/>
    <w:rsid w:val="00003AF1"/>
    <w:rsid w:val="000045DC"/>
    <w:rsid w:val="00004F63"/>
    <w:rsid w:val="00006710"/>
    <w:rsid w:val="00007E2F"/>
    <w:rsid w:val="00010887"/>
    <w:rsid w:val="00010DB5"/>
    <w:rsid w:val="00011365"/>
    <w:rsid w:val="000116FA"/>
    <w:rsid w:val="00011F21"/>
    <w:rsid w:val="00012A45"/>
    <w:rsid w:val="0001328A"/>
    <w:rsid w:val="00013524"/>
    <w:rsid w:val="000141A9"/>
    <w:rsid w:val="00015232"/>
    <w:rsid w:val="00015309"/>
    <w:rsid w:val="00016847"/>
    <w:rsid w:val="00017CEA"/>
    <w:rsid w:val="000206EC"/>
    <w:rsid w:val="00021139"/>
    <w:rsid w:val="00022BE9"/>
    <w:rsid w:val="00024131"/>
    <w:rsid w:val="00025EA5"/>
    <w:rsid w:val="00025FB6"/>
    <w:rsid w:val="000270FD"/>
    <w:rsid w:val="000310BE"/>
    <w:rsid w:val="00031442"/>
    <w:rsid w:val="00034B6F"/>
    <w:rsid w:val="00036476"/>
    <w:rsid w:val="0003793D"/>
    <w:rsid w:val="0004060D"/>
    <w:rsid w:val="00040C39"/>
    <w:rsid w:val="00041188"/>
    <w:rsid w:val="00041585"/>
    <w:rsid w:val="00042604"/>
    <w:rsid w:val="00042B21"/>
    <w:rsid w:val="00042F05"/>
    <w:rsid w:val="00044865"/>
    <w:rsid w:val="0004556D"/>
    <w:rsid w:val="00047133"/>
    <w:rsid w:val="00047311"/>
    <w:rsid w:val="00047342"/>
    <w:rsid w:val="0005166D"/>
    <w:rsid w:val="00054129"/>
    <w:rsid w:val="00054B80"/>
    <w:rsid w:val="00054EC7"/>
    <w:rsid w:val="00055BD9"/>
    <w:rsid w:val="00055EC5"/>
    <w:rsid w:val="00056621"/>
    <w:rsid w:val="00057D26"/>
    <w:rsid w:val="000614F7"/>
    <w:rsid w:val="00061C4E"/>
    <w:rsid w:val="000627E8"/>
    <w:rsid w:val="00063ECB"/>
    <w:rsid w:val="0007087A"/>
    <w:rsid w:val="00071807"/>
    <w:rsid w:val="000718DD"/>
    <w:rsid w:val="00072295"/>
    <w:rsid w:val="00072C60"/>
    <w:rsid w:val="0007358C"/>
    <w:rsid w:val="00074E2C"/>
    <w:rsid w:val="00075B7D"/>
    <w:rsid w:val="00077780"/>
    <w:rsid w:val="00081C2A"/>
    <w:rsid w:val="00082ACA"/>
    <w:rsid w:val="000830F8"/>
    <w:rsid w:val="00083CAD"/>
    <w:rsid w:val="00083D72"/>
    <w:rsid w:val="00083D7F"/>
    <w:rsid w:val="00084533"/>
    <w:rsid w:val="00085506"/>
    <w:rsid w:val="000859C9"/>
    <w:rsid w:val="00086AFA"/>
    <w:rsid w:val="00086E3C"/>
    <w:rsid w:val="00090739"/>
    <w:rsid w:val="0009208F"/>
    <w:rsid w:val="000932AD"/>
    <w:rsid w:val="00094A3C"/>
    <w:rsid w:val="00095A46"/>
    <w:rsid w:val="00095F71"/>
    <w:rsid w:val="00096905"/>
    <w:rsid w:val="00096CA4"/>
    <w:rsid w:val="00097AEB"/>
    <w:rsid w:val="000A1ECA"/>
    <w:rsid w:val="000A3C9E"/>
    <w:rsid w:val="000A49AA"/>
    <w:rsid w:val="000A56EF"/>
    <w:rsid w:val="000A59A7"/>
    <w:rsid w:val="000A7687"/>
    <w:rsid w:val="000B0251"/>
    <w:rsid w:val="000B1CBC"/>
    <w:rsid w:val="000B367D"/>
    <w:rsid w:val="000B5E47"/>
    <w:rsid w:val="000B7943"/>
    <w:rsid w:val="000B7CE5"/>
    <w:rsid w:val="000C069E"/>
    <w:rsid w:val="000C0AA3"/>
    <w:rsid w:val="000C1A18"/>
    <w:rsid w:val="000C20FC"/>
    <w:rsid w:val="000C3FEC"/>
    <w:rsid w:val="000C75A5"/>
    <w:rsid w:val="000D09B0"/>
    <w:rsid w:val="000D1DBF"/>
    <w:rsid w:val="000D2A7D"/>
    <w:rsid w:val="000D3D6A"/>
    <w:rsid w:val="000D50DF"/>
    <w:rsid w:val="000D54A6"/>
    <w:rsid w:val="000D568F"/>
    <w:rsid w:val="000D6730"/>
    <w:rsid w:val="000D6C0D"/>
    <w:rsid w:val="000D7F97"/>
    <w:rsid w:val="000E14A9"/>
    <w:rsid w:val="000E2968"/>
    <w:rsid w:val="000E4864"/>
    <w:rsid w:val="000E48B4"/>
    <w:rsid w:val="000E65F2"/>
    <w:rsid w:val="000E731D"/>
    <w:rsid w:val="000F0926"/>
    <w:rsid w:val="000F178B"/>
    <w:rsid w:val="000F1975"/>
    <w:rsid w:val="000F377D"/>
    <w:rsid w:val="000F44ED"/>
    <w:rsid w:val="000F7E2A"/>
    <w:rsid w:val="00100C5D"/>
    <w:rsid w:val="0010249A"/>
    <w:rsid w:val="00103E6A"/>
    <w:rsid w:val="00104E73"/>
    <w:rsid w:val="00105149"/>
    <w:rsid w:val="001113AC"/>
    <w:rsid w:val="00111E03"/>
    <w:rsid w:val="001162E6"/>
    <w:rsid w:val="00116E94"/>
    <w:rsid w:val="00121DF2"/>
    <w:rsid w:val="00123ADF"/>
    <w:rsid w:val="00124058"/>
    <w:rsid w:val="00124CDC"/>
    <w:rsid w:val="00125467"/>
    <w:rsid w:val="00127C3A"/>
    <w:rsid w:val="00131849"/>
    <w:rsid w:val="001319A5"/>
    <w:rsid w:val="00131CC2"/>
    <w:rsid w:val="001323E6"/>
    <w:rsid w:val="001325B7"/>
    <w:rsid w:val="001337C6"/>
    <w:rsid w:val="00135A94"/>
    <w:rsid w:val="001378E1"/>
    <w:rsid w:val="001407BD"/>
    <w:rsid w:val="00140A3D"/>
    <w:rsid w:val="00141E7E"/>
    <w:rsid w:val="00142F7D"/>
    <w:rsid w:val="00145994"/>
    <w:rsid w:val="00145EEC"/>
    <w:rsid w:val="00150352"/>
    <w:rsid w:val="0015074B"/>
    <w:rsid w:val="00150900"/>
    <w:rsid w:val="00151D5C"/>
    <w:rsid w:val="00153AF4"/>
    <w:rsid w:val="0015474A"/>
    <w:rsid w:val="001554B2"/>
    <w:rsid w:val="00155A1B"/>
    <w:rsid w:val="00156EA0"/>
    <w:rsid w:val="0015723D"/>
    <w:rsid w:val="00157F5E"/>
    <w:rsid w:val="0016082D"/>
    <w:rsid w:val="00161ACD"/>
    <w:rsid w:val="0016204A"/>
    <w:rsid w:val="001621A0"/>
    <w:rsid w:val="001629A3"/>
    <w:rsid w:val="00162A09"/>
    <w:rsid w:val="0016487D"/>
    <w:rsid w:val="001653DB"/>
    <w:rsid w:val="0016542B"/>
    <w:rsid w:val="0016620D"/>
    <w:rsid w:val="00167B51"/>
    <w:rsid w:val="00167C62"/>
    <w:rsid w:val="00167E22"/>
    <w:rsid w:val="00170232"/>
    <w:rsid w:val="00170723"/>
    <w:rsid w:val="001725D3"/>
    <w:rsid w:val="00173533"/>
    <w:rsid w:val="001739EE"/>
    <w:rsid w:val="00173CD7"/>
    <w:rsid w:val="00176160"/>
    <w:rsid w:val="001774A0"/>
    <w:rsid w:val="00182BB3"/>
    <w:rsid w:val="00182C63"/>
    <w:rsid w:val="0018359B"/>
    <w:rsid w:val="00184C16"/>
    <w:rsid w:val="00185B4B"/>
    <w:rsid w:val="00185E4A"/>
    <w:rsid w:val="00185F09"/>
    <w:rsid w:val="001863AA"/>
    <w:rsid w:val="001875A3"/>
    <w:rsid w:val="001910FF"/>
    <w:rsid w:val="00192CF0"/>
    <w:rsid w:val="001933F8"/>
    <w:rsid w:val="001956F3"/>
    <w:rsid w:val="00196DA3"/>
    <w:rsid w:val="00197230"/>
    <w:rsid w:val="00197997"/>
    <w:rsid w:val="001A0970"/>
    <w:rsid w:val="001A1CF0"/>
    <w:rsid w:val="001A48C4"/>
    <w:rsid w:val="001A4A7F"/>
    <w:rsid w:val="001A61FA"/>
    <w:rsid w:val="001A69AC"/>
    <w:rsid w:val="001A6ED1"/>
    <w:rsid w:val="001B0FE5"/>
    <w:rsid w:val="001B19F7"/>
    <w:rsid w:val="001B2C52"/>
    <w:rsid w:val="001B2C92"/>
    <w:rsid w:val="001B5E7A"/>
    <w:rsid w:val="001B69F2"/>
    <w:rsid w:val="001C003B"/>
    <w:rsid w:val="001C19ED"/>
    <w:rsid w:val="001C1D74"/>
    <w:rsid w:val="001C27B8"/>
    <w:rsid w:val="001C2B38"/>
    <w:rsid w:val="001C5ED3"/>
    <w:rsid w:val="001C7069"/>
    <w:rsid w:val="001C7377"/>
    <w:rsid w:val="001D0648"/>
    <w:rsid w:val="001D32D4"/>
    <w:rsid w:val="001D436C"/>
    <w:rsid w:val="001D4448"/>
    <w:rsid w:val="001D695A"/>
    <w:rsid w:val="001E1182"/>
    <w:rsid w:val="001E15BC"/>
    <w:rsid w:val="001E1E86"/>
    <w:rsid w:val="001E25F9"/>
    <w:rsid w:val="001E473B"/>
    <w:rsid w:val="001E53E1"/>
    <w:rsid w:val="001E5C78"/>
    <w:rsid w:val="001E6CA9"/>
    <w:rsid w:val="001F202F"/>
    <w:rsid w:val="001F25C8"/>
    <w:rsid w:val="001F3EBC"/>
    <w:rsid w:val="001F425A"/>
    <w:rsid w:val="001F462E"/>
    <w:rsid w:val="001F47C6"/>
    <w:rsid w:val="001F5151"/>
    <w:rsid w:val="001F533F"/>
    <w:rsid w:val="001F6A79"/>
    <w:rsid w:val="001F73D8"/>
    <w:rsid w:val="001F7A9B"/>
    <w:rsid w:val="00200C86"/>
    <w:rsid w:val="002013AC"/>
    <w:rsid w:val="00201B56"/>
    <w:rsid w:val="00202ECA"/>
    <w:rsid w:val="0020426D"/>
    <w:rsid w:val="002066B3"/>
    <w:rsid w:val="002117D7"/>
    <w:rsid w:val="00212E0B"/>
    <w:rsid w:val="00212E52"/>
    <w:rsid w:val="002135C8"/>
    <w:rsid w:val="0021511B"/>
    <w:rsid w:val="00220F8C"/>
    <w:rsid w:val="00224CC7"/>
    <w:rsid w:val="00225A5B"/>
    <w:rsid w:val="00227C43"/>
    <w:rsid w:val="00230D00"/>
    <w:rsid w:val="002326FF"/>
    <w:rsid w:val="00232D6D"/>
    <w:rsid w:val="002362B0"/>
    <w:rsid w:val="00236584"/>
    <w:rsid w:val="00236A76"/>
    <w:rsid w:val="00236E64"/>
    <w:rsid w:val="00237433"/>
    <w:rsid w:val="00240F08"/>
    <w:rsid w:val="002423AF"/>
    <w:rsid w:val="002423CD"/>
    <w:rsid w:val="00242A4E"/>
    <w:rsid w:val="00245318"/>
    <w:rsid w:val="00246D58"/>
    <w:rsid w:val="0025340E"/>
    <w:rsid w:val="00255B13"/>
    <w:rsid w:val="00261016"/>
    <w:rsid w:val="00262798"/>
    <w:rsid w:val="002628A2"/>
    <w:rsid w:val="00264053"/>
    <w:rsid w:val="002668D7"/>
    <w:rsid w:val="00266DCA"/>
    <w:rsid w:val="002674B3"/>
    <w:rsid w:val="00267904"/>
    <w:rsid w:val="00270063"/>
    <w:rsid w:val="002715EC"/>
    <w:rsid w:val="002741E4"/>
    <w:rsid w:val="002765D1"/>
    <w:rsid w:val="00276762"/>
    <w:rsid w:val="002768B3"/>
    <w:rsid w:val="00276C23"/>
    <w:rsid w:val="00277E2D"/>
    <w:rsid w:val="00280816"/>
    <w:rsid w:val="00281EC1"/>
    <w:rsid w:val="002821F4"/>
    <w:rsid w:val="00282991"/>
    <w:rsid w:val="00283590"/>
    <w:rsid w:val="00283A0C"/>
    <w:rsid w:val="0028401A"/>
    <w:rsid w:val="0028474F"/>
    <w:rsid w:val="002867AC"/>
    <w:rsid w:val="00287E00"/>
    <w:rsid w:val="00293026"/>
    <w:rsid w:val="00293603"/>
    <w:rsid w:val="00293EE1"/>
    <w:rsid w:val="0029441F"/>
    <w:rsid w:val="00294639"/>
    <w:rsid w:val="002955E8"/>
    <w:rsid w:val="0029582E"/>
    <w:rsid w:val="0029648B"/>
    <w:rsid w:val="00297944"/>
    <w:rsid w:val="00297D44"/>
    <w:rsid w:val="002A0DAB"/>
    <w:rsid w:val="002A10A5"/>
    <w:rsid w:val="002A1A4A"/>
    <w:rsid w:val="002A232F"/>
    <w:rsid w:val="002A2A92"/>
    <w:rsid w:val="002A67C8"/>
    <w:rsid w:val="002B04F1"/>
    <w:rsid w:val="002B1155"/>
    <w:rsid w:val="002B1547"/>
    <w:rsid w:val="002B171A"/>
    <w:rsid w:val="002B1904"/>
    <w:rsid w:val="002B1922"/>
    <w:rsid w:val="002B43BA"/>
    <w:rsid w:val="002B4571"/>
    <w:rsid w:val="002B4CAA"/>
    <w:rsid w:val="002B5741"/>
    <w:rsid w:val="002B5826"/>
    <w:rsid w:val="002B6AFF"/>
    <w:rsid w:val="002B6FA3"/>
    <w:rsid w:val="002C0B62"/>
    <w:rsid w:val="002C166B"/>
    <w:rsid w:val="002C1F75"/>
    <w:rsid w:val="002C27CA"/>
    <w:rsid w:val="002C283E"/>
    <w:rsid w:val="002C454E"/>
    <w:rsid w:val="002C5B20"/>
    <w:rsid w:val="002C6673"/>
    <w:rsid w:val="002C6820"/>
    <w:rsid w:val="002D013E"/>
    <w:rsid w:val="002D11F2"/>
    <w:rsid w:val="002D22DC"/>
    <w:rsid w:val="002D27EB"/>
    <w:rsid w:val="002D378E"/>
    <w:rsid w:val="002D3D21"/>
    <w:rsid w:val="002D3E33"/>
    <w:rsid w:val="002D45CE"/>
    <w:rsid w:val="002D6143"/>
    <w:rsid w:val="002D6BC6"/>
    <w:rsid w:val="002E09FC"/>
    <w:rsid w:val="002E13AB"/>
    <w:rsid w:val="002E1CDF"/>
    <w:rsid w:val="002E3742"/>
    <w:rsid w:val="002E62AB"/>
    <w:rsid w:val="002E7B0D"/>
    <w:rsid w:val="002F0464"/>
    <w:rsid w:val="002F06DC"/>
    <w:rsid w:val="002F28E1"/>
    <w:rsid w:val="002F2AE2"/>
    <w:rsid w:val="002F3FB3"/>
    <w:rsid w:val="002F57A2"/>
    <w:rsid w:val="002F5C88"/>
    <w:rsid w:val="002F6871"/>
    <w:rsid w:val="002F7226"/>
    <w:rsid w:val="00300F66"/>
    <w:rsid w:val="00301741"/>
    <w:rsid w:val="00301D1D"/>
    <w:rsid w:val="00303022"/>
    <w:rsid w:val="003038FD"/>
    <w:rsid w:val="00304C1A"/>
    <w:rsid w:val="00304EDA"/>
    <w:rsid w:val="00305AE0"/>
    <w:rsid w:val="00307115"/>
    <w:rsid w:val="00307371"/>
    <w:rsid w:val="00307DD6"/>
    <w:rsid w:val="00311CE6"/>
    <w:rsid w:val="00312429"/>
    <w:rsid w:val="00320972"/>
    <w:rsid w:val="00320A4B"/>
    <w:rsid w:val="00321CBC"/>
    <w:rsid w:val="00322029"/>
    <w:rsid w:val="003238E5"/>
    <w:rsid w:val="0032541C"/>
    <w:rsid w:val="00325C12"/>
    <w:rsid w:val="0032701F"/>
    <w:rsid w:val="00327EFC"/>
    <w:rsid w:val="00331136"/>
    <w:rsid w:val="00331C36"/>
    <w:rsid w:val="003325BB"/>
    <w:rsid w:val="00332D01"/>
    <w:rsid w:val="00334063"/>
    <w:rsid w:val="003349B9"/>
    <w:rsid w:val="003353F5"/>
    <w:rsid w:val="00335824"/>
    <w:rsid w:val="00335966"/>
    <w:rsid w:val="00336109"/>
    <w:rsid w:val="00343A7C"/>
    <w:rsid w:val="00344315"/>
    <w:rsid w:val="003444A1"/>
    <w:rsid w:val="003462D9"/>
    <w:rsid w:val="00346B49"/>
    <w:rsid w:val="00346F60"/>
    <w:rsid w:val="00347324"/>
    <w:rsid w:val="0034746E"/>
    <w:rsid w:val="00350C73"/>
    <w:rsid w:val="003514F9"/>
    <w:rsid w:val="00351B16"/>
    <w:rsid w:val="00353814"/>
    <w:rsid w:val="00354044"/>
    <w:rsid w:val="003549E2"/>
    <w:rsid w:val="00355FCC"/>
    <w:rsid w:val="00356103"/>
    <w:rsid w:val="003579CA"/>
    <w:rsid w:val="00357B3F"/>
    <w:rsid w:val="0036051C"/>
    <w:rsid w:val="00361B77"/>
    <w:rsid w:val="0036218C"/>
    <w:rsid w:val="00363DC5"/>
    <w:rsid w:val="003647CC"/>
    <w:rsid w:val="003663B7"/>
    <w:rsid w:val="003666AB"/>
    <w:rsid w:val="00367A72"/>
    <w:rsid w:val="00372553"/>
    <w:rsid w:val="003735B8"/>
    <w:rsid w:val="00373A76"/>
    <w:rsid w:val="003800FE"/>
    <w:rsid w:val="00382957"/>
    <w:rsid w:val="00385125"/>
    <w:rsid w:val="00385A65"/>
    <w:rsid w:val="00386A2C"/>
    <w:rsid w:val="00386A5B"/>
    <w:rsid w:val="00386E7E"/>
    <w:rsid w:val="00387E7E"/>
    <w:rsid w:val="00394821"/>
    <w:rsid w:val="00395490"/>
    <w:rsid w:val="00396AEF"/>
    <w:rsid w:val="00396DFE"/>
    <w:rsid w:val="00397CB1"/>
    <w:rsid w:val="003A032A"/>
    <w:rsid w:val="003A1561"/>
    <w:rsid w:val="003A211B"/>
    <w:rsid w:val="003A2FA9"/>
    <w:rsid w:val="003A307C"/>
    <w:rsid w:val="003A3D01"/>
    <w:rsid w:val="003A40DF"/>
    <w:rsid w:val="003A4320"/>
    <w:rsid w:val="003A4944"/>
    <w:rsid w:val="003A515C"/>
    <w:rsid w:val="003A73C4"/>
    <w:rsid w:val="003B04AB"/>
    <w:rsid w:val="003B0E14"/>
    <w:rsid w:val="003B1061"/>
    <w:rsid w:val="003B27B4"/>
    <w:rsid w:val="003B39E2"/>
    <w:rsid w:val="003B4012"/>
    <w:rsid w:val="003B46CE"/>
    <w:rsid w:val="003B5AAA"/>
    <w:rsid w:val="003C08A5"/>
    <w:rsid w:val="003C0E20"/>
    <w:rsid w:val="003C1FD9"/>
    <w:rsid w:val="003C3149"/>
    <w:rsid w:val="003C4C3B"/>
    <w:rsid w:val="003C57F6"/>
    <w:rsid w:val="003C7408"/>
    <w:rsid w:val="003C77AF"/>
    <w:rsid w:val="003C78EB"/>
    <w:rsid w:val="003D15D3"/>
    <w:rsid w:val="003D17FE"/>
    <w:rsid w:val="003D1B69"/>
    <w:rsid w:val="003D240B"/>
    <w:rsid w:val="003D2D25"/>
    <w:rsid w:val="003D39BF"/>
    <w:rsid w:val="003D72D6"/>
    <w:rsid w:val="003D74E8"/>
    <w:rsid w:val="003D7C31"/>
    <w:rsid w:val="003E0718"/>
    <w:rsid w:val="003E0C63"/>
    <w:rsid w:val="003E1004"/>
    <w:rsid w:val="003E13B3"/>
    <w:rsid w:val="003E193E"/>
    <w:rsid w:val="003E24D7"/>
    <w:rsid w:val="003E2F38"/>
    <w:rsid w:val="003E4CC6"/>
    <w:rsid w:val="003E6381"/>
    <w:rsid w:val="003F102A"/>
    <w:rsid w:val="003F3356"/>
    <w:rsid w:val="003F3547"/>
    <w:rsid w:val="003F4CB9"/>
    <w:rsid w:val="003F5E7F"/>
    <w:rsid w:val="003F7E82"/>
    <w:rsid w:val="00400285"/>
    <w:rsid w:val="0040214E"/>
    <w:rsid w:val="0040537F"/>
    <w:rsid w:val="004059CB"/>
    <w:rsid w:val="00405F60"/>
    <w:rsid w:val="00406E15"/>
    <w:rsid w:val="0041078E"/>
    <w:rsid w:val="004147A9"/>
    <w:rsid w:val="0041480D"/>
    <w:rsid w:val="004161F3"/>
    <w:rsid w:val="004172D8"/>
    <w:rsid w:val="0041795F"/>
    <w:rsid w:val="004205A5"/>
    <w:rsid w:val="00420B66"/>
    <w:rsid w:val="004216D3"/>
    <w:rsid w:val="00421869"/>
    <w:rsid w:val="00422348"/>
    <w:rsid w:val="004235B1"/>
    <w:rsid w:val="00423A65"/>
    <w:rsid w:val="00425B9A"/>
    <w:rsid w:val="00425C57"/>
    <w:rsid w:val="0042612D"/>
    <w:rsid w:val="0042649C"/>
    <w:rsid w:val="00427338"/>
    <w:rsid w:val="00427379"/>
    <w:rsid w:val="00427CB6"/>
    <w:rsid w:val="004301A8"/>
    <w:rsid w:val="0043056E"/>
    <w:rsid w:val="004305D3"/>
    <w:rsid w:val="00430618"/>
    <w:rsid w:val="00431910"/>
    <w:rsid w:val="00433511"/>
    <w:rsid w:val="0043471C"/>
    <w:rsid w:val="004379A4"/>
    <w:rsid w:val="004400A3"/>
    <w:rsid w:val="00440836"/>
    <w:rsid w:val="00440938"/>
    <w:rsid w:val="004410E4"/>
    <w:rsid w:val="00441555"/>
    <w:rsid w:val="00441D3F"/>
    <w:rsid w:val="00442C33"/>
    <w:rsid w:val="0044617C"/>
    <w:rsid w:val="00446EC8"/>
    <w:rsid w:val="0044715E"/>
    <w:rsid w:val="00447579"/>
    <w:rsid w:val="00450F0E"/>
    <w:rsid w:val="0045178C"/>
    <w:rsid w:val="00451A4A"/>
    <w:rsid w:val="004535BA"/>
    <w:rsid w:val="004540DD"/>
    <w:rsid w:val="004545A1"/>
    <w:rsid w:val="004545C3"/>
    <w:rsid w:val="00454612"/>
    <w:rsid w:val="00454C46"/>
    <w:rsid w:val="00455CF3"/>
    <w:rsid w:val="00455E4E"/>
    <w:rsid w:val="00456862"/>
    <w:rsid w:val="00457141"/>
    <w:rsid w:val="004573E0"/>
    <w:rsid w:val="004604E2"/>
    <w:rsid w:val="004605D0"/>
    <w:rsid w:val="00460A8D"/>
    <w:rsid w:val="00462A20"/>
    <w:rsid w:val="00463D57"/>
    <w:rsid w:val="004649AF"/>
    <w:rsid w:val="00465C19"/>
    <w:rsid w:val="00466379"/>
    <w:rsid w:val="00467E84"/>
    <w:rsid w:val="004706E3"/>
    <w:rsid w:val="00470CC7"/>
    <w:rsid w:val="004710AA"/>
    <w:rsid w:val="00471A18"/>
    <w:rsid w:val="00472A70"/>
    <w:rsid w:val="00472B1A"/>
    <w:rsid w:val="00474170"/>
    <w:rsid w:val="00475F38"/>
    <w:rsid w:val="00476227"/>
    <w:rsid w:val="00477759"/>
    <w:rsid w:val="00482D0E"/>
    <w:rsid w:val="00483614"/>
    <w:rsid w:val="0048626B"/>
    <w:rsid w:val="0049010B"/>
    <w:rsid w:val="00490EFC"/>
    <w:rsid w:val="004910F0"/>
    <w:rsid w:val="00491345"/>
    <w:rsid w:val="00491347"/>
    <w:rsid w:val="0049591A"/>
    <w:rsid w:val="00496B9D"/>
    <w:rsid w:val="004970C7"/>
    <w:rsid w:val="004A0243"/>
    <w:rsid w:val="004A0815"/>
    <w:rsid w:val="004A0862"/>
    <w:rsid w:val="004A0F59"/>
    <w:rsid w:val="004A2904"/>
    <w:rsid w:val="004A2D54"/>
    <w:rsid w:val="004A3308"/>
    <w:rsid w:val="004A5F08"/>
    <w:rsid w:val="004A6278"/>
    <w:rsid w:val="004B066A"/>
    <w:rsid w:val="004B104C"/>
    <w:rsid w:val="004B16B9"/>
    <w:rsid w:val="004B3B37"/>
    <w:rsid w:val="004B45CA"/>
    <w:rsid w:val="004B4A86"/>
    <w:rsid w:val="004B5989"/>
    <w:rsid w:val="004C0592"/>
    <w:rsid w:val="004C1312"/>
    <w:rsid w:val="004C1C59"/>
    <w:rsid w:val="004C33E4"/>
    <w:rsid w:val="004C40EE"/>
    <w:rsid w:val="004C4F6F"/>
    <w:rsid w:val="004C5D38"/>
    <w:rsid w:val="004C7666"/>
    <w:rsid w:val="004C7FCE"/>
    <w:rsid w:val="004D01EB"/>
    <w:rsid w:val="004D204E"/>
    <w:rsid w:val="004D3105"/>
    <w:rsid w:val="004D4322"/>
    <w:rsid w:val="004D4FF2"/>
    <w:rsid w:val="004D51E1"/>
    <w:rsid w:val="004D546C"/>
    <w:rsid w:val="004D60FC"/>
    <w:rsid w:val="004E0460"/>
    <w:rsid w:val="004E15CB"/>
    <w:rsid w:val="004E1610"/>
    <w:rsid w:val="004E1B12"/>
    <w:rsid w:val="004E2EB7"/>
    <w:rsid w:val="004E35BC"/>
    <w:rsid w:val="004E4C15"/>
    <w:rsid w:val="004E5CA3"/>
    <w:rsid w:val="004F2142"/>
    <w:rsid w:val="004F27FF"/>
    <w:rsid w:val="004F2A89"/>
    <w:rsid w:val="004F2C86"/>
    <w:rsid w:val="004F6006"/>
    <w:rsid w:val="004F72E7"/>
    <w:rsid w:val="004F78EA"/>
    <w:rsid w:val="00500B5E"/>
    <w:rsid w:val="00503645"/>
    <w:rsid w:val="00506484"/>
    <w:rsid w:val="00511B88"/>
    <w:rsid w:val="0051208A"/>
    <w:rsid w:val="005120DD"/>
    <w:rsid w:val="00515854"/>
    <w:rsid w:val="005167BB"/>
    <w:rsid w:val="00517044"/>
    <w:rsid w:val="0051717C"/>
    <w:rsid w:val="00523B5B"/>
    <w:rsid w:val="00524C6F"/>
    <w:rsid w:val="00524E1F"/>
    <w:rsid w:val="0052540E"/>
    <w:rsid w:val="00525F9E"/>
    <w:rsid w:val="00526C89"/>
    <w:rsid w:val="0052711C"/>
    <w:rsid w:val="00530762"/>
    <w:rsid w:val="00530898"/>
    <w:rsid w:val="00530DB4"/>
    <w:rsid w:val="00530F50"/>
    <w:rsid w:val="00532B48"/>
    <w:rsid w:val="0053303A"/>
    <w:rsid w:val="005332C5"/>
    <w:rsid w:val="00533A7E"/>
    <w:rsid w:val="0053451F"/>
    <w:rsid w:val="005360F4"/>
    <w:rsid w:val="00536598"/>
    <w:rsid w:val="00536D0C"/>
    <w:rsid w:val="00536E94"/>
    <w:rsid w:val="00537759"/>
    <w:rsid w:val="0053780B"/>
    <w:rsid w:val="00542966"/>
    <w:rsid w:val="0054498A"/>
    <w:rsid w:val="00544C42"/>
    <w:rsid w:val="00544DAF"/>
    <w:rsid w:val="00546828"/>
    <w:rsid w:val="005474C0"/>
    <w:rsid w:val="005504F9"/>
    <w:rsid w:val="00550D0C"/>
    <w:rsid w:val="00551592"/>
    <w:rsid w:val="00551A48"/>
    <w:rsid w:val="00551D7A"/>
    <w:rsid w:val="005520D5"/>
    <w:rsid w:val="0055213A"/>
    <w:rsid w:val="005523CB"/>
    <w:rsid w:val="00552A2B"/>
    <w:rsid w:val="005544EE"/>
    <w:rsid w:val="00555324"/>
    <w:rsid w:val="005555E6"/>
    <w:rsid w:val="0055599C"/>
    <w:rsid w:val="00556EC2"/>
    <w:rsid w:val="00560365"/>
    <w:rsid w:val="0056076E"/>
    <w:rsid w:val="00561521"/>
    <w:rsid w:val="00563A5B"/>
    <w:rsid w:val="00563DB0"/>
    <w:rsid w:val="00564480"/>
    <w:rsid w:val="00564D1E"/>
    <w:rsid w:val="00564F70"/>
    <w:rsid w:val="005657C8"/>
    <w:rsid w:val="00566441"/>
    <w:rsid w:val="0056646C"/>
    <w:rsid w:val="00571DAF"/>
    <w:rsid w:val="00572986"/>
    <w:rsid w:val="00573DCE"/>
    <w:rsid w:val="0057481D"/>
    <w:rsid w:val="00575673"/>
    <w:rsid w:val="005766FE"/>
    <w:rsid w:val="00576EC9"/>
    <w:rsid w:val="0057716C"/>
    <w:rsid w:val="0057791A"/>
    <w:rsid w:val="005802D6"/>
    <w:rsid w:val="00580BFD"/>
    <w:rsid w:val="00581ABF"/>
    <w:rsid w:val="005822A9"/>
    <w:rsid w:val="00584108"/>
    <w:rsid w:val="0058452E"/>
    <w:rsid w:val="00584D9D"/>
    <w:rsid w:val="00584DBE"/>
    <w:rsid w:val="005857AD"/>
    <w:rsid w:val="0058688A"/>
    <w:rsid w:val="00587598"/>
    <w:rsid w:val="00587E37"/>
    <w:rsid w:val="0059002B"/>
    <w:rsid w:val="00590046"/>
    <w:rsid w:val="00590629"/>
    <w:rsid w:val="005915A0"/>
    <w:rsid w:val="005923A0"/>
    <w:rsid w:val="00593B55"/>
    <w:rsid w:val="00593C2A"/>
    <w:rsid w:val="00595132"/>
    <w:rsid w:val="0059580B"/>
    <w:rsid w:val="00595874"/>
    <w:rsid w:val="00595D07"/>
    <w:rsid w:val="00597080"/>
    <w:rsid w:val="00597A6B"/>
    <w:rsid w:val="00597CD8"/>
    <w:rsid w:val="005A0683"/>
    <w:rsid w:val="005A3C80"/>
    <w:rsid w:val="005A537F"/>
    <w:rsid w:val="005A61CD"/>
    <w:rsid w:val="005A777B"/>
    <w:rsid w:val="005A7D09"/>
    <w:rsid w:val="005B1757"/>
    <w:rsid w:val="005B1955"/>
    <w:rsid w:val="005B2732"/>
    <w:rsid w:val="005B2CDB"/>
    <w:rsid w:val="005B303D"/>
    <w:rsid w:val="005B4C3B"/>
    <w:rsid w:val="005B5BEB"/>
    <w:rsid w:val="005B6454"/>
    <w:rsid w:val="005B6F5D"/>
    <w:rsid w:val="005C4032"/>
    <w:rsid w:val="005C7408"/>
    <w:rsid w:val="005C761C"/>
    <w:rsid w:val="005C790E"/>
    <w:rsid w:val="005D036B"/>
    <w:rsid w:val="005D223D"/>
    <w:rsid w:val="005D37F7"/>
    <w:rsid w:val="005D395D"/>
    <w:rsid w:val="005D4220"/>
    <w:rsid w:val="005D4593"/>
    <w:rsid w:val="005D4B24"/>
    <w:rsid w:val="005D4D4D"/>
    <w:rsid w:val="005D52D6"/>
    <w:rsid w:val="005D5DB2"/>
    <w:rsid w:val="005D60F5"/>
    <w:rsid w:val="005D73C5"/>
    <w:rsid w:val="005E223C"/>
    <w:rsid w:val="005E5040"/>
    <w:rsid w:val="005E54A4"/>
    <w:rsid w:val="005E5B5C"/>
    <w:rsid w:val="005E6349"/>
    <w:rsid w:val="005E7665"/>
    <w:rsid w:val="005E7F3B"/>
    <w:rsid w:val="005F0214"/>
    <w:rsid w:val="005F2228"/>
    <w:rsid w:val="005F25FD"/>
    <w:rsid w:val="005F29DA"/>
    <w:rsid w:val="005F4C14"/>
    <w:rsid w:val="005F5F25"/>
    <w:rsid w:val="005F62B3"/>
    <w:rsid w:val="005F7B36"/>
    <w:rsid w:val="006005BE"/>
    <w:rsid w:val="006005F6"/>
    <w:rsid w:val="006006EE"/>
    <w:rsid w:val="00600E08"/>
    <w:rsid w:val="00602410"/>
    <w:rsid w:val="0060473C"/>
    <w:rsid w:val="00604881"/>
    <w:rsid w:val="00606279"/>
    <w:rsid w:val="00607547"/>
    <w:rsid w:val="00610074"/>
    <w:rsid w:val="00611F72"/>
    <w:rsid w:val="00612087"/>
    <w:rsid w:val="00612178"/>
    <w:rsid w:val="0061337A"/>
    <w:rsid w:val="006209FD"/>
    <w:rsid w:val="00621DB7"/>
    <w:rsid w:val="0062228A"/>
    <w:rsid w:val="00625318"/>
    <w:rsid w:val="00626326"/>
    <w:rsid w:val="00626CA5"/>
    <w:rsid w:val="00627EAA"/>
    <w:rsid w:val="00631206"/>
    <w:rsid w:val="00632A9A"/>
    <w:rsid w:val="0063372D"/>
    <w:rsid w:val="0063376E"/>
    <w:rsid w:val="0063429E"/>
    <w:rsid w:val="00635B4F"/>
    <w:rsid w:val="00636D56"/>
    <w:rsid w:val="00640867"/>
    <w:rsid w:val="0064091D"/>
    <w:rsid w:val="00641865"/>
    <w:rsid w:val="0064196F"/>
    <w:rsid w:val="00643C4C"/>
    <w:rsid w:val="00645710"/>
    <w:rsid w:val="00646417"/>
    <w:rsid w:val="00647B88"/>
    <w:rsid w:val="0065004A"/>
    <w:rsid w:val="00651730"/>
    <w:rsid w:val="006519E5"/>
    <w:rsid w:val="00651F12"/>
    <w:rsid w:val="00652B2B"/>
    <w:rsid w:val="00652F8D"/>
    <w:rsid w:val="00653440"/>
    <w:rsid w:val="00654536"/>
    <w:rsid w:val="006546A5"/>
    <w:rsid w:val="00656CC6"/>
    <w:rsid w:val="006605F4"/>
    <w:rsid w:val="00661EEA"/>
    <w:rsid w:val="00665414"/>
    <w:rsid w:val="00666D63"/>
    <w:rsid w:val="00667F99"/>
    <w:rsid w:val="0067261D"/>
    <w:rsid w:val="00672739"/>
    <w:rsid w:val="00672DF9"/>
    <w:rsid w:val="006736B6"/>
    <w:rsid w:val="00674871"/>
    <w:rsid w:val="006749B2"/>
    <w:rsid w:val="00674CD5"/>
    <w:rsid w:val="006758F2"/>
    <w:rsid w:val="00676B7E"/>
    <w:rsid w:val="0067725F"/>
    <w:rsid w:val="006774C6"/>
    <w:rsid w:val="00677E28"/>
    <w:rsid w:val="0068004D"/>
    <w:rsid w:val="00681401"/>
    <w:rsid w:val="00681566"/>
    <w:rsid w:val="00682E5E"/>
    <w:rsid w:val="00683868"/>
    <w:rsid w:val="00684C8C"/>
    <w:rsid w:val="00685C3F"/>
    <w:rsid w:val="0069210A"/>
    <w:rsid w:val="00692126"/>
    <w:rsid w:val="00692DC6"/>
    <w:rsid w:val="0069316A"/>
    <w:rsid w:val="00693AC0"/>
    <w:rsid w:val="00693F82"/>
    <w:rsid w:val="00694523"/>
    <w:rsid w:val="00694C04"/>
    <w:rsid w:val="00695BF7"/>
    <w:rsid w:val="00695D6E"/>
    <w:rsid w:val="00695EA8"/>
    <w:rsid w:val="00695FF4"/>
    <w:rsid w:val="006963EC"/>
    <w:rsid w:val="00696D82"/>
    <w:rsid w:val="00696D9F"/>
    <w:rsid w:val="0069728E"/>
    <w:rsid w:val="00697395"/>
    <w:rsid w:val="006A05D7"/>
    <w:rsid w:val="006A27E0"/>
    <w:rsid w:val="006A3C71"/>
    <w:rsid w:val="006A5C9B"/>
    <w:rsid w:val="006A5D78"/>
    <w:rsid w:val="006A6AA9"/>
    <w:rsid w:val="006A7035"/>
    <w:rsid w:val="006A7A63"/>
    <w:rsid w:val="006B0D1B"/>
    <w:rsid w:val="006B104C"/>
    <w:rsid w:val="006B140F"/>
    <w:rsid w:val="006B15EB"/>
    <w:rsid w:val="006B3CAA"/>
    <w:rsid w:val="006B3EB8"/>
    <w:rsid w:val="006B51AD"/>
    <w:rsid w:val="006B5DA5"/>
    <w:rsid w:val="006B62FC"/>
    <w:rsid w:val="006B7A5E"/>
    <w:rsid w:val="006C14EE"/>
    <w:rsid w:val="006C173A"/>
    <w:rsid w:val="006C4168"/>
    <w:rsid w:val="006C5A40"/>
    <w:rsid w:val="006C6C00"/>
    <w:rsid w:val="006C788D"/>
    <w:rsid w:val="006C7999"/>
    <w:rsid w:val="006D21FD"/>
    <w:rsid w:val="006D406F"/>
    <w:rsid w:val="006D4ED0"/>
    <w:rsid w:val="006D5DDE"/>
    <w:rsid w:val="006D6DF4"/>
    <w:rsid w:val="006D7546"/>
    <w:rsid w:val="006D7EFC"/>
    <w:rsid w:val="006E03BA"/>
    <w:rsid w:val="006E08B8"/>
    <w:rsid w:val="006E0AEF"/>
    <w:rsid w:val="006E17E3"/>
    <w:rsid w:val="006E3752"/>
    <w:rsid w:val="006E389F"/>
    <w:rsid w:val="006E5769"/>
    <w:rsid w:val="006F18DD"/>
    <w:rsid w:val="006F23DA"/>
    <w:rsid w:val="006F3BD7"/>
    <w:rsid w:val="006F46D7"/>
    <w:rsid w:val="006F6F59"/>
    <w:rsid w:val="006F7DA7"/>
    <w:rsid w:val="00700BFC"/>
    <w:rsid w:val="00702084"/>
    <w:rsid w:val="007036F1"/>
    <w:rsid w:val="007045C6"/>
    <w:rsid w:val="00705AF2"/>
    <w:rsid w:val="00705D01"/>
    <w:rsid w:val="0070766A"/>
    <w:rsid w:val="0071091F"/>
    <w:rsid w:val="00710A9F"/>
    <w:rsid w:val="00711593"/>
    <w:rsid w:val="00712DBE"/>
    <w:rsid w:val="007131D8"/>
    <w:rsid w:val="007134C9"/>
    <w:rsid w:val="00713ADA"/>
    <w:rsid w:val="00714017"/>
    <w:rsid w:val="007141CD"/>
    <w:rsid w:val="00714574"/>
    <w:rsid w:val="007163CA"/>
    <w:rsid w:val="0071718C"/>
    <w:rsid w:val="00720154"/>
    <w:rsid w:val="00721066"/>
    <w:rsid w:val="00725A0C"/>
    <w:rsid w:val="007303D7"/>
    <w:rsid w:val="00731BFB"/>
    <w:rsid w:val="00732C46"/>
    <w:rsid w:val="0073384B"/>
    <w:rsid w:val="007344A3"/>
    <w:rsid w:val="00735406"/>
    <w:rsid w:val="00735CB6"/>
    <w:rsid w:val="00735F70"/>
    <w:rsid w:val="007360BA"/>
    <w:rsid w:val="007371ED"/>
    <w:rsid w:val="00737218"/>
    <w:rsid w:val="00740D7A"/>
    <w:rsid w:val="00742266"/>
    <w:rsid w:val="0074543C"/>
    <w:rsid w:val="00745974"/>
    <w:rsid w:val="00745DC5"/>
    <w:rsid w:val="00746D2E"/>
    <w:rsid w:val="00746F97"/>
    <w:rsid w:val="00747494"/>
    <w:rsid w:val="00750BC2"/>
    <w:rsid w:val="00751B58"/>
    <w:rsid w:val="00753149"/>
    <w:rsid w:val="007531B5"/>
    <w:rsid w:val="00754145"/>
    <w:rsid w:val="007543BB"/>
    <w:rsid w:val="00755F7A"/>
    <w:rsid w:val="0075615C"/>
    <w:rsid w:val="0075639D"/>
    <w:rsid w:val="007572F6"/>
    <w:rsid w:val="00757782"/>
    <w:rsid w:val="00760006"/>
    <w:rsid w:val="00760857"/>
    <w:rsid w:val="007610B3"/>
    <w:rsid w:val="00761349"/>
    <w:rsid w:val="00763233"/>
    <w:rsid w:val="00766015"/>
    <w:rsid w:val="00766993"/>
    <w:rsid w:val="00767398"/>
    <w:rsid w:val="007673C6"/>
    <w:rsid w:val="00767D97"/>
    <w:rsid w:val="007705EA"/>
    <w:rsid w:val="00773229"/>
    <w:rsid w:val="00775498"/>
    <w:rsid w:val="007755DE"/>
    <w:rsid w:val="00777E32"/>
    <w:rsid w:val="00780F6F"/>
    <w:rsid w:val="00780FB8"/>
    <w:rsid w:val="00781120"/>
    <w:rsid w:val="0078154C"/>
    <w:rsid w:val="0078231B"/>
    <w:rsid w:val="007826F3"/>
    <w:rsid w:val="00782D53"/>
    <w:rsid w:val="00784439"/>
    <w:rsid w:val="007847FA"/>
    <w:rsid w:val="00784993"/>
    <w:rsid w:val="0078534E"/>
    <w:rsid w:val="00785503"/>
    <w:rsid w:val="00785CC0"/>
    <w:rsid w:val="00785D73"/>
    <w:rsid w:val="00785E05"/>
    <w:rsid w:val="00786A45"/>
    <w:rsid w:val="00787129"/>
    <w:rsid w:val="00791320"/>
    <w:rsid w:val="00792C80"/>
    <w:rsid w:val="00794133"/>
    <w:rsid w:val="00794B4D"/>
    <w:rsid w:val="00794DEB"/>
    <w:rsid w:val="007952CE"/>
    <w:rsid w:val="007956C3"/>
    <w:rsid w:val="00795A1A"/>
    <w:rsid w:val="00795FAD"/>
    <w:rsid w:val="00797D3C"/>
    <w:rsid w:val="007A061D"/>
    <w:rsid w:val="007A10AB"/>
    <w:rsid w:val="007A4082"/>
    <w:rsid w:val="007A5413"/>
    <w:rsid w:val="007A7862"/>
    <w:rsid w:val="007A7C62"/>
    <w:rsid w:val="007B2184"/>
    <w:rsid w:val="007B3628"/>
    <w:rsid w:val="007B587F"/>
    <w:rsid w:val="007B5983"/>
    <w:rsid w:val="007B5DB1"/>
    <w:rsid w:val="007B6CD1"/>
    <w:rsid w:val="007C06CD"/>
    <w:rsid w:val="007C1605"/>
    <w:rsid w:val="007C293F"/>
    <w:rsid w:val="007C4040"/>
    <w:rsid w:val="007C45D9"/>
    <w:rsid w:val="007D1CF4"/>
    <w:rsid w:val="007D28F9"/>
    <w:rsid w:val="007D2A9F"/>
    <w:rsid w:val="007D3F83"/>
    <w:rsid w:val="007D54FF"/>
    <w:rsid w:val="007D56BD"/>
    <w:rsid w:val="007D6C80"/>
    <w:rsid w:val="007D6F37"/>
    <w:rsid w:val="007D7CC3"/>
    <w:rsid w:val="007E085B"/>
    <w:rsid w:val="007E2855"/>
    <w:rsid w:val="007E2C4F"/>
    <w:rsid w:val="007E2D19"/>
    <w:rsid w:val="007E2E58"/>
    <w:rsid w:val="007E2F08"/>
    <w:rsid w:val="007E5C8A"/>
    <w:rsid w:val="007E6D51"/>
    <w:rsid w:val="007E7BC4"/>
    <w:rsid w:val="007F1372"/>
    <w:rsid w:val="007F247A"/>
    <w:rsid w:val="007F3EC4"/>
    <w:rsid w:val="007F3F73"/>
    <w:rsid w:val="007F5ED0"/>
    <w:rsid w:val="007F5F09"/>
    <w:rsid w:val="007F646D"/>
    <w:rsid w:val="007F6CAB"/>
    <w:rsid w:val="007F71E7"/>
    <w:rsid w:val="007F73B9"/>
    <w:rsid w:val="0080127E"/>
    <w:rsid w:val="008039A7"/>
    <w:rsid w:val="00803B9E"/>
    <w:rsid w:val="00805010"/>
    <w:rsid w:val="0080582B"/>
    <w:rsid w:val="0080686B"/>
    <w:rsid w:val="00806D8B"/>
    <w:rsid w:val="00807386"/>
    <w:rsid w:val="0080754D"/>
    <w:rsid w:val="00812113"/>
    <w:rsid w:val="0081305B"/>
    <w:rsid w:val="00813181"/>
    <w:rsid w:val="0081579B"/>
    <w:rsid w:val="00815F3B"/>
    <w:rsid w:val="0082003A"/>
    <w:rsid w:val="00820810"/>
    <w:rsid w:val="008212A7"/>
    <w:rsid w:val="008247F4"/>
    <w:rsid w:val="008273F6"/>
    <w:rsid w:val="00830762"/>
    <w:rsid w:val="00831973"/>
    <w:rsid w:val="00832413"/>
    <w:rsid w:val="008336AC"/>
    <w:rsid w:val="0083579A"/>
    <w:rsid w:val="00835B44"/>
    <w:rsid w:val="00837DC5"/>
    <w:rsid w:val="00840756"/>
    <w:rsid w:val="0084221D"/>
    <w:rsid w:val="00842D6D"/>
    <w:rsid w:val="00843344"/>
    <w:rsid w:val="0084394D"/>
    <w:rsid w:val="00844852"/>
    <w:rsid w:val="00844F28"/>
    <w:rsid w:val="008452DB"/>
    <w:rsid w:val="00850218"/>
    <w:rsid w:val="00850B56"/>
    <w:rsid w:val="00851639"/>
    <w:rsid w:val="00852FB6"/>
    <w:rsid w:val="00855614"/>
    <w:rsid w:val="00855C27"/>
    <w:rsid w:val="00855CCD"/>
    <w:rsid w:val="008561A5"/>
    <w:rsid w:val="00856F6F"/>
    <w:rsid w:val="00860F13"/>
    <w:rsid w:val="008621F7"/>
    <w:rsid w:val="008639D7"/>
    <w:rsid w:val="00864CB7"/>
    <w:rsid w:val="0086550C"/>
    <w:rsid w:val="00866737"/>
    <w:rsid w:val="00867AFB"/>
    <w:rsid w:val="00870640"/>
    <w:rsid w:val="0087172B"/>
    <w:rsid w:val="008722E4"/>
    <w:rsid w:val="008737BB"/>
    <w:rsid w:val="0087471C"/>
    <w:rsid w:val="0087632C"/>
    <w:rsid w:val="00877E71"/>
    <w:rsid w:val="00880ABB"/>
    <w:rsid w:val="00880B74"/>
    <w:rsid w:val="00884A2C"/>
    <w:rsid w:val="00885EE7"/>
    <w:rsid w:val="00886199"/>
    <w:rsid w:val="008863E3"/>
    <w:rsid w:val="0088760B"/>
    <w:rsid w:val="008903A4"/>
    <w:rsid w:val="00891E5D"/>
    <w:rsid w:val="00891EFB"/>
    <w:rsid w:val="00892CD2"/>
    <w:rsid w:val="0089333D"/>
    <w:rsid w:val="00894657"/>
    <w:rsid w:val="00895521"/>
    <w:rsid w:val="008A040B"/>
    <w:rsid w:val="008A0ADF"/>
    <w:rsid w:val="008A0D18"/>
    <w:rsid w:val="008A2850"/>
    <w:rsid w:val="008A301D"/>
    <w:rsid w:val="008A46F6"/>
    <w:rsid w:val="008A4BCB"/>
    <w:rsid w:val="008A5303"/>
    <w:rsid w:val="008A5764"/>
    <w:rsid w:val="008A5CB0"/>
    <w:rsid w:val="008A7C94"/>
    <w:rsid w:val="008A7D8F"/>
    <w:rsid w:val="008B0E90"/>
    <w:rsid w:val="008B18A5"/>
    <w:rsid w:val="008B2D70"/>
    <w:rsid w:val="008C0370"/>
    <w:rsid w:val="008C07BC"/>
    <w:rsid w:val="008C0987"/>
    <w:rsid w:val="008C2ADF"/>
    <w:rsid w:val="008C2E9E"/>
    <w:rsid w:val="008C3F21"/>
    <w:rsid w:val="008C45C7"/>
    <w:rsid w:val="008C4D7B"/>
    <w:rsid w:val="008C54C8"/>
    <w:rsid w:val="008C6E3C"/>
    <w:rsid w:val="008C6E4C"/>
    <w:rsid w:val="008C7BFF"/>
    <w:rsid w:val="008D0560"/>
    <w:rsid w:val="008D119D"/>
    <w:rsid w:val="008D22DE"/>
    <w:rsid w:val="008D2342"/>
    <w:rsid w:val="008D35E1"/>
    <w:rsid w:val="008D3A60"/>
    <w:rsid w:val="008D4774"/>
    <w:rsid w:val="008D61D6"/>
    <w:rsid w:val="008D681A"/>
    <w:rsid w:val="008D6B2A"/>
    <w:rsid w:val="008E28D6"/>
    <w:rsid w:val="008E3A22"/>
    <w:rsid w:val="008E438C"/>
    <w:rsid w:val="008E4585"/>
    <w:rsid w:val="008E4B50"/>
    <w:rsid w:val="008E5DDC"/>
    <w:rsid w:val="008E5F1A"/>
    <w:rsid w:val="008E6EC7"/>
    <w:rsid w:val="008E767E"/>
    <w:rsid w:val="008F0E6B"/>
    <w:rsid w:val="008F3EC0"/>
    <w:rsid w:val="008F5A56"/>
    <w:rsid w:val="008F786A"/>
    <w:rsid w:val="00901D8A"/>
    <w:rsid w:val="00903D8D"/>
    <w:rsid w:val="00905A06"/>
    <w:rsid w:val="00905C39"/>
    <w:rsid w:val="00906795"/>
    <w:rsid w:val="00907946"/>
    <w:rsid w:val="009111CB"/>
    <w:rsid w:val="00911602"/>
    <w:rsid w:val="00912934"/>
    <w:rsid w:val="0091344A"/>
    <w:rsid w:val="00913EBA"/>
    <w:rsid w:val="00914971"/>
    <w:rsid w:val="00916136"/>
    <w:rsid w:val="009163E8"/>
    <w:rsid w:val="009164EB"/>
    <w:rsid w:val="009166C3"/>
    <w:rsid w:val="009176B1"/>
    <w:rsid w:val="00917731"/>
    <w:rsid w:val="00917C6A"/>
    <w:rsid w:val="009205FE"/>
    <w:rsid w:val="00920FD1"/>
    <w:rsid w:val="00921C90"/>
    <w:rsid w:val="00921FA0"/>
    <w:rsid w:val="00922436"/>
    <w:rsid w:val="00922C7D"/>
    <w:rsid w:val="009238BE"/>
    <w:rsid w:val="0092391A"/>
    <w:rsid w:val="00923BE5"/>
    <w:rsid w:val="00925AE6"/>
    <w:rsid w:val="009265AC"/>
    <w:rsid w:val="00926CF3"/>
    <w:rsid w:val="009305EA"/>
    <w:rsid w:val="00930655"/>
    <w:rsid w:val="00931AD7"/>
    <w:rsid w:val="00932D0C"/>
    <w:rsid w:val="00934400"/>
    <w:rsid w:val="00935FE4"/>
    <w:rsid w:val="00937127"/>
    <w:rsid w:val="00937EB1"/>
    <w:rsid w:val="009403A9"/>
    <w:rsid w:val="00944286"/>
    <w:rsid w:val="00945992"/>
    <w:rsid w:val="00946224"/>
    <w:rsid w:val="00950124"/>
    <w:rsid w:val="009509AA"/>
    <w:rsid w:val="00950DAB"/>
    <w:rsid w:val="00951BA2"/>
    <w:rsid w:val="00953CE7"/>
    <w:rsid w:val="00953FDE"/>
    <w:rsid w:val="00954366"/>
    <w:rsid w:val="009552B7"/>
    <w:rsid w:val="009567E5"/>
    <w:rsid w:val="00957464"/>
    <w:rsid w:val="00957956"/>
    <w:rsid w:val="00963189"/>
    <w:rsid w:val="0096572A"/>
    <w:rsid w:val="0096584B"/>
    <w:rsid w:val="009670A7"/>
    <w:rsid w:val="00967558"/>
    <w:rsid w:val="00967AF7"/>
    <w:rsid w:val="00970660"/>
    <w:rsid w:val="0097091C"/>
    <w:rsid w:val="00971AA3"/>
    <w:rsid w:val="00972205"/>
    <w:rsid w:val="00972CEA"/>
    <w:rsid w:val="0097567A"/>
    <w:rsid w:val="0097580D"/>
    <w:rsid w:val="00976B2D"/>
    <w:rsid w:val="00980403"/>
    <w:rsid w:val="00980723"/>
    <w:rsid w:val="0098464C"/>
    <w:rsid w:val="00985126"/>
    <w:rsid w:val="00985C5E"/>
    <w:rsid w:val="00985E93"/>
    <w:rsid w:val="009867F2"/>
    <w:rsid w:val="00986F09"/>
    <w:rsid w:val="009874D8"/>
    <w:rsid w:val="00990BAA"/>
    <w:rsid w:val="0099213B"/>
    <w:rsid w:val="00993947"/>
    <w:rsid w:val="009941D6"/>
    <w:rsid w:val="009941F0"/>
    <w:rsid w:val="00995D8E"/>
    <w:rsid w:val="00996EE4"/>
    <w:rsid w:val="009A0D69"/>
    <w:rsid w:val="009A17D4"/>
    <w:rsid w:val="009A1999"/>
    <w:rsid w:val="009A1B48"/>
    <w:rsid w:val="009A2296"/>
    <w:rsid w:val="009A26F7"/>
    <w:rsid w:val="009A2802"/>
    <w:rsid w:val="009A280C"/>
    <w:rsid w:val="009A4497"/>
    <w:rsid w:val="009A47D1"/>
    <w:rsid w:val="009A4CDE"/>
    <w:rsid w:val="009A52A7"/>
    <w:rsid w:val="009A6A58"/>
    <w:rsid w:val="009A6CDD"/>
    <w:rsid w:val="009B02FF"/>
    <w:rsid w:val="009B096A"/>
    <w:rsid w:val="009B0DAA"/>
    <w:rsid w:val="009B0EA2"/>
    <w:rsid w:val="009B1142"/>
    <w:rsid w:val="009B1573"/>
    <w:rsid w:val="009B19A5"/>
    <w:rsid w:val="009B2210"/>
    <w:rsid w:val="009B28FB"/>
    <w:rsid w:val="009B54F4"/>
    <w:rsid w:val="009B6A3B"/>
    <w:rsid w:val="009B70A6"/>
    <w:rsid w:val="009C115A"/>
    <w:rsid w:val="009C1939"/>
    <w:rsid w:val="009C2A2A"/>
    <w:rsid w:val="009C3C35"/>
    <w:rsid w:val="009C443F"/>
    <w:rsid w:val="009C4AF1"/>
    <w:rsid w:val="009C4B40"/>
    <w:rsid w:val="009C5FEC"/>
    <w:rsid w:val="009C7750"/>
    <w:rsid w:val="009C7D12"/>
    <w:rsid w:val="009D264A"/>
    <w:rsid w:val="009D3E5D"/>
    <w:rsid w:val="009D4584"/>
    <w:rsid w:val="009D4A17"/>
    <w:rsid w:val="009D6C61"/>
    <w:rsid w:val="009E01BC"/>
    <w:rsid w:val="009E01C3"/>
    <w:rsid w:val="009E0AB9"/>
    <w:rsid w:val="009E0D73"/>
    <w:rsid w:val="009E105F"/>
    <w:rsid w:val="009E1A67"/>
    <w:rsid w:val="009E1EDA"/>
    <w:rsid w:val="009E2B99"/>
    <w:rsid w:val="009E3F3E"/>
    <w:rsid w:val="009E4131"/>
    <w:rsid w:val="009E432E"/>
    <w:rsid w:val="009E4BAD"/>
    <w:rsid w:val="009E5067"/>
    <w:rsid w:val="009E5F7E"/>
    <w:rsid w:val="009E6C65"/>
    <w:rsid w:val="009E71B2"/>
    <w:rsid w:val="009E74D7"/>
    <w:rsid w:val="009E7B43"/>
    <w:rsid w:val="009F1A9B"/>
    <w:rsid w:val="009F253E"/>
    <w:rsid w:val="009F3181"/>
    <w:rsid w:val="009F3260"/>
    <w:rsid w:val="009F3DE9"/>
    <w:rsid w:val="009F46AB"/>
    <w:rsid w:val="009F608F"/>
    <w:rsid w:val="00A00453"/>
    <w:rsid w:val="00A00EA7"/>
    <w:rsid w:val="00A0128B"/>
    <w:rsid w:val="00A021B8"/>
    <w:rsid w:val="00A031BA"/>
    <w:rsid w:val="00A03219"/>
    <w:rsid w:val="00A03AB4"/>
    <w:rsid w:val="00A051C4"/>
    <w:rsid w:val="00A07D1A"/>
    <w:rsid w:val="00A13947"/>
    <w:rsid w:val="00A14829"/>
    <w:rsid w:val="00A148A8"/>
    <w:rsid w:val="00A159A8"/>
    <w:rsid w:val="00A15B71"/>
    <w:rsid w:val="00A217FD"/>
    <w:rsid w:val="00A2259F"/>
    <w:rsid w:val="00A22D15"/>
    <w:rsid w:val="00A23047"/>
    <w:rsid w:val="00A234C7"/>
    <w:rsid w:val="00A25BD2"/>
    <w:rsid w:val="00A27933"/>
    <w:rsid w:val="00A27A63"/>
    <w:rsid w:val="00A27C56"/>
    <w:rsid w:val="00A30937"/>
    <w:rsid w:val="00A319F3"/>
    <w:rsid w:val="00A33F16"/>
    <w:rsid w:val="00A34C1B"/>
    <w:rsid w:val="00A37414"/>
    <w:rsid w:val="00A379B5"/>
    <w:rsid w:val="00A37D98"/>
    <w:rsid w:val="00A407B3"/>
    <w:rsid w:val="00A4289E"/>
    <w:rsid w:val="00A4559F"/>
    <w:rsid w:val="00A45B0B"/>
    <w:rsid w:val="00A45F88"/>
    <w:rsid w:val="00A4699E"/>
    <w:rsid w:val="00A46A7B"/>
    <w:rsid w:val="00A47AB8"/>
    <w:rsid w:val="00A50827"/>
    <w:rsid w:val="00A540A1"/>
    <w:rsid w:val="00A54B10"/>
    <w:rsid w:val="00A55C6C"/>
    <w:rsid w:val="00A55D39"/>
    <w:rsid w:val="00A56AF2"/>
    <w:rsid w:val="00A574BC"/>
    <w:rsid w:val="00A609A8"/>
    <w:rsid w:val="00A61521"/>
    <w:rsid w:val="00A61868"/>
    <w:rsid w:val="00A61BFB"/>
    <w:rsid w:val="00A62727"/>
    <w:rsid w:val="00A64977"/>
    <w:rsid w:val="00A654F0"/>
    <w:rsid w:val="00A66386"/>
    <w:rsid w:val="00A70200"/>
    <w:rsid w:val="00A706B2"/>
    <w:rsid w:val="00A72D6D"/>
    <w:rsid w:val="00A73A9C"/>
    <w:rsid w:val="00A74F06"/>
    <w:rsid w:val="00A74FAD"/>
    <w:rsid w:val="00A75448"/>
    <w:rsid w:val="00A76229"/>
    <w:rsid w:val="00A770F1"/>
    <w:rsid w:val="00A80F09"/>
    <w:rsid w:val="00A81F1A"/>
    <w:rsid w:val="00A82717"/>
    <w:rsid w:val="00A86412"/>
    <w:rsid w:val="00A86622"/>
    <w:rsid w:val="00A87338"/>
    <w:rsid w:val="00A87601"/>
    <w:rsid w:val="00A903F7"/>
    <w:rsid w:val="00A904F9"/>
    <w:rsid w:val="00A92839"/>
    <w:rsid w:val="00A9441D"/>
    <w:rsid w:val="00A94500"/>
    <w:rsid w:val="00A94B65"/>
    <w:rsid w:val="00A950A5"/>
    <w:rsid w:val="00AA191B"/>
    <w:rsid w:val="00AA3ADB"/>
    <w:rsid w:val="00AA3EE9"/>
    <w:rsid w:val="00AA41FD"/>
    <w:rsid w:val="00AA4864"/>
    <w:rsid w:val="00AA5BF3"/>
    <w:rsid w:val="00AA6334"/>
    <w:rsid w:val="00AA6BCB"/>
    <w:rsid w:val="00AA6FC1"/>
    <w:rsid w:val="00AA7D66"/>
    <w:rsid w:val="00AA7D95"/>
    <w:rsid w:val="00AB0089"/>
    <w:rsid w:val="00AB08B1"/>
    <w:rsid w:val="00AB3257"/>
    <w:rsid w:val="00AB33DD"/>
    <w:rsid w:val="00AB3560"/>
    <w:rsid w:val="00AB4C14"/>
    <w:rsid w:val="00AB6C89"/>
    <w:rsid w:val="00AC17D3"/>
    <w:rsid w:val="00AC4158"/>
    <w:rsid w:val="00AC6654"/>
    <w:rsid w:val="00AC6D60"/>
    <w:rsid w:val="00AC72C1"/>
    <w:rsid w:val="00AC74DC"/>
    <w:rsid w:val="00AD0C68"/>
    <w:rsid w:val="00AD12EA"/>
    <w:rsid w:val="00AD276D"/>
    <w:rsid w:val="00AD2A2F"/>
    <w:rsid w:val="00AD2EDD"/>
    <w:rsid w:val="00AD3327"/>
    <w:rsid w:val="00AD4A80"/>
    <w:rsid w:val="00AD5E02"/>
    <w:rsid w:val="00AD7D59"/>
    <w:rsid w:val="00AD7F76"/>
    <w:rsid w:val="00AE053A"/>
    <w:rsid w:val="00AE0CA3"/>
    <w:rsid w:val="00AE10F8"/>
    <w:rsid w:val="00AE3B10"/>
    <w:rsid w:val="00AE43BF"/>
    <w:rsid w:val="00AE4D10"/>
    <w:rsid w:val="00AE5779"/>
    <w:rsid w:val="00AE5826"/>
    <w:rsid w:val="00AE58B7"/>
    <w:rsid w:val="00AE6E74"/>
    <w:rsid w:val="00AF10B4"/>
    <w:rsid w:val="00AF1C82"/>
    <w:rsid w:val="00AF249C"/>
    <w:rsid w:val="00B001C7"/>
    <w:rsid w:val="00B00519"/>
    <w:rsid w:val="00B00FCF"/>
    <w:rsid w:val="00B03214"/>
    <w:rsid w:val="00B04014"/>
    <w:rsid w:val="00B063E4"/>
    <w:rsid w:val="00B06CB3"/>
    <w:rsid w:val="00B071C7"/>
    <w:rsid w:val="00B07ED1"/>
    <w:rsid w:val="00B1054A"/>
    <w:rsid w:val="00B10B8C"/>
    <w:rsid w:val="00B111FF"/>
    <w:rsid w:val="00B11FB9"/>
    <w:rsid w:val="00B139F8"/>
    <w:rsid w:val="00B13A70"/>
    <w:rsid w:val="00B13B9E"/>
    <w:rsid w:val="00B13D70"/>
    <w:rsid w:val="00B1453D"/>
    <w:rsid w:val="00B16678"/>
    <w:rsid w:val="00B16ADA"/>
    <w:rsid w:val="00B173A7"/>
    <w:rsid w:val="00B17A76"/>
    <w:rsid w:val="00B20F81"/>
    <w:rsid w:val="00B23973"/>
    <w:rsid w:val="00B23FDC"/>
    <w:rsid w:val="00B24C18"/>
    <w:rsid w:val="00B24D96"/>
    <w:rsid w:val="00B265F8"/>
    <w:rsid w:val="00B27CDC"/>
    <w:rsid w:val="00B3158C"/>
    <w:rsid w:val="00B32830"/>
    <w:rsid w:val="00B32CD6"/>
    <w:rsid w:val="00B34B0F"/>
    <w:rsid w:val="00B34C64"/>
    <w:rsid w:val="00B34ED0"/>
    <w:rsid w:val="00B3537A"/>
    <w:rsid w:val="00B379E0"/>
    <w:rsid w:val="00B42943"/>
    <w:rsid w:val="00B42E01"/>
    <w:rsid w:val="00B4495A"/>
    <w:rsid w:val="00B46557"/>
    <w:rsid w:val="00B50EC9"/>
    <w:rsid w:val="00B50ECF"/>
    <w:rsid w:val="00B51576"/>
    <w:rsid w:val="00B51772"/>
    <w:rsid w:val="00B519F0"/>
    <w:rsid w:val="00B529A7"/>
    <w:rsid w:val="00B567B0"/>
    <w:rsid w:val="00B57944"/>
    <w:rsid w:val="00B61C44"/>
    <w:rsid w:val="00B61FB1"/>
    <w:rsid w:val="00B629DE"/>
    <w:rsid w:val="00B62DA1"/>
    <w:rsid w:val="00B63AB1"/>
    <w:rsid w:val="00B66B94"/>
    <w:rsid w:val="00B7155A"/>
    <w:rsid w:val="00B716DF"/>
    <w:rsid w:val="00B72D18"/>
    <w:rsid w:val="00B7372C"/>
    <w:rsid w:val="00B73B11"/>
    <w:rsid w:val="00B740D1"/>
    <w:rsid w:val="00B775AA"/>
    <w:rsid w:val="00B82278"/>
    <w:rsid w:val="00B83C48"/>
    <w:rsid w:val="00B83C50"/>
    <w:rsid w:val="00B84C4F"/>
    <w:rsid w:val="00B860F4"/>
    <w:rsid w:val="00B862BE"/>
    <w:rsid w:val="00B90CEC"/>
    <w:rsid w:val="00B91241"/>
    <w:rsid w:val="00B92FE0"/>
    <w:rsid w:val="00B94C84"/>
    <w:rsid w:val="00B96160"/>
    <w:rsid w:val="00B96B7A"/>
    <w:rsid w:val="00B9710C"/>
    <w:rsid w:val="00BA0A2D"/>
    <w:rsid w:val="00BA537A"/>
    <w:rsid w:val="00BA63FC"/>
    <w:rsid w:val="00BA7043"/>
    <w:rsid w:val="00BA7BF8"/>
    <w:rsid w:val="00BB1AC1"/>
    <w:rsid w:val="00BB209B"/>
    <w:rsid w:val="00BB2EC3"/>
    <w:rsid w:val="00BB4809"/>
    <w:rsid w:val="00BB58F1"/>
    <w:rsid w:val="00BB5AE5"/>
    <w:rsid w:val="00BB5CB9"/>
    <w:rsid w:val="00BB7826"/>
    <w:rsid w:val="00BC0794"/>
    <w:rsid w:val="00BC0DA5"/>
    <w:rsid w:val="00BC12BD"/>
    <w:rsid w:val="00BC6242"/>
    <w:rsid w:val="00BC63F9"/>
    <w:rsid w:val="00BC6B4D"/>
    <w:rsid w:val="00BD01A9"/>
    <w:rsid w:val="00BD1888"/>
    <w:rsid w:val="00BD4538"/>
    <w:rsid w:val="00BD52C1"/>
    <w:rsid w:val="00BD5648"/>
    <w:rsid w:val="00BD6A2D"/>
    <w:rsid w:val="00BD78F4"/>
    <w:rsid w:val="00BD7987"/>
    <w:rsid w:val="00BE06EE"/>
    <w:rsid w:val="00BE0D09"/>
    <w:rsid w:val="00BE11AE"/>
    <w:rsid w:val="00BE3849"/>
    <w:rsid w:val="00BE4955"/>
    <w:rsid w:val="00BE4D27"/>
    <w:rsid w:val="00BE52B7"/>
    <w:rsid w:val="00BE6E2D"/>
    <w:rsid w:val="00BF0112"/>
    <w:rsid w:val="00BF0814"/>
    <w:rsid w:val="00BF088B"/>
    <w:rsid w:val="00BF2352"/>
    <w:rsid w:val="00BF3A44"/>
    <w:rsid w:val="00BF3E65"/>
    <w:rsid w:val="00BF4D8B"/>
    <w:rsid w:val="00BF4F5C"/>
    <w:rsid w:val="00BF5F23"/>
    <w:rsid w:val="00BF61B0"/>
    <w:rsid w:val="00C01ABE"/>
    <w:rsid w:val="00C01DF2"/>
    <w:rsid w:val="00C036B5"/>
    <w:rsid w:val="00C04703"/>
    <w:rsid w:val="00C0520D"/>
    <w:rsid w:val="00C055E2"/>
    <w:rsid w:val="00C055FC"/>
    <w:rsid w:val="00C05D6C"/>
    <w:rsid w:val="00C05E41"/>
    <w:rsid w:val="00C07EE3"/>
    <w:rsid w:val="00C07F5E"/>
    <w:rsid w:val="00C110FA"/>
    <w:rsid w:val="00C116EC"/>
    <w:rsid w:val="00C12A09"/>
    <w:rsid w:val="00C14C0F"/>
    <w:rsid w:val="00C1565C"/>
    <w:rsid w:val="00C1794F"/>
    <w:rsid w:val="00C20698"/>
    <w:rsid w:val="00C23A51"/>
    <w:rsid w:val="00C23CAD"/>
    <w:rsid w:val="00C2456D"/>
    <w:rsid w:val="00C2464D"/>
    <w:rsid w:val="00C26372"/>
    <w:rsid w:val="00C26747"/>
    <w:rsid w:val="00C302C4"/>
    <w:rsid w:val="00C31123"/>
    <w:rsid w:val="00C31A9E"/>
    <w:rsid w:val="00C31D76"/>
    <w:rsid w:val="00C32062"/>
    <w:rsid w:val="00C32B0D"/>
    <w:rsid w:val="00C33C3D"/>
    <w:rsid w:val="00C346DA"/>
    <w:rsid w:val="00C35331"/>
    <w:rsid w:val="00C3537E"/>
    <w:rsid w:val="00C35BE0"/>
    <w:rsid w:val="00C35EAF"/>
    <w:rsid w:val="00C3682E"/>
    <w:rsid w:val="00C40D98"/>
    <w:rsid w:val="00C40EA3"/>
    <w:rsid w:val="00C42919"/>
    <w:rsid w:val="00C42FE6"/>
    <w:rsid w:val="00C43091"/>
    <w:rsid w:val="00C43E25"/>
    <w:rsid w:val="00C449A4"/>
    <w:rsid w:val="00C44AC5"/>
    <w:rsid w:val="00C44AD2"/>
    <w:rsid w:val="00C44DE8"/>
    <w:rsid w:val="00C44DF7"/>
    <w:rsid w:val="00C44F26"/>
    <w:rsid w:val="00C453A5"/>
    <w:rsid w:val="00C457C3"/>
    <w:rsid w:val="00C45BB6"/>
    <w:rsid w:val="00C465C7"/>
    <w:rsid w:val="00C506C1"/>
    <w:rsid w:val="00C50E37"/>
    <w:rsid w:val="00C51D56"/>
    <w:rsid w:val="00C5358F"/>
    <w:rsid w:val="00C54186"/>
    <w:rsid w:val="00C56BD8"/>
    <w:rsid w:val="00C57903"/>
    <w:rsid w:val="00C6178A"/>
    <w:rsid w:val="00C6255F"/>
    <w:rsid w:val="00C62C00"/>
    <w:rsid w:val="00C62F5B"/>
    <w:rsid w:val="00C63AA9"/>
    <w:rsid w:val="00C647B0"/>
    <w:rsid w:val="00C65DFC"/>
    <w:rsid w:val="00C6640B"/>
    <w:rsid w:val="00C66F51"/>
    <w:rsid w:val="00C67242"/>
    <w:rsid w:val="00C7128A"/>
    <w:rsid w:val="00C71AC0"/>
    <w:rsid w:val="00C71ACF"/>
    <w:rsid w:val="00C72497"/>
    <w:rsid w:val="00C735EA"/>
    <w:rsid w:val="00C73992"/>
    <w:rsid w:val="00C73EC0"/>
    <w:rsid w:val="00C73F4B"/>
    <w:rsid w:val="00C74542"/>
    <w:rsid w:val="00C74584"/>
    <w:rsid w:val="00C752DA"/>
    <w:rsid w:val="00C75828"/>
    <w:rsid w:val="00C778EF"/>
    <w:rsid w:val="00C80D00"/>
    <w:rsid w:val="00C813CE"/>
    <w:rsid w:val="00C8194E"/>
    <w:rsid w:val="00C820AE"/>
    <w:rsid w:val="00C8363C"/>
    <w:rsid w:val="00C83978"/>
    <w:rsid w:val="00C83A9D"/>
    <w:rsid w:val="00C84EAD"/>
    <w:rsid w:val="00C8628A"/>
    <w:rsid w:val="00C8630F"/>
    <w:rsid w:val="00C86A85"/>
    <w:rsid w:val="00C8738A"/>
    <w:rsid w:val="00C90E79"/>
    <w:rsid w:val="00C9318D"/>
    <w:rsid w:val="00C94A02"/>
    <w:rsid w:val="00C95299"/>
    <w:rsid w:val="00C958F1"/>
    <w:rsid w:val="00C97B85"/>
    <w:rsid w:val="00C97E3F"/>
    <w:rsid w:val="00CA0554"/>
    <w:rsid w:val="00CA4F97"/>
    <w:rsid w:val="00CA7ABF"/>
    <w:rsid w:val="00CB09E9"/>
    <w:rsid w:val="00CB2507"/>
    <w:rsid w:val="00CB6C8C"/>
    <w:rsid w:val="00CC0DCE"/>
    <w:rsid w:val="00CC39F7"/>
    <w:rsid w:val="00CC4CBA"/>
    <w:rsid w:val="00CD273F"/>
    <w:rsid w:val="00CD344D"/>
    <w:rsid w:val="00CD47F8"/>
    <w:rsid w:val="00CD4CB6"/>
    <w:rsid w:val="00CD4E18"/>
    <w:rsid w:val="00CE177B"/>
    <w:rsid w:val="00CE1BA5"/>
    <w:rsid w:val="00CE295F"/>
    <w:rsid w:val="00CE49AB"/>
    <w:rsid w:val="00CE4F00"/>
    <w:rsid w:val="00CE53D2"/>
    <w:rsid w:val="00CE6262"/>
    <w:rsid w:val="00CE74A6"/>
    <w:rsid w:val="00CF0D73"/>
    <w:rsid w:val="00CF3295"/>
    <w:rsid w:val="00CF3CA1"/>
    <w:rsid w:val="00CF5238"/>
    <w:rsid w:val="00CF660C"/>
    <w:rsid w:val="00D00A41"/>
    <w:rsid w:val="00D00C29"/>
    <w:rsid w:val="00D01423"/>
    <w:rsid w:val="00D01C8C"/>
    <w:rsid w:val="00D023B3"/>
    <w:rsid w:val="00D02848"/>
    <w:rsid w:val="00D02C0D"/>
    <w:rsid w:val="00D03C04"/>
    <w:rsid w:val="00D03E58"/>
    <w:rsid w:val="00D0630B"/>
    <w:rsid w:val="00D067CD"/>
    <w:rsid w:val="00D074D4"/>
    <w:rsid w:val="00D101FF"/>
    <w:rsid w:val="00D1039B"/>
    <w:rsid w:val="00D103A5"/>
    <w:rsid w:val="00D107F9"/>
    <w:rsid w:val="00D10919"/>
    <w:rsid w:val="00D12C92"/>
    <w:rsid w:val="00D1482B"/>
    <w:rsid w:val="00D15E9F"/>
    <w:rsid w:val="00D16E23"/>
    <w:rsid w:val="00D16E94"/>
    <w:rsid w:val="00D204DF"/>
    <w:rsid w:val="00D20D64"/>
    <w:rsid w:val="00D24C1B"/>
    <w:rsid w:val="00D24DAD"/>
    <w:rsid w:val="00D25817"/>
    <w:rsid w:val="00D301D2"/>
    <w:rsid w:val="00D304C4"/>
    <w:rsid w:val="00D304DA"/>
    <w:rsid w:val="00D310BC"/>
    <w:rsid w:val="00D32C39"/>
    <w:rsid w:val="00D3300F"/>
    <w:rsid w:val="00D3712B"/>
    <w:rsid w:val="00D377E9"/>
    <w:rsid w:val="00D37D96"/>
    <w:rsid w:val="00D4031D"/>
    <w:rsid w:val="00D42402"/>
    <w:rsid w:val="00D435D4"/>
    <w:rsid w:val="00D44734"/>
    <w:rsid w:val="00D459CF"/>
    <w:rsid w:val="00D46DF9"/>
    <w:rsid w:val="00D47AD2"/>
    <w:rsid w:val="00D50837"/>
    <w:rsid w:val="00D50F02"/>
    <w:rsid w:val="00D540A9"/>
    <w:rsid w:val="00D55BD0"/>
    <w:rsid w:val="00D572A6"/>
    <w:rsid w:val="00D5757B"/>
    <w:rsid w:val="00D62DEE"/>
    <w:rsid w:val="00D66961"/>
    <w:rsid w:val="00D71447"/>
    <w:rsid w:val="00D71B87"/>
    <w:rsid w:val="00D72E9C"/>
    <w:rsid w:val="00D731BC"/>
    <w:rsid w:val="00D73F8F"/>
    <w:rsid w:val="00D74FE4"/>
    <w:rsid w:val="00D750BF"/>
    <w:rsid w:val="00D7635C"/>
    <w:rsid w:val="00D80394"/>
    <w:rsid w:val="00D817A0"/>
    <w:rsid w:val="00D81A93"/>
    <w:rsid w:val="00D82B5D"/>
    <w:rsid w:val="00D82E4E"/>
    <w:rsid w:val="00D83A09"/>
    <w:rsid w:val="00D84C52"/>
    <w:rsid w:val="00D866E0"/>
    <w:rsid w:val="00D86E3E"/>
    <w:rsid w:val="00D8751C"/>
    <w:rsid w:val="00D87BFC"/>
    <w:rsid w:val="00D87E48"/>
    <w:rsid w:val="00D903E5"/>
    <w:rsid w:val="00D91DD3"/>
    <w:rsid w:val="00D934AE"/>
    <w:rsid w:val="00D93948"/>
    <w:rsid w:val="00D94B47"/>
    <w:rsid w:val="00D95A2F"/>
    <w:rsid w:val="00D96636"/>
    <w:rsid w:val="00D96B59"/>
    <w:rsid w:val="00D96D41"/>
    <w:rsid w:val="00DA0FF0"/>
    <w:rsid w:val="00DA15BA"/>
    <w:rsid w:val="00DA291D"/>
    <w:rsid w:val="00DA31E8"/>
    <w:rsid w:val="00DA3935"/>
    <w:rsid w:val="00DA4684"/>
    <w:rsid w:val="00DA473B"/>
    <w:rsid w:val="00DA6C40"/>
    <w:rsid w:val="00DA7F91"/>
    <w:rsid w:val="00DB23F4"/>
    <w:rsid w:val="00DB280F"/>
    <w:rsid w:val="00DB2E55"/>
    <w:rsid w:val="00DB469C"/>
    <w:rsid w:val="00DB4F64"/>
    <w:rsid w:val="00DB5000"/>
    <w:rsid w:val="00DB5178"/>
    <w:rsid w:val="00DB58B1"/>
    <w:rsid w:val="00DB5B76"/>
    <w:rsid w:val="00DB650F"/>
    <w:rsid w:val="00DB6CB3"/>
    <w:rsid w:val="00DB6D00"/>
    <w:rsid w:val="00DC0510"/>
    <w:rsid w:val="00DC2803"/>
    <w:rsid w:val="00DC5F93"/>
    <w:rsid w:val="00DD1109"/>
    <w:rsid w:val="00DD1BDF"/>
    <w:rsid w:val="00DD214D"/>
    <w:rsid w:val="00DD21BD"/>
    <w:rsid w:val="00DD2D79"/>
    <w:rsid w:val="00DD4ABE"/>
    <w:rsid w:val="00DD4DDB"/>
    <w:rsid w:val="00DD7AE0"/>
    <w:rsid w:val="00DD7B64"/>
    <w:rsid w:val="00DE0824"/>
    <w:rsid w:val="00DE149B"/>
    <w:rsid w:val="00DE1664"/>
    <w:rsid w:val="00DE2143"/>
    <w:rsid w:val="00DE46ED"/>
    <w:rsid w:val="00DE6164"/>
    <w:rsid w:val="00DE7561"/>
    <w:rsid w:val="00DE779E"/>
    <w:rsid w:val="00DF11A0"/>
    <w:rsid w:val="00DF11F7"/>
    <w:rsid w:val="00DF2627"/>
    <w:rsid w:val="00DF4520"/>
    <w:rsid w:val="00DF46D3"/>
    <w:rsid w:val="00DF47F3"/>
    <w:rsid w:val="00DF5CD3"/>
    <w:rsid w:val="00DF6F55"/>
    <w:rsid w:val="00DF7DA3"/>
    <w:rsid w:val="00E008FB"/>
    <w:rsid w:val="00E04927"/>
    <w:rsid w:val="00E04ECC"/>
    <w:rsid w:val="00E05BE0"/>
    <w:rsid w:val="00E10A1D"/>
    <w:rsid w:val="00E11751"/>
    <w:rsid w:val="00E14A5E"/>
    <w:rsid w:val="00E14F24"/>
    <w:rsid w:val="00E14F4E"/>
    <w:rsid w:val="00E16026"/>
    <w:rsid w:val="00E16239"/>
    <w:rsid w:val="00E2014B"/>
    <w:rsid w:val="00E2054B"/>
    <w:rsid w:val="00E20E45"/>
    <w:rsid w:val="00E22570"/>
    <w:rsid w:val="00E22C4E"/>
    <w:rsid w:val="00E240F7"/>
    <w:rsid w:val="00E243B3"/>
    <w:rsid w:val="00E279EE"/>
    <w:rsid w:val="00E27D53"/>
    <w:rsid w:val="00E30468"/>
    <w:rsid w:val="00E30A1D"/>
    <w:rsid w:val="00E30B67"/>
    <w:rsid w:val="00E32583"/>
    <w:rsid w:val="00E32872"/>
    <w:rsid w:val="00E330B1"/>
    <w:rsid w:val="00E330EE"/>
    <w:rsid w:val="00E33DC7"/>
    <w:rsid w:val="00E34707"/>
    <w:rsid w:val="00E3579F"/>
    <w:rsid w:val="00E37F32"/>
    <w:rsid w:val="00E37FA2"/>
    <w:rsid w:val="00E4094C"/>
    <w:rsid w:val="00E419A9"/>
    <w:rsid w:val="00E41A4B"/>
    <w:rsid w:val="00E41D20"/>
    <w:rsid w:val="00E42D0D"/>
    <w:rsid w:val="00E43DAF"/>
    <w:rsid w:val="00E44A0B"/>
    <w:rsid w:val="00E44F5A"/>
    <w:rsid w:val="00E4574C"/>
    <w:rsid w:val="00E46A95"/>
    <w:rsid w:val="00E50288"/>
    <w:rsid w:val="00E517B5"/>
    <w:rsid w:val="00E51E58"/>
    <w:rsid w:val="00E530BC"/>
    <w:rsid w:val="00E5323C"/>
    <w:rsid w:val="00E5416F"/>
    <w:rsid w:val="00E55904"/>
    <w:rsid w:val="00E55BC5"/>
    <w:rsid w:val="00E5672A"/>
    <w:rsid w:val="00E57809"/>
    <w:rsid w:val="00E61D08"/>
    <w:rsid w:val="00E65A44"/>
    <w:rsid w:val="00E665BA"/>
    <w:rsid w:val="00E66959"/>
    <w:rsid w:val="00E71E77"/>
    <w:rsid w:val="00E72D1B"/>
    <w:rsid w:val="00E72D3C"/>
    <w:rsid w:val="00E74CC3"/>
    <w:rsid w:val="00E75153"/>
    <w:rsid w:val="00E7529C"/>
    <w:rsid w:val="00E76F7C"/>
    <w:rsid w:val="00E80936"/>
    <w:rsid w:val="00E80FA3"/>
    <w:rsid w:val="00E81C1E"/>
    <w:rsid w:val="00E823C0"/>
    <w:rsid w:val="00E8298F"/>
    <w:rsid w:val="00E83ADF"/>
    <w:rsid w:val="00E840A9"/>
    <w:rsid w:val="00E84547"/>
    <w:rsid w:val="00E8565E"/>
    <w:rsid w:val="00E85AE1"/>
    <w:rsid w:val="00E85B87"/>
    <w:rsid w:val="00E86B6B"/>
    <w:rsid w:val="00E90145"/>
    <w:rsid w:val="00E902EE"/>
    <w:rsid w:val="00E92989"/>
    <w:rsid w:val="00E94BEC"/>
    <w:rsid w:val="00E960C8"/>
    <w:rsid w:val="00EA4244"/>
    <w:rsid w:val="00EA4FEA"/>
    <w:rsid w:val="00EA7118"/>
    <w:rsid w:val="00EA769D"/>
    <w:rsid w:val="00EA7F38"/>
    <w:rsid w:val="00EB0419"/>
    <w:rsid w:val="00EB2369"/>
    <w:rsid w:val="00EB2A18"/>
    <w:rsid w:val="00EB3055"/>
    <w:rsid w:val="00EB31CE"/>
    <w:rsid w:val="00EB36ED"/>
    <w:rsid w:val="00EB50D8"/>
    <w:rsid w:val="00EB76C1"/>
    <w:rsid w:val="00EC0075"/>
    <w:rsid w:val="00EC06CD"/>
    <w:rsid w:val="00EC0ED5"/>
    <w:rsid w:val="00EC22DD"/>
    <w:rsid w:val="00EC3277"/>
    <w:rsid w:val="00EC3C66"/>
    <w:rsid w:val="00EC40B9"/>
    <w:rsid w:val="00EC49AB"/>
    <w:rsid w:val="00EC4EB2"/>
    <w:rsid w:val="00EC54D4"/>
    <w:rsid w:val="00EC56B8"/>
    <w:rsid w:val="00EC746A"/>
    <w:rsid w:val="00EC77F7"/>
    <w:rsid w:val="00ED05BE"/>
    <w:rsid w:val="00ED2F25"/>
    <w:rsid w:val="00ED435B"/>
    <w:rsid w:val="00ED4D47"/>
    <w:rsid w:val="00ED61D0"/>
    <w:rsid w:val="00EE0AB0"/>
    <w:rsid w:val="00EE2F7B"/>
    <w:rsid w:val="00EE5413"/>
    <w:rsid w:val="00EE5696"/>
    <w:rsid w:val="00EE7720"/>
    <w:rsid w:val="00EF0D76"/>
    <w:rsid w:val="00EF1CB4"/>
    <w:rsid w:val="00EF2C25"/>
    <w:rsid w:val="00EF3F70"/>
    <w:rsid w:val="00EF4701"/>
    <w:rsid w:val="00EF57E7"/>
    <w:rsid w:val="00EF5EB6"/>
    <w:rsid w:val="00EF667E"/>
    <w:rsid w:val="00F014EC"/>
    <w:rsid w:val="00F01DFC"/>
    <w:rsid w:val="00F02D7E"/>
    <w:rsid w:val="00F03273"/>
    <w:rsid w:val="00F061CA"/>
    <w:rsid w:val="00F067BA"/>
    <w:rsid w:val="00F07CC5"/>
    <w:rsid w:val="00F07FB8"/>
    <w:rsid w:val="00F10432"/>
    <w:rsid w:val="00F11274"/>
    <w:rsid w:val="00F11765"/>
    <w:rsid w:val="00F11BC2"/>
    <w:rsid w:val="00F11DA8"/>
    <w:rsid w:val="00F12595"/>
    <w:rsid w:val="00F14080"/>
    <w:rsid w:val="00F14891"/>
    <w:rsid w:val="00F1531B"/>
    <w:rsid w:val="00F17364"/>
    <w:rsid w:val="00F22479"/>
    <w:rsid w:val="00F22BB8"/>
    <w:rsid w:val="00F23AF7"/>
    <w:rsid w:val="00F24830"/>
    <w:rsid w:val="00F27ACE"/>
    <w:rsid w:val="00F27D1C"/>
    <w:rsid w:val="00F3087F"/>
    <w:rsid w:val="00F31D8D"/>
    <w:rsid w:val="00F32F1F"/>
    <w:rsid w:val="00F332C7"/>
    <w:rsid w:val="00F335AF"/>
    <w:rsid w:val="00F33A42"/>
    <w:rsid w:val="00F34018"/>
    <w:rsid w:val="00F34D67"/>
    <w:rsid w:val="00F359DC"/>
    <w:rsid w:val="00F35A5A"/>
    <w:rsid w:val="00F37328"/>
    <w:rsid w:val="00F4191D"/>
    <w:rsid w:val="00F42A5D"/>
    <w:rsid w:val="00F4413B"/>
    <w:rsid w:val="00F46C06"/>
    <w:rsid w:val="00F46EF2"/>
    <w:rsid w:val="00F47109"/>
    <w:rsid w:val="00F5020D"/>
    <w:rsid w:val="00F50767"/>
    <w:rsid w:val="00F52C03"/>
    <w:rsid w:val="00F542EE"/>
    <w:rsid w:val="00F549A2"/>
    <w:rsid w:val="00F571DF"/>
    <w:rsid w:val="00F65975"/>
    <w:rsid w:val="00F664C8"/>
    <w:rsid w:val="00F6734A"/>
    <w:rsid w:val="00F67804"/>
    <w:rsid w:val="00F67B6F"/>
    <w:rsid w:val="00F67DB3"/>
    <w:rsid w:val="00F70789"/>
    <w:rsid w:val="00F70DE1"/>
    <w:rsid w:val="00F71AC5"/>
    <w:rsid w:val="00F71C95"/>
    <w:rsid w:val="00F72546"/>
    <w:rsid w:val="00F7325F"/>
    <w:rsid w:val="00F73418"/>
    <w:rsid w:val="00F75734"/>
    <w:rsid w:val="00F75A96"/>
    <w:rsid w:val="00F80D06"/>
    <w:rsid w:val="00F80D61"/>
    <w:rsid w:val="00F819B7"/>
    <w:rsid w:val="00F819BA"/>
    <w:rsid w:val="00F849F2"/>
    <w:rsid w:val="00F85DB0"/>
    <w:rsid w:val="00F87AB1"/>
    <w:rsid w:val="00F9003C"/>
    <w:rsid w:val="00F90664"/>
    <w:rsid w:val="00F91390"/>
    <w:rsid w:val="00F917FF"/>
    <w:rsid w:val="00F9240A"/>
    <w:rsid w:val="00F93FDE"/>
    <w:rsid w:val="00F949C1"/>
    <w:rsid w:val="00F94B26"/>
    <w:rsid w:val="00FA0194"/>
    <w:rsid w:val="00FA164F"/>
    <w:rsid w:val="00FA359C"/>
    <w:rsid w:val="00FA4F92"/>
    <w:rsid w:val="00FA5247"/>
    <w:rsid w:val="00FA5297"/>
    <w:rsid w:val="00FA5771"/>
    <w:rsid w:val="00FA5B44"/>
    <w:rsid w:val="00FA6327"/>
    <w:rsid w:val="00FA76FF"/>
    <w:rsid w:val="00FA7DE9"/>
    <w:rsid w:val="00FA7FF0"/>
    <w:rsid w:val="00FB10D4"/>
    <w:rsid w:val="00FB1DBA"/>
    <w:rsid w:val="00FB2DAB"/>
    <w:rsid w:val="00FB4847"/>
    <w:rsid w:val="00FB5846"/>
    <w:rsid w:val="00FC0B2A"/>
    <w:rsid w:val="00FC0C7D"/>
    <w:rsid w:val="00FC0FF6"/>
    <w:rsid w:val="00FC1818"/>
    <w:rsid w:val="00FC1897"/>
    <w:rsid w:val="00FC2C77"/>
    <w:rsid w:val="00FC5599"/>
    <w:rsid w:val="00FC6066"/>
    <w:rsid w:val="00FD0152"/>
    <w:rsid w:val="00FD1AAC"/>
    <w:rsid w:val="00FD1CC2"/>
    <w:rsid w:val="00FD219A"/>
    <w:rsid w:val="00FD244B"/>
    <w:rsid w:val="00FD24A0"/>
    <w:rsid w:val="00FD369C"/>
    <w:rsid w:val="00FE0F5F"/>
    <w:rsid w:val="00FE2C0F"/>
    <w:rsid w:val="00FE524E"/>
    <w:rsid w:val="00FE6696"/>
    <w:rsid w:val="00FE7B64"/>
    <w:rsid w:val="00FE7D40"/>
    <w:rsid w:val="00FE7EC6"/>
    <w:rsid w:val="00FF069B"/>
    <w:rsid w:val="00FF0F2B"/>
    <w:rsid w:val="00FF0FED"/>
    <w:rsid w:val="00FF3A7F"/>
    <w:rsid w:val="00FF401D"/>
    <w:rsid w:val="00FF4302"/>
    <w:rsid w:val="00FF7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A032C2"/>
  <w15:docId w15:val="{82B490A4-6925-4C99-9491-6EB4E625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688"/>
    <w:rPr>
      <w:sz w:val="24"/>
      <w:szCs w:val="24"/>
    </w:rPr>
  </w:style>
  <w:style w:type="paragraph" w:styleId="Heading1">
    <w:name w:val="heading 1"/>
    <w:basedOn w:val="Normal"/>
    <w:next w:val="Normal"/>
    <w:link w:val="Heading1Char"/>
    <w:autoRedefine/>
    <w:uiPriority w:val="9"/>
    <w:qFormat/>
    <w:rsid w:val="000F1975"/>
    <w:pPr>
      <w:keepNext/>
      <w:keepLines/>
      <w:spacing w:line="480" w:lineRule="auto"/>
      <w:ind w:left="720" w:hanging="720"/>
      <w:outlineLvl w:val="0"/>
    </w:pPr>
    <w:rPr>
      <w:b/>
      <w:bCs/>
      <w:color w:val="000000"/>
      <w:u w:color="000000"/>
      <w:bdr w:val="none" w:sz="0" w:space="0" w:color="auto"/>
    </w:rPr>
  </w:style>
  <w:style w:type="paragraph" w:styleId="Heading2">
    <w:name w:val="heading 2"/>
    <w:basedOn w:val="Heading1"/>
    <w:next w:val="Normal"/>
    <w:link w:val="Heading2Char"/>
    <w:uiPriority w:val="9"/>
    <w:unhideWhenUsed/>
    <w:qFormat/>
    <w:rsid w:val="00917C6A"/>
    <w:pPr>
      <w:ind w:firstLine="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41A9"/>
    <w:rPr>
      <w:color w:val="0000FF"/>
      <w:u w:val="single"/>
    </w:rPr>
  </w:style>
  <w:style w:type="paragraph" w:customStyle="1" w:styleId="HeaderFooter">
    <w:name w:val="Header &amp; Footer"/>
    <w:rsid w:val="00FF683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BodyA">
    <w:name w:val="Body A"/>
    <w:link w:val="BodyAChar"/>
    <w:rsid w:val="00FF6834"/>
    <w:rPr>
      <w:rFonts w:hAnsi="Arial Unicode MS" w:cs="Arial Unicode MS"/>
      <w:color w:val="000000"/>
      <w:sz w:val="24"/>
      <w:szCs w:val="24"/>
      <w:u w:color="000000"/>
    </w:rPr>
  </w:style>
  <w:style w:type="paragraph" w:styleId="TOC1">
    <w:name w:val="toc 1"/>
    <w:autoRedefine/>
    <w:uiPriority w:val="39"/>
    <w:qFormat/>
    <w:rsid w:val="00996EE4"/>
    <w:pPr>
      <w:tabs>
        <w:tab w:val="decimal" w:leader="dot" w:pos="8640"/>
      </w:tabs>
      <w:spacing w:after="240"/>
      <w:ind w:left="720" w:hanging="720"/>
    </w:pPr>
    <w:rPr>
      <w:rFonts w:eastAsia="Times New Roman"/>
      <w:caps/>
      <w:sz w:val="24"/>
      <w:szCs w:val="24"/>
      <w:u w:color="000000"/>
    </w:rPr>
  </w:style>
  <w:style w:type="paragraph" w:customStyle="1" w:styleId="Heading">
    <w:name w:val="Heading"/>
    <w:next w:val="BodyA"/>
    <w:rsid w:val="00FF6834"/>
    <w:pPr>
      <w:keepNext/>
      <w:keepLines/>
      <w:spacing w:line="480" w:lineRule="auto"/>
      <w:outlineLvl w:val="0"/>
    </w:pPr>
    <w:rPr>
      <w:rFonts w:eastAsia="Times New Roman"/>
      <w:b/>
      <w:bCs/>
      <w:color w:val="000000"/>
      <w:sz w:val="24"/>
      <w:szCs w:val="24"/>
      <w:u w:color="000000"/>
    </w:rPr>
  </w:style>
  <w:style w:type="paragraph" w:styleId="Header">
    <w:name w:val="header"/>
    <w:link w:val="HeaderChar"/>
    <w:rsid w:val="00FF6834"/>
    <w:pPr>
      <w:tabs>
        <w:tab w:val="center" w:pos="4680"/>
        <w:tab w:val="right" w:pos="9360"/>
      </w:tabs>
    </w:pPr>
    <w:rPr>
      <w:rFonts w:hAnsi="Arial Unicode MS" w:cs="Arial Unicode MS"/>
      <w:color w:val="000000"/>
      <w:sz w:val="24"/>
      <w:szCs w:val="24"/>
      <w:u w:color="000000"/>
    </w:rPr>
  </w:style>
  <w:style w:type="paragraph" w:customStyle="1" w:styleId="DirectQuestion">
    <w:name w:val="Direct Question"/>
    <w:next w:val="BodyA"/>
    <w:link w:val="DirectQuestionChar"/>
    <w:rsid w:val="00FF6834"/>
    <w:pPr>
      <w:tabs>
        <w:tab w:val="left" w:pos="1440"/>
      </w:tabs>
      <w:spacing w:line="480" w:lineRule="auto"/>
      <w:ind w:left="1440" w:hanging="1440"/>
    </w:pPr>
    <w:rPr>
      <w:rFonts w:hAnsi="Arial Unicode MS" w:cs="Arial Unicode MS"/>
      <w:b/>
      <w:bCs/>
      <w:i/>
      <w:iCs/>
      <w:caps/>
      <w:color w:val="000000"/>
      <w:sz w:val="24"/>
      <w:szCs w:val="24"/>
      <w:u w:color="000000"/>
    </w:rPr>
  </w:style>
  <w:style w:type="numbering" w:customStyle="1" w:styleId="List0">
    <w:name w:val="List 0"/>
    <w:basedOn w:val="ImportedStyle1"/>
    <w:rsid w:val="00FF6834"/>
    <w:pPr>
      <w:numPr>
        <w:numId w:val="1"/>
      </w:numPr>
    </w:pPr>
  </w:style>
  <w:style w:type="numbering" w:customStyle="1" w:styleId="ImportedStyle1">
    <w:name w:val="Imported Style 1"/>
    <w:rsid w:val="00FF6834"/>
  </w:style>
  <w:style w:type="paragraph" w:customStyle="1" w:styleId="DirectAnswer">
    <w:name w:val="Direct Answer"/>
    <w:next w:val="DirectNext"/>
    <w:rsid w:val="00FF6834"/>
    <w:pPr>
      <w:spacing w:line="480" w:lineRule="auto"/>
      <w:ind w:left="720" w:hanging="720"/>
    </w:pPr>
    <w:rPr>
      <w:rFonts w:hAnsi="Arial Unicode MS" w:cs="Arial Unicode MS"/>
      <w:color w:val="000000"/>
      <w:sz w:val="24"/>
      <w:szCs w:val="24"/>
      <w:u w:color="000000"/>
    </w:rPr>
  </w:style>
  <w:style w:type="paragraph" w:customStyle="1" w:styleId="DirectNext">
    <w:name w:val="Direct Next"/>
    <w:rsid w:val="00FF6834"/>
    <w:pPr>
      <w:spacing w:line="504" w:lineRule="exact"/>
      <w:ind w:left="720"/>
    </w:pPr>
    <w:rPr>
      <w:rFonts w:hAnsi="Arial Unicode MS" w:cs="Arial Unicode MS"/>
      <w:color w:val="000000"/>
      <w:sz w:val="24"/>
      <w:szCs w:val="24"/>
      <w:u w:color="000000"/>
    </w:rPr>
  </w:style>
  <w:style w:type="numbering" w:customStyle="1" w:styleId="List1">
    <w:name w:val="List 1"/>
    <w:basedOn w:val="ImportedStyle2"/>
    <w:rsid w:val="00FF6834"/>
    <w:pPr>
      <w:numPr>
        <w:numId w:val="2"/>
      </w:numPr>
    </w:pPr>
  </w:style>
  <w:style w:type="numbering" w:customStyle="1" w:styleId="ImportedStyle2">
    <w:name w:val="Imported Style 2"/>
    <w:rsid w:val="00FF6834"/>
  </w:style>
  <w:style w:type="paragraph" w:styleId="ListParagraph">
    <w:name w:val="List Paragraph"/>
    <w:link w:val="ListParagraphChar"/>
    <w:uiPriority w:val="34"/>
    <w:qFormat/>
    <w:rsid w:val="00E50288"/>
    <w:pPr>
      <w:ind w:left="720"/>
    </w:pPr>
    <w:rPr>
      <w:rFonts w:hAnsi="Arial Unicode MS" w:cs="Arial Unicode MS"/>
      <w:b/>
      <w:bCs/>
      <w:color w:val="000000"/>
      <w:sz w:val="24"/>
      <w:szCs w:val="24"/>
      <w:u w:color="00000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link w:val="FootnoteTextChar"/>
    <w:qFormat/>
    <w:rsid w:val="00FF6834"/>
    <w:rPr>
      <w:rFonts w:eastAsia="Times New Roman"/>
      <w:color w:val="000000"/>
      <w:u w:color="000000"/>
    </w:rPr>
  </w:style>
  <w:style w:type="paragraph" w:customStyle="1" w:styleId="Default">
    <w:name w:val="Default"/>
    <w:rsid w:val="00FF6834"/>
    <w:rPr>
      <w:rFonts w:ascii="Helvetica" w:eastAsia="Helvetica" w:hAnsi="Helvetica" w:cs="Helvetica"/>
      <w:color w:val="000000"/>
      <w:sz w:val="22"/>
      <w:szCs w:val="22"/>
    </w:rPr>
  </w:style>
  <w:style w:type="paragraph" w:styleId="EndnoteText">
    <w:name w:val="endnote text"/>
    <w:rsid w:val="00FF6834"/>
    <w:pPr>
      <w:widowControl w:val="0"/>
    </w:pPr>
    <w:rPr>
      <w:rFonts w:ascii="Courier New" w:eastAsia="Courier New" w:hAnsi="Courier New" w:cs="Courier New"/>
      <w:color w:val="000000"/>
      <w:sz w:val="24"/>
      <w:szCs w:val="24"/>
      <w:u w:color="000000"/>
    </w:rPr>
  </w:style>
  <w:style w:type="paragraph" w:styleId="BodyText">
    <w:name w:val="Body Text"/>
    <w:link w:val="BodyTextChar"/>
    <w:rsid w:val="00FF6834"/>
    <w:pPr>
      <w:spacing w:after="120"/>
    </w:pPr>
    <w:rPr>
      <w:rFonts w:hAnsi="Arial Unicode MS" w:cs="Arial Unicode MS"/>
      <w:color w:val="000000"/>
      <w:u w:color="000000"/>
    </w:rPr>
  </w:style>
  <w:style w:type="paragraph" w:styleId="CommentText">
    <w:name w:val="annotation text"/>
    <w:link w:val="CommentTextChar"/>
    <w:rsid w:val="00FF6834"/>
    <w:rPr>
      <w:rFonts w:hAnsi="Arial Unicode MS" w:cs="Arial Unicode MS"/>
      <w:color w:val="000000"/>
      <w:u w:color="000000"/>
    </w:rPr>
  </w:style>
  <w:style w:type="character" w:styleId="CommentReference">
    <w:name w:val="annotation reference"/>
    <w:basedOn w:val="DefaultParagraphFont"/>
    <w:uiPriority w:val="99"/>
    <w:semiHidden/>
    <w:unhideWhenUsed/>
    <w:rsid w:val="00FF6834"/>
    <w:rPr>
      <w:sz w:val="16"/>
      <w:szCs w:val="16"/>
    </w:rPr>
  </w:style>
  <w:style w:type="paragraph" w:styleId="BalloonText">
    <w:name w:val="Balloon Text"/>
    <w:basedOn w:val="Normal"/>
    <w:link w:val="BalloonTextChar"/>
    <w:uiPriority w:val="99"/>
    <w:semiHidden/>
    <w:unhideWhenUsed/>
    <w:rsid w:val="0019689A"/>
    <w:rPr>
      <w:rFonts w:ascii="Tahoma" w:hAnsi="Tahoma" w:cs="Tahoma"/>
      <w:sz w:val="16"/>
      <w:szCs w:val="16"/>
    </w:rPr>
  </w:style>
  <w:style w:type="character" w:customStyle="1" w:styleId="BalloonTextChar">
    <w:name w:val="Balloon Text Char"/>
    <w:basedOn w:val="DefaultParagraphFont"/>
    <w:link w:val="BalloonText"/>
    <w:uiPriority w:val="99"/>
    <w:semiHidden/>
    <w:rsid w:val="0019689A"/>
    <w:rPr>
      <w:rFonts w:ascii="Tahoma" w:hAnsi="Tahoma" w:cs="Tahoma"/>
      <w:sz w:val="16"/>
      <w:szCs w:val="16"/>
    </w:rPr>
  </w:style>
  <w:style w:type="character" w:styleId="LineNumber">
    <w:name w:val="line number"/>
    <w:basedOn w:val="DefaultParagraphFont"/>
    <w:uiPriority w:val="99"/>
    <w:semiHidden/>
    <w:unhideWhenUsed/>
    <w:rsid w:val="009A4CDE"/>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521479"/>
    <w:rPr>
      <w:vertAlign w:val="superscript"/>
    </w:rPr>
  </w:style>
  <w:style w:type="paragraph" w:styleId="CommentSubject">
    <w:name w:val="annotation subject"/>
    <w:basedOn w:val="CommentText"/>
    <w:next w:val="CommentText"/>
    <w:link w:val="CommentSubjectChar"/>
    <w:uiPriority w:val="99"/>
    <w:semiHidden/>
    <w:unhideWhenUsed/>
    <w:rsid w:val="00661AFA"/>
    <w:rPr>
      <w:rFonts w:hAnsi="Times New Roman" w:cs="Times New Roman"/>
      <w:b/>
      <w:bCs/>
      <w:color w:val="auto"/>
    </w:rPr>
  </w:style>
  <w:style w:type="character" w:customStyle="1" w:styleId="CommentTextChar">
    <w:name w:val="Comment Text Char"/>
    <w:basedOn w:val="DefaultParagraphFont"/>
    <w:link w:val="CommentText"/>
    <w:rsid w:val="00661AFA"/>
    <w:rPr>
      <w:rFonts w:hAnsi="Arial Unicode MS" w:cs="Arial Unicode MS"/>
      <w:color w:val="000000"/>
      <w:u w:color="000000"/>
    </w:rPr>
  </w:style>
  <w:style w:type="character" w:customStyle="1" w:styleId="CommentSubjectChar">
    <w:name w:val="Comment Subject Char"/>
    <w:basedOn w:val="CommentTextChar"/>
    <w:link w:val="CommentSubject"/>
    <w:uiPriority w:val="99"/>
    <w:semiHidden/>
    <w:rsid w:val="00661AFA"/>
    <w:rPr>
      <w:rFonts w:hAnsi="Arial Unicode MS" w:cs="Arial Unicode MS"/>
      <w:b/>
      <w:bCs/>
      <w:color w:val="000000"/>
      <w:u w:color="000000"/>
    </w:rPr>
  </w:style>
  <w:style w:type="paragraph" w:styleId="NoSpacing">
    <w:name w:val="No Spacing"/>
    <w:uiPriority w:val="1"/>
    <w:qFormat/>
    <w:rsid w:val="00A416CB"/>
    <w:rPr>
      <w:sz w:val="24"/>
      <w:szCs w:val="24"/>
    </w:rPr>
  </w:style>
  <w:style w:type="table" w:customStyle="1" w:styleId="TableGrid1">
    <w:name w:val="Table Grid1"/>
    <w:basedOn w:val="TableNormal"/>
    <w:next w:val="TableGrid"/>
    <w:uiPriority w:val="59"/>
    <w:rsid w:val="009001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0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1975"/>
    <w:rPr>
      <w:b/>
      <w:bCs/>
      <w:color w:val="000000"/>
      <w:sz w:val="24"/>
      <w:szCs w:val="24"/>
      <w:u w:color="000000"/>
      <w:bdr w:val="none" w:sz="0" w:space="0" w:color="auto"/>
    </w:rPr>
  </w:style>
  <w:style w:type="character" w:customStyle="1" w:styleId="BodyTextChar">
    <w:name w:val="Body Text Char"/>
    <w:basedOn w:val="DefaultParagraphFont"/>
    <w:link w:val="BodyText"/>
    <w:rsid w:val="00263688"/>
    <w:rPr>
      <w:rFonts w:hAnsi="Arial Unicode MS" w:cs="Arial Unicode MS"/>
      <w:color w:val="000000"/>
      <w:u w:color="00000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CA22F6"/>
    <w:rPr>
      <w:rFonts w:eastAsia="Times New Roman"/>
      <w:color w:val="000000"/>
      <w:u w:color="000000"/>
    </w:rPr>
  </w:style>
  <w:style w:type="character" w:customStyle="1" w:styleId="FooterChar">
    <w:name w:val="Footer Char"/>
    <w:basedOn w:val="DefaultParagraphFont"/>
    <w:link w:val="Footer"/>
    <w:uiPriority w:val="99"/>
    <w:rsid w:val="00CA22F6"/>
    <w:rPr>
      <w:rFonts w:hAnsi="Arial Unicode MS" w:cs="Arial Unicode MS"/>
      <w:color w:val="000000"/>
      <w:sz w:val="24"/>
      <w:szCs w:val="24"/>
      <w:u w:color="000000"/>
    </w:rPr>
  </w:style>
  <w:style w:type="paragraph" w:styleId="Revision">
    <w:name w:val="Revision"/>
    <w:hidden/>
    <w:uiPriority w:val="99"/>
    <w:semiHidden/>
    <w:rsid w:val="00B2043F"/>
    <w:rPr>
      <w:sz w:val="24"/>
      <w:szCs w:val="24"/>
    </w:rPr>
  </w:style>
  <w:style w:type="character" w:styleId="FollowedHyperlink">
    <w:name w:val="FollowedHyperlink"/>
    <w:basedOn w:val="DefaultParagraphFont"/>
    <w:uiPriority w:val="99"/>
    <w:semiHidden/>
    <w:unhideWhenUsed/>
    <w:rsid w:val="00D04670"/>
    <w:rPr>
      <w:color w:val="FF00FF" w:themeColor="followedHyperlink"/>
      <w:u w:val="single"/>
    </w:rPr>
  </w:style>
  <w:style w:type="paragraph" w:customStyle="1" w:styleId="Question">
    <w:name w:val="Question"/>
    <w:basedOn w:val="DirectQuestion"/>
    <w:link w:val="QuestionChar"/>
    <w:autoRedefine/>
    <w:rsid w:val="008A5CB0"/>
    <w:pPr>
      <w:tabs>
        <w:tab w:val="clear" w:pos="1440"/>
      </w:tabs>
      <w:ind w:left="720" w:hanging="720"/>
    </w:pPr>
    <w:rPr>
      <w:rFonts w:hAnsi="Times New Roman" w:cs="Times New Roman"/>
      <w:i w:val="0"/>
      <w:u w:val="single"/>
    </w:rPr>
  </w:style>
  <w:style w:type="paragraph" w:customStyle="1" w:styleId="Answer">
    <w:name w:val="Answer"/>
    <w:basedOn w:val="List2"/>
    <w:link w:val="AnswerChar"/>
    <w:qFormat/>
    <w:rsid w:val="00C71AC0"/>
    <w:pPr>
      <w:spacing w:line="480" w:lineRule="auto"/>
    </w:pPr>
    <w:rPr>
      <w:bCs/>
      <w:iCs/>
    </w:rPr>
  </w:style>
  <w:style w:type="character" w:customStyle="1" w:styleId="DirectQuestionChar">
    <w:name w:val="Direct Question Char"/>
    <w:basedOn w:val="DefaultParagraphFont"/>
    <w:link w:val="DirectQuestion"/>
    <w:rsid w:val="00E32872"/>
    <w:rPr>
      <w:rFonts w:hAnsi="Arial Unicode MS" w:cs="Arial Unicode MS"/>
      <w:b/>
      <w:bCs/>
      <w:i/>
      <w:iCs/>
      <w:caps/>
      <w:color w:val="000000"/>
      <w:sz w:val="24"/>
      <w:szCs w:val="24"/>
      <w:u w:color="000000"/>
    </w:rPr>
  </w:style>
  <w:style w:type="character" w:customStyle="1" w:styleId="QuestionChar">
    <w:name w:val="Question Char"/>
    <w:basedOn w:val="DirectQuestionChar"/>
    <w:link w:val="Question"/>
    <w:rsid w:val="008A5CB0"/>
    <w:rPr>
      <w:rFonts w:hAnsi="Arial Unicode MS" w:cs="Arial Unicode MS"/>
      <w:b/>
      <w:bCs/>
      <w:i w:val="0"/>
      <w:iCs/>
      <w:caps/>
      <w:color w:val="000000"/>
      <w:sz w:val="24"/>
      <w:szCs w:val="24"/>
      <w:u w:val="single" w:color="000000"/>
    </w:rPr>
  </w:style>
  <w:style w:type="character" w:customStyle="1" w:styleId="BodyAChar">
    <w:name w:val="Body A Char"/>
    <w:basedOn w:val="DefaultParagraphFont"/>
    <w:link w:val="BodyA"/>
    <w:rsid w:val="00E32872"/>
    <w:rPr>
      <w:rFonts w:hAnsi="Arial Unicode MS" w:cs="Arial Unicode MS"/>
      <w:color w:val="000000"/>
      <w:sz w:val="24"/>
      <w:szCs w:val="24"/>
      <w:u w:color="000000"/>
    </w:rPr>
  </w:style>
  <w:style w:type="character" w:customStyle="1" w:styleId="AnswerChar">
    <w:name w:val="Answer Char"/>
    <w:basedOn w:val="BodyAChar"/>
    <w:link w:val="Answer"/>
    <w:rsid w:val="003238E5"/>
    <w:rPr>
      <w:rFonts w:hAnsi="Arial Unicode MS" w:cs="Arial Unicode MS"/>
      <w:bCs/>
      <w:iCs/>
      <w:color w:val="000000"/>
      <w:sz w:val="24"/>
      <w:szCs w:val="24"/>
      <w:u w:color="000000"/>
    </w:rPr>
  </w:style>
  <w:style w:type="paragraph" w:styleId="HTMLPreformatted">
    <w:name w:val="HTML Preformatted"/>
    <w:aliases w:val=" Char,Char"/>
    <w:basedOn w:val="Normal"/>
    <w:link w:val="HTMLPreformattedChar"/>
    <w:rsid w:val="007D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7D74C5"/>
    <w:rPr>
      <w:rFonts w:ascii="Courier New" w:eastAsia="Courier New" w:hAnsi="Courier New" w:cs="Courier New"/>
      <w:bdr w:val="nil"/>
    </w:rPr>
  </w:style>
  <w:style w:type="character" w:customStyle="1" w:styleId="DocID">
    <w:name w:val="DocID"/>
    <w:basedOn w:val="DefaultParagraphFont"/>
    <w:rsid w:val="00F737CC"/>
    <w:rPr>
      <w:rFonts w:ascii="Times New Roman" w:hAnsi="Times New Roman" w:cs="Times New Roman"/>
      <w:b w:val="0"/>
      <w:bCs/>
      <w:i w:val="0"/>
      <w:caps w:val="0"/>
      <w:vanish w:val="0"/>
      <w:color w:val="000000"/>
      <w:sz w:val="16"/>
      <w:u w:val="none"/>
    </w:rPr>
  </w:style>
  <w:style w:type="paragraph" w:customStyle="1" w:styleId="execnorm">
    <w:name w:val="execnorm"/>
    <w:basedOn w:val="Normal"/>
    <w:link w:val="execnormChar"/>
    <w:rsid w:val="00B86A7B"/>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76" w:lineRule="auto"/>
    </w:pPr>
    <w:rPr>
      <w:rFonts w:ascii="Ebrima" w:hAnsi="Ebrima" w:eastAsiaTheme="minorEastAsia" w:cstheme="minorBidi"/>
      <w:color w:val="404040" w:themeColor="text1" w:themeTint="BF"/>
      <w:sz w:val="22"/>
      <w:szCs w:val="22"/>
      <w:bdr w:val="none" w:sz="0" w:space="0" w:color="auto"/>
      <w:lang w:bidi="en-US"/>
    </w:rPr>
  </w:style>
  <w:style w:type="character" w:customStyle="1" w:styleId="execnormChar">
    <w:name w:val="execnorm Char"/>
    <w:basedOn w:val="DefaultParagraphFont"/>
    <w:link w:val="execnorm"/>
    <w:rsid w:val="00B86A7B"/>
    <w:rPr>
      <w:rFonts w:ascii="Ebrima" w:hAnsi="Ebrima" w:eastAsiaTheme="minorEastAsia" w:cstheme="minorBidi"/>
      <w:color w:val="404040" w:themeColor="text1" w:themeTint="BF"/>
      <w:sz w:val="22"/>
      <w:szCs w:val="22"/>
      <w:bdr w:val="none" w:sz="0" w:space="0" w:color="auto"/>
      <w:lang w:bidi="en-US"/>
    </w:rPr>
  </w:style>
  <w:style w:type="character" w:customStyle="1" w:styleId="ListParagraphChar">
    <w:name w:val="List Paragraph Char"/>
    <w:link w:val="ListParagraph"/>
    <w:uiPriority w:val="34"/>
    <w:rsid w:val="00E50288"/>
    <w:rPr>
      <w:rFonts w:hAnsi="Arial Unicode MS" w:cs="Arial Unicode MS"/>
      <w:b/>
      <w:bCs/>
      <w:color w:val="000000"/>
      <w:sz w:val="24"/>
      <w:szCs w:val="24"/>
      <w:u w:color="000000"/>
    </w:rPr>
  </w:style>
  <w:style w:type="paragraph" w:styleId="NormalWeb">
    <w:name w:val="Normal (Web)"/>
    <w:basedOn w:val="Normal"/>
    <w:uiPriority w:val="99"/>
    <w:unhideWhenUsed/>
    <w:rsid w:val="00684344"/>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customStyle="1" w:styleId="Question1">
    <w:name w:val="Question1"/>
    <w:basedOn w:val="List"/>
    <w:link w:val="Question1Char"/>
    <w:qFormat/>
    <w:rsid w:val="00BC12BD"/>
    <w:pPr>
      <w:spacing w:after="240" w:line="480" w:lineRule="auto"/>
      <w:ind w:firstLine="0"/>
    </w:pPr>
    <w:rPr>
      <w:b/>
      <w:i/>
      <w:caps/>
    </w:rPr>
  </w:style>
  <w:style w:type="paragraph" w:styleId="TOCHeading">
    <w:name w:val="TOC Heading"/>
    <w:basedOn w:val="Heading1"/>
    <w:next w:val="Normal"/>
    <w:uiPriority w:val="39"/>
    <w:unhideWhenUsed/>
    <w:qFormat/>
    <w:rsid w:val="00E24935"/>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59" w:lineRule="auto"/>
      <w:ind w:left="0"/>
      <w:outlineLvl w:val="9"/>
    </w:pPr>
    <w:rPr>
      <w:rFonts w:asciiTheme="majorHAnsi" w:eastAsiaTheme="majorEastAsia" w:hAnsiTheme="majorHAnsi" w:cstheme="majorBidi"/>
      <w:b w:val="0"/>
      <w:bCs w:val="0"/>
      <w:smallCaps/>
      <w:color w:val="2F759E" w:themeColor="accent1" w:themeShade="BF"/>
      <w:sz w:val="32"/>
      <w:szCs w:val="32"/>
    </w:rPr>
  </w:style>
  <w:style w:type="character" w:customStyle="1" w:styleId="ListChar">
    <w:name w:val="List Char"/>
    <w:basedOn w:val="DefaultParagraphFont"/>
    <w:link w:val="List"/>
    <w:uiPriority w:val="99"/>
    <w:semiHidden/>
    <w:rsid w:val="007639FE"/>
    <w:rPr>
      <w:sz w:val="24"/>
      <w:szCs w:val="24"/>
    </w:rPr>
  </w:style>
  <w:style w:type="paragraph" w:styleId="List">
    <w:name w:val="List"/>
    <w:basedOn w:val="Normal"/>
    <w:link w:val="ListChar"/>
    <w:uiPriority w:val="99"/>
    <w:semiHidden/>
    <w:unhideWhenUsed/>
    <w:rsid w:val="007639FE"/>
    <w:pPr>
      <w:ind w:left="360" w:hanging="360"/>
      <w:contextualSpacing/>
    </w:pPr>
  </w:style>
  <w:style w:type="character" w:customStyle="1" w:styleId="Question1Char">
    <w:name w:val="Question1 Char"/>
    <w:basedOn w:val="ListChar"/>
    <w:link w:val="Question1"/>
    <w:rsid w:val="00BC12BD"/>
    <w:rPr>
      <w:b/>
      <w:i/>
      <w:caps/>
      <w:sz w:val="24"/>
      <w:szCs w:val="24"/>
    </w:rPr>
  </w:style>
  <w:style w:type="paragraph" w:styleId="List2">
    <w:name w:val="List 2"/>
    <w:basedOn w:val="Normal"/>
    <w:uiPriority w:val="99"/>
    <w:semiHidden/>
    <w:unhideWhenUsed/>
    <w:rsid w:val="003238E5"/>
    <w:pPr>
      <w:ind w:left="720" w:hanging="360"/>
      <w:contextualSpacing/>
    </w:pPr>
  </w:style>
  <w:style w:type="character" w:customStyle="1" w:styleId="UnresolvedMention1">
    <w:name w:val="Unresolved Mention1"/>
    <w:basedOn w:val="DefaultParagraphFont"/>
    <w:uiPriority w:val="99"/>
    <w:semiHidden/>
    <w:unhideWhenUsed/>
    <w:rsid w:val="00103E6A"/>
    <w:rPr>
      <w:color w:val="605E5C"/>
      <w:shd w:val="clear" w:color="auto" w:fill="E1DFDD"/>
    </w:rPr>
  </w:style>
  <w:style w:type="character" w:customStyle="1" w:styleId="UnresolvedMention2">
    <w:name w:val="Unresolved Mention2"/>
    <w:basedOn w:val="DefaultParagraphFont"/>
    <w:uiPriority w:val="99"/>
    <w:rsid w:val="00F46C06"/>
    <w:rPr>
      <w:color w:val="605E5C"/>
      <w:shd w:val="clear" w:color="auto" w:fill="E1DFDD"/>
    </w:rPr>
  </w:style>
  <w:style w:type="table" w:styleId="PlainTable3">
    <w:name w:val="Plain Table 3"/>
    <w:basedOn w:val="TableNormal"/>
    <w:uiPriority w:val="43"/>
    <w:rsid w:val="008B0E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27C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rsid w:val="00B73B11"/>
    <w:rPr>
      <w:rFonts w:hAnsi="Arial Unicode MS" w:cs="Arial Unicode MS"/>
      <w:color w:val="000000"/>
      <w:sz w:val="24"/>
      <w:szCs w:val="24"/>
      <w:u w:color="000000"/>
    </w:rPr>
  </w:style>
  <w:style w:type="character" w:customStyle="1" w:styleId="Heading2Char">
    <w:name w:val="Heading 2 Char"/>
    <w:basedOn w:val="DefaultParagraphFont"/>
    <w:link w:val="Heading2"/>
    <w:uiPriority w:val="9"/>
    <w:rsid w:val="00917C6A"/>
    <w:rPr>
      <w:b/>
      <w:bCs/>
      <w:color w:val="000000"/>
      <w:sz w:val="24"/>
      <w:szCs w:val="24"/>
      <w:u w:color="000000"/>
    </w:rPr>
  </w:style>
  <w:style w:type="paragraph" w:styleId="TOC2">
    <w:name w:val="toc 2"/>
    <w:basedOn w:val="Normal"/>
    <w:next w:val="Normal"/>
    <w:autoRedefine/>
    <w:uiPriority w:val="39"/>
    <w:unhideWhenUsed/>
    <w:rsid w:val="00D4031D"/>
    <w:pPr>
      <w:tabs>
        <w:tab w:val="right" w:leader="dot" w:pos="8630"/>
      </w:tabs>
      <w:spacing w:after="240"/>
    </w:pPr>
  </w:style>
  <w:style w:type="character" w:customStyle="1" w:styleId="xcontentpasted0">
    <w:name w:val="x_contentpasted0"/>
    <w:basedOn w:val="DefaultParagraphFont"/>
    <w:rsid w:val="00C43091"/>
  </w:style>
  <w:style w:type="character" w:styleId="Strong">
    <w:name w:val="Strong"/>
    <w:basedOn w:val="DefaultParagraphFont"/>
    <w:uiPriority w:val="22"/>
    <w:qFormat/>
    <w:rsid w:val="00E50288"/>
  </w:style>
  <w:style w:type="character" w:styleId="IntenseEmphasis">
    <w:name w:val="Intense Emphasis"/>
    <w:basedOn w:val="DefaultParagraphFont"/>
    <w:uiPriority w:val="21"/>
    <w:qFormat/>
    <w:rsid w:val="00E50288"/>
    <w:rPr>
      <w:i/>
      <w:iCs/>
      <w:color w:val="499BC9" w:themeColor="accent1"/>
    </w:rPr>
  </w:style>
  <w:style w:type="character" w:customStyle="1" w:styleId="UnresolvedMention">
    <w:name w:val="Unresolved Mention"/>
    <w:basedOn w:val="DefaultParagraphFont"/>
    <w:uiPriority w:val="99"/>
    <w:rsid w:val="0082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header" Target="header4.xml" /><Relationship Id="rId15" Type="http://schemas.openxmlformats.org/officeDocument/2006/relationships/hyperlink" Target="mailto:ambrosia.wilson@ohioago.gov" TargetMode="External" /><Relationship Id="rId16" Type="http://schemas.openxmlformats.org/officeDocument/2006/relationships/hyperlink" Target="mailto:janet.gregory@ohioago.gov" TargetMode="External" /><Relationship Id="rId17" Type="http://schemas.openxmlformats.org/officeDocument/2006/relationships/hyperlink" Target="mailto:knordstrom@theOEC.org" TargetMode="External" /><Relationship Id="rId18" Type="http://schemas.openxmlformats.org/officeDocument/2006/relationships/hyperlink" Target="mailto:ctavenor@theOEC.org" TargetMode="External" /><Relationship Id="rId19" Type="http://schemas.openxmlformats.org/officeDocument/2006/relationships/hyperlink" Target="mailto:jdunn@oneenergyllc.com" TargetMode="External" /><Relationship Id="rId2" Type="http://schemas.openxmlformats.org/officeDocument/2006/relationships/settings" Target="settings.xml" /><Relationship Id="rId20" Type="http://schemas.openxmlformats.org/officeDocument/2006/relationships/hyperlink" Target="mailto:ktreadway@oneenergyllc.com" TargetMode="External" /><Relationship Id="rId21" Type="http://schemas.openxmlformats.org/officeDocument/2006/relationships/hyperlink" Target="mailto:emcconnell@elpc.org" TargetMode="External" /><Relationship Id="rId22" Type="http://schemas.openxmlformats.org/officeDocument/2006/relationships/hyperlink" Target="mailto:trent@hubaydougherty.com" TargetMode="External" /><Relationship Id="rId23" Type="http://schemas.openxmlformats.org/officeDocument/2006/relationships/hyperlink" Target="mailto:Paul@carpenterlipps.com" TargetMode="External" /><Relationship Id="rId24" Type="http://schemas.openxmlformats.org/officeDocument/2006/relationships/hyperlink" Target="mailto:brian.gibbs@nationwideenergypartners.com" TargetMode="External" /><Relationship Id="rId25" Type="http://schemas.openxmlformats.org/officeDocument/2006/relationships/hyperlink" Target="mailto:kevin.frank@cincinnati-oh.gov" TargetMode="External" /><Relationship Id="rId26" Type="http://schemas.openxmlformats.org/officeDocument/2006/relationships/hyperlink" Target="mailto:mpritchard@mcneeslaw.com" TargetMode="External" /><Relationship Id="rId27" Type="http://schemas.openxmlformats.org/officeDocument/2006/relationships/hyperlink" Target="mailto:matthew.sandor@puco.ohio.gov" TargetMode="External" /><Relationship Id="rId28" Type="http://schemas.openxmlformats.org/officeDocument/2006/relationships/hyperlink" Target="mailto:nicholas.walstra@puco.ohio.gov" TargetMode="External" /><Relationship Id="rId29" Type="http://schemas.openxmlformats.org/officeDocument/2006/relationships/hyperlink" Target="mailto:clint.white@puco.ohio.gov" TargetMode="External" /><Relationship Id="rId3" Type="http://schemas.openxmlformats.org/officeDocument/2006/relationships/webSettings" Target="webSettings.xml" /><Relationship Id="rId30" Type="http://schemas.openxmlformats.org/officeDocument/2006/relationships/hyperlink" Target="mailto:rocco.dascenzo@duke-energy.com" TargetMode="External" /><Relationship Id="rId31" Type="http://schemas.openxmlformats.org/officeDocument/2006/relationships/hyperlink" Target="mailto:jeanne.kingery@duke-energy.com" TargetMode="External" /><Relationship Id="rId32" Type="http://schemas.openxmlformats.org/officeDocument/2006/relationships/hyperlink" Target="mailto:larisa.vaysman@duke-energy.com" TargetMode="External" /><Relationship Id="rId33" Type="http://schemas.openxmlformats.org/officeDocument/2006/relationships/hyperlink" Target="mailto:elyse.akhbari@duke-energy.com" TargetMode="External" /><Relationship Id="rId34" Type="http://schemas.openxmlformats.org/officeDocument/2006/relationships/hyperlink" Target="mailto:mkurtz@BKLlawfirm.com" TargetMode="External" /><Relationship Id="rId35" Type="http://schemas.openxmlformats.org/officeDocument/2006/relationships/hyperlink" Target="mailto:jkylercohn@BKLlawfirm.com" TargetMode="External" /><Relationship Id="rId36" Type="http://schemas.openxmlformats.org/officeDocument/2006/relationships/hyperlink" Target="mailto:dproano@bakerlaw.com" TargetMode="External" /><Relationship Id="rId37" Type="http://schemas.openxmlformats.org/officeDocument/2006/relationships/hyperlink" Target="mailto:pwillison@bakerlaw.com" TargetMode="External" /><Relationship Id="rId38" Type="http://schemas.openxmlformats.org/officeDocument/2006/relationships/hyperlink" Target="mailto:bojko@carpenterlipps.com" TargetMode="External" /><Relationship Id="rId39" Type="http://schemas.openxmlformats.org/officeDocument/2006/relationships/hyperlink" Target="mailto:easley@carpenterlipps.com" TargetMode="External" /><Relationship Id="rId4" Type="http://schemas.openxmlformats.org/officeDocument/2006/relationships/fontTable" Target="fontTable.xml" /><Relationship Id="rId40" Type="http://schemas.openxmlformats.org/officeDocument/2006/relationships/hyperlink" Target="mailto:stacie.cathcart@igs.com" TargetMode="External" /><Relationship Id="rId41" Type="http://schemas.openxmlformats.org/officeDocument/2006/relationships/hyperlink" Target="mailto:natalia.messenger@igs.com" TargetMode="External" /><Relationship Id="rId42" Type="http://schemas.openxmlformats.org/officeDocument/2006/relationships/hyperlink" Target="mailto:mjsettineri@vorys.com" TargetMode="External" /><Relationship Id="rId43" Type="http://schemas.openxmlformats.org/officeDocument/2006/relationships/hyperlink" Target="mailto:glpetrucci@vorys.com" TargetMode="External" /><Relationship Id="rId44" Type="http://schemas.openxmlformats.org/officeDocument/2006/relationships/hyperlink" Target="mailto:jreckert@vorys.com" TargetMode="External" /><Relationship Id="rId45" Type="http://schemas.openxmlformats.org/officeDocument/2006/relationships/hyperlink" Target="mailto:cgrundmann@spilmanlaw.com" TargetMode="External" /><Relationship Id="rId46" Type="http://schemas.openxmlformats.org/officeDocument/2006/relationships/hyperlink" Target="mailto:dwilliamson@spilmanlaw.com" TargetMode="External" /><Relationship Id="rId47" Type="http://schemas.openxmlformats.org/officeDocument/2006/relationships/hyperlink" Target="mailto:slee@spilmanlaw.com" TargetMode="External" /><Relationship Id="rId48" Type="http://schemas.openxmlformats.org/officeDocument/2006/relationships/header" Target="header5.xml" /><Relationship Id="rId49" Type="http://schemas.openxmlformats.org/officeDocument/2006/relationships/footer" Target="footer5.xm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tatenews.org/government-politics/2023-07-11/report-shows-rate-of-ohioans-in-poverty-rose-for-first-time-in-a-decade" TargetMode="External" /><Relationship Id="rId2" Type="http://schemas.openxmlformats.org/officeDocument/2006/relationships/hyperlink" Target="https://oacaa.org/wp-content/uploads/2023/07/State-of-Poverty-2023-web_FINAL-UPDATE.pdf" TargetMode="External" /><Relationship Id="rId3" Type="http://schemas.openxmlformats.org/officeDocument/2006/relationships/hyperlink" Target="https://adrcofbrowncounty.org/wp-content/uploads/2021/08/2020-Collaborative-Report-211-Crisis-Center-ADRC.pdf" TargetMode="External" /></Relationships>
</file>

<file path=word/theme/_rels/theme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1172-FC76-4A95-99E8-648C444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2024-10-30T14:22:08Z</dcterms:created>
  <dcterms:modified xsi:type="dcterms:W3CDTF">2024-10-30T14:22:08Z</dcterms:modified>
</cp:coreProperties>
</file>