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F2C9A" w:rsidRPr="002008A8" w:rsidP="00FF2C9A" w14:paraId="528AB79F" w14:textId="77777777">
      <w:pPr>
        <w:spacing w:after="0"/>
        <w:jc w:val="center"/>
        <w:rPr>
          <w:rFonts w:cs="Times New Roman"/>
          <w:b/>
          <w:bCs/>
          <w:szCs w:val="24"/>
        </w:rPr>
      </w:pPr>
      <w:r w:rsidRPr="002008A8">
        <w:rPr>
          <w:rFonts w:cs="Times New Roman"/>
          <w:b/>
          <w:szCs w:val="24"/>
        </w:rPr>
        <w:t>BEFORE</w:t>
      </w:r>
    </w:p>
    <w:p w:rsidR="00FF2C9A" w:rsidRPr="002008A8" w:rsidP="00FF2C9A" w14:paraId="2EB326E1" w14:textId="77777777">
      <w:pPr>
        <w:spacing w:after="0"/>
        <w:jc w:val="center"/>
        <w:rPr>
          <w:rFonts w:cs="Times New Roman"/>
          <w:b/>
          <w:szCs w:val="24"/>
        </w:rPr>
      </w:pPr>
      <w:r w:rsidRPr="002008A8">
        <w:rPr>
          <w:rFonts w:cs="Times New Roman"/>
          <w:b/>
          <w:szCs w:val="24"/>
        </w:rPr>
        <w:t>THE</w:t>
      </w:r>
      <w:r w:rsidRPr="002008A8">
        <w:rPr>
          <w:rFonts w:cs="Times New Roman"/>
          <w:b/>
          <w:spacing w:val="-10"/>
          <w:szCs w:val="24"/>
        </w:rPr>
        <w:t xml:space="preserve"> </w:t>
      </w:r>
      <w:r w:rsidRPr="002008A8">
        <w:rPr>
          <w:rFonts w:cs="Times New Roman"/>
          <w:b/>
          <w:spacing w:val="-1"/>
          <w:szCs w:val="24"/>
        </w:rPr>
        <w:t>PUBLIC</w:t>
      </w:r>
      <w:r w:rsidRPr="002008A8">
        <w:rPr>
          <w:rFonts w:cs="Times New Roman"/>
          <w:b/>
          <w:spacing w:val="-12"/>
          <w:szCs w:val="24"/>
        </w:rPr>
        <w:t xml:space="preserve"> </w:t>
      </w:r>
      <w:r w:rsidRPr="002008A8">
        <w:rPr>
          <w:rFonts w:cs="Times New Roman"/>
          <w:b/>
          <w:szCs w:val="24"/>
        </w:rPr>
        <w:t>UTILITIES</w:t>
      </w:r>
      <w:r w:rsidRPr="002008A8">
        <w:rPr>
          <w:rFonts w:cs="Times New Roman"/>
          <w:b/>
          <w:spacing w:val="-10"/>
          <w:szCs w:val="24"/>
        </w:rPr>
        <w:t xml:space="preserve"> </w:t>
      </w:r>
      <w:r w:rsidRPr="002008A8">
        <w:rPr>
          <w:rFonts w:cs="Times New Roman"/>
          <w:b/>
          <w:spacing w:val="-1"/>
          <w:szCs w:val="24"/>
        </w:rPr>
        <w:t>COMMISSION</w:t>
      </w:r>
      <w:r w:rsidRPr="002008A8">
        <w:rPr>
          <w:rFonts w:cs="Times New Roman"/>
          <w:b/>
          <w:spacing w:val="-11"/>
          <w:szCs w:val="24"/>
        </w:rPr>
        <w:t xml:space="preserve"> </w:t>
      </w:r>
      <w:r w:rsidRPr="002008A8">
        <w:rPr>
          <w:rFonts w:cs="Times New Roman"/>
          <w:b/>
          <w:spacing w:val="-1"/>
          <w:szCs w:val="24"/>
        </w:rPr>
        <w:t>OF</w:t>
      </w:r>
      <w:r w:rsidRPr="002008A8">
        <w:rPr>
          <w:rFonts w:cs="Times New Roman"/>
          <w:b/>
          <w:spacing w:val="-13"/>
          <w:szCs w:val="24"/>
        </w:rPr>
        <w:t xml:space="preserve"> O</w:t>
      </w:r>
      <w:r w:rsidRPr="002008A8">
        <w:rPr>
          <w:rFonts w:cs="Times New Roman"/>
          <w:b/>
          <w:szCs w:val="24"/>
        </w:rPr>
        <w:t>HIO</w:t>
      </w:r>
    </w:p>
    <w:p w:rsidR="00FF2C9A" w:rsidRPr="002008A8" w:rsidP="00FF2C9A" w14:paraId="29E75098"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6317EB31" w14:textId="77777777" w:rsidTr="004E249D">
        <w:tblPrEx>
          <w:tblW w:w="9360" w:type="dxa"/>
          <w:tblLook w:val="01E0"/>
        </w:tblPrEx>
        <w:trPr>
          <w:trHeight w:val="807"/>
        </w:trPr>
        <w:tc>
          <w:tcPr>
            <w:tcW w:w="4590" w:type="dxa"/>
            <w:shd w:val="clear" w:color="auto" w:fill="auto"/>
          </w:tcPr>
          <w:p w:rsidR="00FF2C9A" w:rsidRPr="002008A8" w:rsidP="004E249D" w14:paraId="2A0B9C4E"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In the Matter of the Review of the Distribution Modernization Rider of Ohio Edison Company, The Cleveland Electric Illuminating Company, and The Toledo Edison Company.</w:t>
            </w:r>
          </w:p>
        </w:tc>
        <w:tc>
          <w:tcPr>
            <w:tcW w:w="360" w:type="dxa"/>
            <w:shd w:val="clear" w:color="auto" w:fill="auto"/>
          </w:tcPr>
          <w:p w:rsidR="00FF2C9A" w:rsidRPr="002008A8" w:rsidP="004E249D" w14:paraId="1A7821F2"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FF2C9A" w:rsidRPr="002008A8" w:rsidP="004E249D" w14:paraId="0DBB10F1"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FF2C9A" w:rsidRPr="002008A8" w:rsidP="004E249D" w14:paraId="5C85A0BA"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FF2C9A" w:rsidRPr="002008A8" w:rsidP="004E249D" w14:paraId="0D73DBBC"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FF2C9A" w:rsidRPr="002008A8" w:rsidP="004E249D" w14:paraId="30C17ECF"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FF2C9A" w:rsidRPr="002008A8" w:rsidP="004E249D" w14:paraId="0A2A97EE" w14:textId="77777777">
            <w:pPr>
              <w:pStyle w:val="HTMLPreformatted"/>
              <w:rPr>
                <w:rFonts w:ascii="Times New Roman" w:hAnsi="Times New Roman" w:cs="Times New Roman"/>
                <w:sz w:val="24"/>
                <w:szCs w:val="24"/>
              </w:rPr>
            </w:pPr>
          </w:p>
        </w:tc>
        <w:tc>
          <w:tcPr>
            <w:tcW w:w="4410" w:type="dxa"/>
            <w:shd w:val="clear" w:color="auto" w:fill="auto"/>
          </w:tcPr>
          <w:p w:rsidR="00FF2C9A" w:rsidRPr="002008A8" w:rsidP="004E249D" w14:paraId="1F1338F0" w14:textId="77777777">
            <w:pPr>
              <w:pStyle w:val="HTMLPreformatted"/>
              <w:rPr>
                <w:rFonts w:ascii="Times New Roman" w:hAnsi="Times New Roman" w:cs="Times New Roman"/>
                <w:sz w:val="24"/>
                <w:szCs w:val="24"/>
              </w:rPr>
            </w:pPr>
          </w:p>
          <w:p w:rsidR="00FF2C9A" w:rsidRPr="002008A8" w:rsidP="004E249D" w14:paraId="3F7C20DC"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Case No. 17-2474-EL-RDR</w:t>
            </w:r>
          </w:p>
          <w:p w:rsidR="00FF2C9A" w:rsidRPr="002008A8" w:rsidP="004E249D" w14:paraId="18057150" w14:textId="77777777">
            <w:pPr>
              <w:pStyle w:val="HTMLPreformatted"/>
              <w:rPr>
                <w:rFonts w:ascii="Times New Roman" w:hAnsi="Times New Roman" w:cs="Times New Roman"/>
                <w:sz w:val="24"/>
                <w:szCs w:val="24"/>
              </w:rPr>
            </w:pPr>
          </w:p>
          <w:p w:rsidR="00FF2C9A" w:rsidRPr="002008A8" w:rsidP="004E249D" w14:paraId="23D8D84A" w14:textId="77777777">
            <w:pPr>
              <w:pStyle w:val="HTMLPreformatted"/>
              <w:rPr>
                <w:rFonts w:ascii="Times New Roman" w:hAnsi="Times New Roman" w:cs="Times New Roman"/>
                <w:sz w:val="24"/>
                <w:szCs w:val="24"/>
              </w:rPr>
            </w:pPr>
          </w:p>
          <w:p w:rsidR="00FF2C9A" w:rsidRPr="002008A8" w:rsidP="004E249D" w14:paraId="50EE5AA2" w14:textId="77777777">
            <w:pPr>
              <w:pStyle w:val="HTMLPreformatted"/>
              <w:rPr>
                <w:rFonts w:ascii="Times New Roman" w:hAnsi="Times New Roman" w:cs="Times New Roman"/>
                <w:sz w:val="24"/>
                <w:szCs w:val="24"/>
              </w:rPr>
            </w:pPr>
          </w:p>
        </w:tc>
      </w:tr>
    </w:tbl>
    <w:p w:rsidR="00FF2C9A" w:rsidRPr="002008A8" w:rsidP="00FF2C9A" w14:paraId="27A697AF" w14:textId="77777777">
      <w:pPr>
        <w:pBdr>
          <w:bottom w:val="single" w:sz="12" w:space="1" w:color="auto"/>
        </w:pBdr>
        <w:spacing w:after="0" w:line="240" w:lineRule="auto"/>
        <w:rPr>
          <w:rFonts w:cs="Times New Roman"/>
          <w:szCs w:val="24"/>
        </w:rPr>
      </w:pPr>
    </w:p>
    <w:p w:rsidR="00FF2C9A" w:rsidRPr="002008A8" w:rsidP="00FF2C9A" w14:paraId="3D15E918" w14:textId="77777777">
      <w:pPr>
        <w:pStyle w:val="HTMLPreformatted"/>
        <w:rPr>
          <w:rFonts w:ascii="Times New Roman" w:hAnsi="Times New Roman" w:cs="Times New Roman"/>
          <w:b/>
          <w:bCs/>
          <w:i/>
          <w:sz w:val="24"/>
          <w:szCs w:val="24"/>
        </w:rPr>
      </w:pPr>
    </w:p>
    <w:p w:rsidR="00FF2C9A" w:rsidRPr="002008A8" w:rsidP="00FF2C9A" w14:paraId="0C9C135E" w14:textId="44FEA68E">
      <w:pPr>
        <w:pStyle w:val="HTMLPreformatted"/>
        <w:pBdr>
          <w:bottom w:val="single" w:sz="12" w:space="1" w:color="auto"/>
        </w:pBdr>
        <w:jc w:val="center"/>
        <w:rPr>
          <w:rFonts w:ascii="Times New Roman" w:hAnsi="Times New Roman" w:cs="Times New Roman"/>
          <w:b/>
          <w:bCs/>
          <w:sz w:val="24"/>
          <w:szCs w:val="24"/>
        </w:rPr>
      </w:pPr>
      <w:r w:rsidRPr="002008A8">
        <w:rPr>
          <w:rFonts w:ascii="Times New Roman" w:hAnsi="Times New Roman" w:cs="Times New Roman"/>
          <w:b/>
          <w:bCs/>
          <w:sz w:val="24"/>
          <w:szCs w:val="24"/>
        </w:rPr>
        <w:t>REPLY TO FIRSTENERGY</w:t>
      </w:r>
      <w:r w:rsidRPr="002008A8" w:rsidR="00D53BC5">
        <w:rPr>
          <w:rFonts w:ascii="Times New Roman" w:hAnsi="Times New Roman" w:cs="Times New Roman"/>
          <w:b/>
          <w:bCs/>
          <w:sz w:val="24"/>
          <w:szCs w:val="24"/>
        </w:rPr>
        <w:t xml:space="preserve"> UTILITIES’</w:t>
      </w:r>
      <w:r w:rsidRPr="002008A8">
        <w:rPr>
          <w:rFonts w:ascii="Times New Roman" w:hAnsi="Times New Roman" w:cs="Times New Roman"/>
          <w:b/>
          <w:bCs/>
          <w:sz w:val="24"/>
          <w:szCs w:val="24"/>
        </w:rPr>
        <w:t xml:space="preserve"> MEMORANDUM CONTRA </w:t>
      </w:r>
    </w:p>
    <w:p w:rsidR="00FF2C9A" w:rsidRPr="002008A8" w:rsidP="00FF2C9A" w14:paraId="5A9FA1DD" w14:textId="77777777">
      <w:pPr>
        <w:pStyle w:val="HTMLPreformatted"/>
        <w:pBdr>
          <w:bottom w:val="single" w:sz="12" w:space="1" w:color="auto"/>
        </w:pBdr>
        <w:jc w:val="center"/>
        <w:rPr>
          <w:rFonts w:ascii="Times New Roman" w:hAnsi="Times New Roman" w:cs="Times New Roman"/>
          <w:b/>
          <w:bCs/>
          <w:sz w:val="24"/>
          <w:szCs w:val="24"/>
        </w:rPr>
      </w:pPr>
      <w:r w:rsidRPr="002008A8">
        <w:rPr>
          <w:rFonts w:ascii="Times New Roman" w:hAnsi="Times New Roman" w:cs="Times New Roman"/>
          <w:b/>
          <w:bCs/>
          <w:sz w:val="24"/>
          <w:szCs w:val="24"/>
        </w:rPr>
        <w:t>MOTION TO COMPEL DISCOVERY</w:t>
      </w:r>
    </w:p>
    <w:p w:rsidR="00FF2C9A" w:rsidRPr="002008A8" w:rsidP="00FF2C9A" w14:paraId="39117546" w14:textId="77777777">
      <w:pPr>
        <w:pStyle w:val="HTMLPreformatted"/>
        <w:pBdr>
          <w:bottom w:val="single" w:sz="12" w:space="1" w:color="auto"/>
        </w:pBdr>
        <w:jc w:val="center"/>
        <w:rPr>
          <w:rFonts w:ascii="Times New Roman" w:hAnsi="Times New Roman" w:cs="Times New Roman"/>
          <w:b/>
          <w:bCs/>
          <w:sz w:val="24"/>
          <w:szCs w:val="24"/>
        </w:rPr>
      </w:pPr>
      <w:r w:rsidRPr="002008A8">
        <w:rPr>
          <w:rFonts w:ascii="Times New Roman" w:hAnsi="Times New Roman" w:cs="Times New Roman"/>
          <w:b/>
          <w:bCs/>
          <w:sz w:val="24"/>
          <w:szCs w:val="24"/>
        </w:rPr>
        <w:t>BY</w:t>
      </w:r>
    </w:p>
    <w:p w:rsidR="00FF2C9A" w:rsidRPr="002008A8" w:rsidP="00FF2C9A" w14:paraId="6DCCDE09" w14:textId="77777777">
      <w:pPr>
        <w:pStyle w:val="HTMLPreformatted"/>
        <w:pBdr>
          <w:bottom w:val="single" w:sz="12" w:space="1" w:color="auto"/>
        </w:pBdr>
        <w:jc w:val="center"/>
        <w:rPr>
          <w:rFonts w:ascii="Times New Roman" w:hAnsi="Times New Roman" w:cs="Times New Roman"/>
          <w:b/>
          <w:bCs/>
          <w:sz w:val="24"/>
          <w:szCs w:val="24"/>
        </w:rPr>
      </w:pPr>
      <w:r w:rsidRPr="002008A8">
        <w:rPr>
          <w:rFonts w:ascii="Times New Roman" w:hAnsi="Times New Roman" w:cs="Times New Roman"/>
          <w:b/>
          <w:bCs/>
          <w:sz w:val="24"/>
          <w:szCs w:val="24"/>
        </w:rPr>
        <w:t>OFFICE OF THE CONSUMERS' COUNSEL</w:t>
      </w:r>
    </w:p>
    <w:p w:rsidR="00FF2C9A" w:rsidRPr="002008A8" w:rsidP="00FF2C9A" w14:paraId="676EF6C7" w14:textId="77777777">
      <w:pPr>
        <w:pStyle w:val="HTMLPreformatted"/>
        <w:pBdr>
          <w:bottom w:val="single" w:sz="12" w:space="1" w:color="auto"/>
        </w:pBdr>
        <w:jc w:val="center"/>
        <w:rPr>
          <w:rFonts w:ascii="Times New Roman" w:hAnsi="Times New Roman" w:cs="Times New Roman"/>
          <w:b/>
          <w:bCs/>
          <w:sz w:val="24"/>
          <w:szCs w:val="24"/>
        </w:rPr>
      </w:pPr>
    </w:p>
    <w:p w:rsidR="00FF2C9A" w:rsidRPr="002008A8" w:rsidP="00FF2C9A" w14:paraId="26FE25B5" w14:textId="77777777">
      <w:pPr>
        <w:pStyle w:val="BodyTextIndent3"/>
        <w:widowControl w:val="0"/>
        <w:spacing w:after="0" w:line="240" w:lineRule="auto"/>
        <w:ind w:left="0"/>
        <w:rPr>
          <w:rFonts w:cs="Times New Roman"/>
          <w:sz w:val="24"/>
          <w:szCs w:val="24"/>
        </w:rPr>
      </w:pPr>
      <w:r w:rsidRPr="002008A8">
        <w:rPr>
          <w:rFonts w:cs="Times New Roman"/>
          <w:sz w:val="24"/>
          <w:szCs w:val="24"/>
        </w:rPr>
        <w:t xml:space="preserve"> </w:t>
      </w:r>
      <w:r w:rsidRPr="002008A8">
        <w:rPr>
          <w:rFonts w:cs="Times New Roman"/>
          <w:sz w:val="24"/>
          <w:szCs w:val="24"/>
        </w:rPr>
        <w:tab/>
      </w:r>
    </w:p>
    <w:p w:rsidR="00FF2C9A" w:rsidRPr="002008A8" w:rsidP="00AD047C" w14:paraId="3F5BD355" w14:textId="77777777">
      <w:pPr>
        <w:spacing w:after="0"/>
        <w:jc w:val="center"/>
        <w:rPr>
          <w:rFonts w:cs="Times New Roman"/>
          <w:b/>
          <w:szCs w:val="24"/>
        </w:rPr>
      </w:pPr>
    </w:p>
    <w:p w:rsidR="00FF2C9A" w:rsidRPr="002008A8" w:rsidP="00AD047C" w14:paraId="3846BA1E" w14:textId="77777777">
      <w:pPr>
        <w:spacing w:after="0"/>
        <w:jc w:val="center"/>
        <w:rPr>
          <w:rFonts w:cs="Times New Roman"/>
          <w:b/>
          <w:szCs w:val="24"/>
        </w:rPr>
      </w:pPr>
    </w:p>
    <w:p w:rsidR="00FF2C9A" w:rsidRPr="002008A8" w:rsidP="00FF2C9A" w14:paraId="68B0069E" w14:textId="77777777">
      <w:pPr>
        <w:pStyle w:val="Footer"/>
        <w:tabs>
          <w:tab w:val="left" w:pos="4320"/>
        </w:tabs>
        <w:ind w:left="4320"/>
        <w:rPr>
          <w:rFonts w:cs="Times New Roman"/>
          <w:szCs w:val="24"/>
        </w:rPr>
      </w:pPr>
    </w:p>
    <w:p w:rsidR="00FF2C9A" w:rsidRPr="002008A8" w:rsidP="00FF2C9A" w14:paraId="0801490E" w14:textId="77777777">
      <w:pPr>
        <w:pStyle w:val="Footer"/>
        <w:tabs>
          <w:tab w:val="left" w:pos="4320"/>
        </w:tabs>
        <w:ind w:left="4320"/>
        <w:rPr>
          <w:rFonts w:cs="Times New Roman"/>
          <w:szCs w:val="24"/>
        </w:rPr>
      </w:pPr>
    </w:p>
    <w:p w:rsidR="00FF2C9A" w:rsidRPr="002008A8" w:rsidP="00FF2C9A" w14:paraId="2D744C6D" w14:textId="43FACFC3">
      <w:pPr>
        <w:pStyle w:val="Footer"/>
        <w:tabs>
          <w:tab w:val="left" w:pos="4320"/>
        </w:tabs>
        <w:ind w:left="4320"/>
        <w:rPr>
          <w:rFonts w:cs="Times New Roman"/>
          <w:szCs w:val="24"/>
        </w:rPr>
      </w:pPr>
      <w:r w:rsidRPr="002008A8">
        <w:rPr>
          <w:rFonts w:cs="Times New Roman"/>
          <w:szCs w:val="24"/>
        </w:rPr>
        <w:t>Bruce Weston (0016973)</w:t>
      </w:r>
    </w:p>
    <w:p w:rsidR="00FF2C9A" w:rsidRPr="002008A8" w:rsidP="00FF2C9A" w14:paraId="61A4B974"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Ohio Consumers’ Counsel</w:t>
      </w:r>
    </w:p>
    <w:p w:rsidR="00FF2C9A" w:rsidRPr="002008A8" w:rsidP="00FF2C9A" w14:paraId="076B7867"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ab/>
      </w:r>
    </w:p>
    <w:p w:rsidR="00FF2C9A" w:rsidRPr="002008A8" w:rsidP="00FF2C9A" w14:paraId="5319841F"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Maureen R. Willis (0020847)</w:t>
      </w:r>
    </w:p>
    <w:p w:rsidR="00FF2C9A" w:rsidRPr="002008A8" w:rsidP="00FF2C9A" w14:paraId="14EE8C94"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Senior Counsel</w:t>
      </w:r>
    </w:p>
    <w:p w:rsidR="00FF2C9A" w:rsidRPr="002008A8" w:rsidP="00FF2C9A" w14:paraId="1E93D226"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Counsel of Record</w:t>
      </w:r>
    </w:p>
    <w:p w:rsidR="00FF2C9A" w:rsidRPr="002008A8" w:rsidP="00FF2C9A" w14:paraId="27F1C11D"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William Michael (0070921)</w:t>
      </w:r>
    </w:p>
    <w:p w:rsidR="00FF2C9A" w:rsidRPr="002008A8" w:rsidP="00FF2C9A" w14:paraId="008A500D"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John Finnigan (0018689)</w:t>
      </w:r>
      <w:r w:rsidRPr="002008A8">
        <w:rPr>
          <w:rFonts w:ascii="Times New Roman" w:hAnsi="Times New Roman" w:cs="Times New Roman"/>
          <w:sz w:val="24"/>
          <w:szCs w:val="24"/>
        </w:rPr>
        <w:br/>
        <w:t>Assistant Consumers’ Counsel</w:t>
      </w:r>
    </w:p>
    <w:p w:rsidR="00FF2C9A" w:rsidRPr="002008A8" w:rsidP="00FF2C9A" w14:paraId="552DC662" w14:textId="77777777">
      <w:pPr>
        <w:pStyle w:val="ListParagraph"/>
        <w:tabs>
          <w:tab w:val="left" w:pos="4320"/>
        </w:tabs>
        <w:spacing w:after="0" w:line="240" w:lineRule="auto"/>
        <w:ind w:left="4320"/>
        <w:rPr>
          <w:rFonts w:ascii="Times New Roman" w:hAnsi="Times New Roman" w:cs="Times New Roman"/>
          <w:sz w:val="24"/>
          <w:szCs w:val="24"/>
        </w:rPr>
      </w:pPr>
    </w:p>
    <w:p w:rsidR="00FF2C9A" w:rsidRPr="002008A8" w:rsidP="00FF2C9A" w14:paraId="58207844" w14:textId="77777777">
      <w:pPr>
        <w:pStyle w:val="ListParagraph"/>
        <w:tabs>
          <w:tab w:val="left" w:pos="4320"/>
        </w:tabs>
        <w:spacing w:after="0" w:line="240" w:lineRule="auto"/>
        <w:ind w:left="4320"/>
        <w:rPr>
          <w:rFonts w:ascii="Times New Roman" w:hAnsi="Times New Roman" w:cs="Times New Roman"/>
          <w:b/>
          <w:bCs/>
          <w:sz w:val="24"/>
          <w:szCs w:val="24"/>
        </w:rPr>
      </w:pPr>
      <w:r w:rsidRPr="002008A8">
        <w:rPr>
          <w:rFonts w:ascii="Times New Roman" w:hAnsi="Times New Roman" w:cs="Times New Roman"/>
          <w:b/>
          <w:sz w:val="24"/>
          <w:szCs w:val="24"/>
        </w:rPr>
        <w:t>Office of the Ohio Consumers’ Counsel</w:t>
      </w:r>
    </w:p>
    <w:p w:rsidR="00FF2C9A" w:rsidRPr="002008A8" w:rsidP="00FF2C9A" w14:paraId="70B2A5C3" w14:textId="77777777">
      <w:pPr>
        <w:spacing w:after="0" w:line="240" w:lineRule="auto"/>
        <w:ind w:left="4320"/>
        <w:rPr>
          <w:rFonts w:cs="Times New Roman"/>
          <w:szCs w:val="24"/>
        </w:rPr>
      </w:pPr>
      <w:r w:rsidRPr="002008A8">
        <w:rPr>
          <w:rFonts w:cs="Times New Roman"/>
          <w:szCs w:val="24"/>
        </w:rPr>
        <w:t>65 East State Street, 7th Floor</w:t>
      </w:r>
    </w:p>
    <w:p w:rsidR="00FF2C9A" w:rsidRPr="002008A8" w:rsidP="00FF2C9A" w14:paraId="108E1A9C" w14:textId="77777777">
      <w:pPr>
        <w:spacing w:after="0" w:line="240" w:lineRule="auto"/>
        <w:ind w:left="4320"/>
        <w:rPr>
          <w:rFonts w:cs="Times New Roman"/>
          <w:szCs w:val="24"/>
        </w:rPr>
      </w:pPr>
      <w:r w:rsidRPr="002008A8">
        <w:rPr>
          <w:rFonts w:cs="Times New Roman"/>
          <w:szCs w:val="24"/>
        </w:rPr>
        <w:t>Columbus, Ohio 43215</w:t>
      </w:r>
    </w:p>
    <w:p w:rsidR="00FF2C9A" w:rsidRPr="002008A8" w:rsidP="00FF2C9A" w14:paraId="369F9463" w14:textId="77777777">
      <w:pPr>
        <w:autoSpaceDE w:val="0"/>
        <w:autoSpaceDN w:val="0"/>
        <w:adjustRightInd w:val="0"/>
        <w:spacing w:after="0" w:line="240" w:lineRule="auto"/>
        <w:ind w:left="3600" w:firstLine="720"/>
        <w:rPr>
          <w:rFonts w:cs="Times New Roman"/>
          <w:szCs w:val="24"/>
        </w:rPr>
      </w:pPr>
      <w:r w:rsidRPr="002008A8">
        <w:rPr>
          <w:rFonts w:cs="Times New Roman"/>
          <w:szCs w:val="24"/>
        </w:rPr>
        <w:t>Telephone [Willis]: (614) 466-9567</w:t>
      </w:r>
    </w:p>
    <w:p w:rsidR="00FF2C9A" w:rsidRPr="002008A8" w:rsidP="00FF2C9A" w14:paraId="230C58E8" w14:textId="77777777">
      <w:pPr>
        <w:autoSpaceDE w:val="0"/>
        <w:autoSpaceDN w:val="0"/>
        <w:adjustRightInd w:val="0"/>
        <w:spacing w:after="0" w:line="240" w:lineRule="auto"/>
        <w:ind w:left="3600" w:firstLine="720"/>
        <w:rPr>
          <w:rFonts w:cs="Times New Roman"/>
          <w:szCs w:val="24"/>
        </w:rPr>
      </w:pPr>
      <w:r w:rsidRPr="002008A8">
        <w:rPr>
          <w:rFonts w:cs="Times New Roman"/>
          <w:szCs w:val="24"/>
        </w:rPr>
        <w:t>Telephone [Michael]: (614) 466-1291</w:t>
      </w:r>
    </w:p>
    <w:p w:rsidR="00FF2C9A" w:rsidRPr="002008A8" w:rsidP="00FF2C9A" w14:paraId="2BBB85F0" w14:textId="77777777">
      <w:pPr>
        <w:pStyle w:val="ListParagraph"/>
        <w:autoSpaceDE w:val="0"/>
        <w:autoSpaceDN w:val="0"/>
        <w:adjustRightInd w:val="0"/>
        <w:spacing w:after="0" w:line="240" w:lineRule="auto"/>
        <w:ind w:left="3600" w:firstLine="720"/>
        <w:rPr>
          <w:rFonts w:ascii="Times New Roman" w:hAnsi="Times New Roman" w:cs="Times New Roman"/>
          <w:sz w:val="24"/>
          <w:szCs w:val="24"/>
        </w:rPr>
      </w:pPr>
      <w:r w:rsidRPr="002008A8">
        <w:rPr>
          <w:rFonts w:ascii="Times New Roman" w:hAnsi="Times New Roman" w:cs="Times New Roman"/>
          <w:sz w:val="24"/>
          <w:szCs w:val="24"/>
        </w:rPr>
        <w:t>Telephone [Finnigan]: (614) 466-9585</w:t>
      </w:r>
    </w:p>
    <w:p w:rsidR="00C94F47" w:rsidRPr="002008A8" w:rsidP="00FF2C9A" w14:paraId="507083F8" w14:textId="0A2611AF">
      <w:pPr>
        <w:pStyle w:val="ListParagraph"/>
        <w:autoSpaceDE w:val="0"/>
        <w:autoSpaceDN w:val="0"/>
        <w:adjustRightInd w:val="0"/>
        <w:spacing w:after="0" w:line="240" w:lineRule="auto"/>
        <w:ind w:left="0"/>
        <w:rPr>
          <w:rFonts w:ascii="Times New Roman" w:hAnsi="Times New Roman" w:cs="Times New Roman"/>
          <w:sz w:val="24"/>
          <w:szCs w:val="24"/>
        </w:rPr>
      </w:pPr>
      <w:r w:rsidRPr="002008A8">
        <w:rPr>
          <w:rFonts w:ascii="Times New Roman" w:hAnsi="Times New Roman" w:cs="Times New Roman"/>
          <w:sz w:val="24"/>
          <w:szCs w:val="24"/>
        </w:rPr>
        <w:tab/>
      </w:r>
      <w:r w:rsidRPr="002008A8">
        <w:rPr>
          <w:rFonts w:ascii="Times New Roman" w:hAnsi="Times New Roman" w:cs="Times New Roman"/>
          <w:sz w:val="24"/>
          <w:szCs w:val="24"/>
        </w:rPr>
        <w:tab/>
      </w:r>
      <w:r w:rsidRPr="002008A8">
        <w:rPr>
          <w:rFonts w:ascii="Times New Roman" w:hAnsi="Times New Roman" w:cs="Times New Roman"/>
          <w:sz w:val="24"/>
          <w:szCs w:val="24"/>
        </w:rPr>
        <w:tab/>
      </w:r>
      <w:r w:rsidRPr="002008A8">
        <w:rPr>
          <w:rFonts w:ascii="Times New Roman" w:hAnsi="Times New Roman" w:cs="Times New Roman"/>
          <w:sz w:val="24"/>
          <w:szCs w:val="24"/>
        </w:rPr>
        <w:tab/>
      </w:r>
      <w:r w:rsidRPr="002008A8">
        <w:rPr>
          <w:rFonts w:ascii="Times New Roman" w:hAnsi="Times New Roman" w:cs="Times New Roman"/>
          <w:sz w:val="24"/>
          <w:szCs w:val="24"/>
        </w:rPr>
        <w:tab/>
      </w:r>
      <w:r w:rsidRPr="002008A8">
        <w:rPr>
          <w:rFonts w:ascii="Times New Roman" w:hAnsi="Times New Roman" w:cs="Times New Roman"/>
          <w:sz w:val="24"/>
          <w:szCs w:val="24"/>
        </w:rPr>
        <w:tab/>
      </w:r>
      <w:hyperlink r:id="rId6" w:history="1">
        <w:r w:rsidRPr="002008A8">
          <w:rPr>
            <w:rStyle w:val="Hyperlink"/>
            <w:rFonts w:ascii="Times New Roman" w:hAnsi="Times New Roman" w:cs="Times New Roman"/>
            <w:sz w:val="24"/>
            <w:szCs w:val="24"/>
          </w:rPr>
          <w:t>Maureen.willis@occ.ohio.gov</w:t>
        </w:r>
      </w:hyperlink>
    </w:p>
    <w:p w:rsidR="00FF2C9A" w:rsidRPr="002008A8" w:rsidP="00FF2C9A" w14:paraId="3AA9F5D5" w14:textId="77777777">
      <w:pPr>
        <w:pStyle w:val="ListParagraph"/>
        <w:autoSpaceDE w:val="0"/>
        <w:autoSpaceDN w:val="0"/>
        <w:adjustRightInd w:val="0"/>
        <w:spacing w:after="0" w:line="240" w:lineRule="auto"/>
        <w:ind w:left="3600" w:firstLine="720"/>
        <w:rPr>
          <w:rFonts w:ascii="Times New Roman" w:hAnsi="Times New Roman" w:cs="Times New Roman"/>
          <w:sz w:val="24"/>
          <w:szCs w:val="24"/>
        </w:rPr>
      </w:pPr>
      <w:hyperlink r:id="rId7" w:history="1">
        <w:r w:rsidRPr="002008A8" w:rsidR="00920D5D">
          <w:rPr>
            <w:rStyle w:val="Hyperlink"/>
            <w:rFonts w:ascii="Times New Roman" w:hAnsi="Times New Roman" w:cs="Times New Roman"/>
            <w:sz w:val="24"/>
            <w:szCs w:val="24"/>
          </w:rPr>
          <w:t>william.michael@occ.ohio.gov</w:t>
        </w:r>
      </w:hyperlink>
    </w:p>
    <w:p w:rsidR="00FF2C9A" w:rsidRPr="002008A8" w:rsidP="00FF2C9A" w14:paraId="2548B669" w14:textId="77777777">
      <w:pPr>
        <w:pStyle w:val="ListParagraph"/>
        <w:autoSpaceDE w:val="0"/>
        <w:autoSpaceDN w:val="0"/>
        <w:adjustRightInd w:val="0"/>
        <w:spacing w:after="0" w:line="240" w:lineRule="auto"/>
        <w:ind w:left="3600" w:firstLine="720"/>
        <w:rPr>
          <w:rStyle w:val="Hyperlink"/>
          <w:rFonts w:ascii="Times New Roman" w:hAnsi="Times New Roman" w:cs="Times New Roman"/>
          <w:sz w:val="24"/>
          <w:szCs w:val="24"/>
        </w:rPr>
      </w:pPr>
      <w:hyperlink r:id="rId8" w:history="1">
        <w:r w:rsidRPr="002008A8" w:rsidR="00920D5D">
          <w:rPr>
            <w:rStyle w:val="Hyperlink"/>
            <w:rFonts w:ascii="Times New Roman" w:hAnsi="Times New Roman" w:cs="Times New Roman"/>
            <w:sz w:val="24"/>
            <w:szCs w:val="24"/>
          </w:rPr>
          <w:t>john.finnigan@occ.ohio.gov</w:t>
        </w:r>
      </w:hyperlink>
    </w:p>
    <w:p w:rsidR="00FF2C9A" w:rsidRPr="002008A8" w:rsidP="00FF2C9A" w14:paraId="718A9F4D" w14:textId="4B33F6E4">
      <w:pPr>
        <w:autoSpaceDE w:val="0"/>
        <w:autoSpaceDN w:val="0"/>
        <w:adjustRightInd w:val="0"/>
        <w:spacing w:after="0" w:line="240" w:lineRule="auto"/>
        <w:rPr>
          <w:rStyle w:val="Hyperlink"/>
          <w:rFonts w:cs="Times New Roman"/>
          <w:color w:val="auto"/>
          <w:szCs w:val="24"/>
          <w:u w:val="none"/>
        </w:rPr>
      </w:pPr>
      <w:r w:rsidRPr="002008A8">
        <w:rPr>
          <w:rStyle w:val="Hyperlink"/>
          <w:rFonts w:cs="Times New Roman"/>
          <w:color w:val="auto"/>
          <w:szCs w:val="24"/>
          <w:u w:val="none"/>
        </w:rPr>
        <w:t>April 2, 2021</w:t>
      </w:r>
      <w:r w:rsidRPr="002008A8">
        <w:rPr>
          <w:rStyle w:val="Hyperlink"/>
          <w:rFonts w:cs="Times New Roman"/>
          <w:color w:val="auto"/>
          <w:szCs w:val="24"/>
          <w:u w:val="none"/>
        </w:rPr>
        <w:tab/>
      </w:r>
      <w:r w:rsidRPr="002008A8">
        <w:rPr>
          <w:rStyle w:val="Hyperlink"/>
          <w:rFonts w:cs="Times New Roman"/>
          <w:color w:val="auto"/>
          <w:szCs w:val="24"/>
          <w:u w:val="none"/>
        </w:rPr>
        <w:tab/>
      </w:r>
      <w:r w:rsidRPr="002008A8">
        <w:rPr>
          <w:rStyle w:val="Hyperlink"/>
          <w:rFonts w:cs="Times New Roman"/>
          <w:color w:val="auto"/>
          <w:szCs w:val="24"/>
          <w:u w:val="none"/>
        </w:rPr>
        <w:tab/>
      </w:r>
      <w:r w:rsidRPr="002008A8">
        <w:rPr>
          <w:rStyle w:val="Hyperlink"/>
          <w:rFonts w:cs="Times New Roman"/>
          <w:color w:val="auto"/>
          <w:szCs w:val="24"/>
          <w:u w:val="none"/>
        </w:rPr>
        <w:tab/>
      </w:r>
      <w:r w:rsidRPr="002008A8">
        <w:rPr>
          <w:rStyle w:val="Hyperlink"/>
          <w:rFonts w:cs="Times New Roman"/>
          <w:color w:val="auto"/>
          <w:szCs w:val="24"/>
          <w:u w:val="none"/>
        </w:rPr>
        <w:tab/>
        <w:t>(willing to accept service by e-mail)</w:t>
      </w:r>
    </w:p>
    <w:p w:rsidR="00FF2C9A" w:rsidRPr="002008A8" w:rsidP="00AD047C" w14:paraId="54785592" w14:textId="77777777">
      <w:pPr>
        <w:spacing w:after="0"/>
        <w:jc w:val="center"/>
        <w:rPr>
          <w:rFonts w:cs="Times New Roman"/>
          <w:b/>
          <w:szCs w:val="24"/>
        </w:rPr>
      </w:pPr>
    </w:p>
    <w:p w:rsidR="00FF2C9A" w:rsidRPr="002008A8" w:rsidP="00AD047C" w14:paraId="336D0F5C" w14:textId="77777777">
      <w:pPr>
        <w:spacing w:after="0"/>
        <w:jc w:val="center"/>
        <w:rPr>
          <w:rFonts w:cs="Times New Roman"/>
          <w:b/>
          <w:szCs w:val="24"/>
        </w:rPr>
      </w:pPr>
    </w:p>
    <w:p w:rsidR="00FF2C9A" w:rsidRPr="002008A8" w:rsidP="00AD047C" w14:paraId="1D7A8B93" w14:textId="77777777">
      <w:pPr>
        <w:spacing w:after="0"/>
        <w:jc w:val="center"/>
        <w:rPr>
          <w:rFonts w:cs="Times New Roman"/>
          <w:b/>
          <w:szCs w:val="24"/>
        </w:rPr>
        <w:sectPr w:rsidSect="00451714">
          <w:footerReference w:type="default" r:id="rId9"/>
          <w:pgSz w:w="12240" w:h="15840"/>
          <w:pgMar w:top="1440" w:right="1800" w:bottom="1440" w:left="1800" w:header="720" w:footer="720" w:gutter="0"/>
          <w:pgNumType w:fmt="lowerRoman" w:start="1"/>
          <w:cols w:space="720"/>
          <w:docGrid w:linePitch="360"/>
        </w:sectPr>
      </w:pPr>
    </w:p>
    <w:p w:rsidR="00FF2C9A" w:rsidRPr="002008A8" w:rsidP="00FF2C9A" w14:paraId="074F2980" w14:textId="77777777">
      <w:pPr>
        <w:spacing w:after="0"/>
        <w:jc w:val="center"/>
        <w:rPr>
          <w:rFonts w:cs="Times New Roman"/>
          <w:b/>
          <w:szCs w:val="24"/>
          <w:u w:val="single"/>
        </w:rPr>
      </w:pPr>
      <w:r w:rsidRPr="002008A8">
        <w:rPr>
          <w:rFonts w:cs="Times New Roman"/>
          <w:b/>
          <w:szCs w:val="24"/>
          <w:u w:val="single"/>
        </w:rPr>
        <w:t>TABLE OF CONTENTS</w:t>
      </w:r>
    </w:p>
    <w:p w:rsidR="00FF2C9A" w:rsidRPr="002008A8" w:rsidP="00FF2C9A" w14:paraId="7506C898" w14:textId="77777777">
      <w:pPr>
        <w:spacing w:after="0"/>
        <w:jc w:val="center"/>
        <w:rPr>
          <w:rFonts w:cs="Times New Roman"/>
          <w:b/>
          <w:szCs w:val="24"/>
          <w:u w:val="single"/>
        </w:rPr>
      </w:pPr>
    </w:p>
    <w:p w:rsidR="00FF2C9A" w:rsidRPr="002008A8" w:rsidP="00FF2C9A" w14:paraId="6311449A" w14:textId="77777777">
      <w:pPr>
        <w:spacing w:after="0"/>
        <w:jc w:val="center"/>
        <w:rPr>
          <w:rFonts w:cs="Times New Roman"/>
          <w:b/>
          <w:szCs w:val="24"/>
        </w:rPr>
      </w:pPr>
      <w:r w:rsidRPr="002008A8">
        <w:rPr>
          <w:rFonts w:cs="Times New Roman"/>
          <w:b/>
          <w:szCs w:val="24"/>
        </w:rPr>
        <w:tab/>
      </w:r>
      <w:r w:rsidRPr="002008A8">
        <w:rPr>
          <w:rFonts w:cs="Times New Roman"/>
          <w:b/>
          <w:szCs w:val="24"/>
        </w:rPr>
        <w:tab/>
      </w:r>
      <w:r w:rsidRPr="002008A8">
        <w:rPr>
          <w:rFonts w:cs="Times New Roman"/>
          <w:b/>
          <w:szCs w:val="24"/>
        </w:rPr>
        <w:tab/>
      </w:r>
      <w:r w:rsidRPr="002008A8">
        <w:rPr>
          <w:rFonts w:cs="Times New Roman"/>
          <w:b/>
          <w:szCs w:val="24"/>
        </w:rPr>
        <w:tab/>
      </w:r>
      <w:r w:rsidRPr="002008A8">
        <w:rPr>
          <w:rFonts w:cs="Times New Roman"/>
          <w:b/>
          <w:szCs w:val="24"/>
        </w:rPr>
        <w:tab/>
      </w:r>
      <w:r w:rsidRPr="002008A8">
        <w:rPr>
          <w:rFonts w:cs="Times New Roman"/>
          <w:b/>
          <w:szCs w:val="24"/>
        </w:rPr>
        <w:tab/>
      </w:r>
      <w:r w:rsidRPr="002008A8">
        <w:rPr>
          <w:rFonts w:cs="Times New Roman"/>
          <w:b/>
          <w:szCs w:val="24"/>
        </w:rPr>
        <w:tab/>
      </w:r>
      <w:r w:rsidRPr="002008A8">
        <w:rPr>
          <w:rFonts w:cs="Times New Roman"/>
          <w:b/>
          <w:szCs w:val="24"/>
        </w:rPr>
        <w:tab/>
      </w:r>
      <w:r w:rsidRPr="002008A8">
        <w:rPr>
          <w:rFonts w:cs="Times New Roman"/>
          <w:b/>
          <w:szCs w:val="24"/>
        </w:rPr>
        <w:tab/>
      </w:r>
      <w:r w:rsidRPr="002008A8">
        <w:rPr>
          <w:rFonts w:cs="Times New Roman"/>
          <w:b/>
          <w:szCs w:val="24"/>
        </w:rPr>
        <w:tab/>
      </w:r>
      <w:r w:rsidRPr="002008A8">
        <w:rPr>
          <w:rFonts w:cs="Times New Roman"/>
          <w:b/>
          <w:szCs w:val="24"/>
        </w:rPr>
        <w:tab/>
        <w:t>PAGE</w:t>
      </w:r>
    </w:p>
    <w:p w:rsidR="00FF2C9A" w:rsidRPr="002008A8" w:rsidP="00FF2C9A" w14:paraId="14475E3B" w14:textId="77777777">
      <w:pPr>
        <w:spacing w:after="0"/>
        <w:jc w:val="center"/>
        <w:rPr>
          <w:rFonts w:cs="Times New Roman"/>
          <w:b/>
          <w:szCs w:val="24"/>
        </w:rPr>
      </w:pPr>
    </w:p>
    <w:p w:rsidR="00FB2E01" w14:paraId="3F44A09D" w14:textId="063EA04D">
      <w:pPr>
        <w:pStyle w:val="TOC1"/>
        <w:rPr>
          <w:rFonts w:asciiTheme="minorHAnsi" w:eastAsiaTheme="minorEastAsia" w:hAnsiTheme="minorHAnsi"/>
          <w:caps w:val="0"/>
          <w:noProof/>
          <w:sz w:val="22"/>
        </w:rPr>
      </w:pPr>
      <w:r w:rsidRPr="002008A8">
        <w:rPr>
          <w:rFonts w:cs="Times New Roman"/>
          <w:b/>
          <w:szCs w:val="24"/>
        </w:rPr>
        <w:fldChar w:fldCharType="begin"/>
      </w:r>
      <w:r w:rsidRPr="002008A8">
        <w:rPr>
          <w:rFonts w:cs="Times New Roman"/>
          <w:b/>
          <w:szCs w:val="24"/>
        </w:rPr>
        <w:instrText xml:space="preserve"> TOC \o "1-2" \h \z \u </w:instrText>
      </w:r>
      <w:r w:rsidRPr="002008A8">
        <w:rPr>
          <w:rFonts w:cs="Times New Roman"/>
          <w:b/>
          <w:szCs w:val="24"/>
        </w:rPr>
        <w:fldChar w:fldCharType="separate"/>
      </w:r>
      <w:hyperlink w:anchor="_Toc68260592" w:history="1">
        <w:r w:rsidRPr="00C10D5D">
          <w:rPr>
            <w:rStyle w:val="Hyperlink"/>
            <w:rFonts w:cs="Times New Roman"/>
            <w:noProof/>
          </w:rPr>
          <w:t>I.</w:t>
        </w:r>
        <w:r>
          <w:rPr>
            <w:rFonts w:asciiTheme="minorHAnsi" w:eastAsiaTheme="minorEastAsia" w:hAnsiTheme="minorHAnsi"/>
            <w:caps w:val="0"/>
            <w:noProof/>
            <w:sz w:val="22"/>
          </w:rPr>
          <w:tab/>
        </w:r>
        <w:r w:rsidRPr="00C10D5D">
          <w:rPr>
            <w:rStyle w:val="Hyperlink"/>
            <w:rFonts w:cs="Times New Roman"/>
            <w:noProof/>
          </w:rPr>
          <w:t>INTRODUCTION</w:t>
        </w:r>
        <w:r>
          <w:rPr>
            <w:noProof/>
            <w:webHidden/>
          </w:rPr>
          <w:tab/>
        </w:r>
        <w:r>
          <w:rPr>
            <w:noProof/>
            <w:webHidden/>
          </w:rPr>
          <w:fldChar w:fldCharType="begin"/>
        </w:r>
        <w:r>
          <w:rPr>
            <w:noProof/>
            <w:webHidden/>
          </w:rPr>
          <w:instrText xml:space="preserve"> PAGEREF _Toc68260592 \h </w:instrText>
        </w:r>
        <w:r>
          <w:rPr>
            <w:noProof/>
            <w:webHidden/>
          </w:rPr>
          <w:fldChar w:fldCharType="separate"/>
        </w:r>
        <w:r>
          <w:rPr>
            <w:noProof/>
            <w:webHidden/>
          </w:rPr>
          <w:t>1</w:t>
        </w:r>
        <w:r>
          <w:rPr>
            <w:noProof/>
            <w:webHidden/>
          </w:rPr>
          <w:fldChar w:fldCharType="end"/>
        </w:r>
      </w:hyperlink>
    </w:p>
    <w:p w:rsidR="00FB2E01" w14:paraId="46D26D78" w14:textId="190F4899">
      <w:pPr>
        <w:pStyle w:val="TOC1"/>
        <w:rPr>
          <w:rFonts w:asciiTheme="minorHAnsi" w:eastAsiaTheme="minorEastAsia" w:hAnsiTheme="minorHAnsi"/>
          <w:caps w:val="0"/>
          <w:noProof/>
          <w:sz w:val="22"/>
        </w:rPr>
      </w:pPr>
      <w:hyperlink w:anchor="_Toc68260593" w:history="1">
        <w:r w:rsidRPr="00C10D5D">
          <w:rPr>
            <w:rStyle w:val="Hyperlink"/>
            <w:rFonts w:cs="Times New Roman"/>
            <w:noProof/>
          </w:rPr>
          <w:t>II.</w:t>
        </w:r>
        <w:r>
          <w:rPr>
            <w:rFonts w:asciiTheme="minorHAnsi" w:eastAsiaTheme="minorEastAsia" w:hAnsiTheme="minorHAnsi"/>
            <w:caps w:val="0"/>
            <w:noProof/>
            <w:sz w:val="22"/>
          </w:rPr>
          <w:tab/>
        </w:r>
        <w:r w:rsidRPr="00C10D5D">
          <w:rPr>
            <w:rStyle w:val="Hyperlink"/>
            <w:rFonts w:cs="Times New Roman"/>
            <w:noProof/>
          </w:rPr>
          <w:t>BACKGROUND</w:t>
        </w:r>
        <w:r>
          <w:rPr>
            <w:noProof/>
            <w:webHidden/>
          </w:rPr>
          <w:tab/>
        </w:r>
        <w:r>
          <w:rPr>
            <w:noProof/>
            <w:webHidden/>
          </w:rPr>
          <w:fldChar w:fldCharType="begin"/>
        </w:r>
        <w:r>
          <w:rPr>
            <w:noProof/>
            <w:webHidden/>
          </w:rPr>
          <w:instrText xml:space="preserve"> PAGEREF _Toc68260593 \h </w:instrText>
        </w:r>
        <w:r>
          <w:rPr>
            <w:noProof/>
            <w:webHidden/>
          </w:rPr>
          <w:fldChar w:fldCharType="separate"/>
        </w:r>
        <w:r>
          <w:rPr>
            <w:noProof/>
            <w:webHidden/>
          </w:rPr>
          <w:t>2</w:t>
        </w:r>
        <w:r>
          <w:rPr>
            <w:noProof/>
            <w:webHidden/>
          </w:rPr>
          <w:fldChar w:fldCharType="end"/>
        </w:r>
      </w:hyperlink>
    </w:p>
    <w:p w:rsidR="00FB2E01" w14:paraId="11BE648C" w14:textId="148E1934">
      <w:pPr>
        <w:pStyle w:val="TOC1"/>
        <w:rPr>
          <w:rFonts w:asciiTheme="minorHAnsi" w:eastAsiaTheme="minorEastAsia" w:hAnsiTheme="minorHAnsi"/>
          <w:caps w:val="0"/>
          <w:noProof/>
          <w:sz w:val="22"/>
        </w:rPr>
      </w:pPr>
      <w:hyperlink w:anchor="_Toc68260594" w:history="1">
        <w:r w:rsidRPr="00C10D5D">
          <w:rPr>
            <w:rStyle w:val="Hyperlink"/>
            <w:rFonts w:cs="Times New Roman"/>
            <w:noProof/>
          </w:rPr>
          <w:t>III.</w:t>
        </w:r>
        <w:r>
          <w:rPr>
            <w:rFonts w:asciiTheme="minorHAnsi" w:eastAsiaTheme="minorEastAsia" w:hAnsiTheme="minorHAnsi"/>
            <w:caps w:val="0"/>
            <w:noProof/>
            <w:sz w:val="22"/>
          </w:rPr>
          <w:tab/>
        </w:r>
        <w:r w:rsidRPr="00C10D5D">
          <w:rPr>
            <w:rStyle w:val="Hyperlink"/>
            <w:rFonts w:cs="Times New Roman"/>
            <w:noProof/>
          </w:rPr>
          <w:t>ARGUMENT</w:t>
        </w:r>
        <w:r>
          <w:rPr>
            <w:noProof/>
            <w:webHidden/>
          </w:rPr>
          <w:tab/>
        </w:r>
        <w:r>
          <w:rPr>
            <w:noProof/>
            <w:webHidden/>
          </w:rPr>
          <w:fldChar w:fldCharType="begin"/>
        </w:r>
        <w:r>
          <w:rPr>
            <w:noProof/>
            <w:webHidden/>
          </w:rPr>
          <w:instrText xml:space="preserve"> PAGEREF _Toc68260594 \h </w:instrText>
        </w:r>
        <w:r>
          <w:rPr>
            <w:noProof/>
            <w:webHidden/>
          </w:rPr>
          <w:fldChar w:fldCharType="separate"/>
        </w:r>
        <w:r>
          <w:rPr>
            <w:noProof/>
            <w:webHidden/>
          </w:rPr>
          <w:t>4</w:t>
        </w:r>
        <w:r>
          <w:rPr>
            <w:noProof/>
            <w:webHidden/>
          </w:rPr>
          <w:fldChar w:fldCharType="end"/>
        </w:r>
      </w:hyperlink>
    </w:p>
    <w:p w:rsidR="00FB2E01" w14:paraId="5023FB11" w14:textId="40A88E56">
      <w:pPr>
        <w:pStyle w:val="TOC2"/>
        <w:tabs>
          <w:tab w:val="left" w:pos="1440"/>
        </w:tabs>
        <w:rPr>
          <w:rFonts w:asciiTheme="minorHAnsi" w:eastAsiaTheme="minorEastAsia" w:hAnsiTheme="minorHAnsi"/>
          <w:noProof/>
          <w:sz w:val="22"/>
        </w:rPr>
      </w:pPr>
      <w:hyperlink w:anchor="_Toc68260595" w:history="1">
        <w:r w:rsidRPr="00C10D5D">
          <w:rPr>
            <w:rStyle w:val="Hyperlink"/>
            <w:bCs/>
            <w:noProof/>
          </w:rPr>
          <w:t>A.</w:t>
        </w:r>
        <w:r>
          <w:rPr>
            <w:rFonts w:asciiTheme="minorHAnsi" w:eastAsiaTheme="minorEastAsia" w:hAnsiTheme="minorHAnsi"/>
            <w:noProof/>
            <w:sz w:val="22"/>
          </w:rPr>
          <w:tab/>
        </w:r>
        <w:r w:rsidRPr="00C10D5D">
          <w:rPr>
            <w:rStyle w:val="Hyperlink"/>
            <w:noProof/>
          </w:rPr>
          <w:t>Intervening parties have a right to ample discovery under law and prompt and expeditious discovery under the Administrative Code, and those rights are not dependent on the stage of the proceeding.</w:t>
        </w:r>
        <w:r>
          <w:rPr>
            <w:noProof/>
            <w:webHidden/>
          </w:rPr>
          <w:tab/>
        </w:r>
        <w:r>
          <w:rPr>
            <w:noProof/>
            <w:webHidden/>
          </w:rPr>
          <w:fldChar w:fldCharType="begin"/>
        </w:r>
        <w:r>
          <w:rPr>
            <w:noProof/>
            <w:webHidden/>
          </w:rPr>
          <w:instrText xml:space="preserve"> PAGEREF _Toc68260595 \h </w:instrText>
        </w:r>
        <w:r>
          <w:rPr>
            <w:noProof/>
            <w:webHidden/>
          </w:rPr>
          <w:fldChar w:fldCharType="separate"/>
        </w:r>
        <w:r>
          <w:rPr>
            <w:noProof/>
            <w:webHidden/>
          </w:rPr>
          <w:t>4</w:t>
        </w:r>
        <w:r>
          <w:rPr>
            <w:noProof/>
            <w:webHidden/>
          </w:rPr>
          <w:fldChar w:fldCharType="end"/>
        </w:r>
      </w:hyperlink>
    </w:p>
    <w:p w:rsidR="00FB2E01" w14:paraId="0F639B76" w14:textId="54414DE5">
      <w:pPr>
        <w:pStyle w:val="TOC2"/>
        <w:tabs>
          <w:tab w:val="left" w:pos="1440"/>
        </w:tabs>
        <w:rPr>
          <w:rFonts w:asciiTheme="minorHAnsi" w:eastAsiaTheme="minorEastAsia" w:hAnsiTheme="minorHAnsi"/>
          <w:noProof/>
          <w:sz w:val="22"/>
        </w:rPr>
      </w:pPr>
      <w:hyperlink w:anchor="_Toc68260596" w:history="1">
        <w:r w:rsidRPr="00C10D5D">
          <w:rPr>
            <w:rStyle w:val="Hyperlink"/>
            <w:bCs/>
            <w:noProof/>
          </w:rPr>
          <w:t>B.</w:t>
        </w:r>
        <w:r>
          <w:rPr>
            <w:rFonts w:asciiTheme="minorHAnsi" w:eastAsiaTheme="minorEastAsia" w:hAnsiTheme="minorHAnsi"/>
            <w:noProof/>
            <w:sz w:val="22"/>
          </w:rPr>
          <w:tab/>
        </w:r>
        <w:r w:rsidRPr="00C10D5D">
          <w:rPr>
            <w:rStyle w:val="Hyperlink"/>
            <w:bCs/>
            <w:noProof/>
          </w:rPr>
          <w:t>Any balance between parties’ rights to discovery and an “orderly” audit process must be in favor of discovery.</w:t>
        </w:r>
        <w:r>
          <w:rPr>
            <w:noProof/>
            <w:webHidden/>
          </w:rPr>
          <w:tab/>
        </w:r>
        <w:r>
          <w:rPr>
            <w:noProof/>
            <w:webHidden/>
          </w:rPr>
          <w:fldChar w:fldCharType="begin"/>
        </w:r>
        <w:r>
          <w:rPr>
            <w:noProof/>
            <w:webHidden/>
          </w:rPr>
          <w:instrText xml:space="preserve"> PAGEREF _Toc68260596 \h </w:instrText>
        </w:r>
        <w:r>
          <w:rPr>
            <w:noProof/>
            <w:webHidden/>
          </w:rPr>
          <w:fldChar w:fldCharType="separate"/>
        </w:r>
        <w:r>
          <w:rPr>
            <w:noProof/>
            <w:webHidden/>
          </w:rPr>
          <w:t>8</w:t>
        </w:r>
        <w:r>
          <w:rPr>
            <w:noProof/>
            <w:webHidden/>
          </w:rPr>
          <w:fldChar w:fldCharType="end"/>
        </w:r>
      </w:hyperlink>
    </w:p>
    <w:p w:rsidR="00FB2E01" w14:paraId="7B4FC100" w14:textId="03242366">
      <w:pPr>
        <w:pStyle w:val="TOC2"/>
        <w:tabs>
          <w:tab w:val="left" w:pos="1440"/>
        </w:tabs>
        <w:rPr>
          <w:rFonts w:asciiTheme="minorHAnsi" w:eastAsiaTheme="minorEastAsia" w:hAnsiTheme="minorHAnsi"/>
          <w:noProof/>
          <w:sz w:val="22"/>
        </w:rPr>
      </w:pPr>
      <w:hyperlink w:anchor="_Toc68260597" w:history="1">
        <w:r w:rsidRPr="00C10D5D">
          <w:rPr>
            <w:rStyle w:val="Hyperlink"/>
            <w:bCs/>
            <w:noProof/>
          </w:rPr>
          <w:t>C.</w:t>
        </w:r>
        <w:r>
          <w:rPr>
            <w:rFonts w:asciiTheme="minorHAnsi" w:eastAsiaTheme="minorEastAsia" w:hAnsiTheme="minorHAnsi"/>
            <w:noProof/>
            <w:sz w:val="22"/>
          </w:rPr>
          <w:tab/>
        </w:r>
        <w:r w:rsidRPr="00C10D5D">
          <w:rPr>
            <w:rStyle w:val="Hyperlink"/>
            <w:bCs/>
            <w:noProof/>
          </w:rPr>
          <w:t>The FirstEnergy Utilities’ claim of “limiting principles” on discovery should</w:t>
        </w:r>
        <w:r w:rsidRPr="00C10D5D">
          <w:rPr>
            <w:rStyle w:val="Hyperlink"/>
            <w:noProof/>
          </w:rPr>
          <w:t xml:space="preserve"> be rejected.</w:t>
        </w:r>
        <w:r>
          <w:rPr>
            <w:noProof/>
            <w:webHidden/>
          </w:rPr>
          <w:tab/>
        </w:r>
        <w:r>
          <w:rPr>
            <w:noProof/>
            <w:webHidden/>
          </w:rPr>
          <w:fldChar w:fldCharType="begin"/>
        </w:r>
        <w:r>
          <w:rPr>
            <w:noProof/>
            <w:webHidden/>
          </w:rPr>
          <w:instrText xml:space="preserve"> PAGEREF _Toc68260597 \h </w:instrText>
        </w:r>
        <w:r>
          <w:rPr>
            <w:noProof/>
            <w:webHidden/>
          </w:rPr>
          <w:fldChar w:fldCharType="separate"/>
        </w:r>
        <w:r>
          <w:rPr>
            <w:noProof/>
            <w:webHidden/>
          </w:rPr>
          <w:t>9</w:t>
        </w:r>
        <w:r>
          <w:rPr>
            <w:noProof/>
            <w:webHidden/>
          </w:rPr>
          <w:fldChar w:fldCharType="end"/>
        </w:r>
      </w:hyperlink>
    </w:p>
    <w:p w:rsidR="00FB2E01" w14:paraId="3DAC139D" w14:textId="22D1B117">
      <w:pPr>
        <w:pStyle w:val="TOC2"/>
        <w:tabs>
          <w:tab w:val="left" w:pos="1440"/>
        </w:tabs>
        <w:rPr>
          <w:rFonts w:asciiTheme="minorHAnsi" w:eastAsiaTheme="minorEastAsia" w:hAnsiTheme="minorHAnsi"/>
          <w:noProof/>
          <w:sz w:val="22"/>
        </w:rPr>
      </w:pPr>
      <w:hyperlink w:anchor="_Toc68260598" w:history="1">
        <w:r w:rsidRPr="00C10D5D">
          <w:rPr>
            <w:rStyle w:val="Hyperlink"/>
            <w:bCs/>
            <w:noProof/>
          </w:rPr>
          <w:t>D.</w:t>
        </w:r>
        <w:r>
          <w:rPr>
            <w:rFonts w:asciiTheme="minorHAnsi" w:eastAsiaTheme="minorEastAsia" w:hAnsiTheme="minorHAnsi"/>
            <w:noProof/>
            <w:sz w:val="22"/>
          </w:rPr>
          <w:tab/>
        </w:r>
        <w:r w:rsidRPr="00C10D5D">
          <w:rPr>
            <w:rStyle w:val="Hyperlink"/>
            <w:bCs/>
            <w:noProof/>
          </w:rPr>
          <w:t>Discovery on the mid-term audit report is reasonably calculated to lead to the discovery of admissible evidence.</w:t>
        </w:r>
        <w:r>
          <w:rPr>
            <w:noProof/>
            <w:webHidden/>
          </w:rPr>
          <w:tab/>
        </w:r>
        <w:r>
          <w:rPr>
            <w:noProof/>
            <w:webHidden/>
          </w:rPr>
          <w:fldChar w:fldCharType="begin"/>
        </w:r>
        <w:r>
          <w:rPr>
            <w:noProof/>
            <w:webHidden/>
          </w:rPr>
          <w:instrText xml:space="preserve"> PAGEREF _Toc68260598 \h </w:instrText>
        </w:r>
        <w:r>
          <w:rPr>
            <w:noProof/>
            <w:webHidden/>
          </w:rPr>
          <w:fldChar w:fldCharType="separate"/>
        </w:r>
        <w:r>
          <w:rPr>
            <w:noProof/>
            <w:webHidden/>
          </w:rPr>
          <w:t>10</w:t>
        </w:r>
        <w:r>
          <w:rPr>
            <w:noProof/>
            <w:webHidden/>
          </w:rPr>
          <w:fldChar w:fldCharType="end"/>
        </w:r>
      </w:hyperlink>
    </w:p>
    <w:p w:rsidR="00FB2E01" w14:paraId="0D793632" w14:textId="5237E23F">
      <w:pPr>
        <w:pStyle w:val="TOC2"/>
        <w:tabs>
          <w:tab w:val="left" w:pos="1440"/>
        </w:tabs>
        <w:rPr>
          <w:rFonts w:asciiTheme="minorHAnsi" w:eastAsiaTheme="minorEastAsia" w:hAnsiTheme="minorHAnsi"/>
          <w:noProof/>
          <w:sz w:val="22"/>
        </w:rPr>
      </w:pPr>
      <w:hyperlink w:anchor="_Toc68260599" w:history="1">
        <w:r w:rsidRPr="00C10D5D">
          <w:rPr>
            <w:rStyle w:val="Hyperlink"/>
            <w:bCs/>
            <w:noProof/>
          </w:rPr>
          <w:t>E.</w:t>
        </w:r>
        <w:r>
          <w:rPr>
            <w:rFonts w:asciiTheme="minorHAnsi" w:eastAsiaTheme="minorEastAsia" w:hAnsiTheme="minorHAnsi"/>
            <w:noProof/>
            <w:sz w:val="22"/>
          </w:rPr>
          <w:tab/>
        </w:r>
        <w:r w:rsidRPr="00C10D5D">
          <w:rPr>
            <w:rStyle w:val="Hyperlink"/>
            <w:bCs/>
            <w:noProof/>
          </w:rPr>
          <w:t>The FirstEnergy Utilities have waived their right to object to OCC’s</w:t>
        </w:r>
        <w:r w:rsidRPr="00C10D5D">
          <w:rPr>
            <w:rStyle w:val="Hyperlink"/>
            <w:noProof/>
          </w:rPr>
          <w:t xml:space="preserve"> discovery on the basis of relevance or any other unnamed grounds.</w:t>
        </w:r>
        <w:r>
          <w:rPr>
            <w:noProof/>
            <w:webHidden/>
          </w:rPr>
          <w:tab/>
        </w:r>
        <w:r>
          <w:rPr>
            <w:noProof/>
            <w:webHidden/>
          </w:rPr>
          <w:fldChar w:fldCharType="begin"/>
        </w:r>
        <w:r>
          <w:rPr>
            <w:noProof/>
            <w:webHidden/>
          </w:rPr>
          <w:instrText xml:space="preserve"> PAGEREF _Toc68260599 \h </w:instrText>
        </w:r>
        <w:r>
          <w:rPr>
            <w:noProof/>
            <w:webHidden/>
          </w:rPr>
          <w:fldChar w:fldCharType="separate"/>
        </w:r>
        <w:r>
          <w:rPr>
            <w:noProof/>
            <w:webHidden/>
          </w:rPr>
          <w:t>13</w:t>
        </w:r>
        <w:r>
          <w:rPr>
            <w:noProof/>
            <w:webHidden/>
          </w:rPr>
          <w:fldChar w:fldCharType="end"/>
        </w:r>
      </w:hyperlink>
    </w:p>
    <w:p w:rsidR="00FB2E01" w14:paraId="7E20CC90" w14:textId="02276C46">
      <w:pPr>
        <w:pStyle w:val="TOC1"/>
        <w:rPr>
          <w:rFonts w:asciiTheme="minorHAnsi" w:eastAsiaTheme="minorEastAsia" w:hAnsiTheme="minorHAnsi"/>
          <w:caps w:val="0"/>
          <w:noProof/>
          <w:sz w:val="22"/>
        </w:rPr>
      </w:pPr>
      <w:hyperlink w:anchor="_Toc68260600" w:history="1">
        <w:r w:rsidRPr="00C10D5D">
          <w:rPr>
            <w:rStyle w:val="Hyperlink"/>
            <w:rFonts w:cs="Times New Roman"/>
            <w:noProof/>
          </w:rPr>
          <w:t>IV.</w:t>
        </w:r>
        <w:r>
          <w:rPr>
            <w:rFonts w:asciiTheme="minorHAnsi" w:eastAsiaTheme="minorEastAsia" w:hAnsiTheme="minorHAnsi"/>
            <w:caps w:val="0"/>
            <w:noProof/>
            <w:sz w:val="22"/>
          </w:rPr>
          <w:tab/>
        </w:r>
        <w:r w:rsidRPr="00C10D5D">
          <w:rPr>
            <w:rStyle w:val="Hyperlink"/>
            <w:rFonts w:cs="Times New Roman"/>
            <w:noProof/>
          </w:rPr>
          <w:t>CONCLUSION</w:t>
        </w:r>
        <w:r>
          <w:rPr>
            <w:noProof/>
            <w:webHidden/>
          </w:rPr>
          <w:tab/>
        </w:r>
        <w:r>
          <w:rPr>
            <w:noProof/>
            <w:webHidden/>
          </w:rPr>
          <w:fldChar w:fldCharType="begin"/>
        </w:r>
        <w:r>
          <w:rPr>
            <w:noProof/>
            <w:webHidden/>
          </w:rPr>
          <w:instrText xml:space="preserve"> PAGEREF _Toc68260600 \h </w:instrText>
        </w:r>
        <w:r>
          <w:rPr>
            <w:noProof/>
            <w:webHidden/>
          </w:rPr>
          <w:fldChar w:fldCharType="separate"/>
        </w:r>
        <w:r>
          <w:rPr>
            <w:noProof/>
            <w:webHidden/>
          </w:rPr>
          <w:t>15</w:t>
        </w:r>
        <w:r>
          <w:rPr>
            <w:noProof/>
            <w:webHidden/>
          </w:rPr>
          <w:fldChar w:fldCharType="end"/>
        </w:r>
      </w:hyperlink>
    </w:p>
    <w:p w:rsidR="00FF2C9A" w:rsidRPr="002008A8" w:rsidP="00FF2C9A" w14:paraId="188B3517" w14:textId="4B54BD8D">
      <w:pPr>
        <w:spacing w:after="0"/>
        <w:jc w:val="center"/>
        <w:rPr>
          <w:rFonts w:cs="Times New Roman"/>
          <w:b/>
          <w:szCs w:val="24"/>
        </w:rPr>
        <w:sectPr w:rsidSect="00451714">
          <w:headerReference w:type="default" r:id="rId10"/>
          <w:footerReference w:type="default" r:id="rId11"/>
          <w:pgSz w:w="12240" w:h="15840"/>
          <w:pgMar w:top="1440" w:right="1800" w:bottom="1440" w:left="1800" w:header="720" w:footer="720" w:gutter="0"/>
          <w:pgNumType w:fmt="lowerRoman" w:start="1"/>
          <w:cols w:space="720"/>
          <w:docGrid w:linePitch="360"/>
        </w:sectPr>
      </w:pPr>
      <w:r w:rsidRPr="002008A8">
        <w:rPr>
          <w:rFonts w:cs="Times New Roman"/>
          <w:b/>
          <w:szCs w:val="24"/>
        </w:rPr>
        <w:fldChar w:fldCharType="end"/>
      </w:r>
    </w:p>
    <w:p w:rsidR="00AD047C" w:rsidRPr="002008A8" w:rsidP="00AD047C" w14:paraId="111245C4" w14:textId="5D581E31">
      <w:pPr>
        <w:spacing w:after="0"/>
        <w:jc w:val="center"/>
        <w:rPr>
          <w:rFonts w:cs="Times New Roman"/>
          <w:b/>
          <w:bCs/>
          <w:szCs w:val="24"/>
        </w:rPr>
      </w:pPr>
      <w:r w:rsidRPr="002008A8">
        <w:rPr>
          <w:rFonts w:cs="Times New Roman"/>
          <w:b/>
          <w:szCs w:val="24"/>
        </w:rPr>
        <w:t>BEFORE</w:t>
      </w:r>
    </w:p>
    <w:p w:rsidR="00AD047C" w:rsidRPr="002008A8" w:rsidP="00AD047C" w14:paraId="050B29FB" w14:textId="568982D7">
      <w:pPr>
        <w:spacing w:after="0"/>
        <w:jc w:val="center"/>
        <w:rPr>
          <w:rFonts w:cs="Times New Roman"/>
          <w:b/>
          <w:szCs w:val="24"/>
        </w:rPr>
      </w:pPr>
      <w:r w:rsidRPr="002008A8">
        <w:rPr>
          <w:rFonts w:cs="Times New Roman"/>
          <w:b/>
          <w:szCs w:val="24"/>
        </w:rPr>
        <w:t>THE</w:t>
      </w:r>
      <w:r w:rsidRPr="002008A8">
        <w:rPr>
          <w:rFonts w:cs="Times New Roman"/>
          <w:b/>
          <w:spacing w:val="-10"/>
          <w:szCs w:val="24"/>
        </w:rPr>
        <w:t xml:space="preserve"> </w:t>
      </w:r>
      <w:r w:rsidRPr="002008A8">
        <w:rPr>
          <w:rFonts w:cs="Times New Roman"/>
          <w:b/>
          <w:spacing w:val="-1"/>
          <w:szCs w:val="24"/>
        </w:rPr>
        <w:t>PUBLIC</w:t>
      </w:r>
      <w:r w:rsidRPr="002008A8">
        <w:rPr>
          <w:rFonts w:cs="Times New Roman"/>
          <w:b/>
          <w:spacing w:val="-12"/>
          <w:szCs w:val="24"/>
        </w:rPr>
        <w:t xml:space="preserve"> </w:t>
      </w:r>
      <w:r w:rsidRPr="002008A8">
        <w:rPr>
          <w:rFonts w:cs="Times New Roman"/>
          <w:b/>
          <w:szCs w:val="24"/>
        </w:rPr>
        <w:t>UTILITIES</w:t>
      </w:r>
      <w:r w:rsidRPr="002008A8">
        <w:rPr>
          <w:rFonts w:cs="Times New Roman"/>
          <w:b/>
          <w:spacing w:val="-10"/>
          <w:szCs w:val="24"/>
        </w:rPr>
        <w:t xml:space="preserve"> </w:t>
      </w:r>
      <w:r w:rsidRPr="002008A8">
        <w:rPr>
          <w:rFonts w:cs="Times New Roman"/>
          <w:b/>
          <w:spacing w:val="-1"/>
          <w:szCs w:val="24"/>
        </w:rPr>
        <w:t>COMMISSION</w:t>
      </w:r>
      <w:r w:rsidRPr="002008A8">
        <w:rPr>
          <w:rFonts w:cs="Times New Roman"/>
          <w:b/>
          <w:spacing w:val="-11"/>
          <w:szCs w:val="24"/>
        </w:rPr>
        <w:t xml:space="preserve"> </w:t>
      </w:r>
      <w:r w:rsidRPr="002008A8">
        <w:rPr>
          <w:rFonts w:cs="Times New Roman"/>
          <w:b/>
          <w:spacing w:val="-1"/>
          <w:szCs w:val="24"/>
        </w:rPr>
        <w:t>OF</w:t>
      </w:r>
      <w:r w:rsidRPr="002008A8">
        <w:rPr>
          <w:rFonts w:cs="Times New Roman"/>
          <w:b/>
          <w:spacing w:val="-13"/>
          <w:szCs w:val="24"/>
        </w:rPr>
        <w:t xml:space="preserve"> O</w:t>
      </w:r>
      <w:r w:rsidRPr="002008A8">
        <w:rPr>
          <w:rFonts w:cs="Times New Roman"/>
          <w:b/>
          <w:szCs w:val="24"/>
        </w:rPr>
        <w:t>HIO</w:t>
      </w:r>
    </w:p>
    <w:p w:rsidR="00CD5990" w:rsidRPr="002008A8" w:rsidP="00CD5990" w14:paraId="22EFD318"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334EFEEA" w14:textId="77777777" w:rsidTr="00F3275F">
        <w:tblPrEx>
          <w:tblW w:w="9360" w:type="dxa"/>
          <w:tblLook w:val="01E0"/>
        </w:tblPrEx>
        <w:trPr>
          <w:trHeight w:val="807"/>
        </w:trPr>
        <w:tc>
          <w:tcPr>
            <w:tcW w:w="4590" w:type="dxa"/>
            <w:shd w:val="clear" w:color="auto" w:fill="auto"/>
          </w:tcPr>
          <w:p w:rsidR="00CD5990" w:rsidRPr="002008A8" w:rsidP="007A35EE" w14:paraId="715DFBBA" w14:textId="6226CB32">
            <w:pPr>
              <w:pStyle w:val="HTMLPreformatted"/>
              <w:rPr>
                <w:rFonts w:ascii="Times New Roman" w:hAnsi="Times New Roman" w:cs="Times New Roman"/>
                <w:sz w:val="24"/>
                <w:szCs w:val="24"/>
              </w:rPr>
            </w:pPr>
            <w:r w:rsidRPr="002008A8">
              <w:rPr>
                <w:rFonts w:ascii="Times New Roman" w:hAnsi="Times New Roman" w:cs="Times New Roman"/>
                <w:sz w:val="24"/>
                <w:szCs w:val="24"/>
              </w:rPr>
              <w:t xml:space="preserve">In the Matter of the Review of </w:t>
            </w:r>
            <w:r w:rsidRPr="002008A8" w:rsidR="00A87132">
              <w:rPr>
                <w:rFonts w:ascii="Times New Roman" w:hAnsi="Times New Roman" w:cs="Times New Roman"/>
                <w:sz w:val="24"/>
                <w:szCs w:val="24"/>
              </w:rPr>
              <w:t xml:space="preserve">the Distribution Modernization Rider of </w:t>
            </w:r>
            <w:r w:rsidRPr="002008A8" w:rsidR="007C486B">
              <w:rPr>
                <w:rFonts w:ascii="Times New Roman" w:hAnsi="Times New Roman" w:cs="Times New Roman"/>
                <w:sz w:val="24"/>
                <w:szCs w:val="24"/>
              </w:rPr>
              <w:t>Ohio Edison Company, The Cleveland Electric Illuminating Company, and The Toledo Edison Company</w:t>
            </w:r>
            <w:r w:rsidRPr="002008A8" w:rsidR="007A35EE">
              <w:rPr>
                <w:rFonts w:ascii="Times New Roman" w:hAnsi="Times New Roman" w:cs="Times New Roman"/>
                <w:sz w:val="24"/>
                <w:szCs w:val="24"/>
              </w:rPr>
              <w:t>.</w:t>
            </w:r>
          </w:p>
        </w:tc>
        <w:tc>
          <w:tcPr>
            <w:tcW w:w="360" w:type="dxa"/>
            <w:shd w:val="clear" w:color="auto" w:fill="auto"/>
          </w:tcPr>
          <w:p w:rsidR="00CD5990" w:rsidRPr="002008A8" w:rsidP="00F3275F" w14:paraId="3D8EFD04"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CD5990" w:rsidRPr="002008A8" w:rsidP="00F3275F" w14:paraId="318D5267"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CD5990" w:rsidRPr="002008A8" w:rsidP="00F3275F" w14:paraId="159F0BFE"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CD5990" w:rsidRPr="002008A8" w:rsidP="00F3275F" w14:paraId="119BC932" w14:textId="7FE5CB5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CD5990" w:rsidRPr="002008A8" w:rsidP="00F3275F" w14:paraId="2082464D" w14:textId="77777777">
            <w:pPr>
              <w:pStyle w:val="HTMLPreformatted"/>
              <w:rPr>
                <w:rFonts w:ascii="Times New Roman" w:hAnsi="Times New Roman" w:cs="Times New Roman"/>
                <w:sz w:val="24"/>
                <w:szCs w:val="24"/>
              </w:rPr>
            </w:pPr>
            <w:r w:rsidRPr="002008A8">
              <w:rPr>
                <w:rFonts w:ascii="Times New Roman" w:hAnsi="Times New Roman" w:cs="Times New Roman"/>
                <w:sz w:val="24"/>
                <w:szCs w:val="24"/>
              </w:rPr>
              <w:t>)</w:t>
            </w:r>
          </w:p>
          <w:p w:rsidR="00CD5990" w:rsidRPr="002008A8" w:rsidP="00F3275F" w14:paraId="7E40FAC9" w14:textId="2DB6B481">
            <w:pPr>
              <w:pStyle w:val="HTMLPreformatted"/>
              <w:rPr>
                <w:rFonts w:ascii="Times New Roman" w:hAnsi="Times New Roman" w:cs="Times New Roman"/>
                <w:sz w:val="24"/>
                <w:szCs w:val="24"/>
              </w:rPr>
            </w:pPr>
          </w:p>
        </w:tc>
        <w:tc>
          <w:tcPr>
            <w:tcW w:w="4410" w:type="dxa"/>
            <w:shd w:val="clear" w:color="auto" w:fill="auto"/>
          </w:tcPr>
          <w:p w:rsidR="00CD5990" w:rsidRPr="002008A8" w:rsidP="00F3275F" w14:paraId="1DE1E72F" w14:textId="77777777">
            <w:pPr>
              <w:pStyle w:val="HTMLPreformatted"/>
              <w:rPr>
                <w:rFonts w:ascii="Times New Roman" w:hAnsi="Times New Roman" w:cs="Times New Roman"/>
                <w:sz w:val="24"/>
                <w:szCs w:val="24"/>
              </w:rPr>
            </w:pPr>
          </w:p>
          <w:p w:rsidR="00CD5990" w:rsidRPr="002008A8" w:rsidP="00F3275F" w14:paraId="7E6EBAC8" w14:textId="5E1E23FB">
            <w:pPr>
              <w:pStyle w:val="HTMLPreformatted"/>
              <w:rPr>
                <w:rFonts w:ascii="Times New Roman" w:hAnsi="Times New Roman" w:cs="Times New Roman"/>
                <w:sz w:val="24"/>
                <w:szCs w:val="24"/>
              </w:rPr>
            </w:pPr>
            <w:r w:rsidRPr="002008A8">
              <w:rPr>
                <w:rFonts w:ascii="Times New Roman" w:hAnsi="Times New Roman" w:cs="Times New Roman"/>
                <w:sz w:val="24"/>
                <w:szCs w:val="24"/>
              </w:rPr>
              <w:t>Case No. 1</w:t>
            </w:r>
            <w:r w:rsidRPr="002008A8" w:rsidR="00251A7B">
              <w:rPr>
                <w:rFonts w:ascii="Times New Roman" w:hAnsi="Times New Roman" w:cs="Times New Roman"/>
                <w:sz w:val="24"/>
                <w:szCs w:val="24"/>
              </w:rPr>
              <w:t>7</w:t>
            </w:r>
            <w:r w:rsidRPr="002008A8">
              <w:rPr>
                <w:rFonts w:ascii="Times New Roman" w:hAnsi="Times New Roman" w:cs="Times New Roman"/>
                <w:sz w:val="24"/>
                <w:szCs w:val="24"/>
              </w:rPr>
              <w:t>-</w:t>
            </w:r>
            <w:r w:rsidRPr="002008A8" w:rsidR="00A87132">
              <w:rPr>
                <w:rFonts w:ascii="Times New Roman" w:hAnsi="Times New Roman" w:cs="Times New Roman"/>
                <w:sz w:val="24"/>
                <w:szCs w:val="24"/>
              </w:rPr>
              <w:t>24</w:t>
            </w:r>
            <w:r w:rsidRPr="002008A8" w:rsidR="00251A7B">
              <w:rPr>
                <w:rFonts w:ascii="Times New Roman" w:hAnsi="Times New Roman" w:cs="Times New Roman"/>
                <w:sz w:val="24"/>
                <w:szCs w:val="24"/>
              </w:rPr>
              <w:t>7</w:t>
            </w:r>
            <w:r w:rsidRPr="002008A8">
              <w:rPr>
                <w:rFonts w:ascii="Times New Roman" w:hAnsi="Times New Roman" w:cs="Times New Roman"/>
                <w:sz w:val="24"/>
                <w:szCs w:val="24"/>
              </w:rPr>
              <w:t>4</w:t>
            </w:r>
            <w:r w:rsidRPr="002008A8" w:rsidR="007C486B">
              <w:rPr>
                <w:rFonts w:ascii="Times New Roman" w:hAnsi="Times New Roman" w:cs="Times New Roman"/>
                <w:sz w:val="24"/>
                <w:szCs w:val="24"/>
              </w:rPr>
              <w:t>-EL-</w:t>
            </w:r>
            <w:r w:rsidRPr="002008A8" w:rsidR="00A87132">
              <w:rPr>
                <w:rFonts w:ascii="Times New Roman" w:hAnsi="Times New Roman" w:cs="Times New Roman"/>
                <w:sz w:val="24"/>
                <w:szCs w:val="24"/>
              </w:rPr>
              <w:t>RDR</w:t>
            </w:r>
          </w:p>
          <w:p w:rsidR="00CD5990" w:rsidRPr="002008A8" w:rsidP="00F3275F" w14:paraId="79007A25" w14:textId="77777777">
            <w:pPr>
              <w:pStyle w:val="HTMLPreformatted"/>
              <w:rPr>
                <w:rFonts w:ascii="Times New Roman" w:hAnsi="Times New Roman" w:cs="Times New Roman"/>
                <w:sz w:val="24"/>
                <w:szCs w:val="24"/>
              </w:rPr>
            </w:pPr>
          </w:p>
          <w:p w:rsidR="00CD5990" w:rsidRPr="002008A8" w:rsidP="00F3275F" w14:paraId="225AE86F" w14:textId="77777777">
            <w:pPr>
              <w:pStyle w:val="HTMLPreformatted"/>
              <w:rPr>
                <w:rFonts w:ascii="Times New Roman" w:hAnsi="Times New Roman" w:cs="Times New Roman"/>
                <w:sz w:val="24"/>
                <w:szCs w:val="24"/>
              </w:rPr>
            </w:pPr>
          </w:p>
          <w:p w:rsidR="00CD5990" w:rsidRPr="002008A8" w:rsidP="00F3275F" w14:paraId="0388D48E" w14:textId="33221E4D">
            <w:pPr>
              <w:pStyle w:val="HTMLPreformatted"/>
              <w:rPr>
                <w:rFonts w:ascii="Times New Roman" w:hAnsi="Times New Roman" w:cs="Times New Roman"/>
                <w:sz w:val="24"/>
                <w:szCs w:val="24"/>
              </w:rPr>
            </w:pPr>
          </w:p>
        </w:tc>
      </w:tr>
    </w:tbl>
    <w:p w:rsidR="00AD047C" w:rsidRPr="002008A8" w:rsidP="00AD047C" w14:paraId="21A30031" w14:textId="77777777">
      <w:pPr>
        <w:pBdr>
          <w:bottom w:val="single" w:sz="12" w:space="1" w:color="auto"/>
        </w:pBdr>
        <w:spacing w:after="0" w:line="240" w:lineRule="auto"/>
        <w:rPr>
          <w:rFonts w:cs="Times New Roman"/>
          <w:szCs w:val="24"/>
        </w:rPr>
      </w:pPr>
    </w:p>
    <w:p w:rsidR="00AD047C" w:rsidRPr="002008A8" w:rsidP="00AD047C" w14:paraId="054B10E6" w14:textId="77777777">
      <w:pPr>
        <w:pStyle w:val="HTMLPreformatted"/>
        <w:rPr>
          <w:rFonts w:ascii="Times New Roman" w:hAnsi="Times New Roman" w:cs="Times New Roman"/>
          <w:b/>
          <w:bCs/>
          <w:i/>
          <w:sz w:val="24"/>
          <w:szCs w:val="24"/>
        </w:rPr>
      </w:pPr>
    </w:p>
    <w:p w:rsidR="00844328" w:rsidRPr="002008A8" w:rsidP="00AD047C" w14:paraId="06B7F483" w14:textId="7B42DA55">
      <w:pPr>
        <w:pStyle w:val="HTMLPreformatted"/>
        <w:pBdr>
          <w:bottom w:val="single" w:sz="12" w:space="1" w:color="auto"/>
        </w:pBdr>
        <w:jc w:val="center"/>
        <w:rPr>
          <w:rFonts w:ascii="Times New Roman" w:hAnsi="Times New Roman" w:cs="Times New Roman"/>
          <w:b/>
          <w:bCs/>
          <w:sz w:val="24"/>
          <w:szCs w:val="24"/>
        </w:rPr>
      </w:pPr>
      <w:r w:rsidRPr="002008A8">
        <w:rPr>
          <w:rFonts w:ascii="Times New Roman" w:hAnsi="Times New Roman" w:cs="Times New Roman"/>
          <w:b/>
          <w:bCs/>
          <w:sz w:val="24"/>
          <w:szCs w:val="24"/>
        </w:rPr>
        <w:t xml:space="preserve">REPLY </w:t>
      </w:r>
      <w:r w:rsidRPr="002008A8" w:rsidR="001C6CC2">
        <w:rPr>
          <w:rFonts w:ascii="Times New Roman" w:hAnsi="Times New Roman" w:cs="Times New Roman"/>
          <w:b/>
          <w:bCs/>
          <w:sz w:val="24"/>
          <w:szCs w:val="24"/>
        </w:rPr>
        <w:t>TO FIRSTENERGY</w:t>
      </w:r>
      <w:r w:rsidRPr="002008A8" w:rsidR="00D53BC5">
        <w:rPr>
          <w:rFonts w:ascii="Times New Roman" w:hAnsi="Times New Roman" w:cs="Times New Roman"/>
          <w:b/>
          <w:bCs/>
          <w:sz w:val="24"/>
          <w:szCs w:val="24"/>
        </w:rPr>
        <w:t xml:space="preserve"> UTILITIES’ </w:t>
      </w:r>
      <w:r w:rsidRPr="002008A8" w:rsidR="001C6CC2">
        <w:rPr>
          <w:rFonts w:ascii="Times New Roman" w:hAnsi="Times New Roman" w:cs="Times New Roman"/>
          <w:b/>
          <w:bCs/>
          <w:sz w:val="24"/>
          <w:szCs w:val="24"/>
        </w:rPr>
        <w:t>MEMORANDUM CONTRA</w:t>
      </w:r>
      <w:r w:rsidRPr="002008A8">
        <w:rPr>
          <w:rFonts w:ascii="Times New Roman" w:hAnsi="Times New Roman" w:cs="Times New Roman"/>
          <w:b/>
          <w:bCs/>
          <w:sz w:val="24"/>
          <w:szCs w:val="24"/>
        </w:rPr>
        <w:t xml:space="preserve"> </w:t>
      </w:r>
    </w:p>
    <w:p w:rsidR="00AD047C" w:rsidRPr="002008A8" w:rsidP="00AD047C" w14:paraId="2BD40AC4" w14:textId="717CECFF">
      <w:pPr>
        <w:pStyle w:val="HTMLPreformatted"/>
        <w:pBdr>
          <w:bottom w:val="single" w:sz="12" w:space="1" w:color="auto"/>
        </w:pBdr>
        <w:jc w:val="center"/>
        <w:rPr>
          <w:rFonts w:ascii="Times New Roman" w:hAnsi="Times New Roman" w:cs="Times New Roman"/>
          <w:b/>
          <w:bCs/>
          <w:sz w:val="24"/>
          <w:szCs w:val="24"/>
        </w:rPr>
      </w:pPr>
      <w:r w:rsidRPr="002008A8">
        <w:rPr>
          <w:rFonts w:ascii="Times New Roman" w:hAnsi="Times New Roman" w:cs="Times New Roman"/>
          <w:b/>
          <w:bCs/>
          <w:sz w:val="24"/>
          <w:szCs w:val="24"/>
        </w:rPr>
        <w:t>MOTION TO COMPEL DISCOVERY</w:t>
      </w:r>
    </w:p>
    <w:p w:rsidR="007A35EE" w:rsidRPr="002008A8" w:rsidP="00AD047C" w14:paraId="609CE0B4" w14:textId="624D8A9E">
      <w:pPr>
        <w:pStyle w:val="HTMLPreformatted"/>
        <w:pBdr>
          <w:bottom w:val="single" w:sz="12" w:space="1" w:color="auto"/>
        </w:pBdr>
        <w:jc w:val="center"/>
        <w:rPr>
          <w:rFonts w:ascii="Times New Roman" w:hAnsi="Times New Roman" w:cs="Times New Roman"/>
          <w:b/>
          <w:bCs/>
          <w:sz w:val="24"/>
          <w:szCs w:val="24"/>
        </w:rPr>
      </w:pPr>
      <w:r w:rsidRPr="002008A8">
        <w:rPr>
          <w:rFonts w:ascii="Times New Roman" w:hAnsi="Times New Roman" w:cs="Times New Roman"/>
          <w:b/>
          <w:bCs/>
          <w:sz w:val="24"/>
          <w:szCs w:val="24"/>
        </w:rPr>
        <w:t>BY</w:t>
      </w:r>
    </w:p>
    <w:p w:rsidR="007A35EE" w:rsidRPr="002008A8" w:rsidP="007A35EE" w14:paraId="4C16420F" w14:textId="77777777">
      <w:pPr>
        <w:pStyle w:val="HTMLPreformatted"/>
        <w:pBdr>
          <w:bottom w:val="single" w:sz="12" w:space="1" w:color="auto"/>
        </w:pBdr>
        <w:jc w:val="center"/>
        <w:rPr>
          <w:rFonts w:ascii="Times New Roman" w:hAnsi="Times New Roman" w:cs="Times New Roman"/>
          <w:b/>
          <w:bCs/>
          <w:sz w:val="24"/>
          <w:szCs w:val="24"/>
        </w:rPr>
      </w:pPr>
      <w:r w:rsidRPr="002008A8">
        <w:rPr>
          <w:rFonts w:ascii="Times New Roman" w:hAnsi="Times New Roman" w:cs="Times New Roman"/>
          <w:b/>
          <w:bCs/>
          <w:sz w:val="24"/>
          <w:szCs w:val="24"/>
        </w:rPr>
        <w:t>OFFICE OF THE CONSUMERS' COUNSEL</w:t>
      </w:r>
    </w:p>
    <w:p w:rsidR="00AD047C" w:rsidRPr="002008A8" w:rsidP="00AD047C" w14:paraId="49A12D57" w14:textId="77777777">
      <w:pPr>
        <w:pStyle w:val="HTMLPreformatted"/>
        <w:pBdr>
          <w:bottom w:val="single" w:sz="12" w:space="1" w:color="auto"/>
        </w:pBdr>
        <w:jc w:val="center"/>
        <w:rPr>
          <w:rFonts w:ascii="Times New Roman" w:hAnsi="Times New Roman" w:cs="Times New Roman"/>
          <w:b/>
          <w:bCs/>
          <w:sz w:val="24"/>
          <w:szCs w:val="24"/>
        </w:rPr>
      </w:pPr>
    </w:p>
    <w:p w:rsidR="00AD047C" w:rsidRPr="002008A8" w:rsidP="00AD047C" w14:paraId="47552F38" w14:textId="77777777">
      <w:pPr>
        <w:pStyle w:val="BodyTextIndent3"/>
        <w:widowControl w:val="0"/>
        <w:spacing w:after="0" w:line="240" w:lineRule="auto"/>
        <w:ind w:left="0"/>
        <w:rPr>
          <w:rFonts w:cs="Times New Roman"/>
          <w:sz w:val="24"/>
          <w:szCs w:val="24"/>
        </w:rPr>
      </w:pPr>
      <w:r w:rsidRPr="002008A8">
        <w:rPr>
          <w:rFonts w:cs="Times New Roman"/>
          <w:sz w:val="24"/>
          <w:szCs w:val="24"/>
        </w:rPr>
        <w:t xml:space="preserve"> </w:t>
      </w:r>
      <w:r w:rsidRPr="002008A8">
        <w:rPr>
          <w:rFonts w:cs="Times New Roman"/>
          <w:sz w:val="24"/>
          <w:szCs w:val="24"/>
        </w:rPr>
        <w:tab/>
      </w:r>
    </w:p>
    <w:p w:rsidR="001C6CC2" w:rsidRPr="002008A8" w:rsidP="00FF2C9A" w14:paraId="791065B9" w14:textId="6AF8A815">
      <w:pPr>
        <w:pStyle w:val="Heading1"/>
        <w:numPr>
          <w:ilvl w:val="0"/>
          <w:numId w:val="0"/>
        </w:numPr>
        <w:ind w:left="720" w:hanging="720"/>
        <w:rPr>
          <w:rFonts w:ascii="Times New Roman" w:hAnsi="Times New Roman" w:cs="Times New Roman"/>
          <w:szCs w:val="24"/>
        </w:rPr>
      </w:pPr>
      <w:bookmarkStart w:id="0" w:name="_Toc68260592"/>
      <w:r w:rsidRPr="002008A8">
        <w:rPr>
          <w:rFonts w:ascii="Times New Roman" w:hAnsi="Times New Roman" w:cs="Times New Roman"/>
          <w:szCs w:val="24"/>
        </w:rPr>
        <w:t>I.</w:t>
      </w:r>
      <w:r w:rsidRPr="002008A8">
        <w:rPr>
          <w:rFonts w:ascii="Times New Roman" w:hAnsi="Times New Roman" w:cs="Times New Roman"/>
          <w:szCs w:val="24"/>
        </w:rPr>
        <w:tab/>
        <w:t>INTRODUCTION</w:t>
      </w:r>
      <w:bookmarkEnd w:id="0"/>
    </w:p>
    <w:p w:rsidR="00184F31" w:rsidRPr="002008A8" w:rsidP="00A977E0" w14:paraId="4D3A5BD9" w14:textId="03AE4F08">
      <w:pPr>
        <w:pStyle w:val="Footer"/>
        <w:tabs>
          <w:tab w:val="clear" w:pos="4680"/>
          <w:tab w:val="clear" w:pos="9360"/>
        </w:tabs>
        <w:spacing w:line="480" w:lineRule="auto"/>
        <w:ind w:firstLine="720"/>
        <w:rPr>
          <w:rFonts w:cs="Times New Roman"/>
          <w:szCs w:val="24"/>
        </w:rPr>
      </w:pPr>
      <w:r w:rsidRPr="002008A8">
        <w:rPr>
          <w:rFonts w:cs="Times New Roman"/>
          <w:szCs w:val="24"/>
        </w:rPr>
        <w:t>Instead of cooperating</w:t>
      </w:r>
      <w:r w:rsidRPr="002008A8" w:rsidR="00496CB5">
        <w:rPr>
          <w:rFonts w:cs="Times New Roman"/>
          <w:szCs w:val="24"/>
        </w:rPr>
        <w:t xml:space="preserve"> with</w:t>
      </w:r>
      <w:r w:rsidRPr="002008A8">
        <w:rPr>
          <w:rFonts w:cs="Times New Roman"/>
          <w:szCs w:val="24"/>
        </w:rPr>
        <w:t xml:space="preserve"> the state’s utility consumer advocate</w:t>
      </w:r>
      <w:r w:rsidRPr="002008A8" w:rsidR="00496CB5">
        <w:rPr>
          <w:rFonts w:cs="Times New Roman"/>
          <w:szCs w:val="24"/>
        </w:rPr>
        <w:t xml:space="preserve"> (and the state’s regulator)</w:t>
      </w:r>
      <w:r w:rsidRPr="002008A8">
        <w:rPr>
          <w:rFonts w:cs="Times New Roman"/>
          <w:szCs w:val="24"/>
        </w:rPr>
        <w:t xml:space="preserve">, </w:t>
      </w:r>
      <w:r w:rsidRPr="002008A8" w:rsidR="00D53BC5">
        <w:rPr>
          <w:rFonts w:cs="Times New Roman"/>
          <w:szCs w:val="24"/>
        </w:rPr>
        <w:t xml:space="preserve">the </w:t>
      </w:r>
      <w:r w:rsidRPr="002008A8">
        <w:rPr>
          <w:rFonts w:cs="Times New Roman"/>
          <w:szCs w:val="24"/>
        </w:rPr>
        <w:t xml:space="preserve">FirstEnergy </w:t>
      </w:r>
      <w:r w:rsidRPr="002008A8" w:rsidR="00D53BC5">
        <w:rPr>
          <w:rFonts w:cs="Times New Roman"/>
          <w:szCs w:val="24"/>
        </w:rPr>
        <w:t xml:space="preserve">Utilities </w:t>
      </w:r>
      <w:r w:rsidRPr="002008A8" w:rsidR="00496CB5">
        <w:rPr>
          <w:rFonts w:cs="Times New Roman"/>
          <w:szCs w:val="24"/>
        </w:rPr>
        <w:t>continue</w:t>
      </w:r>
      <w:r w:rsidRPr="002008A8" w:rsidR="00D53BC5">
        <w:rPr>
          <w:rFonts w:cs="Times New Roman"/>
          <w:szCs w:val="24"/>
        </w:rPr>
        <w:t xml:space="preserve"> their </w:t>
      </w:r>
      <w:r w:rsidRPr="002008A8" w:rsidR="00496CB5">
        <w:rPr>
          <w:rFonts w:cs="Times New Roman"/>
          <w:szCs w:val="24"/>
        </w:rPr>
        <w:t xml:space="preserve">pushback with delays and distractions against ordinary discovery that is contemplated under law and rule. Under PUCO rules, this process is supposed to occur without PUCO involvement.  </w:t>
      </w:r>
      <w:r w:rsidRPr="002008A8" w:rsidR="00207D02">
        <w:rPr>
          <w:rFonts w:cs="Times New Roman"/>
          <w:szCs w:val="24"/>
        </w:rPr>
        <w:t xml:space="preserve">But serving discovery on </w:t>
      </w:r>
      <w:r w:rsidRPr="002008A8" w:rsidR="00D53BC5">
        <w:rPr>
          <w:rFonts w:cs="Times New Roman"/>
          <w:szCs w:val="24"/>
        </w:rPr>
        <w:t xml:space="preserve">the </w:t>
      </w:r>
      <w:r w:rsidRPr="002008A8" w:rsidR="00207D02">
        <w:rPr>
          <w:rFonts w:cs="Times New Roman"/>
          <w:szCs w:val="24"/>
        </w:rPr>
        <w:t xml:space="preserve">FirstEnergy </w:t>
      </w:r>
      <w:r w:rsidRPr="002008A8" w:rsidR="00D53BC5">
        <w:rPr>
          <w:rFonts w:cs="Times New Roman"/>
          <w:szCs w:val="24"/>
        </w:rPr>
        <w:t xml:space="preserve">Utilities </w:t>
      </w:r>
      <w:r w:rsidRPr="002008A8" w:rsidR="00207D02">
        <w:rPr>
          <w:rFonts w:cs="Times New Roman"/>
          <w:szCs w:val="24"/>
        </w:rPr>
        <w:t xml:space="preserve">has become merely an intermediate step in the discovery’s ultimate destination to the PUCO’s legal department for resolution of </w:t>
      </w:r>
      <w:r w:rsidRPr="002008A8" w:rsidR="00D53BC5">
        <w:rPr>
          <w:rFonts w:cs="Times New Roman"/>
          <w:szCs w:val="24"/>
        </w:rPr>
        <w:t xml:space="preserve">the </w:t>
      </w:r>
      <w:r w:rsidRPr="002008A8" w:rsidR="00207D02">
        <w:rPr>
          <w:rFonts w:cs="Times New Roman"/>
          <w:szCs w:val="24"/>
        </w:rPr>
        <w:t>FirstEnergy</w:t>
      </w:r>
      <w:r w:rsidRPr="002008A8" w:rsidR="00D53BC5">
        <w:rPr>
          <w:rFonts w:cs="Times New Roman"/>
          <w:szCs w:val="24"/>
        </w:rPr>
        <w:t xml:space="preserve"> Utilities’ </w:t>
      </w:r>
      <w:r w:rsidRPr="002008A8" w:rsidR="00207D02">
        <w:rPr>
          <w:rFonts w:cs="Times New Roman"/>
          <w:szCs w:val="24"/>
        </w:rPr>
        <w:t>dispute.</w:t>
      </w:r>
    </w:p>
    <w:p w:rsidR="00496CB5" w:rsidRPr="002008A8" w:rsidP="00A977E0" w14:paraId="0599B551" w14:textId="5D8BDF88">
      <w:pPr>
        <w:pStyle w:val="Footer"/>
        <w:tabs>
          <w:tab w:val="clear" w:pos="4680"/>
          <w:tab w:val="clear" w:pos="9360"/>
        </w:tabs>
        <w:spacing w:line="480" w:lineRule="auto"/>
        <w:ind w:firstLine="720"/>
        <w:rPr>
          <w:rFonts w:cs="Times New Roman"/>
          <w:szCs w:val="24"/>
        </w:rPr>
      </w:pPr>
      <w:r w:rsidRPr="002008A8">
        <w:rPr>
          <w:rFonts w:cs="Times New Roman"/>
          <w:szCs w:val="24"/>
        </w:rPr>
        <w:t>As just one example, the Oxford Auditor found it relevant to note its</w:t>
      </w:r>
      <w:r w:rsidRPr="002008A8" w:rsidR="002C5821">
        <w:rPr>
          <w:rFonts w:cs="Times New Roman"/>
          <w:szCs w:val="24"/>
        </w:rPr>
        <w:t xml:space="preserve"> significant</w:t>
      </w:r>
      <w:r w:rsidRPr="002008A8">
        <w:rPr>
          <w:rFonts w:cs="Times New Roman"/>
          <w:szCs w:val="24"/>
        </w:rPr>
        <w:t xml:space="preserve"> finding that </w:t>
      </w:r>
      <w:r w:rsidRPr="002008A8" w:rsidR="00B5654F">
        <w:rPr>
          <w:rFonts w:cs="Times New Roman"/>
          <w:szCs w:val="24"/>
        </w:rPr>
        <w:t xml:space="preserve">the </w:t>
      </w:r>
      <w:r w:rsidRPr="002008A8">
        <w:rPr>
          <w:rFonts w:cs="Times New Roman"/>
          <w:szCs w:val="24"/>
        </w:rPr>
        <w:t xml:space="preserve">FirstEnergy </w:t>
      </w:r>
      <w:r w:rsidRPr="002008A8" w:rsidR="00B5654F">
        <w:rPr>
          <w:rFonts w:cs="Times New Roman"/>
          <w:szCs w:val="24"/>
        </w:rPr>
        <w:t xml:space="preserve">Utilities </w:t>
      </w:r>
      <w:r w:rsidRPr="002008A8">
        <w:rPr>
          <w:rFonts w:cs="Times New Roman"/>
          <w:szCs w:val="24"/>
        </w:rPr>
        <w:t>had</w:t>
      </w:r>
      <w:r w:rsidRPr="002008A8">
        <w:rPr>
          <w:rFonts w:cs="Times New Roman"/>
          <w:color w:val="000000"/>
          <w:szCs w:val="24"/>
        </w:rPr>
        <w:t xml:space="preserve"> placed the distribution modernization funds collected from consumers in a</w:t>
      </w:r>
      <w:r w:rsidRPr="002008A8">
        <w:rPr>
          <w:rFonts w:cs="Times New Roman"/>
          <w:i/>
          <w:iCs/>
          <w:color w:val="000000"/>
          <w:szCs w:val="24"/>
        </w:rPr>
        <w:t xml:space="preserve"> “Regulated Utility Money Pool” where other non-Ohio regulated companies had borrowing access to the money pool. </w:t>
      </w:r>
      <w:r w:rsidRPr="002008A8">
        <w:rPr>
          <w:rFonts w:cs="Times New Roman"/>
          <w:color w:val="000000"/>
          <w:szCs w:val="24"/>
        </w:rPr>
        <w:t xml:space="preserve">But </w:t>
      </w:r>
      <w:r w:rsidRPr="002008A8" w:rsidR="00B5654F">
        <w:rPr>
          <w:rFonts w:cs="Times New Roman"/>
          <w:color w:val="000000"/>
          <w:szCs w:val="24"/>
        </w:rPr>
        <w:t xml:space="preserve">the Utilities </w:t>
      </w:r>
      <w:r w:rsidRPr="002008A8">
        <w:rPr>
          <w:rFonts w:cs="Times New Roman"/>
          <w:color w:val="000000"/>
          <w:szCs w:val="24"/>
        </w:rPr>
        <w:t>wan</w:t>
      </w:r>
      <w:r w:rsidRPr="002008A8" w:rsidR="00197820">
        <w:rPr>
          <w:rFonts w:cs="Times New Roman"/>
          <w:color w:val="000000"/>
          <w:szCs w:val="24"/>
        </w:rPr>
        <w:t>t</w:t>
      </w:r>
      <w:r w:rsidRPr="002008A8">
        <w:rPr>
          <w:rFonts w:cs="Times New Roman"/>
          <w:color w:val="000000"/>
          <w:szCs w:val="24"/>
        </w:rPr>
        <w:t xml:space="preserve"> the PUCO to believe that </w:t>
      </w:r>
      <w:r w:rsidRPr="002008A8" w:rsidR="002C5821">
        <w:rPr>
          <w:rFonts w:cs="Times New Roman"/>
          <w:color w:val="000000"/>
          <w:szCs w:val="24"/>
        </w:rPr>
        <w:t xml:space="preserve">this </w:t>
      </w:r>
      <w:r w:rsidRPr="002008A8">
        <w:rPr>
          <w:rFonts w:cs="Times New Roman"/>
          <w:color w:val="000000"/>
          <w:szCs w:val="24"/>
        </w:rPr>
        <w:t>Auditor finding should be off limits for discovery. It’s as if there is an inverse relationship between FirstEnergy</w:t>
      </w:r>
      <w:r w:rsidRPr="002008A8" w:rsidR="00B5654F">
        <w:rPr>
          <w:rFonts w:cs="Times New Roman"/>
          <w:color w:val="000000"/>
          <w:szCs w:val="24"/>
        </w:rPr>
        <w:t xml:space="preserve"> Utilities’ </w:t>
      </w:r>
      <w:r w:rsidRPr="002008A8">
        <w:rPr>
          <w:rFonts w:cs="Times New Roman"/>
          <w:color w:val="000000"/>
          <w:szCs w:val="24"/>
        </w:rPr>
        <w:t>arguments and the discoverability of information, where</w:t>
      </w:r>
      <w:r w:rsidRPr="002008A8" w:rsidR="00B5654F">
        <w:rPr>
          <w:rFonts w:cs="Times New Roman"/>
          <w:color w:val="000000"/>
          <w:szCs w:val="24"/>
        </w:rPr>
        <w:t xml:space="preserve"> the Utilities’</w:t>
      </w:r>
      <w:r w:rsidRPr="002008A8" w:rsidR="007A68E4">
        <w:rPr>
          <w:rFonts w:cs="Times New Roman"/>
          <w:color w:val="000000"/>
          <w:szCs w:val="24"/>
        </w:rPr>
        <w:t xml:space="preserve"> </w:t>
      </w:r>
      <w:r w:rsidRPr="002008A8">
        <w:rPr>
          <w:rFonts w:cs="Times New Roman"/>
          <w:color w:val="000000"/>
          <w:szCs w:val="24"/>
        </w:rPr>
        <w:t xml:space="preserve">objections signal </w:t>
      </w:r>
      <w:r w:rsidRPr="002008A8" w:rsidR="002C5821">
        <w:rPr>
          <w:rFonts w:cs="Times New Roman"/>
          <w:color w:val="000000"/>
          <w:szCs w:val="24"/>
        </w:rPr>
        <w:t xml:space="preserve">where discovery is </w:t>
      </w:r>
      <w:r w:rsidRPr="002008A8" w:rsidR="002C5821">
        <w:rPr>
          <w:rFonts w:cs="Times New Roman"/>
          <w:color w:val="000000"/>
          <w:szCs w:val="24"/>
        </w:rPr>
        <w:t>especially warranted.</w:t>
      </w:r>
      <w:r w:rsidRPr="002008A8" w:rsidR="00E32CFB">
        <w:rPr>
          <w:rFonts w:cs="Times New Roman"/>
          <w:color w:val="000000"/>
          <w:szCs w:val="24"/>
        </w:rPr>
        <w:t xml:space="preserve"> (It remains inexplicable to us that the PUCO closed the case after such an Auditor finding.)</w:t>
      </w:r>
      <w:r w:rsidRPr="002008A8">
        <w:rPr>
          <w:rFonts w:cs="Times New Roman"/>
          <w:color w:val="000000"/>
          <w:szCs w:val="24"/>
        </w:rPr>
        <w:t xml:space="preserve"> </w:t>
      </w:r>
      <w:r w:rsidRPr="002008A8">
        <w:rPr>
          <w:rFonts w:cs="Times New Roman"/>
          <w:szCs w:val="24"/>
        </w:rPr>
        <w:t xml:space="preserve"> </w:t>
      </w:r>
      <w:r w:rsidRPr="002008A8" w:rsidR="00207D02">
        <w:rPr>
          <w:rFonts w:cs="Times New Roman"/>
          <w:szCs w:val="24"/>
        </w:rPr>
        <w:t xml:space="preserve"> </w:t>
      </w:r>
    </w:p>
    <w:p w:rsidR="00E80A7B" w:rsidRPr="002008A8" w:rsidP="00A977E0" w14:paraId="6CE560DC" w14:textId="02860601">
      <w:pPr>
        <w:pStyle w:val="Footer"/>
        <w:tabs>
          <w:tab w:val="clear" w:pos="4680"/>
          <w:tab w:val="clear" w:pos="9360"/>
        </w:tabs>
        <w:spacing w:line="480" w:lineRule="auto"/>
        <w:ind w:firstLine="720"/>
        <w:rPr>
          <w:rFonts w:cs="Times New Roman"/>
          <w:szCs w:val="24"/>
        </w:rPr>
      </w:pPr>
      <w:r w:rsidRPr="002008A8">
        <w:rPr>
          <w:rFonts w:cs="Times New Roman"/>
          <w:szCs w:val="24"/>
        </w:rPr>
        <w:t>The Public Utilities Comm</w:t>
      </w:r>
      <w:r w:rsidRPr="002008A8" w:rsidR="00055A2D">
        <w:rPr>
          <w:rFonts w:cs="Times New Roman"/>
          <w:szCs w:val="24"/>
        </w:rPr>
        <w:t>i</w:t>
      </w:r>
      <w:r w:rsidRPr="002008A8">
        <w:rPr>
          <w:rFonts w:cs="Times New Roman"/>
          <w:szCs w:val="24"/>
        </w:rPr>
        <w:t>s</w:t>
      </w:r>
      <w:r w:rsidRPr="002008A8" w:rsidR="00A977E0">
        <w:rPr>
          <w:rFonts w:cs="Times New Roman"/>
          <w:szCs w:val="24"/>
        </w:rPr>
        <w:t>s</w:t>
      </w:r>
      <w:r w:rsidRPr="002008A8">
        <w:rPr>
          <w:rFonts w:cs="Times New Roman"/>
          <w:szCs w:val="24"/>
        </w:rPr>
        <w:t>ion of Ohio (“PUCO”) responded</w:t>
      </w:r>
      <w:r w:rsidRPr="002008A8" w:rsidR="0012723D">
        <w:rPr>
          <w:rFonts w:cs="Times New Roman"/>
          <w:szCs w:val="24"/>
        </w:rPr>
        <w:t xml:space="preserve"> (in part) to OCC’s Sept</w:t>
      </w:r>
      <w:r w:rsidRPr="002008A8" w:rsidR="00184F31">
        <w:rPr>
          <w:rFonts w:cs="Times New Roman"/>
          <w:szCs w:val="24"/>
        </w:rPr>
        <w:t>ember</w:t>
      </w:r>
      <w:r w:rsidRPr="002008A8" w:rsidR="0012723D">
        <w:rPr>
          <w:rFonts w:cs="Times New Roman"/>
          <w:szCs w:val="24"/>
        </w:rPr>
        <w:t xml:space="preserve"> 8 investigatory motions </w:t>
      </w:r>
      <w:r w:rsidRPr="002008A8">
        <w:rPr>
          <w:rFonts w:cs="Times New Roman"/>
          <w:szCs w:val="24"/>
        </w:rPr>
        <w:t xml:space="preserve">by opening three investigations into </w:t>
      </w:r>
      <w:r w:rsidRPr="002008A8" w:rsidR="004D534D">
        <w:rPr>
          <w:rFonts w:cs="Times New Roman"/>
          <w:szCs w:val="24"/>
        </w:rPr>
        <w:t xml:space="preserve">the </w:t>
      </w:r>
      <w:r w:rsidRPr="002008A8">
        <w:rPr>
          <w:rFonts w:cs="Times New Roman"/>
          <w:szCs w:val="24"/>
        </w:rPr>
        <w:t>FirstEnergy</w:t>
      </w:r>
      <w:r w:rsidRPr="002008A8" w:rsidR="004D534D">
        <w:rPr>
          <w:rFonts w:cs="Times New Roman"/>
          <w:szCs w:val="24"/>
        </w:rPr>
        <w:t xml:space="preserve"> Utilities’</w:t>
      </w:r>
      <w:r w:rsidRPr="002008A8">
        <w:rPr>
          <w:rFonts w:cs="Times New Roman"/>
          <w:szCs w:val="24"/>
        </w:rPr>
        <w:t xml:space="preserve"> role in the scandal</w:t>
      </w:r>
      <w:r w:rsidRPr="002008A8" w:rsidR="0066429B">
        <w:rPr>
          <w:rFonts w:cs="Times New Roman"/>
          <w:szCs w:val="24"/>
        </w:rPr>
        <w:t xml:space="preserve">.  The investigations included </w:t>
      </w:r>
      <w:r w:rsidRPr="002008A8">
        <w:rPr>
          <w:rFonts w:cs="Times New Roman"/>
          <w:szCs w:val="24"/>
        </w:rPr>
        <w:t>th</w:t>
      </w:r>
      <w:r w:rsidRPr="002008A8" w:rsidR="00A977E0">
        <w:rPr>
          <w:rFonts w:cs="Times New Roman"/>
          <w:szCs w:val="24"/>
        </w:rPr>
        <w:t>is investigation into</w:t>
      </w:r>
      <w:r w:rsidRPr="002008A8" w:rsidR="00D53BC5">
        <w:rPr>
          <w:rFonts w:cs="Times New Roman"/>
          <w:szCs w:val="24"/>
        </w:rPr>
        <w:t xml:space="preserve"> the </w:t>
      </w:r>
      <w:r w:rsidRPr="002008A8" w:rsidR="00A977E0">
        <w:rPr>
          <w:rFonts w:cs="Times New Roman"/>
          <w:szCs w:val="24"/>
        </w:rPr>
        <w:t>FirstEnergy</w:t>
      </w:r>
      <w:r w:rsidRPr="002008A8" w:rsidR="00D53BC5">
        <w:rPr>
          <w:rFonts w:cs="Times New Roman"/>
          <w:szCs w:val="24"/>
        </w:rPr>
        <w:t xml:space="preserve"> Utilities’</w:t>
      </w:r>
      <w:r w:rsidRPr="002008A8" w:rsidR="00A977E0">
        <w:rPr>
          <w:rFonts w:cs="Times New Roman"/>
          <w:szCs w:val="24"/>
        </w:rPr>
        <w:t xml:space="preserve"> </w:t>
      </w:r>
      <w:r w:rsidRPr="002008A8" w:rsidR="00055A2D">
        <w:rPr>
          <w:rFonts w:cs="Times New Roman"/>
          <w:szCs w:val="24"/>
        </w:rPr>
        <w:t xml:space="preserve">use of </w:t>
      </w:r>
      <w:r w:rsidRPr="002008A8" w:rsidR="0012723D">
        <w:rPr>
          <w:rFonts w:cs="Times New Roman"/>
          <w:szCs w:val="24"/>
        </w:rPr>
        <w:t xml:space="preserve">distribution modernization </w:t>
      </w:r>
      <w:r w:rsidRPr="002008A8" w:rsidR="00A977E0">
        <w:rPr>
          <w:rFonts w:cs="Times New Roman"/>
          <w:szCs w:val="24"/>
        </w:rPr>
        <w:t>funds collected from customers</w:t>
      </w:r>
      <w:r w:rsidRPr="002008A8">
        <w:rPr>
          <w:rFonts w:cs="Times New Roman"/>
          <w:szCs w:val="24"/>
        </w:rPr>
        <w:t xml:space="preserve">, along with </w:t>
      </w:r>
      <w:r w:rsidRPr="002008A8" w:rsidR="00A977E0">
        <w:rPr>
          <w:rFonts w:cs="Times New Roman"/>
          <w:szCs w:val="24"/>
        </w:rPr>
        <w:t xml:space="preserve">other </w:t>
      </w:r>
      <w:r w:rsidRPr="002008A8">
        <w:rPr>
          <w:rFonts w:cs="Times New Roman"/>
          <w:szCs w:val="24"/>
        </w:rPr>
        <w:t xml:space="preserve">investigations into FirstEnergy’s political and charitable spending and </w:t>
      </w:r>
      <w:r w:rsidRPr="002008A8" w:rsidR="0012723D">
        <w:rPr>
          <w:rFonts w:cs="Times New Roman"/>
          <w:szCs w:val="24"/>
        </w:rPr>
        <w:t>corporate separation.</w:t>
      </w:r>
      <w:r w:rsidRPr="002008A8">
        <w:rPr>
          <w:rFonts w:cs="Times New Roman"/>
          <w:szCs w:val="24"/>
        </w:rPr>
        <w:t xml:space="preserve"> </w:t>
      </w:r>
    </w:p>
    <w:p w:rsidR="00615EEF" w:rsidRPr="002008A8" w:rsidP="007A68E4" w14:paraId="0E7BA8F7" w14:textId="12C39BD0">
      <w:pPr>
        <w:spacing w:after="0" w:line="480" w:lineRule="auto"/>
        <w:ind w:firstLine="720"/>
        <w:rPr>
          <w:rFonts w:eastAsia="Times New Roman" w:cs="Times New Roman"/>
          <w:szCs w:val="24"/>
        </w:rPr>
      </w:pPr>
      <w:r w:rsidRPr="002008A8">
        <w:rPr>
          <w:rFonts w:eastAsia="Times New Roman" w:cs="Times New Roman"/>
          <w:szCs w:val="24"/>
        </w:rPr>
        <w:t xml:space="preserve">The </w:t>
      </w:r>
      <w:r w:rsidRPr="002008A8" w:rsidR="001C6CC2">
        <w:rPr>
          <w:rFonts w:eastAsia="Times New Roman" w:cs="Times New Roman"/>
          <w:szCs w:val="24"/>
        </w:rPr>
        <w:t>FirstEnergy</w:t>
      </w:r>
      <w:r w:rsidRPr="002008A8">
        <w:rPr>
          <w:rFonts w:eastAsia="Times New Roman" w:cs="Times New Roman"/>
          <w:szCs w:val="24"/>
        </w:rPr>
        <w:t xml:space="preserve"> Utilities have </w:t>
      </w:r>
      <w:r w:rsidRPr="002008A8" w:rsidR="001C6CC2">
        <w:rPr>
          <w:rFonts w:eastAsia="Times New Roman" w:cs="Times New Roman"/>
          <w:szCs w:val="24"/>
        </w:rPr>
        <w:t xml:space="preserve">forced </w:t>
      </w:r>
      <w:r w:rsidRPr="002008A8" w:rsidR="00C01F88">
        <w:rPr>
          <w:rFonts w:eastAsia="Times New Roman" w:cs="Times New Roman"/>
          <w:szCs w:val="24"/>
        </w:rPr>
        <w:t xml:space="preserve">the Office of the Ohio Consumers’ Counsel (“OCC”) </w:t>
      </w:r>
      <w:r w:rsidRPr="002008A8" w:rsidR="00C02ABC">
        <w:rPr>
          <w:rFonts w:eastAsia="Times New Roman" w:cs="Times New Roman"/>
          <w:szCs w:val="24"/>
        </w:rPr>
        <w:t xml:space="preserve">to burn up time (both attorney time and delay time for case preparation) with its tactics. </w:t>
      </w:r>
      <w:r w:rsidRPr="002008A8" w:rsidR="00C01F88">
        <w:rPr>
          <w:rFonts w:eastAsia="Times New Roman" w:cs="Times New Roman"/>
          <w:szCs w:val="24"/>
        </w:rPr>
        <w:t xml:space="preserve">This despite FirstEnergy’s </w:t>
      </w:r>
      <w:r w:rsidRPr="002008A8">
        <w:rPr>
          <w:rFonts w:eastAsia="Times New Roman" w:cs="Times New Roman"/>
          <w:szCs w:val="24"/>
        </w:rPr>
        <w:t>public relation</w:t>
      </w:r>
      <w:r w:rsidRPr="002008A8" w:rsidR="001B1D66">
        <w:rPr>
          <w:rFonts w:eastAsia="Times New Roman" w:cs="Times New Roman"/>
          <w:szCs w:val="24"/>
        </w:rPr>
        <w:t>s</w:t>
      </w:r>
      <w:r w:rsidRPr="002008A8" w:rsidR="00C02ABC">
        <w:rPr>
          <w:rFonts w:eastAsia="Times New Roman" w:cs="Times New Roman"/>
          <w:szCs w:val="24"/>
        </w:rPr>
        <w:t xml:space="preserve"> ushering in the supposed </w:t>
      </w:r>
      <w:r w:rsidRPr="002008A8" w:rsidR="00C01F88">
        <w:rPr>
          <w:rFonts w:eastAsia="Times New Roman" w:cs="Times New Roman"/>
          <w:szCs w:val="24"/>
        </w:rPr>
        <w:t xml:space="preserve">new </w:t>
      </w:r>
      <w:r w:rsidRPr="002008A8" w:rsidR="00CB758C">
        <w:rPr>
          <w:rFonts w:eastAsia="Times New Roman" w:cs="Times New Roman"/>
          <w:szCs w:val="24"/>
        </w:rPr>
        <w:t xml:space="preserve">FirstEnergy </w:t>
      </w:r>
      <w:r w:rsidRPr="002008A8" w:rsidR="00C01F88">
        <w:rPr>
          <w:rFonts w:eastAsia="Times New Roman" w:cs="Times New Roman"/>
          <w:szCs w:val="24"/>
        </w:rPr>
        <w:t>era of “fostering trust and transparency at all levels.”</w:t>
      </w:r>
      <w:r w:rsidRPr="002008A8" w:rsidR="00CB758C">
        <w:rPr>
          <w:rFonts w:eastAsia="Times New Roman" w:cs="Times New Roman"/>
          <w:szCs w:val="24"/>
        </w:rPr>
        <w:t xml:space="preserve"> We are </w:t>
      </w:r>
      <w:r w:rsidRPr="002008A8" w:rsidR="005A0FF3">
        <w:rPr>
          <w:rFonts w:eastAsia="Times New Roman" w:cs="Times New Roman"/>
          <w:szCs w:val="24"/>
        </w:rPr>
        <w:t>not convinced.</w:t>
      </w:r>
    </w:p>
    <w:p w:rsidR="00B03359" w:rsidRPr="002008A8" w:rsidP="007A68E4" w14:paraId="70A65E2A" w14:textId="718D6052">
      <w:pPr>
        <w:pStyle w:val="PlainText"/>
        <w:spacing w:line="480" w:lineRule="auto"/>
        <w:ind w:firstLine="720"/>
        <w:rPr>
          <w:rFonts w:ascii="Times New Roman" w:hAnsi="Times New Roman" w:cs="Times New Roman"/>
          <w:sz w:val="24"/>
          <w:szCs w:val="24"/>
        </w:rPr>
      </w:pPr>
      <w:r w:rsidRPr="002008A8">
        <w:rPr>
          <w:rFonts w:ascii="Times New Roman" w:hAnsi="Times New Roman" w:cs="Times New Roman"/>
          <w:sz w:val="24"/>
          <w:szCs w:val="24"/>
        </w:rPr>
        <w:t>I</w:t>
      </w:r>
      <w:r w:rsidRPr="002008A8" w:rsidR="001B1D66">
        <w:rPr>
          <w:rFonts w:ascii="Times New Roman" w:hAnsi="Times New Roman" w:cs="Times New Roman"/>
          <w:sz w:val="24"/>
          <w:szCs w:val="24"/>
        </w:rPr>
        <w:t xml:space="preserve">n </w:t>
      </w:r>
      <w:r w:rsidRPr="002008A8">
        <w:rPr>
          <w:rFonts w:ascii="Times New Roman" w:hAnsi="Times New Roman" w:cs="Times New Roman"/>
          <w:sz w:val="24"/>
          <w:szCs w:val="24"/>
        </w:rPr>
        <w:t>our</w:t>
      </w:r>
      <w:r w:rsidRPr="002008A8" w:rsidR="001B1D66">
        <w:rPr>
          <w:rFonts w:ascii="Times New Roman" w:hAnsi="Times New Roman" w:cs="Times New Roman"/>
          <w:sz w:val="24"/>
          <w:szCs w:val="24"/>
        </w:rPr>
        <w:t xml:space="preserve"> continu</w:t>
      </w:r>
      <w:r w:rsidRPr="002008A8">
        <w:rPr>
          <w:rFonts w:ascii="Times New Roman" w:hAnsi="Times New Roman" w:cs="Times New Roman"/>
          <w:sz w:val="24"/>
          <w:szCs w:val="24"/>
        </w:rPr>
        <w:t>ing</w:t>
      </w:r>
      <w:r w:rsidRPr="002008A8" w:rsidR="001B1D66">
        <w:rPr>
          <w:rFonts w:ascii="Times New Roman" w:hAnsi="Times New Roman" w:cs="Times New Roman"/>
          <w:sz w:val="24"/>
          <w:szCs w:val="24"/>
        </w:rPr>
        <w:t xml:space="preserve"> quest to get answers</w:t>
      </w:r>
      <w:r w:rsidRPr="002008A8">
        <w:rPr>
          <w:rFonts w:ascii="Times New Roman" w:hAnsi="Times New Roman" w:cs="Times New Roman"/>
          <w:sz w:val="24"/>
          <w:szCs w:val="24"/>
        </w:rPr>
        <w:t xml:space="preserve"> that </w:t>
      </w:r>
      <w:r w:rsidR="00334EE1">
        <w:rPr>
          <w:rFonts w:ascii="Times New Roman" w:hAnsi="Times New Roman" w:cs="Times New Roman"/>
          <w:sz w:val="24"/>
          <w:szCs w:val="24"/>
        </w:rPr>
        <w:t xml:space="preserve">the </w:t>
      </w:r>
      <w:r w:rsidRPr="002008A8">
        <w:rPr>
          <w:rFonts w:ascii="Times New Roman" w:hAnsi="Times New Roman" w:cs="Times New Roman"/>
          <w:sz w:val="24"/>
          <w:szCs w:val="24"/>
        </w:rPr>
        <w:t xml:space="preserve">FirstEnergy </w:t>
      </w:r>
      <w:r w:rsidR="00334EE1">
        <w:rPr>
          <w:rFonts w:ascii="Times New Roman" w:hAnsi="Times New Roman" w:cs="Times New Roman"/>
          <w:sz w:val="24"/>
          <w:szCs w:val="24"/>
        </w:rPr>
        <w:t xml:space="preserve">Utilities </w:t>
      </w:r>
      <w:r w:rsidRPr="002008A8">
        <w:rPr>
          <w:rFonts w:ascii="Times New Roman" w:hAnsi="Times New Roman" w:cs="Times New Roman"/>
          <w:sz w:val="24"/>
          <w:szCs w:val="24"/>
        </w:rPr>
        <w:t>owe</w:t>
      </w:r>
      <w:r w:rsidRPr="002008A8" w:rsidR="001B1D66">
        <w:rPr>
          <w:rFonts w:ascii="Times New Roman" w:hAnsi="Times New Roman" w:cs="Times New Roman"/>
          <w:sz w:val="24"/>
          <w:szCs w:val="24"/>
        </w:rPr>
        <w:t xml:space="preserve"> for </w:t>
      </w:r>
      <w:r w:rsidRPr="002008A8">
        <w:rPr>
          <w:rFonts w:ascii="Times New Roman" w:hAnsi="Times New Roman" w:cs="Times New Roman"/>
          <w:sz w:val="24"/>
          <w:szCs w:val="24"/>
        </w:rPr>
        <w:t xml:space="preserve">its </w:t>
      </w:r>
      <w:r w:rsidRPr="002008A8" w:rsidR="001B1D66">
        <w:rPr>
          <w:rFonts w:ascii="Times New Roman" w:hAnsi="Times New Roman" w:cs="Times New Roman"/>
          <w:sz w:val="24"/>
          <w:szCs w:val="24"/>
        </w:rPr>
        <w:t xml:space="preserve">two million consumers </w:t>
      </w:r>
      <w:r w:rsidRPr="002008A8">
        <w:rPr>
          <w:rFonts w:ascii="Times New Roman" w:hAnsi="Times New Roman" w:cs="Times New Roman"/>
          <w:sz w:val="24"/>
          <w:szCs w:val="24"/>
        </w:rPr>
        <w:t>that we</w:t>
      </w:r>
      <w:r w:rsidRPr="002008A8" w:rsidR="001B1D66">
        <w:rPr>
          <w:rFonts w:ascii="Times New Roman" w:hAnsi="Times New Roman" w:cs="Times New Roman"/>
          <w:sz w:val="24"/>
          <w:szCs w:val="24"/>
        </w:rPr>
        <w:t xml:space="preserve"> represent, </w:t>
      </w:r>
      <w:r w:rsidRPr="002008A8" w:rsidR="00C01F88">
        <w:rPr>
          <w:rFonts w:ascii="Times New Roman" w:hAnsi="Times New Roman" w:cs="Times New Roman"/>
          <w:sz w:val="24"/>
          <w:szCs w:val="24"/>
        </w:rPr>
        <w:t>OCC respectfully asks the PUCO to grant</w:t>
      </w:r>
      <w:r w:rsidRPr="002008A8" w:rsidR="001B1D66">
        <w:rPr>
          <w:rFonts w:ascii="Times New Roman" w:hAnsi="Times New Roman" w:cs="Times New Roman"/>
          <w:sz w:val="24"/>
          <w:szCs w:val="24"/>
        </w:rPr>
        <w:t xml:space="preserve"> this </w:t>
      </w:r>
      <w:r w:rsidRPr="002008A8" w:rsidR="00C01F88">
        <w:rPr>
          <w:rFonts w:ascii="Times New Roman" w:hAnsi="Times New Roman" w:cs="Times New Roman"/>
          <w:sz w:val="24"/>
          <w:szCs w:val="24"/>
        </w:rPr>
        <w:t>Motion to Compel Discovery.</w:t>
      </w:r>
      <w:r w:rsidRPr="002008A8" w:rsidR="00B5654F">
        <w:rPr>
          <w:rFonts w:ascii="Times New Roman" w:hAnsi="Times New Roman" w:cs="Times New Roman"/>
          <w:sz w:val="24"/>
          <w:szCs w:val="24"/>
        </w:rPr>
        <w:t xml:space="preserve"> </w:t>
      </w:r>
    </w:p>
    <w:p w:rsidR="001C6CC2" w:rsidRPr="002008A8" w:rsidP="007A68E4" w14:paraId="22196DDE" w14:textId="45A09860">
      <w:pPr>
        <w:pStyle w:val="Heading1"/>
        <w:numPr>
          <w:ilvl w:val="0"/>
          <w:numId w:val="0"/>
        </w:numPr>
        <w:ind w:left="720" w:hanging="720"/>
        <w:rPr>
          <w:rFonts w:ascii="Times New Roman" w:hAnsi="Times New Roman" w:cs="Times New Roman"/>
          <w:szCs w:val="24"/>
        </w:rPr>
      </w:pPr>
      <w:bookmarkStart w:id="1" w:name="_Toc68260593"/>
      <w:r w:rsidRPr="002008A8">
        <w:rPr>
          <w:rFonts w:ascii="Times New Roman" w:hAnsi="Times New Roman" w:cs="Times New Roman"/>
          <w:szCs w:val="24"/>
        </w:rPr>
        <w:t>II.</w:t>
      </w:r>
      <w:r w:rsidRPr="002008A8">
        <w:rPr>
          <w:rFonts w:ascii="Times New Roman" w:hAnsi="Times New Roman" w:cs="Times New Roman"/>
          <w:szCs w:val="24"/>
        </w:rPr>
        <w:tab/>
        <w:t>BACKGROUND</w:t>
      </w:r>
      <w:bookmarkEnd w:id="1"/>
    </w:p>
    <w:p w:rsidR="00055A2D" w:rsidRPr="002008A8" w:rsidP="001619BF" w14:paraId="59D8FF77" w14:textId="7C46DFAE">
      <w:pPr>
        <w:pStyle w:val="Footer"/>
        <w:tabs>
          <w:tab w:val="clear" w:pos="4680"/>
          <w:tab w:val="clear" w:pos="9360"/>
        </w:tabs>
        <w:spacing w:line="480" w:lineRule="auto"/>
        <w:ind w:firstLine="720"/>
        <w:rPr>
          <w:rFonts w:cs="Times New Roman"/>
          <w:szCs w:val="24"/>
        </w:rPr>
      </w:pPr>
      <w:r w:rsidRPr="002008A8">
        <w:rPr>
          <w:rFonts w:cs="Times New Roman"/>
          <w:szCs w:val="24"/>
        </w:rPr>
        <w:t xml:space="preserve">Eight months ago, the U.S. Attorney filed a </w:t>
      </w:r>
      <w:r w:rsidRPr="002008A8" w:rsidR="00EE786C">
        <w:rPr>
          <w:rFonts w:cs="Times New Roman"/>
          <w:szCs w:val="24"/>
        </w:rPr>
        <w:t>C</w:t>
      </w:r>
      <w:r w:rsidRPr="002008A8">
        <w:rPr>
          <w:rFonts w:cs="Times New Roman"/>
          <w:szCs w:val="24"/>
        </w:rPr>
        <w:t xml:space="preserve">riminal </w:t>
      </w:r>
      <w:r w:rsidRPr="002008A8" w:rsidR="00EE786C">
        <w:rPr>
          <w:rFonts w:cs="Times New Roman"/>
          <w:szCs w:val="24"/>
        </w:rPr>
        <w:t>C</w:t>
      </w:r>
      <w:r w:rsidRPr="002008A8">
        <w:rPr>
          <w:rFonts w:cs="Times New Roman"/>
          <w:szCs w:val="24"/>
        </w:rPr>
        <w:t>omplaint against the former Ohio House Speaker and others, alleging that an unnamed “Company A” paid $60 million to entit</w:t>
      </w:r>
      <w:r w:rsidRPr="002008A8" w:rsidR="00E80A7B">
        <w:rPr>
          <w:rFonts w:cs="Times New Roman"/>
          <w:szCs w:val="24"/>
        </w:rPr>
        <w:t>ies</w:t>
      </w:r>
      <w:r w:rsidRPr="002008A8">
        <w:rPr>
          <w:rFonts w:cs="Times New Roman"/>
          <w:szCs w:val="24"/>
        </w:rPr>
        <w:t xml:space="preserve">, including </w:t>
      </w:r>
      <w:r w:rsidRPr="002008A8" w:rsidR="001B1D66">
        <w:rPr>
          <w:rFonts w:cs="Times New Roman"/>
          <w:szCs w:val="24"/>
        </w:rPr>
        <w:t>a</w:t>
      </w:r>
      <w:r w:rsidRPr="002008A8">
        <w:rPr>
          <w:rFonts w:cs="Times New Roman"/>
          <w:szCs w:val="24"/>
        </w:rPr>
        <w:t xml:space="preserve"> dark money group known as Generation Now</w:t>
      </w:r>
      <w:r w:rsidRPr="002008A8" w:rsidR="00A977E0">
        <w:rPr>
          <w:rFonts w:cs="Times New Roman"/>
          <w:szCs w:val="24"/>
        </w:rPr>
        <w:t>,</w:t>
      </w:r>
      <w:r w:rsidRPr="002008A8">
        <w:rPr>
          <w:rFonts w:cs="Times New Roman"/>
          <w:szCs w:val="24"/>
        </w:rPr>
        <w:t xml:space="preserve"> to enact tainted H.B. 6 and defeat the public referendum.  “Company A” was generall</w:t>
      </w:r>
      <w:r w:rsidRPr="002008A8" w:rsidR="00E80A7B">
        <w:rPr>
          <w:rFonts w:cs="Times New Roman"/>
          <w:szCs w:val="24"/>
        </w:rPr>
        <w:t xml:space="preserve">y understood </w:t>
      </w:r>
      <w:r w:rsidRPr="002008A8">
        <w:rPr>
          <w:rFonts w:cs="Times New Roman"/>
          <w:szCs w:val="24"/>
        </w:rPr>
        <w:t xml:space="preserve">to be FirstEnergy, though FirstEnergy has not been charged in the scandal. </w:t>
      </w:r>
    </w:p>
    <w:p w:rsidR="001619BF" w:rsidRPr="002008A8" w:rsidP="001619BF" w14:paraId="699D6848" w14:textId="6801C83F">
      <w:pPr>
        <w:pStyle w:val="Footer"/>
        <w:tabs>
          <w:tab w:val="clear" w:pos="4680"/>
          <w:tab w:val="clear" w:pos="9360"/>
        </w:tabs>
        <w:spacing w:line="480" w:lineRule="auto"/>
        <w:ind w:firstLine="720"/>
        <w:rPr>
          <w:rFonts w:cs="Times New Roman"/>
          <w:szCs w:val="24"/>
        </w:rPr>
      </w:pPr>
      <w:r w:rsidRPr="002008A8">
        <w:rPr>
          <w:rFonts w:cs="Times New Roman"/>
          <w:szCs w:val="24"/>
        </w:rPr>
        <w:t xml:space="preserve"> A </w:t>
      </w:r>
      <w:r w:rsidRPr="002008A8" w:rsidR="007F0B31">
        <w:rPr>
          <w:rFonts w:cs="Times New Roman"/>
          <w:szCs w:val="24"/>
        </w:rPr>
        <w:t>March 10, 2021</w:t>
      </w:r>
      <w:r w:rsidRPr="002008A8">
        <w:rPr>
          <w:rFonts w:cs="Times New Roman"/>
          <w:szCs w:val="24"/>
        </w:rPr>
        <w:t xml:space="preserve"> civil lawsuit </w:t>
      </w:r>
      <w:r w:rsidRPr="002008A8" w:rsidR="007F0B31">
        <w:rPr>
          <w:rFonts w:cs="Times New Roman"/>
          <w:szCs w:val="24"/>
        </w:rPr>
        <w:t xml:space="preserve">filing </w:t>
      </w:r>
      <w:r w:rsidRPr="002008A8">
        <w:rPr>
          <w:rFonts w:cs="Times New Roman"/>
          <w:szCs w:val="24"/>
        </w:rPr>
        <w:t xml:space="preserve">is the clearest evidence </w:t>
      </w:r>
      <w:r w:rsidRPr="002008A8" w:rsidR="007F0B31">
        <w:rPr>
          <w:rFonts w:cs="Times New Roman"/>
          <w:szCs w:val="24"/>
        </w:rPr>
        <w:t>that</w:t>
      </w:r>
      <w:r w:rsidRPr="002008A8">
        <w:rPr>
          <w:rFonts w:cs="Times New Roman"/>
          <w:szCs w:val="24"/>
        </w:rPr>
        <w:t xml:space="preserve"> FirstEnergy</w:t>
      </w:r>
      <w:r w:rsidRPr="002008A8" w:rsidR="007F0B31">
        <w:rPr>
          <w:rFonts w:cs="Times New Roman"/>
          <w:szCs w:val="24"/>
        </w:rPr>
        <w:t xml:space="preserve"> is “Company A</w:t>
      </w:r>
      <w:r w:rsidRPr="002008A8">
        <w:rPr>
          <w:rFonts w:cs="Times New Roman"/>
          <w:szCs w:val="24"/>
        </w:rPr>
        <w:t>.</w:t>
      </w:r>
      <w:r w:rsidRPr="002008A8" w:rsidR="007F0B31">
        <w:rPr>
          <w:rFonts w:cs="Times New Roman"/>
          <w:szCs w:val="24"/>
        </w:rPr>
        <w:t>”</w:t>
      </w:r>
      <w:r w:rsidRPr="002008A8">
        <w:rPr>
          <w:rFonts w:cs="Times New Roman"/>
          <w:szCs w:val="24"/>
        </w:rPr>
        <w:t xml:space="preserve">  In th</w:t>
      </w:r>
      <w:r w:rsidRPr="002008A8" w:rsidR="00055A2D">
        <w:rPr>
          <w:rFonts w:cs="Times New Roman"/>
          <w:szCs w:val="24"/>
        </w:rPr>
        <w:t xml:space="preserve">at </w:t>
      </w:r>
      <w:r w:rsidRPr="002008A8">
        <w:rPr>
          <w:rFonts w:cs="Times New Roman"/>
          <w:szCs w:val="24"/>
        </w:rPr>
        <w:t>filing, First</w:t>
      </w:r>
      <w:r w:rsidRPr="002008A8" w:rsidR="0012723D">
        <w:rPr>
          <w:rFonts w:cs="Times New Roman"/>
          <w:szCs w:val="24"/>
        </w:rPr>
        <w:t>Energy Corp. and FirstEnergy Service Company</w:t>
      </w:r>
      <w:r w:rsidRPr="002008A8">
        <w:rPr>
          <w:rFonts w:cs="Times New Roman"/>
          <w:szCs w:val="24"/>
        </w:rPr>
        <w:t xml:space="preserve"> admit</w:t>
      </w:r>
      <w:r w:rsidRPr="002008A8" w:rsidR="00055A2D">
        <w:rPr>
          <w:rFonts w:cs="Times New Roman"/>
          <w:szCs w:val="24"/>
        </w:rPr>
        <w:t xml:space="preserve"> to </w:t>
      </w:r>
      <w:r w:rsidRPr="002008A8" w:rsidR="007F0B31">
        <w:rPr>
          <w:rFonts w:cs="Times New Roman"/>
          <w:szCs w:val="24"/>
        </w:rPr>
        <w:t>makin</w:t>
      </w:r>
      <w:r w:rsidRPr="002008A8" w:rsidR="00055A2D">
        <w:rPr>
          <w:rFonts w:cs="Times New Roman"/>
          <w:szCs w:val="24"/>
        </w:rPr>
        <w:t xml:space="preserve">g </w:t>
      </w:r>
      <w:r w:rsidRPr="002008A8">
        <w:rPr>
          <w:rFonts w:cs="Times New Roman"/>
          <w:szCs w:val="24"/>
        </w:rPr>
        <w:t xml:space="preserve">payments to the </w:t>
      </w:r>
      <w:r w:rsidRPr="002008A8">
        <w:rPr>
          <w:rFonts w:cs="Times New Roman"/>
          <w:i/>
          <w:iCs/>
          <w:szCs w:val="24"/>
        </w:rPr>
        <w:t>same entity</w:t>
      </w:r>
      <w:r w:rsidRPr="002008A8">
        <w:rPr>
          <w:rFonts w:cs="Times New Roman"/>
          <w:szCs w:val="24"/>
        </w:rPr>
        <w:t xml:space="preserve"> (Generation Now), in the </w:t>
      </w:r>
      <w:r w:rsidRPr="002008A8">
        <w:rPr>
          <w:rFonts w:cs="Times New Roman"/>
          <w:i/>
          <w:iCs/>
          <w:szCs w:val="24"/>
        </w:rPr>
        <w:t>same amounts</w:t>
      </w:r>
      <w:r w:rsidRPr="002008A8">
        <w:rPr>
          <w:rFonts w:cs="Times New Roman"/>
          <w:szCs w:val="24"/>
        </w:rPr>
        <w:t xml:space="preserve"> and on the </w:t>
      </w:r>
      <w:r w:rsidRPr="002008A8">
        <w:rPr>
          <w:rFonts w:cs="Times New Roman"/>
          <w:i/>
          <w:iCs/>
          <w:szCs w:val="24"/>
        </w:rPr>
        <w:t>same dates</w:t>
      </w:r>
      <w:r w:rsidRPr="002008A8">
        <w:rPr>
          <w:rFonts w:cs="Times New Roman"/>
          <w:szCs w:val="24"/>
        </w:rPr>
        <w:t xml:space="preserve"> as “Company A” is alleged to have done</w:t>
      </w:r>
      <w:r w:rsidRPr="002008A8" w:rsidR="00A977E0">
        <w:rPr>
          <w:rFonts w:cs="Times New Roman"/>
          <w:szCs w:val="24"/>
        </w:rPr>
        <w:t xml:space="preserve"> in the Criminal Complaint filed by the U.S. Attorney</w:t>
      </w:r>
      <w:r w:rsidRPr="002008A8">
        <w:rPr>
          <w:rFonts w:cs="Times New Roman"/>
          <w:szCs w:val="24"/>
        </w:rPr>
        <w:t>.</w:t>
      </w:r>
      <w:r>
        <w:rPr>
          <w:rStyle w:val="FootnoteReference"/>
          <w:rFonts w:cs="Times New Roman"/>
          <w:szCs w:val="24"/>
        </w:rPr>
        <w:footnoteReference w:id="2"/>
      </w:r>
      <w:r w:rsidRPr="002008A8">
        <w:rPr>
          <w:rFonts w:cs="Times New Roman"/>
          <w:szCs w:val="24"/>
        </w:rPr>
        <w:t xml:space="preserve">  </w:t>
      </w:r>
    </w:p>
    <w:p w:rsidR="00C278DD" w:rsidRPr="002008A8" w:rsidP="00C278DD" w14:paraId="3623C94B" w14:textId="5058C4F9">
      <w:pPr>
        <w:pStyle w:val="Footer"/>
        <w:tabs>
          <w:tab w:val="clear" w:pos="4680"/>
          <w:tab w:val="clear" w:pos="9360"/>
        </w:tabs>
        <w:spacing w:line="480" w:lineRule="auto"/>
        <w:ind w:firstLine="720"/>
        <w:rPr>
          <w:rFonts w:cs="Times New Roman"/>
          <w:szCs w:val="24"/>
        </w:rPr>
      </w:pPr>
      <w:r w:rsidRPr="002008A8">
        <w:rPr>
          <w:rFonts w:cs="Times New Roman"/>
          <w:szCs w:val="24"/>
        </w:rPr>
        <w:t>FirstEnergy fired a fe</w:t>
      </w:r>
      <w:r w:rsidRPr="002008A8" w:rsidR="001B1D66">
        <w:rPr>
          <w:rFonts w:cs="Times New Roman"/>
          <w:szCs w:val="24"/>
        </w:rPr>
        <w:t xml:space="preserve">w executives </w:t>
      </w:r>
      <w:r w:rsidRPr="002008A8" w:rsidR="00EE786C">
        <w:rPr>
          <w:rFonts w:cs="Times New Roman"/>
          <w:szCs w:val="24"/>
        </w:rPr>
        <w:t xml:space="preserve">(including its CEO) </w:t>
      </w:r>
      <w:r w:rsidRPr="002008A8">
        <w:rPr>
          <w:rFonts w:cs="Times New Roman"/>
          <w:szCs w:val="24"/>
        </w:rPr>
        <w:t>and pledged to begin</w:t>
      </w:r>
      <w:r w:rsidRPr="002008A8" w:rsidR="001B1D66">
        <w:rPr>
          <w:rFonts w:cs="Times New Roman"/>
          <w:szCs w:val="24"/>
        </w:rPr>
        <w:t xml:space="preserve"> </w:t>
      </w:r>
      <w:r w:rsidRPr="002008A8">
        <w:rPr>
          <w:rFonts w:cs="Times New Roman"/>
          <w:szCs w:val="24"/>
        </w:rPr>
        <w:t>“fostering trust and transparency at all levels.”</w:t>
      </w:r>
      <w:r>
        <w:rPr>
          <w:rStyle w:val="FootnoteReference"/>
          <w:rFonts w:cs="Times New Roman"/>
          <w:szCs w:val="24"/>
        </w:rPr>
        <w:footnoteReference w:id="3"/>
      </w:r>
      <w:r w:rsidRPr="002008A8">
        <w:rPr>
          <w:rFonts w:cs="Times New Roman"/>
          <w:szCs w:val="24"/>
        </w:rPr>
        <w:t xml:space="preserve">  But</w:t>
      </w:r>
      <w:r w:rsidRPr="002008A8" w:rsidR="001619BF">
        <w:rPr>
          <w:rFonts w:cs="Times New Roman"/>
          <w:szCs w:val="24"/>
        </w:rPr>
        <w:t xml:space="preserve"> </w:t>
      </w:r>
      <w:r w:rsidRPr="002008A8" w:rsidR="00CB0D83">
        <w:rPr>
          <w:rFonts w:cs="Times New Roman"/>
          <w:szCs w:val="24"/>
        </w:rPr>
        <w:t xml:space="preserve">FirstEnergy has not yet even clearly acknowledged or denied a threshold issue </w:t>
      </w:r>
      <w:r w:rsidRPr="002008A8">
        <w:rPr>
          <w:rFonts w:cs="Times New Roman"/>
          <w:szCs w:val="24"/>
        </w:rPr>
        <w:t xml:space="preserve">that it </w:t>
      </w:r>
      <w:r w:rsidRPr="002008A8" w:rsidR="00CB0D83">
        <w:rPr>
          <w:rFonts w:cs="Times New Roman"/>
          <w:szCs w:val="24"/>
        </w:rPr>
        <w:t xml:space="preserve">is </w:t>
      </w:r>
      <w:r w:rsidRPr="002008A8">
        <w:rPr>
          <w:rFonts w:cs="Times New Roman"/>
          <w:szCs w:val="24"/>
        </w:rPr>
        <w:t xml:space="preserve">“Company A” and </w:t>
      </w:r>
      <w:r w:rsidRPr="002008A8" w:rsidR="001619BF">
        <w:rPr>
          <w:rFonts w:cs="Times New Roman"/>
          <w:szCs w:val="24"/>
        </w:rPr>
        <w:t xml:space="preserve">that it paid </w:t>
      </w:r>
      <w:r w:rsidRPr="002008A8" w:rsidR="00A852E1">
        <w:rPr>
          <w:rFonts w:cs="Times New Roman"/>
          <w:szCs w:val="24"/>
        </w:rPr>
        <w:t xml:space="preserve">tens of millions of dollars to guarantee the passage of tainted House Bill 6.  </w:t>
      </w:r>
    </w:p>
    <w:p w:rsidR="00460A53" w:rsidRPr="002008A8" w:rsidP="00C278DD" w14:paraId="2697FF4B" w14:textId="07253B9D">
      <w:pPr>
        <w:pStyle w:val="Footer"/>
        <w:tabs>
          <w:tab w:val="clear" w:pos="4680"/>
          <w:tab w:val="clear" w:pos="9360"/>
        </w:tabs>
        <w:spacing w:line="480" w:lineRule="auto"/>
        <w:ind w:firstLine="720"/>
        <w:rPr>
          <w:rFonts w:cs="Times New Roman"/>
          <w:szCs w:val="24"/>
        </w:rPr>
        <w:sectPr w:rsidSect="007A68E4">
          <w:headerReference w:type="default" r:id="rId12"/>
          <w:footerReference w:type="default" r:id="rId13"/>
          <w:pgSz w:w="12240" w:h="15840"/>
          <w:pgMar w:top="1440" w:right="1800" w:bottom="1440" w:left="1800" w:header="720" w:footer="720" w:gutter="0"/>
          <w:pgNumType w:start="1"/>
          <w:cols w:space="720"/>
          <w:docGrid w:linePitch="360"/>
        </w:sectPr>
      </w:pPr>
      <w:r w:rsidRPr="002008A8">
        <w:rPr>
          <w:rFonts w:cs="Times New Roman"/>
          <w:szCs w:val="24"/>
        </w:rPr>
        <w:t xml:space="preserve">FirstEnergy’s Jekyll-and-Hyde approach of claiming transparency but refusing to provide information extends to these proceedings before the PUCO – which brings us to </w:t>
      </w:r>
      <w:r w:rsidRPr="002008A8" w:rsidR="00A87132">
        <w:rPr>
          <w:rFonts w:cs="Times New Roman"/>
          <w:szCs w:val="24"/>
        </w:rPr>
        <w:t>OCC’s present</w:t>
      </w:r>
      <w:r w:rsidRPr="002008A8">
        <w:rPr>
          <w:rFonts w:cs="Times New Roman"/>
          <w:szCs w:val="24"/>
        </w:rPr>
        <w:t xml:space="preserve"> Motion to Compel Discovery.</w:t>
      </w:r>
      <w:r w:rsidRPr="002008A8" w:rsidR="00654A68">
        <w:rPr>
          <w:rFonts w:cs="Times New Roman"/>
          <w:szCs w:val="24"/>
        </w:rPr>
        <w:t xml:space="preserve">  OCC filed its Motion Compel Discovery on February 22, 2021.  </w:t>
      </w:r>
      <w:r w:rsidRPr="002008A8" w:rsidR="00CB0D83">
        <w:rPr>
          <w:rFonts w:cs="Times New Roman"/>
          <w:szCs w:val="24"/>
        </w:rPr>
        <w:t xml:space="preserve">With its Memorandum Contra, </w:t>
      </w:r>
      <w:r w:rsidRPr="002008A8" w:rsidR="00C94F47">
        <w:rPr>
          <w:rFonts w:cs="Times New Roman"/>
          <w:szCs w:val="24"/>
        </w:rPr>
        <w:t xml:space="preserve">the </w:t>
      </w:r>
      <w:r w:rsidRPr="002008A8" w:rsidR="00654A68">
        <w:rPr>
          <w:rFonts w:cs="Times New Roman"/>
          <w:szCs w:val="24"/>
        </w:rPr>
        <w:t xml:space="preserve">FirstEnergy </w:t>
      </w:r>
      <w:r w:rsidRPr="002008A8" w:rsidR="00C94F47">
        <w:rPr>
          <w:rFonts w:cs="Times New Roman"/>
          <w:szCs w:val="24"/>
        </w:rPr>
        <w:t xml:space="preserve">Utilities </w:t>
      </w:r>
      <w:r w:rsidRPr="002008A8" w:rsidR="00654A68">
        <w:rPr>
          <w:rFonts w:cs="Times New Roman"/>
          <w:szCs w:val="24"/>
        </w:rPr>
        <w:t xml:space="preserve">continue to </w:t>
      </w:r>
      <w:r w:rsidRPr="002008A8" w:rsidR="00CB0D83">
        <w:rPr>
          <w:rFonts w:cs="Times New Roman"/>
          <w:szCs w:val="24"/>
        </w:rPr>
        <w:t>obstruct</w:t>
      </w:r>
      <w:r w:rsidRPr="002008A8" w:rsidR="00654A68">
        <w:rPr>
          <w:rFonts w:cs="Times New Roman"/>
          <w:szCs w:val="24"/>
        </w:rPr>
        <w:t xml:space="preserve"> the release of information </w:t>
      </w:r>
      <w:r w:rsidRPr="002008A8" w:rsidR="001B1D66">
        <w:rPr>
          <w:rFonts w:cs="Times New Roman"/>
          <w:szCs w:val="24"/>
        </w:rPr>
        <w:t>to the public’s consumer advocate</w:t>
      </w:r>
      <w:r w:rsidRPr="002008A8" w:rsidR="007B0B01">
        <w:rPr>
          <w:rFonts w:cs="Times New Roman"/>
          <w:szCs w:val="24"/>
        </w:rPr>
        <w:t xml:space="preserve">.  </w:t>
      </w:r>
      <w:r w:rsidRPr="002008A8" w:rsidR="00C94F47">
        <w:rPr>
          <w:rFonts w:cs="Times New Roman"/>
          <w:szCs w:val="24"/>
        </w:rPr>
        <w:t>The Utilities’</w:t>
      </w:r>
      <w:r w:rsidRPr="002008A8" w:rsidR="007B0B01">
        <w:rPr>
          <w:rFonts w:cs="Times New Roman"/>
          <w:szCs w:val="24"/>
        </w:rPr>
        <w:t xml:space="preserve"> arguments against OCC’s Motion to Compel Discovery are without merit</w:t>
      </w:r>
      <w:r w:rsidRPr="002008A8" w:rsidR="00A852E1">
        <w:rPr>
          <w:rFonts w:cs="Times New Roman"/>
          <w:szCs w:val="24"/>
        </w:rPr>
        <w:t>. The</w:t>
      </w:r>
      <w:r w:rsidRPr="002008A8" w:rsidR="007B0B01">
        <w:rPr>
          <w:rFonts w:cs="Times New Roman"/>
          <w:szCs w:val="24"/>
        </w:rPr>
        <w:t xml:space="preserve"> PUCO should grant OCC’s Motion</w:t>
      </w:r>
      <w:r w:rsidRPr="002008A8" w:rsidR="00A852E1">
        <w:rPr>
          <w:rFonts w:cs="Times New Roman"/>
          <w:szCs w:val="24"/>
        </w:rPr>
        <w:t xml:space="preserve"> and allow discovery to go forward</w:t>
      </w:r>
      <w:r w:rsidRPr="002008A8" w:rsidR="007B0B01">
        <w:rPr>
          <w:rFonts w:cs="Times New Roman"/>
          <w:szCs w:val="24"/>
        </w:rPr>
        <w:t>.</w:t>
      </w:r>
    </w:p>
    <w:p w:rsidR="00C01F88" w:rsidRPr="002008A8" w:rsidP="00FF2C9A" w14:paraId="1064BC02" w14:textId="45EF5F1E">
      <w:pPr>
        <w:pStyle w:val="Heading1"/>
        <w:rPr>
          <w:rFonts w:ascii="Times New Roman" w:hAnsi="Times New Roman" w:cs="Times New Roman"/>
          <w:szCs w:val="24"/>
        </w:rPr>
      </w:pPr>
      <w:bookmarkStart w:id="2" w:name="_Toc68260594"/>
      <w:r w:rsidRPr="002008A8">
        <w:rPr>
          <w:rFonts w:ascii="Times New Roman" w:hAnsi="Times New Roman" w:cs="Times New Roman"/>
          <w:szCs w:val="24"/>
        </w:rPr>
        <w:t>ARGUMENT</w:t>
      </w:r>
      <w:bookmarkEnd w:id="2"/>
    </w:p>
    <w:p w:rsidR="00C01F88" w:rsidRPr="002008A8" w:rsidP="00FF2C9A" w14:paraId="0B20CE2E" w14:textId="5F6DD64C">
      <w:pPr>
        <w:pStyle w:val="Heading2"/>
        <w:rPr>
          <w:rFonts w:ascii="Times New Roman" w:hAnsi="Times New Roman"/>
        </w:rPr>
      </w:pPr>
      <w:bookmarkStart w:id="3" w:name="_Toc68260595"/>
      <w:r w:rsidRPr="002008A8">
        <w:rPr>
          <w:rFonts w:ascii="Times New Roman" w:hAnsi="Times New Roman"/>
        </w:rPr>
        <w:t>Intervening parties have a right to ample discovery under law and prompt and expeditious discovery under the Administrative Code, and those rights are not dependent on the stage of the proceeding.</w:t>
      </w:r>
      <w:bookmarkEnd w:id="3"/>
    </w:p>
    <w:p w:rsidR="00A87132" w:rsidRPr="002008A8" w:rsidP="00A87132" w14:paraId="13C2FDB3" w14:textId="77777777">
      <w:pPr>
        <w:pStyle w:val="Footer"/>
        <w:tabs>
          <w:tab w:val="clear" w:pos="4680"/>
          <w:tab w:val="clear" w:pos="9360"/>
        </w:tabs>
        <w:ind w:left="1440"/>
        <w:rPr>
          <w:rFonts w:cs="Times New Roman"/>
          <w:b/>
          <w:bCs/>
          <w:szCs w:val="24"/>
        </w:rPr>
      </w:pPr>
    </w:p>
    <w:p w:rsidR="00433C05" w:rsidRPr="002008A8" w:rsidP="00433C05" w14:paraId="7D43BF02" w14:textId="77777777">
      <w:pPr>
        <w:autoSpaceDE w:val="0"/>
        <w:autoSpaceDN w:val="0"/>
        <w:adjustRightInd w:val="0"/>
        <w:spacing w:after="0" w:line="480" w:lineRule="auto"/>
        <w:ind w:firstLine="720"/>
        <w:rPr>
          <w:rFonts w:cs="Times New Roman"/>
          <w:color w:val="000000"/>
          <w:szCs w:val="24"/>
        </w:rPr>
      </w:pPr>
      <w:r w:rsidRPr="002008A8">
        <w:rPr>
          <w:rFonts w:cs="Times New Roman"/>
          <w:szCs w:val="24"/>
        </w:rPr>
        <w:t>OCC, as a party in this proceeding, is entitled to begin discovery “immediately” after a proceeding is commenced under the PUCO rules of discovery.</w:t>
      </w:r>
      <w:r>
        <w:rPr>
          <w:rStyle w:val="FootnoteReference"/>
          <w:rFonts w:cs="Times New Roman"/>
          <w:szCs w:val="24"/>
        </w:rPr>
        <w:footnoteReference w:id="4"/>
      </w:r>
      <w:r w:rsidRPr="002008A8">
        <w:rPr>
          <w:rFonts w:cs="Times New Roman"/>
          <w:szCs w:val="24"/>
        </w:rPr>
        <w:t xml:space="preserve"> This proceeding was commenced by the PUCO in 2017 to review whether Rider DMR revenues collected from customers were being used, directly or indirectly, in support of grid modernization.</w:t>
      </w:r>
      <w:r>
        <w:rPr>
          <w:rStyle w:val="FootnoteReference"/>
          <w:rFonts w:cs="Times New Roman"/>
          <w:szCs w:val="24"/>
        </w:rPr>
        <w:footnoteReference w:id="5"/>
      </w:r>
      <w:r w:rsidRPr="002008A8">
        <w:rPr>
          <w:rFonts w:cs="Times New Roman"/>
          <w:szCs w:val="24"/>
        </w:rPr>
        <w:t xml:space="preserve"> </w:t>
      </w:r>
    </w:p>
    <w:p w:rsidR="00433C05" w:rsidRPr="002008A8" w:rsidP="00696E87" w14:paraId="2B03B04E" w14:textId="77777777">
      <w:pPr>
        <w:autoSpaceDE w:val="0"/>
        <w:autoSpaceDN w:val="0"/>
        <w:adjustRightInd w:val="0"/>
        <w:spacing w:after="0" w:line="480" w:lineRule="auto"/>
        <w:rPr>
          <w:rFonts w:cs="Times New Roman"/>
          <w:color w:val="000000"/>
          <w:szCs w:val="24"/>
        </w:rPr>
      </w:pPr>
      <w:r w:rsidRPr="002008A8">
        <w:rPr>
          <w:rFonts w:cs="Times New Roman"/>
          <w:color w:val="000000"/>
          <w:szCs w:val="24"/>
        </w:rPr>
        <w:tab/>
        <w:t>OCC’s right to discovery is assured by law, rule, and Supreme Court of Ohio (“Court”) precedent.</w:t>
      </w:r>
      <w:r>
        <w:rPr>
          <w:rFonts w:cs="Times New Roman"/>
          <w:color w:val="000000"/>
          <w:szCs w:val="24"/>
          <w:vertAlign w:val="superscript"/>
        </w:rPr>
        <w:footnoteReference w:id="6"/>
      </w:r>
      <w:r w:rsidRPr="002008A8">
        <w:rPr>
          <w:rFonts w:cs="Times New Roman"/>
          <w:color w:val="000000"/>
          <w:szCs w:val="24"/>
        </w:rPr>
        <w:t xml:space="preserve"> OCC is entitled to obtain discovery from the FirstEnergy Utilities at all stages of the proceeding, beginning with when the proceeding is commenced. Further, the Ohio Administrative Code instructs parties to complete discovery “as expeditiously as possible.”</w:t>
      </w:r>
      <w:r>
        <w:rPr>
          <w:rStyle w:val="FootnoteReference"/>
          <w:rFonts w:cs="Times New Roman"/>
          <w:color w:val="000000"/>
          <w:szCs w:val="24"/>
        </w:rPr>
        <w:footnoteReference w:id="7"/>
      </w:r>
    </w:p>
    <w:p w:rsidR="00433C05" w:rsidRPr="002008A8" w:rsidP="00433C05" w14:paraId="478F6E7C" w14:textId="2A347029">
      <w:pPr>
        <w:autoSpaceDE w:val="0"/>
        <w:autoSpaceDN w:val="0"/>
        <w:adjustRightInd w:val="0"/>
        <w:spacing w:after="0" w:line="480" w:lineRule="auto"/>
        <w:ind w:firstLine="720"/>
        <w:rPr>
          <w:rFonts w:cs="Times New Roman"/>
          <w:szCs w:val="24"/>
        </w:rPr>
      </w:pPr>
      <w:r w:rsidRPr="002008A8">
        <w:rPr>
          <w:rFonts w:cs="Times New Roman"/>
          <w:szCs w:val="24"/>
        </w:rPr>
        <w:t>But the FirstEnergy Utilities are denying OCC (and consumers) its legal rights by pursuing tactics to delay and distract. The Utilities argue that no party should be able to conduct discovery in an audit proceeding until after the audit report is filed.</w:t>
      </w:r>
      <w:r>
        <w:rPr>
          <w:rStyle w:val="FootnoteReference"/>
          <w:rFonts w:cs="Times New Roman"/>
          <w:szCs w:val="24"/>
        </w:rPr>
        <w:footnoteReference w:id="8"/>
      </w:r>
      <w:r w:rsidRPr="002008A8">
        <w:rPr>
          <w:rFonts w:cs="Times New Roman"/>
          <w:szCs w:val="24"/>
        </w:rPr>
        <w:t xml:space="preserve">  The Utilities’ arguments cling to a singular ruling by the Attorney Examiner</w:t>
      </w:r>
      <w:r w:rsidRPr="002008A8" w:rsidR="00A852E1">
        <w:rPr>
          <w:rFonts w:cs="Times New Roman"/>
          <w:szCs w:val="24"/>
        </w:rPr>
        <w:t xml:space="preserve">, made earlier </w:t>
      </w:r>
      <w:r w:rsidRPr="002008A8">
        <w:rPr>
          <w:rFonts w:cs="Times New Roman"/>
          <w:szCs w:val="24"/>
        </w:rPr>
        <w:t>in this proceeding</w:t>
      </w:r>
      <w:r w:rsidRPr="002008A8" w:rsidR="00B409E2">
        <w:rPr>
          <w:rFonts w:cs="Times New Roman"/>
          <w:szCs w:val="24"/>
        </w:rPr>
        <w:t>,</w:t>
      </w:r>
      <w:r>
        <w:rPr>
          <w:rStyle w:val="FootnoteReference"/>
          <w:rFonts w:cs="Times New Roman"/>
          <w:szCs w:val="24"/>
        </w:rPr>
        <w:footnoteReference w:id="9"/>
      </w:r>
      <w:r w:rsidRPr="002008A8">
        <w:rPr>
          <w:rFonts w:cs="Times New Roman"/>
          <w:szCs w:val="24"/>
        </w:rPr>
        <w:t xml:space="preserve"> which is clearly distinguishab</w:t>
      </w:r>
      <w:r w:rsidRPr="002008A8" w:rsidR="00A852E1">
        <w:rPr>
          <w:rFonts w:cs="Times New Roman"/>
          <w:szCs w:val="24"/>
        </w:rPr>
        <w:t>le</w:t>
      </w:r>
      <w:r w:rsidRPr="002008A8">
        <w:rPr>
          <w:rFonts w:cs="Times New Roman"/>
          <w:szCs w:val="24"/>
        </w:rPr>
        <w:t xml:space="preserve">.  </w:t>
      </w:r>
    </w:p>
    <w:p w:rsidR="00433C05" w:rsidRPr="002008A8" w:rsidP="00433C05" w14:paraId="648E7631" w14:textId="6E7E24C5">
      <w:pPr>
        <w:autoSpaceDE w:val="0"/>
        <w:autoSpaceDN w:val="0"/>
        <w:adjustRightInd w:val="0"/>
        <w:spacing w:after="0" w:line="480" w:lineRule="auto"/>
        <w:ind w:firstLine="720"/>
        <w:rPr>
          <w:rFonts w:cs="Times New Roman"/>
          <w:szCs w:val="24"/>
        </w:rPr>
      </w:pPr>
      <w:r w:rsidRPr="002008A8">
        <w:rPr>
          <w:rFonts w:cs="Times New Roman"/>
          <w:szCs w:val="24"/>
        </w:rPr>
        <w:t xml:space="preserve">The Utilities claim that </w:t>
      </w:r>
      <w:r w:rsidRPr="002008A8" w:rsidR="00A852E1">
        <w:rPr>
          <w:rFonts w:cs="Times New Roman"/>
          <w:szCs w:val="24"/>
        </w:rPr>
        <w:t xml:space="preserve">in the earlier ruling the </w:t>
      </w:r>
      <w:r w:rsidRPr="002008A8">
        <w:rPr>
          <w:rFonts w:cs="Times New Roman"/>
          <w:szCs w:val="24"/>
        </w:rPr>
        <w:t>“Attorney Examiner did not limit that ruling to any specific factual circumstances.”</w:t>
      </w:r>
      <w:r>
        <w:rPr>
          <w:rStyle w:val="FootnoteReference"/>
          <w:rFonts w:cs="Times New Roman"/>
          <w:szCs w:val="24"/>
        </w:rPr>
        <w:footnoteReference w:id="10"/>
      </w:r>
      <w:r w:rsidRPr="002008A8">
        <w:rPr>
          <w:rFonts w:cs="Times New Roman"/>
          <w:szCs w:val="24"/>
        </w:rPr>
        <w:t xml:space="preserve"> But this interpretation ignores the </w:t>
      </w:r>
      <w:r w:rsidRPr="002008A8" w:rsidR="001B1D66">
        <w:rPr>
          <w:rFonts w:cs="Times New Roman"/>
          <w:szCs w:val="24"/>
        </w:rPr>
        <w:t xml:space="preserve">Attorney Examiner’s </w:t>
      </w:r>
      <w:r w:rsidRPr="002008A8">
        <w:rPr>
          <w:rFonts w:cs="Times New Roman"/>
          <w:szCs w:val="24"/>
        </w:rPr>
        <w:t xml:space="preserve">explicit </w:t>
      </w:r>
      <w:r w:rsidRPr="002008A8" w:rsidR="00A852E1">
        <w:rPr>
          <w:rFonts w:cs="Times New Roman"/>
          <w:szCs w:val="24"/>
        </w:rPr>
        <w:t>ruling</w:t>
      </w:r>
      <w:r w:rsidRPr="002008A8">
        <w:rPr>
          <w:rFonts w:cs="Times New Roman"/>
          <w:szCs w:val="24"/>
        </w:rPr>
        <w:t xml:space="preserve">: “In this case, the filing of an audit report is contingent upon one of two events:  the filing of an extension of the DMR or the termination of the DMR.  </w:t>
      </w:r>
      <w:r w:rsidRPr="002008A8">
        <w:rPr>
          <w:rFonts w:cs="Times New Roman"/>
          <w:i/>
          <w:iCs/>
          <w:szCs w:val="24"/>
        </w:rPr>
        <w:t>Given that no application for extension has been filed and that the DMR has not been terminated, OCC’s motion to compel is premature and should be denie</w:t>
      </w:r>
      <w:r w:rsidRPr="002008A8" w:rsidR="00A852E1">
        <w:rPr>
          <w:rFonts w:cs="Times New Roman"/>
          <w:i/>
          <w:iCs/>
          <w:szCs w:val="24"/>
        </w:rPr>
        <w:t>d</w:t>
      </w:r>
      <w:r w:rsidRPr="002008A8">
        <w:rPr>
          <w:rFonts w:cs="Times New Roman"/>
          <w:szCs w:val="24"/>
        </w:rPr>
        <w:t>.”</w:t>
      </w:r>
      <w:r>
        <w:rPr>
          <w:rStyle w:val="FootnoteReference"/>
          <w:rFonts w:cs="Times New Roman"/>
          <w:szCs w:val="24"/>
        </w:rPr>
        <w:footnoteReference w:id="11"/>
      </w:r>
      <w:r w:rsidRPr="002008A8">
        <w:rPr>
          <w:rFonts w:cs="Times New Roman"/>
          <w:szCs w:val="24"/>
        </w:rPr>
        <w:t xml:space="preserve"> </w:t>
      </w:r>
    </w:p>
    <w:p w:rsidR="00433C05" w:rsidRPr="002008A8" w:rsidP="00433C05" w14:paraId="48592C43" w14:textId="005EA207">
      <w:pPr>
        <w:autoSpaceDE w:val="0"/>
        <w:autoSpaceDN w:val="0"/>
        <w:adjustRightInd w:val="0"/>
        <w:spacing w:after="0" w:line="480" w:lineRule="auto"/>
        <w:ind w:firstLine="720"/>
        <w:rPr>
          <w:rFonts w:cs="Times New Roman"/>
          <w:szCs w:val="24"/>
        </w:rPr>
      </w:pPr>
      <w:r w:rsidRPr="002008A8">
        <w:rPr>
          <w:rFonts w:cs="Times New Roman"/>
          <w:szCs w:val="24"/>
        </w:rPr>
        <w:t>Here, there are no such contingencies to weigh.  The audit is going forward</w:t>
      </w:r>
      <w:r w:rsidRPr="002008A8" w:rsidR="00162CC9">
        <w:rPr>
          <w:rFonts w:cs="Times New Roman"/>
          <w:szCs w:val="24"/>
        </w:rPr>
        <w:t xml:space="preserve"> to provide the PUCO with additional evidence under the reopened proceeding</w:t>
      </w:r>
      <w:r w:rsidRPr="002008A8">
        <w:rPr>
          <w:rFonts w:cs="Times New Roman"/>
          <w:szCs w:val="24"/>
        </w:rPr>
        <w:t xml:space="preserve">.  There is no reason to allow the FirstEnergy Utilities to avoid responding to OCC’s discovery until after there is a second audit report. </w:t>
      </w:r>
    </w:p>
    <w:p w:rsidR="00433C05" w:rsidRPr="002008A8" w:rsidP="00433C05" w14:paraId="2003E6DA" w14:textId="0AE624A9">
      <w:pPr>
        <w:pStyle w:val="Footer"/>
        <w:tabs>
          <w:tab w:val="clear" w:pos="4680"/>
          <w:tab w:val="clear" w:pos="9360"/>
        </w:tabs>
        <w:spacing w:line="480" w:lineRule="auto"/>
        <w:ind w:firstLine="720"/>
        <w:rPr>
          <w:rFonts w:cs="Times New Roman"/>
          <w:szCs w:val="24"/>
        </w:rPr>
      </w:pPr>
      <w:r w:rsidRPr="002008A8">
        <w:rPr>
          <w:rFonts w:cs="Times New Roman"/>
          <w:szCs w:val="24"/>
        </w:rPr>
        <w:t xml:space="preserve">In contrast, there are other PUCO rulings </w:t>
      </w:r>
      <w:r w:rsidRPr="002008A8" w:rsidR="00B409E2">
        <w:rPr>
          <w:rFonts w:cs="Times New Roman"/>
          <w:szCs w:val="24"/>
        </w:rPr>
        <w:t xml:space="preserve">that </w:t>
      </w:r>
      <w:r w:rsidRPr="002008A8">
        <w:rPr>
          <w:rFonts w:cs="Times New Roman"/>
          <w:szCs w:val="24"/>
        </w:rPr>
        <w:t>have taken a more consistent and sensible approach to discovery</w:t>
      </w:r>
      <w:r w:rsidRPr="002008A8" w:rsidR="00CB0D83">
        <w:rPr>
          <w:rFonts w:cs="Times New Roman"/>
          <w:szCs w:val="24"/>
        </w:rPr>
        <w:t>,</w:t>
      </w:r>
      <w:r w:rsidRPr="002008A8">
        <w:rPr>
          <w:rFonts w:cs="Times New Roman"/>
          <w:szCs w:val="24"/>
        </w:rPr>
        <w:t xml:space="preserve"> </w:t>
      </w:r>
      <w:r w:rsidRPr="002008A8" w:rsidR="00CB0D83">
        <w:rPr>
          <w:rFonts w:cs="Times New Roman"/>
          <w:szCs w:val="24"/>
        </w:rPr>
        <w:t xml:space="preserve">as </w:t>
      </w:r>
      <w:r w:rsidRPr="002008A8">
        <w:rPr>
          <w:rFonts w:cs="Times New Roman"/>
          <w:szCs w:val="24"/>
        </w:rPr>
        <w:t>mentioned in OCC’s Motion to Compel</w:t>
      </w:r>
      <w:r w:rsidRPr="002008A8" w:rsidR="00CB0D83">
        <w:rPr>
          <w:rFonts w:cs="Times New Roman"/>
          <w:szCs w:val="24"/>
        </w:rPr>
        <w:t>.</w:t>
      </w:r>
      <w:r w:rsidRPr="002008A8">
        <w:rPr>
          <w:rFonts w:cs="Times New Roman"/>
          <w:szCs w:val="24"/>
        </w:rPr>
        <w:t xml:space="preserve"> </w:t>
      </w:r>
    </w:p>
    <w:p w:rsidR="00433C05" w:rsidRPr="002008A8" w:rsidP="00433C05" w14:paraId="50BBEADF" w14:textId="77777777">
      <w:pPr>
        <w:pStyle w:val="Footer"/>
        <w:tabs>
          <w:tab w:val="clear" w:pos="4680"/>
          <w:tab w:val="clear" w:pos="9360"/>
        </w:tabs>
        <w:spacing w:line="480" w:lineRule="auto"/>
        <w:ind w:firstLine="720"/>
        <w:rPr>
          <w:rFonts w:cs="Times New Roman"/>
          <w:szCs w:val="24"/>
        </w:rPr>
      </w:pPr>
      <w:r w:rsidRPr="002008A8">
        <w:rPr>
          <w:rFonts w:cs="Times New Roman"/>
          <w:szCs w:val="24"/>
        </w:rPr>
        <w:t>In 2012, in a similar discovery dispute over when OCC’s rights to discovery begin, the PUCO denied Columbia Gas of Ohio, Inc.’s (Columbia) motion for a stay of discovery.</w:t>
      </w:r>
      <w:r>
        <w:rPr>
          <w:rStyle w:val="FootnoteReference"/>
          <w:rFonts w:cs="Times New Roman"/>
          <w:szCs w:val="24"/>
        </w:rPr>
        <w:footnoteReference w:id="12"/>
      </w:r>
      <w:r w:rsidRPr="002008A8">
        <w:rPr>
          <w:rFonts w:cs="Times New Roman"/>
          <w:szCs w:val="24"/>
        </w:rPr>
        <w:t xml:space="preserve"> Columbia argued that OCC’s discovery was “premature,” given that the PUCO had not set a procedural schedule in the case.</w:t>
      </w:r>
      <w:r>
        <w:rPr>
          <w:rStyle w:val="FootnoteReference"/>
          <w:rFonts w:cs="Times New Roman"/>
          <w:szCs w:val="24"/>
        </w:rPr>
        <w:footnoteReference w:id="13"/>
      </w:r>
      <w:r w:rsidRPr="002008A8">
        <w:rPr>
          <w:rFonts w:cs="Times New Roman"/>
          <w:szCs w:val="24"/>
        </w:rPr>
        <w:t xml:space="preserve"> Columbia claimed that without a procedural schedule it is impossible to know whether OCC‘s discovery requests are relevant or likely to lead to the discovery of admissible evidence.</w:t>
      </w:r>
      <w:r>
        <w:rPr>
          <w:rStyle w:val="FootnoteReference"/>
          <w:rFonts w:cs="Times New Roman"/>
          <w:szCs w:val="24"/>
        </w:rPr>
        <w:footnoteReference w:id="14"/>
      </w:r>
      <w:r w:rsidRPr="002008A8">
        <w:rPr>
          <w:rFonts w:cs="Times New Roman"/>
          <w:szCs w:val="24"/>
        </w:rPr>
        <w:t xml:space="preserve"> Columbia’s argument is strikingly familiar to the argument that the FirstEnergy Utilities now make where they claim that until the final audit is issued,  parties “could not possibly determine what evidence would be relevant.”</w:t>
      </w:r>
      <w:r>
        <w:rPr>
          <w:rStyle w:val="FootnoteReference"/>
          <w:rFonts w:cs="Times New Roman"/>
          <w:szCs w:val="24"/>
        </w:rPr>
        <w:footnoteReference w:id="15"/>
      </w:r>
      <w:r w:rsidRPr="002008A8">
        <w:rPr>
          <w:rFonts w:cs="Times New Roman"/>
          <w:szCs w:val="24"/>
        </w:rPr>
        <w:t xml:space="preserve">  </w:t>
      </w:r>
    </w:p>
    <w:p w:rsidR="00433C05" w:rsidRPr="002008A8" w:rsidP="00433C05" w14:paraId="542E5742" w14:textId="77777777">
      <w:pPr>
        <w:pStyle w:val="Footer"/>
        <w:tabs>
          <w:tab w:val="clear" w:pos="4680"/>
          <w:tab w:val="clear" w:pos="9360"/>
        </w:tabs>
        <w:spacing w:line="480" w:lineRule="auto"/>
        <w:ind w:firstLine="720"/>
        <w:rPr>
          <w:rFonts w:cs="Times New Roman"/>
          <w:szCs w:val="24"/>
        </w:rPr>
      </w:pPr>
      <w:r w:rsidRPr="002008A8">
        <w:rPr>
          <w:rFonts w:cs="Times New Roman"/>
          <w:szCs w:val="24"/>
        </w:rPr>
        <w:t xml:space="preserve">The PUCO summarily denied Columbia’s motion. It noted that the discovery process is required </w:t>
      </w:r>
      <w:r w:rsidRPr="002008A8">
        <w:rPr>
          <w:rFonts w:cs="Times New Roman"/>
          <w:szCs w:val="24"/>
          <w:lang w:val="x-none"/>
        </w:rPr>
        <w:t>under the law and P</w:t>
      </w:r>
      <w:r w:rsidRPr="002008A8">
        <w:rPr>
          <w:rFonts w:cs="Times New Roman"/>
          <w:szCs w:val="24"/>
        </w:rPr>
        <w:t>U</w:t>
      </w:r>
      <w:r w:rsidRPr="002008A8">
        <w:rPr>
          <w:rFonts w:cs="Times New Roman"/>
          <w:szCs w:val="24"/>
          <w:lang w:val="x-none"/>
        </w:rPr>
        <w:t>CO rule</w:t>
      </w:r>
      <w:r w:rsidRPr="002008A8">
        <w:rPr>
          <w:rFonts w:cs="Times New Roman"/>
          <w:szCs w:val="24"/>
        </w:rPr>
        <w:t xml:space="preserve"> and</w:t>
      </w:r>
      <w:r w:rsidRPr="002008A8">
        <w:rPr>
          <w:rFonts w:cs="Times New Roman"/>
          <w:szCs w:val="24"/>
          <w:lang w:val="x-none"/>
        </w:rPr>
        <w:t xml:space="preserve"> may begin immediately after a proceeding commences</w:t>
      </w:r>
      <w:r w:rsidRPr="002008A8">
        <w:rPr>
          <w:rFonts w:cs="Times New Roman"/>
          <w:szCs w:val="24"/>
        </w:rPr>
        <w:t>.</w:t>
      </w:r>
      <w:r>
        <w:rPr>
          <w:rStyle w:val="FootnoteReference"/>
          <w:rFonts w:cs="Times New Roman"/>
          <w:szCs w:val="24"/>
        </w:rPr>
        <w:footnoteReference w:id="16"/>
      </w:r>
      <w:r w:rsidRPr="002008A8">
        <w:rPr>
          <w:rFonts w:cs="Times New Roman"/>
          <w:szCs w:val="24"/>
        </w:rPr>
        <w:t xml:space="preserve"> It observed that discovery is </w:t>
      </w:r>
      <w:r w:rsidRPr="002008A8">
        <w:rPr>
          <w:rFonts w:cs="Times New Roman"/>
          <w:szCs w:val="24"/>
          <w:lang w:val="x-none"/>
        </w:rPr>
        <w:t xml:space="preserve">beneficial because it </w:t>
      </w:r>
      <w:r w:rsidRPr="002008A8">
        <w:rPr>
          <w:rFonts w:cs="Times New Roman"/>
          <w:szCs w:val="24"/>
        </w:rPr>
        <w:t>places the PUCO in a position of being</w:t>
      </w:r>
      <w:r w:rsidRPr="002008A8">
        <w:rPr>
          <w:rFonts w:cs="Times New Roman"/>
          <w:szCs w:val="24"/>
          <w:lang w:val="x-none"/>
        </w:rPr>
        <w:t xml:space="preserve"> informed </w:t>
      </w:r>
      <w:r w:rsidRPr="002008A8">
        <w:rPr>
          <w:rFonts w:cs="Times New Roman"/>
          <w:szCs w:val="24"/>
        </w:rPr>
        <w:t>of the matters in the case.</w:t>
      </w:r>
      <w:r>
        <w:rPr>
          <w:rStyle w:val="FootnoteReference"/>
          <w:rFonts w:cs="Times New Roman"/>
          <w:szCs w:val="24"/>
        </w:rPr>
        <w:footnoteReference w:id="17"/>
      </w:r>
      <w:r w:rsidRPr="002008A8">
        <w:rPr>
          <w:rFonts w:cs="Times New Roman"/>
          <w:szCs w:val="24"/>
        </w:rPr>
        <w:t xml:space="preserve"> The PUCO ruled that even though it had not determined what further process to follow, parties should be permitted to continue the discovery process.</w:t>
      </w:r>
      <w:r>
        <w:rPr>
          <w:rStyle w:val="FootnoteReference"/>
          <w:rFonts w:cs="Times New Roman"/>
          <w:szCs w:val="24"/>
        </w:rPr>
        <w:footnoteReference w:id="18"/>
      </w:r>
    </w:p>
    <w:p w:rsidR="00433C05" w:rsidRPr="002008A8" w:rsidP="00433C05" w14:paraId="10D66E8C" w14:textId="77777777">
      <w:pPr>
        <w:pStyle w:val="Footer"/>
        <w:tabs>
          <w:tab w:val="clear" w:pos="4680"/>
          <w:tab w:val="clear" w:pos="9360"/>
        </w:tabs>
        <w:spacing w:line="480" w:lineRule="auto"/>
        <w:ind w:firstLine="720"/>
        <w:rPr>
          <w:rFonts w:cs="Times New Roman"/>
          <w:szCs w:val="24"/>
        </w:rPr>
      </w:pPr>
      <w:r w:rsidRPr="002008A8">
        <w:rPr>
          <w:rFonts w:cs="Times New Roman"/>
          <w:szCs w:val="24"/>
        </w:rPr>
        <w:t>And in 2017, the PUCO denied a similar utility motion that sought to preclude OCC from obtaining discovery before an audit report was filed.</w:t>
      </w:r>
      <w:r>
        <w:rPr>
          <w:rStyle w:val="FootnoteReference"/>
          <w:rFonts w:cs="Times New Roman"/>
          <w:szCs w:val="24"/>
        </w:rPr>
        <w:footnoteReference w:id="19"/>
      </w:r>
      <w:r w:rsidRPr="002008A8">
        <w:rPr>
          <w:rFonts w:cs="Times New Roman"/>
          <w:szCs w:val="24"/>
        </w:rPr>
        <w:t xml:space="preserve"> The attorney examiner declared that “no statute or Commission rule prohibits OCC from engaging in discovery in these audit proceedings or otherwise limits OCC’s right to conduct discovery before audit reports are filed.”</w:t>
      </w:r>
      <w:r>
        <w:rPr>
          <w:rStyle w:val="FootnoteReference"/>
          <w:rFonts w:cs="Times New Roman"/>
          <w:szCs w:val="24"/>
        </w:rPr>
        <w:footnoteReference w:id="20"/>
      </w:r>
      <w:r w:rsidRPr="002008A8">
        <w:rPr>
          <w:rFonts w:cs="Times New Roman"/>
          <w:szCs w:val="24"/>
        </w:rPr>
        <w:t xml:space="preserve"> Here, the PUCO should follow the rules, the law, and this PUCO precedent to allow discovery to go forward now, not months from now. </w:t>
      </w:r>
    </w:p>
    <w:p w:rsidR="00433C05" w:rsidRPr="002008A8" w:rsidP="00433C05" w14:paraId="0D5BB619" w14:textId="14172028">
      <w:pPr>
        <w:pStyle w:val="Footer"/>
        <w:tabs>
          <w:tab w:val="clear" w:pos="4680"/>
          <w:tab w:val="clear" w:pos="9360"/>
        </w:tabs>
        <w:spacing w:line="480" w:lineRule="auto"/>
        <w:ind w:firstLine="720"/>
        <w:rPr>
          <w:rFonts w:cs="Times New Roman"/>
          <w:color w:val="000000"/>
          <w:szCs w:val="24"/>
        </w:rPr>
      </w:pPr>
      <w:r w:rsidRPr="002008A8">
        <w:rPr>
          <w:rFonts w:cs="Times New Roman"/>
          <w:szCs w:val="24"/>
        </w:rPr>
        <w:t xml:space="preserve">Also, the </w:t>
      </w:r>
      <w:r w:rsidRPr="002008A8">
        <w:rPr>
          <w:rFonts w:cs="Times New Roman"/>
          <w:color w:val="000000"/>
          <w:szCs w:val="24"/>
        </w:rPr>
        <w:t>FirstEnergy Utilities protest that OCC has not established any need for immediate discovery.</w:t>
      </w:r>
      <w:r>
        <w:rPr>
          <w:rStyle w:val="FootnoteReference"/>
          <w:rFonts w:cs="Times New Roman"/>
          <w:color w:val="000000"/>
          <w:szCs w:val="24"/>
        </w:rPr>
        <w:footnoteReference w:id="21"/>
      </w:r>
      <w:r w:rsidRPr="002008A8">
        <w:rPr>
          <w:rFonts w:cs="Times New Roman"/>
          <w:color w:val="000000"/>
          <w:szCs w:val="24"/>
        </w:rPr>
        <w:t xml:space="preserve"> That is</w:t>
      </w:r>
      <w:r w:rsidRPr="002008A8" w:rsidR="00DA30FF">
        <w:rPr>
          <w:rFonts w:cs="Times New Roman"/>
          <w:color w:val="000000"/>
          <w:szCs w:val="24"/>
        </w:rPr>
        <w:t xml:space="preserve"> </w:t>
      </w:r>
      <w:r w:rsidRPr="002008A8" w:rsidR="00E7668C">
        <w:rPr>
          <w:rFonts w:cs="Times New Roman"/>
          <w:color w:val="000000"/>
          <w:szCs w:val="24"/>
        </w:rPr>
        <w:t>self-serving and nonsensical</w:t>
      </w:r>
      <w:r w:rsidRPr="002008A8">
        <w:rPr>
          <w:rFonts w:cs="Times New Roman"/>
          <w:color w:val="000000"/>
          <w:szCs w:val="24"/>
        </w:rPr>
        <w:t xml:space="preserve">. First, the PUCO’s Rule 16 encourages prompt and expeditious discovery, without the FirstEnergy Utilities’ claimed condition precedent (need) for discovery. In any event, OCC has a need and a right to prepare its case. And preparing a case against the FirstEnergy Utilities’ delay and distract tactics is a lengthy and drawn-out process as we have seen over the past </w:t>
      </w:r>
      <w:r w:rsidR="00334EE1">
        <w:rPr>
          <w:rFonts w:cs="Times New Roman"/>
          <w:color w:val="000000"/>
          <w:szCs w:val="24"/>
        </w:rPr>
        <w:t>three</w:t>
      </w:r>
      <w:r w:rsidRPr="002008A8">
        <w:rPr>
          <w:rFonts w:cs="Times New Roman"/>
          <w:color w:val="000000"/>
          <w:szCs w:val="24"/>
        </w:rPr>
        <w:t xml:space="preserve"> months in this case and the other two PUCO investigations.  </w:t>
      </w:r>
    </w:p>
    <w:p w:rsidR="00433C05" w:rsidRPr="002008A8" w:rsidP="00433C05" w14:paraId="12658A44" w14:textId="3A6CA1F2">
      <w:pPr>
        <w:pStyle w:val="Footer"/>
        <w:tabs>
          <w:tab w:val="clear" w:pos="4680"/>
          <w:tab w:val="clear" w:pos="9360"/>
        </w:tabs>
        <w:spacing w:line="480" w:lineRule="auto"/>
        <w:ind w:firstLine="720"/>
        <w:rPr>
          <w:rFonts w:cs="Times New Roman"/>
          <w:color w:val="000000"/>
          <w:szCs w:val="24"/>
        </w:rPr>
      </w:pPr>
      <w:r w:rsidRPr="002008A8">
        <w:rPr>
          <w:rFonts w:cs="Times New Roman"/>
          <w:color w:val="000000"/>
          <w:szCs w:val="24"/>
        </w:rPr>
        <w:t xml:space="preserve">Indeed, </w:t>
      </w:r>
      <w:r w:rsidRPr="002008A8" w:rsidR="002952A1">
        <w:rPr>
          <w:rFonts w:cs="Times New Roman"/>
          <w:color w:val="000000"/>
          <w:szCs w:val="24"/>
        </w:rPr>
        <w:t xml:space="preserve">OCC has </w:t>
      </w:r>
      <w:r w:rsidRPr="002008A8">
        <w:rPr>
          <w:rFonts w:cs="Times New Roman"/>
          <w:color w:val="000000"/>
          <w:szCs w:val="24"/>
        </w:rPr>
        <w:t>learned in the past that we must press discovery lest the PUCO decide a case before we can even fully pursue discovery, such as the PUCO’s approach in the FirstEnergy Advisors case (which NOPEC and OCC both have appealed).</w:t>
      </w:r>
      <w:r>
        <w:rPr>
          <w:rStyle w:val="FootnoteReference"/>
          <w:rFonts w:cs="Times New Roman"/>
          <w:color w:val="000000"/>
          <w:szCs w:val="24"/>
        </w:rPr>
        <w:footnoteReference w:id="22"/>
      </w:r>
      <w:r w:rsidRPr="002008A8">
        <w:rPr>
          <w:rFonts w:cs="Times New Roman"/>
          <w:color w:val="000000"/>
          <w:szCs w:val="24"/>
        </w:rPr>
        <w:t xml:space="preserve"> Another example is where the PUCO protected PALMco, an energy services marketer, from OCC discovery by denying OCC’s motion to compel on the basis that OCC had not pursued discovery early enough.</w:t>
      </w:r>
      <w:r>
        <w:rPr>
          <w:rStyle w:val="FootnoteReference"/>
          <w:rFonts w:cs="Times New Roman"/>
          <w:color w:val="000000"/>
          <w:szCs w:val="24"/>
        </w:rPr>
        <w:footnoteReference w:id="23"/>
      </w:r>
      <w:r w:rsidRPr="002008A8">
        <w:rPr>
          <w:rFonts w:cs="Times New Roman"/>
          <w:color w:val="000000"/>
          <w:szCs w:val="24"/>
        </w:rPr>
        <w:t xml:space="preserve"> So, contrary to the FirstEnergy Utilities’ claims for delay, we are compliant with PUCO expectations – and with our rights under law.</w:t>
      </w:r>
    </w:p>
    <w:p w:rsidR="00433C05" w:rsidRPr="002008A8" w:rsidP="00433C05" w14:paraId="5C761A7C" w14:textId="0FBDAB29">
      <w:pPr>
        <w:pStyle w:val="Footer"/>
        <w:tabs>
          <w:tab w:val="clear" w:pos="4680"/>
          <w:tab w:val="clear" w:pos="9360"/>
        </w:tabs>
        <w:spacing w:line="480" w:lineRule="auto"/>
        <w:ind w:firstLine="720"/>
        <w:rPr>
          <w:rFonts w:cs="Times New Roman"/>
          <w:color w:val="000000"/>
          <w:szCs w:val="24"/>
        </w:rPr>
      </w:pPr>
      <w:r w:rsidRPr="002008A8">
        <w:rPr>
          <w:rFonts w:cs="Times New Roman"/>
          <w:color w:val="000000"/>
          <w:szCs w:val="24"/>
        </w:rPr>
        <w:t xml:space="preserve">Further, </w:t>
      </w:r>
      <w:r w:rsidRPr="002008A8" w:rsidR="002952A1">
        <w:rPr>
          <w:rFonts w:cs="Times New Roman"/>
          <w:color w:val="000000"/>
          <w:szCs w:val="24"/>
        </w:rPr>
        <w:t xml:space="preserve">OCC is </w:t>
      </w:r>
      <w:r w:rsidRPr="002008A8">
        <w:rPr>
          <w:rFonts w:cs="Times New Roman"/>
          <w:color w:val="000000"/>
          <w:szCs w:val="24"/>
        </w:rPr>
        <w:t xml:space="preserve">pursuing discovery when the potential for preservation of evidence is greater than lesser. In this regard, it has been reported that FirstEnergy officials, including officials who may have knowledge about issues OCC is raising, have been severed from </w:t>
      </w:r>
      <w:r w:rsidRPr="002008A8" w:rsidR="00C94F47">
        <w:rPr>
          <w:rFonts w:cs="Times New Roman"/>
          <w:color w:val="000000"/>
          <w:szCs w:val="24"/>
        </w:rPr>
        <w:t>FirstEnergy</w:t>
      </w:r>
      <w:r w:rsidRPr="002008A8">
        <w:rPr>
          <w:rFonts w:cs="Times New Roman"/>
          <w:color w:val="000000"/>
          <w:szCs w:val="24"/>
        </w:rPr>
        <w:t xml:space="preserve">. More may follow those exits. Delay can create challenges for OCC to later gain access to officials who no longer are employees of FirstEnergy but who may have knowledge of relevant events.  </w:t>
      </w:r>
    </w:p>
    <w:p w:rsidR="00433C05" w:rsidRPr="002008A8" w:rsidP="00433C05" w14:paraId="39E2E156" w14:textId="39520DA9">
      <w:pPr>
        <w:pStyle w:val="Footer"/>
        <w:tabs>
          <w:tab w:val="clear" w:pos="4680"/>
          <w:tab w:val="clear" w:pos="9360"/>
        </w:tabs>
        <w:spacing w:line="480" w:lineRule="auto"/>
        <w:ind w:firstLine="720"/>
        <w:rPr>
          <w:rFonts w:cs="Times New Roman"/>
          <w:szCs w:val="24"/>
          <w:lang w:val="x-none"/>
        </w:rPr>
      </w:pPr>
      <w:r w:rsidRPr="002008A8">
        <w:rPr>
          <w:rFonts w:cs="Times New Roman"/>
          <w:color w:val="000000"/>
          <w:szCs w:val="24"/>
        </w:rPr>
        <w:t>Of course, the FirstEnergy Utilities would be aware that delay can</w:t>
      </w:r>
      <w:r w:rsidRPr="002008A8" w:rsidR="00CB0D83">
        <w:rPr>
          <w:rFonts w:cs="Times New Roman"/>
          <w:color w:val="000000"/>
          <w:szCs w:val="24"/>
        </w:rPr>
        <w:t xml:space="preserve"> work for them, to</w:t>
      </w:r>
      <w:r w:rsidRPr="002008A8">
        <w:rPr>
          <w:rFonts w:cs="Times New Roman"/>
          <w:color w:val="000000"/>
          <w:szCs w:val="24"/>
        </w:rPr>
        <w:t xml:space="preserve"> help avoid accountability. The PUCO should not be accommodating for such delay tactics.  </w:t>
      </w:r>
    </w:p>
    <w:p w:rsidR="00433C05" w:rsidRPr="002008A8" w:rsidP="007A35EE" w14:paraId="4FEB755C" w14:textId="1BE2DB4C">
      <w:pPr>
        <w:pStyle w:val="Heading2"/>
        <w:rPr>
          <w:rStyle w:val="Heading2Char"/>
          <w:rFonts w:ascii="Times New Roman" w:hAnsi="Times New Roman"/>
          <w:b/>
          <w:bCs/>
        </w:rPr>
      </w:pPr>
      <w:bookmarkStart w:id="4" w:name="_Toc66712298"/>
      <w:bookmarkStart w:id="5" w:name="_Toc68260596"/>
      <w:r w:rsidRPr="002008A8">
        <w:rPr>
          <w:rStyle w:val="Heading2Char"/>
          <w:rFonts w:ascii="Times New Roman" w:hAnsi="Times New Roman"/>
          <w:b/>
          <w:bCs/>
        </w:rPr>
        <w:t>Any balance between parties</w:t>
      </w:r>
      <w:r w:rsidRPr="002008A8" w:rsidR="00DA30FF">
        <w:rPr>
          <w:rStyle w:val="Heading2Char"/>
          <w:rFonts w:ascii="Times New Roman" w:hAnsi="Times New Roman"/>
          <w:b/>
          <w:bCs/>
        </w:rPr>
        <w:t>’</w:t>
      </w:r>
      <w:r w:rsidRPr="002008A8">
        <w:rPr>
          <w:rStyle w:val="Heading2Char"/>
          <w:rFonts w:ascii="Times New Roman" w:hAnsi="Times New Roman"/>
          <w:b/>
          <w:bCs/>
        </w:rPr>
        <w:t xml:space="preserve"> rights to discovery and an </w:t>
      </w:r>
      <w:r w:rsidRPr="002008A8" w:rsidR="002952A1">
        <w:rPr>
          <w:rStyle w:val="Heading2Char"/>
          <w:rFonts w:ascii="Times New Roman" w:hAnsi="Times New Roman"/>
          <w:b/>
          <w:bCs/>
        </w:rPr>
        <w:t>“</w:t>
      </w:r>
      <w:r w:rsidRPr="002008A8">
        <w:rPr>
          <w:rStyle w:val="Heading2Char"/>
          <w:rFonts w:ascii="Times New Roman" w:hAnsi="Times New Roman"/>
          <w:b/>
          <w:bCs/>
        </w:rPr>
        <w:t>orderly</w:t>
      </w:r>
      <w:r w:rsidRPr="002008A8" w:rsidR="002952A1">
        <w:rPr>
          <w:rStyle w:val="Heading2Char"/>
          <w:rFonts w:ascii="Times New Roman" w:hAnsi="Times New Roman"/>
          <w:b/>
          <w:bCs/>
        </w:rPr>
        <w:t>”</w:t>
      </w:r>
      <w:r w:rsidRPr="002008A8">
        <w:rPr>
          <w:rStyle w:val="Heading2Char"/>
          <w:rFonts w:ascii="Times New Roman" w:hAnsi="Times New Roman"/>
          <w:b/>
          <w:bCs/>
        </w:rPr>
        <w:t xml:space="preserve"> audit process must be in favor of</w:t>
      </w:r>
      <w:bookmarkEnd w:id="4"/>
      <w:r w:rsidRPr="002008A8">
        <w:rPr>
          <w:rStyle w:val="Heading2Char"/>
          <w:rFonts w:ascii="Times New Roman" w:hAnsi="Times New Roman"/>
          <w:b/>
          <w:bCs/>
        </w:rPr>
        <w:t xml:space="preserve"> discovery.</w:t>
      </w:r>
      <w:bookmarkEnd w:id="5"/>
    </w:p>
    <w:p w:rsidR="007A35EE" w:rsidRPr="002008A8" w:rsidP="007A35EE" w14:paraId="60673588" w14:textId="77777777">
      <w:pPr>
        <w:autoSpaceDE w:val="0"/>
        <w:autoSpaceDN w:val="0"/>
        <w:adjustRightInd w:val="0"/>
        <w:spacing w:after="0" w:line="240" w:lineRule="auto"/>
        <w:ind w:firstLine="720"/>
        <w:rPr>
          <w:rFonts w:cs="Times New Roman"/>
          <w:szCs w:val="24"/>
        </w:rPr>
      </w:pPr>
    </w:p>
    <w:p w:rsidR="00433C05" w:rsidRPr="002008A8" w:rsidP="00433C05" w14:paraId="17023173" w14:textId="41C93E48">
      <w:pPr>
        <w:autoSpaceDE w:val="0"/>
        <w:autoSpaceDN w:val="0"/>
        <w:adjustRightInd w:val="0"/>
        <w:spacing w:after="0" w:line="480" w:lineRule="auto"/>
        <w:ind w:firstLine="720"/>
        <w:rPr>
          <w:rFonts w:cs="Times New Roman"/>
          <w:szCs w:val="24"/>
        </w:rPr>
      </w:pPr>
      <w:r w:rsidRPr="002008A8">
        <w:rPr>
          <w:rFonts w:cs="Times New Roman"/>
          <w:szCs w:val="24"/>
        </w:rPr>
        <w:t>The Utilities claim that blocking parties’ discovery until after the audit report is a more “orderly” approach that balances the need for an “efficient and orderly audit process” with a par</w:t>
      </w:r>
      <w:r w:rsidRPr="002008A8" w:rsidR="00DA30FF">
        <w:rPr>
          <w:rFonts w:cs="Times New Roman"/>
          <w:szCs w:val="24"/>
        </w:rPr>
        <w:t xml:space="preserve">ty’s </w:t>
      </w:r>
      <w:r w:rsidRPr="002008A8">
        <w:rPr>
          <w:rFonts w:cs="Times New Roman"/>
          <w:szCs w:val="24"/>
        </w:rPr>
        <w:t>rights to discovery.</w:t>
      </w:r>
      <w:r>
        <w:rPr>
          <w:rStyle w:val="FootnoteReference"/>
          <w:rFonts w:cs="Times New Roman"/>
          <w:szCs w:val="24"/>
        </w:rPr>
        <w:footnoteReference w:id="24"/>
      </w:r>
      <w:r w:rsidRPr="002008A8">
        <w:rPr>
          <w:rFonts w:cs="Times New Roman"/>
          <w:szCs w:val="24"/>
        </w:rPr>
        <w:t xml:space="preserve">  These arguments are easily overcome.</w:t>
      </w:r>
    </w:p>
    <w:p w:rsidR="00433C05" w:rsidRPr="002008A8" w:rsidP="00433C05" w14:paraId="4A2FD940" w14:textId="40FB4C85">
      <w:pPr>
        <w:autoSpaceDE w:val="0"/>
        <w:autoSpaceDN w:val="0"/>
        <w:adjustRightInd w:val="0"/>
        <w:spacing w:after="0" w:line="480" w:lineRule="auto"/>
        <w:ind w:firstLine="720"/>
        <w:rPr>
          <w:rFonts w:cs="Times New Roman"/>
          <w:szCs w:val="24"/>
          <w:u w:val="single"/>
        </w:rPr>
      </w:pPr>
      <w:r w:rsidRPr="002008A8">
        <w:rPr>
          <w:rFonts w:cs="Times New Roman"/>
          <w:szCs w:val="24"/>
        </w:rPr>
        <w:t xml:space="preserve">First, OCC’s discovery is not interfering with the audit process.  OCC has served one set of discovery in this case since it has reopened.  That discovery set consisted of </w:t>
      </w:r>
      <w:r w:rsidRPr="002008A8" w:rsidR="001770C6">
        <w:rPr>
          <w:rFonts w:cs="Times New Roman"/>
          <w:szCs w:val="24"/>
        </w:rPr>
        <w:t xml:space="preserve">20 </w:t>
      </w:r>
      <w:r w:rsidRPr="002008A8">
        <w:rPr>
          <w:rFonts w:cs="Times New Roman"/>
          <w:szCs w:val="24"/>
        </w:rPr>
        <w:t xml:space="preserve">interrogatories, five requests for admission and </w:t>
      </w:r>
      <w:r w:rsidRPr="002008A8" w:rsidR="001770C6">
        <w:rPr>
          <w:rFonts w:cs="Times New Roman"/>
          <w:szCs w:val="24"/>
        </w:rPr>
        <w:t xml:space="preserve">18 </w:t>
      </w:r>
      <w:r w:rsidRPr="002008A8">
        <w:rPr>
          <w:rFonts w:cs="Times New Roman"/>
          <w:szCs w:val="24"/>
        </w:rPr>
        <w:t xml:space="preserve">requests for production.  </w:t>
      </w:r>
      <w:r w:rsidRPr="002008A8">
        <w:rPr>
          <w:rFonts w:cs="Times New Roman"/>
          <w:szCs w:val="24"/>
          <w:u w:val="single"/>
        </w:rPr>
        <w:t xml:space="preserve">Every single discovery request in this second set was objected to, and no answers were provided at all.  None.  </w:t>
      </w:r>
    </w:p>
    <w:p w:rsidR="00433C05" w:rsidRPr="002008A8" w:rsidP="00433C05" w14:paraId="28AE493D" w14:textId="03B35147">
      <w:pPr>
        <w:autoSpaceDE w:val="0"/>
        <w:autoSpaceDN w:val="0"/>
        <w:adjustRightInd w:val="0"/>
        <w:spacing w:after="0" w:line="480" w:lineRule="auto"/>
        <w:ind w:firstLine="720"/>
        <w:rPr>
          <w:rFonts w:cs="Times New Roman"/>
          <w:szCs w:val="24"/>
        </w:rPr>
      </w:pPr>
      <w:r w:rsidRPr="002008A8">
        <w:rPr>
          <w:rFonts w:cs="Times New Roman"/>
          <w:szCs w:val="24"/>
        </w:rPr>
        <w:t xml:space="preserve">There is no reason why the FirstEnergy Utilities cannot answer OCC’s discovery now and still participate in an efficient and orderly audit process.  Tellingly, the utilities made no claim that OCC’s discovery will interfere with the audit.  If this were true </w:t>
      </w:r>
      <w:r w:rsidRPr="002008A8" w:rsidR="00162CC9">
        <w:rPr>
          <w:rFonts w:cs="Times New Roman"/>
          <w:szCs w:val="24"/>
        </w:rPr>
        <w:t>(</w:t>
      </w:r>
      <w:r w:rsidRPr="002008A8">
        <w:rPr>
          <w:rFonts w:cs="Times New Roman"/>
          <w:szCs w:val="24"/>
        </w:rPr>
        <w:t>it</w:t>
      </w:r>
      <w:r w:rsidRPr="002008A8" w:rsidR="00162CC9">
        <w:rPr>
          <w:rFonts w:cs="Times New Roman"/>
          <w:szCs w:val="24"/>
        </w:rPr>
        <w:t>’</w:t>
      </w:r>
      <w:r w:rsidRPr="002008A8">
        <w:rPr>
          <w:rFonts w:cs="Times New Roman"/>
          <w:szCs w:val="24"/>
        </w:rPr>
        <w:t xml:space="preserve">s not), it was incumbent upon the FirstEnergy Utilities to affirmatively act to seek relief from OCC’s discovery by filing a motion for protection.  They did not do so. </w:t>
      </w:r>
      <w:r w:rsidRPr="002008A8" w:rsidR="00DA30FF">
        <w:rPr>
          <w:rFonts w:cs="Times New Roman"/>
          <w:szCs w:val="24"/>
        </w:rPr>
        <w:t>(Their reply is bereft of any explanation of why they failed to file such a motion.)</w:t>
      </w:r>
    </w:p>
    <w:p w:rsidR="00433C05" w:rsidRPr="002008A8" w:rsidP="00433C05" w14:paraId="413C6C99" w14:textId="68521FCA">
      <w:pPr>
        <w:autoSpaceDE w:val="0"/>
        <w:autoSpaceDN w:val="0"/>
        <w:adjustRightInd w:val="0"/>
        <w:spacing w:after="0" w:line="480" w:lineRule="auto"/>
        <w:ind w:firstLine="720"/>
        <w:rPr>
          <w:rFonts w:cs="Times New Roman"/>
          <w:szCs w:val="24"/>
        </w:rPr>
      </w:pPr>
      <w:r w:rsidRPr="002008A8">
        <w:rPr>
          <w:rFonts w:cs="Times New Roman"/>
          <w:szCs w:val="24"/>
        </w:rPr>
        <w:t xml:space="preserve">As far as finding a balance between process and parties’ rights to discover the truth, we find direction in the PUCO’s words: “Therefore, </w:t>
      </w:r>
      <w:r w:rsidRPr="002008A8">
        <w:rPr>
          <w:rFonts w:cs="Times New Roman"/>
          <w:i/>
          <w:iCs/>
          <w:szCs w:val="24"/>
        </w:rPr>
        <w:t>given the unique circumstances at this time, and in the interests of both transparency and state policy</w:t>
      </w:r>
      <w:r w:rsidRPr="002008A8">
        <w:rPr>
          <w:rFonts w:cs="Times New Roman"/>
          <w:szCs w:val="24"/>
        </w:rPr>
        <w:t xml:space="preserve">, we find good cause exists to grant OCC’s motion and initiate an additional review of the entire duration of Rider DMR.” </w:t>
      </w:r>
      <w:r>
        <w:rPr>
          <w:rStyle w:val="FootnoteReference"/>
          <w:rFonts w:cs="Times New Roman"/>
          <w:szCs w:val="24"/>
        </w:rPr>
        <w:footnoteReference w:id="25"/>
      </w:r>
      <w:r w:rsidRPr="002008A8">
        <w:rPr>
          <w:rFonts w:cs="Times New Roman"/>
          <w:szCs w:val="24"/>
        </w:rPr>
        <w:t xml:space="preserve">  </w:t>
      </w:r>
    </w:p>
    <w:p w:rsidR="00433C05" w:rsidRPr="002008A8" w:rsidP="00433C05" w14:paraId="461EEF57" w14:textId="61B7A6CC">
      <w:pPr>
        <w:spacing w:after="0" w:line="480" w:lineRule="auto"/>
        <w:ind w:firstLine="720"/>
        <w:rPr>
          <w:rFonts w:cs="Times New Roman"/>
          <w:szCs w:val="24"/>
        </w:rPr>
      </w:pPr>
      <w:r w:rsidRPr="002008A8">
        <w:rPr>
          <w:rFonts w:cs="Times New Roman"/>
          <w:szCs w:val="24"/>
        </w:rPr>
        <w:t xml:space="preserve">These are indeed unique times for Ohioans that call for transparency. </w:t>
      </w:r>
      <w:r w:rsidR="00334EE1">
        <w:rPr>
          <w:rFonts w:cs="Times New Roman"/>
          <w:szCs w:val="24"/>
        </w:rPr>
        <w:t xml:space="preserve">Sixty </w:t>
      </w:r>
      <w:r w:rsidRPr="002008A8">
        <w:rPr>
          <w:rFonts w:cs="Times New Roman"/>
          <w:szCs w:val="24"/>
        </w:rPr>
        <w:t>million dollars were allegedly used to fund</w:t>
      </w:r>
      <w:r w:rsidRPr="002008A8" w:rsidR="000E08D7">
        <w:rPr>
          <w:rFonts w:cs="Times New Roman"/>
          <w:szCs w:val="24"/>
        </w:rPr>
        <w:t xml:space="preserve"> tainted </w:t>
      </w:r>
      <w:r w:rsidRPr="002008A8">
        <w:rPr>
          <w:rFonts w:cs="Times New Roman"/>
          <w:szCs w:val="24"/>
        </w:rPr>
        <w:t>H.B. 6 activities toward enacting subsidies at Ohioans</w:t>
      </w:r>
      <w:r w:rsidR="00334EE1">
        <w:rPr>
          <w:rFonts w:cs="Times New Roman"/>
          <w:szCs w:val="24"/>
        </w:rPr>
        <w:t>’</w:t>
      </w:r>
      <w:r w:rsidRPr="002008A8">
        <w:rPr>
          <w:rFonts w:cs="Times New Roman"/>
          <w:szCs w:val="24"/>
        </w:rPr>
        <w:t xml:space="preserve"> expense.  The public’s confidence in its government, including in the legislative and regulatory systems, is at risk.  Discovery should proceed.</w:t>
      </w:r>
    </w:p>
    <w:p w:rsidR="00433C05" w:rsidRPr="002008A8" w:rsidP="007A35EE" w14:paraId="2BD0BA91" w14:textId="22737E07">
      <w:pPr>
        <w:pStyle w:val="Heading2"/>
        <w:rPr>
          <w:rFonts w:ascii="Times New Roman" w:hAnsi="Times New Roman"/>
        </w:rPr>
      </w:pPr>
      <w:bookmarkStart w:id="6" w:name="_Toc68260597"/>
      <w:r w:rsidRPr="002008A8">
        <w:rPr>
          <w:rStyle w:val="Heading2Char"/>
          <w:rFonts w:ascii="Times New Roman" w:hAnsi="Times New Roman"/>
          <w:b/>
          <w:bCs/>
        </w:rPr>
        <w:t>The FirstEnergy Utilities’ claim of “limiting principles” on discovery should</w:t>
      </w:r>
      <w:r w:rsidRPr="002008A8">
        <w:rPr>
          <w:rFonts w:ascii="Times New Roman" w:hAnsi="Times New Roman"/>
        </w:rPr>
        <w:t xml:space="preserve"> be rejected.</w:t>
      </w:r>
      <w:bookmarkEnd w:id="6"/>
      <w:r w:rsidRPr="002008A8">
        <w:rPr>
          <w:rFonts w:ascii="Times New Roman" w:hAnsi="Times New Roman"/>
        </w:rPr>
        <w:t xml:space="preserve"> </w:t>
      </w:r>
    </w:p>
    <w:p w:rsidR="007A35EE" w:rsidRPr="002008A8" w:rsidP="007A35EE" w14:paraId="1CA97384" w14:textId="77777777">
      <w:pPr>
        <w:spacing w:after="0" w:line="240" w:lineRule="auto"/>
        <w:rPr>
          <w:rFonts w:cs="Times New Roman"/>
          <w:szCs w:val="24"/>
        </w:rPr>
      </w:pPr>
    </w:p>
    <w:p w:rsidR="00022852" w:rsidRPr="002008A8" w:rsidP="007A35EE" w14:paraId="5F7CA74D" w14:textId="2BC15670">
      <w:pPr>
        <w:spacing w:after="0" w:line="480" w:lineRule="auto"/>
        <w:rPr>
          <w:rFonts w:cs="Times New Roman"/>
          <w:szCs w:val="24"/>
        </w:rPr>
      </w:pPr>
      <w:r w:rsidRPr="002008A8">
        <w:rPr>
          <w:rFonts w:cs="Times New Roman"/>
          <w:szCs w:val="24"/>
        </w:rPr>
        <w:t xml:space="preserve">      </w:t>
      </w:r>
      <w:r w:rsidRPr="002008A8" w:rsidR="007A35EE">
        <w:rPr>
          <w:rFonts w:cs="Times New Roman"/>
          <w:szCs w:val="24"/>
        </w:rPr>
        <w:tab/>
      </w:r>
      <w:r w:rsidRPr="002008A8" w:rsidR="00433C05">
        <w:rPr>
          <w:rFonts w:cs="Times New Roman"/>
          <w:szCs w:val="24"/>
        </w:rPr>
        <w:t>The FirstEnergy Utilities offer up an interpretation of PUCO discovery rules that conveniently suits their obstructionist tactics. The utilities argue that the PUCO’s rules “anticipate at least two limiting principles on discovery.”</w:t>
      </w:r>
      <w:r>
        <w:rPr>
          <w:rFonts w:cs="Times New Roman"/>
          <w:szCs w:val="24"/>
          <w:vertAlign w:val="superscript"/>
        </w:rPr>
        <w:footnoteReference w:id="26"/>
      </w:r>
      <w:r w:rsidRPr="002008A8" w:rsidR="00433C05">
        <w:rPr>
          <w:rFonts w:cs="Times New Roman"/>
          <w:szCs w:val="24"/>
          <w:vertAlign w:val="superscript"/>
        </w:rPr>
        <w:t xml:space="preserve">  </w:t>
      </w:r>
      <w:r w:rsidRPr="002008A8" w:rsidR="00433C05">
        <w:rPr>
          <w:rFonts w:cs="Times New Roman"/>
          <w:szCs w:val="24"/>
        </w:rPr>
        <w:t xml:space="preserve">The first limiting principle they identify is that “a hearing or some other opportunity to take evidence must be scheduled to occur. If there is no such opportunity, then it follows that there will be nothing to lead to the discovery of admissible evidence.” The PUCO has never adopted this so called “principle.” Enough said. </w:t>
      </w:r>
    </w:p>
    <w:p w:rsidR="00433C05" w:rsidRPr="002008A8" w:rsidP="007A35EE" w14:paraId="5D94B65E" w14:textId="7434C2D2">
      <w:pPr>
        <w:spacing w:after="0" w:line="480" w:lineRule="auto"/>
        <w:ind w:firstLine="720"/>
        <w:rPr>
          <w:rFonts w:cs="Times New Roman"/>
          <w:color w:val="000000"/>
          <w:szCs w:val="24"/>
        </w:rPr>
      </w:pPr>
      <w:r w:rsidRPr="002008A8">
        <w:rPr>
          <w:rFonts w:cs="Times New Roman"/>
          <w:color w:val="000000"/>
          <w:szCs w:val="24"/>
        </w:rPr>
        <w:t>The second of the FirstEnergy Utilities’ so-called discovery principles is that parties are only entitled to discovery that is relevant and reasonably calculated to lead to admissible evidence</w:t>
      </w:r>
      <w:r w:rsidR="00334EE1">
        <w:rPr>
          <w:rFonts w:cs="Times New Roman"/>
          <w:color w:val="000000"/>
          <w:szCs w:val="24"/>
        </w:rPr>
        <w:t xml:space="preserve">.  And, </w:t>
      </w:r>
      <w:r w:rsidRPr="002008A8">
        <w:rPr>
          <w:rFonts w:cs="Times New Roman"/>
          <w:color w:val="000000"/>
          <w:szCs w:val="24"/>
        </w:rPr>
        <w:t>if neither party knows what issues the final audit report will cover, then they could not possibly determine what evidence would be relevant to those issues.</w:t>
      </w:r>
      <w:r>
        <w:rPr>
          <w:rStyle w:val="FootnoteReference"/>
          <w:rFonts w:cs="Times New Roman"/>
          <w:color w:val="000000"/>
          <w:szCs w:val="24"/>
        </w:rPr>
        <w:footnoteReference w:id="27"/>
      </w:r>
      <w:r w:rsidRPr="002008A8">
        <w:rPr>
          <w:rFonts w:cs="Times New Roman"/>
          <w:color w:val="000000"/>
          <w:szCs w:val="24"/>
        </w:rPr>
        <w:t xml:space="preserve"> The FirstEnergy Utilities</w:t>
      </w:r>
      <w:r w:rsidRPr="002008A8" w:rsidR="000E08D7">
        <w:rPr>
          <w:rFonts w:cs="Times New Roman"/>
          <w:color w:val="000000"/>
          <w:szCs w:val="24"/>
        </w:rPr>
        <w:t>’</w:t>
      </w:r>
      <w:r w:rsidRPr="002008A8">
        <w:rPr>
          <w:rFonts w:cs="Times New Roman"/>
          <w:color w:val="000000"/>
          <w:szCs w:val="24"/>
        </w:rPr>
        <w:t xml:space="preserve"> arguments are off the mark, again. </w:t>
      </w:r>
    </w:p>
    <w:p w:rsidR="000F21BE" w:rsidRPr="002008A8" w:rsidP="000F21BE" w14:paraId="0B1469DA" w14:textId="41260797">
      <w:pPr>
        <w:spacing w:after="0" w:line="480" w:lineRule="auto"/>
        <w:ind w:firstLine="720"/>
        <w:rPr>
          <w:rFonts w:cs="Times New Roman"/>
          <w:color w:val="000000"/>
          <w:szCs w:val="24"/>
        </w:rPr>
      </w:pPr>
      <w:r w:rsidRPr="002008A8">
        <w:rPr>
          <w:rFonts w:cs="Times New Roman"/>
          <w:color w:val="000000"/>
          <w:szCs w:val="24"/>
        </w:rPr>
        <w:t xml:space="preserve">The PUCO reopened this proceeding </w:t>
      </w:r>
      <w:r w:rsidRPr="002008A8" w:rsidR="000F73ED">
        <w:rPr>
          <w:rFonts w:cs="Times New Roman"/>
          <w:color w:val="000000"/>
          <w:szCs w:val="24"/>
        </w:rPr>
        <w:t>to allow for the taking of additional evidence</w:t>
      </w:r>
      <w:r w:rsidRPr="002008A8" w:rsidR="000E08D7">
        <w:rPr>
          <w:rFonts w:cs="Times New Roman"/>
          <w:color w:val="000000"/>
          <w:szCs w:val="24"/>
        </w:rPr>
        <w:t xml:space="preserve"> in response to OCC’s Sept. 8</w:t>
      </w:r>
      <w:r w:rsidRPr="002008A8" w:rsidR="000E08D7">
        <w:rPr>
          <w:rFonts w:cs="Times New Roman"/>
          <w:color w:val="000000"/>
          <w:szCs w:val="24"/>
          <w:vertAlign w:val="superscript"/>
        </w:rPr>
        <w:t>th</w:t>
      </w:r>
      <w:r w:rsidRPr="002008A8" w:rsidR="000E08D7">
        <w:rPr>
          <w:rFonts w:cs="Times New Roman"/>
          <w:color w:val="000000"/>
          <w:szCs w:val="24"/>
        </w:rPr>
        <w:t xml:space="preserve"> motion</w:t>
      </w:r>
      <w:r w:rsidRPr="002008A8">
        <w:rPr>
          <w:rFonts w:cs="Times New Roman"/>
          <w:color w:val="000000"/>
          <w:szCs w:val="24"/>
        </w:rPr>
        <w:t>.  In its Entry reopening the proceeding,</w:t>
      </w:r>
      <w:r w:rsidRPr="002008A8" w:rsidR="000E08D7">
        <w:rPr>
          <w:rStyle w:val="FootnoteReference"/>
          <w:rFonts w:cs="Times New Roman"/>
          <w:color w:val="000000"/>
          <w:szCs w:val="24"/>
        </w:rPr>
        <w:t xml:space="preserve"> </w:t>
      </w:r>
      <w:r>
        <w:rPr>
          <w:rStyle w:val="FootnoteReference"/>
          <w:rFonts w:cs="Times New Roman"/>
          <w:color w:val="000000"/>
          <w:szCs w:val="24"/>
        </w:rPr>
        <w:footnoteReference w:id="28"/>
      </w:r>
      <w:r w:rsidRPr="002008A8" w:rsidR="000E08D7">
        <w:rPr>
          <w:rFonts w:cs="Times New Roman"/>
          <w:color w:val="000000"/>
          <w:szCs w:val="24"/>
        </w:rPr>
        <w:t xml:space="preserve"> </w:t>
      </w:r>
      <w:r w:rsidRPr="002008A8">
        <w:rPr>
          <w:rFonts w:cs="Times New Roman"/>
          <w:color w:val="000000"/>
          <w:szCs w:val="24"/>
        </w:rPr>
        <w:t xml:space="preserve">the </w:t>
      </w:r>
      <w:r w:rsidRPr="002008A8" w:rsidR="00D53BC5">
        <w:rPr>
          <w:rFonts w:cs="Times New Roman"/>
          <w:color w:val="000000"/>
          <w:szCs w:val="24"/>
        </w:rPr>
        <w:t>P</w:t>
      </w:r>
      <w:r w:rsidRPr="002008A8">
        <w:rPr>
          <w:rFonts w:cs="Times New Roman"/>
          <w:color w:val="000000"/>
          <w:szCs w:val="24"/>
        </w:rPr>
        <w:t>UCO found an audit should be conducted to “assist the Staff with the full review of Rider DMR, as contemplated by ESP IV.”</w:t>
      </w:r>
      <w:r>
        <w:rPr>
          <w:rStyle w:val="FootnoteReference"/>
          <w:rFonts w:cs="Times New Roman"/>
          <w:color w:val="000000"/>
          <w:szCs w:val="24"/>
        </w:rPr>
        <w:footnoteReference w:id="29"/>
      </w:r>
      <w:r w:rsidRPr="002008A8">
        <w:rPr>
          <w:rFonts w:cs="Times New Roman"/>
          <w:color w:val="000000"/>
          <w:szCs w:val="24"/>
        </w:rPr>
        <w:t xml:space="preserve">  </w:t>
      </w:r>
    </w:p>
    <w:p w:rsidR="00433C05" w:rsidRPr="002008A8" w:rsidP="00433C05" w14:paraId="02EF7088" w14:textId="637B04DC">
      <w:pPr>
        <w:spacing w:after="0" w:line="480" w:lineRule="auto"/>
        <w:ind w:firstLine="720"/>
        <w:rPr>
          <w:rFonts w:cs="Times New Roman"/>
          <w:color w:val="000000"/>
          <w:szCs w:val="24"/>
        </w:rPr>
      </w:pPr>
      <w:r w:rsidRPr="002008A8">
        <w:rPr>
          <w:rFonts w:cs="Times New Roman"/>
          <w:color w:val="000000"/>
          <w:szCs w:val="24"/>
        </w:rPr>
        <w:t>OCC’s discovery is well within the bounds</w:t>
      </w:r>
      <w:r w:rsidRPr="002008A8" w:rsidR="000F21BE">
        <w:rPr>
          <w:rFonts w:cs="Times New Roman"/>
          <w:color w:val="000000"/>
          <w:szCs w:val="24"/>
        </w:rPr>
        <w:t xml:space="preserve"> of the scope of the reopened investigation</w:t>
      </w:r>
      <w:r w:rsidRPr="002008A8">
        <w:rPr>
          <w:rFonts w:cs="Times New Roman"/>
          <w:color w:val="000000"/>
          <w:szCs w:val="24"/>
        </w:rPr>
        <w:t xml:space="preserve">. The PUCO should see the FirstEnergy Utilities’ claims as the impermissible obstructionism that they are. The PUCO should reject the FirstEnergy Utilities’ stall </w:t>
      </w:r>
      <w:r w:rsidRPr="002008A8" w:rsidR="000E08D7">
        <w:rPr>
          <w:rFonts w:cs="Times New Roman"/>
          <w:color w:val="000000"/>
          <w:szCs w:val="24"/>
        </w:rPr>
        <w:t>tactics and allow OCC to move forward to prepare its case.  OCC’s Motion to Compel should be granted</w:t>
      </w:r>
      <w:r w:rsidRPr="002008A8">
        <w:rPr>
          <w:rFonts w:cs="Times New Roman"/>
          <w:color w:val="000000"/>
          <w:szCs w:val="24"/>
        </w:rPr>
        <w:t xml:space="preserve">. </w:t>
      </w:r>
    </w:p>
    <w:p w:rsidR="00433C05" w:rsidRPr="002008A8" w:rsidP="007A35EE" w14:paraId="02360B27" w14:textId="0778BF3D">
      <w:pPr>
        <w:pStyle w:val="Heading2"/>
        <w:rPr>
          <w:rStyle w:val="Heading2Char"/>
          <w:rFonts w:ascii="Times New Roman" w:hAnsi="Times New Roman"/>
        </w:rPr>
      </w:pPr>
      <w:bookmarkStart w:id="7" w:name="_Toc68260598"/>
      <w:bookmarkStart w:id="8" w:name="_Toc66712299"/>
      <w:r w:rsidRPr="002008A8">
        <w:rPr>
          <w:rStyle w:val="Heading2Char"/>
          <w:rFonts w:ascii="Times New Roman" w:hAnsi="Times New Roman"/>
          <w:b/>
          <w:bCs/>
        </w:rPr>
        <w:t>Discovery on the mid-term audit report is reasonably calculated to lead to the discovery of admissible evidence.</w:t>
      </w:r>
      <w:bookmarkEnd w:id="7"/>
      <w:r w:rsidRPr="002008A8">
        <w:rPr>
          <w:rStyle w:val="Heading2Char"/>
          <w:rFonts w:ascii="Times New Roman" w:hAnsi="Times New Roman"/>
          <w:b/>
          <w:bCs/>
        </w:rPr>
        <w:t xml:space="preserve"> </w:t>
      </w:r>
      <w:r w:rsidRPr="002008A8">
        <w:rPr>
          <w:rStyle w:val="Heading2Char"/>
          <w:rFonts w:ascii="Times New Roman" w:hAnsi="Times New Roman"/>
          <w:b/>
          <w:bCs/>
        </w:rPr>
        <w:br/>
      </w:r>
    </w:p>
    <w:bookmarkEnd w:id="8"/>
    <w:p w:rsidR="00433C05" w:rsidRPr="002008A8" w:rsidP="007A35EE" w14:paraId="6E567F8D" w14:textId="0219C4F9">
      <w:pPr>
        <w:spacing w:after="0" w:line="480" w:lineRule="auto"/>
        <w:ind w:firstLine="720"/>
        <w:rPr>
          <w:rFonts w:cs="Times New Roman"/>
          <w:color w:val="000000"/>
          <w:szCs w:val="24"/>
        </w:rPr>
      </w:pPr>
      <w:r w:rsidRPr="002008A8">
        <w:rPr>
          <w:rFonts w:cs="Times New Roman"/>
          <w:color w:val="000000"/>
          <w:szCs w:val="24"/>
        </w:rPr>
        <w:t xml:space="preserve">The FirstEnergy Utilities also </w:t>
      </w:r>
      <w:r w:rsidRPr="002008A8" w:rsidR="000E08D7">
        <w:rPr>
          <w:rFonts w:cs="Times New Roman"/>
          <w:color w:val="000000"/>
          <w:szCs w:val="24"/>
        </w:rPr>
        <w:t xml:space="preserve">objected to </w:t>
      </w:r>
      <w:r w:rsidRPr="002008A8">
        <w:rPr>
          <w:rFonts w:cs="Times New Roman"/>
          <w:color w:val="000000"/>
          <w:szCs w:val="24"/>
        </w:rPr>
        <w:t>some of OCC’s discovery requests a</w:t>
      </w:r>
      <w:r w:rsidRPr="002008A8" w:rsidR="000E08D7">
        <w:rPr>
          <w:rFonts w:cs="Times New Roman"/>
          <w:color w:val="000000"/>
          <w:szCs w:val="24"/>
        </w:rPr>
        <w:t xml:space="preserve">s </w:t>
      </w:r>
      <w:r w:rsidRPr="002008A8">
        <w:rPr>
          <w:rFonts w:cs="Times New Roman"/>
          <w:color w:val="000000"/>
          <w:szCs w:val="24"/>
        </w:rPr>
        <w:t>not reasonably calculated to lead to the discovery of admissible evidence.</w:t>
      </w:r>
      <w:r>
        <w:rPr>
          <w:rStyle w:val="FootnoteReference"/>
          <w:rFonts w:cs="Times New Roman"/>
          <w:color w:val="000000"/>
          <w:szCs w:val="24"/>
        </w:rPr>
        <w:footnoteReference w:id="30"/>
      </w:r>
      <w:r w:rsidRPr="002008A8">
        <w:rPr>
          <w:rFonts w:cs="Times New Roman"/>
          <w:color w:val="000000"/>
          <w:szCs w:val="24"/>
        </w:rPr>
        <w:t xml:space="preserve"> These discovery requests primarily concern anything that touches upon the initial audit (Mid-Term audit) of Rider DMR by Oxford, including discovery requests and responses reflecting communications </w:t>
      </w:r>
      <w:r w:rsidRPr="002008A8" w:rsidR="001770C6">
        <w:rPr>
          <w:rFonts w:cs="Times New Roman"/>
          <w:color w:val="000000"/>
          <w:szCs w:val="24"/>
        </w:rPr>
        <w:t xml:space="preserve">among </w:t>
      </w:r>
      <w:r w:rsidRPr="002008A8">
        <w:rPr>
          <w:rFonts w:cs="Times New Roman"/>
          <w:color w:val="000000"/>
          <w:szCs w:val="24"/>
        </w:rPr>
        <w:t>Oxford, the PUCO Staff</w:t>
      </w:r>
      <w:r w:rsidRPr="002008A8" w:rsidR="001770C6">
        <w:rPr>
          <w:rFonts w:cs="Times New Roman"/>
          <w:color w:val="000000"/>
          <w:szCs w:val="24"/>
        </w:rPr>
        <w:t>,</w:t>
      </w:r>
      <w:r w:rsidRPr="002008A8">
        <w:rPr>
          <w:rFonts w:cs="Times New Roman"/>
          <w:color w:val="000000"/>
          <w:szCs w:val="24"/>
        </w:rPr>
        <w:t xml:space="preserve"> and the Utilities.  </w:t>
      </w:r>
    </w:p>
    <w:p w:rsidR="00433C05" w:rsidRPr="002008A8" w:rsidP="007A35EE" w14:paraId="076840C2" w14:textId="77777777">
      <w:pPr>
        <w:spacing w:after="0" w:line="480" w:lineRule="auto"/>
        <w:ind w:firstLine="720"/>
        <w:rPr>
          <w:rFonts w:cs="Times New Roman"/>
          <w:color w:val="000000"/>
          <w:szCs w:val="24"/>
        </w:rPr>
      </w:pPr>
      <w:r w:rsidRPr="002008A8">
        <w:rPr>
          <w:rFonts w:cs="Times New Roman"/>
          <w:color w:val="000000"/>
          <w:szCs w:val="24"/>
        </w:rPr>
        <w:t>According to the FirstEnergy Utilities, the Mid-Term audit report is not relevant to this proceeding, given there will be an additional report that the PUCO ordered in its December 2019 Entry.</w:t>
      </w:r>
      <w:r>
        <w:rPr>
          <w:rStyle w:val="FootnoteReference"/>
          <w:rFonts w:cs="Times New Roman"/>
          <w:color w:val="000000"/>
          <w:szCs w:val="24"/>
        </w:rPr>
        <w:footnoteReference w:id="31"/>
      </w:r>
      <w:r w:rsidRPr="002008A8">
        <w:rPr>
          <w:rFonts w:cs="Times New Roman"/>
          <w:color w:val="000000"/>
          <w:szCs w:val="24"/>
        </w:rPr>
        <w:t xml:space="preserve">  Further the Utilities argue that the purpose of the Mid-Term audit was to inform a PUCO decision on whether there would be an extension of the charge.</w:t>
      </w:r>
      <w:r>
        <w:rPr>
          <w:rStyle w:val="FootnoteReference"/>
          <w:rFonts w:cs="Times New Roman"/>
          <w:color w:val="000000"/>
          <w:szCs w:val="24"/>
        </w:rPr>
        <w:footnoteReference w:id="32"/>
      </w:r>
      <w:r w:rsidRPr="002008A8">
        <w:rPr>
          <w:rFonts w:cs="Times New Roman"/>
          <w:color w:val="000000"/>
          <w:szCs w:val="24"/>
        </w:rPr>
        <w:t xml:space="preserve"> And so, according to the Utilities, it can’t be relevant now because this case is not about FirstEnergy seeking an  extension of the rider.  Again, the FirstEnergy Utilities are mistaken. </w:t>
      </w:r>
    </w:p>
    <w:p w:rsidR="00433C05" w:rsidRPr="002008A8" w:rsidP="00643E14" w14:paraId="458918AF" w14:textId="5ECEB3FF">
      <w:pPr>
        <w:spacing w:after="0" w:line="480" w:lineRule="auto"/>
        <w:ind w:firstLine="720"/>
        <w:rPr>
          <w:rFonts w:cs="Times New Roman"/>
          <w:color w:val="000000"/>
          <w:szCs w:val="24"/>
        </w:rPr>
      </w:pPr>
      <w:r w:rsidRPr="002008A8">
        <w:rPr>
          <w:rFonts w:cs="Times New Roman"/>
          <w:color w:val="000000"/>
          <w:szCs w:val="24"/>
        </w:rPr>
        <w:t xml:space="preserve">The mere fact that the new, additional audit will be conducted does not make the Oxford Mid-Term report irrelevant.  Oxford’s Mid-Term report provides crucial information in this proceeding related to how Rider DMR funds collected from customers are being used by </w:t>
      </w:r>
      <w:r w:rsidR="00334EE1">
        <w:rPr>
          <w:rFonts w:cs="Times New Roman"/>
          <w:color w:val="000000"/>
          <w:szCs w:val="24"/>
        </w:rPr>
        <w:t xml:space="preserve">the </w:t>
      </w:r>
      <w:r w:rsidRPr="002008A8">
        <w:rPr>
          <w:rFonts w:cs="Times New Roman"/>
          <w:color w:val="000000"/>
          <w:szCs w:val="24"/>
        </w:rPr>
        <w:t xml:space="preserve">FirstEnergy </w:t>
      </w:r>
      <w:r w:rsidR="00334EE1">
        <w:rPr>
          <w:rFonts w:cs="Times New Roman"/>
          <w:color w:val="000000"/>
          <w:szCs w:val="24"/>
        </w:rPr>
        <w:t xml:space="preserve">Utilities </w:t>
      </w:r>
      <w:r w:rsidRPr="002008A8">
        <w:rPr>
          <w:rFonts w:cs="Times New Roman"/>
          <w:color w:val="000000"/>
          <w:szCs w:val="24"/>
        </w:rPr>
        <w:t xml:space="preserve">and </w:t>
      </w:r>
      <w:r w:rsidR="00334EE1">
        <w:rPr>
          <w:rFonts w:cs="Times New Roman"/>
          <w:color w:val="000000"/>
          <w:szCs w:val="24"/>
        </w:rPr>
        <w:t>thier</w:t>
      </w:r>
      <w:r w:rsidRPr="002008A8">
        <w:rPr>
          <w:rFonts w:cs="Times New Roman"/>
          <w:color w:val="000000"/>
          <w:szCs w:val="24"/>
        </w:rPr>
        <w:t xml:space="preserve"> affiliates.  </w:t>
      </w:r>
      <w:r w:rsidRPr="002008A8" w:rsidR="000F21BE">
        <w:rPr>
          <w:rFonts w:cs="Times New Roman"/>
          <w:color w:val="000000"/>
          <w:szCs w:val="24"/>
        </w:rPr>
        <w:t xml:space="preserve">One of the purposes of reopening this proceeding is to present </w:t>
      </w:r>
      <w:r w:rsidRPr="002008A8" w:rsidR="000F21BE">
        <w:rPr>
          <w:rFonts w:cs="Times New Roman"/>
          <w:color w:val="000000"/>
          <w:szCs w:val="24"/>
          <w:u w:val="single"/>
        </w:rPr>
        <w:t xml:space="preserve">additional </w:t>
      </w:r>
      <w:r w:rsidRPr="002008A8" w:rsidR="000F21BE">
        <w:rPr>
          <w:rFonts w:cs="Times New Roman"/>
          <w:color w:val="000000"/>
          <w:szCs w:val="24"/>
        </w:rPr>
        <w:t xml:space="preserve">evidence and for the PUCO to </w:t>
      </w:r>
      <w:r w:rsidRPr="002008A8" w:rsidR="000F21BE">
        <w:rPr>
          <w:rFonts w:cs="Times New Roman"/>
          <w:color w:val="000000"/>
          <w:szCs w:val="24"/>
          <w:u w:val="single"/>
        </w:rPr>
        <w:t>complete its review</w:t>
      </w:r>
      <w:r w:rsidRPr="002008A8" w:rsidR="000F21BE">
        <w:rPr>
          <w:rFonts w:cs="Times New Roman"/>
          <w:color w:val="000000"/>
          <w:szCs w:val="24"/>
        </w:rPr>
        <w:t xml:space="preserve"> of FirstEnergy’s use of the DMR funds collected from customers.  The presentation of additional evidence does not mean that evidence already in the record (the Mid-Term audit) should be ignored.  To the contrary, the evidence provides a strong foundation upon which to build a full and complete record </w:t>
      </w:r>
      <w:r w:rsidRPr="002008A8" w:rsidR="000E08D7">
        <w:rPr>
          <w:rFonts w:cs="Times New Roman"/>
          <w:color w:val="000000"/>
          <w:szCs w:val="24"/>
        </w:rPr>
        <w:t>for much</w:t>
      </w:r>
      <w:r w:rsidRPr="002008A8" w:rsidR="000F21BE">
        <w:rPr>
          <w:rFonts w:cs="Times New Roman"/>
          <w:color w:val="000000"/>
          <w:szCs w:val="24"/>
        </w:rPr>
        <w:t xml:space="preserve"> needed answers to consumers.  </w:t>
      </w:r>
    </w:p>
    <w:p w:rsidR="00433C05" w:rsidRPr="002008A8" w:rsidP="00920D5D" w14:paraId="3784D2FB" w14:textId="610A20CC">
      <w:pPr>
        <w:spacing w:after="0" w:line="480" w:lineRule="auto"/>
        <w:ind w:firstLine="720"/>
        <w:rPr>
          <w:rFonts w:cs="Times New Roman"/>
          <w:color w:val="000000"/>
          <w:szCs w:val="24"/>
        </w:rPr>
      </w:pPr>
      <w:r w:rsidRPr="002008A8">
        <w:rPr>
          <w:rFonts w:cs="Times New Roman"/>
          <w:color w:val="000000"/>
          <w:szCs w:val="24"/>
        </w:rPr>
        <w:t xml:space="preserve">Contrary to the Utilities’ assertions otherwise, the purpose of the Oxford audit was not to determine if an extension should be granted.  Rather, according to the PUCO the scope of Oxford’s review was “to assist Staff in determining FirstEnergy’s compliance with its Commission-approved Rider DMR.  The Monitor’s review will include an </w:t>
      </w:r>
      <w:r w:rsidRPr="002008A8">
        <w:rPr>
          <w:rFonts w:cs="Times New Roman"/>
          <w:i/>
          <w:iCs/>
          <w:color w:val="000000"/>
          <w:szCs w:val="24"/>
        </w:rPr>
        <w:t>identification, quantification, and explanation of the use of the Rider DMR Funds and FirstEnergy’s</w:t>
      </w:r>
      <w:r w:rsidRPr="002008A8">
        <w:rPr>
          <w:rFonts w:cs="Times New Roman"/>
          <w:color w:val="000000"/>
          <w:szCs w:val="24"/>
        </w:rPr>
        <w:t xml:space="preserve"> </w:t>
      </w:r>
      <w:r w:rsidRPr="002008A8">
        <w:rPr>
          <w:rFonts w:cs="Times New Roman"/>
          <w:i/>
          <w:iCs/>
          <w:color w:val="000000"/>
          <w:szCs w:val="24"/>
        </w:rPr>
        <w:t>use of those funds in a manner consistent with the Commission’s directives.”</w:t>
      </w:r>
      <w:r>
        <w:rPr>
          <w:rStyle w:val="FootnoteReference"/>
          <w:rFonts w:cs="Times New Roman"/>
          <w:color w:val="000000"/>
          <w:szCs w:val="24"/>
        </w:rPr>
        <w:footnoteReference w:id="33"/>
      </w:r>
      <w:r w:rsidRPr="002008A8">
        <w:rPr>
          <w:rFonts w:cs="Times New Roman"/>
          <w:color w:val="000000"/>
          <w:szCs w:val="24"/>
        </w:rPr>
        <w:t xml:space="preserve"> </w:t>
      </w:r>
    </w:p>
    <w:p w:rsidR="00433C05" w:rsidRPr="002008A8" w:rsidP="00460A53" w14:paraId="7D9EC61D" w14:textId="77777777">
      <w:pPr>
        <w:spacing w:after="0" w:line="480" w:lineRule="auto"/>
        <w:ind w:firstLine="720"/>
        <w:rPr>
          <w:rFonts w:cs="Times New Roman"/>
          <w:color w:val="000000"/>
          <w:szCs w:val="24"/>
        </w:rPr>
      </w:pPr>
      <w:r w:rsidRPr="002008A8">
        <w:rPr>
          <w:rFonts w:cs="Times New Roman"/>
          <w:color w:val="000000"/>
          <w:szCs w:val="24"/>
        </w:rPr>
        <w:t xml:space="preserve">Identify, quantify, and explain the FirstEnergy Utilities’ use of Rider DMR funds was exactly what the Oxford Mid-Term report did.  In Oxford’s Mid-Term review, Oxford addressed the use of modernization funds at length and identified issues of concern for consumers.  </w:t>
      </w:r>
      <w:r w:rsidRPr="002008A8">
        <w:rPr>
          <w:rFonts w:cs="Times New Roman"/>
          <w:i/>
          <w:iCs/>
          <w:color w:val="000000"/>
          <w:szCs w:val="24"/>
        </w:rPr>
        <w:t>To begin with, the PUCO-hired Auditor stated that FirstEnergy “declined to restrict the use of  the funds and did not contemplate the tracking of Rider DMR funds to specific expenditures.”</w:t>
      </w:r>
      <w:r>
        <w:rPr>
          <w:rStyle w:val="FootnoteReference"/>
          <w:rFonts w:cs="Times New Roman"/>
          <w:i/>
          <w:iCs/>
          <w:color w:val="000000"/>
          <w:szCs w:val="24"/>
        </w:rPr>
        <w:footnoteReference w:id="34"/>
      </w:r>
      <w:r w:rsidRPr="002008A8">
        <w:rPr>
          <w:rFonts w:cs="Times New Roman"/>
          <w:i/>
          <w:iCs/>
          <w:color w:val="000000"/>
          <w:szCs w:val="24"/>
        </w:rPr>
        <w:t xml:space="preserve">  FirstEnergy placed the distribution funds in the “Regulated Utility Money Pool” where other non-Ohio regulated companies had borrowing access to the money pool.</w:t>
      </w:r>
      <w:r>
        <w:rPr>
          <w:rStyle w:val="FootnoteReference"/>
          <w:rFonts w:cs="Times New Roman"/>
          <w:i/>
          <w:iCs/>
          <w:color w:val="000000"/>
          <w:szCs w:val="24"/>
        </w:rPr>
        <w:footnoteReference w:id="35"/>
      </w:r>
      <w:r w:rsidRPr="002008A8">
        <w:rPr>
          <w:rFonts w:cs="Times New Roman"/>
          <w:i/>
          <w:iCs/>
          <w:color w:val="000000"/>
          <w:szCs w:val="24"/>
        </w:rPr>
        <w:t xml:space="preserve">  The Auditor also found that funds in the money pool had been used to pay dividends to FirstEnergy allowing increased dividends to FirstEnergy during the collection period of the distribution modernization charge.</w:t>
      </w:r>
      <w:r>
        <w:rPr>
          <w:rStyle w:val="FootnoteReference"/>
          <w:rFonts w:cs="Times New Roman"/>
          <w:i/>
          <w:iCs/>
          <w:color w:val="000000"/>
          <w:szCs w:val="24"/>
        </w:rPr>
        <w:footnoteReference w:id="36"/>
      </w:r>
    </w:p>
    <w:p w:rsidR="00433C05" w:rsidRPr="002008A8" w:rsidP="00460A53" w14:paraId="4F234C0F" w14:textId="7E83319C">
      <w:pPr>
        <w:spacing w:after="0" w:line="480" w:lineRule="auto"/>
        <w:ind w:firstLine="720"/>
        <w:rPr>
          <w:rFonts w:cs="Times New Roman"/>
          <w:color w:val="000000"/>
          <w:szCs w:val="24"/>
        </w:rPr>
      </w:pPr>
      <w:r w:rsidRPr="002008A8">
        <w:rPr>
          <w:rFonts w:cs="Times New Roman"/>
          <w:color w:val="000000"/>
          <w:szCs w:val="24"/>
        </w:rPr>
        <w:t xml:space="preserve">These findings continue to be </w:t>
      </w:r>
      <w:r w:rsidRPr="002008A8" w:rsidR="00184F31">
        <w:rPr>
          <w:rFonts w:cs="Times New Roman"/>
          <w:color w:val="000000"/>
          <w:szCs w:val="24"/>
        </w:rPr>
        <w:t xml:space="preserve">highly </w:t>
      </w:r>
      <w:r w:rsidRPr="002008A8">
        <w:rPr>
          <w:rFonts w:cs="Times New Roman"/>
          <w:color w:val="000000"/>
          <w:szCs w:val="24"/>
        </w:rPr>
        <w:t>relevant to the reopened proceeding</w:t>
      </w:r>
      <w:r w:rsidRPr="002008A8" w:rsidR="001770C6">
        <w:rPr>
          <w:rFonts w:cs="Times New Roman"/>
          <w:color w:val="000000"/>
          <w:szCs w:val="24"/>
        </w:rPr>
        <w:t>,</w:t>
      </w:r>
      <w:r w:rsidRPr="002008A8">
        <w:rPr>
          <w:rFonts w:cs="Times New Roman"/>
          <w:color w:val="000000"/>
          <w:szCs w:val="24"/>
        </w:rPr>
        <w:t xml:space="preserve"> which is directed at the same purpose: “to ensure funds collected from ratepayers through Rider DMR were only used for the purposes established in ESP IV.” </w:t>
      </w:r>
      <w:r>
        <w:rPr>
          <w:rStyle w:val="FootnoteReference"/>
          <w:rFonts w:cs="Times New Roman"/>
          <w:color w:val="000000"/>
          <w:szCs w:val="24"/>
        </w:rPr>
        <w:footnoteReference w:id="37"/>
      </w:r>
      <w:r w:rsidRPr="002008A8">
        <w:rPr>
          <w:rFonts w:cs="Times New Roman"/>
          <w:color w:val="000000"/>
          <w:szCs w:val="24"/>
        </w:rPr>
        <w:t xml:space="preserve"> The second audit merely allows the new auditor to focus as well on whether DMR funds were used to fund political activity, including </w:t>
      </w:r>
      <w:r w:rsidRPr="002008A8" w:rsidR="000E08D7">
        <w:rPr>
          <w:rFonts w:cs="Times New Roman"/>
          <w:color w:val="000000"/>
          <w:szCs w:val="24"/>
        </w:rPr>
        <w:t xml:space="preserve">tainted </w:t>
      </w:r>
      <w:r w:rsidRPr="002008A8">
        <w:rPr>
          <w:rFonts w:cs="Times New Roman"/>
          <w:color w:val="000000"/>
          <w:szCs w:val="24"/>
        </w:rPr>
        <w:t>H.B. 6</w:t>
      </w:r>
      <w:r w:rsidRPr="002008A8" w:rsidR="000E08D7">
        <w:rPr>
          <w:rFonts w:cs="Times New Roman"/>
          <w:color w:val="000000"/>
          <w:szCs w:val="24"/>
        </w:rPr>
        <w:t xml:space="preserve"> activity</w:t>
      </w:r>
      <w:r w:rsidRPr="002008A8">
        <w:rPr>
          <w:rFonts w:cs="Times New Roman"/>
          <w:color w:val="000000"/>
          <w:szCs w:val="24"/>
        </w:rPr>
        <w:t>.</w:t>
      </w:r>
      <w:r w:rsidRPr="002008A8" w:rsidR="00643E14">
        <w:rPr>
          <w:rFonts w:cs="Times New Roman"/>
          <w:color w:val="000000"/>
          <w:szCs w:val="24"/>
        </w:rPr>
        <w:t xml:space="preserve">  And it will enable the PUCO to rule on the merits of whether the FirstEnergy Utilities complied with their directive to use the funds to support grid modernization.  That is a ruling that consumers were </w:t>
      </w:r>
      <w:r w:rsidRPr="002008A8" w:rsidR="000E08D7">
        <w:rPr>
          <w:rFonts w:cs="Times New Roman"/>
          <w:color w:val="000000"/>
          <w:szCs w:val="24"/>
        </w:rPr>
        <w:t xml:space="preserve">waiting on but were </w:t>
      </w:r>
      <w:r w:rsidRPr="002008A8" w:rsidR="00643E14">
        <w:rPr>
          <w:rFonts w:cs="Times New Roman"/>
          <w:color w:val="000000"/>
          <w:szCs w:val="24"/>
        </w:rPr>
        <w:t>deprived of when the PUCO dismissed the case in early 2020.</w:t>
      </w:r>
      <w:r>
        <w:rPr>
          <w:rStyle w:val="FootnoteReference"/>
          <w:rFonts w:cs="Times New Roman"/>
          <w:color w:val="000000"/>
          <w:szCs w:val="24"/>
        </w:rPr>
        <w:footnoteReference w:id="38"/>
      </w:r>
      <w:r w:rsidRPr="002008A8">
        <w:rPr>
          <w:rFonts w:cs="Times New Roman"/>
          <w:color w:val="000000"/>
          <w:szCs w:val="24"/>
        </w:rPr>
        <w:t xml:space="preserve"> </w:t>
      </w:r>
    </w:p>
    <w:p w:rsidR="007A35EE" w:rsidRPr="002008A8" w:rsidP="00920D5D" w14:paraId="508B66CC" w14:textId="4F06D915">
      <w:pPr>
        <w:spacing w:after="0" w:line="480" w:lineRule="auto"/>
        <w:ind w:firstLine="720"/>
        <w:rPr>
          <w:rFonts w:cs="Times New Roman"/>
          <w:color w:val="000000"/>
          <w:szCs w:val="24"/>
        </w:rPr>
      </w:pPr>
      <w:r w:rsidRPr="002008A8">
        <w:rPr>
          <w:rFonts w:cs="Times New Roman"/>
          <w:color w:val="000000"/>
          <w:szCs w:val="24"/>
        </w:rPr>
        <w:t xml:space="preserve">OCC’s discovery related to the Mid-Term Audit report should be allowed as reasonably calculated to lead to the discovery of admissible evidence.  The PUCO should overrule </w:t>
      </w:r>
      <w:r w:rsidRPr="002008A8" w:rsidR="00D53BC5">
        <w:rPr>
          <w:rFonts w:cs="Times New Roman"/>
          <w:color w:val="000000"/>
          <w:szCs w:val="24"/>
        </w:rPr>
        <w:t xml:space="preserve">the </w:t>
      </w:r>
      <w:r w:rsidRPr="002008A8">
        <w:rPr>
          <w:rFonts w:cs="Times New Roman"/>
          <w:color w:val="000000"/>
          <w:szCs w:val="24"/>
        </w:rPr>
        <w:t>FirstEnergy</w:t>
      </w:r>
      <w:r w:rsidRPr="002008A8" w:rsidR="00D53BC5">
        <w:rPr>
          <w:rFonts w:cs="Times New Roman"/>
          <w:color w:val="000000"/>
          <w:szCs w:val="24"/>
        </w:rPr>
        <w:t xml:space="preserve"> Utilities’ </w:t>
      </w:r>
      <w:r w:rsidRPr="002008A8">
        <w:rPr>
          <w:rFonts w:cs="Times New Roman"/>
          <w:color w:val="000000"/>
          <w:szCs w:val="24"/>
        </w:rPr>
        <w:t>objections</w:t>
      </w:r>
      <w:r w:rsidRPr="002008A8" w:rsidR="001770C6">
        <w:rPr>
          <w:rFonts w:cs="Times New Roman"/>
          <w:color w:val="000000"/>
          <w:szCs w:val="24"/>
        </w:rPr>
        <w:t>.</w:t>
      </w:r>
      <w:r w:rsidRPr="002008A8">
        <w:rPr>
          <w:rFonts w:cs="Times New Roman"/>
          <w:color w:val="000000"/>
          <w:szCs w:val="24"/>
        </w:rPr>
        <w:t xml:space="preserve"> </w:t>
      </w:r>
    </w:p>
    <w:p w:rsidR="00433C05" w:rsidRPr="002008A8" w:rsidP="00FF2C9A" w14:paraId="1150BE40" w14:textId="11D936D4">
      <w:pPr>
        <w:pStyle w:val="Heading2"/>
        <w:rPr>
          <w:rFonts w:ascii="Times New Roman" w:hAnsi="Times New Roman"/>
        </w:rPr>
      </w:pPr>
      <w:bookmarkStart w:id="9" w:name="_Toc68260599"/>
      <w:r w:rsidRPr="002008A8">
        <w:rPr>
          <w:rStyle w:val="Heading2Char"/>
          <w:rFonts w:ascii="Times New Roman" w:hAnsi="Times New Roman"/>
          <w:b/>
          <w:bCs/>
        </w:rPr>
        <w:t>The FirstEnergy Utilities have waived their right to object to OCC’s</w:t>
      </w:r>
      <w:r w:rsidRPr="002008A8">
        <w:rPr>
          <w:rFonts w:ascii="Times New Roman" w:hAnsi="Times New Roman"/>
        </w:rPr>
        <w:t xml:space="preserve"> discovery on the basis of relevance or any other unnamed grounds.</w:t>
      </w:r>
      <w:bookmarkEnd w:id="9"/>
    </w:p>
    <w:p w:rsidR="00433C05" w:rsidRPr="002008A8" w:rsidP="00433C05" w14:paraId="619F5778" w14:textId="77777777">
      <w:pPr>
        <w:pStyle w:val="ListParagraph"/>
        <w:spacing w:after="0" w:line="240" w:lineRule="auto"/>
        <w:ind w:left="806"/>
        <w:rPr>
          <w:rFonts w:ascii="Times New Roman" w:hAnsi="Times New Roman" w:cs="Times New Roman"/>
          <w:b/>
          <w:bCs/>
          <w:color w:val="000000"/>
          <w:sz w:val="24"/>
          <w:szCs w:val="24"/>
        </w:rPr>
      </w:pPr>
    </w:p>
    <w:p w:rsidR="00433C05" w:rsidRPr="002008A8" w:rsidP="00433C05" w14:paraId="38EB759B" w14:textId="74F5670A">
      <w:pPr>
        <w:spacing w:after="0" w:line="480" w:lineRule="auto"/>
        <w:ind w:firstLine="720"/>
        <w:rPr>
          <w:rFonts w:cs="Times New Roman"/>
          <w:color w:val="000000"/>
          <w:szCs w:val="24"/>
        </w:rPr>
      </w:pPr>
      <w:r w:rsidRPr="002008A8">
        <w:rPr>
          <w:rFonts w:cs="Times New Roman"/>
          <w:color w:val="000000"/>
          <w:szCs w:val="24"/>
        </w:rPr>
        <w:t>Apart from the discovery</w:t>
      </w:r>
      <w:r w:rsidRPr="002008A8" w:rsidR="000E08D7">
        <w:rPr>
          <w:rFonts w:cs="Times New Roman"/>
          <w:color w:val="000000"/>
          <w:szCs w:val="24"/>
        </w:rPr>
        <w:t xml:space="preserve"> specificall</w:t>
      </w:r>
      <w:r w:rsidRPr="002008A8" w:rsidR="007C3F78">
        <w:rPr>
          <w:rFonts w:cs="Times New Roman"/>
          <w:color w:val="000000"/>
          <w:szCs w:val="24"/>
        </w:rPr>
        <w:t xml:space="preserve">y discussed </w:t>
      </w:r>
      <w:r w:rsidRPr="002008A8">
        <w:rPr>
          <w:rFonts w:cs="Times New Roman"/>
          <w:color w:val="000000"/>
          <w:szCs w:val="24"/>
        </w:rPr>
        <w:t>above, the FirstEnergy Utilities failed to object to OCC’s remaining discovery on grounds of relevance.  The Utilities assert that they can, at “an appropriate time” raise this objection (and other unnamed objections) by simply announcing that they are “reserving” their right to “make all further objections.” The FirstEnergy Utilities argue that they “cannot waive objections to discovery requests that are unauthorized and premature.”</w:t>
      </w:r>
      <w:r>
        <w:rPr>
          <w:rStyle w:val="FootnoteReference"/>
          <w:rFonts w:cs="Times New Roman"/>
          <w:color w:val="000000"/>
          <w:szCs w:val="24"/>
        </w:rPr>
        <w:footnoteReference w:id="39"/>
      </w:r>
      <w:r w:rsidRPr="002008A8">
        <w:rPr>
          <w:rFonts w:cs="Times New Roman"/>
          <w:color w:val="000000"/>
          <w:szCs w:val="24"/>
        </w:rPr>
        <w:t xml:space="preserve"> Once again, the FirstEnergy Utilities</w:t>
      </w:r>
      <w:r w:rsidRPr="002008A8" w:rsidR="004D534D">
        <w:rPr>
          <w:rFonts w:cs="Times New Roman"/>
          <w:color w:val="000000"/>
          <w:szCs w:val="24"/>
        </w:rPr>
        <w:t>’ distorted view of the PUCO’s discovery rules should be rejected.</w:t>
      </w:r>
      <w:r w:rsidRPr="002008A8">
        <w:rPr>
          <w:rFonts w:cs="Times New Roman"/>
          <w:color w:val="000000"/>
          <w:szCs w:val="24"/>
        </w:rPr>
        <w:t xml:space="preserve">  </w:t>
      </w:r>
    </w:p>
    <w:p w:rsidR="00433C05" w:rsidRPr="002008A8" w:rsidP="00433C05" w14:paraId="3C0B7B13" w14:textId="3F75190A">
      <w:pPr>
        <w:spacing w:after="0" w:line="480" w:lineRule="auto"/>
        <w:ind w:firstLine="720"/>
        <w:rPr>
          <w:rFonts w:cs="Times New Roman"/>
          <w:szCs w:val="24"/>
        </w:rPr>
      </w:pPr>
      <w:r w:rsidRPr="002008A8">
        <w:rPr>
          <w:rFonts w:cs="Times New Roman"/>
          <w:color w:val="000000"/>
          <w:szCs w:val="24"/>
        </w:rPr>
        <w:t>The PUCO’s rules do not exempt a utility from its discovery obligations to object, on a theory that the discovery, in their opinion, is “unauthorized” or “premature.” Such an approach would operate to even further extend the kind of delay that the FirstEnergy Utilities are imposing</w:t>
      </w:r>
      <w:r w:rsidRPr="002008A8" w:rsidR="007C3F78">
        <w:rPr>
          <w:rFonts w:cs="Times New Roman"/>
          <w:color w:val="000000"/>
          <w:szCs w:val="24"/>
        </w:rPr>
        <w:t xml:space="preserve"> – a delay that strikes against the stated  purpose of the PUCO discovery rules:  to encourage prompt and expeditious use of discovery.</w:t>
      </w:r>
      <w:r>
        <w:rPr>
          <w:rStyle w:val="FootnoteReference"/>
          <w:rFonts w:cs="Times New Roman"/>
          <w:color w:val="000000"/>
          <w:szCs w:val="24"/>
        </w:rPr>
        <w:footnoteReference w:id="40"/>
      </w:r>
      <w:r w:rsidRPr="002008A8" w:rsidR="007C3F78">
        <w:rPr>
          <w:rFonts w:cs="Times New Roman"/>
          <w:color w:val="000000"/>
          <w:szCs w:val="24"/>
        </w:rPr>
        <w:t xml:space="preserve">  </w:t>
      </w:r>
      <w:r w:rsidRPr="002008A8">
        <w:rPr>
          <w:rFonts w:cs="Times New Roman"/>
          <w:color w:val="000000"/>
          <w:szCs w:val="24"/>
        </w:rPr>
        <w:t>The utilities are obliged to answer discovery, unless objected to, in which case they must state the objection in lieu of an answer.</w:t>
      </w:r>
      <w:r>
        <w:rPr>
          <w:rStyle w:val="FootnoteReference"/>
          <w:rFonts w:cs="Times New Roman"/>
          <w:color w:val="000000"/>
          <w:szCs w:val="24"/>
        </w:rPr>
        <w:footnoteReference w:id="41"/>
      </w:r>
      <w:r w:rsidRPr="002008A8">
        <w:rPr>
          <w:rFonts w:cs="Times New Roman"/>
          <w:color w:val="000000"/>
          <w:szCs w:val="24"/>
        </w:rPr>
        <w:t xml:space="preserve"> They failed to object on grounds of relevance (and other unnamed grounds) when they had the opportunity and obligation to do so. If the utilities thought the discovery was unauthorized or premature, they should have sought a motion for protection asking that such discovery not be had.</w:t>
      </w:r>
      <w:r>
        <w:rPr>
          <w:rStyle w:val="FootnoteReference"/>
          <w:rFonts w:cs="Times New Roman"/>
          <w:color w:val="000000"/>
          <w:szCs w:val="24"/>
        </w:rPr>
        <w:footnoteReference w:id="42"/>
      </w:r>
      <w:r w:rsidRPr="002008A8">
        <w:rPr>
          <w:rFonts w:cs="Times New Roman"/>
          <w:color w:val="000000"/>
          <w:szCs w:val="24"/>
        </w:rPr>
        <w:t xml:space="preserve"> They did not do that either, forcing OCC to file its motion to compel. </w:t>
      </w:r>
    </w:p>
    <w:p w:rsidR="00433C05" w:rsidRPr="002008A8" w:rsidP="00433C05" w14:paraId="1F7D517C" w14:textId="1C218424">
      <w:pPr>
        <w:spacing w:after="0" w:line="480" w:lineRule="auto"/>
        <w:ind w:firstLine="720"/>
        <w:rPr>
          <w:rFonts w:cs="Times New Roman"/>
          <w:szCs w:val="24"/>
        </w:rPr>
      </w:pPr>
      <w:r w:rsidRPr="002008A8">
        <w:rPr>
          <w:rFonts w:cs="Times New Roman"/>
          <w:szCs w:val="24"/>
        </w:rPr>
        <w:t>The FirstEnergy Utilities also claim that requiring them to immediately state all objections “would place the Companies in the impossible position of having to speculate about what the scope of this case will be when the audit report is issued.”</w:t>
      </w:r>
      <w:r>
        <w:rPr>
          <w:rStyle w:val="FootnoteReference"/>
          <w:rFonts w:cs="Times New Roman"/>
          <w:szCs w:val="24"/>
        </w:rPr>
        <w:footnoteReference w:id="43"/>
      </w:r>
      <w:r w:rsidRPr="002008A8">
        <w:rPr>
          <w:rFonts w:cs="Times New Roman"/>
          <w:szCs w:val="24"/>
        </w:rPr>
        <w:t xml:space="preserve"> This argument should also fail</w:t>
      </w:r>
      <w:r w:rsidRPr="002008A8" w:rsidR="00245A6C">
        <w:rPr>
          <w:rFonts w:cs="Times New Roman"/>
          <w:szCs w:val="24"/>
        </w:rPr>
        <w:t>.</w:t>
      </w:r>
      <w:r w:rsidRPr="002008A8">
        <w:rPr>
          <w:rFonts w:cs="Times New Roman"/>
          <w:szCs w:val="24"/>
        </w:rPr>
        <w:t xml:space="preserve"> </w:t>
      </w:r>
    </w:p>
    <w:p w:rsidR="00433C05" w:rsidRPr="002008A8" w:rsidP="00433C05" w14:paraId="25ABC3C3" w14:textId="26A71183">
      <w:pPr>
        <w:spacing w:after="0" w:line="480" w:lineRule="auto"/>
        <w:ind w:firstLine="720"/>
        <w:rPr>
          <w:rFonts w:cs="Times New Roman"/>
          <w:szCs w:val="24"/>
        </w:rPr>
      </w:pPr>
      <w:r w:rsidRPr="002008A8">
        <w:rPr>
          <w:rFonts w:cs="Times New Roman"/>
          <w:szCs w:val="24"/>
        </w:rPr>
        <w:t xml:space="preserve">First, as described above, the scope of this case is known and set. No speculation is required. Second, the utilities seem to </w:t>
      </w:r>
      <w:r w:rsidRPr="002008A8" w:rsidR="0081387C">
        <w:rPr>
          <w:rFonts w:cs="Times New Roman"/>
          <w:szCs w:val="24"/>
        </w:rPr>
        <w:t xml:space="preserve">take issue with the requirement in the discovery rule that requires a party to state its objection at the time responses are due, not some undefined time that is convenient for the party.  </w:t>
      </w:r>
      <w:r w:rsidRPr="002008A8">
        <w:rPr>
          <w:rFonts w:cs="Times New Roman"/>
          <w:szCs w:val="24"/>
        </w:rPr>
        <w:t xml:space="preserve">This is not the proceeding to resolve that. The FirstEnergy Utilities can raise that issue in the periodic rules review required by JCARR. Not here. Not now. </w:t>
      </w:r>
    </w:p>
    <w:p w:rsidR="00433C05" w:rsidRPr="002008A8" w:rsidP="00433C05" w14:paraId="4981CEC8" w14:textId="1280C37D">
      <w:pPr>
        <w:spacing w:after="0" w:line="480" w:lineRule="auto"/>
        <w:ind w:firstLine="720"/>
        <w:rPr>
          <w:rFonts w:cs="Times New Roman"/>
          <w:color w:val="000000"/>
          <w:szCs w:val="24"/>
        </w:rPr>
      </w:pPr>
      <w:r w:rsidRPr="002008A8">
        <w:rPr>
          <w:rFonts w:cs="Times New Roman"/>
          <w:color w:val="000000"/>
          <w:szCs w:val="24"/>
        </w:rPr>
        <w:t>OCC is gathering from the H.B. 6 scandal the kind of influence and control FirstEnergy seems accustomed to exerting. But here the Ohio Administrative Code’s discovery rules control.  And those rules operate in favor of OCC conducting its case preparation for consumer protection.</w:t>
      </w:r>
    </w:p>
    <w:p w:rsidR="00433C05" w:rsidRPr="002008A8" w:rsidP="00433C05" w14:paraId="13E69850" w14:textId="77777777">
      <w:pPr>
        <w:pStyle w:val="Heading1"/>
        <w:rPr>
          <w:rFonts w:ascii="Times New Roman" w:hAnsi="Times New Roman" w:cs="Times New Roman"/>
          <w:szCs w:val="24"/>
        </w:rPr>
      </w:pPr>
      <w:bookmarkStart w:id="10" w:name="_Toc66712300"/>
      <w:bookmarkStart w:id="11" w:name="_Toc68260600"/>
      <w:r w:rsidRPr="002008A8">
        <w:rPr>
          <w:rFonts w:ascii="Times New Roman" w:hAnsi="Times New Roman" w:cs="Times New Roman"/>
          <w:szCs w:val="24"/>
        </w:rPr>
        <w:t>CONCLUSION</w:t>
      </w:r>
      <w:bookmarkEnd w:id="10"/>
      <w:bookmarkEnd w:id="11"/>
      <w:r w:rsidRPr="002008A8">
        <w:rPr>
          <w:rFonts w:ascii="Times New Roman" w:hAnsi="Times New Roman" w:cs="Times New Roman"/>
          <w:szCs w:val="24"/>
        </w:rPr>
        <w:t xml:space="preserve"> </w:t>
      </w:r>
    </w:p>
    <w:p w:rsidR="007B0B01" w:rsidRPr="002008A8" w:rsidP="004D534D" w14:paraId="6AA8C0EB" w14:textId="758FB89A">
      <w:pPr>
        <w:pStyle w:val="Footer"/>
        <w:tabs>
          <w:tab w:val="clear" w:pos="4680"/>
          <w:tab w:val="clear" w:pos="9360"/>
        </w:tabs>
        <w:spacing w:line="480" w:lineRule="auto"/>
        <w:ind w:firstLine="720"/>
        <w:rPr>
          <w:rFonts w:cs="Times New Roman"/>
          <w:szCs w:val="24"/>
        </w:rPr>
      </w:pPr>
      <w:r w:rsidRPr="002008A8">
        <w:rPr>
          <w:rFonts w:cs="Times New Roman"/>
          <w:szCs w:val="24"/>
        </w:rPr>
        <w:t>The PUCO has much more than enough experience with its discovery rules</w:t>
      </w:r>
      <w:r w:rsidR="001761EE">
        <w:rPr>
          <w:rFonts w:cs="Times New Roman"/>
          <w:szCs w:val="24"/>
        </w:rPr>
        <w:t xml:space="preserve"> and</w:t>
      </w:r>
      <w:r w:rsidRPr="002008A8">
        <w:rPr>
          <w:rFonts w:cs="Times New Roman"/>
          <w:szCs w:val="24"/>
        </w:rPr>
        <w:t xml:space="preserve"> decades of experience to know what’s happening here. </w:t>
      </w:r>
      <w:r w:rsidRPr="002008A8" w:rsidR="00D53BC5">
        <w:rPr>
          <w:rFonts w:cs="Times New Roman"/>
          <w:szCs w:val="24"/>
        </w:rPr>
        <w:t xml:space="preserve">The </w:t>
      </w:r>
      <w:r w:rsidRPr="002008A8">
        <w:rPr>
          <w:rFonts w:cs="Times New Roman"/>
          <w:szCs w:val="24"/>
        </w:rPr>
        <w:t xml:space="preserve">FirstEnergy </w:t>
      </w:r>
      <w:r w:rsidRPr="002008A8" w:rsidR="00D53BC5">
        <w:rPr>
          <w:rFonts w:cs="Times New Roman"/>
          <w:szCs w:val="24"/>
        </w:rPr>
        <w:t xml:space="preserve">Utilities are </w:t>
      </w:r>
      <w:r w:rsidRPr="002008A8" w:rsidR="00184F31">
        <w:rPr>
          <w:rFonts w:cs="Times New Roman"/>
          <w:szCs w:val="24"/>
        </w:rPr>
        <w:t xml:space="preserve">misusing the law and rules of discovery to trample OCC’s rights. </w:t>
      </w:r>
      <w:r w:rsidRPr="002008A8" w:rsidR="00433C05">
        <w:rPr>
          <w:rFonts w:cs="Times New Roman"/>
          <w:szCs w:val="24"/>
        </w:rPr>
        <w:t xml:space="preserve">For the reasons stated, the PUCO should </w:t>
      </w:r>
      <w:r w:rsidRPr="002008A8" w:rsidR="00B276C9">
        <w:rPr>
          <w:rFonts w:cs="Times New Roman"/>
          <w:szCs w:val="24"/>
        </w:rPr>
        <w:t xml:space="preserve">grant OCC’s Motion to Compel and </w:t>
      </w:r>
      <w:r w:rsidRPr="002008A8" w:rsidR="00433C05">
        <w:rPr>
          <w:rFonts w:cs="Times New Roman"/>
          <w:szCs w:val="24"/>
        </w:rPr>
        <w:t xml:space="preserve">require the FirstEnergy Utilities to fully respond to OCC’s discovery requests, </w:t>
      </w:r>
      <w:r w:rsidRPr="002008A8" w:rsidR="00B276C9">
        <w:rPr>
          <w:rFonts w:cs="Times New Roman"/>
          <w:i/>
          <w:iCs/>
          <w:szCs w:val="24"/>
        </w:rPr>
        <w:t>post haste</w:t>
      </w:r>
      <w:r w:rsidRPr="002008A8" w:rsidR="004D534D">
        <w:rPr>
          <w:rFonts w:cs="Times New Roman"/>
          <w:i/>
          <w:iCs/>
          <w:szCs w:val="24"/>
        </w:rPr>
        <w:t xml:space="preserve">. </w:t>
      </w:r>
    </w:p>
    <w:p w:rsidR="007A35EE" w:rsidRPr="002008A8" w:rsidP="00CD5990" w14:paraId="1D16AAD8" w14:textId="77777777">
      <w:pPr>
        <w:pStyle w:val="Footer"/>
        <w:tabs>
          <w:tab w:val="left" w:pos="4320"/>
        </w:tabs>
        <w:ind w:left="4320"/>
        <w:rPr>
          <w:rFonts w:cs="Times New Roman"/>
          <w:szCs w:val="24"/>
        </w:rPr>
      </w:pPr>
    </w:p>
    <w:p w:rsidR="007A35EE" w:rsidRPr="002008A8" w:rsidP="00CD5990" w14:paraId="76E439C9" w14:textId="23019820">
      <w:pPr>
        <w:pStyle w:val="Footer"/>
        <w:tabs>
          <w:tab w:val="left" w:pos="4320"/>
        </w:tabs>
        <w:ind w:left="4320"/>
        <w:rPr>
          <w:rFonts w:cs="Times New Roman"/>
          <w:szCs w:val="24"/>
        </w:rPr>
      </w:pPr>
      <w:r w:rsidRPr="002008A8">
        <w:rPr>
          <w:rFonts w:cs="Times New Roman"/>
          <w:szCs w:val="24"/>
        </w:rPr>
        <w:t xml:space="preserve">Respectfully submitted, </w:t>
      </w:r>
    </w:p>
    <w:p w:rsidR="007A35EE" w:rsidRPr="002008A8" w:rsidP="00CD5990" w14:paraId="0F35C2B8" w14:textId="77777777">
      <w:pPr>
        <w:pStyle w:val="Footer"/>
        <w:tabs>
          <w:tab w:val="left" w:pos="4320"/>
        </w:tabs>
        <w:ind w:left="4320"/>
        <w:rPr>
          <w:rFonts w:cs="Times New Roman"/>
          <w:szCs w:val="24"/>
        </w:rPr>
      </w:pPr>
    </w:p>
    <w:p w:rsidR="00CD5990" w:rsidRPr="002008A8" w:rsidP="00CD5990" w14:paraId="5A035267" w14:textId="046A2398">
      <w:pPr>
        <w:pStyle w:val="Footer"/>
        <w:tabs>
          <w:tab w:val="left" w:pos="4320"/>
        </w:tabs>
        <w:ind w:left="4320"/>
        <w:rPr>
          <w:rFonts w:cs="Times New Roman"/>
          <w:szCs w:val="24"/>
        </w:rPr>
      </w:pPr>
      <w:r w:rsidRPr="002008A8">
        <w:rPr>
          <w:rFonts w:cs="Times New Roman"/>
          <w:szCs w:val="24"/>
        </w:rPr>
        <w:t>Bruce Weston (0016973)</w:t>
      </w:r>
    </w:p>
    <w:p w:rsidR="00CD5990" w:rsidRPr="002008A8" w:rsidP="00CD5990" w14:paraId="4C7D17C1"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Ohio Consumers’ Counsel</w:t>
      </w:r>
    </w:p>
    <w:p w:rsidR="00CD5990" w:rsidRPr="002008A8" w:rsidP="00CD5990" w14:paraId="760514E3"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ab/>
      </w:r>
    </w:p>
    <w:p w:rsidR="007A35EE" w:rsidRPr="002008A8" w:rsidP="00CD5990" w14:paraId="52379F57" w14:textId="3D6BAEFF">
      <w:pPr>
        <w:pStyle w:val="ListParagraph"/>
        <w:tabs>
          <w:tab w:val="left" w:pos="4320"/>
        </w:tabs>
        <w:spacing w:after="0" w:line="240" w:lineRule="auto"/>
        <w:ind w:left="4320"/>
        <w:rPr>
          <w:rFonts w:ascii="Times New Roman" w:hAnsi="Times New Roman" w:cs="Times New Roman"/>
          <w:i/>
          <w:iCs/>
          <w:sz w:val="24"/>
          <w:szCs w:val="24"/>
          <w:u w:val="single"/>
        </w:rPr>
      </w:pPr>
      <w:r w:rsidRPr="002008A8">
        <w:rPr>
          <w:rFonts w:ascii="Times New Roman" w:hAnsi="Times New Roman" w:cs="Times New Roman"/>
          <w:i/>
          <w:iCs/>
          <w:sz w:val="24"/>
          <w:szCs w:val="24"/>
          <w:u w:val="single"/>
        </w:rPr>
        <w:t>/s/ Maureen R. Willis</w:t>
      </w:r>
    </w:p>
    <w:p w:rsidR="00CD5990" w:rsidRPr="002008A8" w:rsidP="00CD5990" w14:paraId="3BFF3722" w14:textId="1C7BBE13">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Maureen R. Willis (0020847)</w:t>
      </w:r>
    </w:p>
    <w:p w:rsidR="0014067F" w:rsidRPr="002008A8" w:rsidP="00CD5990" w14:paraId="3D5E45FD" w14:textId="3A853302">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Senior Counsel</w:t>
      </w:r>
    </w:p>
    <w:p w:rsidR="00CD5990" w:rsidRPr="002008A8" w:rsidP="00CD5990" w14:paraId="48F2F821"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Counsel of Record</w:t>
      </w:r>
    </w:p>
    <w:p w:rsidR="00CD5990" w:rsidRPr="002008A8" w:rsidP="00CD5990" w14:paraId="2C25EF98"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William Michael (0070921)</w:t>
      </w:r>
    </w:p>
    <w:p w:rsidR="00CD5990" w:rsidRPr="002008A8" w:rsidP="00CD5990" w14:paraId="46655962" w14:textId="77777777">
      <w:pPr>
        <w:pStyle w:val="ListParagraph"/>
        <w:tabs>
          <w:tab w:val="left" w:pos="4320"/>
        </w:tabs>
        <w:spacing w:after="0" w:line="240" w:lineRule="auto"/>
        <w:ind w:left="4320"/>
        <w:rPr>
          <w:rFonts w:ascii="Times New Roman" w:hAnsi="Times New Roman" w:cs="Times New Roman"/>
          <w:sz w:val="24"/>
          <w:szCs w:val="24"/>
        </w:rPr>
      </w:pPr>
      <w:r w:rsidRPr="002008A8">
        <w:rPr>
          <w:rFonts w:ascii="Times New Roman" w:hAnsi="Times New Roman" w:cs="Times New Roman"/>
          <w:sz w:val="24"/>
          <w:szCs w:val="24"/>
        </w:rPr>
        <w:t>John Finnigan (0018689)</w:t>
      </w:r>
      <w:r w:rsidRPr="002008A8">
        <w:rPr>
          <w:rFonts w:ascii="Times New Roman" w:hAnsi="Times New Roman" w:cs="Times New Roman"/>
          <w:sz w:val="24"/>
          <w:szCs w:val="24"/>
        </w:rPr>
        <w:br/>
        <w:t>Assistant Consumers’ Counsel</w:t>
      </w:r>
    </w:p>
    <w:p w:rsidR="00CD5990" w:rsidRPr="002008A8" w:rsidP="00CD5990" w14:paraId="3922E329" w14:textId="77777777">
      <w:pPr>
        <w:pStyle w:val="ListParagraph"/>
        <w:tabs>
          <w:tab w:val="left" w:pos="4320"/>
        </w:tabs>
        <w:spacing w:after="0" w:line="240" w:lineRule="auto"/>
        <w:ind w:left="4320"/>
        <w:rPr>
          <w:rFonts w:ascii="Times New Roman" w:hAnsi="Times New Roman" w:cs="Times New Roman"/>
          <w:sz w:val="24"/>
          <w:szCs w:val="24"/>
        </w:rPr>
      </w:pPr>
    </w:p>
    <w:p w:rsidR="00CD5990" w:rsidRPr="002008A8" w:rsidP="00CD5990" w14:paraId="0A717E94" w14:textId="77777777">
      <w:pPr>
        <w:pStyle w:val="ListParagraph"/>
        <w:tabs>
          <w:tab w:val="left" w:pos="4320"/>
        </w:tabs>
        <w:spacing w:after="0" w:line="240" w:lineRule="auto"/>
        <w:ind w:left="4320"/>
        <w:rPr>
          <w:rFonts w:ascii="Times New Roman" w:hAnsi="Times New Roman" w:cs="Times New Roman"/>
          <w:b/>
          <w:bCs/>
          <w:sz w:val="24"/>
          <w:szCs w:val="24"/>
        </w:rPr>
      </w:pPr>
      <w:r w:rsidRPr="002008A8">
        <w:rPr>
          <w:rFonts w:ascii="Times New Roman" w:hAnsi="Times New Roman" w:cs="Times New Roman"/>
          <w:b/>
          <w:sz w:val="24"/>
          <w:szCs w:val="24"/>
        </w:rPr>
        <w:t>Office of the Ohio Consumers’ Counsel</w:t>
      </w:r>
    </w:p>
    <w:p w:rsidR="00CD5990" w:rsidRPr="002008A8" w:rsidP="00CD5990" w14:paraId="3F11AFB5" w14:textId="77777777">
      <w:pPr>
        <w:spacing w:after="0" w:line="240" w:lineRule="auto"/>
        <w:ind w:left="4320"/>
        <w:rPr>
          <w:rFonts w:cs="Times New Roman"/>
          <w:szCs w:val="24"/>
        </w:rPr>
      </w:pPr>
      <w:r w:rsidRPr="002008A8">
        <w:rPr>
          <w:rFonts w:cs="Times New Roman"/>
          <w:szCs w:val="24"/>
        </w:rPr>
        <w:t>65 East State Street, 7th Floor</w:t>
      </w:r>
    </w:p>
    <w:p w:rsidR="00CD5990" w:rsidRPr="002008A8" w:rsidP="00CD5990" w14:paraId="248E9895" w14:textId="77777777">
      <w:pPr>
        <w:spacing w:after="0" w:line="240" w:lineRule="auto"/>
        <w:ind w:left="4320"/>
        <w:rPr>
          <w:rFonts w:cs="Times New Roman"/>
          <w:szCs w:val="24"/>
        </w:rPr>
      </w:pPr>
      <w:r w:rsidRPr="002008A8">
        <w:rPr>
          <w:rFonts w:cs="Times New Roman"/>
          <w:szCs w:val="24"/>
        </w:rPr>
        <w:t>Columbus, Ohio 43215</w:t>
      </w:r>
    </w:p>
    <w:p w:rsidR="00CD5990" w:rsidRPr="002008A8" w:rsidP="00CD5990" w14:paraId="0D806034" w14:textId="2176AB2F">
      <w:pPr>
        <w:autoSpaceDE w:val="0"/>
        <w:autoSpaceDN w:val="0"/>
        <w:adjustRightInd w:val="0"/>
        <w:spacing w:after="0" w:line="240" w:lineRule="auto"/>
        <w:ind w:left="3600" w:firstLine="720"/>
        <w:rPr>
          <w:rFonts w:cs="Times New Roman"/>
          <w:szCs w:val="24"/>
        </w:rPr>
      </w:pPr>
      <w:r w:rsidRPr="002008A8">
        <w:rPr>
          <w:rFonts w:cs="Times New Roman"/>
          <w:szCs w:val="24"/>
        </w:rPr>
        <w:t>Telephone [</w:t>
      </w:r>
      <w:r w:rsidRPr="002008A8" w:rsidR="0014067F">
        <w:rPr>
          <w:rFonts w:cs="Times New Roman"/>
          <w:szCs w:val="24"/>
        </w:rPr>
        <w:t>Willis</w:t>
      </w:r>
      <w:r w:rsidRPr="002008A8">
        <w:rPr>
          <w:rFonts w:cs="Times New Roman"/>
          <w:szCs w:val="24"/>
        </w:rPr>
        <w:t>]: (614) 466-95</w:t>
      </w:r>
      <w:r w:rsidRPr="002008A8" w:rsidR="0014067F">
        <w:rPr>
          <w:rFonts w:cs="Times New Roman"/>
          <w:szCs w:val="24"/>
        </w:rPr>
        <w:t>67</w:t>
      </w:r>
    </w:p>
    <w:p w:rsidR="00CD5990" w:rsidRPr="002008A8" w:rsidP="00CD5990" w14:paraId="10F756BA" w14:textId="77777777">
      <w:pPr>
        <w:autoSpaceDE w:val="0"/>
        <w:autoSpaceDN w:val="0"/>
        <w:adjustRightInd w:val="0"/>
        <w:spacing w:after="0" w:line="240" w:lineRule="auto"/>
        <w:ind w:left="3600" w:firstLine="720"/>
        <w:rPr>
          <w:rFonts w:cs="Times New Roman"/>
          <w:szCs w:val="24"/>
        </w:rPr>
      </w:pPr>
      <w:r w:rsidRPr="002008A8">
        <w:rPr>
          <w:rFonts w:cs="Times New Roman"/>
          <w:szCs w:val="24"/>
        </w:rPr>
        <w:t>Telephone [Michael]: (614) 466-1291</w:t>
      </w:r>
    </w:p>
    <w:p w:rsidR="00CD5990" w:rsidRPr="002008A8" w:rsidP="00CD5990" w14:paraId="7BC6DB02" w14:textId="77777777">
      <w:pPr>
        <w:pStyle w:val="ListParagraph"/>
        <w:autoSpaceDE w:val="0"/>
        <w:autoSpaceDN w:val="0"/>
        <w:adjustRightInd w:val="0"/>
        <w:spacing w:after="0" w:line="240" w:lineRule="auto"/>
        <w:ind w:left="3600" w:firstLine="720"/>
        <w:rPr>
          <w:rFonts w:ascii="Times New Roman" w:hAnsi="Times New Roman" w:cs="Times New Roman"/>
          <w:sz w:val="24"/>
          <w:szCs w:val="24"/>
        </w:rPr>
      </w:pPr>
      <w:r w:rsidRPr="002008A8">
        <w:rPr>
          <w:rFonts w:ascii="Times New Roman" w:hAnsi="Times New Roman" w:cs="Times New Roman"/>
          <w:sz w:val="24"/>
          <w:szCs w:val="24"/>
        </w:rPr>
        <w:t>Telephone [Finnigan]: (614) 466-9585</w:t>
      </w:r>
    </w:p>
    <w:p w:rsidR="00CD5990" w:rsidRPr="002008A8" w:rsidP="00CD5990" w14:paraId="16CCD9D5" w14:textId="2619E8E6">
      <w:pPr>
        <w:pStyle w:val="ListParagraph"/>
        <w:autoSpaceDE w:val="0"/>
        <w:autoSpaceDN w:val="0"/>
        <w:adjustRightInd w:val="0"/>
        <w:spacing w:after="0" w:line="240" w:lineRule="auto"/>
        <w:ind w:left="0"/>
        <w:rPr>
          <w:rFonts w:ascii="Times New Roman" w:hAnsi="Times New Roman" w:cs="Times New Roman"/>
          <w:sz w:val="24"/>
          <w:szCs w:val="24"/>
        </w:rPr>
      </w:pPr>
      <w:r w:rsidRPr="002008A8">
        <w:rPr>
          <w:rFonts w:ascii="Times New Roman" w:hAnsi="Times New Roman" w:cs="Times New Roman"/>
          <w:sz w:val="24"/>
          <w:szCs w:val="24"/>
        </w:rPr>
        <w:tab/>
      </w:r>
      <w:r w:rsidRPr="002008A8">
        <w:rPr>
          <w:rFonts w:ascii="Times New Roman" w:hAnsi="Times New Roman" w:cs="Times New Roman"/>
          <w:sz w:val="24"/>
          <w:szCs w:val="24"/>
        </w:rPr>
        <w:tab/>
      </w:r>
      <w:r w:rsidRPr="002008A8">
        <w:rPr>
          <w:rFonts w:ascii="Times New Roman" w:hAnsi="Times New Roman" w:cs="Times New Roman"/>
          <w:sz w:val="24"/>
          <w:szCs w:val="24"/>
        </w:rPr>
        <w:tab/>
      </w:r>
      <w:r w:rsidRPr="002008A8">
        <w:rPr>
          <w:rFonts w:ascii="Times New Roman" w:hAnsi="Times New Roman" w:cs="Times New Roman"/>
          <w:sz w:val="24"/>
          <w:szCs w:val="24"/>
        </w:rPr>
        <w:tab/>
      </w:r>
      <w:r w:rsidRPr="002008A8">
        <w:rPr>
          <w:rFonts w:ascii="Times New Roman" w:hAnsi="Times New Roman" w:cs="Times New Roman"/>
          <w:sz w:val="24"/>
          <w:szCs w:val="24"/>
        </w:rPr>
        <w:tab/>
      </w:r>
      <w:r w:rsidRPr="002008A8">
        <w:rPr>
          <w:rFonts w:ascii="Times New Roman" w:hAnsi="Times New Roman" w:cs="Times New Roman"/>
          <w:sz w:val="24"/>
          <w:szCs w:val="24"/>
        </w:rPr>
        <w:tab/>
      </w:r>
      <w:hyperlink r:id="rId6" w:history="1">
        <w:r w:rsidRPr="00136C5B" w:rsidR="001761EE">
          <w:rPr>
            <w:rStyle w:val="Hyperlink"/>
            <w:rFonts w:ascii="Times New Roman" w:hAnsi="Times New Roman" w:cs="Times New Roman"/>
            <w:sz w:val="24"/>
            <w:szCs w:val="24"/>
          </w:rPr>
          <w:t>maureen.willis@occ.ohio.gov</w:t>
        </w:r>
      </w:hyperlink>
    </w:p>
    <w:p w:rsidR="00CD5990" w:rsidRPr="002008A8" w:rsidP="00CD5990" w14:paraId="4BCD8ED4" w14:textId="77777777">
      <w:pPr>
        <w:pStyle w:val="ListParagraph"/>
        <w:autoSpaceDE w:val="0"/>
        <w:autoSpaceDN w:val="0"/>
        <w:adjustRightInd w:val="0"/>
        <w:spacing w:after="0" w:line="240" w:lineRule="auto"/>
        <w:ind w:left="3600" w:firstLine="720"/>
        <w:rPr>
          <w:rFonts w:ascii="Times New Roman" w:hAnsi="Times New Roman" w:cs="Times New Roman"/>
          <w:sz w:val="24"/>
          <w:szCs w:val="24"/>
        </w:rPr>
      </w:pPr>
      <w:hyperlink r:id="rId7" w:history="1">
        <w:r w:rsidRPr="002008A8" w:rsidR="00920D5D">
          <w:rPr>
            <w:rStyle w:val="Hyperlink"/>
            <w:rFonts w:ascii="Times New Roman" w:hAnsi="Times New Roman" w:cs="Times New Roman"/>
            <w:sz w:val="24"/>
            <w:szCs w:val="24"/>
          </w:rPr>
          <w:t>william.michael@occ.ohio.gov</w:t>
        </w:r>
      </w:hyperlink>
    </w:p>
    <w:p w:rsidR="00CD5990" w:rsidRPr="002008A8" w:rsidP="00CD5990" w14:paraId="27ED3BAD" w14:textId="77777777">
      <w:pPr>
        <w:pStyle w:val="ListParagraph"/>
        <w:autoSpaceDE w:val="0"/>
        <w:autoSpaceDN w:val="0"/>
        <w:adjustRightInd w:val="0"/>
        <w:spacing w:after="0" w:line="240" w:lineRule="auto"/>
        <w:ind w:left="3600" w:firstLine="720"/>
        <w:rPr>
          <w:rStyle w:val="Hyperlink"/>
          <w:rFonts w:ascii="Times New Roman" w:hAnsi="Times New Roman" w:cs="Times New Roman"/>
          <w:sz w:val="24"/>
          <w:szCs w:val="24"/>
        </w:rPr>
      </w:pPr>
      <w:hyperlink r:id="rId8" w:history="1">
        <w:r w:rsidRPr="002008A8" w:rsidR="00920D5D">
          <w:rPr>
            <w:rStyle w:val="Hyperlink"/>
            <w:rFonts w:ascii="Times New Roman" w:hAnsi="Times New Roman" w:cs="Times New Roman"/>
            <w:sz w:val="24"/>
            <w:szCs w:val="24"/>
          </w:rPr>
          <w:t>john.finnigan@occ.ohio.gov</w:t>
        </w:r>
      </w:hyperlink>
    </w:p>
    <w:p w:rsidR="00CD5990" w:rsidRPr="002008A8" w:rsidP="00CD5990" w14:paraId="53171B76" w14:textId="45040C5A">
      <w:pPr>
        <w:autoSpaceDE w:val="0"/>
        <w:autoSpaceDN w:val="0"/>
        <w:adjustRightInd w:val="0"/>
        <w:spacing w:after="0" w:line="240" w:lineRule="auto"/>
        <w:rPr>
          <w:rStyle w:val="Hyperlink"/>
          <w:rFonts w:cs="Times New Roman"/>
          <w:color w:val="auto"/>
          <w:szCs w:val="24"/>
          <w:u w:val="none"/>
        </w:rPr>
      </w:pPr>
      <w:r w:rsidRPr="002008A8">
        <w:rPr>
          <w:rStyle w:val="Hyperlink"/>
          <w:rFonts w:cs="Times New Roman"/>
          <w:color w:val="auto"/>
          <w:szCs w:val="24"/>
          <w:u w:val="none"/>
        </w:rPr>
        <w:tab/>
      </w:r>
      <w:r w:rsidRPr="002008A8">
        <w:rPr>
          <w:rStyle w:val="Hyperlink"/>
          <w:rFonts w:cs="Times New Roman"/>
          <w:color w:val="auto"/>
          <w:szCs w:val="24"/>
          <w:u w:val="none"/>
        </w:rPr>
        <w:tab/>
      </w:r>
      <w:r w:rsidRPr="002008A8" w:rsidR="00D46F4E">
        <w:rPr>
          <w:rStyle w:val="Hyperlink"/>
          <w:rFonts w:cs="Times New Roman"/>
          <w:color w:val="auto"/>
          <w:szCs w:val="24"/>
          <w:u w:val="none"/>
        </w:rPr>
        <w:tab/>
      </w:r>
      <w:r w:rsidRPr="002008A8">
        <w:rPr>
          <w:rStyle w:val="Hyperlink"/>
          <w:rFonts w:cs="Times New Roman"/>
          <w:color w:val="auto"/>
          <w:szCs w:val="24"/>
          <w:u w:val="none"/>
        </w:rPr>
        <w:tab/>
      </w:r>
      <w:r w:rsidRPr="002008A8">
        <w:rPr>
          <w:rStyle w:val="Hyperlink"/>
          <w:rFonts w:cs="Times New Roman"/>
          <w:color w:val="auto"/>
          <w:szCs w:val="24"/>
          <w:u w:val="none"/>
        </w:rPr>
        <w:tab/>
      </w:r>
      <w:r w:rsidRPr="002008A8">
        <w:rPr>
          <w:rStyle w:val="Hyperlink"/>
          <w:rFonts w:cs="Times New Roman"/>
          <w:color w:val="auto"/>
          <w:szCs w:val="24"/>
          <w:u w:val="none"/>
        </w:rPr>
        <w:tab/>
        <w:t>(willing to accept service by e-mail)</w:t>
      </w:r>
    </w:p>
    <w:p w:rsidR="00844EB5" w:rsidRPr="002008A8" w:rsidP="00FD2B5C" w14:paraId="05FA0624" w14:textId="77777777">
      <w:pPr>
        <w:spacing w:after="0"/>
        <w:jc w:val="center"/>
        <w:rPr>
          <w:rFonts w:cs="Times New Roman"/>
          <w:b/>
          <w:szCs w:val="24"/>
        </w:rPr>
        <w:sectPr w:rsidSect="00C14457">
          <w:headerReference w:type="default" r:id="rId14"/>
          <w:pgSz w:w="12240" w:h="15840"/>
          <w:pgMar w:top="1440" w:right="1800" w:bottom="1440" w:left="1800" w:header="720" w:footer="720" w:gutter="0"/>
          <w:cols w:space="720"/>
          <w:docGrid w:linePitch="360"/>
        </w:sectPr>
      </w:pPr>
    </w:p>
    <w:p w:rsidR="004E0143" w:rsidRPr="002008A8" w:rsidP="004E0143" w14:paraId="2CEC3CFF" w14:textId="77777777">
      <w:pPr>
        <w:jc w:val="center"/>
        <w:rPr>
          <w:rFonts w:cs="Times New Roman"/>
          <w:b/>
          <w:bCs/>
          <w:szCs w:val="24"/>
          <w:u w:val="single"/>
        </w:rPr>
      </w:pPr>
      <w:r w:rsidRPr="002008A8">
        <w:rPr>
          <w:rFonts w:cs="Times New Roman"/>
          <w:b/>
          <w:szCs w:val="24"/>
          <w:u w:val="single"/>
        </w:rPr>
        <w:t>CERTIFICATE OF SERVICE</w:t>
      </w:r>
    </w:p>
    <w:p w:rsidR="004E0143" w:rsidRPr="002008A8" w:rsidP="004E0143" w14:paraId="02D02620" w14:textId="4D403FF5">
      <w:pPr>
        <w:spacing w:line="480" w:lineRule="auto"/>
        <w:rPr>
          <w:rFonts w:cs="Times New Roman"/>
          <w:b/>
          <w:bCs/>
          <w:szCs w:val="24"/>
        </w:rPr>
      </w:pPr>
      <w:r w:rsidRPr="002008A8">
        <w:rPr>
          <w:rFonts w:cs="Times New Roman"/>
          <w:szCs w:val="24"/>
        </w:rPr>
        <w:tab/>
        <w:t xml:space="preserve">I hereby certify that a copy of this </w:t>
      </w:r>
      <w:r w:rsidRPr="002008A8" w:rsidR="00D01CB0">
        <w:rPr>
          <w:rFonts w:cs="Times New Roman"/>
          <w:szCs w:val="24"/>
        </w:rPr>
        <w:t>Reply</w:t>
      </w:r>
      <w:r w:rsidRPr="002008A8">
        <w:rPr>
          <w:rFonts w:cs="Times New Roman"/>
          <w:szCs w:val="24"/>
        </w:rPr>
        <w:t xml:space="preserve"> was served on the persons stated below via electric transmission this </w:t>
      </w:r>
      <w:r w:rsidRPr="002008A8" w:rsidR="00D01CB0">
        <w:rPr>
          <w:rFonts w:cs="Times New Roman"/>
          <w:szCs w:val="24"/>
        </w:rPr>
        <w:t>2</w:t>
      </w:r>
      <w:r w:rsidRPr="002008A8" w:rsidR="00D01CB0">
        <w:rPr>
          <w:rFonts w:cs="Times New Roman"/>
          <w:szCs w:val="24"/>
          <w:vertAlign w:val="superscript"/>
        </w:rPr>
        <w:t>nd</w:t>
      </w:r>
      <w:r w:rsidRPr="002008A8" w:rsidR="00D01CB0">
        <w:rPr>
          <w:rFonts w:cs="Times New Roman"/>
          <w:szCs w:val="24"/>
        </w:rPr>
        <w:t xml:space="preserve"> </w:t>
      </w:r>
      <w:r w:rsidRPr="002008A8">
        <w:rPr>
          <w:rFonts w:cs="Times New Roman"/>
          <w:szCs w:val="24"/>
        </w:rPr>
        <w:t xml:space="preserve">day of </w:t>
      </w:r>
      <w:r w:rsidRPr="002008A8" w:rsidR="00800769">
        <w:rPr>
          <w:rFonts w:cs="Times New Roman"/>
          <w:szCs w:val="24"/>
        </w:rPr>
        <w:t>April</w:t>
      </w:r>
      <w:r w:rsidRPr="002008A8">
        <w:rPr>
          <w:rFonts w:cs="Times New Roman"/>
          <w:szCs w:val="24"/>
        </w:rPr>
        <w:t xml:space="preserve"> 2021.</w:t>
      </w:r>
    </w:p>
    <w:p w:rsidR="004E0143" w:rsidRPr="002008A8" w:rsidP="004E0143" w14:paraId="5F4F0DD0" w14:textId="6B61D2D4">
      <w:pPr>
        <w:spacing w:after="0" w:line="240" w:lineRule="auto"/>
        <w:rPr>
          <w:rFonts w:cs="Times New Roman"/>
          <w:i/>
          <w:iCs/>
          <w:szCs w:val="24"/>
          <w:u w:val="single"/>
        </w:rPr>
      </w:pPr>
      <w:bookmarkStart w:id="12" w:name="_Hlk60904023"/>
      <w:r w:rsidRPr="002008A8">
        <w:rPr>
          <w:rFonts w:cs="Times New Roman"/>
          <w:szCs w:val="24"/>
        </w:rPr>
        <w:tab/>
      </w:r>
      <w:r w:rsidRPr="002008A8">
        <w:rPr>
          <w:rFonts w:cs="Times New Roman"/>
          <w:szCs w:val="24"/>
        </w:rPr>
        <w:tab/>
      </w:r>
      <w:r w:rsidRPr="002008A8">
        <w:rPr>
          <w:rFonts w:cs="Times New Roman"/>
          <w:szCs w:val="24"/>
        </w:rPr>
        <w:tab/>
      </w:r>
      <w:r w:rsidRPr="002008A8">
        <w:rPr>
          <w:rFonts w:cs="Times New Roman"/>
          <w:szCs w:val="24"/>
        </w:rPr>
        <w:tab/>
      </w:r>
      <w:r w:rsidRPr="002008A8">
        <w:rPr>
          <w:rFonts w:cs="Times New Roman"/>
          <w:szCs w:val="24"/>
        </w:rPr>
        <w:tab/>
      </w:r>
      <w:r w:rsidRPr="002008A8">
        <w:rPr>
          <w:rFonts w:cs="Times New Roman"/>
          <w:szCs w:val="24"/>
        </w:rPr>
        <w:tab/>
      </w:r>
      <w:r w:rsidRPr="002008A8">
        <w:rPr>
          <w:rFonts w:cs="Times New Roman"/>
          <w:i/>
          <w:iCs/>
          <w:szCs w:val="24"/>
          <w:u w:val="single"/>
        </w:rPr>
        <w:t>/s/</w:t>
      </w:r>
      <w:r w:rsidRPr="002008A8" w:rsidR="004D534D">
        <w:rPr>
          <w:rFonts w:cs="Times New Roman"/>
          <w:i/>
          <w:iCs/>
          <w:szCs w:val="24"/>
          <w:u w:val="single"/>
        </w:rPr>
        <w:t>Maureen R, Willis</w:t>
      </w:r>
    </w:p>
    <w:p w:rsidR="004E0143" w:rsidRPr="002008A8" w:rsidP="004E0143" w14:paraId="76D1D387" w14:textId="1D2553E4">
      <w:pPr>
        <w:spacing w:after="0" w:line="240" w:lineRule="auto"/>
        <w:rPr>
          <w:rFonts w:cs="Times New Roman"/>
          <w:b/>
          <w:bCs/>
          <w:szCs w:val="24"/>
        </w:rPr>
      </w:pPr>
      <w:r w:rsidRPr="002008A8">
        <w:rPr>
          <w:rFonts w:cs="Times New Roman"/>
          <w:szCs w:val="24"/>
        </w:rPr>
        <w:tab/>
      </w:r>
      <w:r w:rsidRPr="002008A8">
        <w:rPr>
          <w:rFonts w:cs="Times New Roman"/>
          <w:szCs w:val="24"/>
        </w:rPr>
        <w:tab/>
      </w:r>
      <w:r w:rsidRPr="002008A8">
        <w:rPr>
          <w:rFonts w:cs="Times New Roman"/>
          <w:szCs w:val="24"/>
        </w:rPr>
        <w:tab/>
      </w:r>
      <w:r w:rsidRPr="002008A8">
        <w:rPr>
          <w:rFonts w:cs="Times New Roman"/>
          <w:szCs w:val="24"/>
        </w:rPr>
        <w:tab/>
      </w:r>
      <w:r w:rsidRPr="002008A8">
        <w:rPr>
          <w:rFonts w:cs="Times New Roman"/>
          <w:szCs w:val="24"/>
        </w:rPr>
        <w:tab/>
      </w:r>
      <w:r w:rsidRPr="002008A8">
        <w:rPr>
          <w:rFonts w:cs="Times New Roman"/>
          <w:szCs w:val="24"/>
        </w:rPr>
        <w:tab/>
      </w:r>
      <w:r w:rsidRPr="002008A8" w:rsidR="00800769">
        <w:rPr>
          <w:rFonts w:cs="Times New Roman"/>
          <w:szCs w:val="24"/>
        </w:rPr>
        <w:t>Senio</w:t>
      </w:r>
      <w:r w:rsidRPr="002008A8" w:rsidR="004D534D">
        <w:rPr>
          <w:rFonts w:cs="Times New Roman"/>
          <w:szCs w:val="24"/>
        </w:rPr>
        <w:t xml:space="preserve">r </w:t>
      </w:r>
      <w:r w:rsidRPr="002008A8">
        <w:rPr>
          <w:rFonts w:cs="Times New Roman"/>
          <w:szCs w:val="24"/>
        </w:rPr>
        <w:t>Counsel</w:t>
      </w:r>
    </w:p>
    <w:bookmarkEnd w:id="12"/>
    <w:p w:rsidR="004E0143" w:rsidRPr="002008A8" w:rsidP="004E0143" w14:paraId="6AACE29E" w14:textId="77777777">
      <w:pPr>
        <w:rPr>
          <w:rFonts w:cs="Times New Roman"/>
          <w:b/>
          <w:bCs/>
          <w:szCs w:val="24"/>
        </w:rPr>
      </w:pPr>
    </w:p>
    <w:p w:rsidR="004E0143" w:rsidRPr="002008A8" w:rsidP="004E0143" w14:paraId="057EBBEA" w14:textId="77777777">
      <w:pPr>
        <w:rPr>
          <w:rFonts w:cs="Times New Roman"/>
          <w:b/>
          <w:bCs/>
          <w:szCs w:val="24"/>
        </w:rPr>
      </w:pPr>
      <w:r w:rsidRPr="002008A8">
        <w:rPr>
          <w:rFonts w:cs="Times New Roman"/>
          <w:szCs w:val="24"/>
        </w:rPr>
        <w:t>The PUCO’s e-filing system will electronically serve notice of the filing of this document on the following parties:</w:t>
      </w:r>
    </w:p>
    <w:p w:rsidR="009E5783" w:rsidRPr="002008A8" w:rsidP="009E5783" w14:paraId="7FDCF71F" w14:textId="77777777">
      <w:pPr>
        <w:pStyle w:val="CommentText"/>
        <w:jc w:val="center"/>
        <w:rPr>
          <w:b/>
          <w:u w:val="single"/>
        </w:rPr>
      </w:pPr>
      <w:r w:rsidRPr="002008A8">
        <w:rPr>
          <w:b/>
          <w:u w:val="single"/>
        </w:rPr>
        <w:t>SERVICE LIST</w:t>
      </w:r>
    </w:p>
    <w:p w:rsidR="009E5783" w:rsidRPr="002008A8" w:rsidP="009E5783" w14:paraId="5B014CFB" w14:textId="77777777">
      <w:pPr>
        <w:pStyle w:val="CommentText"/>
        <w:rPr>
          <w:b/>
          <w:u w:val="single"/>
        </w:rPr>
      </w:pPr>
    </w:p>
    <w:tbl>
      <w:tblPr>
        <w:tblW w:w="0" w:type="auto"/>
        <w:tblLook w:val="01E0"/>
      </w:tblPr>
      <w:tblGrid>
        <w:gridCol w:w="4386"/>
        <w:gridCol w:w="4254"/>
      </w:tblGrid>
      <w:tr w14:paraId="07D86F5D" w14:textId="77777777" w:rsidTr="004E249D">
        <w:tblPrEx>
          <w:tblW w:w="0" w:type="auto"/>
          <w:tblLook w:val="01E0"/>
        </w:tblPrEx>
        <w:tc>
          <w:tcPr>
            <w:tcW w:w="4450" w:type="dxa"/>
          </w:tcPr>
          <w:p w:rsidR="009E5783" w:rsidRPr="002008A8" w:rsidP="004E249D" w14:paraId="5BF3289A" w14:textId="77777777">
            <w:pPr>
              <w:spacing w:after="0" w:line="240" w:lineRule="auto"/>
              <w:rPr>
                <w:rStyle w:val="Hyperlink"/>
                <w:rFonts w:eastAsia="Calibri" w:cs="Times New Roman"/>
                <w:szCs w:val="24"/>
              </w:rPr>
            </w:pPr>
            <w:hyperlink r:id="rId15" w:history="1">
              <w:r w:rsidRPr="002008A8" w:rsidR="00920D5D">
                <w:rPr>
                  <w:rStyle w:val="Hyperlink"/>
                  <w:rFonts w:eastAsia="Calibri" w:cs="Times New Roman"/>
                  <w:szCs w:val="24"/>
                </w:rPr>
                <w:t>thomas.lindgren@ohioattorneygeneral.gov</w:t>
              </w:r>
            </w:hyperlink>
          </w:p>
          <w:p w:rsidR="009E5783" w:rsidRPr="002008A8" w:rsidP="004E249D" w14:paraId="1A69799C" w14:textId="77777777">
            <w:pPr>
              <w:spacing w:after="0" w:line="240" w:lineRule="auto"/>
              <w:rPr>
                <w:rStyle w:val="Hyperlink"/>
                <w:rFonts w:eastAsia="Calibri" w:cs="Times New Roman"/>
                <w:szCs w:val="24"/>
              </w:rPr>
            </w:pPr>
            <w:hyperlink r:id="rId16" w:history="1">
              <w:r w:rsidRPr="002008A8" w:rsidR="00920D5D">
                <w:rPr>
                  <w:rStyle w:val="Hyperlink"/>
                  <w:rFonts w:eastAsia="Calibri" w:cs="Times New Roman"/>
                  <w:szCs w:val="24"/>
                </w:rPr>
                <w:t>kyle.kern@ohioattorneygeneral.gov</w:t>
              </w:r>
            </w:hyperlink>
          </w:p>
          <w:p w:rsidR="009E5783" w:rsidRPr="002008A8" w:rsidP="004E249D" w14:paraId="5B6B0B18" w14:textId="77777777">
            <w:pPr>
              <w:spacing w:after="0" w:line="240" w:lineRule="auto"/>
              <w:rPr>
                <w:rStyle w:val="Hyperlink"/>
                <w:rFonts w:eastAsia="Calibri" w:cs="Times New Roman"/>
                <w:szCs w:val="24"/>
              </w:rPr>
            </w:pPr>
            <w:hyperlink r:id="rId17" w:history="1">
              <w:r w:rsidRPr="002008A8" w:rsidR="00920D5D">
                <w:rPr>
                  <w:rStyle w:val="Hyperlink"/>
                  <w:rFonts w:eastAsia="Calibri" w:cs="Times New Roman"/>
                  <w:szCs w:val="24"/>
                </w:rPr>
                <w:t>werner.margard@ohioattorneygeneral.gov</w:t>
              </w:r>
            </w:hyperlink>
          </w:p>
          <w:p w:rsidR="009E5783" w:rsidRPr="002008A8" w:rsidP="004E249D" w14:paraId="3495851D" w14:textId="2B9B6469">
            <w:pPr>
              <w:autoSpaceDE w:val="0"/>
              <w:autoSpaceDN w:val="0"/>
              <w:adjustRightInd w:val="0"/>
              <w:spacing w:after="0" w:line="240" w:lineRule="auto"/>
              <w:rPr>
                <w:rStyle w:val="Hyperlink"/>
                <w:rFonts w:eastAsia="Calibri" w:cs="Times New Roman"/>
                <w:color w:val="0077CC"/>
                <w:szCs w:val="24"/>
              </w:rPr>
            </w:pPr>
            <w:hyperlink r:id="rId18" w:history="1">
              <w:r w:rsidRPr="002008A8" w:rsidR="00920D5D">
                <w:rPr>
                  <w:rStyle w:val="Hyperlink"/>
                  <w:rFonts w:eastAsia="Calibri" w:cs="Times New Roman"/>
                  <w:color w:val="0077CC"/>
                  <w:szCs w:val="24"/>
                </w:rPr>
                <w:t>mkurtz@BKLlawfirm.com</w:t>
              </w:r>
            </w:hyperlink>
          </w:p>
          <w:p w:rsidR="009E5783" w:rsidRPr="002008A8" w:rsidP="004E249D" w14:paraId="67208ADD" w14:textId="77777777">
            <w:pPr>
              <w:autoSpaceDE w:val="0"/>
              <w:autoSpaceDN w:val="0"/>
              <w:adjustRightInd w:val="0"/>
              <w:spacing w:after="0" w:line="240" w:lineRule="auto"/>
              <w:rPr>
                <w:rFonts w:eastAsia="Times New Roman" w:cs="Times New Roman"/>
                <w:szCs w:val="24"/>
              </w:rPr>
            </w:pPr>
            <w:hyperlink r:id="rId19" w:history="1">
              <w:r w:rsidRPr="002008A8" w:rsidR="00920D5D">
                <w:rPr>
                  <w:rStyle w:val="Hyperlink"/>
                  <w:rFonts w:eastAsia="Calibri" w:cs="Times New Roman"/>
                  <w:color w:val="0077CC"/>
                  <w:szCs w:val="24"/>
                </w:rPr>
                <w:t>kboehm@BKLlawfirm.com</w:t>
              </w:r>
            </w:hyperlink>
          </w:p>
          <w:p w:rsidR="009E5783" w:rsidRPr="002008A8" w:rsidP="004E249D" w14:paraId="667C3E9D" w14:textId="77777777">
            <w:pPr>
              <w:spacing w:after="0" w:line="240" w:lineRule="auto"/>
              <w:rPr>
                <w:rStyle w:val="Hyperlink"/>
                <w:rFonts w:eastAsia="Calibri" w:cs="Times New Roman"/>
                <w:color w:val="0077CC"/>
                <w:szCs w:val="24"/>
              </w:rPr>
            </w:pPr>
            <w:hyperlink r:id="rId20" w:history="1">
              <w:r w:rsidRPr="002008A8" w:rsidR="00920D5D">
                <w:rPr>
                  <w:rStyle w:val="Hyperlink"/>
                  <w:rFonts w:eastAsia="Calibri" w:cs="Times New Roman"/>
                  <w:color w:val="0077CC"/>
                  <w:szCs w:val="24"/>
                </w:rPr>
                <w:t>jkylercohn@BKLlawfirm.com</w:t>
              </w:r>
            </w:hyperlink>
          </w:p>
          <w:p w:rsidR="009E5783" w:rsidRPr="002008A8" w:rsidP="004E249D" w14:paraId="477AF051" w14:textId="267AF013">
            <w:pPr>
              <w:autoSpaceDE w:val="0"/>
              <w:autoSpaceDN w:val="0"/>
              <w:adjustRightInd w:val="0"/>
              <w:spacing w:after="0" w:line="240" w:lineRule="auto"/>
              <w:rPr>
                <w:rStyle w:val="Hyperlink"/>
                <w:rFonts w:cs="Times New Roman"/>
                <w:szCs w:val="24"/>
              </w:rPr>
            </w:pPr>
            <w:hyperlink r:id="rId21" w:history="1">
              <w:r w:rsidRPr="002008A8" w:rsidR="00920D5D">
                <w:rPr>
                  <w:rStyle w:val="Hyperlink"/>
                  <w:rFonts w:cs="Times New Roman"/>
                  <w:szCs w:val="24"/>
                </w:rPr>
                <w:t>rdove@keglerbrown.com</w:t>
              </w:r>
            </w:hyperlink>
          </w:p>
          <w:p w:rsidR="009E5783" w:rsidRPr="002008A8" w:rsidP="004E249D" w14:paraId="5558D4CE" w14:textId="4BDA984C">
            <w:pPr>
              <w:autoSpaceDE w:val="0"/>
              <w:autoSpaceDN w:val="0"/>
              <w:adjustRightInd w:val="0"/>
              <w:spacing w:after="0" w:line="240" w:lineRule="auto"/>
              <w:rPr>
                <w:rFonts w:cs="Times New Roman"/>
                <w:color w:val="0563C2"/>
                <w:szCs w:val="24"/>
              </w:rPr>
            </w:pPr>
            <w:hyperlink r:id="rId22" w:history="1">
              <w:r w:rsidRPr="002008A8" w:rsidR="00920D5D">
                <w:rPr>
                  <w:rStyle w:val="Hyperlink"/>
                  <w:rFonts w:cs="Times New Roman"/>
                  <w:szCs w:val="24"/>
                </w:rPr>
                <w:t>drinebolt@opae.org</w:t>
              </w:r>
            </w:hyperlink>
          </w:p>
          <w:p w:rsidR="009E5783" w:rsidRPr="002008A8" w:rsidP="004E249D" w14:paraId="526220C0" w14:textId="77777777">
            <w:pPr>
              <w:autoSpaceDE w:val="0"/>
              <w:autoSpaceDN w:val="0"/>
              <w:adjustRightInd w:val="0"/>
              <w:spacing w:after="0" w:line="240" w:lineRule="auto"/>
              <w:rPr>
                <w:rFonts w:cs="Times New Roman"/>
                <w:szCs w:val="24"/>
              </w:rPr>
            </w:pPr>
            <w:hyperlink r:id="rId23" w:history="1">
              <w:r w:rsidRPr="002008A8" w:rsidR="00920D5D">
                <w:rPr>
                  <w:rStyle w:val="Hyperlink"/>
                  <w:rFonts w:cs="Times New Roman"/>
                  <w:szCs w:val="24"/>
                </w:rPr>
                <w:t>mfleisher@dickinsonwright.com</w:t>
              </w:r>
            </w:hyperlink>
          </w:p>
          <w:p w:rsidR="009E5783" w:rsidRPr="002008A8" w:rsidP="004E249D" w14:paraId="198F50FA" w14:textId="77777777">
            <w:pPr>
              <w:autoSpaceDE w:val="0"/>
              <w:autoSpaceDN w:val="0"/>
              <w:adjustRightInd w:val="0"/>
              <w:spacing w:after="0" w:line="240" w:lineRule="auto"/>
              <w:rPr>
                <w:rFonts w:cs="Times New Roman"/>
                <w:color w:val="0000FF"/>
                <w:szCs w:val="24"/>
              </w:rPr>
            </w:pPr>
            <w:hyperlink r:id="rId24" w:history="1">
              <w:r w:rsidRPr="002008A8" w:rsidR="00920D5D">
                <w:rPr>
                  <w:rStyle w:val="Hyperlink"/>
                  <w:rFonts w:cs="Times New Roman"/>
                  <w:szCs w:val="24"/>
                </w:rPr>
                <w:t>mwise@mcdonaldhopkins.com</w:t>
              </w:r>
            </w:hyperlink>
          </w:p>
          <w:p w:rsidR="009E5783" w:rsidRPr="002008A8" w:rsidP="004E249D" w14:paraId="2A223786" w14:textId="77777777">
            <w:pPr>
              <w:autoSpaceDE w:val="0"/>
              <w:autoSpaceDN w:val="0"/>
              <w:adjustRightInd w:val="0"/>
              <w:spacing w:after="0" w:line="240" w:lineRule="auto"/>
              <w:rPr>
                <w:rStyle w:val="Hyperlink"/>
                <w:rFonts w:cs="Times New Roman"/>
                <w:szCs w:val="24"/>
              </w:rPr>
            </w:pPr>
          </w:p>
          <w:p w:rsidR="009E5783" w:rsidRPr="002008A8" w:rsidP="004E249D" w14:paraId="7DB8EC10" w14:textId="77777777">
            <w:pPr>
              <w:pStyle w:val="BodyText"/>
              <w:suppressLineNumbers/>
              <w:spacing w:line="276" w:lineRule="auto"/>
              <w:rPr>
                <w:sz w:val="24"/>
                <w:szCs w:val="24"/>
              </w:rPr>
            </w:pPr>
            <w:r w:rsidRPr="002008A8">
              <w:rPr>
                <w:sz w:val="24"/>
                <w:szCs w:val="24"/>
              </w:rPr>
              <w:t>Attorney Examiner:</w:t>
            </w:r>
          </w:p>
          <w:p w:rsidR="009E5783" w:rsidRPr="002008A8" w:rsidP="009E5783" w14:paraId="3A452098" w14:textId="77777777">
            <w:pPr>
              <w:pStyle w:val="BodyText"/>
              <w:suppressLineNumbers/>
              <w:spacing w:after="0" w:line="276" w:lineRule="auto"/>
              <w:rPr>
                <w:rStyle w:val="Hyperlink"/>
                <w:sz w:val="24"/>
                <w:szCs w:val="24"/>
              </w:rPr>
            </w:pPr>
            <w:hyperlink r:id="rId25" w:history="1">
              <w:r w:rsidRPr="002008A8" w:rsidR="00920D5D">
                <w:rPr>
                  <w:rStyle w:val="Hyperlink"/>
                  <w:sz w:val="24"/>
                  <w:szCs w:val="24"/>
                </w:rPr>
                <w:t>Gregory.price@puco.ohio.gov</w:t>
              </w:r>
            </w:hyperlink>
          </w:p>
          <w:p w:rsidR="009E5783" w:rsidRPr="002008A8" w:rsidP="009E5783" w14:paraId="09002796" w14:textId="77777777">
            <w:pPr>
              <w:autoSpaceDE w:val="0"/>
              <w:autoSpaceDN w:val="0"/>
              <w:adjustRightInd w:val="0"/>
              <w:spacing w:after="0" w:line="240" w:lineRule="auto"/>
              <w:rPr>
                <w:rFonts w:eastAsia="Times New Roman" w:cs="Times New Roman"/>
                <w:szCs w:val="24"/>
              </w:rPr>
            </w:pPr>
            <w:hyperlink r:id="rId26" w:history="1">
              <w:r w:rsidRPr="002008A8" w:rsidR="00920D5D">
                <w:rPr>
                  <w:rStyle w:val="Hyperlink"/>
                  <w:rFonts w:cs="Times New Roman"/>
                  <w:szCs w:val="24"/>
                </w:rPr>
                <w:t>Megan.addison@puco.ohio.gov</w:t>
              </w:r>
            </w:hyperlink>
          </w:p>
          <w:p w:rsidR="009E5783" w:rsidRPr="002008A8" w:rsidP="004E249D" w14:paraId="65FB5A17" w14:textId="77777777">
            <w:pPr>
              <w:autoSpaceDE w:val="0"/>
              <w:autoSpaceDN w:val="0"/>
              <w:adjustRightInd w:val="0"/>
              <w:spacing w:after="0" w:line="240" w:lineRule="auto"/>
              <w:rPr>
                <w:rFonts w:cs="Times New Roman"/>
                <w:szCs w:val="24"/>
              </w:rPr>
            </w:pPr>
          </w:p>
          <w:p w:rsidR="009E5783" w:rsidRPr="002008A8" w:rsidP="004E249D" w14:paraId="76BC11D3" w14:textId="77777777">
            <w:pPr>
              <w:spacing w:after="0" w:line="240" w:lineRule="auto"/>
              <w:rPr>
                <w:rFonts w:cs="Times New Roman"/>
                <w:szCs w:val="24"/>
              </w:rPr>
            </w:pPr>
          </w:p>
        </w:tc>
        <w:tc>
          <w:tcPr>
            <w:tcW w:w="4428" w:type="dxa"/>
            <w:hideMark/>
          </w:tcPr>
          <w:p w:rsidR="009E5783" w:rsidRPr="002008A8" w:rsidP="004E249D" w14:paraId="2804B3F4" w14:textId="77777777">
            <w:pPr>
              <w:spacing w:after="0" w:line="240" w:lineRule="auto"/>
              <w:ind w:left="1008"/>
              <w:rPr>
                <w:rStyle w:val="Hyperlink"/>
                <w:rFonts w:cs="Times New Roman"/>
                <w:bCs/>
                <w:szCs w:val="24"/>
              </w:rPr>
            </w:pPr>
            <w:hyperlink r:id="rId27" w:history="1">
              <w:r w:rsidRPr="002008A8" w:rsidR="00920D5D">
                <w:rPr>
                  <w:rStyle w:val="Hyperlink"/>
                  <w:rFonts w:eastAsia="Calibri" w:cs="Times New Roman"/>
                  <w:bCs/>
                  <w:color w:val="0077CC"/>
                  <w:szCs w:val="24"/>
                </w:rPr>
                <w:t>scasto@firstenergycorp.com</w:t>
              </w:r>
            </w:hyperlink>
          </w:p>
          <w:p w:rsidR="009E5783" w:rsidRPr="002008A8" w:rsidP="004E249D" w14:paraId="57786B7C" w14:textId="77777777">
            <w:pPr>
              <w:spacing w:after="0" w:line="240" w:lineRule="auto"/>
              <w:ind w:left="1008"/>
              <w:rPr>
                <w:rFonts w:cs="Times New Roman"/>
                <w:szCs w:val="24"/>
              </w:rPr>
            </w:pPr>
            <w:hyperlink r:id="rId28" w:history="1">
              <w:r w:rsidRPr="002008A8" w:rsidR="00920D5D">
                <w:rPr>
                  <w:rStyle w:val="Hyperlink"/>
                  <w:rFonts w:eastAsia="Calibri" w:cs="Times New Roman"/>
                  <w:bCs/>
                  <w:color w:val="0077CC"/>
                  <w:szCs w:val="24"/>
                </w:rPr>
                <w:t>bknipe@firstenergycorp.com</w:t>
              </w:r>
            </w:hyperlink>
          </w:p>
          <w:p w:rsidR="009E5783" w:rsidRPr="002008A8" w:rsidP="004E249D" w14:paraId="41C057B4" w14:textId="77777777">
            <w:pPr>
              <w:autoSpaceDE w:val="0"/>
              <w:autoSpaceDN w:val="0"/>
              <w:adjustRightInd w:val="0"/>
              <w:spacing w:after="0" w:line="240" w:lineRule="auto"/>
              <w:ind w:left="1008"/>
              <w:rPr>
                <w:rFonts w:cs="Times New Roman"/>
                <w:szCs w:val="24"/>
              </w:rPr>
            </w:pPr>
            <w:hyperlink r:id="rId29" w:history="1">
              <w:r w:rsidRPr="002008A8" w:rsidR="00920D5D">
                <w:rPr>
                  <w:rStyle w:val="Hyperlink"/>
                  <w:rFonts w:cs="Times New Roman"/>
                  <w:szCs w:val="24"/>
                </w:rPr>
                <w:t>jlang@calfee.com</w:t>
              </w:r>
            </w:hyperlink>
          </w:p>
          <w:p w:rsidR="009E5783" w:rsidRPr="002008A8" w:rsidP="004E249D" w14:paraId="0AF15E33" w14:textId="77777777">
            <w:pPr>
              <w:autoSpaceDE w:val="0"/>
              <w:autoSpaceDN w:val="0"/>
              <w:adjustRightInd w:val="0"/>
              <w:spacing w:after="0" w:line="240" w:lineRule="auto"/>
              <w:ind w:left="1008"/>
              <w:rPr>
                <w:rFonts w:cs="Times New Roman"/>
                <w:szCs w:val="24"/>
              </w:rPr>
            </w:pPr>
            <w:hyperlink r:id="rId30" w:history="1">
              <w:r w:rsidRPr="002008A8" w:rsidR="00920D5D">
                <w:rPr>
                  <w:rStyle w:val="Hyperlink"/>
                  <w:rFonts w:cs="Times New Roman"/>
                  <w:szCs w:val="24"/>
                </w:rPr>
                <w:t>khehmeyer@beneschlaw.com</w:t>
              </w:r>
            </w:hyperlink>
          </w:p>
          <w:p w:rsidR="009E5783" w:rsidRPr="002008A8" w:rsidP="004E249D" w14:paraId="68B77AC7" w14:textId="77777777">
            <w:pPr>
              <w:spacing w:after="0" w:line="240" w:lineRule="auto"/>
              <w:ind w:left="1008"/>
              <w:rPr>
                <w:rFonts w:cs="Times New Roman"/>
                <w:szCs w:val="24"/>
              </w:rPr>
            </w:pPr>
            <w:hyperlink r:id="rId31" w:history="1">
              <w:r w:rsidRPr="002008A8" w:rsidR="00920D5D">
                <w:rPr>
                  <w:rStyle w:val="Hyperlink"/>
                  <w:rFonts w:cs="Times New Roman"/>
                  <w:szCs w:val="24"/>
                </w:rPr>
                <w:t>mkeaney@beneschlaw.com</w:t>
              </w:r>
            </w:hyperlink>
          </w:p>
          <w:p w:rsidR="009E5783" w:rsidRPr="002008A8" w:rsidP="004E249D" w14:paraId="7114848E" w14:textId="77777777">
            <w:pPr>
              <w:spacing w:after="0" w:line="240" w:lineRule="auto"/>
              <w:ind w:left="1008"/>
              <w:rPr>
                <w:rStyle w:val="Hyperlink"/>
                <w:rFonts w:cs="Times New Roman"/>
                <w:szCs w:val="24"/>
              </w:rPr>
            </w:pPr>
            <w:hyperlink r:id="rId32" w:history="1">
              <w:r w:rsidRPr="002008A8" w:rsidR="00920D5D">
                <w:rPr>
                  <w:rStyle w:val="Hyperlink"/>
                  <w:rFonts w:cs="Times New Roman"/>
                  <w:szCs w:val="24"/>
                </w:rPr>
                <w:t>mpritchard@mcneeslaw.com</w:t>
              </w:r>
            </w:hyperlink>
          </w:p>
          <w:p w:rsidR="009E5783" w:rsidRPr="002008A8" w:rsidP="004E249D" w14:paraId="647CF95E" w14:textId="55C7ACE5">
            <w:pPr>
              <w:spacing w:after="0" w:line="240" w:lineRule="auto"/>
              <w:ind w:left="1008"/>
              <w:rPr>
                <w:rFonts w:cs="Times New Roman"/>
                <w:color w:val="0000FF"/>
                <w:szCs w:val="24"/>
              </w:rPr>
            </w:pPr>
            <w:hyperlink r:id="rId33" w:history="1">
              <w:r w:rsidRPr="002008A8" w:rsidR="00920D5D">
                <w:rPr>
                  <w:rStyle w:val="Hyperlink"/>
                  <w:rFonts w:cs="Times New Roman"/>
                  <w:szCs w:val="24"/>
                </w:rPr>
                <w:t>ccox@elpc.org</w:t>
              </w:r>
            </w:hyperlink>
          </w:p>
          <w:p w:rsidR="009E5783" w:rsidRPr="002008A8" w:rsidP="009E5783" w14:paraId="65262303" w14:textId="5D8BE399">
            <w:pPr>
              <w:autoSpaceDE w:val="0"/>
              <w:autoSpaceDN w:val="0"/>
              <w:adjustRightInd w:val="0"/>
              <w:spacing w:after="0" w:line="240" w:lineRule="auto"/>
              <w:ind w:left="990"/>
              <w:rPr>
                <w:rFonts w:cs="Times New Roman"/>
                <w:color w:val="0000FF"/>
                <w:szCs w:val="24"/>
              </w:rPr>
            </w:pPr>
            <w:hyperlink r:id="rId34" w:history="1">
              <w:r w:rsidRPr="002008A8" w:rsidR="00920D5D">
                <w:rPr>
                  <w:rStyle w:val="Hyperlink"/>
                  <w:rFonts w:cs="Times New Roman"/>
                  <w:szCs w:val="24"/>
                </w:rPr>
                <w:t>Bojko@carpenterlipps.com</w:t>
              </w:r>
            </w:hyperlink>
          </w:p>
          <w:p w:rsidR="009E5783" w:rsidRPr="002008A8" w:rsidP="009E5783" w14:paraId="2675A241" w14:textId="0E62E80F">
            <w:pPr>
              <w:spacing w:after="0" w:line="240" w:lineRule="auto"/>
              <w:ind w:left="1008"/>
              <w:rPr>
                <w:rFonts w:cs="Times New Roman"/>
                <w:color w:val="0000FF"/>
                <w:szCs w:val="24"/>
              </w:rPr>
            </w:pPr>
            <w:hyperlink r:id="rId35" w:history="1">
              <w:r w:rsidRPr="002008A8" w:rsidR="00920D5D">
                <w:rPr>
                  <w:rStyle w:val="Hyperlink"/>
                  <w:rFonts w:cs="Times New Roman"/>
                  <w:szCs w:val="24"/>
                </w:rPr>
                <w:t>Donadio@carpenterlipps.com</w:t>
              </w:r>
            </w:hyperlink>
          </w:p>
          <w:p w:rsidR="009E5783" w:rsidRPr="002008A8" w:rsidP="009E5783" w14:paraId="61EE2398" w14:textId="44E87FA4">
            <w:pPr>
              <w:spacing w:after="0" w:line="240" w:lineRule="auto"/>
              <w:ind w:left="1008"/>
              <w:rPr>
                <w:rFonts w:cs="Times New Roman"/>
                <w:szCs w:val="24"/>
              </w:rPr>
            </w:pPr>
          </w:p>
        </w:tc>
      </w:tr>
    </w:tbl>
    <w:p w:rsidR="004E0143" w:rsidRPr="002008A8" w:rsidP="004E0143" w14:paraId="370491FA" w14:textId="77777777">
      <w:pPr>
        <w:pStyle w:val="CommentText"/>
        <w:jc w:val="center"/>
        <w:rPr>
          <w:b/>
          <w:bCs/>
          <w:u w:val="single"/>
        </w:rPr>
      </w:pPr>
    </w:p>
    <w:sectPr w:rsidSect="0052413E">
      <w:footerReference w:type="default" r:id="rId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C9A" w14:paraId="1BEC30BD" w14:textId="460CDBCA">
    <w:pPr>
      <w:pStyle w:val="Footer"/>
      <w:jc w:val="center"/>
    </w:pPr>
  </w:p>
  <w:p w:rsidR="00C4448E" w14:paraId="576705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0516"/>
      <w:docPartObj>
        <w:docPartGallery w:val="Page Numbers (Bottom of Page)"/>
        <w:docPartUnique/>
      </w:docPartObj>
    </w:sdtPr>
    <w:sdtEndPr>
      <w:rPr>
        <w:noProof/>
      </w:rPr>
    </w:sdtEndPr>
    <w:sdtContent>
      <w:p w:rsidR="00FF2C9A" w14:paraId="142AF6C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2C9A" w14:paraId="4F49CC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4689069"/>
      <w:docPartObj>
        <w:docPartGallery w:val="Page Numbers (Bottom of Page)"/>
        <w:docPartUnique/>
      </w:docPartObj>
    </w:sdtPr>
    <w:sdtEndPr>
      <w:rPr>
        <w:noProof/>
      </w:rPr>
    </w:sdtEndPr>
    <w:sdtContent>
      <w:p w:rsidR="00D01CB0" w14:paraId="4EFC98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01CB0" w14:paraId="4B6E79F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6035438"/>
      <w:docPartObj>
        <w:docPartGallery w:val="Page Numbers (Bottom of Page)"/>
        <w:docPartUnique/>
      </w:docPartObj>
    </w:sdtPr>
    <w:sdtEndPr>
      <w:rPr>
        <w:noProof/>
      </w:rPr>
    </w:sdtEndPr>
    <w:sdtContent>
      <w:p w:rsidR="00C4448E" w14:paraId="04187732" w14:textId="025B6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4448E" w:rsidRPr="0052413E" w:rsidP="0052413E" w14:paraId="70E4AA90" w14:textId="2476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01DF" w:rsidP="009A2DA8" w14:paraId="080E7A65" w14:textId="77777777">
      <w:pPr>
        <w:spacing w:after="0" w:line="240" w:lineRule="auto"/>
      </w:pPr>
      <w:r>
        <w:separator/>
      </w:r>
    </w:p>
  </w:footnote>
  <w:footnote w:type="continuationSeparator" w:id="1">
    <w:p w:rsidR="008501DF" w:rsidP="009A2DA8" w14:paraId="1DAC1613" w14:textId="77777777">
      <w:pPr>
        <w:spacing w:after="0" w:line="240" w:lineRule="auto"/>
      </w:pPr>
      <w:r>
        <w:continuationSeparator/>
      </w:r>
    </w:p>
  </w:footnote>
  <w:footnote w:id="2">
    <w:p w:rsidR="001619BF" w:rsidRPr="007F0B31" w:rsidP="007A35EE" w14:paraId="2CA5FA1E" w14:textId="4597B107">
      <w:pPr>
        <w:pStyle w:val="FootnoteText"/>
        <w:spacing w:after="120"/>
        <w:rPr>
          <w:rFonts w:ascii="Times New Roman" w:hAnsi="Times New Roman" w:cs="Times New Roman"/>
        </w:rPr>
      </w:pPr>
      <w:r>
        <w:rPr>
          <w:rStyle w:val="FootnoteReference"/>
        </w:rPr>
        <w:footnoteRef/>
      </w:r>
      <w:r>
        <w:t xml:space="preserve"> </w:t>
      </w:r>
      <w:r w:rsidR="007F0B31">
        <w:rPr>
          <w:rFonts w:ascii="Times New Roman" w:hAnsi="Times New Roman" w:cs="Times New Roman"/>
          <w:i/>
          <w:iCs/>
        </w:rPr>
        <w:t xml:space="preserve">Smith v. FirstEnergy Corp., et al., </w:t>
      </w:r>
      <w:r w:rsidR="007F0B31">
        <w:rPr>
          <w:rFonts w:ascii="Times New Roman" w:hAnsi="Times New Roman" w:cs="Times New Roman"/>
        </w:rPr>
        <w:t xml:space="preserve">Case No. 2:20-cv-03755 Answer of Defendants FirstEnergy Corp., </w:t>
      </w:r>
      <w:r w:rsidR="007F0B31">
        <w:rPr>
          <w:rFonts w:ascii="Times New Roman" w:hAnsi="Times New Roman" w:cs="Times New Roman"/>
          <w:i/>
          <w:iCs/>
        </w:rPr>
        <w:t>et al.</w:t>
      </w:r>
      <w:r w:rsidR="00A977E0">
        <w:rPr>
          <w:rFonts w:ascii="Times New Roman" w:hAnsi="Times New Roman" w:cs="Times New Roman"/>
          <w:i/>
          <w:iCs/>
        </w:rPr>
        <w:t>at ¶</w:t>
      </w:r>
      <w:r w:rsidRPr="00A977E0" w:rsidR="00A977E0">
        <w:rPr>
          <w:rFonts w:ascii="Times New Roman" w:hAnsi="Times New Roman" w:cs="Times New Roman"/>
        </w:rPr>
        <w:t>34, 52(m),64, and 69</w:t>
      </w:r>
      <w:r w:rsidR="007F0B31">
        <w:rPr>
          <w:rFonts w:ascii="Times New Roman" w:hAnsi="Times New Roman" w:cs="Times New Roman"/>
        </w:rPr>
        <w:t>(S.D. Ohio) (March 10, 2021).</w:t>
      </w:r>
    </w:p>
  </w:footnote>
  <w:footnote w:id="3">
    <w:p w:rsidR="00C278DD" w:rsidRPr="00A87132" w:rsidP="007A35EE" w14:paraId="504F7F9C" w14:textId="22FA11F3">
      <w:pPr>
        <w:spacing w:after="120" w:line="240" w:lineRule="auto"/>
        <w:rPr>
          <w:rFonts w:cs="Times New Roman"/>
          <w:sz w:val="20"/>
          <w:szCs w:val="20"/>
        </w:rPr>
      </w:pPr>
      <w:r w:rsidRPr="004E4CA6">
        <w:rPr>
          <w:rStyle w:val="FootnoteReference"/>
          <w:sz w:val="20"/>
          <w:szCs w:val="20"/>
        </w:rPr>
        <w:footnoteRef/>
      </w:r>
      <w:r w:rsidRPr="004E4CA6">
        <w:rPr>
          <w:sz w:val="20"/>
          <w:szCs w:val="20"/>
        </w:rPr>
        <w:t xml:space="preserve"> </w:t>
      </w:r>
      <w:r w:rsidRPr="00A87132">
        <w:rPr>
          <w:rFonts w:cs="Times New Roman"/>
          <w:sz w:val="20"/>
          <w:szCs w:val="20"/>
        </w:rPr>
        <w:t xml:space="preserve">FirstEnergy Press Release, “FirstEnergy names Hyun Park Senior Vice President &amp; Chief Legal Officer”  (Jan. 5, 2021)  </w:t>
      </w:r>
      <w:hyperlink r:id="rId1" w:history="1">
        <w:r w:rsidRPr="00A87132">
          <w:rPr>
            <w:rStyle w:val="Hyperlink"/>
            <w:rFonts w:cs="Times New Roman"/>
            <w:sz w:val="20"/>
            <w:szCs w:val="20"/>
          </w:rPr>
          <w:t>https://www.firstenergycorp.com/newsroom/news_articles/firstenergy-names-hyun-park-senior-vice-president---chief-legal-.html</w:t>
        </w:r>
      </w:hyperlink>
    </w:p>
  </w:footnote>
  <w:footnote w:id="4">
    <w:p w:rsidR="00433C05" w:rsidRPr="00A87132" w:rsidP="007A35EE" w14:paraId="66AC4334" w14:textId="4B087B92">
      <w:pPr>
        <w:pStyle w:val="FootnoteText"/>
        <w:spacing w:after="120"/>
        <w:rPr>
          <w:rFonts w:ascii="Times New Roman" w:hAnsi="Times New Roman" w:cs="Times New Roman"/>
        </w:rPr>
      </w:pPr>
      <w:r w:rsidRPr="00A87132">
        <w:rPr>
          <w:rStyle w:val="FootnoteReference"/>
          <w:rFonts w:ascii="Times New Roman" w:hAnsi="Times New Roman" w:cs="Times New Roman"/>
        </w:rPr>
        <w:footnoteRef/>
      </w:r>
      <w:r w:rsidRPr="00A87132">
        <w:rPr>
          <w:rFonts w:ascii="Times New Roman" w:hAnsi="Times New Roman" w:cs="Times New Roman"/>
        </w:rPr>
        <w:t xml:space="preserve"> </w:t>
      </w:r>
      <w:r w:rsidRPr="00A87132">
        <w:rPr>
          <w:rFonts w:ascii="Times New Roman" w:hAnsi="Times New Roman" w:cs="Times New Roman"/>
          <w:i/>
        </w:rPr>
        <w:t>See</w:t>
      </w:r>
      <w:r w:rsidRPr="00A87132">
        <w:rPr>
          <w:rFonts w:ascii="Times New Roman" w:hAnsi="Times New Roman" w:cs="Times New Roman"/>
          <w:iCs/>
        </w:rPr>
        <w:t xml:space="preserve"> O.A.C. </w:t>
      </w:r>
      <w:r w:rsidRPr="00A87132">
        <w:rPr>
          <w:rFonts w:ascii="Times New Roman" w:hAnsi="Times New Roman" w:cs="Times New Roman"/>
        </w:rPr>
        <w:t xml:space="preserve">4901-1-17 (A). </w:t>
      </w:r>
    </w:p>
  </w:footnote>
  <w:footnote w:id="5">
    <w:p w:rsidR="00433C05" w:rsidRPr="00610778" w:rsidP="007A35EE" w14:paraId="799B1248" w14:textId="77777777">
      <w:pPr>
        <w:pStyle w:val="FootnoteText"/>
        <w:spacing w:after="120"/>
        <w:rPr>
          <w:rFonts w:ascii="Times New Roman" w:hAnsi="Times New Roman" w:cs="Times New Roman"/>
        </w:rPr>
      </w:pPr>
      <w:r w:rsidRPr="00A87132">
        <w:rPr>
          <w:rStyle w:val="FootnoteReference"/>
          <w:rFonts w:ascii="Times New Roman" w:hAnsi="Times New Roman" w:cs="Times New Roman"/>
        </w:rPr>
        <w:footnoteRef/>
      </w:r>
      <w:r w:rsidRPr="00A87132">
        <w:rPr>
          <w:rFonts w:ascii="Times New Roman" w:hAnsi="Times New Roman" w:cs="Times New Roman"/>
        </w:rPr>
        <w:t xml:space="preserve"> </w:t>
      </w:r>
      <w:r w:rsidRPr="00A87132">
        <w:rPr>
          <w:rFonts w:ascii="Times New Roman" w:hAnsi="Times New Roman" w:cs="Times New Roman"/>
          <w:i/>
          <w:iCs/>
        </w:rPr>
        <w:t>In the Matter of the Review of the Distribution Modernization Rider of Ohio Edison Company, The Cleveland Electric Illuminating Company, and the Toledo Edison Company</w:t>
      </w:r>
      <w:r w:rsidRPr="00A87132">
        <w:rPr>
          <w:rFonts w:ascii="Times New Roman" w:hAnsi="Times New Roman" w:cs="Times New Roman"/>
        </w:rPr>
        <w:t xml:space="preserve">, Case No. 17-2474-EL-RDR, Entry at </w:t>
      </w:r>
      <m:oMath>
        <m:r>
          <w:rPr>
            <w:rFonts w:ascii="Cambria Math" w:hAnsi="Cambria Math" w:cs="Times New Roman"/>
          </w:rPr>
          <m:t>¶</m:t>
        </m:r>
      </m:oMath>
      <w:r w:rsidRPr="00A87132">
        <w:rPr>
          <w:rFonts w:ascii="Times New Roman" w:hAnsi="Times New Roman" w:eastAsiaTheme="minorEastAsia" w:cs="Times New Roman"/>
        </w:rPr>
        <w:t>4 (Dec. 13, 2017).</w:t>
      </w:r>
      <w:r w:rsidRPr="00610778">
        <w:rPr>
          <w:rFonts w:ascii="Times New Roman" w:hAnsi="Times New Roman" w:eastAsiaTheme="minorEastAsia" w:cs="Times New Roman"/>
        </w:rPr>
        <w:t xml:space="preserve">  </w:t>
      </w:r>
    </w:p>
  </w:footnote>
  <w:footnote w:id="6">
    <w:p w:rsidR="00433C05" w:rsidRPr="00610778" w:rsidP="007A35EE" w14:paraId="4D193FAE" w14:textId="77777777">
      <w:pPr>
        <w:spacing w:after="120" w:line="240" w:lineRule="auto"/>
        <w:rPr>
          <w:rFonts w:cs="Times New Roman"/>
          <w:sz w:val="20"/>
          <w:szCs w:val="20"/>
        </w:rPr>
      </w:pPr>
      <w:r w:rsidRPr="00610778">
        <w:rPr>
          <w:rStyle w:val="FootnoteReference"/>
          <w:rFonts w:cs="Times New Roman"/>
          <w:sz w:val="20"/>
          <w:szCs w:val="20"/>
        </w:rPr>
        <w:footnoteRef/>
      </w:r>
      <w:r w:rsidRPr="00610778">
        <w:rPr>
          <w:rFonts w:cs="Times New Roman"/>
          <w:sz w:val="20"/>
          <w:szCs w:val="20"/>
        </w:rPr>
        <w:t xml:space="preserve"> </w:t>
      </w:r>
      <w:r w:rsidRPr="00610778">
        <w:rPr>
          <w:rFonts w:cs="Times New Roman"/>
          <w:i/>
          <w:iCs/>
          <w:sz w:val="20"/>
          <w:szCs w:val="20"/>
        </w:rPr>
        <w:t>OCC v. PUC</w:t>
      </w:r>
      <w:r w:rsidRPr="00610778">
        <w:rPr>
          <w:rFonts w:cs="Times New Roman"/>
          <w:sz w:val="20"/>
          <w:szCs w:val="20"/>
        </w:rPr>
        <w:t xml:space="preserve">, 111 Ohio St.3d 300, 2006-Ohio-5789, 856 N.E.2d 213. </w:t>
      </w:r>
    </w:p>
  </w:footnote>
  <w:footnote w:id="7">
    <w:p w:rsidR="00A87132" w:rsidRPr="00610778" w:rsidP="007A35EE" w14:paraId="5F892845" w14:textId="2B7105BD">
      <w:pPr>
        <w:pStyle w:val="FootnoteText"/>
        <w:spacing w:after="120"/>
        <w:rPr>
          <w:rFonts w:ascii="Times New Roman" w:hAnsi="Times New Roman" w:cs="Times New Roman"/>
        </w:rPr>
      </w:pPr>
      <w:r w:rsidRPr="00610778">
        <w:rPr>
          <w:rStyle w:val="FootnoteReference"/>
          <w:rFonts w:ascii="Times New Roman" w:hAnsi="Times New Roman" w:cs="Times New Roman"/>
        </w:rPr>
        <w:footnoteRef/>
      </w:r>
      <w:r w:rsidRPr="00610778">
        <w:rPr>
          <w:rFonts w:ascii="Times New Roman" w:hAnsi="Times New Roman" w:cs="Times New Roman"/>
        </w:rPr>
        <w:t xml:space="preserve"> O.A.C. 4901-1-17(A).  </w:t>
      </w:r>
    </w:p>
  </w:footnote>
  <w:footnote w:id="8">
    <w:p w:rsidR="00A87132" w:rsidRPr="00C11CB2" w:rsidP="007A35EE" w14:paraId="026468DE" w14:textId="0EC971E0">
      <w:pPr>
        <w:pStyle w:val="FootnoteText"/>
        <w:spacing w:after="120"/>
        <w:rPr>
          <w:rFonts w:ascii="Times New Roman" w:hAnsi="Times New Roman" w:cs="Times New Roman"/>
        </w:rPr>
      </w:pPr>
      <w:r>
        <w:rPr>
          <w:rStyle w:val="FootnoteReference"/>
        </w:rPr>
        <w:footnoteRef/>
      </w:r>
      <w:r>
        <w:t xml:space="preserve"> </w:t>
      </w:r>
      <w:r w:rsidRPr="00C11CB2">
        <w:rPr>
          <w:rFonts w:ascii="Times New Roman" w:hAnsi="Times New Roman" w:cs="Times New Roman"/>
        </w:rPr>
        <w:t>FirstEnergy Utilities</w:t>
      </w:r>
      <w:r w:rsidR="001761EE">
        <w:rPr>
          <w:rFonts w:ascii="Times New Roman" w:hAnsi="Times New Roman" w:cs="Times New Roman"/>
        </w:rPr>
        <w:t>’</w:t>
      </w:r>
      <w:r w:rsidRPr="00C11CB2">
        <w:rPr>
          <w:rFonts w:ascii="Times New Roman" w:hAnsi="Times New Roman" w:cs="Times New Roman"/>
        </w:rPr>
        <w:t xml:space="preserve"> Memo Contra at 2. </w:t>
      </w:r>
    </w:p>
  </w:footnote>
  <w:footnote w:id="9">
    <w:p w:rsidR="00A87132" w:rsidRPr="00460A53" w:rsidP="00460A53" w14:paraId="675D7B5B" w14:textId="5A05ABF6">
      <w:pPr>
        <w:pStyle w:val="FootnoteText"/>
        <w:spacing w:after="120"/>
        <w:rPr>
          <w:rFonts w:ascii="Times New Roman" w:hAnsi="Times New Roman" w:cs="Times New Roman"/>
        </w:rPr>
      </w:pPr>
      <w:r w:rsidRPr="00460A53">
        <w:rPr>
          <w:rStyle w:val="FootnoteReference"/>
          <w:rFonts w:ascii="Times New Roman" w:hAnsi="Times New Roman" w:cs="Times New Roman"/>
        </w:rPr>
        <w:footnoteRef/>
      </w:r>
      <w:r w:rsidRPr="00460A53">
        <w:rPr>
          <w:rFonts w:ascii="Times New Roman" w:hAnsi="Times New Roman" w:cs="Times New Roman"/>
        </w:rPr>
        <w:t xml:space="preserve"> </w:t>
      </w:r>
      <w:r w:rsidRPr="00460A53">
        <w:rPr>
          <w:rFonts w:ascii="Times New Roman" w:hAnsi="Times New Roman" w:cs="Times New Roman"/>
          <w:i/>
          <w:iCs/>
        </w:rPr>
        <w:t>In the Matter of the Review of the Distribution Modernization Rider of Ohio Edison Company, The Cleveland Electric Illuminating Company, and the Toledo Edison Company</w:t>
      </w:r>
      <w:r w:rsidRPr="00460A53">
        <w:rPr>
          <w:rFonts w:ascii="Times New Roman" w:hAnsi="Times New Roman" w:cs="Times New Roman"/>
        </w:rPr>
        <w:t xml:space="preserve">, Case No. 17-2474-EL-RDR, Entry (Nov. 1, 2018).   </w:t>
      </w:r>
    </w:p>
  </w:footnote>
  <w:footnote w:id="10">
    <w:p w:rsidR="00A87132" w:rsidRPr="00460A53" w:rsidP="00460A53" w14:paraId="59082790" w14:textId="4F8255A2">
      <w:pPr>
        <w:pStyle w:val="FootnoteText"/>
        <w:spacing w:after="120"/>
        <w:rPr>
          <w:rFonts w:ascii="Times New Roman" w:hAnsi="Times New Roman" w:cs="Times New Roman"/>
        </w:rPr>
      </w:pPr>
      <w:r w:rsidRPr="00460A53">
        <w:rPr>
          <w:rStyle w:val="FootnoteReference"/>
          <w:rFonts w:ascii="Times New Roman" w:hAnsi="Times New Roman" w:cs="Times New Roman"/>
        </w:rPr>
        <w:footnoteRef/>
      </w:r>
      <w:r w:rsidRPr="00460A53">
        <w:rPr>
          <w:rFonts w:ascii="Times New Roman" w:hAnsi="Times New Roman" w:cs="Times New Roman"/>
        </w:rPr>
        <w:t xml:space="preserve"> FirstEnergy Utilities</w:t>
      </w:r>
      <w:r w:rsidR="001761EE">
        <w:rPr>
          <w:rFonts w:ascii="Times New Roman" w:hAnsi="Times New Roman" w:cs="Times New Roman"/>
        </w:rPr>
        <w:t>’</w:t>
      </w:r>
      <w:r w:rsidRPr="00460A53">
        <w:rPr>
          <w:rFonts w:ascii="Times New Roman" w:hAnsi="Times New Roman" w:cs="Times New Roman"/>
        </w:rPr>
        <w:t xml:space="preserve"> Memo Contra at 5.  </w:t>
      </w:r>
    </w:p>
  </w:footnote>
  <w:footnote w:id="11">
    <w:p w:rsidR="00433C05" w:rsidRPr="00460A53" w:rsidP="00460A53" w14:paraId="02AB535F" w14:textId="2D2E1E72">
      <w:pPr>
        <w:pStyle w:val="FootnoteText"/>
        <w:spacing w:after="120"/>
        <w:rPr>
          <w:rFonts w:ascii="Times New Roman" w:hAnsi="Times New Roman" w:cs="Times New Roman"/>
        </w:rPr>
      </w:pPr>
      <w:r w:rsidRPr="00460A53">
        <w:rPr>
          <w:rStyle w:val="FootnoteReference"/>
          <w:rFonts w:ascii="Times New Roman" w:hAnsi="Times New Roman" w:cs="Times New Roman"/>
        </w:rPr>
        <w:footnoteRef/>
      </w:r>
      <w:r w:rsidRPr="00460A53">
        <w:rPr>
          <w:rFonts w:ascii="Times New Roman" w:hAnsi="Times New Roman" w:cs="Times New Roman"/>
        </w:rPr>
        <w:t xml:space="preserve"> </w:t>
      </w:r>
      <w:r w:rsidRPr="00460A53">
        <w:rPr>
          <w:rFonts w:ascii="Times New Roman" w:hAnsi="Times New Roman" w:cs="Times New Roman"/>
          <w:i/>
          <w:iCs/>
        </w:rPr>
        <w:t>In the Matter of the Review of the Distribution Modernization Rider of Ohio Edison Company, The Cleveland Electric Illuminating Company, and the Toledo Edison Company</w:t>
      </w:r>
      <w:r w:rsidRPr="00460A53">
        <w:rPr>
          <w:rFonts w:ascii="Times New Roman" w:hAnsi="Times New Roman" w:cs="Times New Roman"/>
        </w:rPr>
        <w:t>, Case No. 17-2474-EL-RDR, Entry at ¶15 (Nov. 1, 2018)</w:t>
      </w:r>
      <w:r w:rsidR="001761EE">
        <w:rPr>
          <w:rFonts w:ascii="Times New Roman" w:hAnsi="Times New Roman" w:cs="Times New Roman"/>
        </w:rPr>
        <w:t xml:space="preserve"> </w:t>
      </w:r>
      <w:r w:rsidRPr="00460A53">
        <w:rPr>
          <w:rFonts w:ascii="Times New Roman" w:hAnsi="Times New Roman" w:cs="Times New Roman"/>
        </w:rPr>
        <w:t>(</w:t>
      </w:r>
      <w:r w:rsidR="001761EE">
        <w:rPr>
          <w:rFonts w:ascii="Times New Roman" w:hAnsi="Times New Roman" w:cs="Times New Roman"/>
        </w:rPr>
        <w:t>em</w:t>
      </w:r>
      <w:r w:rsidRPr="00460A53">
        <w:rPr>
          <w:rFonts w:ascii="Times New Roman" w:hAnsi="Times New Roman" w:cs="Times New Roman"/>
        </w:rPr>
        <w:t xml:space="preserve">phasis added).  </w:t>
      </w:r>
    </w:p>
  </w:footnote>
  <w:footnote w:id="12">
    <w:p w:rsidR="00433C05" w:rsidRPr="00FF3412" w:rsidP="007A35EE" w14:paraId="01AA1D96" w14:textId="77777777">
      <w:pPr>
        <w:pStyle w:val="FootnoteText"/>
        <w:spacing w:after="120"/>
        <w:rPr>
          <w:rFonts w:ascii="Times New Roman" w:hAnsi="Times New Roman"/>
        </w:rPr>
      </w:pPr>
      <w:r w:rsidRPr="00610778">
        <w:rPr>
          <w:rStyle w:val="FootnoteReference"/>
          <w:rFonts w:ascii="Times New Roman" w:hAnsi="Times New Roman" w:cs="Times New Roman"/>
        </w:rPr>
        <w:footnoteRef/>
      </w:r>
      <w:r w:rsidRPr="00610778">
        <w:rPr>
          <w:rFonts w:ascii="Times New Roman" w:hAnsi="Times New Roman" w:cs="Times New Roman"/>
        </w:rPr>
        <w:t xml:space="preserve"> </w:t>
      </w:r>
      <w:r w:rsidRPr="00610778">
        <w:rPr>
          <w:rFonts w:ascii="Times New Roman" w:hAnsi="Times New Roman" w:cs="Times New Roman"/>
          <w:i/>
        </w:rPr>
        <w:t>In the Matter of the Application of Columbia Gas of Ohio, Inc. for Approval to Implement</w:t>
      </w:r>
      <w:r w:rsidRPr="00FF3412">
        <w:rPr>
          <w:rFonts w:ascii="Times New Roman" w:hAnsi="Times New Roman" w:cs="Times New Roman"/>
          <w:i/>
        </w:rPr>
        <w:t xml:space="preserve"> a Capital Expenditure Program,</w:t>
      </w:r>
      <w:r w:rsidRPr="00FF3412">
        <w:rPr>
          <w:rFonts w:ascii="Times New Roman" w:hAnsi="Times New Roman" w:cs="Times New Roman"/>
        </w:rPr>
        <w:t xml:space="preserve"> Case No. 11-5351-GA-UNC, </w:t>
      </w:r>
      <w:r w:rsidRPr="00DE1DED">
        <w:rPr>
          <w:rFonts w:ascii="Times New Roman" w:hAnsi="Times New Roman" w:cs="Times New Roman"/>
          <w:i/>
        </w:rPr>
        <w:t>et al.,</w:t>
      </w:r>
      <w:r w:rsidRPr="00FF3412">
        <w:rPr>
          <w:rFonts w:ascii="Times New Roman" w:hAnsi="Times New Roman" w:cs="Times New Roman"/>
        </w:rPr>
        <w:t xml:space="preserve"> Entry at 2–4 (Jan. 27, 2012). </w:t>
      </w:r>
    </w:p>
  </w:footnote>
  <w:footnote w:id="13">
    <w:p w:rsidR="00433C05" w:rsidRPr="00FF3412" w:rsidP="007A35EE" w14:paraId="763DAE33" w14:textId="77777777">
      <w:pPr>
        <w:pStyle w:val="FootnoteText"/>
        <w:spacing w:after="120"/>
        <w:rPr>
          <w:rFonts w:ascii="Times New Roman" w:hAnsi="Times New Roman" w:cs="Times New Roman"/>
        </w:rPr>
      </w:pPr>
      <w:r w:rsidRPr="00FF3412">
        <w:rPr>
          <w:rStyle w:val="FootnoteReference"/>
          <w:rFonts w:ascii="Times New Roman" w:hAnsi="Times New Roman"/>
        </w:rPr>
        <w:footnoteRef/>
      </w:r>
      <w:r w:rsidRPr="00FF3412">
        <w:rPr>
          <w:rFonts w:ascii="Times New Roman" w:hAnsi="Times New Roman"/>
        </w:rPr>
        <w:t xml:space="preserve"> </w:t>
      </w:r>
      <w:r w:rsidRPr="00FF3412">
        <w:rPr>
          <w:rFonts w:ascii="Times New Roman" w:hAnsi="Times New Roman" w:cs="Times New Roman"/>
          <w:i/>
        </w:rPr>
        <w:t>Id</w:t>
      </w:r>
      <w:r w:rsidRPr="00FF3412">
        <w:rPr>
          <w:rFonts w:ascii="Times New Roman" w:hAnsi="Times New Roman" w:cs="Times New Roman"/>
          <w:iCs/>
        </w:rPr>
        <w:t>.,</w:t>
      </w:r>
      <w:r w:rsidRPr="00FF3412">
        <w:rPr>
          <w:rFonts w:ascii="Times New Roman" w:hAnsi="Times New Roman" w:cs="Times New Roman"/>
        </w:rPr>
        <w:t xml:space="preserve"> Columbia Motion To Stay Discovery, Memorandum in Support at 3-4 (Dec. 19, 2011).  </w:t>
      </w:r>
    </w:p>
  </w:footnote>
  <w:footnote w:id="14">
    <w:p w:rsidR="00433C05" w:rsidRPr="00FF3412" w:rsidP="007A35EE" w14:paraId="3750DFE5" w14:textId="77777777">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w:t>
      </w:r>
      <w:r w:rsidRPr="00FF3412">
        <w:rPr>
          <w:rFonts w:ascii="Times New Roman" w:hAnsi="Times New Roman" w:cs="Times New Roman"/>
          <w:i/>
        </w:rPr>
        <w:t>Id</w:t>
      </w:r>
      <w:r w:rsidRPr="00FF3412">
        <w:rPr>
          <w:rFonts w:ascii="Times New Roman" w:hAnsi="Times New Roman" w:cs="Times New Roman"/>
        </w:rPr>
        <w:t xml:space="preserve">. at 5. </w:t>
      </w:r>
    </w:p>
  </w:footnote>
  <w:footnote w:id="15">
    <w:p w:rsidR="00433C05" w:rsidRPr="00FF3412" w:rsidP="00433C05" w14:paraId="34AA274A" w14:textId="78FD77A5">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FirstEnergy Utilities</w:t>
      </w:r>
      <w:r w:rsidR="001761EE">
        <w:rPr>
          <w:rFonts w:ascii="Times New Roman" w:hAnsi="Times New Roman" w:cs="Times New Roman"/>
        </w:rPr>
        <w:t>’</w:t>
      </w:r>
      <w:r w:rsidRPr="00FF3412">
        <w:rPr>
          <w:rFonts w:ascii="Times New Roman" w:hAnsi="Times New Roman" w:cs="Times New Roman"/>
        </w:rPr>
        <w:t xml:space="preserve"> Memorandum Contra at </w:t>
      </w:r>
      <w:r>
        <w:rPr>
          <w:rFonts w:ascii="Times New Roman" w:hAnsi="Times New Roman" w:cs="Times New Roman"/>
        </w:rPr>
        <w:t xml:space="preserve">4. </w:t>
      </w:r>
    </w:p>
  </w:footnote>
  <w:footnote w:id="16">
    <w:p w:rsidR="00433C05" w:rsidRPr="00FF3412" w:rsidP="00433C05" w14:paraId="7EB20637" w14:textId="01222B43">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w:t>
      </w:r>
      <w:r w:rsidRPr="00FF3412">
        <w:rPr>
          <w:rFonts w:ascii="Times New Roman" w:hAnsi="Times New Roman" w:cs="Times New Roman"/>
          <w:i/>
        </w:rPr>
        <w:t>In the Matter of the Application of Columbia Gas of Ohio, Inc. for Approval to Implement a Capital Expenditure Program</w:t>
      </w:r>
      <w:r w:rsidRPr="00FF3412">
        <w:rPr>
          <w:rFonts w:ascii="Times New Roman" w:hAnsi="Times New Roman" w:cs="Times New Roman"/>
        </w:rPr>
        <w:t>, Case No. 11-5351-GA-UNC,</w:t>
      </w:r>
      <w:r w:rsidR="001761EE">
        <w:rPr>
          <w:rFonts w:ascii="Times New Roman" w:hAnsi="Times New Roman" w:cs="Times New Roman"/>
        </w:rPr>
        <w:t xml:space="preserve"> </w:t>
      </w:r>
      <w:r w:rsidRPr="001761EE" w:rsidR="001761EE">
        <w:rPr>
          <w:rFonts w:ascii="Times New Roman" w:hAnsi="Times New Roman" w:cs="Times New Roman"/>
          <w:i/>
          <w:iCs/>
        </w:rPr>
        <w:t>e</w:t>
      </w:r>
      <w:r w:rsidRPr="001761EE">
        <w:rPr>
          <w:rFonts w:ascii="Times New Roman" w:hAnsi="Times New Roman" w:cs="Times New Roman"/>
          <w:i/>
          <w:iCs/>
        </w:rPr>
        <w:t>t al</w:t>
      </w:r>
      <w:r w:rsidRPr="00FF3412">
        <w:rPr>
          <w:rFonts w:ascii="Times New Roman" w:hAnsi="Times New Roman" w:cs="Times New Roman"/>
        </w:rPr>
        <w:t xml:space="preserve">., Entry at ¶8 (Jan. 27, 2012). </w:t>
      </w:r>
    </w:p>
  </w:footnote>
  <w:footnote w:id="17">
    <w:p w:rsidR="00433C05" w:rsidRPr="00FF3412" w:rsidP="00433C05" w14:paraId="0EA55F00" w14:textId="77777777">
      <w:pPr>
        <w:pStyle w:val="FootnoteText"/>
        <w:spacing w:after="120"/>
        <w:rPr>
          <w:rFonts w:ascii="Times New Roman" w:hAnsi="Times New Roman" w:cs="Times New Roman"/>
          <w:iCs/>
        </w:rPr>
      </w:pPr>
      <w:r w:rsidRPr="00FF3412">
        <w:rPr>
          <w:rStyle w:val="FootnoteReference"/>
          <w:rFonts w:ascii="Times New Roman" w:hAnsi="Times New Roman" w:cs="Times New Roman"/>
        </w:rPr>
        <w:footnoteRef/>
      </w:r>
      <w:r w:rsidRPr="00FF3412">
        <w:rPr>
          <w:rFonts w:ascii="Times New Roman" w:hAnsi="Times New Roman" w:cs="Times New Roman"/>
        </w:rPr>
        <w:t xml:space="preserve"> </w:t>
      </w:r>
      <w:r w:rsidRPr="00FF3412">
        <w:rPr>
          <w:rFonts w:ascii="Times New Roman" w:hAnsi="Times New Roman" w:cs="Times New Roman"/>
          <w:i/>
        </w:rPr>
        <w:t>Id</w:t>
      </w:r>
      <w:r w:rsidRPr="00FF3412">
        <w:rPr>
          <w:rFonts w:ascii="Times New Roman" w:hAnsi="Times New Roman" w:cs="Times New Roman"/>
          <w:iCs/>
        </w:rPr>
        <w:t xml:space="preserve">. </w:t>
      </w:r>
    </w:p>
  </w:footnote>
  <w:footnote w:id="18">
    <w:p w:rsidR="00433C05" w:rsidRPr="00FF3412" w:rsidP="00433C05" w14:paraId="793A2F94" w14:textId="77777777">
      <w:pPr>
        <w:pStyle w:val="FootnoteText"/>
        <w:spacing w:after="120"/>
        <w:rPr>
          <w:rFonts w:ascii="Times New Roman" w:hAnsi="Times New Roman" w:cs="Times New Roman"/>
          <w:iCs/>
        </w:rPr>
      </w:pPr>
      <w:r w:rsidRPr="00FF3412">
        <w:rPr>
          <w:rStyle w:val="FootnoteReference"/>
          <w:rFonts w:ascii="Times New Roman" w:hAnsi="Times New Roman"/>
          <w:iCs/>
        </w:rPr>
        <w:footnoteRef/>
      </w:r>
      <w:r w:rsidRPr="00FF3412">
        <w:rPr>
          <w:rFonts w:ascii="Times New Roman" w:hAnsi="Times New Roman" w:cs="Times New Roman"/>
          <w:iCs/>
        </w:rPr>
        <w:t xml:space="preserve"> </w:t>
      </w:r>
      <w:r w:rsidRPr="00FF3412">
        <w:rPr>
          <w:rFonts w:ascii="Times New Roman" w:hAnsi="Times New Roman" w:cs="Times New Roman"/>
          <w:i/>
        </w:rPr>
        <w:t>Id</w:t>
      </w:r>
      <w:r w:rsidRPr="00FF3412">
        <w:rPr>
          <w:rFonts w:ascii="Times New Roman" w:hAnsi="Times New Roman" w:cs="Times New Roman"/>
          <w:iCs/>
        </w:rPr>
        <w:t xml:space="preserve">. </w:t>
      </w:r>
    </w:p>
  </w:footnote>
  <w:footnote w:id="19">
    <w:p w:rsidR="00433C05" w:rsidRPr="00FF3412" w:rsidP="00433C05" w14:paraId="484043E4" w14:textId="03A0E15C">
      <w:pPr>
        <w:spacing w:after="120" w:line="240" w:lineRule="auto"/>
        <w:rPr>
          <w:sz w:val="20"/>
          <w:szCs w:val="20"/>
        </w:rPr>
      </w:pPr>
      <w:r w:rsidRPr="00FF3412">
        <w:rPr>
          <w:rStyle w:val="FootnoteReference"/>
          <w:sz w:val="20"/>
          <w:szCs w:val="20"/>
        </w:rPr>
        <w:footnoteRef/>
      </w:r>
      <w:r w:rsidRPr="00FF3412">
        <w:rPr>
          <w:sz w:val="20"/>
          <w:szCs w:val="20"/>
        </w:rPr>
        <w:t xml:space="preserve"> </w:t>
      </w:r>
      <w:r w:rsidRPr="00FF3412">
        <w:rPr>
          <w:rFonts w:eastAsia="Times New Roman" w:cs="Times New Roman"/>
          <w:bCs/>
          <w:i/>
          <w:sz w:val="20"/>
          <w:szCs w:val="20"/>
        </w:rPr>
        <w:t>In the Matter of the Audit of the Percentage of Income Payment Plan Rider of The East Ohio Gas Company D/B/A Dominion Energy Ohio</w:t>
      </w:r>
      <w:r w:rsidRPr="00FF3412">
        <w:rPr>
          <w:rFonts w:eastAsia="Times New Roman" w:cs="Times New Roman"/>
          <w:bCs/>
          <w:iCs/>
          <w:sz w:val="20"/>
          <w:szCs w:val="20"/>
        </w:rPr>
        <w:t xml:space="preserve">, </w:t>
      </w:r>
      <w:r w:rsidRPr="00FF3412">
        <w:rPr>
          <w:rFonts w:eastAsia="Times New Roman" w:cs="Times New Roman"/>
          <w:bCs/>
          <w:sz w:val="20"/>
          <w:szCs w:val="20"/>
        </w:rPr>
        <w:t>Case No. 17-219-GA-EXR</w:t>
      </w:r>
      <w:r w:rsidR="001761EE">
        <w:rPr>
          <w:rFonts w:eastAsia="Times New Roman" w:cs="Times New Roman"/>
          <w:bCs/>
          <w:sz w:val="20"/>
          <w:szCs w:val="20"/>
        </w:rPr>
        <w:t>,</w:t>
      </w:r>
      <w:r w:rsidRPr="00FF3412">
        <w:rPr>
          <w:rFonts w:eastAsia="Times New Roman" w:cs="Times New Roman"/>
          <w:bCs/>
          <w:sz w:val="20"/>
          <w:szCs w:val="20"/>
        </w:rPr>
        <w:t xml:space="preserve"> Entry (Sept. 28, 2017).</w:t>
      </w:r>
    </w:p>
  </w:footnote>
  <w:footnote w:id="20">
    <w:p w:rsidR="00433C05" w:rsidRPr="00FF3412" w:rsidP="00433C05" w14:paraId="647956DF" w14:textId="77777777">
      <w:pPr>
        <w:pStyle w:val="FootnoteText"/>
        <w:spacing w:after="120"/>
        <w:rPr>
          <w:rFonts w:ascii="Times New Roman" w:hAnsi="Times New Roman" w:cs="Times New Roman"/>
        </w:rPr>
      </w:pPr>
      <w:r w:rsidRPr="00FF3412">
        <w:rPr>
          <w:rStyle w:val="FootnoteReference"/>
          <w:rFonts w:ascii="Times New Roman" w:hAnsi="Times New Roman"/>
        </w:rPr>
        <w:footnoteRef/>
      </w:r>
      <w:r w:rsidRPr="00FF3412">
        <w:rPr>
          <w:rFonts w:ascii="Times New Roman" w:hAnsi="Times New Roman"/>
        </w:rPr>
        <w:t xml:space="preserve"> </w:t>
      </w:r>
      <w:r w:rsidRPr="00FF3412">
        <w:rPr>
          <w:rFonts w:ascii="Times New Roman" w:hAnsi="Times New Roman" w:cs="Times New Roman"/>
          <w:i/>
        </w:rPr>
        <w:t>Id</w:t>
      </w:r>
      <w:r w:rsidRPr="00FF3412">
        <w:rPr>
          <w:rFonts w:ascii="Times New Roman" w:hAnsi="Times New Roman" w:cs="Times New Roman"/>
          <w:iCs/>
        </w:rPr>
        <w:t>.</w:t>
      </w:r>
      <w:r w:rsidRPr="00FF3412">
        <w:rPr>
          <w:rFonts w:ascii="Times New Roman" w:hAnsi="Times New Roman" w:cs="Times New Roman"/>
        </w:rPr>
        <w:t xml:space="preserve"> at ¶13. </w:t>
      </w:r>
    </w:p>
  </w:footnote>
  <w:footnote w:id="21">
    <w:p w:rsidR="00433C05" w:rsidRPr="00FF3412" w:rsidP="00433C05" w14:paraId="1E068912" w14:textId="33E58C71">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FirstEnergy Utilities</w:t>
      </w:r>
      <w:r w:rsidR="001761EE">
        <w:rPr>
          <w:rFonts w:ascii="Times New Roman" w:hAnsi="Times New Roman" w:cs="Times New Roman"/>
        </w:rPr>
        <w:t>’</w:t>
      </w:r>
      <w:r w:rsidRPr="00FF3412">
        <w:rPr>
          <w:rFonts w:ascii="Times New Roman" w:hAnsi="Times New Roman" w:cs="Times New Roman"/>
        </w:rPr>
        <w:t xml:space="preserve"> Memorandum Contra at </w:t>
      </w:r>
      <w:r>
        <w:rPr>
          <w:rFonts w:ascii="Times New Roman" w:hAnsi="Times New Roman" w:cs="Times New Roman"/>
        </w:rPr>
        <w:t xml:space="preserve">7.  </w:t>
      </w:r>
      <w:r w:rsidRPr="00FF3412">
        <w:rPr>
          <w:rFonts w:ascii="Times New Roman" w:hAnsi="Times New Roman" w:cs="Times New Roman"/>
        </w:rPr>
        <w:t xml:space="preserve"> </w:t>
      </w:r>
    </w:p>
  </w:footnote>
  <w:footnote w:id="22">
    <w:p w:rsidR="00433C05" w:rsidRPr="00FF3412" w:rsidP="00433C05" w14:paraId="7BC54C21" w14:textId="5A6892A4">
      <w:pPr>
        <w:pStyle w:val="FootnoteText"/>
        <w:spacing w:after="120"/>
        <w:rPr>
          <w:rFonts w:ascii="Times New Roman" w:hAnsi="Times New Roman" w:cs="Times New Roman"/>
        </w:rPr>
      </w:pPr>
      <w:r w:rsidRPr="00FF3412">
        <w:rPr>
          <w:rStyle w:val="FootnoteReference"/>
          <w:rFonts w:ascii="Times New Roman" w:hAnsi="Times New Roman"/>
        </w:rPr>
        <w:footnoteRef/>
      </w:r>
      <w:r w:rsidRPr="00FF3412">
        <w:rPr>
          <w:rFonts w:ascii="Times New Roman" w:hAnsi="Times New Roman" w:cs="Times New Roman"/>
          <w:i/>
        </w:rPr>
        <w:t xml:space="preserve"> In the Matter of the Application of Suvon, LLC D/B/A FirstEnergy Advisors for Certification as a Competitive Retail Electric Service Power Broker and Aggregator in Ohio</w:t>
      </w:r>
      <w:r w:rsidRPr="00FF3412">
        <w:rPr>
          <w:rFonts w:ascii="Times New Roman" w:hAnsi="Times New Roman" w:cs="Times New Roman"/>
          <w:iCs/>
        </w:rPr>
        <w:t>,</w:t>
      </w:r>
      <w:r w:rsidRPr="00FF3412">
        <w:rPr>
          <w:rFonts w:ascii="Times New Roman" w:hAnsi="Times New Roman"/>
        </w:rPr>
        <w:t xml:space="preserve"> </w:t>
      </w:r>
      <w:r w:rsidRPr="00FF3412">
        <w:rPr>
          <w:rFonts w:ascii="Times New Roman" w:hAnsi="Times New Roman" w:cs="Times New Roman"/>
        </w:rPr>
        <w:t xml:space="preserve">Case No. 20-103-EL-AGG, Finding and Order at </w:t>
      </w:r>
      <w:r w:rsidR="001761EE">
        <w:rPr>
          <w:rFonts w:ascii="Times New Roman" w:hAnsi="Times New Roman" w:cs="Times New Roman"/>
        </w:rPr>
        <w:t>¶</w:t>
      </w:r>
      <w:r w:rsidRPr="00FF3412">
        <w:rPr>
          <w:rFonts w:ascii="Times New Roman" w:hAnsi="Times New Roman" w:cs="Times New Roman"/>
        </w:rPr>
        <w:t xml:space="preserve">25 (Apr. 22, 2020) (finding motions to compel discovery requests by OCC and NOPEC to be moot). </w:t>
      </w:r>
    </w:p>
  </w:footnote>
  <w:footnote w:id="23">
    <w:p w:rsidR="00433C05" w:rsidRPr="00FF3412" w:rsidP="00433C05" w14:paraId="5B0690F6" w14:textId="6893FC81">
      <w:pPr>
        <w:pStyle w:val="FootnoteText"/>
        <w:spacing w:after="120"/>
        <w:rPr>
          <w:rFonts w:ascii="Times New Roman" w:hAnsi="Times New Roman"/>
        </w:rPr>
      </w:pPr>
      <w:r w:rsidRPr="00FF3412">
        <w:rPr>
          <w:rStyle w:val="FootnoteReference"/>
          <w:rFonts w:ascii="Times New Roman" w:hAnsi="Times New Roman"/>
        </w:rPr>
        <w:footnoteRef/>
      </w:r>
      <w:r w:rsidRPr="00FF3412">
        <w:rPr>
          <w:rFonts w:ascii="Times New Roman" w:hAnsi="Times New Roman"/>
        </w:rPr>
        <w:t xml:space="preserve"> </w:t>
      </w:r>
      <w:r w:rsidRPr="00FF3412">
        <w:rPr>
          <w:rFonts w:ascii="Times New Roman" w:hAnsi="Times New Roman" w:cs="Times New Roman"/>
          <w:i/>
        </w:rPr>
        <w:t>In the Matter of the Commission’s Investigation into PALMco Power OH, LLC</w:t>
      </w:r>
      <w:r w:rsidRPr="00FF3412">
        <w:rPr>
          <w:rFonts w:ascii="Times New Roman" w:hAnsi="Times New Roman" w:cs="Times New Roman"/>
        </w:rPr>
        <w:t>, Case No, 19-957-GE-COI</w:t>
      </w:r>
      <w:r w:rsidR="001761EE">
        <w:rPr>
          <w:rFonts w:ascii="Times New Roman" w:hAnsi="Times New Roman" w:cs="Times New Roman"/>
        </w:rPr>
        <w:t xml:space="preserve">, </w:t>
      </w:r>
      <w:r w:rsidRPr="00FF3412">
        <w:rPr>
          <w:rFonts w:ascii="Times New Roman" w:hAnsi="Times New Roman" w:cs="Times New Roman"/>
        </w:rPr>
        <w:t xml:space="preserve">Entry at </w:t>
      </w:r>
      <w:r w:rsidR="001C4058">
        <w:rPr>
          <w:rFonts w:ascii="Times New Roman" w:hAnsi="Times New Roman" w:cs="Times New Roman"/>
        </w:rPr>
        <w:t>¶</w:t>
      </w:r>
      <w:r w:rsidRPr="00FF3412">
        <w:rPr>
          <w:rFonts w:ascii="Times New Roman" w:hAnsi="Times New Roman" w:cs="Times New Roman"/>
        </w:rPr>
        <w:t xml:space="preserve"> 30 (Sept. 3, 2019)</w:t>
      </w:r>
      <w:r w:rsidR="00334EE1">
        <w:rPr>
          <w:rFonts w:ascii="Times New Roman" w:hAnsi="Times New Roman" w:cs="Times New Roman"/>
        </w:rPr>
        <w:t xml:space="preserve"> </w:t>
      </w:r>
      <w:r w:rsidRPr="00FF3412">
        <w:rPr>
          <w:rFonts w:ascii="Times New Roman" w:hAnsi="Times New Roman" w:cs="Times New Roman"/>
        </w:rPr>
        <w:t>(denying OCC’s motion to compel in part finding that OCC had early opportunities for discovery that it did not pursue and sought to “burden PALMco with numerous depositions on a broad array of topics in the limited time remaining before hearing.”).</w:t>
      </w:r>
    </w:p>
  </w:footnote>
  <w:footnote w:id="24">
    <w:p w:rsidR="00433C05" w:rsidRPr="008634EA" w:rsidP="007A35EE" w14:paraId="25F41AB1" w14:textId="104AD3F5">
      <w:pPr>
        <w:pStyle w:val="FootnoteText"/>
        <w:spacing w:after="120"/>
        <w:rPr>
          <w:rFonts w:ascii="Times New Roman" w:hAnsi="Times New Roman" w:cs="Times New Roman"/>
        </w:rPr>
      </w:pPr>
      <w:r w:rsidRPr="008634EA">
        <w:rPr>
          <w:rStyle w:val="FootnoteReference"/>
          <w:rFonts w:ascii="Times New Roman" w:hAnsi="Times New Roman" w:cs="Times New Roman"/>
        </w:rPr>
        <w:footnoteRef/>
      </w:r>
      <w:r w:rsidRPr="008634EA">
        <w:rPr>
          <w:rFonts w:ascii="Times New Roman" w:hAnsi="Times New Roman" w:cs="Times New Roman"/>
        </w:rPr>
        <w:t xml:space="preserve"> F</w:t>
      </w:r>
      <w:r w:rsidR="00334EE1">
        <w:rPr>
          <w:rFonts w:ascii="Times New Roman" w:hAnsi="Times New Roman" w:cs="Times New Roman"/>
        </w:rPr>
        <w:t>irst</w:t>
      </w:r>
      <w:r w:rsidRPr="008634EA">
        <w:rPr>
          <w:rFonts w:ascii="Times New Roman" w:hAnsi="Times New Roman" w:cs="Times New Roman"/>
        </w:rPr>
        <w:t>E</w:t>
      </w:r>
      <w:r w:rsidR="00334EE1">
        <w:rPr>
          <w:rFonts w:ascii="Times New Roman" w:hAnsi="Times New Roman" w:cs="Times New Roman"/>
        </w:rPr>
        <w:t>nergy</w:t>
      </w:r>
      <w:r w:rsidRPr="008634EA">
        <w:rPr>
          <w:rFonts w:ascii="Times New Roman" w:hAnsi="Times New Roman" w:cs="Times New Roman"/>
        </w:rPr>
        <w:t xml:space="preserve"> Utilities</w:t>
      </w:r>
      <w:r w:rsidR="00334EE1">
        <w:rPr>
          <w:rFonts w:ascii="Times New Roman" w:hAnsi="Times New Roman" w:cs="Times New Roman"/>
        </w:rPr>
        <w:t>’</w:t>
      </w:r>
      <w:r w:rsidRPr="008634EA">
        <w:rPr>
          <w:rFonts w:ascii="Times New Roman" w:hAnsi="Times New Roman" w:cs="Times New Roman"/>
        </w:rPr>
        <w:t xml:space="preserve"> Memorandum </w:t>
      </w:r>
      <w:r>
        <w:rPr>
          <w:rFonts w:ascii="Times New Roman" w:hAnsi="Times New Roman" w:cs="Times New Roman"/>
        </w:rPr>
        <w:t>C</w:t>
      </w:r>
      <w:r w:rsidRPr="008634EA">
        <w:rPr>
          <w:rFonts w:ascii="Times New Roman" w:hAnsi="Times New Roman" w:cs="Times New Roman"/>
        </w:rPr>
        <w:t>ontra at 2 (Mar. 26, 2021)</w:t>
      </w:r>
      <w:r w:rsidR="00460A53">
        <w:rPr>
          <w:rFonts w:ascii="Times New Roman" w:hAnsi="Times New Roman" w:cs="Times New Roman"/>
        </w:rPr>
        <w:t>.</w:t>
      </w:r>
      <w:r w:rsidRPr="008634EA">
        <w:rPr>
          <w:rFonts w:ascii="Times New Roman" w:hAnsi="Times New Roman" w:cs="Times New Roman"/>
        </w:rPr>
        <w:t xml:space="preserve"> </w:t>
      </w:r>
    </w:p>
  </w:footnote>
  <w:footnote w:id="25">
    <w:p w:rsidR="00433C05" w:rsidP="00460A53" w14:paraId="34CEE20F" w14:textId="5D86C4F6">
      <w:pPr>
        <w:pStyle w:val="FootnoteText"/>
        <w:spacing w:after="120"/>
      </w:pPr>
      <w:r>
        <w:rPr>
          <w:rStyle w:val="FootnoteReference"/>
        </w:rPr>
        <w:footnoteRef/>
      </w:r>
      <w:r>
        <w:t xml:space="preserve"> </w:t>
      </w:r>
      <w:r w:rsidRPr="00FF3412">
        <w:rPr>
          <w:rFonts w:ascii="Times New Roman" w:hAnsi="Times New Roman" w:cs="Times New Roman"/>
          <w:i/>
        </w:rPr>
        <w:t>In the Matter of the Review of the Distribution Modernization Rider of Ohio Edison Company, the Cleveland Electric Illuminating Company and the Toledo Edison Company</w:t>
      </w:r>
      <w:r w:rsidRPr="00FF3412">
        <w:rPr>
          <w:rFonts w:ascii="Times New Roman" w:hAnsi="Times New Roman" w:cs="Times New Roman"/>
        </w:rPr>
        <w:t xml:space="preserve">, Case No. 17-2474-EL-RDR, Entry </w:t>
      </w:r>
      <w:r>
        <w:rPr>
          <w:rFonts w:ascii="Times New Roman" w:hAnsi="Times New Roman" w:cs="Times New Roman"/>
        </w:rPr>
        <w:t xml:space="preserve">at ¶22 </w:t>
      </w:r>
      <w:r w:rsidRPr="00FF3412">
        <w:rPr>
          <w:rFonts w:ascii="Times New Roman" w:hAnsi="Times New Roman" w:cs="Times New Roman"/>
        </w:rPr>
        <w:t>(</w:t>
      </w:r>
      <w:r>
        <w:rPr>
          <w:rFonts w:ascii="Times New Roman" w:hAnsi="Times New Roman" w:cs="Times New Roman"/>
        </w:rPr>
        <w:t>Dec. 30, 2020</w:t>
      </w:r>
      <w:r w:rsidRPr="00FF3412">
        <w:rPr>
          <w:rFonts w:ascii="Times New Roman" w:hAnsi="Times New Roman" w:cs="Times New Roman"/>
        </w:rPr>
        <w:t xml:space="preserve">). </w:t>
      </w:r>
      <w:r>
        <w:rPr>
          <w:rFonts w:ascii="Times New Roman" w:hAnsi="Times New Roman" w:cs="Times New Roman"/>
        </w:rPr>
        <w:t>(Emphasis added).</w:t>
      </w:r>
    </w:p>
  </w:footnote>
  <w:footnote w:id="26">
    <w:p w:rsidR="00433C05" w:rsidRPr="00FF3412" w:rsidP="007A35EE" w14:paraId="7FC33C5A" w14:textId="772FC326">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FirstEnergy Utilities</w:t>
      </w:r>
      <w:r w:rsidR="00334EE1">
        <w:rPr>
          <w:rFonts w:ascii="Times New Roman" w:hAnsi="Times New Roman" w:cs="Times New Roman"/>
        </w:rPr>
        <w:t>’</w:t>
      </w:r>
      <w:r w:rsidRPr="00FF3412">
        <w:rPr>
          <w:rFonts w:ascii="Times New Roman" w:hAnsi="Times New Roman" w:cs="Times New Roman"/>
        </w:rPr>
        <w:t xml:space="preserve"> Memorandum Contra at </w:t>
      </w:r>
      <w:r>
        <w:rPr>
          <w:rFonts w:ascii="Times New Roman" w:hAnsi="Times New Roman" w:cs="Times New Roman"/>
        </w:rPr>
        <w:t>4</w:t>
      </w:r>
      <w:r w:rsidRPr="00FF3412">
        <w:rPr>
          <w:rFonts w:ascii="Times New Roman" w:hAnsi="Times New Roman" w:cs="Times New Roman"/>
        </w:rPr>
        <w:t xml:space="preserve">. </w:t>
      </w:r>
    </w:p>
  </w:footnote>
  <w:footnote w:id="27">
    <w:p w:rsidR="00433C05" w:rsidRPr="00FF3412" w:rsidP="007A35EE" w14:paraId="7FEF3FE7" w14:textId="77777777">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w:t>
      </w:r>
      <w:r w:rsidRPr="00FF3412">
        <w:rPr>
          <w:rFonts w:ascii="Times New Roman" w:hAnsi="Times New Roman" w:cs="Times New Roman"/>
          <w:i/>
        </w:rPr>
        <w:t>Id</w:t>
      </w:r>
      <w:r w:rsidRPr="00FF3412">
        <w:rPr>
          <w:rFonts w:ascii="Times New Roman" w:hAnsi="Times New Roman" w:cs="Times New Roman"/>
          <w:iCs/>
        </w:rPr>
        <w:t>.</w:t>
      </w:r>
      <w:r w:rsidRPr="00FF3412">
        <w:rPr>
          <w:rFonts w:ascii="Times New Roman" w:hAnsi="Times New Roman" w:cs="Times New Roman"/>
        </w:rPr>
        <w:t xml:space="preserve"> at 4. </w:t>
      </w:r>
    </w:p>
  </w:footnote>
  <w:footnote w:id="28">
    <w:p w:rsidR="000E08D7" w:rsidRPr="000F73ED" w:rsidP="007A35EE" w14:paraId="43D2C733" w14:textId="77777777">
      <w:pPr>
        <w:pStyle w:val="FootnoteText"/>
        <w:spacing w:after="120"/>
        <w:rPr>
          <w:rFonts w:ascii="Times New Roman" w:hAnsi="Times New Roman" w:cs="Times New Roman"/>
        </w:rPr>
      </w:pPr>
      <w:r w:rsidRPr="000F73ED">
        <w:rPr>
          <w:rStyle w:val="FootnoteReference"/>
          <w:rFonts w:ascii="Times New Roman" w:hAnsi="Times New Roman" w:cs="Times New Roman"/>
        </w:rPr>
        <w:footnoteRef/>
      </w:r>
      <w:r w:rsidRPr="000F73ED">
        <w:rPr>
          <w:rFonts w:ascii="Times New Roman" w:hAnsi="Times New Roman" w:cs="Times New Roman"/>
        </w:rPr>
        <w:t xml:space="preserve"> </w:t>
      </w:r>
      <w:r w:rsidRPr="007A35EE">
        <w:rPr>
          <w:rFonts w:ascii="Times New Roman" w:hAnsi="Times New Roman" w:cs="Times New Roman"/>
          <w:i/>
          <w:iCs/>
        </w:rPr>
        <w:t xml:space="preserve">See </w:t>
      </w:r>
      <w:r w:rsidRPr="000F73ED">
        <w:rPr>
          <w:rFonts w:ascii="Times New Roman" w:hAnsi="Times New Roman" w:cs="Times New Roman"/>
        </w:rPr>
        <w:t xml:space="preserve">O.A.C. 4901-1-34.  </w:t>
      </w:r>
    </w:p>
  </w:footnote>
  <w:footnote w:id="29">
    <w:p w:rsidR="00433C05" w:rsidP="007A35EE" w14:paraId="187380D3" w14:textId="31A623C7">
      <w:pPr>
        <w:pStyle w:val="FootnoteText"/>
        <w:spacing w:after="120"/>
      </w:pPr>
      <w:r>
        <w:rPr>
          <w:rStyle w:val="FootnoteReference"/>
        </w:rPr>
        <w:footnoteRef/>
      </w:r>
      <w:r>
        <w:t xml:space="preserve"> </w:t>
      </w:r>
      <w:r w:rsidRPr="00FF3412">
        <w:rPr>
          <w:rFonts w:ascii="Times New Roman" w:hAnsi="Times New Roman" w:cs="Times New Roman"/>
          <w:i/>
        </w:rPr>
        <w:t>In the Matter of the Review of the Distribution Modernization Rider of Ohio Edison Company, the Cleveland Electric Illuminating Company and the Toledo Edison Company</w:t>
      </w:r>
      <w:r w:rsidRPr="00FF3412">
        <w:rPr>
          <w:rFonts w:ascii="Times New Roman" w:hAnsi="Times New Roman" w:cs="Times New Roman"/>
        </w:rPr>
        <w:t>, Case No. 17-2474-EL-RDR, Entry</w:t>
      </w:r>
      <w:r>
        <w:rPr>
          <w:rFonts w:ascii="Times New Roman" w:hAnsi="Times New Roman" w:cs="Times New Roman"/>
        </w:rPr>
        <w:t xml:space="preserve"> at ¶23 (Dec. 30, 2020</w:t>
      </w:r>
      <w:r w:rsidRPr="00FF3412">
        <w:rPr>
          <w:rFonts w:ascii="Times New Roman" w:hAnsi="Times New Roman" w:cs="Times New Roman"/>
        </w:rPr>
        <w:t>).</w:t>
      </w:r>
    </w:p>
  </w:footnote>
  <w:footnote w:id="30">
    <w:p w:rsidR="00433C05" w:rsidRPr="00852CEA" w:rsidP="007A35EE" w14:paraId="4EF12249" w14:textId="045E3D06">
      <w:pPr>
        <w:pStyle w:val="FootnoteText"/>
        <w:spacing w:after="120"/>
        <w:rPr>
          <w:rFonts w:ascii="Times New Roman" w:hAnsi="Times New Roman" w:cs="Times New Roman"/>
        </w:rPr>
      </w:pPr>
      <w:r>
        <w:rPr>
          <w:rStyle w:val="FootnoteReference"/>
        </w:rPr>
        <w:footnoteRef/>
      </w:r>
      <w:r>
        <w:t xml:space="preserve"> </w:t>
      </w:r>
      <w:r w:rsidRPr="00460A53">
        <w:rPr>
          <w:rFonts w:ascii="Times New Roman" w:hAnsi="Times New Roman" w:cs="Times New Roman"/>
          <w:i/>
          <w:iCs/>
        </w:rPr>
        <w:t>See, e.g.,</w:t>
      </w:r>
      <w:r w:rsidRPr="00852CEA">
        <w:rPr>
          <w:rFonts w:ascii="Times New Roman" w:hAnsi="Times New Roman" w:cs="Times New Roman"/>
        </w:rPr>
        <w:t xml:space="preserve"> the FirstEnergy Utilities</w:t>
      </w:r>
      <w:r w:rsidR="00334EE1">
        <w:rPr>
          <w:rFonts w:ascii="Times New Roman" w:hAnsi="Times New Roman" w:cs="Times New Roman"/>
        </w:rPr>
        <w:t>’</w:t>
      </w:r>
      <w:r w:rsidRPr="00852CEA">
        <w:rPr>
          <w:rFonts w:ascii="Times New Roman" w:hAnsi="Times New Roman" w:cs="Times New Roman"/>
        </w:rPr>
        <w:t xml:space="preserve"> response to OCC INT   2-15, 2-18; RFP 2-1 through 2-8 and 2-11.  </w:t>
      </w:r>
    </w:p>
  </w:footnote>
  <w:footnote w:id="31">
    <w:p w:rsidR="00433C05" w:rsidP="007A35EE" w14:paraId="13BD24BC" w14:textId="63DA06A3">
      <w:pPr>
        <w:pStyle w:val="FootnoteText"/>
        <w:spacing w:after="120"/>
      </w:pPr>
      <w:r>
        <w:rPr>
          <w:rStyle w:val="FootnoteReference"/>
        </w:rPr>
        <w:footnoteRef/>
      </w:r>
      <w:r>
        <w:t xml:space="preserve"> </w:t>
      </w:r>
      <w:r w:rsidRPr="00AE7C2D">
        <w:rPr>
          <w:rFonts w:ascii="Times New Roman" w:hAnsi="Times New Roman" w:cs="Times New Roman"/>
        </w:rPr>
        <w:t>FirstEnergy Utilities</w:t>
      </w:r>
      <w:r w:rsidR="00334EE1">
        <w:rPr>
          <w:rFonts w:ascii="Times New Roman" w:hAnsi="Times New Roman" w:cs="Times New Roman"/>
        </w:rPr>
        <w:t>’</w:t>
      </w:r>
      <w:r w:rsidRPr="00AE7C2D">
        <w:rPr>
          <w:rFonts w:ascii="Times New Roman" w:hAnsi="Times New Roman" w:cs="Times New Roman"/>
        </w:rPr>
        <w:t xml:space="preserve"> Memo Contra at 5.</w:t>
      </w:r>
      <w:r>
        <w:t xml:space="preserve">  </w:t>
      </w:r>
    </w:p>
  </w:footnote>
  <w:footnote w:id="32">
    <w:p w:rsidR="00433C05" w:rsidRPr="003A7580" w:rsidP="007A35EE" w14:paraId="5A370E72" w14:textId="77777777">
      <w:pPr>
        <w:pStyle w:val="FootnoteText"/>
        <w:spacing w:after="120"/>
        <w:rPr>
          <w:rFonts w:ascii="Times New Roman" w:hAnsi="Times New Roman" w:cs="Times New Roman"/>
          <w:i/>
          <w:iCs/>
        </w:rPr>
      </w:pPr>
      <w:r>
        <w:rPr>
          <w:rStyle w:val="FootnoteReference"/>
        </w:rPr>
        <w:footnoteRef/>
      </w:r>
      <w:r>
        <w:t xml:space="preserve"> </w:t>
      </w:r>
      <w:r w:rsidRPr="003A7580">
        <w:rPr>
          <w:rFonts w:ascii="Times New Roman" w:hAnsi="Times New Roman" w:cs="Times New Roman"/>
          <w:i/>
          <w:iCs/>
        </w:rPr>
        <w:t xml:space="preserve">Id. </w:t>
      </w:r>
    </w:p>
  </w:footnote>
  <w:footnote w:id="33">
    <w:p w:rsidR="00433C05" w:rsidRPr="00460A53" w:rsidP="00460A53" w14:paraId="0D321691" w14:textId="77777777">
      <w:pPr>
        <w:pStyle w:val="FootnoteText"/>
        <w:spacing w:after="120"/>
        <w:rPr>
          <w:rFonts w:ascii="Times New Roman" w:hAnsi="Times New Roman" w:cs="Times New Roman"/>
        </w:rPr>
      </w:pPr>
      <w:r w:rsidRPr="00460A53">
        <w:rPr>
          <w:rStyle w:val="FootnoteReference"/>
          <w:rFonts w:ascii="Times New Roman" w:hAnsi="Times New Roman" w:cs="Times New Roman"/>
        </w:rPr>
        <w:footnoteRef/>
      </w:r>
      <w:r w:rsidRPr="00460A53">
        <w:rPr>
          <w:rFonts w:ascii="Times New Roman" w:hAnsi="Times New Roman" w:cs="Times New Roman"/>
        </w:rPr>
        <w:t xml:space="preserve"> </w:t>
      </w:r>
      <w:r w:rsidRPr="00460A53">
        <w:rPr>
          <w:rFonts w:ascii="Times New Roman" w:hAnsi="Times New Roman" w:cs="Times New Roman"/>
          <w:i/>
        </w:rPr>
        <w:t>In the Matter of the Review of the Distribution Modernization Rider of Ohio Edison Company, the Cleveland Electric Illuminating Company and the Toledo Edison Company</w:t>
      </w:r>
      <w:r w:rsidRPr="00460A53">
        <w:rPr>
          <w:rFonts w:ascii="Times New Roman" w:hAnsi="Times New Roman" w:cs="Times New Roman"/>
        </w:rPr>
        <w:t xml:space="preserve">, Case No. 17-2474-EL-RDR, Entry, RFP at 1 (Dec. 13, 2017).  (Emphasis added).  </w:t>
      </w:r>
    </w:p>
  </w:footnote>
  <w:footnote w:id="34">
    <w:p w:rsidR="00433C05" w:rsidRPr="00460A53" w:rsidP="00460A53" w14:paraId="55986269" w14:textId="77777777">
      <w:pPr>
        <w:pStyle w:val="FootnoteText"/>
        <w:spacing w:after="120"/>
        <w:rPr>
          <w:rFonts w:ascii="Times New Roman" w:hAnsi="Times New Roman" w:cs="Times New Roman"/>
        </w:rPr>
      </w:pPr>
      <w:r w:rsidRPr="00460A53">
        <w:rPr>
          <w:rStyle w:val="FootnoteReference"/>
          <w:rFonts w:ascii="Times New Roman" w:hAnsi="Times New Roman" w:cs="Times New Roman"/>
        </w:rPr>
        <w:footnoteRef/>
      </w:r>
      <w:r w:rsidRPr="00460A53">
        <w:rPr>
          <w:rFonts w:ascii="Times New Roman" w:hAnsi="Times New Roman" w:cs="Times New Roman"/>
        </w:rPr>
        <w:t xml:space="preserve"> </w:t>
      </w:r>
      <w:r w:rsidRPr="00460A53">
        <w:rPr>
          <w:rFonts w:ascii="Times New Roman" w:hAnsi="Times New Roman" w:cs="Times New Roman"/>
          <w:i/>
          <w:iCs/>
        </w:rPr>
        <w:t>Id.,</w:t>
      </w:r>
      <w:r w:rsidRPr="00460A53">
        <w:rPr>
          <w:rFonts w:ascii="Times New Roman" w:hAnsi="Times New Roman" w:cs="Times New Roman"/>
        </w:rPr>
        <w:t xml:space="preserve"> Oxford Mid-Term Report at 16 (June 14, 2019).</w:t>
      </w:r>
    </w:p>
  </w:footnote>
  <w:footnote w:id="35">
    <w:p w:rsidR="00433C05" w:rsidRPr="00460A53" w:rsidP="00460A53" w14:paraId="520436A7" w14:textId="77777777">
      <w:pPr>
        <w:pStyle w:val="FootnoteText"/>
        <w:spacing w:after="120"/>
        <w:rPr>
          <w:rFonts w:ascii="Times New Roman" w:hAnsi="Times New Roman" w:cs="Times New Roman"/>
        </w:rPr>
      </w:pPr>
      <w:r w:rsidRPr="00460A53">
        <w:rPr>
          <w:rStyle w:val="FootnoteReference"/>
          <w:rFonts w:ascii="Times New Roman" w:hAnsi="Times New Roman" w:cs="Times New Roman"/>
        </w:rPr>
        <w:footnoteRef/>
      </w:r>
      <w:r w:rsidRPr="00460A53">
        <w:rPr>
          <w:rFonts w:ascii="Times New Roman" w:hAnsi="Times New Roman" w:cs="Times New Roman"/>
        </w:rPr>
        <w:t xml:space="preserve"> </w:t>
      </w:r>
      <w:r w:rsidRPr="00460A53">
        <w:rPr>
          <w:rFonts w:ascii="Times New Roman" w:hAnsi="Times New Roman" w:cs="Times New Roman"/>
          <w:i/>
          <w:iCs/>
        </w:rPr>
        <w:t>Id.</w:t>
      </w:r>
      <w:r w:rsidRPr="00460A53">
        <w:rPr>
          <w:rFonts w:ascii="Times New Roman" w:hAnsi="Times New Roman" w:cs="Times New Roman"/>
        </w:rPr>
        <w:t xml:space="preserve"> at 17. (Emphasis added).</w:t>
      </w:r>
    </w:p>
  </w:footnote>
  <w:footnote w:id="36">
    <w:p w:rsidR="00433C05" w:rsidRPr="00460A53" w:rsidP="00460A53" w14:paraId="06B17CB6" w14:textId="77777777">
      <w:pPr>
        <w:pStyle w:val="FootnoteText"/>
        <w:spacing w:after="120"/>
        <w:rPr>
          <w:rFonts w:ascii="Times New Roman" w:hAnsi="Times New Roman" w:cs="Times New Roman"/>
        </w:rPr>
      </w:pPr>
      <w:r w:rsidRPr="00460A53">
        <w:rPr>
          <w:rStyle w:val="FootnoteReference"/>
          <w:rFonts w:ascii="Times New Roman" w:hAnsi="Times New Roman" w:cs="Times New Roman"/>
        </w:rPr>
        <w:footnoteRef/>
      </w:r>
      <w:r w:rsidRPr="00460A53">
        <w:rPr>
          <w:rFonts w:ascii="Times New Roman" w:hAnsi="Times New Roman" w:cs="Times New Roman"/>
        </w:rPr>
        <w:t xml:space="preserve"> </w:t>
      </w:r>
      <w:r w:rsidRPr="00460A53">
        <w:rPr>
          <w:rFonts w:ascii="Times New Roman" w:hAnsi="Times New Roman" w:cs="Times New Roman"/>
          <w:i/>
          <w:iCs/>
        </w:rPr>
        <w:t>Id.</w:t>
      </w:r>
      <w:r w:rsidRPr="00460A53">
        <w:rPr>
          <w:rFonts w:ascii="Times New Roman" w:hAnsi="Times New Roman" w:cs="Times New Roman"/>
        </w:rPr>
        <w:t xml:space="preserve"> at 19.  </w:t>
      </w:r>
    </w:p>
  </w:footnote>
  <w:footnote w:id="37">
    <w:p w:rsidR="00433C05" w:rsidRPr="00460A53" w:rsidP="00460A53" w14:paraId="620A1600" w14:textId="77777777">
      <w:pPr>
        <w:pStyle w:val="FootnoteText"/>
        <w:spacing w:after="120"/>
        <w:rPr>
          <w:rFonts w:ascii="Times New Roman" w:hAnsi="Times New Roman" w:cs="Times New Roman"/>
        </w:rPr>
      </w:pPr>
      <w:r w:rsidRPr="00460A53">
        <w:rPr>
          <w:rStyle w:val="FootnoteReference"/>
          <w:rFonts w:ascii="Times New Roman" w:hAnsi="Times New Roman" w:cs="Times New Roman"/>
        </w:rPr>
        <w:footnoteRef/>
      </w:r>
      <w:r w:rsidRPr="00460A53">
        <w:rPr>
          <w:rFonts w:ascii="Times New Roman" w:hAnsi="Times New Roman" w:cs="Times New Roman"/>
        </w:rPr>
        <w:t xml:space="preserve"> </w:t>
      </w:r>
      <w:r w:rsidRPr="00460A53">
        <w:rPr>
          <w:rFonts w:ascii="Times New Roman" w:hAnsi="Times New Roman" w:cs="Times New Roman"/>
          <w:i/>
        </w:rPr>
        <w:t>In the Matter of the Review of the Distribution Modernization Rider of Ohio Edison Company, the Cleveland Electric Illuminating Company and the Toledo Edison Company</w:t>
      </w:r>
      <w:r w:rsidRPr="00460A53">
        <w:rPr>
          <w:rFonts w:ascii="Times New Roman" w:hAnsi="Times New Roman" w:cs="Times New Roman"/>
        </w:rPr>
        <w:t xml:space="preserve">, Case No. 17-2474-EL-RDR, Entry at ¶23 (Dec. 30, 2020).  </w:t>
      </w:r>
    </w:p>
  </w:footnote>
  <w:footnote w:id="38">
    <w:p w:rsidR="00643E14" w:rsidRPr="004D534D" w:rsidP="007A35EE" w14:paraId="4059DFA5" w14:textId="176AA460">
      <w:pPr>
        <w:pStyle w:val="FootnoteText"/>
        <w:spacing w:after="120"/>
        <w:rPr>
          <w:rFonts w:ascii="Times New Roman" w:hAnsi="Times New Roman" w:cs="Times New Roman"/>
        </w:rPr>
      </w:pPr>
      <w:r w:rsidRPr="004D534D">
        <w:rPr>
          <w:rStyle w:val="FootnoteReference"/>
          <w:rFonts w:ascii="Times New Roman" w:hAnsi="Times New Roman" w:cs="Times New Roman"/>
        </w:rPr>
        <w:footnoteRef/>
      </w:r>
      <w:r w:rsidRPr="004D534D">
        <w:rPr>
          <w:rFonts w:ascii="Times New Roman" w:hAnsi="Times New Roman" w:cs="Times New Roman"/>
        </w:rPr>
        <w:t xml:space="preserve"> </w:t>
      </w:r>
      <w:r w:rsidRPr="004D534D" w:rsidR="004D534D">
        <w:rPr>
          <w:rFonts w:ascii="Times New Roman" w:hAnsi="Times New Roman" w:cs="Times New Roman"/>
          <w:i/>
          <w:iCs/>
        </w:rPr>
        <w:t>Id</w:t>
      </w:r>
      <w:r w:rsidRPr="004D534D" w:rsidR="004D534D">
        <w:rPr>
          <w:rFonts w:ascii="Times New Roman" w:hAnsi="Times New Roman" w:cs="Times New Roman"/>
        </w:rPr>
        <w:t xml:space="preserve">., Entry (Feb. 26, 2020).  </w:t>
      </w:r>
    </w:p>
  </w:footnote>
  <w:footnote w:id="39">
    <w:p w:rsidR="00433C05" w:rsidRPr="00FF3412" w:rsidP="007A35EE" w14:paraId="37FAED92" w14:textId="17AEC422">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FirstEnergy Utilities</w:t>
      </w:r>
      <w:r w:rsidR="001761EE">
        <w:rPr>
          <w:rFonts w:ascii="Times New Roman" w:hAnsi="Times New Roman" w:cs="Times New Roman"/>
        </w:rPr>
        <w:t>’</w:t>
      </w:r>
      <w:r w:rsidRPr="00FF3412">
        <w:rPr>
          <w:rFonts w:ascii="Times New Roman" w:hAnsi="Times New Roman" w:cs="Times New Roman"/>
        </w:rPr>
        <w:t xml:space="preserve"> Memorandum Contra at </w:t>
      </w:r>
      <w:r>
        <w:rPr>
          <w:rFonts w:ascii="Times New Roman" w:hAnsi="Times New Roman" w:cs="Times New Roman"/>
        </w:rPr>
        <w:t>8</w:t>
      </w:r>
      <w:r w:rsidRPr="00FF3412">
        <w:rPr>
          <w:rFonts w:ascii="Times New Roman" w:hAnsi="Times New Roman" w:cs="Times New Roman"/>
        </w:rPr>
        <w:t xml:space="preserve">. </w:t>
      </w:r>
    </w:p>
  </w:footnote>
  <w:footnote w:id="40">
    <w:p w:rsidR="007C3F78" w:rsidRPr="007C3F78" w:rsidP="007A35EE" w14:paraId="0DDEAA82" w14:textId="2DF8415D">
      <w:pPr>
        <w:pStyle w:val="FootnoteText"/>
        <w:spacing w:after="120"/>
        <w:rPr>
          <w:rFonts w:ascii="Times New Roman" w:hAnsi="Times New Roman" w:cs="Times New Roman"/>
        </w:rPr>
      </w:pPr>
      <w:r>
        <w:rPr>
          <w:rStyle w:val="FootnoteReference"/>
        </w:rPr>
        <w:footnoteRef/>
      </w:r>
      <w:r>
        <w:t xml:space="preserve"> </w:t>
      </w:r>
      <w:r w:rsidRPr="007C3F78">
        <w:rPr>
          <w:rFonts w:ascii="Times New Roman" w:hAnsi="Times New Roman" w:cs="Times New Roman"/>
        </w:rPr>
        <w:t xml:space="preserve">O.A.C. 4901-1-16(A). </w:t>
      </w:r>
    </w:p>
  </w:footnote>
  <w:footnote w:id="41">
    <w:p w:rsidR="00433C05" w:rsidRPr="00FF3412" w:rsidP="007A35EE" w14:paraId="3078BF46" w14:textId="77777777">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w:t>
      </w:r>
      <w:r>
        <w:rPr>
          <w:rFonts w:ascii="Times New Roman" w:hAnsi="Times New Roman" w:cs="Times New Roman"/>
        </w:rPr>
        <w:t xml:space="preserve">O.A.C. </w:t>
      </w:r>
      <w:r w:rsidRPr="00FF3412">
        <w:rPr>
          <w:rFonts w:ascii="Times New Roman" w:hAnsi="Times New Roman" w:cs="Times New Roman"/>
        </w:rPr>
        <w:t xml:space="preserve">4901-1-19(A). </w:t>
      </w:r>
    </w:p>
  </w:footnote>
  <w:footnote w:id="42">
    <w:p w:rsidR="00433C05" w:rsidRPr="00FF3412" w:rsidP="007A35EE" w14:paraId="234EB3FA" w14:textId="21B2117B">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w:t>
      </w:r>
      <w:r w:rsidRPr="00FF3412">
        <w:rPr>
          <w:rFonts w:ascii="Times New Roman" w:hAnsi="Times New Roman" w:cs="Times New Roman"/>
          <w:i/>
        </w:rPr>
        <w:t>See</w:t>
      </w:r>
      <w:r w:rsidRPr="00FF3412">
        <w:rPr>
          <w:rFonts w:ascii="Times New Roman" w:hAnsi="Times New Roman" w:cs="Times New Roman"/>
          <w:iCs/>
        </w:rPr>
        <w:t xml:space="preserve"> </w:t>
      </w:r>
      <w:r w:rsidRPr="00FF3412">
        <w:rPr>
          <w:rFonts w:ascii="Times New Roman" w:hAnsi="Times New Roman" w:cs="Times New Roman"/>
        </w:rPr>
        <w:t>O</w:t>
      </w:r>
      <w:r>
        <w:rPr>
          <w:rFonts w:ascii="Times New Roman" w:hAnsi="Times New Roman" w:cs="Times New Roman"/>
        </w:rPr>
        <w:t xml:space="preserve">.A.C. </w:t>
      </w:r>
      <w:r w:rsidRPr="00FF3412">
        <w:rPr>
          <w:rFonts w:ascii="Times New Roman" w:hAnsi="Times New Roman" w:cs="Times New Roman"/>
        </w:rPr>
        <w:t xml:space="preserve">4901-1-24(A)(1). </w:t>
      </w:r>
    </w:p>
  </w:footnote>
  <w:footnote w:id="43">
    <w:p w:rsidR="00433C05" w:rsidRPr="00FF3412" w:rsidP="00433C05" w14:paraId="1D5B459B" w14:textId="77777777">
      <w:pPr>
        <w:pStyle w:val="FootnoteText"/>
        <w:spacing w:after="120"/>
        <w:rPr>
          <w:rFonts w:ascii="Times New Roman" w:hAnsi="Times New Roman" w:cs="Times New Roman"/>
        </w:rPr>
      </w:pPr>
      <w:r w:rsidRPr="00FF3412">
        <w:rPr>
          <w:rStyle w:val="FootnoteReference"/>
          <w:rFonts w:ascii="Times New Roman" w:hAnsi="Times New Roman" w:cs="Times New Roman"/>
        </w:rPr>
        <w:footnoteRef/>
      </w:r>
      <w:r w:rsidRPr="00FF3412">
        <w:rPr>
          <w:rFonts w:ascii="Times New Roman" w:hAnsi="Times New Roman" w:cs="Times New Roman"/>
        </w:rPr>
        <w:t xml:space="preserve"> </w:t>
      </w:r>
      <w:r w:rsidRPr="00FF3412">
        <w:rPr>
          <w:rFonts w:ascii="Times New Roman" w:hAnsi="Times New Roman" w:cs="Times New Roman"/>
          <w:i/>
        </w:rPr>
        <w:t>Id</w:t>
      </w:r>
      <w:r w:rsidRPr="00FF3412">
        <w:rPr>
          <w:rFonts w:ascii="Times New Roman" w:hAnsi="Times New Roman" w:cs="Times New Roman"/>
          <w:iCs/>
        </w:rPr>
        <w:t>.</w:t>
      </w:r>
      <w:r w:rsidRPr="00FF341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C9A" w14:paraId="5B0474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CB0" w14:paraId="27A393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457" w14:paraId="001B49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0FF261B2"/>
    <w:multiLevelType w:val="hybridMultilevel"/>
    <w:tmpl w:val="A4D04D8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458183A"/>
    <w:multiLevelType w:val="hybridMultilevel"/>
    <w:tmpl w:val="B186F830"/>
    <w:lvl w:ilvl="0">
      <w:start w:val="3"/>
      <w:numFmt w:val="upperRoman"/>
      <w:pStyle w:val="Heading1"/>
      <w:lvlText w:val="%1."/>
      <w:lvlJc w:val="left"/>
      <w:pPr>
        <w:ind w:left="2790" w:hanging="720"/>
      </w:pPr>
      <w:rPr>
        <w:rFonts w:hint="default"/>
      </w:rPr>
    </w:lvl>
    <w:lvl w:ilvl="1" w:tentative="1">
      <w:start w:val="1"/>
      <w:numFmt w:val="lowerLetter"/>
      <w:lvlText w:val="%2."/>
      <w:lvlJc w:val="left"/>
      <w:pPr>
        <w:ind w:left="3150" w:hanging="360"/>
      </w:pPr>
    </w:lvl>
    <w:lvl w:ilvl="2" w:tentative="1">
      <w:start w:val="1"/>
      <w:numFmt w:val="lowerRoman"/>
      <w:lvlText w:val="%3."/>
      <w:lvlJc w:val="right"/>
      <w:pPr>
        <w:ind w:left="3870" w:hanging="180"/>
      </w:pPr>
    </w:lvl>
    <w:lvl w:ilvl="3" w:tentative="1">
      <w:start w:val="1"/>
      <w:numFmt w:val="decimal"/>
      <w:lvlText w:val="%4."/>
      <w:lvlJc w:val="left"/>
      <w:pPr>
        <w:ind w:left="4590" w:hanging="360"/>
      </w:pPr>
    </w:lvl>
    <w:lvl w:ilvl="4" w:tentative="1">
      <w:start w:val="1"/>
      <w:numFmt w:val="lowerLetter"/>
      <w:lvlText w:val="%5."/>
      <w:lvlJc w:val="left"/>
      <w:pPr>
        <w:ind w:left="5310" w:hanging="360"/>
      </w:pPr>
    </w:lvl>
    <w:lvl w:ilvl="5" w:tentative="1">
      <w:start w:val="1"/>
      <w:numFmt w:val="lowerRoman"/>
      <w:lvlText w:val="%6."/>
      <w:lvlJc w:val="right"/>
      <w:pPr>
        <w:ind w:left="6030" w:hanging="180"/>
      </w:pPr>
    </w:lvl>
    <w:lvl w:ilvl="6" w:tentative="1">
      <w:start w:val="1"/>
      <w:numFmt w:val="decimal"/>
      <w:lvlText w:val="%7."/>
      <w:lvlJc w:val="left"/>
      <w:pPr>
        <w:ind w:left="6750" w:hanging="360"/>
      </w:pPr>
    </w:lvl>
    <w:lvl w:ilvl="7" w:tentative="1">
      <w:start w:val="1"/>
      <w:numFmt w:val="lowerLetter"/>
      <w:lvlText w:val="%8."/>
      <w:lvlJc w:val="left"/>
      <w:pPr>
        <w:ind w:left="7470" w:hanging="360"/>
      </w:pPr>
    </w:lvl>
    <w:lvl w:ilvl="8" w:tentative="1">
      <w:start w:val="1"/>
      <w:numFmt w:val="lowerRoman"/>
      <w:lvlText w:val="%9."/>
      <w:lvlJc w:val="right"/>
      <w:pPr>
        <w:ind w:left="8190" w:hanging="180"/>
      </w:pPr>
    </w:lvl>
  </w:abstractNum>
  <w:abstractNum w:abstractNumId="8">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C213155"/>
    <w:multiLevelType w:val="hybridMultilevel"/>
    <w:tmpl w:val="C4DA981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EC4471E"/>
    <w:multiLevelType w:val="hybridMultilevel"/>
    <w:tmpl w:val="0EECB84A"/>
    <w:lvl w:ilvl="0">
      <w:start w:val="1"/>
      <w:numFmt w:val="upperRoman"/>
      <w:lvlText w:val="%1."/>
      <w:lvlJc w:val="left"/>
      <w:pPr>
        <w:ind w:left="2430" w:hanging="360"/>
      </w:pPr>
      <w:rPr>
        <w:rFonts w:hint="default"/>
      </w:rPr>
    </w:lvl>
    <w:lvl w:ilvl="1">
      <w:start w:val="1"/>
      <w:numFmt w:val="upp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07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42364BE"/>
    <w:multiLevelType w:val="hybridMultilevel"/>
    <w:tmpl w:val="0A46867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34E3621"/>
    <w:multiLevelType w:val="hybridMultilevel"/>
    <w:tmpl w:val="60925B86"/>
    <w:lvl w:ilvl="0">
      <w:start w:val="1"/>
      <w:numFmt w:val="upperLetter"/>
      <w:pStyle w:val="Heading2"/>
      <w:lvlText w:val="%1."/>
      <w:lvlJc w:val="left"/>
      <w:pPr>
        <w:ind w:left="1080" w:hanging="36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EB06842"/>
    <w:multiLevelType w:val="hybridMultilevel"/>
    <w:tmpl w:val="15C0DE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12"/>
  </w:num>
  <w:num w:numId="7">
    <w:abstractNumId w:val="4"/>
  </w:num>
  <w:num w:numId="8">
    <w:abstractNumId w:val="10"/>
  </w:num>
  <w:num w:numId="9">
    <w:abstractNumId w:val="8"/>
  </w:num>
  <w:num w:numId="10">
    <w:abstractNumId w:val="14"/>
  </w:num>
  <w:num w:numId="11">
    <w:abstractNumId w:val="7"/>
  </w:num>
  <w:num w:numId="12">
    <w:abstractNumId w:val="9"/>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8A"/>
    <w:rsid w:val="0000210C"/>
    <w:rsid w:val="00003B4B"/>
    <w:rsid w:val="000044B6"/>
    <w:rsid w:val="00006155"/>
    <w:rsid w:val="0000646A"/>
    <w:rsid w:val="00015299"/>
    <w:rsid w:val="00021FA7"/>
    <w:rsid w:val="00022852"/>
    <w:rsid w:val="00034C9D"/>
    <w:rsid w:val="0003578A"/>
    <w:rsid w:val="0005003B"/>
    <w:rsid w:val="0005335F"/>
    <w:rsid w:val="00055A2D"/>
    <w:rsid w:val="0006143C"/>
    <w:rsid w:val="00066342"/>
    <w:rsid w:val="00066D29"/>
    <w:rsid w:val="00067DB7"/>
    <w:rsid w:val="00071BDB"/>
    <w:rsid w:val="0007419E"/>
    <w:rsid w:val="0008205A"/>
    <w:rsid w:val="00085E5E"/>
    <w:rsid w:val="00087897"/>
    <w:rsid w:val="00093FF7"/>
    <w:rsid w:val="00096965"/>
    <w:rsid w:val="00097429"/>
    <w:rsid w:val="000A0033"/>
    <w:rsid w:val="000A09AA"/>
    <w:rsid w:val="000A44C6"/>
    <w:rsid w:val="000A76F7"/>
    <w:rsid w:val="000A78C8"/>
    <w:rsid w:val="000A79A6"/>
    <w:rsid w:val="000B15CF"/>
    <w:rsid w:val="000B4D40"/>
    <w:rsid w:val="000B7D66"/>
    <w:rsid w:val="000D0410"/>
    <w:rsid w:val="000E08D7"/>
    <w:rsid w:val="000E1A4F"/>
    <w:rsid w:val="000E72CA"/>
    <w:rsid w:val="000F21BE"/>
    <w:rsid w:val="000F2F85"/>
    <w:rsid w:val="000F73ED"/>
    <w:rsid w:val="00104975"/>
    <w:rsid w:val="001072B1"/>
    <w:rsid w:val="00123BE9"/>
    <w:rsid w:val="0012723D"/>
    <w:rsid w:val="0013375E"/>
    <w:rsid w:val="00134425"/>
    <w:rsid w:val="00136C5B"/>
    <w:rsid w:val="0014067F"/>
    <w:rsid w:val="001539E3"/>
    <w:rsid w:val="00155182"/>
    <w:rsid w:val="001619BF"/>
    <w:rsid w:val="00162CC9"/>
    <w:rsid w:val="0016768D"/>
    <w:rsid w:val="0017032C"/>
    <w:rsid w:val="001761EE"/>
    <w:rsid w:val="001770C6"/>
    <w:rsid w:val="00184F31"/>
    <w:rsid w:val="00185F1A"/>
    <w:rsid w:val="00196928"/>
    <w:rsid w:val="00197107"/>
    <w:rsid w:val="00197820"/>
    <w:rsid w:val="001A001C"/>
    <w:rsid w:val="001A5FBA"/>
    <w:rsid w:val="001B1D66"/>
    <w:rsid w:val="001B3D8E"/>
    <w:rsid w:val="001B4746"/>
    <w:rsid w:val="001B704E"/>
    <w:rsid w:val="001C4058"/>
    <w:rsid w:val="001C6983"/>
    <w:rsid w:val="001C6CC2"/>
    <w:rsid w:val="001D1EB0"/>
    <w:rsid w:val="001D2E37"/>
    <w:rsid w:val="001E4D10"/>
    <w:rsid w:val="001E56DE"/>
    <w:rsid w:val="001F7235"/>
    <w:rsid w:val="002008A8"/>
    <w:rsid w:val="00207D02"/>
    <w:rsid w:val="00211740"/>
    <w:rsid w:val="0021536E"/>
    <w:rsid w:val="002234BF"/>
    <w:rsid w:val="00233AA6"/>
    <w:rsid w:val="00233D62"/>
    <w:rsid w:val="0023632B"/>
    <w:rsid w:val="002372EA"/>
    <w:rsid w:val="00245A6C"/>
    <w:rsid w:val="00245BA0"/>
    <w:rsid w:val="00251A7B"/>
    <w:rsid w:val="002635D8"/>
    <w:rsid w:val="00263A68"/>
    <w:rsid w:val="00265306"/>
    <w:rsid w:val="00265EBA"/>
    <w:rsid w:val="00267DDE"/>
    <w:rsid w:val="002752C3"/>
    <w:rsid w:val="002810D2"/>
    <w:rsid w:val="00282981"/>
    <w:rsid w:val="002911D7"/>
    <w:rsid w:val="002952A1"/>
    <w:rsid w:val="002A467F"/>
    <w:rsid w:val="002A7BB3"/>
    <w:rsid w:val="002C30E1"/>
    <w:rsid w:val="002C3E6E"/>
    <w:rsid w:val="002C5821"/>
    <w:rsid w:val="002C66EC"/>
    <w:rsid w:val="002C7CB1"/>
    <w:rsid w:val="002D0764"/>
    <w:rsid w:val="002D13D1"/>
    <w:rsid w:val="002D48B1"/>
    <w:rsid w:val="002E294B"/>
    <w:rsid w:val="002F495F"/>
    <w:rsid w:val="002F5CF1"/>
    <w:rsid w:val="002F5F66"/>
    <w:rsid w:val="00303862"/>
    <w:rsid w:val="00320416"/>
    <w:rsid w:val="003306E6"/>
    <w:rsid w:val="003343CF"/>
    <w:rsid w:val="00334EE1"/>
    <w:rsid w:val="0033728C"/>
    <w:rsid w:val="00337836"/>
    <w:rsid w:val="003407D7"/>
    <w:rsid w:val="00342642"/>
    <w:rsid w:val="0034352E"/>
    <w:rsid w:val="00353431"/>
    <w:rsid w:val="00363BF3"/>
    <w:rsid w:val="00366881"/>
    <w:rsid w:val="0037381A"/>
    <w:rsid w:val="00373927"/>
    <w:rsid w:val="003776F2"/>
    <w:rsid w:val="00387C09"/>
    <w:rsid w:val="003953A1"/>
    <w:rsid w:val="00396CA9"/>
    <w:rsid w:val="003A1076"/>
    <w:rsid w:val="003A7580"/>
    <w:rsid w:val="003A7908"/>
    <w:rsid w:val="003A7C2B"/>
    <w:rsid w:val="003C3378"/>
    <w:rsid w:val="003D2C29"/>
    <w:rsid w:val="003D69E0"/>
    <w:rsid w:val="003D793D"/>
    <w:rsid w:val="003E7FCF"/>
    <w:rsid w:val="003F3A9D"/>
    <w:rsid w:val="003F6BA3"/>
    <w:rsid w:val="00401532"/>
    <w:rsid w:val="004024EB"/>
    <w:rsid w:val="00406192"/>
    <w:rsid w:val="00413711"/>
    <w:rsid w:val="00420705"/>
    <w:rsid w:val="004215EB"/>
    <w:rsid w:val="004226F5"/>
    <w:rsid w:val="00423176"/>
    <w:rsid w:val="00425F88"/>
    <w:rsid w:val="00427240"/>
    <w:rsid w:val="00433511"/>
    <w:rsid w:val="00433C05"/>
    <w:rsid w:val="004421DD"/>
    <w:rsid w:val="004442DA"/>
    <w:rsid w:val="00451714"/>
    <w:rsid w:val="004558B7"/>
    <w:rsid w:val="00456342"/>
    <w:rsid w:val="00460A53"/>
    <w:rsid w:val="00463262"/>
    <w:rsid w:val="0047289F"/>
    <w:rsid w:val="00472976"/>
    <w:rsid w:val="004755CE"/>
    <w:rsid w:val="004767C4"/>
    <w:rsid w:val="00482968"/>
    <w:rsid w:val="0049219B"/>
    <w:rsid w:val="00494F58"/>
    <w:rsid w:val="00496CB5"/>
    <w:rsid w:val="00497A78"/>
    <w:rsid w:val="004A59E9"/>
    <w:rsid w:val="004A5A97"/>
    <w:rsid w:val="004A6170"/>
    <w:rsid w:val="004B1934"/>
    <w:rsid w:val="004B288D"/>
    <w:rsid w:val="004B7047"/>
    <w:rsid w:val="004B7B1C"/>
    <w:rsid w:val="004C0C6C"/>
    <w:rsid w:val="004C738C"/>
    <w:rsid w:val="004C7C3A"/>
    <w:rsid w:val="004D23A4"/>
    <w:rsid w:val="004D534D"/>
    <w:rsid w:val="004E0143"/>
    <w:rsid w:val="004E249D"/>
    <w:rsid w:val="004E4CA6"/>
    <w:rsid w:val="004E6015"/>
    <w:rsid w:val="004F3727"/>
    <w:rsid w:val="00502FC7"/>
    <w:rsid w:val="00511626"/>
    <w:rsid w:val="00514C00"/>
    <w:rsid w:val="0052413E"/>
    <w:rsid w:val="00525CB3"/>
    <w:rsid w:val="00530517"/>
    <w:rsid w:val="00533C0D"/>
    <w:rsid w:val="00533FCE"/>
    <w:rsid w:val="00534195"/>
    <w:rsid w:val="00534BF3"/>
    <w:rsid w:val="00537003"/>
    <w:rsid w:val="0054155F"/>
    <w:rsid w:val="00553AA1"/>
    <w:rsid w:val="00553BBF"/>
    <w:rsid w:val="00563999"/>
    <w:rsid w:val="0056438D"/>
    <w:rsid w:val="005710E2"/>
    <w:rsid w:val="00574BC2"/>
    <w:rsid w:val="00581A2C"/>
    <w:rsid w:val="0058323E"/>
    <w:rsid w:val="005978F5"/>
    <w:rsid w:val="00597CE6"/>
    <w:rsid w:val="005A0FF3"/>
    <w:rsid w:val="005A186B"/>
    <w:rsid w:val="005B0769"/>
    <w:rsid w:val="005C1350"/>
    <w:rsid w:val="005C2175"/>
    <w:rsid w:val="005C7EDE"/>
    <w:rsid w:val="005E1170"/>
    <w:rsid w:val="005E205C"/>
    <w:rsid w:val="005E4025"/>
    <w:rsid w:val="005F001C"/>
    <w:rsid w:val="005F065C"/>
    <w:rsid w:val="005F089C"/>
    <w:rsid w:val="005F163D"/>
    <w:rsid w:val="005F563D"/>
    <w:rsid w:val="005F56D2"/>
    <w:rsid w:val="005F7F7A"/>
    <w:rsid w:val="0060622B"/>
    <w:rsid w:val="0060627A"/>
    <w:rsid w:val="00610778"/>
    <w:rsid w:val="00612E28"/>
    <w:rsid w:val="00615EEF"/>
    <w:rsid w:val="00617286"/>
    <w:rsid w:val="006201A9"/>
    <w:rsid w:val="00623EBD"/>
    <w:rsid w:val="00633AA4"/>
    <w:rsid w:val="00633EC8"/>
    <w:rsid w:val="00643E14"/>
    <w:rsid w:val="00645777"/>
    <w:rsid w:val="00654A68"/>
    <w:rsid w:val="00655391"/>
    <w:rsid w:val="00655A2C"/>
    <w:rsid w:val="00657B6C"/>
    <w:rsid w:val="0066131F"/>
    <w:rsid w:val="00662553"/>
    <w:rsid w:val="00662CAB"/>
    <w:rsid w:val="0066429B"/>
    <w:rsid w:val="00677BBC"/>
    <w:rsid w:val="0068102A"/>
    <w:rsid w:val="00681F50"/>
    <w:rsid w:val="00683FF5"/>
    <w:rsid w:val="006916BE"/>
    <w:rsid w:val="00696421"/>
    <w:rsid w:val="00696E87"/>
    <w:rsid w:val="006B3B65"/>
    <w:rsid w:val="006B3DE7"/>
    <w:rsid w:val="006B551F"/>
    <w:rsid w:val="006C3978"/>
    <w:rsid w:val="006C3C57"/>
    <w:rsid w:val="006C7BC6"/>
    <w:rsid w:val="006D7726"/>
    <w:rsid w:val="006E235F"/>
    <w:rsid w:val="007039C5"/>
    <w:rsid w:val="007105CA"/>
    <w:rsid w:val="007109BD"/>
    <w:rsid w:val="007200FA"/>
    <w:rsid w:val="007323DE"/>
    <w:rsid w:val="00745086"/>
    <w:rsid w:val="00746350"/>
    <w:rsid w:val="0075262B"/>
    <w:rsid w:val="007774CF"/>
    <w:rsid w:val="0078556A"/>
    <w:rsid w:val="00791207"/>
    <w:rsid w:val="007914D1"/>
    <w:rsid w:val="007971AE"/>
    <w:rsid w:val="00797C21"/>
    <w:rsid w:val="007A35EE"/>
    <w:rsid w:val="007A68E4"/>
    <w:rsid w:val="007A6EEF"/>
    <w:rsid w:val="007B0B01"/>
    <w:rsid w:val="007B14B2"/>
    <w:rsid w:val="007B3A81"/>
    <w:rsid w:val="007C0516"/>
    <w:rsid w:val="007C2F91"/>
    <w:rsid w:val="007C3F78"/>
    <w:rsid w:val="007C4682"/>
    <w:rsid w:val="007C486B"/>
    <w:rsid w:val="007D533C"/>
    <w:rsid w:val="007D623C"/>
    <w:rsid w:val="007E79A4"/>
    <w:rsid w:val="007F0112"/>
    <w:rsid w:val="007F0B31"/>
    <w:rsid w:val="007F15FB"/>
    <w:rsid w:val="007F6DAC"/>
    <w:rsid w:val="00800769"/>
    <w:rsid w:val="00806481"/>
    <w:rsid w:val="0080726F"/>
    <w:rsid w:val="0081387C"/>
    <w:rsid w:val="0082726A"/>
    <w:rsid w:val="00827624"/>
    <w:rsid w:val="00832469"/>
    <w:rsid w:val="00836263"/>
    <w:rsid w:val="008418FD"/>
    <w:rsid w:val="00844328"/>
    <w:rsid w:val="00844EB5"/>
    <w:rsid w:val="00847553"/>
    <w:rsid w:val="008501DF"/>
    <w:rsid w:val="00852319"/>
    <w:rsid w:val="00852CEA"/>
    <w:rsid w:val="00856FB1"/>
    <w:rsid w:val="008634EA"/>
    <w:rsid w:val="00864516"/>
    <w:rsid w:val="00866CBD"/>
    <w:rsid w:val="008810E2"/>
    <w:rsid w:val="00881710"/>
    <w:rsid w:val="00882508"/>
    <w:rsid w:val="008A6D7A"/>
    <w:rsid w:val="008A7E64"/>
    <w:rsid w:val="008B5556"/>
    <w:rsid w:val="008B616A"/>
    <w:rsid w:val="008B6BA4"/>
    <w:rsid w:val="008D43B7"/>
    <w:rsid w:val="008E326E"/>
    <w:rsid w:val="008E7EBF"/>
    <w:rsid w:val="009111FB"/>
    <w:rsid w:val="00912185"/>
    <w:rsid w:val="00915595"/>
    <w:rsid w:val="00916D22"/>
    <w:rsid w:val="00920D5D"/>
    <w:rsid w:val="009222A2"/>
    <w:rsid w:val="00922D61"/>
    <w:rsid w:val="0092727A"/>
    <w:rsid w:val="00930604"/>
    <w:rsid w:val="00930672"/>
    <w:rsid w:val="00932AF0"/>
    <w:rsid w:val="00936A5F"/>
    <w:rsid w:val="009454AD"/>
    <w:rsid w:val="0095476C"/>
    <w:rsid w:val="00954B6D"/>
    <w:rsid w:val="00955F72"/>
    <w:rsid w:val="00974972"/>
    <w:rsid w:val="00992E12"/>
    <w:rsid w:val="00996E61"/>
    <w:rsid w:val="00997E56"/>
    <w:rsid w:val="009A2DA8"/>
    <w:rsid w:val="009A374D"/>
    <w:rsid w:val="009A7B90"/>
    <w:rsid w:val="009B6227"/>
    <w:rsid w:val="009B7247"/>
    <w:rsid w:val="009C0062"/>
    <w:rsid w:val="009C1D7D"/>
    <w:rsid w:val="009C6912"/>
    <w:rsid w:val="009D00D0"/>
    <w:rsid w:val="009D45C2"/>
    <w:rsid w:val="009D50A4"/>
    <w:rsid w:val="009E2810"/>
    <w:rsid w:val="009E3080"/>
    <w:rsid w:val="009E5783"/>
    <w:rsid w:val="009F097B"/>
    <w:rsid w:val="00A02067"/>
    <w:rsid w:val="00A16E65"/>
    <w:rsid w:val="00A31A8F"/>
    <w:rsid w:val="00A36E47"/>
    <w:rsid w:val="00A37DFD"/>
    <w:rsid w:val="00A460F5"/>
    <w:rsid w:val="00A559F9"/>
    <w:rsid w:val="00A55FF9"/>
    <w:rsid w:val="00A62A6C"/>
    <w:rsid w:val="00A7046B"/>
    <w:rsid w:val="00A71CD8"/>
    <w:rsid w:val="00A72921"/>
    <w:rsid w:val="00A73FFF"/>
    <w:rsid w:val="00A75034"/>
    <w:rsid w:val="00A835ED"/>
    <w:rsid w:val="00A83FAB"/>
    <w:rsid w:val="00A852E1"/>
    <w:rsid w:val="00A87132"/>
    <w:rsid w:val="00A903A3"/>
    <w:rsid w:val="00A977E0"/>
    <w:rsid w:val="00AB1752"/>
    <w:rsid w:val="00AB308F"/>
    <w:rsid w:val="00AB465C"/>
    <w:rsid w:val="00AB5FC0"/>
    <w:rsid w:val="00AB64B7"/>
    <w:rsid w:val="00AC4862"/>
    <w:rsid w:val="00AC53E4"/>
    <w:rsid w:val="00AD047C"/>
    <w:rsid w:val="00AD0EE9"/>
    <w:rsid w:val="00AD1706"/>
    <w:rsid w:val="00AD569E"/>
    <w:rsid w:val="00AD5AE5"/>
    <w:rsid w:val="00AE2364"/>
    <w:rsid w:val="00AE47D4"/>
    <w:rsid w:val="00AE7C2D"/>
    <w:rsid w:val="00AF7319"/>
    <w:rsid w:val="00B03359"/>
    <w:rsid w:val="00B0419B"/>
    <w:rsid w:val="00B06B2B"/>
    <w:rsid w:val="00B071A0"/>
    <w:rsid w:val="00B138D0"/>
    <w:rsid w:val="00B16310"/>
    <w:rsid w:val="00B17DAB"/>
    <w:rsid w:val="00B276C9"/>
    <w:rsid w:val="00B27B99"/>
    <w:rsid w:val="00B34F03"/>
    <w:rsid w:val="00B409E2"/>
    <w:rsid w:val="00B43A5E"/>
    <w:rsid w:val="00B509D6"/>
    <w:rsid w:val="00B5654F"/>
    <w:rsid w:val="00B6486E"/>
    <w:rsid w:val="00B71DEB"/>
    <w:rsid w:val="00B745FC"/>
    <w:rsid w:val="00B85BD1"/>
    <w:rsid w:val="00B85BD7"/>
    <w:rsid w:val="00BA1B21"/>
    <w:rsid w:val="00BA1F59"/>
    <w:rsid w:val="00BA4CC3"/>
    <w:rsid w:val="00BA4FB7"/>
    <w:rsid w:val="00BA503F"/>
    <w:rsid w:val="00BA7951"/>
    <w:rsid w:val="00BB260F"/>
    <w:rsid w:val="00BB29AA"/>
    <w:rsid w:val="00BC0C0E"/>
    <w:rsid w:val="00BC7EF1"/>
    <w:rsid w:val="00BE1D60"/>
    <w:rsid w:val="00BF5206"/>
    <w:rsid w:val="00C01F88"/>
    <w:rsid w:val="00C02ABC"/>
    <w:rsid w:val="00C039EF"/>
    <w:rsid w:val="00C03D8E"/>
    <w:rsid w:val="00C057D9"/>
    <w:rsid w:val="00C058D7"/>
    <w:rsid w:val="00C10D5D"/>
    <w:rsid w:val="00C11CB2"/>
    <w:rsid w:val="00C14457"/>
    <w:rsid w:val="00C15DAB"/>
    <w:rsid w:val="00C21F76"/>
    <w:rsid w:val="00C22676"/>
    <w:rsid w:val="00C278DD"/>
    <w:rsid w:val="00C27C8A"/>
    <w:rsid w:val="00C27F64"/>
    <w:rsid w:val="00C30D9E"/>
    <w:rsid w:val="00C3141F"/>
    <w:rsid w:val="00C365D7"/>
    <w:rsid w:val="00C37750"/>
    <w:rsid w:val="00C4448E"/>
    <w:rsid w:val="00C45BAA"/>
    <w:rsid w:val="00C52B15"/>
    <w:rsid w:val="00C6400A"/>
    <w:rsid w:val="00C67F40"/>
    <w:rsid w:val="00C71943"/>
    <w:rsid w:val="00C858C6"/>
    <w:rsid w:val="00C92386"/>
    <w:rsid w:val="00C93687"/>
    <w:rsid w:val="00C9426E"/>
    <w:rsid w:val="00C9435E"/>
    <w:rsid w:val="00C94F47"/>
    <w:rsid w:val="00CA7FDC"/>
    <w:rsid w:val="00CB0D83"/>
    <w:rsid w:val="00CB758C"/>
    <w:rsid w:val="00CC45F2"/>
    <w:rsid w:val="00CC62DA"/>
    <w:rsid w:val="00CD5990"/>
    <w:rsid w:val="00CD5CAC"/>
    <w:rsid w:val="00CE7079"/>
    <w:rsid w:val="00CF2299"/>
    <w:rsid w:val="00CF28D9"/>
    <w:rsid w:val="00D003FF"/>
    <w:rsid w:val="00D01CB0"/>
    <w:rsid w:val="00D03A5C"/>
    <w:rsid w:val="00D07437"/>
    <w:rsid w:val="00D2222A"/>
    <w:rsid w:val="00D23B20"/>
    <w:rsid w:val="00D249F3"/>
    <w:rsid w:val="00D311AD"/>
    <w:rsid w:val="00D4385B"/>
    <w:rsid w:val="00D46F4E"/>
    <w:rsid w:val="00D516FE"/>
    <w:rsid w:val="00D51CD1"/>
    <w:rsid w:val="00D5263A"/>
    <w:rsid w:val="00D53BC5"/>
    <w:rsid w:val="00D62C01"/>
    <w:rsid w:val="00D637E4"/>
    <w:rsid w:val="00D64631"/>
    <w:rsid w:val="00D6520E"/>
    <w:rsid w:val="00D713A1"/>
    <w:rsid w:val="00D71B55"/>
    <w:rsid w:val="00D7368D"/>
    <w:rsid w:val="00D75FC6"/>
    <w:rsid w:val="00D82702"/>
    <w:rsid w:val="00D91228"/>
    <w:rsid w:val="00D97629"/>
    <w:rsid w:val="00DA21A0"/>
    <w:rsid w:val="00DA30FF"/>
    <w:rsid w:val="00DA6199"/>
    <w:rsid w:val="00DA70FC"/>
    <w:rsid w:val="00DC1402"/>
    <w:rsid w:val="00DC1DB7"/>
    <w:rsid w:val="00DC5FF4"/>
    <w:rsid w:val="00DE12BF"/>
    <w:rsid w:val="00DE1DED"/>
    <w:rsid w:val="00DE697B"/>
    <w:rsid w:val="00DF0473"/>
    <w:rsid w:val="00DF36D5"/>
    <w:rsid w:val="00DF7465"/>
    <w:rsid w:val="00E01939"/>
    <w:rsid w:val="00E14D82"/>
    <w:rsid w:val="00E32A33"/>
    <w:rsid w:val="00E32CFB"/>
    <w:rsid w:val="00E354F2"/>
    <w:rsid w:val="00E45ABC"/>
    <w:rsid w:val="00E45AD7"/>
    <w:rsid w:val="00E507D1"/>
    <w:rsid w:val="00E5585D"/>
    <w:rsid w:val="00E57199"/>
    <w:rsid w:val="00E64032"/>
    <w:rsid w:val="00E70EFB"/>
    <w:rsid w:val="00E74548"/>
    <w:rsid w:val="00E7668C"/>
    <w:rsid w:val="00E77E4C"/>
    <w:rsid w:val="00E77E8A"/>
    <w:rsid w:val="00E804D5"/>
    <w:rsid w:val="00E80A7B"/>
    <w:rsid w:val="00E8469A"/>
    <w:rsid w:val="00E91092"/>
    <w:rsid w:val="00EA548C"/>
    <w:rsid w:val="00EB29A8"/>
    <w:rsid w:val="00EB6FFD"/>
    <w:rsid w:val="00EC1FB5"/>
    <w:rsid w:val="00ED2167"/>
    <w:rsid w:val="00ED5D90"/>
    <w:rsid w:val="00ED674F"/>
    <w:rsid w:val="00EE023B"/>
    <w:rsid w:val="00EE0D85"/>
    <w:rsid w:val="00EE2BAE"/>
    <w:rsid w:val="00EE786C"/>
    <w:rsid w:val="00EF3A89"/>
    <w:rsid w:val="00EF42AD"/>
    <w:rsid w:val="00EF7417"/>
    <w:rsid w:val="00F04A6F"/>
    <w:rsid w:val="00F20DF5"/>
    <w:rsid w:val="00F21E87"/>
    <w:rsid w:val="00F31560"/>
    <w:rsid w:val="00F3275F"/>
    <w:rsid w:val="00F33A4E"/>
    <w:rsid w:val="00F357F1"/>
    <w:rsid w:val="00F35A83"/>
    <w:rsid w:val="00F4296E"/>
    <w:rsid w:val="00F51CC8"/>
    <w:rsid w:val="00F5381E"/>
    <w:rsid w:val="00F742C4"/>
    <w:rsid w:val="00F82540"/>
    <w:rsid w:val="00F94323"/>
    <w:rsid w:val="00FA3395"/>
    <w:rsid w:val="00FA3A78"/>
    <w:rsid w:val="00FA58D2"/>
    <w:rsid w:val="00FB2109"/>
    <w:rsid w:val="00FB2E01"/>
    <w:rsid w:val="00FB3FDB"/>
    <w:rsid w:val="00FB5FBD"/>
    <w:rsid w:val="00FC0A26"/>
    <w:rsid w:val="00FC11C1"/>
    <w:rsid w:val="00FC62B9"/>
    <w:rsid w:val="00FD2B5C"/>
    <w:rsid w:val="00FD34EA"/>
    <w:rsid w:val="00FD46BF"/>
    <w:rsid w:val="00FD4ACC"/>
    <w:rsid w:val="00FD68DC"/>
    <w:rsid w:val="00FE0F79"/>
    <w:rsid w:val="00FE5074"/>
    <w:rsid w:val="00FE7360"/>
    <w:rsid w:val="00FF2C9A"/>
    <w:rsid w:val="00FF3412"/>
    <w:rsid w:val="00FF42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C45BAA"/>
    <w:pPr>
      <w:keepNext/>
      <w:numPr>
        <w:numId w:val="11"/>
      </w:numPr>
      <w:spacing w:after="0" w:line="480" w:lineRule="auto"/>
      <w:ind w:left="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FF2C9A"/>
    <w:pPr>
      <w:numPr>
        <w:numId w:val="15"/>
      </w:numPr>
      <w:spacing w:after="0" w:line="240" w:lineRule="auto"/>
      <w:ind w:left="1440" w:right="720" w:hanging="720"/>
      <w:outlineLvl w:val="1"/>
    </w:pPr>
    <w:rPr>
      <w:rFonts w:ascii="Times New Roman Bold" w:hAnsi="Times New Roman Bold" w:eastAsiaTheme="majorEastAsia" w:cs="Times New Roman"/>
      <w:b/>
      <w:color w:val="000000"/>
      <w:szCs w:val="24"/>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aliases w:val=" Char,Char"/>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1,Footnote Text Char Char Char1 Char1,Footnote Text Char Char Char2,Footnote Text Char Char1 Char1,Footnote Text Char1 Char Char Char1,Footnote Text Char1 Char1 Char1,Footnote Text Char2 Char1"/>
    <w:basedOn w:val="DefaultParagraphFont"/>
    <w:link w:val="FootnoteText"/>
    <w:uiPriority w:val="99"/>
    <w:rsid w:val="00076C62"/>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C45BAA"/>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FF2C9A"/>
    <w:rPr>
      <w:rFonts w:ascii="Times New Roman Bold" w:hAnsi="Times New Roman Bold" w:eastAsiaTheme="majorEastAsia" w:cs="Times New Roman"/>
      <w:b/>
      <w:color w:val="000000"/>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52413E"/>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52413E"/>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paragraph" w:styleId="BodyText">
    <w:name w:val="Body Text"/>
    <w:basedOn w:val="Normal"/>
    <w:link w:val="BodyTextChar"/>
    <w:rsid w:val="004B7047"/>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4B7047"/>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sid w:val="00581A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AB64B7"/>
    <w:pPr>
      <w:spacing w:after="120"/>
      <w:ind w:left="360"/>
    </w:pPr>
    <w:rPr>
      <w:sz w:val="16"/>
      <w:szCs w:val="16"/>
    </w:rPr>
  </w:style>
  <w:style w:type="character" w:customStyle="1" w:styleId="BodyTextIndent3Char">
    <w:name w:val="Body Text Indent 3 Char"/>
    <w:basedOn w:val="DefaultParagraphFont"/>
    <w:link w:val="BodyTextIndent3"/>
    <w:uiPriority w:val="99"/>
    <w:rsid w:val="00AB64B7"/>
    <w:rPr>
      <w:rFonts w:ascii="Times New Roman" w:hAnsi="Times New Roman"/>
      <w:sz w:val="16"/>
      <w:szCs w:val="16"/>
    </w:rPr>
  </w:style>
  <w:style w:type="paragraph" w:styleId="EndnoteText">
    <w:name w:val="endnote text"/>
    <w:basedOn w:val="Normal"/>
    <w:link w:val="EndnoteTextChar"/>
    <w:uiPriority w:val="99"/>
    <w:semiHidden/>
    <w:unhideWhenUsed/>
    <w:rsid w:val="003A1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076"/>
    <w:rPr>
      <w:rFonts w:ascii="Times New Roman" w:hAnsi="Times New Roman"/>
      <w:sz w:val="20"/>
      <w:szCs w:val="20"/>
    </w:rPr>
  </w:style>
  <w:style w:type="character" w:styleId="EndnoteReference">
    <w:name w:val="endnote reference"/>
    <w:basedOn w:val="DefaultParagraphFont"/>
    <w:uiPriority w:val="99"/>
    <w:semiHidden/>
    <w:unhideWhenUsed/>
    <w:rsid w:val="003A1076"/>
    <w:rPr>
      <w:vertAlign w:val="superscript"/>
    </w:rPr>
  </w:style>
  <w:style w:type="character" w:customStyle="1" w:styleId="UnresolvedMention1">
    <w:name w:val="Unresolved Mention1"/>
    <w:basedOn w:val="DefaultParagraphFont"/>
    <w:uiPriority w:val="99"/>
    <w:semiHidden/>
    <w:unhideWhenUsed/>
    <w:rsid w:val="00EA548C"/>
    <w:rPr>
      <w:color w:val="605E5C"/>
      <w:shd w:val="clear" w:color="auto" w:fill="E1DFDD"/>
    </w:rPr>
  </w:style>
  <w:style w:type="paragraph" w:styleId="NormalWeb">
    <w:name w:val="Normal (Web)"/>
    <w:basedOn w:val="Normal"/>
    <w:uiPriority w:val="99"/>
    <w:unhideWhenUsed/>
    <w:rsid w:val="00AB1752"/>
    <w:pPr>
      <w:spacing w:before="100" w:beforeAutospacing="1" w:after="100" w:afterAutospacing="1" w:line="240" w:lineRule="auto"/>
    </w:pPr>
    <w:rPr>
      <w:rFonts w:eastAsia="Times New Roman" w:cs="Times New Roman"/>
      <w:szCs w:val="24"/>
    </w:rPr>
  </w:style>
  <w:style w:type="character" w:customStyle="1" w:styleId="UnresolvedMention2">
    <w:name w:val="Unresolved Mention2"/>
    <w:basedOn w:val="DefaultParagraphFont"/>
    <w:uiPriority w:val="99"/>
    <w:rsid w:val="002C7CB1"/>
    <w:rPr>
      <w:color w:val="605E5C"/>
      <w:shd w:val="clear" w:color="auto" w:fill="E1DFDD"/>
    </w:rPr>
  </w:style>
  <w:style w:type="character" w:styleId="Emphasis">
    <w:name w:val="Emphasis"/>
    <w:basedOn w:val="DefaultParagraphFont"/>
    <w:uiPriority w:val="20"/>
    <w:qFormat/>
    <w:rsid w:val="00681F50"/>
    <w:rPr>
      <w:i/>
      <w:iCs/>
    </w:rPr>
  </w:style>
  <w:style w:type="paragraph" w:styleId="PlainText">
    <w:name w:val="Plain Text"/>
    <w:basedOn w:val="Normal"/>
    <w:link w:val="PlainTextChar"/>
    <w:uiPriority w:val="99"/>
    <w:unhideWhenUsed/>
    <w:rsid w:val="00615EEF"/>
    <w:pPr>
      <w:spacing w:after="0" w:line="240" w:lineRule="auto"/>
    </w:pPr>
    <w:rPr>
      <w:rFonts w:ascii="Calibri" w:eastAsia="Times New Roman" w:hAnsi="Calibri" w:cs="Calibri"/>
      <w:sz w:val="22"/>
    </w:rPr>
  </w:style>
  <w:style w:type="character" w:customStyle="1" w:styleId="PlainTextChar">
    <w:name w:val="Plain Text Char"/>
    <w:basedOn w:val="DefaultParagraphFont"/>
    <w:link w:val="PlainText"/>
    <w:uiPriority w:val="99"/>
    <w:rsid w:val="00615EEF"/>
    <w:rPr>
      <w:rFonts w:ascii="Calibri" w:eastAsia="Times New Roman" w:hAnsi="Calibri" w:cs="Calibri"/>
    </w:rPr>
  </w:style>
  <w:style w:type="character" w:customStyle="1" w:styleId="UnresolvedMention">
    <w:name w:val="Unresolved Mention"/>
    <w:basedOn w:val="DefaultParagraphFont"/>
    <w:uiPriority w:val="99"/>
    <w:rsid w:val="00176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hyperlink" Target="mailto:thomas.lindgren@ohioattorneygeneral.gov" TargetMode="External" /><Relationship Id="rId16" Type="http://schemas.openxmlformats.org/officeDocument/2006/relationships/hyperlink" Target="mailto:kyle.kern@ohioattorneygeneral.gov" TargetMode="External" /><Relationship Id="rId17" Type="http://schemas.openxmlformats.org/officeDocument/2006/relationships/hyperlink" Target="mailto:werner.margard@ohioattorneygeneral.gov" TargetMode="External" /><Relationship Id="rId18" Type="http://schemas.openxmlformats.org/officeDocument/2006/relationships/hyperlink" Target="mailto:mkurtz@BKLlawfirm.com" TargetMode="External" /><Relationship Id="rId19" Type="http://schemas.openxmlformats.org/officeDocument/2006/relationships/hyperlink" Target="mailto:kboehm@BKLlawfirm.com" TargetMode="External" /><Relationship Id="rId2" Type="http://schemas.openxmlformats.org/officeDocument/2006/relationships/settings" Target="settings.xml" /><Relationship Id="rId20" Type="http://schemas.openxmlformats.org/officeDocument/2006/relationships/hyperlink" Target="mailto:jkylercohn@BKLlawfirm.com" TargetMode="External" /><Relationship Id="rId21" Type="http://schemas.openxmlformats.org/officeDocument/2006/relationships/hyperlink" Target="mailto:rdove@keglerbrown.com" TargetMode="External" /><Relationship Id="rId22" Type="http://schemas.openxmlformats.org/officeDocument/2006/relationships/hyperlink" Target="mailto:drinebolt@opae.org" TargetMode="External" /><Relationship Id="rId23" Type="http://schemas.openxmlformats.org/officeDocument/2006/relationships/hyperlink" Target="mailto:mfleisher@dickinsonwright.com" TargetMode="External" /><Relationship Id="rId24" Type="http://schemas.openxmlformats.org/officeDocument/2006/relationships/hyperlink" Target="mailto:mwise@mcdonaldhopkins.com" TargetMode="External" /><Relationship Id="rId25" Type="http://schemas.openxmlformats.org/officeDocument/2006/relationships/hyperlink" Target="mailto:Gregory.price@puco.ohio.gov" TargetMode="External" /><Relationship Id="rId26" Type="http://schemas.openxmlformats.org/officeDocument/2006/relationships/hyperlink" Target="mailto:Megan.addison@puco.ohio.gov" TargetMode="External" /><Relationship Id="rId27" Type="http://schemas.openxmlformats.org/officeDocument/2006/relationships/hyperlink" Target="mailto:cdunn@firstenergycorp.com" TargetMode="External" /><Relationship Id="rId28" Type="http://schemas.openxmlformats.org/officeDocument/2006/relationships/hyperlink" Target="mailto:bknipe@firstenergycorp.com" TargetMode="External" /><Relationship Id="rId29" Type="http://schemas.openxmlformats.org/officeDocument/2006/relationships/hyperlink" Target="mailto:jlang@calfee.com" TargetMode="External" /><Relationship Id="rId3" Type="http://schemas.openxmlformats.org/officeDocument/2006/relationships/webSettings" Target="webSettings.xml" /><Relationship Id="rId30" Type="http://schemas.openxmlformats.org/officeDocument/2006/relationships/hyperlink" Target="mailto:khehmeyer@beneschlaw.com" TargetMode="External" /><Relationship Id="rId31" Type="http://schemas.openxmlformats.org/officeDocument/2006/relationships/hyperlink" Target="mailto:mkeaney@beneschlaw.com" TargetMode="External" /><Relationship Id="rId32" Type="http://schemas.openxmlformats.org/officeDocument/2006/relationships/hyperlink" Target="mailto:mpritchard@mcneeslaw.com" TargetMode="External" /><Relationship Id="rId33" Type="http://schemas.openxmlformats.org/officeDocument/2006/relationships/hyperlink" Target="mailto:ccox@elpc.org" TargetMode="External" /><Relationship Id="rId34" Type="http://schemas.openxmlformats.org/officeDocument/2006/relationships/hyperlink" Target="mailto:Bojko@carpenterlipps.com" TargetMode="External" /><Relationship Id="rId35" Type="http://schemas.openxmlformats.org/officeDocument/2006/relationships/hyperlink" Target="mailto:Donadio@carpenterlipps.com" TargetMode="External" /><Relationship Id="rId36" Type="http://schemas.openxmlformats.org/officeDocument/2006/relationships/footer" Target="footer4.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john.finnigan@occ.ohio.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irstenergycorp.com/newsroom/news_articles/firstenergy-names-hyun-park-senior-vice-president---chief-legal-.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FBCA-16CA-432A-BAC7-3D00A33A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2021-04-02T16:58:03Z</dcterms:created>
  <dcterms:modified xsi:type="dcterms:W3CDTF">2021-04-02T16:58:03Z</dcterms:modified>
</cp:coreProperties>
</file>