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A" w:rsidRDefault="00DE546A" w:rsidP="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bookmarkStart w:id="0" w:name="_GoBack"/>
      <w:bookmarkEnd w:id="0"/>
      <w:r>
        <w:rPr>
          <w:rFonts w:eastAsia="Courier New" w:cs="Courier New"/>
          <w:b/>
          <w:bCs/>
        </w:rPr>
        <w:t>BEFORE</w:t>
      </w:r>
    </w:p>
    <w:p w:rsidR="00FA7121" w:rsidRPr="00FA7121" w:rsidRDefault="00DE546A" w:rsidP="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t>THE PUBLIC UTILITIES COMMISSION OF OHIO</w:t>
      </w:r>
    </w:p>
    <w:p w:rsidR="00DE546A" w:rsidRDefault="00DE546A" w:rsidP="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9092" w:type="dxa"/>
        <w:tblLook w:val="01E0" w:firstRow="1" w:lastRow="1" w:firstColumn="1" w:lastColumn="1" w:noHBand="0" w:noVBand="0"/>
      </w:tblPr>
      <w:tblGrid>
        <w:gridCol w:w="4396"/>
        <w:gridCol w:w="296"/>
        <w:gridCol w:w="4400"/>
      </w:tblGrid>
      <w:tr w:rsidR="00DE546A" w:rsidTr="00DE546A">
        <w:trPr>
          <w:trHeight w:val="807"/>
        </w:trPr>
        <w:tc>
          <w:tcPr>
            <w:tcW w:w="4396" w:type="dxa"/>
            <w:hideMark/>
          </w:tcPr>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4"/>
              </w:rPr>
            </w:pPr>
            <w:r>
              <w:rPr>
                <w:rFonts w:eastAsia="Courier New"/>
                <w:szCs w:val="24"/>
              </w:rPr>
              <w:t xml:space="preserve">In the Matter of The East Ohio Gas Company d/b/a Dominion East Ohio for Approval of an Alternative Form of Regulation. </w:t>
            </w:r>
          </w:p>
        </w:tc>
        <w:tc>
          <w:tcPr>
            <w:tcW w:w="296" w:type="dxa"/>
            <w:hideMark/>
          </w:tcPr>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tc>
        <w:tc>
          <w:tcPr>
            <w:tcW w:w="4400" w:type="dxa"/>
          </w:tcPr>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Case No. 15-0362-GA-ALT</w:t>
            </w: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DE546A" w:rsidRDefault="00DE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r>
    </w:tbl>
    <w:p w:rsidR="00DE546A" w:rsidRDefault="00DE546A" w:rsidP="00DE546A"/>
    <w:p w:rsidR="00FA7121" w:rsidRDefault="00FA7121" w:rsidP="00DE546A"/>
    <w:p w:rsidR="00DE546A" w:rsidRDefault="00DE546A" w:rsidP="00DE546A">
      <w:pPr>
        <w:pBdr>
          <w:top w:val="single" w:sz="12" w:space="1" w:color="auto"/>
        </w:pBdr>
      </w:pPr>
    </w:p>
    <w:p w:rsidR="00DE546A" w:rsidRDefault="009C74B2" w:rsidP="00DE546A">
      <w:pPr>
        <w:jc w:val="center"/>
        <w:rPr>
          <w:b/>
        </w:rPr>
      </w:pPr>
      <w:r>
        <w:rPr>
          <w:b/>
        </w:rPr>
        <w:t xml:space="preserve">REPLY </w:t>
      </w:r>
      <w:r w:rsidR="00813AC1">
        <w:rPr>
          <w:b/>
        </w:rPr>
        <w:t>BRIEF</w:t>
      </w:r>
    </w:p>
    <w:p w:rsidR="00DE546A" w:rsidRDefault="00DE546A" w:rsidP="00DE546A">
      <w:pPr>
        <w:jc w:val="center"/>
        <w:rPr>
          <w:b/>
        </w:rPr>
      </w:pPr>
      <w:r>
        <w:rPr>
          <w:b/>
        </w:rPr>
        <w:t>BY</w:t>
      </w:r>
    </w:p>
    <w:p w:rsidR="00DE546A" w:rsidRDefault="00DE546A" w:rsidP="00DE546A">
      <w:pPr>
        <w:jc w:val="center"/>
        <w:rPr>
          <w:b/>
        </w:rPr>
      </w:pPr>
      <w:r>
        <w:rPr>
          <w:b/>
        </w:rPr>
        <w:t>THE OFFICE OF THE OHIO CONSUMERS’ COUNSEL</w:t>
      </w:r>
    </w:p>
    <w:p w:rsidR="00DE546A" w:rsidRDefault="00DE546A" w:rsidP="00DE546A">
      <w:pPr>
        <w:pBdr>
          <w:bottom w:val="single" w:sz="12" w:space="1" w:color="auto"/>
        </w:pBdr>
      </w:pPr>
    </w:p>
    <w:p w:rsidR="00DE546A" w:rsidRDefault="00DE546A" w:rsidP="00DE546A"/>
    <w:p w:rsidR="00B0131B" w:rsidRDefault="00813AC1" w:rsidP="00813AC1">
      <w:pPr>
        <w:tabs>
          <w:tab w:val="left" w:pos="4320"/>
        </w:tabs>
        <w:spacing w:before="240"/>
        <w:rPr>
          <w:szCs w:val="24"/>
        </w:rPr>
      </w:pPr>
      <w:r>
        <w:rPr>
          <w:szCs w:val="24"/>
        </w:rPr>
        <w:tab/>
      </w:r>
    </w:p>
    <w:p w:rsidR="004A397F" w:rsidRDefault="004A397F" w:rsidP="00813AC1">
      <w:pPr>
        <w:tabs>
          <w:tab w:val="left" w:pos="4320"/>
        </w:tabs>
        <w:spacing w:before="240"/>
        <w:rPr>
          <w:szCs w:val="24"/>
        </w:rPr>
      </w:pPr>
    </w:p>
    <w:p w:rsidR="004A397F" w:rsidRDefault="004A397F" w:rsidP="00813AC1">
      <w:pPr>
        <w:tabs>
          <w:tab w:val="left" w:pos="4320"/>
        </w:tabs>
        <w:spacing w:before="240"/>
        <w:rPr>
          <w:szCs w:val="24"/>
        </w:rPr>
      </w:pPr>
    </w:p>
    <w:p w:rsidR="004A397F" w:rsidRDefault="004A397F" w:rsidP="00813AC1">
      <w:pPr>
        <w:tabs>
          <w:tab w:val="left" w:pos="4320"/>
        </w:tabs>
        <w:spacing w:before="240"/>
        <w:rPr>
          <w:szCs w:val="24"/>
        </w:rPr>
      </w:pPr>
    </w:p>
    <w:p w:rsidR="00AF673C" w:rsidRDefault="00AF673C" w:rsidP="00813AC1">
      <w:pPr>
        <w:tabs>
          <w:tab w:val="left" w:pos="4320"/>
        </w:tabs>
        <w:spacing w:before="240"/>
        <w:rPr>
          <w:szCs w:val="24"/>
        </w:rPr>
      </w:pPr>
    </w:p>
    <w:p w:rsidR="00AF673C" w:rsidRDefault="00AF673C" w:rsidP="00813AC1">
      <w:pPr>
        <w:tabs>
          <w:tab w:val="left" w:pos="4320"/>
        </w:tabs>
        <w:spacing w:before="240"/>
        <w:rPr>
          <w:szCs w:val="24"/>
        </w:rPr>
      </w:pPr>
    </w:p>
    <w:p w:rsidR="00813AC1" w:rsidRPr="007822A8" w:rsidRDefault="00B0131B" w:rsidP="00813AC1">
      <w:pPr>
        <w:tabs>
          <w:tab w:val="left" w:pos="4320"/>
        </w:tabs>
        <w:spacing w:before="240"/>
        <w:rPr>
          <w:szCs w:val="24"/>
        </w:rPr>
      </w:pPr>
      <w:r>
        <w:rPr>
          <w:szCs w:val="24"/>
        </w:rPr>
        <w:tab/>
      </w:r>
      <w:r w:rsidR="00813AC1" w:rsidRPr="007822A8">
        <w:rPr>
          <w:szCs w:val="24"/>
        </w:rPr>
        <w:t>BRUCE J. WESTON</w:t>
      </w:r>
      <w:r w:rsidR="00364C03">
        <w:rPr>
          <w:szCs w:val="24"/>
        </w:rPr>
        <w:t xml:space="preserve"> </w:t>
      </w:r>
      <w:r w:rsidR="00364C03" w:rsidRPr="00364C03">
        <w:rPr>
          <w:szCs w:val="24"/>
        </w:rPr>
        <w:t>(0016973)</w:t>
      </w:r>
    </w:p>
    <w:p w:rsidR="00813AC1" w:rsidRPr="007822A8" w:rsidRDefault="00813AC1" w:rsidP="00813AC1">
      <w:pPr>
        <w:tabs>
          <w:tab w:val="left" w:pos="4320"/>
        </w:tabs>
        <w:rPr>
          <w:szCs w:val="24"/>
        </w:rPr>
      </w:pPr>
      <w:r w:rsidRPr="007822A8">
        <w:rPr>
          <w:szCs w:val="24"/>
        </w:rPr>
        <w:tab/>
        <w:t>OHIO CONSUMERS’ COUNSEL</w:t>
      </w:r>
    </w:p>
    <w:p w:rsidR="00813AC1" w:rsidRPr="007822A8" w:rsidRDefault="00813AC1" w:rsidP="00813AC1">
      <w:pPr>
        <w:tabs>
          <w:tab w:val="left" w:pos="4320"/>
        </w:tabs>
        <w:rPr>
          <w:szCs w:val="24"/>
        </w:rPr>
      </w:pPr>
      <w:r w:rsidRPr="007822A8">
        <w:rPr>
          <w:szCs w:val="24"/>
        </w:rPr>
        <w:tab/>
      </w:r>
    </w:p>
    <w:p w:rsidR="00813AC1" w:rsidRPr="003C2FFA" w:rsidRDefault="00813AC1" w:rsidP="00813AC1">
      <w:pPr>
        <w:ind w:left="4320" w:right="-378"/>
        <w:rPr>
          <w:szCs w:val="24"/>
        </w:rPr>
      </w:pPr>
      <w:r w:rsidRPr="003C2FFA">
        <w:rPr>
          <w:szCs w:val="24"/>
        </w:rPr>
        <w:t>Jodi J. Bair</w:t>
      </w:r>
      <w:r w:rsidR="00496AC0">
        <w:rPr>
          <w:szCs w:val="24"/>
        </w:rPr>
        <w:t xml:space="preserve"> </w:t>
      </w:r>
      <w:r w:rsidRPr="003C2FFA">
        <w:rPr>
          <w:szCs w:val="24"/>
        </w:rPr>
        <w:t>(0062921)</w:t>
      </w:r>
    </w:p>
    <w:p w:rsidR="00813AC1" w:rsidRPr="00B0131B" w:rsidRDefault="00813AC1" w:rsidP="00813AC1">
      <w:pPr>
        <w:ind w:left="4320"/>
      </w:pPr>
      <w:r w:rsidRPr="00B0131B">
        <w:rPr>
          <w:szCs w:val="24"/>
        </w:rPr>
        <w:t>Counsel of Record</w:t>
      </w:r>
      <w:r w:rsidRPr="00B0131B">
        <w:t xml:space="preserve"> </w:t>
      </w:r>
    </w:p>
    <w:p w:rsidR="00813AC1" w:rsidRPr="003C2FFA" w:rsidRDefault="00813AC1" w:rsidP="00813AC1">
      <w:pPr>
        <w:ind w:left="4320"/>
      </w:pPr>
      <w:r w:rsidRPr="003C2FFA">
        <w:t>Assistant Consumers’ Counsel</w:t>
      </w:r>
    </w:p>
    <w:p w:rsidR="00813AC1" w:rsidRPr="003C2FFA" w:rsidRDefault="00813AC1" w:rsidP="00813AC1">
      <w:pPr>
        <w:ind w:left="4320"/>
      </w:pPr>
      <w:r w:rsidRPr="003C2FFA">
        <w:t>Ajay K. Kumar (0092208)</w:t>
      </w:r>
    </w:p>
    <w:p w:rsidR="00813AC1" w:rsidRPr="003C2FFA" w:rsidRDefault="00B0131B" w:rsidP="00813AC1">
      <w:pPr>
        <w:ind w:left="4320" w:right="-180"/>
      </w:pPr>
      <w:r>
        <w:t>Assistant Consumers Counsel</w:t>
      </w:r>
    </w:p>
    <w:p w:rsidR="00813AC1" w:rsidRPr="003C2FFA" w:rsidRDefault="00813AC1" w:rsidP="00813AC1">
      <w:pPr>
        <w:ind w:left="4320" w:right="-180"/>
        <w:rPr>
          <w:b/>
        </w:rPr>
      </w:pPr>
    </w:p>
    <w:p w:rsidR="00813AC1" w:rsidRPr="003C2FFA" w:rsidRDefault="00813AC1" w:rsidP="00813AC1">
      <w:pPr>
        <w:ind w:left="4320" w:right="-180"/>
      </w:pPr>
      <w:r w:rsidRPr="003C2FFA">
        <w:rPr>
          <w:b/>
        </w:rPr>
        <w:t>Office of the Ohio Consumers’ Counsel</w:t>
      </w:r>
    </w:p>
    <w:p w:rsidR="00813AC1" w:rsidRPr="003C2FFA" w:rsidRDefault="00813AC1" w:rsidP="00813AC1">
      <w:pPr>
        <w:ind w:left="4320"/>
      </w:pPr>
      <w:r w:rsidRPr="003C2FFA">
        <w:t>10 West Broad Street, Suite 1800</w:t>
      </w:r>
    </w:p>
    <w:p w:rsidR="00813AC1" w:rsidRPr="003C2FFA" w:rsidRDefault="00813AC1" w:rsidP="00813AC1">
      <w:pPr>
        <w:ind w:left="4320"/>
      </w:pPr>
      <w:r w:rsidRPr="003C2FFA">
        <w:t>Columbus, Ohio 43215-3485</w:t>
      </w:r>
    </w:p>
    <w:p w:rsidR="00813AC1" w:rsidRPr="003C2FFA" w:rsidRDefault="00813AC1" w:rsidP="00813AC1">
      <w:r w:rsidRPr="003C2FFA">
        <w:tab/>
      </w:r>
      <w:r w:rsidRPr="003C2FFA">
        <w:tab/>
      </w:r>
      <w:r w:rsidRPr="003C2FFA">
        <w:tab/>
      </w:r>
      <w:r w:rsidRPr="003C2FFA">
        <w:tab/>
      </w:r>
      <w:r w:rsidRPr="003C2FFA">
        <w:tab/>
      </w:r>
      <w:r w:rsidRPr="003C2FFA">
        <w:tab/>
        <w:t>(614) 466-9559 – Bair Direct</w:t>
      </w:r>
    </w:p>
    <w:p w:rsidR="00813AC1" w:rsidRPr="003C2FFA" w:rsidRDefault="00813AC1" w:rsidP="00813AC1">
      <w:r w:rsidRPr="003C2FFA">
        <w:tab/>
      </w:r>
      <w:r w:rsidRPr="003C2FFA">
        <w:tab/>
      </w:r>
      <w:r w:rsidRPr="003C2FFA">
        <w:tab/>
      </w:r>
      <w:r w:rsidRPr="003C2FFA">
        <w:tab/>
      </w:r>
      <w:r w:rsidRPr="003C2FFA">
        <w:tab/>
      </w:r>
      <w:r w:rsidRPr="003C2FFA">
        <w:tab/>
        <w:t>(614) 466-1292 – Kumar Direct</w:t>
      </w:r>
    </w:p>
    <w:p w:rsidR="00813AC1" w:rsidRPr="003C2FFA" w:rsidRDefault="00813AC1" w:rsidP="00813AC1">
      <w:r w:rsidRPr="003C2FFA">
        <w:tab/>
      </w:r>
      <w:r w:rsidRPr="003C2FFA">
        <w:tab/>
      </w:r>
      <w:r w:rsidRPr="003C2FFA">
        <w:tab/>
      </w:r>
      <w:r w:rsidRPr="003C2FFA">
        <w:tab/>
      </w:r>
      <w:r w:rsidRPr="003C2FFA">
        <w:tab/>
      </w:r>
      <w:r w:rsidRPr="003C2FFA">
        <w:tab/>
      </w:r>
      <w:hyperlink r:id="rId8" w:history="1">
        <w:r w:rsidRPr="003C2FFA">
          <w:rPr>
            <w:color w:val="0000FF"/>
            <w:u w:val="single"/>
          </w:rPr>
          <w:t>Jodi.bair@occ.ohio.gov</w:t>
        </w:r>
      </w:hyperlink>
    </w:p>
    <w:p w:rsidR="00813AC1" w:rsidRPr="003C2FFA" w:rsidRDefault="00813AC1" w:rsidP="00813AC1">
      <w:r w:rsidRPr="003C2FFA">
        <w:tab/>
      </w:r>
      <w:r w:rsidRPr="003C2FFA">
        <w:tab/>
      </w:r>
      <w:r w:rsidRPr="003C2FFA">
        <w:tab/>
      </w:r>
      <w:r w:rsidRPr="003C2FFA">
        <w:tab/>
      </w:r>
      <w:r w:rsidRPr="003C2FFA">
        <w:tab/>
      </w:r>
      <w:r w:rsidRPr="003C2FFA">
        <w:tab/>
        <w:t>(will accept service via email)</w:t>
      </w:r>
    </w:p>
    <w:p w:rsidR="00813AC1" w:rsidRPr="003C2FFA" w:rsidRDefault="00813AC1" w:rsidP="00813AC1">
      <w:r w:rsidRPr="003C2FFA">
        <w:tab/>
      </w:r>
      <w:r w:rsidRPr="003C2FFA">
        <w:tab/>
      </w:r>
      <w:r w:rsidRPr="003C2FFA">
        <w:tab/>
      </w:r>
      <w:r w:rsidRPr="003C2FFA">
        <w:tab/>
      </w:r>
      <w:r w:rsidRPr="003C2FFA">
        <w:tab/>
      </w:r>
      <w:r w:rsidRPr="003C2FFA">
        <w:tab/>
      </w:r>
      <w:hyperlink r:id="rId9" w:history="1">
        <w:r w:rsidRPr="003C2FFA">
          <w:rPr>
            <w:color w:val="0000FF"/>
            <w:u w:val="single"/>
          </w:rPr>
          <w:t>Ajay.kumar@occ.ohio.gov</w:t>
        </w:r>
      </w:hyperlink>
    </w:p>
    <w:p w:rsidR="002436E2" w:rsidRDefault="00813AC1" w:rsidP="00813AC1">
      <w:pPr>
        <w:sectPr w:rsidR="002436E2" w:rsidSect="00366D5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cols w:space="720"/>
          <w:titlePg/>
          <w:docGrid w:linePitch="360"/>
        </w:sectPr>
      </w:pPr>
      <w:r w:rsidRPr="003C2FFA">
        <w:tab/>
      </w:r>
      <w:r w:rsidRPr="003C2FFA">
        <w:tab/>
      </w:r>
      <w:r w:rsidRPr="003C2FFA">
        <w:tab/>
      </w:r>
      <w:r w:rsidRPr="003C2FFA">
        <w:tab/>
      </w:r>
      <w:r w:rsidRPr="003C2FFA">
        <w:tab/>
      </w:r>
      <w:r w:rsidRPr="003C2FFA">
        <w:tab/>
        <w:t>(will accept service via email)</w:t>
      </w:r>
    </w:p>
    <w:p w:rsidR="00B0131B" w:rsidRPr="00591DCB" w:rsidRDefault="00B0131B" w:rsidP="00B0131B">
      <w:pPr>
        <w:pStyle w:val="BodyTextIndent"/>
        <w:jc w:val="center"/>
        <w:rPr>
          <w:b/>
          <w:bCs/>
          <w:szCs w:val="24"/>
          <w:u w:val="single"/>
        </w:rPr>
      </w:pPr>
      <w:r w:rsidRPr="00591DCB">
        <w:rPr>
          <w:b/>
          <w:bCs/>
          <w:szCs w:val="24"/>
          <w:u w:val="single"/>
        </w:rPr>
        <w:lastRenderedPageBreak/>
        <w:t>TABLE OF CONTENTS</w:t>
      </w:r>
    </w:p>
    <w:p w:rsidR="002E5D02" w:rsidRPr="0089266B" w:rsidRDefault="00591DCB" w:rsidP="00591DCB">
      <w:pPr>
        <w:pStyle w:val="BodyTextIndent"/>
        <w:ind w:right="-180"/>
        <w:jc w:val="right"/>
        <w:rPr>
          <w:bCs/>
          <w:szCs w:val="24"/>
        </w:rPr>
      </w:pPr>
      <w:r w:rsidRPr="0089266B">
        <w:rPr>
          <w:bCs/>
          <w:szCs w:val="24"/>
        </w:rPr>
        <w:t>Page</w:t>
      </w:r>
    </w:p>
    <w:p w:rsidR="009A4234" w:rsidRDefault="002163E5">
      <w:pPr>
        <w:pStyle w:val="TOC1"/>
        <w:rPr>
          <w:rFonts w:asciiTheme="minorHAnsi" w:eastAsiaTheme="minorEastAsia" w:hAnsiTheme="minorHAnsi" w:cstheme="minorBidi"/>
          <w:caps w:val="0"/>
          <w:noProof/>
          <w:sz w:val="22"/>
          <w:szCs w:val="22"/>
        </w:rPr>
      </w:pPr>
      <w:r>
        <w:rPr>
          <w:b/>
          <w:bCs/>
          <w:szCs w:val="24"/>
        </w:rPr>
        <w:fldChar w:fldCharType="begin"/>
      </w:r>
      <w:r>
        <w:rPr>
          <w:b/>
          <w:bCs/>
          <w:szCs w:val="24"/>
        </w:rPr>
        <w:instrText xml:space="preserve"> TOC \o "1-3" \h \z \u </w:instrText>
      </w:r>
      <w:r>
        <w:rPr>
          <w:b/>
          <w:bCs/>
          <w:szCs w:val="24"/>
        </w:rPr>
        <w:fldChar w:fldCharType="separate"/>
      </w:r>
      <w:hyperlink w:anchor="_Toc447024911" w:history="1">
        <w:r w:rsidR="009A4234" w:rsidRPr="009D756B">
          <w:rPr>
            <w:rStyle w:val="Hyperlink"/>
            <w:noProof/>
          </w:rPr>
          <w:t>I.</w:t>
        </w:r>
        <w:r w:rsidR="009A4234">
          <w:rPr>
            <w:rFonts w:asciiTheme="minorHAnsi" w:eastAsiaTheme="minorEastAsia" w:hAnsiTheme="minorHAnsi" w:cstheme="minorBidi"/>
            <w:caps w:val="0"/>
            <w:noProof/>
            <w:sz w:val="22"/>
            <w:szCs w:val="22"/>
          </w:rPr>
          <w:tab/>
        </w:r>
        <w:r w:rsidR="009A4234" w:rsidRPr="009D756B">
          <w:rPr>
            <w:rStyle w:val="Hyperlink"/>
            <w:noProof/>
          </w:rPr>
          <w:t>Introduction</w:t>
        </w:r>
        <w:r w:rsidR="009A4234">
          <w:rPr>
            <w:noProof/>
            <w:webHidden/>
          </w:rPr>
          <w:tab/>
        </w:r>
        <w:r w:rsidR="009A4234">
          <w:rPr>
            <w:noProof/>
            <w:webHidden/>
          </w:rPr>
          <w:fldChar w:fldCharType="begin"/>
        </w:r>
        <w:r w:rsidR="009A4234">
          <w:rPr>
            <w:noProof/>
            <w:webHidden/>
          </w:rPr>
          <w:instrText xml:space="preserve"> PAGEREF _Toc447024911 \h </w:instrText>
        </w:r>
        <w:r w:rsidR="009A4234">
          <w:rPr>
            <w:noProof/>
            <w:webHidden/>
          </w:rPr>
        </w:r>
        <w:r w:rsidR="009A4234">
          <w:rPr>
            <w:noProof/>
            <w:webHidden/>
          </w:rPr>
          <w:fldChar w:fldCharType="separate"/>
        </w:r>
        <w:r w:rsidR="006E6421">
          <w:rPr>
            <w:noProof/>
            <w:webHidden/>
          </w:rPr>
          <w:t>1</w:t>
        </w:r>
        <w:r w:rsidR="009A4234">
          <w:rPr>
            <w:noProof/>
            <w:webHidden/>
          </w:rPr>
          <w:fldChar w:fldCharType="end"/>
        </w:r>
      </w:hyperlink>
    </w:p>
    <w:p w:rsidR="009A4234" w:rsidRDefault="008E254B">
      <w:pPr>
        <w:pStyle w:val="TOC1"/>
        <w:rPr>
          <w:rFonts w:asciiTheme="minorHAnsi" w:eastAsiaTheme="minorEastAsia" w:hAnsiTheme="minorHAnsi" w:cstheme="minorBidi"/>
          <w:caps w:val="0"/>
          <w:noProof/>
          <w:sz w:val="22"/>
          <w:szCs w:val="22"/>
        </w:rPr>
      </w:pPr>
      <w:hyperlink w:anchor="_Toc447024912" w:history="1">
        <w:r w:rsidR="009A4234" w:rsidRPr="009D756B">
          <w:rPr>
            <w:rStyle w:val="Hyperlink"/>
            <w:noProof/>
          </w:rPr>
          <w:t>II.</w:t>
        </w:r>
        <w:r w:rsidR="009A4234">
          <w:rPr>
            <w:rFonts w:asciiTheme="minorHAnsi" w:eastAsiaTheme="minorEastAsia" w:hAnsiTheme="minorHAnsi" w:cstheme="minorBidi"/>
            <w:caps w:val="0"/>
            <w:noProof/>
            <w:sz w:val="22"/>
            <w:szCs w:val="22"/>
          </w:rPr>
          <w:tab/>
        </w:r>
        <w:r w:rsidR="009A4234" w:rsidRPr="009D756B">
          <w:rPr>
            <w:rStyle w:val="Hyperlink"/>
            <w:noProof/>
          </w:rPr>
          <w:t>Recommendations</w:t>
        </w:r>
        <w:r w:rsidR="009A4234">
          <w:rPr>
            <w:noProof/>
            <w:webHidden/>
          </w:rPr>
          <w:tab/>
        </w:r>
        <w:r w:rsidR="009A4234">
          <w:rPr>
            <w:noProof/>
            <w:webHidden/>
          </w:rPr>
          <w:fldChar w:fldCharType="begin"/>
        </w:r>
        <w:r w:rsidR="009A4234">
          <w:rPr>
            <w:noProof/>
            <w:webHidden/>
          </w:rPr>
          <w:instrText xml:space="preserve"> PAGEREF _Toc447024912 \h </w:instrText>
        </w:r>
        <w:r w:rsidR="009A4234">
          <w:rPr>
            <w:noProof/>
            <w:webHidden/>
          </w:rPr>
        </w:r>
        <w:r w:rsidR="009A4234">
          <w:rPr>
            <w:noProof/>
            <w:webHidden/>
          </w:rPr>
          <w:fldChar w:fldCharType="separate"/>
        </w:r>
        <w:r w:rsidR="006E6421">
          <w:rPr>
            <w:noProof/>
            <w:webHidden/>
          </w:rPr>
          <w:t>1</w:t>
        </w:r>
        <w:r w:rsidR="009A4234">
          <w:rPr>
            <w:noProof/>
            <w:webHidden/>
          </w:rPr>
          <w:fldChar w:fldCharType="end"/>
        </w:r>
      </w:hyperlink>
    </w:p>
    <w:p w:rsidR="009A4234" w:rsidRDefault="008E254B">
      <w:pPr>
        <w:pStyle w:val="TOC2"/>
        <w:rPr>
          <w:rFonts w:asciiTheme="minorHAnsi" w:eastAsiaTheme="minorEastAsia" w:hAnsiTheme="minorHAnsi" w:cstheme="minorBidi"/>
          <w:noProof/>
          <w:sz w:val="22"/>
          <w:szCs w:val="22"/>
        </w:rPr>
      </w:pPr>
      <w:hyperlink w:anchor="_Toc447024913" w:history="1">
        <w:r w:rsidR="009A4234" w:rsidRPr="009D756B">
          <w:rPr>
            <w:rStyle w:val="Hyperlink"/>
            <w:noProof/>
          </w:rPr>
          <w:t>A.</w:t>
        </w:r>
        <w:r w:rsidR="009A4234">
          <w:rPr>
            <w:rFonts w:asciiTheme="minorHAnsi" w:eastAsiaTheme="minorEastAsia" w:hAnsiTheme="minorHAnsi" w:cstheme="minorBidi"/>
            <w:noProof/>
            <w:sz w:val="22"/>
            <w:szCs w:val="22"/>
          </w:rPr>
          <w:tab/>
        </w:r>
        <w:r w:rsidR="009A4234" w:rsidRPr="009D756B">
          <w:rPr>
            <w:rStyle w:val="Hyperlink"/>
            <w:noProof/>
          </w:rPr>
          <w:t xml:space="preserve">Dominion’s proposal to increase customers’ rates will not ensure </w:t>
        </w:r>
        <w:r w:rsidR="009A4234">
          <w:rPr>
            <w:rStyle w:val="Hyperlink"/>
            <w:noProof/>
          </w:rPr>
          <w:br/>
        </w:r>
        <w:r w:rsidR="009A4234" w:rsidRPr="009D756B">
          <w:rPr>
            <w:rStyle w:val="Hyperlink"/>
            <w:noProof/>
          </w:rPr>
          <w:t>that customers will be provided reasonably priced gas service.</w:t>
        </w:r>
        <w:r w:rsidR="009A4234">
          <w:rPr>
            <w:noProof/>
            <w:webHidden/>
          </w:rPr>
          <w:tab/>
        </w:r>
        <w:r w:rsidR="009A4234">
          <w:rPr>
            <w:noProof/>
            <w:webHidden/>
          </w:rPr>
          <w:fldChar w:fldCharType="begin"/>
        </w:r>
        <w:r w:rsidR="009A4234">
          <w:rPr>
            <w:noProof/>
            <w:webHidden/>
          </w:rPr>
          <w:instrText xml:space="preserve"> PAGEREF _Toc447024913 \h </w:instrText>
        </w:r>
        <w:r w:rsidR="009A4234">
          <w:rPr>
            <w:noProof/>
            <w:webHidden/>
          </w:rPr>
        </w:r>
        <w:r w:rsidR="009A4234">
          <w:rPr>
            <w:noProof/>
            <w:webHidden/>
          </w:rPr>
          <w:fldChar w:fldCharType="separate"/>
        </w:r>
        <w:r w:rsidR="006E6421">
          <w:rPr>
            <w:noProof/>
            <w:webHidden/>
          </w:rPr>
          <w:t>2</w:t>
        </w:r>
        <w:r w:rsidR="009A4234">
          <w:rPr>
            <w:noProof/>
            <w:webHidden/>
          </w:rPr>
          <w:fldChar w:fldCharType="end"/>
        </w:r>
      </w:hyperlink>
    </w:p>
    <w:p w:rsidR="009A4234" w:rsidRDefault="008E254B">
      <w:pPr>
        <w:pStyle w:val="TOC3"/>
        <w:rPr>
          <w:rFonts w:asciiTheme="minorHAnsi" w:eastAsiaTheme="minorEastAsia" w:hAnsiTheme="minorHAnsi" w:cstheme="minorBidi"/>
          <w:noProof/>
          <w:sz w:val="22"/>
          <w:szCs w:val="22"/>
        </w:rPr>
      </w:pPr>
      <w:hyperlink w:anchor="_Toc447024914" w:history="1">
        <w:r w:rsidR="009A4234" w:rsidRPr="009D756B">
          <w:rPr>
            <w:rStyle w:val="Hyperlink"/>
            <w:noProof/>
          </w:rPr>
          <w:t>1.</w:t>
        </w:r>
        <w:r w:rsidR="009A4234">
          <w:rPr>
            <w:rFonts w:asciiTheme="minorHAnsi" w:eastAsiaTheme="minorEastAsia" w:hAnsiTheme="minorHAnsi" w:cstheme="minorBidi"/>
            <w:noProof/>
            <w:sz w:val="22"/>
            <w:szCs w:val="22"/>
          </w:rPr>
          <w:tab/>
        </w:r>
        <w:r w:rsidR="009A4234" w:rsidRPr="009D756B">
          <w:rPr>
            <w:rStyle w:val="Hyperlink"/>
            <w:noProof/>
          </w:rPr>
          <w:t>Dominion failed to justify its need to accelerate the program, which imposes significant rate increases on its customers.</w:t>
        </w:r>
        <w:r w:rsidR="009A4234">
          <w:rPr>
            <w:noProof/>
            <w:webHidden/>
          </w:rPr>
          <w:tab/>
        </w:r>
        <w:r w:rsidR="009A4234">
          <w:rPr>
            <w:noProof/>
            <w:webHidden/>
          </w:rPr>
          <w:fldChar w:fldCharType="begin"/>
        </w:r>
        <w:r w:rsidR="009A4234">
          <w:rPr>
            <w:noProof/>
            <w:webHidden/>
          </w:rPr>
          <w:instrText xml:space="preserve"> PAGEREF _Toc447024914 \h </w:instrText>
        </w:r>
        <w:r w:rsidR="009A4234">
          <w:rPr>
            <w:noProof/>
            <w:webHidden/>
          </w:rPr>
        </w:r>
        <w:r w:rsidR="009A4234">
          <w:rPr>
            <w:noProof/>
            <w:webHidden/>
          </w:rPr>
          <w:fldChar w:fldCharType="separate"/>
        </w:r>
        <w:r w:rsidR="006E6421">
          <w:rPr>
            <w:noProof/>
            <w:webHidden/>
          </w:rPr>
          <w:t>3</w:t>
        </w:r>
        <w:r w:rsidR="009A4234">
          <w:rPr>
            <w:noProof/>
            <w:webHidden/>
          </w:rPr>
          <w:fldChar w:fldCharType="end"/>
        </w:r>
      </w:hyperlink>
    </w:p>
    <w:p w:rsidR="009A4234" w:rsidRDefault="008E254B">
      <w:pPr>
        <w:pStyle w:val="TOC3"/>
        <w:rPr>
          <w:rFonts w:asciiTheme="minorHAnsi" w:eastAsiaTheme="minorEastAsia" w:hAnsiTheme="minorHAnsi" w:cstheme="minorBidi"/>
          <w:noProof/>
          <w:sz w:val="22"/>
          <w:szCs w:val="22"/>
        </w:rPr>
      </w:pPr>
      <w:hyperlink w:anchor="_Toc447024915" w:history="1">
        <w:r w:rsidR="009A4234" w:rsidRPr="009D756B">
          <w:rPr>
            <w:rStyle w:val="Hyperlink"/>
            <w:noProof/>
          </w:rPr>
          <w:t>2.</w:t>
        </w:r>
        <w:r w:rsidR="009A4234">
          <w:rPr>
            <w:rFonts w:asciiTheme="minorHAnsi" w:eastAsiaTheme="minorEastAsia" w:hAnsiTheme="minorHAnsi" w:cstheme="minorBidi"/>
            <w:noProof/>
            <w:sz w:val="22"/>
            <w:szCs w:val="22"/>
          </w:rPr>
          <w:tab/>
        </w:r>
        <w:r w:rsidR="009A4234" w:rsidRPr="009D756B">
          <w:rPr>
            <w:rStyle w:val="Hyperlink"/>
            <w:noProof/>
          </w:rPr>
          <w:t xml:space="preserve">Dominion’s current PIR program, where customers are </w:t>
        </w:r>
        <w:r w:rsidR="009A4234">
          <w:rPr>
            <w:rStyle w:val="Hyperlink"/>
            <w:noProof/>
          </w:rPr>
          <w:br/>
        </w:r>
        <w:r w:rsidR="009A4234" w:rsidRPr="009D756B">
          <w:rPr>
            <w:rStyle w:val="Hyperlink"/>
            <w:noProof/>
          </w:rPr>
          <w:t>charged $6.70 per month, is already ensuring safety by timely replacing thousands of miles of pipeline.</w:t>
        </w:r>
        <w:r w:rsidR="009A4234">
          <w:rPr>
            <w:noProof/>
            <w:webHidden/>
          </w:rPr>
          <w:tab/>
        </w:r>
        <w:r w:rsidR="009A4234">
          <w:rPr>
            <w:noProof/>
            <w:webHidden/>
          </w:rPr>
          <w:fldChar w:fldCharType="begin"/>
        </w:r>
        <w:r w:rsidR="009A4234">
          <w:rPr>
            <w:noProof/>
            <w:webHidden/>
          </w:rPr>
          <w:instrText xml:space="preserve"> PAGEREF _Toc447024915 \h </w:instrText>
        </w:r>
        <w:r w:rsidR="009A4234">
          <w:rPr>
            <w:noProof/>
            <w:webHidden/>
          </w:rPr>
        </w:r>
        <w:r w:rsidR="009A4234">
          <w:rPr>
            <w:noProof/>
            <w:webHidden/>
          </w:rPr>
          <w:fldChar w:fldCharType="separate"/>
        </w:r>
        <w:r w:rsidR="006E6421">
          <w:rPr>
            <w:noProof/>
            <w:webHidden/>
          </w:rPr>
          <w:t>5</w:t>
        </w:r>
        <w:r w:rsidR="009A4234">
          <w:rPr>
            <w:noProof/>
            <w:webHidden/>
          </w:rPr>
          <w:fldChar w:fldCharType="end"/>
        </w:r>
      </w:hyperlink>
    </w:p>
    <w:p w:rsidR="009A4234" w:rsidRDefault="008E254B">
      <w:pPr>
        <w:pStyle w:val="TOC3"/>
        <w:rPr>
          <w:rFonts w:asciiTheme="minorHAnsi" w:eastAsiaTheme="minorEastAsia" w:hAnsiTheme="minorHAnsi" w:cstheme="minorBidi"/>
          <w:noProof/>
          <w:sz w:val="22"/>
          <w:szCs w:val="22"/>
        </w:rPr>
      </w:pPr>
      <w:hyperlink w:anchor="_Toc447024916" w:history="1">
        <w:r w:rsidR="009A4234" w:rsidRPr="009D756B">
          <w:rPr>
            <w:rStyle w:val="Hyperlink"/>
            <w:noProof/>
          </w:rPr>
          <w:t>3.</w:t>
        </w:r>
        <w:r w:rsidR="009A4234">
          <w:rPr>
            <w:rFonts w:asciiTheme="minorHAnsi" w:eastAsiaTheme="minorEastAsia" w:hAnsiTheme="minorHAnsi" w:cstheme="minorBidi"/>
            <w:noProof/>
            <w:sz w:val="22"/>
            <w:szCs w:val="22"/>
          </w:rPr>
          <w:tab/>
        </w:r>
        <w:r w:rsidR="009A4234" w:rsidRPr="009D756B">
          <w:rPr>
            <w:rStyle w:val="Hyperlink"/>
            <w:noProof/>
          </w:rPr>
          <w:t xml:space="preserve">Dominion did not show that the cost increases to customers </w:t>
        </w:r>
        <w:r w:rsidR="009A4234">
          <w:rPr>
            <w:rStyle w:val="Hyperlink"/>
            <w:noProof/>
          </w:rPr>
          <w:br/>
        </w:r>
        <w:r w:rsidR="009A4234" w:rsidRPr="009D756B">
          <w:rPr>
            <w:rStyle w:val="Hyperlink"/>
            <w:noProof/>
          </w:rPr>
          <w:t>under its pipeline replacement program are reasonable.</w:t>
        </w:r>
        <w:r w:rsidR="009A4234">
          <w:rPr>
            <w:noProof/>
            <w:webHidden/>
          </w:rPr>
          <w:tab/>
        </w:r>
        <w:r w:rsidR="009A4234">
          <w:rPr>
            <w:noProof/>
            <w:webHidden/>
          </w:rPr>
          <w:fldChar w:fldCharType="begin"/>
        </w:r>
        <w:r w:rsidR="009A4234">
          <w:rPr>
            <w:noProof/>
            <w:webHidden/>
          </w:rPr>
          <w:instrText xml:space="preserve"> PAGEREF _Toc447024916 \h </w:instrText>
        </w:r>
        <w:r w:rsidR="009A4234">
          <w:rPr>
            <w:noProof/>
            <w:webHidden/>
          </w:rPr>
        </w:r>
        <w:r w:rsidR="009A4234">
          <w:rPr>
            <w:noProof/>
            <w:webHidden/>
          </w:rPr>
          <w:fldChar w:fldCharType="separate"/>
        </w:r>
        <w:r w:rsidR="006E6421">
          <w:rPr>
            <w:noProof/>
            <w:webHidden/>
          </w:rPr>
          <w:t>6</w:t>
        </w:r>
        <w:r w:rsidR="009A4234">
          <w:rPr>
            <w:noProof/>
            <w:webHidden/>
          </w:rPr>
          <w:fldChar w:fldCharType="end"/>
        </w:r>
      </w:hyperlink>
    </w:p>
    <w:p w:rsidR="009A4234" w:rsidRDefault="008E254B">
      <w:pPr>
        <w:pStyle w:val="TOC3"/>
        <w:rPr>
          <w:rFonts w:asciiTheme="minorHAnsi" w:eastAsiaTheme="minorEastAsia" w:hAnsiTheme="minorHAnsi" w:cstheme="minorBidi"/>
          <w:noProof/>
          <w:sz w:val="22"/>
          <w:szCs w:val="22"/>
        </w:rPr>
      </w:pPr>
      <w:hyperlink w:anchor="_Toc447024917" w:history="1">
        <w:r w:rsidR="009A4234" w:rsidRPr="009D756B">
          <w:rPr>
            <w:rStyle w:val="Hyperlink"/>
            <w:noProof/>
          </w:rPr>
          <w:t>4.</w:t>
        </w:r>
        <w:r w:rsidR="009A4234">
          <w:rPr>
            <w:rFonts w:asciiTheme="minorHAnsi" w:eastAsiaTheme="minorEastAsia" w:hAnsiTheme="minorHAnsi" w:cstheme="minorBidi"/>
            <w:noProof/>
            <w:sz w:val="22"/>
            <w:szCs w:val="22"/>
          </w:rPr>
          <w:tab/>
        </w:r>
        <w:r w:rsidR="009A4234" w:rsidRPr="009D756B">
          <w:rPr>
            <w:rStyle w:val="Hyperlink"/>
            <w:noProof/>
          </w:rPr>
          <w:t xml:space="preserve">Customers should benefit from the historically low gas prices </w:t>
        </w:r>
        <w:r w:rsidR="009A4234">
          <w:rPr>
            <w:rStyle w:val="Hyperlink"/>
            <w:noProof/>
          </w:rPr>
          <w:br/>
        </w:r>
        <w:r w:rsidR="009A4234" w:rsidRPr="009D756B">
          <w:rPr>
            <w:rStyle w:val="Hyperlink"/>
            <w:noProof/>
          </w:rPr>
          <w:t xml:space="preserve">in the market. This benefit will be lost if the PUCO approves </w:t>
        </w:r>
        <w:r w:rsidR="009A4234">
          <w:rPr>
            <w:rStyle w:val="Hyperlink"/>
            <w:noProof/>
          </w:rPr>
          <w:br/>
        </w:r>
        <w:r w:rsidR="009A4234" w:rsidRPr="009D756B">
          <w:rPr>
            <w:rStyle w:val="Hyperlink"/>
            <w:noProof/>
          </w:rPr>
          <w:t>these excessive increases to Dominion’s pipeline replacement charges.</w:t>
        </w:r>
        <w:r w:rsidR="009A4234">
          <w:rPr>
            <w:noProof/>
            <w:webHidden/>
          </w:rPr>
          <w:tab/>
        </w:r>
        <w:r w:rsidR="009A4234">
          <w:rPr>
            <w:noProof/>
            <w:webHidden/>
          </w:rPr>
          <w:fldChar w:fldCharType="begin"/>
        </w:r>
        <w:r w:rsidR="009A4234">
          <w:rPr>
            <w:noProof/>
            <w:webHidden/>
          </w:rPr>
          <w:instrText xml:space="preserve"> PAGEREF _Toc447024917 \h </w:instrText>
        </w:r>
        <w:r w:rsidR="009A4234">
          <w:rPr>
            <w:noProof/>
            <w:webHidden/>
          </w:rPr>
        </w:r>
        <w:r w:rsidR="009A4234">
          <w:rPr>
            <w:noProof/>
            <w:webHidden/>
          </w:rPr>
          <w:fldChar w:fldCharType="separate"/>
        </w:r>
        <w:r w:rsidR="006E6421">
          <w:rPr>
            <w:noProof/>
            <w:webHidden/>
          </w:rPr>
          <w:t>8</w:t>
        </w:r>
        <w:r w:rsidR="009A4234">
          <w:rPr>
            <w:noProof/>
            <w:webHidden/>
          </w:rPr>
          <w:fldChar w:fldCharType="end"/>
        </w:r>
      </w:hyperlink>
    </w:p>
    <w:p w:rsidR="009A4234" w:rsidRDefault="008E254B">
      <w:pPr>
        <w:pStyle w:val="TOC2"/>
        <w:rPr>
          <w:rFonts w:asciiTheme="minorHAnsi" w:eastAsiaTheme="minorEastAsia" w:hAnsiTheme="minorHAnsi" w:cstheme="minorBidi"/>
          <w:noProof/>
          <w:sz w:val="22"/>
          <w:szCs w:val="22"/>
        </w:rPr>
      </w:pPr>
      <w:hyperlink w:anchor="_Toc447024918" w:history="1">
        <w:r w:rsidR="009A4234" w:rsidRPr="009D756B">
          <w:rPr>
            <w:rStyle w:val="Hyperlink"/>
            <w:noProof/>
          </w:rPr>
          <w:t>B.</w:t>
        </w:r>
        <w:r w:rsidR="009A4234">
          <w:rPr>
            <w:rFonts w:asciiTheme="minorHAnsi" w:eastAsiaTheme="minorEastAsia" w:hAnsiTheme="minorHAnsi" w:cstheme="minorBidi"/>
            <w:noProof/>
            <w:sz w:val="22"/>
            <w:szCs w:val="22"/>
          </w:rPr>
          <w:tab/>
        </w:r>
        <w:r w:rsidR="009A4234" w:rsidRPr="009D756B">
          <w:rPr>
            <w:rStyle w:val="Hyperlink"/>
            <w:noProof/>
          </w:rPr>
          <w:t xml:space="preserve">The Stipulation as proposed does not meet the requirements for </w:t>
        </w:r>
        <w:r w:rsidR="009A4234">
          <w:rPr>
            <w:rStyle w:val="Hyperlink"/>
            <w:noProof/>
          </w:rPr>
          <w:br/>
        </w:r>
        <w:r w:rsidR="009A4234" w:rsidRPr="009D756B">
          <w:rPr>
            <w:rStyle w:val="Hyperlink"/>
            <w:noProof/>
          </w:rPr>
          <w:t>approval by the PUCO.</w:t>
        </w:r>
        <w:r w:rsidR="009A4234">
          <w:rPr>
            <w:noProof/>
            <w:webHidden/>
          </w:rPr>
          <w:tab/>
        </w:r>
        <w:r w:rsidR="009A4234">
          <w:rPr>
            <w:noProof/>
            <w:webHidden/>
          </w:rPr>
          <w:fldChar w:fldCharType="begin"/>
        </w:r>
        <w:r w:rsidR="009A4234">
          <w:rPr>
            <w:noProof/>
            <w:webHidden/>
          </w:rPr>
          <w:instrText xml:space="preserve"> PAGEREF _Toc447024918 \h </w:instrText>
        </w:r>
        <w:r w:rsidR="009A4234">
          <w:rPr>
            <w:noProof/>
            <w:webHidden/>
          </w:rPr>
        </w:r>
        <w:r w:rsidR="009A4234">
          <w:rPr>
            <w:noProof/>
            <w:webHidden/>
          </w:rPr>
          <w:fldChar w:fldCharType="separate"/>
        </w:r>
        <w:r w:rsidR="006E6421">
          <w:rPr>
            <w:noProof/>
            <w:webHidden/>
          </w:rPr>
          <w:t>9</w:t>
        </w:r>
        <w:r w:rsidR="009A4234">
          <w:rPr>
            <w:noProof/>
            <w:webHidden/>
          </w:rPr>
          <w:fldChar w:fldCharType="end"/>
        </w:r>
      </w:hyperlink>
    </w:p>
    <w:p w:rsidR="009A4234" w:rsidRDefault="008E254B">
      <w:pPr>
        <w:pStyle w:val="TOC1"/>
        <w:rPr>
          <w:rFonts w:asciiTheme="minorHAnsi" w:eastAsiaTheme="minorEastAsia" w:hAnsiTheme="minorHAnsi" w:cstheme="minorBidi"/>
          <w:caps w:val="0"/>
          <w:noProof/>
          <w:sz w:val="22"/>
          <w:szCs w:val="22"/>
        </w:rPr>
      </w:pPr>
      <w:hyperlink w:anchor="_Toc447024919" w:history="1">
        <w:r w:rsidR="009A4234" w:rsidRPr="009D756B">
          <w:rPr>
            <w:rStyle w:val="Hyperlink"/>
            <w:noProof/>
          </w:rPr>
          <w:t>III.</w:t>
        </w:r>
        <w:r w:rsidR="009A4234">
          <w:rPr>
            <w:rFonts w:asciiTheme="minorHAnsi" w:eastAsiaTheme="minorEastAsia" w:hAnsiTheme="minorHAnsi" w:cstheme="minorBidi"/>
            <w:caps w:val="0"/>
            <w:noProof/>
            <w:sz w:val="22"/>
            <w:szCs w:val="22"/>
          </w:rPr>
          <w:tab/>
        </w:r>
        <w:r w:rsidR="009A4234" w:rsidRPr="009D756B">
          <w:rPr>
            <w:rStyle w:val="Hyperlink"/>
            <w:noProof/>
          </w:rPr>
          <w:t>Conclusion</w:t>
        </w:r>
        <w:r w:rsidR="009A4234">
          <w:rPr>
            <w:noProof/>
            <w:webHidden/>
          </w:rPr>
          <w:tab/>
        </w:r>
        <w:r w:rsidR="009A4234">
          <w:rPr>
            <w:noProof/>
            <w:webHidden/>
          </w:rPr>
          <w:fldChar w:fldCharType="begin"/>
        </w:r>
        <w:r w:rsidR="009A4234">
          <w:rPr>
            <w:noProof/>
            <w:webHidden/>
          </w:rPr>
          <w:instrText xml:space="preserve"> PAGEREF _Toc447024919 \h </w:instrText>
        </w:r>
        <w:r w:rsidR="009A4234">
          <w:rPr>
            <w:noProof/>
            <w:webHidden/>
          </w:rPr>
        </w:r>
        <w:r w:rsidR="009A4234">
          <w:rPr>
            <w:noProof/>
            <w:webHidden/>
          </w:rPr>
          <w:fldChar w:fldCharType="separate"/>
        </w:r>
        <w:r w:rsidR="006E6421">
          <w:rPr>
            <w:noProof/>
            <w:webHidden/>
          </w:rPr>
          <w:t>11</w:t>
        </w:r>
        <w:r w:rsidR="009A4234">
          <w:rPr>
            <w:noProof/>
            <w:webHidden/>
          </w:rPr>
          <w:fldChar w:fldCharType="end"/>
        </w:r>
      </w:hyperlink>
    </w:p>
    <w:p w:rsidR="00813AC1" w:rsidRDefault="002163E5" w:rsidP="00813AC1">
      <w:pPr>
        <w:pStyle w:val="BodyTextIndent"/>
        <w:jc w:val="center"/>
        <w:rPr>
          <w:b/>
          <w:bCs/>
          <w:szCs w:val="24"/>
        </w:rPr>
      </w:pPr>
      <w:r>
        <w:rPr>
          <w:b/>
          <w:bCs/>
          <w:szCs w:val="24"/>
        </w:rPr>
        <w:fldChar w:fldCharType="end"/>
      </w:r>
      <w:r w:rsidR="00B0131B">
        <w:rPr>
          <w:b/>
          <w:bCs/>
          <w:szCs w:val="24"/>
        </w:rPr>
        <w:t xml:space="preserve"> </w:t>
      </w:r>
    </w:p>
    <w:p w:rsidR="005A7D39" w:rsidRDefault="005A7D39" w:rsidP="00366D5B">
      <w:pPr>
        <w:pStyle w:val="TOC1"/>
      </w:pPr>
    </w:p>
    <w:p w:rsidR="00813AC1" w:rsidRDefault="00813AC1" w:rsidP="00813AC1">
      <w:pPr>
        <w:pStyle w:val="BodyTextIndent"/>
        <w:jc w:val="right"/>
        <w:rPr>
          <w:b/>
          <w:bCs/>
          <w:szCs w:val="24"/>
          <w:u w:val="single"/>
        </w:rPr>
      </w:pPr>
    </w:p>
    <w:p w:rsidR="001C7FAE" w:rsidRDefault="001C7FAE" w:rsidP="00813AC1">
      <w:pPr>
        <w:pStyle w:val="BodyTextIndent"/>
        <w:rPr>
          <w:b/>
          <w:bCs/>
          <w:szCs w:val="24"/>
          <w:u w:val="single"/>
        </w:rPr>
        <w:sectPr w:rsidR="001C7FAE" w:rsidSect="00366D5B">
          <w:footerReference w:type="first" r:id="rId16"/>
          <w:pgSz w:w="12240" w:h="15840"/>
          <w:pgMar w:top="1440" w:right="1800" w:bottom="1440" w:left="1800" w:header="720" w:footer="720" w:gutter="0"/>
          <w:pgNumType w:fmt="lowerRoman" w:start="1"/>
          <w:cols w:space="720"/>
          <w:titlePg/>
          <w:docGrid w:linePitch="360"/>
        </w:sectPr>
      </w:pPr>
    </w:p>
    <w:p w:rsidR="00364C03" w:rsidRDefault="00364C03" w:rsidP="0036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lastRenderedPageBreak/>
        <w:t>BEFORE</w:t>
      </w:r>
    </w:p>
    <w:p w:rsidR="00364C03" w:rsidRDefault="00364C03" w:rsidP="0036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rPr>
      </w:pPr>
      <w:r>
        <w:rPr>
          <w:rFonts w:eastAsia="Courier New" w:cs="Courier New"/>
          <w:b/>
          <w:bCs/>
        </w:rPr>
        <w:t>THE PUBLIC UTILITIES COMMISSION OF OHIO</w:t>
      </w:r>
    </w:p>
    <w:p w:rsidR="00364C03" w:rsidRDefault="00364C03" w:rsidP="0036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9092" w:type="dxa"/>
        <w:tblLook w:val="01E0" w:firstRow="1" w:lastRow="1" w:firstColumn="1" w:lastColumn="1" w:noHBand="0" w:noVBand="0"/>
      </w:tblPr>
      <w:tblGrid>
        <w:gridCol w:w="4396"/>
        <w:gridCol w:w="296"/>
        <w:gridCol w:w="4400"/>
      </w:tblGrid>
      <w:tr w:rsidR="00364C03" w:rsidTr="000009EA">
        <w:trPr>
          <w:trHeight w:val="807"/>
        </w:trPr>
        <w:tc>
          <w:tcPr>
            <w:tcW w:w="4396" w:type="dxa"/>
            <w:hideMark/>
          </w:tcPr>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4"/>
              </w:rPr>
            </w:pPr>
            <w:r>
              <w:rPr>
                <w:rFonts w:eastAsia="Courier New"/>
                <w:szCs w:val="24"/>
              </w:rPr>
              <w:t xml:space="preserve">In the Matter of The East Ohio Gas Company d/b/a Dominion East Ohio for Approval of an Alternative Form of Regulation. </w:t>
            </w:r>
          </w:p>
        </w:tc>
        <w:tc>
          <w:tcPr>
            <w:tcW w:w="296" w:type="dxa"/>
            <w:hideMark/>
          </w:tcPr>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w:t>
            </w:r>
          </w:p>
        </w:tc>
        <w:tc>
          <w:tcPr>
            <w:tcW w:w="4400" w:type="dxa"/>
          </w:tcPr>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r>
              <w:rPr>
                <w:rFonts w:eastAsia="Courier New" w:cs="Courier New"/>
              </w:rPr>
              <w:t>Case No. 15-0362-GA-ALT</w:t>
            </w: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p w:rsidR="00364C03" w:rsidRDefault="00364C03" w:rsidP="0000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r>
    </w:tbl>
    <w:p w:rsidR="00364C03" w:rsidRDefault="00364C03" w:rsidP="00364C03"/>
    <w:p w:rsidR="00364C03" w:rsidRDefault="00364C03" w:rsidP="00364C03">
      <w:pPr>
        <w:pBdr>
          <w:top w:val="single" w:sz="12" w:space="1" w:color="auto"/>
        </w:pBdr>
      </w:pPr>
    </w:p>
    <w:p w:rsidR="00364C03" w:rsidRDefault="009C74B2" w:rsidP="00364C03">
      <w:pPr>
        <w:jc w:val="center"/>
        <w:rPr>
          <w:b/>
        </w:rPr>
      </w:pPr>
      <w:r>
        <w:rPr>
          <w:b/>
        </w:rPr>
        <w:t>REPLY</w:t>
      </w:r>
      <w:r w:rsidR="00364C03">
        <w:rPr>
          <w:b/>
        </w:rPr>
        <w:t xml:space="preserve"> BRIEF</w:t>
      </w:r>
    </w:p>
    <w:p w:rsidR="00364C03" w:rsidRDefault="00364C03" w:rsidP="00364C03">
      <w:pPr>
        <w:jc w:val="center"/>
        <w:rPr>
          <w:b/>
        </w:rPr>
      </w:pPr>
      <w:r>
        <w:rPr>
          <w:b/>
        </w:rPr>
        <w:t>BY</w:t>
      </w:r>
    </w:p>
    <w:p w:rsidR="00364C03" w:rsidRDefault="00364C03" w:rsidP="00364C03">
      <w:pPr>
        <w:jc w:val="center"/>
        <w:rPr>
          <w:b/>
        </w:rPr>
      </w:pPr>
      <w:r>
        <w:rPr>
          <w:b/>
        </w:rPr>
        <w:t>THE OFFICE OF THE OHIO CONSUMERS’ COUNSEL</w:t>
      </w:r>
    </w:p>
    <w:p w:rsidR="00364C03" w:rsidRDefault="00364C03" w:rsidP="00364C03">
      <w:pPr>
        <w:pBdr>
          <w:bottom w:val="single" w:sz="12" w:space="1" w:color="auto"/>
        </w:pBdr>
      </w:pPr>
    </w:p>
    <w:p w:rsidR="00364C03" w:rsidRDefault="00364C03" w:rsidP="00364C03"/>
    <w:p w:rsidR="00813AC1" w:rsidRPr="00B0131B" w:rsidRDefault="005A7D39" w:rsidP="00B0131B">
      <w:pPr>
        <w:pStyle w:val="Heading1"/>
      </w:pPr>
      <w:bookmarkStart w:id="1" w:name="_Toc446512345"/>
      <w:bookmarkStart w:id="2" w:name="_Toc447024911"/>
      <w:r w:rsidRPr="00B0131B">
        <w:t>Introduction</w:t>
      </w:r>
      <w:bookmarkEnd w:id="1"/>
      <w:bookmarkEnd w:id="2"/>
    </w:p>
    <w:p w:rsidR="00955C30" w:rsidRDefault="00055123" w:rsidP="00055123">
      <w:pPr>
        <w:spacing w:line="480" w:lineRule="auto"/>
        <w:ind w:firstLine="720"/>
      </w:pPr>
      <w:r>
        <w:t xml:space="preserve">The East Ohio Gas Company (“Dominion” or “Utility”) has filed an application seeking to </w:t>
      </w:r>
      <w:r w:rsidR="00353605">
        <w:t xml:space="preserve">nearly triple </w:t>
      </w:r>
      <w:r>
        <w:t xml:space="preserve">rates </w:t>
      </w:r>
      <w:r w:rsidR="00353605">
        <w:t>charged to its residential customer</w:t>
      </w:r>
      <w:r w:rsidR="00CE038E">
        <w:t>s</w:t>
      </w:r>
      <w:r w:rsidR="00353605">
        <w:t xml:space="preserve"> </w:t>
      </w:r>
      <w:r w:rsidR="00DC2392">
        <w:t>for</w:t>
      </w:r>
      <w:r>
        <w:t xml:space="preserve"> </w:t>
      </w:r>
      <w:r w:rsidR="00353605">
        <w:t>its</w:t>
      </w:r>
      <w:r>
        <w:t xml:space="preserve"> Pipeline Infrastructure Replacement</w:t>
      </w:r>
      <w:r w:rsidR="00F95783">
        <w:t xml:space="preserve"> (“PIR”)</w:t>
      </w:r>
      <w:r w:rsidR="00353605">
        <w:t xml:space="preserve"> program</w:t>
      </w:r>
      <w:r w:rsidR="00F95783">
        <w:t xml:space="preserve">. </w:t>
      </w:r>
      <w:r w:rsidR="00353605">
        <w:t>If the utility's application is approved re</w:t>
      </w:r>
      <w:r>
        <w:t>sidential customers</w:t>
      </w:r>
      <w:r w:rsidR="00754971">
        <w:t>’</w:t>
      </w:r>
      <w:r>
        <w:t xml:space="preserve"> </w:t>
      </w:r>
      <w:r w:rsidR="00353605">
        <w:t>rates increase f</w:t>
      </w:r>
      <w:r>
        <w:t xml:space="preserve">rom the current rates </w:t>
      </w:r>
      <w:r w:rsidR="00DC2392">
        <w:t>of</w:t>
      </w:r>
      <w:r>
        <w:t xml:space="preserve"> $6.70 to $17.20</w:t>
      </w:r>
      <w:r w:rsidR="00DC2392">
        <w:t xml:space="preserve"> in 2021</w:t>
      </w:r>
      <w:r>
        <w:t>.</w:t>
      </w:r>
      <w:r>
        <w:rPr>
          <w:rStyle w:val="FootnoteReference"/>
        </w:rPr>
        <w:footnoteReference w:id="1"/>
      </w:r>
      <w:r>
        <w:t xml:space="preserve"> </w:t>
      </w:r>
      <w:r w:rsidR="00353605">
        <w:t>But t</w:t>
      </w:r>
      <w:r>
        <w:t>his increase is not warranted</w:t>
      </w:r>
      <w:r w:rsidR="00D90866">
        <w:t xml:space="preserve">. The Public Utilities Commission (“PUCO”) should protect consumers and reject the stipulation that allows this increase. </w:t>
      </w:r>
      <w:r w:rsidR="00353605">
        <w:t>Instead,</w:t>
      </w:r>
      <w:r w:rsidR="00C42F8D">
        <w:t xml:space="preserve"> the PUCO sho</w:t>
      </w:r>
      <w:r w:rsidR="00D90866">
        <w:t>uld freeze the current rate at the existing</w:t>
      </w:r>
      <w:r w:rsidR="00C42F8D">
        <w:t xml:space="preserve"> cap </w:t>
      </w:r>
      <w:r w:rsidR="00D90866">
        <w:t xml:space="preserve">of </w:t>
      </w:r>
      <w:r w:rsidR="00C42F8D">
        <w:t>$1.40 for the next five-year PIR period</w:t>
      </w:r>
      <w:r w:rsidR="00CE038E">
        <w:t>.</w:t>
      </w:r>
    </w:p>
    <w:p w:rsidR="00055123" w:rsidRDefault="00055123" w:rsidP="00940540">
      <w:pPr>
        <w:ind w:firstLine="720"/>
      </w:pPr>
    </w:p>
    <w:p w:rsidR="00DC2392" w:rsidRDefault="00365FE8" w:rsidP="00B0131B">
      <w:pPr>
        <w:pStyle w:val="Heading1"/>
      </w:pPr>
      <w:bookmarkStart w:id="3" w:name="_Toc446512346"/>
      <w:bookmarkStart w:id="4" w:name="_Toc447024912"/>
      <w:r>
        <w:t>R</w:t>
      </w:r>
      <w:r w:rsidR="00DC2392">
        <w:t>ecommendations</w:t>
      </w:r>
      <w:bookmarkEnd w:id="3"/>
      <w:bookmarkEnd w:id="4"/>
    </w:p>
    <w:p w:rsidR="00415942" w:rsidRDefault="00415942" w:rsidP="00D51656">
      <w:pPr>
        <w:spacing w:line="480" w:lineRule="auto"/>
        <w:ind w:firstLine="720"/>
      </w:pPr>
      <w:r>
        <w:t>Dominion claims that</w:t>
      </w:r>
      <w:r w:rsidR="0043353A">
        <w:t xml:space="preserve"> their PIR plan meets both the criteria for evaluating a stipulation and is just and reasonable as required by Ohio law.</w:t>
      </w:r>
      <w:r w:rsidR="0043353A">
        <w:rPr>
          <w:rStyle w:val="FootnoteReference"/>
        </w:rPr>
        <w:footnoteReference w:id="2"/>
      </w:r>
      <w:r w:rsidR="00D51656">
        <w:t xml:space="preserve"> </w:t>
      </w:r>
      <w:r w:rsidR="00353605">
        <w:t>But, a</w:t>
      </w:r>
      <w:r w:rsidR="00D51656">
        <w:t xml:space="preserve">s demonstrated in </w:t>
      </w:r>
      <w:r w:rsidR="00353605">
        <w:t>OCC's</w:t>
      </w:r>
      <w:r w:rsidR="00D51656">
        <w:t xml:space="preserve"> initial brief,</w:t>
      </w:r>
      <w:r w:rsidR="00D51656">
        <w:rPr>
          <w:rStyle w:val="FootnoteReference"/>
        </w:rPr>
        <w:footnoteReference w:id="3"/>
      </w:r>
      <w:r w:rsidR="00D51656">
        <w:t xml:space="preserve"> this is not the case</w:t>
      </w:r>
      <w:r w:rsidR="009A3090">
        <w:t xml:space="preserve">. </w:t>
      </w:r>
      <w:r w:rsidR="00D51656">
        <w:t xml:space="preserve">Dominion is seeking authority to significantly </w:t>
      </w:r>
      <w:r w:rsidR="00D51656">
        <w:lastRenderedPageBreak/>
        <w:t xml:space="preserve">increase rates on residential customers in a manner that is unnecessary, unjust and unreasonable. </w:t>
      </w:r>
    </w:p>
    <w:p w:rsidR="00D845A0" w:rsidRPr="00F9356D" w:rsidRDefault="00D845A0" w:rsidP="002E5D02">
      <w:pPr>
        <w:pStyle w:val="Heading2"/>
      </w:pPr>
      <w:bookmarkStart w:id="5" w:name="_Toc446512347"/>
      <w:bookmarkStart w:id="6" w:name="_Toc447024913"/>
      <w:r w:rsidRPr="00F9356D">
        <w:t xml:space="preserve">Dominion’s proposal </w:t>
      </w:r>
      <w:r w:rsidR="00891D5E">
        <w:t xml:space="preserve">to increase customers’ rates </w:t>
      </w:r>
      <w:r w:rsidR="009A3090">
        <w:t>will not ensure that customers will be provided reasonably priced gas service</w:t>
      </w:r>
      <w:bookmarkEnd w:id="5"/>
      <w:r w:rsidR="00AF673C">
        <w:t>.</w:t>
      </w:r>
      <w:bookmarkEnd w:id="6"/>
    </w:p>
    <w:p w:rsidR="009A3090" w:rsidRDefault="00D845A0" w:rsidP="001D3072">
      <w:pPr>
        <w:spacing w:line="480" w:lineRule="auto"/>
      </w:pPr>
      <w:r>
        <w:tab/>
        <w:t xml:space="preserve">In order to obtain the </w:t>
      </w:r>
      <w:r w:rsidR="00996880">
        <w:t>P</w:t>
      </w:r>
      <w:r>
        <w:t>UCO’s approval for its proposed a</w:t>
      </w:r>
      <w:r w:rsidR="00996880">
        <w:t>l</w:t>
      </w:r>
      <w:r>
        <w:t xml:space="preserve">ternative regulation plan, Dominion, according to R.C. </w:t>
      </w:r>
      <w:r w:rsidR="00DD672A">
        <w:t>§</w:t>
      </w:r>
      <w:r>
        <w:t>4929.05</w:t>
      </w:r>
      <w:r w:rsidR="00AF02F9">
        <w:t>(</w:t>
      </w:r>
      <w:r>
        <w:t xml:space="preserve">1), must demonstrate that it is in compliance with R.C. </w:t>
      </w:r>
      <w:r w:rsidR="00DD672A">
        <w:t>§</w:t>
      </w:r>
      <w:r>
        <w:t xml:space="preserve">4929.02. An important requirement of R.C. </w:t>
      </w:r>
      <w:r w:rsidR="00DD672A">
        <w:t>§</w:t>
      </w:r>
      <w:r>
        <w:t xml:space="preserve">4929.02 </w:t>
      </w:r>
      <w:r w:rsidR="00AF02F9">
        <w:t>is</w:t>
      </w:r>
      <w:r>
        <w:t xml:space="preserve"> “</w:t>
      </w:r>
      <w:r w:rsidR="00996880">
        <w:t>the availability to consumers of adequate, reliable, and reasonably priced natural gas services and goods”</w:t>
      </w:r>
      <w:r w:rsidR="00996880">
        <w:rPr>
          <w:rStyle w:val="FootnoteReference"/>
        </w:rPr>
        <w:footnoteReference w:id="4"/>
      </w:r>
      <w:r w:rsidR="00996880">
        <w:t xml:space="preserve"> In its Initial Brief, Dominion claims that is complies with R.C. </w:t>
      </w:r>
      <w:r w:rsidR="00DD672A">
        <w:t>§</w:t>
      </w:r>
      <w:r w:rsidR="00996880">
        <w:t>4929.02</w:t>
      </w:r>
      <w:r w:rsidR="0037315B">
        <w:t xml:space="preserve"> because </w:t>
      </w:r>
      <w:r w:rsidR="000558C2">
        <w:t>the Utility</w:t>
      </w:r>
      <w:r w:rsidR="0037315B">
        <w:t xml:space="preserve"> provides numerous options for gas service on varying terms,</w:t>
      </w:r>
      <w:r w:rsidR="0037315B">
        <w:rPr>
          <w:rStyle w:val="FootnoteReference"/>
        </w:rPr>
        <w:footnoteReference w:id="5"/>
      </w:r>
      <w:r w:rsidR="0037315B">
        <w:t xml:space="preserve"> that its rates do not provide subsidies,</w:t>
      </w:r>
      <w:r w:rsidR="0037315B">
        <w:rPr>
          <w:rStyle w:val="FootnoteReference"/>
        </w:rPr>
        <w:footnoteReference w:id="6"/>
      </w:r>
      <w:r w:rsidR="0037315B">
        <w:t xml:space="preserve"> that it provides funding for low-income weatherization,</w:t>
      </w:r>
      <w:r w:rsidR="0037315B">
        <w:rPr>
          <w:rStyle w:val="FootnoteReference"/>
        </w:rPr>
        <w:footnoteReference w:id="7"/>
      </w:r>
      <w:r w:rsidR="0037315B">
        <w:t xml:space="preserve"> etc. Dominion makes no claim in its brief that it complies with R.C. </w:t>
      </w:r>
      <w:r w:rsidR="00DD672A">
        <w:t>§</w:t>
      </w:r>
      <w:r w:rsidR="0037315B">
        <w:t xml:space="preserve">4929.02(A)(1)’s requirement that gas rates are available to consumers at a reasonable price. </w:t>
      </w:r>
    </w:p>
    <w:p w:rsidR="009A3090" w:rsidRDefault="009A3090" w:rsidP="001D3072">
      <w:pPr>
        <w:spacing w:line="480" w:lineRule="auto"/>
      </w:pPr>
      <w:r>
        <w:tab/>
      </w:r>
      <w:r w:rsidR="00DD672A">
        <w:t>N</w:t>
      </w:r>
      <w:r>
        <w:t xml:space="preserve">either </w:t>
      </w:r>
      <w:r w:rsidR="00AF02F9">
        <w:t xml:space="preserve">Dominion’s application, nor the Stipulation in this case, </w:t>
      </w:r>
      <w:r>
        <w:t>ensure</w:t>
      </w:r>
      <w:r w:rsidR="00CE038E">
        <w:t>s</w:t>
      </w:r>
      <w:r>
        <w:t xml:space="preserve"> that gas service is made available to customers at reasonable prices. </w:t>
      </w:r>
      <w:r w:rsidR="0037315B">
        <w:t xml:space="preserve">If the PUCO approves the Utility and </w:t>
      </w:r>
      <w:r w:rsidR="00754971">
        <w:t>S</w:t>
      </w:r>
      <w:r w:rsidR="0037315B">
        <w:t>taff’s St</w:t>
      </w:r>
      <w:r w:rsidR="00F95783">
        <w:t>ipulation, customers will see the PIR rider</w:t>
      </w:r>
      <w:r w:rsidR="00CE038E">
        <w:t xml:space="preserve"> </w:t>
      </w:r>
      <w:r w:rsidR="0037315B">
        <w:t>charge</w:t>
      </w:r>
      <w:r w:rsidR="00AF02F9">
        <w:t xml:space="preserve"> go from $6.70</w:t>
      </w:r>
      <w:r w:rsidR="0037315B">
        <w:t xml:space="preserve"> </w:t>
      </w:r>
      <w:r w:rsidR="00CE038E">
        <w:t>to</w:t>
      </w:r>
      <w:r w:rsidR="0037315B">
        <w:t xml:space="preserve"> $17.20 within the next five years.</w:t>
      </w:r>
      <w:r w:rsidR="00F95783">
        <w:rPr>
          <w:rStyle w:val="FootnoteReference"/>
        </w:rPr>
        <w:footnoteReference w:id="8"/>
      </w:r>
      <w:r w:rsidR="0037315B">
        <w:t xml:space="preserve"> </w:t>
      </w:r>
      <w:r w:rsidR="00AF02F9">
        <w:t>If the PUCO approves this application, consumers will see th</w:t>
      </w:r>
      <w:r w:rsidR="000558C2">
        <w:t>eir bills increase over $10.00 per month</w:t>
      </w:r>
      <w:r w:rsidR="00AF02F9">
        <w:t xml:space="preserve">. </w:t>
      </w:r>
    </w:p>
    <w:p w:rsidR="00981F09" w:rsidRDefault="009A3090" w:rsidP="001D3072">
      <w:pPr>
        <w:spacing w:line="480" w:lineRule="auto"/>
      </w:pPr>
      <w:r>
        <w:tab/>
      </w:r>
      <w:r w:rsidR="00CE038E">
        <w:t>Moreo</w:t>
      </w:r>
      <w:r>
        <w:t>ver, in addition</w:t>
      </w:r>
      <w:r w:rsidR="000558C2">
        <w:t xml:space="preserve"> to the significant increase in consumers’ monthly bills, there will be no overall review of Dominion’s costs associated with providing gas </w:t>
      </w:r>
      <w:r w:rsidR="000046DA">
        <w:t>service</w:t>
      </w:r>
      <w:r w:rsidR="000558C2">
        <w:t xml:space="preserve">. This application </w:t>
      </w:r>
      <w:r w:rsidR="00CE038E">
        <w:t>only presents Utility's needs related to a</w:t>
      </w:r>
      <w:r w:rsidR="000558C2">
        <w:t xml:space="preserve"> specific pipeline investments </w:t>
      </w:r>
      <w:r w:rsidR="00CE038E">
        <w:t>program. It is</w:t>
      </w:r>
      <w:r w:rsidR="00AF02F9">
        <w:t xml:space="preserve"> a</w:t>
      </w:r>
      <w:r w:rsidR="000558C2">
        <w:t xml:space="preserve"> </w:t>
      </w:r>
      <w:r w:rsidR="00AF02F9">
        <w:t xml:space="preserve">piecemeal </w:t>
      </w:r>
      <w:r w:rsidR="000558C2">
        <w:t>attempt to</w:t>
      </w:r>
      <w:r w:rsidR="00CE038E">
        <w:t xml:space="preserve"> significantly</w:t>
      </w:r>
      <w:r w:rsidR="000558C2">
        <w:t xml:space="preserve"> increase rates</w:t>
      </w:r>
      <w:r>
        <w:t xml:space="preserve"> to customers </w:t>
      </w:r>
      <w:r w:rsidR="000558C2">
        <w:t>without a thoro</w:t>
      </w:r>
      <w:r w:rsidR="001D3072">
        <w:t>u</w:t>
      </w:r>
      <w:r w:rsidR="000558C2">
        <w:t xml:space="preserve">gh review </w:t>
      </w:r>
      <w:r>
        <w:t xml:space="preserve">of </w:t>
      </w:r>
      <w:r w:rsidR="000558C2">
        <w:t>Dominion’s regulated distribution operations</w:t>
      </w:r>
      <w:r>
        <w:t>.</w:t>
      </w:r>
      <w:r w:rsidR="000558C2">
        <w:t xml:space="preserve"> This </w:t>
      </w:r>
      <w:r w:rsidR="001D3072">
        <w:t>Stipulation</w:t>
      </w:r>
      <w:r w:rsidR="00AF02F9">
        <w:t xml:space="preserve"> has the potential to </w:t>
      </w:r>
      <w:r w:rsidR="00C332DE">
        <w:t>nearly</w:t>
      </w:r>
      <w:r w:rsidR="00DD42ED">
        <w:t xml:space="preserve"> triple</w:t>
      </w:r>
      <w:r w:rsidR="00955C30">
        <w:t xml:space="preserve"> </w:t>
      </w:r>
      <w:r w:rsidR="00AF02F9">
        <w:t xml:space="preserve">the </w:t>
      </w:r>
      <w:r w:rsidR="00CE038E">
        <w:t xml:space="preserve">pipeline investment </w:t>
      </w:r>
      <w:r w:rsidR="00AF02F9">
        <w:t>charge</w:t>
      </w:r>
      <w:r>
        <w:t xml:space="preserve">. It does not ensure that customers will receive </w:t>
      </w:r>
      <w:r w:rsidR="000558C2">
        <w:t>gas service at a reasonable price.</w:t>
      </w:r>
    </w:p>
    <w:p w:rsidR="000046DA" w:rsidRPr="00F9356D" w:rsidRDefault="000046DA" w:rsidP="002E5D02">
      <w:pPr>
        <w:pStyle w:val="Heading3"/>
      </w:pPr>
      <w:bookmarkStart w:id="7" w:name="_Toc446512348"/>
      <w:bookmarkStart w:id="8" w:name="_Toc447024914"/>
      <w:r w:rsidRPr="00F9356D">
        <w:t xml:space="preserve">Dominion failed to justify </w:t>
      </w:r>
      <w:r w:rsidR="00CE038E">
        <w:t>its</w:t>
      </w:r>
      <w:r w:rsidRPr="00F9356D">
        <w:t xml:space="preserve"> need to accelerate the program</w:t>
      </w:r>
      <w:r w:rsidR="00CE038E">
        <w:t>, which impose</w:t>
      </w:r>
      <w:r w:rsidR="00754971">
        <w:t>s</w:t>
      </w:r>
      <w:r w:rsidR="00CE038E">
        <w:t xml:space="preserve"> sig</w:t>
      </w:r>
      <w:r w:rsidR="00FA7121">
        <w:t xml:space="preserve">nificant rate increases on its </w:t>
      </w:r>
      <w:r w:rsidR="00CE038E">
        <w:t>customers</w:t>
      </w:r>
      <w:r w:rsidRPr="00F9356D">
        <w:t>.</w:t>
      </w:r>
      <w:bookmarkEnd w:id="7"/>
      <w:bookmarkEnd w:id="8"/>
    </w:p>
    <w:p w:rsidR="00415942" w:rsidRDefault="009D4DB6" w:rsidP="00D51656">
      <w:pPr>
        <w:spacing w:line="480" w:lineRule="auto"/>
        <w:ind w:firstLine="720"/>
      </w:pPr>
      <w:r>
        <w:t>Dominion claims that the stipulation meets the standard articulated in Ohio law for a just and reasonable alternative rate plan.</w:t>
      </w:r>
      <w:r>
        <w:rPr>
          <w:rStyle w:val="FootnoteReference"/>
        </w:rPr>
        <w:footnoteReference w:id="9"/>
      </w:r>
      <w:r>
        <w:t xml:space="preserve"> </w:t>
      </w:r>
      <w:r w:rsidR="006D018B">
        <w:t>Dominion</w:t>
      </w:r>
      <w:r w:rsidR="00F95783">
        <w:t xml:space="preserve"> further</w:t>
      </w:r>
      <w:r w:rsidR="006D018B">
        <w:t xml:space="preserve"> claims that the program is necessary to mitigate the safety risks posed by corrosion prone pipeline.</w:t>
      </w:r>
      <w:r w:rsidR="006D018B">
        <w:rPr>
          <w:rStyle w:val="FootnoteReference"/>
        </w:rPr>
        <w:footnoteReference w:id="10"/>
      </w:r>
      <w:r w:rsidR="00870E7E">
        <w:t xml:space="preserve"> </w:t>
      </w:r>
      <w:r w:rsidR="006D018B">
        <w:t xml:space="preserve">OCC </w:t>
      </w:r>
      <w:r w:rsidR="009A3090">
        <w:t>agrees that it is important to</w:t>
      </w:r>
      <w:r w:rsidR="006D018B">
        <w:t xml:space="preserve"> </w:t>
      </w:r>
      <w:r w:rsidR="000046DA">
        <w:t>maintain a safe and reliable distribution system</w:t>
      </w:r>
      <w:r w:rsidR="001419C5">
        <w:t>. However, it should be noted that</w:t>
      </w:r>
      <w:r w:rsidR="00C27662">
        <w:t xml:space="preserve"> Dominion is required under Ohio law to provide service in a safe and reliable manner.</w:t>
      </w:r>
      <w:r w:rsidR="00C27662">
        <w:rPr>
          <w:rStyle w:val="FootnoteReference"/>
        </w:rPr>
        <w:footnoteReference w:id="11"/>
      </w:r>
      <w:r w:rsidR="00C27662">
        <w:t xml:space="preserve"> </w:t>
      </w:r>
    </w:p>
    <w:p w:rsidR="00CC275B" w:rsidRDefault="00C27662" w:rsidP="00D51656">
      <w:pPr>
        <w:spacing w:line="480" w:lineRule="auto"/>
        <w:ind w:firstLine="720"/>
      </w:pPr>
      <w:r>
        <w:t xml:space="preserve">Dominion insists that the increases are necessary to meet </w:t>
      </w:r>
      <w:r w:rsidR="009A3090">
        <w:t xml:space="preserve">its </w:t>
      </w:r>
      <w:r>
        <w:t>accelerated timeline</w:t>
      </w:r>
      <w:r w:rsidR="009A3090">
        <w:t>.</w:t>
      </w:r>
      <w:r w:rsidR="00E5137E">
        <w:t xml:space="preserve"> </w:t>
      </w:r>
      <w:r w:rsidR="00CE038E">
        <w:t xml:space="preserve">But </w:t>
      </w:r>
      <w:r w:rsidR="00E5137E">
        <w:t xml:space="preserve">Dominion provides little justification for keeping the 25-year deadline beyond the </w:t>
      </w:r>
      <w:r w:rsidR="00754971">
        <w:t xml:space="preserve">increasing </w:t>
      </w:r>
      <w:r w:rsidR="00E5137E">
        <w:t>age of the pipeline.</w:t>
      </w:r>
      <w:r w:rsidR="00E5137E">
        <w:rPr>
          <w:rStyle w:val="FootnoteReference"/>
        </w:rPr>
        <w:footnoteReference w:id="12"/>
      </w:r>
      <w:r w:rsidR="00CC275B">
        <w:t xml:space="preserve"> In fact, in the original Black and Veatch report from the beginning of the program, the 25-year period was considered “the shortest manageable time frame” from</w:t>
      </w:r>
      <w:r w:rsidR="00DD42ED">
        <w:t xml:space="preserve"> the perspective of</w:t>
      </w:r>
      <w:r w:rsidR="00CC275B">
        <w:t xml:space="preserve"> Dominion</w:t>
      </w:r>
      <w:r w:rsidR="00DD42ED">
        <w:t>’s</w:t>
      </w:r>
      <w:r w:rsidR="00CC275B">
        <w:t xml:space="preserve"> management.</w:t>
      </w:r>
      <w:r w:rsidR="00CC275B">
        <w:rPr>
          <w:rStyle w:val="FootnoteReference"/>
        </w:rPr>
        <w:footnoteReference w:id="13"/>
      </w:r>
      <w:r w:rsidR="00CC275B">
        <w:t xml:space="preserve"> Simply because it</w:t>
      </w:r>
      <w:r w:rsidR="00CE038E">
        <w:t xml:space="preserve"> is considered to be </w:t>
      </w:r>
      <w:r w:rsidR="00CC275B">
        <w:t xml:space="preserve">the shortest possible timeframe, does not make </w:t>
      </w:r>
      <w:r w:rsidR="00F95783">
        <w:t xml:space="preserve">it the best </w:t>
      </w:r>
      <w:r w:rsidR="00CC275B">
        <w:t xml:space="preserve">timeframe for the program. In fact, in </w:t>
      </w:r>
      <w:r w:rsidR="00CE038E">
        <w:t>its Initial Brief</w:t>
      </w:r>
      <w:r w:rsidR="00DD42ED">
        <w:t>,</w:t>
      </w:r>
      <w:r w:rsidR="00CE038E">
        <w:t xml:space="preserve"> </w:t>
      </w:r>
      <w:r w:rsidR="00CC275B">
        <w:t>OCC has already described at length</w:t>
      </w:r>
      <w:r w:rsidR="00CE038E">
        <w:t xml:space="preserve"> </w:t>
      </w:r>
      <w:r w:rsidR="00DD42ED">
        <w:t xml:space="preserve">its </w:t>
      </w:r>
      <w:r w:rsidR="00CC275B">
        <w:t xml:space="preserve">concerns </w:t>
      </w:r>
      <w:r w:rsidR="00DD42ED">
        <w:t xml:space="preserve">that the costs of the program may decrease and </w:t>
      </w:r>
      <w:r w:rsidR="00C332DE">
        <w:t xml:space="preserve">thus, </w:t>
      </w:r>
      <w:r w:rsidR="00DD42ED">
        <w:t xml:space="preserve">the </w:t>
      </w:r>
      <w:r w:rsidR="00CC275B">
        <w:t>rate increase proposed by Dominion</w:t>
      </w:r>
      <w:r w:rsidR="00DD42ED">
        <w:t xml:space="preserve"> may not be warranted</w:t>
      </w:r>
      <w:r w:rsidR="00CC275B">
        <w:t xml:space="preserve">. </w:t>
      </w:r>
      <w:r w:rsidR="00CC275B">
        <w:rPr>
          <w:rStyle w:val="FootnoteReference"/>
        </w:rPr>
        <w:footnoteReference w:id="14"/>
      </w:r>
    </w:p>
    <w:p w:rsidR="008349B9" w:rsidRDefault="00C27662" w:rsidP="00D51656">
      <w:pPr>
        <w:spacing w:line="480" w:lineRule="auto"/>
        <w:ind w:firstLine="720"/>
      </w:pPr>
      <w:r>
        <w:t>OCC has shown that</w:t>
      </w:r>
      <w:r w:rsidR="001419C5">
        <w:t xml:space="preserve"> it might be</w:t>
      </w:r>
      <w:r>
        <w:t xml:space="preserve"> possible to </w:t>
      </w:r>
      <w:r w:rsidR="008349B9">
        <w:t xml:space="preserve">extend </w:t>
      </w:r>
      <w:r>
        <w:t xml:space="preserve">the </w:t>
      </w:r>
      <w:r w:rsidR="00817303">
        <w:t xml:space="preserve">length of the </w:t>
      </w:r>
      <w:r>
        <w:t xml:space="preserve">program while still </w:t>
      </w:r>
      <w:r w:rsidR="008349B9">
        <w:t>fulfilling the objectives of the program: to increase safety and reduce leaks.</w:t>
      </w:r>
      <w:r>
        <w:rPr>
          <w:rStyle w:val="FootnoteReference"/>
        </w:rPr>
        <w:footnoteReference w:id="15"/>
      </w:r>
      <w:r w:rsidR="00191FDB">
        <w:t xml:space="preserve"> Based on the current timeline, Dominion</w:t>
      </w:r>
      <w:r w:rsidR="00DD42ED">
        <w:t xml:space="preserve"> can be expected to </w:t>
      </w:r>
      <w:r w:rsidR="00191FDB">
        <w:t>replace</w:t>
      </w:r>
      <w:r w:rsidR="008349B9">
        <w:t xml:space="preserve"> </w:t>
      </w:r>
      <w:r w:rsidR="00DD42ED">
        <w:t xml:space="preserve">around </w:t>
      </w:r>
      <w:r w:rsidR="00191FDB">
        <w:t>four percent</w:t>
      </w:r>
      <w:r w:rsidR="008349B9">
        <w:t xml:space="preserve"> of </w:t>
      </w:r>
      <w:r w:rsidR="00DD42ED">
        <w:t>the</w:t>
      </w:r>
      <w:r w:rsidR="008349B9">
        <w:t xml:space="preserve"> pipes</w:t>
      </w:r>
      <w:r w:rsidR="00DD42ED">
        <w:t xml:space="preserve"> included in the program</w:t>
      </w:r>
      <w:r w:rsidR="008349B9">
        <w:t xml:space="preserve"> each year</w:t>
      </w:r>
      <w:r w:rsidR="00191FDB">
        <w:t>.</w:t>
      </w:r>
      <w:r w:rsidR="00191FDB">
        <w:rPr>
          <w:rStyle w:val="FootnoteReference"/>
        </w:rPr>
        <w:footnoteReference w:id="16"/>
      </w:r>
      <w:r w:rsidR="00191FDB">
        <w:t xml:space="preserve"> However, Dominion has failed to show what would happen if </w:t>
      </w:r>
      <w:r w:rsidR="008349B9">
        <w:t xml:space="preserve">they </w:t>
      </w:r>
      <w:r w:rsidR="00DD42ED">
        <w:t>were to adopt a lower replacement rate to spread the program over a longer timeline</w:t>
      </w:r>
      <w:r w:rsidR="008349B9">
        <w:t>.</w:t>
      </w:r>
      <w:r w:rsidR="00191FDB">
        <w:rPr>
          <w:rStyle w:val="FootnoteReference"/>
        </w:rPr>
        <w:footnoteReference w:id="17"/>
      </w:r>
      <w:r w:rsidR="00191FDB">
        <w:t xml:space="preserve"> </w:t>
      </w:r>
    </w:p>
    <w:p w:rsidR="00F053FE" w:rsidRDefault="00191FDB" w:rsidP="00D51656">
      <w:pPr>
        <w:spacing w:line="480" w:lineRule="auto"/>
        <w:ind w:firstLine="720"/>
      </w:pPr>
      <w:r>
        <w:t xml:space="preserve">OCC witness O’Neill, who has developed </w:t>
      </w:r>
      <w:r w:rsidR="00E07D09">
        <w:t>models</w:t>
      </w:r>
      <w:r w:rsidR="00DD42ED">
        <w:t xml:space="preserve"> for replacement for other utilities</w:t>
      </w:r>
      <w:r w:rsidR="00E07D09">
        <w:t>, describes how that even under a three percent replacement program, leaks could still continue to decrease substantially.</w:t>
      </w:r>
      <w:r w:rsidR="00E07D09">
        <w:rPr>
          <w:rStyle w:val="FootnoteReference"/>
        </w:rPr>
        <w:footnoteReference w:id="18"/>
      </w:r>
      <w:r w:rsidR="00E07D09">
        <w:t xml:space="preserve"> Furthermore, prioritization of the replacement would likely be based on “worst first” criterion and therefore the pipe left in year 25 would be the best pipe of that type in the system.</w:t>
      </w:r>
      <w:r w:rsidR="00E07D09">
        <w:rPr>
          <w:rStyle w:val="FootnoteReference"/>
        </w:rPr>
        <w:footnoteReference w:id="19"/>
      </w:r>
      <w:r w:rsidR="00E07D09">
        <w:t xml:space="preserve"> </w:t>
      </w:r>
      <w:r w:rsidR="0050671F">
        <w:t>Slowing down the pipeline replacement will contribute to</w:t>
      </w:r>
      <w:r w:rsidR="0050671F" w:rsidRPr="0050671F">
        <w:t xml:space="preserve"> </w:t>
      </w:r>
      <w:r w:rsidR="0050671F">
        <w:t>reasonably priced natural gas services and goods as required under R.C. 4929.02.</w:t>
      </w:r>
      <w:r w:rsidR="0050671F" w:rsidRPr="0050671F">
        <w:t xml:space="preserve"> </w:t>
      </w:r>
      <w:r w:rsidR="00E07D09" w:rsidRPr="0050671F">
        <w:t>It</w:t>
      </w:r>
      <w:r w:rsidR="00E07D09">
        <w:t xml:space="preserve"> </w:t>
      </w:r>
      <w:r w:rsidR="0050671F">
        <w:t>also sh</w:t>
      </w:r>
      <w:r w:rsidR="00E07D09">
        <w:t>ould not affect leak rates appreciably.</w:t>
      </w:r>
      <w:r w:rsidR="00E07D09">
        <w:rPr>
          <w:rStyle w:val="FootnoteReference"/>
        </w:rPr>
        <w:footnoteReference w:id="20"/>
      </w:r>
      <w:r w:rsidR="00445F02">
        <w:t xml:space="preserve"> The PUCO should take steps to determine whether a lower replacement rate closer to 3% might be more appropriate. </w:t>
      </w:r>
    </w:p>
    <w:p w:rsidR="00507A4D" w:rsidRPr="00620B22" w:rsidRDefault="00507A4D" w:rsidP="002E5D02">
      <w:pPr>
        <w:pStyle w:val="Heading3"/>
      </w:pPr>
      <w:bookmarkStart w:id="9" w:name="_Toc446512349"/>
      <w:bookmarkStart w:id="10" w:name="_Toc447024915"/>
      <w:r w:rsidRPr="00B044B5">
        <w:t>Dominion’s current PIR program</w:t>
      </w:r>
      <w:r w:rsidR="008349B9">
        <w:t xml:space="preserve">, where customers are charged $6.70 per month, </w:t>
      </w:r>
      <w:r w:rsidRPr="00B044B5">
        <w:t xml:space="preserve">is </w:t>
      </w:r>
      <w:r>
        <w:t xml:space="preserve">already </w:t>
      </w:r>
      <w:r w:rsidRPr="00B044B5">
        <w:t>ensuring safety by timely replacing thousands of miles of pipeline.</w:t>
      </w:r>
      <w:bookmarkEnd w:id="9"/>
      <w:bookmarkEnd w:id="10"/>
    </w:p>
    <w:p w:rsidR="00507A4D" w:rsidRDefault="00507A4D" w:rsidP="00507A4D">
      <w:pPr>
        <w:spacing w:line="480" w:lineRule="auto"/>
        <w:ind w:firstLine="720"/>
      </w:pPr>
      <w:r>
        <w:t xml:space="preserve">The purpose of the PIR program is to ensure safety and </w:t>
      </w:r>
      <w:r w:rsidR="008349B9">
        <w:t>allow for t</w:t>
      </w:r>
      <w:r>
        <w:t>he timely replacement of leak-prone pipeline</w:t>
      </w:r>
      <w:r w:rsidR="008349B9">
        <w:t>s</w:t>
      </w:r>
      <w:r>
        <w:t>.</w:t>
      </w:r>
      <w:r>
        <w:rPr>
          <w:rStyle w:val="FootnoteReference"/>
        </w:rPr>
        <w:footnoteReference w:id="21"/>
      </w:r>
      <w:r>
        <w:t xml:space="preserve"> Dominion states that corroded gas lines can allow gas to escape and “[w]hen natural gas escapes and ignites, the result can be catastrophic.”</w:t>
      </w:r>
      <w:r>
        <w:rPr>
          <w:rStyle w:val="FootnoteReference"/>
        </w:rPr>
        <w:footnoteReference w:id="22"/>
      </w:r>
      <w:r>
        <w:t xml:space="preserve"> Dominion attempts to scare the PUCO into approving its more expensive and accelerated program through fear of a catastrophic occurrence. </w:t>
      </w:r>
      <w:r w:rsidR="008349B9">
        <w:t xml:space="preserve">The PUCO should not be fooled by this scare tactic, given that </w:t>
      </w:r>
      <w:r>
        <w:t>the current PIR program has already greatly decreased the number of leaks</w:t>
      </w:r>
      <w:r w:rsidR="00F95783">
        <w:t xml:space="preserve">. </w:t>
      </w:r>
      <w:r w:rsidR="008349B9">
        <w:t xml:space="preserve">Consequently, there is no need for an accelerated program at this time. </w:t>
      </w:r>
    </w:p>
    <w:p w:rsidR="004A3EA7" w:rsidRDefault="004A3EA7" w:rsidP="00507A4D">
      <w:pPr>
        <w:spacing w:line="480" w:lineRule="auto"/>
        <w:ind w:firstLine="720"/>
      </w:pPr>
      <w:r>
        <w:t xml:space="preserve">When the pipeline investment program was initiated in 2008, it was supported by a report that recommended a </w:t>
      </w:r>
      <w:r w:rsidR="00507A4D">
        <w:t>25</w:t>
      </w:r>
      <w:r w:rsidR="00955C30">
        <w:t>-</w:t>
      </w:r>
      <w:r w:rsidR="00507A4D">
        <w:t xml:space="preserve">year timeframe </w:t>
      </w:r>
      <w:r>
        <w:t xml:space="preserve">for pipeline replacement. That same report recommended </w:t>
      </w:r>
      <w:r w:rsidR="00507A4D">
        <w:t>that if the rate of corrosion leaks per mile increased, then the program might need to be accelerated.</w:t>
      </w:r>
      <w:r w:rsidR="00507A4D">
        <w:rPr>
          <w:rStyle w:val="FootnoteReference"/>
        </w:rPr>
        <w:footnoteReference w:id="23"/>
      </w:r>
      <w:r w:rsidR="00507A4D">
        <w:t xml:space="preserve"> </w:t>
      </w:r>
    </w:p>
    <w:p w:rsidR="00507A4D" w:rsidRDefault="00507A4D" w:rsidP="00507A4D">
      <w:pPr>
        <w:spacing w:line="480" w:lineRule="auto"/>
        <w:ind w:firstLine="720"/>
      </w:pPr>
      <w:r>
        <w:t xml:space="preserve">But the </w:t>
      </w:r>
      <w:r w:rsidR="004A3EA7">
        <w:t xml:space="preserve">pipeline replacement </w:t>
      </w:r>
      <w:r>
        <w:t>program has worked</w:t>
      </w:r>
      <w:r w:rsidR="004A3EA7">
        <w:t>. The</w:t>
      </w:r>
      <w:r>
        <w:t xml:space="preserve"> corrosion leak rate has</w:t>
      </w:r>
      <w:r w:rsidR="00817303">
        <w:t xml:space="preserve"> significantly</w:t>
      </w:r>
      <w:r>
        <w:t xml:space="preserve"> declined from 0.87 leaks per mile in 2009 to 0.51 per mile in 2014.</w:t>
      </w:r>
      <w:r>
        <w:rPr>
          <w:rStyle w:val="FootnoteReference"/>
        </w:rPr>
        <w:footnoteReference w:id="24"/>
      </w:r>
      <w:r>
        <w:t xml:space="preserve"> OCC witness O’Neill recommends th</w:t>
      </w:r>
      <w:r w:rsidR="004A3EA7">
        <w:t>at the</w:t>
      </w:r>
      <w:r>
        <w:t xml:space="preserve"> decreases in leak rate “could be a basis to reduce, or at least not increase, the rate of replacement of its aging mains.”</w:t>
      </w:r>
      <w:r>
        <w:rPr>
          <w:rStyle w:val="FootnoteReference"/>
        </w:rPr>
        <w:footnoteReference w:id="25"/>
      </w:r>
      <w:r>
        <w:t xml:space="preserve"> The PUCO should recognize that the PIR program’s reduced leak rate shows that the program is working at effectively reducing leaks; therefore, there is no need to accelerate and expand the PIR</w:t>
      </w:r>
      <w:r w:rsidR="00F95783">
        <w:t xml:space="preserve">. </w:t>
      </w:r>
    </w:p>
    <w:p w:rsidR="00445F02" w:rsidRDefault="00F053FE" w:rsidP="00D51656">
      <w:pPr>
        <w:spacing w:line="480" w:lineRule="auto"/>
        <w:ind w:firstLine="720"/>
      </w:pPr>
      <w:r>
        <w:t xml:space="preserve">Dominion claims that the </w:t>
      </w:r>
      <w:r w:rsidR="00870E7E">
        <w:t>dollar amount</w:t>
      </w:r>
      <w:r>
        <w:t xml:space="preserve"> increase is not that the great, that the </w:t>
      </w:r>
      <w:r w:rsidR="00981F09">
        <w:t>proposed increases only amount to a cumulative two dollar increase over current rates.</w:t>
      </w:r>
      <w:r w:rsidR="00981F09">
        <w:rPr>
          <w:rStyle w:val="FootnoteReference"/>
        </w:rPr>
        <w:footnoteReference w:id="26"/>
      </w:r>
      <w:r w:rsidR="00E5137E">
        <w:t xml:space="preserve"> </w:t>
      </w:r>
      <w:r w:rsidR="0050671F">
        <w:t xml:space="preserve">Dominion’s argument is flawed. </w:t>
      </w:r>
      <w:r>
        <w:t>However</w:t>
      </w:r>
      <w:r w:rsidR="00E5137E">
        <w:t xml:space="preserve">, </w:t>
      </w:r>
      <w:r w:rsidR="00445F02">
        <w:t xml:space="preserve">this is based on the assumption that the PUCO will continue to approve the </w:t>
      </w:r>
      <w:r w:rsidR="00E5137E">
        <w:t xml:space="preserve">$1.40 </w:t>
      </w:r>
      <w:r w:rsidR="00445F02">
        <w:t>rate increase cap that existed for the last five-year authorization period</w:t>
      </w:r>
      <w:r w:rsidR="00F95783">
        <w:t>;</w:t>
      </w:r>
      <w:r w:rsidR="00E5137E">
        <w:rPr>
          <w:rStyle w:val="FootnoteReference"/>
        </w:rPr>
        <w:footnoteReference w:id="27"/>
      </w:r>
      <w:r w:rsidR="00E5137E">
        <w:t xml:space="preserve"> </w:t>
      </w:r>
      <w:r w:rsidR="00F95783">
        <w:t>t</w:t>
      </w:r>
      <w:r w:rsidR="00445F02">
        <w:t>his cap is still</w:t>
      </w:r>
      <w:r w:rsidR="00E5137E">
        <w:t xml:space="preserve"> subject to PUCO approval in this reauthorization program.</w:t>
      </w:r>
      <w:r w:rsidR="00E5137E">
        <w:rPr>
          <w:rStyle w:val="FootnoteReference"/>
        </w:rPr>
        <w:footnoteReference w:id="28"/>
      </w:r>
      <w:r w:rsidR="00445F02">
        <w:t xml:space="preserve"> Dominion should not take PUCO approval of this old cap for granted</w:t>
      </w:r>
      <w:r w:rsidR="00F95783">
        <w:t xml:space="preserve">. </w:t>
      </w:r>
    </w:p>
    <w:p w:rsidR="00E5137E" w:rsidRDefault="00E5137E" w:rsidP="00D51656">
      <w:pPr>
        <w:spacing w:line="480" w:lineRule="auto"/>
        <w:ind w:firstLine="720"/>
      </w:pPr>
      <w:r>
        <w:t>Dominion has</w:t>
      </w:r>
      <w:r w:rsidR="00445F02">
        <w:t xml:space="preserve"> also</w:t>
      </w:r>
      <w:r>
        <w:t xml:space="preserve"> failed to show how </w:t>
      </w:r>
      <w:r w:rsidR="004A3EA7">
        <w:t>almost tripling t</w:t>
      </w:r>
      <w:r w:rsidR="00981F09">
        <w:t xml:space="preserve">he </w:t>
      </w:r>
      <w:r w:rsidR="004A3EA7">
        <w:t xml:space="preserve">pipeline replacement </w:t>
      </w:r>
      <w:r w:rsidR="00981F09">
        <w:t xml:space="preserve">rate </w:t>
      </w:r>
      <w:r w:rsidR="004A3EA7">
        <w:t xml:space="preserve">will result in </w:t>
      </w:r>
      <w:r w:rsidR="00981F09">
        <w:t>just and reasonable</w:t>
      </w:r>
      <w:r w:rsidR="004A3EA7">
        <w:t xml:space="preserve"> rates for its customers</w:t>
      </w:r>
      <w:r w:rsidR="00F95783">
        <w:t xml:space="preserve">. </w:t>
      </w:r>
      <w:r w:rsidR="004A3EA7">
        <w:t>Dominion has failed</w:t>
      </w:r>
      <w:r w:rsidR="00981F09">
        <w:t xml:space="preserve"> to meet </w:t>
      </w:r>
      <w:r w:rsidR="004A3EA7">
        <w:t>its</w:t>
      </w:r>
      <w:r w:rsidR="00981F09">
        <w:t xml:space="preserve"> burden </w:t>
      </w:r>
      <w:r w:rsidR="004A3EA7">
        <w:t>of proof</w:t>
      </w:r>
      <w:r w:rsidR="00817303">
        <w:t xml:space="preserve"> </w:t>
      </w:r>
      <w:r w:rsidR="00981F09">
        <w:t>under</w:t>
      </w:r>
      <w:r w:rsidR="00634089">
        <w:t xml:space="preserve"> R.C.</w:t>
      </w:r>
      <w:r w:rsidR="00981F09">
        <w:t xml:space="preserve"> </w:t>
      </w:r>
      <w:r w:rsidR="00634089">
        <w:t>§</w:t>
      </w:r>
      <w:r w:rsidR="00981F09">
        <w:t>4929.05</w:t>
      </w:r>
      <w:r w:rsidR="00F95783">
        <w:t xml:space="preserve">. </w:t>
      </w:r>
      <w:r w:rsidR="004A3EA7">
        <w:t xml:space="preserve">The </w:t>
      </w:r>
      <w:r w:rsidR="00981F09">
        <w:t xml:space="preserve">stipulation should be rejected. </w:t>
      </w:r>
    </w:p>
    <w:p w:rsidR="00981F09" w:rsidRPr="00981F09" w:rsidRDefault="004A3EA7" w:rsidP="002E5D02">
      <w:pPr>
        <w:pStyle w:val="Heading3"/>
      </w:pPr>
      <w:bookmarkStart w:id="11" w:name="_Toc446512350"/>
      <w:bookmarkStart w:id="12" w:name="_Toc447024916"/>
      <w:r>
        <w:t xml:space="preserve">Dominion did not show </w:t>
      </w:r>
      <w:r w:rsidR="00C332DE">
        <w:t>t</w:t>
      </w:r>
      <w:r w:rsidR="00981F09">
        <w:t xml:space="preserve">hat the cost increases </w:t>
      </w:r>
      <w:r>
        <w:t xml:space="preserve">to customers under its pipeline replacement program </w:t>
      </w:r>
      <w:r w:rsidR="00981F09">
        <w:t>are reasonable.</w:t>
      </w:r>
      <w:bookmarkEnd w:id="11"/>
      <w:bookmarkEnd w:id="12"/>
    </w:p>
    <w:p w:rsidR="0023243C" w:rsidRDefault="00981F09" w:rsidP="007670A5">
      <w:pPr>
        <w:spacing w:line="480" w:lineRule="auto"/>
        <w:ind w:firstLine="720"/>
      </w:pPr>
      <w:r>
        <w:t xml:space="preserve">Dominion and the </w:t>
      </w:r>
      <w:r w:rsidR="0050671F">
        <w:t>S</w:t>
      </w:r>
      <w:r>
        <w:t xml:space="preserve">taff of the PUCO claim that Dominion is effectively managing its program and costs are simply increasing. </w:t>
      </w:r>
      <w:r w:rsidR="00634089">
        <w:t>However, Dominion seems to confuse an effective bidding process with an effective management process for its PIR Program.</w:t>
      </w:r>
      <w:r w:rsidR="00634089">
        <w:rPr>
          <w:rStyle w:val="FootnoteReference"/>
        </w:rPr>
        <w:footnoteReference w:id="29"/>
      </w:r>
      <w:r w:rsidR="00634089">
        <w:t xml:space="preserve"> OCC does not dispute that Dominion’s bidding process may be both robust and competitive. </w:t>
      </w:r>
      <w:r w:rsidR="00870E7E">
        <w:t>But</w:t>
      </w:r>
      <w:r w:rsidR="00634089">
        <w:t xml:space="preserve">, simply having an effective bidding process does not </w:t>
      </w:r>
      <w:r w:rsidR="004A3EA7">
        <w:t>mean that Dominion is effectively managing its program.</w:t>
      </w:r>
      <w:r w:rsidR="0023243C">
        <w:rPr>
          <w:rStyle w:val="FootnoteReference"/>
        </w:rPr>
        <w:footnoteReference w:id="30"/>
      </w:r>
      <w:r w:rsidR="00955C30">
        <w:t xml:space="preserve"> Dominion uses this bidding process to place the responsibility on contractors and attributes other cost increases to factors like inflation.</w:t>
      </w:r>
      <w:r w:rsidR="00955C30">
        <w:rPr>
          <w:rStyle w:val="FootnoteReference"/>
        </w:rPr>
        <w:footnoteReference w:id="31"/>
      </w:r>
      <w:r w:rsidR="00272910">
        <w:t xml:space="preserve"> </w:t>
      </w:r>
    </w:p>
    <w:p w:rsidR="0023243C" w:rsidRDefault="0023243C" w:rsidP="0023243C">
      <w:pPr>
        <w:spacing w:line="480" w:lineRule="auto"/>
        <w:ind w:firstLine="720"/>
      </w:pPr>
      <w:r w:rsidRPr="0023243C">
        <w:t xml:space="preserve"> </w:t>
      </w:r>
      <w:r>
        <w:t>The inability of Dominion to fully get a handle on what is causing these increases is part of the problem. Dominion witness Reed abdicates responsibility for certain cost management and cites factors beyond their control that contractors have “baked into” their bids.</w:t>
      </w:r>
      <w:r>
        <w:rPr>
          <w:rStyle w:val="FootnoteReference"/>
        </w:rPr>
        <w:footnoteReference w:id="32"/>
      </w:r>
      <w:r>
        <w:t xml:space="preserve"> Mr. Reed states that “Given the volume of PIR work, individual cost elements cannot be broken out and precisely quantified.”</w:t>
      </w:r>
      <w:r>
        <w:rPr>
          <w:rStyle w:val="FootnoteReference"/>
        </w:rPr>
        <w:footnoteReference w:id="33"/>
      </w:r>
      <w:r>
        <w:t xml:space="preserve"> Dominion should be able to more precisely quantify the source of these cost increases</w:t>
      </w:r>
      <w:r w:rsidR="00F95783">
        <w:t xml:space="preserve">. </w:t>
      </w:r>
      <w:r>
        <w:t xml:space="preserve">It is unreasonable for the PUCO to blindly approve a more accelerated program when Dominion can't seem to effectively manage its current program. </w:t>
      </w:r>
    </w:p>
    <w:p w:rsidR="00CC275B" w:rsidRDefault="0023243C" w:rsidP="0023243C">
      <w:pPr>
        <w:spacing w:line="480" w:lineRule="auto"/>
        <w:ind w:firstLine="720"/>
      </w:pPr>
      <w:r>
        <w:t>OCC witness O’Neill testified that Dominion lacks incentive</w:t>
      </w:r>
      <w:r w:rsidR="00C332DE">
        <w:t>s</w:t>
      </w:r>
      <w:r>
        <w:t xml:space="preserve"> to effectively manage its program</w:t>
      </w:r>
      <w:r w:rsidR="00F95783">
        <w:t xml:space="preserve">. </w:t>
      </w:r>
      <w:r>
        <w:t>He testified that “Dominion is not sufficiently concerned about the increased costs and rate increases to customers, presumably because it expects to pass those along to customers while commodity rates are low.”</w:t>
      </w:r>
      <w:r>
        <w:rPr>
          <w:rStyle w:val="FootnoteReference"/>
        </w:rPr>
        <w:footnoteReference w:id="34"/>
      </w:r>
      <w:r>
        <w:t xml:space="preserve"> OCC, in its initial brief, has already described how the cost increases will likely be decreasing in the next few years.</w:t>
      </w:r>
      <w:r>
        <w:rPr>
          <w:rStyle w:val="FootnoteReference"/>
        </w:rPr>
        <w:footnoteReference w:id="35"/>
      </w:r>
      <w:r>
        <w:t xml:space="preserve"> Furthermore, such decreases should allow Dominion to accomplish more within their existing rates. The OCC recommends that the PUCO engage a third-party audit to ensure that the cost increases are not the result of mismanagement.</w:t>
      </w:r>
    </w:p>
    <w:p w:rsidR="00F0502A" w:rsidRDefault="00CC275B" w:rsidP="007670A5">
      <w:pPr>
        <w:spacing w:line="480" w:lineRule="auto"/>
        <w:ind w:firstLine="720"/>
      </w:pPr>
      <w:r>
        <w:t>Dominion also claims inflation among the factors that have caused an increase in costs.</w:t>
      </w:r>
      <w:r>
        <w:rPr>
          <w:rStyle w:val="FootnoteReference"/>
        </w:rPr>
        <w:footnoteReference w:id="36"/>
      </w:r>
      <w:r>
        <w:t xml:space="preserve"> However, this argument is a red herring</w:t>
      </w:r>
      <w:r w:rsidR="00F0502A">
        <w:t>. The size of these cost increases has far outpaced inflation.</w:t>
      </w:r>
      <w:r w:rsidR="00F0502A">
        <w:rPr>
          <w:rStyle w:val="FootnoteReference"/>
        </w:rPr>
        <w:footnoteReference w:id="37"/>
      </w:r>
      <w:r w:rsidR="00F0502A">
        <w:t xml:space="preserve">  Th</w:t>
      </w:r>
      <w:r>
        <w:t>e original</w:t>
      </w:r>
      <w:r w:rsidR="004A2678">
        <w:t xml:space="preserve"> cost estimates had a range of $75 to $80 per foot or approximately $396,000 to $422,000 per mile for distribution pipe.</w:t>
      </w:r>
      <w:r w:rsidR="004A2678">
        <w:rPr>
          <w:rStyle w:val="FootnoteReference"/>
        </w:rPr>
        <w:footnoteReference w:id="38"/>
      </w:r>
      <w:r w:rsidR="004A2678">
        <w:t xml:space="preserve"> Dominion spent $150 per foot or $792,000 per mile in 2014.</w:t>
      </w:r>
      <w:r w:rsidR="004A2678">
        <w:rPr>
          <w:rStyle w:val="FootnoteReference"/>
        </w:rPr>
        <w:footnoteReference w:id="39"/>
      </w:r>
      <w:r w:rsidR="00F0502A">
        <w:t xml:space="preserve">  This represents a doubling of the costs which cannot simply be due to inflation.</w:t>
      </w:r>
    </w:p>
    <w:p w:rsidR="005B20C1" w:rsidRPr="005B20C1" w:rsidRDefault="004465D4" w:rsidP="002E5D02">
      <w:pPr>
        <w:pStyle w:val="Heading3"/>
      </w:pPr>
      <w:bookmarkStart w:id="13" w:name="_Toc447024917"/>
      <w:bookmarkStart w:id="14" w:name="_Toc446512351"/>
      <w:r>
        <w:t>Customers should benefit from the historically low gas prices in the market</w:t>
      </w:r>
      <w:r w:rsidR="00F95783">
        <w:t xml:space="preserve">. </w:t>
      </w:r>
      <w:r>
        <w:t xml:space="preserve">This benefit will be lost if the PUCO approves these excessive </w:t>
      </w:r>
      <w:r w:rsidR="004B0508">
        <w:t xml:space="preserve">increases to Dominion’s </w:t>
      </w:r>
      <w:r>
        <w:t>pipeline replacement charges</w:t>
      </w:r>
      <w:r w:rsidR="00F95783">
        <w:t>.</w:t>
      </w:r>
      <w:bookmarkEnd w:id="13"/>
      <w:r w:rsidR="00F95783">
        <w:t xml:space="preserve"> </w:t>
      </w:r>
      <w:bookmarkEnd w:id="14"/>
    </w:p>
    <w:p w:rsidR="004465D4" w:rsidRDefault="004465D4" w:rsidP="005B20C1">
      <w:pPr>
        <w:spacing w:line="480" w:lineRule="auto"/>
        <w:ind w:firstLine="720"/>
      </w:pPr>
      <w:r>
        <w:t>Under the proposed Stipulation</w:t>
      </w:r>
      <w:r w:rsidR="004B0508">
        <w:t>,</w:t>
      </w:r>
      <w:r>
        <w:t xml:space="preserve"> </w:t>
      </w:r>
      <w:r w:rsidR="002143E5">
        <w:t>residential customer</w:t>
      </w:r>
      <w:r w:rsidR="004B0508">
        <w:t>s’</w:t>
      </w:r>
      <w:r w:rsidR="002143E5">
        <w:t xml:space="preserve"> </w:t>
      </w:r>
      <w:r w:rsidR="00A700D6">
        <w:t xml:space="preserve">PIR </w:t>
      </w:r>
      <w:r>
        <w:t xml:space="preserve">charges </w:t>
      </w:r>
      <w:r w:rsidR="002143E5">
        <w:t>will be rising from the current charge of $6.70 a month to $17.20 a month</w:t>
      </w:r>
      <w:r>
        <w:t>.</w:t>
      </w:r>
      <w:r w:rsidR="002143E5">
        <w:rPr>
          <w:rStyle w:val="FootnoteReference"/>
        </w:rPr>
        <w:footnoteReference w:id="40"/>
      </w:r>
      <w:r w:rsidR="002143E5">
        <w:t xml:space="preserve"> </w:t>
      </w:r>
      <w:r>
        <w:t xml:space="preserve"> </w:t>
      </w:r>
      <w:r w:rsidR="002143E5">
        <w:t>The scope of this increase of the next 5 years is quite large, and it is part of trend that seems to allocate greater portions of a customer’s bill to fixed prices as the commodity prices con</w:t>
      </w:r>
      <w:r w:rsidR="00EC1329">
        <w:t xml:space="preserve">tinue to drop. </w:t>
      </w:r>
    </w:p>
    <w:p w:rsidR="004465D4" w:rsidRDefault="00EC1329" w:rsidP="005B20C1">
      <w:pPr>
        <w:spacing w:line="480" w:lineRule="auto"/>
        <w:ind w:firstLine="720"/>
      </w:pPr>
      <w:r>
        <w:t>In 2007 the fixed portions of a customer bill only amounted $5.70.</w:t>
      </w:r>
      <w:r>
        <w:rPr>
          <w:rStyle w:val="FootnoteReference"/>
        </w:rPr>
        <w:footnoteReference w:id="41"/>
      </w:r>
      <w:r>
        <w:t xml:space="preserve"> Customers currently</w:t>
      </w:r>
      <w:r w:rsidR="002143E5">
        <w:t xml:space="preserve"> face a basic monthly service charge of $17.58</w:t>
      </w:r>
      <w:r>
        <w:t>, a fixed AMR charge of $0.55, and the current PIR charge of $6.70 which creates a total fixed charge of $24.83.</w:t>
      </w:r>
      <w:r>
        <w:rPr>
          <w:rStyle w:val="FootnoteReference"/>
        </w:rPr>
        <w:footnoteReference w:id="42"/>
      </w:r>
      <w:r>
        <w:t xml:space="preserve"> These are the charges that result before a consumer has even used a single cubic foot of gas. </w:t>
      </w:r>
    </w:p>
    <w:p w:rsidR="002E5D02" w:rsidRDefault="00144605" w:rsidP="00F95783">
      <w:pPr>
        <w:spacing w:line="480" w:lineRule="auto"/>
        <w:ind w:firstLine="720"/>
        <w:rPr>
          <w:rFonts w:ascii="Times New Roman Bold" w:eastAsiaTheme="majorEastAsia" w:hAnsi="Times New Roman Bold" w:cstheme="majorBidi"/>
          <w:b/>
          <w:bCs/>
          <w:szCs w:val="26"/>
        </w:rPr>
      </w:pPr>
      <w:r>
        <w:t xml:space="preserve">Dominion argues that </w:t>
      </w:r>
      <w:r w:rsidR="0023243C">
        <w:t>lower commodity prices should allow them to mitigate the bill impact of the higher PIR charge</w:t>
      </w:r>
      <w:r w:rsidR="004465D4">
        <w:t>.</w:t>
      </w:r>
      <w:r w:rsidR="0023243C">
        <w:rPr>
          <w:rStyle w:val="FootnoteReference"/>
        </w:rPr>
        <w:footnoteReference w:id="43"/>
      </w:r>
      <w:r w:rsidR="004465D4">
        <w:t xml:space="preserve"> These arguments about </w:t>
      </w:r>
      <w:r w:rsidR="0023243C">
        <w:t xml:space="preserve">mitigating bill impact </w:t>
      </w:r>
      <w:r w:rsidR="004465D4">
        <w:t xml:space="preserve">ring hollow. </w:t>
      </w:r>
      <w:r w:rsidR="00EC1329">
        <w:t>The notion that increasing the PIR fixed charges will be mitigated by decreasing commodity costs does not take into account the drastic rise in fixed costs. Customers should be forced to endure higher charges on the flawed</w:t>
      </w:r>
      <w:r w:rsidR="004465D4">
        <w:t xml:space="preserve"> premise</w:t>
      </w:r>
      <w:r w:rsidR="00EC1329">
        <w:t xml:space="preserve"> that now is the time </w:t>
      </w:r>
      <w:r w:rsidR="004465D4">
        <w:t xml:space="preserve">to </w:t>
      </w:r>
      <w:r w:rsidR="00EC1329">
        <w:t>increas</w:t>
      </w:r>
      <w:r w:rsidR="004465D4">
        <w:t>e</w:t>
      </w:r>
      <w:r w:rsidR="00EC1329">
        <w:t xml:space="preserve"> fixed charges</w:t>
      </w:r>
      <w:r w:rsidR="004465D4">
        <w:t xml:space="preserve"> because customers will experience a </w:t>
      </w:r>
      <w:r w:rsidR="00EC1329">
        <w:t xml:space="preserve">drop in commodity prices. </w:t>
      </w:r>
      <w:r w:rsidR="004465D4">
        <w:t>Customers are entitle</w:t>
      </w:r>
      <w:r w:rsidR="0021674E">
        <w:t>d</w:t>
      </w:r>
      <w:r w:rsidR="004465D4">
        <w:t xml:space="preserve"> to lower bills that come with the historically low market prices</w:t>
      </w:r>
      <w:r w:rsidR="00F95783">
        <w:t xml:space="preserve">. </w:t>
      </w:r>
      <w:r w:rsidR="004465D4">
        <w:t>Dominion wants to preclude customers from seeing those savings</w:t>
      </w:r>
      <w:r w:rsidR="0021674E">
        <w:t xml:space="preserve"> by further increasing the fixed charges that appear on consumers’ bills</w:t>
      </w:r>
      <w:r w:rsidR="00F95783">
        <w:t xml:space="preserve">. </w:t>
      </w:r>
      <w:r w:rsidR="00C332DE">
        <w:t>This is wrong. The PUCO should reject Dominion's approach</w:t>
      </w:r>
      <w:r w:rsidR="00F95783">
        <w:t xml:space="preserve">. </w:t>
      </w:r>
      <w:bookmarkStart w:id="15" w:name="_Toc446512352"/>
    </w:p>
    <w:p w:rsidR="003F3DFE" w:rsidRDefault="003F3DFE" w:rsidP="002E5D02">
      <w:pPr>
        <w:pStyle w:val="Heading2"/>
      </w:pPr>
      <w:bookmarkStart w:id="16" w:name="_Toc447024918"/>
      <w:r>
        <w:t>The Stipulation as proposed does not meet the requirements for approval by the PUCO.</w:t>
      </w:r>
      <w:bookmarkEnd w:id="15"/>
      <w:bookmarkEnd w:id="16"/>
      <w:r>
        <w:t xml:space="preserve"> </w:t>
      </w:r>
    </w:p>
    <w:p w:rsidR="00676E29" w:rsidRDefault="0053593B" w:rsidP="0053593B">
      <w:pPr>
        <w:spacing w:line="480" w:lineRule="auto"/>
        <w:ind w:firstLine="720"/>
      </w:pPr>
      <w:r>
        <w:t>A stipulation must be evaluated by the PUCO under a three-part test.</w:t>
      </w:r>
      <w:r>
        <w:rPr>
          <w:rStyle w:val="FootnoteReference"/>
        </w:rPr>
        <w:footnoteReference w:id="44"/>
      </w:r>
      <w:r>
        <w:t xml:space="preserve"> Dominion </w:t>
      </w:r>
      <w:r w:rsidR="00F86000">
        <w:t xml:space="preserve">and Staff </w:t>
      </w:r>
      <w:r>
        <w:t>ha</w:t>
      </w:r>
      <w:r w:rsidR="00F86000">
        <w:t>ve</w:t>
      </w:r>
      <w:r>
        <w:t xml:space="preserve"> argued that </w:t>
      </w:r>
      <w:r w:rsidR="00A823A1">
        <w:t>the stipulation has met all three-parts of this test.</w:t>
      </w:r>
      <w:r>
        <w:t xml:space="preserve"> </w:t>
      </w:r>
      <w:r w:rsidR="004465D4">
        <w:t xml:space="preserve">As OCC argued in its </w:t>
      </w:r>
      <w:r>
        <w:t xml:space="preserve">s </w:t>
      </w:r>
      <w:r w:rsidR="0050323F">
        <w:t>I</w:t>
      </w:r>
      <w:r>
        <w:t xml:space="preserve">nitial </w:t>
      </w:r>
      <w:r w:rsidR="0050323F">
        <w:t>B</w:t>
      </w:r>
      <w:r>
        <w:t xml:space="preserve">rief </w:t>
      </w:r>
      <w:r w:rsidR="004465D4">
        <w:t xml:space="preserve">the Stipulation fails to </w:t>
      </w:r>
      <w:r w:rsidR="00A823A1">
        <w:t xml:space="preserve">meet any of the criteria required by the PUCO. </w:t>
      </w:r>
    </w:p>
    <w:p w:rsidR="00F06C1C" w:rsidRDefault="00A823A1" w:rsidP="0053593B">
      <w:pPr>
        <w:spacing w:line="480" w:lineRule="auto"/>
        <w:ind w:firstLine="720"/>
      </w:pPr>
      <w:r>
        <w:t xml:space="preserve">This </w:t>
      </w:r>
      <w:r w:rsidR="0050323F">
        <w:t>S</w:t>
      </w:r>
      <w:r>
        <w:t>tipulation does not represent a diversity of interests among the parties because residential consumers are not represented.</w:t>
      </w:r>
      <w:r>
        <w:rPr>
          <w:rStyle w:val="FootnoteReference"/>
        </w:rPr>
        <w:footnoteReference w:id="45"/>
      </w:r>
      <w:r>
        <w:t xml:space="preserve"> </w:t>
      </w:r>
      <w:r w:rsidR="00315F34">
        <w:t xml:space="preserve">Intervenors in this proceeding include other Dominion customers – Industrial Energy Users of Ohio (“IEU"), Ohio Partners for Affordable Energy (“OPAE”), and the OCC. Only the </w:t>
      </w:r>
      <w:r w:rsidR="0050323F">
        <w:t>S</w:t>
      </w:r>
      <w:r w:rsidR="00315F34">
        <w:t xml:space="preserve">taff of the PUCO and the Utility singed the Stipulation. None of Dominion’s customers, those who will have to pay the </w:t>
      </w:r>
      <w:r w:rsidR="0050323F">
        <w:t xml:space="preserve">proposed </w:t>
      </w:r>
      <w:r w:rsidR="00315F34">
        <w:t>rate increases, sig</w:t>
      </w:r>
      <w:r w:rsidR="0033018D">
        <w:t>n</w:t>
      </w:r>
      <w:r w:rsidR="00315F34">
        <w:t>e</w:t>
      </w:r>
      <w:r w:rsidR="0033018D">
        <w:t>d the Stipulation. This failure</w:t>
      </w:r>
      <w:r w:rsidR="00315F34">
        <w:t xml:space="preserve"> alon</w:t>
      </w:r>
      <w:r w:rsidR="0033018D">
        <w:t>e</w:t>
      </w:r>
      <w:r w:rsidR="00315F34">
        <w:t xml:space="preserve"> should give the PUCO reason to be concerned about the need for the increases and reject the program and call for an in-depth audit into the costs of the PIR program. </w:t>
      </w:r>
      <w:r w:rsidR="00F06C1C">
        <w:t xml:space="preserve">A stipulation must be shown to be the product of serious bargaining among capable, knowledgeable parties with diverse interests. The signatory parties to this Stipulation, being the Utility and the </w:t>
      </w:r>
      <w:r w:rsidR="0050323F">
        <w:t>S</w:t>
      </w:r>
      <w:r w:rsidR="00F06C1C">
        <w:t>taff of the PUCO demonstrate no diversity of interest; therefore t</w:t>
      </w:r>
      <w:r w:rsidR="0050323F">
        <w:t>h</w:t>
      </w:r>
      <w:r w:rsidR="00F06C1C">
        <w:t>is prong of the three part test is not met.</w:t>
      </w:r>
    </w:p>
    <w:p w:rsidR="00F9356D" w:rsidRDefault="00F06C1C" w:rsidP="0053593B">
      <w:pPr>
        <w:spacing w:line="480" w:lineRule="auto"/>
        <w:ind w:firstLine="720"/>
      </w:pPr>
      <w:r>
        <w:t>This</w:t>
      </w:r>
      <w:r w:rsidR="00A823A1">
        <w:t xml:space="preserve"> stipulation is not in the public interest because it represents a drastic increase in costs where customers</w:t>
      </w:r>
      <w:r w:rsidR="0050323F">
        <w:t>, in five years, could</w:t>
      </w:r>
      <w:r w:rsidR="00A823A1">
        <w:t xml:space="preserve"> be paying $17.20 per month for this program.</w:t>
      </w:r>
      <w:r w:rsidR="00A823A1">
        <w:rPr>
          <w:rStyle w:val="FootnoteReference"/>
        </w:rPr>
        <w:footnoteReference w:id="46"/>
      </w:r>
      <w:r w:rsidR="00A823A1">
        <w:t xml:space="preserve"> Furthermore, Dominion failed to carry </w:t>
      </w:r>
      <w:r w:rsidR="00F9356D">
        <w:t>its</w:t>
      </w:r>
      <w:r w:rsidR="00A823A1">
        <w:t xml:space="preserve"> burden and show that these costs are necessary.</w:t>
      </w:r>
      <w:r w:rsidR="00676E29">
        <w:rPr>
          <w:rStyle w:val="FootnoteReference"/>
        </w:rPr>
        <w:footnoteReference w:id="47"/>
      </w:r>
      <w:r>
        <w:t xml:space="preserve">In fact, OCC’s witness O’Neill provides record evidence that Dominion cannot provide any details </w:t>
      </w:r>
      <w:r w:rsidR="00F9356D">
        <w:t>regarding</w:t>
      </w:r>
      <w:r w:rsidR="00B3451F">
        <w:t xml:space="preserve"> these significant increases</w:t>
      </w:r>
      <w:r>
        <w:t xml:space="preserve"> that it wishes to collect from its customers. When the </w:t>
      </w:r>
      <w:r w:rsidR="00AD13D0">
        <w:t>Staff</w:t>
      </w:r>
      <w:r>
        <w:t xml:space="preserve"> asked </w:t>
      </w:r>
      <w:r w:rsidR="00B3451F">
        <w:t>Dominion through</w:t>
      </w:r>
      <w:r>
        <w:t xml:space="preserve"> </w:t>
      </w:r>
      <w:r w:rsidR="00F9356D">
        <w:t>a staff data request,</w:t>
      </w:r>
      <w:r>
        <w:t xml:space="preserve"> to explain </w:t>
      </w:r>
      <w:r w:rsidR="00AD13D0">
        <w:t>the various cost drivers behin</w:t>
      </w:r>
      <w:r w:rsidR="009E62DF">
        <w:t>d</w:t>
      </w:r>
      <w:r w:rsidR="00AD13D0">
        <w:t xml:space="preserve"> the annual cost increase, Dominion state</w:t>
      </w:r>
      <w:r w:rsidR="00B3451F">
        <w:t>d</w:t>
      </w:r>
      <w:r w:rsidR="00AD13D0">
        <w:t xml:space="preserve"> that “</w:t>
      </w:r>
      <w:r w:rsidR="00B3451F">
        <w:t>[t]he specific factors dis</w:t>
      </w:r>
      <w:r w:rsidR="00AD13D0">
        <w:t>cussed in testimony were: general inflation; environmental compliance; working with municipalities; and increased demand for contractors. The natur</w:t>
      </w:r>
      <w:r w:rsidR="00B3451F">
        <w:t>e</w:t>
      </w:r>
      <w:r w:rsidR="00AD13D0">
        <w:t xml:space="preserve"> of many of these costs renders them impractical to track</w:t>
      </w:r>
      <w:r w:rsidR="00A700D6">
        <w:t xml:space="preserve"> or rank with precision.”</w:t>
      </w:r>
      <w:r>
        <w:rPr>
          <w:rStyle w:val="FootnoteReference"/>
        </w:rPr>
        <w:footnoteReference w:id="48"/>
      </w:r>
      <w:r w:rsidR="00B3451F">
        <w:t xml:space="preserve"> Dominio</w:t>
      </w:r>
      <w:r w:rsidR="00F9356D">
        <w:t xml:space="preserve">n is comfortable simply passing all the increased costs on to customers </w:t>
      </w:r>
      <w:r w:rsidR="00A700D6">
        <w:t xml:space="preserve">and </w:t>
      </w:r>
      <w:r w:rsidR="00F9356D">
        <w:t>provides no concrete reasons or details as to why the costs are increasing. This</w:t>
      </w:r>
      <w:r w:rsidR="00A700D6">
        <w:t xml:space="preserve"> is</w:t>
      </w:r>
      <w:r w:rsidR="00F9356D">
        <w:t xml:space="preserve"> unjustified </w:t>
      </w:r>
      <w:r w:rsidR="00A700D6">
        <w:t>and</w:t>
      </w:r>
      <w:r w:rsidR="00C42F8D">
        <w:t xml:space="preserve"> </w:t>
      </w:r>
      <w:r w:rsidR="00A700D6">
        <w:t>does not meet the public interest prong of the test.</w:t>
      </w:r>
    </w:p>
    <w:p w:rsidR="003F3DFE" w:rsidRDefault="00A823A1" w:rsidP="0053593B">
      <w:pPr>
        <w:spacing w:line="480" w:lineRule="auto"/>
        <w:ind w:firstLine="720"/>
      </w:pPr>
      <w:r>
        <w:t xml:space="preserve"> Fin</w:t>
      </w:r>
      <w:r w:rsidR="00676E29">
        <w:t>ally, this stipulation violates regulatory principles and policy by being unjust and unreasonable. Dominion is insisting on keeping to an arbitrary 25-year replacement</w:t>
      </w:r>
      <w:r w:rsidR="0050323F">
        <w:t xml:space="preserve"> period</w:t>
      </w:r>
      <w:r w:rsidR="00676E29">
        <w:t>, regardless of the fact that is unable to determine the source of the rising costs.</w:t>
      </w:r>
      <w:r w:rsidR="00676E29">
        <w:rPr>
          <w:rStyle w:val="FootnoteReference"/>
        </w:rPr>
        <w:footnoteReference w:id="49"/>
      </w:r>
      <w:r w:rsidR="00676E29">
        <w:t xml:space="preserve"> </w:t>
      </w:r>
      <w:r w:rsidR="004465D4">
        <w:t>I</w:t>
      </w:r>
      <w:r w:rsidR="00F9356D">
        <w:t>n addition, as mentioned in the paragraph above, it is the burden of Dominion to justify any cost increases</w:t>
      </w:r>
      <w:r w:rsidR="00F95783">
        <w:t>. Dominion</w:t>
      </w:r>
      <w:r w:rsidR="00C332DE">
        <w:t xml:space="preserve"> has</w:t>
      </w:r>
      <w:r w:rsidR="00F9356D">
        <w:t xml:space="preserve"> failed to</w:t>
      </w:r>
      <w:r w:rsidR="00F95783">
        <w:t xml:space="preserve"> </w:t>
      </w:r>
      <w:r w:rsidR="00F9356D">
        <w:t>do</w:t>
      </w:r>
      <w:r w:rsidR="00F95783">
        <w:t xml:space="preserve"> so</w:t>
      </w:r>
      <w:r w:rsidR="00F9356D">
        <w:t xml:space="preserve"> in this case</w:t>
      </w:r>
      <w:r w:rsidR="00F95783">
        <w:t xml:space="preserve">. </w:t>
      </w:r>
      <w:r w:rsidR="00C332DE">
        <w:t>T</w:t>
      </w:r>
      <w:r w:rsidR="00F9356D">
        <w:t>hus</w:t>
      </w:r>
      <w:r w:rsidR="00C332DE">
        <w:t xml:space="preserve">, </w:t>
      </w:r>
      <w:r w:rsidR="00F9356D">
        <w:t>the</w:t>
      </w:r>
      <w:r w:rsidR="0050323F">
        <w:t xml:space="preserve"> obligation, as the Applicant, to meet the</w:t>
      </w:r>
      <w:r w:rsidR="00F9356D">
        <w:t xml:space="preserve"> </w:t>
      </w:r>
      <w:r w:rsidR="00C332DE">
        <w:t xml:space="preserve">regulatory </w:t>
      </w:r>
      <w:r w:rsidR="00F9356D">
        <w:t>burden of proof</w:t>
      </w:r>
      <w:r w:rsidR="00C332DE">
        <w:t>,</w:t>
      </w:r>
      <w:r w:rsidR="00F9356D">
        <w:t xml:space="preserve"> is violated. The PUCO should reject this S</w:t>
      </w:r>
      <w:r w:rsidR="00676E29">
        <w:t xml:space="preserve">tipulation and require a third-party auditor to evaluate Dominion’s cost management practices for this program. </w:t>
      </w:r>
    </w:p>
    <w:p w:rsidR="00940540" w:rsidRPr="003F3DFE" w:rsidRDefault="00940540" w:rsidP="00940540">
      <w:pPr>
        <w:ind w:firstLine="720"/>
      </w:pPr>
    </w:p>
    <w:p w:rsidR="00813AC1" w:rsidRDefault="00813AC1" w:rsidP="00B0131B">
      <w:pPr>
        <w:pStyle w:val="Heading1"/>
      </w:pPr>
      <w:bookmarkStart w:id="17" w:name="_Toc446512353"/>
      <w:bookmarkStart w:id="18" w:name="_Toc447024919"/>
      <w:r>
        <w:t>Conclusion</w:t>
      </w:r>
      <w:bookmarkEnd w:id="17"/>
      <w:bookmarkEnd w:id="18"/>
    </w:p>
    <w:p w:rsidR="00813AC1" w:rsidRDefault="003A65D9" w:rsidP="003A65D9">
      <w:pPr>
        <w:spacing w:line="480" w:lineRule="auto"/>
        <w:ind w:firstLine="720"/>
      </w:pPr>
      <w:r>
        <w:t xml:space="preserve">Dominion’s application and the subsequent stipulation </w:t>
      </w:r>
      <w:r w:rsidR="00315F34">
        <w:t>represent</w:t>
      </w:r>
      <w:r>
        <w:t xml:space="preserve"> an increase in rates that is not just and reasonable as required by Ohio law.</w:t>
      </w:r>
      <w:r>
        <w:rPr>
          <w:rStyle w:val="FootnoteReference"/>
        </w:rPr>
        <w:footnoteReference w:id="50"/>
      </w:r>
      <w:r>
        <w:t xml:space="preserve"> Dominion has failed to carry its burden </w:t>
      </w:r>
      <w:r w:rsidR="00C332DE">
        <w:t xml:space="preserve">of proof </w:t>
      </w:r>
      <w:r>
        <w:t xml:space="preserve">and provide evidence that it is absolutely necessary to keep the program tied to a 25-year deadline in light of unspecific rising costs. As stated above, the stipulation does not meet the standards required by the PUCO. Therefore the PUCO should reject this stipulation. </w:t>
      </w:r>
    </w:p>
    <w:p w:rsidR="00940540" w:rsidRDefault="00813AC1" w:rsidP="00496AC0">
      <w:pPr>
        <w:tabs>
          <w:tab w:val="left" w:pos="4320"/>
        </w:tabs>
        <w:rPr>
          <w:szCs w:val="24"/>
        </w:rPr>
      </w:pPr>
      <w:r w:rsidRPr="007822A8">
        <w:rPr>
          <w:szCs w:val="24"/>
        </w:rPr>
        <w:tab/>
      </w:r>
    </w:p>
    <w:p w:rsidR="00940540" w:rsidRDefault="00940540">
      <w:pPr>
        <w:spacing w:after="200" w:line="276" w:lineRule="auto"/>
        <w:rPr>
          <w:szCs w:val="24"/>
        </w:rPr>
      </w:pPr>
      <w:r>
        <w:rPr>
          <w:szCs w:val="24"/>
        </w:rPr>
        <w:br w:type="page"/>
      </w:r>
    </w:p>
    <w:p w:rsidR="00496AC0" w:rsidRDefault="00940540" w:rsidP="00940540">
      <w:pPr>
        <w:tabs>
          <w:tab w:val="left" w:pos="4320"/>
        </w:tabs>
        <w:rPr>
          <w:szCs w:val="24"/>
        </w:rPr>
      </w:pPr>
      <w:r>
        <w:rPr>
          <w:szCs w:val="24"/>
        </w:rPr>
        <w:tab/>
      </w:r>
      <w:r w:rsidR="00496AC0" w:rsidRPr="00496AC0">
        <w:rPr>
          <w:szCs w:val="24"/>
        </w:rPr>
        <w:t>Respectfully submitted,</w:t>
      </w:r>
    </w:p>
    <w:p w:rsidR="002E5D02" w:rsidRPr="00496AC0" w:rsidRDefault="002E5D02" w:rsidP="00496AC0">
      <w:pPr>
        <w:tabs>
          <w:tab w:val="left" w:pos="4320"/>
        </w:tabs>
        <w:rPr>
          <w:szCs w:val="24"/>
        </w:rPr>
      </w:pPr>
    </w:p>
    <w:p w:rsidR="00496AC0" w:rsidRPr="00496AC0" w:rsidRDefault="00496AC0" w:rsidP="00496AC0">
      <w:pPr>
        <w:tabs>
          <w:tab w:val="left" w:pos="4320"/>
        </w:tabs>
        <w:rPr>
          <w:szCs w:val="24"/>
        </w:rPr>
      </w:pPr>
      <w:r>
        <w:rPr>
          <w:szCs w:val="24"/>
        </w:rPr>
        <w:tab/>
      </w:r>
      <w:r w:rsidRPr="00496AC0">
        <w:rPr>
          <w:szCs w:val="24"/>
        </w:rPr>
        <w:t>BRUCE J. WESTON (0016973)</w:t>
      </w:r>
    </w:p>
    <w:p w:rsidR="00496AC0" w:rsidRDefault="00496AC0" w:rsidP="00496AC0">
      <w:pPr>
        <w:tabs>
          <w:tab w:val="left" w:pos="4320"/>
        </w:tabs>
        <w:rPr>
          <w:szCs w:val="24"/>
        </w:rPr>
      </w:pPr>
      <w:r>
        <w:rPr>
          <w:szCs w:val="24"/>
        </w:rPr>
        <w:tab/>
      </w:r>
      <w:r w:rsidRPr="00496AC0">
        <w:rPr>
          <w:szCs w:val="24"/>
        </w:rPr>
        <w:t>OHIO CONSUMERS’ COUNSEL</w:t>
      </w:r>
    </w:p>
    <w:p w:rsidR="00496AC0" w:rsidRDefault="00496AC0" w:rsidP="00813AC1">
      <w:pPr>
        <w:tabs>
          <w:tab w:val="left" w:pos="4320"/>
        </w:tabs>
        <w:rPr>
          <w:szCs w:val="24"/>
        </w:rPr>
      </w:pPr>
    </w:p>
    <w:p w:rsidR="00813AC1" w:rsidRPr="00496AC0" w:rsidRDefault="00496AC0" w:rsidP="00813AC1">
      <w:pPr>
        <w:tabs>
          <w:tab w:val="left" w:pos="4320"/>
        </w:tabs>
        <w:rPr>
          <w:i/>
          <w:szCs w:val="24"/>
          <w:u w:val="single"/>
        </w:rPr>
      </w:pPr>
      <w:r>
        <w:rPr>
          <w:i/>
          <w:szCs w:val="24"/>
        </w:rPr>
        <w:tab/>
      </w:r>
      <w:r w:rsidRPr="00496AC0">
        <w:rPr>
          <w:i/>
          <w:szCs w:val="24"/>
          <w:u w:val="single"/>
        </w:rPr>
        <w:t> </w:t>
      </w:r>
      <w:r w:rsidR="00F95783">
        <w:rPr>
          <w:i/>
          <w:szCs w:val="24"/>
          <w:u w:val="single"/>
        </w:rPr>
        <w:t>/s/ Ajay Kumar</w:t>
      </w:r>
      <w:r w:rsidRPr="00496AC0">
        <w:rPr>
          <w:i/>
          <w:szCs w:val="24"/>
          <w:u w:val="single"/>
        </w:rPr>
        <w:t>                 </w:t>
      </w:r>
      <w:r w:rsidR="00144605">
        <w:rPr>
          <w:i/>
          <w:szCs w:val="24"/>
          <w:u w:val="single"/>
        </w:rPr>
        <w:t>__</w:t>
      </w:r>
      <w:r w:rsidRPr="00496AC0">
        <w:rPr>
          <w:i/>
          <w:szCs w:val="24"/>
          <w:u w:val="single"/>
        </w:rPr>
        <w:t> </w:t>
      </w:r>
    </w:p>
    <w:p w:rsidR="00813AC1" w:rsidRPr="003C2FFA" w:rsidRDefault="00813AC1" w:rsidP="00813AC1">
      <w:pPr>
        <w:ind w:left="4320" w:right="-378"/>
        <w:rPr>
          <w:szCs w:val="24"/>
        </w:rPr>
      </w:pPr>
      <w:r w:rsidRPr="003C2FFA">
        <w:rPr>
          <w:szCs w:val="24"/>
        </w:rPr>
        <w:t>Jodi J. Bair</w:t>
      </w:r>
      <w:r>
        <w:rPr>
          <w:szCs w:val="24"/>
        </w:rPr>
        <w:t xml:space="preserve"> </w:t>
      </w:r>
      <w:r w:rsidRPr="003C2FFA">
        <w:rPr>
          <w:szCs w:val="24"/>
        </w:rPr>
        <w:t>(0062921)</w:t>
      </w:r>
    </w:p>
    <w:p w:rsidR="00813AC1" w:rsidRDefault="00813AC1" w:rsidP="00813AC1">
      <w:pPr>
        <w:ind w:left="4320"/>
      </w:pPr>
      <w:r w:rsidRPr="003C2FFA">
        <w:rPr>
          <w:szCs w:val="24"/>
        </w:rPr>
        <w:t>Counsel of Record</w:t>
      </w:r>
      <w:r w:rsidRPr="003C2FFA">
        <w:t xml:space="preserve"> </w:t>
      </w:r>
    </w:p>
    <w:p w:rsidR="00AF673C" w:rsidRDefault="00AF673C" w:rsidP="00813AC1">
      <w:pPr>
        <w:ind w:left="4320"/>
      </w:pPr>
      <w:r w:rsidRPr="003C2FFA">
        <w:t>Ajay K. Kumar (0092208)</w:t>
      </w:r>
    </w:p>
    <w:p w:rsidR="00813AC1" w:rsidRPr="003C2FFA" w:rsidRDefault="00813AC1" w:rsidP="00813AC1">
      <w:pPr>
        <w:ind w:left="4320"/>
      </w:pPr>
      <w:r w:rsidRPr="003C2FFA">
        <w:t>Assistant Consumers’ Counsel</w:t>
      </w:r>
    </w:p>
    <w:p w:rsidR="00813AC1" w:rsidRPr="003C2FFA" w:rsidRDefault="00813AC1" w:rsidP="00813AC1">
      <w:pPr>
        <w:ind w:left="4320" w:right="-180"/>
        <w:rPr>
          <w:b/>
        </w:rPr>
      </w:pPr>
    </w:p>
    <w:p w:rsidR="00813AC1" w:rsidRPr="003C2FFA" w:rsidRDefault="00813AC1" w:rsidP="00813AC1">
      <w:pPr>
        <w:ind w:left="4320" w:right="-180"/>
      </w:pPr>
      <w:r w:rsidRPr="003C2FFA">
        <w:rPr>
          <w:b/>
        </w:rPr>
        <w:t>Office of the Ohio Consumers’ Counsel</w:t>
      </w:r>
    </w:p>
    <w:p w:rsidR="00813AC1" w:rsidRPr="003C2FFA" w:rsidRDefault="00813AC1" w:rsidP="00813AC1">
      <w:pPr>
        <w:ind w:left="4320"/>
      </w:pPr>
      <w:r w:rsidRPr="003C2FFA">
        <w:t>10 West Broad Street, Suite 1800</w:t>
      </w:r>
    </w:p>
    <w:p w:rsidR="00813AC1" w:rsidRPr="003C2FFA" w:rsidRDefault="00813AC1" w:rsidP="00813AC1">
      <w:pPr>
        <w:ind w:left="4320"/>
      </w:pPr>
      <w:r w:rsidRPr="003C2FFA">
        <w:t>Columbus, Ohio 43215-3485</w:t>
      </w:r>
    </w:p>
    <w:p w:rsidR="00813AC1" w:rsidRPr="003C2FFA" w:rsidRDefault="00813AC1" w:rsidP="00813AC1">
      <w:r w:rsidRPr="003C2FFA">
        <w:tab/>
      </w:r>
      <w:r w:rsidRPr="003C2FFA">
        <w:tab/>
      </w:r>
      <w:r w:rsidRPr="003C2FFA">
        <w:tab/>
      </w:r>
      <w:r w:rsidRPr="003C2FFA">
        <w:tab/>
      </w:r>
      <w:r w:rsidRPr="003C2FFA">
        <w:tab/>
      </w:r>
      <w:r w:rsidRPr="003C2FFA">
        <w:tab/>
        <w:t>(614) 466-9559 – Bair Direct</w:t>
      </w:r>
    </w:p>
    <w:p w:rsidR="00813AC1" w:rsidRPr="003C2FFA" w:rsidRDefault="00813AC1" w:rsidP="00813AC1">
      <w:r w:rsidRPr="003C2FFA">
        <w:tab/>
      </w:r>
      <w:r w:rsidRPr="003C2FFA">
        <w:tab/>
      </w:r>
      <w:r w:rsidRPr="003C2FFA">
        <w:tab/>
      </w:r>
      <w:r w:rsidRPr="003C2FFA">
        <w:tab/>
      </w:r>
      <w:r w:rsidRPr="003C2FFA">
        <w:tab/>
      </w:r>
      <w:r w:rsidRPr="003C2FFA">
        <w:tab/>
        <w:t>(614) 466-1292 – Kumar Direct</w:t>
      </w:r>
    </w:p>
    <w:p w:rsidR="00813AC1" w:rsidRPr="003C2FFA" w:rsidRDefault="00813AC1" w:rsidP="00813AC1">
      <w:r w:rsidRPr="003C2FFA">
        <w:tab/>
      </w:r>
      <w:r w:rsidRPr="003C2FFA">
        <w:tab/>
      </w:r>
      <w:r w:rsidRPr="003C2FFA">
        <w:tab/>
      </w:r>
      <w:r w:rsidRPr="003C2FFA">
        <w:tab/>
      </w:r>
      <w:r w:rsidRPr="003C2FFA">
        <w:tab/>
      </w:r>
      <w:r w:rsidRPr="003C2FFA">
        <w:tab/>
      </w:r>
      <w:hyperlink r:id="rId17" w:history="1">
        <w:r w:rsidRPr="003C2FFA">
          <w:rPr>
            <w:color w:val="0000FF"/>
            <w:u w:val="single"/>
          </w:rPr>
          <w:t>Jodi.bair@occ.ohio.gov</w:t>
        </w:r>
      </w:hyperlink>
    </w:p>
    <w:p w:rsidR="00813AC1" w:rsidRPr="003C2FFA" w:rsidRDefault="00813AC1" w:rsidP="00813AC1">
      <w:r w:rsidRPr="003C2FFA">
        <w:tab/>
      </w:r>
      <w:r w:rsidRPr="003C2FFA">
        <w:tab/>
      </w:r>
      <w:r w:rsidRPr="003C2FFA">
        <w:tab/>
      </w:r>
      <w:r w:rsidRPr="003C2FFA">
        <w:tab/>
      </w:r>
      <w:r w:rsidRPr="003C2FFA">
        <w:tab/>
      </w:r>
      <w:r w:rsidRPr="003C2FFA">
        <w:tab/>
        <w:t>(will accept service via email)</w:t>
      </w:r>
    </w:p>
    <w:p w:rsidR="00813AC1" w:rsidRPr="003C2FFA" w:rsidRDefault="00813AC1" w:rsidP="00813AC1">
      <w:r w:rsidRPr="003C2FFA">
        <w:tab/>
      </w:r>
      <w:r w:rsidRPr="003C2FFA">
        <w:tab/>
      </w:r>
      <w:r w:rsidRPr="003C2FFA">
        <w:tab/>
      </w:r>
      <w:r w:rsidRPr="003C2FFA">
        <w:tab/>
      </w:r>
      <w:r w:rsidRPr="003C2FFA">
        <w:tab/>
      </w:r>
      <w:r w:rsidRPr="003C2FFA">
        <w:tab/>
      </w:r>
      <w:hyperlink r:id="rId18" w:history="1">
        <w:r w:rsidRPr="003C2FFA">
          <w:rPr>
            <w:color w:val="0000FF"/>
            <w:u w:val="single"/>
          </w:rPr>
          <w:t>Ajay.kumar@occ.ohio.gov</w:t>
        </w:r>
      </w:hyperlink>
    </w:p>
    <w:p w:rsidR="00813AC1" w:rsidRPr="003C2FFA" w:rsidRDefault="00813AC1" w:rsidP="00813AC1">
      <w:r w:rsidRPr="003C2FFA">
        <w:tab/>
      </w:r>
      <w:r w:rsidRPr="003C2FFA">
        <w:tab/>
      </w:r>
      <w:r w:rsidRPr="003C2FFA">
        <w:tab/>
      </w:r>
      <w:r w:rsidRPr="003C2FFA">
        <w:tab/>
      </w:r>
      <w:r w:rsidRPr="003C2FFA">
        <w:tab/>
      </w:r>
      <w:r w:rsidRPr="003C2FFA">
        <w:tab/>
        <w:t>(will accept service via email)</w:t>
      </w:r>
    </w:p>
    <w:p w:rsidR="00B0131B" w:rsidRDefault="00B0131B" w:rsidP="00813AC1">
      <w:pPr>
        <w:jc w:val="center"/>
        <w:rPr>
          <w:b/>
          <w:bCs/>
          <w:u w:val="single"/>
        </w:rPr>
        <w:sectPr w:rsidR="00B0131B" w:rsidSect="00366D5B">
          <w:pgSz w:w="12240" w:h="15840"/>
          <w:pgMar w:top="1440" w:right="1800" w:bottom="1440" w:left="1800" w:header="720" w:footer="720" w:gutter="0"/>
          <w:pgNumType w:start="1"/>
          <w:cols w:space="720"/>
          <w:docGrid w:linePitch="360"/>
        </w:sectPr>
      </w:pPr>
    </w:p>
    <w:p w:rsidR="00813AC1" w:rsidRDefault="00813AC1" w:rsidP="00813AC1">
      <w:pPr>
        <w:jc w:val="center"/>
        <w:rPr>
          <w:b/>
          <w:bCs/>
          <w:u w:val="single"/>
        </w:rPr>
      </w:pPr>
      <w:r w:rsidRPr="002B7204">
        <w:rPr>
          <w:b/>
          <w:bCs/>
          <w:u w:val="single"/>
        </w:rPr>
        <w:t>CERTIFICATE OF SERVICE</w:t>
      </w:r>
    </w:p>
    <w:p w:rsidR="009A4234" w:rsidRPr="002B7204" w:rsidRDefault="009A4234" w:rsidP="00813AC1">
      <w:pPr>
        <w:jc w:val="center"/>
        <w:rPr>
          <w:b/>
          <w:bCs/>
          <w:u w:val="single"/>
        </w:rPr>
      </w:pPr>
    </w:p>
    <w:p w:rsidR="00813AC1" w:rsidRPr="002B7204" w:rsidRDefault="00813AC1" w:rsidP="00813AC1">
      <w:pPr>
        <w:spacing w:line="480" w:lineRule="atLeast"/>
      </w:pPr>
      <w:r w:rsidRPr="002B7204">
        <w:tab/>
        <w:t xml:space="preserve">I hereby certify that a copy of </w:t>
      </w:r>
      <w:r w:rsidR="00956753">
        <w:t xml:space="preserve">this </w:t>
      </w:r>
      <w:r w:rsidR="00C8647E" w:rsidRPr="00B0131B">
        <w:t>Reply</w:t>
      </w:r>
      <w:r w:rsidR="00956753" w:rsidRPr="00B0131B">
        <w:t xml:space="preserve"> Brief</w:t>
      </w:r>
      <w:r>
        <w:t xml:space="preserve"> ha</w:t>
      </w:r>
      <w:r w:rsidR="00956753">
        <w:t>s</w:t>
      </w:r>
      <w:r>
        <w:t xml:space="preserve"> been </w:t>
      </w:r>
      <w:r w:rsidRPr="002B7204">
        <w:t xml:space="preserve">served on the persons stated below </w:t>
      </w:r>
      <w:r w:rsidRPr="00B0131B">
        <w:t xml:space="preserve">via </w:t>
      </w:r>
      <w:r w:rsidRPr="002B7204">
        <w:t xml:space="preserve">electronic transmission, this </w:t>
      </w:r>
      <w:r w:rsidR="001419C5">
        <w:t>29</w:t>
      </w:r>
      <w:r w:rsidR="00FA7121" w:rsidRPr="00FA7121">
        <w:rPr>
          <w:vertAlign w:val="superscript"/>
        </w:rPr>
        <w:t>th</w:t>
      </w:r>
      <w:r w:rsidR="00FA7121">
        <w:t xml:space="preserve"> </w:t>
      </w:r>
      <w:r w:rsidRPr="002B7204">
        <w:t xml:space="preserve">day of </w:t>
      </w:r>
      <w:r>
        <w:t>March</w:t>
      </w:r>
      <w:r w:rsidR="0085457F">
        <w:t>,</w:t>
      </w:r>
      <w:r>
        <w:t xml:space="preserve"> 2016</w:t>
      </w:r>
      <w:r w:rsidRPr="002B7204">
        <w:t>.</w:t>
      </w:r>
    </w:p>
    <w:p w:rsidR="00813AC1" w:rsidRPr="002B7204" w:rsidRDefault="00813AC1" w:rsidP="00813AC1">
      <w:pPr>
        <w:spacing w:line="480" w:lineRule="atLeast"/>
      </w:pPr>
    </w:p>
    <w:p w:rsidR="00813AC1" w:rsidRPr="002B7204" w:rsidRDefault="00813AC1" w:rsidP="00813AC1">
      <w:pPr>
        <w:tabs>
          <w:tab w:val="left" w:pos="4320"/>
        </w:tabs>
        <w:rPr>
          <w:i/>
          <w:u w:val="single"/>
        </w:rPr>
      </w:pPr>
      <w:r w:rsidRPr="002B7204">
        <w:tab/>
      </w:r>
      <w:r w:rsidR="00F95783">
        <w:rPr>
          <w:i/>
          <w:u w:val="single"/>
        </w:rPr>
        <w:t>/s/ Ajay Kumar</w:t>
      </w:r>
      <w:r w:rsidR="001419C5">
        <w:rPr>
          <w:i/>
          <w:u w:val="single"/>
        </w:rPr>
        <w:t xml:space="preserve">  </w:t>
      </w:r>
      <w:r w:rsidRPr="002B7204">
        <w:rPr>
          <w:i/>
          <w:u w:val="single"/>
        </w:rPr>
        <w:tab/>
      </w:r>
      <w:r w:rsidR="00FA7121">
        <w:rPr>
          <w:i/>
          <w:u w:val="single"/>
        </w:rPr>
        <w:t>______</w:t>
      </w:r>
    </w:p>
    <w:p w:rsidR="00813AC1" w:rsidRPr="002B7204" w:rsidRDefault="00813AC1" w:rsidP="00813AC1">
      <w:pPr>
        <w:tabs>
          <w:tab w:val="left" w:pos="4320"/>
        </w:tabs>
      </w:pPr>
      <w:r w:rsidRPr="002B7204">
        <w:tab/>
      </w:r>
      <w:r w:rsidR="00F95783">
        <w:t>Ajay Kumar</w:t>
      </w:r>
    </w:p>
    <w:p w:rsidR="00813AC1" w:rsidRPr="002B7204" w:rsidRDefault="001419C5" w:rsidP="00813AC1">
      <w:pPr>
        <w:tabs>
          <w:tab w:val="left" w:pos="4320"/>
        </w:tabs>
      </w:pPr>
      <w:r>
        <w:tab/>
        <w:t>Assistant Consumers’ Counsel</w:t>
      </w:r>
    </w:p>
    <w:p w:rsidR="00813AC1" w:rsidRPr="002B7204" w:rsidRDefault="00813AC1" w:rsidP="00813AC1"/>
    <w:p w:rsidR="00813AC1" w:rsidRDefault="00813AC1" w:rsidP="00813AC1">
      <w:pPr>
        <w:rPr>
          <w:szCs w:val="24"/>
        </w:rPr>
      </w:pPr>
    </w:p>
    <w:p w:rsidR="00940540" w:rsidRPr="002B7204" w:rsidRDefault="00940540" w:rsidP="00813AC1">
      <w:pPr>
        <w:rPr>
          <w:szCs w:val="24"/>
        </w:rPr>
      </w:pPr>
    </w:p>
    <w:p w:rsidR="00813AC1" w:rsidRPr="002B7204" w:rsidRDefault="00813AC1" w:rsidP="00813AC1">
      <w:pPr>
        <w:jc w:val="center"/>
        <w:rPr>
          <w:b/>
          <w:szCs w:val="24"/>
          <w:u w:val="single"/>
        </w:rPr>
      </w:pPr>
      <w:r w:rsidRPr="002B7204">
        <w:rPr>
          <w:b/>
          <w:szCs w:val="24"/>
          <w:u w:val="single"/>
        </w:rPr>
        <w:t>SERVICE LIST</w:t>
      </w:r>
    </w:p>
    <w:p w:rsidR="00813AC1" w:rsidRPr="002B7204" w:rsidRDefault="00813AC1" w:rsidP="00813AC1">
      <w:pPr>
        <w:jc w:val="center"/>
        <w:rPr>
          <w:b/>
          <w:szCs w:val="24"/>
          <w:u w:val="single"/>
        </w:rPr>
      </w:pPr>
    </w:p>
    <w:p w:rsidR="00813AC1" w:rsidRPr="002B7204" w:rsidRDefault="00813AC1" w:rsidP="00813AC1">
      <w:pPr>
        <w:jc w:val="cente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13AC1" w:rsidRPr="002B7204" w:rsidTr="000009EA">
        <w:tc>
          <w:tcPr>
            <w:tcW w:w="4428" w:type="dxa"/>
          </w:tcPr>
          <w:p w:rsidR="005C7405" w:rsidRDefault="008E254B" w:rsidP="000009EA">
            <w:pPr>
              <w:jc w:val="both"/>
              <w:rPr>
                <w:bCs/>
              </w:rPr>
            </w:pPr>
            <w:hyperlink r:id="rId19" w:history="1">
              <w:r w:rsidR="009A4234" w:rsidRPr="005026CE">
                <w:rPr>
                  <w:rStyle w:val="Hyperlink"/>
                  <w:bCs/>
                </w:rPr>
                <w:t>William.wright@puc.state.oh.us</w:t>
              </w:r>
            </w:hyperlink>
            <w:r w:rsidR="009A4234">
              <w:rPr>
                <w:bCs/>
              </w:rPr>
              <w:t xml:space="preserve"> </w:t>
            </w:r>
          </w:p>
          <w:p w:rsidR="00813AC1" w:rsidRDefault="008E254B" w:rsidP="000009EA">
            <w:pPr>
              <w:jc w:val="both"/>
              <w:rPr>
                <w:bCs/>
              </w:rPr>
            </w:pPr>
            <w:hyperlink r:id="rId20" w:history="1">
              <w:r w:rsidR="009A4234" w:rsidRPr="005026CE">
                <w:rPr>
                  <w:rStyle w:val="Hyperlink"/>
                  <w:bCs/>
                </w:rPr>
                <w:t>steven.beeler@puc.state.oh.us</w:t>
              </w:r>
            </w:hyperlink>
            <w:r w:rsidR="009A4234">
              <w:rPr>
                <w:bCs/>
              </w:rPr>
              <w:t xml:space="preserve"> </w:t>
            </w:r>
          </w:p>
          <w:p w:rsidR="00813AC1" w:rsidRDefault="008E254B" w:rsidP="000009EA">
            <w:pPr>
              <w:autoSpaceDE w:val="0"/>
              <w:autoSpaceDN w:val="0"/>
              <w:adjustRightInd w:val="0"/>
              <w:rPr>
                <w:rFonts w:eastAsiaTheme="minorHAnsi"/>
                <w:szCs w:val="24"/>
              </w:rPr>
            </w:pPr>
            <w:hyperlink r:id="rId21" w:history="1">
              <w:r w:rsidR="009A4234" w:rsidRPr="005026CE">
                <w:rPr>
                  <w:rStyle w:val="Hyperlink"/>
                  <w:rFonts w:eastAsiaTheme="minorHAnsi"/>
                  <w:szCs w:val="24"/>
                </w:rPr>
                <w:t>fdarr@mwncmh.com</w:t>
              </w:r>
            </w:hyperlink>
            <w:r w:rsidR="009A4234">
              <w:rPr>
                <w:rFonts w:eastAsiaTheme="minorHAnsi"/>
                <w:szCs w:val="24"/>
              </w:rPr>
              <w:t xml:space="preserve"> </w:t>
            </w:r>
          </w:p>
          <w:p w:rsidR="00813AC1" w:rsidRDefault="008E254B" w:rsidP="000009EA">
            <w:pPr>
              <w:autoSpaceDE w:val="0"/>
              <w:autoSpaceDN w:val="0"/>
              <w:adjustRightInd w:val="0"/>
              <w:rPr>
                <w:rFonts w:eastAsiaTheme="minorHAnsi"/>
                <w:szCs w:val="24"/>
              </w:rPr>
            </w:pPr>
            <w:hyperlink r:id="rId22" w:history="1">
              <w:r w:rsidR="009A4234" w:rsidRPr="005026CE">
                <w:rPr>
                  <w:rStyle w:val="Hyperlink"/>
                  <w:rFonts w:eastAsiaTheme="minorHAnsi"/>
                  <w:szCs w:val="24"/>
                </w:rPr>
                <w:t>mpritchard@mwncmh.com</w:t>
              </w:r>
            </w:hyperlink>
            <w:r w:rsidR="009A4234">
              <w:rPr>
                <w:rFonts w:eastAsiaTheme="minorHAnsi"/>
                <w:szCs w:val="24"/>
              </w:rPr>
              <w:t xml:space="preserve"> </w:t>
            </w:r>
          </w:p>
          <w:p w:rsidR="00813AC1" w:rsidRPr="002B7204" w:rsidRDefault="008E254B" w:rsidP="000009EA">
            <w:pPr>
              <w:autoSpaceDE w:val="0"/>
              <w:autoSpaceDN w:val="0"/>
              <w:adjustRightInd w:val="0"/>
              <w:rPr>
                <w:bCs/>
              </w:rPr>
            </w:pPr>
            <w:hyperlink r:id="rId23" w:history="1">
              <w:r w:rsidR="009A4234" w:rsidRPr="005026CE">
                <w:rPr>
                  <w:rStyle w:val="Hyperlink"/>
                  <w:rFonts w:eastAsiaTheme="minorHAnsi"/>
                  <w:szCs w:val="24"/>
                </w:rPr>
                <w:t>cmooney@ohiopartners.org</w:t>
              </w:r>
            </w:hyperlink>
            <w:r w:rsidR="009A4234">
              <w:rPr>
                <w:rFonts w:eastAsiaTheme="minorHAnsi"/>
                <w:szCs w:val="24"/>
              </w:rPr>
              <w:t xml:space="preserve"> </w:t>
            </w:r>
          </w:p>
          <w:p w:rsidR="00813AC1" w:rsidRPr="002B7204" w:rsidRDefault="00813AC1" w:rsidP="000009EA">
            <w:pPr>
              <w:jc w:val="both"/>
              <w:rPr>
                <w:bCs/>
              </w:rPr>
            </w:pPr>
          </w:p>
        </w:tc>
        <w:tc>
          <w:tcPr>
            <w:tcW w:w="4428" w:type="dxa"/>
          </w:tcPr>
          <w:p w:rsidR="00813AC1" w:rsidRDefault="008E254B" w:rsidP="000009EA">
            <w:pPr>
              <w:autoSpaceDE w:val="0"/>
              <w:autoSpaceDN w:val="0"/>
              <w:adjustRightInd w:val="0"/>
              <w:rPr>
                <w:rFonts w:eastAsiaTheme="minorHAnsi"/>
                <w:szCs w:val="24"/>
              </w:rPr>
            </w:pPr>
            <w:hyperlink r:id="rId24" w:history="1">
              <w:r w:rsidR="009A4234" w:rsidRPr="005026CE">
                <w:rPr>
                  <w:rStyle w:val="Hyperlink"/>
                  <w:rFonts w:eastAsiaTheme="minorHAnsi"/>
                  <w:szCs w:val="24"/>
                </w:rPr>
                <w:t>whitt@whitt-sturtevant.com</w:t>
              </w:r>
            </w:hyperlink>
            <w:r w:rsidR="009A4234">
              <w:rPr>
                <w:rFonts w:eastAsiaTheme="minorHAnsi"/>
                <w:szCs w:val="24"/>
              </w:rPr>
              <w:t xml:space="preserve"> </w:t>
            </w:r>
          </w:p>
          <w:p w:rsidR="00813AC1" w:rsidRDefault="008E254B" w:rsidP="000009EA">
            <w:pPr>
              <w:autoSpaceDE w:val="0"/>
              <w:autoSpaceDN w:val="0"/>
              <w:adjustRightInd w:val="0"/>
              <w:rPr>
                <w:rFonts w:eastAsiaTheme="minorHAnsi"/>
                <w:szCs w:val="24"/>
              </w:rPr>
            </w:pPr>
            <w:hyperlink r:id="rId25" w:history="1">
              <w:r w:rsidR="009A4234" w:rsidRPr="005026CE">
                <w:rPr>
                  <w:rStyle w:val="Hyperlink"/>
                  <w:rFonts w:eastAsiaTheme="minorHAnsi"/>
                  <w:szCs w:val="24"/>
                </w:rPr>
                <w:t>campbell@whitt-sturtevant.com</w:t>
              </w:r>
            </w:hyperlink>
            <w:r w:rsidR="009A4234">
              <w:rPr>
                <w:rFonts w:eastAsiaTheme="minorHAnsi"/>
                <w:szCs w:val="24"/>
              </w:rPr>
              <w:t xml:space="preserve"> </w:t>
            </w:r>
          </w:p>
          <w:p w:rsidR="00813AC1" w:rsidRDefault="008E254B" w:rsidP="000009EA">
            <w:pPr>
              <w:autoSpaceDE w:val="0"/>
              <w:autoSpaceDN w:val="0"/>
              <w:adjustRightInd w:val="0"/>
              <w:rPr>
                <w:rFonts w:eastAsiaTheme="minorHAnsi"/>
                <w:szCs w:val="24"/>
              </w:rPr>
            </w:pPr>
            <w:hyperlink r:id="rId26" w:history="1">
              <w:r w:rsidR="009A4234" w:rsidRPr="005026CE">
                <w:rPr>
                  <w:rStyle w:val="Hyperlink"/>
                  <w:rFonts w:eastAsiaTheme="minorHAnsi"/>
                  <w:szCs w:val="24"/>
                </w:rPr>
                <w:t>glover@whitt-sturtevant.com</w:t>
              </w:r>
            </w:hyperlink>
            <w:r w:rsidR="009A4234">
              <w:rPr>
                <w:rFonts w:eastAsiaTheme="minorHAnsi"/>
                <w:szCs w:val="24"/>
              </w:rPr>
              <w:t xml:space="preserve"> </w:t>
            </w:r>
          </w:p>
          <w:p w:rsidR="00813AC1" w:rsidRPr="002B7204" w:rsidRDefault="00813AC1" w:rsidP="000009EA">
            <w:pPr>
              <w:autoSpaceDE w:val="0"/>
              <w:autoSpaceDN w:val="0"/>
              <w:adjustRightInd w:val="0"/>
              <w:rPr>
                <w:rFonts w:eastAsiaTheme="minorHAnsi"/>
                <w:szCs w:val="24"/>
              </w:rPr>
            </w:pPr>
          </w:p>
          <w:p w:rsidR="00813AC1" w:rsidRPr="002B7204" w:rsidRDefault="00813AC1" w:rsidP="000009EA">
            <w:pPr>
              <w:jc w:val="both"/>
              <w:rPr>
                <w:bCs/>
              </w:rPr>
            </w:pPr>
          </w:p>
        </w:tc>
      </w:tr>
      <w:tr w:rsidR="00813AC1" w:rsidRPr="002B7204" w:rsidTr="000009EA">
        <w:tc>
          <w:tcPr>
            <w:tcW w:w="4428" w:type="dxa"/>
          </w:tcPr>
          <w:p w:rsidR="00813AC1" w:rsidRDefault="00813AC1" w:rsidP="000009EA">
            <w:pPr>
              <w:autoSpaceDE w:val="0"/>
              <w:autoSpaceDN w:val="0"/>
              <w:adjustRightInd w:val="0"/>
              <w:rPr>
                <w:rFonts w:eastAsiaTheme="minorHAnsi"/>
                <w:szCs w:val="24"/>
              </w:rPr>
            </w:pPr>
            <w:r>
              <w:rPr>
                <w:rFonts w:eastAsiaTheme="minorHAnsi"/>
                <w:szCs w:val="24"/>
              </w:rPr>
              <w:t>Attorney Examiner:</w:t>
            </w:r>
          </w:p>
          <w:p w:rsidR="009A4234" w:rsidRDefault="009A4234" w:rsidP="009A4234">
            <w:pPr>
              <w:autoSpaceDE w:val="0"/>
              <w:autoSpaceDN w:val="0"/>
              <w:adjustRightInd w:val="0"/>
              <w:rPr>
                <w:rFonts w:eastAsiaTheme="minorHAnsi"/>
                <w:szCs w:val="24"/>
              </w:rPr>
            </w:pPr>
          </w:p>
          <w:p w:rsidR="00813AC1" w:rsidRDefault="008E254B" w:rsidP="000009EA">
            <w:pPr>
              <w:autoSpaceDE w:val="0"/>
              <w:autoSpaceDN w:val="0"/>
              <w:adjustRightInd w:val="0"/>
              <w:rPr>
                <w:rFonts w:eastAsiaTheme="minorHAnsi"/>
                <w:szCs w:val="24"/>
              </w:rPr>
            </w:pPr>
            <w:hyperlink r:id="rId27" w:history="1">
              <w:r w:rsidR="009A4234" w:rsidRPr="005026CE">
                <w:rPr>
                  <w:rStyle w:val="Hyperlink"/>
                  <w:rFonts w:eastAsiaTheme="minorHAnsi"/>
                  <w:szCs w:val="24"/>
                </w:rPr>
                <w:t>Mandy.willey@puc.state.oh.us</w:t>
              </w:r>
            </w:hyperlink>
            <w:r w:rsidR="009A4234">
              <w:rPr>
                <w:rFonts w:eastAsiaTheme="minorHAnsi"/>
                <w:szCs w:val="24"/>
              </w:rPr>
              <w:t xml:space="preserve"> </w:t>
            </w:r>
          </w:p>
          <w:p w:rsidR="00813AC1" w:rsidRPr="002B7204" w:rsidRDefault="00813AC1" w:rsidP="000009EA">
            <w:pPr>
              <w:autoSpaceDE w:val="0"/>
              <w:autoSpaceDN w:val="0"/>
              <w:adjustRightInd w:val="0"/>
              <w:rPr>
                <w:rFonts w:eastAsiaTheme="minorHAnsi"/>
                <w:szCs w:val="24"/>
              </w:rPr>
            </w:pPr>
          </w:p>
        </w:tc>
        <w:tc>
          <w:tcPr>
            <w:tcW w:w="4428" w:type="dxa"/>
          </w:tcPr>
          <w:p w:rsidR="00813AC1" w:rsidRPr="002B7204" w:rsidRDefault="00813AC1" w:rsidP="000009EA">
            <w:pPr>
              <w:autoSpaceDE w:val="0"/>
              <w:autoSpaceDN w:val="0"/>
              <w:adjustRightInd w:val="0"/>
              <w:rPr>
                <w:rFonts w:eastAsiaTheme="minorHAnsi"/>
                <w:szCs w:val="24"/>
              </w:rPr>
            </w:pPr>
          </w:p>
        </w:tc>
      </w:tr>
    </w:tbl>
    <w:p w:rsidR="00813AC1" w:rsidRPr="002B7204" w:rsidRDefault="00813AC1" w:rsidP="00813AC1"/>
    <w:p w:rsidR="00813AC1" w:rsidRDefault="00813AC1" w:rsidP="00813AC1">
      <w:pPr>
        <w:pStyle w:val="BodyTextIndent3"/>
        <w:widowControl w:val="0"/>
        <w:spacing w:line="480" w:lineRule="auto"/>
      </w:pPr>
    </w:p>
    <w:p w:rsidR="007C4B94" w:rsidRDefault="007C4B94"/>
    <w:sectPr w:rsidR="007C4B94" w:rsidSect="001C7FAE">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F3" w:rsidRDefault="00A108F3" w:rsidP="00813AC1">
      <w:r>
        <w:separator/>
      </w:r>
    </w:p>
  </w:endnote>
  <w:endnote w:type="continuationSeparator" w:id="0">
    <w:p w:rsidR="00A108F3" w:rsidRDefault="00A108F3" w:rsidP="008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21" w:rsidRDefault="006E6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8602"/>
      <w:docPartObj>
        <w:docPartGallery w:val="Page Numbers (Bottom of Page)"/>
        <w:docPartUnique/>
      </w:docPartObj>
    </w:sdtPr>
    <w:sdtEndPr>
      <w:rPr>
        <w:noProof/>
      </w:rPr>
    </w:sdtEndPr>
    <w:sdtContent>
      <w:p w:rsidR="002436E2" w:rsidRDefault="002436E2">
        <w:pPr>
          <w:pStyle w:val="Footer"/>
          <w:jc w:val="center"/>
        </w:pPr>
        <w:r>
          <w:fldChar w:fldCharType="begin"/>
        </w:r>
        <w:r>
          <w:instrText xml:space="preserve"> PAGE   \* MERGEFORMAT </w:instrText>
        </w:r>
        <w:r>
          <w:fldChar w:fldCharType="separate"/>
        </w:r>
        <w:r w:rsidR="008E254B">
          <w:rPr>
            <w:noProof/>
          </w:rPr>
          <w:t>1</w:t>
        </w:r>
        <w:r>
          <w:rPr>
            <w:noProof/>
          </w:rPr>
          <w:fldChar w:fldCharType="end"/>
        </w:r>
      </w:p>
    </w:sdtContent>
  </w:sdt>
  <w:p w:rsidR="000009EA" w:rsidRDefault="00000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E2" w:rsidRDefault="002436E2">
    <w:pPr>
      <w:pStyle w:val="Footer"/>
      <w:jc w:val="center"/>
    </w:pPr>
  </w:p>
  <w:p w:rsidR="002436E2" w:rsidRDefault="002436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870"/>
      <w:docPartObj>
        <w:docPartGallery w:val="Page Numbers (Bottom of Page)"/>
        <w:docPartUnique/>
      </w:docPartObj>
    </w:sdtPr>
    <w:sdtEndPr>
      <w:rPr>
        <w:noProof/>
      </w:rPr>
    </w:sdtEndPr>
    <w:sdtContent>
      <w:p w:rsidR="002436E2" w:rsidRDefault="002436E2">
        <w:pPr>
          <w:pStyle w:val="Footer"/>
          <w:jc w:val="center"/>
        </w:pPr>
        <w:r>
          <w:fldChar w:fldCharType="begin"/>
        </w:r>
        <w:r>
          <w:instrText xml:space="preserve"> PAGE   \* MERGEFORMAT </w:instrText>
        </w:r>
        <w:r>
          <w:fldChar w:fldCharType="separate"/>
        </w:r>
        <w:r w:rsidR="008E254B">
          <w:rPr>
            <w:noProof/>
          </w:rPr>
          <w:t>i</w:t>
        </w:r>
        <w:r>
          <w:rPr>
            <w:noProof/>
          </w:rPr>
          <w:fldChar w:fldCharType="end"/>
        </w:r>
      </w:p>
    </w:sdtContent>
  </w:sdt>
  <w:p w:rsidR="002436E2" w:rsidRDefault="002436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jc w:val="center"/>
    </w:pPr>
  </w:p>
  <w:p w:rsidR="00B0131B" w:rsidRDefault="00B0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F3" w:rsidRDefault="00A108F3" w:rsidP="00813AC1">
      <w:r>
        <w:separator/>
      </w:r>
    </w:p>
  </w:footnote>
  <w:footnote w:type="continuationSeparator" w:id="0">
    <w:p w:rsidR="00A108F3" w:rsidRDefault="00A108F3" w:rsidP="00813AC1">
      <w:r>
        <w:continuationSeparator/>
      </w:r>
    </w:p>
  </w:footnote>
  <w:footnote w:id="1">
    <w:p w:rsidR="00055123" w:rsidRPr="00B0131B" w:rsidRDefault="00055123" w:rsidP="009A4234">
      <w:pPr>
        <w:pStyle w:val="FootnoteText"/>
        <w:spacing w:after="120"/>
      </w:pPr>
      <w:r w:rsidRPr="00B0131B">
        <w:rPr>
          <w:rStyle w:val="FootnoteReference"/>
        </w:rPr>
        <w:footnoteRef/>
      </w:r>
      <w:r w:rsidRPr="00B0131B">
        <w:t xml:space="preserve"> </w:t>
      </w:r>
      <w:r w:rsidRPr="00B0131B">
        <w:rPr>
          <w:i/>
        </w:rPr>
        <w:t xml:space="preserve">See </w:t>
      </w:r>
      <w:r w:rsidR="00676E29" w:rsidRPr="00B0131B">
        <w:t>OCC Initial Brief at 5</w:t>
      </w:r>
      <w:r w:rsidRPr="00B0131B">
        <w:t xml:space="preserve">. </w:t>
      </w:r>
    </w:p>
  </w:footnote>
  <w:footnote w:id="2">
    <w:p w:rsidR="0043353A" w:rsidRPr="00B0131B" w:rsidRDefault="0043353A" w:rsidP="009A4234">
      <w:pPr>
        <w:pStyle w:val="FootnoteText"/>
        <w:spacing w:after="120"/>
      </w:pPr>
      <w:r w:rsidRPr="00B0131B">
        <w:rPr>
          <w:rStyle w:val="FootnoteReference"/>
        </w:rPr>
        <w:footnoteRef/>
      </w:r>
      <w:r w:rsidRPr="00B0131B">
        <w:t xml:space="preserve"> </w:t>
      </w:r>
      <w:r w:rsidR="00D51656" w:rsidRPr="00B0131B">
        <w:rPr>
          <w:i/>
        </w:rPr>
        <w:t>See</w:t>
      </w:r>
      <w:r w:rsidR="00D51656" w:rsidRPr="00B0131B">
        <w:t xml:space="preserve"> R.C. §</w:t>
      </w:r>
      <w:r w:rsidR="009D4DB6" w:rsidRPr="00B0131B">
        <w:t>4929.05</w:t>
      </w:r>
      <w:r w:rsidR="00B0131B">
        <w:t>.</w:t>
      </w:r>
    </w:p>
  </w:footnote>
  <w:footnote w:id="3">
    <w:p w:rsidR="00D51656" w:rsidRPr="00B0131B" w:rsidRDefault="00D51656" w:rsidP="009A4234">
      <w:pPr>
        <w:pStyle w:val="FootnoteText"/>
        <w:spacing w:after="120"/>
      </w:pPr>
      <w:r w:rsidRPr="00B0131B">
        <w:rPr>
          <w:rStyle w:val="FootnoteReference"/>
        </w:rPr>
        <w:footnoteRef/>
      </w:r>
      <w:r w:rsidRPr="00B0131B">
        <w:t xml:space="preserve"> </w:t>
      </w:r>
      <w:r w:rsidRPr="00B0131B">
        <w:rPr>
          <w:i/>
        </w:rPr>
        <w:t>See</w:t>
      </w:r>
      <w:r w:rsidRPr="00B0131B">
        <w:t xml:space="preserve"> OCC Initial Brief at </w:t>
      </w:r>
      <w:r w:rsidR="009424A2" w:rsidRPr="00B0131B">
        <w:t>9-11.</w:t>
      </w:r>
    </w:p>
  </w:footnote>
  <w:footnote w:id="4">
    <w:p w:rsidR="00996880" w:rsidRPr="00B0131B" w:rsidRDefault="00996880" w:rsidP="009A4234">
      <w:pPr>
        <w:pStyle w:val="FootnoteText"/>
        <w:spacing w:after="120"/>
      </w:pPr>
      <w:r w:rsidRPr="00B0131B">
        <w:rPr>
          <w:rStyle w:val="FootnoteReference"/>
        </w:rPr>
        <w:footnoteRef/>
      </w:r>
      <w:r w:rsidRPr="00B0131B">
        <w:t xml:space="preserve"> R.C. </w:t>
      </w:r>
      <w:r w:rsidR="00DD672A">
        <w:t>§</w:t>
      </w:r>
      <w:r w:rsidRPr="00B0131B">
        <w:t>4929.02(A)(1).</w:t>
      </w:r>
    </w:p>
  </w:footnote>
  <w:footnote w:id="5">
    <w:p w:rsidR="0037315B" w:rsidRPr="00B0131B" w:rsidRDefault="0037315B" w:rsidP="009A4234">
      <w:pPr>
        <w:pStyle w:val="FootnoteText"/>
        <w:spacing w:after="120"/>
      </w:pPr>
      <w:r w:rsidRPr="00B0131B">
        <w:rPr>
          <w:rStyle w:val="FootnoteReference"/>
        </w:rPr>
        <w:footnoteRef/>
      </w:r>
      <w:r w:rsidRPr="00B0131B">
        <w:t xml:space="preserve"> Dominion Initial Brief at 8.</w:t>
      </w:r>
    </w:p>
  </w:footnote>
  <w:footnote w:id="6">
    <w:p w:rsidR="0037315B" w:rsidRPr="00B0131B" w:rsidRDefault="0037315B" w:rsidP="009A4234">
      <w:pPr>
        <w:pStyle w:val="FootnoteText"/>
        <w:spacing w:after="120"/>
      </w:pPr>
      <w:r w:rsidRPr="00B0131B">
        <w:rPr>
          <w:rStyle w:val="FootnoteReference"/>
        </w:rPr>
        <w:footnoteRef/>
      </w:r>
      <w:r w:rsidRPr="00B0131B">
        <w:t xml:space="preserve"> </w:t>
      </w:r>
      <w:r w:rsidRPr="00B0131B">
        <w:rPr>
          <w:i/>
        </w:rPr>
        <w:t>Id</w:t>
      </w:r>
      <w:r w:rsidRPr="00B0131B">
        <w:t>., at 9.</w:t>
      </w:r>
    </w:p>
  </w:footnote>
  <w:footnote w:id="7">
    <w:p w:rsidR="0037315B" w:rsidRPr="00B0131B" w:rsidRDefault="0037315B" w:rsidP="009A4234">
      <w:pPr>
        <w:pStyle w:val="FootnoteText"/>
        <w:spacing w:after="120"/>
      </w:pPr>
      <w:r w:rsidRPr="00B0131B">
        <w:rPr>
          <w:rStyle w:val="FootnoteReference"/>
        </w:rPr>
        <w:footnoteRef/>
      </w:r>
      <w:r w:rsidRPr="00B0131B">
        <w:t xml:space="preserve"> </w:t>
      </w:r>
      <w:r w:rsidRPr="00B0131B">
        <w:rPr>
          <w:i/>
        </w:rPr>
        <w:t>Id</w:t>
      </w:r>
      <w:r w:rsidRPr="00B0131B">
        <w:t>.</w:t>
      </w:r>
    </w:p>
  </w:footnote>
  <w:footnote w:id="8">
    <w:p w:rsidR="00F95783" w:rsidRPr="00F95783" w:rsidRDefault="00F95783" w:rsidP="009A4234">
      <w:pPr>
        <w:pStyle w:val="FootnoteText"/>
        <w:spacing w:after="120"/>
      </w:pPr>
      <w:r>
        <w:rPr>
          <w:rStyle w:val="FootnoteReference"/>
        </w:rPr>
        <w:footnoteRef/>
      </w:r>
      <w:r>
        <w:t xml:space="preserve"> </w:t>
      </w:r>
      <w:r>
        <w:rPr>
          <w:i/>
        </w:rPr>
        <w:t>See</w:t>
      </w:r>
      <w:r>
        <w:t xml:space="preserve"> OCC Initial Brief at 5.</w:t>
      </w:r>
    </w:p>
  </w:footnote>
  <w:footnote w:id="9">
    <w:p w:rsidR="009D4DB6" w:rsidRPr="00B0131B" w:rsidRDefault="009D4DB6" w:rsidP="009A4234">
      <w:pPr>
        <w:pStyle w:val="FootnoteText"/>
        <w:spacing w:after="120"/>
      </w:pPr>
      <w:r w:rsidRPr="00B0131B">
        <w:rPr>
          <w:rStyle w:val="FootnoteReference"/>
        </w:rPr>
        <w:footnoteRef/>
      </w:r>
      <w:r w:rsidRPr="00B0131B">
        <w:t xml:space="preserve"> R.C. §4929.05 (articulating the just and reasonable standard); </w:t>
      </w:r>
      <w:r w:rsidRPr="00B0131B">
        <w:rPr>
          <w:i/>
        </w:rPr>
        <w:t xml:space="preserve">see </w:t>
      </w:r>
      <w:r w:rsidR="009424A2" w:rsidRPr="00B0131B">
        <w:t>DEO Initial Brief at 10-12</w:t>
      </w:r>
      <w:r w:rsidRPr="00B0131B">
        <w:t xml:space="preserve">. </w:t>
      </w:r>
    </w:p>
  </w:footnote>
  <w:footnote w:id="10">
    <w:p w:rsidR="006D018B" w:rsidRPr="00B0131B" w:rsidRDefault="006D018B" w:rsidP="009A4234">
      <w:pPr>
        <w:pStyle w:val="FootnoteText"/>
        <w:spacing w:after="120"/>
      </w:pPr>
      <w:r w:rsidRPr="00B0131B">
        <w:rPr>
          <w:rStyle w:val="FootnoteReference"/>
        </w:rPr>
        <w:footnoteRef/>
      </w:r>
      <w:r w:rsidRPr="00B0131B">
        <w:t xml:space="preserve"> </w:t>
      </w:r>
      <w:r w:rsidR="009424A2" w:rsidRPr="00B0131B">
        <w:t>DEO Initial Brief at 11.</w:t>
      </w:r>
    </w:p>
  </w:footnote>
  <w:footnote w:id="11">
    <w:p w:rsidR="00C27662" w:rsidRPr="00B0131B" w:rsidRDefault="00C27662" w:rsidP="009A4234">
      <w:pPr>
        <w:pStyle w:val="FootnoteText"/>
        <w:spacing w:after="120"/>
      </w:pPr>
      <w:r w:rsidRPr="00B0131B">
        <w:rPr>
          <w:rStyle w:val="FootnoteReference"/>
        </w:rPr>
        <w:footnoteRef/>
      </w:r>
      <w:r w:rsidRPr="00B0131B">
        <w:t xml:space="preserve"> </w:t>
      </w:r>
      <w:r w:rsidR="009424A2" w:rsidRPr="00B0131B">
        <w:rPr>
          <w:i/>
        </w:rPr>
        <w:t>See</w:t>
      </w:r>
      <w:r w:rsidR="009424A2" w:rsidRPr="00B0131B">
        <w:t xml:space="preserve"> R.C. </w:t>
      </w:r>
      <w:r w:rsidR="008746DC" w:rsidRPr="00B0131B">
        <w:t>§4905.22 (“Every Public Utility shall furnish necessary and adequate service and facilities…”).</w:t>
      </w:r>
    </w:p>
  </w:footnote>
  <w:footnote w:id="12">
    <w:p w:rsidR="00E5137E" w:rsidRPr="00B0131B" w:rsidRDefault="00E5137E" w:rsidP="009A4234">
      <w:pPr>
        <w:pStyle w:val="FootnoteText"/>
        <w:spacing w:after="120"/>
      </w:pPr>
      <w:r w:rsidRPr="00B0131B">
        <w:rPr>
          <w:rStyle w:val="FootnoteReference"/>
        </w:rPr>
        <w:footnoteRef/>
      </w:r>
      <w:r w:rsidRPr="00B0131B">
        <w:t xml:space="preserve"> Dominion explains that some pipe will be 75-years old by the end of the PIR program. DEO Initial Brief at 12. </w:t>
      </w:r>
    </w:p>
  </w:footnote>
  <w:footnote w:id="13">
    <w:p w:rsidR="00CC275B" w:rsidRPr="00B0131B" w:rsidRDefault="00CC275B" w:rsidP="009A4234">
      <w:pPr>
        <w:pStyle w:val="FootnoteText"/>
        <w:spacing w:after="120"/>
      </w:pPr>
      <w:r w:rsidRPr="00B0131B">
        <w:rPr>
          <w:rStyle w:val="FootnoteReference"/>
        </w:rPr>
        <w:footnoteRef/>
      </w:r>
      <w:r w:rsidRPr="00B0131B">
        <w:t xml:space="preserve"> OCC Ex. 3 at Attachment 2 (O’Neill Direct) (Excerpt from the Black and Veatch report). </w:t>
      </w:r>
    </w:p>
  </w:footnote>
  <w:footnote w:id="14">
    <w:p w:rsidR="00CC275B" w:rsidRPr="00B0131B" w:rsidRDefault="00CC275B" w:rsidP="009A4234">
      <w:pPr>
        <w:pStyle w:val="FootnoteText"/>
        <w:spacing w:after="120"/>
      </w:pPr>
      <w:r w:rsidRPr="00B0131B">
        <w:rPr>
          <w:rStyle w:val="FootnoteReference"/>
        </w:rPr>
        <w:footnoteRef/>
      </w:r>
      <w:r w:rsidRPr="00B0131B">
        <w:t xml:space="preserve"> </w:t>
      </w:r>
      <w:r w:rsidRPr="00B0131B">
        <w:rPr>
          <w:i/>
        </w:rPr>
        <w:t>See</w:t>
      </w:r>
      <w:r w:rsidRPr="00B0131B">
        <w:t xml:space="preserve"> OCC Initial Brief at 9-11. </w:t>
      </w:r>
    </w:p>
  </w:footnote>
  <w:footnote w:id="15">
    <w:p w:rsidR="00C27662" w:rsidRPr="00B0131B" w:rsidRDefault="00C27662" w:rsidP="009A4234">
      <w:pPr>
        <w:pStyle w:val="FootnoteText"/>
        <w:spacing w:after="120"/>
      </w:pPr>
      <w:r w:rsidRPr="00B0131B">
        <w:rPr>
          <w:rStyle w:val="FootnoteReference"/>
        </w:rPr>
        <w:footnoteRef/>
      </w:r>
      <w:r w:rsidRPr="00B0131B">
        <w:t xml:space="preserve"> OCC Ex. 3 at 10 (O’Neill Direct). </w:t>
      </w:r>
    </w:p>
  </w:footnote>
  <w:footnote w:id="16">
    <w:p w:rsidR="00191FDB" w:rsidRPr="00B0131B" w:rsidRDefault="00191FDB" w:rsidP="009A4234">
      <w:pPr>
        <w:pStyle w:val="FootnoteText"/>
        <w:spacing w:after="120"/>
      </w:pPr>
      <w:r w:rsidRPr="00B0131B">
        <w:rPr>
          <w:rStyle w:val="FootnoteReference"/>
        </w:rPr>
        <w:footnoteRef/>
      </w:r>
      <w:r w:rsidRPr="00B0131B">
        <w:t xml:space="preserve"> OCC Ex. 3 at 10</w:t>
      </w:r>
      <w:r w:rsidR="00870E7E" w:rsidRPr="00B0131B">
        <w:t>.</w:t>
      </w:r>
    </w:p>
  </w:footnote>
  <w:footnote w:id="17">
    <w:p w:rsidR="00191FDB" w:rsidRPr="00B0131B" w:rsidRDefault="00191FDB" w:rsidP="009A4234">
      <w:pPr>
        <w:pStyle w:val="FootnoteText"/>
        <w:spacing w:after="120"/>
      </w:pPr>
      <w:r w:rsidRPr="00B0131B">
        <w:rPr>
          <w:rStyle w:val="FootnoteReference"/>
        </w:rPr>
        <w:footnoteRef/>
      </w:r>
      <w:r w:rsidRPr="00B0131B">
        <w:t xml:space="preserve"> OCC Ex. 3 at 10</w:t>
      </w:r>
      <w:r w:rsidR="00870E7E" w:rsidRPr="00B0131B">
        <w:t>.</w:t>
      </w:r>
    </w:p>
  </w:footnote>
  <w:footnote w:id="18">
    <w:p w:rsidR="00E07D09" w:rsidRPr="00B0131B" w:rsidRDefault="00E07D09" w:rsidP="009A4234">
      <w:pPr>
        <w:pStyle w:val="FootnoteText"/>
        <w:spacing w:after="120"/>
      </w:pPr>
      <w:r w:rsidRPr="00B0131B">
        <w:rPr>
          <w:rStyle w:val="FootnoteReference"/>
        </w:rPr>
        <w:footnoteRef/>
      </w:r>
      <w:r w:rsidRPr="00B0131B">
        <w:t xml:space="preserve"> OCC Ex. 3 at 10-11</w:t>
      </w:r>
      <w:r w:rsidR="00B0131B">
        <w:t>.</w:t>
      </w:r>
    </w:p>
  </w:footnote>
  <w:footnote w:id="19">
    <w:p w:rsidR="00E07D09" w:rsidRPr="00B0131B" w:rsidRDefault="00E07D09" w:rsidP="009A4234">
      <w:pPr>
        <w:pStyle w:val="FootnoteText"/>
        <w:spacing w:after="120"/>
      </w:pPr>
      <w:r w:rsidRPr="00B0131B">
        <w:rPr>
          <w:rStyle w:val="FootnoteReference"/>
        </w:rPr>
        <w:footnoteRef/>
      </w:r>
      <w:r w:rsidRPr="00B0131B">
        <w:t xml:space="preserve"> OCC Ex. 3 at 11</w:t>
      </w:r>
      <w:r w:rsidR="00870E7E" w:rsidRPr="00B0131B">
        <w:t>.</w:t>
      </w:r>
    </w:p>
  </w:footnote>
  <w:footnote w:id="20">
    <w:p w:rsidR="00E07D09" w:rsidRPr="00B0131B" w:rsidRDefault="00E07D09" w:rsidP="009A4234">
      <w:pPr>
        <w:pStyle w:val="FootnoteText"/>
        <w:spacing w:after="120"/>
      </w:pPr>
      <w:r w:rsidRPr="00B0131B">
        <w:rPr>
          <w:rStyle w:val="FootnoteReference"/>
        </w:rPr>
        <w:footnoteRef/>
      </w:r>
      <w:r w:rsidRPr="00B0131B">
        <w:t xml:space="preserve"> OCC Ex. 3 at 11</w:t>
      </w:r>
      <w:r w:rsidR="00870E7E" w:rsidRPr="00B0131B">
        <w:t>.</w:t>
      </w:r>
    </w:p>
  </w:footnote>
  <w:footnote w:id="21">
    <w:p w:rsidR="00507A4D" w:rsidRPr="00B0131B" w:rsidRDefault="00507A4D" w:rsidP="009A4234">
      <w:pPr>
        <w:pStyle w:val="FootnoteText"/>
        <w:spacing w:after="120"/>
      </w:pPr>
      <w:r w:rsidRPr="00B0131B">
        <w:rPr>
          <w:rStyle w:val="FootnoteReference"/>
        </w:rPr>
        <w:footnoteRef/>
      </w:r>
      <w:r w:rsidRPr="00B0131B">
        <w:t xml:space="preserve"> </w:t>
      </w:r>
      <w:r w:rsidRPr="00B0131B">
        <w:rPr>
          <w:i/>
        </w:rPr>
        <w:t>Id</w:t>
      </w:r>
      <w:r w:rsidRPr="00B0131B">
        <w:t>., at 3.</w:t>
      </w:r>
    </w:p>
  </w:footnote>
  <w:footnote w:id="22">
    <w:p w:rsidR="00507A4D" w:rsidRPr="00B0131B" w:rsidRDefault="00507A4D" w:rsidP="009A4234">
      <w:pPr>
        <w:pStyle w:val="FootnoteText"/>
        <w:spacing w:after="120"/>
      </w:pPr>
      <w:r w:rsidRPr="00B0131B">
        <w:rPr>
          <w:rStyle w:val="FootnoteReference"/>
        </w:rPr>
        <w:footnoteRef/>
      </w:r>
      <w:r w:rsidRPr="00B0131B">
        <w:t xml:space="preserve"> Dominion Initial Brief at 3.</w:t>
      </w:r>
    </w:p>
  </w:footnote>
  <w:footnote w:id="23">
    <w:p w:rsidR="00507A4D" w:rsidRPr="00B0131B" w:rsidRDefault="00507A4D" w:rsidP="009A4234">
      <w:pPr>
        <w:pStyle w:val="FootnoteText"/>
        <w:spacing w:after="120"/>
      </w:pPr>
      <w:r w:rsidRPr="00B0131B">
        <w:rPr>
          <w:rStyle w:val="FootnoteReference"/>
        </w:rPr>
        <w:footnoteRef/>
      </w:r>
      <w:r w:rsidRPr="00B0131B">
        <w:t xml:space="preserve"> OCC Ex. 3 at 12(O’Neill Direct).</w:t>
      </w:r>
    </w:p>
  </w:footnote>
  <w:footnote w:id="24">
    <w:p w:rsidR="00507A4D" w:rsidRPr="00B0131B" w:rsidRDefault="00507A4D" w:rsidP="009A4234">
      <w:pPr>
        <w:pStyle w:val="FootnoteText"/>
        <w:spacing w:after="120"/>
      </w:pPr>
      <w:r w:rsidRPr="00B0131B">
        <w:rPr>
          <w:rStyle w:val="FootnoteReference"/>
        </w:rPr>
        <w:footnoteRef/>
      </w:r>
      <w:r w:rsidRPr="00B0131B">
        <w:t xml:space="preserve">  OCC Ex. 3 at 14 (O’Neill Direct). </w:t>
      </w:r>
    </w:p>
  </w:footnote>
  <w:footnote w:id="25">
    <w:p w:rsidR="00507A4D" w:rsidRPr="00B0131B" w:rsidRDefault="00507A4D" w:rsidP="009A4234">
      <w:pPr>
        <w:pStyle w:val="FootnoteText"/>
        <w:spacing w:after="120"/>
      </w:pPr>
      <w:r w:rsidRPr="00B0131B">
        <w:rPr>
          <w:rStyle w:val="FootnoteReference"/>
        </w:rPr>
        <w:footnoteRef/>
      </w:r>
      <w:r w:rsidRPr="00B0131B">
        <w:t xml:space="preserve"> OCC Ex. 3 at 13 (O’Neill Direct). </w:t>
      </w:r>
    </w:p>
  </w:footnote>
  <w:footnote w:id="26">
    <w:p w:rsidR="00981F09" w:rsidRPr="00B0131B" w:rsidRDefault="00981F09" w:rsidP="009A4234">
      <w:pPr>
        <w:pStyle w:val="FootnoteText"/>
        <w:spacing w:after="120"/>
      </w:pPr>
      <w:r w:rsidRPr="00B0131B">
        <w:rPr>
          <w:rStyle w:val="FootnoteReference"/>
        </w:rPr>
        <w:footnoteRef/>
      </w:r>
      <w:r w:rsidRPr="00B0131B">
        <w:t xml:space="preserve"> </w:t>
      </w:r>
      <w:r w:rsidR="008746DC" w:rsidRPr="00B0131B">
        <w:t>DEO Initial Brief at 13, footnote 1.</w:t>
      </w:r>
    </w:p>
  </w:footnote>
  <w:footnote w:id="27">
    <w:p w:rsidR="00E5137E" w:rsidRPr="00B0131B" w:rsidRDefault="00E5137E" w:rsidP="009A4234">
      <w:pPr>
        <w:pStyle w:val="FootnoteText"/>
        <w:spacing w:after="120"/>
      </w:pPr>
      <w:r w:rsidRPr="00B0131B">
        <w:rPr>
          <w:rStyle w:val="FootnoteReference"/>
        </w:rPr>
        <w:footnoteRef/>
      </w:r>
      <w:r w:rsidRPr="00B0131B">
        <w:t xml:space="preserve"> DEO Initial Brief at 12. </w:t>
      </w:r>
    </w:p>
  </w:footnote>
  <w:footnote w:id="28">
    <w:p w:rsidR="00E5137E" w:rsidRPr="00B0131B" w:rsidRDefault="00E5137E" w:rsidP="009A4234">
      <w:pPr>
        <w:pStyle w:val="FootnoteText"/>
        <w:spacing w:after="120"/>
      </w:pPr>
      <w:r w:rsidRPr="00B0131B">
        <w:rPr>
          <w:rStyle w:val="FootnoteReference"/>
        </w:rPr>
        <w:footnoteRef/>
      </w:r>
      <w:r w:rsidRPr="00B0131B">
        <w:t xml:space="preserve"> </w:t>
      </w:r>
      <w:r w:rsidR="00870E7E" w:rsidRPr="00B0131B">
        <w:rPr>
          <w:i/>
        </w:rPr>
        <w:t>In the Matter of the Application of The East Ohio Gas Company for Approval to Modify and Further Accelerate its Pipeline Infrastructure Replacement Program and to Recover the Associated Costs</w:t>
      </w:r>
      <w:r w:rsidR="00870E7E" w:rsidRPr="00B0131B">
        <w:t xml:space="preserve">, Case </w:t>
      </w:r>
      <w:r w:rsidRPr="00B0131B">
        <w:t>11-2401</w:t>
      </w:r>
      <w:r w:rsidR="00870E7E" w:rsidRPr="00B0131B">
        <w:t>-GA-ALT</w:t>
      </w:r>
      <w:r w:rsidR="00690071" w:rsidRPr="00B0131B">
        <w:t>, Opinion and Order at 7 (Aug. 3, 2011).</w:t>
      </w:r>
    </w:p>
  </w:footnote>
  <w:footnote w:id="29">
    <w:p w:rsidR="00634089" w:rsidRPr="00B0131B" w:rsidRDefault="00634089" w:rsidP="009A4234">
      <w:pPr>
        <w:pStyle w:val="FootnoteText"/>
        <w:spacing w:after="120"/>
      </w:pPr>
      <w:r w:rsidRPr="00B0131B">
        <w:rPr>
          <w:rStyle w:val="FootnoteReference"/>
        </w:rPr>
        <w:footnoteRef/>
      </w:r>
      <w:r w:rsidRPr="00B0131B">
        <w:t xml:space="preserve"> </w:t>
      </w:r>
      <w:r w:rsidR="008746DC" w:rsidRPr="00B0131B">
        <w:rPr>
          <w:i/>
        </w:rPr>
        <w:t>See</w:t>
      </w:r>
      <w:r w:rsidR="008746DC" w:rsidRPr="00B0131B">
        <w:t xml:space="preserve"> OCC Ex. 3 at 29.</w:t>
      </w:r>
    </w:p>
  </w:footnote>
  <w:footnote w:id="30">
    <w:p w:rsidR="0023243C" w:rsidRPr="0023243C" w:rsidRDefault="0023243C" w:rsidP="009A4234">
      <w:pPr>
        <w:pStyle w:val="FootnoteText"/>
        <w:spacing w:after="120"/>
      </w:pPr>
      <w:r>
        <w:rPr>
          <w:rStyle w:val="FootnoteReference"/>
        </w:rPr>
        <w:footnoteRef/>
      </w:r>
      <w:r>
        <w:t xml:space="preserve"> </w:t>
      </w:r>
      <w:r>
        <w:rPr>
          <w:i/>
        </w:rPr>
        <w:t>See</w:t>
      </w:r>
      <w:r>
        <w:t xml:space="preserve"> OCC Initial Brief at 15-16.</w:t>
      </w:r>
    </w:p>
  </w:footnote>
  <w:footnote w:id="31">
    <w:p w:rsidR="00955C30" w:rsidRPr="00955C30" w:rsidRDefault="00955C30" w:rsidP="009A4234">
      <w:pPr>
        <w:pStyle w:val="FootnoteText"/>
        <w:spacing w:after="120"/>
      </w:pPr>
      <w:r>
        <w:rPr>
          <w:rStyle w:val="FootnoteReference"/>
        </w:rPr>
        <w:footnoteRef/>
      </w:r>
      <w:r>
        <w:t xml:space="preserve"> </w:t>
      </w:r>
      <w:r>
        <w:rPr>
          <w:i/>
        </w:rPr>
        <w:t>See</w:t>
      </w:r>
      <w:r>
        <w:t xml:space="preserve"> DEO Ex. 4 at 4 (Reed First Supplemental)(Reed discussing contractors’ costs); </w:t>
      </w:r>
      <w:r w:rsidRPr="00B0131B">
        <w:t>DEO Initial Brief at 4</w:t>
      </w:r>
      <w:r>
        <w:t>(discussing inflation)</w:t>
      </w:r>
      <w:r w:rsidRPr="00B0131B">
        <w:t>.</w:t>
      </w:r>
    </w:p>
  </w:footnote>
  <w:footnote w:id="32">
    <w:p w:rsidR="0023243C" w:rsidRPr="00B0131B" w:rsidRDefault="0023243C" w:rsidP="009A4234">
      <w:pPr>
        <w:pStyle w:val="FootnoteText"/>
        <w:spacing w:after="120"/>
      </w:pPr>
      <w:r w:rsidRPr="00B0131B">
        <w:rPr>
          <w:rStyle w:val="FootnoteReference"/>
        </w:rPr>
        <w:footnoteRef/>
      </w:r>
      <w:r w:rsidRPr="00B0131B">
        <w:t xml:space="preserve"> OCC ex. 3 at 29 (O’Neil Direct), </w:t>
      </w:r>
      <w:r w:rsidRPr="00B0131B">
        <w:rPr>
          <w:i/>
        </w:rPr>
        <w:t xml:space="preserve">citing </w:t>
      </w:r>
      <w:r w:rsidRPr="00B0131B">
        <w:t xml:space="preserve">DEO Ex. 4 at 4 (Reed First Supplemental). </w:t>
      </w:r>
    </w:p>
  </w:footnote>
  <w:footnote w:id="33">
    <w:p w:rsidR="0023243C" w:rsidRPr="00B0131B" w:rsidRDefault="0023243C" w:rsidP="009A4234">
      <w:pPr>
        <w:pStyle w:val="FootnoteText"/>
        <w:spacing w:after="120"/>
      </w:pPr>
      <w:r w:rsidRPr="00B0131B">
        <w:rPr>
          <w:rStyle w:val="FootnoteReference"/>
        </w:rPr>
        <w:footnoteRef/>
      </w:r>
      <w:r w:rsidRPr="00B0131B">
        <w:t xml:space="preserve"> OCC ex. 3 at 29 (O’Neil Direct), </w:t>
      </w:r>
      <w:r w:rsidRPr="00B0131B">
        <w:rPr>
          <w:i/>
        </w:rPr>
        <w:t xml:space="preserve">citing </w:t>
      </w:r>
      <w:r w:rsidRPr="00B0131B">
        <w:t>DEO Ex. 4 at 4 (Reed First Supplemental).</w:t>
      </w:r>
    </w:p>
  </w:footnote>
  <w:footnote w:id="34">
    <w:p w:rsidR="0023243C" w:rsidRPr="00B0131B" w:rsidRDefault="0023243C" w:rsidP="009A4234">
      <w:pPr>
        <w:pStyle w:val="FootnoteText"/>
        <w:spacing w:after="120"/>
      </w:pPr>
      <w:r w:rsidRPr="00B0131B">
        <w:rPr>
          <w:rStyle w:val="FootnoteReference"/>
        </w:rPr>
        <w:footnoteRef/>
      </w:r>
      <w:r w:rsidRPr="00B0131B">
        <w:t xml:space="preserve"> OCC Ex. 3 at 29</w:t>
      </w:r>
      <w:r>
        <w:t>.</w:t>
      </w:r>
    </w:p>
  </w:footnote>
  <w:footnote w:id="35">
    <w:p w:rsidR="0023243C" w:rsidRPr="00B0131B" w:rsidRDefault="0023243C" w:rsidP="009A4234">
      <w:pPr>
        <w:pStyle w:val="FootnoteText"/>
        <w:spacing w:after="120"/>
      </w:pPr>
      <w:r w:rsidRPr="00B0131B">
        <w:rPr>
          <w:rStyle w:val="FootnoteReference"/>
        </w:rPr>
        <w:footnoteRef/>
      </w:r>
      <w:r w:rsidRPr="00B0131B">
        <w:t xml:space="preserve"> OCC Initial Brief at 10.</w:t>
      </w:r>
    </w:p>
  </w:footnote>
  <w:footnote w:id="36">
    <w:p w:rsidR="00CC275B" w:rsidRPr="00B0131B" w:rsidRDefault="00CC275B" w:rsidP="009A4234">
      <w:pPr>
        <w:pStyle w:val="FootnoteText"/>
        <w:spacing w:after="120"/>
      </w:pPr>
      <w:r w:rsidRPr="00B0131B">
        <w:rPr>
          <w:rStyle w:val="FootnoteReference"/>
        </w:rPr>
        <w:footnoteRef/>
      </w:r>
      <w:r w:rsidRPr="00B0131B">
        <w:t xml:space="preserve"> </w:t>
      </w:r>
      <w:r w:rsidR="004A2678" w:rsidRPr="00B0131B">
        <w:t xml:space="preserve">DEO Initial Brief at 4. </w:t>
      </w:r>
    </w:p>
  </w:footnote>
  <w:footnote w:id="37">
    <w:p w:rsidR="00F0502A" w:rsidRPr="00B0131B" w:rsidRDefault="00F0502A" w:rsidP="009A4234">
      <w:pPr>
        <w:pStyle w:val="FootnoteText"/>
        <w:spacing w:after="120"/>
      </w:pPr>
      <w:r w:rsidRPr="00B0131B">
        <w:rPr>
          <w:rStyle w:val="FootnoteReference"/>
        </w:rPr>
        <w:footnoteRef/>
      </w:r>
      <w:r w:rsidRPr="00B0131B">
        <w:t xml:space="preserve"> OCC Ex 1 at 3 (OCC’s Comments filed on July 13, 2015).</w:t>
      </w:r>
    </w:p>
  </w:footnote>
  <w:footnote w:id="38">
    <w:p w:rsidR="004A2678" w:rsidRPr="00B0131B" w:rsidRDefault="004A2678" w:rsidP="009A4234">
      <w:pPr>
        <w:pStyle w:val="FootnoteText"/>
        <w:spacing w:after="120"/>
      </w:pPr>
      <w:r w:rsidRPr="00B0131B">
        <w:rPr>
          <w:rStyle w:val="FootnoteReference"/>
        </w:rPr>
        <w:footnoteRef/>
      </w:r>
      <w:r w:rsidRPr="00B0131B">
        <w:t xml:space="preserve"> OCC Ex 1 at 3 (OCC’s Comments filed on July 13, 2015). </w:t>
      </w:r>
    </w:p>
  </w:footnote>
  <w:footnote w:id="39">
    <w:p w:rsidR="004A2678" w:rsidRPr="00B0131B" w:rsidRDefault="004A2678" w:rsidP="009A4234">
      <w:pPr>
        <w:pStyle w:val="FootnoteText"/>
        <w:spacing w:after="120"/>
      </w:pPr>
      <w:r w:rsidRPr="00B0131B">
        <w:rPr>
          <w:rStyle w:val="FootnoteReference"/>
        </w:rPr>
        <w:footnoteRef/>
      </w:r>
      <w:r w:rsidRPr="00B0131B">
        <w:t xml:space="preserve"> OCC Ex 1 at 3 (OCC’s Comments filed on July 13, 2015).</w:t>
      </w:r>
    </w:p>
  </w:footnote>
  <w:footnote w:id="40">
    <w:p w:rsidR="002143E5" w:rsidRPr="00B0131B" w:rsidRDefault="002143E5" w:rsidP="009A4234">
      <w:pPr>
        <w:pStyle w:val="FootnoteText"/>
        <w:spacing w:after="120"/>
      </w:pPr>
      <w:r w:rsidRPr="00B0131B">
        <w:rPr>
          <w:rStyle w:val="FootnoteReference"/>
        </w:rPr>
        <w:footnoteRef/>
      </w:r>
      <w:r w:rsidRPr="00B0131B">
        <w:t xml:space="preserve"> </w:t>
      </w:r>
      <w:r w:rsidR="00EC1329" w:rsidRPr="00B0131B">
        <w:t>OCC Ex. 1 at 6 (OCC’s Comments filed on July 13, 2015).</w:t>
      </w:r>
    </w:p>
  </w:footnote>
  <w:footnote w:id="41">
    <w:p w:rsidR="00EC1329" w:rsidRPr="00B0131B" w:rsidRDefault="00EC1329" w:rsidP="009A4234">
      <w:pPr>
        <w:pStyle w:val="FootnoteText"/>
        <w:spacing w:after="120"/>
      </w:pPr>
      <w:r w:rsidRPr="00B0131B">
        <w:rPr>
          <w:rStyle w:val="FootnoteReference"/>
        </w:rPr>
        <w:footnoteRef/>
      </w:r>
      <w:r w:rsidRPr="00B0131B">
        <w:t xml:space="preserve"> OCC Ex. 1 at 6 (OCC’s Comments filed on July 13, 2015).</w:t>
      </w:r>
    </w:p>
  </w:footnote>
  <w:footnote w:id="42">
    <w:p w:rsidR="00EC1329" w:rsidRPr="00B0131B" w:rsidRDefault="00EC1329" w:rsidP="009A4234">
      <w:pPr>
        <w:pStyle w:val="FootnoteText"/>
        <w:spacing w:after="120"/>
      </w:pPr>
      <w:r w:rsidRPr="00B0131B">
        <w:rPr>
          <w:rStyle w:val="FootnoteReference"/>
        </w:rPr>
        <w:footnoteRef/>
      </w:r>
      <w:r w:rsidRPr="00B0131B">
        <w:t xml:space="preserve"> OCC Ex. 1 at 6 (OCC’s Comments filed on July 13, 2015).</w:t>
      </w:r>
    </w:p>
  </w:footnote>
  <w:footnote w:id="43">
    <w:p w:rsidR="0023243C" w:rsidRDefault="0023243C" w:rsidP="009A4234">
      <w:pPr>
        <w:pStyle w:val="FootnoteText"/>
        <w:spacing w:after="120"/>
      </w:pPr>
      <w:r>
        <w:rPr>
          <w:rStyle w:val="FootnoteReference"/>
        </w:rPr>
        <w:footnoteRef/>
      </w:r>
      <w:r>
        <w:t xml:space="preserve"> DEO Initial Brief at 19-20.</w:t>
      </w:r>
    </w:p>
  </w:footnote>
  <w:footnote w:id="44">
    <w:p w:rsidR="0053593B" w:rsidRPr="00B0131B" w:rsidRDefault="0053593B" w:rsidP="009A4234">
      <w:pPr>
        <w:pStyle w:val="FootnoteText"/>
        <w:spacing w:after="120"/>
      </w:pPr>
      <w:r w:rsidRPr="00B0131B">
        <w:rPr>
          <w:rStyle w:val="FootnoteReference"/>
        </w:rPr>
        <w:footnoteRef/>
      </w:r>
      <w:r w:rsidRPr="00B0131B">
        <w:t xml:space="preserve"> The PUCO has also adopted the following three-part test that it uses to evaluate settlements: (1) Is the settlement a product of serious bargaining among capable, knowledgeable parties, where there is diversity of interests among the stipulating parties? (2) Does the settlement, as a package, benefit ratepayers and the public interest? (3)Does the settlement package violate any important regulatory principle or practice? </w:t>
      </w:r>
      <w:r w:rsidRPr="00B0131B">
        <w:rPr>
          <w:i/>
        </w:rPr>
        <w:t>Consumers’ Counsel v. Pub. Util. Comm.</w:t>
      </w:r>
      <w:r w:rsidRPr="00B0131B">
        <w:t xml:space="preserve">, 64 Ohio St.3d 123, 126 (1992). In reviewing settlement agreements, the PUCO has noted that its “primary concern is that the stipulation is in the public interest.” </w:t>
      </w:r>
      <w:r w:rsidRPr="00B0131B">
        <w:rPr>
          <w:i/>
        </w:rPr>
        <w:t>In the Matter of the Application of The Cincinnati Gas &amp; Electric Company for an Increase in Electric Rates in its Service Areas</w:t>
      </w:r>
      <w:r w:rsidRPr="00B0131B">
        <w:t>, Case No. 91-410-EL-AIR, Order at 3 (April 14, 1994).</w:t>
      </w:r>
    </w:p>
  </w:footnote>
  <w:footnote w:id="45">
    <w:p w:rsidR="00A823A1" w:rsidRPr="00B0131B" w:rsidRDefault="00A823A1" w:rsidP="009A4234">
      <w:pPr>
        <w:pStyle w:val="FootnoteText"/>
        <w:spacing w:after="120"/>
      </w:pPr>
      <w:r w:rsidRPr="00B0131B">
        <w:rPr>
          <w:rStyle w:val="FootnoteReference"/>
        </w:rPr>
        <w:footnoteRef/>
      </w:r>
      <w:r w:rsidRPr="00B0131B">
        <w:t xml:space="preserve"> </w:t>
      </w:r>
      <w:r w:rsidR="00DC3746" w:rsidRPr="00B0131B">
        <w:t>OCC Initial Brief at 8-9.</w:t>
      </w:r>
    </w:p>
  </w:footnote>
  <w:footnote w:id="46">
    <w:p w:rsidR="00A823A1" w:rsidRPr="00B0131B" w:rsidRDefault="00A823A1" w:rsidP="009A4234">
      <w:pPr>
        <w:pStyle w:val="FootnoteText"/>
        <w:spacing w:after="120"/>
      </w:pPr>
      <w:r w:rsidRPr="00B0131B">
        <w:rPr>
          <w:rStyle w:val="FootnoteReference"/>
        </w:rPr>
        <w:footnoteRef/>
      </w:r>
      <w:r w:rsidRPr="00B0131B">
        <w:t xml:space="preserve"> </w:t>
      </w:r>
      <w:r w:rsidR="00DC3746" w:rsidRPr="00B0131B">
        <w:t>OCC Initial Brief at 10-11.</w:t>
      </w:r>
    </w:p>
  </w:footnote>
  <w:footnote w:id="47">
    <w:p w:rsidR="00676E29" w:rsidRPr="00B0131B" w:rsidRDefault="00676E29" w:rsidP="009A4234">
      <w:pPr>
        <w:pStyle w:val="FootnoteText"/>
        <w:spacing w:after="120"/>
      </w:pPr>
      <w:r w:rsidRPr="00B0131B">
        <w:rPr>
          <w:rStyle w:val="FootnoteReference"/>
        </w:rPr>
        <w:footnoteRef/>
      </w:r>
      <w:r w:rsidRPr="00B0131B">
        <w:t xml:space="preserve"> </w:t>
      </w:r>
      <w:r w:rsidR="00DC3746" w:rsidRPr="00B0131B">
        <w:t>OCC Initial Brief at 12-14.</w:t>
      </w:r>
    </w:p>
  </w:footnote>
  <w:footnote w:id="48">
    <w:p w:rsidR="00F06C1C" w:rsidRPr="00B0131B" w:rsidRDefault="00F06C1C" w:rsidP="009A4234">
      <w:pPr>
        <w:pStyle w:val="FootnoteText"/>
        <w:spacing w:after="120"/>
      </w:pPr>
      <w:r w:rsidRPr="00B0131B">
        <w:rPr>
          <w:rStyle w:val="FootnoteReference"/>
        </w:rPr>
        <w:footnoteRef/>
      </w:r>
      <w:r w:rsidR="00AD13D0" w:rsidRPr="00B0131B">
        <w:t xml:space="preserve"> OCC Ex. 3 at 26 – 27 (O’Neill Direct)</w:t>
      </w:r>
      <w:r w:rsidR="00FA7121">
        <w:t>.</w:t>
      </w:r>
    </w:p>
  </w:footnote>
  <w:footnote w:id="49">
    <w:p w:rsidR="00676E29" w:rsidRPr="00B0131B" w:rsidRDefault="00676E29" w:rsidP="009A4234">
      <w:pPr>
        <w:pStyle w:val="FootnoteText"/>
        <w:spacing w:after="120"/>
      </w:pPr>
      <w:r w:rsidRPr="00B0131B">
        <w:rPr>
          <w:rStyle w:val="FootnoteReference"/>
        </w:rPr>
        <w:footnoteRef/>
      </w:r>
      <w:r w:rsidRPr="00B0131B">
        <w:t xml:space="preserve"> </w:t>
      </w:r>
      <w:r w:rsidR="00DC3746" w:rsidRPr="00B0131B">
        <w:t>OCC Initial Brief at 12-16.</w:t>
      </w:r>
    </w:p>
  </w:footnote>
  <w:footnote w:id="50">
    <w:p w:rsidR="003A65D9" w:rsidRPr="00B0131B" w:rsidRDefault="003A65D9" w:rsidP="009A4234">
      <w:pPr>
        <w:pStyle w:val="FootnoteText"/>
        <w:spacing w:after="120"/>
      </w:pPr>
      <w:r w:rsidRPr="00B0131B">
        <w:rPr>
          <w:rStyle w:val="FootnoteReference"/>
        </w:rPr>
        <w:footnoteRef/>
      </w:r>
      <w:r w:rsidRPr="00B0131B">
        <w:t xml:space="preserve"> </w:t>
      </w:r>
      <w:r w:rsidRPr="00B0131B">
        <w:rPr>
          <w:i/>
        </w:rPr>
        <w:t>See</w:t>
      </w:r>
      <w:r w:rsidRPr="00B0131B">
        <w:t xml:space="preserve"> R.C. §4929.05</w:t>
      </w:r>
      <w:r w:rsidR="00DC3746" w:rsidRPr="00B013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21" w:rsidRDefault="006E6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21" w:rsidRDefault="006E6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21" w:rsidRDefault="006E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9B4"/>
    <w:multiLevelType w:val="hybridMultilevel"/>
    <w:tmpl w:val="9E6E8986"/>
    <w:lvl w:ilvl="0" w:tplc="68C4B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12725"/>
    <w:multiLevelType w:val="hybridMultilevel"/>
    <w:tmpl w:val="7F38EE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021FB7"/>
    <w:multiLevelType w:val="hybridMultilevel"/>
    <w:tmpl w:val="948C3F5A"/>
    <w:lvl w:ilvl="0" w:tplc="D6783AE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44EEF"/>
    <w:multiLevelType w:val="hybridMultilevel"/>
    <w:tmpl w:val="B45808D8"/>
    <w:lvl w:ilvl="0" w:tplc="A482AC46">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B625BF"/>
    <w:multiLevelType w:val="hybridMultilevel"/>
    <w:tmpl w:val="5D58523A"/>
    <w:lvl w:ilvl="0" w:tplc="100C1F26">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6A"/>
    <w:rsid w:val="000009EA"/>
    <w:rsid w:val="000046DA"/>
    <w:rsid w:val="00032B9C"/>
    <w:rsid w:val="00055123"/>
    <w:rsid w:val="000558C2"/>
    <w:rsid w:val="00057AB9"/>
    <w:rsid w:val="00061CEB"/>
    <w:rsid w:val="000620C0"/>
    <w:rsid w:val="0009725B"/>
    <w:rsid w:val="000A0B03"/>
    <w:rsid w:val="000B0314"/>
    <w:rsid w:val="000D730B"/>
    <w:rsid w:val="000E2213"/>
    <w:rsid w:val="00127893"/>
    <w:rsid w:val="001419C5"/>
    <w:rsid w:val="00144605"/>
    <w:rsid w:val="00145066"/>
    <w:rsid w:val="001649A9"/>
    <w:rsid w:val="00191FDB"/>
    <w:rsid w:val="001B4688"/>
    <w:rsid w:val="001C7FAE"/>
    <w:rsid w:val="001D3072"/>
    <w:rsid w:val="001F5F7B"/>
    <w:rsid w:val="002105EE"/>
    <w:rsid w:val="002143E5"/>
    <w:rsid w:val="002163E5"/>
    <w:rsid w:val="0021674E"/>
    <w:rsid w:val="002309C0"/>
    <w:rsid w:val="0023243C"/>
    <w:rsid w:val="00240588"/>
    <w:rsid w:val="0024235C"/>
    <w:rsid w:val="002436E2"/>
    <w:rsid w:val="00253045"/>
    <w:rsid w:val="00253E15"/>
    <w:rsid w:val="002551F7"/>
    <w:rsid w:val="00262B45"/>
    <w:rsid w:val="00271996"/>
    <w:rsid w:val="00272910"/>
    <w:rsid w:val="0028251F"/>
    <w:rsid w:val="00286B6A"/>
    <w:rsid w:val="00290C8A"/>
    <w:rsid w:val="002E0615"/>
    <w:rsid w:val="002E5D02"/>
    <w:rsid w:val="002F14A4"/>
    <w:rsid w:val="002F72E0"/>
    <w:rsid w:val="0030576D"/>
    <w:rsid w:val="003102A3"/>
    <w:rsid w:val="00315F34"/>
    <w:rsid w:val="00321E27"/>
    <w:rsid w:val="0033018D"/>
    <w:rsid w:val="00343CF8"/>
    <w:rsid w:val="00353605"/>
    <w:rsid w:val="00364C03"/>
    <w:rsid w:val="00365FE8"/>
    <w:rsid w:val="00366D5B"/>
    <w:rsid w:val="0037315B"/>
    <w:rsid w:val="00392C73"/>
    <w:rsid w:val="00396CA2"/>
    <w:rsid w:val="003A65D9"/>
    <w:rsid w:val="003E753D"/>
    <w:rsid w:val="003F3DFE"/>
    <w:rsid w:val="00415942"/>
    <w:rsid w:val="00426F59"/>
    <w:rsid w:val="0043353A"/>
    <w:rsid w:val="00445F02"/>
    <w:rsid w:val="004465D4"/>
    <w:rsid w:val="00451CE0"/>
    <w:rsid w:val="00454E5E"/>
    <w:rsid w:val="00461D11"/>
    <w:rsid w:val="00464CBB"/>
    <w:rsid w:val="00496AC0"/>
    <w:rsid w:val="004A2678"/>
    <w:rsid w:val="004A397F"/>
    <w:rsid w:val="004A3EA7"/>
    <w:rsid w:val="004B0508"/>
    <w:rsid w:val="004B1B4D"/>
    <w:rsid w:val="004C433E"/>
    <w:rsid w:val="004D449B"/>
    <w:rsid w:val="004F2797"/>
    <w:rsid w:val="004F4ECE"/>
    <w:rsid w:val="0050323F"/>
    <w:rsid w:val="0050671F"/>
    <w:rsid w:val="00507A4D"/>
    <w:rsid w:val="0053593B"/>
    <w:rsid w:val="0055001E"/>
    <w:rsid w:val="00584F9F"/>
    <w:rsid w:val="0058660F"/>
    <w:rsid w:val="00591DCB"/>
    <w:rsid w:val="00593DB3"/>
    <w:rsid w:val="005A7D39"/>
    <w:rsid w:val="005B048A"/>
    <w:rsid w:val="005B20C1"/>
    <w:rsid w:val="005C7405"/>
    <w:rsid w:val="005E304A"/>
    <w:rsid w:val="00616E1E"/>
    <w:rsid w:val="00620B22"/>
    <w:rsid w:val="00634089"/>
    <w:rsid w:val="006511CA"/>
    <w:rsid w:val="006566AC"/>
    <w:rsid w:val="006712D1"/>
    <w:rsid w:val="00676E29"/>
    <w:rsid w:val="00690071"/>
    <w:rsid w:val="006D018B"/>
    <w:rsid w:val="006D7F9D"/>
    <w:rsid w:val="006E6421"/>
    <w:rsid w:val="0070221A"/>
    <w:rsid w:val="007262E4"/>
    <w:rsid w:val="00730B5E"/>
    <w:rsid w:val="00754971"/>
    <w:rsid w:val="00760A0E"/>
    <w:rsid w:val="007670A5"/>
    <w:rsid w:val="00781128"/>
    <w:rsid w:val="007A2222"/>
    <w:rsid w:val="007A48CE"/>
    <w:rsid w:val="007B375D"/>
    <w:rsid w:val="007C4B94"/>
    <w:rsid w:val="007D2C05"/>
    <w:rsid w:val="00813AC1"/>
    <w:rsid w:val="00817303"/>
    <w:rsid w:val="008349B9"/>
    <w:rsid w:val="0085457F"/>
    <w:rsid w:val="00870E7E"/>
    <w:rsid w:val="008746DC"/>
    <w:rsid w:val="00882890"/>
    <w:rsid w:val="00884935"/>
    <w:rsid w:val="00891D5E"/>
    <w:rsid w:val="00892645"/>
    <w:rsid w:val="0089266B"/>
    <w:rsid w:val="008B16D6"/>
    <w:rsid w:val="008D2C11"/>
    <w:rsid w:val="008E254B"/>
    <w:rsid w:val="009069E5"/>
    <w:rsid w:val="00940540"/>
    <w:rsid w:val="009424A2"/>
    <w:rsid w:val="00955C30"/>
    <w:rsid w:val="00956753"/>
    <w:rsid w:val="00981F09"/>
    <w:rsid w:val="00996880"/>
    <w:rsid w:val="009A3090"/>
    <w:rsid w:val="009A3D9D"/>
    <w:rsid w:val="009A4234"/>
    <w:rsid w:val="009C74B2"/>
    <w:rsid w:val="009D197E"/>
    <w:rsid w:val="009D4DB6"/>
    <w:rsid w:val="009E62DF"/>
    <w:rsid w:val="009F061D"/>
    <w:rsid w:val="00A108F3"/>
    <w:rsid w:val="00A30C2A"/>
    <w:rsid w:val="00A4212C"/>
    <w:rsid w:val="00A56233"/>
    <w:rsid w:val="00A700D6"/>
    <w:rsid w:val="00A823A1"/>
    <w:rsid w:val="00A90E64"/>
    <w:rsid w:val="00AA4405"/>
    <w:rsid w:val="00AC2923"/>
    <w:rsid w:val="00AD13D0"/>
    <w:rsid w:val="00AE4BCA"/>
    <w:rsid w:val="00AF02F9"/>
    <w:rsid w:val="00AF673C"/>
    <w:rsid w:val="00B0131B"/>
    <w:rsid w:val="00B044B5"/>
    <w:rsid w:val="00B3451F"/>
    <w:rsid w:val="00B51287"/>
    <w:rsid w:val="00B82FCB"/>
    <w:rsid w:val="00BA15E1"/>
    <w:rsid w:val="00BD5625"/>
    <w:rsid w:val="00BE5ED8"/>
    <w:rsid w:val="00C0147E"/>
    <w:rsid w:val="00C20380"/>
    <w:rsid w:val="00C27662"/>
    <w:rsid w:val="00C332DE"/>
    <w:rsid w:val="00C42F8D"/>
    <w:rsid w:val="00C4453C"/>
    <w:rsid w:val="00C460B9"/>
    <w:rsid w:val="00C8647E"/>
    <w:rsid w:val="00C93C1A"/>
    <w:rsid w:val="00CA08A5"/>
    <w:rsid w:val="00CA167C"/>
    <w:rsid w:val="00CC275B"/>
    <w:rsid w:val="00CC6CC1"/>
    <w:rsid w:val="00CC7195"/>
    <w:rsid w:val="00CE038E"/>
    <w:rsid w:val="00CF7A7A"/>
    <w:rsid w:val="00D10A35"/>
    <w:rsid w:val="00D51656"/>
    <w:rsid w:val="00D5215C"/>
    <w:rsid w:val="00D56D43"/>
    <w:rsid w:val="00D676B5"/>
    <w:rsid w:val="00D77E39"/>
    <w:rsid w:val="00D845A0"/>
    <w:rsid w:val="00D90866"/>
    <w:rsid w:val="00DC2392"/>
    <w:rsid w:val="00DC3746"/>
    <w:rsid w:val="00DD42ED"/>
    <w:rsid w:val="00DD672A"/>
    <w:rsid w:val="00DE0625"/>
    <w:rsid w:val="00DE546A"/>
    <w:rsid w:val="00DE7117"/>
    <w:rsid w:val="00E00345"/>
    <w:rsid w:val="00E07D09"/>
    <w:rsid w:val="00E267BF"/>
    <w:rsid w:val="00E45362"/>
    <w:rsid w:val="00E5137E"/>
    <w:rsid w:val="00EC1329"/>
    <w:rsid w:val="00F0502A"/>
    <w:rsid w:val="00F053FE"/>
    <w:rsid w:val="00F06C1C"/>
    <w:rsid w:val="00F44E82"/>
    <w:rsid w:val="00F85911"/>
    <w:rsid w:val="00F86000"/>
    <w:rsid w:val="00F9356D"/>
    <w:rsid w:val="00F95783"/>
    <w:rsid w:val="00FA7121"/>
    <w:rsid w:val="00FB3045"/>
    <w:rsid w:val="00FC5AA8"/>
    <w:rsid w:val="00FC7967"/>
    <w:rsid w:val="00F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B0131B"/>
    <w:pPr>
      <w:keepNext/>
      <w:keepLines/>
      <w:numPr>
        <w:numId w:val="1"/>
      </w:numPr>
      <w:spacing w:after="240"/>
      <w:ind w:left="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2E5D02"/>
    <w:pPr>
      <w:keepNext/>
      <w:keepLines/>
      <w:numPr>
        <w:numId w:val="2"/>
      </w:numPr>
      <w:tabs>
        <w:tab w:val="decimal" w:leader="dot" w:pos="8640"/>
      </w:tab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2E5D02"/>
    <w:pPr>
      <w:keepNext/>
      <w:keepLines/>
      <w:numPr>
        <w:numId w:val="3"/>
      </w:numPr>
      <w:tabs>
        <w:tab w:val="left" w:pos="720"/>
        <w:tab w:val="left" w:pos="1440"/>
        <w:tab w:val="decimal" w:leader="dot" w:pos="8640"/>
      </w:tabs>
      <w:spacing w:after="240"/>
      <w:ind w:left="2160" w:right="72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D02"/>
    <w:rPr>
      <w:rFonts w:ascii="Times New Roman Bold" w:eastAsiaTheme="majorEastAsia" w:hAnsi="Times New Roman Bold" w:cstheme="majorBidi"/>
      <w:b/>
      <w:bCs/>
      <w:sz w:val="24"/>
      <w:szCs w:val="20"/>
    </w:rPr>
  </w:style>
  <w:style w:type="character" w:customStyle="1" w:styleId="Heading1Char">
    <w:name w:val="Heading 1 Char"/>
    <w:basedOn w:val="DefaultParagraphFont"/>
    <w:link w:val="Heading1"/>
    <w:uiPriority w:val="9"/>
    <w:rsid w:val="00B0131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2E5D02"/>
    <w:rPr>
      <w:rFonts w:ascii="Times New Roman Bold" w:eastAsiaTheme="majorEastAsia" w:hAnsi="Times New Roman Bold" w:cstheme="majorBidi"/>
      <w:b/>
      <w:bCs/>
      <w:sz w:val="24"/>
      <w:szCs w:val="26"/>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
    <w:uiPriority w:val="99"/>
    <w:unhideWhenUsed/>
    <w:rsid w:val="00813AC1"/>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fn Char"/>
    <w:basedOn w:val="DefaultParagraphFont"/>
    <w:link w:val="FootnoteText"/>
    <w:uiPriority w:val="99"/>
    <w:rsid w:val="00813AC1"/>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813AC1"/>
    <w:pPr>
      <w:spacing w:line="480" w:lineRule="atLeast"/>
      <w:ind w:firstLine="720"/>
    </w:pPr>
  </w:style>
  <w:style w:type="character" w:customStyle="1" w:styleId="BodyTextIndent3Char">
    <w:name w:val="Body Text Indent 3 Char"/>
    <w:basedOn w:val="DefaultParagraphFont"/>
    <w:link w:val="BodyTextIndent3"/>
    <w:rsid w:val="00813AC1"/>
    <w:rPr>
      <w:rFonts w:ascii="Times New Roman" w:eastAsia="Times New Roman" w:hAnsi="Times New Roman" w:cs="Times New Roman"/>
      <w:sz w:val="24"/>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uiPriority w:val="99"/>
    <w:unhideWhenUsed/>
    <w:rsid w:val="00813AC1"/>
    <w:rPr>
      <w:vertAlign w:val="superscript"/>
    </w:rPr>
  </w:style>
  <w:style w:type="table" w:styleId="TableGrid">
    <w:name w:val="Table Grid"/>
    <w:basedOn w:val="TableNormal"/>
    <w:uiPriority w:val="59"/>
    <w:rsid w:val="0081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C1"/>
    <w:pPr>
      <w:tabs>
        <w:tab w:val="center" w:pos="4680"/>
        <w:tab w:val="right" w:pos="9360"/>
      </w:tabs>
    </w:pPr>
  </w:style>
  <w:style w:type="character" w:customStyle="1" w:styleId="HeaderChar">
    <w:name w:val="Header Char"/>
    <w:basedOn w:val="DefaultParagraphFont"/>
    <w:link w:val="Header"/>
    <w:uiPriority w:val="99"/>
    <w:rsid w:val="00813A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3AC1"/>
    <w:pPr>
      <w:tabs>
        <w:tab w:val="center" w:pos="4680"/>
        <w:tab w:val="right" w:pos="9360"/>
      </w:tabs>
    </w:pPr>
  </w:style>
  <w:style w:type="character" w:customStyle="1" w:styleId="FooterChar">
    <w:name w:val="Footer Char"/>
    <w:basedOn w:val="DefaultParagraphFont"/>
    <w:link w:val="Footer"/>
    <w:uiPriority w:val="99"/>
    <w:rsid w:val="00813AC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813AC1"/>
    <w:pPr>
      <w:spacing w:after="120"/>
      <w:ind w:left="360"/>
    </w:pPr>
  </w:style>
  <w:style w:type="character" w:customStyle="1" w:styleId="BodyTextIndentChar">
    <w:name w:val="Body Text Indent Char"/>
    <w:basedOn w:val="DefaultParagraphFont"/>
    <w:link w:val="BodyTextIndent"/>
    <w:uiPriority w:val="99"/>
    <w:rsid w:val="00813AC1"/>
    <w:rPr>
      <w:rFonts w:ascii="Times New Roman" w:eastAsia="Times New Roman" w:hAnsi="Times New Roman" w:cs="Times New Roman"/>
      <w:sz w:val="24"/>
      <w:szCs w:val="20"/>
    </w:rPr>
  </w:style>
  <w:style w:type="paragraph" w:styleId="ListParagraph">
    <w:name w:val="List Paragraph"/>
    <w:basedOn w:val="Normal"/>
    <w:uiPriority w:val="34"/>
    <w:qFormat/>
    <w:rsid w:val="00364C03"/>
    <w:pPr>
      <w:ind w:left="720"/>
      <w:contextualSpacing/>
    </w:pPr>
  </w:style>
  <w:style w:type="paragraph" w:styleId="TOCHeading">
    <w:name w:val="TOC Heading"/>
    <w:basedOn w:val="Heading1"/>
    <w:next w:val="Normal"/>
    <w:uiPriority w:val="39"/>
    <w:unhideWhenUsed/>
    <w:qFormat/>
    <w:rsid w:val="005A7D39"/>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66D5B"/>
    <w:pPr>
      <w:tabs>
        <w:tab w:val="decimal" w:leader="dot" w:pos="8640"/>
      </w:tabs>
      <w:spacing w:after="240"/>
      <w:ind w:left="720" w:hanging="720"/>
    </w:pPr>
    <w:rPr>
      <w:caps/>
    </w:rPr>
  </w:style>
  <w:style w:type="paragraph" w:styleId="TOC2">
    <w:name w:val="toc 2"/>
    <w:basedOn w:val="Normal"/>
    <w:next w:val="Normal"/>
    <w:autoRedefine/>
    <w:uiPriority w:val="39"/>
    <w:unhideWhenUsed/>
    <w:rsid w:val="00366D5B"/>
    <w:pPr>
      <w:tabs>
        <w:tab w:val="left" w:pos="1440"/>
        <w:tab w:val="decimal" w:leader="dot" w:pos="8640"/>
      </w:tabs>
      <w:spacing w:after="240"/>
      <w:ind w:left="1440" w:hanging="720"/>
    </w:pPr>
  </w:style>
  <w:style w:type="character" w:styleId="Hyperlink">
    <w:name w:val="Hyperlink"/>
    <w:basedOn w:val="DefaultParagraphFont"/>
    <w:uiPriority w:val="99"/>
    <w:unhideWhenUsed/>
    <w:rsid w:val="005A7D39"/>
    <w:rPr>
      <w:color w:val="0000FF" w:themeColor="hyperlink"/>
      <w:u w:val="single"/>
    </w:rPr>
  </w:style>
  <w:style w:type="paragraph" w:styleId="BalloonText">
    <w:name w:val="Balloon Text"/>
    <w:basedOn w:val="Normal"/>
    <w:link w:val="BalloonTextChar"/>
    <w:uiPriority w:val="99"/>
    <w:semiHidden/>
    <w:unhideWhenUsed/>
    <w:rsid w:val="005A7D39"/>
    <w:rPr>
      <w:rFonts w:ascii="Tahoma" w:hAnsi="Tahoma" w:cs="Tahoma"/>
      <w:sz w:val="16"/>
      <w:szCs w:val="16"/>
    </w:rPr>
  </w:style>
  <w:style w:type="character" w:customStyle="1" w:styleId="BalloonTextChar">
    <w:name w:val="Balloon Text Char"/>
    <w:basedOn w:val="DefaultParagraphFont"/>
    <w:link w:val="BalloonText"/>
    <w:uiPriority w:val="99"/>
    <w:semiHidden/>
    <w:rsid w:val="005A7D39"/>
    <w:rPr>
      <w:rFonts w:ascii="Tahoma" w:eastAsia="Times New Roman" w:hAnsi="Tahoma" w:cs="Tahoma"/>
      <w:sz w:val="16"/>
      <w:szCs w:val="16"/>
    </w:rPr>
  </w:style>
  <w:style w:type="table" w:styleId="LightShading">
    <w:name w:val="Light Shading"/>
    <w:basedOn w:val="TableNormal"/>
    <w:uiPriority w:val="60"/>
    <w:rsid w:val="00760A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760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366D5B"/>
    <w:pPr>
      <w:tabs>
        <w:tab w:val="left" w:pos="2160"/>
        <w:tab w:val="decimal" w:leader="dot" w:pos="8640"/>
      </w:tabs>
      <w:spacing w:after="240"/>
      <w:ind w:left="2160" w:hanging="720"/>
    </w:pPr>
  </w:style>
  <w:style w:type="character" w:styleId="CommentReference">
    <w:name w:val="annotation reference"/>
    <w:basedOn w:val="DefaultParagraphFont"/>
    <w:uiPriority w:val="99"/>
    <w:semiHidden/>
    <w:unhideWhenUsed/>
    <w:rsid w:val="009A3090"/>
    <w:rPr>
      <w:sz w:val="16"/>
      <w:szCs w:val="16"/>
    </w:rPr>
  </w:style>
  <w:style w:type="paragraph" w:styleId="CommentText">
    <w:name w:val="annotation text"/>
    <w:basedOn w:val="Normal"/>
    <w:link w:val="CommentTextChar"/>
    <w:uiPriority w:val="99"/>
    <w:semiHidden/>
    <w:unhideWhenUsed/>
    <w:rsid w:val="009A3090"/>
    <w:rPr>
      <w:sz w:val="20"/>
    </w:rPr>
  </w:style>
  <w:style w:type="character" w:customStyle="1" w:styleId="CommentTextChar">
    <w:name w:val="Comment Text Char"/>
    <w:basedOn w:val="DefaultParagraphFont"/>
    <w:link w:val="CommentText"/>
    <w:uiPriority w:val="99"/>
    <w:semiHidden/>
    <w:rsid w:val="009A3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090"/>
    <w:rPr>
      <w:b/>
      <w:bCs/>
    </w:rPr>
  </w:style>
  <w:style w:type="character" w:customStyle="1" w:styleId="CommentSubjectChar">
    <w:name w:val="Comment Subject Char"/>
    <w:basedOn w:val="CommentTextChar"/>
    <w:link w:val="CommentSubject"/>
    <w:uiPriority w:val="99"/>
    <w:semiHidden/>
    <w:rsid w:val="009A309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B0131B"/>
    <w:pPr>
      <w:keepNext/>
      <w:keepLines/>
      <w:numPr>
        <w:numId w:val="1"/>
      </w:numPr>
      <w:spacing w:after="240"/>
      <w:ind w:left="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2E5D02"/>
    <w:pPr>
      <w:keepNext/>
      <w:keepLines/>
      <w:numPr>
        <w:numId w:val="2"/>
      </w:numPr>
      <w:tabs>
        <w:tab w:val="decimal" w:leader="dot" w:pos="8640"/>
      </w:tab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2E5D02"/>
    <w:pPr>
      <w:keepNext/>
      <w:keepLines/>
      <w:numPr>
        <w:numId w:val="3"/>
      </w:numPr>
      <w:tabs>
        <w:tab w:val="left" w:pos="720"/>
        <w:tab w:val="left" w:pos="1440"/>
        <w:tab w:val="decimal" w:leader="dot" w:pos="8640"/>
      </w:tabs>
      <w:spacing w:after="240"/>
      <w:ind w:left="2160" w:right="72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D02"/>
    <w:rPr>
      <w:rFonts w:ascii="Times New Roman Bold" w:eastAsiaTheme="majorEastAsia" w:hAnsi="Times New Roman Bold" w:cstheme="majorBidi"/>
      <w:b/>
      <w:bCs/>
      <w:sz w:val="24"/>
      <w:szCs w:val="20"/>
    </w:rPr>
  </w:style>
  <w:style w:type="character" w:customStyle="1" w:styleId="Heading1Char">
    <w:name w:val="Heading 1 Char"/>
    <w:basedOn w:val="DefaultParagraphFont"/>
    <w:link w:val="Heading1"/>
    <w:uiPriority w:val="9"/>
    <w:rsid w:val="00B0131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2E5D02"/>
    <w:rPr>
      <w:rFonts w:ascii="Times New Roman Bold" w:eastAsiaTheme="majorEastAsia" w:hAnsi="Times New Roman Bold" w:cstheme="majorBidi"/>
      <w:b/>
      <w:bCs/>
      <w:sz w:val="24"/>
      <w:szCs w:val="26"/>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
    <w:uiPriority w:val="99"/>
    <w:unhideWhenUsed/>
    <w:rsid w:val="00813AC1"/>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fn Char"/>
    <w:basedOn w:val="DefaultParagraphFont"/>
    <w:link w:val="FootnoteText"/>
    <w:uiPriority w:val="99"/>
    <w:rsid w:val="00813AC1"/>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813AC1"/>
    <w:pPr>
      <w:spacing w:line="480" w:lineRule="atLeast"/>
      <w:ind w:firstLine="720"/>
    </w:pPr>
  </w:style>
  <w:style w:type="character" w:customStyle="1" w:styleId="BodyTextIndent3Char">
    <w:name w:val="Body Text Indent 3 Char"/>
    <w:basedOn w:val="DefaultParagraphFont"/>
    <w:link w:val="BodyTextIndent3"/>
    <w:rsid w:val="00813AC1"/>
    <w:rPr>
      <w:rFonts w:ascii="Times New Roman" w:eastAsia="Times New Roman" w:hAnsi="Times New Roman" w:cs="Times New Roman"/>
      <w:sz w:val="24"/>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uiPriority w:val="99"/>
    <w:unhideWhenUsed/>
    <w:rsid w:val="00813AC1"/>
    <w:rPr>
      <w:vertAlign w:val="superscript"/>
    </w:rPr>
  </w:style>
  <w:style w:type="table" w:styleId="TableGrid">
    <w:name w:val="Table Grid"/>
    <w:basedOn w:val="TableNormal"/>
    <w:uiPriority w:val="59"/>
    <w:rsid w:val="0081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C1"/>
    <w:pPr>
      <w:tabs>
        <w:tab w:val="center" w:pos="4680"/>
        <w:tab w:val="right" w:pos="9360"/>
      </w:tabs>
    </w:pPr>
  </w:style>
  <w:style w:type="character" w:customStyle="1" w:styleId="HeaderChar">
    <w:name w:val="Header Char"/>
    <w:basedOn w:val="DefaultParagraphFont"/>
    <w:link w:val="Header"/>
    <w:uiPriority w:val="99"/>
    <w:rsid w:val="00813A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3AC1"/>
    <w:pPr>
      <w:tabs>
        <w:tab w:val="center" w:pos="4680"/>
        <w:tab w:val="right" w:pos="9360"/>
      </w:tabs>
    </w:pPr>
  </w:style>
  <w:style w:type="character" w:customStyle="1" w:styleId="FooterChar">
    <w:name w:val="Footer Char"/>
    <w:basedOn w:val="DefaultParagraphFont"/>
    <w:link w:val="Footer"/>
    <w:uiPriority w:val="99"/>
    <w:rsid w:val="00813AC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813AC1"/>
    <w:pPr>
      <w:spacing w:after="120"/>
      <w:ind w:left="360"/>
    </w:pPr>
  </w:style>
  <w:style w:type="character" w:customStyle="1" w:styleId="BodyTextIndentChar">
    <w:name w:val="Body Text Indent Char"/>
    <w:basedOn w:val="DefaultParagraphFont"/>
    <w:link w:val="BodyTextIndent"/>
    <w:uiPriority w:val="99"/>
    <w:rsid w:val="00813AC1"/>
    <w:rPr>
      <w:rFonts w:ascii="Times New Roman" w:eastAsia="Times New Roman" w:hAnsi="Times New Roman" w:cs="Times New Roman"/>
      <w:sz w:val="24"/>
      <w:szCs w:val="20"/>
    </w:rPr>
  </w:style>
  <w:style w:type="paragraph" w:styleId="ListParagraph">
    <w:name w:val="List Paragraph"/>
    <w:basedOn w:val="Normal"/>
    <w:uiPriority w:val="34"/>
    <w:qFormat/>
    <w:rsid w:val="00364C03"/>
    <w:pPr>
      <w:ind w:left="720"/>
      <w:contextualSpacing/>
    </w:pPr>
  </w:style>
  <w:style w:type="paragraph" w:styleId="TOCHeading">
    <w:name w:val="TOC Heading"/>
    <w:basedOn w:val="Heading1"/>
    <w:next w:val="Normal"/>
    <w:uiPriority w:val="39"/>
    <w:unhideWhenUsed/>
    <w:qFormat/>
    <w:rsid w:val="005A7D39"/>
    <w:pPr>
      <w:numPr>
        <w:numId w:val="0"/>
      </w:numPr>
      <w:spacing w:before="48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66D5B"/>
    <w:pPr>
      <w:tabs>
        <w:tab w:val="decimal" w:leader="dot" w:pos="8640"/>
      </w:tabs>
      <w:spacing w:after="240"/>
      <w:ind w:left="720" w:hanging="720"/>
    </w:pPr>
    <w:rPr>
      <w:caps/>
    </w:rPr>
  </w:style>
  <w:style w:type="paragraph" w:styleId="TOC2">
    <w:name w:val="toc 2"/>
    <w:basedOn w:val="Normal"/>
    <w:next w:val="Normal"/>
    <w:autoRedefine/>
    <w:uiPriority w:val="39"/>
    <w:unhideWhenUsed/>
    <w:rsid w:val="00366D5B"/>
    <w:pPr>
      <w:tabs>
        <w:tab w:val="left" w:pos="1440"/>
        <w:tab w:val="decimal" w:leader="dot" w:pos="8640"/>
      </w:tabs>
      <w:spacing w:after="240"/>
      <w:ind w:left="1440" w:hanging="720"/>
    </w:pPr>
  </w:style>
  <w:style w:type="character" w:styleId="Hyperlink">
    <w:name w:val="Hyperlink"/>
    <w:basedOn w:val="DefaultParagraphFont"/>
    <w:uiPriority w:val="99"/>
    <w:unhideWhenUsed/>
    <w:rsid w:val="005A7D39"/>
    <w:rPr>
      <w:color w:val="0000FF" w:themeColor="hyperlink"/>
      <w:u w:val="single"/>
    </w:rPr>
  </w:style>
  <w:style w:type="paragraph" w:styleId="BalloonText">
    <w:name w:val="Balloon Text"/>
    <w:basedOn w:val="Normal"/>
    <w:link w:val="BalloonTextChar"/>
    <w:uiPriority w:val="99"/>
    <w:semiHidden/>
    <w:unhideWhenUsed/>
    <w:rsid w:val="005A7D39"/>
    <w:rPr>
      <w:rFonts w:ascii="Tahoma" w:hAnsi="Tahoma" w:cs="Tahoma"/>
      <w:sz w:val="16"/>
      <w:szCs w:val="16"/>
    </w:rPr>
  </w:style>
  <w:style w:type="character" w:customStyle="1" w:styleId="BalloonTextChar">
    <w:name w:val="Balloon Text Char"/>
    <w:basedOn w:val="DefaultParagraphFont"/>
    <w:link w:val="BalloonText"/>
    <w:uiPriority w:val="99"/>
    <w:semiHidden/>
    <w:rsid w:val="005A7D39"/>
    <w:rPr>
      <w:rFonts w:ascii="Tahoma" w:eastAsia="Times New Roman" w:hAnsi="Tahoma" w:cs="Tahoma"/>
      <w:sz w:val="16"/>
      <w:szCs w:val="16"/>
    </w:rPr>
  </w:style>
  <w:style w:type="table" w:styleId="LightShading">
    <w:name w:val="Light Shading"/>
    <w:basedOn w:val="TableNormal"/>
    <w:uiPriority w:val="60"/>
    <w:rsid w:val="00760A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760A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366D5B"/>
    <w:pPr>
      <w:tabs>
        <w:tab w:val="left" w:pos="2160"/>
        <w:tab w:val="decimal" w:leader="dot" w:pos="8640"/>
      </w:tabs>
      <w:spacing w:after="240"/>
      <w:ind w:left="2160" w:hanging="720"/>
    </w:pPr>
  </w:style>
  <w:style w:type="character" w:styleId="CommentReference">
    <w:name w:val="annotation reference"/>
    <w:basedOn w:val="DefaultParagraphFont"/>
    <w:uiPriority w:val="99"/>
    <w:semiHidden/>
    <w:unhideWhenUsed/>
    <w:rsid w:val="009A3090"/>
    <w:rPr>
      <w:sz w:val="16"/>
      <w:szCs w:val="16"/>
    </w:rPr>
  </w:style>
  <w:style w:type="paragraph" w:styleId="CommentText">
    <w:name w:val="annotation text"/>
    <w:basedOn w:val="Normal"/>
    <w:link w:val="CommentTextChar"/>
    <w:uiPriority w:val="99"/>
    <w:semiHidden/>
    <w:unhideWhenUsed/>
    <w:rsid w:val="009A3090"/>
    <w:rPr>
      <w:sz w:val="20"/>
    </w:rPr>
  </w:style>
  <w:style w:type="character" w:customStyle="1" w:styleId="CommentTextChar">
    <w:name w:val="Comment Text Char"/>
    <w:basedOn w:val="DefaultParagraphFont"/>
    <w:link w:val="CommentText"/>
    <w:uiPriority w:val="99"/>
    <w:semiHidden/>
    <w:rsid w:val="009A3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090"/>
    <w:rPr>
      <w:b/>
      <w:bCs/>
    </w:rPr>
  </w:style>
  <w:style w:type="character" w:customStyle="1" w:styleId="CommentSubjectChar">
    <w:name w:val="Comment Subject Char"/>
    <w:basedOn w:val="CommentTextChar"/>
    <w:link w:val="CommentSubject"/>
    <w:uiPriority w:val="99"/>
    <w:semiHidden/>
    <w:rsid w:val="009A30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5421">
      <w:bodyDiv w:val="1"/>
      <w:marLeft w:val="0"/>
      <w:marRight w:val="0"/>
      <w:marTop w:val="0"/>
      <w:marBottom w:val="0"/>
      <w:divBdr>
        <w:top w:val="none" w:sz="0" w:space="0" w:color="auto"/>
        <w:left w:val="none" w:sz="0" w:space="0" w:color="auto"/>
        <w:bottom w:val="none" w:sz="0" w:space="0" w:color="auto"/>
        <w:right w:val="none" w:sz="0" w:space="0" w:color="auto"/>
      </w:divBdr>
    </w:div>
    <w:div w:id="14423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footer" Target="footer2.xml"/><Relationship Id="rId18" Type="http://schemas.openxmlformats.org/officeDocument/2006/relationships/hyperlink" Target="mailto:Ajay.kumar@occ.ohio.gov" TargetMode="External"/><Relationship Id="rId26" Type="http://schemas.openxmlformats.org/officeDocument/2006/relationships/hyperlink" Target="mailto:glover@whitt-sturtevant.com" TargetMode="External"/><Relationship Id="rId3" Type="http://schemas.microsoft.com/office/2007/relationships/stylesWithEffects" Target="stylesWithEffects.xml"/><Relationship Id="rId21" Type="http://schemas.openxmlformats.org/officeDocument/2006/relationships/hyperlink" Target="mailto:fdarr@mwncmh.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di.bair@occ.ohio.gov" TargetMode="External"/><Relationship Id="rId25" Type="http://schemas.openxmlformats.org/officeDocument/2006/relationships/hyperlink" Target="mailto:campbell@whitt-sturtevant.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steven.beeler@puc.state.oh.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whitt@whitt-sturtevant.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mooney@ohiopartners.org"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William.wright@puc.state.oh.us" TargetMode="External"/><Relationship Id="rId4" Type="http://schemas.openxmlformats.org/officeDocument/2006/relationships/settings" Target="settings.xml"/><Relationship Id="rId9" Type="http://schemas.openxmlformats.org/officeDocument/2006/relationships/hyperlink" Target="mailto:Ajay.kumar@occ.ohio.gov" TargetMode="External"/><Relationship Id="rId14" Type="http://schemas.openxmlformats.org/officeDocument/2006/relationships/header" Target="header3.xml"/><Relationship Id="rId22" Type="http://schemas.openxmlformats.org/officeDocument/2006/relationships/hyperlink" Target="mailto:mpritchard@mwncmh.com" TargetMode="External"/><Relationship Id="rId27" Type="http://schemas.openxmlformats.org/officeDocument/2006/relationships/hyperlink" Target="mailto:Mandy.willey@puc.state.oh.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2838</Words>
  <Characters>15323</Characters>
  <Application>Microsoft Office Word</Application>
  <DocSecurity>0</DocSecurity>
  <Lines>354</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2016-03-29T18:02:00Z</cp:lastPrinted>
  <dcterms:created xsi:type="dcterms:W3CDTF">2016-03-29T18:37:00Z</dcterms:created>
  <dcterms:modified xsi:type="dcterms:W3CDTF">2016-03-29T18:37:00Z</dcterms:modified>
  <cp:category> </cp:category>
  <cp:contentStatus> </cp:contentStatus>
</cp:coreProperties>
</file>