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289"/>
        <w:gridCol w:w="4597"/>
      </w:tblGrid>
      <w:tr w:rsidR="00663D6A" w:rsidTr="00221496">
        <w:tc>
          <w:tcPr>
            <w:tcW w:w="4698" w:type="dxa"/>
          </w:tcPr>
          <w:p w:rsidR="001A5C2F" w:rsidRPr="00221496" w:rsidRDefault="006D2C94" w:rsidP="006D2C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the Matter of the Application for Establishment of a Reasonable Arrangement between </w:t>
            </w:r>
            <w:proofErr w:type="spellStart"/>
            <w:r>
              <w:rPr>
                <w:sz w:val="26"/>
                <w:szCs w:val="26"/>
              </w:rPr>
              <w:t>ASHTA</w:t>
            </w:r>
            <w:proofErr w:type="spellEnd"/>
            <w:r>
              <w:rPr>
                <w:sz w:val="26"/>
                <w:szCs w:val="26"/>
              </w:rPr>
              <w:t xml:space="preserve"> Chemicals, Inc. and The Cleveland Electric Illuminating Company.</w:t>
            </w:r>
          </w:p>
        </w:tc>
        <w:tc>
          <w:tcPr>
            <w:tcW w:w="270" w:type="dxa"/>
          </w:tcPr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D2C94" w:rsidRDefault="006D2C94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D2C94" w:rsidRPr="00221496" w:rsidRDefault="006D2C94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6D2C94" w:rsidRDefault="006D2C94" w:rsidP="006D2C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D2C94" w:rsidRDefault="006D2C94" w:rsidP="006D2C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D2C94" w:rsidRDefault="006D2C94" w:rsidP="006D2C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Case No. 12-1494-EL-AEC</w:t>
            </w:r>
          </w:p>
          <w:p w:rsidR="001A5C2F" w:rsidRPr="00221496" w:rsidRDefault="001A5C2F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3B12DD" w:rsidRDefault="003B12DD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E10679" w:rsidRDefault="00E10679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E10679" w:rsidRDefault="00E10679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E10679" w:rsidRDefault="006D2C94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COMMENTS</w:t>
      </w:r>
    </w:p>
    <w:p w:rsidR="00663D6A" w:rsidRPr="006D2C94" w:rsidRDefault="00663D6A" w:rsidP="006D2C94">
      <w:pPr>
        <w:jc w:val="center"/>
        <w:rPr>
          <w:sz w:val="26"/>
          <w:szCs w:val="26"/>
        </w:rPr>
      </w:pPr>
      <w:bookmarkStart w:id="2" w:name="_Toc257632572"/>
      <w:bookmarkStart w:id="3" w:name="_Toc257632676"/>
      <w:bookmarkStart w:id="4" w:name="_Toc257637808"/>
      <w:bookmarkStart w:id="5" w:name="_Toc257798062"/>
      <w:bookmarkStart w:id="6" w:name="_Toc260124108"/>
      <w:bookmarkStart w:id="7" w:name="_Toc260125213"/>
      <w:bookmarkStart w:id="8" w:name="_Toc260212953"/>
      <w:r w:rsidRPr="006D2C94">
        <w:rPr>
          <w:sz w:val="26"/>
          <w:szCs w:val="26"/>
        </w:rPr>
        <w:t>SUBMITTED ON BEHALF OF THE STAFF OF</w:t>
      </w:r>
      <w:bookmarkEnd w:id="2"/>
      <w:bookmarkEnd w:id="3"/>
      <w:bookmarkEnd w:id="4"/>
      <w:bookmarkEnd w:id="5"/>
      <w:bookmarkEnd w:id="6"/>
      <w:bookmarkEnd w:id="7"/>
      <w:bookmarkEnd w:id="8"/>
    </w:p>
    <w:p w:rsidR="00663D6A" w:rsidRPr="006D2C94" w:rsidRDefault="00663D6A" w:rsidP="006D2C94">
      <w:pPr>
        <w:jc w:val="center"/>
        <w:rPr>
          <w:sz w:val="26"/>
          <w:szCs w:val="26"/>
        </w:rPr>
      </w:pPr>
      <w:bookmarkStart w:id="9" w:name="_Toc257632573"/>
      <w:bookmarkStart w:id="10" w:name="_Toc257632677"/>
      <w:bookmarkStart w:id="11" w:name="_Toc257637809"/>
      <w:bookmarkStart w:id="12" w:name="_Toc257798063"/>
      <w:bookmarkStart w:id="13" w:name="_Toc260124109"/>
      <w:bookmarkStart w:id="14" w:name="_Toc260125214"/>
      <w:bookmarkStart w:id="15" w:name="_Toc260212954"/>
      <w:r w:rsidRPr="006D2C94">
        <w:rPr>
          <w:sz w:val="26"/>
          <w:szCs w:val="26"/>
        </w:rPr>
        <w:t>THE PUBLIC UTILITIES COMMISSION OF OHIO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63D6A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D2C94">
        <w:rPr>
          <w:rFonts w:ascii="Times New Roman" w:hAnsi="Times New Roman"/>
          <w:b/>
          <w:sz w:val="26"/>
          <w:szCs w:val="26"/>
        </w:rPr>
        <w:t>Michael DeWine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Ohio </w:t>
      </w:r>
      <w:r w:rsidR="00721F2D">
        <w:rPr>
          <w:rFonts w:ascii="Times New Roman" w:hAnsi="Times New Roman"/>
          <w:sz w:val="26"/>
          <w:szCs w:val="26"/>
        </w:rPr>
        <w:t>Attorney</w:t>
      </w:r>
      <w:r>
        <w:rPr>
          <w:rFonts w:ascii="Times New Roman" w:hAnsi="Times New Roman"/>
          <w:sz w:val="26"/>
          <w:szCs w:val="26"/>
        </w:rPr>
        <w:t xml:space="preserve"> General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5B75">
        <w:rPr>
          <w:rFonts w:ascii="Times New Roman" w:hAnsi="Times New Roman"/>
          <w:b/>
          <w:sz w:val="26"/>
          <w:szCs w:val="26"/>
        </w:rPr>
        <w:t>William L. Wright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Thomas </w:t>
      </w:r>
      <w:r w:rsidR="006D2C94">
        <w:rPr>
          <w:rFonts w:ascii="Times New Roman" w:hAnsi="Times New Roman"/>
          <w:b/>
          <w:sz w:val="26"/>
          <w:szCs w:val="26"/>
        </w:rPr>
        <w:t>W. McNamee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21F2D">
        <w:rPr>
          <w:rFonts w:ascii="Times New Roman" w:hAnsi="Times New Roman"/>
          <w:sz w:val="26"/>
          <w:szCs w:val="26"/>
        </w:rPr>
        <w:t>Assistant</w:t>
      </w:r>
      <w:r>
        <w:rPr>
          <w:rFonts w:ascii="Times New Roman" w:hAnsi="Times New Roman"/>
          <w:sz w:val="26"/>
          <w:szCs w:val="26"/>
        </w:rPr>
        <w:t xml:space="preserve"> Attorneys General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Public </w:t>
      </w:r>
      <w:r w:rsidR="00721F2D">
        <w:rPr>
          <w:rFonts w:ascii="Times New Roman" w:hAnsi="Times New Roman"/>
          <w:sz w:val="26"/>
          <w:szCs w:val="26"/>
        </w:rPr>
        <w:t>Utilities</w:t>
      </w:r>
      <w:r>
        <w:rPr>
          <w:rFonts w:ascii="Times New Roman" w:hAnsi="Times New Roman"/>
          <w:sz w:val="26"/>
          <w:szCs w:val="26"/>
        </w:rPr>
        <w:t xml:space="preserve"> Section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E10679" w:rsidRDefault="00E10679" w:rsidP="006D2C94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  <w:r>
        <w:rPr>
          <w:rFonts w:ascii="Times New Roman" w:hAnsi="Times New Roman"/>
          <w:sz w:val="26"/>
          <w:szCs w:val="26"/>
        </w:rPr>
        <w:tab/>
      </w:r>
      <w:hyperlink r:id="rId8" w:history="1">
        <w:r w:rsidR="006D2C94" w:rsidRPr="00515BB5">
          <w:rPr>
            <w:rStyle w:val="Hyperlink"/>
            <w:rFonts w:ascii="Times New Roman" w:hAnsi="Times New Roman"/>
            <w:sz w:val="26"/>
            <w:szCs w:val="26"/>
          </w:rPr>
          <w:t>thomas.mcnamee@puc.state.oh.us</w:t>
        </w:r>
      </w:hyperlink>
    </w:p>
    <w:p w:rsidR="00E10679" w:rsidRP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663D6A" w:rsidRPr="002D54AC" w:rsidRDefault="006D2C94" w:rsidP="004B6358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June 28, 2012</w:t>
      </w:r>
    </w:p>
    <w:p w:rsidR="003B12DD" w:rsidRDefault="003B12DD" w:rsidP="00663D6A">
      <w:pPr>
        <w:jc w:val="center"/>
        <w:rPr>
          <w:b/>
          <w:sz w:val="26"/>
          <w:szCs w:val="26"/>
        </w:rPr>
        <w:sectPr w:rsidR="003B12DD" w:rsidSect="003B12DD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6D2C94" w:rsidRPr="002D54AC" w:rsidRDefault="006D2C94" w:rsidP="006D2C9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lastRenderedPageBreak/>
        <w:t>BEFORE</w:t>
      </w:r>
    </w:p>
    <w:p w:rsidR="006D2C94" w:rsidRDefault="006D2C94" w:rsidP="006D2C9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PUBLIC UTILITIES COMMISSION OF OHIO</w:t>
      </w:r>
    </w:p>
    <w:p w:rsidR="006D2C94" w:rsidRDefault="006D2C94" w:rsidP="006D2C94">
      <w:pPr>
        <w:jc w:val="center"/>
        <w:rPr>
          <w:b/>
          <w:sz w:val="26"/>
          <w:szCs w:val="26"/>
        </w:rPr>
      </w:pPr>
    </w:p>
    <w:p w:rsidR="006D2C94" w:rsidRPr="002D54AC" w:rsidRDefault="006D2C94" w:rsidP="006D2C9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289"/>
        <w:gridCol w:w="4597"/>
      </w:tblGrid>
      <w:tr w:rsidR="006D2C94" w:rsidTr="006D2C94">
        <w:tc>
          <w:tcPr>
            <w:tcW w:w="4690" w:type="dxa"/>
          </w:tcPr>
          <w:p w:rsidR="006D2C94" w:rsidRPr="00221496" w:rsidRDefault="006D2C94" w:rsidP="00E974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6" w:name="_Toc260212957"/>
            <w:r>
              <w:rPr>
                <w:sz w:val="26"/>
                <w:szCs w:val="26"/>
              </w:rPr>
              <w:t xml:space="preserve">In the Matter of the Application for Establishment of a Reasonable Arrangement between </w:t>
            </w:r>
            <w:proofErr w:type="spellStart"/>
            <w:r>
              <w:rPr>
                <w:sz w:val="26"/>
                <w:szCs w:val="26"/>
              </w:rPr>
              <w:t>ASHTA</w:t>
            </w:r>
            <w:proofErr w:type="spellEnd"/>
            <w:r>
              <w:rPr>
                <w:sz w:val="26"/>
                <w:szCs w:val="26"/>
              </w:rPr>
              <w:t xml:space="preserve"> Chemicals, Inc. and The Cleveland Electric Illuminating Company.</w:t>
            </w:r>
          </w:p>
        </w:tc>
        <w:tc>
          <w:tcPr>
            <w:tcW w:w="289" w:type="dxa"/>
          </w:tcPr>
          <w:p w:rsidR="006D2C94" w:rsidRPr="00221496" w:rsidRDefault="006D2C94" w:rsidP="00E974C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D2C94" w:rsidRPr="00221496" w:rsidRDefault="006D2C94" w:rsidP="00E974C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D2C94" w:rsidRDefault="006D2C94" w:rsidP="00E974C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D2C94" w:rsidRDefault="006D2C94" w:rsidP="00E974C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D2C94" w:rsidRPr="00221496" w:rsidRDefault="006D2C94" w:rsidP="00E974C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7" w:type="dxa"/>
          </w:tcPr>
          <w:p w:rsidR="006D2C94" w:rsidRDefault="006D2C94" w:rsidP="00E974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D2C94" w:rsidRDefault="006D2C94" w:rsidP="00E974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D2C94" w:rsidRDefault="006D2C94" w:rsidP="00E974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Case No. 12-1494-EL-AEC</w:t>
            </w:r>
          </w:p>
          <w:p w:rsidR="006D2C94" w:rsidRPr="00221496" w:rsidRDefault="006D2C94" w:rsidP="00E974C9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2C94" w:rsidRPr="002D54AC" w:rsidRDefault="006D2C94" w:rsidP="006D2C94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6D2C94" w:rsidRDefault="006D2C94" w:rsidP="006D2C94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6D2C94" w:rsidRDefault="006D2C94" w:rsidP="006D2C94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6D2C94" w:rsidRDefault="006D2C94" w:rsidP="006D2C94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6D2C94" w:rsidRPr="00E10679" w:rsidRDefault="006D2C94" w:rsidP="006D2C94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COMMENTS</w:t>
      </w:r>
    </w:p>
    <w:p w:rsidR="006D2C94" w:rsidRPr="006D2C94" w:rsidRDefault="006D2C94" w:rsidP="006D2C94">
      <w:pPr>
        <w:jc w:val="center"/>
        <w:rPr>
          <w:sz w:val="26"/>
          <w:szCs w:val="26"/>
        </w:rPr>
      </w:pPr>
      <w:r w:rsidRPr="006D2C94">
        <w:rPr>
          <w:sz w:val="26"/>
          <w:szCs w:val="26"/>
        </w:rPr>
        <w:t>SUBMITTED ON BEHALF OF THE STAFF OF</w:t>
      </w:r>
    </w:p>
    <w:p w:rsidR="006D2C94" w:rsidRPr="006D2C94" w:rsidRDefault="006D2C94" w:rsidP="006D2C94">
      <w:pPr>
        <w:jc w:val="center"/>
        <w:rPr>
          <w:sz w:val="26"/>
          <w:szCs w:val="26"/>
        </w:rPr>
      </w:pPr>
      <w:r w:rsidRPr="006D2C94">
        <w:rPr>
          <w:sz w:val="26"/>
          <w:szCs w:val="26"/>
        </w:rPr>
        <w:t>THE PUBLIC UTILITIES COMMISSION OF OHIO</w:t>
      </w:r>
    </w:p>
    <w:p w:rsidR="006D2C94" w:rsidRDefault="006D2C94" w:rsidP="006D2C94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CB5644" w:rsidRPr="00613023" w:rsidRDefault="00CB5644" w:rsidP="0064436A">
      <w:pPr>
        <w:pStyle w:val="Heading1"/>
      </w:pPr>
      <w:r w:rsidRPr="00613023">
        <w:t>INTRODUCTION</w:t>
      </w:r>
      <w:bookmarkEnd w:id="16"/>
    </w:p>
    <w:p w:rsidR="006D2C94" w:rsidRPr="00D9127B" w:rsidRDefault="006D2C94" w:rsidP="005C6CC0">
      <w:pPr>
        <w:pStyle w:val="textstyle0"/>
      </w:pPr>
      <w:bookmarkStart w:id="17" w:name="_Toc260212963"/>
      <w:r>
        <w:tab/>
      </w:r>
      <w:r w:rsidRPr="00D9127B">
        <w:t>On May 7, 2012, ASHTA Chemicals Inc. (</w:t>
      </w:r>
      <w:r>
        <w:t>“</w:t>
      </w:r>
      <w:r w:rsidRPr="00D9127B">
        <w:t>ASHTA</w:t>
      </w:r>
      <w:r>
        <w:t>”</w:t>
      </w:r>
      <w:r w:rsidRPr="00D9127B">
        <w:t>) filed an application for estab</w:t>
      </w:r>
      <w:r w:rsidR="004C58E7">
        <w:softHyphen/>
      </w:r>
      <w:r w:rsidRPr="00D9127B">
        <w:t>lishment of a reasonable arrangement between ASHTA Chemicals Inc. and The Cleveland Electric Illuminating Company</w:t>
      </w:r>
      <w:r>
        <w:t>.  ASHTA is</w:t>
      </w:r>
      <w:r w:rsidRPr="00D9127B">
        <w:t xml:space="preserve"> a </w:t>
      </w:r>
      <w:r>
        <w:t>“</w:t>
      </w:r>
      <w:r w:rsidRPr="00D9127B">
        <w:t>mercantile customer</w:t>
      </w:r>
      <w:r>
        <w:t>”</w:t>
      </w:r>
      <w:r w:rsidRPr="00D9127B">
        <w:t xml:space="preserve"> as</w:t>
      </w:r>
      <w:r>
        <w:t xml:space="preserve"> defined in Section 4928.01, Revised Code and </w:t>
      </w:r>
      <w:r w:rsidRPr="00D9127B">
        <w:t>is within the certified service</w:t>
      </w:r>
      <w:r>
        <w:t xml:space="preserve"> area of and obtains electric distribution service from The </w:t>
      </w:r>
      <w:r w:rsidRPr="00D9127B">
        <w:t>Cleveland Electric Illuminating Company (</w:t>
      </w:r>
      <w:r>
        <w:t>“</w:t>
      </w:r>
      <w:r w:rsidRPr="00D9127B">
        <w:t>CEI</w:t>
      </w:r>
      <w:r>
        <w:t>”</w:t>
      </w:r>
      <w:r w:rsidRPr="00D9127B">
        <w:t>), a</w:t>
      </w:r>
      <w:r>
        <w:t xml:space="preserve">n electric distribution utility </w:t>
      </w:r>
      <w:r w:rsidRPr="00D9127B">
        <w:t>(</w:t>
      </w:r>
      <w:r>
        <w:t>“</w:t>
      </w:r>
      <w:r w:rsidRPr="00D9127B">
        <w:t>EDU</w:t>
      </w:r>
      <w:r>
        <w:t>”</w:t>
      </w:r>
      <w:r w:rsidRPr="00D9127B">
        <w:t>) as defined by Section 4928.01, Revised</w:t>
      </w:r>
      <w:r>
        <w:t xml:space="preserve"> Code, and receives electricity </w:t>
      </w:r>
      <w:r w:rsidRPr="00D9127B">
        <w:t>from CEI at transmission voltage (138 kV).</w:t>
      </w:r>
    </w:p>
    <w:p w:rsidR="006D2C94" w:rsidRPr="00D9127B" w:rsidRDefault="006D2C94" w:rsidP="00FB28DC">
      <w:pPr>
        <w:pStyle w:val="textstyle0"/>
      </w:pPr>
      <w:r>
        <w:tab/>
        <w:t xml:space="preserve">The </w:t>
      </w:r>
      <w:r w:rsidRPr="00D9127B">
        <w:t xml:space="preserve">Commission </w:t>
      </w:r>
      <w:r>
        <w:t xml:space="preserve">has authority to approve and </w:t>
      </w:r>
      <w:r w:rsidRPr="00D9127B">
        <w:t>authorize a reasonable schedule or arrangemen</w:t>
      </w:r>
      <w:r>
        <w:t xml:space="preserve">t between a mercantile customer </w:t>
      </w:r>
      <w:r w:rsidRPr="00D9127B">
        <w:t xml:space="preserve">and an EDU </w:t>
      </w:r>
      <w:r>
        <w:t xml:space="preserve">upon application by a </w:t>
      </w:r>
      <w:r w:rsidRPr="00D9127B">
        <w:t>mercan</w:t>
      </w:r>
      <w:r w:rsidR="004C58E7">
        <w:softHyphen/>
      </w:r>
      <w:r w:rsidRPr="00D9127B">
        <w:t>tile customer</w:t>
      </w:r>
      <w:r>
        <w:t xml:space="preserve">, pursuant to </w:t>
      </w:r>
      <w:r w:rsidRPr="00D9127B">
        <w:t xml:space="preserve">Section 4905.31, Revised Code. </w:t>
      </w:r>
      <w:r>
        <w:t xml:space="preserve"> </w:t>
      </w:r>
      <w:r w:rsidRPr="00D9127B">
        <w:t xml:space="preserve">By this </w:t>
      </w:r>
      <w:r w:rsidR="005C6CC0">
        <w:t>a</w:t>
      </w:r>
      <w:r w:rsidRPr="00D9127B">
        <w:t>pplication</w:t>
      </w:r>
      <w:r>
        <w:t xml:space="preserve">, ASHTA is requesting that the </w:t>
      </w:r>
      <w:r w:rsidRPr="00D9127B">
        <w:t xml:space="preserve">Commission authorize and approve </w:t>
      </w:r>
      <w:r>
        <w:t xml:space="preserve">such </w:t>
      </w:r>
      <w:r w:rsidRPr="00D9127B">
        <w:t>arrangement</w:t>
      </w:r>
      <w:r>
        <w:t xml:space="preserve">. </w:t>
      </w:r>
      <w:r w:rsidRPr="00D9127B">
        <w:t xml:space="preserve"> </w:t>
      </w:r>
    </w:p>
    <w:p w:rsidR="006D2C94" w:rsidRDefault="006D2C94" w:rsidP="00FB28DC">
      <w:pPr>
        <w:pStyle w:val="textstyle0"/>
      </w:pPr>
      <w:r>
        <w:lastRenderedPageBreak/>
        <w:tab/>
        <w:t>Staff has several concerns with the application as it is proposed.  A description of the proposal follows, with the staff issues of concern to follow.</w:t>
      </w:r>
    </w:p>
    <w:p w:rsidR="006D2C94" w:rsidRDefault="006D2C94" w:rsidP="006D2C94">
      <w:pPr>
        <w:pStyle w:val="Heading1"/>
      </w:pPr>
      <w:r>
        <w:t>COMMENTS</w:t>
      </w:r>
    </w:p>
    <w:p w:rsidR="006D2C94" w:rsidRDefault="00AD5DD9" w:rsidP="006D2C94">
      <w:pPr>
        <w:pStyle w:val="Heading2"/>
      </w:pPr>
      <w:r>
        <w:t>Terms &amp; Lack of I</w:t>
      </w:r>
      <w:r w:rsidR="006D2C94" w:rsidRPr="006D2C94">
        <w:t>nformation:</w:t>
      </w:r>
    </w:p>
    <w:p w:rsidR="006D2C94" w:rsidRDefault="006D2C94" w:rsidP="005C6CC0">
      <w:pPr>
        <w:pStyle w:val="textstyle0"/>
      </w:pPr>
      <w:r>
        <w:tab/>
        <w:t xml:space="preserve">Under the filed application, ASHTA requests firm electricity service </w:t>
      </w:r>
      <w:r w:rsidRPr="00D9127B">
        <w:t xml:space="preserve">in </w:t>
      </w:r>
      <w:r>
        <w:t xml:space="preserve">an </w:t>
      </w:r>
      <w:r w:rsidRPr="00D9127B">
        <w:t xml:space="preserve">amount </w:t>
      </w:r>
      <w:r>
        <w:t xml:space="preserve">to </w:t>
      </w:r>
      <w:r w:rsidRPr="00D9127B">
        <w:t xml:space="preserve">be sufficient </w:t>
      </w:r>
      <w:r>
        <w:t xml:space="preserve">for its full </w:t>
      </w:r>
      <w:r w:rsidRPr="00D9127B">
        <w:t>requirement at a delivered price per kWh that</w:t>
      </w:r>
      <w:r>
        <w:t xml:space="preserve"> includes all gen</w:t>
      </w:r>
      <w:r w:rsidR="004C58E7">
        <w:softHyphen/>
      </w:r>
      <w:r>
        <w:t xml:space="preserve">eration, </w:t>
      </w:r>
      <w:r w:rsidRPr="00D9127B">
        <w:t xml:space="preserve">transmission and distribution charges plus </w:t>
      </w:r>
      <w:r>
        <w:t xml:space="preserve">any surcharges, riders or other </w:t>
      </w:r>
      <w:r w:rsidRPr="00D9127B">
        <w:t xml:space="preserve">adders.  </w:t>
      </w:r>
      <w:r>
        <w:t>ASHTA is also requesting an “all-in” kWh-based price</w:t>
      </w:r>
      <w:r w:rsidRPr="00D9127B">
        <w:t xml:space="preserve"> with a time diffe</w:t>
      </w:r>
      <w:r>
        <w:t xml:space="preserve">rentiated rate.  </w:t>
      </w:r>
      <w:r w:rsidRPr="00D9127B">
        <w:t xml:space="preserve">The term of the </w:t>
      </w:r>
      <w:r>
        <w:t xml:space="preserve">arrangement is </w:t>
      </w:r>
      <w:r w:rsidRPr="00D9127B">
        <w:t xml:space="preserve">proposed </w:t>
      </w:r>
      <w:r>
        <w:t>to be 10 years</w:t>
      </w:r>
      <w:r w:rsidRPr="00D9127B">
        <w:t>.</w:t>
      </w:r>
      <w:r>
        <w:t xml:space="preserve"> </w:t>
      </w:r>
    </w:p>
    <w:p w:rsidR="006D2C94" w:rsidRDefault="006D2C94" w:rsidP="00FB28DC">
      <w:pPr>
        <w:pStyle w:val="textstyle0"/>
      </w:pPr>
      <w:r>
        <w:tab/>
        <w:t>The application filed by ASHTA does not provide a recommended price per kWh</w:t>
      </w:r>
      <w:r w:rsidR="005C6CC0">
        <w:t>,</w:t>
      </w:r>
      <w:r>
        <w:t xml:space="preserve"> nor a recommended discount per kWh.  Without knowing this information, in addition to uncertainties in the electricity markets, it is difficult to determine </w:t>
      </w:r>
      <w:r w:rsidRPr="0091242E">
        <w:t xml:space="preserve">the </w:t>
      </w:r>
      <w:r>
        <w:t xml:space="preserve">amount of </w:t>
      </w:r>
      <w:r w:rsidRPr="0091242E">
        <w:t>delta rev</w:t>
      </w:r>
      <w:r w:rsidR="004C58E7">
        <w:softHyphen/>
      </w:r>
      <w:r w:rsidRPr="0091242E">
        <w:t>enues</w:t>
      </w:r>
      <w:r>
        <w:t xml:space="preserve"> and impacts </w:t>
      </w:r>
      <w:r w:rsidR="00401E0A">
        <w:t xml:space="preserve">on </w:t>
      </w:r>
      <w:r>
        <w:t>other rate payers who will be responsible for paying the delta rev</w:t>
      </w:r>
      <w:r w:rsidR="004C58E7">
        <w:softHyphen/>
      </w:r>
      <w:r>
        <w:t>enue.  Due to these uncertainties, t</w:t>
      </w:r>
      <w:r w:rsidRPr="0091242E">
        <w:t>he Staff</w:t>
      </w:r>
      <w:r>
        <w:t xml:space="preserve"> </w:t>
      </w:r>
      <w:r w:rsidRPr="0091242E">
        <w:t xml:space="preserve">finds the </w:t>
      </w:r>
      <w:r w:rsidR="005C6CC0">
        <w:t>10</w:t>
      </w:r>
      <w:r w:rsidR="005C6CC0" w:rsidRPr="0091242E">
        <w:t xml:space="preserve"> </w:t>
      </w:r>
      <w:r w:rsidRPr="0091242E">
        <w:t>year te</w:t>
      </w:r>
      <w:r>
        <w:t>rm to be excessively long</w:t>
      </w:r>
      <w:r w:rsidRPr="0091242E">
        <w:t>.</w:t>
      </w:r>
      <w:r>
        <w:t xml:space="preserve">  </w:t>
      </w:r>
      <w:r w:rsidRPr="0091242E">
        <w:t>To agree to such uncertai</w:t>
      </w:r>
      <w:r>
        <w:t>nties</w:t>
      </w:r>
      <w:r w:rsidRPr="0091242E">
        <w:t xml:space="preserve">, especially over such a long term, is inappropriate. </w:t>
      </w:r>
    </w:p>
    <w:p w:rsidR="00737C7B" w:rsidRDefault="006D2C94">
      <w:pPr>
        <w:pStyle w:val="textstyle0"/>
      </w:pPr>
      <w:r>
        <w:tab/>
        <w:t>If the</w:t>
      </w:r>
      <w:r w:rsidRPr="0091242E">
        <w:t xml:space="preserve"> arrangement is found to be acceptable by the Commission, any resulting delta revenues should be capped</w:t>
      </w:r>
      <w:r>
        <w:t xml:space="preserve"> (annually and over the term of the agreement)</w:t>
      </w:r>
      <w:r w:rsidRPr="0091242E">
        <w:t xml:space="preserve"> and should decline over the term of the agreement</w:t>
      </w:r>
      <w:r>
        <w:t xml:space="preserve"> for the protection of the ratepayer</w:t>
      </w:r>
      <w:r w:rsidR="00401E0A">
        <w:t xml:space="preserve">. </w:t>
      </w:r>
      <w:r w:rsidRPr="0091242E">
        <w:t xml:space="preserve"> </w:t>
      </w:r>
      <w:r w:rsidR="00401E0A">
        <w:t>N</w:t>
      </w:r>
      <w:r w:rsidRPr="0091242E">
        <w:t xml:space="preserve">either of </w:t>
      </w:r>
      <w:r>
        <w:t xml:space="preserve">these provisions </w:t>
      </w:r>
      <w:r w:rsidR="004C58E7">
        <w:t>is</w:t>
      </w:r>
      <w:r w:rsidRPr="0091242E">
        <w:t xml:space="preserve"> proposed </w:t>
      </w:r>
      <w:r>
        <w:t xml:space="preserve">in the filed </w:t>
      </w:r>
      <w:r w:rsidRPr="0091242E">
        <w:t xml:space="preserve">arrangement.  </w:t>
      </w:r>
    </w:p>
    <w:p w:rsidR="006D2C94" w:rsidRDefault="006D2C94" w:rsidP="006D2C94">
      <w:pPr>
        <w:pStyle w:val="Heading2"/>
      </w:pPr>
      <w:r w:rsidRPr="006D2C94">
        <w:lastRenderedPageBreak/>
        <w:t>Economic Development:</w:t>
      </w:r>
    </w:p>
    <w:p w:rsidR="006D2C94" w:rsidRPr="004C58E7" w:rsidRDefault="006D2C94" w:rsidP="005C6CC0">
      <w:pPr>
        <w:pStyle w:val="textstyle0"/>
        <w:rPr>
          <w:szCs w:val="26"/>
        </w:rPr>
      </w:pPr>
      <w:r>
        <w:tab/>
        <w:t>Staff is also concerned with the benefits to ratepayers verses the costs to ratepay</w:t>
      </w:r>
      <w:r w:rsidR="004C58E7">
        <w:softHyphen/>
      </w:r>
      <w:r>
        <w:t xml:space="preserve">ers as they relate to this arrangement.  The stated benefits include 15 new jobs, </w:t>
      </w:r>
      <w:r w:rsidR="00FF34E6">
        <w:t xml:space="preserve">95 </w:t>
      </w:r>
      <w:r>
        <w:t xml:space="preserve">retained jobs, and </w:t>
      </w:r>
      <w:r w:rsidR="00FF34E6">
        <w:t xml:space="preserve">an estimated $115 to $135 million </w:t>
      </w:r>
      <w:r>
        <w:t>capital investment in Ohio.  How</w:t>
      </w:r>
      <w:r w:rsidR="004C58E7">
        <w:softHyphen/>
      </w:r>
      <w:r>
        <w:t>ever, the Staff prefer</w:t>
      </w:r>
      <w:r w:rsidR="00401E0A">
        <w:t>s</w:t>
      </w:r>
      <w:r>
        <w:t xml:space="preserve"> </w:t>
      </w:r>
      <w:r w:rsidR="00737C7B" w:rsidRPr="004C58E7">
        <w:rPr>
          <w:szCs w:val="26"/>
        </w:rPr>
        <w:t xml:space="preserve">arrangements that include delta revenues (costs to be paid by other ratepayers) typically provide for more new employment opportunities.   </w:t>
      </w:r>
    </w:p>
    <w:p w:rsidR="006D2C94" w:rsidRPr="006D2C94" w:rsidRDefault="006D2C94" w:rsidP="00FB28DC">
      <w:pPr>
        <w:pStyle w:val="textstyle0"/>
      </w:pPr>
      <w:r>
        <w:tab/>
      </w:r>
      <w:r w:rsidRPr="006D2C94">
        <w:t xml:space="preserve">In addition, </w:t>
      </w:r>
      <w:r w:rsidR="00FF34E6">
        <w:t xml:space="preserve">the </w:t>
      </w:r>
      <w:r w:rsidRPr="006D2C94">
        <w:t xml:space="preserve">Staff </w:t>
      </w:r>
      <w:r w:rsidR="00FF34E6">
        <w:t>is encouraged that the</w:t>
      </w:r>
      <w:r w:rsidRPr="006D2C94">
        <w:t xml:space="preserve"> applicant is </w:t>
      </w:r>
      <w:r w:rsidR="00FF34E6">
        <w:t>working with JobsOhio</w:t>
      </w:r>
      <w:r w:rsidR="004C58E7">
        <w:t xml:space="preserve"> </w:t>
      </w:r>
      <w:r w:rsidR="00FF34E6">
        <w:t>and exploring</w:t>
      </w:r>
      <w:r w:rsidRPr="006D2C94">
        <w:t xml:space="preserve"> </w:t>
      </w:r>
      <w:r w:rsidR="00FF34E6">
        <w:t xml:space="preserve">additional economic development </w:t>
      </w:r>
      <w:r w:rsidRPr="006D2C94">
        <w:t>incentives</w:t>
      </w:r>
      <w:r w:rsidR="00FF34E6">
        <w:t xml:space="preserve"> from</w:t>
      </w:r>
      <w:r w:rsidRPr="006D2C94">
        <w:t xml:space="preserve"> other government</w:t>
      </w:r>
      <w:r w:rsidR="00FF34E6">
        <w:t>al</w:t>
      </w:r>
      <w:r w:rsidRPr="006D2C94">
        <w:t xml:space="preserve"> </w:t>
      </w:r>
      <w:r w:rsidR="00FF34E6">
        <w:t xml:space="preserve">and non-governmental </w:t>
      </w:r>
      <w:r w:rsidRPr="006D2C94">
        <w:t>organizations</w:t>
      </w:r>
      <w:r w:rsidR="00FF34E6">
        <w:t>.</w:t>
      </w:r>
      <w:r w:rsidRPr="006D2C94">
        <w:t xml:space="preserve"> </w:t>
      </w:r>
    </w:p>
    <w:p w:rsidR="006D2C94" w:rsidRPr="00017C97" w:rsidRDefault="006D2C94" w:rsidP="00FB28DC">
      <w:pPr>
        <w:pStyle w:val="textstyle0"/>
        <w:rPr>
          <w:szCs w:val="26"/>
        </w:rPr>
      </w:pPr>
      <w:r>
        <w:tab/>
      </w:r>
      <w:r w:rsidR="004950E1">
        <w:t xml:space="preserve">However, </w:t>
      </w:r>
      <w:r w:rsidR="004C58E7">
        <w:t xml:space="preserve">even </w:t>
      </w:r>
      <w:r w:rsidR="004C58E7" w:rsidRPr="006D2C94">
        <w:t>if</w:t>
      </w:r>
      <w:r w:rsidRPr="006D2C94">
        <w:t xml:space="preserve"> the Commission finds there are benefits resulting from this arrangement, as previously stated, it is impossible to calculate the costs to ratepayers that would result from this arrangement.</w:t>
      </w:r>
    </w:p>
    <w:p w:rsidR="006D2C94" w:rsidRPr="006D2C94" w:rsidRDefault="006D2C94" w:rsidP="006D2C94">
      <w:pPr>
        <w:pStyle w:val="Heading2"/>
      </w:pPr>
      <w:r w:rsidRPr="006D2C94">
        <w:t>Time Differentiated Rate Design:</w:t>
      </w:r>
    </w:p>
    <w:p w:rsidR="006D2C94" w:rsidRPr="00D9127B" w:rsidRDefault="006D2C94" w:rsidP="005C6CC0">
      <w:pPr>
        <w:pStyle w:val="textstyle0"/>
      </w:pPr>
      <w:r>
        <w:tab/>
      </w:r>
      <w:r w:rsidRPr="00D9127B">
        <w:t>Under the proposed schedule or arrangement,</w:t>
      </w:r>
      <w:r>
        <w:t xml:space="preserve"> firm electricity service would </w:t>
      </w:r>
      <w:r w:rsidRPr="00D9127B">
        <w:t>be sup</w:t>
      </w:r>
      <w:r w:rsidR="004C58E7">
        <w:softHyphen/>
      </w:r>
      <w:r w:rsidRPr="00D9127B">
        <w:t xml:space="preserve">plied to ASHTA in </w:t>
      </w:r>
      <w:r>
        <w:t xml:space="preserve">an </w:t>
      </w:r>
      <w:r w:rsidRPr="00D9127B">
        <w:t xml:space="preserve">amount </w:t>
      </w:r>
      <w:r>
        <w:t xml:space="preserve">to </w:t>
      </w:r>
      <w:r w:rsidRPr="00D9127B">
        <w:t xml:space="preserve">be sufficient </w:t>
      </w:r>
      <w:r>
        <w:t xml:space="preserve">for its full </w:t>
      </w:r>
      <w:r w:rsidRPr="00D9127B">
        <w:t>requirement at a delivered price per kWh that</w:t>
      </w:r>
      <w:r>
        <w:t xml:space="preserve"> includes all generation, </w:t>
      </w:r>
      <w:r w:rsidRPr="00D9127B">
        <w:t xml:space="preserve">transmission and distribution charges plus </w:t>
      </w:r>
      <w:r>
        <w:t xml:space="preserve">any surcharges, riders or other </w:t>
      </w:r>
      <w:r w:rsidRPr="00D9127B">
        <w:t xml:space="preserve">adders.  </w:t>
      </w:r>
      <w:r>
        <w:t xml:space="preserve">ASHTA is requesting “all-in” </w:t>
      </w:r>
      <w:r w:rsidRPr="00D9127B">
        <w:t>kWh-based pricing with a time diffe</w:t>
      </w:r>
      <w:r>
        <w:t xml:space="preserve">rentiated rate design that will </w:t>
      </w:r>
      <w:r w:rsidRPr="00D9127B">
        <w:t>encourage ASHTA to maximize its off-peak consumption capabilities.</w:t>
      </w:r>
      <w:r>
        <w:t xml:space="preserve"> </w:t>
      </w:r>
    </w:p>
    <w:p w:rsidR="006D2C94" w:rsidRDefault="006D2C94" w:rsidP="00FB28DC">
      <w:pPr>
        <w:pStyle w:val="textstyle0"/>
      </w:pPr>
      <w:r>
        <w:tab/>
        <w:t xml:space="preserve">ASHTA further wants to take advantage of off-peak consumption capabilities.  This </w:t>
      </w:r>
      <w:r w:rsidR="00401E0A">
        <w:t>is</w:t>
      </w:r>
      <w:r>
        <w:t xml:space="preserve"> a matter between ASHTA and their third party supplier.  If CEI will not be </w:t>
      </w:r>
      <w:r>
        <w:lastRenderedPageBreak/>
        <w:t>providing energy requirements, then the off-peak capabilities and opportunities provide no benefit to CEI or its customers therefore should not be part of the reasonable arrange</w:t>
      </w:r>
      <w:r w:rsidR="004C58E7">
        <w:softHyphen/>
      </w:r>
      <w:r>
        <w:t xml:space="preserve">ment. </w:t>
      </w:r>
    </w:p>
    <w:p w:rsidR="006D2C94" w:rsidRPr="006D2C94" w:rsidRDefault="006D2C94" w:rsidP="006D2C94">
      <w:pPr>
        <w:pStyle w:val="Heading2"/>
      </w:pPr>
      <w:r w:rsidRPr="006D2C94">
        <w:t xml:space="preserve">Energy Efficiency Integration: </w:t>
      </w:r>
    </w:p>
    <w:p w:rsidR="006D2C94" w:rsidRDefault="006D2C94" w:rsidP="005C6CC0">
      <w:pPr>
        <w:pStyle w:val="textstyle0"/>
      </w:pPr>
      <w:r>
        <w:tab/>
      </w:r>
      <w:r w:rsidRPr="00D9127B">
        <w:t xml:space="preserve">ASHTA </w:t>
      </w:r>
      <w:r>
        <w:t xml:space="preserve">states its intention to </w:t>
      </w:r>
      <w:r w:rsidRPr="00D9127B">
        <w:t>negotiate with CEI</w:t>
      </w:r>
      <w:r>
        <w:t xml:space="preserve"> to </w:t>
      </w:r>
      <w:r w:rsidRPr="00D9127B">
        <w:t>determine how and to what extent ASHTA</w:t>
      </w:r>
      <w:r>
        <w:t xml:space="preserve">’s customer-sited capabilities </w:t>
      </w:r>
      <w:r w:rsidR="005C6CC0">
        <w:t>will</w:t>
      </w:r>
      <w:r w:rsidR="005C6CC0" w:rsidRPr="00D9127B">
        <w:t xml:space="preserve"> </w:t>
      </w:r>
      <w:r w:rsidRPr="00D9127B">
        <w:t>be committed to CEI for integrat</w:t>
      </w:r>
      <w:r>
        <w:t xml:space="preserve">ion into CEI’s portfolio. </w:t>
      </w:r>
    </w:p>
    <w:p w:rsidR="006D2C94" w:rsidRDefault="006D2C94" w:rsidP="00FB28DC">
      <w:pPr>
        <w:pStyle w:val="textstyle0"/>
      </w:pPr>
      <w:r>
        <w:tab/>
        <w:t xml:space="preserve">If the arrangement is found to be acceptable by the Commission, </w:t>
      </w:r>
      <w:r w:rsidRPr="00D9127B">
        <w:t xml:space="preserve">ASHTA </w:t>
      </w:r>
      <w:r>
        <w:t>should commit</w:t>
      </w:r>
      <w:r w:rsidRPr="00067D10">
        <w:t xml:space="preserve"> </w:t>
      </w:r>
      <w:r>
        <w:t xml:space="preserve">such “savings” </w:t>
      </w:r>
      <w:r w:rsidRPr="00D9127B">
        <w:t>into CEI</w:t>
      </w:r>
      <w:r>
        <w:t>’</w:t>
      </w:r>
      <w:r w:rsidRPr="00D9127B">
        <w:t>s portfolio</w:t>
      </w:r>
      <w:r>
        <w:t xml:space="preserve">, to be </w:t>
      </w:r>
      <w:r w:rsidRPr="00D9127B">
        <w:t>counted fully towar</w:t>
      </w:r>
      <w:r>
        <w:t>ds CEI’s compli</w:t>
      </w:r>
      <w:r w:rsidR="004C58E7">
        <w:softHyphen/>
      </w:r>
      <w:r>
        <w:t xml:space="preserve">ance, including participation in PJM’s demand response program. </w:t>
      </w:r>
      <w:r w:rsidRPr="00067D10">
        <w:t xml:space="preserve"> </w:t>
      </w:r>
      <w:r>
        <w:t xml:space="preserve">Staff recommends this be done explicitly in this contract, without </w:t>
      </w:r>
      <w:r w:rsidRPr="00D9127B">
        <w:t xml:space="preserve">any </w:t>
      </w:r>
      <w:r>
        <w:t xml:space="preserve">further cost recovery </w:t>
      </w:r>
      <w:r w:rsidRPr="00D9127B">
        <w:t xml:space="preserve">mechanisms </w:t>
      </w:r>
      <w:r>
        <w:t xml:space="preserve">or rider exemptions (with the exception of the PJM participation), for the term of the agreement.  </w:t>
      </w:r>
      <w:r w:rsidR="00401E0A">
        <w:t>However, it is impossible, based on information available at this time, to determine the value that any such efficiency gains or demand response capabilities may be able to con</w:t>
      </w:r>
      <w:r w:rsidR="004C58E7">
        <w:softHyphen/>
      </w:r>
      <w:r w:rsidR="00401E0A">
        <w:t>tribute to CEI’s annual requirements.</w:t>
      </w:r>
    </w:p>
    <w:p w:rsidR="006D2C94" w:rsidRPr="006D2C94" w:rsidRDefault="006D2C94" w:rsidP="00FB28DC">
      <w:pPr>
        <w:pStyle w:val="textstyle0"/>
      </w:pPr>
      <w:r>
        <w:tab/>
        <w:t>Lastly, i</w:t>
      </w:r>
      <w:r w:rsidRPr="00D9127B">
        <w:t>n the case of economic develop</w:t>
      </w:r>
      <w:r>
        <w:t>ment and retention arrangements,</w:t>
      </w:r>
      <w:r w:rsidRPr="00D9127B">
        <w:t xml:space="preserve"> Sections</w:t>
      </w:r>
      <w:r>
        <w:t xml:space="preserve"> </w:t>
      </w:r>
      <w:r w:rsidRPr="00D9127B">
        <w:t>4928.64(B) and 4928.66(A)(2), Revised</w:t>
      </w:r>
      <w:r>
        <w:t xml:space="preserve"> Code, permit the Commission to </w:t>
      </w:r>
      <w:r w:rsidRPr="00D9127B">
        <w:t>make adjust</w:t>
      </w:r>
      <w:r w:rsidR="004C58E7">
        <w:softHyphen/>
      </w:r>
      <w:r w:rsidRPr="00D9127B">
        <w:t>ments to the baseline used to determine the compliance</w:t>
      </w:r>
      <w:r>
        <w:t xml:space="preserve"> requirements that may otherw</w:t>
      </w:r>
      <w:r w:rsidRPr="00D9127B">
        <w:t xml:space="preserve">ise apply to an EDU. </w:t>
      </w:r>
      <w:r>
        <w:t xml:space="preserve"> In conjunction with approving </w:t>
      </w:r>
      <w:r w:rsidRPr="00D9127B">
        <w:t xml:space="preserve">the schedule or arrangement </w:t>
      </w:r>
      <w:r>
        <w:t xml:space="preserve">described herein, ASHTA requested that the Commission remove any </w:t>
      </w:r>
      <w:r w:rsidRPr="00D9127B">
        <w:t>increase in</w:t>
      </w:r>
      <w:r>
        <w:t xml:space="preserve"> </w:t>
      </w:r>
      <w:r w:rsidRPr="00D9127B">
        <w:t>ASHTA</w:t>
      </w:r>
      <w:r>
        <w:t>’</w:t>
      </w:r>
      <w:r w:rsidRPr="00D9127B">
        <w:t xml:space="preserve">s energy </w:t>
      </w:r>
      <w:r w:rsidRPr="00D9127B">
        <w:lastRenderedPageBreak/>
        <w:t>and deman</w:t>
      </w:r>
      <w:r>
        <w:t xml:space="preserve">d billing determinants from the </w:t>
      </w:r>
      <w:r w:rsidRPr="00D9127B">
        <w:t>computation of any such baseline that may othe</w:t>
      </w:r>
      <w:r>
        <w:t xml:space="preserve">rwise apply to CEI, its </w:t>
      </w:r>
      <w:r w:rsidRPr="00D9127B">
        <w:t>successors or assigns.</w:t>
      </w:r>
    </w:p>
    <w:p w:rsidR="00737C7B" w:rsidRDefault="006D2C94">
      <w:pPr>
        <w:pStyle w:val="textstyle0"/>
      </w:pPr>
      <w:r>
        <w:tab/>
        <w:t xml:space="preserve">Relative to the proposed </w:t>
      </w:r>
      <w:r w:rsidRPr="00D9127B">
        <w:t>adjustments to the baseline used to determine the compli</w:t>
      </w:r>
      <w:r w:rsidR="004C58E7">
        <w:softHyphen/>
      </w:r>
      <w:r w:rsidRPr="00D9127B">
        <w:t>ance</w:t>
      </w:r>
      <w:r>
        <w:t xml:space="preserve"> requirements that may otherw</w:t>
      </w:r>
      <w:r w:rsidRPr="00D9127B">
        <w:t>ise apply to an EDU</w:t>
      </w:r>
      <w:r>
        <w:t>, staff believes it is premature</w:t>
      </w:r>
      <w:r w:rsidR="00401E0A">
        <w:t xml:space="preserve"> for the Commission</w:t>
      </w:r>
      <w:r>
        <w:t xml:space="preserve"> to rule at this time</w:t>
      </w:r>
      <w:r w:rsidRPr="008943B4">
        <w:t xml:space="preserve">.  </w:t>
      </w:r>
      <w:r>
        <w:t>The</w:t>
      </w:r>
      <w:r w:rsidRPr="00FB0EF1">
        <w:t xml:space="preserve"> iss</w:t>
      </w:r>
      <w:r>
        <w:t xml:space="preserve">ue should be </w:t>
      </w:r>
      <w:r w:rsidR="00401E0A">
        <w:t>presented</w:t>
      </w:r>
      <w:r>
        <w:t xml:space="preserve"> by CEI when the company</w:t>
      </w:r>
      <w:r w:rsidRPr="00FB0EF1">
        <w:t xml:space="preserve"> file</w:t>
      </w:r>
      <w:r>
        <w:t>s its</w:t>
      </w:r>
      <w:r w:rsidR="00401E0A">
        <w:t xml:space="preserve"> energy efficiency or portfolio</w:t>
      </w:r>
      <w:r w:rsidRPr="00FB0EF1">
        <w:t xml:space="preserve"> compliance case.</w:t>
      </w:r>
      <w:r>
        <w:t xml:space="preserve"> </w:t>
      </w:r>
      <w:r w:rsidRPr="00FB0EF1">
        <w:t xml:space="preserve"> This application pro</w:t>
      </w:r>
      <w:r w:rsidR="004C58E7">
        <w:softHyphen/>
      </w:r>
      <w:r w:rsidRPr="00FB0EF1">
        <w:t xml:space="preserve">poses increased production capacity and a new product offering.  Typically, staff </w:t>
      </w:r>
      <w:r w:rsidR="00401E0A">
        <w:t>does not recommend</w:t>
      </w:r>
      <w:r w:rsidRPr="00FB0EF1">
        <w:t xml:space="preserve"> adjustments to the baseline for compliance until the equipment is fully oper</w:t>
      </w:r>
      <w:r w:rsidR="004C58E7">
        <w:softHyphen/>
      </w:r>
      <w:r w:rsidRPr="00FB0EF1">
        <w:t>ational and the savings can be verified</w:t>
      </w:r>
      <w:r w:rsidR="004C58E7">
        <w:t xml:space="preserve">.  </w:t>
      </w:r>
      <w:r w:rsidR="00401E0A">
        <w:t>Adjustments to the baseline for compliance pur</w:t>
      </w:r>
      <w:r w:rsidR="004C58E7">
        <w:softHyphen/>
      </w:r>
      <w:r w:rsidR="00401E0A">
        <w:t>poses should not be approved until the equipment is fully operational and the savings can be verified.</w:t>
      </w:r>
    </w:p>
    <w:p w:rsidR="006D2C94" w:rsidRPr="006D2C94" w:rsidRDefault="006D2C94" w:rsidP="006D2C94">
      <w:pPr>
        <w:pStyle w:val="Heading2"/>
      </w:pPr>
      <w:r w:rsidRPr="006D2C94">
        <w:t>Shopping:</w:t>
      </w:r>
    </w:p>
    <w:p w:rsidR="006D2C94" w:rsidRDefault="006D2C94" w:rsidP="005C6CC0">
      <w:pPr>
        <w:pStyle w:val="textstyle0"/>
      </w:pPr>
      <w:r>
        <w:tab/>
      </w:r>
      <w:r w:rsidR="009A109D" w:rsidRPr="009A109D">
        <w:t xml:space="preserve">ASHTA is currently sourcing generation supply from a third party and states its intention to continue to do so.  The Staff is encouraged that ASHTA has found beneficial rates from a third party supplier.  </w:t>
      </w:r>
      <w:r w:rsidR="00C625A1" w:rsidRPr="00C625A1">
        <w:t>ASHTA is proposing an “all-in” rate.  ASHTA can contract with a third party supplier</w:t>
      </w:r>
      <w:r w:rsidR="009A109D">
        <w:t xml:space="preserve"> for an</w:t>
      </w:r>
      <w:r w:rsidR="00C625A1" w:rsidRPr="00C625A1">
        <w:t xml:space="preserve"> “all-in rate”.  This</w:t>
      </w:r>
      <w:r w:rsidR="009A109D">
        <w:t xml:space="preserve"> proposal </w:t>
      </w:r>
      <w:r w:rsidR="00C625A1" w:rsidRPr="00C625A1">
        <w:t xml:space="preserve">provides no incentive for </w:t>
      </w:r>
      <w:proofErr w:type="spellStart"/>
      <w:r w:rsidR="00C625A1" w:rsidRPr="00C625A1">
        <w:t>ASHTA</w:t>
      </w:r>
      <w:proofErr w:type="spellEnd"/>
      <w:r w:rsidR="00C625A1" w:rsidRPr="00C625A1">
        <w:t xml:space="preserve"> to attempt to get the lowest rate possible from their third party sup</w:t>
      </w:r>
      <w:r w:rsidR="007A5C6C">
        <w:softHyphen/>
      </w:r>
      <w:r w:rsidR="009A109D">
        <w:t>plier.  This potentially puts</w:t>
      </w:r>
      <w:r w:rsidR="00C625A1" w:rsidRPr="00C625A1">
        <w:t xml:space="preserve"> further financial burden on the EDU and its customers.</w:t>
      </w:r>
      <w:r w:rsidR="009A109D">
        <w:t xml:space="preserve">  </w:t>
      </w:r>
    </w:p>
    <w:p w:rsidR="001A5C2F" w:rsidRDefault="001A5C2F" w:rsidP="001A5C2F">
      <w:pPr>
        <w:pStyle w:val="Heading1"/>
      </w:pPr>
      <w:r>
        <w:lastRenderedPageBreak/>
        <w:t>CONCLUSION</w:t>
      </w:r>
      <w:bookmarkEnd w:id="17"/>
    </w:p>
    <w:p w:rsidR="006D2C94" w:rsidRDefault="001A5C2F" w:rsidP="005C6CC0">
      <w:pPr>
        <w:pStyle w:val="textstyle0"/>
      </w:pPr>
      <w:r>
        <w:tab/>
      </w:r>
      <w:r w:rsidR="00196A82">
        <w:t xml:space="preserve">The Staff believes there is not sufficient information to act on this application at this time.  </w:t>
      </w:r>
      <w:r w:rsidR="006D2C94">
        <w:t>The Staff respectfully requests that the Commission take these comments into consideration in this case.</w:t>
      </w:r>
      <w:r w:rsidR="00196A82">
        <w:t xml:space="preserve">  </w:t>
      </w:r>
    </w:p>
    <w:p w:rsidR="00200A0A" w:rsidRDefault="00200A0A" w:rsidP="006D2C94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6D2C94" w:rsidRPr="0064436A" w:rsidRDefault="006D2C94" w:rsidP="006D2C94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64436A" w:rsidRDefault="006D2C9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0753F8" w:rsidRDefault="00BC5B75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4C517E" w:rsidRDefault="004C517E" w:rsidP="00200A0A">
      <w:pPr>
        <w:tabs>
          <w:tab w:val="left" w:pos="9348"/>
        </w:tabs>
        <w:ind w:left="5040"/>
        <w:rPr>
          <w:rFonts w:ascii="Viner Hand ITC" w:hAnsi="Viner Hand ITC" w:cs="Arial"/>
          <w:i/>
          <w:sz w:val="32"/>
          <w:szCs w:val="32"/>
          <w:u w:val="single"/>
        </w:rPr>
      </w:pPr>
      <w:r w:rsidRPr="004C517E">
        <w:rPr>
          <w:rFonts w:ascii="Viner Hand ITC" w:hAnsi="Viner Hand ITC" w:cs="Arial"/>
          <w:i/>
          <w:sz w:val="32"/>
          <w:szCs w:val="32"/>
          <w:u w:val="single"/>
        </w:rPr>
        <w:t>/s/ Thomas W. McNamee</w:t>
      </w:r>
      <w:r w:rsidR="00200A0A" w:rsidRPr="004C517E">
        <w:rPr>
          <w:rFonts w:ascii="Viner Hand ITC" w:hAnsi="Viner Hand ITC" w:cs="Arial"/>
          <w:i/>
          <w:sz w:val="32"/>
          <w:szCs w:val="32"/>
          <w:u w:val="single"/>
        </w:rPr>
        <w:tab/>
      </w:r>
    </w:p>
    <w:p w:rsidR="00E45A7D" w:rsidRPr="0064436A" w:rsidRDefault="006D2C94" w:rsidP="00E45A7D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Thomas W. McNamee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 w:rsidR="000753F8">
        <w:rPr>
          <w:sz w:val="26"/>
          <w:szCs w:val="26"/>
        </w:rPr>
        <w:t xml:space="preserve"> (telephone)</w:t>
      </w:r>
    </w:p>
    <w:p w:rsidR="008B058D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E45A7D" w:rsidRPr="0064436A" w:rsidRDefault="005F3AC5" w:rsidP="00E45A7D">
      <w:pPr>
        <w:tabs>
          <w:tab w:val="left" w:pos="9348"/>
        </w:tabs>
        <w:ind w:left="5040"/>
        <w:rPr>
          <w:sz w:val="26"/>
          <w:szCs w:val="26"/>
        </w:rPr>
      </w:pPr>
      <w:hyperlink r:id="rId11" w:history="1">
        <w:r w:rsidR="006D2C94" w:rsidRPr="00515BB5">
          <w:rPr>
            <w:rStyle w:val="Hyperlink"/>
            <w:sz w:val="26"/>
            <w:szCs w:val="26"/>
          </w:rPr>
          <w:t>thomas.mcnamee@puc.state.oh.us</w:t>
        </w:r>
      </w:hyperlink>
    </w:p>
    <w:p w:rsidR="00200A0A" w:rsidRPr="0064436A" w:rsidRDefault="00200A0A" w:rsidP="00200A0A">
      <w:pPr>
        <w:tabs>
          <w:tab w:val="left" w:pos="9348"/>
        </w:tabs>
        <w:ind w:left="5040"/>
        <w:rPr>
          <w:b/>
          <w:sz w:val="26"/>
          <w:szCs w:val="26"/>
        </w:rPr>
      </w:pPr>
    </w:p>
    <w:p w:rsidR="00200A0A" w:rsidRPr="00934B92" w:rsidRDefault="00200A0A" w:rsidP="0064436A">
      <w:pPr>
        <w:pStyle w:val="Heading1"/>
      </w:pPr>
      <w:r w:rsidRPr="00955E20">
        <w:br w:type="page"/>
      </w:r>
      <w:bookmarkStart w:id="18" w:name="_Toc205862526"/>
      <w:bookmarkStart w:id="19" w:name="_Toc260212964"/>
      <w:r w:rsidR="00C95499" w:rsidRPr="00934B92">
        <w:rPr>
          <w:caps w:val="0"/>
        </w:rPr>
        <w:lastRenderedPageBreak/>
        <w:t>PROOF OF SERVICE</w:t>
      </w:r>
      <w:bookmarkEnd w:id="18"/>
      <w:bookmarkEnd w:id="19"/>
    </w:p>
    <w:p w:rsidR="00200A0A" w:rsidRPr="00934B92" w:rsidRDefault="0064436A" w:rsidP="005C6CC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6D2C94">
        <w:rPr>
          <w:b/>
        </w:rPr>
        <w:t xml:space="preserve">Comments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 xml:space="preserve">was served </w:t>
      </w:r>
      <w:r w:rsidR="006D2C94">
        <w:t>via electronic mail</w:t>
      </w:r>
      <w:r w:rsidR="00200A0A" w:rsidRPr="00934B92">
        <w:t xml:space="preserve"> upon </w:t>
      </w:r>
      <w:r w:rsidR="006D2C94">
        <w:t>Counsel of Record, Samuel C. Randazzo, McNees, Wallace &amp; Nurick, 21 East State Street, 17</w:t>
      </w:r>
      <w:r w:rsidR="006D2C94" w:rsidRPr="006D2C94">
        <w:rPr>
          <w:vertAlign w:val="superscript"/>
        </w:rPr>
        <w:t>th</w:t>
      </w:r>
      <w:r w:rsidR="006D2C94">
        <w:t xml:space="preserve"> Floor, Columbus, Ohio, 43215</w:t>
      </w:r>
      <w:r w:rsidR="00721F2D">
        <w:t xml:space="preserve">, </w:t>
      </w:r>
      <w:r w:rsidR="00200A0A" w:rsidRPr="00934B92">
        <w:t xml:space="preserve">this </w:t>
      </w:r>
      <w:r w:rsidR="006D2C94">
        <w:t>28</w:t>
      </w:r>
      <w:r w:rsidR="001A5C2F" w:rsidRPr="001A5C2F">
        <w:rPr>
          <w:vertAlign w:val="superscript"/>
        </w:rPr>
        <w:t>th</w:t>
      </w:r>
      <w:r w:rsidR="001A5C2F">
        <w:t xml:space="preserve"> </w:t>
      </w:r>
      <w:r w:rsidR="004B6358">
        <w:t>d</w:t>
      </w:r>
      <w:r w:rsidR="00200A0A" w:rsidRPr="00934B92">
        <w:t xml:space="preserve">ay of </w:t>
      </w:r>
      <w:r w:rsidR="00721F2D">
        <w:t>June</w:t>
      </w:r>
      <w:r w:rsidR="00200A0A" w:rsidRPr="00934B92">
        <w:t xml:space="preserve">, </w:t>
      </w:r>
      <w:r w:rsidR="006D2C94">
        <w:t xml:space="preserve">2012, </w:t>
      </w:r>
      <w:hyperlink r:id="rId12" w:history="1">
        <w:r w:rsidR="006D2C94" w:rsidRPr="00515BB5">
          <w:rPr>
            <w:rStyle w:val="Hyperlink"/>
          </w:rPr>
          <w:t>sam@mwncmh.com</w:t>
        </w:r>
      </w:hyperlink>
      <w:r w:rsidR="00200A0A" w:rsidRPr="00934B92">
        <w:t>.</w:t>
      </w:r>
    </w:p>
    <w:p w:rsidR="00200A0A" w:rsidRPr="00DF3D54" w:rsidRDefault="004C517E" w:rsidP="00200A0A">
      <w:pPr>
        <w:tabs>
          <w:tab w:val="right" w:pos="9360"/>
        </w:tabs>
        <w:ind w:left="4320"/>
        <w:jc w:val="both"/>
        <w:rPr>
          <w:u w:val="single"/>
        </w:rPr>
      </w:pPr>
      <w:r w:rsidRPr="004C517E">
        <w:rPr>
          <w:rFonts w:ascii="Viner Hand ITC" w:hAnsi="Viner Hand ITC" w:cs="Arial"/>
          <w:i/>
          <w:sz w:val="32"/>
          <w:szCs w:val="32"/>
          <w:u w:val="single"/>
        </w:rPr>
        <w:t>/s/ Thomas W. McNamee</w:t>
      </w:r>
      <w:r>
        <w:rPr>
          <w:rFonts w:ascii="Viner Hand ITC" w:hAnsi="Viner Hand ITC" w:cs="Arial"/>
          <w:i/>
          <w:sz w:val="32"/>
          <w:szCs w:val="32"/>
          <w:u w:val="single"/>
        </w:rPr>
        <w:tab/>
      </w:r>
    </w:p>
    <w:p w:rsidR="00200A0A" w:rsidRPr="00DF3D54" w:rsidRDefault="006D2C94" w:rsidP="00200A0A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Thomas W. McNamee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977F01" w:rsidRDefault="00977F01" w:rsidP="00200A0A">
      <w:pPr>
        <w:ind w:left="4332"/>
        <w:jc w:val="both"/>
        <w:rPr>
          <w:sz w:val="26"/>
          <w:szCs w:val="26"/>
        </w:rPr>
      </w:pPr>
    </w:p>
    <w:p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E5" w:rsidRDefault="00DC79E5" w:rsidP="008866FC">
      <w:pPr>
        <w:pStyle w:val="Title"/>
      </w:pPr>
      <w:r>
        <w:separator/>
      </w:r>
    </w:p>
  </w:endnote>
  <w:endnote w:type="continuationSeparator" w:id="0">
    <w:p w:rsidR="00DC79E5" w:rsidRDefault="00DC79E5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Default="00737C7B" w:rsidP="003B12DD">
    <w:pPr>
      <w:pStyle w:val="Footer"/>
      <w:jc w:val="center"/>
    </w:pPr>
    <w:r>
      <w:rPr>
        <w:rStyle w:val="PageNumber"/>
      </w:rPr>
      <w:fldChar w:fldCharType="begin"/>
    </w:r>
    <w:r w:rsidR="00FB4C8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2C94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737C7B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5F3AC5">
      <w:rPr>
        <w:rStyle w:val="PageNumber"/>
        <w:noProof/>
        <w:sz w:val="24"/>
        <w:szCs w:val="24"/>
      </w:rPr>
      <w:t>7</w:t>
    </w:r>
    <w:r w:rsidRPr="007F5520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C95499" w:rsidRDefault="00FB4C8A" w:rsidP="00C9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E5" w:rsidRDefault="00DC79E5" w:rsidP="00663D6A">
      <w:pPr>
        <w:pStyle w:val="Title"/>
        <w:jc w:val="left"/>
      </w:pPr>
      <w:r>
        <w:separator/>
      </w:r>
    </w:p>
  </w:footnote>
  <w:footnote w:type="continuationSeparator" w:id="0">
    <w:p w:rsidR="00DC79E5" w:rsidRDefault="00DC79E5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Default="00FB4C8A" w:rsidP="003B12DD">
    <w:pPr>
      <w:pStyle w:val="Header"/>
      <w:jc w:val="center"/>
      <w:rPr>
        <w:b/>
        <w:color w:val="FF0000"/>
      </w:rPr>
    </w:pPr>
    <w:r>
      <w:rPr>
        <w:b/>
        <w:color w:val="FF0000"/>
      </w:rPr>
      <w:t xml:space="preserve">DRAFT - </w:t>
    </w:r>
    <w:r w:rsidR="00737C7B">
      <w:rPr>
        <w:b/>
        <w:color w:val="FF0000"/>
      </w:rPr>
      <w:fldChar w:fldCharType="begin"/>
    </w:r>
    <w:r>
      <w:rPr>
        <w:b/>
        <w:color w:val="FF0000"/>
      </w:rPr>
      <w:instrText xml:space="preserve"> DATE \@ "M/d/yyyy" </w:instrText>
    </w:r>
    <w:r w:rsidR="00737C7B">
      <w:rPr>
        <w:b/>
        <w:color w:val="FF0000"/>
      </w:rPr>
      <w:fldChar w:fldCharType="separate"/>
    </w:r>
    <w:r w:rsidR="005F3AC5">
      <w:rPr>
        <w:b/>
        <w:noProof/>
        <w:color w:val="FF0000"/>
      </w:rPr>
      <w:t>6/28/2012</w:t>
    </w:r>
    <w:r w:rsidR="00737C7B">
      <w:rPr>
        <w:b/>
        <w:color w:val="FF0000"/>
      </w:rPr>
      <w:fldChar w:fldCharType="end"/>
    </w:r>
    <w:r>
      <w:rPr>
        <w:b/>
        <w:color w:val="FF0000"/>
      </w:rPr>
      <w:t xml:space="preserve"> - </w:t>
    </w:r>
    <w:r w:rsidR="00737C7B">
      <w:rPr>
        <w:b/>
        <w:color w:val="FF0000"/>
      </w:rPr>
      <w:fldChar w:fldCharType="begin"/>
    </w:r>
    <w:r>
      <w:rPr>
        <w:b/>
        <w:color w:val="FF0000"/>
      </w:rPr>
      <w:instrText xml:space="preserve"> TIME \@ "h:mm:ss am/pm" </w:instrText>
    </w:r>
    <w:r w:rsidR="00737C7B">
      <w:rPr>
        <w:b/>
        <w:color w:val="FF0000"/>
      </w:rPr>
      <w:fldChar w:fldCharType="separate"/>
    </w:r>
    <w:r w:rsidR="005F3AC5">
      <w:rPr>
        <w:b/>
        <w:noProof/>
        <w:color w:val="FF0000"/>
      </w:rPr>
      <w:t>4:08:02 PM</w:t>
    </w:r>
    <w:r w:rsidR="00737C7B">
      <w:rPr>
        <w:b/>
        <w:color w:val="FF0000"/>
      </w:rPr>
      <w:fldChar w:fldCharType="end"/>
    </w:r>
  </w:p>
  <w:p w:rsidR="00FB4C8A" w:rsidRPr="003B12DD" w:rsidRDefault="00737C7B" w:rsidP="003B12DD">
    <w:pPr>
      <w:pStyle w:val="Header"/>
      <w:jc w:val="center"/>
      <w:rPr>
        <w:b/>
        <w:color w:val="FF0000"/>
      </w:rPr>
    </w:pPr>
    <w:r w:rsidRPr="003B12DD">
      <w:rPr>
        <w:b/>
        <w:color w:val="FF0000"/>
      </w:rPr>
      <w:fldChar w:fldCharType="begin"/>
    </w:r>
    <w:r w:rsidR="00FB4C8A" w:rsidRPr="003B12DD">
      <w:rPr>
        <w:b/>
        <w:color w:val="FF0000"/>
      </w:rPr>
      <w:instrText xml:space="preserve"> FILENAME \p </w:instrText>
    </w:r>
    <w:r w:rsidRPr="003B12DD">
      <w:rPr>
        <w:b/>
        <w:color w:val="FF0000"/>
      </w:rPr>
      <w:fldChar w:fldCharType="separate"/>
    </w:r>
    <w:r w:rsidR="005F3AC5">
      <w:rPr>
        <w:b/>
        <w:noProof/>
        <w:color w:val="FF0000"/>
      </w:rPr>
      <w:t>\\t2000\puc\Attorney General\Attorneys\McNamee\Comm. Cases\electric cases\12-1494-EL-AEC CEI-ASHTA Chemicals\Comments 062812.docx</w:t>
    </w:r>
    <w:r w:rsidRPr="003B12DD">
      <w:rPr>
        <w:b/>
        <w:color w:val="FF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4C517E" w:rsidRDefault="00FB4C8A" w:rsidP="004C5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4C517E" w:rsidRDefault="00FB4C8A" w:rsidP="004C5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852A8"/>
    <w:multiLevelType w:val="hybridMultilevel"/>
    <w:tmpl w:val="5B9A9462"/>
    <w:lvl w:ilvl="0" w:tplc="210C3CFE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C94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345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A8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8CB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7FB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61C1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1E0A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1ED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0E1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17E"/>
    <w:rsid w:val="004C5741"/>
    <w:rsid w:val="004C578A"/>
    <w:rsid w:val="004C58E7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1B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3B75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CC0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AC5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724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979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2C94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D7E0D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C7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97C3C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C6C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48F4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6CD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16C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09D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3E55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1FC4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0D9C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5DD9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3F27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4B0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25A1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A79"/>
    <w:rsid w:val="00D23E8D"/>
    <w:rsid w:val="00D240A5"/>
    <w:rsid w:val="00D24564"/>
    <w:rsid w:val="00D245EE"/>
    <w:rsid w:val="00D24686"/>
    <w:rsid w:val="00D2474D"/>
    <w:rsid w:val="00D24949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9E5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2FCF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28F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8DC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9A8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4E6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C94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D2C94"/>
    <w:pPr>
      <w:keepNext/>
      <w:numPr>
        <w:numId w:val="7"/>
      </w:numPr>
      <w:spacing w:before="360" w:after="240"/>
      <w:ind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5C6CC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5C6CC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D2C94"/>
    <w:rPr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C94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D2C94"/>
    <w:pPr>
      <w:keepNext/>
      <w:numPr>
        <w:numId w:val="7"/>
      </w:numPr>
      <w:spacing w:before="360" w:after="240"/>
      <w:ind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5C6CC0"/>
    <w:pPr>
      <w:spacing w:line="480" w:lineRule="auto"/>
      <w:pPrChange w:id="0" w:author="Schilling, Matt" w:date="2012-06-28T13:51:00Z">
        <w:pPr>
          <w:spacing w:line="480" w:lineRule="auto"/>
        </w:pPr>
      </w:pPrChange>
    </w:pPr>
    <w:rPr>
      <w:sz w:val="26"/>
      <w:szCs w:val="24"/>
      <w:rPrChange w:id="0" w:author="Schilling, Matt" w:date="2012-06-28T13:51:00Z">
        <w:rPr>
          <w:sz w:val="26"/>
          <w:szCs w:val="24"/>
          <w:lang w:val="en-US" w:eastAsia="en-US" w:bidi="ar-SA"/>
        </w:rPr>
      </w:rPrChange>
    </w:rPr>
  </w:style>
  <w:style w:type="character" w:customStyle="1" w:styleId="textstyleChar">
    <w:name w:val="text style Char"/>
    <w:link w:val="textstyle0"/>
    <w:rsid w:val="005C6CC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D2C94"/>
    <w:rPr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mcnamee@puc.state.oh.u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m@mwncmh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omas.mcnamee@puc.state.oh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12</TotalTime>
  <Pages>8</Pages>
  <Words>1288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8776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7</cp:revision>
  <cp:lastPrinted>2012-06-28T20:08:00Z</cp:lastPrinted>
  <dcterms:created xsi:type="dcterms:W3CDTF">2012-06-28T19:37:00Z</dcterms:created>
  <dcterms:modified xsi:type="dcterms:W3CDTF">2012-06-28T20:08:00Z</dcterms:modified>
</cp:coreProperties>
</file>