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bookmarkStart w:id="0" w:name="_GoBack"/>
      <w:bookmarkEnd w:id="0"/>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663D6A" w:rsidTr="00221496">
        <w:tc>
          <w:tcPr>
            <w:tcW w:w="4698" w:type="dxa"/>
          </w:tcPr>
          <w:p w:rsidR="001A5C2F" w:rsidRPr="003A181D" w:rsidRDefault="00663D6A" w:rsidP="003A181D">
            <w:pPr>
              <w:pStyle w:val="Title"/>
              <w:tabs>
                <w:tab w:val="left" w:pos="5130"/>
                <w:tab w:val="left" w:pos="5670"/>
              </w:tabs>
              <w:jc w:val="left"/>
              <w:rPr>
                <w:rFonts w:ascii="Times New Roman" w:hAnsi="Times New Roman"/>
                <w:sz w:val="26"/>
                <w:szCs w:val="26"/>
              </w:rPr>
            </w:pPr>
            <w:r w:rsidRPr="003A181D">
              <w:rPr>
                <w:rFonts w:ascii="Times New Roman" w:hAnsi="Times New Roman"/>
                <w:sz w:val="26"/>
                <w:szCs w:val="26"/>
              </w:rPr>
              <w:t>In the Matter of</w:t>
            </w:r>
            <w:r w:rsidR="003A181D" w:rsidRPr="003A181D">
              <w:rPr>
                <w:rFonts w:ascii="Times New Roman" w:hAnsi="Times New Roman"/>
                <w:sz w:val="26"/>
                <w:szCs w:val="26"/>
              </w:rPr>
              <w:t xml:space="preserve"> </w:t>
            </w:r>
            <w:r w:rsidR="003A181D" w:rsidRPr="003A181D">
              <w:rPr>
                <w:rFonts w:ascii="Times New Roman" w:hAnsi="Times New Roman"/>
                <w:color w:val="000000"/>
                <w:sz w:val="26"/>
                <w:szCs w:val="26"/>
              </w:rPr>
              <w:t>the Application of Duke Energy Ohio, Inc. to Establish Reliability Targets</w:t>
            </w:r>
            <w:r w:rsidR="003A181D">
              <w:rPr>
                <w:rFonts w:ascii="Times New Roman" w:hAnsi="Times New Roman"/>
                <w:color w:val="000000"/>
                <w:sz w:val="26"/>
                <w:szCs w:val="26"/>
              </w:rPr>
              <w:t>.</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3A181D">
              <w:rPr>
                <w:rFonts w:ascii="Times New Roman" w:hAnsi="Times New Roman"/>
                <w:sz w:val="26"/>
                <w:szCs w:val="26"/>
              </w:rPr>
              <w:t>13-1539-EL-ESS</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3A181D" w:rsidP="00E10679">
      <w:pPr>
        <w:pStyle w:val="Title"/>
        <w:tabs>
          <w:tab w:val="left" w:pos="9360"/>
        </w:tabs>
        <w:rPr>
          <w:rFonts w:ascii="Times New Roman" w:hAnsi="Times New Roman"/>
          <w:b/>
          <w:sz w:val="32"/>
          <w:szCs w:val="32"/>
        </w:rPr>
      </w:pPr>
      <w:r>
        <w:rPr>
          <w:rFonts w:ascii="Times New Roman" w:hAnsi="Times New Roman"/>
          <w:b/>
          <w:sz w:val="32"/>
          <w:szCs w:val="32"/>
        </w:rPr>
        <w:t>COMMENTS</w:t>
      </w:r>
    </w:p>
    <w:p w:rsidR="00663D6A" w:rsidRPr="003A181D" w:rsidRDefault="00663D6A" w:rsidP="003A181D">
      <w:pPr>
        <w:jc w:val="center"/>
        <w:rPr>
          <w:b/>
          <w:sz w:val="28"/>
          <w:szCs w:val="28"/>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sidRPr="003A181D">
        <w:rPr>
          <w:b/>
          <w:sz w:val="28"/>
          <w:szCs w:val="28"/>
        </w:rPr>
        <w:t>SUBMITTED ON BEHALF OF THE STAFF OF</w:t>
      </w:r>
      <w:bookmarkEnd w:id="1"/>
      <w:bookmarkEnd w:id="2"/>
      <w:bookmarkEnd w:id="3"/>
      <w:bookmarkEnd w:id="4"/>
      <w:bookmarkEnd w:id="5"/>
      <w:bookmarkEnd w:id="6"/>
      <w:bookmarkEnd w:id="7"/>
    </w:p>
    <w:p w:rsidR="00663D6A" w:rsidRPr="003A181D" w:rsidRDefault="00663D6A" w:rsidP="003A181D">
      <w:pPr>
        <w:jc w:val="center"/>
        <w:rPr>
          <w:b/>
          <w:sz w:val="28"/>
          <w:szCs w:val="28"/>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3A181D">
        <w:rPr>
          <w:b/>
          <w:sz w:val="28"/>
          <w:szCs w:val="28"/>
        </w:rPr>
        <w:t>THE PUBLIC UTILITIES COMMISSION OF OHIO</w:t>
      </w:r>
      <w:bookmarkEnd w:id="8"/>
      <w:bookmarkEnd w:id="9"/>
      <w:bookmarkEnd w:id="10"/>
      <w:bookmarkEnd w:id="11"/>
      <w:bookmarkEnd w:id="12"/>
      <w:bookmarkEnd w:id="13"/>
      <w:bookmarkEnd w:id="14"/>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3B12DD" w:rsidRDefault="003B12DD" w:rsidP="00663D6A">
      <w:pPr>
        <w:jc w:val="center"/>
        <w:rPr>
          <w:b/>
          <w:sz w:val="26"/>
          <w:szCs w:val="26"/>
        </w:rPr>
      </w:pPr>
    </w:p>
    <w:p w:rsidR="003A181D" w:rsidRDefault="003A181D" w:rsidP="00663D6A">
      <w:pPr>
        <w:jc w:val="center"/>
        <w:rPr>
          <w:b/>
          <w:sz w:val="26"/>
          <w:szCs w:val="26"/>
        </w:rPr>
      </w:pPr>
    </w:p>
    <w:p w:rsidR="003A181D" w:rsidRDefault="003A181D" w:rsidP="00663D6A">
      <w:pPr>
        <w:jc w:val="center"/>
        <w:rPr>
          <w:b/>
          <w:sz w:val="26"/>
          <w:szCs w:val="26"/>
        </w:rPr>
        <w:sectPr w:rsidR="003A181D" w:rsidSect="003B12DD">
          <w:headerReference w:type="default" r:id="rId9"/>
          <w:footerReference w:type="default" r:id="rId10"/>
          <w:footerReference w:type="first" r:id="rId11"/>
          <w:pgSz w:w="12240" w:h="15840" w:code="1"/>
          <w:pgMar w:top="1440" w:right="1440" w:bottom="1440" w:left="1440" w:header="720" w:footer="720" w:gutter="0"/>
          <w:pgNumType w:fmt="lowerRoman" w:start="1"/>
          <w:cols w:space="720"/>
          <w:titlePg/>
          <w:docGrid w:linePitch="360"/>
        </w:sectPr>
      </w:pPr>
    </w:p>
    <w:p w:rsidR="004275D7" w:rsidRDefault="00BF0931">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sidR="00C95499" w:rsidRPr="00944CBC">
        <w:rPr>
          <w:b/>
          <w:i/>
          <w:sz w:val="28"/>
          <w:szCs w:val="28"/>
          <w:u w:val="single"/>
        </w:rPr>
        <w:instrText xml:space="preserve"> TOC \o "1-3" \u </w:instrText>
      </w:r>
      <w:r>
        <w:rPr>
          <w:b/>
          <w:i/>
          <w:sz w:val="28"/>
          <w:szCs w:val="28"/>
          <w:u w:val="single"/>
        </w:rPr>
        <w:fldChar w:fldCharType="separate"/>
      </w:r>
      <w:r w:rsidR="004275D7">
        <w:rPr>
          <w:noProof/>
        </w:rPr>
        <w:t>BACKGROUND AND SCOPE</w:t>
      </w:r>
      <w:r w:rsidR="004275D7">
        <w:rPr>
          <w:noProof/>
        </w:rPr>
        <w:tab/>
      </w:r>
      <w:r w:rsidR="004275D7">
        <w:rPr>
          <w:noProof/>
        </w:rPr>
        <w:fldChar w:fldCharType="begin"/>
      </w:r>
      <w:r w:rsidR="004275D7">
        <w:rPr>
          <w:noProof/>
        </w:rPr>
        <w:instrText xml:space="preserve"> PAGEREF _Toc377471488 \h </w:instrText>
      </w:r>
      <w:r w:rsidR="004275D7">
        <w:rPr>
          <w:noProof/>
        </w:rPr>
      </w:r>
      <w:r w:rsidR="004275D7">
        <w:rPr>
          <w:noProof/>
        </w:rPr>
        <w:fldChar w:fldCharType="separate"/>
      </w:r>
      <w:r w:rsidR="00F81D4E">
        <w:rPr>
          <w:noProof/>
        </w:rPr>
        <w:t>1</w:t>
      </w:r>
      <w:r w:rsidR="004275D7">
        <w:rPr>
          <w:noProof/>
        </w:rPr>
        <w:fldChar w:fldCharType="end"/>
      </w:r>
    </w:p>
    <w:p w:rsidR="004275D7" w:rsidRDefault="004275D7">
      <w:pPr>
        <w:pStyle w:val="TOC1"/>
        <w:rPr>
          <w:rFonts w:asciiTheme="minorHAnsi" w:eastAsiaTheme="minorEastAsia" w:hAnsiTheme="minorHAnsi" w:cstheme="minorBidi"/>
          <w:noProof/>
          <w:sz w:val="22"/>
          <w:szCs w:val="22"/>
        </w:rPr>
      </w:pPr>
      <w:r>
        <w:rPr>
          <w:noProof/>
        </w:rPr>
        <w:t>COMMENTS</w:t>
      </w:r>
      <w:r>
        <w:rPr>
          <w:noProof/>
        </w:rPr>
        <w:tab/>
      </w:r>
      <w:r>
        <w:rPr>
          <w:noProof/>
        </w:rPr>
        <w:fldChar w:fldCharType="begin"/>
      </w:r>
      <w:r>
        <w:rPr>
          <w:noProof/>
        </w:rPr>
        <w:instrText xml:space="preserve"> PAGEREF _Toc377471489 \h </w:instrText>
      </w:r>
      <w:r>
        <w:rPr>
          <w:noProof/>
        </w:rPr>
      </w:r>
      <w:r>
        <w:rPr>
          <w:noProof/>
        </w:rPr>
        <w:fldChar w:fldCharType="separate"/>
      </w:r>
      <w:r w:rsidR="00F81D4E">
        <w:rPr>
          <w:noProof/>
        </w:rPr>
        <w:t>2</w:t>
      </w:r>
      <w:r>
        <w:rPr>
          <w:noProof/>
        </w:rPr>
        <w:fldChar w:fldCharType="end"/>
      </w:r>
    </w:p>
    <w:p w:rsidR="004275D7" w:rsidRDefault="004275D7">
      <w:pPr>
        <w:pStyle w:val="TOC2"/>
        <w:tabs>
          <w:tab w:val="left" w:pos="144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Duke’s reliability survey does not comply with Staff’s guidelines.</w:t>
      </w:r>
      <w:r>
        <w:rPr>
          <w:noProof/>
        </w:rPr>
        <w:tab/>
      </w:r>
      <w:r>
        <w:rPr>
          <w:noProof/>
        </w:rPr>
        <w:fldChar w:fldCharType="begin"/>
      </w:r>
      <w:r>
        <w:rPr>
          <w:noProof/>
        </w:rPr>
        <w:instrText xml:space="preserve"> PAGEREF _Toc377471490 \h </w:instrText>
      </w:r>
      <w:r>
        <w:rPr>
          <w:noProof/>
        </w:rPr>
      </w:r>
      <w:r>
        <w:rPr>
          <w:noProof/>
        </w:rPr>
        <w:fldChar w:fldCharType="separate"/>
      </w:r>
      <w:r w:rsidR="00F81D4E">
        <w:rPr>
          <w:noProof/>
        </w:rPr>
        <w:t>2</w:t>
      </w:r>
      <w:r>
        <w:rPr>
          <w:noProof/>
        </w:rPr>
        <w:fldChar w:fldCharType="end"/>
      </w:r>
    </w:p>
    <w:p w:rsidR="004275D7" w:rsidRDefault="004275D7">
      <w:pPr>
        <w:pStyle w:val="TOC2"/>
        <w:tabs>
          <w:tab w:val="left" w:pos="1440"/>
        </w:tabs>
        <w:rPr>
          <w:rFonts w:asciiTheme="minorHAnsi" w:eastAsiaTheme="minorEastAsia" w:hAnsiTheme="minorHAnsi" w:cstheme="minorBidi"/>
          <w:noProof/>
          <w:sz w:val="22"/>
          <w:szCs w:val="22"/>
        </w:rPr>
      </w:pPr>
      <w:r w:rsidRPr="004275D7">
        <w:rPr>
          <w:noProof/>
        </w:rPr>
        <w:t>2.</w:t>
      </w:r>
      <w:r w:rsidRPr="004275D7">
        <w:rPr>
          <w:rFonts w:asciiTheme="minorHAnsi" w:eastAsiaTheme="minorEastAsia" w:hAnsiTheme="minorHAnsi" w:cstheme="minorBidi"/>
          <w:noProof/>
          <w:sz w:val="22"/>
          <w:szCs w:val="22"/>
        </w:rPr>
        <w:tab/>
      </w:r>
      <w:r w:rsidRPr="004275D7">
        <w:rPr>
          <w:noProof/>
        </w:rPr>
        <w:t>Duke’s request for a higher CAIDI standard for year 2016 is unjustified.</w:t>
      </w:r>
      <w:r>
        <w:rPr>
          <w:noProof/>
        </w:rPr>
        <w:tab/>
      </w:r>
      <w:r>
        <w:rPr>
          <w:noProof/>
        </w:rPr>
        <w:fldChar w:fldCharType="begin"/>
      </w:r>
      <w:r>
        <w:rPr>
          <w:noProof/>
        </w:rPr>
        <w:instrText xml:space="preserve"> PAGEREF _Toc377471491 \h </w:instrText>
      </w:r>
      <w:r>
        <w:rPr>
          <w:noProof/>
        </w:rPr>
      </w:r>
      <w:r>
        <w:rPr>
          <w:noProof/>
        </w:rPr>
        <w:fldChar w:fldCharType="separate"/>
      </w:r>
      <w:r w:rsidR="00F81D4E">
        <w:rPr>
          <w:noProof/>
        </w:rPr>
        <w:t>3</w:t>
      </w:r>
      <w:r>
        <w:rPr>
          <w:noProof/>
        </w:rPr>
        <w:fldChar w:fldCharType="end"/>
      </w:r>
    </w:p>
    <w:p w:rsidR="004275D7" w:rsidRDefault="004275D7">
      <w:pPr>
        <w:pStyle w:val="TOC2"/>
        <w:tabs>
          <w:tab w:val="left" w:pos="144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Duke’s reliability standards should be based on an average of historical performance.</w:t>
      </w:r>
      <w:r>
        <w:rPr>
          <w:noProof/>
        </w:rPr>
        <w:tab/>
      </w:r>
      <w:r>
        <w:rPr>
          <w:noProof/>
        </w:rPr>
        <w:fldChar w:fldCharType="begin"/>
      </w:r>
      <w:r>
        <w:rPr>
          <w:noProof/>
        </w:rPr>
        <w:instrText xml:space="preserve"> PAGEREF _Toc377471492 \h </w:instrText>
      </w:r>
      <w:r>
        <w:rPr>
          <w:noProof/>
        </w:rPr>
      </w:r>
      <w:r>
        <w:rPr>
          <w:noProof/>
        </w:rPr>
        <w:fldChar w:fldCharType="separate"/>
      </w:r>
      <w:r w:rsidR="00F81D4E">
        <w:rPr>
          <w:noProof/>
        </w:rPr>
        <w:t>3</w:t>
      </w:r>
      <w:r>
        <w:rPr>
          <w:noProof/>
        </w:rPr>
        <w:fldChar w:fldCharType="end"/>
      </w:r>
    </w:p>
    <w:p w:rsidR="004275D7" w:rsidRDefault="004275D7">
      <w:pPr>
        <w:pStyle w:val="TOC2"/>
        <w:tabs>
          <w:tab w:val="left" w:pos="144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Duke’s historical performance should reflect the more accurate data generated by Duke’s current outage management system.</w:t>
      </w:r>
      <w:r>
        <w:rPr>
          <w:noProof/>
        </w:rPr>
        <w:tab/>
      </w:r>
      <w:r>
        <w:rPr>
          <w:noProof/>
        </w:rPr>
        <w:fldChar w:fldCharType="begin"/>
      </w:r>
      <w:r>
        <w:rPr>
          <w:noProof/>
        </w:rPr>
        <w:instrText xml:space="preserve"> PAGEREF _Toc377471493 \h </w:instrText>
      </w:r>
      <w:r>
        <w:rPr>
          <w:noProof/>
        </w:rPr>
      </w:r>
      <w:r>
        <w:rPr>
          <w:noProof/>
        </w:rPr>
        <w:fldChar w:fldCharType="separate"/>
      </w:r>
      <w:r w:rsidR="00F81D4E">
        <w:rPr>
          <w:noProof/>
        </w:rPr>
        <w:t>4</w:t>
      </w:r>
      <w:r>
        <w:rPr>
          <w:noProof/>
        </w:rPr>
        <w:fldChar w:fldCharType="end"/>
      </w:r>
    </w:p>
    <w:p w:rsidR="004275D7" w:rsidRDefault="004275D7">
      <w:pPr>
        <w:pStyle w:val="TOC2"/>
        <w:tabs>
          <w:tab w:val="left" w:pos="144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Duke’s historical performance data should be adjusted to remove the impact of missing the CAIDI standard.</w:t>
      </w:r>
      <w:r>
        <w:rPr>
          <w:noProof/>
        </w:rPr>
        <w:tab/>
      </w:r>
      <w:r>
        <w:rPr>
          <w:noProof/>
        </w:rPr>
        <w:fldChar w:fldCharType="begin"/>
      </w:r>
      <w:r>
        <w:rPr>
          <w:noProof/>
        </w:rPr>
        <w:instrText xml:space="preserve"> PAGEREF _Toc377471494 \h </w:instrText>
      </w:r>
      <w:r>
        <w:rPr>
          <w:noProof/>
        </w:rPr>
      </w:r>
      <w:r>
        <w:rPr>
          <w:noProof/>
        </w:rPr>
        <w:fldChar w:fldCharType="separate"/>
      </w:r>
      <w:r w:rsidR="00F81D4E">
        <w:rPr>
          <w:noProof/>
        </w:rPr>
        <w:t>4</w:t>
      </w:r>
      <w:r>
        <w:rPr>
          <w:noProof/>
        </w:rPr>
        <w:fldChar w:fldCharType="end"/>
      </w:r>
    </w:p>
    <w:p w:rsidR="004275D7" w:rsidRDefault="004275D7">
      <w:pPr>
        <w:pStyle w:val="TOC2"/>
        <w:tabs>
          <w:tab w:val="left" w:pos="144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Duke’s CAIDI standard should be based on its most recent five-year historical performance.</w:t>
      </w:r>
      <w:r>
        <w:rPr>
          <w:noProof/>
        </w:rPr>
        <w:tab/>
      </w:r>
      <w:r>
        <w:rPr>
          <w:noProof/>
        </w:rPr>
        <w:fldChar w:fldCharType="begin"/>
      </w:r>
      <w:r>
        <w:rPr>
          <w:noProof/>
        </w:rPr>
        <w:instrText xml:space="preserve"> PAGEREF _Toc377471495 \h </w:instrText>
      </w:r>
      <w:r>
        <w:rPr>
          <w:noProof/>
        </w:rPr>
      </w:r>
      <w:r>
        <w:rPr>
          <w:noProof/>
        </w:rPr>
        <w:fldChar w:fldCharType="separate"/>
      </w:r>
      <w:r w:rsidR="00F81D4E">
        <w:rPr>
          <w:noProof/>
        </w:rPr>
        <w:t>5</w:t>
      </w:r>
      <w:r>
        <w:rPr>
          <w:noProof/>
        </w:rPr>
        <w:fldChar w:fldCharType="end"/>
      </w:r>
    </w:p>
    <w:p w:rsidR="004275D7" w:rsidRDefault="004275D7">
      <w:pPr>
        <w:pStyle w:val="TOC2"/>
        <w:tabs>
          <w:tab w:val="left" w:pos="144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Duke’s CAIDI standard should include an allowance for variability.</w:t>
      </w:r>
      <w:r>
        <w:rPr>
          <w:noProof/>
        </w:rPr>
        <w:tab/>
      </w:r>
      <w:r>
        <w:rPr>
          <w:noProof/>
        </w:rPr>
        <w:fldChar w:fldCharType="begin"/>
      </w:r>
      <w:r>
        <w:rPr>
          <w:noProof/>
        </w:rPr>
        <w:instrText xml:space="preserve"> PAGEREF _Toc377471496 \h </w:instrText>
      </w:r>
      <w:r>
        <w:rPr>
          <w:noProof/>
        </w:rPr>
      </w:r>
      <w:r>
        <w:rPr>
          <w:noProof/>
        </w:rPr>
        <w:fldChar w:fldCharType="separate"/>
      </w:r>
      <w:r w:rsidR="00F81D4E">
        <w:rPr>
          <w:noProof/>
        </w:rPr>
        <w:t>5</w:t>
      </w:r>
      <w:r>
        <w:rPr>
          <w:noProof/>
        </w:rPr>
        <w:fldChar w:fldCharType="end"/>
      </w:r>
    </w:p>
    <w:p w:rsidR="004275D7" w:rsidRDefault="004275D7">
      <w:pPr>
        <w:pStyle w:val="TOC2"/>
        <w:tabs>
          <w:tab w:val="left" w:pos="144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Duke’s current CAIDI standards should be reduced for years 2014 and 2015.</w:t>
      </w:r>
      <w:r>
        <w:rPr>
          <w:noProof/>
        </w:rPr>
        <w:tab/>
      </w:r>
      <w:r>
        <w:rPr>
          <w:noProof/>
        </w:rPr>
        <w:fldChar w:fldCharType="begin"/>
      </w:r>
      <w:r>
        <w:rPr>
          <w:noProof/>
        </w:rPr>
        <w:instrText xml:space="preserve"> PAGEREF _Toc377471497 \h </w:instrText>
      </w:r>
      <w:r>
        <w:rPr>
          <w:noProof/>
        </w:rPr>
      </w:r>
      <w:r>
        <w:rPr>
          <w:noProof/>
        </w:rPr>
        <w:fldChar w:fldCharType="separate"/>
      </w:r>
      <w:r w:rsidR="00F81D4E">
        <w:rPr>
          <w:noProof/>
        </w:rPr>
        <w:t>6</w:t>
      </w:r>
      <w:r>
        <w:rPr>
          <w:noProof/>
        </w:rPr>
        <w:fldChar w:fldCharType="end"/>
      </w:r>
    </w:p>
    <w:p w:rsidR="004275D7" w:rsidRDefault="004275D7">
      <w:pPr>
        <w:pStyle w:val="TOC2"/>
        <w:tabs>
          <w:tab w:val="left" w:pos="144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Below is a comparison of current vs. proposed CAIDI standards.</w:t>
      </w:r>
      <w:r>
        <w:rPr>
          <w:noProof/>
        </w:rPr>
        <w:tab/>
      </w:r>
      <w:r>
        <w:rPr>
          <w:noProof/>
        </w:rPr>
        <w:fldChar w:fldCharType="begin"/>
      </w:r>
      <w:r>
        <w:rPr>
          <w:noProof/>
        </w:rPr>
        <w:instrText xml:space="preserve"> PAGEREF _Toc377471498 \h </w:instrText>
      </w:r>
      <w:r>
        <w:rPr>
          <w:noProof/>
        </w:rPr>
      </w:r>
      <w:r>
        <w:rPr>
          <w:noProof/>
        </w:rPr>
        <w:fldChar w:fldCharType="separate"/>
      </w:r>
      <w:r w:rsidR="00F81D4E">
        <w:rPr>
          <w:noProof/>
        </w:rPr>
        <w:t>7</w:t>
      </w:r>
      <w:r>
        <w:rPr>
          <w:noProof/>
        </w:rPr>
        <w:fldChar w:fldCharType="end"/>
      </w:r>
    </w:p>
    <w:p w:rsidR="004275D7" w:rsidRDefault="004275D7">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_Toc377471499 \h </w:instrText>
      </w:r>
      <w:r>
        <w:rPr>
          <w:noProof/>
        </w:rPr>
        <w:fldChar w:fldCharType="separate"/>
      </w:r>
      <w:r w:rsidR="00F81D4E">
        <w:rPr>
          <w:b/>
          <w:bCs/>
          <w:noProof/>
        </w:rPr>
        <w:t>Error! Bookmark not defined.</w:t>
      </w:r>
      <w:r>
        <w:rPr>
          <w:noProof/>
        </w:rPr>
        <w:fldChar w:fldCharType="end"/>
      </w:r>
    </w:p>
    <w:p w:rsidR="004275D7" w:rsidRDefault="004275D7">
      <w:pPr>
        <w:pStyle w:val="TOC1"/>
        <w:rPr>
          <w:rFonts w:asciiTheme="minorHAnsi" w:eastAsiaTheme="minorEastAsia" w:hAnsiTheme="minorHAnsi" w:cstheme="minorBidi"/>
          <w:noProof/>
          <w:sz w:val="22"/>
          <w:szCs w:val="22"/>
        </w:rPr>
      </w:pPr>
      <w:r w:rsidRPr="00D01C4C">
        <w:rPr>
          <w:noProof/>
        </w:rPr>
        <w:t>PROOF OF SERVICE</w:t>
      </w:r>
      <w:r>
        <w:rPr>
          <w:noProof/>
        </w:rPr>
        <w:tab/>
      </w:r>
      <w:r>
        <w:rPr>
          <w:noProof/>
        </w:rPr>
        <w:fldChar w:fldCharType="begin"/>
      </w:r>
      <w:r>
        <w:rPr>
          <w:noProof/>
        </w:rPr>
        <w:instrText xml:space="preserve"> PAGEREF _Toc377471500 \h </w:instrText>
      </w:r>
      <w:r>
        <w:rPr>
          <w:noProof/>
        </w:rPr>
      </w:r>
      <w:r>
        <w:rPr>
          <w:noProof/>
        </w:rPr>
        <w:fldChar w:fldCharType="separate"/>
      </w:r>
      <w:r w:rsidR="00F81D4E">
        <w:rPr>
          <w:noProof/>
        </w:rPr>
        <w:t>8</w:t>
      </w:r>
      <w:r>
        <w:rPr>
          <w:noProof/>
        </w:rPr>
        <w:fldChar w:fldCharType="end"/>
      </w:r>
    </w:p>
    <w:p w:rsidR="0064436A" w:rsidRDefault="00BF0931" w:rsidP="00CB5644">
      <w:pPr>
        <w:jc w:val="center"/>
        <w:rPr>
          <w:b/>
          <w:sz w:val="26"/>
          <w:szCs w:val="26"/>
        </w:rPr>
        <w:sectPr w:rsidR="0064436A" w:rsidSect="00C95499">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rsidR="003A181D" w:rsidRPr="002D54AC" w:rsidRDefault="003A181D" w:rsidP="003A181D">
      <w:pPr>
        <w:jc w:val="center"/>
        <w:rPr>
          <w:b/>
          <w:sz w:val="26"/>
          <w:szCs w:val="26"/>
        </w:rPr>
      </w:pPr>
      <w:r w:rsidRPr="002D54AC">
        <w:rPr>
          <w:b/>
          <w:sz w:val="26"/>
          <w:szCs w:val="26"/>
        </w:rPr>
        <w:lastRenderedPageBreak/>
        <w:t>BEFORE</w:t>
      </w:r>
    </w:p>
    <w:p w:rsidR="003A181D" w:rsidRPr="002D54AC" w:rsidRDefault="003A181D" w:rsidP="003A181D">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3A181D" w:rsidRDefault="003A181D" w:rsidP="003A181D">
      <w:pPr>
        <w:pStyle w:val="Title"/>
        <w:tabs>
          <w:tab w:val="left" w:pos="5130"/>
          <w:tab w:val="left" w:pos="5670"/>
        </w:tabs>
        <w:rPr>
          <w:rFonts w:ascii="Times New Roman" w:hAnsi="Times New Roman"/>
          <w:sz w:val="26"/>
          <w:szCs w:val="26"/>
        </w:rPr>
      </w:pPr>
    </w:p>
    <w:p w:rsidR="003A181D" w:rsidRDefault="003A181D" w:rsidP="003A181D">
      <w:pPr>
        <w:pStyle w:val="Title"/>
        <w:tabs>
          <w:tab w:val="left" w:pos="5130"/>
          <w:tab w:val="left" w:pos="5670"/>
        </w:tabs>
        <w:rPr>
          <w:rFonts w:ascii="Times New Roman" w:hAnsi="Times New Roman"/>
          <w:sz w:val="26"/>
          <w:szCs w:val="26"/>
        </w:rPr>
      </w:pPr>
    </w:p>
    <w:p w:rsidR="003A181D" w:rsidRDefault="003A181D" w:rsidP="003A181D">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3A181D" w:rsidTr="00D67CC3">
        <w:tc>
          <w:tcPr>
            <w:tcW w:w="4698" w:type="dxa"/>
          </w:tcPr>
          <w:p w:rsidR="003A181D" w:rsidRPr="003A181D" w:rsidRDefault="003A181D" w:rsidP="00D67CC3">
            <w:pPr>
              <w:pStyle w:val="Title"/>
              <w:tabs>
                <w:tab w:val="left" w:pos="5130"/>
                <w:tab w:val="left" w:pos="5670"/>
              </w:tabs>
              <w:jc w:val="left"/>
              <w:rPr>
                <w:rFonts w:ascii="Times New Roman" w:hAnsi="Times New Roman"/>
                <w:sz w:val="26"/>
                <w:szCs w:val="26"/>
              </w:rPr>
            </w:pPr>
            <w:r w:rsidRPr="003A181D">
              <w:rPr>
                <w:rFonts w:ascii="Times New Roman" w:hAnsi="Times New Roman"/>
                <w:sz w:val="26"/>
                <w:szCs w:val="26"/>
              </w:rPr>
              <w:t xml:space="preserve">In the Matter of </w:t>
            </w:r>
            <w:r w:rsidRPr="003A181D">
              <w:rPr>
                <w:rFonts w:ascii="Times New Roman" w:hAnsi="Times New Roman"/>
                <w:color w:val="000000"/>
                <w:sz w:val="26"/>
                <w:szCs w:val="26"/>
              </w:rPr>
              <w:t>the Application of Duke Energy Ohio, Inc. to Establish Reliability Targets</w:t>
            </w:r>
            <w:r>
              <w:rPr>
                <w:rFonts w:ascii="Times New Roman" w:hAnsi="Times New Roman"/>
                <w:color w:val="000000"/>
                <w:sz w:val="26"/>
                <w:szCs w:val="26"/>
              </w:rPr>
              <w:t>.</w:t>
            </w:r>
          </w:p>
        </w:tc>
        <w:tc>
          <w:tcPr>
            <w:tcW w:w="270" w:type="dxa"/>
          </w:tcPr>
          <w:p w:rsidR="003A181D" w:rsidRPr="00221496" w:rsidRDefault="003A181D" w:rsidP="00D67CC3">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3A181D" w:rsidRPr="00221496" w:rsidRDefault="003A181D" w:rsidP="00D67CC3">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3A181D" w:rsidRPr="00221496" w:rsidRDefault="003A181D" w:rsidP="00D67CC3">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3A181D" w:rsidRPr="00221496" w:rsidRDefault="003A181D" w:rsidP="00D67CC3">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13-1539-EL-ESS</w:t>
            </w:r>
          </w:p>
        </w:tc>
      </w:tr>
    </w:tbl>
    <w:p w:rsidR="003A181D" w:rsidRDefault="003A181D" w:rsidP="003A181D">
      <w:pPr>
        <w:pStyle w:val="Title"/>
        <w:tabs>
          <w:tab w:val="left" w:pos="5130"/>
          <w:tab w:val="left" w:pos="5670"/>
        </w:tabs>
        <w:jc w:val="left"/>
        <w:rPr>
          <w:rFonts w:ascii="Times New Roman" w:hAnsi="Times New Roman"/>
          <w:sz w:val="26"/>
          <w:szCs w:val="26"/>
        </w:rPr>
      </w:pPr>
    </w:p>
    <w:p w:rsidR="003A181D" w:rsidRDefault="003A181D" w:rsidP="003A181D">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3A181D" w:rsidRPr="00E10679" w:rsidRDefault="003A181D" w:rsidP="003A181D">
      <w:pPr>
        <w:pStyle w:val="Title"/>
        <w:tabs>
          <w:tab w:val="left" w:pos="9360"/>
        </w:tabs>
        <w:rPr>
          <w:rFonts w:ascii="Times New Roman" w:hAnsi="Times New Roman"/>
          <w:b/>
          <w:sz w:val="32"/>
          <w:szCs w:val="32"/>
        </w:rPr>
      </w:pPr>
      <w:r>
        <w:rPr>
          <w:rFonts w:ascii="Times New Roman" w:hAnsi="Times New Roman"/>
          <w:b/>
          <w:sz w:val="32"/>
          <w:szCs w:val="32"/>
        </w:rPr>
        <w:t>COMMENTS</w:t>
      </w:r>
    </w:p>
    <w:p w:rsidR="003A181D" w:rsidRPr="003A181D" w:rsidRDefault="003A181D" w:rsidP="003A181D">
      <w:pPr>
        <w:jc w:val="center"/>
        <w:rPr>
          <w:b/>
          <w:sz w:val="28"/>
          <w:szCs w:val="28"/>
        </w:rPr>
      </w:pPr>
      <w:r w:rsidRPr="003A181D">
        <w:rPr>
          <w:b/>
          <w:sz w:val="28"/>
          <w:szCs w:val="28"/>
        </w:rPr>
        <w:t>SUBMITTED ON BEHALF OF THE STAFF OF</w:t>
      </w:r>
    </w:p>
    <w:p w:rsidR="003A181D" w:rsidRPr="003A181D" w:rsidRDefault="003A181D" w:rsidP="003A181D">
      <w:pPr>
        <w:jc w:val="center"/>
        <w:rPr>
          <w:b/>
          <w:sz w:val="28"/>
          <w:szCs w:val="28"/>
        </w:rPr>
      </w:pPr>
      <w:r w:rsidRPr="003A181D">
        <w:rPr>
          <w:b/>
          <w:sz w:val="28"/>
          <w:szCs w:val="28"/>
        </w:rPr>
        <w:t>THE PUBLIC UTILITIES COMMISSION OF OHIO</w:t>
      </w:r>
    </w:p>
    <w:p w:rsidR="003A181D" w:rsidRDefault="003A181D" w:rsidP="003A181D">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3A181D" w:rsidP="0064436A">
      <w:pPr>
        <w:pStyle w:val="Heading1"/>
      </w:pPr>
      <w:bookmarkStart w:id="15" w:name="_Toc377471488"/>
      <w:r>
        <w:t>BACKGROUND AND SCOPE</w:t>
      </w:r>
      <w:bookmarkEnd w:id="15"/>
    </w:p>
    <w:p w:rsidR="003A181D" w:rsidRDefault="0064436A" w:rsidP="003A181D">
      <w:pPr>
        <w:pStyle w:val="textstyle0"/>
      </w:pPr>
      <w:r>
        <w:tab/>
      </w:r>
      <w:r w:rsidR="003A181D">
        <w:t>Duke Energy Ohio’s (Duke’s) current SAIFI</w:t>
      </w:r>
      <w:r w:rsidR="003A181D">
        <w:rPr>
          <w:rStyle w:val="FootnoteReference"/>
          <w:sz w:val="24"/>
        </w:rPr>
        <w:footnoteReference w:id="1"/>
      </w:r>
      <w:r w:rsidR="003A181D">
        <w:t xml:space="preserve"> standards were originally estab</w:t>
      </w:r>
      <w:r w:rsidR="005441DC">
        <w:softHyphen/>
      </w:r>
      <w:r w:rsidR="003A181D">
        <w:t xml:space="preserve">lished in Case No. 08-920-EL-SSO on December 17, 2008, when the </w:t>
      </w:r>
      <w:r w:rsidR="003A181D" w:rsidRPr="007604A0">
        <w:t>Commission approved a stipulation filed in that case.  Duke is not proposing any changes to its SAIFI standard, and Staff does not oppose leaving the current SAIFI standard in place.</w:t>
      </w:r>
    </w:p>
    <w:p w:rsidR="003A181D" w:rsidRDefault="003A181D" w:rsidP="003A181D">
      <w:pPr>
        <w:pStyle w:val="textstyle0"/>
      </w:pPr>
      <w:r>
        <w:tab/>
        <w:t>Duke’s current CAIDI</w:t>
      </w:r>
      <w:r>
        <w:rPr>
          <w:rStyle w:val="FootnoteReference"/>
          <w:sz w:val="24"/>
        </w:rPr>
        <w:footnoteReference w:id="2"/>
      </w:r>
      <w:r>
        <w:t xml:space="preserve"> standards were established in Case No. 09-757-EL-ESS on July 29, 2010, when the Commission approved a stipulation filed in that case by Duke, Staff, and the Office of the Ohio Consumers’ Counsel.  Among other things, that stipula</w:t>
      </w:r>
      <w:r w:rsidR="005441DC">
        <w:softHyphen/>
      </w:r>
      <w:r>
        <w:t xml:space="preserve">tion included a requirement for Duke to file an updated reliability performance standards application by June 30, 2013.  Accordingly, Duke filed such an application on June 26, </w:t>
      </w:r>
      <w:r>
        <w:lastRenderedPageBreak/>
        <w:t>2013 and subsequently filed an amended application on August 12, 2013.  Staff’s com</w:t>
      </w:r>
      <w:r w:rsidR="005441DC">
        <w:softHyphen/>
      </w:r>
      <w:r>
        <w:t>ments apply to that amended application and are limited in scope to those topics with which Staff has an issue.  Those issues are discussed in the paragraphs below.</w:t>
      </w:r>
    </w:p>
    <w:p w:rsidR="00E10679" w:rsidRDefault="003A181D" w:rsidP="00E10679">
      <w:pPr>
        <w:pStyle w:val="Heading1"/>
      </w:pPr>
      <w:bookmarkStart w:id="16" w:name="_Toc377471489"/>
      <w:r>
        <w:t>COMMENTS</w:t>
      </w:r>
      <w:bookmarkEnd w:id="16"/>
    </w:p>
    <w:p w:rsidR="006A3730" w:rsidRPr="003A181D" w:rsidRDefault="003A181D" w:rsidP="003A181D">
      <w:pPr>
        <w:pStyle w:val="Heading2"/>
      </w:pPr>
      <w:bookmarkStart w:id="17" w:name="_Toc377471490"/>
      <w:r w:rsidRPr="003A181D">
        <w:t>Duke’s reliability survey does not comply with Staff’s guidelines</w:t>
      </w:r>
      <w:r>
        <w:t>.</w:t>
      </w:r>
      <w:bookmarkEnd w:id="17"/>
    </w:p>
    <w:p w:rsidR="003A181D" w:rsidRDefault="003A181D" w:rsidP="003A181D">
      <w:pPr>
        <w:pStyle w:val="textstyle0"/>
      </w:pPr>
      <w:r>
        <w:tab/>
        <w:t>Rule 4901:1-10-10 (B)(4)(b) of the Ohio Administrative Code (O.A.C.) required each electric utility to conduct a reliability-related customer survey at least once every three years, and to do so under staff oversight.  As part of that oversight, staff has devel</w:t>
      </w:r>
      <w:r w:rsidR="005441DC">
        <w:softHyphen/>
      </w:r>
      <w:r>
        <w:t>oped reliability survey guidelines, which include the following:</w:t>
      </w:r>
    </w:p>
    <w:p w:rsidR="003A181D" w:rsidRPr="003A181D" w:rsidRDefault="003A181D" w:rsidP="003A181D">
      <w:pPr>
        <w:pStyle w:val="NoSpacing"/>
        <w:numPr>
          <w:ilvl w:val="0"/>
          <w:numId w:val="7"/>
        </w:numPr>
        <w:spacing w:after="240" w:line="240" w:lineRule="auto"/>
        <w:ind w:left="1440" w:right="-360" w:hanging="720"/>
        <w:rPr>
          <w:rFonts w:ascii="Times New Roman" w:hAnsi="Times New Roman"/>
          <w:sz w:val="26"/>
          <w:szCs w:val="26"/>
        </w:rPr>
      </w:pPr>
      <w:r w:rsidRPr="003A181D">
        <w:rPr>
          <w:rFonts w:ascii="Times New Roman" w:hAnsi="Times New Roman"/>
          <w:sz w:val="26"/>
          <w:szCs w:val="26"/>
        </w:rPr>
        <w:t>The wording of the survey questions should be as prescribed by Staff;</w:t>
      </w:r>
    </w:p>
    <w:p w:rsidR="003A181D" w:rsidRPr="003A181D" w:rsidRDefault="003A181D" w:rsidP="003A181D">
      <w:pPr>
        <w:pStyle w:val="NoSpacing"/>
        <w:numPr>
          <w:ilvl w:val="0"/>
          <w:numId w:val="7"/>
        </w:numPr>
        <w:spacing w:after="240" w:line="240" w:lineRule="auto"/>
        <w:ind w:left="1440" w:right="-360" w:hanging="720"/>
        <w:rPr>
          <w:rFonts w:ascii="Times New Roman" w:hAnsi="Times New Roman"/>
          <w:sz w:val="26"/>
          <w:szCs w:val="26"/>
        </w:rPr>
      </w:pPr>
      <w:r w:rsidRPr="003A181D">
        <w:rPr>
          <w:rFonts w:ascii="Times New Roman" w:hAnsi="Times New Roman"/>
          <w:sz w:val="26"/>
          <w:szCs w:val="26"/>
        </w:rPr>
        <w:t>The surveys need to be administered separately to random samples of residen</w:t>
      </w:r>
      <w:r w:rsidR="005441DC">
        <w:rPr>
          <w:rFonts w:ascii="Times New Roman" w:hAnsi="Times New Roman"/>
          <w:sz w:val="26"/>
          <w:szCs w:val="26"/>
        </w:rPr>
        <w:softHyphen/>
      </w:r>
      <w:r w:rsidRPr="003A181D">
        <w:rPr>
          <w:rFonts w:ascii="Times New Roman" w:hAnsi="Times New Roman"/>
          <w:sz w:val="26"/>
          <w:szCs w:val="26"/>
        </w:rPr>
        <w:t>tial and small commercial customers;</w:t>
      </w:r>
    </w:p>
    <w:p w:rsidR="003A181D" w:rsidRPr="003A181D" w:rsidRDefault="003A181D" w:rsidP="003A181D">
      <w:pPr>
        <w:pStyle w:val="NoSpacing"/>
        <w:numPr>
          <w:ilvl w:val="0"/>
          <w:numId w:val="7"/>
        </w:numPr>
        <w:spacing w:after="240" w:line="240" w:lineRule="auto"/>
        <w:ind w:left="1440" w:right="-360" w:hanging="720"/>
        <w:rPr>
          <w:rFonts w:ascii="Times New Roman" w:hAnsi="Times New Roman"/>
          <w:sz w:val="26"/>
          <w:szCs w:val="26"/>
        </w:rPr>
      </w:pPr>
      <w:r w:rsidRPr="003A181D">
        <w:rPr>
          <w:rFonts w:ascii="Times New Roman" w:hAnsi="Times New Roman"/>
          <w:sz w:val="26"/>
          <w:szCs w:val="26"/>
        </w:rPr>
        <w:t>Each of these surveys (residential and small commercial) needs to contain a minimum sample size of 400 customers; and</w:t>
      </w:r>
    </w:p>
    <w:p w:rsidR="003A181D" w:rsidRPr="003A181D" w:rsidRDefault="003A181D" w:rsidP="003A181D">
      <w:pPr>
        <w:pStyle w:val="NoSpacing"/>
        <w:numPr>
          <w:ilvl w:val="0"/>
          <w:numId w:val="7"/>
        </w:numPr>
        <w:spacing w:after="240" w:line="240" w:lineRule="auto"/>
        <w:ind w:left="1440" w:right="-360" w:hanging="720"/>
        <w:rPr>
          <w:rFonts w:ascii="Times New Roman" w:hAnsi="Times New Roman"/>
          <w:sz w:val="26"/>
          <w:szCs w:val="26"/>
        </w:rPr>
      </w:pPr>
      <w:r w:rsidRPr="003A181D">
        <w:rPr>
          <w:rFonts w:ascii="Times New Roman" w:hAnsi="Times New Roman"/>
          <w:sz w:val="26"/>
          <w:szCs w:val="26"/>
        </w:rPr>
        <w:t>Each of these surveys (residential and small commercial) needs to be adminis</w:t>
      </w:r>
      <w:r w:rsidR="005441DC">
        <w:rPr>
          <w:rFonts w:ascii="Times New Roman" w:hAnsi="Times New Roman"/>
          <w:sz w:val="26"/>
          <w:szCs w:val="26"/>
        </w:rPr>
        <w:softHyphen/>
      </w:r>
      <w:r w:rsidRPr="003A181D">
        <w:rPr>
          <w:rFonts w:ascii="Times New Roman" w:hAnsi="Times New Roman"/>
          <w:sz w:val="26"/>
          <w:szCs w:val="26"/>
        </w:rPr>
        <w:t>tered to one-quarter of the total sample (minimum of 100) during each of four consecutive calendar quarters.</w:t>
      </w:r>
    </w:p>
    <w:p w:rsidR="003A181D" w:rsidRDefault="003A181D" w:rsidP="003A181D">
      <w:pPr>
        <w:pStyle w:val="textstyle0"/>
      </w:pPr>
      <w:r>
        <w:t>In reviewing the reliability survey results that Duke filed in this case, Staff noted that the surveys were based on a sample size smaller than that required by Staff’s survey guide</w:t>
      </w:r>
      <w:r w:rsidR="005441DC">
        <w:softHyphen/>
      </w:r>
      <w:r>
        <w:t>lines.  That minimum sample size is necessary to produce a 95 % confidence level.  In order to ensure that Duke’s survey results can be relied upon, Staff recommends that the Commission order Duke to comply with all of Staff’s reliability survey guidelines.</w:t>
      </w:r>
    </w:p>
    <w:p w:rsidR="00587D9C" w:rsidRDefault="003A181D" w:rsidP="003A181D">
      <w:pPr>
        <w:pStyle w:val="Headign2"/>
        <w:rPr>
          <w:rStyle w:val="Heading2Char"/>
        </w:rPr>
      </w:pPr>
      <w:bookmarkStart w:id="18" w:name="_Toc377471491"/>
      <w:r w:rsidRPr="003A181D">
        <w:rPr>
          <w:rStyle w:val="Heading2Char"/>
        </w:rPr>
        <w:lastRenderedPageBreak/>
        <w:t>Duke’s request for a higher CAIDI standard for year 2016 is unjustified</w:t>
      </w:r>
      <w:r>
        <w:rPr>
          <w:rStyle w:val="Heading2Char"/>
        </w:rPr>
        <w:t>.</w:t>
      </w:r>
      <w:bookmarkEnd w:id="18"/>
    </w:p>
    <w:p w:rsidR="003A181D" w:rsidRDefault="003A181D" w:rsidP="003A181D">
      <w:pPr>
        <w:pStyle w:val="textstyle0"/>
      </w:pPr>
      <w:r>
        <w:tab/>
        <w:t>Duke’s current standards were established based on the expectation that there would be a progressive increase in CAIDI due to the impact of its Smart Grid distribution automation (DA) program.  Contrary to expectations, Duke’s CAIDI performance actu</w:t>
      </w:r>
      <w:r w:rsidR="005441DC">
        <w:softHyphen/>
      </w:r>
      <w:r>
        <w:t>ally declined during two of the last three years of its DA implementation.  Staff also notes that Duke completed its DA program in 2013, three years prior to the year 2016 when Duke’s proposed higher CAIDI standard would go into effect.  Although Duke claims that it will implement other programs after 2013 that may cause CAIDI to increase, it makes no firm commitment to implement those programs and even if there were such a commitment, there is no assurance that such implementation will increase CAIDI as Duke suggests.  Staff therefore recommends that the Commission not approve Duke’s request for a higher CAIDI standard in 2016.</w:t>
      </w:r>
    </w:p>
    <w:p w:rsidR="00FB4C8A" w:rsidRDefault="003A181D" w:rsidP="003A181D">
      <w:pPr>
        <w:pStyle w:val="Heading2"/>
      </w:pPr>
      <w:bookmarkStart w:id="19" w:name="_Toc377471492"/>
      <w:r w:rsidRPr="003A181D">
        <w:t>Duke’s reliability standards should be based on an average of historical performance.</w:t>
      </w:r>
      <w:bookmarkEnd w:id="19"/>
    </w:p>
    <w:p w:rsidR="003A181D" w:rsidRDefault="003A181D" w:rsidP="003A181D">
      <w:pPr>
        <w:pStyle w:val="textstyle0"/>
      </w:pPr>
      <w:r>
        <w:tab/>
      </w:r>
      <w:r w:rsidRPr="00D22CD1">
        <w:t xml:space="preserve">In its application, Duke proposes a new standard based on a trend-line projection of future performance.  </w:t>
      </w:r>
      <w:r>
        <w:t>This methodology is inconsistent with that prescribed by Staff’s “Guidelines for Reliability Standards Applications” which appear at the end of O.A.C. Rule 4901:1-10-10 and which are posted on the PUCO website.  These guidelines rec</w:t>
      </w:r>
      <w:r w:rsidR="005441DC">
        <w:softHyphen/>
      </w:r>
      <w:r>
        <w:t xml:space="preserve">ommend that reliability standards be based on an average of historical performance.  Accordingly, Staff recommends that that Duke’s reliability standards be based on an average of performance over the last five years.  </w:t>
      </w:r>
    </w:p>
    <w:p w:rsidR="003A181D" w:rsidRDefault="003A181D" w:rsidP="003A181D">
      <w:pPr>
        <w:pStyle w:val="Heading2"/>
      </w:pPr>
      <w:bookmarkStart w:id="20" w:name="_Toc377471493"/>
      <w:r w:rsidRPr="00F25403">
        <w:lastRenderedPageBreak/>
        <w:t xml:space="preserve">Duke’s historical performance should reflect the more accurate data generated by Duke’s </w:t>
      </w:r>
      <w:r>
        <w:t>current</w:t>
      </w:r>
      <w:r w:rsidRPr="00F25403">
        <w:t xml:space="preserve"> </w:t>
      </w:r>
      <w:r>
        <w:t>outage management</w:t>
      </w:r>
      <w:r w:rsidRPr="00F25403">
        <w:t xml:space="preserve"> system.</w:t>
      </w:r>
      <w:bookmarkEnd w:id="20"/>
    </w:p>
    <w:p w:rsidR="003A181D" w:rsidRDefault="003A181D" w:rsidP="003A181D">
      <w:pPr>
        <w:pStyle w:val="textstyle0"/>
      </w:pPr>
      <w:r>
        <w:tab/>
      </w:r>
      <w:r w:rsidRPr="003A181D">
        <w:t>A</w:t>
      </w:r>
      <w:r>
        <w:t>s part of its analysis in this case, Staff reviewed Duke’s daily reliability data for the years 2003 through 2012 to verify Duke’s calculations of thresholds for major event exclusions as well as the annual performance that resulted from excluding the major event data.  After verifying Duke’s calculations, Staff noted that the resulting annual per</w:t>
      </w:r>
      <w:r w:rsidR="005441DC">
        <w:softHyphen/>
      </w:r>
      <w:r>
        <w:t>formance was different from what Duke filed in its annual reliability reports required by O.A.C. Rule 4901:10-10-10 (C).  When asked about these differences, which mostly resulted in lower (better) CAIDI performance, Duke engineering personnel responded that the data came from Duke’s current outage management system, which produces more accurate data than its old system.  Since the new data is more accurate and reflects better performance, Staff recommends that it be used to develop the five-year average of historical performance upon which to base new standards.</w:t>
      </w:r>
    </w:p>
    <w:p w:rsidR="003A181D" w:rsidRDefault="003A181D" w:rsidP="003A181D">
      <w:pPr>
        <w:pStyle w:val="Heading2"/>
      </w:pPr>
      <w:bookmarkStart w:id="21" w:name="_Toc377471494"/>
      <w:r w:rsidRPr="00BF4A69">
        <w:t>Duke’s historical performance data should be adjusted to remove the impact of missing the CAIDI standard.</w:t>
      </w:r>
      <w:bookmarkEnd w:id="21"/>
    </w:p>
    <w:p w:rsidR="003A181D" w:rsidRPr="00D11E6D" w:rsidRDefault="003A181D" w:rsidP="003A181D">
      <w:pPr>
        <w:pStyle w:val="textstyle0"/>
      </w:pPr>
      <w:r w:rsidRPr="00D11E6D">
        <w:tab/>
        <w:t xml:space="preserve">Duke missed its CAIDI standard in 2010.  </w:t>
      </w:r>
      <w:r>
        <w:t>Staff believes it is unreasonable to include missed-standard performance in the calculations used to establish new standards.  Staff therefore recommends an adjustment to Duke’s 2010 CAIDI performance to remove the minutes in excess of Duke’s 2010 CAIDI standard.</w:t>
      </w:r>
    </w:p>
    <w:p w:rsidR="003A181D" w:rsidRPr="00D11E6D" w:rsidRDefault="003A181D" w:rsidP="003A181D">
      <w:pPr>
        <w:pStyle w:val="Heading2"/>
      </w:pPr>
      <w:bookmarkStart w:id="22" w:name="_Toc377471495"/>
      <w:r w:rsidRPr="00D11E6D">
        <w:lastRenderedPageBreak/>
        <w:t>Duke’s CAIDI standard should be based on its most recent five-year historical performance.</w:t>
      </w:r>
      <w:bookmarkEnd w:id="22"/>
    </w:p>
    <w:p w:rsidR="003A181D" w:rsidRDefault="003A181D" w:rsidP="003A181D">
      <w:pPr>
        <w:pStyle w:val="textstyle0"/>
      </w:pPr>
      <w:r>
        <w:tab/>
        <w:t>As mentioned above, Duke filed its application in this case on June 26, 2013.  Since that time Duke has completed another year of reportable reliability performance.  To incorporate the most recent data, Staff recommends that Duke’s CAIDI standard be based on the five years 2009 through 2013</w:t>
      </w:r>
    </w:p>
    <w:p w:rsidR="003A181D" w:rsidRPr="00CF7C6E" w:rsidRDefault="003A181D" w:rsidP="003A181D">
      <w:pPr>
        <w:pStyle w:val="Heading2"/>
      </w:pPr>
      <w:bookmarkStart w:id="23" w:name="_Toc377471496"/>
      <w:r w:rsidRPr="00CF7C6E">
        <w:t>Duke’s CAIDI standard should include an allowance for variability.</w:t>
      </w:r>
      <w:bookmarkEnd w:id="23"/>
    </w:p>
    <w:p w:rsidR="003A181D" w:rsidRDefault="003A181D" w:rsidP="003A181D">
      <w:pPr>
        <w:pStyle w:val="textstyle0"/>
      </w:pPr>
      <w:r>
        <w:tab/>
        <w:t xml:space="preserve">O.A.C. Rule 4901:1-10-02 (A)(1) states that the Electric Service and Safety Standards (including the electric reliability standards) are intended to be </w:t>
      </w:r>
      <w:r w:rsidRPr="00172688">
        <w:rPr>
          <w:u w:val="single"/>
        </w:rPr>
        <w:t>minimum</w:t>
      </w:r>
      <w:r>
        <w:t xml:space="preserve"> standards.  Staff believes this means that reliability standards should reflect a minimum level of acceptable reliability by allowing performance to fluctuate around an historical average.  Staff is aware that a major factor driving reliability performance is the number of large but non-excludable storms that the utility experiences during the year, and Staff believes that reliability standards should allow some performance variation associated with this and other uncontrollable factors.  Consistent with past practice, Staff believes that a 10-percent adder is sufficient to allow for such variation.  Staff therefore recom</w:t>
      </w:r>
      <w:r w:rsidR="005441DC">
        <w:softHyphen/>
      </w:r>
      <w:r>
        <w:t>mends that Duke’s five-year average performance be adjusted by 10 percent to calculate its CAIDI standard.</w:t>
      </w:r>
    </w:p>
    <w:p w:rsidR="003A181D" w:rsidRPr="00356445" w:rsidRDefault="003A181D" w:rsidP="003A181D">
      <w:pPr>
        <w:pStyle w:val="Heading2"/>
      </w:pPr>
      <w:bookmarkStart w:id="24" w:name="_Toc377471497"/>
      <w:r w:rsidRPr="00356445">
        <w:lastRenderedPageBreak/>
        <w:t xml:space="preserve">Duke’s </w:t>
      </w:r>
      <w:r>
        <w:t>current</w:t>
      </w:r>
      <w:r w:rsidRPr="00356445">
        <w:t xml:space="preserve"> CAIDI standards </w:t>
      </w:r>
      <w:r>
        <w:t xml:space="preserve">should </w:t>
      </w:r>
      <w:r w:rsidRPr="00356445">
        <w:t>be reduced for years 2014 and 2015.</w:t>
      </w:r>
      <w:bookmarkEnd w:id="24"/>
    </w:p>
    <w:p w:rsidR="003A181D" w:rsidRDefault="003A181D" w:rsidP="003A181D">
      <w:pPr>
        <w:pStyle w:val="textstyle0"/>
      </w:pPr>
      <w:r>
        <w:tab/>
        <w:t>Based on its comments in Paragraphs 2 through 7 above, Staff recommends that Duke’s CAIDI standard be calculated as follows.</w:t>
      </w:r>
    </w:p>
    <w:p w:rsidR="003A181D" w:rsidRDefault="003A181D" w:rsidP="003A181D">
      <w:pPr>
        <w:pStyle w:val="NoSpacing"/>
        <w:spacing w:after="0" w:line="240" w:lineRule="auto"/>
        <w:ind w:left="360" w:hanging="360"/>
        <w:rPr>
          <w:sz w:val="24"/>
          <w:szCs w:val="24"/>
        </w:rPr>
      </w:pPr>
    </w:p>
    <w:tbl>
      <w:tblPr>
        <w:tblW w:w="5400" w:type="dxa"/>
        <w:tblInd w:w="2178" w:type="dxa"/>
        <w:tblLook w:val="04A0" w:firstRow="1" w:lastRow="0" w:firstColumn="1" w:lastColumn="0" w:noHBand="0" w:noVBand="1"/>
      </w:tblPr>
      <w:tblGrid>
        <w:gridCol w:w="810"/>
        <w:gridCol w:w="2430"/>
        <w:gridCol w:w="2160"/>
      </w:tblGrid>
      <w:tr w:rsidR="003A181D" w:rsidRPr="00F023A0" w:rsidTr="005441DC">
        <w:trPr>
          <w:trHeight w:val="315"/>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sz w:val="24"/>
                <w:szCs w:val="24"/>
              </w:rPr>
            </w:pPr>
            <w:r w:rsidRPr="00F023A0">
              <w:rPr>
                <w:sz w:val="24"/>
                <w:szCs w:val="24"/>
              </w:rPr>
              <w:t>Staff's Calculation of Duke's CAIDI Standard</w:t>
            </w:r>
          </w:p>
        </w:tc>
      </w:tr>
      <w:tr w:rsidR="003A181D" w:rsidRPr="00F023A0" w:rsidTr="005441DC">
        <w:trPr>
          <w:trHeight w:val="70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sz w:val="24"/>
                <w:szCs w:val="24"/>
              </w:rPr>
            </w:pPr>
            <w:r w:rsidRPr="00F023A0">
              <w:rPr>
                <w:sz w:val="24"/>
                <w:szCs w:val="24"/>
              </w:rPr>
              <w:t>Year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81D" w:rsidRPr="00F023A0" w:rsidRDefault="003A181D" w:rsidP="00D67CC3">
            <w:pPr>
              <w:pStyle w:val="Caption"/>
              <w:jc w:val="center"/>
              <w:rPr>
                <w:sz w:val="24"/>
                <w:szCs w:val="24"/>
              </w:rPr>
            </w:pPr>
            <w:r w:rsidRPr="00F023A0">
              <w:rPr>
                <w:sz w:val="24"/>
                <w:szCs w:val="24"/>
              </w:rPr>
              <w:t>Company's Reported Historical Performance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81D" w:rsidRPr="00F023A0" w:rsidRDefault="003A181D" w:rsidP="003A181D">
            <w:pPr>
              <w:pStyle w:val="Caption"/>
              <w:jc w:val="center"/>
              <w:rPr>
                <w:sz w:val="24"/>
                <w:szCs w:val="24"/>
              </w:rPr>
            </w:pPr>
            <w:r w:rsidRPr="00F023A0">
              <w:rPr>
                <w:sz w:val="24"/>
                <w:szCs w:val="24"/>
              </w:rPr>
              <w:t xml:space="preserve">Staff's Calculated Performance </w:t>
            </w:r>
            <w:r>
              <w:rPr>
                <w:rStyle w:val="FootnoteReference"/>
                <w:sz w:val="24"/>
                <w:szCs w:val="24"/>
              </w:rPr>
              <w:footnoteReference w:id="3"/>
            </w:r>
          </w:p>
        </w:tc>
      </w:tr>
      <w:tr w:rsidR="003A181D" w:rsidRPr="00F023A0" w:rsidTr="005441DC">
        <w:trPr>
          <w:trHeight w:val="31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sz w:val="24"/>
                <w:szCs w:val="24"/>
              </w:rPr>
            </w:pPr>
            <w:r w:rsidRPr="00F023A0">
              <w:rPr>
                <w:sz w:val="24"/>
                <w:szCs w:val="24"/>
              </w:rPr>
              <w:t>2009</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b w:val="0"/>
                <w:sz w:val="24"/>
                <w:szCs w:val="24"/>
              </w:rPr>
            </w:pPr>
            <w:r w:rsidRPr="00F023A0">
              <w:rPr>
                <w:b w:val="0"/>
                <w:sz w:val="24"/>
                <w:szCs w:val="24"/>
              </w:rPr>
              <w:t>99.19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b w:val="0"/>
                <w:sz w:val="24"/>
                <w:szCs w:val="24"/>
              </w:rPr>
            </w:pPr>
            <w:r w:rsidRPr="00F023A0">
              <w:rPr>
                <w:b w:val="0"/>
                <w:sz w:val="24"/>
                <w:szCs w:val="24"/>
              </w:rPr>
              <w:t>97.25</w:t>
            </w:r>
          </w:p>
        </w:tc>
      </w:tr>
      <w:tr w:rsidR="003A181D" w:rsidRPr="00F023A0" w:rsidTr="005441DC">
        <w:trPr>
          <w:trHeight w:val="31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sz w:val="24"/>
                <w:szCs w:val="24"/>
              </w:rPr>
            </w:pPr>
            <w:r w:rsidRPr="00F023A0">
              <w:rPr>
                <w:sz w:val="24"/>
                <w:szCs w:val="24"/>
              </w:rPr>
              <w:t>2010</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b w:val="0"/>
                <w:sz w:val="24"/>
                <w:szCs w:val="24"/>
              </w:rPr>
            </w:pPr>
            <w:r w:rsidRPr="00F023A0">
              <w:rPr>
                <w:b w:val="0"/>
                <w:sz w:val="24"/>
                <w:szCs w:val="24"/>
              </w:rPr>
              <w:t>110.85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b w:val="0"/>
                <w:sz w:val="24"/>
                <w:szCs w:val="24"/>
              </w:rPr>
            </w:pPr>
            <w:r w:rsidRPr="00F023A0">
              <w:rPr>
                <w:b w:val="0"/>
                <w:sz w:val="24"/>
                <w:szCs w:val="24"/>
              </w:rPr>
              <w:t>108.79</w:t>
            </w:r>
          </w:p>
        </w:tc>
      </w:tr>
      <w:tr w:rsidR="003A181D" w:rsidRPr="00F023A0" w:rsidTr="005441DC">
        <w:trPr>
          <w:trHeight w:val="31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sz w:val="24"/>
                <w:szCs w:val="24"/>
              </w:rPr>
            </w:pPr>
            <w:r w:rsidRPr="00F023A0">
              <w:rPr>
                <w:sz w:val="24"/>
                <w:szCs w:val="24"/>
              </w:rPr>
              <w:t>2011</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b w:val="0"/>
                <w:sz w:val="24"/>
                <w:szCs w:val="24"/>
              </w:rPr>
            </w:pPr>
            <w:r w:rsidRPr="00F023A0">
              <w:rPr>
                <w:b w:val="0"/>
                <w:sz w:val="24"/>
                <w:szCs w:val="24"/>
              </w:rPr>
              <w:t>107.00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b w:val="0"/>
                <w:sz w:val="24"/>
                <w:szCs w:val="24"/>
              </w:rPr>
            </w:pPr>
            <w:r w:rsidRPr="00F023A0">
              <w:rPr>
                <w:b w:val="0"/>
                <w:sz w:val="24"/>
                <w:szCs w:val="24"/>
              </w:rPr>
              <w:t>104.97</w:t>
            </w:r>
          </w:p>
        </w:tc>
      </w:tr>
      <w:tr w:rsidR="003A181D" w:rsidRPr="00F023A0" w:rsidTr="005441DC">
        <w:trPr>
          <w:trHeight w:val="31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sz w:val="24"/>
                <w:szCs w:val="24"/>
              </w:rPr>
            </w:pPr>
            <w:r w:rsidRPr="00F023A0">
              <w:rPr>
                <w:sz w:val="24"/>
                <w:szCs w:val="24"/>
              </w:rPr>
              <w:t>2012</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b w:val="0"/>
                <w:sz w:val="24"/>
                <w:szCs w:val="24"/>
              </w:rPr>
            </w:pPr>
            <w:r w:rsidRPr="00F023A0">
              <w:rPr>
                <w:b w:val="0"/>
                <w:sz w:val="24"/>
                <w:szCs w:val="24"/>
              </w:rPr>
              <w:t>103.26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b w:val="0"/>
                <w:sz w:val="24"/>
                <w:szCs w:val="24"/>
              </w:rPr>
            </w:pPr>
            <w:r w:rsidRPr="00F023A0">
              <w:rPr>
                <w:b w:val="0"/>
                <w:sz w:val="24"/>
                <w:szCs w:val="24"/>
              </w:rPr>
              <w:t>103.29</w:t>
            </w:r>
          </w:p>
        </w:tc>
      </w:tr>
      <w:tr w:rsidR="003A181D" w:rsidRPr="00F023A0" w:rsidTr="005441DC">
        <w:trPr>
          <w:trHeight w:val="31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sz w:val="24"/>
                <w:szCs w:val="24"/>
              </w:rPr>
            </w:pPr>
            <w:r w:rsidRPr="00F023A0">
              <w:rPr>
                <w:sz w:val="24"/>
                <w:szCs w:val="24"/>
              </w:rPr>
              <w:t>2013</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b w:val="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b w:val="0"/>
                <w:sz w:val="24"/>
                <w:szCs w:val="24"/>
              </w:rPr>
            </w:pPr>
            <w:r w:rsidRPr="00F023A0">
              <w:rPr>
                <w:b w:val="0"/>
                <w:sz w:val="24"/>
                <w:szCs w:val="24"/>
              </w:rPr>
              <w:t>116.39</w:t>
            </w:r>
          </w:p>
        </w:tc>
      </w:tr>
      <w:tr w:rsidR="003A181D" w:rsidRPr="00F023A0" w:rsidTr="005441DC">
        <w:trPr>
          <w:trHeight w:val="40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181D" w:rsidRPr="00F023A0" w:rsidRDefault="003A181D" w:rsidP="00D67CC3">
            <w:pPr>
              <w:pStyle w:val="Caption"/>
              <w:jc w:val="center"/>
              <w:rPr>
                <w:sz w:val="24"/>
                <w:szCs w:val="24"/>
              </w:rPr>
            </w:pPr>
            <w:r w:rsidRPr="00F023A0">
              <w:rPr>
                <w:sz w:val="24"/>
                <w:szCs w:val="24"/>
              </w:rPr>
              <w:t>5-Year Average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b w:val="0"/>
                <w:sz w:val="24"/>
                <w:szCs w:val="24"/>
              </w:rPr>
            </w:pPr>
            <w:r w:rsidRPr="00F023A0">
              <w:rPr>
                <w:b w:val="0"/>
                <w:sz w:val="24"/>
                <w:szCs w:val="24"/>
              </w:rPr>
              <w:t>106.14</w:t>
            </w:r>
          </w:p>
        </w:tc>
      </w:tr>
      <w:tr w:rsidR="003A181D" w:rsidRPr="00F023A0" w:rsidTr="005441DC">
        <w:trPr>
          <w:trHeight w:val="43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181D" w:rsidRPr="00F023A0" w:rsidRDefault="003A181D" w:rsidP="00D67CC3">
            <w:pPr>
              <w:pStyle w:val="Caption"/>
              <w:jc w:val="center"/>
              <w:rPr>
                <w:sz w:val="24"/>
                <w:szCs w:val="24"/>
              </w:rPr>
            </w:pPr>
            <w:r w:rsidRPr="00F023A0">
              <w:rPr>
                <w:sz w:val="24"/>
                <w:szCs w:val="24"/>
              </w:rPr>
              <w:t>10 % Variance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b w:val="0"/>
                <w:sz w:val="24"/>
                <w:szCs w:val="24"/>
              </w:rPr>
            </w:pPr>
            <w:r w:rsidRPr="00F023A0">
              <w:rPr>
                <w:b w:val="0"/>
                <w:sz w:val="24"/>
                <w:szCs w:val="24"/>
              </w:rPr>
              <w:t>10.61</w:t>
            </w:r>
          </w:p>
        </w:tc>
      </w:tr>
      <w:tr w:rsidR="003A181D" w:rsidRPr="00F023A0" w:rsidTr="005441DC">
        <w:trPr>
          <w:trHeight w:val="46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181D" w:rsidRPr="00F023A0" w:rsidRDefault="003A181D" w:rsidP="00D67CC3">
            <w:pPr>
              <w:pStyle w:val="Caption"/>
              <w:jc w:val="center"/>
              <w:rPr>
                <w:sz w:val="24"/>
                <w:szCs w:val="24"/>
              </w:rPr>
            </w:pPr>
            <w:r w:rsidRPr="00F023A0">
              <w:rPr>
                <w:sz w:val="24"/>
                <w:szCs w:val="24"/>
              </w:rPr>
              <w:t>Proposed Standard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1D" w:rsidRPr="00F023A0" w:rsidRDefault="003A181D" w:rsidP="00D67CC3">
            <w:pPr>
              <w:pStyle w:val="Caption"/>
              <w:jc w:val="center"/>
              <w:rPr>
                <w:sz w:val="24"/>
                <w:szCs w:val="24"/>
              </w:rPr>
            </w:pPr>
            <w:r w:rsidRPr="00F023A0">
              <w:rPr>
                <w:sz w:val="24"/>
                <w:szCs w:val="24"/>
              </w:rPr>
              <w:t>116.75</w:t>
            </w:r>
          </w:p>
        </w:tc>
      </w:tr>
    </w:tbl>
    <w:p w:rsidR="003A181D" w:rsidRDefault="003A181D" w:rsidP="003A181D">
      <w:pPr>
        <w:pStyle w:val="NoSpacing"/>
        <w:spacing w:after="0" w:line="240" w:lineRule="auto"/>
        <w:ind w:left="360" w:hanging="360"/>
        <w:rPr>
          <w:sz w:val="24"/>
          <w:szCs w:val="24"/>
        </w:rPr>
      </w:pPr>
    </w:p>
    <w:p w:rsidR="003A181D" w:rsidRPr="00FE60E0" w:rsidRDefault="003A181D" w:rsidP="003A181D">
      <w:pPr>
        <w:ind w:left="720" w:hanging="360"/>
        <w:rPr>
          <w:sz w:val="24"/>
          <w:szCs w:val="24"/>
        </w:rPr>
      </w:pPr>
    </w:p>
    <w:p w:rsidR="003A181D" w:rsidRDefault="003A181D" w:rsidP="003A181D">
      <w:pPr>
        <w:pStyle w:val="textstyle0"/>
      </w:pPr>
      <w:r>
        <w:t>The CAIDI standard Staff recommends above should be established for years 2014 and 2015, and should remain in effect until the Commission approves new standards for Duke.</w:t>
      </w:r>
    </w:p>
    <w:p w:rsidR="003A181D" w:rsidRPr="00F023A0" w:rsidRDefault="003A181D" w:rsidP="003A181D">
      <w:pPr>
        <w:pStyle w:val="Heading2"/>
      </w:pPr>
      <w:bookmarkStart w:id="25" w:name="_Toc377471498"/>
      <w:r w:rsidRPr="00F023A0">
        <w:lastRenderedPageBreak/>
        <w:t>Below is a comparison of current vs. proposed CAIDI standards.</w:t>
      </w:r>
      <w:bookmarkEnd w:id="25"/>
    </w:p>
    <w:p w:rsidR="003A181D" w:rsidRDefault="003A181D" w:rsidP="003A181D">
      <w:pPr>
        <w:pStyle w:val="NoSpacing"/>
        <w:spacing w:after="0" w:line="240" w:lineRule="auto"/>
        <w:ind w:left="360" w:hanging="360"/>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304"/>
        <w:gridCol w:w="2304"/>
        <w:gridCol w:w="2304"/>
      </w:tblGrid>
      <w:tr w:rsidR="003A181D" w:rsidRPr="00F023A0" w:rsidTr="00D67CC3">
        <w:tc>
          <w:tcPr>
            <w:tcW w:w="9108" w:type="dxa"/>
            <w:gridSpan w:val="4"/>
          </w:tcPr>
          <w:p w:rsidR="003A181D" w:rsidRPr="00F023A0" w:rsidRDefault="003A181D" w:rsidP="00D67CC3">
            <w:pPr>
              <w:pStyle w:val="Caption"/>
              <w:spacing w:line="240" w:lineRule="auto"/>
              <w:jc w:val="center"/>
              <w:rPr>
                <w:sz w:val="24"/>
                <w:szCs w:val="24"/>
              </w:rPr>
            </w:pPr>
            <w:r w:rsidRPr="00F023A0">
              <w:rPr>
                <w:sz w:val="24"/>
                <w:szCs w:val="24"/>
              </w:rPr>
              <w:t>Duke’s Current CAIDI Standards</w:t>
            </w:r>
          </w:p>
        </w:tc>
      </w:tr>
      <w:tr w:rsidR="003A181D" w:rsidRPr="00F023A0" w:rsidTr="00D67CC3">
        <w:tc>
          <w:tcPr>
            <w:tcW w:w="2196" w:type="dxa"/>
          </w:tcPr>
          <w:p w:rsidR="003A181D" w:rsidRPr="00F023A0" w:rsidRDefault="003A181D" w:rsidP="00D67CC3">
            <w:pPr>
              <w:pStyle w:val="Caption"/>
              <w:spacing w:line="240" w:lineRule="auto"/>
              <w:jc w:val="center"/>
              <w:rPr>
                <w:sz w:val="24"/>
                <w:szCs w:val="24"/>
              </w:rPr>
            </w:pPr>
            <w:r w:rsidRPr="00F023A0">
              <w:rPr>
                <w:sz w:val="24"/>
                <w:szCs w:val="24"/>
              </w:rPr>
              <w:t>2013</w:t>
            </w:r>
          </w:p>
        </w:tc>
        <w:tc>
          <w:tcPr>
            <w:tcW w:w="2304" w:type="dxa"/>
          </w:tcPr>
          <w:p w:rsidR="003A181D" w:rsidRPr="00F023A0" w:rsidRDefault="003A181D" w:rsidP="00D67CC3">
            <w:pPr>
              <w:pStyle w:val="Caption"/>
              <w:spacing w:line="240" w:lineRule="auto"/>
              <w:jc w:val="center"/>
              <w:rPr>
                <w:sz w:val="24"/>
                <w:szCs w:val="24"/>
              </w:rPr>
            </w:pPr>
            <w:r w:rsidRPr="00F023A0">
              <w:rPr>
                <w:sz w:val="24"/>
                <w:szCs w:val="24"/>
              </w:rPr>
              <w:t>2014</w:t>
            </w:r>
          </w:p>
        </w:tc>
        <w:tc>
          <w:tcPr>
            <w:tcW w:w="2304" w:type="dxa"/>
          </w:tcPr>
          <w:p w:rsidR="003A181D" w:rsidRPr="00F023A0" w:rsidRDefault="003A181D" w:rsidP="00D67CC3">
            <w:pPr>
              <w:pStyle w:val="Caption"/>
              <w:spacing w:line="240" w:lineRule="auto"/>
              <w:jc w:val="center"/>
              <w:rPr>
                <w:sz w:val="24"/>
                <w:szCs w:val="24"/>
              </w:rPr>
            </w:pPr>
            <w:r w:rsidRPr="00F023A0">
              <w:rPr>
                <w:sz w:val="24"/>
                <w:szCs w:val="24"/>
              </w:rPr>
              <w:t>2015</w:t>
            </w:r>
          </w:p>
        </w:tc>
        <w:tc>
          <w:tcPr>
            <w:tcW w:w="2304" w:type="dxa"/>
          </w:tcPr>
          <w:p w:rsidR="003A181D" w:rsidRPr="00F023A0" w:rsidRDefault="003A181D" w:rsidP="00D67CC3">
            <w:pPr>
              <w:pStyle w:val="Caption"/>
              <w:spacing w:line="240" w:lineRule="auto"/>
              <w:jc w:val="center"/>
              <w:rPr>
                <w:sz w:val="24"/>
                <w:szCs w:val="24"/>
              </w:rPr>
            </w:pPr>
            <w:r w:rsidRPr="00F023A0">
              <w:rPr>
                <w:sz w:val="24"/>
                <w:szCs w:val="24"/>
              </w:rPr>
              <w:t>2016</w:t>
            </w:r>
          </w:p>
        </w:tc>
      </w:tr>
      <w:tr w:rsidR="003A181D" w:rsidRPr="00F023A0" w:rsidTr="00D67CC3">
        <w:tc>
          <w:tcPr>
            <w:tcW w:w="2196" w:type="dxa"/>
          </w:tcPr>
          <w:p w:rsidR="003A181D" w:rsidRPr="00F023A0" w:rsidRDefault="003A181D" w:rsidP="00D67CC3">
            <w:pPr>
              <w:pStyle w:val="Caption"/>
              <w:spacing w:line="240" w:lineRule="auto"/>
              <w:jc w:val="center"/>
              <w:rPr>
                <w:b w:val="0"/>
                <w:sz w:val="24"/>
                <w:szCs w:val="24"/>
              </w:rPr>
            </w:pPr>
            <w:r w:rsidRPr="00F023A0">
              <w:rPr>
                <w:b w:val="0"/>
                <w:sz w:val="24"/>
                <w:szCs w:val="24"/>
              </w:rPr>
              <w:t>118.14</w:t>
            </w:r>
          </w:p>
        </w:tc>
        <w:tc>
          <w:tcPr>
            <w:tcW w:w="2304" w:type="dxa"/>
          </w:tcPr>
          <w:p w:rsidR="003A181D" w:rsidRPr="00F023A0" w:rsidRDefault="003A181D" w:rsidP="00D67CC3">
            <w:pPr>
              <w:pStyle w:val="Caption"/>
              <w:spacing w:line="240" w:lineRule="auto"/>
              <w:jc w:val="center"/>
              <w:rPr>
                <w:b w:val="0"/>
                <w:sz w:val="24"/>
                <w:szCs w:val="24"/>
              </w:rPr>
            </w:pPr>
            <w:r w:rsidRPr="00F023A0">
              <w:rPr>
                <w:b w:val="0"/>
                <w:sz w:val="24"/>
                <w:szCs w:val="24"/>
              </w:rPr>
              <w:t>121.25</w:t>
            </w:r>
          </w:p>
        </w:tc>
        <w:tc>
          <w:tcPr>
            <w:tcW w:w="2304" w:type="dxa"/>
          </w:tcPr>
          <w:p w:rsidR="003A181D" w:rsidRPr="00F023A0" w:rsidRDefault="003A181D" w:rsidP="00D67CC3">
            <w:pPr>
              <w:pStyle w:val="Caption"/>
              <w:spacing w:line="240" w:lineRule="auto"/>
              <w:jc w:val="center"/>
              <w:rPr>
                <w:b w:val="0"/>
                <w:sz w:val="24"/>
                <w:szCs w:val="24"/>
              </w:rPr>
            </w:pPr>
            <w:r w:rsidRPr="00F023A0">
              <w:rPr>
                <w:b w:val="0"/>
                <w:sz w:val="24"/>
                <w:szCs w:val="24"/>
              </w:rPr>
              <w:t>124.37</w:t>
            </w:r>
          </w:p>
        </w:tc>
        <w:tc>
          <w:tcPr>
            <w:tcW w:w="2304" w:type="dxa"/>
          </w:tcPr>
          <w:p w:rsidR="003A181D" w:rsidRPr="00F023A0" w:rsidRDefault="003A181D" w:rsidP="00D67CC3">
            <w:pPr>
              <w:pStyle w:val="Caption"/>
              <w:spacing w:line="240" w:lineRule="auto"/>
              <w:jc w:val="center"/>
              <w:rPr>
                <w:b w:val="0"/>
                <w:sz w:val="24"/>
                <w:szCs w:val="24"/>
              </w:rPr>
            </w:pPr>
            <w:r w:rsidRPr="00F023A0">
              <w:rPr>
                <w:b w:val="0"/>
                <w:sz w:val="24"/>
                <w:szCs w:val="24"/>
              </w:rPr>
              <w:t>124.37</w:t>
            </w:r>
          </w:p>
        </w:tc>
      </w:tr>
    </w:tbl>
    <w:p w:rsidR="003A181D" w:rsidRPr="00F023A0" w:rsidRDefault="003A181D" w:rsidP="003A181D">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304"/>
        <w:gridCol w:w="2304"/>
        <w:gridCol w:w="2304"/>
      </w:tblGrid>
      <w:tr w:rsidR="003A181D" w:rsidRPr="00F023A0" w:rsidTr="00D67CC3">
        <w:tc>
          <w:tcPr>
            <w:tcW w:w="9108" w:type="dxa"/>
            <w:gridSpan w:val="4"/>
          </w:tcPr>
          <w:p w:rsidR="003A181D" w:rsidRPr="00F023A0" w:rsidRDefault="003A181D" w:rsidP="00D67CC3">
            <w:pPr>
              <w:pStyle w:val="Caption"/>
              <w:spacing w:line="240" w:lineRule="auto"/>
              <w:jc w:val="center"/>
              <w:rPr>
                <w:sz w:val="24"/>
                <w:szCs w:val="24"/>
              </w:rPr>
            </w:pPr>
            <w:r w:rsidRPr="00F023A0">
              <w:rPr>
                <w:sz w:val="24"/>
                <w:szCs w:val="24"/>
              </w:rPr>
              <w:t>Duke’s Proposed CAIDI Standards</w:t>
            </w:r>
          </w:p>
        </w:tc>
      </w:tr>
      <w:tr w:rsidR="003A181D" w:rsidRPr="00F023A0" w:rsidTr="00D67CC3">
        <w:tc>
          <w:tcPr>
            <w:tcW w:w="2196" w:type="dxa"/>
          </w:tcPr>
          <w:p w:rsidR="003A181D" w:rsidRPr="00F023A0" w:rsidRDefault="003A181D" w:rsidP="00D67CC3">
            <w:pPr>
              <w:pStyle w:val="Caption"/>
              <w:spacing w:line="240" w:lineRule="auto"/>
              <w:jc w:val="center"/>
              <w:rPr>
                <w:sz w:val="24"/>
                <w:szCs w:val="24"/>
              </w:rPr>
            </w:pPr>
            <w:r w:rsidRPr="00F023A0">
              <w:rPr>
                <w:sz w:val="24"/>
                <w:szCs w:val="24"/>
              </w:rPr>
              <w:t>2013</w:t>
            </w:r>
          </w:p>
        </w:tc>
        <w:tc>
          <w:tcPr>
            <w:tcW w:w="2304" w:type="dxa"/>
          </w:tcPr>
          <w:p w:rsidR="003A181D" w:rsidRPr="00F023A0" w:rsidRDefault="003A181D" w:rsidP="00D67CC3">
            <w:pPr>
              <w:pStyle w:val="Caption"/>
              <w:spacing w:line="240" w:lineRule="auto"/>
              <w:jc w:val="center"/>
              <w:rPr>
                <w:sz w:val="24"/>
                <w:szCs w:val="24"/>
              </w:rPr>
            </w:pPr>
            <w:r w:rsidRPr="00F023A0">
              <w:rPr>
                <w:sz w:val="24"/>
                <w:szCs w:val="24"/>
              </w:rPr>
              <w:t>2014</w:t>
            </w:r>
          </w:p>
        </w:tc>
        <w:tc>
          <w:tcPr>
            <w:tcW w:w="2304" w:type="dxa"/>
          </w:tcPr>
          <w:p w:rsidR="003A181D" w:rsidRPr="00F023A0" w:rsidRDefault="003A181D" w:rsidP="00D67CC3">
            <w:pPr>
              <w:pStyle w:val="Caption"/>
              <w:spacing w:line="240" w:lineRule="auto"/>
              <w:jc w:val="center"/>
              <w:rPr>
                <w:sz w:val="24"/>
                <w:szCs w:val="24"/>
              </w:rPr>
            </w:pPr>
            <w:r w:rsidRPr="00F023A0">
              <w:rPr>
                <w:sz w:val="24"/>
                <w:szCs w:val="24"/>
              </w:rPr>
              <w:t>2015</w:t>
            </w:r>
          </w:p>
        </w:tc>
        <w:tc>
          <w:tcPr>
            <w:tcW w:w="2304" w:type="dxa"/>
          </w:tcPr>
          <w:p w:rsidR="003A181D" w:rsidRPr="00F023A0" w:rsidRDefault="003A181D" w:rsidP="00D67CC3">
            <w:pPr>
              <w:pStyle w:val="Caption"/>
              <w:spacing w:line="240" w:lineRule="auto"/>
              <w:jc w:val="center"/>
              <w:rPr>
                <w:sz w:val="24"/>
                <w:szCs w:val="24"/>
              </w:rPr>
            </w:pPr>
            <w:r w:rsidRPr="00F023A0">
              <w:rPr>
                <w:sz w:val="24"/>
                <w:szCs w:val="24"/>
              </w:rPr>
              <w:t>2016</w:t>
            </w:r>
          </w:p>
        </w:tc>
      </w:tr>
      <w:tr w:rsidR="003A181D" w:rsidRPr="00F023A0" w:rsidTr="00D67CC3">
        <w:tc>
          <w:tcPr>
            <w:tcW w:w="2196" w:type="dxa"/>
          </w:tcPr>
          <w:p w:rsidR="003A181D" w:rsidRPr="00F023A0" w:rsidRDefault="003A181D" w:rsidP="00D67CC3">
            <w:pPr>
              <w:pStyle w:val="Caption"/>
              <w:spacing w:line="240" w:lineRule="auto"/>
              <w:jc w:val="center"/>
              <w:rPr>
                <w:b w:val="0"/>
                <w:sz w:val="24"/>
                <w:szCs w:val="24"/>
              </w:rPr>
            </w:pPr>
            <w:r w:rsidRPr="00F023A0">
              <w:rPr>
                <w:b w:val="0"/>
                <w:sz w:val="24"/>
                <w:szCs w:val="24"/>
              </w:rPr>
              <w:t>118.14</w:t>
            </w:r>
          </w:p>
        </w:tc>
        <w:tc>
          <w:tcPr>
            <w:tcW w:w="2304" w:type="dxa"/>
          </w:tcPr>
          <w:p w:rsidR="003A181D" w:rsidRPr="00F023A0" w:rsidRDefault="003A181D" w:rsidP="00D67CC3">
            <w:pPr>
              <w:pStyle w:val="Caption"/>
              <w:spacing w:line="240" w:lineRule="auto"/>
              <w:jc w:val="center"/>
              <w:rPr>
                <w:b w:val="0"/>
                <w:sz w:val="24"/>
                <w:szCs w:val="24"/>
              </w:rPr>
            </w:pPr>
            <w:r w:rsidRPr="00F023A0">
              <w:rPr>
                <w:b w:val="0"/>
                <w:sz w:val="24"/>
                <w:szCs w:val="24"/>
              </w:rPr>
              <w:t>121.25</w:t>
            </w:r>
          </w:p>
        </w:tc>
        <w:tc>
          <w:tcPr>
            <w:tcW w:w="2304" w:type="dxa"/>
          </w:tcPr>
          <w:p w:rsidR="003A181D" w:rsidRPr="00F023A0" w:rsidRDefault="003A181D" w:rsidP="00D67CC3">
            <w:pPr>
              <w:pStyle w:val="Caption"/>
              <w:spacing w:line="240" w:lineRule="auto"/>
              <w:jc w:val="center"/>
              <w:rPr>
                <w:b w:val="0"/>
                <w:sz w:val="24"/>
                <w:szCs w:val="24"/>
              </w:rPr>
            </w:pPr>
            <w:r w:rsidRPr="00F023A0">
              <w:rPr>
                <w:b w:val="0"/>
                <w:sz w:val="24"/>
                <w:szCs w:val="24"/>
              </w:rPr>
              <w:t>124.37</w:t>
            </w:r>
          </w:p>
        </w:tc>
        <w:tc>
          <w:tcPr>
            <w:tcW w:w="2304" w:type="dxa"/>
          </w:tcPr>
          <w:p w:rsidR="003A181D" w:rsidRPr="00F023A0" w:rsidRDefault="003A181D" w:rsidP="00D67CC3">
            <w:pPr>
              <w:pStyle w:val="Caption"/>
              <w:spacing w:line="240" w:lineRule="auto"/>
              <w:jc w:val="center"/>
              <w:rPr>
                <w:b w:val="0"/>
                <w:sz w:val="24"/>
                <w:szCs w:val="24"/>
              </w:rPr>
            </w:pPr>
            <w:r w:rsidRPr="00F023A0">
              <w:rPr>
                <w:b w:val="0"/>
                <w:sz w:val="24"/>
                <w:szCs w:val="24"/>
              </w:rPr>
              <w:t>127.37</w:t>
            </w:r>
          </w:p>
        </w:tc>
      </w:tr>
    </w:tbl>
    <w:p w:rsidR="003A181D" w:rsidRPr="00F023A0" w:rsidRDefault="003A181D" w:rsidP="003A181D">
      <w:pPr>
        <w:pStyle w:val="Caption"/>
        <w:spacing w:line="240" w:lineRule="auto"/>
        <w:jc w:val="cente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304"/>
        <w:gridCol w:w="2304"/>
        <w:gridCol w:w="2304"/>
      </w:tblGrid>
      <w:tr w:rsidR="003A181D" w:rsidRPr="00F023A0" w:rsidTr="00D67CC3">
        <w:tc>
          <w:tcPr>
            <w:tcW w:w="9108" w:type="dxa"/>
            <w:gridSpan w:val="4"/>
          </w:tcPr>
          <w:p w:rsidR="003A181D" w:rsidRPr="00F023A0" w:rsidRDefault="003A181D" w:rsidP="00D67CC3">
            <w:pPr>
              <w:pStyle w:val="Caption"/>
              <w:spacing w:line="240" w:lineRule="auto"/>
              <w:jc w:val="center"/>
              <w:rPr>
                <w:sz w:val="24"/>
                <w:szCs w:val="24"/>
              </w:rPr>
            </w:pPr>
            <w:r w:rsidRPr="00F023A0">
              <w:rPr>
                <w:sz w:val="24"/>
                <w:szCs w:val="24"/>
              </w:rPr>
              <w:t>Staff’s Recommended CAIDI Standards</w:t>
            </w:r>
          </w:p>
        </w:tc>
      </w:tr>
      <w:tr w:rsidR="003A181D" w:rsidRPr="00F023A0" w:rsidTr="00D67CC3">
        <w:tc>
          <w:tcPr>
            <w:tcW w:w="2196" w:type="dxa"/>
          </w:tcPr>
          <w:p w:rsidR="003A181D" w:rsidRPr="00F023A0" w:rsidRDefault="003A181D" w:rsidP="00D67CC3">
            <w:pPr>
              <w:pStyle w:val="Caption"/>
              <w:spacing w:line="240" w:lineRule="auto"/>
              <w:jc w:val="center"/>
              <w:rPr>
                <w:sz w:val="24"/>
                <w:szCs w:val="24"/>
              </w:rPr>
            </w:pPr>
            <w:r w:rsidRPr="00F023A0">
              <w:rPr>
                <w:sz w:val="24"/>
                <w:szCs w:val="24"/>
              </w:rPr>
              <w:t>2013</w:t>
            </w:r>
          </w:p>
        </w:tc>
        <w:tc>
          <w:tcPr>
            <w:tcW w:w="2304" w:type="dxa"/>
            <w:tcBorders>
              <w:bottom w:val="single" w:sz="4" w:space="0" w:color="auto"/>
            </w:tcBorders>
          </w:tcPr>
          <w:p w:rsidR="003A181D" w:rsidRPr="00F023A0" w:rsidRDefault="003A181D" w:rsidP="00D67CC3">
            <w:pPr>
              <w:pStyle w:val="Caption"/>
              <w:spacing w:line="240" w:lineRule="auto"/>
              <w:jc w:val="center"/>
              <w:rPr>
                <w:sz w:val="24"/>
                <w:szCs w:val="24"/>
              </w:rPr>
            </w:pPr>
            <w:r w:rsidRPr="00F023A0">
              <w:rPr>
                <w:sz w:val="24"/>
                <w:szCs w:val="24"/>
              </w:rPr>
              <w:t>2014</w:t>
            </w:r>
          </w:p>
        </w:tc>
        <w:tc>
          <w:tcPr>
            <w:tcW w:w="2304" w:type="dxa"/>
            <w:tcBorders>
              <w:bottom w:val="single" w:sz="4" w:space="0" w:color="auto"/>
            </w:tcBorders>
          </w:tcPr>
          <w:p w:rsidR="003A181D" w:rsidRPr="00F023A0" w:rsidRDefault="003A181D" w:rsidP="00D67CC3">
            <w:pPr>
              <w:pStyle w:val="Caption"/>
              <w:spacing w:line="240" w:lineRule="auto"/>
              <w:jc w:val="center"/>
              <w:rPr>
                <w:sz w:val="24"/>
                <w:szCs w:val="24"/>
              </w:rPr>
            </w:pPr>
            <w:r w:rsidRPr="00F023A0">
              <w:rPr>
                <w:sz w:val="24"/>
                <w:szCs w:val="24"/>
              </w:rPr>
              <w:t>2015</w:t>
            </w:r>
          </w:p>
        </w:tc>
        <w:tc>
          <w:tcPr>
            <w:tcW w:w="2304" w:type="dxa"/>
            <w:tcBorders>
              <w:bottom w:val="single" w:sz="4" w:space="0" w:color="auto"/>
            </w:tcBorders>
          </w:tcPr>
          <w:p w:rsidR="003A181D" w:rsidRPr="00F023A0" w:rsidRDefault="003A181D" w:rsidP="00D67CC3">
            <w:pPr>
              <w:pStyle w:val="Caption"/>
              <w:spacing w:line="240" w:lineRule="auto"/>
              <w:jc w:val="center"/>
              <w:rPr>
                <w:sz w:val="24"/>
                <w:szCs w:val="24"/>
              </w:rPr>
            </w:pPr>
            <w:r w:rsidRPr="00F023A0">
              <w:rPr>
                <w:sz w:val="24"/>
                <w:szCs w:val="24"/>
              </w:rPr>
              <w:t>2016</w:t>
            </w:r>
          </w:p>
        </w:tc>
      </w:tr>
      <w:tr w:rsidR="003A181D" w:rsidRPr="00F023A0" w:rsidTr="00D67CC3">
        <w:tc>
          <w:tcPr>
            <w:tcW w:w="2196" w:type="dxa"/>
            <w:vAlign w:val="center"/>
          </w:tcPr>
          <w:p w:rsidR="003A181D" w:rsidRPr="00F023A0" w:rsidRDefault="003A181D" w:rsidP="00D67CC3">
            <w:pPr>
              <w:pStyle w:val="Caption"/>
              <w:spacing w:line="240" w:lineRule="auto"/>
              <w:jc w:val="center"/>
              <w:rPr>
                <w:b w:val="0"/>
                <w:sz w:val="24"/>
                <w:szCs w:val="24"/>
              </w:rPr>
            </w:pPr>
            <w:r w:rsidRPr="00F023A0">
              <w:rPr>
                <w:b w:val="0"/>
                <w:sz w:val="24"/>
                <w:szCs w:val="24"/>
              </w:rPr>
              <w:t>118.14</w:t>
            </w:r>
          </w:p>
        </w:tc>
        <w:tc>
          <w:tcPr>
            <w:tcW w:w="2304" w:type="dxa"/>
            <w:shd w:val="clear" w:color="auto" w:fill="auto"/>
            <w:vAlign w:val="center"/>
          </w:tcPr>
          <w:p w:rsidR="003A181D" w:rsidRPr="00F023A0" w:rsidRDefault="003A181D" w:rsidP="00D67CC3">
            <w:pPr>
              <w:pStyle w:val="Caption"/>
              <w:spacing w:line="240" w:lineRule="auto"/>
              <w:jc w:val="center"/>
              <w:rPr>
                <w:b w:val="0"/>
                <w:sz w:val="24"/>
                <w:szCs w:val="24"/>
              </w:rPr>
            </w:pPr>
            <w:r w:rsidRPr="00F023A0">
              <w:rPr>
                <w:b w:val="0"/>
                <w:bCs/>
                <w:color w:val="000000"/>
                <w:sz w:val="24"/>
                <w:szCs w:val="24"/>
              </w:rPr>
              <w:t>116.75</w:t>
            </w:r>
          </w:p>
        </w:tc>
        <w:tc>
          <w:tcPr>
            <w:tcW w:w="2304" w:type="dxa"/>
            <w:shd w:val="clear" w:color="auto" w:fill="auto"/>
            <w:vAlign w:val="center"/>
          </w:tcPr>
          <w:p w:rsidR="003A181D" w:rsidRPr="00F023A0" w:rsidRDefault="003A181D" w:rsidP="00D67CC3">
            <w:pPr>
              <w:pStyle w:val="Caption"/>
              <w:jc w:val="center"/>
              <w:rPr>
                <w:b w:val="0"/>
                <w:sz w:val="24"/>
                <w:szCs w:val="24"/>
              </w:rPr>
            </w:pPr>
            <w:r w:rsidRPr="00F023A0">
              <w:rPr>
                <w:b w:val="0"/>
                <w:sz w:val="24"/>
                <w:szCs w:val="24"/>
              </w:rPr>
              <w:t>116.75</w:t>
            </w:r>
          </w:p>
        </w:tc>
        <w:tc>
          <w:tcPr>
            <w:tcW w:w="2304" w:type="dxa"/>
            <w:shd w:val="clear" w:color="auto" w:fill="auto"/>
            <w:vAlign w:val="center"/>
          </w:tcPr>
          <w:p w:rsidR="003A181D" w:rsidRPr="00F023A0" w:rsidRDefault="003A181D" w:rsidP="00D67CC3">
            <w:pPr>
              <w:pStyle w:val="Caption"/>
              <w:jc w:val="center"/>
              <w:rPr>
                <w:b w:val="0"/>
                <w:sz w:val="24"/>
                <w:szCs w:val="24"/>
              </w:rPr>
            </w:pPr>
            <w:r w:rsidRPr="00F023A0">
              <w:rPr>
                <w:b w:val="0"/>
                <w:sz w:val="24"/>
                <w:szCs w:val="24"/>
              </w:rPr>
              <w:t>116.75</w:t>
            </w:r>
          </w:p>
        </w:tc>
      </w:tr>
    </w:tbl>
    <w:p w:rsidR="003A181D" w:rsidRPr="00D205D2" w:rsidRDefault="003A181D" w:rsidP="003A181D">
      <w:pPr>
        <w:pStyle w:val="NoSpacing"/>
        <w:spacing w:after="0" w:line="240" w:lineRule="auto"/>
        <w:ind w:left="360" w:hanging="360"/>
        <w:rPr>
          <w:sz w:val="24"/>
          <w:szCs w:val="24"/>
        </w:rPr>
      </w:pPr>
    </w:p>
    <w:p w:rsidR="002A7920" w:rsidRDefault="002A7920" w:rsidP="002A7920">
      <w:pPr>
        <w:tabs>
          <w:tab w:val="left" w:pos="9348"/>
        </w:tabs>
        <w:ind w:left="5040"/>
        <w:rPr>
          <w:sz w:val="26"/>
          <w:szCs w:val="26"/>
        </w:rPr>
      </w:pPr>
    </w:p>
    <w:p w:rsidR="00200A0A" w:rsidRPr="0064436A" w:rsidRDefault="00200A0A" w:rsidP="007A2B5F">
      <w:pPr>
        <w:tabs>
          <w:tab w:val="left" w:pos="9348"/>
        </w:tabs>
        <w:spacing w:line="480" w:lineRule="auto"/>
        <w:ind w:left="5040"/>
        <w:rPr>
          <w:sz w:val="26"/>
          <w:szCs w:val="26"/>
        </w:rPr>
      </w:pPr>
      <w:r w:rsidRPr="0064436A">
        <w:rPr>
          <w:sz w:val="26"/>
          <w:szCs w:val="26"/>
        </w:rPr>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A7920" w:rsidP="00200A0A">
      <w:pPr>
        <w:tabs>
          <w:tab w:val="left" w:pos="9348"/>
        </w:tabs>
        <w:ind w:left="5040"/>
        <w:rPr>
          <w:sz w:val="26"/>
          <w:szCs w:val="26"/>
          <w:u w:val="single"/>
        </w:rPr>
      </w:pPr>
      <w:r w:rsidRPr="006A6459">
        <w:rPr>
          <w:rFonts w:ascii="Viner Hand ITC" w:hAnsi="Viner Hand ITC"/>
          <w:sz w:val="32"/>
          <w:szCs w:val="32"/>
          <w:u w:val="single"/>
        </w:rPr>
        <w:t>/s/ Thomas W. McNamee</w:t>
      </w:r>
      <w:r w:rsidR="00200A0A" w:rsidRPr="0064436A">
        <w:rPr>
          <w:sz w:val="26"/>
          <w:szCs w:val="26"/>
          <w:u w:val="single"/>
        </w:rPr>
        <w:tab/>
      </w:r>
    </w:p>
    <w:p w:rsidR="00E45A7D" w:rsidRPr="0064436A" w:rsidRDefault="003A181D" w:rsidP="00E45A7D">
      <w:pPr>
        <w:tabs>
          <w:tab w:val="left" w:pos="9348"/>
        </w:tabs>
        <w:ind w:left="5040"/>
        <w:rPr>
          <w:b/>
          <w:sz w:val="26"/>
          <w:szCs w:val="26"/>
        </w:rPr>
      </w:pPr>
      <w:r>
        <w:rPr>
          <w:b/>
          <w:sz w:val="26"/>
          <w:szCs w:val="26"/>
        </w:rPr>
        <w:t>Thomas W. McNamee</w:t>
      </w:r>
    </w:p>
    <w:p w:rsidR="00200A0A" w:rsidRPr="0064436A" w:rsidRDefault="00200A0A" w:rsidP="00200A0A">
      <w:pPr>
        <w:tabs>
          <w:tab w:val="left" w:pos="9348"/>
        </w:tabs>
        <w:ind w:left="5040"/>
        <w:rPr>
          <w:sz w:val="26"/>
          <w:szCs w:val="26"/>
        </w:rPr>
      </w:pPr>
      <w:r w:rsidRPr="0064436A">
        <w:rPr>
          <w:sz w:val="26"/>
          <w:szCs w:val="26"/>
        </w:rPr>
        <w:t>Assistant Attorney General</w:t>
      </w:r>
    </w:p>
    <w:p w:rsidR="00200A0A" w:rsidRPr="0064436A" w:rsidRDefault="00200A0A" w:rsidP="00200A0A">
      <w:pPr>
        <w:tabs>
          <w:tab w:val="left" w:pos="9348"/>
        </w:tabs>
        <w:ind w:left="5040"/>
        <w:rPr>
          <w:sz w:val="26"/>
          <w:szCs w:val="26"/>
        </w:rPr>
      </w:pPr>
      <w:r w:rsidRPr="0064436A">
        <w:rPr>
          <w:sz w:val="26"/>
          <w:szCs w:val="26"/>
        </w:rPr>
        <w:t>Public Utilities Section</w:t>
      </w:r>
    </w:p>
    <w:p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200A0A">
      <w:pPr>
        <w:tabs>
          <w:tab w:val="left" w:pos="9348"/>
        </w:tabs>
        <w:ind w:left="5040"/>
        <w:rPr>
          <w:sz w:val="26"/>
          <w:szCs w:val="26"/>
        </w:rPr>
      </w:pPr>
      <w:r w:rsidRPr="0064436A">
        <w:rPr>
          <w:sz w:val="26"/>
          <w:szCs w:val="26"/>
        </w:rPr>
        <w:t>Columbus, OH  43215-3793</w:t>
      </w:r>
    </w:p>
    <w:p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rsidR="008B058D" w:rsidRDefault="00200A0A" w:rsidP="00200A0A">
      <w:pPr>
        <w:tabs>
          <w:tab w:val="left" w:pos="9348"/>
        </w:tabs>
        <w:ind w:left="5040"/>
        <w:rPr>
          <w:sz w:val="26"/>
          <w:szCs w:val="26"/>
        </w:rPr>
      </w:pPr>
      <w:r w:rsidRPr="0064436A">
        <w:rPr>
          <w:sz w:val="26"/>
          <w:szCs w:val="26"/>
        </w:rPr>
        <w:t>614.644.8764 (fax)</w:t>
      </w:r>
    </w:p>
    <w:p w:rsidR="00E45A7D" w:rsidRPr="0064436A" w:rsidRDefault="00F81D4E" w:rsidP="00E45A7D">
      <w:pPr>
        <w:tabs>
          <w:tab w:val="left" w:pos="9348"/>
        </w:tabs>
        <w:ind w:left="5040"/>
        <w:rPr>
          <w:sz w:val="26"/>
          <w:szCs w:val="26"/>
        </w:rPr>
      </w:pPr>
      <w:hyperlink r:id="rId16" w:history="1">
        <w:r w:rsidR="003A181D" w:rsidRPr="00A319B2">
          <w:rPr>
            <w:rStyle w:val="Hyperlink"/>
            <w:sz w:val="26"/>
            <w:szCs w:val="26"/>
          </w:rPr>
          <w:t>thomas.mcnamee@puc.state.oh.us</w:t>
        </w:r>
      </w:hyperlink>
    </w:p>
    <w:p w:rsidR="00200A0A" w:rsidRPr="0064436A" w:rsidRDefault="00200A0A" w:rsidP="00200A0A">
      <w:pPr>
        <w:tabs>
          <w:tab w:val="left" w:pos="9348"/>
        </w:tabs>
        <w:ind w:left="5040"/>
        <w:rPr>
          <w:b/>
          <w:sz w:val="26"/>
          <w:szCs w:val="26"/>
        </w:rPr>
      </w:pPr>
    </w:p>
    <w:p w:rsidR="00200A0A" w:rsidRPr="00934B92" w:rsidRDefault="00200A0A" w:rsidP="0064436A">
      <w:pPr>
        <w:pStyle w:val="Heading1"/>
      </w:pPr>
      <w:r w:rsidRPr="00955E20">
        <w:br w:type="page"/>
      </w:r>
      <w:bookmarkStart w:id="26" w:name="_Toc205862526"/>
      <w:bookmarkStart w:id="27" w:name="_Toc377471500"/>
      <w:r w:rsidR="00C95499" w:rsidRPr="00934B92">
        <w:rPr>
          <w:caps w:val="0"/>
        </w:rPr>
        <w:lastRenderedPageBreak/>
        <w:t>PROOF OF SERVICE</w:t>
      </w:r>
      <w:bookmarkEnd w:id="26"/>
      <w:bookmarkEnd w:id="27"/>
    </w:p>
    <w:p w:rsidR="00200A0A" w:rsidRPr="00934B92" w:rsidRDefault="0064436A" w:rsidP="006A3730">
      <w:pPr>
        <w:pStyle w:val="textstyle0"/>
      </w:pPr>
      <w:r>
        <w:tab/>
      </w:r>
      <w:r w:rsidR="00200A0A" w:rsidRPr="00934B92">
        <w:t xml:space="preserve">I hereby certify that a true copy of the foregoing </w:t>
      </w:r>
      <w:r w:rsidR="003A181D">
        <w:rPr>
          <w:b/>
        </w:rPr>
        <w:t xml:space="preserve">Comments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was served by regular U.S. mail, postage pre</w:t>
      </w:r>
      <w:r w:rsidR="00200A0A" w:rsidRPr="00934B92">
        <w:softHyphen/>
        <w:t xml:space="preserve">paid, or hand-delivered, upon </w:t>
      </w:r>
      <w:r w:rsidR="00977F01">
        <w:t>the following Parties of Record</w:t>
      </w:r>
      <w:r w:rsidR="00721F2D">
        <w:t xml:space="preserve">, </w:t>
      </w:r>
      <w:r w:rsidR="00200A0A" w:rsidRPr="00934B92">
        <w:t xml:space="preserve">this </w:t>
      </w:r>
      <w:r w:rsidR="002A7920">
        <w:t>21</w:t>
      </w:r>
      <w:r w:rsidR="002A7920" w:rsidRPr="002A7920">
        <w:rPr>
          <w:vertAlign w:val="superscript"/>
        </w:rPr>
        <w:t>st</w:t>
      </w:r>
      <w:r w:rsidR="002A7920">
        <w:t xml:space="preserve"> </w:t>
      </w:r>
      <w:r w:rsidR="004B6358">
        <w:t>d</w:t>
      </w:r>
      <w:r w:rsidR="00200A0A" w:rsidRPr="00934B92">
        <w:t xml:space="preserve">ay of </w:t>
      </w:r>
      <w:r w:rsidR="003A181D">
        <w:t>January, 2014</w:t>
      </w:r>
      <w:r w:rsidR="00200A0A" w:rsidRPr="00934B92">
        <w:t>.</w:t>
      </w:r>
    </w:p>
    <w:p w:rsidR="00200A0A" w:rsidRPr="00DF3D54" w:rsidRDefault="00200A0A" w:rsidP="00200A0A">
      <w:pPr>
        <w:spacing w:line="480" w:lineRule="auto"/>
        <w:jc w:val="both"/>
      </w:pPr>
    </w:p>
    <w:p w:rsidR="00200A0A" w:rsidRPr="00DF3D54" w:rsidRDefault="002A7920" w:rsidP="00200A0A">
      <w:pPr>
        <w:tabs>
          <w:tab w:val="right" w:pos="9360"/>
        </w:tabs>
        <w:ind w:left="4320"/>
        <w:jc w:val="both"/>
        <w:rPr>
          <w:u w:val="single"/>
        </w:rPr>
      </w:pPr>
      <w:r w:rsidRPr="006A6459">
        <w:rPr>
          <w:rFonts w:ascii="Viner Hand ITC" w:hAnsi="Viner Hand ITC"/>
          <w:sz w:val="32"/>
          <w:szCs w:val="32"/>
          <w:u w:val="single"/>
        </w:rPr>
        <w:t>/s/ Thomas W. McNamee</w:t>
      </w:r>
      <w:r w:rsidR="00200A0A" w:rsidRPr="00DF3D54">
        <w:rPr>
          <w:u w:val="single"/>
        </w:rPr>
        <w:tab/>
      </w:r>
    </w:p>
    <w:p w:rsidR="00200A0A" w:rsidRPr="00DF3D54" w:rsidRDefault="003A181D" w:rsidP="00200A0A">
      <w:pPr>
        <w:ind w:left="4332"/>
        <w:jc w:val="both"/>
        <w:rPr>
          <w:b/>
          <w:sz w:val="26"/>
          <w:szCs w:val="26"/>
        </w:rPr>
      </w:pPr>
      <w:r>
        <w:rPr>
          <w:b/>
          <w:sz w:val="26"/>
          <w:szCs w:val="26"/>
        </w:rPr>
        <w:t>Thomas W. McNamee</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788"/>
        <w:gridCol w:w="4788"/>
      </w:tblGrid>
      <w:tr w:rsidR="00977F01" w:rsidRPr="00D2703A" w:rsidTr="002273AC">
        <w:tc>
          <w:tcPr>
            <w:tcW w:w="4788" w:type="dxa"/>
          </w:tcPr>
          <w:p w:rsidR="00977F01" w:rsidRDefault="003A181D" w:rsidP="002273AC">
            <w:pPr>
              <w:rPr>
                <w:sz w:val="26"/>
                <w:szCs w:val="26"/>
              </w:rPr>
            </w:pPr>
            <w:r>
              <w:rPr>
                <w:sz w:val="26"/>
                <w:szCs w:val="26"/>
              </w:rPr>
              <w:t>Edmund Tad Berger</w:t>
            </w:r>
          </w:p>
          <w:p w:rsidR="00977F01" w:rsidRDefault="00977F01" w:rsidP="002273AC">
            <w:pPr>
              <w:rPr>
                <w:sz w:val="26"/>
                <w:szCs w:val="26"/>
              </w:rPr>
            </w:pPr>
            <w:r>
              <w:rPr>
                <w:sz w:val="26"/>
                <w:szCs w:val="26"/>
              </w:rPr>
              <w:t>Assistant Consumers’ Counsel</w:t>
            </w:r>
          </w:p>
          <w:p w:rsidR="00977F01" w:rsidRDefault="00977F01" w:rsidP="002273AC">
            <w:pPr>
              <w:rPr>
                <w:sz w:val="26"/>
                <w:szCs w:val="26"/>
              </w:rPr>
            </w:pPr>
            <w:r>
              <w:rPr>
                <w:sz w:val="26"/>
                <w:szCs w:val="26"/>
              </w:rPr>
              <w:t>Office of the Ohio Consumers’ Counsel</w:t>
            </w:r>
          </w:p>
          <w:p w:rsidR="00977F01" w:rsidRDefault="00977F01" w:rsidP="002273AC">
            <w:pPr>
              <w:rPr>
                <w:sz w:val="26"/>
                <w:szCs w:val="26"/>
              </w:rPr>
            </w:pPr>
            <w:r>
              <w:rPr>
                <w:sz w:val="26"/>
                <w:szCs w:val="26"/>
              </w:rPr>
              <w:t>10 West Broad Street</w:t>
            </w:r>
          </w:p>
          <w:p w:rsidR="00977F01" w:rsidRDefault="00977F01" w:rsidP="002273AC">
            <w:pPr>
              <w:rPr>
                <w:sz w:val="26"/>
                <w:szCs w:val="26"/>
              </w:rPr>
            </w:pPr>
            <w:r>
              <w:rPr>
                <w:sz w:val="26"/>
                <w:szCs w:val="26"/>
              </w:rPr>
              <w:t>Suite 1800</w:t>
            </w:r>
          </w:p>
          <w:p w:rsidR="00977F01" w:rsidRDefault="00977F01" w:rsidP="002273AC">
            <w:pPr>
              <w:rPr>
                <w:sz w:val="26"/>
                <w:szCs w:val="26"/>
              </w:rPr>
            </w:pPr>
            <w:r>
              <w:rPr>
                <w:sz w:val="26"/>
                <w:szCs w:val="26"/>
              </w:rPr>
              <w:t>Columbus, OH  43215</w:t>
            </w:r>
          </w:p>
          <w:p w:rsidR="00977F01" w:rsidRDefault="00977F01" w:rsidP="002273AC">
            <w:pPr>
              <w:rPr>
                <w:sz w:val="26"/>
                <w:szCs w:val="26"/>
              </w:rPr>
            </w:pPr>
            <w:r>
              <w:rPr>
                <w:sz w:val="26"/>
                <w:szCs w:val="26"/>
              </w:rPr>
              <w:t>614.466.8574 (telephone)</w:t>
            </w:r>
          </w:p>
          <w:p w:rsidR="00977F01" w:rsidRDefault="00977F01" w:rsidP="002273AC">
            <w:pPr>
              <w:rPr>
                <w:sz w:val="26"/>
                <w:szCs w:val="26"/>
              </w:rPr>
            </w:pPr>
            <w:r>
              <w:rPr>
                <w:sz w:val="26"/>
                <w:szCs w:val="26"/>
              </w:rPr>
              <w:t>614.466.9475 (fax)</w:t>
            </w:r>
          </w:p>
          <w:p w:rsidR="00977F01" w:rsidRPr="00221496" w:rsidRDefault="00F81D4E" w:rsidP="003A181D">
            <w:pPr>
              <w:rPr>
                <w:sz w:val="26"/>
                <w:szCs w:val="26"/>
              </w:rPr>
            </w:pPr>
            <w:hyperlink r:id="rId17" w:history="1">
              <w:r w:rsidR="003A181D" w:rsidRPr="00A319B2">
                <w:rPr>
                  <w:rStyle w:val="Hyperlink"/>
                  <w:sz w:val="26"/>
                  <w:szCs w:val="26"/>
                </w:rPr>
                <w:t>berger@occ.state.oh.us</w:t>
              </w:r>
            </w:hyperlink>
          </w:p>
        </w:tc>
        <w:tc>
          <w:tcPr>
            <w:tcW w:w="4788" w:type="dxa"/>
          </w:tcPr>
          <w:p w:rsidR="00977F01" w:rsidRDefault="003A181D" w:rsidP="002273AC">
            <w:pPr>
              <w:ind w:left="720" w:hanging="720"/>
              <w:rPr>
                <w:sz w:val="26"/>
                <w:szCs w:val="26"/>
              </w:rPr>
            </w:pPr>
            <w:r>
              <w:rPr>
                <w:sz w:val="26"/>
                <w:szCs w:val="26"/>
              </w:rPr>
              <w:t>Amy B. Spiller</w:t>
            </w:r>
          </w:p>
          <w:p w:rsidR="003A181D" w:rsidRDefault="003A181D" w:rsidP="002273AC">
            <w:pPr>
              <w:ind w:left="720" w:hanging="720"/>
              <w:rPr>
                <w:sz w:val="26"/>
                <w:szCs w:val="26"/>
              </w:rPr>
            </w:pPr>
            <w:r>
              <w:rPr>
                <w:sz w:val="26"/>
                <w:szCs w:val="26"/>
              </w:rPr>
              <w:t>Elizabeth H. Watts</w:t>
            </w:r>
          </w:p>
          <w:p w:rsidR="003A181D" w:rsidRDefault="003A181D" w:rsidP="002273AC">
            <w:pPr>
              <w:ind w:left="720" w:hanging="720"/>
              <w:rPr>
                <w:sz w:val="26"/>
                <w:szCs w:val="26"/>
              </w:rPr>
            </w:pPr>
            <w:r>
              <w:rPr>
                <w:sz w:val="26"/>
                <w:szCs w:val="26"/>
              </w:rPr>
              <w:t xml:space="preserve">Duke Energy </w:t>
            </w:r>
          </w:p>
          <w:p w:rsidR="003A181D" w:rsidRDefault="003A181D" w:rsidP="002273AC">
            <w:pPr>
              <w:ind w:left="720" w:hanging="720"/>
              <w:rPr>
                <w:sz w:val="26"/>
                <w:szCs w:val="26"/>
              </w:rPr>
            </w:pPr>
            <w:r>
              <w:rPr>
                <w:sz w:val="26"/>
                <w:szCs w:val="26"/>
              </w:rPr>
              <w:t>139 East Fourth Street, 1303-Main</w:t>
            </w:r>
          </w:p>
          <w:p w:rsidR="003A181D" w:rsidRDefault="003A181D" w:rsidP="002273AC">
            <w:pPr>
              <w:ind w:left="720" w:hanging="720"/>
              <w:rPr>
                <w:sz w:val="26"/>
                <w:szCs w:val="26"/>
              </w:rPr>
            </w:pPr>
            <w:r>
              <w:rPr>
                <w:sz w:val="26"/>
                <w:szCs w:val="26"/>
              </w:rPr>
              <w:t>P.O. Box 960</w:t>
            </w:r>
          </w:p>
          <w:p w:rsidR="003A181D" w:rsidRDefault="003A181D" w:rsidP="002273AC">
            <w:pPr>
              <w:ind w:left="720" w:hanging="720"/>
              <w:rPr>
                <w:sz w:val="26"/>
                <w:szCs w:val="26"/>
              </w:rPr>
            </w:pPr>
            <w:r>
              <w:rPr>
                <w:sz w:val="26"/>
                <w:szCs w:val="26"/>
              </w:rPr>
              <w:t>Cincinnati, OH  45201-0960</w:t>
            </w:r>
          </w:p>
          <w:p w:rsidR="003A181D" w:rsidRDefault="00F81D4E" w:rsidP="002273AC">
            <w:pPr>
              <w:ind w:left="720" w:hanging="720"/>
              <w:rPr>
                <w:sz w:val="26"/>
                <w:szCs w:val="26"/>
              </w:rPr>
            </w:pPr>
            <w:hyperlink r:id="rId18" w:history="1">
              <w:r w:rsidR="003A181D" w:rsidRPr="00A319B2">
                <w:rPr>
                  <w:rStyle w:val="Hyperlink"/>
                  <w:sz w:val="26"/>
                  <w:szCs w:val="26"/>
                </w:rPr>
                <w:t>amy.spiller@duke-energy.com</w:t>
              </w:r>
            </w:hyperlink>
          </w:p>
          <w:p w:rsidR="003A181D" w:rsidRDefault="00F81D4E" w:rsidP="002273AC">
            <w:pPr>
              <w:ind w:left="720" w:hanging="720"/>
              <w:rPr>
                <w:sz w:val="26"/>
                <w:szCs w:val="26"/>
              </w:rPr>
            </w:pPr>
            <w:hyperlink r:id="rId19" w:history="1">
              <w:r w:rsidR="005441DC" w:rsidRPr="00A319B2">
                <w:rPr>
                  <w:rStyle w:val="Hyperlink"/>
                  <w:sz w:val="26"/>
                  <w:szCs w:val="26"/>
                </w:rPr>
                <w:t>elizabeth.watts@duke-energy.com</w:t>
              </w:r>
            </w:hyperlink>
          </w:p>
          <w:p w:rsidR="003A181D" w:rsidRPr="00F70EF6" w:rsidRDefault="003A181D" w:rsidP="002273AC">
            <w:pPr>
              <w:ind w:left="720" w:hanging="720"/>
              <w:rPr>
                <w:sz w:val="26"/>
                <w:szCs w:val="26"/>
              </w:rPr>
            </w:pPr>
          </w:p>
          <w:p w:rsidR="00977F01" w:rsidRPr="00221496" w:rsidRDefault="00977F01" w:rsidP="002273AC">
            <w:pPr>
              <w:rPr>
                <w:sz w:val="26"/>
                <w:szCs w:val="26"/>
              </w:rPr>
            </w:pPr>
          </w:p>
        </w:tc>
      </w:tr>
    </w:tbl>
    <w:p w:rsidR="00977F01" w:rsidRPr="00DF3D54" w:rsidRDefault="00977F01" w:rsidP="00200A0A">
      <w:pPr>
        <w:ind w:left="4332"/>
        <w:jc w:val="both"/>
        <w:rPr>
          <w:sz w:val="26"/>
          <w:szCs w:val="26"/>
        </w:rPr>
      </w:pPr>
    </w:p>
    <w:sectPr w:rsidR="00977F01" w:rsidRPr="00DF3D54" w:rsidSect="003B12DD">
      <w:headerReference w:type="default" r:id="rId20"/>
      <w:footerReference w:type="default" r:id="rId21"/>
      <w:headerReference w:type="first" r:id="rId22"/>
      <w:footerReference w:type="first" r:id="rId2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1D" w:rsidRDefault="003A181D" w:rsidP="008866FC">
      <w:pPr>
        <w:pStyle w:val="Title"/>
      </w:pPr>
      <w:r>
        <w:separator/>
      </w:r>
    </w:p>
  </w:endnote>
  <w:endnote w:type="continuationSeparator" w:id="0">
    <w:p w:rsidR="003A181D" w:rsidRDefault="003A181D"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BF0931" w:rsidP="003B12DD">
    <w:pPr>
      <w:pStyle w:val="Footer"/>
      <w:jc w:val="center"/>
    </w:pPr>
    <w:r>
      <w:rPr>
        <w:rStyle w:val="PageNumber"/>
      </w:rPr>
      <w:fldChar w:fldCharType="begin"/>
    </w:r>
    <w:r w:rsidR="00FB4C8A">
      <w:rPr>
        <w:rStyle w:val="PageNumber"/>
      </w:rPr>
      <w:instrText xml:space="preserve"> PAGE </w:instrText>
    </w:r>
    <w:r>
      <w:rPr>
        <w:rStyle w:val="PageNumber"/>
      </w:rPr>
      <w:fldChar w:fldCharType="separate"/>
    </w:r>
    <w:r w:rsidR="00FB4C8A">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1D" w:rsidRPr="003A181D" w:rsidRDefault="003A181D" w:rsidP="003A181D">
    <w:pPr>
      <w:pStyle w:val="Footer"/>
      <w:jc w:val="center"/>
      <w:rPr>
        <w:b/>
        <w:sz w:val="28"/>
        <w:szCs w:val="28"/>
      </w:rPr>
    </w:pPr>
    <w:r>
      <w:rPr>
        <w:b/>
        <w:sz w:val="28"/>
        <w:szCs w:val="28"/>
      </w:rPr>
      <w:t xml:space="preserve">January </w:t>
    </w:r>
    <w:r w:rsidR="002A7920">
      <w:rPr>
        <w:b/>
        <w:sz w:val="28"/>
        <w:szCs w:val="28"/>
      </w:rPr>
      <w:t>21</w:t>
    </w:r>
    <w:r>
      <w:rPr>
        <w:b/>
        <w:sz w:val="28"/>
        <w:szCs w:val="28"/>
      </w:rPr>
      <w:t>,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FB4C8A">
      <w:rPr>
        <w:rStyle w:val="PageNumber"/>
        <w:noProof/>
        <w:sz w:val="24"/>
        <w:szCs w:val="24"/>
      </w:rPr>
      <w:t>2</w:t>
    </w:r>
    <w:r w:rsidRPr="007F5520">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C95499" w:rsidRDefault="00BF0931" w:rsidP="00C95499">
    <w:pPr>
      <w:pStyle w:val="Footer"/>
      <w:jc w:val="center"/>
      <w:rPr>
        <w:sz w:val="26"/>
        <w:szCs w:val="26"/>
      </w:rPr>
    </w:pPr>
    <w:r w:rsidRPr="00C95499">
      <w:rPr>
        <w:sz w:val="26"/>
        <w:szCs w:val="26"/>
      </w:rPr>
      <w:fldChar w:fldCharType="begin"/>
    </w:r>
    <w:r w:rsidR="00FB4C8A" w:rsidRPr="00C95499">
      <w:rPr>
        <w:sz w:val="26"/>
        <w:szCs w:val="26"/>
      </w:rPr>
      <w:instrText xml:space="preserve"> PAGE   \* MERGEFORMAT </w:instrText>
    </w:r>
    <w:r w:rsidRPr="00C95499">
      <w:rPr>
        <w:sz w:val="26"/>
        <w:szCs w:val="26"/>
      </w:rPr>
      <w:fldChar w:fldCharType="separate"/>
    </w:r>
    <w:r w:rsidR="00F81D4E">
      <w:rPr>
        <w:noProof/>
        <w:sz w:val="26"/>
        <w:szCs w:val="26"/>
      </w:rPr>
      <w:t>i</w:t>
    </w:r>
    <w:r w:rsidRPr="00C95499">
      <w:rPr>
        <w:sz w:val="26"/>
        <w:szCs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F81D4E">
      <w:rPr>
        <w:rStyle w:val="PageNumber"/>
        <w:noProof/>
        <w:sz w:val="24"/>
        <w:szCs w:val="24"/>
      </w:rPr>
      <w:t>8</w:t>
    </w:r>
    <w:r w:rsidRPr="007F5520">
      <w:rPr>
        <w:rStyle w:val="PageNumbe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C95499" w:rsidRDefault="00FB4C8A"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1D" w:rsidRDefault="003A181D" w:rsidP="00663D6A">
      <w:pPr>
        <w:pStyle w:val="Title"/>
        <w:jc w:val="left"/>
      </w:pPr>
      <w:r>
        <w:separator/>
      </w:r>
    </w:p>
  </w:footnote>
  <w:footnote w:type="continuationSeparator" w:id="0">
    <w:p w:rsidR="003A181D" w:rsidRDefault="003A181D" w:rsidP="008866FC">
      <w:pPr>
        <w:pStyle w:val="Title"/>
      </w:pPr>
      <w:r>
        <w:continuationSeparator/>
      </w:r>
    </w:p>
  </w:footnote>
  <w:footnote w:id="1">
    <w:p w:rsidR="003A181D" w:rsidRPr="004760C6" w:rsidRDefault="003A181D" w:rsidP="003A181D">
      <w:pPr>
        <w:pStyle w:val="FootnoteText"/>
        <w:rPr>
          <w:sz w:val="22"/>
          <w:szCs w:val="22"/>
        </w:rPr>
      </w:pPr>
      <w:r w:rsidRPr="004760C6">
        <w:rPr>
          <w:rStyle w:val="FootnoteReference"/>
          <w:sz w:val="22"/>
          <w:szCs w:val="22"/>
        </w:rPr>
        <w:footnoteRef/>
      </w:r>
      <w:r w:rsidRPr="004760C6">
        <w:rPr>
          <w:sz w:val="22"/>
          <w:szCs w:val="22"/>
        </w:rPr>
        <w:t xml:space="preserve">  </w:t>
      </w:r>
      <w:r>
        <w:rPr>
          <w:sz w:val="22"/>
          <w:szCs w:val="22"/>
        </w:rPr>
        <w:tab/>
      </w:r>
      <w:r>
        <w:rPr>
          <w:sz w:val="22"/>
          <w:szCs w:val="22"/>
        </w:rPr>
        <w:tab/>
      </w:r>
      <w:r w:rsidRPr="004760C6">
        <w:rPr>
          <w:sz w:val="22"/>
          <w:szCs w:val="22"/>
        </w:rPr>
        <w:t>SAIFI is the System Average Interruption Frequency Index, which represents the average number of interruptions per customer served.</w:t>
      </w:r>
    </w:p>
  </w:footnote>
  <w:footnote w:id="2">
    <w:p w:rsidR="003A181D" w:rsidRPr="004760C6" w:rsidRDefault="003A181D" w:rsidP="003A181D">
      <w:pPr>
        <w:pStyle w:val="FootnoteText"/>
        <w:rPr>
          <w:sz w:val="22"/>
          <w:szCs w:val="22"/>
        </w:rPr>
      </w:pPr>
      <w:r w:rsidRPr="004760C6">
        <w:rPr>
          <w:rStyle w:val="FootnoteReference"/>
          <w:sz w:val="22"/>
          <w:szCs w:val="22"/>
        </w:rPr>
        <w:footnoteRef/>
      </w:r>
      <w:r w:rsidRPr="004760C6">
        <w:rPr>
          <w:sz w:val="22"/>
          <w:szCs w:val="22"/>
        </w:rPr>
        <w:t xml:space="preserve">   </w:t>
      </w:r>
      <w:r>
        <w:rPr>
          <w:sz w:val="22"/>
          <w:szCs w:val="22"/>
        </w:rPr>
        <w:tab/>
      </w:r>
      <w:r>
        <w:rPr>
          <w:sz w:val="22"/>
          <w:szCs w:val="22"/>
        </w:rPr>
        <w:tab/>
      </w:r>
      <w:r w:rsidRPr="004760C6">
        <w:rPr>
          <w:sz w:val="22"/>
          <w:szCs w:val="22"/>
        </w:rPr>
        <w:t xml:space="preserve">CAIDI is the Customer Average Interruption Duration Index, which represents the average time to restore service </w:t>
      </w:r>
      <w:r>
        <w:rPr>
          <w:sz w:val="22"/>
          <w:szCs w:val="22"/>
        </w:rPr>
        <w:t>to</w:t>
      </w:r>
      <w:r w:rsidRPr="004760C6">
        <w:rPr>
          <w:sz w:val="22"/>
          <w:szCs w:val="22"/>
        </w:rPr>
        <w:t xml:space="preserve"> customer</w:t>
      </w:r>
      <w:r>
        <w:rPr>
          <w:sz w:val="22"/>
          <w:szCs w:val="22"/>
        </w:rPr>
        <w:t>s</w:t>
      </w:r>
      <w:r w:rsidRPr="004760C6">
        <w:rPr>
          <w:sz w:val="22"/>
          <w:szCs w:val="22"/>
        </w:rPr>
        <w:t xml:space="preserve"> interrupted.</w:t>
      </w:r>
    </w:p>
  </w:footnote>
  <w:footnote w:id="3">
    <w:p w:rsidR="003A181D" w:rsidRDefault="003A181D">
      <w:pPr>
        <w:pStyle w:val="FootnoteText"/>
      </w:pPr>
      <w:r>
        <w:rPr>
          <w:rStyle w:val="FootnoteReference"/>
        </w:rPr>
        <w:footnoteRef/>
      </w:r>
      <w:r>
        <w:t xml:space="preserve"> </w:t>
      </w:r>
      <w:r>
        <w:tab/>
      </w:r>
      <w:r>
        <w:tab/>
      </w:r>
      <w:r>
        <w:rPr>
          <w:szCs w:val="24"/>
        </w:rPr>
        <w:t xml:space="preserve">In its calculation, Staff used the Company’s historical performance data from its new reporting system, except for 2010 (where the current CAIDI standard is substituted for </w:t>
      </w:r>
      <w:r w:rsidRPr="00FE60E0">
        <w:rPr>
          <w:szCs w:val="24"/>
        </w:rPr>
        <w:t xml:space="preserve">actual performance to adjust for missing the standard that year) and 2013, </w:t>
      </w:r>
      <w:r>
        <w:rPr>
          <w:szCs w:val="24"/>
        </w:rPr>
        <w:t>(where</w:t>
      </w:r>
      <w:r w:rsidRPr="00FE60E0">
        <w:rPr>
          <w:szCs w:val="24"/>
        </w:rPr>
        <w:t xml:space="preserve"> Duke provided </w:t>
      </w:r>
      <w:r>
        <w:rPr>
          <w:szCs w:val="24"/>
        </w:rPr>
        <w:t xml:space="preserve">its performance </w:t>
      </w:r>
      <w:r w:rsidRPr="00FE60E0">
        <w:rPr>
          <w:szCs w:val="24"/>
        </w:rPr>
        <w:t>to Staff</w:t>
      </w:r>
      <w:r>
        <w:rPr>
          <w:szCs w:val="24"/>
        </w:rPr>
        <w:t>)</w:t>
      </w:r>
      <w:r w:rsidRPr="00FE60E0">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F81D4E">
      <w:rPr>
        <w:b/>
        <w:noProof/>
        <w:color w:val="FF0000"/>
      </w:rPr>
      <w:t>1/21/2014</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F81D4E">
      <w:rPr>
        <w:b/>
        <w:noProof/>
        <w:color w:val="FF0000"/>
      </w:rPr>
      <w:t>9:14:05 AM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F81D4E">
      <w:rPr>
        <w:b/>
        <w:noProof/>
        <w:color w:val="FF0000"/>
      </w:rPr>
      <w:t>\\puc\shares\Departments\Attorney General\Attorneys\McNamee\Comm. Cases\electric cases\13-1539-EL-ESS Duke\Comments 012114.docx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F81D4E">
      <w:rPr>
        <w:b/>
        <w:noProof/>
        <w:color w:val="FF0000"/>
      </w:rPr>
      <w:t>1/21/2014</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F81D4E">
      <w:rPr>
        <w:b/>
        <w:noProof/>
        <w:color w:val="FF0000"/>
      </w:rPr>
      <w:t>9:14:05 AM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F81D4E">
      <w:rPr>
        <w:b/>
        <w:noProof/>
        <w:color w:val="FF0000"/>
      </w:rPr>
      <w:t>\\puc\shares\Departments\Attorney General\Attorneys\McNamee\Comm. Cases\electric cases\13-1539-EL-ESS Duke\Comments 012114.docx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FB4C8A" w:rsidP="003B12DD">
    <w:pPr>
      <w:pStyle w:val="Header"/>
      <w:jc w:val="center"/>
      <w:rPr>
        <w:b/>
        <w:sz w:val="28"/>
        <w:szCs w:val="28"/>
      </w:rPr>
    </w:pPr>
    <w:r>
      <w:rPr>
        <w:b/>
        <w:sz w:val="28"/>
        <w:szCs w:val="28"/>
      </w:rPr>
      <w:t>TABLE OF CONTENTS</w:t>
    </w:r>
  </w:p>
  <w:p w:rsidR="00FB4C8A" w:rsidRDefault="00FB4C8A" w:rsidP="00C95499">
    <w:pPr>
      <w:pStyle w:val="Header"/>
      <w:jc w:val="right"/>
      <w:rPr>
        <w:b/>
        <w:sz w:val="28"/>
        <w:szCs w:val="28"/>
      </w:rPr>
    </w:pPr>
    <w:r>
      <w:rPr>
        <w:b/>
        <w:sz w:val="28"/>
        <w:szCs w:val="28"/>
      </w:rPr>
      <w:t>Page</w:t>
    </w:r>
  </w:p>
  <w:p w:rsidR="00FB4C8A" w:rsidRPr="00C95499" w:rsidRDefault="00FB4C8A"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30892" w:rsidRDefault="00FB4C8A" w:rsidP="007308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30892" w:rsidRDefault="00FB4C8A" w:rsidP="00730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810EB8"/>
    <w:multiLevelType w:val="hybridMultilevel"/>
    <w:tmpl w:val="D9B21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CD13F48"/>
    <w:multiLevelType w:val="hybridMultilevel"/>
    <w:tmpl w:val="4D64656E"/>
    <w:lvl w:ilvl="0" w:tplc="B2BED82C">
      <w:start w:val="1"/>
      <w:numFmt w:val="decimal"/>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81D"/>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920"/>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81D"/>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5D7"/>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1DC"/>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892"/>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D4E"/>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3A181D"/>
    <w:pPr>
      <w:keepNext/>
      <w:numPr>
        <w:numId w:val="8"/>
      </w:numPr>
      <w:spacing w:before="360" w:after="240"/>
      <w:ind w:righ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3A181D"/>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NoSpacing">
    <w:name w:val="No Spacing"/>
    <w:basedOn w:val="Normal"/>
    <w:uiPriority w:val="1"/>
    <w:qFormat/>
    <w:rsid w:val="003A181D"/>
    <w:pPr>
      <w:spacing w:after="200" w:line="276" w:lineRule="auto"/>
    </w:pPr>
    <w:rPr>
      <w:rFonts w:ascii="Calibri" w:hAnsi="Calibri"/>
      <w:sz w:val="22"/>
      <w:szCs w:val="22"/>
    </w:rPr>
  </w:style>
  <w:style w:type="paragraph" w:customStyle="1" w:styleId="Headign2">
    <w:name w:val="Headign 2"/>
    <w:basedOn w:val="Heading2"/>
    <w:rsid w:val="003A181D"/>
    <w:rPr>
      <w:b w:val="0"/>
      <w:sz w:val="24"/>
      <w:szCs w:val="24"/>
    </w:rPr>
  </w:style>
  <w:style w:type="paragraph" w:styleId="Caption">
    <w:name w:val="caption"/>
    <w:basedOn w:val="Normal"/>
    <w:next w:val="Normal"/>
    <w:qFormat/>
    <w:rsid w:val="003A181D"/>
    <w:pPr>
      <w:spacing w:before="120" w:after="120" w:line="276" w:lineRule="auto"/>
    </w:pPr>
    <w:rPr>
      <w:rFonts w:ascii="Calibri" w:hAnsi="Calibri"/>
      <w:b/>
      <w:sz w:val="22"/>
      <w:szCs w:val="22"/>
    </w:rPr>
  </w:style>
  <w:style w:type="paragraph" w:customStyle="1" w:styleId="teacing12pt">
    <w:name w:val="teacing + 12 pt"/>
    <w:aliases w:val="Left:  0&quot;,Hanging:  0.25&quot;,After:  0 pt,Line spacing:  ..."/>
    <w:basedOn w:val="NoSpacing"/>
    <w:rsid w:val="003A181D"/>
    <w:pPr>
      <w:spacing w:after="0" w:line="240" w:lineRule="auto"/>
      <w:ind w:left="360" w:hanging="360"/>
    </w:pPr>
    <w:rPr>
      <w:sz w:val="24"/>
      <w:szCs w:val="24"/>
    </w:rPr>
  </w:style>
  <w:style w:type="paragraph" w:styleId="EndnoteText">
    <w:name w:val="endnote text"/>
    <w:basedOn w:val="Normal"/>
    <w:link w:val="EndnoteTextChar"/>
    <w:rsid w:val="003A181D"/>
  </w:style>
  <w:style w:type="character" w:customStyle="1" w:styleId="EndnoteTextChar">
    <w:name w:val="Endnote Text Char"/>
    <w:basedOn w:val="DefaultParagraphFont"/>
    <w:link w:val="EndnoteText"/>
    <w:rsid w:val="003A181D"/>
  </w:style>
  <w:style w:type="character" w:styleId="EndnoteReference">
    <w:name w:val="endnote reference"/>
    <w:basedOn w:val="DefaultParagraphFont"/>
    <w:rsid w:val="003A18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amy.spiller@duke-energy.co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berger@occ.state.oh.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homas.mcnamee@puc.state.oh.u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elizabeth.watts@duke-energy.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480B-27E0-4CEA-973C-7EA5FF4E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21</TotalTime>
  <Pages>10</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10867</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5</cp:revision>
  <cp:lastPrinted>2014-01-21T14:14:00Z</cp:lastPrinted>
  <dcterms:created xsi:type="dcterms:W3CDTF">2014-01-14T18:45:00Z</dcterms:created>
  <dcterms:modified xsi:type="dcterms:W3CDTF">2014-01-21T14:14:00Z</dcterms:modified>
</cp:coreProperties>
</file>