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985965" w:rsidRPr="0037628E" w:rsidP="00985965" w14:paraId="25FC4E85" w14:textId="77777777">
      <w:pPr>
        <w:jc w:val="center"/>
        <w:rPr>
          <w:b/>
          <w:bCs/>
          <w:szCs w:val="24"/>
        </w:rPr>
      </w:pPr>
      <w:r w:rsidRPr="0037628E">
        <w:rPr>
          <w:b/>
          <w:bCs/>
          <w:szCs w:val="24"/>
        </w:rPr>
        <w:t>BEFORE</w:t>
      </w:r>
    </w:p>
    <w:p w:rsidR="00985965" w:rsidRPr="0037628E" w:rsidP="00985965" w14:paraId="5B5D0CC5" w14:textId="77777777">
      <w:pPr>
        <w:jc w:val="center"/>
        <w:rPr>
          <w:b/>
          <w:bCs/>
          <w:szCs w:val="24"/>
        </w:rPr>
      </w:pPr>
      <w:r w:rsidRPr="0037628E">
        <w:rPr>
          <w:b/>
          <w:bCs/>
          <w:szCs w:val="24"/>
        </w:rPr>
        <w:t>THE PUBLIC UTILITIES COMMISSION OF OHIO</w:t>
      </w:r>
    </w:p>
    <w:p w:rsidR="00985965" w:rsidRPr="0037628E" w:rsidP="00985965" w14:paraId="1BBFD436" w14:textId="77777777">
      <w:pPr>
        <w:rPr>
          <w:szCs w:val="24"/>
        </w:rPr>
      </w:pPr>
    </w:p>
    <w:tbl>
      <w:tblPr>
        <w:tblW w:w="8550" w:type="dxa"/>
        <w:tblInd w:w="-90" w:type="dxa"/>
        <w:tblCellMar>
          <w:top w:w="0" w:type="dxa"/>
          <w:left w:w="108" w:type="dxa"/>
          <w:bottom w:w="0" w:type="dxa"/>
          <w:right w:w="108" w:type="dxa"/>
        </w:tblCellMar>
        <w:tblLook w:val="01E0"/>
      </w:tblPr>
      <w:tblGrid>
        <w:gridCol w:w="4140"/>
        <w:gridCol w:w="360"/>
        <w:gridCol w:w="4050"/>
      </w:tblGrid>
      <w:tr w14:paraId="0A91ED3B" w14:textId="77777777" w:rsidTr="00D65EEB">
        <w:tblPrEx>
          <w:tblW w:w="8550" w:type="dxa"/>
          <w:tblInd w:w="-90" w:type="dxa"/>
          <w:tblCellMar>
            <w:top w:w="0" w:type="dxa"/>
            <w:left w:w="108" w:type="dxa"/>
            <w:bottom w:w="0" w:type="dxa"/>
            <w:right w:w="108" w:type="dxa"/>
          </w:tblCellMar>
          <w:tblLook w:val="01E0"/>
        </w:tblPrEx>
        <w:trPr>
          <w:trHeight w:val="807"/>
        </w:trPr>
        <w:tc>
          <w:tcPr>
            <w:tcW w:w="4140" w:type="dxa"/>
            <w:shd w:val="clear" w:color="auto" w:fill="auto"/>
          </w:tcPr>
          <w:p w:rsidR="00985965" w:rsidRPr="0037628E" w:rsidP="00D65EEB" w14:paraId="293CCBA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r w:rsidRPr="0037628E">
              <w:rPr>
                <w:rFonts w:ascii="Times New Roman" w:eastAsia="Times New Roman" w:hAnsi="Times New Roman" w:cs="Times New Roman"/>
                <w:sz w:val="24"/>
                <w:szCs w:val="24"/>
                <w:lang w:val="en-US" w:eastAsia="en-US" w:bidi="ar-SA"/>
              </w:rPr>
              <w:t>In the Matter of the Commission’s Consideration of Solutions Concerning the Disconnection of Gas and Electric Service in Winter Emergencies for the 2022-2023 Winter Heating Season.</w:t>
            </w:r>
          </w:p>
        </w:tc>
        <w:tc>
          <w:tcPr>
            <w:tcW w:w="360" w:type="dxa"/>
            <w:shd w:val="clear" w:color="auto" w:fill="auto"/>
          </w:tcPr>
          <w:p w:rsidR="00985965" w:rsidRPr="0037628E" w:rsidP="00D65EEB" w14:paraId="1C5D635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r w:rsidRPr="0037628E">
              <w:rPr>
                <w:rFonts w:ascii="Times New Roman" w:eastAsia="Times New Roman" w:hAnsi="Times New Roman" w:cs="Times New Roman"/>
                <w:sz w:val="24"/>
                <w:szCs w:val="24"/>
                <w:lang w:val="en-US" w:eastAsia="en-US" w:bidi="ar-SA"/>
              </w:rPr>
              <w:t>)</w:t>
            </w:r>
          </w:p>
          <w:p w:rsidR="00985965" w:rsidRPr="0037628E" w:rsidP="00D65EEB" w14:paraId="45B8D7B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r w:rsidRPr="0037628E">
              <w:rPr>
                <w:rFonts w:ascii="Times New Roman" w:eastAsia="Times New Roman" w:hAnsi="Times New Roman" w:cs="Times New Roman"/>
                <w:sz w:val="24"/>
                <w:szCs w:val="24"/>
                <w:lang w:val="en-US" w:eastAsia="en-US" w:bidi="ar-SA"/>
              </w:rPr>
              <w:t>)</w:t>
            </w:r>
          </w:p>
          <w:p w:rsidR="00985965" w:rsidRPr="0037628E" w:rsidP="00D65EEB" w14:paraId="5F399DB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r w:rsidRPr="0037628E">
              <w:rPr>
                <w:rFonts w:ascii="Times New Roman" w:eastAsia="Times New Roman" w:hAnsi="Times New Roman" w:cs="Times New Roman"/>
                <w:sz w:val="24"/>
                <w:szCs w:val="24"/>
                <w:lang w:val="en-US" w:eastAsia="en-US" w:bidi="ar-SA"/>
              </w:rPr>
              <w:t>)</w:t>
            </w:r>
          </w:p>
          <w:p w:rsidR="00985965" w:rsidRPr="0037628E" w:rsidP="00D65EEB" w14:paraId="4065565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r w:rsidRPr="0037628E">
              <w:rPr>
                <w:rFonts w:ascii="Times New Roman" w:eastAsia="Times New Roman" w:hAnsi="Times New Roman" w:cs="Times New Roman"/>
                <w:sz w:val="24"/>
                <w:szCs w:val="24"/>
                <w:lang w:val="en-US" w:eastAsia="en-US" w:bidi="ar-SA"/>
              </w:rPr>
              <w:t>)</w:t>
            </w:r>
          </w:p>
          <w:p w:rsidR="00985965" w:rsidRPr="0037628E" w:rsidP="00D65EEB" w14:paraId="0AAD488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r w:rsidRPr="0037628E">
              <w:rPr>
                <w:rFonts w:ascii="Times New Roman" w:eastAsia="Times New Roman" w:hAnsi="Times New Roman" w:cs="Times New Roman"/>
                <w:sz w:val="24"/>
                <w:szCs w:val="24"/>
                <w:lang w:val="en-US" w:eastAsia="en-US" w:bidi="ar-SA"/>
              </w:rPr>
              <w:t>)</w:t>
            </w:r>
          </w:p>
        </w:tc>
        <w:tc>
          <w:tcPr>
            <w:tcW w:w="4050" w:type="dxa"/>
            <w:shd w:val="clear" w:color="auto" w:fill="auto"/>
          </w:tcPr>
          <w:p w:rsidR="00985965" w:rsidRPr="0037628E" w:rsidP="00D65EEB" w14:paraId="34C43A7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p>
          <w:p w:rsidR="00985965" w:rsidRPr="0037628E" w:rsidP="00D65EEB" w14:paraId="67047FE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p>
          <w:p w:rsidR="00985965" w:rsidRPr="0037628E" w:rsidP="00D65EEB" w14:paraId="32ABF7D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r w:rsidRPr="0037628E">
              <w:rPr>
                <w:rFonts w:ascii="Times New Roman" w:eastAsia="Times New Roman" w:hAnsi="Times New Roman" w:cs="Times New Roman"/>
                <w:sz w:val="24"/>
                <w:szCs w:val="24"/>
                <w:lang w:val="en-US" w:eastAsia="en-US" w:bidi="ar-SA"/>
              </w:rPr>
              <w:t>Case No. 22-668-GE-UNC</w:t>
            </w:r>
          </w:p>
          <w:p w:rsidR="00985965" w:rsidRPr="0037628E" w:rsidP="00D65EEB" w14:paraId="0A4EF58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p>
          <w:p w:rsidR="00985965" w:rsidRPr="0037628E" w:rsidP="00D65EEB" w14:paraId="122E056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en-US" w:bidi="ar-SA"/>
              </w:rPr>
            </w:pPr>
          </w:p>
        </w:tc>
      </w:tr>
    </w:tbl>
    <w:p w:rsidR="00985965" w:rsidRPr="0037628E" w:rsidP="00985965" w14:paraId="1B469560" w14:textId="77777777">
      <w:pPr>
        <w:pBdr>
          <w:bottom w:val="single" w:sz="12" w:space="1" w:color="auto"/>
        </w:pBdr>
        <w:rPr>
          <w:szCs w:val="24"/>
        </w:rPr>
      </w:pPr>
    </w:p>
    <w:p w:rsidR="00985965" w:rsidRPr="0037628E" w:rsidP="00985965" w14:paraId="7DDD4C67" w14:textId="77777777">
      <w:pPr>
        <w:rPr>
          <w:szCs w:val="24"/>
        </w:rPr>
      </w:pPr>
    </w:p>
    <w:p w:rsidR="00985965" w:rsidRPr="0037628E" w:rsidP="00985965" w14:paraId="1A35815F" w14:textId="5EE6B8DC">
      <w:pPr>
        <w:jc w:val="center"/>
        <w:rPr>
          <w:b/>
          <w:bCs/>
          <w:szCs w:val="24"/>
        </w:rPr>
      </w:pPr>
      <w:bookmarkStart w:id="0" w:name="_Hlk140490547"/>
      <w:r w:rsidRPr="0037628E">
        <w:rPr>
          <w:b/>
          <w:bCs/>
          <w:szCs w:val="24"/>
        </w:rPr>
        <w:t>MEMORANDUM CONTRA DUKE’S APPLICATION FOR CLARIFICATION AND REHEARING</w:t>
      </w:r>
    </w:p>
    <w:bookmarkEnd w:id="0"/>
    <w:p w:rsidR="005663C8" w:rsidRPr="0037628E" w:rsidP="00985965" w14:paraId="1D16F35E" w14:textId="058B9FFF">
      <w:pPr>
        <w:jc w:val="center"/>
        <w:rPr>
          <w:b/>
          <w:bCs/>
          <w:szCs w:val="24"/>
        </w:rPr>
      </w:pPr>
      <w:r w:rsidRPr="0037628E">
        <w:rPr>
          <w:b/>
          <w:bCs/>
          <w:szCs w:val="24"/>
        </w:rPr>
        <w:t>BY</w:t>
      </w:r>
    </w:p>
    <w:p w:rsidR="00C8145A" w:rsidRPr="0037628E" w:rsidP="00C8145A" w14:paraId="40DAFE6F" w14:textId="77777777">
      <w:pPr>
        <w:jc w:val="center"/>
        <w:rPr>
          <w:b/>
          <w:bCs/>
          <w:szCs w:val="24"/>
        </w:rPr>
      </w:pPr>
      <w:r w:rsidRPr="0037628E">
        <w:rPr>
          <w:b/>
          <w:bCs/>
          <w:szCs w:val="24"/>
        </w:rPr>
        <w:t>ADVOCATES FOR BASIC LEGAL EQUALITY</w:t>
      </w:r>
    </w:p>
    <w:p w:rsidR="00C8145A" w:rsidRPr="0037628E" w:rsidP="00C8145A" w14:paraId="2C5FD173" w14:textId="77777777">
      <w:pPr>
        <w:jc w:val="center"/>
        <w:rPr>
          <w:b/>
          <w:bCs/>
          <w:szCs w:val="24"/>
        </w:rPr>
      </w:pPr>
      <w:r w:rsidRPr="0037628E">
        <w:rPr>
          <w:b/>
          <w:bCs/>
          <w:szCs w:val="24"/>
        </w:rPr>
        <w:t>LEGAL AID SOCIETY OF SOUTHWEST OHIO, LLC</w:t>
      </w:r>
    </w:p>
    <w:p w:rsidR="00C8145A" w:rsidRPr="0037628E" w:rsidP="00C8145A" w14:paraId="72F2FC8B" w14:textId="77777777">
      <w:pPr>
        <w:jc w:val="center"/>
        <w:rPr>
          <w:b/>
          <w:bCs/>
          <w:szCs w:val="24"/>
        </w:rPr>
      </w:pPr>
      <w:r w:rsidRPr="0037628E">
        <w:rPr>
          <w:b/>
          <w:bCs/>
          <w:szCs w:val="24"/>
        </w:rPr>
        <w:t>OFFICE OF THE OHIO CONSUMERS’ COUNSEL</w:t>
      </w:r>
    </w:p>
    <w:p w:rsidR="00C8145A" w:rsidRPr="0037628E" w:rsidP="00C8145A" w14:paraId="6ECF638B" w14:textId="77777777">
      <w:pPr>
        <w:jc w:val="center"/>
        <w:rPr>
          <w:b/>
          <w:bCs/>
          <w:szCs w:val="24"/>
        </w:rPr>
      </w:pPr>
      <w:r w:rsidRPr="0037628E">
        <w:rPr>
          <w:b/>
          <w:bCs/>
          <w:szCs w:val="24"/>
        </w:rPr>
        <w:t>OHIO POVERTY LAW CENTER</w:t>
      </w:r>
    </w:p>
    <w:p w:rsidR="005663C8" w:rsidRPr="0037628E" w:rsidP="00C8145A" w14:paraId="1AB0EA53" w14:textId="47B5E553">
      <w:pPr>
        <w:jc w:val="center"/>
        <w:rPr>
          <w:b/>
          <w:bCs/>
          <w:szCs w:val="24"/>
        </w:rPr>
      </w:pPr>
      <w:r w:rsidRPr="0037628E">
        <w:rPr>
          <w:b/>
          <w:bCs/>
          <w:szCs w:val="24"/>
        </w:rPr>
        <w:t>PRO SENIORS, INC.</w:t>
      </w:r>
    </w:p>
    <w:p w:rsidR="00985965" w:rsidRPr="0037628E" w:rsidP="00985965" w14:paraId="4B130546" w14:textId="77777777">
      <w:pPr>
        <w:pBdr>
          <w:bottom w:val="single" w:sz="12" w:space="1" w:color="auto"/>
        </w:pBdr>
        <w:jc w:val="center"/>
        <w:rPr>
          <w:b/>
          <w:szCs w:val="24"/>
        </w:rPr>
      </w:pPr>
    </w:p>
    <w:p w:rsidR="00755970" w:rsidRPr="0037628E" w:rsidP="00755970" w14:paraId="34A8DF11" w14:textId="77777777">
      <w:pPr>
        <w:pStyle w:val="Heading1"/>
        <w:spacing w:after="0"/>
      </w:pPr>
    </w:p>
    <w:p w:rsidR="00327F6E" w:rsidRPr="0037628E" w:rsidP="00755970" w14:paraId="071B2808" w14:textId="4CF4FD0C">
      <w:pPr>
        <w:pStyle w:val="Heading1"/>
      </w:pPr>
      <w:r w:rsidRPr="0037628E">
        <w:t>I.</w:t>
      </w:r>
      <w:r w:rsidRPr="0037628E">
        <w:tab/>
      </w:r>
      <w:r w:rsidRPr="0037628E">
        <w:t>INTRODUCTION</w:t>
      </w:r>
    </w:p>
    <w:p w:rsidR="0094256C" w:rsidRPr="0037628E" w:rsidP="00C079E8" w14:paraId="70A194EC" w14:textId="77777777">
      <w:pPr>
        <w:spacing w:line="480" w:lineRule="auto"/>
        <w:ind w:firstLine="720"/>
        <w:rPr>
          <w:szCs w:val="24"/>
        </w:rPr>
      </w:pPr>
      <w:r w:rsidRPr="0037628E">
        <w:rPr>
          <w:szCs w:val="24"/>
        </w:rPr>
        <w:t xml:space="preserve">In response to the joint motion by five consumer advocates, the PUCO agreed to protect at-risk Ohio families from harm’s way. </w:t>
      </w:r>
      <w:r w:rsidRPr="0037628E" w:rsidR="00EF6B16">
        <w:rPr>
          <w:szCs w:val="24"/>
        </w:rPr>
        <w:t>Per our motion, t</w:t>
      </w:r>
      <w:r w:rsidRPr="0037628E">
        <w:rPr>
          <w:szCs w:val="24"/>
        </w:rPr>
        <w:t xml:space="preserve">he </w:t>
      </w:r>
      <w:r w:rsidRPr="0037628E" w:rsidR="00EF6B16">
        <w:rPr>
          <w:szCs w:val="24"/>
        </w:rPr>
        <w:t>PUCO ruled that the utilities are prohibited from disconnecting Ohioans while their applications for bill-payment assistance are being processed.</w:t>
      </w:r>
      <w:r w:rsidRPr="0037628E" w:rsidR="009763D0">
        <w:rPr>
          <w:szCs w:val="24"/>
        </w:rPr>
        <w:t xml:space="preserve"> </w:t>
      </w:r>
    </w:p>
    <w:p w:rsidR="0094256C" w:rsidRPr="0037628E" w:rsidP="00C079E8" w14:paraId="2E54D724" w14:textId="5725C208">
      <w:pPr>
        <w:spacing w:line="480" w:lineRule="auto"/>
        <w:ind w:firstLine="720"/>
        <w:rPr>
          <w:szCs w:val="24"/>
        </w:rPr>
      </w:pPr>
      <w:r w:rsidRPr="0037628E">
        <w:rPr>
          <w:szCs w:val="24"/>
        </w:rPr>
        <w:t xml:space="preserve">AEP, Duke and AES </w:t>
      </w:r>
      <w:r w:rsidRPr="0037628E">
        <w:rPr>
          <w:szCs w:val="24"/>
        </w:rPr>
        <w:t>asked the PUCO to deny</w:t>
      </w:r>
      <w:r w:rsidRPr="0037628E">
        <w:rPr>
          <w:szCs w:val="24"/>
        </w:rPr>
        <w:t xml:space="preserve"> our motion for consumer protection. Now Duke has asked the PUCO to </w:t>
      </w:r>
      <w:r w:rsidRPr="0037628E" w:rsidR="00CA2A12">
        <w:rPr>
          <w:szCs w:val="24"/>
        </w:rPr>
        <w:t>suspend</w:t>
      </w:r>
      <w:r w:rsidRPr="0037628E">
        <w:rPr>
          <w:szCs w:val="24"/>
        </w:rPr>
        <w:t xml:space="preserve"> </w:t>
      </w:r>
      <w:r w:rsidRPr="0037628E" w:rsidR="00AF3CF4">
        <w:rPr>
          <w:szCs w:val="24"/>
        </w:rPr>
        <w:t xml:space="preserve">the ruling that would protect Duke’s </w:t>
      </w:r>
      <w:r w:rsidRPr="0037628E" w:rsidR="00044513">
        <w:rPr>
          <w:szCs w:val="24"/>
        </w:rPr>
        <w:t xml:space="preserve">monopoly </w:t>
      </w:r>
      <w:r w:rsidRPr="0037628E" w:rsidR="00AF3CF4">
        <w:rPr>
          <w:szCs w:val="24"/>
        </w:rPr>
        <w:t>customers from Duke</w:t>
      </w:r>
      <w:r w:rsidRPr="0037628E">
        <w:rPr>
          <w:szCs w:val="24"/>
        </w:rPr>
        <w:t>.</w:t>
      </w:r>
      <w:r w:rsidRPr="0037628E" w:rsidR="00DA02AE">
        <w:rPr>
          <w:szCs w:val="24"/>
        </w:rPr>
        <w:t xml:space="preserve"> </w:t>
      </w:r>
      <w:r w:rsidRPr="0037628E" w:rsidR="00AF3CF4">
        <w:rPr>
          <w:szCs w:val="24"/>
        </w:rPr>
        <w:t>Duke is wrong</w:t>
      </w:r>
      <w:r w:rsidRPr="0037628E" w:rsidR="00334465">
        <w:rPr>
          <w:szCs w:val="24"/>
        </w:rPr>
        <w:t>, very wrong</w:t>
      </w:r>
      <w:r w:rsidRPr="0037628E" w:rsidR="00AF3CF4">
        <w:rPr>
          <w:szCs w:val="24"/>
        </w:rPr>
        <w:t>.</w:t>
      </w:r>
    </w:p>
    <w:p w:rsidR="000D4B89" w:rsidRPr="0037628E" w:rsidP="00C079E8" w14:paraId="65A2361B" w14:textId="3ED0279F">
      <w:pPr>
        <w:spacing w:line="480" w:lineRule="auto"/>
        <w:ind w:firstLine="720"/>
        <w:rPr>
          <w:szCs w:val="24"/>
        </w:rPr>
      </w:pPr>
      <w:r w:rsidRPr="0037628E">
        <w:rPr>
          <w:szCs w:val="24"/>
        </w:rPr>
        <w:t xml:space="preserve">R.C. 4909.16 </w:t>
      </w:r>
      <w:r w:rsidRPr="0037628E" w:rsidR="00503DA8">
        <w:rPr>
          <w:szCs w:val="24"/>
        </w:rPr>
        <w:t>gives the PUCO the authority to act</w:t>
      </w:r>
      <w:r w:rsidRPr="0037628E">
        <w:rPr>
          <w:szCs w:val="24"/>
        </w:rPr>
        <w:t xml:space="preserve"> </w:t>
      </w:r>
      <w:r w:rsidRPr="0037628E" w:rsidR="00503DA8">
        <w:rPr>
          <w:szCs w:val="24"/>
        </w:rPr>
        <w:t xml:space="preserve">when it </w:t>
      </w:r>
      <w:r w:rsidRPr="0037628E">
        <w:rPr>
          <w:szCs w:val="24"/>
        </w:rPr>
        <w:t>“</w:t>
      </w:r>
      <w:r w:rsidRPr="0037628E">
        <w:rPr>
          <w:rFonts w:eastAsia="Times New Roman"/>
          <w:szCs w:val="24"/>
        </w:rPr>
        <w:t xml:space="preserve">deems it necessary </w:t>
      </w:r>
      <w:r w:rsidRPr="0037628E">
        <w:rPr>
          <w:rFonts w:eastAsia="Times New Roman"/>
          <w:i/>
          <w:iCs/>
          <w:szCs w:val="24"/>
        </w:rPr>
        <w:t>to prevent injury to the business or interests of the public</w:t>
      </w:r>
      <w:r w:rsidRPr="0037628E">
        <w:rPr>
          <w:rFonts w:eastAsia="Times New Roman"/>
          <w:szCs w:val="24"/>
        </w:rPr>
        <w:t xml:space="preserve"> or of any public utility of this state </w:t>
      </w:r>
      <w:r w:rsidRPr="0037628E">
        <w:rPr>
          <w:rFonts w:eastAsia="Times New Roman"/>
          <w:i/>
          <w:iCs/>
          <w:szCs w:val="24"/>
        </w:rPr>
        <w:t>in case of any emergency</w:t>
      </w:r>
      <w:r w:rsidRPr="0037628E">
        <w:rPr>
          <w:rFonts w:eastAsia="Times New Roman"/>
          <w:szCs w:val="24"/>
        </w:rPr>
        <w:t xml:space="preserve"> to be judged by the commission, . . .” (Emphasis added.) </w:t>
      </w:r>
      <w:r w:rsidRPr="0037628E" w:rsidR="00C079E8">
        <w:rPr>
          <w:rFonts w:eastAsia="Times New Roman"/>
          <w:szCs w:val="24"/>
        </w:rPr>
        <w:t>T</w:t>
      </w:r>
      <w:r w:rsidRPr="0037628E" w:rsidR="00F17519">
        <w:rPr>
          <w:rFonts w:eastAsia="Times New Roman"/>
          <w:szCs w:val="24"/>
        </w:rPr>
        <w:t>he PUCO</w:t>
      </w:r>
      <w:r w:rsidRPr="0037628E" w:rsidR="00C079E8">
        <w:rPr>
          <w:rFonts w:eastAsia="Times New Roman"/>
          <w:szCs w:val="24"/>
        </w:rPr>
        <w:t xml:space="preserve"> </w:t>
      </w:r>
      <w:r w:rsidRPr="0037628E" w:rsidR="002A2499">
        <w:rPr>
          <w:rFonts w:eastAsia="Times New Roman"/>
          <w:szCs w:val="24"/>
        </w:rPr>
        <w:t xml:space="preserve">used </w:t>
      </w:r>
      <w:r w:rsidRPr="0037628E" w:rsidR="00C079E8">
        <w:rPr>
          <w:rFonts w:eastAsia="Times New Roman"/>
          <w:szCs w:val="24"/>
        </w:rPr>
        <w:t>this authority to pr</w:t>
      </w:r>
      <w:r w:rsidRPr="0037628E">
        <w:rPr>
          <w:rFonts w:eastAsia="Times New Roman"/>
          <w:szCs w:val="24"/>
        </w:rPr>
        <w:t>event injury to at-risk consumers</w:t>
      </w:r>
      <w:r w:rsidRPr="0037628E" w:rsidR="00C079E8">
        <w:rPr>
          <w:rFonts w:eastAsia="Times New Roman"/>
          <w:szCs w:val="24"/>
        </w:rPr>
        <w:t xml:space="preserve"> in </w:t>
      </w:r>
      <w:r w:rsidRPr="0037628E" w:rsidR="000C42B8">
        <w:rPr>
          <w:rFonts w:eastAsia="Times New Roman"/>
          <w:szCs w:val="24"/>
        </w:rPr>
        <w:t>its</w:t>
      </w:r>
      <w:r w:rsidRPr="0037628E" w:rsidR="002A2499">
        <w:rPr>
          <w:rFonts w:eastAsia="Times New Roman"/>
          <w:szCs w:val="24"/>
        </w:rPr>
        <w:t xml:space="preserve"> June 12, 2023 order</w:t>
      </w:r>
      <w:r w:rsidRPr="0037628E" w:rsidR="00735C7D">
        <w:rPr>
          <w:rFonts w:eastAsia="Times New Roman"/>
          <w:szCs w:val="24"/>
        </w:rPr>
        <w:t>.</w:t>
      </w:r>
      <w:r w:rsidRPr="0037628E" w:rsidR="00C079E8">
        <w:rPr>
          <w:rFonts w:eastAsia="Times New Roman"/>
          <w:szCs w:val="24"/>
        </w:rPr>
        <w:t xml:space="preserve"> </w:t>
      </w:r>
      <w:r w:rsidRPr="0037628E" w:rsidR="00735C7D">
        <w:rPr>
          <w:rFonts w:eastAsia="Times New Roman"/>
          <w:szCs w:val="24"/>
        </w:rPr>
        <w:t>The PUCO ordered</w:t>
      </w:r>
      <w:r w:rsidRPr="0037628E" w:rsidR="00C079E8">
        <w:rPr>
          <w:szCs w:val="24"/>
        </w:rPr>
        <w:t xml:space="preserve"> “effective immediately</w:t>
      </w:r>
      <w:r w:rsidRPr="0037628E" w:rsidR="00735C7D">
        <w:rPr>
          <w:szCs w:val="24"/>
        </w:rPr>
        <w:t>,</w:t>
      </w:r>
      <w:r w:rsidRPr="0037628E" w:rsidR="002A2499">
        <w:rPr>
          <w:szCs w:val="24"/>
        </w:rPr>
        <w:t>”</w:t>
      </w:r>
      <w:r w:rsidRPr="0037628E" w:rsidR="00735C7D">
        <w:rPr>
          <w:szCs w:val="24"/>
        </w:rPr>
        <w:t xml:space="preserve"> that</w:t>
      </w:r>
      <w:r w:rsidRPr="0037628E" w:rsidR="002A2499">
        <w:rPr>
          <w:szCs w:val="24"/>
        </w:rPr>
        <w:t xml:space="preserve"> electric and natural gas utilities </w:t>
      </w:r>
      <w:r w:rsidRPr="0037628E" w:rsidR="002A2499">
        <w:rPr>
          <w:szCs w:val="24"/>
        </w:rPr>
        <w:t xml:space="preserve">“shall not disconnect the service to customers” </w:t>
      </w:r>
      <w:r w:rsidRPr="0037628E" w:rsidR="00C079E8">
        <w:rPr>
          <w:szCs w:val="24"/>
        </w:rPr>
        <w:t xml:space="preserve">for 30 days </w:t>
      </w:r>
      <w:r w:rsidRPr="0037628E" w:rsidR="002A2499">
        <w:rPr>
          <w:szCs w:val="24"/>
        </w:rPr>
        <w:t>after a consumer completes an application for assistance to help pay utility bills.</w:t>
      </w:r>
      <w:r>
        <w:rPr>
          <w:rStyle w:val="FootnoteReference"/>
          <w:szCs w:val="24"/>
        </w:rPr>
        <w:footnoteReference w:id="2"/>
      </w:r>
      <w:r w:rsidRPr="0037628E" w:rsidR="00C079E8">
        <w:rPr>
          <w:szCs w:val="24"/>
        </w:rPr>
        <w:t xml:space="preserve"> </w:t>
      </w:r>
      <w:r w:rsidRPr="0037628E">
        <w:rPr>
          <w:rFonts w:eastAsia="Times New Roman"/>
          <w:szCs w:val="24"/>
        </w:rPr>
        <w:t>PUCO Chair Jenifer French</w:t>
      </w:r>
      <w:r w:rsidRPr="0037628E" w:rsidR="004A760B">
        <w:rPr>
          <w:rFonts w:eastAsia="Times New Roman"/>
          <w:szCs w:val="24"/>
        </w:rPr>
        <w:t xml:space="preserve"> stated</w:t>
      </w:r>
      <w:r w:rsidRPr="0037628E" w:rsidR="002A2499">
        <w:rPr>
          <w:rFonts w:eastAsia="Times New Roman"/>
          <w:szCs w:val="24"/>
        </w:rPr>
        <w:t xml:space="preserve"> </w:t>
      </w:r>
      <w:r w:rsidRPr="0037628E">
        <w:rPr>
          <w:rFonts w:eastAsia="Times New Roman"/>
          <w:szCs w:val="24"/>
        </w:rPr>
        <w:t>the Order “will help to ensure that Ohio’s most vulnerable are not disconnected from vital utility services while they seek assistance.”</w:t>
      </w:r>
      <w:r>
        <w:rPr>
          <w:rStyle w:val="FootnoteReference"/>
          <w:rFonts w:eastAsia="Times New Roman"/>
          <w:szCs w:val="24"/>
        </w:rPr>
        <w:footnoteReference w:id="3"/>
      </w:r>
      <w:r w:rsidRPr="0037628E">
        <w:rPr>
          <w:rFonts w:eastAsia="Times New Roman"/>
          <w:szCs w:val="24"/>
        </w:rPr>
        <w:t xml:space="preserve"> </w:t>
      </w:r>
    </w:p>
    <w:p w:rsidR="005663C8" w:rsidP="00735C7D" w14:paraId="453F78F5" w14:textId="1713756B">
      <w:pPr>
        <w:spacing w:line="480" w:lineRule="auto"/>
        <w:ind w:firstLine="720"/>
        <w:rPr>
          <w:rFonts w:eastAsia="Times New Roman"/>
          <w:szCs w:val="24"/>
        </w:rPr>
      </w:pPr>
      <w:r w:rsidRPr="0037628E">
        <w:rPr>
          <w:rFonts w:eastAsia="Times New Roman"/>
          <w:szCs w:val="24"/>
        </w:rPr>
        <w:t xml:space="preserve">The PUCO should reject </w:t>
      </w:r>
      <w:r w:rsidRPr="0037628E" w:rsidR="00EC712A">
        <w:rPr>
          <w:rFonts w:eastAsia="Times New Roman"/>
          <w:szCs w:val="24"/>
        </w:rPr>
        <w:t>Duke’s</w:t>
      </w:r>
      <w:r w:rsidRPr="0037628E" w:rsidR="005341D8">
        <w:rPr>
          <w:rFonts w:eastAsia="Times New Roman"/>
          <w:szCs w:val="24"/>
        </w:rPr>
        <w:t xml:space="preserve"> arguments and </w:t>
      </w:r>
      <w:r w:rsidRPr="0037628E">
        <w:rPr>
          <w:rFonts w:eastAsia="Times New Roman"/>
          <w:szCs w:val="24"/>
        </w:rPr>
        <w:t xml:space="preserve">deny </w:t>
      </w:r>
      <w:r w:rsidRPr="0037628E" w:rsidR="000C42B8">
        <w:rPr>
          <w:rFonts w:eastAsia="Times New Roman"/>
          <w:szCs w:val="24"/>
        </w:rPr>
        <w:t xml:space="preserve">its </w:t>
      </w:r>
      <w:r w:rsidRPr="0037628E" w:rsidR="00EC712A">
        <w:rPr>
          <w:rFonts w:eastAsia="Times New Roman"/>
          <w:szCs w:val="24"/>
        </w:rPr>
        <w:t>application for rehearing</w:t>
      </w:r>
      <w:r w:rsidRPr="0037628E" w:rsidR="000C42B8">
        <w:rPr>
          <w:rFonts w:eastAsia="Times New Roman"/>
          <w:szCs w:val="24"/>
        </w:rPr>
        <w:t xml:space="preserve"> that would harm its own customers and those of other utilities</w:t>
      </w:r>
      <w:r w:rsidRPr="0037628E" w:rsidR="00EC712A">
        <w:rPr>
          <w:rFonts w:eastAsia="Times New Roman"/>
          <w:szCs w:val="24"/>
        </w:rPr>
        <w:t>.</w:t>
      </w:r>
    </w:p>
    <w:p w:rsidR="00090B35" w:rsidRPr="0037628E" w:rsidP="00090B35" w14:paraId="4A617006" w14:textId="77777777">
      <w:pPr>
        <w:ind w:firstLine="720"/>
        <w:rPr>
          <w:rFonts w:eastAsia="Times New Roman"/>
          <w:szCs w:val="24"/>
        </w:rPr>
      </w:pPr>
    </w:p>
    <w:p w:rsidR="00E60A95" w:rsidRPr="0037628E" w:rsidP="008E5598" w14:paraId="3D7028B6" w14:textId="03FCAA39">
      <w:pPr>
        <w:pStyle w:val="Heading1"/>
      </w:pPr>
      <w:r w:rsidRPr="0037628E">
        <w:t>II.</w:t>
      </w:r>
      <w:r w:rsidRPr="0037628E">
        <w:tab/>
      </w:r>
      <w:r w:rsidRPr="0037628E">
        <w:t>ARGUMENT</w:t>
      </w:r>
    </w:p>
    <w:p w:rsidR="0042440C" w:rsidRPr="0037628E" w:rsidP="008E5598" w14:paraId="71D5EB68" w14:textId="6622ACD5">
      <w:pPr>
        <w:pStyle w:val="Heading2"/>
      </w:pPr>
      <w:r w:rsidRPr="0037628E">
        <w:t>A.</w:t>
      </w:r>
      <w:r w:rsidRPr="0037628E">
        <w:tab/>
      </w:r>
      <w:r w:rsidRPr="0037628E" w:rsidR="00F542F5">
        <w:t>Duke is wrong to claim that t</w:t>
      </w:r>
      <w:r w:rsidRPr="0037628E" w:rsidR="00E60A95">
        <w:t xml:space="preserve">he </w:t>
      </w:r>
      <w:r w:rsidRPr="0037628E" w:rsidR="00DB63DB">
        <w:t xml:space="preserve">PUCO’s Order is </w:t>
      </w:r>
      <w:r w:rsidRPr="0037628E" w:rsidR="00F542F5">
        <w:t>un</w:t>
      </w:r>
      <w:r w:rsidRPr="0037628E" w:rsidR="00DB63DB">
        <w:t>lawful</w:t>
      </w:r>
      <w:r w:rsidRPr="0037628E" w:rsidR="00F542F5">
        <w:t xml:space="preserve">. The PUCO’s </w:t>
      </w:r>
      <w:r w:rsidRPr="0037628E" w:rsidR="00707001">
        <w:t>O</w:t>
      </w:r>
      <w:r w:rsidRPr="0037628E" w:rsidR="00F542F5">
        <w:t>rder is lawful</w:t>
      </w:r>
      <w:r w:rsidRPr="0037628E" w:rsidR="00DB63DB">
        <w:t xml:space="preserve"> under its emergency authority in </w:t>
      </w:r>
      <w:r w:rsidRPr="0037628E" w:rsidR="00E60A95">
        <w:t>R.C. 4909.16</w:t>
      </w:r>
      <w:r w:rsidRPr="0037628E" w:rsidR="00E4575A">
        <w:t xml:space="preserve"> to pr</w:t>
      </w:r>
      <w:r w:rsidRPr="0037628E" w:rsidR="00E10552">
        <w:t>event</w:t>
      </w:r>
      <w:r w:rsidRPr="0037628E" w:rsidR="00E4575A">
        <w:t xml:space="preserve"> injury to the public</w:t>
      </w:r>
      <w:r w:rsidRPr="0037628E" w:rsidR="00DB63DB">
        <w:t>.</w:t>
      </w:r>
      <w:r w:rsidRPr="0037628E" w:rsidR="009C1194">
        <w:t xml:space="preserve"> </w:t>
      </w:r>
      <w:r w:rsidRPr="0037628E" w:rsidR="00E60A95">
        <w:t>Duke’s request to</w:t>
      </w:r>
      <w:r w:rsidRPr="0037628E" w:rsidR="00DB63DB">
        <w:t xml:space="preserve"> suspend</w:t>
      </w:r>
      <w:r w:rsidRPr="0037628E" w:rsidR="00E60A95">
        <w:t xml:space="preserve"> the Order </w:t>
      </w:r>
      <w:r w:rsidRPr="0037628E" w:rsidR="001242DF">
        <w:t xml:space="preserve">should be rejected </w:t>
      </w:r>
      <w:r w:rsidRPr="0037628E" w:rsidR="00AB53D4">
        <w:t xml:space="preserve">because it </w:t>
      </w:r>
      <w:r w:rsidRPr="0037628E" w:rsidR="00DB63DB">
        <w:t xml:space="preserve">would deny at-risk </w:t>
      </w:r>
      <w:r w:rsidRPr="0037628E" w:rsidR="00707001">
        <w:t xml:space="preserve">Ohioans </w:t>
      </w:r>
      <w:r w:rsidRPr="0037628E">
        <w:t>protection</w:t>
      </w:r>
      <w:r w:rsidRPr="0037628E" w:rsidR="00AB53D4">
        <w:t xml:space="preserve"> </w:t>
      </w:r>
      <w:r w:rsidRPr="0037628E" w:rsidR="00DB63DB">
        <w:t>from</w:t>
      </w:r>
      <w:r w:rsidRPr="0037628E" w:rsidR="00707001">
        <w:t xml:space="preserve"> the grievous injury of</w:t>
      </w:r>
      <w:r w:rsidRPr="0037628E" w:rsidR="00AB53D4">
        <w:t xml:space="preserve"> disconnection of </w:t>
      </w:r>
      <w:r w:rsidRPr="0037628E" w:rsidR="00707001">
        <w:t xml:space="preserve">their </w:t>
      </w:r>
      <w:r w:rsidRPr="0037628E" w:rsidR="00AB53D4">
        <w:t>essential utility service</w:t>
      </w:r>
      <w:r w:rsidRPr="0037628E" w:rsidR="00DB63DB">
        <w:t xml:space="preserve"> while </w:t>
      </w:r>
      <w:r w:rsidRPr="0037628E" w:rsidR="00735C7D">
        <w:t xml:space="preserve">their applications </w:t>
      </w:r>
      <w:r w:rsidRPr="0037628E" w:rsidR="00034097">
        <w:t>for assistance are processed</w:t>
      </w:r>
      <w:r w:rsidRPr="0037628E">
        <w:t>.</w:t>
      </w:r>
    </w:p>
    <w:p w:rsidR="00F63755" w:rsidRPr="0037628E" w:rsidP="00917E33" w14:paraId="79F01071" w14:textId="0361EAE8">
      <w:pPr>
        <w:spacing w:line="480" w:lineRule="auto"/>
        <w:ind w:firstLine="720"/>
        <w:rPr>
          <w:rFonts w:eastAsia="Times New Roman"/>
          <w:szCs w:val="24"/>
        </w:rPr>
      </w:pPr>
      <w:r w:rsidRPr="0037628E">
        <w:rPr>
          <w:rFonts w:eastAsia="Times New Roman"/>
          <w:szCs w:val="24"/>
        </w:rPr>
        <w:t>Duke repeatedly claims that the PUCO’s Order protecting consumers is “unlawful</w:t>
      </w:r>
      <w:r w:rsidRPr="0037628E" w:rsidR="002659E3">
        <w:rPr>
          <w:rFonts w:eastAsia="Times New Roman"/>
          <w:szCs w:val="24"/>
        </w:rPr>
        <w:t>.</w:t>
      </w:r>
      <w:r w:rsidRPr="0037628E">
        <w:rPr>
          <w:rFonts w:eastAsia="Times New Roman"/>
          <w:szCs w:val="24"/>
        </w:rPr>
        <w:t>”</w:t>
      </w:r>
      <w:r>
        <w:rPr>
          <w:rStyle w:val="FootnoteReference"/>
          <w:rFonts w:eastAsia="Times New Roman"/>
          <w:szCs w:val="24"/>
        </w:rPr>
        <w:footnoteReference w:id="4"/>
      </w:r>
      <w:r w:rsidRPr="0037628E" w:rsidR="002B285C">
        <w:rPr>
          <w:rFonts w:eastAsia="Times New Roman"/>
          <w:szCs w:val="24"/>
        </w:rPr>
        <w:t xml:space="preserve"> It is</w:t>
      </w:r>
      <w:r w:rsidRPr="0037628E" w:rsidR="00034097">
        <w:rPr>
          <w:rFonts w:eastAsia="Times New Roman"/>
          <w:szCs w:val="24"/>
        </w:rPr>
        <w:t xml:space="preserve"> not. The PUCO’s Order cites R.C. 4909.16</w:t>
      </w:r>
      <w:r w:rsidRPr="0037628E" w:rsidR="002B285C">
        <w:rPr>
          <w:rFonts w:eastAsia="Times New Roman"/>
          <w:szCs w:val="24"/>
        </w:rPr>
        <w:t>,</w:t>
      </w:r>
      <w:r>
        <w:rPr>
          <w:rStyle w:val="FootnoteReference"/>
          <w:rFonts w:eastAsia="Times New Roman"/>
          <w:szCs w:val="24"/>
        </w:rPr>
        <w:footnoteReference w:id="5"/>
      </w:r>
      <w:r w:rsidRPr="0037628E" w:rsidR="002B285C">
        <w:rPr>
          <w:rFonts w:eastAsia="Times New Roman"/>
          <w:szCs w:val="24"/>
        </w:rPr>
        <w:t xml:space="preserve"> </w:t>
      </w:r>
      <w:r w:rsidRPr="0037628E" w:rsidR="00034097">
        <w:rPr>
          <w:rFonts w:eastAsia="Times New Roman"/>
          <w:szCs w:val="24"/>
        </w:rPr>
        <w:t xml:space="preserve">which provides </w:t>
      </w:r>
      <w:r w:rsidRPr="0037628E" w:rsidR="002B285C">
        <w:rPr>
          <w:rFonts w:eastAsia="Times New Roman"/>
          <w:szCs w:val="24"/>
        </w:rPr>
        <w:t>that “</w:t>
      </w:r>
      <w:r w:rsidRPr="0037628E" w:rsidR="002B285C">
        <w:rPr>
          <w:szCs w:val="24"/>
        </w:rPr>
        <w:t xml:space="preserve">in the event of an emergency, </w:t>
      </w:r>
      <w:r w:rsidRPr="0037628E" w:rsidR="002B285C">
        <w:rPr>
          <w:i/>
          <w:iCs/>
          <w:szCs w:val="24"/>
        </w:rPr>
        <w:t>when the Commission finds it necessary to prevent injury to the business or interests of the public</w:t>
      </w:r>
      <w:r w:rsidRPr="0037628E" w:rsidR="002B285C">
        <w:rPr>
          <w:szCs w:val="24"/>
        </w:rPr>
        <w:t xml:space="preserve"> or of any public utility, it may temporarily alter, amend, or suspend any existing rates or schedules.”</w:t>
      </w:r>
      <w:r>
        <w:rPr>
          <w:rStyle w:val="FootnoteReference"/>
          <w:szCs w:val="24"/>
        </w:rPr>
        <w:footnoteReference w:id="6"/>
      </w:r>
      <w:r w:rsidRPr="0037628E" w:rsidR="002B285C">
        <w:rPr>
          <w:rFonts w:eastAsia="Times New Roman"/>
          <w:szCs w:val="24"/>
        </w:rPr>
        <w:t xml:space="preserve"> </w:t>
      </w:r>
      <w:r w:rsidRPr="0037628E" w:rsidR="00034097">
        <w:rPr>
          <w:rFonts w:eastAsia="Times New Roman"/>
          <w:szCs w:val="24"/>
        </w:rPr>
        <w:t xml:space="preserve">Notably absent from Duke’s </w:t>
      </w:r>
      <w:r w:rsidRPr="0037628E" w:rsidR="00C46CBF">
        <w:rPr>
          <w:rFonts w:eastAsia="Times New Roman"/>
          <w:szCs w:val="24"/>
        </w:rPr>
        <w:t>claim that the PUCO lacks authority for its consumer protection ruling</w:t>
      </w:r>
      <w:r w:rsidRPr="0037628E" w:rsidR="00034097">
        <w:rPr>
          <w:rFonts w:eastAsia="Times New Roman"/>
          <w:szCs w:val="24"/>
        </w:rPr>
        <w:t xml:space="preserve"> is any discussion</w:t>
      </w:r>
      <w:r w:rsidRPr="0037628E" w:rsidR="00AD0EBC">
        <w:rPr>
          <w:rFonts w:eastAsia="Times New Roman"/>
          <w:szCs w:val="24"/>
        </w:rPr>
        <w:t xml:space="preserve"> by Duke</w:t>
      </w:r>
      <w:r w:rsidRPr="0037628E" w:rsidR="00034097">
        <w:rPr>
          <w:rFonts w:eastAsia="Times New Roman"/>
          <w:szCs w:val="24"/>
        </w:rPr>
        <w:t xml:space="preserve"> of the PUCO’s emergency authority in R.C. 4909.16.</w:t>
      </w:r>
      <w:r w:rsidRPr="0037628E" w:rsidR="009C1194">
        <w:rPr>
          <w:rFonts w:eastAsia="Times New Roman"/>
          <w:szCs w:val="24"/>
        </w:rPr>
        <w:t xml:space="preserve"> </w:t>
      </w:r>
    </w:p>
    <w:p w:rsidR="00857EBA" w:rsidRPr="0037628E" w:rsidP="00857EBA" w14:paraId="0C898DE4" w14:textId="4E15B4C4">
      <w:pPr>
        <w:spacing w:line="480" w:lineRule="auto"/>
        <w:ind w:firstLine="720"/>
        <w:rPr>
          <w:szCs w:val="24"/>
        </w:rPr>
      </w:pPr>
      <w:r w:rsidRPr="0037628E">
        <w:rPr>
          <w:rFonts w:eastAsia="Times New Roman"/>
          <w:szCs w:val="24"/>
        </w:rPr>
        <w:t xml:space="preserve">The PUCO’s important new consumer protection for at-risk consumers </w:t>
      </w:r>
      <w:r w:rsidRPr="0037628E" w:rsidR="00034097">
        <w:rPr>
          <w:rFonts w:eastAsia="Times New Roman"/>
          <w:szCs w:val="24"/>
        </w:rPr>
        <w:t>is in response to a</w:t>
      </w:r>
      <w:r w:rsidRPr="0037628E">
        <w:rPr>
          <w:rFonts w:eastAsia="Times New Roman"/>
          <w:szCs w:val="24"/>
        </w:rPr>
        <w:t xml:space="preserve"> plea from Consumer Advocates</w:t>
      </w:r>
      <w:r>
        <w:rPr>
          <w:rStyle w:val="FootnoteReference"/>
          <w:rFonts w:eastAsia="Times New Roman"/>
          <w:szCs w:val="24"/>
        </w:rPr>
        <w:footnoteReference w:id="7"/>
      </w:r>
      <w:r w:rsidRPr="0037628E" w:rsidR="00034097">
        <w:rPr>
          <w:rFonts w:eastAsia="Times New Roman"/>
          <w:szCs w:val="24"/>
        </w:rPr>
        <w:t xml:space="preserve"> for a suspension of disconnections when consumers’ applications for energy assistance are delayed, through no fault of their own.</w:t>
      </w:r>
      <w:r w:rsidRPr="0037628E">
        <w:rPr>
          <w:rFonts w:eastAsia="Times New Roman"/>
          <w:szCs w:val="24"/>
        </w:rPr>
        <w:t xml:space="preserve"> </w:t>
      </w:r>
      <w:r w:rsidRPr="0037628E" w:rsidR="00AD0EBC">
        <w:rPr>
          <w:rFonts w:eastAsia="Times New Roman"/>
          <w:szCs w:val="24"/>
        </w:rPr>
        <w:t>Indeed, e</w:t>
      </w:r>
      <w:r w:rsidRPr="0037628E" w:rsidR="00034097">
        <w:rPr>
          <w:rFonts w:eastAsia="Times New Roman"/>
          <w:szCs w:val="24"/>
        </w:rPr>
        <w:t>arlier this year</w:t>
      </w:r>
      <w:r w:rsidRPr="0037628E" w:rsidR="00AD0EBC">
        <w:rPr>
          <w:rFonts w:eastAsia="Times New Roman"/>
          <w:szCs w:val="24"/>
        </w:rPr>
        <w:t xml:space="preserve"> there was important testimony under oath </w:t>
      </w:r>
      <w:r w:rsidRPr="0037628E" w:rsidR="00034097">
        <w:rPr>
          <w:rFonts w:eastAsia="Times New Roman"/>
          <w:szCs w:val="24"/>
        </w:rPr>
        <w:t>at a</w:t>
      </w:r>
      <w:r w:rsidRPr="0037628E" w:rsidR="00AD0EBC">
        <w:rPr>
          <w:rFonts w:eastAsia="Times New Roman"/>
          <w:szCs w:val="24"/>
        </w:rPr>
        <w:t xml:space="preserve"> PUCO</w:t>
      </w:r>
      <w:r w:rsidRPr="0037628E" w:rsidR="00034097">
        <w:rPr>
          <w:rFonts w:eastAsia="Times New Roman"/>
          <w:szCs w:val="24"/>
        </w:rPr>
        <w:t xml:space="preserve"> local public hearing regarding AES Ohio’s electric security plan</w:t>
      </w:r>
      <w:r w:rsidRPr="0037628E" w:rsidR="00AD0EBC">
        <w:rPr>
          <w:rFonts w:eastAsia="Times New Roman"/>
          <w:szCs w:val="24"/>
        </w:rPr>
        <w:t>. There,</w:t>
      </w:r>
      <w:r w:rsidRPr="0037628E" w:rsidR="00034097">
        <w:rPr>
          <w:rFonts w:eastAsia="Times New Roman"/>
          <w:szCs w:val="24"/>
        </w:rPr>
        <w:t xml:space="preserve"> </w:t>
      </w:r>
      <w:r w:rsidRPr="0037628E">
        <w:rPr>
          <w:rFonts w:eastAsia="Times New Roman"/>
          <w:szCs w:val="24"/>
        </w:rPr>
        <w:t xml:space="preserve">a representative </w:t>
      </w:r>
      <w:r w:rsidRPr="0037628E" w:rsidR="000C00D9">
        <w:rPr>
          <w:rFonts w:eastAsia="Times New Roman"/>
          <w:szCs w:val="24"/>
        </w:rPr>
        <w:t>from</w:t>
      </w:r>
      <w:r w:rsidRPr="0037628E">
        <w:rPr>
          <w:rFonts w:eastAsia="Times New Roman"/>
          <w:szCs w:val="24"/>
        </w:rPr>
        <w:t xml:space="preserve"> </w:t>
      </w:r>
      <w:r w:rsidRPr="0037628E" w:rsidR="00AD0EBC">
        <w:rPr>
          <w:rFonts w:eastAsia="Times New Roman"/>
          <w:szCs w:val="24"/>
        </w:rPr>
        <w:t>a social services agency (</w:t>
      </w:r>
      <w:r w:rsidRPr="0037628E">
        <w:rPr>
          <w:rFonts w:eastAsia="Times New Roman"/>
          <w:szCs w:val="24"/>
        </w:rPr>
        <w:t xml:space="preserve">Miami Valley </w:t>
      </w:r>
      <w:r w:rsidRPr="0037628E">
        <w:rPr>
          <w:szCs w:val="24"/>
        </w:rPr>
        <w:t>Community Action Partnership</w:t>
      </w:r>
      <w:r w:rsidRPr="0037628E" w:rsidR="00AD0EBC">
        <w:rPr>
          <w:szCs w:val="24"/>
        </w:rPr>
        <w:t>)</w:t>
      </w:r>
      <w:r w:rsidRPr="0037628E">
        <w:rPr>
          <w:szCs w:val="24"/>
        </w:rPr>
        <w:t xml:space="preserve"> </w:t>
      </w:r>
      <w:r w:rsidRPr="0037628E" w:rsidR="00034097">
        <w:rPr>
          <w:szCs w:val="24"/>
        </w:rPr>
        <w:t>testified</w:t>
      </w:r>
      <w:r w:rsidRPr="0037628E">
        <w:rPr>
          <w:szCs w:val="24"/>
        </w:rPr>
        <w:t xml:space="preserve"> about delays, due to various operational challenges</w:t>
      </w:r>
      <w:r w:rsidRPr="0037628E" w:rsidR="000C00D9">
        <w:rPr>
          <w:szCs w:val="24"/>
        </w:rPr>
        <w:t>, in processing applications for</w:t>
      </w:r>
      <w:r w:rsidRPr="0037628E">
        <w:rPr>
          <w:szCs w:val="24"/>
        </w:rPr>
        <w:t xml:space="preserve"> energy assistance to at-risk families.</w:t>
      </w:r>
      <w:r>
        <w:rPr>
          <w:szCs w:val="24"/>
          <w:vertAlign w:val="superscript"/>
        </w:rPr>
        <w:footnoteReference w:id="8"/>
      </w:r>
      <w:r w:rsidRPr="0037628E">
        <w:rPr>
          <w:rFonts w:eastAsia="Times New Roman"/>
          <w:szCs w:val="24"/>
        </w:rPr>
        <w:t xml:space="preserve"> </w:t>
      </w:r>
      <w:r w:rsidRPr="0037628E">
        <w:rPr>
          <w:szCs w:val="24"/>
        </w:rPr>
        <w:t xml:space="preserve">According to </w:t>
      </w:r>
      <w:r w:rsidRPr="0037628E" w:rsidR="00AD0EBC">
        <w:rPr>
          <w:szCs w:val="24"/>
        </w:rPr>
        <w:t xml:space="preserve">the </w:t>
      </w:r>
      <w:r w:rsidRPr="0037628E">
        <w:rPr>
          <w:szCs w:val="24"/>
        </w:rPr>
        <w:t>sworn testimony, assistance agencies are “bobbing above the waterline to provide assistance with a limited staff, limited resources, [and] overwhelming program requirements.”</w:t>
      </w:r>
      <w:r>
        <w:rPr>
          <w:szCs w:val="24"/>
          <w:vertAlign w:val="superscript"/>
        </w:rPr>
        <w:footnoteReference w:id="9"/>
      </w:r>
      <w:r w:rsidRPr="0037628E">
        <w:rPr>
          <w:szCs w:val="24"/>
        </w:rPr>
        <w:t xml:space="preserve"> </w:t>
      </w:r>
      <w:r w:rsidRPr="0037628E" w:rsidR="00034097">
        <w:rPr>
          <w:szCs w:val="24"/>
        </w:rPr>
        <w:t>T</w:t>
      </w:r>
      <w:r w:rsidRPr="0037628E">
        <w:rPr>
          <w:szCs w:val="24"/>
        </w:rPr>
        <w:t>he PUCO’s Order lawfully responds to</w:t>
      </w:r>
      <w:r w:rsidRPr="0037628E" w:rsidR="00034097">
        <w:rPr>
          <w:szCs w:val="24"/>
        </w:rPr>
        <w:t xml:space="preserve"> this problem</w:t>
      </w:r>
      <w:r w:rsidRPr="0037628E">
        <w:rPr>
          <w:szCs w:val="24"/>
        </w:rPr>
        <w:t xml:space="preserve"> “</w:t>
      </w:r>
      <w:r w:rsidRPr="0037628E" w:rsidR="000852DF">
        <w:rPr>
          <w:szCs w:val="24"/>
        </w:rPr>
        <w:t xml:space="preserve">to </w:t>
      </w:r>
      <w:r w:rsidRPr="0037628E">
        <w:rPr>
          <w:szCs w:val="24"/>
        </w:rPr>
        <w:t xml:space="preserve">prevent injury to . . . the public.” </w:t>
      </w:r>
    </w:p>
    <w:p w:rsidR="004F5264" w:rsidRPr="0037628E" w:rsidP="00857EBA" w14:paraId="562908EB" w14:textId="5CC8E99E">
      <w:pPr>
        <w:spacing w:line="480" w:lineRule="auto"/>
        <w:ind w:firstLine="720"/>
        <w:rPr>
          <w:szCs w:val="24"/>
        </w:rPr>
      </w:pPr>
      <w:r w:rsidRPr="0037628E">
        <w:rPr>
          <w:szCs w:val="24"/>
        </w:rPr>
        <w:t>Disconnecting consumers from their essential utility service</w:t>
      </w:r>
      <w:r w:rsidRPr="0037628E" w:rsidR="000852DF">
        <w:rPr>
          <w:szCs w:val="24"/>
        </w:rPr>
        <w:t>s</w:t>
      </w:r>
      <w:r w:rsidRPr="0037628E" w:rsidR="00D82E0D">
        <w:rPr>
          <w:szCs w:val="24"/>
        </w:rPr>
        <w:t xml:space="preserve"> certainly can cause “injury” – or </w:t>
      </w:r>
      <w:r w:rsidRPr="0037628E" w:rsidR="00191673">
        <w:rPr>
          <w:szCs w:val="24"/>
        </w:rPr>
        <w:t xml:space="preserve">even </w:t>
      </w:r>
      <w:r w:rsidRPr="0037628E" w:rsidR="00D82E0D">
        <w:rPr>
          <w:szCs w:val="24"/>
        </w:rPr>
        <w:t xml:space="preserve">death – to consumers as they contend with record summer heatwaves and winter cold. </w:t>
      </w:r>
      <w:r w:rsidRPr="0037628E" w:rsidR="000852DF">
        <w:rPr>
          <w:szCs w:val="24"/>
        </w:rPr>
        <w:t>Indeed, n</w:t>
      </w:r>
      <w:r w:rsidRPr="0037628E" w:rsidR="00D82E0D">
        <w:rPr>
          <w:szCs w:val="24"/>
        </w:rPr>
        <w:t xml:space="preserve">o one should forget that </w:t>
      </w:r>
      <w:r w:rsidRPr="0037628E" w:rsidR="00157D3A">
        <w:rPr>
          <w:szCs w:val="24"/>
        </w:rPr>
        <w:t>nearly</w:t>
      </w:r>
      <w:r w:rsidRPr="0037628E" w:rsidR="00D82E0D">
        <w:rPr>
          <w:szCs w:val="24"/>
        </w:rPr>
        <w:t xml:space="preserve"> 12 years ago, two Ohioans did die, apparently from hypothermia in the cold, after being improperly disconnected by Duke.</w:t>
      </w:r>
      <w:r>
        <w:rPr>
          <w:rStyle w:val="FootnoteReference"/>
          <w:szCs w:val="24"/>
        </w:rPr>
        <w:footnoteReference w:id="10"/>
      </w:r>
      <w:r w:rsidRPr="0037628E" w:rsidR="00D82E0D">
        <w:rPr>
          <w:szCs w:val="24"/>
        </w:rPr>
        <w:t xml:space="preserve"> Duke’s claim that the PUCO acted unlawfully </w:t>
      </w:r>
      <w:r w:rsidRPr="0037628E" w:rsidR="00157D3A">
        <w:rPr>
          <w:szCs w:val="24"/>
        </w:rPr>
        <w:t xml:space="preserve">and unreasonably </w:t>
      </w:r>
      <w:r w:rsidRPr="0037628E" w:rsidR="00D82E0D">
        <w:rPr>
          <w:szCs w:val="24"/>
        </w:rPr>
        <w:t xml:space="preserve">in requiring utilities to suspend disconnections </w:t>
      </w:r>
      <w:r w:rsidRPr="0037628E" w:rsidR="00D82E0D">
        <w:rPr>
          <w:i/>
          <w:iCs/>
          <w:szCs w:val="24"/>
        </w:rPr>
        <w:t>for a mere 30 days</w:t>
      </w:r>
      <w:r w:rsidRPr="0037628E" w:rsidR="00D82E0D">
        <w:rPr>
          <w:szCs w:val="24"/>
        </w:rPr>
        <w:t xml:space="preserve"> while consumers seek help to pay </w:t>
      </w:r>
      <w:r w:rsidRPr="0037628E" w:rsidR="000852DF">
        <w:rPr>
          <w:szCs w:val="24"/>
        </w:rPr>
        <w:t xml:space="preserve">for </w:t>
      </w:r>
      <w:r w:rsidRPr="0037628E" w:rsidR="00D82E0D">
        <w:rPr>
          <w:szCs w:val="24"/>
        </w:rPr>
        <w:t xml:space="preserve">their </w:t>
      </w:r>
      <w:r w:rsidRPr="0037628E" w:rsidR="000852DF">
        <w:rPr>
          <w:szCs w:val="24"/>
        </w:rPr>
        <w:t>rising</w:t>
      </w:r>
      <w:r w:rsidRPr="0037628E" w:rsidR="00D82E0D">
        <w:rPr>
          <w:szCs w:val="24"/>
        </w:rPr>
        <w:t xml:space="preserve"> utility bills is as heartless as it is wrong. </w:t>
      </w:r>
    </w:p>
    <w:p w:rsidR="00157D3A" w:rsidRPr="0037628E" w:rsidP="00157D3A" w14:paraId="4150F0CB" w14:textId="665BFFB6">
      <w:pPr>
        <w:spacing w:line="480" w:lineRule="auto"/>
        <w:ind w:firstLine="720"/>
        <w:rPr>
          <w:szCs w:val="24"/>
        </w:rPr>
      </w:pPr>
      <w:r w:rsidRPr="0037628E">
        <w:rPr>
          <w:szCs w:val="24"/>
        </w:rPr>
        <w:t>Moreover, d</w:t>
      </w:r>
      <w:r w:rsidRPr="0037628E">
        <w:rPr>
          <w:szCs w:val="24"/>
        </w:rPr>
        <w:t xml:space="preserve">elaying </w:t>
      </w:r>
      <w:r w:rsidRPr="0037628E" w:rsidR="00857EBA">
        <w:rPr>
          <w:szCs w:val="24"/>
        </w:rPr>
        <w:t>the</w:t>
      </w:r>
      <w:r w:rsidRPr="0037628E">
        <w:rPr>
          <w:szCs w:val="24"/>
        </w:rPr>
        <w:t xml:space="preserve"> implementation of the</w:t>
      </w:r>
      <w:r w:rsidRPr="0037628E" w:rsidR="00857EBA">
        <w:rPr>
          <w:szCs w:val="24"/>
        </w:rPr>
        <w:t xml:space="preserve"> </w:t>
      </w:r>
      <w:r w:rsidRPr="0037628E" w:rsidR="004F5264">
        <w:rPr>
          <w:szCs w:val="24"/>
        </w:rPr>
        <w:t>PUCO’s consumer protections in the Order as Duke requests</w:t>
      </w:r>
      <w:r w:rsidRPr="0037628E">
        <w:rPr>
          <w:szCs w:val="24"/>
        </w:rPr>
        <w:t xml:space="preserve"> </w:t>
      </w:r>
      <w:r w:rsidRPr="0037628E" w:rsidR="004F5264">
        <w:rPr>
          <w:szCs w:val="24"/>
        </w:rPr>
        <w:t xml:space="preserve">would </w:t>
      </w:r>
      <w:r w:rsidRPr="0037628E">
        <w:rPr>
          <w:szCs w:val="24"/>
        </w:rPr>
        <w:t>defeat</w:t>
      </w:r>
      <w:r w:rsidRPr="0037628E" w:rsidR="004F5264">
        <w:rPr>
          <w:szCs w:val="24"/>
        </w:rPr>
        <w:t xml:space="preserve"> the purpose of the PUCO’s </w:t>
      </w:r>
      <w:r w:rsidRPr="0037628E" w:rsidR="004F5264">
        <w:rPr>
          <w:i/>
          <w:iCs/>
          <w:szCs w:val="24"/>
        </w:rPr>
        <w:t xml:space="preserve">emergency </w:t>
      </w:r>
      <w:r w:rsidRPr="0037628E" w:rsidR="004F5264">
        <w:rPr>
          <w:szCs w:val="24"/>
        </w:rPr>
        <w:t>authority set forth in R.C. 4909.16.</w:t>
      </w:r>
      <w:r w:rsidRPr="0037628E">
        <w:rPr>
          <w:szCs w:val="24"/>
        </w:rPr>
        <w:t xml:space="preserve"> At-risk consumers who face delay</w:t>
      </w:r>
      <w:r w:rsidRPr="0037628E">
        <w:rPr>
          <w:szCs w:val="24"/>
        </w:rPr>
        <w:t>s</w:t>
      </w:r>
      <w:r w:rsidRPr="0037628E">
        <w:rPr>
          <w:szCs w:val="24"/>
        </w:rPr>
        <w:t xml:space="preserve"> in the processing of their assistance applications need </w:t>
      </w:r>
      <w:r w:rsidRPr="0037628E">
        <w:rPr>
          <w:szCs w:val="24"/>
        </w:rPr>
        <w:t>protection</w:t>
      </w:r>
      <w:r w:rsidRPr="0037628E">
        <w:rPr>
          <w:szCs w:val="24"/>
        </w:rPr>
        <w:t xml:space="preserve"> </w:t>
      </w:r>
      <w:r w:rsidRPr="0037628E" w:rsidR="00191673">
        <w:rPr>
          <w:szCs w:val="24"/>
        </w:rPr>
        <w:t xml:space="preserve">from impending </w:t>
      </w:r>
      <w:r w:rsidRPr="0037628E">
        <w:rPr>
          <w:szCs w:val="24"/>
        </w:rPr>
        <w:t xml:space="preserve">utility </w:t>
      </w:r>
      <w:r w:rsidRPr="0037628E" w:rsidR="00191673">
        <w:rPr>
          <w:szCs w:val="24"/>
        </w:rPr>
        <w:t xml:space="preserve">disconnections </w:t>
      </w:r>
      <w:r w:rsidRPr="0037628E">
        <w:rPr>
          <w:szCs w:val="24"/>
        </w:rPr>
        <w:t xml:space="preserve">immediately, not </w:t>
      </w:r>
      <w:r w:rsidRPr="0037628E" w:rsidR="00191673">
        <w:rPr>
          <w:szCs w:val="24"/>
        </w:rPr>
        <w:t>after the utility has disconnected service and potential harm has occurred</w:t>
      </w:r>
      <w:r w:rsidRPr="0037628E">
        <w:rPr>
          <w:szCs w:val="24"/>
        </w:rPr>
        <w:t>.</w:t>
      </w:r>
      <w:r w:rsidRPr="0037628E" w:rsidR="00857EBA">
        <w:rPr>
          <w:szCs w:val="24"/>
        </w:rPr>
        <w:t xml:space="preserve"> </w:t>
      </w:r>
    </w:p>
    <w:p w:rsidR="00857EBA" w:rsidRPr="0037628E" w:rsidP="00157D3A" w14:paraId="1076FC75" w14:textId="28AA27A9">
      <w:pPr>
        <w:spacing w:line="480" w:lineRule="auto"/>
        <w:ind w:firstLine="720"/>
        <w:rPr>
          <w:szCs w:val="24"/>
        </w:rPr>
      </w:pPr>
      <w:r w:rsidRPr="0037628E">
        <w:rPr>
          <w:szCs w:val="24"/>
        </w:rPr>
        <w:t>The PUCO lawfully</w:t>
      </w:r>
      <w:r w:rsidRPr="0037628E" w:rsidR="00191673">
        <w:rPr>
          <w:szCs w:val="24"/>
        </w:rPr>
        <w:t xml:space="preserve"> and reasonably</w:t>
      </w:r>
      <w:r w:rsidRPr="0037628E">
        <w:rPr>
          <w:szCs w:val="24"/>
        </w:rPr>
        <w:t xml:space="preserve"> determined that “[i]t does not make sense </w:t>
      </w:r>
      <w:r w:rsidRPr="0037628E">
        <w:rPr>
          <w:i/>
          <w:iCs/>
          <w:szCs w:val="24"/>
        </w:rPr>
        <w:t>in this environment</w:t>
      </w:r>
      <w:r w:rsidRPr="0037628E">
        <w:rPr>
          <w:szCs w:val="24"/>
        </w:rPr>
        <w:t xml:space="preserve"> for customers to be disconnected after they already have sought assistance for these programs and are waiting for their applications to be processed.”</w:t>
      </w:r>
      <w:r>
        <w:rPr>
          <w:rStyle w:val="FootnoteReference"/>
          <w:szCs w:val="24"/>
        </w:rPr>
        <w:footnoteReference w:id="11"/>
      </w:r>
    </w:p>
    <w:p w:rsidR="0042440C" w:rsidP="00A935B7" w14:paraId="053E5FF3" w14:textId="68FEFDF7">
      <w:pPr>
        <w:spacing w:line="480" w:lineRule="auto"/>
        <w:rPr>
          <w:rFonts w:eastAsia="Times New Roman"/>
          <w:szCs w:val="24"/>
        </w:rPr>
      </w:pPr>
      <w:r w:rsidRPr="0037628E">
        <w:rPr>
          <w:rFonts w:eastAsia="Times New Roman"/>
          <w:szCs w:val="24"/>
        </w:rPr>
        <w:t>A</w:t>
      </w:r>
      <w:r w:rsidRPr="0037628E" w:rsidR="000852DF">
        <w:rPr>
          <w:rFonts w:eastAsia="Times New Roman"/>
          <w:szCs w:val="24"/>
        </w:rPr>
        <w:t>s noted</w:t>
      </w:r>
      <w:r w:rsidRPr="0037628E" w:rsidR="00B37A2C">
        <w:rPr>
          <w:rFonts w:eastAsia="Times New Roman"/>
          <w:szCs w:val="24"/>
        </w:rPr>
        <w:t xml:space="preserve">, </w:t>
      </w:r>
      <w:r w:rsidRPr="0037628E">
        <w:rPr>
          <w:rFonts w:eastAsia="Times New Roman"/>
          <w:szCs w:val="24"/>
        </w:rPr>
        <w:t xml:space="preserve">PUCO Chair Jenifer French </w:t>
      </w:r>
      <w:r w:rsidRPr="0037628E" w:rsidR="000852DF">
        <w:rPr>
          <w:rFonts w:eastAsia="Times New Roman"/>
          <w:szCs w:val="24"/>
        </w:rPr>
        <w:t>stated that the purpose of the</w:t>
      </w:r>
      <w:r w:rsidRPr="0037628E">
        <w:rPr>
          <w:rFonts w:eastAsia="Times New Roman"/>
          <w:szCs w:val="24"/>
        </w:rPr>
        <w:t xml:space="preserve"> Order </w:t>
      </w:r>
      <w:r w:rsidRPr="0037628E" w:rsidR="000852DF">
        <w:rPr>
          <w:rFonts w:eastAsia="Times New Roman"/>
          <w:szCs w:val="24"/>
        </w:rPr>
        <w:t xml:space="preserve">is </w:t>
      </w:r>
      <w:r w:rsidRPr="0037628E">
        <w:rPr>
          <w:rFonts w:eastAsia="Times New Roman"/>
          <w:szCs w:val="24"/>
        </w:rPr>
        <w:t>“to ensure that Ohio’s most vulnerable are not disconnected from vital utility services while they seek assistance.”</w:t>
      </w:r>
      <w:r>
        <w:rPr>
          <w:rStyle w:val="FootnoteReference"/>
          <w:rFonts w:eastAsia="Times New Roman"/>
          <w:szCs w:val="24"/>
        </w:rPr>
        <w:footnoteReference w:id="12"/>
      </w:r>
      <w:r w:rsidRPr="0037628E">
        <w:rPr>
          <w:rFonts w:eastAsia="Times New Roman"/>
          <w:szCs w:val="24"/>
        </w:rPr>
        <w:t xml:space="preserve"> </w:t>
      </w:r>
      <w:r w:rsidRPr="0037628E" w:rsidR="00157D3A">
        <w:rPr>
          <w:rFonts w:eastAsia="Times New Roman"/>
          <w:szCs w:val="24"/>
        </w:rPr>
        <w:t>Duke’s application for rehearing should be denied.</w:t>
      </w:r>
    </w:p>
    <w:p w:rsidR="00715443" w:rsidRPr="0037628E" w:rsidP="00A935B7" w14:paraId="29C82669" w14:textId="2F4B4617">
      <w:pPr>
        <w:spacing w:line="480" w:lineRule="auto"/>
        <w:rPr>
          <w:rFonts w:eastAsia="Times New Roman"/>
          <w:szCs w:val="24"/>
        </w:rPr>
      </w:pPr>
      <w:r>
        <w:rPr>
          <w:rFonts w:eastAsia="Times New Roman"/>
          <w:szCs w:val="24"/>
        </w:rPr>
        <w:tab/>
      </w:r>
      <w:r w:rsidR="00317803">
        <w:rPr>
          <w:rFonts w:eastAsia="Times New Roman"/>
          <w:szCs w:val="24"/>
        </w:rPr>
        <w:t>Further,</w:t>
      </w:r>
      <w:r>
        <w:rPr>
          <w:rFonts w:eastAsia="Times New Roman"/>
          <w:szCs w:val="24"/>
        </w:rPr>
        <w:t xml:space="preserve"> D</w:t>
      </w:r>
      <w:r w:rsidR="007A2049">
        <w:rPr>
          <w:rFonts w:eastAsia="Times New Roman"/>
          <w:szCs w:val="24"/>
        </w:rPr>
        <w:t>uke’s a</w:t>
      </w:r>
      <w:r w:rsidR="008D68BB">
        <w:rPr>
          <w:rFonts w:eastAsia="Times New Roman"/>
          <w:szCs w:val="24"/>
        </w:rPr>
        <w:t>ssignments of error are improper</w:t>
      </w:r>
      <w:r w:rsidR="00317803">
        <w:rPr>
          <w:rFonts w:eastAsia="Times New Roman"/>
          <w:szCs w:val="24"/>
        </w:rPr>
        <w:t xml:space="preserve"> </w:t>
      </w:r>
      <w:r>
        <w:rPr>
          <w:rFonts w:eastAsia="Times New Roman"/>
          <w:szCs w:val="24"/>
        </w:rPr>
        <w:t>requests for clarification of the Order</w:t>
      </w:r>
      <w:r w:rsidR="007A2049">
        <w:rPr>
          <w:rFonts w:eastAsia="Times New Roman"/>
          <w:szCs w:val="24"/>
        </w:rPr>
        <w:t xml:space="preserve">, not </w:t>
      </w:r>
      <w:r w:rsidR="008D68BB">
        <w:rPr>
          <w:rFonts w:eastAsia="Times New Roman"/>
          <w:szCs w:val="24"/>
        </w:rPr>
        <w:t>an</w:t>
      </w:r>
      <w:r w:rsidR="007A2049">
        <w:rPr>
          <w:rFonts w:eastAsia="Times New Roman"/>
          <w:szCs w:val="24"/>
        </w:rPr>
        <w:t xml:space="preserve"> application for rehearing</w:t>
      </w:r>
      <w:r>
        <w:rPr>
          <w:rFonts w:eastAsia="Times New Roman"/>
          <w:szCs w:val="24"/>
        </w:rPr>
        <w:t>.</w:t>
      </w:r>
      <w:r>
        <w:rPr>
          <w:rStyle w:val="FootnoteReference"/>
          <w:rFonts w:eastAsia="Times New Roman"/>
          <w:szCs w:val="24"/>
        </w:rPr>
        <w:footnoteReference w:id="13"/>
      </w:r>
      <w:r w:rsidR="00317803">
        <w:rPr>
          <w:rFonts w:eastAsia="Times New Roman"/>
          <w:szCs w:val="24"/>
        </w:rPr>
        <w:t xml:space="preserve"> </w:t>
      </w:r>
      <w:r w:rsidR="000649BE">
        <w:rPr>
          <w:rFonts w:eastAsia="Times New Roman"/>
          <w:szCs w:val="24"/>
        </w:rPr>
        <w:t>Duke specifically states that it “seeks clarification” of the Order.</w:t>
      </w:r>
      <w:r>
        <w:rPr>
          <w:rStyle w:val="FootnoteReference"/>
          <w:rFonts w:eastAsia="Times New Roman"/>
          <w:szCs w:val="24"/>
        </w:rPr>
        <w:footnoteReference w:id="14"/>
      </w:r>
      <w:r w:rsidR="000649BE">
        <w:rPr>
          <w:rFonts w:eastAsia="Times New Roman"/>
          <w:szCs w:val="24"/>
        </w:rPr>
        <w:t xml:space="preserve"> </w:t>
      </w:r>
      <w:r w:rsidR="00317803">
        <w:t>The PUCO has eliminated motions for clarification of PUCO orders.</w:t>
      </w:r>
      <w:r>
        <w:rPr>
          <w:rStyle w:val="FootnoteReference"/>
        </w:rPr>
        <w:footnoteReference w:id="15"/>
      </w:r>
      <w:r w:rsidR="00317803">
        <w:t xml:space="preserve"> </w:t>
      </w:r>
      <w:r w:rsidR="008D68BB">
        <w:t>T</w:t>
      </w:r>
      <w:r w:rsidR="00317803">
        <w:t xml:space="preserve">he Supreme Court of Ohio </w:t>
      </w:r>
      <w:r w:rsidR="007A2049">
        <w:t>has</w:t>
      </w:r>
      <w:r w:rsidR="00317803">
        <w:t xml:space="preserve"> </w:t>
      </w:r>
      <w:r w:rsidR="008D68BB">
        <w:t xml:space="preserve">also </w:t>
      </w:r>
      <w:r w:rsidR="00317803">
        <w:t>determined that an application for rehearing does not comply with R.C. 4903.10 if the application does not specify the grounds on which the PUCO’s order is unlawful or unreasonable.</w:t>
      </w:r>
      <w:r>
        <w:rPr>
          <w:rStyle w:val="FootnoteReference"/>
        </w:rPr>
        <w:footnoteReference w:id="16"/>
      </w:r>
      <w:r>
        <w:rPr>
          <w:rFonts w:eastAsia="Times New Roman"/>
          <w:szCs w:val="24"/>
        </w:rPr>
        <w:t xml:space="preserve"> </w:t>
      </w:r>
      <w:r w:rsidR="007A2049">
        <w:rPr>
          <w:rFonts w:eastAsia="Times New Roman"/>
          <w:szCs w:val="24"/>
        </w:rPr>
        <w:t xml:space="preserve">Duke’s </w:t>
      </w:r>
      <w:r w:rsidR="000A3374">
        <w:rPr>
          <w:rFonts w:eastAsia="Times New Roman"/>
          <w:szCs w:val="24"/>
        </w:rPr>
        <w:t xml:space="preserve">claims </w:t>
      </w:r>
      <w:r w:rsidR="007A2049">
        <w:rPr>
          <w:rFonts w:eastAsia="Times New Roman"/>
          <w:szCs w:val="24"/>
        </w:rPr>
        <w:t>that the Order is u</w:t>
      </w:r>
      <w:r w:rsidR="008D68BB">
        <w:rPr>
          <w:rFonts w:eastAsia="Times New Roman"/>
          <w:szCs w:val="24"/>
        </w:rPr>
        <w:t>n</w:t>
      </w:r>
      <w:r w:rsidR="007A2049">
        <w:rPr>
          <w:rFonts w:eastAsia="Times New Roman"/>
          <w:szCs w:val="24"/>
        </w:rPr>
        <w:t xml:space="preserve">lawful and unreasonable </w:t>
      </w:r>
      <w:r w:rsidR="008D68BB">
        <w:rPr>
          <w:rFonts w:eastAsia="Times New Roman"/>
          <w:szCs w:val="24"/>
        </w:rPr>
        <w:t xml:space="preserve">because it requires clarification should therefore be denied. </w:t>
      </w:r>
    </w:p>
    <w:p w:rsidR="00367E38" w:rsidRPr="0037628E" w:rsidP="006E4BB3" w14:paraId="26142B75" w14:textId="5E91A10B">
      <w:pPr>
        <w:pStyle w:val="Heading2"/>
      </w:pPr>
      <w:r w:rsidRPr="0037628E">
        <w:t>B.</w:t>
      </w:r>
      <w:r w:rsidRPr="0037628E">
        <w:tab/>
      </w:r>
      <w:r w:rsidRPr="0037628E" w:rsidR="0042440C">
        <w:t>Duke’s</w:t>
      </w:r>
      <w:r w:rsidRPr="0037628E" w:rsidR="000F5ECA">
        <w:t xml:space="preserve"> </w:t>
      </w:r>
      <w:r w:rsidRPr="0037628E">
        <w:t xml:space="preserve">claims </w:t>
      </w:r>
      <w:r w:rsidRPr="0037628E" w:rsidR="000C5FA9">
        <w:t xml:space="preserve">– </w:t>
      </w:r>
      <w:r w:rsidRPr="0037628E">
        <w:t>that</w:t>
      </w:r>
      <w:r w:rsidRPr="0037628E" w:rsidR="00D42CDA">
        <w:t xml:space="preserve"> it cannot</w:t>
      </w:r>
      <w:r w:rsidRPr="0037628E">
        <w:t xml:space="preserve"> implement </w:t>
      </w:r>
      <w:r w:rsidRPr="0037628E" w:rsidR="000852DF">
        <w:t>the</w:t>
      </w:r>
      <w:r w:rsidRPr="0037628E">
        <w:t xml:space="preserve"> 30-day suspension of disconnection after a consumer</w:t>
      </w:r>
      <w:r w:rsidRPr="0037628E" w:rsidR="001B4B5C">
        <w:t xml:space="preserve"> has completed an</w:t>
      </w:r>
      <w:r w:rsidRPr="0037628E">
        <w:t xml:space="preserve"> application for assistance</w:t>
      </w:r>
      <w:r w:rsidRPr="0037628E" w:rsidR="000C5FA9">
        <w:t xml:space="preserve"> –</w:t>
      </w:r>
      <w:r w:rsidRPr="0037628E">
        <w:t xml:space="preserve"> should be denied.</w:t>
      </w:r>
    </w:p>
    <w:p w:rsidR="001B4B5C" w:rsidRPr="0037628E" w:rsidP="00D42CDA" w14:paraId="6D8761ED" w14:textId="5952E947">
      <w:pPr>
        <w:spacing w:line="480" w:lineRule="auto"/>
        <w:ind w:firstLine="720"/>
        <w:rPr>
          <w:rFonts w:eastAsia="Times New Roman"/>
          <w:szCs w:val="24"/>
        </w:rPr>
      </w:pPr>
      <w:r w:rsidRPr="0037628E">
        <w:rPr>
          <w:rFonts w:eastAsia="Times New Roman"/>
          <w:szCs w:val="24"/>
        </w:rPr>
        <w:t>Duke argues that the PUCO’s Order is unlawful and unreasonable because</w:t>
      </w:r>
      <w:r w:rsidRPr="0037628E" w:rsidR="004772F5">
        <w:rPr>
          <w:rFonts w:eastAsia="Times New Roman"/>
          <w:szCs w:val="24"/>
        </w:rPr>
        <w:t xml:space="preserve"> “it requires utilities to implement disconnect suspensions immediately upon completion of an application which they have no access to or control over.”</w:t>
      </w:r>
      <w:r>
        <w:rPr>
          <w:rStyle w:val="FootnoteReference"/>
          <w:rFonts w:eastAsia="Times New Roman"/>
          <w:szCs w:val="24"/>
        </w:rPr>
        <w:footnoteReference w:id="17"/>
      </w:r>
      <w:r w:rsidRPr="0037628E" w:rsidR="00E172C1">
        <w:rPr>
          <w:rFonts w:eastAsia="Times New Roman"/>
          <w:szCs w:val="24"/>
        </w:rPr>
        <w:t xml:space="preserve"> Duke’s argument should be rejected.</w:t>
      </w:r>
    </w:p>
    <w:p w:rsidR="00E172C1" w:rsidRPr="0037628E" w:rsidP="00D42CDA" w14:paraId="4E395873" w14:textId="7BF469E5">
      <w:pPr>
        <w:spacing w:line="480" w:lineRule="auto"/>
        <w:ind w:firstLine="720"/>
        <w:rPr>
          <w:rFonts w:eastAsia="Times New Roman"/>
          <w:szCs w:val="24"/>
        </w:rPr>
      </w:pPr>
      <w:r w:rsidRPr="0037628E">
        <w:rPr>
          <w:rFonts w:eastAsia="Times New Roman"/>
          <w:szCs w:val="24"/>
        </w:rPr>
        <w:t>As an initial matter</w:t>
      </w:r>
      <w:r w:rsidRPr="0037628E">
        <w:rPr>
          <w:rFonts w:eastAsia="Times New Roman"/>
          <w:szCs w:val="24"/>
        </w:rPr>
        <w:t>, Duke cites no legal authority that</w:t>
      </w:r>
      <w:r w:rsidRPr="0037628E" w:rsidR="0051339A">
        <w:rPr>
          <w:rFonts w:eastAsia="Times New Roman"/>
          <w:szCs w:val="24"/>
        </w:rPr>
        <w:t xml:space="preserve"> is violated by</w:t>
      </w:r>
      <w:r w:rsidRPr="0037628E">
        <w:rPr>
          <w:rFonts w:eastAsia="Times New Roman"/>
          <w:szCs w:val="24"/>
        </w:rPr>
        <w:t xml:space="preserve"> the PUCO’s order.</w:t>
      </w:r>
      <w:r w:rsidRPr="0037628E" w:rsidR="00B37A2C">
        <w:rPr>
          <w:rFonts w:eastAsia="Times New Roman"/>
          <w:szCs w:val="24"/>
        </w:rPr>
        <w:t xml:space="preserve"> Therefore, Duke’s claim that the Order is unlawful should be rejected.</w:t>
      </w:r>
      <w:r w:rsidRPr="0037628E">
        <w:rPr>
          <w:rFonts w:eastAsia="Times New Roman"/>
          <w:szCs w:val="24"/>
        </w:rPr>
        <w:t xml:space="preserve"> </w:t>
      </w:r>
      <w:r w:rsidRPr="0037628E" w:rsidR="00A704C6">
        <w:rPr>
          <w:rFonts w:eastAsia="Times New Roman"/>
          <w:szCs w:val="24"/>
        </w:rPr>
        <w:t>A</w:t>
      </w:r>
      <w:r w:rsidRPr="0037628E">
        <w:rPr>
          <w:rFonts w:eastAsia="Times New Roman"/>
          <w:szCs w:val="24"/>
        </w:rPr>
        <w:t>s noted, the</w:t>
      </w:r>
      <w:r w:rsidRPr="0037628E" w:rsidR="00A704C6">
        <w:rPr>
          <w:rFonts w:eastAsia="Times New Roman"/>
          <w:szCs w:val="24"/>
        </w:rPr>
        <w:t xml:space="preserve"> Order is lawful under the</w:t>
      </w:r>
      <w:r w:rsidRPr="0037628E">
        <w:rPr>
          <w:rFonts w:eastAsia="Times New Roman"/>
          <w:szCs w:val="24"/>
        </w:rPr>
        <w:t xml:space="preserve"> PUCO</w:t>
      </w:r>
      <w:r w:rsidRPr="0037628E" w:rsidR="00A704C6">
        <w:rPr>
          <w:rFonts w:eastAsia="Times New Roman"/>
          <w:szCs w:val="24"/>
        </w:rPr>
        <w:t>’s</w:t>
      </w:r>
      <w:r w:rsidRPr="0037628E">
        <w:rPr>
          <w:rFonts w:eastAsia="Times New Roman"/>
          <w:szCs w:val="24"/>
        </w:rPr>
        <w:t xml:space="preserve"> emergency authority </w:t>
      </w:r>
      <w:r w:rsidRPr="0037628E" w:rsidR="00A704C6">
        <w:rPr>
          <w:rFonts w:eastAsia="Times New Roman"/>
          <w:szCs w:val="24"/>
        </w:rPr>
        <w:t>in</w:t>
      </w:r>
      <w:r w:rsidRPr="0037628E">
        <w:rPr>
          <w:rFonts w:eastAsia="Times New Roman"/>
          <w:szCs w:val="24"/>
        </w:rPr>
        <w:t xml:space="preserve"> R.C. 4909.16 (which Duke ignores).</w:t>
      </w:r>
    </w:p>
    <w:p w:rsidR="00A704C6" w:rsidRPr="0037628E" w:rsidP="00E172C1" w14:paraId="36210842" w14:textId="6A8F6BD4">
      <w:pPr>
        <w:spacing w:line="480" w:lineRule="auto"/>
        <w:rPr>
          <w:rFonts w:eastAsia="Times New Roman"/>
          <w:szCs w:val="24"/>
        </w:rPr>
      </w:pPr>
      <w:r w:rsidRPr="0037628E">
        <w:rPr>
          <w:rFonts w:eastAsia="Times New Roman"/>
          <w:szCs w:val="24"/>
        </w:rPr>
        <w:tab/>
      </w:r>
      <w:r w:rsidRPr="0037628E">
        <w:rPr>
          <w:rFonts w:eastAsia="Times New Roman"/>
          <w:szCs w:val="24"/>
        </w:rPr>
        <w:t xml:space="preserve">Also misplaced are </w:t>
      </w:r>
      <w:r w:rsidRPr="0037628E" w:rsidR="00AA699D">
        <w:rPr>
          <w:rFonts w:eastAsia="Times New Roman"/>
          <w:szCs w:val="24"/>
        </w:rPr>
        <w:t xml:space="preserve">Duke’s claims that the Order is unreasonable because utilities have no access to or control over </w:t>
      </w:r>
      <w:r w:rsidRPr="0037628E">
        <w:rPr>
          <w:rFonts w:eastAsia="Times New Roman"/>
          <w:szCs w:val="24"/>
        </w:rPr>
        <w:t xml:space="preserve">consumers’ assistance </w:t>
      </w:r>
      <w:r w:rsidRPr="0037628E" w:rsidR="00AA699D">
        <w:rPr>
          <w:rFonts w:eastAsia="Times New Roman"/>
          <w:szCs w:val="24"/>
        </w:rPr>
        <w:t>application</w:t>
      </w:r>
      <w:r w:rsidRPr="0037628E">
        <w:rPr>
          <w:rFonts w:eastAsia="Times New Roman"/>
          <w:szCs w:val="24"/>
        </w:rPr>
        <w:t>s</w:t>
      </w:r>
      <w:r w:rsidRPr="0037628E" w:rsidR="00AA699D">
        <w:rPr>
          <w:rFonts w:eastAsia="Times New Roman"/>
          <w:szCs w:val="24"/>
        </w:rPr>
        <w:t>. Implementation of the suspension of disconnection</w:t>
      </w:r>
      <w:r w:rsidRPr="0037628E" w:rsidR="00464F3B">
        <w:rPr>
          <w:rFonts w:eastAsia="Times New Roman"/>
          <w:szCs w:val="24"/>
        </w:rPr>
        <w:t>s</w:t>
      </w:r>
      <w:r w:rsidRPr="0037628E" w:rsidR="00AA699D">
        <w:rPr>
          <w:rFonts w:eastAsia="Times New Roman"/>
          <w:szCs w:val="24"/>
        </w:rPr>
        <w:t xml:space="preserve"> for 30 days after the completion of </w:t>
      </w:r>
      <w:r w:rsidRPr="0037628E" w:rsidR="00464F3B">
        <w:rPr>
          <w:rFonts w:eastAsia="Times New Roman"/>
          <w:szCs w:val="24"/>
        </w:rPr>
        <w:t xml:space="preserve">an assistance </w:t>
      </w:r>
      <w:r w:rsidRPr="0037628E" w:rsidR="00AA699D">
        <w:rPr>
          <w:rFonts w:eastAsia="Times New Roman"/>
          <w:szCs w:val="24"/>
        </w:rPr>
        <w:t>application would</w:t>
      </w:r>
      <w:r w:rsidRPr="0037628E" w:rsidR="00464F3B">
        <w:rPr>
          <w:rFonts w:eastAsia="Times New Roman"/>
          <w:szCs w:val="24"/>
        </w:rPr>
        <w:t xml:space="preserve"> not</w:t>
      </w:r>
      <w:r w:rsidRPr="0037628E" w:rsidR="00AA699D">
        <w:rPr>
          <w:rFonts w:eastAsia="Times New Roman"/>
          <w:szCs w:val="24"/>
        </w:rPr>
        <w:t xml:space="preserve"> require utility access to or control of the </w:t>
      </w:r>
      <w:r w:rsidRPr="0037628E">
        <w:rPr>
          <w:rFonts w:eastAsia="Times New Roman"/>
          <w:szCs w:val="24"/>
        </w:rPr>
        <w:t xml:space="preserve">consumer’s </w:t>
      </w:r>
      <w:r w:rsidRPr="0037628E" w:rsidR="00AA699D">
        <w:rPr>
          <w:rFonts w:eastAsia="Times New Roman"/>
          <w:szCs w:val="24"/>
        </w:rPr>
        <w:t xml:space="preserve">application. </w:t>
      </w:r>
    </w:p>
    <w:p w:rsidR="00464F3B" w:rsidRPr="0037628E" w:rsidP="00A704C6" w14:paraId="3CFD61A9" w14:textId="0A5FF3F2">
      <w:pPr>
        <w:spacing w:line="480" w:lineRule="auto"/>
        <w:ind w:firstLine="720"/>
        <w:rPr>
          <w:rFonts w:eastAsia="Times New Roman"/>
          <w:szCs w:val="24"/>
        </w:rPr>
      </w:pPr>
      <w:r w:rsidRPr="0037628E">
        <w:rPr>
          <w:rFonts w:eastAsia="Times New Roman"/>
          <w:szCs w:val="24"/>
        </w:rPr>
        <w:t>T</w:t>
      </w:r>
      <w:r w:rsidRPr="0037628E" w:rsidR="0093235A">
        <w:rPr>
          <w:rFonts w:eastAsia="Times New Roman"/>
          <w:szCs w:val="24"/>
        </w:rPr>
        <w:t>he PUCO</w:t>
      </w:r>
      <w:r w:rsidRPr="0037628E">
        <w:rPr>
          <w:rFonts w:eastAsia="Times New Roman"/>
          <w:szCs w:val="24"/>
        </w:rPr>
        <w:t xml:space="preserve"> already</w:t>
      </w:r>
      <w:r w:rsidRPr="0037628E" w:rsidR="0093235A">
        <w:rPr>
          <w:rFonts w:eastAsia="Times New Roman"/>
          <w:szCs w:val="24"/>
        </w:rPr>
        <w:t xml:space="preserve"> requires </w:t>
      </w:r>
      <w:r w:rsidRPr="0037628E">
        <w:rPr>
          <w:rFonts w:eastAsia="Times New Roman"/>
          <w:szCs w:val="24"/>
        </w:rPr>
        <w:t xml:space="preserve">the </w:t>
      </w:r>
      <w:r w:rsidRPr="0037628E" w:rsidR="0093235A">
        <w:rPr>
          <w:rFonts w:eastAsia="Times New Roman"/>
          <w:szCs w:val="24"/>
        </w:rPr>
        <w:t>suspension of disconnection</w:t>
      </w:r>
      <w:r w:rsidRPr="0037628E" w:rsidR="00015722">
        <w:rPr>
          <w:rFonts w:eastAsia="Times New Roman"/>
          <w:szCs w:val="24"/>
        </w:rPr>
        <w:t>s</w:t>
      </w:r>
      <w:r w:rsidRPr="0037628E">
        <w:rPr>
          <w:rFonts w:eastAsia="Times New Roman"/>
          <w:szCs w:val="24"/>
        </w:rPr>
        <w:t xml:space="preserve"> in certain circumstances</w:t>
      </w:r>
      <w:r w:rsidRPr="0037628E" w:rsidR="0093235A">
        <w:rPr>
          <w:rFonts w:eastAsia="Times New Roman"/>
          <w:szCs w:val="24"/>
        </w:rPr>
        <w:t xml:space="preserve">. </w:t>
      </w:r>
      <w:r w:rsidRPr="0037628E" w:rsidR="00AA699D">
        <w:rPr>
          <w:rFonts w:eastAsia="Times New Roman"/>
          <w:szCs w:val="24"/>
        </w:rPr>
        <w:t xml:space="preserve">Duke </w:t>
      </w:r>
      <w:r w:rsidRPr="0037628E" w:rsidR="00A704C6">
        <w:rPr>
          <w:rFonts w:eastAsia="Times New Roman"/>
          <w:szCs w:val="24"/>
        </w:rPr>
        <w:t xml:space="preserve">itself </w:t>
      </w:r>
      <w:r w:rsidRPr="0037628E" w:rsidR="00AA699D">
        <w:rPr>
          <w:rFonts w:eastAsia="Times New Roman"/>
          <w:szCs w:val="24"/>
        </w:rPr>
        <w:t xml:space="preserve">acknowledges that </w:t>
      </w:r>
      <w:r w:rsidRPr="0037628E">
        <w:rPr>
          <w:rFonts w:eastAsia="Times New Roman"/>
          <w:szCs w:val="24"/>
        </w:rPr>
        <w:t>the</w:t>
      </w:r>
      <w:r w:rsidRPr="0037628E" w:rsidR="00AA699D">
        <w:rPr>
          <w:rFonts w:eastAsia="Times New Roman"/>
          <w:szCs w:val="24"/>
        </w:rPr>
        <w:t xml:space="preserve"> five</w:t>
      </w:r>
      <w:r w:rsidRPr="0037628E">
        <w:rPr>
          <w:rFonts w:eastAsia="Times New Roman"/>
          <w:szCs w:val="24"/>
        </w:rPr>
        <w:t>-</w:t>
      </w:r>
      <w:r w:rsidRPr="0037628E" w:rsidR="00AA699D">
        <w:rPr>
          <w:rFonts w:eastAsia="Times New Roman"/>
          <w:szCs w:val="24"/>
        </w:rPr>
        <w:t>day suspension of disconnection</w:t>
      </w:r>
      <w:r w:rsidRPr="0037628E" w:rsidR="002F7EDC">
        <w:rPr>
          <w:rFonts w:eastAsia="Times New Roman"/>
          <w:szCs w:val="24"/>
        </w:rPr>
        <w:t>s</w:t>
      </w:r>
      <w:r w:rsidRPr="0037628E" w:rsidR="00AA699D">
        <w:rPr>
          <w:rFonts w:eastAsia="Times New Roman"/>
          <w:szCs w:val="24"/>
        </w:rPr>
        <w:t xml:space="preserve"> </w:t>
      </w:r>
      <w:r w:rsidRPr="0037628E">
        <w:rPr>
          <w:rFonts w:eastAsia="Times New Roman"/>
          <w:szCs w:val="24"/>
        </w:rPr>
        <w:t xml:space="preserve">required </w:t>
      </w:r>
      <w:r w:rsidRPr="0037628E" w:rsidR="00AA699D">
        <w:rPr>
          <w:rFonts w:eastAsia="Times New Roman"/>
          <w:szCs w:val="24"/>
        </w:rPr>
        <w:t xml:space="preserve">under the PUCO’s 2022 Special Reconnect Order is </w:t>
      </w:r>
      <w:r w:rsidRPr="0037628E">
        <w:rPr>
          <w:rFonts w:eastAsia="Times New Roman"/>
          <w:szCs w:val="24"/>
        </w:rPr>
        <w:t>accomplished</w:t>
      </w:r>
      <w:r w:rsidRPr="0037628E" w:rsidR="002F7EDC">
        <w:rPr>
          <w:rFonts w:eastAsia="Times New Roman"/>
          <w:szCs w:val="24"/>
        </w:rPr>
        <w:t xml:space="preserve"> when</w:t>
      </w:r>
      <w:r w:rsidRPr="0037628E" w:rsidR="00AA699D">
        <w:rPr>
          <w:rFonts w:eastAsia="Times New Roman"/>
          <w:szCs w:val="24"/>
        </w:rPr>
        <w:t xml:space="preserve"> </w:t>
      </w:r>
      <w:r w:rsidRPr="0037628E" w:rsidR="00A704C6">
        <w:rPr>
          <w:rFonts w:eastAsia="Times New Roman"/>
          <w:szCs w:val="24"/>
        </w:rPr>
        <w:t>a</w:t>
      </w:r>
      <w:r w:rsidRPr="0037628E" w:rsidR="00AA699D">
        <w:rPr>
          <w:rFonts w:eastAsia="Times New Roman"/>
          <w:szCs w:val="24"/>
        </w:rPr>
        <w:t xml:space="preserve"> community action agency </w:t>
      </w:r>
      <w:r w:rsidRPr="0037628E">
        <w:rPr>
          <w:rFonts w:eastAsia="Times New Roman"/>
          <w:szCs w:val="24"/>
        </w:rPr>
        <w:t>send</w:t>
      </w:r>
      <w:r w:rsidRPr="0037628E" w:rsidR="000C7ED4">
        <w:rPr>
          <w:rFonts w:eastAsia="Times New Roman"/>
          <w:szCs w:val="24"/>
        </w:rPr>
        <w:t>s</w:t>
      </w:r>
      <w:r w:rsidRPr="0037628E">
        <w:rPr>
          <w:rFonts w:eastAsia="Times New Roman"/>
          <w:szCs w:val="24"/>
        </w:rPr>
        <w:t xml:space="preserve"> a fax or e-mail to the utility indicating that a consumer has scheduled an appointment to </w:t>
      </w:r>
      <w:r w:rsidRPr="0037628E" w:rsidR="00A704C6">
        <w:rPr>
          <w:rFonts w:eastAsia="Times New Roman"/>
          <w:szCs w:val="24"/>
        </w:rPr>
        <w:t>process</w:t>
      </w:r>
      <w:r w:rsidRPr="0037628E">
        <w:rPr>
          <w:rFonts w:eastAsia="Times New Roman"/>
          <w:szCs w:val="24"/>
        </w:rPr>
        <w:t xml:space="preserve"> the assistance application.</w:t>
      </w:r>
      <w:r>
        <w:rPr>
          <w:rStyle w:val="FootnoteReference"/>
          <w:rFonts w:eastAsia="Times New Roman"/>
          <w:szCs w:val="24"/>
        </w:rPr>
        <w:footnoteReference w:id="18"/>
      </w:r>
      <w:r w:rsidRPr="0037628E">
        <w:rPr>
          <w:rFonts w:eastAsia="Times New Roman"/>
          <w:szCs w:val="24"/>
        </w:rPr>
        <w:t xml:space="preserve"> </w:t>
      </w:r>
      <w:r w:rsidRPr="0037628E" w:rsidR="0053197A">
        <w:rPr>
          <w:rFonts w:eastAsia="Times New Roman"/>
          <w:szCs w:val="24"/>
        </w:rPr>
        <w:t>S</w:t>
      </w:r>
      <w:r w:rsidRPr="0037628E" w:rsidR="00A704C6">
        <w:rPr>
          <w:rFonts w:eastAsia="Times New Roman"/>
          <w:szCs w:val="24"/>
        </w:rPr>
        <w:t>imilar to assistance applications,</w:t>
      </w:r>
      <w:r w:rsidRPr="0037628E" w:rsidR="0065388A">
        <w:rPr>
          <w:rFonts w:eastAsia="Times New Roman"/>
          <w:szCs w:val="24"/>
        </w:rPr>
        <w:t xml:space="preserve"> u</w:t>
      </w:r>
      <w:r w:rsidRPr="0037628E">
        <w:rPr>
          <w:rFonts w:eastAsia="Times New Roman"/>
          <w:szCs w:val="24"/>
        </w:rPr>
        <w:t>tilities</w:t>
      </w:r>
      <w:r w:rsidRPr="0037628E" w:rsidR="00AA187A">
        <w:rPr>
          <w:rFonts w:eastAsia="Times New Roman"/>
          <w:szCs w:val="24"/>
        </w:rPr>
        <w:t xml:space="preserve"> also</w:t>
      </w:r>
      <w:r w:rsidRPr="0037628E" w:rsidR="000C7ED4">
        <w:rPr>
          <w:rFonts w:eastAsia="Times New Roman"/>
          <w:szCs w:val="24"/>
        </w:rPr>
        <w:t xml:space="preserve"> </w:t>
      </w:r>
      <w:r w:rsidRPr="0037628E" w:rsidR="00A704C6">
        <w:rPr>
          <w:rFonts w:eastAsia="Times New Roman"/>
          <w:szCs w:val="24"/>
        </w:rPr>
        <w:t xml:space="preserve">have no </w:t>
      </w:r>
      <w:r w:rsidRPr="0037628E">
        <w:rPr>
          <w:rFonts w:eastAsia="Times New Roman"/>
          <w:szCs w:val="24"/>
        </w:rPr>
        <w:t>control over when a consumer schedules an appointment</w:t>
      </w:r>
      <w:r w:rsidRPr="0037628E" w:rsidR="0065388A">
        <w:rPr>
          <w:rFonts w:eastAsia="Times New Roman"/>
          <w:szCs w:val="24"/>
        </w:rPr>
        <w:t xml:space="preserve"> </w:t>
      </w:r>
      <w:r w:rsidRPr="0037628E" w:rsidR="00A704C6">
        <w:rPr>
          <w:rFonts w:eastAsia="Times New Roman"/>
          <w:szCs w:val="24"/>
        </w:rPr>
        <w:t>with a community action agency</w:t>
      </w:r>
      <w:r w:rsidRPr="0037628E" w:rsidR="0065388A">
        <w:rPr>
          <w:rFonts w:eastAsia="Times New Roman"/>
          <w:szCs w:val="24"/>
        </w:rPr>
        <w:t>. Yet the utilities</w:t>
      </w:r>
      <w:r w:rsidRPr="0037628E" w:rsidR="00AA187A">
        <w:rPr>
          <w:rFonts w:eastAsia="Times New Roman"/>
          <w:szCs w:val="24"/>
        </w:rPr>
        <w:t xml:space="preserve"> will</w:t>
      </w:r>
      <w:r w:rsidRPr="0037628E" w:rsidR="0065388A">
        <w:rPr>
          <w:rFonts w:eastAsia="Times New Roman"/>
          <w:szCs w:val="24"/>
        </w:rPr>
        <w:t xml:space="preserve"> still receive notice from the community action agency through fax or e-mail that the applicant’s appointment has been scheduled</w:t>
      </w:r>
      <w:r w:rsidRPr="0037628E" w:rsidR="000C7ED4">
        <w:rPr>
          <w:rFonts w:eastAsia="Times New Roman"/>
          <w:szCs w:val="24"/>
        </w:rPr>
        <w:t xml:space="preserve">, which </w:t>
      </w:r>
      <w:r w:rsidRPr="0037628E" w:rsidR="00AA187A">
        <w:rPr>
          <w:rFonts w:eastAsia="Times New Roman"/>
          <w:szCs w:val="24"/>
        </w:rPr>
        <w:t>alerts the utility to suspend disconnection for</w:t>
      </w:r>
      <w:r w:rsidRPr="0037628E" w:rsidR="000C7ED4">
        <w:rPr>
          <w:rFonts w:eastAsia="Times New Roman"/>
          <w:szCs w:val="24"/>
        </w:rPr>
        <w:t xml:space="preserve"> five</w:t>
      </w:r>
      <w:r w:rsidRPr="0037628E" w:rsidR="00AA187A">
        <w:rPr>
          <w:rFonts w:eastAsia="Times New Roman"/>
          <w:szCs w:val="24"/>
        </w:rPr>
        <w:t xml:space="preserve"> </w:t>
      </w:r>
      <w:r w:rsidRPr="0037628E" w:rsidR="000C7ED4">
        <w:rPr>
          <w:rFonts w:eastAsia="Times New Roman"/>
          <w:szCs w:val="24"/>
        </w:rPr>
        <w:t>day</w:t>
      </w:r>
      <w:r w:rsidRPr="0037628E" w:rsidR="00AA187A">
        <w:rPr>
          <w:rFonts w:eastAsia="Times New Roman"/>
          <w:szCs w:val="24"/>
        </w:rPr>
        <w:t>s</w:t>
      </w:r>
      <w:r w:rsidRPr="0037628E" w:rsidR="0065388A">
        <w:rPr>
          <w:rFonts w:eastAsia="Times New Roman"/>
          <w:szCs w:val="24"/>
        </w:rPr>
        <w:t>.</w:t>
      </w:r>
      <w:r w:rsidRPr="0037628E" w:rsidR="009C1194">
        <w:rPr>
          <w:rFonts w:eastAsia="Times New Roman"/>
          <w:szCs w:val="24"/>
        </w:rPr>
        <w:t xml:space="preserve"> </w:t>
      </w:r>
    </w:p>
    <w:p w:rsidR="00E172C1" w:rsidRPr="0037628E" w:rsidP="00464F3B" w14:paraId="2110F31B" w14:textId="1943BB1E">
      <w:pPr>
        <w:spacing w:line="480" w:lineRule="auto"/>
        <w:ind w:firstLine="720"/>
        <w:rPr>
          <w:rFonts w:eastAsia="Times New Roman"/>
          <w:szCs w:val="24"/>
        </w:rPr>
      </w:pPr>
      <w:r w:rsidRPr="0037628E">
        <w:rPr>
          <w:rFonts w:eastAsia="Times New Roman"/>
          <w:szCs w:val="24"/>
        </w:rPr>
        <w:t xml:space="preserve">There </w:t>
      </w:r>
      <w:r w:rsidRPr="0037628E" w:rsidR="0065388A">
        <w:rPr>
          <w:rFonts w:eastAsia="Times New Roman"/>
          <w:szCs w:val="24"/>
        </w:rPr>
        <w:t>should be</w:t>
      </w:r>
      <w:r w:rsidRPr="0037628E">
        <w:rPr>
          <w:rFonts w:eastAsia="Times New Roman"/>
          <w:szCs w:val="24"/>
        </w:rPr>
        <w:t xml:space="preserve"> no reason why the same process cannot</w:t>
      </w:r>
      <w:r w:rsidRPr="0037628E" w:rsidR="0065388A">
        <w:rPr>
          <w:rFonts w:eastAsia="Times New Roman"/>
          <w:szCs w:val="24"/>
        </w:rPr>
        <w:t xml:space="preserve"> </w:t>
      </w:r>
      <w:r w:rsidRPr="0037628E" w:rsidR="00AA187A">
        <w:rPr>
          <w:rFonts w:eastAsia="Times New Roman"/>
          <w:szCs w:val="24"/>
        </w:rPr>
        <w:t>be applied to the</w:t>
      </w:r>
      <w:r w:rsidRPr="0037628E" w:rsidR="0065388A">
        <w:rPr>
          <w:rFonts w:eastAsia="Times New Roman"/>
          <w:szCs w:val="24"/>
        </w:rPr>
        <w:t xml:space="preserve"> PUCO’s Order to suspend disconnections for 30 days from the date the application is completed. The difference would be that the community action agency notifies the utility when a consumer’s application is completed rather than when the appointment is scheduled</w:t>
      </w:r>
      <w:r w:rsidRPr="0037628E" w:rsidR="000C7ED4">
        <w:rPr>
          <w:rFonts w:eastAsia="Times New Roman"/>
          <w:szCs w:val="24"/>
        </w:rPr>
        <w:t>,</w:t>
      </w:r>
      <w:r w:rsidRPr="0037628E" w:rsidR="0065388A">
        <w:rPr>
          <w:rFonts w:eastAsia="Times New Roman"/>
          <w:szCs w:val="24"/>
        </w:rPr>
        <w:t xml:space="preserve"> and the suspension of disconnection would be for 30 days instead of instead of five. </w:t>
      </w:r>
    </w:p>
    <w:p w:rsidR="001B4B5C" w:rsidRPr="0037628E" w:rsidP="00FD7692" w14:paraId="7D122D08" w14:textId="69590C80">
      <w:pPr>
        <w:spacing w:line="480" w:lineRule="auto"/>
        <w:ind w:firstLine="720"/>
        <w:rPr>
          <w:rFonts w:eastAsia="Times New Roman"/>
          <w:szCs w:val="24"/>
        </w:rPr>
      </w:pPr>
      <w:r w:rsidRPr="0037628E">
        <w:rPr>
          <w:rFonts w:eastAsia="Times New Roman"/>
          <w:szCs w:val="24"/>
        </w:rPr>
        <w:t>Duke</w:t>
      </w:r>
      <w:r w:rsidRPr="0037628E" w:rsidR="003829B6">
        <w:rPr>
          <w:rFonts w:eastAsia="Times New Roman"/>
          <w:szCs w:val="24"/>
        </w:rPr>
        <w:t>’</w:t>
      </w:r>
      <w:r w:rsidRPr="0037628E">
        <w:rPr>
          <w:rFonts w:eastAsia="Times New Roman"/>
          <w:szCs w:val="24"/>
        </w:rPr>
        <w:t xml:space="preserve">s claims that the PUCO should grant rehearing, or otherwise delay implementation of the Order, should be rejected. </w:t>
      </w:r>
    </w:p>
    <w:p w:rsidR="00FD7692" w:rsidRPr="0037628E" w:rsidP="00FD7692" w14:paraId="282D20BB" w14:textId="763FF460">
      <w:pPr>
        <w:spacing w:line="480" w:lineRule="auto"/>
        <w:ind w:firstLine="720"/>
        <w:rPr>
          <w:rFonts w:eastAsia="Times New Roman"/>
          <w:szCs w:val="24"/>
        </w:rPr>
      </w:pPr>
      <w:r w:rsidRPr="0037628E">
        <w:rPr>
          <w:rFonts w:eastAsia="Times New Roman"/>
          <w:szCs w:val="24"/>
        </w:rPr>
        <w:t>Duke</w:t>
      </w:r>
      <w:r w:rsidRPr="0037628E" w:rsidR="000C7ED4">
        <w:rPr>
          <w:rFonts w:eastAsia="Times New Roman"/>
          <w:szCs w:val="24"/>
        </w:rPr>
        <w:t xml:space="preserve"> also claims that </w:t>
      </w:r>
      <w:r w:rsidRPr="0037628E" w:rsidR="00AD7CD1">
        <w:rPr>
          <w:rFonts w:eastAsia="Times New Roman"/>
          <w:szCs w:val="24"/>
        </w:rPr>
        <w:t xml:space="preserve">the PUCO should grant rehearing because </w:t>
      </w:r>
      <w:r w:rsidRPr="0037628E">
        <w:rPr>
          <w:rFonts w:eastAsia="Times New Roman"/>
          <w:szCs w:val="24"/>
        </w:rPr>
        <w:t>the Order is ambiguou</w:t>
      </w:r>
      <w:r w:rsidRPr="0037628E" w:rsidR="00AD7CD1">
        <w:rPr>
          <w:rFonts w:eastAsia="Times New Roman"/>
          <w:szCs w:val="24"/>
        </w:rPr>
        <w:t xml:space="preserve">s in other respects. Duke states that it is unclear </w:t>
      </w:r>
      <w:r w:rsidRPr="0037628E">
        <w:rPr>
          <w:rFonts w:eastAsia="Times New Roman"/>
          <w:szCs w:val="24"/>
        </w:rPr>
        <w:t>whether</w:t>
      </w:r>
      <w:r w:rsidRPr="0037628E" w:rsidR="00AD7CD1">
        <w:rPr>
          <w:rFonts w:eastAsia="Times New Roman"/>
          <w:szCs w:val="24"/>
        </w:rPr>
        <w:t>, after the 30-day suspension, Duke would be required</w:t>
      </w:r>
      <w:r w:rsidRPr="0037628E">
        <w:rPr>
          <w:rFonts w:eastAsia="Times New Roman"/>
          <w:szCs w:val="24"/>
        </w:rPr>
        <w:t xml:space="preserve"> “re-start the disconnection process with a new notice or proceed with disconnection pursuant to the original suspended notice.”</w:t>
      </w:r>
      <w:r>
        <w:rPr>
          <w:rStyle w:val="FootnoteReference"/>
          <w:rFonts w:eastAsia="Times New Roman"/>
          <w:szCs w:val="24"/>
        </w:rPr>
        <w:footnoteReference w:id="19"/>
      </w:r>
      <w:r w:rsidRPr="0037628E">
        <w:rPr>
          <w:rFonts w:eastAsia="Times New Roman"/>
          <w:szCs w:val="24"/>
        </w:rPr>
        <w:t xml:space="preserve"> </w:t>
      </w:r>
      <w:r w:rsidRPr="0037628E" w:rsidR="001C3DA6">
        <w:rPr>
          <w:rFonts w:eastAsia="Times New Roman"/>
          <w:szCs w:val="24"/>
        </w:rPr>
        <w:t>However, u</w:t>
      </w:r>
      <w:r w:rsidRPr="0037628E">
        <w:rPr>
          <w:rFonts w:eastAsia="Times New Roman"/>
          <w:szCs w:val="24"/>
        </w:rPr>
        <w:t xml:space="preserve">nder O.A.C. 4901:1-18-06(A), a utility must provide a 14-day advance notice of disconnection. </w:t>
      </w:r>
      <w:r w:rsidRPr="0037628E" w:rsidR="001E3154">
        <w:rPr>
          <w:rFonts w:eastAsia="Times New Roman"/>
          <w:szCs w:val="24"/>
        </w:rPr>
        <w:t>A</w:t>
      </w:r>
      <w:r w:rsidRPr="0037628E">
        <w:rPr>
          <w:rFonts w:eastAsia="Times New Roman"/>
          <w:szCs w:val="24"/>
        </w:rPr>
        <w:t xml:space="preserve"> 14-day notice</w:t>
      </w:r>
      <w:r w:rsidRPr="0037628E" w:rsidR="00AA187A">
        <w:rPr>
          <w:rFonts w:eastAsia="Times New Roman"/>
          <w:szCs w:val="24"/>
        </w:rPr>
        <w:t xml:space="preserve"> of disconnection</w:t>
      </w:r>
      <w:r w:rsidRPr="0037628E">
        <w:rPr>
          <w:rFonts w:eastAsia="Times New Roman"/>
          <w:szCs w:val="24"/>
        </w:rPr>
        <w:t xml:space="preserve"> </w:t>
      </w:r>
      <w:r w:rsidRPr="0037628E" w:rsidR="00AA30BE">
        <w:rPr>
          <w:rFonts w:eastAsia="Times New Roman"/>
          <w:szCs w:val="24"/>
        </w:rPr>
        <w:t xml:space="preserve">that expires during the </w:t>
      </w:r>
      <w:r w:rsidRPr="0037628E">
        <w:rPr>
          <w:rFonts w:eastAsia="Times New Roman"/>
          <w:szCs w:val="24"/>
        </w:rPr>
        <w:t>30-day stay period begins would</w:t>
      </w:r>
      <w:r w:rsidRPr="0037628E" w:rsidR="00AA187A">
        <w:rPr>
          <w:rFonts w:eastAsia="Times New Roman"/>
          <w:szCs w:val="24"/>
        </w:rPr>
        <w:t xml:space="preserve"> (</w:t>
      </w:r>
      <w:r w:rsidRPr="0037628E" w:rsidR="00C4248D">
        <w:rPr>
          <w:rFonts w:eastAsia="Times New Roman"/>
          <w:szCs w:val="24"/>
        </w:rPr>
        <w:t>under O.A.C. 4901:1-18-06(A)</w:t>
      </w:r>
      <w:r w:rsidRPr="0037628E" w:rsidR="00AA187A">
        <w:rPr>
          <w:rFonts w:eastAsia="Times New Roman"/>
          <w:szCs w:val="24"/>
        </w:rPr>
        <w:t>)</w:t>
      </w:r>
      <w:r w:rsidRPr="0037628E">
        <w:rPr>
          <w:rFonts w:eastAsia="Times New Roman"/>
          <w:szCs w:val="24"/>
        </w:rPr>
        <w:t xml:space="preserve"> </w:t>
      </w:r>
      <w:r w:rsidRPr="0037628E" w:rsidR="001E3154">
        <w:rPr>
          <w:rFonts w:eastAsia="Times New Roman"/>
          <w:szCs w:val="24"/>
        </w:rPr>
        <w:t xml:space="preserve">would </w:t>
      </w:r>
      <w:r w:rsidRPr="0037628E" w:rsidR="00AA30BE">
        <w:rPr>
          <w:rFonts w:eastAsia="Times New Roman"/>
          <w:szCs w:val="24"/>
        </w:rPr>
        <w:t>need to be reissued</w:t>
      </w:r>
      <w:r w:rsidRPr="0037628E" w:rsidR="00AA187A">
        <w:rPr>
          <w:rFonts w:eastAsia="Times New Roman"/>
          <w:szCs w:val="24"/>
        </w:rPr>
        <w:t xml:space="preserve"> to the consumer</w:t>
      </w:r>
      <w:r w:rsidRPr="0037628E" w:rsidR="00AA30BE">
        <w:rPr>
          <w:rFonts w:eastAsia="Times New Roman"/>
          <w:szCs w:val="24"/>
        </w:rPr>
        <w:t>.</w:t>
      </w:r>
      <w:r w:rsidRPr="0037628E" w:rsidR="009C1194">
        <w:rPr>
          <w:rFonts w:eastAsia="Times New Roman"/>
          <w:szCs w:val="24"/>
        </w:rPr>
        <w:t xml:space="preserve"> </w:t>
      </w:r>
    </w:p>
    <w:p w:rsidR="00F60D1E" w:rsidRPr="0037628E" w:rsidP="00FD7692" w14:paraId="1DCCEC27" w14:textId="18EEBED1">
      <w:pPr>
        <w:spacing w:line="480" w:lineRule="auto"/>
        <w:ind w:firstLine="720"/>
        <w:rPr>
          <w:rFonts w:eastAsia="Times New Roman"/>
          <w:szCs w:val="24"/>
        </w:rPr>
      </w:pPr>
      <w:r w:rsidRPr="0037628E">
        <w:rPr>
          <w:rFonts w:eastAsia="Times New Roman"/>
          <w:szCs w:val="24"/>
        </w:rPr>
        <w:t>Duke</w:t>
      </w:r>
      <w:r w:rsidRPr="0037628E" w:rsidR="00C4248D">
        <w:rPr>
          <w:rFonts w:eastAsia="Times New Roman"/>
          <w:szCs w:val="24"/>
        </w:rPr>
        <w:t xml:space="preserve"> further suggests that the PUCO’s Order</w:t>
      </w:r>
      <w:r w:rsidRPr="0037628E">
        <w:rPr>
          <w:rFonts w:eastAsia="Times New Roman"/>
          <w:szCs w:val="24"/>
        </w:rPr>
        <w:t xml:space="preserve"> </w:t>
      </w:r>
      <w:r w:rsidRPr="0037628E" w:rsidR="00AA187A">
        <w:rPr>
          <w:rFonts w:eastAsia="Times New Roman"/>
          <w:szCs w:val="24"/>
        </w:rPr>
        <w:t>could allow a</w:t>
      </w:r>
      <w:r w:rsidRPr="0037628E">
        <w:rPr>
          <w:rFonts w:eastAsia="Times New Roman"/>
          <w:szCs w:val="24"/>
        </w:rPr>
        <w:t xml:space="preserve"> </w:t>
      </w:r>
      <w:r w:rsidRPr="0037628E" w:rsidR="00C4248D">
        <w:rPr>
          <w:rFonts w:eastAsia="Times New Roman"/>
          <w:szCs w:val="24"/>
        </w:rPr>
        <w:t xml:space="preserve">consumer </w:t>
      </w:r>
      <w:r w:rsidRPr="0037628E" w:rsidR="00AA187A">
        <w:rPr>
          <w:rFonts w:eastAsia="Times New Roman"/>
          <w:szCs w:val="24"/>
        </w:rPr>
        <w:t>to</w:t>
      </w:r>
      <w:r w:rsidRPr="0037628E">
        <w:rPr>
          <w:rFonts w:eastAsia="Times New Roman"/>
          <w:szCs w:val="24"/>
        </w:rPr>
        <w:t xml:space="preserve"> fill out</w:t>
      </w:r>
      <w:r w:rsidRPr="0037628E" w:rsidR="00C4248D">
        <w:rPr>
          <w:rFonts w:eastAsia="Times New Roman"/>
          <w:szCs w:val="24"/>
        </w:rPr>
        <w:t xml:space="preserve"> multiple applications</w:t>
      </w:r>
      <w:r w:rsidRPr="0037628E" w:rsidR="006F2EE2">
        <w:rPr>
          <w:rFonts w:eastAsia="Times New Roman"/>
          <w:szCs w:val="24"/>
        </w:rPr>
        <w:t xml:space="preserve"> “t</w:t>
      </w:r>
      <w:r w:rsidRPr="0037628E">
        <w:rPr>
          <w:rFonts w:eastAsia="Times New Roman"/>
          <w:szCs w:val="24"/>
        </w:rPr>
        <w:t>o re-start the 30-day suspension clock.”</w:t>
      </w:r>
      <w:r>
        <w:rPr>
          <w:rStyle w:val="FootnoteReference"/>
          <w:rFonts w:eastAsia="Times New Roman"/>
          <w:szCs w:val="24"/>
        </w:rPr>
        <w:footnoteReference w:id="20"/>
      </w:r>
      <w:r w:rsidRPr="0037628E">
        <w:rPr>
          <w:rFonts w:eastAsia="Times New Roman"/>
          <w:szCs w:val="24"/>
        </w:rPr>
        <w:t xml:space="preserve"> </w:t>
      </w:r>
      <w:r w:rsidRPr="0037628E" w:rsidR="00174028">
        <w:rPr>
          <w:rFonts w:eastAsia="Times New Roman"/>
          <w:szCs w:val="24"/>
        </w:rPr>
        <w:t>C</w:t>
      </w:r>
      <w:r w:rsidRPr="0037628E" w:rsidR="00116E89">
        <w:rPr>
          <w:rFonts w:eastAsia="Times New Roman"/>
          <w:szCs w:val="24"/>
        </w:rPr>
        <w:t xml:space="preserve">ommunity action agencies </w:t>
      </w:r>
      <w:r w:rsidRPr="0037628E" w:rsidR="003C1CF9">
        <w:rPr>
          <w:rFonts w:eastAsia="Times New Roman"/>
          <w:szCs w:val="24"/>
        </w:rPr>
        <w:t xml:space="preserve">that </w:t>
      </w:r>
      <w:r w:rsidRPr="0037628E" w:rsidR="00116E89">
        <w:rPr>
          <w:rFonts w:eastAsia="Times New Roman"/>
          <w:szCs w:val="24"/>
        </w:rPr>
        <w:t xml:space="preserve">process assistance applications </w:t>
      </w:r>
      <w:r w:rsidRPr="0037628E" w:rsidR="003C1CF9">
        <w:rPr>
          <w:rFonts w:eastAsia="Times New Roman"/>
          <w:szCs w:val="24"/>
        </w:rPr>
        <w:t>are also in a position</w:t>
      </w:r>
      <w:r w:rsidRPr="0037628E" w:rsidR="00116E89">
        <w:rPr>
          <w:rFonts w:eastAsia="Times New Roman"/>
          <w:szCs w:val="24"/>
        </w:rPr>
        <w:t xml:space="preserve"> to prevent</w:t>
      </w:r>
      <w:r w:rsidRPr="0037628E" w:rsidR="00AA187A">
        <w:rPr>
          <w:rFonts w:eastAsia="Times New Roman"/>
          <w:szCs w:val="24"/>
        </w:rPr>
        <w:t xml:space="preserve"> th</w:t>
      </w:r>
      <w:r w:rsidRPr="0037628E" w:rsidR="001E3154">
        <w:rPr>
          <w:rFonts w:eastAsia="Times New Roman"/>
          <w:szCs w:val="24"/>
        </w:rPr>
        <w:t>e</w:t>
      </w:r>
      <w:r w:rsidRPr="0037628E" w:rsidR="00AA187A">
        <w:rPr>
          <w:rFonts w:eastAsia="Times New Roman"/>
          <w:szCs w:val="24"/>
        </w:rPr>
        <w:t xml:space="preserve"> type of</w:t>
      </w:r>
      <w:r w:rsidRPr="0037628E" w:rsidR="00116E89">
        <w:rPr>
          <w:rFonts w:eastAsia="Times New Roman"/>
          <w:szCs w:val="24"/>
        </w:rPr>
        <w:t xml:space="preserve"> </w:t>
      </w:r>
      <w:r w:rsidRPr="0037628E" w:rsidR="001E3154">
        <w:rPr>
          <w:rFonts w:eastAsia="Times New Roman"/>
          <w:szCs w:val="24"/>
        </w:rPr>
        <w:t xml:space="preserve">situation that Duke describes </w:t>
      </w:r>
      <w:r w:rsidRPr="0037628E" w:rsidR="003C1CF9">
        <w:rPr>
          <w:rFonts w:eastAsia="Times New Roman"/>
          <w:szCs w:val="24"/>
        </w:rPr>
        <w:t xml:space="preserve">because </w:t>
      </w:r>
      <w:r w:rsidRPr="0037628E" w:rsidR="001E3154">
        <w:rPr>
          <w:rFonts w:eastAsia="Times New Roman"/>
          <w:szCs w:val="24"/>
        </w:rPr>
        <w:t xml:space="preserve">the agencies </w:t>
      </w:r>
      <w:r w:rsidRPr="0037628E" w:rsidR="003C1CF9">
        <w:rPr>
          <w:rFonts w:eastAsia="Times New Roman"/>
          <w:szCs w:val="24"/>
        </w:rPr>
        <w:t>can track consumer applications</w:t>
      </w:r>
      <w:r w:rsidRPr="0037628E" w:rsidR="00116E89">
        <w:rPr>
          <w:rFonts w:eastAsia="Times New Roman"/>
          <w:szCs w:val="24"/>
        </w:rPr>
        <w:t>.</w:t>
      </w:r>
      <w:r w:rsidRPr="0037628E" w:rsidR="009C1194">
        <w:rPr>
          <w:rFonts w:eastAsia="Times New Roman"/>
          <w:szCs w:val="24"/>
        </w:rPr>
        <w:t xml:space="preserve"> </w:t>
      </w:r>
    </w:p>
    <w:p w:rsidR="00855BA0" w:rsidRPr="0037628E" w:rsidP="00F21BC7" w14:paraId="1DB91D7B" w14:textId="28E7FE12">
      <w:pPr>
        <w:spacing w:line="480" w:lineRule="auto"/>
        <w:ind w:firstLine="720"/>
        <w:rPr>
          <w:rFonts w:eastAsia="Times New Roman"/>
          <w:szCs w:val="24"/>
        </w:rPr>
      </w:pPr>
      <w:r w:rsidRPr="0037628E">
        <w:rPr>
          <w:rFonts w:eastAsia="Times New Roman"/>
          <w:szCs w:val="24"/>
        </w:rPr>
        <w:t>I</w:t>
      </w:r>
      <w:r w:rsidRPr="0037628E" w:rsidR="002C7119">
        <w:rPr>
          <w:rFonts w:eastAsia="Times New Roman"/>
          <w:szCs w:val="24"/>
        </w:rPr>
        <w:t>n any event,</w:t>
      </w:r>
      <w:r w:rsidRPr="0037628E" w:rsidR="00174028">
        <w:rPr>
          <w:rFonts w:eastAsia="Times New Roman"/>
          <w:szCs w:val="24"/>
        </w:rPr>
        <w:t xml:space="preserve"> </w:t>
      </w:r>
      <w:r w:rsidRPr="0037628E" w:rsidR="00AA187A">
        <w:rPr>
          <w:rFonts w:eastAsia="Times New Roman"/>
          <w:szCs w:val="24"/>
        </w:rPr>
        <w:t xml:space="preserve">Duke’s </w:t>
      </w:r>
      <w:r w:rsidRPr="0037628E" w:rsidR="00DF63A9">
        <w:rPr>
          <w:rFonts w:eastAsia="Times New Roman"/>
          <w:szCs w:val="24"/>
        </w:rPr>
        <w:t xml:space="preserve">projected issue </w:t>
      </w:r>
      <w:r w:rsidRPr="0037628E" w:rsidR="00174028">
        <w:rPr>
          <w:rFonts w:eastAsia="Times New Roman"/>
          <w:szCs w:val="24"/>
        </w:rPr>
        <w:t>is no</w:t>
      </w:r>
      <w:r w:rsidRPr="0037628E" w:rsidR="00DF63A9">
        <w:rPr>
          <w:rFonts w:eastAsia="Times New Roman"/>
          <w:szCs w:val="24"/>
        </w:rPr>
        <w:t>t a</w:t>
      </w:r>
      <w:r w:rsidRPr="0037628E" w:rsidR="00174028">
        <w:rPr>
          <w:rFonts w:eastAsia="Times New Roman"/>
          <w:szCs w:val="24"/>
        </w:rPr>
        <w:t xml:space="preserve"> reason </w:t>
      </w:r>
      <w:r w:rsidRPr="0037628E" w:rsidR="00DF63A9">
        <w:rPr>
          <w:rFonts w:eastAsia="Times New Roman"/>
          <w:szCs w:val="24"/>
        </w:rPr>
        <w:t xml:space="preserve">to </w:t>
      </w:r>
      <w:r w:rsidRPr="0037628E" w:rsidR="00174028">
        <w:rPr>
          <w:rFonts w:eastAsia="Times New Roman"/>
          <w:szCs w:val="24"/>
        </w:rPr>
        <w:t xml:space="preserve">deny </w:t>
      </w:r>
      <w:r w:rsidRPr="0037628E" w:rsidR="00AA187A">
        <w:rPr>
          <w:rFonts w:eastAsia="Times New Roman"/>
          <w:szCs w:val="24"/>
        </w:rPr>
        <w:t>or delay implementation of the Order</w:t>
      </w:r>
      <w:r w:rsidRPr="0037628E" w:rsidR="00DF63A9">
        <w:rPr>
          <w:rFonts w:eastAsia="Times New Roman"/>
          <w:szCs w:val="24"/>
        </w:rPr>
        <w:t xml:space="preserve"> for at-risk Ohioans who properly complete applications for bill-payment assistance</w:t>
      </w:r>
      <w:r w:rsidRPr="0037628E" w:rsidR="00AA187A">
        <w:rPr>
          <w:rFonts w:eastAsia="Times New Roman"/>
          <w:szCs w:val="24"/>
        </w:rPr>
        <w:t xml:space="preserve">. The PUCO’s </w:t>
      </w:r>
      <w:r w:rsidRPr="0037628E" w:rsidR="00174028">
        <w:rPr>
          <w:rFonts w:eastAsia="Times New Roman"/>
          <w:szCs w:val="24"/>
        </w:rPr>
        <w:t>30-day suspension of disconnection will provide</w:t>
      </w:r>
      <w:r w:rsidRPr="0037628E" w:rsidR="00AA187A">
        <w:rPr>
          <w:rFonts w:eastAsia="Times New Roman"/>
          <w:szCs w:val="24"/>
        </w:rPr>
        <w:t xml:space="preserve"> breathing room for consumers </w:t>
      </w:r>
      <w:r w:rsidRPr="0037628E" w:rsidR="00DF02C0">
        <w:rPr>
          <w:rFonts w:eastAsia="Times New Roman"/>
          <w:szCs w:val="24"/>
        </w:rPr>
        <w:t xml:space="preserve">who </w:t>
      </w:r>
      <w:r w:rsidRPr="0037628E" w:rsidR="00E07467">
        <w:rPr>
          <w:rFonts w:eastAsia="Times New Roman"/>
          <w:szCs w:val="24"/>
        </w:rPr>
        <w:t xml:space="preserve">desperately may </w:t>
      </w:r>
      <w:r w:rsidRPr="0037628E" w:rsidR="00DF02C0">
        <w:rPr>
          <w:rFonts w:eastAsia="Times New Roman"/>
          <w:szCs w:val="24"/>
        </w:rPr>
        <w:t>need help paying their</w:t>
      </w:r>
      <w:r w:rsidRPr="0037628E" w:rsidR="00174028">
        <w:rPr>
          <w:rFonts w:eastAsia="Times New Roman"/>
          <w:szCs w:val="24"/>
        </w:rPr>
        <w:t xml:space="preserve"> high utility bills. </w:t>
      </w:r>
      <w:r w:rsidRPr="0037628E" w:rsidR="00DF02C0">
        <w:rPr>
          <w:rFonts w:eastAsia="Times New Roman"/>
          <w:szCs w:val="24"/>
        </w:rPr>
        <w:t>Moreover, t</w:t>
      </w:r>
      <w:r w:rsidRPr="0037628E" w:rsidR="00174028">
        <w:rPr>
          <w:rFonts w:eastAsia="Times New Roman"/>
          <w:szCs w:val="24"/>
        </w:rPr>
        <w:t xml:space="preserve">he Order states that the </w:t>
      </w:r>
      <w:r w:rsidRPr="0037628E" w:rsidR="002C7119">
        <w:rPr>
          <w:rFonts w:eastAsia="Times New Roman"/>
          <w:szCs w:val="24"/>
        </w:rPr>
        <w:t xml:space="preserve">PUCO may re-visit the disconnection procedures when </w:t>
      </w:r>
      <w:r w:rsidRPr="0037628E" w:rsidR="00BB4131">
        <w:rPr>
          <w:rFonts w:eastAsia="Times New Roman"/>
          <w:szCs w:val="24"/>
        </w:rPr>
        <w:t>it issues its Special Reconnection Order for the 2023-202</w:t>
      </w:r>
      <w:r w:rsidRPr="0037628E" w:rsidR="00174028">
        <w:rPr>
          <w:rFonts w:eastAsia="Times New Roman"/>
          <w:szCs w:val="24"/>
        </w:rPr>
        <w:t>4</w:t>
      </w:r>
      <w:r w:rsidRPr="0037628E" w:rsidR="00BB4131">
        <w:rPr>
          <w:rFonts w:eastAsia="Times New Roman"/>
          <w:szCs w:val="24"/>
        </w:rPr>
        <w:t xml:space="preserve"> winter season.</w:t>
      </w:r>
      <w:r>
        <w:rPr>
          <w:rStyle w:val="FootnoteReference"/>
          <w:rFonts w:eastAsia="Times New Roman"/>
          <w:szCs w:val="24"/>
        </w:rPr>
        <w:footnoteReference w:id="21"/>
      </w:r>
      <w:r w:rsidRPr="0037628E" w:rsidR="00DF02C0">
        <w:rPr>
          <w:rFonts w:eastAsia="Times New Roman"/>
          <w:szCs w:val="24"/>
        </w:rPr>
        <w:t xml:space="preserve"> If there are issues with the 30-day suspension of disconnections, they can be addressed by the PUCO there.</w:t>
      </w:r>
      <w:r w:rsidRPr="0037628E" w:rsidR="00BB4131">
        <w:rPr>
          <w:rFonts w:eastAsia="Times New Roman"/>
          <w:szCs w:val="24"/>
        </w:rPr>
        <w:t xml:space="preserve"> </w:t>
      </w:r>
      <w:r w:rsidRPr="0037628E" w:rsidR="00174028">
        <w:rPr>
          <w:rFonts w:eastAsia="Times New Roman"/>
          <w:szCs w:val="24"/>
        </w:rPr>
        <w:t xml:space="preserve">The PUCO should </w:t>
      </w:r>
      <w:r w:rsidRPr="0037628E" w:rsidR="003F5051">
        <w:rPr>
          <w:rFonts w:eastAsia="Times New Roman"/>
          <w:szCs w:val="24"/>
        </w:rPr>
        <w:t xml:space="preserve">protect at-risk Ohioans by </w:t>
      </w:r>
      <w:r w:rsidRPr="0037628E" w:rsidR="00174028">
        <w:rPr>
          <w:rFonts w:eastAsia="Times New Roman"/>
          <w:szCs w:val="24"/>
        </w:rPr>
        <w:t>deny</w:t>
      </w:r>
      <w:r w:rsidRPr="0037628E" w:rsidR="003F5051">
        <w:rPr>
          <w:rFonts w:eastAsia="Times New Roman"/>
          <w:szCs w:val="24"/>
        </w:rPr>
        <w:t>ing</w:t>
      </w:r>
      <w:r w:rsidRPr="0037628E" w:rsidR="00174028">
        <w:rPr>
          <w:rFonts w:eastAsia="Times New Roman"/>
          <w:szCs w:val="24"/>
        </w:rPr>
        <w:t xml:space="preserve"> Duke’s application for rehearing.</w:t>
      </w:r>
    </w:p>
    <w:p w:rsidR="00BB4131" w:rsidRPr="0037628E" w:rsidP="00855BA0" w14:paraId="336FAFDB" w14:textId="4DC226B1">
      <w:pPr>
        <w:pStyle w:val="Heading2"/>
      </w:pPr>
      <w:r w:rsidRPr="0037628E">
        <w:t>C.</w:t>
      </w:r>
      <w:r w:rsidRPr="0037628E">
        <w:tab/>
      </w:r>
      <w:r w:rsidRPr="0037628E" w:rsidR="00A935B7">
        <w:t xml:space="preserve">The PUCO should deny </w:t>
      </w:r>
      <w:r w:rsidRPr="0037628E">
        <w:t>Duke’s request</w:t>
      </w:r>
      <w:r w:rsidRPr="0037628E" w:rsidR="00A935B7">
        <w:t xml:space="preserve"> for deferral authority</w:t>
      </w:r>
      <w:r w:rsidRPr="0037628E" w:rsidR="00105FC8">
        <w:t xml:space="preserve"> of any costs related to the implementation of the PUCO’s Order</w:t>
      </w:r>
      <w:r w:rsidRPr="0037628E">
        <w:t>.</w:t>
      </w:r>
    </w:p>
    <w:p w:rsidR="00BB4131" w:rsidRPr="0037628E" w:rsidP="00BB4131" w14:paraId="403DD76A" w14:textId="06AE118F">
      <w:pPr>
        <w:spacing w:line="480" w:lineRule="auto"/>
        <w:ind w:firstLine="720"/>
        <w:rPr>
          <w:rFonts w:eastAsia="Times New Roman"/>
          <w:szCs w:val="24"/>
        </w:rPr>
      </w:pPr>
      <w:r w:rsidRPr="0037628E">
        <w:rPr>
          <w:rFonts w:eastAsia="Times New Roman"/>
          <w:szCs w:val="24"/>
        </w:rPr>
        <w:t>Duke argues that the Order is unreasonable and unlawful because it would impose additional costs on utilities without addressing how those costs should be recovered.</w:t>
      </w:r>
      <w:r>
        <w:rPr>
          <w:rStyle w:val="FootnoteReference"/>
          <w:rFonts w:eastAsia="Times New Roman"/>
          <w:szCs w:val="24"/>
        </w:rPr>
        <w:footnoteReference w:id="22"/>
      </w:r>
      <w:r w:rsidRPr="0037628E">
        <w:rPr>
          <w:rFonts w:eastAsia="Times New Roman"/>
          <w:szCs w:val="24"/>
        </w:rPr>
        <w:t xml:space="preserve"> Duke claims that it should be allowed to track and defer incremental expenses for future recovery.</w:t>
      </w:r>
      <w:r>
        <w:rPr>
          <w:rStyle w:val="FootnoteReference"/>
          <w:rFonts w:eastAsia="Times New Roman"/>
          <w:szCs w:val="24"/>
        </w:rPr>
        <w:footnoteReference w:id="23"/>
      </w:r>
      <w:r w:rsidRPr="0037628E">
        <w:rPr>
          <w:rFonts w:eastAsia="Times New Roman"/>
          <w:szCs w:val="24"/>
        </w:rPr>
        <w:t xml:space="preserve"> The PUCO should deny Duke’s request.</w:t>
      </w:r>
    </w:p>
    <w:p w:rsidR="00105FC8" w:rsidRPr="0037628E" w:rsidP="00BB4131" w14:paraId="77DAFAAE" w14:textId="75CC9823">
      <w:pPr>
        <w:spacing w:line="480" w:lineRule="auto"/>
        <w:ind w:firstLine="720"/>
        <w:rPr>
          <w:rFonts w:eastAsia="Times New Roman"/>
          <w:szCs w:val="24"/>
        </w:rPr>
      </w:pPr>
      <w:r w:rsidRPr="0037628E">
        <w:rPr>
          <w:rFonts w:eastAsia="Times New Roman"/>
          <w:szCs w:val="24"/>
        </w:rPr>
        <w:t>Duke</w:t>
      </w:r>
      <w:r w:rsidRPr="0037628E" w:rsidR="003C1CF9">
        <w:rPr>
          <w:rFonts w:eastAsia="Times New Roman"/>
          <w:szCs w:val="24"/>
        </w:rPr>
        <w:t>’s claim</w:t>
      </w:r>
      <w:r w:rsidRPr="0037628E">
        <w:rPr>
          <w:rFonts w:eastAsia="Times New Roman"/>
          <w:szCs w:val="24"/>
        </w:rPr>
        <w:t xml:space="preserve"> that there would be additional costs involved for “verifying customer applications that may not result in even an appointment . . .”</w:t>
      </w:r>
      <w:r>
        <w:rPr>
          <w:rStyle w:val="FootnoteReference"/>
          <w:rFonts w:eastAsia="Times New Roman"/>
          <w:szCs w:val="24"/>
        </w:rPr>
        <w:footnoteReference w:id="24"/>
      </w:r>
      <w:r w:rsidRPr="0037628E" w:rsidR="003C1CF9">
        <w:rPr>
          <w:rFonts w:eastAsia="Times New Roman"/>
          <w:szCs w:val="24"/>
        </w:rPr>
        <w:t xml:space="preserve"> does not make sense.</w:t>
      </w:r>
      <w:r w:rsidRPr="0037628E">
        <w:rPr>
          <w:rFonts w:eastAsia="Times New Roman"/>
          <w:szCs w:val="24"/>
        </w:rPr>
        <w:t xml:space="preserve"> Duke wouldn’t be “verifying” a consumer application</w:t>
      </w:r>
      <w:r w:rsidRPr="0037628E" w:rsidR="003C1CF9">
        <w:rPr>
          <w:rFonts w:eastAsia="Times New Roman"/>
          <w:szCs w:val="24"/>
        </w:rPr>
        <w:t>, so there should not be any additional “re-training of personnel</w:t>
      </w:r>
      <w:r w:rsidRPr="0037628E">
        <w:rPr>
          <w:rFonts w:eastAsia="Times New Roman"/>
          <w:szCs w:val="24"/>
        </w:rPr>
        <w:t>.</w:t>
      </w:r>
      <w:r w:rsidRPr="0037628E" w:rsidR="003C1CF9">
        <w:rPr>
          <w:rFonts w:eastAsia="Times New Roman"/>
          <w:szCs w:val="24"/>
        </w:rPr>
        <w:t>”</w:t>
      </w:r>
      <w:r>
        <w:rPr>
          <w:rStyle w:val="FootnoteReference"/>
          <w:rFonts w:eastAsia="Times New Roman"/>
          <w:szCs w:val="24"/>
        </w:rPr>
        <w:footnoteReference w:id="25"/>
      </w:r>
      <w:r w:rsidRPr="0037628E">
        <w:rPr>
          <w:rFonts w:eastAsia="Times New Roman"/>
          <w:szCs w:val="24"/>
        </w:rPr>
        <w:t xml:space="preserve"> The community action agency that intakes the application notifies the utility that an application is filed, which would then trigger the disconnection suspension. Duke and other utilities already receive such notifications from community action agencies when consumers make appointments to process their assistance applications. </w:t>
      </w:r>
      <w:r w:rsidRPr="0037628E" w:rsidR="003C1CF9">
        <w:rPr>
          <w:rFonts w:eastAsia="Times New Roman"/>
          <w:szCs w:val="24"/>
        </w:rPr>
        <w:t xml:space="preserve">In fact, </w:t>
      </w:r>
      <w:r w:rsidRPr="0037628E" w:rsidR="00D442AC">
        <w:rPr>
          <w:rFonts w:eastAsia="Times New Roman"/>
          <w:szCs w:val="24"/>
        </w:rPr>
        <w:t>Duke acknowledges that the assistance application process “is entirely outside the control of the utilities and cannot be attributed to them in any way.”</w:t>
      </w:r>
      <w:r>
        <w:rPr>
          <w:rStyle w:val="FootnoteReference"/>
          <w:rFonts w:eastAsia="Times New Roman"/>
          <w:szCs w:val="24"/>
        </w:rPr>
        <w:footnoteReference w:id="26"/>
      </w:r>
      <w:r w:rsidRPr="0037628E" w:rsidR="00D442AC">
        <w:rPr>
          <w:rFonts w:eastAsia="Times New Roman"/>
          <w:szCs w:val="24"/>
        </w:rPr>
        <w:t xml:space="preserve"> </w:t>
      </w:r>
      <w:r w:rsidRPr="0037628E" w:rsidR="003C1CF9">
        <w:rPr>
          <w:rFonts w:eastAsia="Times New Roman"/>
          <w:szCs w:val="24"/>
        </w:rPr>
        <w:t>Thus</w:t>
      </w:r>
      <w:r w:rsidRPr="0037628E" w:rsidR="00D442AC">
        <w:rPr>
          <w:rFonts w:eastAsia="Times New Roman"/>
          <w:szCs w:val="24"/>
        </w:rPr>
        <w:t>, Duke should not incur any significant costs to implement the PUCO’s Order.</w:t>
      </w:r>
    </w:p>
    <w:p w:rsidR="0083155A" w:rsidP="00D442AC" w14:paraId="7D64FD70" w14:textId="7429E5A2">
      <w:pPr>
        <w:spacing w:line="480" w:lineRule="auto"/>
        <w:ind w:firstLine="720"/>
        <w:rPr>
          <w:rFonts w:eastAsia="Times New Roman"/>
          <w:szCs w:val="24"/>
          <w14:ligatures w14:val="standardContextual"/>
        </w:rPr>
      </w:pPr>
      <w:r w:rsidRPr="0037628E">
        <w:rPr>
          <w:rFonts w:eastAsia="Times New Roman"/>
          <w:szCs w:val="24"/>
        </w:rPr>
        <w:t xml:space="preserve">Moreover, </w:t>
      </w:r>
      <w:r w:rsidRPr="0037628E" w:rsidR="003C1CF9">
        <w:rPr>
          <w:rFonts w:eastAsia="Times New Roman"/>
          <w:szCs w:val="24"/>
        </w:rPr>
        <w:t>Duke has</w:t>
      </w:r>
      <w:r w:rsidRPr="0037628E" w:rsidR="00E10412">
        <w:rPr>
          <w:rFonts w:eastAsia="Times New Roman"/>
          <w:szCs w:val="24"/>
        </w:rPr>
        <w:t xml:space="preserve"> already</w:t>
      </w:r>
      <w:r w:rsidRPr="0037628E" w:rsidR="003C1CF9">
        <w:rPr>
          <w:rFonts w:eastAsia="Times New Roman"/>
          <w:szCs w:val="24"/>
        </w:rPr>
        <w:t xml:space="preserve"> implemented a customer information system</w:t>
      </w:r>
      <w:r w:rsidRPr="0037628E" w:rsidR="00E10412">
        <w:rPr>
          <w:rFonts w:eastAsia="Times New Roman"/>
          <w:szCs w:val="24"/>
        </w:rPr>
        <w:t xml:space="preserve"> </w:t>
      </w:r>
      <w:r w:rsidRPr="0037628E" w:rsidR="003C1CF9">
        <w:rPr>
          <w:rFonts w:eastAsia="Times New Roman"/>
          <w:szCs w:val="24"/>
          <w14:ligatures w14:val="standardContextual"/>
        </w:rPr>
        <w:t>that</w:t>
      </w:r>
      <w:r w:rsidRPr="0037628E" w:rsidR="00E10412">
        <w:rPr>
          <w:rFonts w:eastAsia="Times New Roman"/>
          <w:szCs w:val="24"/>
          <w14:ligatures w14:val="standardContextual"/>
        </w:rPr>
        <w:t>, according to Duke,</w:t>
      </w:r>
      <w:r w:rsidRPr="0037628E" w:rsidR="003C1CF9">
        <w:rPr>
          <w:rFonts w:eastAsia="Times New Roman"/>
          <w:szCs w:val="24"/>
          <w14:ligatures w14:val="standardContextual"/>
        </w:rPr>
        <w:t xml:space="preserve"> </w:t>
      </w:r>
      <w:r w:rsidRPr="0037628E" w:rsidR="00E10412">
        <w:rPr>
          <w:rFonts w:eastAsia="Times New Roman"/>
          <w:szCs w:val="24"/>
          <w14:ligatures w14:val="standardContextual"/>
        </w:rPr>
        <w:t>“</w:t>
      </w:r>
      <w:r w:rsidRPr="0037628E" w:rsidR="003C1CF9">
        <w:rPr>
          <w:rFonts w:eastAsia="Times New Roman"/>
          <w:szCs w:val="24"/>
          <w14:ligatures w14:val="standardContextual"/>
        </w:rPr>
        <w:t>will transform the way that Duke interacts with and serves customers, ensuring a universal, simple and consistent experience across channels.”</w:t>
      </w:r>
      <w:r>
        <w:rPr>
          <w:rStyle w:val="FootnoteReference"/>
          <w:rFonts w:eastAsia="Times New Roman"/>
          <w:szCs w:val="24"/>
          <w14:ligatures w14:val="standardContextual"/>
        </w:rPr>
        <w:footnoteReference w:id="27"/>
      </w:r>
      <w:r w:rsidRPr="0037628E" w:rsidR="00DE1839">
        <w:rPr>
          <w:rFonts w:eastAsia="Times New Roman"/>
          <w:szCs w:val="24"/>
          <w14:ligatures w14:val="standardContextual"/>
        </w:rPr>
        <w:t xml:space="preserve"> The cost of Duke’s customer information system is </w:t>
      </w:r>
      <w:r w:rsidRPr="0037628E" w:rsidR="00DE1839">
        <w:rPr>
          <w:rFonts w:eastAsia="Times New Roman"/>
          <w:i/>
          <w:iCs/>
          <w:szCs w:val="24"/>
          <w14:ligatures w14:val="standardContextual"/>
        </w:rPr>
        <w:t>$900 million</w:t>
      </w:r>
      <w:r w:rsidRPr="0037628E" w:rsidR="00DE39D2">
        <w:rPr>
          <w:rFonts w:eastAsia="Times New Roman"/>
          <w:szCs w:val="24"/>
          <w14:ligatures w14:val="standardContextual"/>
        </w:rPr>
        <w:t xml:space="preserve"> with $79 million proposed to be charged to consumers through Duke’s Power Forward Rider.</w:t>
      </w:r>
      <w:r>
        <w:rPr>
          <w:rStyle w:val="FootnoteReference"/>
          <w:rFonts w:eastAsia="Times New Roman"/>
          <w:szCs w:val="24"/>
          <w14:ligatures w14:val="standardContextual"/>
        </w:rPr>
        <w:footnoteReference w:id="28"/>
      </w:r>
      <w:r w:rsidRPr="0037628E" w:rsidR="00DE1839">
        <w:rPr>
          <w:rFonts w:eastAsia="Times New Roman"/>
          <w:szCs w:val="24"/>
          <w14:ligatures w14:val="standardContextual"/>
        </w:rPr>
        <w:t xml:space="preserve"> </w:t>
      </w:r>
      <w:r w:rsidRPr="0037628E" w:rsidR="00F304E8">
        <w:rPr>
          <w:rFonts w:eastAsia="Times New Roman"/>
          <w:szCs w:val="24"/>
          <w14:ligatures w14:val="standardContextual"/>
        </w:rPr>
        <w:t xml:space="preserve">Duke’s </w:t>
      </w:r>
      <w:r w:rsidRPr="0037628E" w:rsidR="00E10412">
        <w:rPr>
          <w:rFonts w:eastAsia="Times New Roman"/>
          <w:szCs w:val="24"/>
          <w14:ligatures w14:val="standardContextual"/>
        </w:rPr>
        <w:t xml:space="preserve">claimed </w:t>
      </w:r>
      <w:r w:rsidRPr="0037628E" w:rsidR="00F304E8">
        <w:rPr>
          <w:rFonts w:eastAsia="Times New Roman"/>
          <w:szCs w:val="24"/>
          <w14:ligatures w14:val="standardContextual"/>
        </w:rPr>
        <w:t>state of the art customer information system (which consumer</w:t>
      </w:r>
      <w:r w:rsidRPr="0037628E" w:rsidR="004C41DC">
        <w:rPr>
          <w:rFonts w:eastAsia="Times New Roman"/>
          <w:szCs w:val="24"/>
          <w14:ligatures w14:val="standardContextual"/>
        </w:rPr>
        <w:t>s</w:t>
      </w:r>
      <w:r w:rsidRPr="0037628E" w:rsidR="00F304E8">
        <w:rPr>
          <w:rFonts w:eastAsia="Times New Roman"/>
          <w:szCs w:val="24"/>
          <w14:ligatures w14:val="standardContextual"/>
        </w:rPr>
        <w:t xml:space="preserve"> will pay for through their rates) should have the capabilities to process disconnection suspensions as a result of the Order. Accordingly, the PUCO should deny Duke’s request for deferral authority</w:t>
      </w:r>
      <w:r w:rsidRPr="0037628E" w:rsidR="004C41DC">
        <w:rPr>
          <w:rFonts w:eastAsia="Times New Roman"/>
          <w:szCs w:val="24"/>
          <w14:ligatures w14:val="standardContextual"/>
        </w:rPr>
        <w:t xml:space="preserve"> to enable to it charge more to consumers</w:t>
      </w:r>
      <w:r w:rsidRPr="0037628E" w:rsidR="00F304E8">
        <w:rPr>
          <w:rFonts w:eastAsia="Times New Roman"/>
          <w:szCs w:val="24"/>
          <w14:ligatures w14:val="standardContextual"/>
        </w:rPr>
        <w:t>.</w:t>
      </w:r>
    </w:p>
    <w:p w:rsidR="0083155A" w14:paraId="065B6C98" w14:textId="77777777">
      <w:pPr>
        <w:rPr>
          <w:rFonts w:eastAsia="Times New Roman"/>
          <w:szCs w:val="24"/>
          <w14:ligatures w14:val="standardContextual"/>
        </w:rPr>
      </w:pPr>
      <w:r>
        <w:rPr>
          <w:rFonts w:eastAsia="Times New Roman"/>
          <w:szCs w:val="24"/>
          <w14:ligatures w14:val="standardContextual"/>
        </w:rPr>
        <w:br w:type="page"/>
      </w:r>
    </w:p>
    <w:p w:rsidR="00BB4131" w:rsidRPr="0037628E" w:rsidP="00FF1239" w14:paraId="2B55BA94" w14:textId="796A1F36">
      <w:pPr>
        <w:pStyle w:val="Heading1"/>
      </w:pPr>
      <w:r w:rsidRPr="0037628E">
        <w:t>III.</w:t>
      </w:r>
      <w:r w:rsidRPr="0037628E">
        <w:tab/>
      </w:r>
      <w:r w:rsidRPr="0037628E">
        <w:t>CONCLUSION</w:t>
      </w:r>
    </w:p>
    <w:p w:rsidR="00AC7335" w:rsidRPr="0037628E" w:rsidP="009D040A" w14:paraId="75AFD50E" w14:textId="7A0BA770">
      <w:pPr>
        <w:spacing w:line="480" w:lineRule="auto"/>
        <w:rPr>
          <w:rFonts w:eastAsia="Times New Roman"/>
          <w:szCs w:val="24"/>
        </w:rPr>
      </w:pPr>
      <w:r w:rsidRPr="0037628E">
        <w:rPr>
          <w:rFonts w:eastAsia="Times New Roman"/>
          <w:szCs w:val="24"/>
        </w:rPr>
        <w:tab/>
      </w:r>
      <w:r w:rsidRPr="0037628E" w:rsidR="00F304E8">
        <w:rPr>
          <w:rFonts w:eastAsia="Times New Roman"/>
          <w:szCs w:val="24"/>
        </w:rPr>
        <w:t>The PUCO</w:t>
      </w:r>
      <w:r w:rsidRPr="0037628E" w:rsidR="00D03F75">
        <w:rPr>
          <w:rFonts w:eastAsia="Times New Roman"/>
          <w:szCs w:val="24"/>
        </w:rPr>
        <w:t>’s</w:t>
      </w:r>
      <w:r w:rsidRPr="0037628E" w:rsidR="00F304E8">
        <w:rPr>
          <w:rFonts w:eastAsia="Times New Roman"/>
          <w:szCs w:val="24"/>
        </w:rPr>
        <w:t xml:space="preserve"> Order protects at-risk consumers in these difficult times of financial hardship and rising utility rates</w:t>
      </w:r>
      <w:r w:rsidRPr="0037628E" w:rsidR="00D03F75">
        <w:rPr>
          <w:rFonts w:eastAsia="Times New Roman"/>
          <w:szCs w:val="24"/>
        </w:rPr>
        <w:t>, in response to the motion we five consumer advocates filed</w:t>
      </w:r>
      <w:r w:rsidRPr="0037628E" w:rsidR="00F304E8">
        <w:rPr>
          <w:rFonts w:eastAsia="Times New Roman"/>
          <w:szCs w:val="24"/>
        </w:rPr>
        <w:t>. The PUCO acted lawfully and reasonably</w:t>
      </w:r>
      <w:r w:rsidRPr="0037628E" w:rsidR="00D03F75">
        <w:rPr>
          <w:rFonts w:eastAsia="Times New Roman"/>
          <w:szCs w:val="24"/>
        </w:rPr>
        <w:t xml:space="preserve"> to prevent injury to the public as intended in R.C. 4909.16</w:t>
      </w:r>
      <w:r w:rsidRPr="0037628E" w:rsidR="00F304E8">
        <w:rPr>
          <w:rFonts w:eastAsia="Times New Roman"/>
          <w:szCs w:val="24"/>
        </w:rPr>
        <w:t>. Duke’s arguments for delaying implementation of the Order and deferral request have little merit</w:t>
      </w:r>
      <w:r w:rsidRPr="0037628E" w:rsidR="00501B3C">
        <w:rPr>
          <w:rFonts w:eastAsia="Times New Roman"/>
          <w:szCs w:val="24"/>
        </w:rPr>
        <w:t xml:space="preserve"> (or compassion)</w:t>
      </w:r>
      <w:r w:rsidRPr="0037628E" w:rsidR="00F304E8">
        <w:rPr>
          <w:rFonts w:eastAsia="Times New Roman"/>
          <w:szCs w:val="24"/>
        </w:rPr>
        <w:t>. The PUCO should deny Duke’s application for rehearing.</w:t>
      </w:r>
      <w:r w:rsidRPr="0037628E" w:rsidR="009C1194">
        <w:rPr>
          <w:rFonts w:eastAsia="Times New Roman"/>
          <w:szCs w:val="24"/>
        </w:rPr>
        <w:t xml:space="preserve"> </w:t>
      </w:r>
    </w:p>
    <w:p w:rsidR="00AC7335" w:rsidRPr="0037628E" w:rsidP="00AC7335" w14:paraId="758D7A49" w14:textId="77777777">
      <w:pPr>
        <w:widowControl w:val="0"/>
        <w:jc w:val="center"/>
        <w:rPr>
          <w:rFonts w:eastAsia="Times New Roman"/>
          <w:szCs w:val="24"/>
        </w:rPr>
      </w:pPr>
      <w:r w:rsidRPr="0037628E">
        <w:rPr>
          <w:rFonts w:eastAsia="Times New Roman"/>
          <w:szCs w:val="24"/>
        </w:rPr>
        <w:t>Respectfully submitted,</w:t>
      </w:r>
    </w:p>
    <w:p w:rsidR="00AC7335" w:rsidRPr="0037628E" w:rsidP="00AC7335" w14:paraId="4F993AA1" w14:textId="77777777">
      <w:pPr>
        <w:rPr>
          <w:rFonts w:eastAsia="Times New Roman"/>
          <w:szCs w:val="24"/>
        </w:rPr>
      </w:pPr>
    </w:p>
    <w:tbl>
      <w:tblPr>
        <w:tblW w:w="8831" w:type="dxa"/>
        <w:tblInd w:w="0" w:type="dxa"/>
        <w:tblCellMar>
          <w:top w:w="0" w:type="dxa"/>
          <w:left w:w="108" w:type="dxa"/>
          <w:bottom w:w="0" w:type="dxa"/>
          <w:right w:w="108" w:type="dxa"/>
        </w:tblCellMar>
        <w:tblLook w:val="04A0"/>
      </w:tblPr>
      <w:tblGrid>
        <w:gridCol w:w="4500"/>
        <w:gridCol w:w="4331"/>
      </w:tblGrid>
      <w:tr w14:paraId="0AB2472A" w14:textId="77777777" w:rsidTr="00B279A8">
        <w:tblPrEx>
          <w:tblW w:w="8831" w:type="dxa"/>
          <w:tblInd w:w="0" w:type="dxa"/>
          <w:tblCellMar>
            <w:top w:w="0" w:type="dxa"/>
            <w:left w:w="108" w:type="dxa"/>
            <w:bottom w:w="0" w:type="dxa"/>
            <w:right w:w="108" w:type="dxa"/>
          </w:tblCellMar>
          <w:tblLook w:val="04A0"/>
        </w:tblPrEx>
        <w:tc>
          <w:tcPr>
            <w:tcW w:w="4500" w:type="dxa"/>
            <w:shd w:val="clear" w:color="auto" w:fill="auto"/>
          </w:tcPr>
          <w:p w:rsidR="00AC7335" w:rsidRPr="0037628E" w:rsidP="00B279A8" w14:paraId="446B12EC"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Bruce Weston (0016973)</w:t>
            </w:r>
          </w:p>
          <w:p w:rsidR="00AC7335" w:rsidRPr="0037628E" w:rsidP="00B279A8" w14:paraId="5AC1B8CE"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Ohio Consumers’ Counsel</w:t>
            </w:r>
          </w:p>
          <w:p w:rsidR="00AC7335" w:rsidRPr="0037628E" w:rsidP="00B279A8" w14:paraId="54DBA534" w14:textId="77777777">
            <w:pPr>
              <w:rPr>
                <w:rFonts w:ascii="Times New Roman" w:eastAsia="Times New Roman" w:hAnsi="Times New Roman"/>
                <w:sz w:val="24"/>
                <w:szCs w:val="24"/>
                <w:lang w:val="en-US" w:eastAsia="en-US" w:bidi="ar-SA"/>
              </w:rPr>
            </w:pPr>
          </w:p>
          <w:p w:rsidR="00AC7335" w:rsidRPr="0037628E" w:rsidP="00B279A8" w14:paraId="095DAB16" w14:textId="77777777">
            <w:pPr>
              <w:rPr>
                <w:rFonts w:ascii="Times New Roman" w:eastAsia="Times New Roman" w:hAnsi="Times New Roman"/>
                <w:i/>
                <w:iCs/>
                <w:sz w:val="24"/>
                <w:szCs w:val="24"/>
                <w:u w:val="single"/>
                <w:lang w:val="en-US" w:eastAsia="en-US" w:bidi="ar-SA"/>
              </w:rPr>
            </w:pPr>
            <w:r w:rsidRPr="0037628E">
              <w:rPr>
                <w:rFonts w:ascii="Times New Roman" w:eastAsia="Times New Roman" w:hAnsi="Times New Roman"/>
                <w:i/>
                <w:iCs/>
                <w:sz w:val="24"/>
                <w:szCs w:val="24"/>
                <w:u w:val="single"/>
                <w:lang w:val="en-US" w:eastAsia="en-US" w:bidi="ar-SA"/>
              </w:rPr>
              <w:t>/s/ Angela D. O’Brien</w:t>
            </w:r>
          </w:p>
          <w:p w:rsidR="00AC7335" w:rsidRPr="0037628E" w:rsidP="00B279A8" w14:paraId="697933BF"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Angela D. O’Brien (0097579)</w:t>
            </w:r>
          </w:p>
          <w:p w:rsidR="00AC7335" w:rsidRPr="0037628E" w:rsidP="00B279A8" w14:paraId="69C30E89"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Deputy Consumers’ Counsel</w:t>
            </w:r>
          </w:p>
          <w:p w:rsidR="00AC7335" w:rsidRPr="0037628E" w:rsidP="00B279A8" w14:paraId="7B118A0A"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Counsel of Record</w:t>
            </w:r>
          </w:p>
          <w:p w:rsidR="00AC7335" w:rsidRPr="0037628E" w:rsidP="00B279A8" w14:paraId="6AE98D87"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John Finnigan (0018689)</w:t>
            </w:r>
          </w:p>
          <w:p w:rsidR="00AC7335" w:rsidRPr="0037628E" w:rsidP="00B279A8" w14:paraId="1CE76377"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Assistant Consumers’ Counsel</w:t>
            </w:r>
          </w:p>
          <w:p w:rsidR="00AC7335" w:rsidRPr="0037628E" w:rsidP="00B279A8" w14:paraId="73DF839A" w14:textId="77777777">
            <w:pPr>
              <w:rPr>
                <w:rFonts w:ascii="Times New Roman" w:eastAsia="Times New Roman" w:hAnsi="Times New Roman"/>
                <w:sz w:val="24"/>
                <w:szCs w:val="24"/>
                <w:lang w:val="en-US" w:eastAsia="en-US" w:bidi="ar-SA"/>
              </w:rPr>
            </w:pPr>
          </w:p>
          <w:p w:rsidR="00AC7335" w:rsidRPr="0037628E" w:rsidP="00B279A8" w14:paraId="60C88DB3" w14:textId="77777777">
            <w:pPr>
              <w:rPr>
                <w:rFonts w:ascii="Times New Roman" w:eastAsia="Times New Roman" w:hAnsi="Times New Roman"/>
                <w:b/>
                <w:bCs/>
                <w:sz w:val="24"/>
                <w:szCs w:val="24"/>
                <w:lang w:val="en-US" w:eastAsia="en-US" w:bidi="ar-SA"/>
              </w:rPr>
            </w:pPr>
            <w:r w:rsidRPr="0037628E">
              <w:rPr>
                <w:rFonts w:ascii="Times New Roman" w:eastAsia="Times New Roman" w:hAnsi="Times New Roman"/>
                <w:b/>
                <w:sz w:val="24"/>
                <w:szCs w:val="24"/>
                <w:lang w:val="en-US" w:eastAsia="en-US" w:bidi="ar-SA"/>
              </w:rPr>
              <w:t>Office of the Ohio Consumers' Counsel</w:t>
            </w:r>
          </w:p>
          <w:p w:rsidR="00AC7335" w:rsidRPr="0037628E" w:rsidP="00B279A8" w14:paraId="08F0F575"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65 East State Street, Suite 700</w:t>
            </w:r>
          </w:p>
          <w:p w:rsidR="00AC7335" w:rsidRPr="0037628E" w:rsidP="00B279A8" w14:paraId="1F052C6C"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Columbus, Ohio 43215</w:t>
            </w:r>
          </w:p>
          <w:p w:rsidR="00AC7335" w:rsidRPr="0037628E" w:rsidP="00B279A8" w14:paraId="2485F770"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Telephone: [O’Brien]: (614) 466-9531</w:t>
            </w:r>
          </w:p>
          <w:p w:rsidR="00AC7335" w:rsidRPr="0037628E" w:rsidP="00B279A8" w14:paraId="4272531D"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Telephone [Finnigan]: (614) 466-9585</w:t>
            </w:r>
          </w:p>
          <w:p w:rsidR="00AC7335" w:rsidRPr="0037628E" w:rsidP="00B279A8" w14:paraId="36EB47B1" w14:textId="77777777">
            <w:pPr>
              <w:rPr>
                <w:rFonts w:ascii="Times New Roman" w:eastAsia="Times New Roman" w:hAnsi="Times New Roman"/>
                <w:sz w:val="24"/>
                <w:szCs w:val="24"/>
                <w:lang w:val="en-US" w:eastAsia="en-US" w:bidi="ar-SA"/>
              </w:rPr>
            </w:pPr>
            <w:hyperlink r:id="rId6" w:history="1">
              <w:r w:rsidRPr="0037628E">
                <w:rPr>
                  <w:rStyle w:val="Hyperlink"/>
                  <w:rFonts w:ascii="Times New Roman" w:eastAsia="Times New Roman" w:hAnsi="Times New Roman" w:cs="Times New Roman"/>
                  <w:color w:val="0000FF"/>
                  <w:sz w:val="24"/>
                  <w:szCs w:val="24"/>
                  <w:u w:val="single"/>
                  <w:lang w:val="en-US" w:eastAsia="en-US" w:bidi="ar-SA"/>
                </w:rPr>
                <w:t>angela.obrien@occ.ohio.gov</w:t>
              </w:r>
            </w:hyperlink>
          </w:p>
          <w:p w:rsidR="00AC7335" w:rsidRPr="0037628E" w:rsidP="00B279A8" w14:paraId="7B2A2811" w14:textId="77777777">
            <w:pPr>
              <w:rPr>
                <w:rFonts w:ascii="Times New Roman" w:eastAsia="Times New Roman" w:hAnsi="Times New Roman"/>
                <w:sz w:val="24"/>
                <w:szCs w:val="24"/>
                <w:lang w:val="en-US" w:eastAsia="en-US" w:bidi="ar-SA"/>
              </w:rPr>
            </w:pPr>
            <w:hyperlink r:id="rId7" w:history="1">
              <w:r w:rsidRPr="0037628E">
                <w:rPr>
                  <w:rStyle w:val="Hyperlink"/>
                  <w:rFonts w:ascii="Times New Roman" w:eastAsia="Times New Roman" w:hAnsi="Times New Roman" w:cs="Times New Roman"/>
                  <w:color w:val="0000FF"/>
                  <w:sz w:val="24"/>
                  <w:szCs w:val="24"/>
                  <w:u w:val="single"/>
                  <w:lang w:val="en-US" w:eastAsia="en-US" w:bidi="ar-SA"/>
                </w:rPr>
                <w:t>john.finnigan@occ.ohio.gov</w:t>
              </w:r>
            </w:hyperlink>
          </w:p>
          <w:p w:rsidR="00AC7335" w:rsidRPr="0037628E" w:rsidP="00B279A8" w14:paraId="1B4FFB0E"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(willing to accept service by e-mail)</w:t>
            </w:r>
          </w:p>
          <w:p w:rsidR="00AC7335" w:rsidRPr="0037628E" w:rsidP="00B279A8" w14:paraId="665F0AB2" w14:textId="77777777">
            <w:pPr>
              <w:rPr>
                <w:rFonts w:ascii="Times New Roman" w:eastAsia="Times New Roman" w:hAnsi="Times New Roman"/>
                <w:sz w:val="24"/>
                <w:szCs w:val="24"/>
                <w:lang w:val="en-US" w:eastAsia="en-US" w:bidi="ar-SA"/>
              </w:rPr>
            </w:pPr>
          </w:p>
          <w:p w:rsidR="00AC7335" w:rsidRPr="0037628E" w:rsidP="00B279A8" w14:paraId="672A3ADC" w14:textId="2CC75DC4">
            <w:pPr>
              <w:rPr>
                <w:rFonts w:ascii="Times New Roman" w:eastAsia="Times New Roman" w:hAnsi="Times New Roman"/>
                <w:i/>
                <w:iCs/>
                <w:sz w:val="24"/>
                <w:szCs w:val="24"/>
                <w:u w:val="single"/>
                <w:lang w:val="en-US" w:eastAsia="en-US" w:bidi="ar-SA"/>
              </w:rPr>
            </w:pPr>
            <w:r w:rsidRPr="0037628E">
              <w:rPr>
                <w:rFonts w:ascii="Times New Roman" w:eastAsia="Times New Roman" w:hAnsi="Times New Roman"/>
                <w:i/>
                <w:iCs/>
                <w:sz w:val="24"/>
                <w:szCs w:val="24"/>
                <w:u w:val="single"/>
                <w:lang w:val="en-US" w:eastAsia="en-US" w:bidi="ar-SA"/>
              </w:rPr>
              <w:t xml:space="preserve">/s/ </w:t>
            </w:r>
            <w:r w:rsidRPr="0037628E" w:rsidR="00F21BC7">
              <w:rPr>
                <w:rFonts w:ascii="Times New Roman" w:eastAsia="Times New Roman" w:hAnsi="Times New Roman"/>
                <w:i/>
                <w:iCs/>
                <w:sz w:val="24"/>
                <w:szCs w:val="24"/>
                <w:u w:val="single"/>
                <w:lang w:val="en-US" w:eastAsia="en-US" w:bidi="ar-SA"/>
              </w:rPr>
              <w:t>David Manor</w:t>
            </w:r>
          </w:p>
          <w:p w:rsidR="00AC7335" w:rsidRPr="0037628E" w:rsidP="00B279A8" w14:paraId="5A20EED9"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David Manor (0100068)</w:t>
            </w:r>
          </w:p>
          <w:p w:rsidR="00AC7335" w:rsidRPr="0037628E" w:rsidP="00B279A8" w14:paraId="3C77EE5F" w14:textId="77777777">
            <w:pPr>
              <w:rPr>
                <w:rFonts w:ascii="Times New Roman" w:eastAsia="Times New Roman" w:hAnsi="Times New Roman"/>
                <w:b/>
                <w:bCs/>
                <w:sz w:val="24"/>
                <w:szCs w:val="24"/>
                <w:lang w:val="en-US" w:eastAsia="en-US" w:bidi="ar-SA"/>
              </w:rPr>
            </w:pPr>
            <w:r w:rsidRPr="0037628E">
              <w:rPr>
                <w:rFonts w:ascii="Times New Roman" w:eastAsia="Times New Roman" w:hAnsi="Times New Roman"/>
                <w:b/>
                <w:sz w:val="24"/>
                <w:szCs w:val="24"/>
                <w:lang w:val="en-US" w:eastAsia="en-US" w:bidi="ar-SA"/>
              </w:rPr>
              <w:t>Advocates for Basic Legal Equality, Inc.</w:t>
            </w:r>
          </w:p>
          <w:p w:rsidR="00AC7335" w:rsidRPr="0037628E" w:rsidP="00B279A8" w14:paraId="60008FCC"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525 Jefferson Avenue, Suite 300</w:t>
            </w:r>
          </w:p>
          <w:p w:rsidR="00AC7335" w:rsidRPr="0037628E" w:rsidP="00B279A8" w14:paraId="1099646C"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Toledo, OH 45402</w:t>
            </w:r>
          </w:p>
          <w:p w:rsidR="00AC7335" w:rsidRPr="0037628E" w:rsidP="00B279A8" w14:paraId="67AE3882" w14:textId="77777777">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Telephone: (419) 255-0814</w:t>
            </w:r>
          </w:p>
          <w:p w:rsidR="00AC7335" w:rsidRPr="0037628E" w:rsidP="00B279A8" w14:paraId="21BAB2B0" w14:textId="77777777">
            <w:pPr>
              <w:rPr>
                <w:rFonts w:ascii="Times New Roman" w:eastAsia="Times New Roman" w:hAnsi="Times New Roman"/>
                <w:sz w:val="24"/>
                <w:szCs w:val="24"/>
                <w:lang w:val="en-US" w:eastAsia="en-US" w:bidi="ar-SA"/>
              </w:rPr>
            </w:pPr>
            <w:hyperlink r:id="rId8" w:history="1">
              <w:r w:rsidRPr="0037628E">
                <w:rPr>
                  <w:rStyle w:val="Hyperlink"/>
                  <w:rFonts w:ascii="Times New Roman" w:eastAsia="Calibri" w:hAnsi="Times New Roman" w:cs="Times New Roman"/>
                  <w:color w:val="0000FF"/>
                  <w:sz w:val="24"/>
                  <w:szCs w:val="24"/>
                  <w:u w:val="single"/>
                  <w:lang w:val="en-US" w:eastAsia="en-US" w:bidi="ar-SA"/>
                </w:rPr>
                <w:t>dmanor</w:t>
              </w:r>
              <w:r w:rsidRPr="0037628E">
                <w:rPr>
                  <w:rStyle w:val="Hyperlink"/>
                  <w:rFonts w:ascii="Times New Roman" w:eastAsia="Times New Roman" w:hAnsi="Times New Roman" w:cs="Times New Roman"/>
                  <w:color w:val="0000FF"/>
                  <w:sz w:val="24"/>
                  <w:szCs w:val="24"/>
                  <w:u w:val="single"/>
                  <w:lang w:val="en-US" w:eastAsia="en-US" w:bidi="ar-SA"/>
                </w:rPr>
                <w:t>@ablelaw.org</w:t>
              </w:r>
            </w:hyperlink>
          </w:p>
          <w:p w:rsidR="00AC7335" w:rsidRPr="0037628E" w:rsidP="003B078C" w14:paraId="3E666424" w14:textId="3868E7F3">
            <w:pPr>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(willing to accept service by e-mail)</w:t>
            </w:r>
          </w:p>
        </w:tc>
        <w:tc>
          <w:tcPr>
            <w:tcW w:w="4331" w:type="dxa"/>
            <w:shd w:val="clear" w:color="auto" w:fill="auto"/>
          </w:tcPr>
          <w:p w:rsidR="00AC7335" w:rsidRPr="0037628E" w:rsidP="00B279A8" w14:paraId="791C8940" w14:textId="40AF002B">
            <w:pPr>
              <w:ind w:left="164"/>
              <w:rPr>
                <w:rFonts w:ascii="Times New Roman" w:eastAsia="Times New Roman" w:hAnsi="Times New Roman"/>
                <w:i/>
                <w:iCs/>
                <w:sz w:val="24"/>
                <w:szCs w:val="24"/>
                <w:u w:val="single"/>
                <w:lang w:val="en-US" w:eastAsia="en-US" w:bidi="ar-SA"/>
              </w:rPr>
            </w:pPr>
            <w:r w:rsidRPr="0037628E">
              <w:rPr>
                <w:rFonts w:ascii="Times New Roman" w:eastAsia="Times New Roman" w:hAnsi="Times New Roman"/>
                <w:i/>
                <w:iCs/>
                <w:sz w:val="24"/>
                <w:szCs w:val="24"/>
                <w:u w:val="single"/>
                <w:lang w:val="en-US" w:eastAsia="en-US" w:bidi="ar-SA"/>
              </w:rPr>
              <w:t xml:space="preserve">/s/ </w:t>
            </w:r>
            <w:r w:rsidRPr="0037628E" w:rsidR="00F21BC7">
              <w:rPr>
                <w:rFonts w:ascii="Times New Roman" w:eastAsia="Times New Roman" w:hAnsi="Times New Roman"/>
                <w:i/>
                <w:iCs/>
                <w:sz w:val="24"/>
                <w:szCs w:val="24"/>
                <w:u w:val="single"/>
                <w:lang w:val="en-US" w:eastAsia="en-US" w:bidi="ar-SA"/>
              </w:rPr>
              <w:t>Stephanie Moes</w:t>
            </w:r>
          </w:p>
          <w:p w:rsidR="00AC7335" w:rsidRPr="0037628E" w:rsidP="00B279A8" w14:paraId="56CA43BA" w14:textId="77777777">
            <w:pPr>
              <w:widowControl w:val="0"/>
              <w:autoSpaceDE w:val="0"/>
              <w:autoSpaceDN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Stephanie Moes (0077136)</w:t>
            </w:r>
          </w:p>
          <w:p w:rsidR="00AC7335" w:rsidRPr="0037628E" w:rsidP="00B279A8" w14:paraId="28950A91" w14:textId="77777777">
            <w:pPr>
              <w:widowControl w:val="0"/>
              <w:autoSpaceDE w:val="0"/>
              <w:autoSpaceDN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Managing Attorney</w:t>
            </w:r>
          </w:p>
          <w:p w:rsidR="00AC7335" w:rsidRPr="0037628E" w:rsidP="00B279A8" w14:paraId="78C327E7" w14:textId="77777777">
            <w:pPr>
              <w:ind w:firstLine="164"/>
              <w:rPr>
                <w:rFonts w:ascii="Times New Roman" w:eastAsia="Calibri" w:hAnsi="Times New Roman"/>
                <w:b/>
                <w:bCs/>
                <w:sz w:val="24"/>
                <w:szCs w:val="24"/>
                <w:lang w:val="en-US" w:eastAsia="en-US" w:bidi="ar-SA"/>
              </w:rPr>
            </w:pPr>
            <w:r w:rsidRPr="0037628E">
              <w:rPr>
                <w:rFonts w:ascii="Times New Roman" w:eastAsia="Calibri" w:hAnsi="Times New Roman"/>
                <w:b/>
                <w:sz w:val="24"/>
                <w:szCs w:val="24"/>
                <w:lang w:val="en-US" w:eastAsia="en-US" w:bidi="ar-SA"/>
              </w:rPr>
              <w:t>Legal Aid Society of Southwest Ohio</w:t>
            </w:r>
          </w:p>
          <w:p w:rsidR="00AC7335" w:rsidRPr="0037628E" w:rsidP="00B279A8" w14:paraId="71DEB0D7" w14:textId="77777777">
            <w:pPr>
              <w:widowControl w:val="0"/>
              <w:autoSpaceDE w:val="0"/>
              <w:autoSpaceDN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215 East Ninth Street, Suite 500</w:t>
            </w:r>
          </w:p>
          <w:p w:rsidR="00AC7335" w:rsidRPr="0037628E" w:rsidP="00B279A8" w14:paraId="073325EA" w14:textId="77777777">
            <w:pPr>
              <w:widowControl w:val="0"/>
              <w:autoSpaceDE w:val="0"/>
              <w:autoSpaceDN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Cincinnati, OH 45202</w:t>
            </w:r>
          </w:p>
          <w:p w:rsidR="00AC7335" w:rsidRPr="0037628E" w:rsidP="00B279A8" w14:paraId="50423495" w14:textId="77777777">
            <w:pPr>
              <w:widowControl w:val="0"/>
              <w:autoSpaceDE w:val="0"/>
              <w:autoSpaceDN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Telephone: 513-362-2807</w:t>
            </w:r>
          </w:p>
          <w:p w:rsidR="00AC7335" w:rsidRPr="0037628E" w:rsidP="00B279A8" w14:paraId="16E82946" w14:textId="77777777">
            <w:pPr>
              <w:widowControl w:val="0"/>
              <w:autoSpaceDE w:val="0"/>
              <w:autoSpaceDN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Fax: 513-241-1187</w:t>
            </w:r>
          </w:p>
          <w:p w:rsidR="00AC7335" w:rsidRPr="0037628E" w:rsidP="00B279A8" w14:paraId="6384208B" w14:textId="77777777">
            <w:pPr>
              <w:widowControl w:val="0"/>
              <w:autoSpaceDE w:val="0"/>
              <w:autoSpaceDN w:val="0"/>
              <w:ind w:left="164"/>
              <w:rPr>
                <w:rFonts w:ascii="Times New Roman" w:eastAsia="Times New Roman" w:hAnsi="Times New Roman"/>
                <w:sz w:val="24"/>
                <w:szCs w:val="24"/>
                <w:lang w:val="en-US" w:eastAsia="en-US" w:bidi="ar-SA"/>
              </w:rPr>
            </w:pPr>
            <w:hyperlink r:id="rId9" w:history="1">
              <w:r w:rsidRPr="0037628E">
                <w:rPr>
                  <w:rFonts w:ascii="Times New Roman" w:eastAsia="Times New Roman" w:hAnsi="Times New Roman"/>
                  <w:color w:val="0000FF"/>
                  <w:sz w:val="24"/>
                  <w:szCs w:val="24"/>
                  <w:u w:val="single" w:color="0000FF"/>
                  <w:lang w:val="en-US" w:eastAsia="en-US" w:bidi="ar-SA"/>
                </w:rPr>
                <w:t>smoes@lascinti.org</w:t>
              </w:r>
            </w:hyperlink>
          </w:p>
          <w:p w:rsidR="00AC7335" w:rsidRPr="0037628E" w:rsidP="00B279A8" w14:paraId="5EE16496" w14:textId="77777777">
            <w:pPr>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(willing to accept service by e-mail)</w:t>
            </w:r>
          </w:p>
          <w:p w:rsidR="00AC7335" w:rsidRPr="0037628E" w:rsidP="00B279A8" w14:paraId="07DCC482" w14:textId="77777777">
            <w:pPr>
              <w:ind w:left="164"/>
              <w:rPr>
                <w:rFonts w:ascii="Times New Roman" w:eastAsia="Times New Roman" w:hAnsi="Times New Roman"/>
                <w:sz w:val="24"/>
                <w:szCs w:val="24"/>
                <w:lang w:val="en-US" w:eastAsia="en-US" w:bidi="ar-SA"/>
              </w:rPr>
            </w:pPr>
          </w:p>
          <w:p w:rsidR="00AC7335" w:rsidRPr="0037628E" w:rsidP="00B279A8" w14:paraId="3B6B65ED" w14:textId="447DB39B">
            <w:pPr>
              <w:ind w:left="164"/>
              <w:rPr>
                <w:rFonts w:ascii="Times New Roman" w:eastAsia="Times New Roman" w:hAnsi="Times New Roman"/>
                <w:i/>
                <w:iCs/>
                <w:sz w:val="24"/>
                <w:szCs w:val="24"/>
                <w:u w:val="single"/>
                <w:lang w:val="en-US" w:eastAsia="en-US" w:bidi="ar-SA"/>
              </w:rPr>
            </w:pPr>
            <w:r w:rsidRPr="0037628E">
              <w:rPr>
                <w:rFonts w:ascii="Times New Roman" w:eastAsia="Times New Roman" w:hAnsi="Times New Roman"/>
                <w:i/>
                <w:iCs/>
                <w:sz w:val="24"/>
                <w:szCs w:val="24"/>
                <w:u w:val="single"/>
                <w:lang w:val="en-US" w:eastAsia="en-US" w:bidi="ar-SA"/>
              </w:rPr>
              <w:t xml:space="preserve">/s/ </w:t>
            </w:r>
            <w:r w:rsidRPr="0037628E" w:rsidR="00F21BC7">
              <w:rPr>
                <w:rFonts w:ascii="Times New Roman" w:eastAsia="Times New Roman" w:hAnsi="Times New Roman"/>
                <w:i/>
                <w:iCs/>
                <w:sz w:val="24"/>
                <w:szCs w:val="24"/>
                <w:u w:val="single"/>
                <w:lang w:val="en-US" w:eastAsia="en-US" w:bidi="ar-SA"/>
              </w:rPr>
              <w:t>Susan Jagers</w:t>
            </w:r>
          </w:p>
          <w:p w:rsidR="00AC7335" w:rsidRPr="0037628E" w:rsidP="00B279A8" w14:paraId="2231FF81" w14:textId="77777777">
            <w:pPr>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Susan Jagers (0061678)</w:t>
            </w:r>
          </w:p>
          <w:p w:rsidR="00AC7335" w:rsidRPr="0037628E" w:rsidP="00B279A8" w14:paraId="7323B97F" w14:textId="77777777">
            <w:pPr>
              <w:ind w:left="164"/>
              <w:rPr>
                <w:rFonts w:ascii="Times New Roman" w:eastAsia="Times New Roman" w:hAnsi="Times New Roman"/>
                <w:b/>
                <w:bCs/>
                <w:sz w:val="24"/>
                <w:szCs w:val="24"/>
                <w:lang w:val="en-US" w:eastAsia="en-US" w:bidi="ar-SA"/>
              </w:rPr>
            </w:pPr>
            <w:r w:rsidRPr="0037628E">
              <w:rPr>
                <w:rFonts w:ascii="Times New Roman" w:eastAsia="Times New Roman" w:hAnsi="Times New Roman"/>
                <w:b/>
                <w:sz w:val="24"/>
                <w:szCs w:val="24"/>
                <w:lang w:val="en-US" w:eastAsia="en-US" w:bidi="ar-SA"/>
              </w:rPr>
              <w:t>Ohio Poverty Law Center</w:t>
            </w:r>
          </w:p>
          <w:p w:rsidR="00AC7335" w:rsidRPr="0037628E" w:rsidP="00B279A8" w14:paraId="3C9041D6" w14:textId="77777777">
            <w:pPr>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1108 City Park Ave. Suite 200</w:t>
            </w:r>
          </w:p>
          <w:p w:rsidR="00AC7335" w:rsidRPr="0037628E" w:rsidP="00B279A8" w14:paraId="053A7C99" w14:textId="77777777">
            <w:pPr>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Columbus, OH 43206</w:t>
            </w:r>
          </w:p>
          <w:p w:rsidR="00AC7335" w:rsidRPr="0037628E" w:rsidP="00B279A8" w14:paraId="2FCAA27F" w14:textId="77777777">
            <w:pPr>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Telephone: (614) 824-2501</w:t>
            </w:r>
          </w:p>
          <w:p w:rsidR="00AC7335" w:rsidRPr="0037628E" w:rsidP="00B279A8" w14:paraId="0BC89C5C" w14:textId="77777777">
            <w:pPr>
              <w:ind w:left="164"/>
              <w:rPr>
                <w:rFonts w:ascii="Times New Roman" w:eastAsia="Times New Roman" w:hAnsi="Times New Roman"/>
                <w:sz w:val="24"/>
                <w:szCs w:val="24"/>
                <w:lang w:val="en-US" w:eastAsia="en-US" w:bidi="ar-SA"/>
              </w:rPr>
            </w:pPr>
            <w:hyperlink r:id="rId10" w:history="1">
              <w:r w:rsidRPr="0037628E">
                <w:rPr>
                  <w:rStyle w:val="Hyperlink"/>
                  <w:rFonts w:ascii="Times New Roman" w:eastAsia="Times New Roman" w:hAnsi="Times New Roman" w:cs="Times New Roman"/>
                  <w:color w:val="0000FF"/>
                  <w:sz w:val="24"/>
                  <w:szCs w:val="24"/>
                  <w:u w:val="single"/>
                  <w:lang w:val="en-US" w:eastAsia="en-US" w:bidi="ar-SA"/>
                </w:rPr>
                <w:t>sjagers@ohiopovertylaw.org</w:t>
              </w:r>
            </w:hyperlink>
          </w:p>
          <w:p w:rsidR="00AC7335" w:rsidRPr="0037628E" w:rsidP="00B279A8" w14:paraId="2A232E12" w14:textId="77777777">
            <w:pPr>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(willing to accept service by e-mail)</w:t>
            </w:r>
          </w:p>
          <w:p w:rsidR="00AC7335" w:rsidRPr="0037628E" w:rsidP="00B279A8" w14:paraId="22AB284E" w14:textId="77777777">
            <w:pPr>
              <w:ind w:left="164"/>
              <w:rPr>
                <w:rFonts w:ascii="Times New Roman" w:eastAsia="Times New Roman" w:hAnsi="Times New Roman"/>
                <w:sz w:val="24"/>
                <w:szCs w:val="24"/>
                <w:lang w:val="en-US" w:eastAsia="en-US" w:bidi="ar-SA"/>
              </w:rPr>
            </w:pPr>
          </w:p>
          <w:p w:rsidR="00AC7335" w:rsidRPr="0037628E" w:rsidP="00B279A8" w14:paraId="1B3601EB" w14:textId="66DC27EB">
            <w:pPr>
              <w:autoSpaceDE w:val="0"/>
              <w:autoSpaceDN w:val="0"/>
              <w:adjustRightInd w:val="0"/>
              <w:ind w:left="164"/>
              <w:rPr>
                <w:rFonts w:ascii="Times New Roman" w:eastAsia="Times New Roman" w:hAnsi="Times New Roman"/>
                <w:i/>
                <w:iCs/>
                <w:sz w:val="24"/>
                <w:szCs w:val="24"/>
                <w:lang w:val="en-US" w:eastAsia="en-US" w:bidi="ar-SA"/>
              </w:rPr>
            </w:pPr>
            <w:r w:rsidRPr="0037628E">
              <w:rPr>
                <w:rFonts w:ascii="Times New Roman" w:eastAsia="Times New Roman" w:hAnsi="Times New Roman"/>
                <w:i/>
                <w:iCs/>
                <w:sz w:val="24"/>
                <w:szCs w:val="24"/>
                <w:lang w:val="en-US" w:eastAsia="en-US" w:bidi="ar-SA"/>
              </w:rPr>
              <w:t>/</w:t>
            </w:r>
            <w:r w:rsidRPr="0037628E">
              <w:rPr>
                <w:rFonts w:ascii="Times New Roman" w:eastAsia="Times New Roman" w:hAnsi="Times New Roman"/>
                <w:i/>
                <w:iCs/>
                <w:sz w:val="24"/>
                <w:szCs w:val="24"/>
                <w:u w:val="single"/>
                <w:lang w:val="en-US" w:eastAsia="en-US" w:bidi="ar-SA"/>
              </w:rPr>
              <w:t xml:space="preserve">s/ </w:t>
            </w:r>
            <w:r w:rsidRPr="0037628E" w:rsidR="00F21BC7">
              <w:rPr>
                <w:rFonts w:ascii="Times New Roman" w:eastAsia="Times New Roman" w:hAnsi="Times New Roman"/>
                <w:i/>
                <w:iCs/>
                <w:sz w:val="24"/>
                <w:szCs w:val="24"/>
                <w:u w:val="single"/>
                <w:lang w:val="en-US" w:eastAsia="en-US" w:bidi="ar-SA"/>
              </w:rPr>
              <w:t>Michael Walters</w:t>
            </w:r>
          </w:p>
          <w:p w:rsidR="00AC7335" w:rsidRPr="0037628E" w:rsidP="00B279A8" w14:paraId="01F45616" w14:textId="77777777">
            <w:pPr>
              <w:autoSpaceDE w:val="0"/>
              <w:autoSpaceDN w:val="0"/>
              <w:adjustRightInd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Michael Walters (0068921)</w:t>
            </w:r>
          </w:p>
          <w:p w:rsidR="00AC7335" w:rsidRPr="0037628E" w:rsidP="00B279A8" w14:paraId="159748EF" w14:textId="77777777">
            <w:pPr>
              <w:autoSpaceDE w:val="0"/>
              <w:autoSpaceDN w:val="0"/>
              <w:adjustRightInd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Legal Helpline Managing Attorney</w:t>
            </w:r>
          </w:p>
          <w:p w:rsidR="00AC7335" w:rsidRPr="0037628E" w:rsidP="00B279A8" w14:paraId="67D5C27B" w14:textId="77777777">
            <w:pPr>
              <w:autoSpaceDE w:val="0"/>
              <w:autoSpaceDN w:val="0"/>
              <w:adjustRightInd w:val="0"/>
              <w:ind w:left="164"/>
              <w:rPr>
                <w:rFonts w:ascii="Times New Roman" w:eastAsia="Times New Roman" w:hAnsi="Times New Roman"/>
                <w:b/>
                <w:bCs/>
                <w:sz w:val="24"/>
                <w:szCs w:val="24"/>
                <w:lang w:val="en-US" w:eastAsia="en-US" w:bidi="ar-SA"/>
              </w:rPr>
            </w:pPr>
            <w:r w:rsidRPr="0037628E">
              <w:rPr>
                <w:rFonts w:ascii="Times New Roman" w:eastAsia="Times New Roman" w:hAnsi="Times New Roman"/>
                <w:b/>
                <w:sz w:val="24"/>
                <w:szCs w:val="24"/>
                <w:lang w:val="en-US" w:eastAsia="en-US" w:bidi="ar-SA"/>
              </w:rPr>
              <w:t>Pro Seniors, Inc.</w:t>
            </w:r>
          </w:p>
          <w:p w:rsidR="00AC7335" w:rsidRPr="0037628E" w:rsidP="00B279A8" w14:paraId="0E92C85F" w14:textId="77777777">
            <w:pPr>
              <w:autoSpaceDE w:val="0"/>
              <w:autoSpaceDN w:val="0"/>
              <w:adjustRightInd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7162 Reading Road, Suite 1150</w:t>
            </w:r>
          </w:p>
          <w:p w:rsidR="00AC7335" w:rsidRPr="0037628E" w:rsidP="00B279A8" w14:paraId="301D9644" w14:textId="77777777">
            <w:pPr>
              <w:autoSpaceDE w:val="0"/>
              <w:autoSpaceDN w:val="0"/>
              <w:adjustRightInd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Cincinnati, Ohio 45237</w:t>
            </w:r>
          </w:p>
          <w:p w:rsidR="00AC7335" w:rsidRPr="0037628E" w:rsidP="00B279A8" w14:paraId="7A1A798E" w14:textId="77777777">
            <w:pPr>
              <w:autoSpaceDE w:val="0"/>
              <w:autoSpaceDN w:val="0"/>
              <w:adjustRightInd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Telephone: (513) 458-5532</w:t>
            </w:r>
          </w:p>
          <w:p w:rsidR="00AC7335" w:rsidRPr="0037628E" w:rsidP="00B279A8" w14:paraId="64B62808" w14:textId="77777777">
            <w:pPr>
              <w:autoSpaceDE w:val="0"/>
              <w:autoSpaceDN w:val="0"/>
              <w:adjustRightInd w:val="0"/>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Facsimile: (513) 345-4162</w:t>
            </w:r>
          </w:p>
          <w:p w:rsidR="00AC7335" w:rsidRPr="0037628E" w:rsidP="00B279A8" w14:paraId="3B2AA707" w14:textId="77777777">
            <w:pPr>
              <w:autoSpaceDE w:val="0"/>
              <w:autoSpaceDN w:val="0"/>
              <w:adjustRightInd w:val="0"/>
              <w:ind w:left="164"/>
              <w:rPr>
                <w:rFonts w:ascii="Times New Roman" w:eastAsia="Times New Roman" w:hAnsi="Times New Roman"/>
                <w:color w:val="0000FF"/>
                <w:sz w:val="24"/>
                <w:szCs w:val="24"/>
                <w:u w:val="single"/>
                <w:lang w:val="en-US" w:eastAsia="en-US" w:bidi="ar-SA"/>
              </w:rPr>
            </w:pPr>
            <w:r w:rsidRPr="0037628E">
              <w:rPr>
                <w:rFonts w:ascii="Times New Roman" w:eastAsia="Times New Roman" w:hAnsi="Times New Roman"/>
                <w:color w:val="0000FF"/>
                <w:sz w:val="24"/>
                <w:szCs w:val="24"/>
                <w:u w:val="single"/>
                <w:lang w:val="en-US" w:eastAsia="en-US" w:bidi="ar-SA"/>
              </w:rPr>
              <w:t>mwalters@proseniors.org</w:t>
            </w:r>
          </w:p>
          <w:p w:rsidR="00AC7335" w:rsidRPr="0037628E" w:rsidP="00B279A8" w14:paraId="6E569580" w14:textId="77777777">
            <w:pPr>
              <w:ind w:left="164"/>
              <w:rPr>
                <w:rFonts w:ascii="Times New Roman" w:eastAsia="Times New Roman" w:hAnsi="Times New Roman"/>
                <w:sz w:val="24"/>
                <w:szCs w:val="24"/>
                <w:lang w:val="en-US" w:eastAsia="en-US" w:bidi="ar-SA"/>
              </w:rPr>
            </w:pPr>
            <w:r w:rsidRPr="0037628E">
              <w:rPr>
                <w:rFonts w:ascii="Times New Roman" w:eastAsia="Times New Roman" w:hAnsi="Times New Roman"/>
                <w:sz w:val="24"/>
                <w:szCs w:val="24"/>
                <w:lang w:val="en-US" w:eastAsia="en-US" w:bidi="ar-SA"/>
              </w:rPr>
              <w:t>(willing to accept service by e-mail)</w:t>
            </w:r>
          </w:p>
        </w:tc>
      </w:tr>
    </w:tbl>
    <w:p w:rsidR="00D6363D" w:rsidRPr="0037628E" w14:paraId="368EB8D0" w14:textId="77777777">
      <w:pPr>
        <w:rPr>
          <w:bCs/>
          <w:szCs w:val="24"/>
        </w:rPr>
      </w:pPr>
      <w:r w:rsidRPr="0037628E">
        <w:rPr>
          <w:bCs/>
          <w:szCs w:val="24"/>
        </w:rPr>
        <w:br w:type="page"/>
      </w:r>
    </w:p>
    <w:p w:rsidR="00DF4F73" w:rsidRPr="0037628E" w:rsidP="00DF4F73" w14:paraId="4FD6114B" w14:textId="5B7F1D2A">
      <w:pPr>
        <w:autoSpaceDE w:val="0"/>
        <w:autoSpaceDN w:val="0"/>
        <w:adjustRightInd w:val="0"/>
        <w:jc w:val="center"/>
        <w:rPr>
          <w:b/>
          <w:szCs w:val="24"/>
          <w:u w:val="single"/>
        </w:rPr>
      </w:pPr>
      <w:r w:rsidRPr="0037628E">
        <w:rPr>
          <w:b/>
          <w:szCs w:val="24"/>
          <w:u w:val="single"/>
        </w:rPr>
        <w:t>C</w:t>
      </w:r>
      <w:r w:rsidRPr="0037628E" w:rsidR="00183677">
        <w:rPr>
          <w:b/>
          <w:szCs w:val="24"/>
          <w:u w:val="single"/>
        </w:rPr>
        <w:t>ERTIFICATE OF SERVICE</w:t>
      </w:r>
    </w:p>
    <w:p w:rsidR="00DF4F73" w:rsidRPr="0037628E" w:rsidP="00DF4F73" w14:paraId="62623BEB" w14:textId="77777777">
      <w:pPr>
        <w:autoSpaceDE w:val="0"/>
        <w:autoSpaceDN w:val="0"/>
        <w:adjustRightInd w:val="0"/>
        <w:jc w:val="center"/>
        <w:rPr>
          <w:b/>
          <w:szCs w:val="24"/>
        </w:rPr>
      </w:pPr>
    </w:p>
    <w:p w:rsidR="00BF6756" w:rsidRPr="0037628E" w:rsidP="00BD5612" w14:paraId="023AF398" w14:textId="63971CAA">
      <w:pPr>
        <w:spacing w:line="480" w:lineRule="auto"/>
        <w:ind w:firstLine="720"/>
        <w:rPr>
          <w:szCs w:val="24"/>
        </w:rPr>
      </w:pPr>
      <w:r w:rsidRPr="0037628E">
        <w:rPr>
          <w:szCs w:val="24"/>
        </w:rPr>
        <w:t xml:space="preserve">I hereby certify that a copy of </w:t>
      </w:r>
      <w:r w:rsidRPr="0037628E" w:rsidR="00B2094F">
        <w:rPr>
          <w:szCs w:val="24"/>
        </w:rPr>
        <w:t>this</w:t>
      </w:r>
      <w:r w:rsidRPr="0037628E" w:rsidR="00B61931">
        <w:rPr>
          <w:szCs w:val="24"/>
        </w:rPr>
        <w:t xml:space="preserve"> </w:t>
      </w:r>
      <w:r w:rsidRPr="0037628E" w:rsidR="005663C8">
        <w:rPr>
          <w:bCs/>
          <w:szCs w:val="24"/>
        </w:rPr>
        <w:t xml:space="preserve">Memorandum Contra Duke’s Application for Clarification and Rehearing </w:t>
      </w:r>
      <w:r w:rsidRPr="0037628E" w:rsidR="008C679D">
        <w:rPr>
          <w:szCs w:val="24"/>
        </w:rPr>
        <w:t xml:space="preserve">was </w:t>
      </w:r>
      <w:r w:rsidRPr="0037628E" w:rsidR="00183677">
        <w:rPr>
          <w:szCs w:val="24"/>
        </w:rPr>
        <w:t xml:space="preserve">served </w:t>
      </w:r>
      <w:r w:rsidRPr="0037628E" w:rsidR="008C679D">
        <w:rPr>
          <w:szCs w:val="24"/>
        </w:rPr>
        <w:t>on the persons stated below via electronic transmission,</w:t>
      </w:r>
      <w:r w:rsidRPr="0037628E" w:rsidR="00183677">
        <w:rPr>
          <w:szCs w:val="24"/>
        </w:rPr>
        <w:t xml:space="preserve"> this</w:t>
      </w:r>
      <w:r w:rsidRPr="0037628E" w:rsidR="00825B82">
        <w:rPr>
          <w:szCs w:val="24"/>
          <w:vertAlign w:val="superscript"/>
        </w:rPr>
        <w:t xml:space="preserve"> </w:t>
      </w:r>
      <w:r w:rsidRPr="0037628E" w:rsidR="005663C8">
        <w:rPr>
          <w:szCs w:val="24"/>
        </w:rPr>
        <w:t>24</w:t>
      </w:r>
      <w:r w:rsidRPr="0037628E" w:rsidR="006902F9">
        <w:rPr>
          <w:szCs w:val="24"/>
          <w:vertAlign w:val="superscript"/>
        </w:rPr>
        <w:t>th</w:t>
      </w:r>
      <w:r w:rsidRPr="0037628E" w:rsidR="006902F9">
        <w:rPr>
          <w:szCs w:val="24"/>
        </w:rPr>
        <w:t xml:space="preserve"> </w:t>
      </w:r>
      <w:r w:rsidRPr="0037628E" w:rsidR="006166B6">
        <w:rPr>
          <w:szCs w:val="24"/>
        </w:rPr>
        <w:t xml:space="preserve">day of </w:t>
      </w:r>
      <w:r w:rsidRPr="0037628E" w:rsidR="00996892">
        <w:rPr>
          <w:szCs w:val="24"/>
        </w:rPr>
        <w:t>Ju</w:t>
      </w:r>
      <w:r w:rsidRPr="0037628E" w:rsidR="00825B82">
        <w:rPr>
          <w:szCs w:val="24"/>
        </w:rPr>
        <w:t>ly</w:t>
      </w:r>
      <w:r w:rsidRPr="0037628E" w:rsidR="000955E5">
        <w:rPr>
          <w:szCs w:val="24"/>
        </w:rPr>
        <w:t xml:space="preserve"> 2023</w:t>
      </w:r>
      <w:r w:rsidRPr="0037628E" w:rsidR="00183677">
        <w:rPr>
          <w:szCs w:val="24"/>
        </w:rPr>
        <w:t>.</w:t>
      </w:r>
    </w:p>
    <w:p w:rsidR="00BD5612" w:rsidRPr="0037628E" w:rsidP="00BD5612" w14:paraId="79CD58E4" w14:textId="2AA4C9B9">
      <w:pPr>
        <w:tabs>
          <w:tab w:val="left" w:pos="4320"/>
        </w:tabs>
        <w:ind w:left="4680"/>
        <w:rPr>
          <w:rFonts w:eastAsia="Times New Roman"/>
          <w:i/>
          <w:iCs/>
          <w:szCs w:val="24"/>
          <w:u w:val="single"/>
        </w:rPr>
      </w:pPr>
      <w:r w:rsidRPr="0037628E">
        <w:rPr>
          <w:rFonts w:eastAsia="Times New Roman"/>
          <w:i/>
          <w:iCs/>
          <w:szCs w:val="24"/>
          <w:u w:val="single"/>
        </w:rPr>
        <w:t xml:space="preserve">/s/ </w:t>
      </w:r>
      <w:r w:rsidRPr="0037628E" w:rsidR="00D04C48">
        <w:rPr>
          <w:rFonts w:eastAsia="Times New Roman"/>
          <w:i/>
          <w:iCs/>
          <w:szCs w:val="24"/>
          <w:u w:val="single"/>
        </w:rPr>
        <w:t>Angela D. O’Brien</w:t>
      </w:r>
    </w:p>
    <w:p w:rsidR="00BD5612" w:rsidRPr="0037628E" w:rsidP="00BD5612" w14:paraId="55D82068" w14:textId="081E4BFA">
      <w:pPr>
        <w:ind w:left="4680"/>
        <w:rPr>
          <w:rFonts w:eastAsia="Times New Roman"/>
          <w:szCs w:val="24"/>
        </w:rPr>
      </w:pPr>
      <w:r w:rsidRPr="0037628E">
        <w:rPr>
          <w:rFonts w:eastAsia="Times New Roman"/>
          <w:szCs w:val="24"/>
        </w:rPr>
        <w:t>A</w:t>
      </w:r>
      <w:r w:rsidRPr="0037628E" w:rsidR="00D04C48">
        <w:rPr>
          <w:rFonts w:eastAsia="Times New Roman"/>
          <w:szCs w:val="24"/>
        </w:rPr>
        <w:t>ngela D. O’Brien</w:t>
      </w:r>
    </w:p>
    <w:p w:rsidR="00BF6756" w:rsidRPr="0037628E" w:rsidP="00BD5612" w14:paraId="1E1A4F75" w14:textId="57A2E14D">
      <w:pPr>
        <w:ind w:left="4680"/>
        <w:rPr>
          <w:rFonts w:eastAsia="Times New Roman"/>
          <w:szCs w:val="24"/>
        </w:rPr>
      </w:pPr>
      <w:r w:rsidRPr="0037628E">
        <w:rPr>
          <w:rFonts w:eastAsia="Times New Roman"/>
          <w:szCs w:val="24"/>
        </w:rPr>
        <w:t>Deputy</w:t>
      </w:r>
      <w:r w:rsidRPr="0037628E" w:rsidR="00701178">
        <w:rPr>
          <w:rFonts w:eastAsia="Times New Roman"/>
          <w:szCs w:val="24"/>
        </w:rPr>
        <w:t xml:space="preserve"> Consumers’ Counsel</w:t>
      </w:r>
    </w:p>
    <w:p w:rsidR="00BD5612" w:rsidRPr="0037628E" w:rsidP="00BD5612" w14:paraId="318FEC06" w14:textId="77777777">
      <w:pPr>
        <w:ind w:left="4680"/>
        <w:rPr>
          <w:rFonts w:eastAsia="Times New Roman"/>
          <w:szCs w:val="24"/>
        </w:rPr>
      </w:pPr>
    </w:p>
    <w:p w:rsidR="005F4DE3" w:rsidRPr="0037628E" w:rsidP="005F4DE3" w14:paraId="47370B70" w14:textId="0F7F34D4">
      <w:pPr>
        <w:rPr>
          <w:szCs w:val="24"/>
        </w:rPr>
      </w:pPr>
      <w:r w:rsidRPr="0037628E">
        <w:rPr>
          <w:szCs w:val="24"/>
        </w:rPr>
        <w:t>The PUCO’s e-filing system will electronically serve notice of the filing of this document on the following parties:</w:t>
      </w:r>
    </w:p>
    <w:p w:rsidR="00835D91" w:rsidRPr="0037628E" w:rsidP="00835D91" w14:paraId="1E55BD90" w14:textId="77777777">
      <w:pPr>
        <w:tabs>
          <w:tab w:val="left" w:pos="4320"/>
        </w:tabs>
        <w:jc w:val="center"/>
        <w:rPr>
          <w:rFonts w:eastAsia="Times New Roman"/>
          <w:b/>
          <w:szCs w:val="24"/>
          <w:u w:val="single"/>
        </w:rPr>
      </w:pPr>
    </w:p>
    <w:p w:rsidR="00835D91" w:rsidRPr="0037628E" w:rsidP="00835D91" w14:paraId="5A55EC97" w14:textId="77777777">
      <w:pPr>
        <w:jc w:val="center"/>
        <w:rPr>
          <w:rFonts w:eastAsia="Times New Roman"/>
          <w:b/>
          <w:szCs w:val="24"/>
          <w:u w:val="single"/>
        </w:rPr>
      </w:pPr>
      <w:r w:rsidRPr="0037628E">
        <w:rPr>
          <w:rFonts w:eastAsia="Times New Roman"/>
          <w:b/>
          <w:szCs w:val="24"/>
          <w:u w:val="single"/>
        </w:rPr>
        <w:t>SERVICE LIST</w:t>
      </w:r>
    </w:p>
    <w:p w:rsidR="00FE6D04" w:rsidRPr="0037628E" w:rsidP="00835D91" w14:paraId="6FBA3345" w14:textId="77777777">
      <w:pPr>
        <w:jc w:val="center"/>
        <w:rPr>
          <w:rFonts w:eastAsia="Times New Roman"/>
          <w:b/>
          <w:szCs w:val="24"/>
          <w:u w:val="single"/>
        </w:rPr>
      </w:pPr>
    </w:p>
    <w:tbl>
      <w:tblPr>
        <w:tblW w:w="0" w:type="auto"/>
        <w:tblInd w:w="0" w:type="dxa"/>
        <w:tblCellMar>
          <w:top w:w="0" w:type="dxa"/>
          <w:left w:w="108" w:type="dxa"/>
          <w:bottom w:w="0" w:type="dxa"/>
          <w:right w:w="108" w:type="dxa"/>
        </w:tblCellMar>
        <w:tblLook w:val="04A0"/>
      </w:tblPr>
      <w:tblGrid>
        <w:gridCol w:w="4235"/>
        <w:gridCol w:w="4405"/>
      </w:tblGrid>
      <w:tr w14:paraId="51760F57" w14:textId="77777777" w:rsidTr="009A414B">
        <w:tblPrEx>
          <w:tblW w:w="0" w:type="auto"/>
          <w:tblInd w:w="0" w:type="dxa"/>
          <w:tblCellMar>
            <w:top w:w="0" w:type="dxa"/>
            <w:left w:w="108" w:type="dxa"/>
            <w:bottom w:w="0" w:type="dxa"/>
            <w:right w:w="108" w:type="dxa"/>
          </w:tblCellMar>
          <w:tblLook w:val="04A0"/>
        </w:tblPrEx>
        <w:tc>
          <w:tcPr>
            <w:tcW w:w="4428" w:type="dxa"/>
            <w:shd w:val="clear" w:color="auto" w:fill="auto"/>
          </w:tcPr>
          <w:p w:rsidR="00FE6D04" w:rsidRPr="0037628E" w:rsidP="00FE6D04" w14:paraId="1131283D" w14:textId="77777777">
            <w:pPr>
              <w:rPr>
                <w:rFonts w:ascii="Times New Roman" w:eastAsia="Times New Roman" w:hAnsi="Times New Roman"/>
                <w:bCs/>
                <w:color w:val="0000FF"/>
                <w:sz w:val="24"/>
                <w:szCs w:val="24"/>
                <w:u w:val="single"/>
                <w:lang w:val="en-US" w:eastAsia="en-US" w:bidi="ar-SA"/>
              </w:rPr>
            </w:pPr>
            <w:hyperlink r:id="rId11" w:history="1">
              <w:r w:rsidRPr="0037628E" w:rsidR="001902C5">
                <w:rPr>
                  <w:rFonts w:ascii="Times New Roman" w:eastAsia="Times New Roman" w:hAnsi="Times New Roman"/>
                  <w:bCs/>
                  <w:color w:val="0000FF"/>
                  <w:sz w:val="24"/>
                  <w:szCs w:val="24"/>
                  <w:u w:val="single"/>
                  <w:lang w:val="en-US" w:eastAsia="en-US" w:bidi="ar-SA"/>
                </w:rPr>
                <w:t>j</w:t>
              </w:r>
              <w:r w:rsidRPr="0037628E" w:rsidR="001902C5">
                <w:rPr>
                  <w:rFonts w:ascii="Times New Roman" w:eastAsia="Times New Roman" w:hAnsi="Times New Roman"/>
                  <w:color w:val="0000FF"/>
                  <w:sz w:val="24"/>
                  <w:szCs w:val="24"/>
                  <w:u w:val="single"/>
                  <w:lang w:val="en-US" w:eastAsia="en-US" w:bidi="ar-SA"/>
                </w:rPr>
                <w:t>ohn</w:t>
              </w:r>
              <w:r w:rsidRPr="0037628E" w:rsidR="001902C5">
                <w:rPr>
                  <w:rFonts w:ascii="Times New Roman" w:eastAsia="Times New Roman" w:hAnsi="Times New Roman"/>
                  <w:bCs/>
                  <w:color w:val="0000FF"/>
                  <w:sz w:val="24"/>
                  <w:szCs w:val="24"/>
                  <w:u w:val="single"/>
                  <w:lang w:val="en-US" w:eastAsia="en-US" w:bidi="ar-SA"/>
                </w:rPr>
                <w:t>.j</w:t>
              </w:r>
              <w:r w:rsidRPr="0037628E" w:rsidR="001902C5">
                <w:rPr>
                  <w:rFonts w:ascii="Times New Roman" w:eastAsia="Times New Roman" w:hAnsi="Times New Roman"/>
                  <w:color w:val="0000FF"/>
                  <w:sz w:val="24"/>
                  <w:szCs w:val="24"/>
                  <w:u w:val="single"/>
                  <w:lang w:val="en-US" w:eastAsia="en-US" w:bidi="ar-SA"/>
                </w:rPr>
                <w:t>ones</w:t>
              </w:r>
              <w:r w:rsidRPr="0037628E" w:rsidR="001902C5">
                <w:rPr>
                  <w:rFonts w:ascii="Times New Roman" w:eastAsia="Times New Roman" w:hAnsi="Times New Roman"/>
                  <w:bCs/>
                  <w:color w:val="0000FF"/>
                  <w:sz w:val="24"/>
                  <w:szCs w:val="24"/>
                  <w:u w:val="single"/>
                  <w:lang w:val="en-US" w:eastAsia="en-US" w:bidi="ar-SA"/>
                </w:rPr>
                <w:t>@ohioAGO.gov</w:t>
              </w:r>
            </w:hyperlink>
          </w:p>
          <w:p w:rsidR="00FE6D04" w:rsidRPr="0037628E" w:rsidP="00FE6D04" w14:paraId="25E1719F" w14:textId="77777777">
            <w:pPr>
              <w:rPr>
                <w:rFonts w:ascii="Times New Roman" w:eastAsia="Times New Roman" w:hAnsi="Times New Roman"/>
                <w:bCs/>
                <w:sz w:val="24"/>
                <w:szCs w:val="24"/>
                <w:lang w:val="en-US" w:eastAsia="en-US" w:bidi="ar-SA"/>
              </w:rPr>
            </w:pPr>
            <w:hyperlink r:id="rId12" w:history="1">
              <w:r w:rsidRPr="0037628E" w:rsidR="001902C5">
                <w:rPr>
                  <w:rFonts w:ascii="Times New Roman" w:eastAsia="Times New Roman" w:hAnsi="Times New Roman"/>
                  <w:bCs/>
                  <w:color w:val="0000FF"/>
                  <w:sz w:val="24"/>
                  <w:szCs w:val="24"/>
                  <w:u w:val="single"/>
                  <w:lang w:val="en-US" w:eastAsia="en-US" w:bidi="ar-SA"/>
                </w:rPr>
                <w:t>josephclark@nisource.com</w:t>
              </w:r>
            </w:hyperlink>
          </w:p>
          <w:p w:rsidR="00FE6D04" w:rsidRPr="0037628E" w:rsidP="00FE6D04" w14:paraId="54D0A2D9" w14:textId="77777777">
            <w:pPr>
              <w:rPr>
                <w:rFonts w:ascii="Times New Roman" w:eastAsia="Times New Roman" w:hAnsi="Times New Roman"/>
                <w:bCs/>
                <w:sz w:val="24"/>
                <w:szCs w:val="24"/>
                <w:lang w:val="en-US" w:eastAsia="en-US" w:bidi="ar-SA"/>
              </w:rPr>
            </w:pPr>
            <w:hyperlink r:id="rId13" w:history="1">
              <w:r w:rsidRPr="0037628E" w:rsidR="001902C5">
                <w:rPr>
                  <w:rFonts w:ascii="Times New Roman" w:eastAsia="Times New Roman" w:hAnsi="Times New Roman"/>
                  <w:bCs/>
                  <w:color w:val="0000FF"/>
                  <w:sz w:val="24"/>
                  <w:szCs w:val="24"/>
                  <w:u w:val="single"/>
                  <w:lang w:val="en-US" w:eastAsia="en-US" w:bidi="ar-SA"/>
                </w:rPr>
                <w:t>johnryan@nisource.com</w:t>
              </w:r>
            </w:hyperlink>
          </w:p>
          <w:p w:rsidR="00FE6D04" w:rsidRPr="0037628E" w:rsidP="00FE6D04" w14:paraId="6304409D" w14:textId="77777777">
            <w:pPr>
              <w:rPr>
                <w:rFonts w:ascii="Times New Roman" w:eastAsia="Times New Roman" w:hAnsi="Times New Roman"/>
                <w:bCs/>
                <w:sz w:val="24"/>
                <w:szCs w:val="24"/>
                <w:lang w:val="en-US" w:eastAsia="en-US" w:bidi="ar-SA"/>
              </w:rPr>
            </w:pPr>
            <w:hyperlink r:id="rId14" w:history="1">
              <w:r w:rsidRPr="0037628E" w:rsidR="001902C5">
                <w:rPr>
                  <w:rFonts w:ascii="Times New Roman" w:eastAsia="Times New Roman" w:hAnsi="Times New Roman"/>
                  <w:bCs/>
                  <w:color w:val="0000FF"/>
                  <w:sz w:val="24"/>
                  <w:szCs w:val="24"/>
                  <w:u w:val="single"/>
                  <w:lang w:val="en-US" w:eastAsia="en-US" w:bidi="ar-SA"/>
                </w:rPr>
                <w:t>christopher.hollon@aes.com</w:t>
              </w:r>
            </w:hyperlink>
          </w:p>
          <w:p w:rsidR="00FE6D04" w:rsidRPr="0037628E" w:rsidP="00FE6D04" w14:paraId="352FA273" w14:textId="77777777">
            <w:pPr>
              <w:rPr>
                <w:rFonts w:ascii="Times New Roman" w:eastAsia="Times New Roman" w:hAnsi="Times New Roman"/>
                <w:bCs/>
                <w:sz w:val="24"/>
                <w:szCs w:val="24"/>
                <w:lang w:val="en-US" w:eastAsia="en-US" w:bidi="ar-SA"/>
              </w:rPr>
            </w:pPr>
          </w:p>
          <w:p w:rsidR="00FE6D04" w:rsidRPr="0037628E" w:rsidP="00FE6D04" w14:paraId="7F77E054" w14:textId="77777777">
            <w:pPr>
              <w:rPr>
                <w:rFonts w:ascii="Times New Roman" w:eastAsia="Times New Roman" w:hAnsi="Times New Roman"/>
                <w:bCs/>
                <w:sz w:val="24"/>
                <w:szCs w:val="24"/>
                <w:lang w:val="en-US" w:eastAsia="en-US" w:bidi="ar-SA"/>
              </w:rPr>
            </w:pPr>
            <w:r w:rsidRPr="0037628E">
              <w:rPr>
                <w:rFonts w:ascii="Times New Roman" w:eastAsia="Times New Roman" w:hAnsi="Times New Roman"/>
                <w:bCs/>
                <w:sz w:val="24"/>
                <w:szCs w:val="24"/>
                <w:lang w:val="en-US" w:eastAsia="en-US" w:bidi="ar-SA"/>
              </w:rPr>
              <w:t>Attorney Examiner:</w:t>
            </w:r>
          </w:p>
          <w:p w:rsidR="00FE6D04" w:rsidRPr="0037628E" w:rsidP="00FE6D04" w14:paraId="34E5EC74" w14:textId="77777777">
            <w:pPr>
              <w:rPr>
                <w:rFonts w:ascii="Times New Roman" w:eastAsia="Times New Roman" w:hAnsi="Times New Roman"/>
                <w:bCs/>
                <w:sz w:val="24"/>
                <w:szCs w:val="24"/>
                <w:lang w:val="en-US" w:eastAsia="en-US" w:bidi="ar-SA"/>
              </w:rPr>
            </w:pPr>
            <w:hyperlink r:id="rId15" w:history="1">
              <w:r w:rsidRPr="0037628E" w:rsidR="001902C5">
                <w:rPr>
                  <w:rFonts w:ascii="Times New Roman" w:eastAsia="Times New Roman" w:hAnsi="Times New Roman"/>
                  <w:bCs/>
                  <w:color w:val="0000FF"/>
                  <w:sz w:val="24"/>
                  <w:szCs w:val="24"/>
                  <w:u w:val="single"/>
                  <w:lang w:val="en-US" w:eastAsia="en-US" w:bidi="ar-SA"/>
                </w:rPr>
                <w:t>james.lynn@puco.ohio.gov</w:t>
              </w:r>
            </w:hyperlink>
          </w:p>
          <w:p w:rsidR="00FE6D04" w:rsidRPr="0037628E" w:rsidP="00FE6D04" w14:paraId="73ACF461" w14:textId="77777777">
            <w:pPr>
              <w:rPr>
                <w:rFonts w:ascii="Times New Roman" w:eastAsia="Times New Roman" w:hAnsi="Times New Roman"/>
                <w:bCs/>
                <w:sz w:val="24"/>
                <w:szCs w:val="24"/>
                <w:lang w:val="en-US" w:eastAsia="en-US" w:bidi="ar-SA"/>
              </w:rPr>
            </w:pPr>
          </w:p>
          <w:p w:rsidR="00FE6D04" w:rsidRPr="0037628E" w:rsidP="00FE6D04" w14:paraId="4D283010" w14:textId="77777777">
            <w:pPr>
              <w:rPr>
                <w:rFonts w:ascii="Times New Roman" w:eastAsia="Times New Roman" w:hAnsi="Times New Roman"/>
                <w:bCs/>
                <w:sz w:val="24"/>
                <w:szCs w:val="24"/>
                <w:lang w:val="en-US" w:eastAsia="en-US" w:bidi="ar-SA"/>
              </w:rPr>
            </w:pPr>
          </w:p>
          <w:p w:rsidR="00FE6D04" w:rsidRPr="0037628E" w:rsidP="00FE6D04" w14:paraId="19C8B559" w14:textId="77777777">
            <w:pPr>
              <w:rPr>
                <w:rFonts w:ascii="Times New Roman" w:eastAsia="Times New Roman" w:hAnsi="Times New Roman"/>
                <w:bCs/>
                <w:sz w:val="24"/>
                <w:szCs w:val="24"/>
                <w:lang w:val="en-US" w:eastAsia="en-US" w:bidi="ar-SA"/>
              </w:rPr>
            </w:pPr>
          </w:p>
          <w:p w:rsidR="00FE6D04" w:rsidRPr="0037628E" w:rsidP="00FE6D04" w14:paraId="43E1E183" w14:textId="77777777">
            <w:pPr>
              <w:rPr>
                <w:rFonts w:ascii="Times New Roman" w:eastAsia="Times New Roman" w:hAnsi="Times New Roman"/>
                <w:bCs/>
                <w:sz w:val="24"/>
                <w:szCs w:val="24"/>
                <w:lang w:val="en-US" w:eastAsia="en-US" w:bidi="ar-SA"/>
              </w:rPr>
            </w:pPr>
          </w:p>
        </w:tc>
        <w:tc>
          <w:tcPr>
            <w:tcW w:w="4428" w:type="dxa"/>
            <w:shd w:val="clear" w:color="auto" w:fill="auto"/>
          </w:tcPr>
          <w:p w:rsidR="00FE6D04" w:rsidRPr="0037628E" w:rsidP="00FE6D04" w14:paraId="4B9531AF" w14:textId="77777777">
            <w:pPr>
              <w:rPr>
                <w:rFonts w:ascii="Times New Roman" w:eastAsia="Times New Roman" w:hAnsi="Times New Roman"/>
                <w:bCs/>
                <w:sz w:val="24"/>
                <w:szCs w:val="24"/>
                <w:lang w:val="en-US" w:eastAsia="en-US" w:bidi="ar-SA"/>
              </w:rPr>
            </w:pPr>
            <w:hyperlink r:id="rId16" w:history="1">
              <w:r w:rsidRPr="0037628E" w:rsidR="001902C5">
                <w:rPr>
                  <w:rFonts w:ascii="Times New Roman" w:eastAsia="Times New Roman" w:hAnsi="Times New Roman"/>
                  <w:bCs/>
                  <w:color w:val="0000FF"/>
                  <w:sz w:val="24"/>
                  <w:szCs w:val="24"/>
                  <w:u w:val="single"/>
                  <w:lang w:val="en-US" w:eastAsia="en-US" w:bidi="ar-SA"/>
                </w:rPr>
                <w:t>rdove@keglerbrown.com</w:t>
              </w:r>
            </w:hyperlink>
          </w:p>
          <w:p w:rsidR="00FE6D04" w:rsidRPr="0037628E" w:rsidP="00FE6D04" w14:paraId="359FF146" w14:textId="77777777">
            <w:pPr>
              <w:rPr>
                <w:rFonts w:ascii="Times New Roman" w:eastAsia="Times New Roman" w:hAnsi="Times New Roman"/>
                <w:bCs/>
                <w:sz w:val="24"/>
                <w:szCs w:val="24"/>
                <w:lang w:val="en-US" w:eastAsia="en-US" w:bidi="ar-SA"/>
              </w:rPr>
            </w:pPr>
            <w:hyperlink r:id="rId17" w:history="1">
              <w:r w:rsidRPr="0037628E" w:rsidR="001902C5">
                <w:rPr>
                  <w:rFonts w:ascii="Times New Roman" w:eastAsia="Times New Roman" w:hAnsi="Times New Roman"/>
                  <w:bCs/>
                  <w:color w:val="0000FF"/>
                  <w:sz w:val="24"/>
                  <w:szCs w:val="24"/>
                  <w:u w:val="single"/>
                  <w:lang w:val="en-US" w:eastAsia="en-US" w:bidi="ar-SA"/>
                </w:rPr>
                <w:t>kennedy@whitt-sturtevant.com</w:t>
              </w:r>
            </w:hyperlink>
          </w:p>
          <w:p w:rsidR="00FE6D04" w:rsidRPr="0037628E" w:rsidP="00FE6D04" w14:paraId="53F7D715" w14:textId="77777777">
            <w:pPr>
              <w:rPr>
                <w:rFonts w:ascii="Times New Roman" w:eastAsia="Times New Roman" w:hAnsi="Times New Roman"/>
                <w:bCs/>
                <w:sz w:val="24"/>
                <w:szCs w:val="24"/>
                <w:lang w:val="en-US" w:eastAsia="en-US" w:bidi="ar-SA"/>
              </w:rPr>
            </w:pPr>
            <w:hyperlink r:id="rId18" w:history="1">
              <w:r w:rsidRPr="0037628E" w:rsidR="001902C5">
                <w:rPr>
                  <w:rFonts w:ascii="Times New Roman" w:eastAsia="Times New Roman" w:hAnsi="Times New Roman"/>
                  <w:bCs/>
                  <w:color w:val="0000FF"/>
                  <w:sz w:val="24"/>
                  <w:szCs w:val="24"/>
                  <w:u w:val="single"/>
                  <w:lang w:val="en-US" w:eastAsia="en-US" w:bidi="ar-SA"/>
                </w:rPr>
                <w:t>andrew.j.campbell@dominionenergy.com</w:t>
              </w:r>
            </w:hyperlink>
          </w:p>
          <w:p w:rsidR="00FE6D04" w:rsidRPr="0037628E" w:rsidP="00FE6D04" w14:paraId="6603137F" w14:textId="77777777">
            <w:pPr>
              <w:rPr>
                <w:rFonts w:ascii="Times New Roman" w:eastAsia="Times New Roman" w:hAnsi="Times New Roman"/>
                <w:bCs/>
                <w:sz w:val="24"/>
                <w:szCs w:val="24"/>
                <w:lang w:val="en-US" w:eastAsia="en-US" w:bidi="ar-SA"/>
              </w:rPr>
            </w:pPr>
            <w:hyperlink r:id="rId19" w:history="1">
              <w:r w:rsidRPr="0037628E" w:rsidR="001902C5">
                <w:rPr>
                  <w:rFonts w:ascii="Times New Roman" w:eastAsia="Times New Roman" w:hAnsi="Times New Roman"/>
                  <w:bCs/>
                  <w:color w:val="0000FF"/>
                  <w:sz w:val="24"/>
                  <w:szCs w:val="24"/>
                  <w:u w:val="single"/>
                  <w:lang w:val="en-US" w:eastAsia="en-US" w:bidi="ar-SA"/>
                </w:rPr>
                <w:t>mjschuler@aep.com</w:t>
              </w:r>
            </w:hyperlink>
          </w:p>
          <w:p w:rsidR="00FE6D04" w:rsidRPr="0037628E" w:rsidP="00FE6D04" w14:paraId="1F0FEB4C" w14:textId="77777777">
            <w:pPr>
              <w:rPr>
                <w:rFonts w:ascii="Times New Roman" w:eastAsia="Times New Roman" w:hAnsi="Times New Roman"/>
                <w:bCs/>
                <w:sz w:val="24"/>
                <w:szCs w:val="24"/>
                <w:lang w:val="en-US" w:eastAsia="en-US" w:bidi="ar-SA"/>
              </w:rPr>
            </w:pPr>
            <w:hyperlink r:id="rId20" w:history="1">
              <w:r w:rsidRPr="0037628E" w:rsidR="001902C5">
                <w:rPr>
                  <w:rFonts w:ascii="Times New Roman" w:eastAsia="Times New Roman" w:hAnsi="Times New Roman"/>
                  <w:bCs/>
                  <w:color w:val="0000FF"/>
                  <w:sz w:val="24"/>
                  <w:szCs w:val="24"/>
                  <w:u w:val="single"/>
                  <w:lang w:val="en-US" w:eastAsia="en-US" w:bidi="ar-SA"/>
                </w:rPr>
                <w:t>rocco.dascenzo@duke-energy.com</w:t>
              </w:r>
            </w:hyperlink>
          </w:p>
          <w:p w:rsidR="00FE6D04" w:rsidRPr="0037628E" w:rsidP="00FE6D04" w14:paraId="40C27543" w14:textId="77777777">
            <w:pPr>
              <w:rPr>
                <w:rFonts w:ascii="Times New Roman" w:eastAsia="Times New Roman" w:hAnsi="Times New Roman"/>
                <w:bCs/>
                <w:sz w:val="24"/>
                <w:szCs w:val="24"/>
                <w:lang w:val="en-US" w:eastAsia="en-US" w:bidi="ar-SA"/>
              </w:rPr>
            </w:pPr>
            <w:hyperlink r:id="rId21" w:history="1">
              <w:r w:rsidRPr="0037628E" w:rsidR="001902C5">
                <w:rPr>
                  <w:rFonts w:ascii="Times New Roman" w:eastAsia="Times New Roman" w:hAnsi="Times New Roman"/>
                  <w:bCs/>
                  <w:color w:val="0000FF"/>
                  <w:sz w:val="24"/>
                  <w:szCs w:val="24"/>
                  <w:u w:val="single"/>
                  <w:lang w:val="en-US" w:eastAsia="en-US" w:bidi="ar-SA"/>
                </w:rPr>
                <w:t>larisa.vaysman@duke-energy.com</w:t>
              </w:r>
            </w:hyperlink>
          </w:p>
          <w:p w:rsidR="00FE6D04" w:rsidRPr="0037628E" w:rsidP="00FE6D04" w14:paraId="7F195D15" w14:textId="77777777">
            <w:pPr>
              <w:rPr>
                <w:rFonts w:ascii="Times New Roman" w:eastAsia="Times New Roman" w:hAnsi="Times New Roman"/>
                <w:bCs/>
                <w:sz w:val="24"/>
                <w:szCs w:val="24"/>
                <w:lang w:val="en-US" w:eastAsia="en-US" w:bidi="ar-SA"/>
              </w:rPr>
            </w:pPr>
          </w:p>
          <w:p w:rsidR="00FE6D04" w:rsidRPr="0037628E" w:rsidP="00FE6D04" w14:paraId="0B14F55B" w14:textId="77777777">
            <w:pPr>
              <w:rPr>
                <w:rFonts w:ascii="Times New Roman" w:eastAsia="Times New Roman" w:hAnsi="Times New Roman"/>
                <w:bCs/>
                <w:sz w:val="24"/>
                <w:szCs w:val="24"/>
                <w:lang w:val="en-US" w:eastAsia="en-US" w:bidi="ar-SA"/>
              </w:rPr>
            </w:pPr>
          </w:p>
          <w:p w:rsidR="00FE6D04" w:rsidRPr="0037628E" w:rsidP="00FE6D04" w14:paraId="3E1547F3" w14:textId="77777777">
            <w:pPr>
              <w:jc w:val="center"/>
              <w:rPr>
                <w:rFonts w:ascii="Times New Roman" w:eastAsia="Times New Roman" w:hAnsi="Times New Roman"/>
                <w:bCs/>
                <w:sz w:val="24"/>
                <w:szCs w:val="24"/>
                <w:lang w:val="en-US" w:eastAsia="en-US" w:bidi="ar-SA"/>
              </w:rPr>
            </w:pPr>
          </w:p>
        </w:tc>
      </w:tr>
    </w:tbl>
    <w:p w:rsidR="00FE6D04" w:rsidRPr="0037628E" w:rsidP="00835D91" w14:paraId="2751EF05" w14:textId="77777777">
      <w:pPr>
        <w:jc w:val="center"/>
        <w:rPr>
          <w:rFonts w:eastAsia="Times New Roman"/>
          <w:b/>
          <w:szCs w:val="24"/>
          <w:u w:val="single"/>
        </w:rPr>
      </w:pPr>
    </w:p>
    <w:p w:rsidR="00835D91" w:rsidRPr="0037628E" w:rsidP="00835D91" w14:paraId="2D624E4C" w14:textId="77777777">
      <w:pPr>
        <w:jc w:val="center"/>
        <w:rPr>
          <w:rFonts w:eastAsia="Times New Roman"/>
          <w:b/>
          <w:szCs w:val="24"/>
          <w:u w:val="single"/>
        </w:rPr>
      </w:pPr>
    </w:p>
    <w:p w:rsidR="00DF4F73" w:rsidRPr="0037628E" w:rsidP="00835D91" w14:paraId="0A26BA0C" w14:textId="77777777">
      <w:pPr>
        <w:autoSpaceDE w:val="0"/>
        <w:autoSpaceDN w:val="0"/>
        <w:adjustRightInd w:val="0"/>
        <w:ind w:firstLine="720"/>
        <w:rPr>
          <w:szCs w:val="24"/>
        </w:rPr>
      </w:pPr>
    </w:p>
    <w:sectPr w:rsidSect="00E749DE">
      <w:headerReference w:type="even" r:id="rId22"/>
      <w:headerReference w:type="default" r:id="rId23"/>
      <w:footerReference w:type="even" r:id="rId24"/>
      <w:footerReference w:type="default" r:id="rId25"/>
      <w:headerReference w:type="first" r:id="rId26"/>
      <w:footerReference w:type="first" r:id="rId27"/>
      <w:pgSz w:w="12240" w:h="15840" w:code="1"/>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853" w14:paraId="74FDEB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3378535"/>
      <w:docPartObj>
        <w:docPartGallery w:val="Page Numbers (Bottom of Page)"/>
        <w:docPartUnique/>
      </w:docPartObj>
    </w:sdtPr>
    <w:sdtEndPr>
      <w:rPr>
        <w:noProof/>
        <w:sz w:val="24"/>
        <w:szCs w:val="24"/>
      </w:rPr>
    </w:sdtEndPr>
    <w:sdtContent>
      <w:p w:rsidR="00896EFD" w:rsidRPr="003643B2" w14:paraId="730FE9C0" w14:textId="77777777">
        <w:pPr>
          <w:pStyle w:val="Footer"/>
          <w:jc w:val="center"/>
          <w:rPr>
            <w:sz w:val="24"/>
            <w:szCs w:val="24"/>
          </w:rPr>
        </w:pPr>
        <w:r w:rsidRPr="003643B2">
          <w:rPr>
            <w:sz w:val="24"/>
            <w:szCs w:val="24"/>
          </w:rPr>
          <w:fldChar w:fldCharType="begin"/>
        </w:r>
        <w:r w:rsidRPr="003643B2">
          <w:rPr>
            <w:sz w:val="24"/>
            <w:szCs w:val="24"/>
          </w:rPr>
          <w:instrText xml:space="preserve"> PAGE   \* MERGEFORMAT </w:instrText>
        </w:r>
        <w:r w:rsidRPr="003643B2">
          <w:rPr>
            <w:sz w:val="24"/>
            <w:szCs w:val="24"/>
          </w:rPr>
          <w:fldChar w:fldCharType="separate"/>
        </w:r>
        <w:r w:rsidRPr="003643B2">
          <w:rPr>
            <w:noProof/>
            <w:sz w:val="24"/>
            <w:szCs w:val="24"/>
          </w:rPr>
          <w:t>2</w:t>
        </w:r>
        <w:r w:rsidRPr="003643B2">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853" w14:paraId="6CC8E8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538C" w14:paraId="63993483" w14:textId="77777777">
      <w:r>
        <w:separator/>
      </w:r>
    </w:p>
  </w:footnote>
  <w:footnote w:type="continuationSeparator" w:id="1">
    <w:p w:rsidR="0009538C" w14:paraId="67C7B7DB" w14:textId="77777777">
      <w:r>
        <w:continuationSeparator/>
      </w:r>
    </w:p>
  </w:footnote>
  <w:footnote w:id="2">
    <w:p w:rsidR="00C079E8" w:rsidP="00D03432" w14:paraId="71D4B51A" w14:textId="77777777">
      <w:pPr>
        <w:pStyle w:val="FootnoteText"/>
        <w:spacing w:after="120"/>
      </w:pPr>
      <w:r>
        <w:rPr>
          <w:rStyle w:val="FootnoteReference"/>
        </w:rPr>
        <w:footnoteRef/>
      </w:r>
      <w:r>
        <w:t xml:space="preserve"> Finding and Order (July 12, 2023), at ¶ 28.</w:t>
      </w:r>
    </w:p>
  </w:footnote>
  <w:footnote w:id="3">
    <w:p w:rsidR="000D4B89" w:rsidRPr="0007062A" w:rsidP="00D03432" w14:paraId="7D09B210" w14:textId="465E4C7C">
      <w:pPr>
        <w:pStyle w:val="FootnoteText"/>
        <w:spacing w:after="120"/>
      </w:pPr>
      <w:r>
        <w:rPr>
          <w:rStyle w:val="FootnoteReference"/>
        </w:rPr>
        <w:footnoteRef/>
      </w:r>
      <w:r>
        <w:t xml:space="preserve"> PUCO Press Release, </w:t>
      </w:r>
      <w:r>
        <w:rPr>
          <w:i/>
          <w:iCs/>
        </w:rPr>
        <w:t xml:space="preserve">PUCO </w:t>
      </w:r>
      <w:r w:rsidR="00506CEC">
        <w:rPr>
          <w:i/>
          <w:iCs/>
        </w:rPr>
        <w:t>A</w:t>
      </w:r>
      <w:r>
        <w:rPr>
          <w:i/>
          <w:iCs/>
        </w:rPr>
        <w:t xml:space="preserve">dopts additional utility disconnection protections </w:t>
      </w:r>
      <w:r>
        <w:t>(July 12, 2023).</w:t>
      </w:r>
    </w:p>
  </w:footnote>
  <w:footnote w:id="4">
    <w:p w:rsidR="002659E3" w:rsidP="00D03432" w14:paraId="0129C0DE" w14:textId="59C354BE">
      <w:pPr>
        <w:pStyle w:val="FootnoteText"/>
        <w:spacing w:after="120"/>
      </w:pPr>
      <w:r>
        <w:rPr>
          <w:rStyle w:val="FootnoteReference"/>
        </w:rPr>
        <w:footnoteRef/>
      </w:r>
      <w:r>
        <w:t xml:space="preserve"> Duke Application for Rehearing, at 2, 3,</w:t>
      </w:r>
      <w:r w:rsidR="002B285C">
        <w:t xml:space="preserve"> 6, 8, 9, 10, 11. </w:t>
      </w:r>
    </w:p>
  </w:footnote>
  <w:footnote w:id="5">
    <w:p w:rsidR="002B285C" w:rsidP="00D03432" w14:paraId="4D03EBF6" w14:textId="7CC8DBBB">
      <w:pPr>
        <w:pStyle w:val="FootnoteText"/>
        <w:spacing w:after="120"/>
      </w:pPr>
      <w:r>
        <w:rPr>
          <w:rStyle w:val="FootnoteReference"/>
        </w:rPr>
        <w:footnoteRef/>
      </w:r>
      <w:r>
        <w:t xml:space="preserve"> Order at ¶ 3.</w:t>
      </w:r>
    </w:p>
  </w:footnote>
  <w:footnote w:id="6">
    <w:p w:rsidR="00F63755" w:rsidRPr="00F63755" w:rsidP="00D03432" w14:paraId="317DE71A" w14:textId="64F22A3C">
      <w:pPr>
        <w:pStyle w:val="FootnoteText"/>
        <w:spacing w:after="120"/>
      </w:pPr>
      <w:r>
        <w:rPr>
          <w:rStyle w:val="FootnoteReference"/>
        </w:rPr>
        <w:footnoteRef/>
      </w:r>
      <w:r>
        <w:t xml:space="preserve"> </w:t>
      </w:r>
      <w:r>
        <w:rPr>
          <w:i/>
          <w:iCs/>
        </w:rPr>
        <w:t>Id.</w:t>
      </w:r>
      <w:r>
        <w:t xml:space="preserve"> (Emphasis added.)</w:t>
      </w:r>
    </w:p>
  </w:footnote>
  <w:footnote w:id="7">
    <w:p w:rsidR="002A2499" w:rsidP="00D03432" w14:paraId="2E5E7B67" w14:textId="1F5D0272">
      <w:pPr>
        <w:pStyle w:val="FootnoteText"/>
        <w:spacing w:after="120"/>
      </w:pPr>
      <w:r>
        <w:rPr>
          <w:rStyle w:val="FootnoteReference"/>
        </w:rPr>
        <w:footnoteRef/>
      </w:r>
      <w:r>
        <w:t xml:space="preserve"> </w:t>
      </w:r>
      <w:r>
        <w:rPr>
          <w:rFonts w:eastAsia="Times New Roman"/>
          <w:szCs w:val="24"/>
        </w:rPr>
        <w:t>“Consumer Advocates” include the Office of the Ohio Consumers’ Counsel, Advocates for Basic Legal Equality, the Legal Aid Society of Southwest Ohio, the Ohio Poverty Law Center and Pro Seniors, Inc.</w:t>
      </w:r>
    </w:p>
  </w:footnote>
  <w:footnote w:id="8">
    <w:p w:rsidR="00DB63DB" w:rsidRPr="00A35F31" w:rsidP="00D03432" w14:paraId="22A62696" w14:textId="77777777">
      <w:pPr>
        <w:spacing w:after="120"/>
        <w:rPr>
          <w:sz w:val="20"/>
        </w:rPr>
      </w:pPr>
      <w:r w:rsidRPr="00A35F31">
        <w:rPr>
          <w:sz w:val="20"/>
          <w:vertAlign w:val="superscript"/>
        </w:rPr>
        <w:footnoteRef/>
      </w:r>
      <w:r w:rsidRPr="00A35F31">
        <w:rPr>
          <w:sz w:val="20"/>
        </w:rPr>
        <w:t xml:space="preserve"> Testimony of Keelie Gustin, </w:t>
      </w:r>
      <w:r w:rsidRPr="00A35F31">
        <w:rPr>
          <w:i/>
          <w:iCs/>
          <w:sz w:val="20"/>
        </w:rPr>
        <w:t>Re AES Electric Security Plan</w:t>
      </w:r>
      <w:r w:rsidRPr="00A35F31">
        <w:rPr>
          <w:sz w:val="20"/>
        </w:rPr>
        <w:t>, Case Nos. 22-900-EL-SSO, et al., Transcript of Local Public Hearing (February 2, 2023).</w:t>
      </w:r>
    </w:p>
  </w:footnote>
  <w:footnote w:id="9">
    <w:p w:rsidR="00857EBA" w:rsidRPr="00A35F31" w:rsidP="00D03432" w14:paraId="694FF1F8" w14:textId="77777777">
      <w:pPr>
        <w:spacing w:after="120"/>
        <w:rPr>
          <w:sz w:val="20"/>
        </w:rPr>
      </w:pPr>
      <w:r w:rsidRPr="00A35F31">
        <w:rPr>
          <w:sz w:val="20"/>
          <w:vertAlign w:val="superscript"/>
        </w:rPr>
        <w:footnoteRef/>
      </w:r>
      <w:r w:rsidRPr="00A35F31">
        <w:rPr>
          <w:sz w:val="20"/>
        </w:rPr>
        <w:t xml:space="preserve"> </w:t>
      </w:r>
      <w:r w:rsidRPr="00A35F31">
        <w:rPr>
          <w:i/>
          <w:iCs/>
          <w:sz w:val="20"/>
        </w:rPr>
        <w:t>Id.</w:t>
      </w:r>
      <w:r w:rsidRPr="00A35F31">
        <w:rPr>
          <w:sz w:val="20"/>
        </w:rPr>
        <w:t xml:space="preserve"> at 22.</w:t>
      </w:r>
    </w:p>
  </w:footnote>
  <w:footnote w:id="10">
    <w:p w:rsidR="00D82E0D" w:rsidRPr="00D860E2" w:rsidP="00D03432" w14:paraId="2CAF50D7" w14:textId="77777777">
      <w:pPr>
        <w:pStyle w:val="FootnoteText"/>
        <w:spacing w:after="120"/>
      </w:pPr>
      <w:r>
        <w:rPr>
          <w:rStyle w:val="FootnoteReference"/>
        </w:rPr>
        <w:footnoteRef/>
      </w:r>
      <w:r>
        <w:t xml:space="preserve"> </w:t>
      </w:r>
      <w:r>
        <w:rPr>
          <w:i/>
          <w:iCs/>
        </w:rPr>
        <w:t>See In the Matter of the Complaint of Jeffrey Pitzer v. Duke Energy Ohio</w:t>
      </w:r>
      <w:r>
        <w:t>, Case No. 15-298-GE-CSS, Opinion and Order (August 30, 2017), at ¶¶ 1, 4, 10, 59.</w:t>
      </w:r>
    </w:p>
  </w:footnote>
  <w:footnote w:id="11">
    <w:p w:rsidR="004F5264" w:rsidP="00D03432" w14:paraId="28F9D666" w14:textId="34078536">
      <w:pPr>
        <w:pStyle w:val="FootnoteText"/>
        <w:spacing w:after="120"/>
      </w:pPr>
      <w:r>
        <w:rPr>
          <w:rStyle w:val="FootnoteReference"/>
        </w:rPr>
        <w:footnoteRef/>
      </w:r>
      <w:r>
        <w:t xml:space="preserve"> Order, at ¶ 20.</w:t>
      </w:r>
      <w:r w:rsidR="00191673">
        <w:t xml:space="preserve"> (Emphasis added.)</w:t>
      </w:r>
    </w:p>
  </w:footnote>
  <w:footnote w:id="12">
    <w:p w:rsidR="00DB63DB" w:rsidRPr="0007062A" w:rsidP="00D03432" w14:paraId="5B23137E" w14:textId="77777777">
      <w:pPr>
        <w:pStyle w:val="FootnoteText"/>
        <w:spacing w:after="120"/>
      </w:pPr>
      <w:r>
        <w:rPr>
          <w:rStyle w:val="FootnoteReference"/>
        </w:rPr>
        <w:footnoteRef/>
      </w:r>
      <w:r>
        <w:t xml:space="preserve"> PUCO Press Release, </w:t>
      </w:r>
      <w:r>
        <w:rPr>
          <w:i/>
          <w:iCs/>
        </w:rPr>
        <w:t xml:space="preserve">PUCO adopts additional utility disconnection protections </w:t>
      </w:r>
      <w:r>
        <w:t>(July 12, 2023).</w:t>
      </w:r>
    </w:p>
  </w:footnote>
  <w:footnote w:id="13">
    <w:p w:rsidR="00317803" w:rsidP="00D03432" w14:paraId="747E4C2E" w14:textId="408E0CEB">
      <w:pPr>
        <w:pStyle w:val="FootnoteText"/>
        <w:spacing w:after="120"/>
      </w:pPr>
      <w:r>
        <w:rPr>
          <w:rStyle w:val="FootnoteReference"/>
        </w:rPr>
        <w:footnoteRef/>
      </w:r>
      <w:r>
        <w:t xml:space="preserve"> Duke Application for Rehearing, at 2.</w:t>
      </w:r>
    </w:p>
  </w:footnote>
  <w:footnote w:id="14">
    <w:p w:rsidR="000649BE" w:rsidRPr="00D03432" w:rsidP="00D03432" w14:paraId="6F03C004" w14:textId="3888FC20">
      <w:pPr>
        <w:pStyle w:val="FootnoteText"/>
        <w:spacing w:after="120"/>
        <w:rPr>
          <w:i/>
          <w:iCs/>
        </w:rPr>
      </w:pPr>
      <w:r>
        <w:rPr>
          <w:rStyle w:val="FootnoteReference"/>
        </w:rPr>
        <w:footnoteRef/>
      </w:r>
      <w:r>
        <w:t xml:space="preserve"> </w:t>
      </w:r>
      <w:r w:rsidR="000A3374">
        <w:rPr>
          <w:i/>
          <w:iCs/>
        </w:rPr>
        <w:t>Id.</w:t>
      </w:r>
    </w:p>
  </w:footnote>
  <w:footnote w:id="15">
    <w:p w:rsidR="00317803" w:rsidP="00D03432" w14:paraId="43C71C83" w14:textId="77777777">
      <w:pPr>
        <w:pStyle w:val="FootnoteText"/>
        <w:spacing w:after="120"/>
      </w:pPr>
      <w:r>
        <w:rPr>
          <w:rStyle w:val="FootnoteReference"/>
        </w:rPr>
        <w:footnoteRef/>
      </w:r>
      <w:r>
        <w:t xml:space="preserve"> </w:t>
      </w:r>
      <w:r w:rsidRPr="0072185B">
        <w:rPr>
          <w:i/>
          <w:iCs/>
        </w:rPr>
        <w:t>In the Matter of the Review of Chapters 4901-1, 4901-3, and 4901-9 of the Ohio Administrative Code</w:t>
      </w:r>
      <w:r>
        <w:t>, Case No. 06-685-AU-ORD, Finding and Order (December 6, 2006) at ¶ 59.</w:t>
      </w:r>
    </w:p>
  </w:footnote>
  <w:footnote w:id="16">
    <w:p w:rsidR="007A2049" w:rsidP="00D03432" w14:paraId="6AFC9DE9" w14:textId="0AD70966">
      <w:pPr>
        <w:pStyle w:val="FootnoteText"/>
        <w:spacing w:after="120"/>
      </w:pPr>
      <w:r>
        <w:rPr>
          <w:rStyle w:val="FootnoteReference"/>
        </w:rPr>
        <w:footnoteRef/>
      </w:r>
      <w:r>
        <w:t xml:space="preserve"> </w:t>
      </w:r>
      <w:r w:rsidRPr="00597456">
        <w:rPr>
          <w:i/>
          <w:iCs/>
        </w:rPr>
        <w:t>Discount Cellular, Inc., et al. v. Pub. Util. Comm.</w:t>
      </w:r>
      <w:r>
        <w:t>, 112 Ohio St.3d 360, 374-375, 2007-Ohio-53, 59 (citations omitted).</w:t>
      </w:r>
    </w:p>
  </w:footnote>
  <w:footnote w:id="17">
    <w:p w:rsidR="004772F5" w:rsidP="00D03432" w14:paraId="148CA2EF" w14:textId="322726D1">
      <w:pPr>
        <w:pStyle w:val="FootnoteText"/>
        <w:spacing w:after="120"/>
      </w:pPr>
      <w:r>
        <w:rPr>
          <w:rStyle w:val="FootnoteReference"/>
        </w:rPr>
        <w:footnoteRef/>
      </w:r>
      <w:r>
        <w:t xml:space="preserve"> Duke Application for Rehearing at 8.</w:t>
      </w:r>
    </w:p>
  </w:footnote>
  <w:footnote w:id="18">
    <w:p w:rsidR="00464F3B" w:rsidRPr="00464F3B" w:rsidP="00D03432" w14:paraId="224CD3AC" w14:textId="2A02438F">
      <w:pPr>
        <w:pStyle w:val="FootnoteText"/>
        <w:spacing w:after="120"/>
      </w:pPr>
      <w:r>
        <w:rPr>
          <w:rStyle w:val="FootnoteReference"/>
        </w:rPr>
        <w:footnoteRef/>
      </w:r>
      <w:r>
        <w:t xml:space="preserve"> </w:t>
      </w:r>
      <w:r>
        <w:rPr>
          <w:i/>
          <w:iCs/>
        </w:rPr>
        <w:t>Id.</w:t>
      </w:r>
      <w:r>
        <w:t xml:space="preserve"> at 7-8.</w:t>
      </w:r>
    </w:p>
  </w:footnote>
  <w:footnote w:id="19">
    <w:p w:rsidR="00F60D1E" w:rsidP="00D03432" w14:paraId="7B0D52D0" w14:textId="693C9553">
      <w:pPr>
        <w:pStyle w:val="FootnoteText"/>
        <w:spacing w:after="120"/>
      </w:pPr>
      <w:r>
        <w:rPr>
          <w:rStyle w:val="FootnoteReference"/>
        </w:rPr>
        <w:footnoteRef/>
      </w:r>
      <w:r>
        <w:t xml:space="preserve"> Duke Application for Rehearing at 9 (July 13, 2023).</w:t>
      </w:r>
    </w:p>
  </w:footnote>
  <w:footnote w:id="20">
    <w:p w:rsidR="00F60D1E" w:rsidRPr="00F60D1E" w:rsidP="00D03432" w14:paraId="02A645A5" w14:textId="3B7C5B94">
      <w:pPr>
        <w:pStyle w:val="FootnoteText"/>
        <w:spacing w:after="120"/>
      </w:pPr>
      <w:r>
        <w:rPr>
          <w:rStyle w:val="FootnoteReference"/>
        </w:rPr>
        <w:footnoteRef/>
      </w:r>
      <w:r>
        <w:t xml:space="preserve"> </w:t>
      </w:r>
      <w:r>
        <w:rPr>
          <w:i/>
          <w:iCs/>
        </w:rPr>
        <w:t xml:space="preserve">Id. </w:t>
      </w:r>
      <w:r>
        <w:t>at 10.</w:t>
      </w:r>
    </w:p>
  </w:footnote>
  <w:footnote w:id="21">
    <w:p w:rsidR="00BB4131" w:rsidP="00D03432" w14:paraId="52D8ADC7" w14:textId="6ED591E8">
      <w:pPr>
        <w:pStyle w:val="FootnoteText"/>
        <w:spacing w:after="120"/>
      </w:pPr>
      <w:r>
        <w:rPr>
          <w:rStyle w:val="FootnoteReference"/>
        </w:rPr>
        <w:footnoteRef/>
      </w:r>
      <w:r>
        <w:t xml:space="preserve"> Order at ¶ 26 (July 12, 2023).</w:t>
      </w:r>
    </w:p>
  </w:footnote>
  <w:footnote w:id="22">
    <w:p w:rsidR="00105FC8" w:rsidP="00D03432" w14:paraId="21ADDC40" w14:textId="4480D8D7">
      <w:pPr>
        <w:pStyle w:val="FootnoteText"/>
        <w:spacing w:after="120"/>
      </w:pPr>
      <w:r>
        <w:rPr>
          <w:rStyle w:val="FootnoteReference"/>
        </w:rPr>
        <w:footnoteRef/>
      </w:r>
      <w:r>
        <w:t xml:space="preserve"> Duke Application for Rehearing at 11.</w:t>
      </w:r>
    </w:p>
  </w:footnote>
  <w:footnote w:id="23">
    <w:p w:rsidR="00105FC8" w:rsidRPr="00105FC8" w:rsidP="00D03432" w14:paraId="06AA197A" w14:textId="68751483">
      <w:pPr>
        <w:pStyle w:val="FootnoteText"/>
        <w:spacing w:after="120"/>
        <w:rPr>
          <w:i/>
          <w:iCs/>
        </w:rPr>
      </w:pPr>
      <w:r>
        <w:rPr>
          <w:rStyle w:val="FootnoteReference"/>
        </w:rPr>
        <w:footnoteRef/>
      </w:r>
      <w:r>
        <w:t xml:space="preserve"> </w:t>
      </w:r>
      <w:r>
        <w:rPr>
          <w:i/>
          <w:iCs/>
        </w:rPr>
        <w:t>Id.</w:t>
      </w:r>
    </w:p>
  </w:footnote>
  <w:footnote w:id="24">
    <w:p w:rsidR="0039706B" w:rsidRPr="0039706B" w:rsidP="00D03432" w14:paraId="18193DD2" w14:textId="6FD83B8D">
      <w:pPr>
        <w:pStyle w:val="FootnoteText"/>
        <w:spacing w:after="120"/>
        <w:rPr>
          <w:i/>
          <w:iCs/>
        </w:rPr>
      </w:pPr>
      <w:r>
        <w:rPr>
          <w:rStyle w:val="FootnoteReference"/>
        </w:rPr>
        <w:footnoteRef/>
      </w:r>
      <w:r>
        <w:t xml:space="preserve"> </w:t>
      </w:r>
      <w:r>
        <w:rPr>
          <w:i/>
          <w:iCs/>
        </w:rPr>
        <w:t>Id.</w:t>
      </w:r>
    </w:p>
  </w:footnote>
  <w:footnote w:id="25">
    <w:p w:rsidR="003C1CF9" w:rsidRPr="003C1CF9" w:rsidP="00D03432" w14:paraId="754AB120" w14:textId="6A087C31">
      <w:pPr>
        <w:pStyle w:val="FootnoteText"/>
        <w:spacing w:after="120"/>
        <w:rPr>
          <w:i/>
          <w:iCs/>
        </w:rPr>
      </w:pPr>
      <w:r>
        <w:rPr>
          <w:rStyle w:val="FootnoteReference"/>
        </w:rPr>
        <w:footnoteRef/>
      </w:r>
      <w:r>
        <w:t xml:space="preserve"> </w:t>
      </w:r>
      <w:r>
        <w:rPr>
          <w:i/>
          <w:iCs/>
        </w:rPr>
        <w:t>Id.</w:t>
      </w:r>
    </w:p>
  </w:footnote>
  <w:footnote w:id="26">
    <w:p w:rsidR="00D442AC" w:rsidRPr="00D442AC" w:rsidP="00D03432" w14:paraId="249BD0FA" w14:textId="5CB11FA2">
      <w:pPr>
        <w:pStyle w:val="FootnoteText"/>
        <w:spacing w:after="120"/>
        <w:rPr>
          <w:i/>
          <w:iCs/>
        </w:rPr>
      </w:pPr>
      <w:r>
        <w:rPr>
          <w:rStyle w:val="FootnoteReference"/>
        </w:rPr>
        <w:footnoteRef/>
      </w:r>
      <w:r>
        <w:t xml:space="preserve"> </w:t>
      </w:r>
      <w:r>
        <w:rPr>
          <w:i/>
          <w:iCs/>
        </w:rPr>
        <w:t>Id.</w:t>
      </w:r>
    </w:p>
  </w:footnote>
  <w:footnote w:id="27">
    <w:p w:rsidR="00CB19C7" w:rsidRPr="00CB19C7" w:rsidP="00D03432" w14:paraId="0A33641D" w14:textId="3BB7CA16">
      <w:pPr>
        <w:pStyle w:val="FootnoteText"/>
        <w:spacing w:after="120"/>
      </w:pPr>
      <w:r>
        <w:rPr>
          <w:rStyle w:val="FootnoteReference"/>
        </w:rPr>
        <w:footnoteRef/>
      </w:r>
      <w:r>
        <w:t xml:space="preserve"> </w:t>
      </w:r>
      <w:r>
        <w:rPr>
          <w:i/>
          <w:iCs/>
        </w:rPr>
        <w:t xml:space="preserve">See In the Matter of the Application of the Duke Energy Ohio, Inc. for Authority to Adjust </w:t>
      </w:r>
      <w:r w:rsidR="00A05D4C">
        <w:rPr>
          <w:i/>
          <w:iCs/>
        </w:rPr>
        <w:t>I</w:t>
      </w:r>
      <w:r>
        <w:rPr>
          <w:i/>
          <w:iCs/>
        </w:rPr>
        <w:t>ts Power Forward Rider</w:t>
      </w:r>
      <w:r>
        <w:t>, Case No. 19-1750-EL-UNC</w:t>
      </w:r>
      <w:r w:rsidR="00815293">
        <w:t>,</w:t>
      </w:r>
      <w:r>
        <w:t xml:space="preserve"> </w:t>
      </w:r>
      <w:r w:rsidRPr="00815293">
        <w:t>et al.,</w:t>
      </w:r>
      <w:r>
        <w:t xml:space="preserve"> Direct Testimony of Retha Hunsicker (Sept</w:t>
      </w:r>
      <w:r w:rsidR="00F4754A">
        <w:t>ember</w:t>
      </w:r>
      <w:r>
        <w:t xml:space="preserve"> 24, 2019), at 7.</w:t>
      </w:r>
    </w:p>
  </w:footnote>
  <w:footnote w:id="28">
    <w:p w:rsidR="00DE39D2" w:rsidRPr="00DE39D2" w:rsidP="00D03432" w14:paraId="52284153" w14:textId="310B5091">
      <w:pPr>
        <w:pStyle w:val="FootnoteText"/>
        <w:spacing w:after="120"/>
        <w:rPr>
          <w:i/>
          <w:iCs/>
        </w:rPr>
      </w:pPr>
      <w:r>
        <w:rPr>
          <w:rStyle w:val="FootnoteReference"/>
        </w:rPr>
        <w:footnoteRef/>
      </w:r>
      <w:r>
        <w:t xml:space="preserve"> </w:t>
      </w:r>
      <w:r>
        <w:rPr>
          <w:i/>
          <w:iCs/>
        </w:rPr>
        <w:t xml:space="preserve">In the Matter of the Application of the Duke Energy Ohio, Inc. for Authority to Adjust </w:t>
      </w:r>
      <w:r w:rsidR="0005089A">
        <w:rPr>
          <w:i/>
          <w:iCs/>
        </w:rPr>
        <w:t>I</w:t>
      </w:r>
      <w:r>
        <w:rPr>
          <w:i/>
          <w:iCs/>
        </w:rPr>
        <w:t>ts Power Forward Rider</w:t>
      </w:r>
      <w:r>
        <w:t>, Case No. 19-1750-EL-UNC</w:t>
      </w:r>
      <w:r w:rsidR="0005089A">
        <w:t>,</w:t>
      </w:r>
      <w:r>
        <w:t xml:space="preserve"> </w:t>
      </w:r>
      <w:r w:rsidRPr="0005089A">
        <w:t>et al.,</w:t>
      </w:r>
      <w:r>
        <w:t xml:space="preserve"> Direct Testimony of Retha Hunsicker (Sept</w:t>
      </w:r>
      <w:r w:rsidR="00A147A7">
        <w:t>ember</w:t>
      </w:r>
      <w:r>
        <w:t xml:space="preserve"> 24, 2019), at 21, Direct Testimony of Jay Brown (Sept</w:t>
      </w:r>
      <w:r w:rsidR="00A147A7">
        <w:t>ember</w:t>
      </w:r>
      <w:r>
        <w:t xml:space="preserve"> 24, 2019), 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853" w14:paraId="3D1147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853" w14:paraId="171BBF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853" w14:paraId="22D8A8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4171AF"/>
    <w:multiLevelType w:val="hybridMultilevel"/>
    <w:tmpl w:val="8EC0E2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A62D70"/>
    <w:multiLevelType w:val="hybridMultilevel"/>
    <w:tmpl w:val="E9C2786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5D600D2"/>
    <w:multiLevelType w:val="hybridMultilevel"/>
    <w:tmpl w:val="4514927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D2164F"/>
    <w:multiLevelType w:val="multilevel"/>
    <w:tmpl w:val="31643E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11250C"/>
    <w:multiLevelType w:val="hybridMultilevel"/>
    <w:tmpl w:val="C38C48F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0E00B84"/>
    <w:multiLevelType w:val="hybridMultilevel"/>
    <w:tmpl w:val="EB1882E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8156B9"/>
    <w:multiLevelType w:val="hybridMultilevel"/>
    <w:tmpl w:val="F6D4E0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A0D148D"/>
    <w:multiLevelType w:val="hybridMultilevel"/>
    <w:tmpl w:val="E42884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7"/>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oNotHyphenateCaps/>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29"/>
    <w:rsid w:val="0000345D"/>
    <w:rsid w:val="0000521D"/>
    <w:rsid w:val="00005757"/>
    <w:rsid w:val="000105FF"/>
    <w:rsid w:val="00010A0D"/>
    <w:rsid w:val="000118AA"/>
    <w:rsid w:val="00015722"/>
    <w:rsid w:val="00015B5F"/>
    <w:rsid w:val="00016844"/>
    <w:rsid w:val="00016964"/>
    <w:rsid w:val="00016CA6"/>
    <w:rsid w:val="00017BB2"/>
    <w:rsid w:val="00022DE7"/>
    <w:rsid w:val="00023793"/>
    <w:rsid w:val="000263C2"/>
    <w:rsid w:val="00026BDA"/>
    <w:rsid w:val="00030128"/>
    <w:rsid w:val="00034097"/>
    <w:rsid w:val="000439E2"/>
    <w:rsid w:val="00044513"/>
    <w:rsid w:val="000457F8"/>
    <w:rsid w:val="0005089A"/>
    <w:rsid w:val="00053453"/>
    <w:rsid w:val="0006033F"/>
    <w:rsid w:val="000608DB"/>
    <w:rsid w:val="0006256C"/>
    <w:rsid w:val="000649BE"/>
    <w:rsid w:val="00065233"/>
    <w:rsid w:val="000663C5"/>
    <w:rsid w:val="00066D78"/>
    <w:rsid w:val="00067A43"/>
    <w:rsid w:val="00067F6B"/>
    <w:rsid w:val="00067F6F"/>
    <w:rsid w:val="0007062A"/>
    <w:rsid w:val="000743D2"/>
    <w:rsid w:val="00075165"/>
    <w:rsid w:val="00076FEF"/>
    <w:rsid w:val="000842D3"/>
    <w:rsid w:val="000852DF"/>
    <w:rsid w:val="00085731"/>
    <w:rsid w:val="00090B35"/>
    <w:rsid w:val="00091C28"/>
    <w:rsid w:val="00092A46"/>
    <w:rsid w:val="00093D46"/>
    <w:rsid w:val="0009538C"/>
    <w:rsid w:val="000955E5"/>
    <w:rsid w:val="00096168"/>
    <w:rsid w:val="00097A43"/>
    <w:rsid w:val="00097ED3"/>
    <w:rsid w:val="000A1FA3"/>
    <w:rsid w:val="000A31D5"/>
    <w:rsid w:val="000A3374"/>
    <w:rsid w:val="000A423F"/>
    <w:rsid w:val="000A5C14"/>
    <w:rsid w:val="000A7E14"/>
    <w:rsid w:val="000B6941"/>
    <w:rsid w:val="000B724B"/>
    <w:rsid w:val="000B77DD"/>
    <w:rsid w:val="000B7E46"/>
    <w:rsid w:val="000C00D9"/>
    <w:rsid w:val="000C0CF0"/>
    <w:rsid w:val="000C11DE"/>
    <w:rsid w:val="000C1AEE"/>
    <w:rsid w:val="000C42B8"/>
    <w:rsid w:val="000C5391"/>
    <w:rsid w:val="000C5519"/>
    <w:rsid w:val="000C5664"/>
    <w:rsid w:val="000C5FA9"/>
    <w:rsid w:val="000C6254"/>
    <w:rsid w:val="000C6263"/>
    <w:rsid w:val="000C648A"/>
    <w:rsid w:val="000C6D45"/>
    <w:rsid w:val="000C70F1"/>
    <w:rsid w:val="000C7ED4"/>
    <w:rsid w:val="000C7FF9"/>
    <w:rsid w:val="000D2FE7"/>
    <w:rsid w:val="000D340A"/>
    <w:rsid w:val="000D37A9"/>
    <w:rsid w:val="000D4B89"/>
    <w:rsid w:val="000D6D0F"/>
    <w:rsid w:val="000D77D8"/>
    <w:rsid w:val="000D7F6A"/>
    <w:rsid w:val="000E3E9C"/>
    <w:rsid w:val="000E5102"/>
    <w:rsid w:val="000E65E4"/>
    <w:rsid w:val="000E6F1D"/>
    <w:rsid w:val="000E75E9"/>
    <w:rsid w:val="000F0ED6"/>
    <w:rsid w:val="000F1484"/>
    <w:rsid w:val="000F1BD2"/>
    <w:rsid w:val="000F2372"/>
    <w:rsid w:val="000F422C"/>
    <w:rsid w:val="000F5CDE"/>
    <w:rsid w:val="000F5ECA"/>
    <w:rsid w:val="000F73E1"/>
    <w:rsid w:val="00102A9D"/>
    <w:rsid w:val="00103A2B"/>
    <w:rsid w:val="00105150"/>
    <w:rsid w:val="00105FC8"/>
    <w:rsid w:val="001061AF"/>
    <w:rsid w:val="001062EB"/>
    <w:rsid w:val="00110774"/>
    <w:rsid w:val="001111EE"/>
    <w:rsid w:val="00112437"/>
    <w:rsid w:val="00112808"/>
    <w:rsid w:val="00116E89"/>
    <w:rsid w:val="00121003"/>
    <w:rsid w:val="001242DF"/>
    <w:rsid w:val="00130D22"/>
    <w:rsid w:val="00130D95"/>
    <w:rsid w:val="00135FD5"/>
    <w:rsid w:val="00140967"/>
    <w:rsid w:val="00142277"/>
    <w:rsid w:val="00143279"/>
    <w:rsid w:val="001452AD"/>
    <w:rsid w:val="0014540A"/>
    <w:rsid w:val="00145542"/>
    <w:rsid w:val="00147402"/>
    <w:rsid w:val="00147E0F"/>
    <w:rsid w:val="00151EB9"/>
    <w:rsid w:val="001529EB"/>
    <w:rsid w:val="00154BBC"/>
    <w:rsid w:val="00156416"/>
    <w:rsid w:val="00157D3A"/>
    <w:rsid w:val="00165BBB"/>
    <w:rsid w:val="001661BC"/>
    <w:rsid w:val="00166B3D"/>
    <w:rsid w:val="00174028"/>
    <w:rsid w:val="0017505F"/>
    <w:rsid w:val="001752E8"/>
    <w:rsid w:val="00175930"/>
    <w:rsid w:val="00175B9F"/>
    <w:rsid w:val="00176EA9"/>
    <w:rsid w:val="0018318D"/>
    <w:rsid w:val="00183677"/>
    <w:rsid w:val="001857BF"/>
    <w:rsid w:val="00186316"/>
    <w:rsid w:val="0018730B"/>
    <w:rsid w:val="001902C5"/>
    <w:rsid w:val="00191459"/>
    <w:rsid w:val="00191673"/>
    <w:rsid w:val="001923C0"/>
    <w:rsid w:val="00194C50"/>
    <w:rsid w:val="00195122"/>
    <w:rsid w:val="0019713C"/>
    <w:rsid w:val="001A0B7F"/>
    <w:rsid w:val="001A15A3"/>
    <w:rsid w:val="001A3098"/>
    <w:rsid w:val="001A598E"/>
    <w:rsid w:val="001B04CE"/>
    <w:rsid w:val="001B3057"/>
    <w:rsid w:val="001B4964"/>
    <w:rsid w:val="001B4B5C"/>
    <w:rsid w:val="001B64AC"/>
    <w:rsid w:val="001B6A74"/>
    <w:rsid w:val="001B7389"/>
    <w:rsid w:val="001C0184"/>
    <w:rsid w:val="001C22EB"/>
    <w:rsid w:val="001C3DA6"/>
    <w:rsid w:val="001C5414"/>
    <w:rsid w:val="001C6602"/>
    <w:rsid w:val="001C7576"/>
    <w:rsid w:val="001D4666"/>
    <w:rsid w:val="001D6400"/>
    <w:rsid w:val="001D71A0"/>
    <w:rsid w:val="001D7EF3"/>
    <w:rsid w:val="001D7F11"/>
    <w:rsid w:val="001E03DE"/>
    <w:rsid w:val="001E1E6D"/>
    <w:rsid w:val="001E2F0E"/>
    <w:rsid w:val="001E3044"/>
    <w:rsid w:val="001E3154"/>
    <w:rsid w:val="001E46CF"/>
    <w:rsid w:val="001F29BE"/>
    <w:rsid w:val="001F3319"/>
    <w:rsid w:val="001F4DC5"/>
    <w:rsid w:val="001F5424"/>
    <w:rsid w:val="001F67CB"/>
    <w:rsid w:val="00201B84"/>
    <w:rsid w:val="00201FCA"/>
    <w:rsid w:val="00202788"/>
    <w:rsid w:val="00202FE7"/>
    <w:rsid w:val="00205D50"/>
    <w:rsid w:val="0020627D"/>
    <w:rsid w:val="0020655B"/>
    <w:rsid w:val="002116DC"/>
    <w:rsid w:val="002168B0"/>
    <w:rsid w:val="00216953"/>
    <w:rsid w:val="002172E8"/>
    <w:rsid w:val="00217505"/>
    <w:rsid w:val="00224174"/>
    <w:rsid w:val="00225588"/>
    <w:rsid w:val="00226E4E"/>
    <w:rsid w:val="00230068"/>
    <w:rsid w:val="00230435"/>
    <w:rsid w:val="0023481B"/>
    <w:rsid w:val="00236F68"/>
    <w:rsid w:val="00237879"/>
    <w:rsid w:val="00237C42"/>
    <w:rsid w:val="00237E93"/>
    <w:rsid w:val="00240B75"/>
    <w:rsid w:val="00241153"/>
    <w:rsid w:val="00243335"/>
    <w:rsid w:val="00245306"/>
    <w:rsid w:val="00245EE7"/>
    <w:rsid w:val="002529A7"/>
    <w:rsid w:val="00254D9A"/>
    <w:rsid w:val="002572C3"/>
    <w:rsid w:val="00260889"/>
    <w:rsid w:val="00262A8D"/>
    <w:rsid w:val="00263084"/>
    <w:rsid w:val="00264699"/>
    <w:rsid w:val="00264DF9"/>
    <w:rsid w:val="002659E3"/>
    <w:rsid w:val="00266448"/>
    <w:rsid w:val="00266F63"/>
    <w:rsid w:val="00272A7D"/>
    <w:rsid w:val="00273115"/>
    <w:rsid w:val="0027789A"/>
    <w:rsid w:val="0028035A"/>
    <w:rsid w:val="00280901"/>
    <w:rsid w:val="0028220F"/>
    <w:rsid w:val="002832E7"/>
    <w:rsid w:val="0028526B"/>
    <w:rsid w:val="002866C0"/>
    <w:rsid w:val="0029059A"/>
    <w:rsid w:val="00290905"/>
    <w:rsid w:val="00290AF7"/>
    <w:rsid w:val="00295A68"/>
    <w:rsid w:val="002A1198"/>
    <w:rsid w:val="002A16ED"/>
    <w:rsid w:val="002A2499"/>
    <w:rsid w:val="002A3664"/>
    <w:rsid w:val="002A3D46"/>
    <w:rsid w:val="002A6A72"/>
    <w:rsid w:val="002A7544"/>
    <w:rsid w:val="002B1327"/>
    <w:rsid w:val="002B1CB5"/>
    <w:rsid w:val="002B285C"/>
    <w:rsid w:val="002B4F3B"/>
    <w:rsid w:val="002B58CD"/>
    <w:rsid w:val="002B5F86"/>
    <w:rsid w:val="002B7B0B"/>
    <w:rsid w:val="002C001A"/>
    <w:rsid w:val="002C4C3B"/>
    <w:rsid w:val="002C5700"/>
    <w:rsid w:val="002C5EDA"/>
    <w:rsid w:val="002C6B12"/>
    <w:rsid w:val="002C7119"/>
    <w:rsid w:val="002C78B3"/>
    <w:rsid w:val="002D5C26"/>
    <w:rsid w:val="002D73FC"/>
    <w:rsid w:val="002E005C"/>
    <w:rsid w:val="002E14DF"/>
    <w:rsid w:val="002E458F"/>
    <w:rsid w:val="002E5190"/>
    <w:rsid w:val="002F3791"/>
    <w:rsid w:val="002F46AA"/>
    <w:rsid w:val="002F7807"/>
    <w:rsid w:val="002F7EDC"/>
    <w:rsid w:val="003002D7"/>
    <w:rsid w:val="00300E84"/>
    <w:rsid w:val="00302C84"/>
    <w:rsid w:val="003037DD"/>
    <w:rsid w:val="003056B7"/>
    <w:rsid w:val="00305977"/>
    <w:rsid w:val="00306CFC"/>
    <w:rsid w:val="00306EF5"/>
    <w:rsid w:val="00311488"/>
    <w:rsid w:val="0031188B"/>
    <w:rsid w:val="00311AED"/>
    <w:rsid w:val="00314F75"/>
    <w:rsid w:val="00315C42"/>
    <w:rsid w:val="00316A86"/>
    <w:rsid w:val="00317803"/>
    <w:rsid w:val="00323E4F"/>
    <w:rsid w:val="0032660C"/>
    <w:rsid w:val="003268B1"/>
    <w:rsid w:val="00327F6E"/>
    <w:rsid w:val="00330A05"/>
    <w:rsid w:val="00331F51"/>
    <w:rsid w:val="003330C5"/>
    <w:rsid w:val="00334465"/>
    <w:rsid w:val="00334BB1"/>
    <w:rsid w:val="003350EB"/>
    <w:rsid w:val="003353CA"/>
    <w:rsid w:val="003356EA"/>
    <w:rsid w:val="003358BB"/>
    <w:rsid w:val="00335E8F"/>
    <w:rsid w:val="00341118"/>
    <w:rsid w:val="00343ECD"/>
    <w:rsid w:val="003445C2"/>
    <w:rsid w:val="0034484D"/>
    <w:rsid w:val="003448D0"/>
    <w:rsid w:val="00345E49"/>
    <w:rsid w:val="003468B6"/>
    <w:rsid w:val="00347A3F"/>
    <w:rsid w:val="00351938"/>
    <w:rsid w:val="003536DC"/>
    <w:rsid w:val="00354356"/>
    <w:rsid w:val="00360434"/>
    <w:rsid w:val="00361831"/>
    <w:rsid w:val="00363CAE"/>
    <w:rsid w:val="003643B2"/>
    <w:rsid w:val="0036498C"/>
    <w:rsid w:val="00365BD8"/>
    <w:rsid w:val="0036681E"/>
    <w:rsid w:val="00366FA5"/>
    <w:rsid w:val="00367D6B"/>
    <w:rsid w:val="00367D98"/>
    <w:rsid w:val="00367E38"/>
    <w:rsid w:val="00370B96"/>
    <w:rsid w:val="003732DD"/>
    <w:rsid w:val="003746B7"/>
    <w:rsid w:val="0037628E"/>
    <w:rsid w:val="003768D8"/>
    <w:rsid w:val="00376DBE"/>
    <w:rsid w:val="003818B0"/>
    <w:rsid w:val="00381F08"/>
    <w:rsid w:val="00381F0B"/>
    <w:rsid w:val="003829B6"/>
    <w:rsid w:val="003831FE"/>
    <w:rsid w:val="00385D82"/>
    <w:rsid w:val="00390F5C"/>
    <w:rsid w:val="00392825"/>
    <w:rsid w:val="00393013"/>
    <w:rsid w:val="0039703A"/>
    <w:rsid w:val="0039706B"/>
    <w:rsid w:val="003A33C3"/>
    <w:rsid w:val="003A587D"/>
    <w:rsid w:val="003A794A"/>
    <w:rsid w:val="003B078C"/>
    <w:rsid w:val="003B259E"/>
    <w:rsid w:val="003B6278"/>
    <w:rsid w:val="003B7F5E"/>
    <w:rsid w:val="003C0A2D"/>
    <w:rsid w:val="003C0BD9"/>
    <w:rsid w:val="003C17DE"/>
    <w:rsid w:val="003C1CB1"/>
    <w:rsid w:val="003C1CF9"/>
    <w:rsid w:val="003C4990"/>
    <w:rsid w:val="003C59AD"/>
    <w:rsid w:val="003C7163"/>
    <w:rsid w:val="003C7C4B"/>
    <w:rsid w:val="003D0CAB"/>
    <w:rsid w:val="003D4B7D"/>
    <w:rsid w:val="003D5208"/>
    <w:rsid w:val="003E0805"/>
    <w:rsid w:val="003E1337"/>
    <w:rsid w:val="003E269C"/>
    <w:rsid w:val="003E623D"/>
    <w:rsid w:val="003E7AC6"/>
    <w:rsid w:val="003F2927"/>
    <w:rsid w:val="003F2AD0"/>
    <w:rsid w:val="003F3C5D"/>
    <w:rsid w:val="003F5051"/>
    <w:rsid w:val="003F5786"/>
    <w:rsid w:val="003F614A"/>
    <w:rsid w:val="003F6BB7"/>
    <w:rsid w:val="0040221F"/>
    <w:rsid w:val="00402AD9"/>
    <w:rsid w:val="00402FBE"/>
    <w:rsid w:val="00403316"/>
    <w:rsid w:val="004041B7"/>
    <w:rsid w:val="00405ABE"/>
    <w:rsid w:val="00406A35"/>
    <w:rsid w:val="00412695"/>
    <w:rsid w:val="00412FE4"/>
    <w:rsid w:val="00414753"/>
    <w:rsid w:val="00416204"/>
    <w:rsid w:val="00416F61"/>
    <w:rsid w:val="00420944"/>
    <w:rsid w:val="00421700"/>
    <w:rsid w:val="00422247"/>
    <w:rsid w:val="0042440C"/>
    <w:rsid w:val="00426747"/>
    <w:rsid w:val="00431059"/>
    <w:rsid w:val="004320E8"/>
    <w:rsid w:val="004324AC"/>
    <w:rsid w:val="00436245"/>
    <w:rsid w:val="00436B28"/>
    <w:rsid w:val="0043710A"/>
    <w:rsid w:val="00443B30"/>
    <w:rsid w:val="004446B2"/>
    <w:rsid w:val="00444AF8"/>
    <w:rsid w:val="00444F82"/>
    <w:rsid w:val="00445132"/>
    <w:rsid w:val="00446F37"/>
    <w:rsid w:val="00447BFF"/>
    <w:rsid w:val="00450066"/>
    <w:rsid w:val="00450252"/>
    <w:rsid w:val="00457B60"/>
    <w:rsid w:val="004604F9"/>
    <w:rsid w:val="0046284E"/>
    <w:rsid w:val="00463CC5"/>
    <w:rsid w:val="00464F3B"/>
    <w:rsid w:val="00465544"/>
    <w:rsid w:val="004662D5"/>
    <w:rsid w:val="004664E0"/>
    <w:rsid w:val="004676D8"/>
    <w:rsid w:val="00472AE3"/>
    <w:rsid w:val="00473A1E"/>
    <w:rsid w:val="004772F5"/>
    <w:rsid w:val="0048011B"/>
    <w:rsid w:val="004849BF"/>
    <w:rsid w:val="00486FDF"/>
    <w:rsid w:val="00493B53"/>
    <w:rsid w:val="00494EE0"/>
    <w:rsid w:val="004A273D"/>
    <w:rsid w:val="004A3FB6"/>
    <w:rsid w:val="004A5B82"/>
    <w:rsid w:val="004A760B"/>
    <w:rsid w:val="004A78EB"/>
    <w:rsid w:val="004B1D54"/>
    <w:rsid w:val="004B2CCF"/>
    <w:rsid w:val="004B45B4"/>
    <w:rsid w:val="004B46C9"/>
    <w:rsid w:val="004B5E98"/>
    <w:rsid w:val="004B7B71"/>
    <w:rsid w:val="004C3D2E"/>
    <w:rsid w:val="004C41DC"/>
    <w:rsid w:val="004C4FF3"/>
    <w:rsid w:val="004C57B1"/>
    <w:rsid w:val="004C7AEA"/>
    <w:rsid w:val="004D1C92"/>
    <w:rsid w:val="004D2926"/>
    <w:rsid w:val="004D3F2E"/>
    <w:rsid w:val="004D419B"/>
    <w:rsid w:val="004D7D52"/>
    <w:rsid w:val="004E1544"/>
    <w:rsid w:val="004E32B6"/>
    <w:rsid w:val="004E3619"/>
    <w:rsid w:val="004E4844"/>
    <w:rsid w:val="004E4BB6"/>
    <w:rsid w:val="004E559F"/>
    <w:rsid w:val="004E589F"/>
    <w:rsid w:val="004F20AA"/>
    <w:rsid w:val="004F20D8"/>
    <w:rsid w:val="004F5264"/>
    <w:rsid w:val="004F6F75"/>
    <w:rsid w:val="00501B3C"/>
    <w:rsid w:val="00503DA8"/>
    <w:rsid w:val="005064D0"/>
    <w:rsid w:val="00506CEC"/>
    <w:rsid w:val="00507257"/>
    <w:rsid w:val="00507450"/>
    <w:rsid w:val="0050753C"/>
    <w:rsid w:val="005075B7"/>
    <w:rsid w:val="00507E7E"/>
    <w:rsid w:val="0051339A"/>
    <w:rsid w:val="00514260"/>
    <w:rsid w:val="00514661"/>
    <w:rsid w:val="0051713B"/>
    <w:rsid w:val="005204AF"/>
    <w:rsid w:val="00522D40"/>
    <w:rsid w:val="0052499D"/>
    <w:rsid w:val="00524C58"/>
    <w:rsid w:val="0053197A"/>
    <w:rsid w:val="0053334F"/>
    <w:rsid w:val="00533B05"/>
    <w:rsid w:val="005341D8"/>
    <w:rsid w:val="00535D75"/>
    <w:rsid w:val="00536F66"/>
    <w:rsid w:val="0054113E"/>
    <w:rsid w:val="00544A50"/>
    <w:rsid w:val="005475C8"/>
    <w:rsid w:val="005503AB"/>
    <w:rsid w:val="005503F5"/>
    <w:rsid w:val="00550A52"/>
    <w:rsid w:val="00550B5B"/>
    <w:rsid w:val="0055208A"/>
    <w:rsid w:val="00553621"/>
    <w:rsid w:val="00560EAF"/>
    <w:rsid w:val="00561C14"/>
    <w:rsid w:val="0056200A"/>
    <w:rsid w:val="005625F9"/>
    <w:rsid w:val="00562AC6"/>
    <w:rsid w:val="00563096"/>
    <w:rsid w:val="0056365A"/>
    <w:rsid w:val="00563A24"/>
    <w:rsid w:val="005663C8"/>
    <w:rsid w:val="0056694E"/>
    <w:rsid w:val="00567316"/>
    <w:rsid w:val="00567697"/>
    <w:rsid w:val="00567D03"/>
    <w:rsid w:val="00570A39"/>
    <w:rsid w:val="005713E9"/>
    <w:rsid w:val="00574A2F"/>
    <w:rsid w:val="00576513"/>
    <w:rsid w:val="0057728D"/>
    <w:rsid w:val="00577527"/>
    <w:rsid w:val="005778CA"/>
    <w:rsid w:val="005801CF"/>
    <w:rsid w:val="005847DA"/>
    <w:rsid w:val="00584E74"/>
    <w:rsid w:val="00586E8D"/>
    <w:rsid w:val="0059242D"/>
    <w:rsid w:val="00593911"/>
    <w:rsid w:val="005941D7"/>
    <w:rsid w:val="00594F35"/>
    <w:rsid w:val="00597328"/>
    <w:rsid w:val="00597456"/>
    <w:rsid w:val="005A02E7"/>
    <w:rsid w:val="005A1990"/>
    <w:rsid w:val="005A38D0"/>
    <w:rsid w:val="005A3CF5"/>
    <w:rsid w:val="005A54B6"/>
    <w:rsid w:val="005A77B3"/>
    <w:rsid w:val="005B40FE"/>
    <w:rsid w:val="005B5182"/>
    <w:rsid w:val="005B5C17"/>
    <w:rsid w:val="005C0284"/>
    <w:rsid w:val="005C16B7"/>
    <w:rsid w:val="005C24F5"/>
    <w:rsid w:val="005C3189"/>
    <w:rsid w:val="005C4CC8"/>
    <w:rsid w:val="005C4E7B"/>
    <w:rsid w:val="005C74E8"/>
    <w:rsid w:val="005D3124"/>
    <w:rsid w:val="005D31AD"/>
    <w:rsid w:val="005D457E"/>
    <w:rsid w:val="005D56A8"/>
    <w:rsid w:val="005D73CD"/>
    <w:rsid w:val="005D77B8"/>
    <w:rsid w:val="005E1A82"/>
    <w:rsid w:val="005E3675"/>
    <w:rsid w:val="005E4732"/>
    <w:rsid w:val="005F047E"/>
    <w:rsid w:val="005F19EF"/>
    <w:rsid w:val="005F3B8D"/>
    <w:rsid w:val="005F40AA"/>
    <w:rsid w:val="005F467A"/>
    <w:rsid w:val="005F4DE3"/>
    <w:rsid w:val="006001C3"/>
    <w:rsid w:val="00600371"/>
    <w:rsid w:val="006009AE"/>
    <w:rsid w:val="0060314A"/>
    <w:rsid w:val="006035BA"/>
    <w:rsid w:val="00603B65"/>
    <w:rsid w:val="0060621C"/>
    <w:rsid w:val="006103F4"/>
    <w:rsid w:val="00610F7F"/>
    <w:rsid w:val="00611C58"/>
    <w:rsid w:val="0061278C"/>
    <w:rsid w:val="00613689"/>
    <w:rsid w:val="00614BC6"/>
    <w:rsid w:val="006166B6"/>
    <w:rsid w:val="00616FC0"/>
    <w:rsid w:val="00620DB8"/>
    <w:rsid w:val="00621B8E"/>
    <w:rsid w:val="00621D90"/>
    <w:rsid w:val="00625C76"/>
    <w:rsid w:val="00627884"/>
    <w:rsid w:val="00632EAD"/>
    <w:rsid w:val="00636014"/>
    <w:rsid w:val="00636162"/>
    <w:rsid w:val="00641144"/>
    <w:rsid w:val="00647158"/>
    <w:rsid w:val="0065083C"/>
    <w:rsid w:val="00650854"/>
    <w:rsid w:val="00650B3C"/>
    <w:rsid w:val="00651BD3"/>
    <w:rsid w:val="0065228E"/>
    <w:rsid w:val="0065388A"/>
    <w:rsid w:val="00653BAD"/>
    <w:rsid w:val="00653E0C"/>
    <w:rsid w:val="00655FBF"/>
    <w:rsid w:val="006619EA"/>
    <w:rsid w:val="00661CCB"/>
    <w:rsid w:val="00662836"/>
    <w:rsid w:val="00663F09"/>
    <w:rsid w:val="00664108"/>
    <w:rsid w:val="006653D9"/>
    <w:rsid w:val="00666184"/>
    <w:rsid w:val="0067239E"/>
    <w:rsid w:val="00672C09"/>
    <w:rsid w:val="00672DD5"/>
    <w:rsid w:val="0067457A"/>
    <w:rsid w:val="006816BA"/>
    <w:rsid w:val="00682428"/>
    <w:rsid w:val="00683A3D"/>
    <w:rsid w:val="00686A3E"/>
    <w:rsid w:val="006879EF"/>
    <w:rsid w:val="00687E1F"/>
    <w:rsid w:val="006902F9"/>
    <w:rsid w:val="006A027A"/>
    <w:rsid w:val="006B346F"/>
    <w:rsid w:val="006B4F92"/>
    <w:rsid w:val="006C0449"/>
    <w:rsid w:val="006C1226"/>
    <w:rsid w:val="006C2A80"/>
    <w:rsid w:val="006C2C10"/>
    <w:rsid w:val="006C500D"/>
    <w:rsid w:val="006C5B1D"/>
    <w:rsid w:val="006C63EA"/>
    <w:rsid w:val="006C66DC"/>
    <w:rsid w:val="006D0166"/>
    <w:rsid w:val="006D05EC"/>
    <w:rsid w:val="006D1FC1"/>
    <w:rsid w:val="006E2267"/>
    <w:rsid w:val="006E239B"/>
    <w:rsid w:val="006E4BB3"/>
    <w:rsid w:val="006F2EE2"/>
    <w:rsid w:val="006F3C57"/>
    <w:rsid w:val="006F4953"/>
    <w:rsid w:val="006F4FFB"/>
    <w:rsid w:val="006F55B2"/>
    <w:rsid w:val="006F6956"/>
    <w:rsid w:val="006F770A"/>
    <w:rsid w:val="00701178"/>
    <w:rsid w:val="00701E1F"/>
    <w:rsid w:val="007029CA"/>
    <w:rsid w:val="007037F6"/>
    <w:rsid w:val="0070653F"/>
    <w:rsid w:val="00707001"/>
    <w:rsid w:val="00710718"/>
    <w:rsid w:val="007113BA"/>
    <w:rsid w:val="0071350C"/>
    <w:rsid w:val="00715443"/>
    <w:rsid w:val="00715ECB"/>
    <w:rsid w:val="00720693"/>
    <w:rsid w:val="0072118A"/>
    <w:rsid w:val="0072185B"/>
    <w:rsid w:val="00722541"/>
    <w:rsid w:val="007236E1"/>
    <w:rsid w:val="00727BAB"/>
    <w:rsid w:val="00727C0B"/>
    <w:rsid w:val="00731581"/>
    <w:rsid w:val="00733225"/>
    <w:rsid w:val="0073355E"/>
    <w:rsid w:val="00735684"/>
    <w:rsid w:val="00735C7D"/>
    <w:rsid w:val="00736C3D"/>
    <w:rsid w:val="0074240E"/>
    <w:rsid w:val="00744125"/>
    <w:rsid w:val="00744E49"/>
    <w:rsid w:val="00745280"/>
    <w:rsid w:val="0074690F"/>
    <w:rsid w:val="00746D3C"/>
    <w:rsid w:val="007470DC"/>
    <w:rsid w:val="00750C49"/>
    <w:rsid w:val="00750FEB"/>
    <w:rsid w:val="00754371"/>
    <w:rsid w:val="00755970"/>
    <w:rsid w:val="00756064"/>
    <w:rsid w:val="0076299E"/>
    <w:rsid w:val="007644FD"/>
    <w:rsid w:val="00764633"/>
    <w:rsid w:val="00764D48"/>
    <w:rsid w:val="00765145"/>
    <w:rsid w:val="00765CAF"/>
    <w:rsid w:val="00771272"/>
    <w:rsid w:val="00771E57"/>
    <w:rsid w:val="007720B4"/>
    <w:rsid w:val="00772438"/>
    <w:rsid w:val="00772817"/>
    <w:rsid w:val="00773014"/>
    <w:rsid w:val="00773689"/>
    <w:rsid w:val="00777A4E"/>
    <w:rsid w:val="00783DDA"/>
    <w:rsid w:val="007912C6"/>
    <w:rsid w:val="00791D89"/>
    <w:rsid w:val="0079345C"/>
    <w:rsid w:val="00793ABD"/>
    <w:rsid w:val="00795278"/>
    <w:rsid w:val="00796D80"/>
    <w:rsid w:val="007972D1"/>
    <w:rsid w:val="007A0333"/>
    <w:rsid w:val="007A2049"/>
    <w:rsid w:val="007A2ABB"/>
    <w:rsid w:val="007A2D9F"/>
    <w:rsid w:val="007A3625"/>
    <w:rsid w:val="007A69E5"/>
    <w:rsid w:val="007B0270"/>
    <w:rsid w:val="007B241A"/>
    <w:rsid w:val="007B3390"/>
    <w:rsid w:val="007B461E"/>
    <w:rsid w:val="007B7333"/>
    <w:rsid w:val="007B76EB"/>
    <w:rsid w:val="007C1796"/>
    <w:rsid w:val="007C4AA6"/>
    <w:rsid w:val="007C712B"/>
    <w:rsid w:val="007C7761"/>
    <w:rsid w:val="007D026F"/>
    <w:rsid w:val="007D02FB"/>
    <w:rsid w:val="007D3426"/>
    <w:rsid w:val="007D3454"/>
    <w:rsid w:val="007D39C4"/>
    <w:rsid w:val="007D5CAD"/>
    <w:rsid w:val="007D62C2"/>
    <w:rsid w:val="007D7FD8"/>
    <w:rsid w:val="007E1F90"/>
    <w:rsid w:val="007E3190"/>
    <w:rsid w:val="007E5317"/>
    <w:rsid w:val="007F482D"/>
    <w:rsid w:val="007F69C1"/>
    <w:rsid w:val="00802EF2"/>
    <w:rsid w:val="008033C7"/>
    <w:rsid w:val="008140F4"/>
    <w:rsid w:val="00815293"/>
    <w:rsid w:val="0081668C"/>
    <w:rsid w:val="00825B82"/>
    <w:rsid w:val="008278AA"/>
    <w:rsid w:val="0083155A"/>
    <w:rsid w:val="008316B5"/>
    <w:rsid w:val="008317E0"/>
    <w:rsid w:val="00835D91"/>
    <w:rsid w:val="00841A2B"/>
    <w:rsid w:val="00841A3C"/>
    <w:rsid w:val="00841C84"/>
    <w:rsid w:val="00841D2F"/>
    <w:rsid w:val="0084228C"/>
    <w:rsid w:val="00842F78"/>
    <w:rsid w:val="008436B8"/>
    <w:rsid w:val="0084542B"/>
    <w:rsid w:val="00846CED"/>
    <w:rsid w:val="00847779"/>
    <w:rsid w:val="00847A12"/>
    <w:rsid w:val="0085089B"/>
    <w:rsid w:val="00850C7D"/>
    <w:rsid w:val="008518FD"/>
    <w:rsid w:val="008532AB"/>
    <w:rsid w:val="00853649"/>
    <w:rsid w:val="008543E3"/>
    <w:rsid w:val="00854B5A"/>
    <w:rsid w:val="00855BA0"/>
    <w:rsid w:val="00857EBA"/>
    <w:rsid w:val="00861036"/>
    <w:rsid w:val="00861AAF"/>
    <w:rsid w:val="00861DCD"/>
    <w:rsid w:val="00862ED1"/>
    <w:rsid w:val="00871C59"/>
    <w:rsid w:val="008729BF"/>
    <w:rsid w:val="00875D26"/>
    <w:rsid w:val="00877D62"/>
    <w:rsid w:val="00881646"/>
    <w:rsid w:val="008844D0"/>
    <w:rsid w:val="0088720B"/>
    <w:rsid w:val="00895003"/>
    <w:rsid w:val="00895833"/>
    <w:rsid w:val="00896EFD"/>
    <w:rsid w:val="008A0962"/>
    <w:rsid w:val="008A1700"/>
    <w:rsid w:val="008A2805"/>
    <w:rsid w:val="008B2FD5"/>
    <w:rsid w:val="008C14D5"/>
    <w:rsid w:val="008C1EFF"/>
    <w:rsid w:val="008C3269"/>
    <w:rsid w:val="008C621D"/>
    <w:rsid w:val="008C679D"/>
    <w:rsid w:val="008C6AC3"/>
    <w:rsid w:val="008D61EC"/>
    <w:rsid w:val="008D68BB"/>
    <w:rsid w:val="008E0223"/>
    <w:rsid w:val="008E31F5"/>
    <w:rsid w:val="008E40B4"/>
    <w:rsid w:val="008E5598"/>
    <w:rsid w:val="008F1032"/>
    <w:rsid w:val="008F2FEB"/>
    <w:rsid w:val="008F3A18"/>
    <w:rsid w:val="008F3BD9"/>
    <w:rsid w:val="008F5C99"/>
    <w:rsid w:val="008F6C17"/>
    <w:rsid w:val="00902853"/>
    <w:rsid w:val="0090702D"/>
    <w:rsid w:val="00910527"/>
    <w:rsid w:val="0091110A"/>
    <w:rsid w:val="00915726"/>
    <w:rsid w:val="00917E33"/>
    <w:rsid w:val="00920360"/>
    <w:rsid w:val="009203B4"/>
    <w:rsid w:val="009220ED"/>
    <w:rsid w:val="00931566"/>
    <w:rsid w:val="0093235A"/>
    <w:rsid w:val="00940581"/>
    <w:rsid w:val="0094256C"/>
    <w:rsid w:val="0094333F"/>
    <w:rsid w:val="0094401C"/>
    <w:rsid w:val="00944529"/>
    <w:rsid w:val="00944680"/>
    <w:rsid w:val="00944EAD"/>
    <w:rsid w:val="00952AC4"/>
    <w:rsid w:val="009532B6"/>
    <w:rsid w:val="009545DB"/>
    <w:rsid w:val="00954D27"/>
    <w:rsid w:val="009563BF"/>
    <w:rsid w:val="00956D12"/>
    <w:rsid w:val="0095711D"/>
    <w:rsid w:val="00964E7A"/>
    <w:rsid w:val="00965B79"/>
    <w:rsid w:val="00965C8A"/>
    <w:rsid w:val="009663CC"/>
    <w:rsid w:val="00966F56"/>
    <w:rsid w:val="00970229"/>
    <w:rsid w:val="00971B23"/>
    <w:rsid w:val="00976119"/>
    <w:rsid w:val="009763D0"/>
    <w:rsid w:val="0097707D"/>
    <w:rsid w:val="00981814"/>
    <w:rsid w:val="00981DAE"/>
    <w:rsid w:val="009824F4"/>
    <w:rsid w:val="00982D11"/>
    <w:rsid w:val="009844E2"/>
    <w:rsid w:val="00985965"/>
    <w:rsid w:val="00985988"/>
    <w:rsid w:val="00985C6E"/>
    <w:rsid w:val="00985FF1"/>
    <w:rsid w:val="00986A9B"/>
    <w:rsid w:val="0098717E"/>
    <w:rsid w:val="009900D5"/>
    <w:rsid w:val="00991D38"/>
    <w:rsid w:val="009935C6"/>
    <w:rsid w:val="00993772"/>
    <w:rsid w:val="00996892"/>
    <w:rsid w:val="009A25BE"/>
    <w:rsid w:val="009A2FD8"/>
    <w:rsid w:val="009A414B"/>
    <w:rsid w:val="009A75CF"/>
    <w:rsid w:val="009A7C6A"/>
    <w:rsid w:val="009B2958"/>
    <w:rsid w:val="009B2E9C"/>
    <w:rsid w:val="009B654F"/>
    <w:rsid w:val="009B74D4"/>
    <w:rsid w:val="009C1194"/>
    <w:rsid w:val="009C1833"/>
    <w:rsid w:val="009C28FA"/>
    <w:rsid w:val="009C43F6"/>
    <w:rsid w:val="009C4F7C"/>
    <w:rsid w:val="009C658F"/>
    <w:rsid w:val="009C6BE9"/>
    <w:rsid w:val="009C7A7B"/>
    <w:rsid w:val="009D040A"/>
    <w:rsid w:val="009D1D8A"/>
    <w:rsid w:val="009D5B68"/>
    <w:rsid w:val="009D6448"/>
    <w:rsid w:val="009D71E7"/>
    <w:rsid w:val="009D7B05"/>
    <w:rsid w:val="009E41A0"/>
    <w:rsid w:val="009E4A5F"/>
    <w:rsid w:val="009E7B6B"/>
    <w:rsid w:val="009F27A2"/>
    <w:rsid w:val="009F369E"/>
    <w:rsid w:val="009F46E4"/>
    <w:rsid w:val="009F567A"/>
    <w:rsid w:val="009F739F"/>
    <w:rsid w:val="009F7604"/>
    <w:rsid w:val="00A05D4C"/>
    <w:rsid w:val="00A07663"/>
    <w:rsid w:val="00A07E77"/>
    <w:rsid w:val="00A13EED"/>
    <w:rsid w:val="00A147A7"/>
    <w:rsid w:val="00A154D6"/>
    <w:rsid w:val="00A174CF"/>
    <w:rsid w:val="00A205C9"/>
    <w:rsid w:val="00A228C1"/>
    <w:rsid w:val="00A31E76"/>
    <w:rsid w:val="00A329F0"/>
    <w:rsid w:val="00A336AC"/>
    <w:rsid w:val="00A33AEB"/>
    <w:rsid w:val="00A35F31"/>
    <w:rsid w:val="00A40415"/>
    <w:rsid w:val="00A40958"/>
    <w:rsid w:val="00A40C92"/>
    <w:rsid w:val="00A42833"/>
    <w:rsid w:val="00A4395C"/>
    <w:rsid w:val="00A52493"/>
    <w:rsid w:val="00A621A1"/>
    <w:rsid w:val="00A64DDC"/>
    <w:rsid w:val="00A650B7"/>
    <w:rsid w:val="00A65100"/>
    <w:rsid w:val="00A66F2F"/>
    <w:rsid w:val="00A704C6"/>
    <w:rsid w:val="00A72E6C"/>
    <w:rsid w:val="00A72F4B"/>
    <w:rsid w:val="00A740F3"/>
    <w:rsid w:val="00A753CA"/>
    <w:rsid w:val="00A7591D"/>
    <w:rsid w:val="00A75C7F"/>
    <w:rsid w:val="00A76454"/>
    <w:rsid w:val="00A77D61"/>
    <w:rsid w:val="00A81EF9"/>
    <w:rsid w:val="00A8566B"/>
    <w:rsid w:val="00A86707"/>
    <w:rsid w:val="00A90CCB"/>
    <w:rsid w:val="00A935B7"/>
    <w:rsid w:val="00A93E31"/>
    <w:rsid w:val="00A94187"/>
    <w:rsid w:val="00A94722"/>
    <w:rsid w:val="00A96054"/>
    <w:rsid w:val="00A96196"/>
    <w:rsid w:val="00A97E63"/>
    <w:rsid w:val="00AA0111"/>
    <w:rsid w:val="00AA187A"/>
    <w:rsid w:val="00AA30BE"/>
    <w:rsid w:val="00AA39AB"/>
    <w:rsid w:val="00AA4A71"/>
    <w:rsid w:val="00AA5F19"/>
    <w:rsid w:val="00AA5F9A"/>
    <w:rsid w:val="00AA699D"/>
    <w:rsid w:val="00AB0CF0"/>
    <w:rsid w:val="00AB0E98"/>
    <w:rsid w:val="00AB11D1"/>
    <w:rsid w:val="00AB1E54"/>
    <w:rsid w:val="00AB2680"/>
    <w:rsid w:val="00AB28AF"/>
    <w:rsid w:val="00AB2AAF"/>
    <w:rsid w:val="00AB53D4"/>
    <w:rsid w:val="00AB66E3"/>
    <w:rsid w:val="00AB7FCB"/>
    <w:rsid w:val="00AC1DD6"/>
    <w:rsid w:val="00AC57FE"/>
    <w:rsid w:val="00AC6B74"/>
    <w:rsid w:val="00AC7335"/>
    <w:rsid w:val="00AD0EBC"/>
    <w:rsid w:val="00AD1212"/>
    <w:rsid w:val="00AD2730"/>
    <w:rsid w:val="00AD5988"/>
    <w:rsid w:val="00AD5DA8"/>
    <w:rsid w:val="00AD7CD1"/>
    <w:rsid w:val="00AE1E25"/>
    <w:rsid w:val="00AE232F"/>
    <w:rsid w:val="00AE4C79"/>
    <w:rsid w:val="00AE5B34"/>
    <w:rsid w:val="00AF2764"/>
    <w:rsid w:val="00AF2A6E"/>
    <w:rsid w:val="00AF3CF4"/>
    <w:rsid w:val="00AF494E"/>
    <w:rsid w:val="00AF7E57"/>
    <w:rsid w:val="00AF7EE8"/>
    <w:rsid w:val="00B05742"/>
    <w:rsid w:val="00B113ED"/>
    <w:rsid w:val="00B11979"/>
    <w:rsid w:val="00B13396"/>
    <w:rsid w:val="00B14AE5"/>
    <w:rsid w:val="00B1500A"/>
    <w:rsid w:val="00B2094F"/>
    <w:rsid w:val="00B20E47"/>
    <w:rsid w:val="00B20FD1"/>
    <w:rsid w:val="00B21524"/>
    <w:rsid w:val="00B22A05"/>
    <w:rsid w:val="00B250A2"/>
    <w:rsid w:val="00B26921"/>
    <w:rsid w:val="00B279A8"/>
    <w:rsid w:val="00B30B6A"/>
    <w:rsid w:val="00B34B1B"/>
    <w:rsid w:val="00B37A2C"/>
    <w:rsid w:val="00B42249"/>
    <w:rsid w:val="00B42399"/>
    <w:rsid w:val="00B433B3"/>
    <w:rsid w:val="00B5041A"/>
    <w:rsid w:val="00B541C5"/>
    <w:rsid w:val="00B61931"/>
    <w:rsid w:val="00B6223A"/>
    <w:rsid w:val="00B63167"/>
    <w:rsid w:val="00B639C8"/>
    <w:rsid w:val="00B678CE"/>
    <w:rsid w:val="00B70342"/>
    <w:rsid w:val="00B70F51"/>
    <w:rsid w:val="00B711CC"/>
    <w:rsid w:val="00B75A58"/>
    <w:rsid w:val="00B76816"/>
    <w:rsid w:val="00B812F6"/>
    <w:rsid w:val="00B8176A"/>
    <w:rsid w:val="00B918E2"/>
    <w:rsid w:val="00B92795"/>
    <w:rsid w:val="00B94ABB"/>
    <w:rsid w:val="00B95801"/>
    <w:rsid w:val="00B97494"/>
    <w:rsid w:val="00BA1747"/>
    <w:rsid w:val="00BA5DD0"/>
    <w:rsid w:val="00BA7721"/>
    <w:rsid w:val="00BB1932"/>
    <w:rsid w:val="00BB256E"/>
    <w:rsid w:val="00BB4131"/>
    <w:rsid w:val="00BB65BB"/>
    <w:rsid w:val="00BB660C"/>
    <w:rsid w:val="00BC02E2"/>
    <w:rsid w:val="00BC1979"/>
    <w:rsid w:val="00BC2777"/>
    <w:rsid w:val="00BC2B4D"/>
    <w:rsid w:val="00BC357B"/>
    <w:rsid w:val="00BC373C"/>
    <w:rsid w:val="00BC4F03"/>
    <w:rsid w:val="00BC741A"/>
    <w:rsid w:val="00BD320B"/>
    <w:rsid w:val="00BD32E7"/>
    <w:rsid w:val="00BD416E"/>
    <w:rsid w:val="00BD4593"/>
    <w:rsid w:val="00BD51E5"/>
    <w:rsid w:val="00BD5292"/>
    <w:rsid w:val="00BD5612"/>
    <w:rsid w:val="00BD5DF8"/>
    <w:rsid w:val="00BE0830"/>
    <w:rsid w:val="00BE0AD7"/>
    <w:rsid w:val="00BE321B"/>
    <w:rsid w:val="00BE44D5"/>
    <w:rsid w:val="00BE59A3"/>
    <w:rsid w:val="00BE5A88"/>
    <w:rsid w:val="00BE6B0C"/>
    <w:rsid w:val="00BE7154"/>
    <w:rsid w:val="00BF0985"/>
    <w:rsid w:val="00BF2093"/>
    <w:rsid w:val="00BF3C23"/>
    <w:rsid w:val="00BF620B"/>
    <w:rsid w:val="00BF6756"/>
    <w:rsid w:val="00BF7B0D"/>
    <w:rsid w:val="00C00406"/>
    <w:rsid w:val="00C02A87"/>
    <w:rsid w:val="00C03381"/>
    <w:rsid w:val="00C0343C"/>
    <w:rsid w:val="00C04D32"/>
    <w:rsid w:val="00C05356"/>
    <w:rsid w:val="00C05E94"/>
    <w:rsid w:val="00C06A27"/>
    <w:rsid w:val="00C07660"/>
    <w:rsid w:val="00C079E8"/>
    <w:rsid w:val="00C105DB"/>
    <w:rsid w:val="00C10CB2"/>
    <w:rsid w:val="00C1109F"/>
    <w:rsid w:val="00C1188D"/>
    <w:rsid w:val="00C118A3"/>
    <w:rsid w:val="00C1273D"/>
    <w:rsid w:val="00C130B9"/>
    <w:rsid w:val="00C1454B"/>
    <w:rsid w:val="00C14587"/>
    <w:rsid w:val="00C151A3"/>
    <w:rsid w:val="00C27049"/>
    <w:rsid w:val="00C309DA"/>
    <w:rsid w:val="00C319D4"/>
    <w:rsid w:val="00C333C3"/>
    <w:rsid w:val="00C36382"/>
    <w:rsid w:val="00C37919"/>
    <w:rsid w:val="00C4248D"/>
    <w:rsid w:val="00C43C19"/>
    <w:rsid w:val="00C4655A"/>
    <w:rsid w:val="00C46CBF"/>
    <w:rsid w:val="00C52E88"/>
    <w:rsid w:val="00C53127"/>
    <w:rsid w:val="00C57E18"/>
    <w:rsid w:val="00C6042E"/>
    <w:rsid w:val="00C60E70"/>
    <w:rsid w:val="00C6291D"/>
    <w:rsid w:val="00C655BE"/>
    <w:rsid w:val="00C656D8"/>
    <w:rsid w:val="00C70872"/>
    <w:rsid w:val="00C7222B"/>
    <w:rsid w:val="00C746BC"/>
    <w:rsid w:val="00C74751"/>
    <w:rsid w:val="00C76115"/>
    <w:rsid w:val="00C80BF5"/>
    <w:rsid w:val="00C8145A"/>
    <w:rsid w:val="00C81E49"/>
    <w:rsid w:val="00C83B4B"/>
    <w:rsid w:val="00C8503E"/>
    <w:rsid w:val="00C8529F"/>
    <w:rsid w:val="00C8702F"/>
    <w:rsid w:val="00C90E4A"/>
    <w:rsid w:val="00C91B7B"/>
    <w:rsid w:val="00C9291E"/>
    <w:rsid w:val="00C93F42"/>
    <w:rsid w:val="00C94500"/>
    <w:rsid w:val="00C946D2"/>
    <w:rsid w:val="00C94C13"/>
    <w:rsid w:val="00C95BAC"/>
    <w:rsid w:val="00CA0BAE"/>
    <w:rsid w:val="00CA171B"/>
    <w:rsid w:val="00CA1C20"/>
    <w:rsid w:val="00CA2A12"/>
    <w:rsid w:val="00CA4556"/>
    <w:rsid w:val="00CA5B3A"/>
    <w:rsid w:val="00CB0A73"/>
    <w:rsid w:val="00CB0E80"/>
    <w:rsid w:val="00CB19C7"/>
    <w:rsid w:val="00CB23C8"/>
    <w:rsid w:val="00CB2930"/>
    <w:rsid w:val="00CB701E"/>
    <w:rsid w:val="00CB719C"/>
    <w:rsid w:val="00CB77FA"/>
    <w:rsid w:val="00CC0B71"/>
    <w:rsid w:val="00CC3004"/>
    <w:rsid w:val="00CC34DB"/>
    <w:rsid w:val="00CC3826"/>
    <w:rsid w:val="00CC431F"/>
    <w:rsid w:val="00CC4643"/>
    <w:rsid w:val="00CD1B02"/>
    <w:rsid w:val="00CD3008"/>
    <w:rsid w:val="00CD3390"/>
    <w:rsid w:val="00CD567F"/>
    <w:rsid w:val="00CE084F"/>
    <w:rsid w:val="00CE112D"/>
    <w:rsid w:val="00CE12E0"/>
    <w:rsid w:val="00CF1455"/>
    <w:rsid w:val="00CF3C13"/>
    <w:rsid w:val="00CF443E"/>
    <w:rsid w:val="00CF4CD5"/>
    <w:rsid w:val="00CF5127"/>
    <w:rsid w:val="00CF5AA3"/>
    <w:rsid w:val="00D00A11"/>
    <w:rsid w:val="00D02D43"/>
    <w:rsid w:val="00D03432"/>
    <w:rsid w:val="00D03DC1"/>
    <w:rsid w:val="00D03F75"/>
    <w:rsid w:val="00D04C48"/>
    <w:rsid w:val="00D0596A"/>
    <w:rsid w:val="00D10719"/>
    <w:rsid w:val="00D10A83"/>
    <w:rsid w:val="00D151E3"/>
    <w:rsid w:val="00D15EE8"/>
    <w:rsid w:val="00D167AC"/>
    <w:rsid w:val="00D203E7"/>
    <w:rsid w:val="00D21197"/>
    <w:rsid w:val="00D212BB"/>
    <w:rsid w:val="00D22829"/>
    <w:rsid w:val="00D305E7"/>
    <w:rsid w:val="00D311D5"/>
    <w:rsid w:val="00D31794"/>
    <w:rsid w:val="00D34936"/>
    <w:rsid w:val="00D35D0B"/>
    <w:rsid w:val="00D35F90"/>
    <w:rsid w:val="00D412CF"/>
    <w:rsid w:val="00D414AF"/>
    <w:rsid w:val="00D42A6A"/>
    <w:rsid w:val="00D42CDA"/>
    <w:rsid w:val="00D42DCF"/>
    <w:rsid w:val="00D442AC"/>
    <w:rsid w:val="00D44A47"/>
    <w:rsid w:val="00D453A0"/>
    <w:rsid w:val="00D457D5"/>
    <w:rsid w:val="00D46D4E"/>
    <w:rsid w:val="00D512FF"/>
    <w:rsid w:val="00D51EFB"/>
    <w:rsid w:val="00D52853"/>
    <w:rsid w:val="00D56FE0"/>
    <w:rsid w:val="00D572BD"/>
    <w:rsid w:val="00D579BC"/>
    <w:rsid w:val="00D57F5D"/>
    <w:rsid w:val="00D6107A"/>
    <w:rsid w:val="00D623C6"/>
    <w:rsid w:val="00D6363D"/>
    <w:rsid w:val="00D64273"/>
    <w:rsid w:val="00D65291"/>
    <w:rsid w:val="00D65466"/>
    <w:rsid w:val="00D6596B"/>
    <w:rsid w:val="00D65995"/>
    <w:rsid w:val="00D65EEB"/>
    <w:rsid w:val="00D661AE"/>
    <w:rsid w:val="00D669E9"/>
    <w:rsid w:val="00D6726F"/>
    <w:rsid w:val="00D742C7"/>
    <w:rsid w:val="00D74672"/>
    <w:rsid w:val="00D74A9B"/>
    <w:rsid w:val="00D778D5"/>
    <w:rsid w:val="00D81241"/>
    <w:rsid w:val="00D82E0D"/>
    <w:rsid w:val="00D860E2"/>
    <w:rsid w:val="00D87516"/>
    <w:rsid w:val="00D90931"/>
    <w:rsid w:val="00D909B2"/>
    <w:rsid w:val="00D910AC"/>
    <w:rsid w:val="00D9123F"/>
    <w:rsid w:val="00D91275"/>
    <w:rsid w:val="00D91AC5"/>
    <w:rsid w:val="00D9232F"/>
    <w:rsid w:val="00D95EEC"/>
    <w:rsid w:val="00D96BFD"/>
    <w:rsid w:val="00D971FA"/>
    <w:rsid w:val="00D97DDD"/>
    <w:rsid w:val="00DA02AE"/>
    <w:rsid w:val="00DA099D"/>
    <w:rsid w:val="00DA0ABE"/>
    <w:rsid w:val="00DA0B61"/>
    <w:rsid w:val="00DA207E"/>
    <w:rsid w:val="00DA3EF0"/>
    <w:rsid w:val="00DA730B"/>
    <w:rsid w:val="00DB1A93"/>
    <w:rsid w:val="00DB2A7F"/>
    <w:rsid w:val="00DB2EE5"/>
    <w:rsid w:val="00DB3A98"/>
    <w:rsid w:val="00DB6059"/>
    <w:rsid w:val="00DB63DB"/>
    <w:rsid w:val="00DB794A"/>
    <w:rsid w:val="00DB7AF8"/>
    <w:rsid w:val="00DB7CEA"/>
    <w:rsid w:val="00DD13E9"/>
    <w:rsid w:val="00DE0FB2"/>
    <w:rsid w:val="00DE1839"/>
    <w:rsid w:val="00DE39D2"/>
    <w:rsid w:val="00DE3DC3"/>
    <w:rsid w:val="00DE4274"/>
    <w:rsid w:val="00DE7245"/>
    <w:rsid w:val="00DE79E5"/>
    <w:rsid w:val="00DF02C0"/>
    <w:rsid w:val="00DF0BB2"/>
    <w:rsid w:val="00DF2BB2"/>
    <w:rsid w:val="00DF4F73"/>
    <w:rsid w:val="00DF63A9"/>
    <w:rsid w:val="00DF7616"/>
    <w:rsid w:val="00DF7FBB"/>
    <w:rsid w:val="00E0059E"/>
    <w:rsid w:val="00E01639"/>
    <w:rsid w:val="00E031F3"/>
    <w:rsid w:val="00E05504"/>
    <w:rsid w:val="00E07467"/>
    <w:rsid w:val="00E10412"/>
    <w:rsid w:val="00E1043B"/>
    <w:rsid w:val="00E10552"/>
    <w:rsid w:val="00E11D31"/>
    <w:rsid w:val="00E1290C"/>
    <w:rsid w:val="00E1365F"/>
    <w:rsid w:val="00E1444A"/>
    <w:rsid w:val="00E172C1"/>
    <w:rsid w:val="00E2025A"/>
    <w:rsid w:val="00E218EC"/>
    <w:rsid w:val="00E224BD"/>
    <w:rsid w:val="00E2566A"/>
    <w:rsid w:val="00E2620C"/>
    <w:rsid w:val="00E268B4"/>
    <w:rsid w:val="00E32FFD"/>
    <w:rsid w:val="00E444E4"/>
    <w:rsid w:val="00E44E32"/>
    <w:rsid w:val="00E45369"/>
    <w:rsid w:val="00E454A3"/>
    <w:rsid w:val="00E4575A"/>
    <w:rsid w:val="00E45B79"/>
    <w:rsid w:val="00E50164"/>
    <w:rsid w:val="00E52A56"/>
    <w:rsid w:val="00E553DB"/>
    <w:rsid w:val="00E56709"/>
    <w:rsid w:val="00E60A95"/>
    <w:rsid w:val="00E62FB1"/>
    <w:rsid w:val="00E67D62"/>
    <w:rsid w:val="00E67FE9"/>
    <w:rsid w:val="00E70654"/>
    <w:rsid w:val="00E70B8D"/>
    <w:rsid w:val="00E72132"/>
    <w:rsid w:val="00E73DE1"/>
    <w:rsid w:val="00E749DE"/>
    <w:rsid w:val="00E749E2"/>
    <w:rsid w:val="00E74E51"/>
    <w:rsid w:val="00E7535A"/>
    <w:rsid w:val="00E75434"/>
    <w:rsid w:val="00E831CE"/>
    <w:rsid w:val="00E83A49"/>
    <w:rsid w:val="00E844C5"/>
    <w:rsid w:val="00E86369"/>
    <w:rsid w:val="00E9401F"/>
    <w:rsid w:val="00E95323"/>
    <w:rsid w:val="00E97709"/>
    <w:rsid w:val="00EA1700"/>
    <w:rsid w:val="00EA27CC"/>
    <w:rsid w:val="00EA3D53"/>
    <w:rsid w:val="00EB216B"/>
    <w:rsid w:val="00EB40DD"/>
    <w:rsid w:val="00EB461D"/>
    <w:rsid w:val="00EB4A84"/>
    <w:rsid w:val="00EB5977"/>
    <w:rsid w:val="00EC027A"/>
    <w:rsid w:val="00EC5C7A"/>
    <w:rsid w:val="00EC712A"/>
    <w:rsid w:val="00ED13D2"/>
    <w:rsid w:val="00ED2732"/>
    <w:rsid w:val="00ED3101"/>
    <w:rsid w:val="00ED396E"/>
    <w:rsid w:val="00ED49F4"/>
    <w:rsid w:val="00ED6AE8"/>
    <w:rsid w:val="00EE1DBA"/>
    <w:rsid w:val="00EE24E0"/>
    <w:rsid w:val="00EF0D92"/>
    <w:rsid w:val="00EF1198"/>
    <w:rsid w:val="00EF249D"/>
    <w:rsid w:val="00EF24C1"/>
    <w:rsid w:val="00EF4CB1"/>
    <w:rsid w:val="00EF6003"/>
    <w:rsid w:val="00EF6B16"/>
    <w:rsid w:val="00F0546B"/>
    <w:rsid w:val="00F15F8B"/>
    <w:rsid w:val="00F170AD"/>
    <w:rsid w:val="00F17519"/>
    <w:rsid w:val="00F21BC7"/>
    <w:rsid w:val="00F24F7A"/>
    <w:rsid w:val="00F2708B"/>
    <w:rsid w:val="00F27DB9"/>
    <w:rsid w:val="00F304E8"/>
    <w:rsid w:val="00F31B9C"/>
    <w:rsid w:val="00F33F3E"/>
    <w:rsid w:val="00F34830"/>
    <w:rsid w:val="00F357CD"/>
    <w:rsid w:val="00F35DFF"/>
    <w:rsid w:val="00F4188D"/>
    <w:rsid w:val="00F435EB"/>
    <w:rsid w:val="00F437CC"/>
    <w:rsid w:val="00F43970"/>
    <w:rsid w:val="00F43EFB"/>
    <w:rsid w:val="00F4639F"/>
    <w:rsid w:val="00F4754A"/>
    <w:rsid w:val="00F51838"/>
    <w:rsid w:val="00F53477"/>
    <w:rsid w:val="00F53552"/>
    <w:rsid w:val="00F542F5"/>
    <w:rsid w:val="00F5634F"/>
    <w:rsid w:val="00F57BEF"/>
    <w:rsid w:val="00F57FC2"/>
    <w:rsid w:val="00F6047E"/>
    <w:rsid w:val="00F60D1E"/>
    <w:rsid w:val="00F63755"/>
    <w:rsid w:val="00F66738"/>
    <w:rsid w:val="00F66C80"/>
    <w:rsid w:val="00F67527"/>
    <w:rsid w:val="00F70819"/>
    <w:rsid w:val="00F71690"/>
    <w:rsid w:val="00F74A76"/>
    <w:rsid w:val="00F76A29"/>
    <w:rsid w:val="00F77799"/>
    <w:rsid w:val="00F80A29"/>
    <w:rsid w:val="00F83311"/>
    <w:rsid w:val="00F91211"/>
    <w:rsid w:val="00F9199F"/>
    <w:rsid w:val="00F91B29"/>
    <w:rsid w:val="00FA07BD"/>
    <w:rsid w:val="00FA0C72"/>
    <w:rsid w:val="00FA0EA1"/>
    <w:rsid w:val="00FA25A9"/>
    <w:rsid w:val="00FA2F57"/>
    <w:rsid w:val="00FA3600"/>
    <w:rsid w:val="00FA375B"/>
    <w:rsid w:val="00FA45A7"/>
    <w:rsid w:val="00FA70A2"/>
    <w:rsid w:val="00FB053D"/>
    <w:rsid w:val="00FB70EB"/>
    <w:rsid w:val="00FC22D5"/>
    <w:rsid w:val="00FC325F"/>
    <w:rsid w:val="00FC36BB"/>
    <w:rsid w:val="00FC37F7"/>
    <w:rsid w:val="00FC5582"/>
    <w:rsid w:val="00FC5F1B"/>
    <w:rsid w:val="00FD0D24"/>
    <w:rsid w:val="00FD1A45"/>
    <w:rsid w:val="00FD27EF"/>
    <w:rsid w:val="00FD36E1"/>
    <w:rsid w:val="00FD3E82"/>
    <w:rsid w:val="00FD40CB"/>
    <w:rsid w:val="00FD4632"/>
    <w:rsid w:val="00FD53A4"/>
    <w:rsid w:val="00FD6A0B"/>
    <w:rsid w:val="00FD7692"/>
    <w:rsid w:val="00FD7BD2"/>
    <w:rsid w:val="00FE1279"/>
    <w:rsid w:val="00FE6D04"/>
    <w:rsid w:val="00FE7C63"/>
    <w:rsid w:val="00FF1239"/>
    <w:rsid w:val="00FF16B8"/>
    <w:rsid w:val="00FF2FFD"/>
    <w:rsid w:val="00FF5022"/>
    <w:rsid w:val="00FF610E"/>
    <w:rsid w:val="00FF69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3DEE9C54"/>
  <w15:chartTrackingRefBased/>
  <w15:docId w15:val="{F99E5E9F-B323-41AA-9F6B-29A5A5D5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header" w:locked="1"/>
    <w:lsdException w:name="foot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2" w:locked="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3C8"/>
    <w:rPr>
      <w:rFonts w:ascii="Times New Roman" w:hAnsi="Times New Roman"/>
      <w:sz w:val="24"/>
    </w:rPr>
  </w:style>
  <w:style w:type="paragraph" w:styleId="Heading1">
    <w:name w:val="heading 1"/>
    <w:basedOn w:val="ListParagraph"/>
    <w:next w:val="Normal"/>
    <w:link w:val="Heading1Char"/>
    <w:qFormat/>
    <w:locked/>
    <w:rsid w:val="00755970"/>
    <w:pPr>
      <w:spacing w:after="240"/>
      <w:ind w:hanging="720"/>
      <w:contextualSpacing w:val="0"/>
      <w:outlineLvl w:val="0"/>
    </w:pPr>
    <w:rPr>
      <w:rFonts w:eastAsia="Times New Roman"/>
      <w:b/>
      <w:bCs/>
      <w:szCs w:val="24"/>
    </w:rPr>
  </w:style>
  <w:style w:type="paragraph" w:styleId="Heading2">
    <w:name w:val="heading 2"/>
    <w:basedOn w:val="Normal"/>
    <w:next w:val="Normal"/>
    <w:link w:val="Heading2Char"/>
    <w:unhideWhenUsed/>
    <w:qFormat/>
    <w:locked/>
    <w:rsid w:val="00C03381"/>
    <w:pPr>
      <w:spacing w:after="240"/>
      <w:ind w:left="1440" w:hanging="72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locked/>
    <w:rPr>
      <w:rFonts w:ascii="Times New Roman" w:hAnsi="Times New Roman" w:cs="Times New Roman"/>
      <w:sz w:val="20"/>
      <w:szCs w:val="20"/>
    </w:rPr>
  </w:style>
  <w:style w:type="paragraph" w:styleId="Title">
    <w:name w:val="Title"/>
    <w:basedOn w:val="Normal"/>
    <w:link w:val="TitleChar"/>
    <w:qFormat/>
    <w:pPr>
      <w:tabs>
        <w:tab w:val="left" w:pos="720"/>
        <w:tab w:val="left" w:pos="5670"/>
        <w:tab w:val="left" w:pos="6030"/>
      </w:tabs>
      <w:jc w:val="center"/>
    </w:pPr>
    <w:rPr>
      <w:b/>
    </w:rPr>
  </w:style>
  <w:style w:type="character" w:customStyle="1" w:styleId="TitleChar">
    <w:name w:val="Title Char"/>
    <w:link w:val="Title"/>
    <w:locked/>
    <w:rPr>
      <w:rFonts w:ascii="Bookman Old Style" w:hAnsi="Bookman Old Style" w:cs="Times New Roman"/>
      <w:b/>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Bookman Old Style" w:hAnsi="Bookman Old Style" w:cs="Times New Roman"/>
      <w:sz w:val="20"/>
      <w:szCs w:val="20"/>
    </w:rPr>
  </w:style>
  <w:style w:type="character" w:styleId="Hyperlink">
    <w:name w:val="Hyperlink"/>
    <w:uiPriority w:val="99"/>
    <w:rPr>
      <w:rFonts w:cs="Times New Roman"/>
      <w:color w:val="0000FF"/>
      <w:u w:val="single"/>
    </w:rPr>
  </w:style>
  <w:style w:type="paragraph" w:styleId="BodyText2">
    <w:name w:val="Body Text 2"/>
    <w:basedOn w:val="Normal"/>
    <w:link w:val="BodyText2Char"/>
    <w:rPr>
      <w:rFonts w:ascii="Arial" w:hAnsi="Arial"/>
      <w:b/>
    </w:rPr>
  </w:style>
  <w:style w:type="character" w:customStyle="1" w:styleId="BodyText2Char">
    <w:name w:val="Body Text 2 Char"/>
    <w:link w:val="BodyText2"/>
    <w:locked/>
    <w:rPr>
      <w:rFonts w:ascii="Arial" w:hAnsi="Arial" w:cs="Times New Roman"/>
      <w:b/>
      <w:sz w:val="20"/>
      <w:szCs w:val="20"/>
    </w:rPr>
  </w:style>
  <w:style w:type="paragraph" w:styleId="FootnoteText">
    <w:name w:val="footnote text"/>
    <w:aliases w:val="ALTS FOOTNOTE,Footnote Text Cha,Footnote Text Char Char,Footnote Text Char Char4 Char,Footnote Text Char Char4 Char1 Char Char,Footnote Text Char1,Footnote Text Char2,Footnote Text Char4 Char,Footnote Text Char4 Char1 Char Char,fn,fn Char"/>
    <w:basedOn w:val="Normal"/>
    <w:link w:val="FootnoteTextChar"/>
    <w:uiPriority w:val="99"/>
    <w:qFormat/>
    <w:rPr>
      <w:sz w:val="20"/>
    </w:rPr>
  </w:style>
  <w:style w:type="character" w:customStyle="1" w:styleId="FootnoteTextChar">
    <w:name w:val="Footnote Text Char"/>
    <w:aliases w:val="ALTS FOOTNOTE Char1,Footnote Text Cha Char,Footnote Text Char Char Char2,Footnote Text Char Char4 Char Char1,Footnote Text Char Char4 Char1 Char Char Char1,Footnote Text Char1 Char2,Footnote Text Char2 Char,fn Char Char1,fn Char1"/>
    <w:link w:val="FootnoteText"/>
    <w:uiPriority w:val="99"/>
    <w:locked/>
    <w:rPr>
      <w:rFonts w:ascii="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rPr>
      <w:rFonts w:cs="Times New Roman"/>
      <w:vertAlign w:val="superscript"/>
    </w:rPr>
  </w:style>
  <w:style w:type="paragraph" w:styleId="BodyText">
    <w:name w:val="Body Text"/>
    <w:basedOn w:val="Normal"/>
    <w:link w:val="BodyTextChar"/>
    <w:pPr>
      <w:spacing w:after="120"/>
    </w:pPr>
  </w:style>
  <w:style w:type="character" w:customStyle="1" w:styleId="BodyTextChar">
    <w:name w:val="Body Text Char"/>
    <w:link w:val="BodyText"/>
    <w:locked/>
    <w:rPr>
      <w:rFonts w:ascii="Bookman Old Style" w:hAnsi="Bookman Old Style" w:cs="Times New Roman"/>
      <w:sz w:val="20"/>
      <w:szCs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rFonts w:ascii="Bookman Old Style" w:hAnsi="Bookman Old Style" w:cs="Times New Roman"/>
      <w:sz w:val="20"/>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aliases w:val=" Char Char,Char Char"/>
    <w:link w:val="HTMLPreformatted"/>
    <w:locked/>
    <w:rPr>
      <w:rFonts w:ascii="Courier New" w:hAnsi="Courier New" w:cs="Courier New"/>
      <w:lang w:val="en-US" w:eastAsia="en-US" w:bidi="ar-SA"/>
    </w:rPr>
  </w:style>
  <w:style w:type="table" w:styleId="TableGrid">
    <w:name w:val="Table Grid"/>
    <w:basedOn w:val="Table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
    <w:name w:val="Footnote Text Char1 Char"/>
    <w:aliases w:val="Footnote Text Char Char Char,Footnote Text Char Char1,Footnote Text Char Char4 Char Char,Footnote Text Char Char4 Char1 Char Char Char,Footnote Text Char3,Footnote Text Char4 Char Char,Footnote Text Char4 Char1 Char Char Char"/>
    <w:rPr>
      <w:lang w:val="en-US" w:eastAsia="en-US" w:bidi="ar-SA"/>
    </w:rPr>
  </w:style>
  <w:style w:type="character" w:customStyle="1" w:styleId="FootnoteTextChar1Char1">
    <w:name w:val="Footnote Text Char1 Char1"/>
    <w:aliases w:val="ALTS FOOTNOTE Char,Footnote Text Char Char Char Char Char1,Footnote Text Char Char Char1,Footnote Text Char Char2,Footnote Text Char1 Char Char1 Char1,Footnote Text Char2 Char Char Char Char1 Char1,fn Char Char"/>
    <w:semiHidden/>
    <w:locked/>
    <w:rPr>
      <w:lang w:val="en-US" w:eastAsia="en-US" w:bidi="ar-SA"/>
    </w:rPr>
  </w:style>
  <w:style w:type="paragraph" w:customStyle="1" w:styleId="indexheadin">
    <w:name w:val="index headin"/>
    <w:pPr>
      <w:widowControl w:val="0"/>
      <w:tabs>
        <w:tab w:val="left" w:pos="-720"/>
      </w:tabs>
      <w:suppressAutoHyphens/>
    </w:pPr>
    <w:rPr>
      <w:rFonts w:ascii="Courier New" w:eastAsia="Times New Roman" w:hAnsi="Courier New"/>
      <w:b/>
      <w:snapToGrid w:val="0"/>
      <w:sz w:val="24"/>
    </w:rPr>
  </w:style>
  <w:style w:type="character" w:styleId="PageNumber">
    <w:name w:val="page number"/>
    <w:basedOn w:val="DefaultParagraphFont"/>
  </w:style>
  <w:style w:type="paragraph" w:customStyle="1" w:styleId="CharChar3">
    <w:name w:val="Char Char3"/>
    <w:basedOn w:val="Normal"/>
    <w:rsid w:val="00BA5FBE"/>
    <w:pPr>
      <w:widowControl w:val="0"/>
      <w:spacing w:line="280" w:lineRule="atLeast"/>
    </w:pPr>
    <w:rPr>
      <w:rFonts w:eastAsia="MS Mincho"/>
      <w:sz w:val="22"/>
      <w:lang w:val="en-GB" w:eastAsia="en-GB"/>
    </w:rPr>
  </w:style>
  <w:style w:type="paragraph" w:styleId="BodyTextIndent3">
    <w:name w:val="Body Text Indent 3"/>
    <w:basedOn w:val="Normal"/>
    <w:link w:val="BodyTextIndent3Char"/>
    <w:rsid w:val="00BA5FBE"/>
    <w:pPr>
      <w:spacing w:after="120"/>
      <w:ind w:left="360"/>
    </w:pPr>
    <w:rPr>
      <w:rFonts w:eastAsia="Times New Roman"/>
      <w:sz w:val="16"/>
      <w:szCs w:val="16"/>
    </w:rPr>
  </w:style>
  <w:style w:type="character" w:customStyle="1" w:styleId="BodyTextIndent3Char">
    <w:name w:val="Body Text Indent 3 Char"/>
    <w:link w:val="BodyTextIndent3"/>
    <w:rsid w:val="00BA5FBE"/>
    <w:rPr>
      <w:rFonts w:ascii="Times New Roman" w:eastAsia="Times New Roman" w:hAnsi="Times New Roman"/>
      <w:sz w:val="16"/>
      <w:szCs w:val="16"/>
    </w:rPr>
  </w:style>
  <w:style w:type="paragraph" w:styleId="BodyTextIndent">
    <w:name w:val="Body Text Indent"/>
    <w:basedOn w:val="Normal"/>
    <w:link w:val="BodyTextIndentChar"/>
    <w:rsid w:val="005409A0"/>
    <w:pPr>
      <w:spacing w:after="120"/>
      <w:ind w:left="360"/>
    </w:pPr>
  </w:style>
  <w:style w:type="character" w:customStyle="1" w:styleId="BodyTextIndentChar">
    <w:name w:val="Body Text Indent Char"/>
    <w:link w:val="BodyTextIndent"/>
    <w:rsid w:val="005409A0"/>
    <w:rPr>
      <w:rFonts w:ascii="Bookman Old Style" w:hAnsi="Bookman Old Style"/>
      <w:sz w:val="24"/>
    </w:rPr>
  </w:style>
  <w:style w:type="paragraph" w:styleId="CommentSubject">
    <w:name w:val="annotation subject"/>
    <w:basedOn w:val="CommentText"/>
    <w:next w:val="CommentText"/>
    <w:link w:val="CommentSubjectChar"/>
    <w:rsid w:val="00A4520D"/>
    <w:rPr>
      <w:b/>
      <w:bCs/>
    </w:rPr>
  </w:style>
  <w:style w:type="character" w:customStyle="1" w:styleId="CommentSubjectChar">
    <w:name w:val="Comment Subject Char"/>
    <w:link w:val="CommentSubject"/>
    <w:rsid w:val="00A4520D"/>
    <w:rPr>
      <w:rFonts w:ascii="Bookman Old Style" w:hAnsi="Bookman Old Style" w:cs="Times New Roman"/>
      <w:b/>
      <w:bCs/>
      <w:sz w:val="20"/>
      <w:szCs w:val="20"/>
    </w:rPr>
  </w:style>
  <w:style w:type="character" w:customStyle="1" w:styleId="UnresolvedMention1">
    <w:name w:val="Unresolved Mention1"/>
    <w:uiPriority w:val="99"/>
    <w:semiHidden/>
    <w:unhideWhenUsed/>
    <w:rsid w:val="00835D91"/>
    <w:rPr>
      <w:color w:val="605E5C"/>
      <w:shd w:val="clear" w:color="auto" w:fill="E1DFDD"/>
    </w:rPr>
  </w:style>
  <w:style w:type="character" w:customStyle="1" w:styleId="ssleftalign">
    <w:name w:val="ss_leftalign"/>
    <w:rsid w:val="00985C6E"/>
  </w:style>
  <w:style w:type="paragraph" w:styleId="Revision">
    <w:name w:val="Revision"/>
    <w:hidden/>
    <w:uiPriority w:val="99"/>
    <w:semiHidden/>
    <w:rsid w:val="00F24F7A"/>
    <w:rPr>
      <w:rFonts w:ascii="Bookman Old Style" w:hAnsi="Bookman Old Style"/>
      <w:sz w:val="24"/>
    </w:rPr>
  </w:style>
  <w:style w:type="character" w:customStyle="1" w:styleId="UnresolvedMention2">
    <w:name w:val="Unresolved Mention2"/>
    <w:basedOn w:val="DefaultParagraphFont"/>
    <w:rsid w:val="00746D3C"/>
    <w:rPr>
      <w:color w:val="605E5C"/>
      <w:shd w:val="clear" w:color="auto" w:fill="E1DFDD"/>
    </w:rPr>
  </w:style>
  <w:style w:type="paragraph" w:customStyle="1" w:styleId="Body">
    <w:name w:val="Body"/>
    <w:rsid w:val="00FA07BD"/>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noFill/>
        <w14:prstDash w14:val="solid"/>
        <w14:bevel/>
      </w14:textOutline>
    </w:rPr>
  </w:style>
  <w:style w:type="character" w:customStyle="1" w:styleId="Hyperlink2">
    <w:name w:val="Hyperlink.2"/>
    <w:basedOn w:val="DefaultParagraphFont"/>
    <w:rsid w:val="00FA07BD"/>
    <w:rPr>
      <w:rFonts w:ascii="Times New Roman" w:eastAsia="Times New Roman" w:hAnsi="Times New Roman" w:cs="Times New Roman"/>
      <w:outline w:val="0"/>
      <w:color w:val="0000FF"/>
      <w:u w:val="single" w:color="0000FF"/>
      <w:lang w:val="en-US"/>
    </w:rPr>
  </w:style>
  <w:style w:type="character" w:customStyle="1" w:styleId="UnresolvedMention3">
    <w:name w:val="Unresolved Mention3"/>
    <w:basedOn w:val="DefaultParagraphFont"/>
    <w:rsid w:val="000955E5"/>
    <w:rPr>
      <w:color w:val="605E5C"/>
      <w:shd w:val="clear" w:color="auto" w:fill="E1DFDD"/>
    </w:rPr>
  </w:style>
  <w:style w:type="paragraph" w:customStyle="1" w:styleId="xmsonormal">
    <w:name w:val="x_msonormal"/>
    <w:basedOn w:val="Normal"/>
    <w:rsid w:val="00B34B1B"/>
    <w:rPr>
      <w:rFonts w:ascii="Calibri" w:hAnsi="Calibri" w:eastAsiaTheme="minorHAnsi" w:cs="Calibri"/>
      <w:sz w:val="22"/>
      <w:szCs w:val="22"/>
    </w:rPr>
  </w:style>
  <w:style w:type="paragraph" w:customStyle="1" w:styleId="pf0">
    <w:name w:val="pf0"/>
    <w:basedOn w:val="Normal"/>
    <w:rsid w:val="00C02A87"/>
    <w:pPr>
      <w:spacing w:before="100" w:beforeAutospacing="1" w:after="100" w:afterAutospacing="1"/>
    </w:pPr>
    <w:rPr>
      <w:rFonts w:eastAsia="Times New Roman"/>
      <w:szCs w:val="24"/>
    </w:rPr>
  </w:style>
  <w:style w:type="character" w:customStyle="1" w:styleId="cf01">
    <w:name w:val="cf01"/>
    <w:basedOn w:val="DefaultParagraphFont"/>
    <w:rsid w:val="00C02A87"/>
    <w:rPr>
      <w:rFonts w:ascii="Segoe UI" w:hAnsi="Segoe UI" w:cs="Segoe UI" w:hint="default"/>
      <w:sz w:val="18"/>
      <w:szCs w:val="18"/>
    </w:rPr>
  </w:style>
  <w:style w:type="character" w:customStyle="1" w:styleId="Heading1Char">
    <w:name w:val="Heading 1 Char"/>
    <w:basedOn w:val="DefaultParagraphFont"/>
    <w:link w:val="Heading1"/>
    <w:rsid w:val="00755970"/>
    <w:rPr>
      <w:rFonts w:ascii="Times New Roman" w:eastAsia="Times New Roman" w:hAnsi="Times New Roman"/>
      <w:b/>
      <w:bCs/>
      <w:sz w:val="24"/>
      <w:szCs w:val="24"/>
    </w:rPr>
  </w:style>
  <w:style w:type="character" w:customStyle="1" w:styleId="Heading2Char">
    <w:name w:val="Heading 2 Char"/>
    <w:basedOn w:val="DefaultParagraphFont"/>
    <w:link w:val="Heading2"/>
    <w:rsid w:val="00C03381"/>
    <w:rPr>
      <w:rFonts w:ascii="Times New Roman" w:hAnsi="Times New Roman"/>
      <w:b/>
      <w:bCs/>
      <w:sz w:val="24"/>
      <w:szCs w:val="24"/>
    </w:rPr>
  </w:style>
  <w:style w:type="paragraph" w:styleId="TOC1">
    <w:name w:val="toc 1"/>
    <w:basedOn w:val="Normal"/>
    <w:next w:val="Normal"/>
    <w:autoRedefine/>
    <w:uiPriority w:val="39"/>
    <w:locked/>
    <w:rsid w:val="00A740F3"/>
    <w:pPr>
      <w:tabs>
        <w:tab w:val="decimal" w:leader="dot" w:pos="9360"/>
      </w:tabs>
      <w:spacing w:after="240"/>
      <w:ind w:left="720" w:hanging="720"/>
    </w:pPr>
  </w:style>
  <w:style w:type="paragraph" w:styleId="TOC2">
    <w:name w:val="toc 2"/>
    <w:basedOn w:val="Normal"/>
    <w:next w:val="Normal"/>
    <w:autoRedefine/>
    <w:uiPriority w:val="39"/>
    <w:locked/>
    <w:rsid w:val="00A740F3"/>
    <w:pPr>
      <w:tabs>
        <w:tab w:val="decimal" w:leader="dot" w:pos="9360"/>
      </w:tabs>
      <w:spacing w:after="240"/>
      <w:ind w:left="1440" w:hanging="720"/>
    </w:pPr>
  </w:style>
  <w:style w:type="paragraph" w:styleId="TOC3">
    <w:name w:val="toc 3"/>
    <w:basedOn w:val="Normal"/>
    <w:next w:val="Normal"/>
    <w:autoRedefine/>
    <w:locked/>
    <w:rsid w:val="00982D11"/>
    <w:pPr>
      <w:tabs>
        <w:tab w:val="decimal" w:leader="dot" w:pos="9360"/>
      </w:tabs>
      <w:spacing w:after="240"/>
      <w:ind w:left="2160" w:hanging="720"/>
    </w:pPr>
  </w:style>
  <w:style w:type="character" w:styleId="FollowedHyperlink">
    <w:name w:val="FollowedHyperlink"/>
    <w:basedOn w:val="DefaultParagraphFont"/>
    <w:rsid w:val="00AE1E25"/>
    <w:rPr>
      <w:color w:val="954F72" w:themeColor="followedHyperlink"/>
      <w:u w:val="single"/>
    </w:rPr>
  </w:style>
  <w:style w:type="character" w:customStyle="1" w:styleId="UnresolvedMention4">
    <w:name w:val="Unresolved Mention4"/>
    <w:basedOn w:val="DefaultParagraphFont"/>
    <w:rsid w:val="00F0546B"/>
    <w:rPr>
      <w:color w:val="605E5C"/>
      <w:shd w:val="clear" w:color="auto" w:fill="E1DFDD"/>
    </w:rPr>
  </w:style>
  <w:style w:type="paragraph" w:customStyle="1" w:styleId="xmsolistparagraph">
    <w:name w:val="x_msolistparagraph"/>
    <w:basedOn w:val="Normal"/>
    <w:rsid w:val="00016964"/>
    <w:pPr>
      <w:spacing w:before="100" w:beforeAutospacing="1" w:after="100" w:afterAutospacing="1"/>
    </w:pPr>
    <w:rPr>
      <w:rFonts w:eastAsiaTheme="minorHAnsi"/>
      <w:szCs w:val="24"/>
    </w:rPr>
  </w:style>
  <w:style w:type="character" w:customStyle="1" w:styleId="UnresolvedMention5">
    <w:name w:val="Unresolved Mention5"/>
    <w:basedOn w:val="DefaultParagraphFont"/>
    <w:rsid w:val="005C3189"/>
    <w:rPr>
      <w:color w:val="605E5C"/>
      <w:shd w:val="clear" w:color="auto" w:fill="E1DFDD"/>
    </w:rPr>
  </w:style>
  <w:style w:type="paragraph" w:styleId="ListParagraph">
    <w:name w:val="List Paragraph"/>
    <w:basedOn w:val="Normal"/>
    <w:uiPriority w:val="34"/>
    <w:qFormat/>
    <w:rsid w:val="00B2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jagers@ohiopovertylaw.org" TargetMode="External" /><Relationship Id="rId11" Type="http://schemas.openxmlformats.org/officeDocument/2006/relationships/hyperlink" Target="mailto:john.jones@ohioAGO.gov" TargetMode="External" /><Relationship Id="rId12" Type="http://schemas.openxmlformats.org/officeDocument/2006/relationships/hyperlink" Target="mailto:josephclark@nisource.com" TargetMode="External" /><Relationship Id="rId13" Type="http://schemas.openxmlformats.org/officeDocument/2006/relationships/hyperlink" Target="mailto:johnryan@nisource.com" TargetMode="External" /><Relationship Id="rId14" Type="http://schemas.openxmlformats.org/officeDocument/2006/relationships/hyperlink" Target="mailto:christopher.hollon@aes.com" TargetMode="External" /><Relationship Id="rId15" Type="http://schemas.openxmlformats.org/officeDocument/2006/relationships/hyperlink" Target="mailto:james.lynn@puco.ohio.gov" TargetMode="External" /><Relationship Id="rId16" Type="http://schemas.openxmlformats.org/officeDocument/2006/relationships/hyperlink" Target="mailto:rdove@keglerbrown.com" TargetMode="External" /><Relationship Id="rId17" Type="http://schemas.openxmlformats.org/officeDocument/2006/relationships/hyperlink" Target="mailto:kennedy@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hyperlink" Target="mailto:mjschuler@aep.com" TargetMode="External" /><Relationship Id="rId2" Type="http://schemas.openxmlformats.org/officeDocument/2006/relationships/settings" Target="settings.xml" /><Relationship Id="rId20" Type="http://schemas.openxmlformats.org/officeDocument/2006/relationships/hyperlink" Target="mailto:rocco.dascenzo@duke-energy.com" TargetMode="External" /><Relationship Id="rId21" Type="http://schemas.openxmlformats.org/officeDocument/2006/relationships/hyperlink" Target="mailto:larisa.vaysman@duke-energy.com"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dmanor@ablelaw.org" TargetMode="External" /><Relationship Id="rId9" Type="http://schemas.openxmlformats.org/officeDocument/2006/relationships/hyperlink" Target="mailto:smoes@lascin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8CA4-7906-4DE0-8286-7CD745B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2023-07-24T20:40:15Z</dcterms:created>
  <dcterms:modified xsi:type="dcterms:W3CDTF">2023-07-24T20:40:15Z</dcterms:modified>
</cp:coreProperties>
</file>