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0"/>
        <w:gridCol w:w="289"/>
        <w:gridCol w:w="4481"/>
      </w:tblGrid>
      <w:tr w:rsidR="00663D6A" w:rsidTr="00CF22CD">
        <w:tc>
          <w:tcPr>
            <w:tcW w:w="4590" w:type="dxa"/>
          </w:tcPr>
          <w:p w:rsidR="001A5C2F" w:rsidRPr="00221496" w:rsidRDefault="00663D6A" w:rsidP="00877BBA">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877BBA">
              <w:rPr>
                <w:rFonts w:ascii="Times New Roman" w:hAnsi="Times New Roman"/>
                <w:sz w:val="26"/>
                <w:szCs w:val="26"/>
              </w:rPr>
              <w:t xml:space="preserve"> the Notice of Compliance by Ohio Edison Company, The Cleveland Electric Illuminating Company, and The Toledo Edison Company with the Electric Security Plan.</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877BBA" w:rsidRDefault="00877BB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877BBA" w:rsidRPr="00221496" w:rsidRDefault="00877BB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81" w:type="dxa"/>
          </w:tcPr>
          <w:p w:rsidR="00877BBA" w:rsidRDefault="00877BBA"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877BBA">
              <w:rPr>
                <w:rFonts w:ascii="Times New Roman" w:hAnsi="Times New Roman"/>
                <w:sz w:val="26"/>
                <w:szCs w:val="26"/>
              </w:rPr>
              <w:t>15-1324-EL-ACP</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877BBA" w:rsidP="00E10679">
      <w:pPr>
        <w:pStyle w:val="Title"/>
        <w:tabs>
          <w:tab w:val="left" w:pos="9360"/>
        </w:tabs>
        <w:rPr>
          <w:rFonts w:ascii="Times New Roman" w:hAnsi="Times New Roman"/>
          <w:b/>
          <w:sz w:val="32"/>
          <w:szCs w:val="32"/>
        </w:rPr>
      </w:pPr>
      <w:r>
        <w:rPr>
          <w:rFonts w:ascii="Times New Roman" w:hAnsi="Times New Roman"/>
          <w:b/>
          <w:sz w:val="32"/>
          <w:szCs w:val="32"/>
        </w:rPr>
        <w:t>INITIAL COMMENTS</w:t>
      </w:r>
    </w:p>
    <w:p w:rsidR="00663D6A" w:rsidRPr="00877BBA" w:rsidRDefault="00663D6A" w:rsidP="00877BBA">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877BBA">
        <w:rPr>
          <w:sz w:val="28"/>
          <w:szCs w:val="28"/>
        </w:rPr>
        <w:t>SUBMITTED ON BEHALF OF THE STAFF OF</w:t>
      </w:r>
      <w:bookmarkEnd w:id="1"/>
      <w:bookmarkEnd w:id="2"/>
      <w:bookmarkEnd w:id="3"/>
      <w:bookmarkEnd w:id="4"/>
      <w:bookmarkEnd w:id="5"/>
      <w:bookmarkEnd w:id="6"/>
      <w:bookmarkEnd w:id="7"/>
    </w:p>
    <w:p w:rsidR="00663D6A" w:rsidRPr="00877BBA" w:rsidRDefault="00663D6A" w:rsidP="00877BBA">
      <w:pPr>
        <w:jc w:val="center"/>
        <w:rPr>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877BBA">
        <w:rPr>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CB5644" w:rsidRPr="00613023" w:rsidRDefault="00877BBA" w:rsidP="0064436A">
      <w:pPr>
        <w:pStyle w:val="Heading1"/>
      </w:pPr>
      <w:bookmarkStart w:id="15" w:name="_Toc260212957"/>
      <w:r>
        <w:lastRenderedPageBreak/>
        <w:t>I.</w:t>
      </w:r>
      <w:r>
        <w:tab/>
      </w:r>
      <w:r w:rsidR="00CB5644" w:rsidRPr="00613023">
        <w:t>INTRODUCTION</w:t>
      </w:r>
      <w:bookmarkEnd w:id="15"/>
    </w:p>
    <w:p w:rsidR="00877BBA" w:rsidRPr="00491015" w:rsidRDefault="0064436A" w:rsidP="00877BBA">
      <w:pPr>
        <w:pStyle w:val="textstyle0"/>
      </w:pPr>
      <w:r>
        <w:tab/>
      </w:r>
      <w:r w:rsidR="00877BBA" w:rsidRPr="00491015">
        <w:t>On July 16, 2015, Ohio Edison Company, The Cleveland Electric Illuminating Company, and The Toledo Edison Company (collectively, the Companies) filed a “notice of compliance” providing that a ten-year request for proposal (RFP) to purchase renew</w:t>
      </w:r>
      <w:r w:rsidR="0071620F">
        <w:softHyphen/>
      </w:r>
      <w:r w:rsidR="00877BBA" w:rsidRPr="00491015">
        <w:t>able energy credits (RECs) will not be held for the period of 2016 through 2025 in accordance with the Stipulation approved by the Commission in Case No. 12-1230-EL-SSO.</w:t>
      </w:r>
    </w:p>
    <w:p w:rsidR="00E10679" w:rsidRDefault="00877BBA" w:rsidP="00877BBA">
      <w:pPr>
        <w:pStyle w:val="textstyle0"/>
      </w:pPr>
      <w:r>
        <w:tab/>
      </w:r>
      <w:r w:rsidRPr="00877BBA">
        <w:t>Staff offers the following comments in response to the Companies’ filing.</w:t>
      </w:r>
    </w:p>
    <w:p w:rsidR="00877BBA" w:rsidRPr="00877BBA" w:rsidRDefault="00877BBA" w:rsidP="00877BBA">
      <w:pPr>
        <w:pStyle w:val="Heading1"/>
      </w:pPr>
      <w:r w:rsidRPr="00877BBA">
        <w:lastRenderedPageBreak/>
        <w:t>I</w:t>
      </w:r>
      <w:r>
        <w:t>I</w:t>
      </w:r>
      <w:r w:rsidRPr="00877BBA">
        <w:t>.</w:t>
      </w:r>
      <w:r w:rsidRPr="00877BBA">
        <w:tab/>
        <w:t>Regulatory Background</w:t>
      </w:r>
    </w:p>
    <w:p w:rsidR="00877BBA" w:rsidRPr="00491015" w:rsidRDefault="00877BBA" w:rsidP="00877BBA">
      <w:pPr>
        <w:pStyle w:val="textstyle0"/>
      </w:pPr>
      <w:r>
        <w:tab/>
      </w:r>
      <w:r w:rsidRPr="00491015">
        <w:t>The stipulation</w:t>
      </w:r>
      <w:r w:rsidR="00096D95">
        <w:t xml:space="preserve"> approved by the Commission</w:t>
      </w:r>
      <w:r w:rsidRPr="00491015">
        <w:t xml:space="preserve"> in Case No. 12-1230-EL-SSO included the potential for two additional RFPs for long-term delivery of solar resources as a means of continu</w:t>
      </w:r>
      <w:r w:rsidR="0071620F">
        <w:softHyphen/>
      </w:r>
      <w:r w:rsidRPr="00491015">
        <w:t>ing the commitment from Case No. 10-0388-EL-SSO.</w:t>
      </w:r>
      <w:r w:rsidRPr="00491015">
        <w:rPr>
          <w:rStyle w:val="FootnoteReference"/>
          <w:rFonts w:ascii="Book Antiqua" w:hAnsi="Book Antiqua"/>
          <w:sz w:val="24"/>
        </w:rPr>
        <w:footnoteReference w:id="1"/>
      </w:r>
      <w:r w:rsidRPr="00491015">
        <w:t xml:space="preserve">  </w:t>
      </w:r>
    </w:p>
    <w:p w:rsidR="00877BBA" w:rsidRPr="00491015" w:rsidRDefault="00877BBA" w:rsidP="00877BBA">
      <w:pPr>
        <w:pStyle w:val="textstyle0"/>
      </w:pPr>
      <w:r>
        <w:tab/>
      </w:r>
      <w:r w:rsidRPr="00491015">
        <w:t>Included within the stipulation was language that conditioned the issuance of RFPs for solar REC delivery beginning in 2015 and 2016 on the Companies’ standard service offer (SSO) load.  If the SSO load of the Companies is less than 15,000,000 meg</w:t>
      </w:r>
      <w:r w:rsidR="0071620F">
        <w:softHyphen/>
      </w:r>
      <w:r w:rsidRPr="00491015">
        <w:t xml:space="preserve">awatt-hours (MWHs) as </w:t>
      </w:r>
      <w:r w:rsidRPr="00491015">
        <w:lastRenderedPageBreak/>
        <w:t>calculated by the formula provided in the stipulation, no addi</w:t>
      </w:r>
      <w:r w:rsidR="0071620F">
        <w:softHyphen/>
      </w:r>
      <w:r w:rsidRPr="00491015">
        <w:t>tional solar RECs will be purchased that year.</w:t>
      </w:r>
    </w:p>
    <w:p w:rsidR="00877BBA" w:rsidRPr="006422A1" w:rsidRDefault="00877BBA" w:rsidP="00877BBA">
      <w:pPr>
        <w:pStyle w:val="textstyle0"/>
      </w:pPr>
      <w:r>
        <w:tab/>
      </w:r>
      <w:r w:rsidRPr="006422A1">
        <w:t>Similar to the notice in this proceeding, the Companies previously filed notice that they would not be conducting two previous RFPs under the terms of Case No. 10-0388-EL-SSO.</w:t>
      </w:r>
      <w:r w:rsidRPr="006422A1">
        <w:rPr>
          <w:rStyle w:val="FootnoteReference"/>
          <w:rFonts w:ascii="Book Antiqua" w:hAnsi="Book Antiqua"/>
          <w:sz w:val="24"/>
        </w:rPr>
        <w:footnoteReference w:id="2"/>
      </w:r>
      <w:r w:rsidRPr="006422A1">
        <w:t xml:space="preserve">  More recently, the Companies also filed notice in Case No. 14-1286-EL-ACP in which they determined an RFP for solar RECs was not required under the terms of the stipulation in Case No. 12-1230-EL-SSO.</w:t>
      </w:r>
    </w:p>
    <w:p w:rsidR="00877BBA" w:rsidRPr="00491015" w:rsidRDefault="00877BBA" w:rsidP="00877BBA">
      <w:pPr>
        <w:pStyle w:val="Heading1"/>
      </w:pPr>
      <w:r w:rsidRPr="00491015">
        <w:lastRenderedPageBreak/>
        <w:t>I</w:t>
      </w:r>
      <w:r>
        <w:t>I</w:t>
      </w:r>
      <w:r w:rsidRPr="00491015">
        <w:t>I.</w:t>
      </w:r>
      <w:r w:rsidRPr="00491015">
        <w:tab/>
        <w:t>Companies’ “Notice of Compliance” Summarized</w:t>
      </w:r>
    </w:p>
    <w:p w:rsidR="00877BBA" w:rsidRPr="00491015" w:rsidRDefault="00877BBA" w:rsidP="00877BBA">
      <w:pPr>
        <w:pStyle w:val="textstyle0"/>
      </w:pPr>
      <w:r>
        <w:tab/>
      </w:r>
      <w:r w:rsidRPr="00491015">
        <w:t>The Companies’ July 16</w:t>
      </w:r>
      <w:r w:rsidRPr="00491015">
        <w:rPr>
          <w:vertAlign w:val="superscript"/>
        </w:rPr>
        <w:t>th</w:t>
      </w:r>
      <w:r w:rsidRPr="00491015">
        <w:t xml:space="preserve"> filing in this proceeding </w:t>
      </w:r>
      <w:r w:rsidRPr="00B80EC2">
        <w:t>provides notice that the</w:t>
      </w:r>
      <w:r w:rsidR="00855989">
        <w:t>y</w:t>
      </w:r>
      <w:r w:rsidRPr="00B80EC2">
        <w:t xml:space="preserve"> do not intend to conduct </w:t>
      </w:r>
      <w:r w:rsidRPr="003B65DC">
        <w:t>an RFP for delivery beginning in 201</w:t>
      </w:r>
      <w:r w:rsidRPr="00491015">
        <w:t xml:space="preserve">6.  They assert that the calculation of their SSO load, following the methodology in the stipulation, results in a total </w:t>
      </w:r>
      <w:r w:rsidR="00855989">
        <w:t>SSO</w:t>
      </w:r>
      <w:r w:rsidRPr="00491015">
        <w:t xml:space="preserve"> load of less than 15,000,000 MWHs thus excusing them from the requirement of conducting this RFP for solar </w:t>
      </w:r>
      <w:r w:rsidR="004E2094">
        <w:t>RECs</w:t>
      </w:r>
      <w:r w:rsidRPr="00491015">
        <w:t>. The Companies’ filing included a table which showed the details of their calculation.</w:t>
      </w:r>
    </w:p>
    <w:p w:rsidR="00877BBA" w:rsidRPr="00491015" w:rsidRDefault="00877BBA" w:rsidP="00877BBA">
      <w:pPr>
        <w:pStyle w:val="Heading1"/>
      </w:pPr>
      <w:r>
        <w:t>IV</w:t>
      </w:r>
      <w:r w:rsidRPr="00491015">
        <w:t>.</w:t>
      </w:r>
      <w:r w:rsidRPr="00491015">
        <w:tab/>
        <w:t>Staff Position</w:t>
      </w:r>
    </w:p>
    <w:p w:rsidR="00877BBA" w:rsidRPr="00B80EC2" w:rsidRDefault="00877BBA" w:rsidP="00877BBA">
      <w:pPr>
        <w:pStyle w:val="textstyle0"/>
      </w:pPr>
      <w:r>
        <w:tab/>
      </w:r>
      <w:r w:rsidRPr="00B80EC2">
        <w:t xml:space="preserve">Staff reviewed the Companies’ calculations, including the source materials for the data inputs.  Staff also reviewed the terms of the stipulation, which </w:t>
      </w:r>
      <w:r w:rsidR="004E2094">
        <w:t>provides</w:t>
      </w:r>
      <w:r w:rsidRPr="00B80EC2">
        <w:t>:</w:t>
      </w:r>
    </w:p>
    <w:p w:rsidR="00877BBA" w:rsidRPr="003C2DE6" w:rsidRDefault="00877BBA" w:rsidP="00877BBA">
      <w:pPr>
        <w:pStyle w:val="Blockquote"/>
      </w:pPr>
      <w:r w:rsidRPr="003C2DE6">
        <w:t>The standard service offer load of the Companies for the pur</w:t>
      </w:r>
      <w:r w:rsidR="0071620F">
        <w:softHyphen/>
      </w:r>
      <w:r w:rsidRPr="003C2DE6">
        <w:t>pose of the thresholds set forth above is calculated by multi</w:t>
      </w:r>
      <w:r w:rsidR="0071620F">
        <w:softHyphen/>
      </w:r>
      <w:r w:rsidRPr="003C2DE6">
        <w:t xml:space="preserve">plying the Companies’ prior </w:t>
      </w:r>
      <w:r w:rsidRPr="003C2DE6">
        <w:lastRenderedPageBreak/>
        <w:t>year non-shopping percentage, as submitted by the Companies to Commission Staff in December of each year, by the Companies’ long term forecast as filed with the Commission on April 15</w:t>
      </w:r>
      <w:r w:rsidRPr="003C2DE6">
        <w:rPr>
          <w:vertAlign w:val="superscript"/>
        </w:rPr>
        <w:t>th</w:t>
      </w:r>
      <w:r w:rsidRPr="003C2DE6">
        <w:t xml:space="preserve"> for the year in which an RFP may occur.</w:t>
      </w:r>
      <w:r w:rsidRPr="003C2DE6">
        <w:rPr>
          <w:rStyle w:val="FootnoteReference"/>
          <w:rFonts w:ascii="Book Antiqua" w:hAnsi="Book Antiqua"/>
          <w:sz w:val="24"/>
        </w:rPr>
        <w:footnoteReference w:id="3"/>
      </w:r>
    </w:p>
    <w:p w:rsidR="00877BBA" w:rsidRDefault="00877BBA" w:rsidP="00877BBA">
      <w:pPr>
        <w:pStyle w:val="textstyle0"/>
      </w:pPr>
      <w:r w:rsidRPr="003B65DC">
        <w:t>Staff confirmed that, using the forecasted sales for 2015 from Case No. 15-0649-EL-FOR and the switching data available on the PUCO website, the SSO load calculates to less than 15,000,000 MWHs.  Staff agrees with the Companies’ conclusion that they are not required to conduct this RFP.</w:t>
      </w:r>
    </w:p>
    <w:p w:rsidR="004E2094" w:rsidRPr="003B65DC" w:rsidRDefault="004E2094" w:rsidP="00877BBA">
      <w:pPr>
        <w:pStyle w:val="textstyle0"/>
      </w:pPr>
    </w:p>
    <w:p w:rsidR="00200A0A" w:rsidRPr="0064436A" w:rsidRDefault="00200A0A" w:rsidP="00877BBA">
      <w:pPr>
        <w:tabs>
          <w:tab w:val="left" w:pos="9348"/>
        </w:tabs>
        <w:spacing w:line="480" w:lineRule="auto"/>
        <w:ind w:left="4320"/>
        <w:rPr>
          <w:sz w:val="26"/>
          <w:szCs w:val="26"/>
        </w:rPr>
      </w:pPr>
      <w:r w:rsidRPr="0064436A">
        <w:rPr>
          <w:sz w:val="26"/>
          <w:szCs w:val="26"/>
        </w:rPr>
        <w:t>Respectfully submitted,</w:t>
      </w:r>
    </w:p>
    <w:p w:rsidR="00200A0A" w:rsidRPr="0064436A" w:rsidRDefault="00C90964" w:rsidP="00877BBA">
      <w:pPr>
        <w:tabs>
          <w:tab w:val="left" w:pos="9348"/>
        </w:tabs>
        <w:ind w:left="4320"/>
        <w:rPr>
          <w:sz w:val="26"/>
          <w:szCs w:val="26"/>
        </w:rPr>
      </w:pPr>
      <w:r>
        <w:rPr>
          <w:b/>
          <w:sz w:val="26"/>
          <w:szCs w:val="26"/>
        </w:rPr>
        <w:t>Michael DeWine</w:t>
      </w:r>
    </w:p>
    <w:p w:rsidR="00200A0A" w:rsidRPr="0064436A" w:rsidRDefault="00200A0A" w:rsidP="00877BBA">
      <w:pPr>
        <w:tabs>
          <w:tab w:val="left" w:pos="9348"/>
        </w:tabs>
        <w:ind w:left="4320"/>
        <w:rPr>
          <w:sz w:val="26"/>
          <w:szCs w:val="26"/>
        </w:rPr>
      </w:pPr>
      <w:r w:rsidRPr="0064436A">
        <w:rPr>
          <w:sz w:val="26"/>
          <w:szCs w:val="26"/>
        </w:rPr>
        <w:lastRenderedPageBreak/>
        <w:t>Ohio Attorney General</w:t>
      </w:r>
    </w:p>
    <w:p w:rsidR="00200A0A" w:rsidRPr="0064436A" w:rsidRDefault="00200A0A" w:rsidP="00877BBA">
      <w:pPr>
        <w:tabs>
          <w:tab w:val="left" w:pos="9348"/>
        </w:tabs>
        <w:ind w:left="4320"/>
        <w:rPr>
          <w:sz w:val="26"/>
          <w:szCs w:val="26"/>
        </w:rPr>
      </w:pPr>
    </w:p>
    <w:p w:rsidR="000753F8" w:rsidRDefault="00BC5B75" w:rsidP="00877BBA">
      <w:pPr>
        <w:tabs>
          <w:tab w:val="left" w:pos="9348"/>
        </w:tabs>
        <w:ind w:left="4320"/>
        <w:rPr>
          <w:b/>
          <w:sz w:val="26"/>
          <w:szCs w:val="26"/>
        </w:rPr>
      </w:pPr>
      <w:r>
        <w:rPr>
          <w:b/>
          <w:sz w:val="26"/>
          <w:szCs w:val="26"/>
        </w:rPr>
        <w:t>William L. Wright</w:t>
      </w:r>
    </w:p>
    <w:p w:rsidR="00200A0A" w:rsidRPr="0064436A" w:rsidRDefault="00200A0A" w:rsidP="00877BBA">
      <w:pPr>
        <w:tabs>
          <w:tab w:val="left" w:pos="9348"/>
        </w:tabs>
        <w:ind w:left="4320"/>
        <w:rPr>
          <w:sz w:val="26"/>
          <w:szCs w:val="26"/>
        </w:rPr>
      </w:pPr>
      <w:r w:rsidRPr="0064436A">
        <w:rPr>
          <w:sz w:val="26"/>
          <w:szCs w:val="26"/>
        </w:rPr>
        <w:t>Section Chief</w:t>
      </w:r>
    </w:p>
    <w:p w:rsidR="00200A0A" w:rsidRPr="0064436A" w:rsidRDefault="00200A0A" w:rsidP="00877BBA">
      <w:pPr>
        <w:tabs>
          <w:tab w:val="left" w:pos="9348"/>
        </w:tabs>
        <w:ind w:left="4320"/>
        <w:rPr>
          <w:sz w:val="26"/>
          <w:szCs w:val="26"/>
        </w:rPr>
      </w:pPr>
    </w:p>
    <w:p w:rsidR="00200A0A" w:rsidRPr="0064436A" w:rsidRDefault="00200A0A" w:rsidP="00877BBA">
      <w:pPr>
        <w:tabs>
          <w:tab w:val="left" w:pos="9348"/>
        </w:tabs>
        <w:ind w:left="4320"/>
        <w:rPr>
          <w:sz w:val="26"/>
          <w:szCs w:val="26"/>
        </w:rPr>
      </w:pPr>
    </w:p>
    <w:p w:rsidR="00200A0A" w:rsidRPr="00F60FED" w:rsidRDefault="00F60FED" w:rsidP="00877BBA">
      <w:pPr>
        <w:tabs>
          <w:tab w:val="left" w:pos="9348"/>
        </w:tabs>
        <w:ind w:left="4320"/>
        <w:rPr>
          <w:rFonts w:ascii="AR BERKLEY" w:hAnsi="AR BERKLEY"/>
          <w:sz w:val="32"/>
          <w:szCs w:val="32"/>
          <w:u w:val="single"/>
        </w:rPr>
      </w:pPr>
      <w:r w:rsidRPr="00F60FED">
        <w:rPr>
          <w:rFonts w:ascii="AR BERKLEY" w:hAnsi="AR BERKLEY"/>
          <w:sz w:val="32"/>
          <w:szCs w:val="32"/>
          <w:u w:val="single"/>
        </w:rPr>
        <w:t>/s/ Ryan P. O’Rourke</w:t>
      </w:r>
      <w:r w:rsidR="00200A0A" w:rsidRPr="00F60FED">
        <w:rPr>
          <w:rFonts w:ascii="AR BERKLEY" w:hAnsi="AR BERKLEY"/>
          <w:sz w:val="32"/>
          <w:szCs w:val="32"/>
          <w:u w:val="single"/>
        </w:rPr>
        <w:tab/>
      </w:r>
    </w:p>
    <w:p w:rsidR="00E45A7D" w:rsidRPr="0064436A" w:rsidRDefault="00877BBA" w:rsidP="00877BBA">
      <w:pPr>
        <w:tabs>
          <w:tab w:val="left" w:pos="9348"/>
        </w:tabs>
        <w:ind w:left="4320"/>
        <w:rPr>
          <w:b/>
          <w:sz w:val="26"/>
          <w:szCs w:val="26"/>
        </w:rPr>
      </w:pPr>
      <w:r>
        <w:rPr>
          <w:b/>
          <w:sz w:val="26"/>
          <w:szCs w:val="26"/>
        </w:rPr>
        <w:t>Ryan P. O’Rourke</w:t>
      </w:r>
    </w:p>
    <w:p w:rsidR="00200A0A" w:rsidRPr="0064436A" w:rsidRDefault="00200A0A" w:rsidP="00877BBA">
      <w:pPr>
        <w:tabs>
          <w:tab w:val="left" w:pos="9348"/>
        </w:tabs>
        <w:ind w:left="4320"/>
        <w:rPr>
          <w:sz w:val="26"/>
          <w:szCs w:val="26"/>
        </w:rPr>
      </w:pPr>
      <w:r w:rsidRPr="0064436A">
        <w:rPr>
          <w:sz w:val="26"/>
          <w:szCs w:val="26"/>
        </w:rPr>
        <w:t>Assistant Attorney General</w:t>
      </w:r>
    </w:p>
    <w:p w:rsidR="00200A0A" w:rsidRPr="0064436A" w:rsidRDefault="00200A0A" w:rsidP="00877BBA">
      <w:pPr>
        <w:tabs>
          <w:tab w:val="left" w:pos="9348"/>
        </w:tabs>
        <w:ind w:left="4320"/>
        <w:rPr>
          <w:sz w:val="26"/>
          <w:szCs w:val="26"/>
        </w:rPr>
      </w:pPr>
      <w:r w:rsidRPr="0064436A">
        <w:rPr>
          <w:sz w:val="26"/>
          <w:szCs w:val="26"/>
        </w:rPr>
        <w:t>Public Utilities Section</w:t>
      </w:r>
    </w:p>
    <w:p w:rsidR="00200A0A" w:rsidRPr="0064436A" w:rsidRDefault="00200A0A" w:rsidP="00877BBA">
      <w:pPr>
        <w:tabs>
          <w:tab w:val="left" w:pos="9348"/>
        </w:tabs>
        <w:ind w:left="432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877BBA">
      <w:pPr>
        <w:tabs>
          <w:tab w:val="left" w:pos="9348"/>
        </w:tabs>
        <w:ind w:left="4320"/>
        <w:rPr>
          <w:sz w:val="26"/>
          <w:szCs w:val="26"/>
        </w:rPr>
      </w:pPr>
      <w:r w:rsidRPr="0064436A">
        <w:rPr>
          <w:sz w:val="26"/>
          <w:szCs w:val="26"/>
        </w:rPr>
        <w:t>Columbus, OH  43215-3793</w:t>
      </w:r>
    </w:p>
    <w:p w:rsidR="00200A0A" w:rsidRPr="0064436A" w:rsidRDefault="00200A0A" w:rsidP="00877BBA">
      <w:pPr>
        <w:tabs>
          <w:tab w:val="left" w:pos="9348"/>
        </w:tabs>
        <w:ind w:left="4320"/>
        <w:rPr>
          <w:sz w:val="26"/>
          <w:szCs w:val="26"/>
        </w:rPr>
      </w:pPr>
      <w:r w:rsidRPr="0064436A">
        <w:rPr>
          <w:sz w:val="26"/>
          <w:szCs w:val="26"/>
        </w:rPr>
        <w:t>614.466.4397</w:t>
      </w:r>
      <w:r w:rsidR="000753F8">
        <w:rPr>
          <w:sz w:val="26"/>
          <w:szCs w:val="26"/>
        </w:rPr>
        <w:t xml:space="preserve"> (telephone)</w:t>
      </w:r>
    </w:p>
    <w:p w:rsidR="008B058D" w:rsidRDefault="00200A0A" w:rsidP="00877BBA">
      <w:pPr>
        <w:tabs>
          <w:tab w:val="left" w:pos="9348"/>
        </w:tabs>
        <w:ind w:left="4320"/>
        <w:rPr>
          <w:sz w:val="26"/>
          <w:szCs w:val="26"/>
        </w:rPr>
      </w:pPr>
      <w:r w:rsidRPr="0064436A">
        <w:rPr>
          <w:sz w:val="26"/>
          <w:szCs w:val="26"/>
        </w:rPr>
        <w:t>614.644.8764 (fax)</w:t>
      </w:r>
    </w:p>
    <w:p w:rsidR="00E45A7D" w:rsidRPr="0064436A" w:rsidRDefault="00F60FED" w:rsidP="00877BBA">
      <w:pPr>
        <w:tabs>
          <w:tab w:val="left" w:pos="9348"/>
        </w:tabs>
        <w:ind w:left="4320"/>
        <w:rPr>
          <w:sz w:val="26"/>
          <w:szCs w:val="26"/>
        </w:rPr>
      </w:pPr>
      <w:hyperlink r:id="rId7" w:history="1">
        <w:r w:rsidR="00877BBA" w:rsidRPr="001C4DFB">
          <w:rPr>
            <w:rStyle w:val="Hyperlink"/>
            <w:sz w:val="26"/>
            <w:szCs w:val="26"/>
          </w:rPr>
          <w:t>ryan.orourke@puc.state.oh.us</w:t>
        </w:r>
      </w:hyperlink>
    </w:p>
    <w:p w:rsidR="00200A0A" w:rsidRDefault="00200A0A" w:rsidP="00877BBA">
      <w:pPr>
        <w:tabs>
          <w:tab w:val="left" w:pos="9348"/>
        </w:tabs>
        <w:ind w:left="4320"/>
        <w:rPr>
          <w:b/>
          <w:sz w:val="26"/>
          <w:szCs w:val="26"/>
        </w:rPr>
      </w:pPr>
    </w:p>
    <w:p w:rsidR="00877BBA" w:rsidRDefault="00877BBA" w:rsidP="00877BBA">
      <w:pPr>
        <w:tabs>
          <w:tab w:val="left" w:pos="9348"/>
        </w:tabs>
        <w:ind w:left="4320"/>
        <w:rPr>
          <w:b/>
          <w:sz w:val="26"/>
          <w:szCs w:val="26"/>
        </w:rPr>
      </w:pPr>
      <w:r>
        <w:rPr>
          <w:b/>
          <w:sz w:val="26"/>
          <w:szCs w:val="26"/>
        </w:rPr>
        <w:t>Counsel for the Staff of</w:t>
      </w:r>
    </w:p>
    <w:p w:rsidR="00877BBA" w:rsidRPr="0064436A" w:rsidRDefault="00877BBA" w:rsidP="00877BBA">
      <w:pPr>
        <w:tabs>
          <w:tab w:val="left" w:pos="9348"/>
        </w:tabs>
        <w:ind w:left="4320"/>
        <w:rPr>
          <w:b/>
          <w:sz w:val="26"/>
          <w:szCs w:val="26"/>
        </w:rPr>
      </w:pPr>
      <w:r>
        <w:rPr>
          <w:b/>
          <w:sz w:val="26"/>
          <w:szCs w:val="26"/>
        </w:rPr>
        <w:t>The Public Utilities Commission of Ohio</w:t>
      </w:r>
    </w:p>
    <w:p w:rsidR="00F60FED" w:rsidRDefault="00F60FED" w:rsidP="00355D59">
      <w:pPr>
        <w:pStyle w:val="Heading1"/>
        <w:jc w:val="center"/>
        <w:rPr>
          <w:caps w:val="0"/>
        </w:rPr>
      </w:pPr>
      <w:bookmarkStart w:id="16" w:name="_Toc205862526"/>
      <w:bookmarkStart w:id="17" w:name="_Toc260212964"/>
    </w:p>
    <w:p w:rsidR="00F60FED" w:rsidRDefault="00F60FED" w:rsidP="00355D59">
      <w:pPr>
        <w:pStyle w:val="Heading1"/>
        <w:jc w:val="center"/>
        <w:rPr>
          <w:caps w:val="0"/>
        </w:rPr>
      </w:pPr>
    </w:p>
    <w:p w:rsidR="00200A0A" w:rsidRPr="00934B92" w:rsidRDefault="00C95499" w:rsidP="00355D59">
      <w:pPr>
        <w:pStyle w:val="Heading1"/>
        <w:jc w:val="center"/>
      </w:pPr>
      <w:r w:rsidRPr="00934B92">
        <w:rPr>
          <w:caps w:val="0"/>
        </w:rPr>
        <w:t>PROOF OF SERVICE</w:t>
      </w:r>
      <w:bookmarkEnd w:id="16"/>
      <w:bookmarkEnd w:id="17"/>
    </w:p>
    <w:p w:rsidR="00200A0A" w:rsidRPr="00934B92" w:rsidRDefault="0064436A" w:rsidP="00877BBA">
      <w:pPr>
        <w:pStyle w:val="textstyle0"/>
      </w:pPr>
      <w:r>
        <w:tab/>
      </w:r>
      <w:r w:rsidR="00200A0A" w:rsidRPr="00934B92">
        <w:t xml:space="preserve">I hereby certify that a true copy of the foregoing </w:t>
      </w:r>
      <w:r w:rsidR="00355D59">
        <w:rPr>
          <w:b/>
        </w:rPr>
        <w:t xml:space="preserve">Comments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355D59">
        <w:t>via electronic mail</w:t>
      </w:r>
      <w:r w:rsidR="00200A0A" w:rsidRPr="00934B92">
        <w:t xml:space="preserve"> upon </w:t>
      </w:r>
      <w:r w:rsidR="00355D59">
        <w:t>applicant’s counsel, Carrie M. Dunn</w:t>
      </w:r>
      <w:r w:rsidR="00721F2D">
        <w:t xml:space="preserve">, </w:t>
      </w:r>
      <w:hyperlink r:id="rId8" w:history="1">
        <w:r w:rsidR="00355D59" w:rsidRPr="001C4DFB">
          <w:rPr>
            <w:rStyle w:val="Hyperlink"/>
          </w:rPr>
          <w:t>dunnc@firstenergycorp.com</w:t>
        </w:r>
      </w:hyperlink>
      <w:r w:rsidR="00355D59">
        <w:t xml:space="preserve">, </w:t>
      </w:r>
      <w:r w:rsidR="00200A0A" w:rsidRPr="00934B92">
        <w:t xml:space="preserve">this </w:t>
      </w:r>
      <w:r w:rsidR="00355D59">
        <w:t xml:space="preserve">___ </w:t>
      </w:r>
      <w:r w:rsidR="004B6358">
        <w:t>d</w:t>
      </w:r>
      <w:r w:rsidR="00200A0A" w:rsidRPr="00934B92">
        <w:t xml:space="preserve">ay of </w:t>
      </w:r>
      <w:r w:rsidR="00355D59">
        <w:t>August, 2015</w:t>
      </w:r>
      <w:r w:rsidR="00200A0A" w:rsidRPr="00934B92">
        <w:t>.</w:t>
      </w:r>
    </w:p>
    <w:p w:rsidR="00200A0A" w:rsidRPr="00DF3D54" w:rsidRDefault="00200A0A" w:rsidP="00200A0A">
      <w:pPr>
        <w:spacing w:line="480" w:lineRule="auto"/>
        <w:jc w:val="both"/>
      </w:pPr>
    </w:p>
    <w:p w:rsidR="00200A0A" w:rsidRPr="00DF3D54" w:rsidRDefault="00F60FED" w:rsidP="00200A0A">
      <w:pPr>
        <w:tabs>
          <w:tab w:val="right" w:pos="9360"/>
        </w:tabs>
        <w:ind w:left="4320"/>
        <w:jc w:val="both"/>
        <w:rPr>
          <w:u w:val="single"/>
        </w:rPr>
      </w:pPr>
      <w:r w:rsidRPr="00F60FED">
        <w:rPr>
          <w:rFonts w:ascii="AR BERKLEY" w:hAnsi="AR BERKLEY"/>
          <w:sz w:val="32"/>
          <w:szCs w:val="32"/>
          <w:u w:val="single"/>
        </w:rPr>
        <w:t>/s/ Ryan P. O’Rourke</w:t>
      </w:r>
      <w:r w:rsidR="00200A0A" w:rsidRPr="00DF3D54">
        <w:rPr>
          <w:u w:val="single"/>
        </w:rPr>
        <w:tab/>
      </w:r>
    </w:p>
    <w:p w:rsidR="00200A0A" w:rsidRPr="00DF3D54" w:rsidRDefault="00355D59" w:rsidP="00200A0A">
      <w:pPr>
        <w:ind w:left="4332"/>
        <w:jc w:val="both"/>
        <w:rPr>
          <w:b/>
          <w:sz w:val="26"/>
          <w:szCs w:val="26"/>
        </w:rPr>
      </w:pPr>
      <w:r>
        <w:rPr>
          <w:b/>
          <w:sz w:val="26"/>
          <w:szCs w:val="26"/>
        </w:rPr>
        <w:t>Ryan P. O’Rourke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sectPr w:rsidR="00977F01" w:rsidSect="003B12DD">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BA" w:rsidRDefault="00877BBA" w:rsidP="008866FC">
      <w:pPr>
        <w:pStyle w:val="Title"/>
      </w:pPr>
      <w:r>
        <w:separator/>
      </w:r>
    </w:p>
  </w:endnote>
  <w:endnote w:type="continuationSeparator" w:id="0">
    <w:p w:rsidR="00877BBA" w:rsidRDefault="00877BBA"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60FED">
      <w:rPr>
        <w:rStyle w:val="PageNumber"/>
        <w:noProof/>
        <w:sz w:val="24"/>
        <w:szCs w:val="24"/>
      </w:rPr>
      <w:t>4</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BA" w:rsidRDefault="00877BBA" w:rsidP="00663D6A">
      <w:pPr>
        <w:pStyle w:val="Title"/>
        <w:jc w:val="left"/>
      </w:pPr>
      <w:r>
        <w:separator/>
      </w:r>
    </w:p>
  </w:footnote>
  <w:footnote w:type="continuationSeparator" w:id="0">
    <w:p w:rsidR="00877BBA" w:rsidRDefault="00877BBA" w:rsidP="008866FC">
      <w:pPr>
        <w:pStyle w:val="Title"/>
      </w:pPr>
      <w:r>
        <w:continuationSeparator/>
      </w:r>
    </w:p>
  </w:footnote>
  <w:footnote w:id="1">
    <w:p w:rsidR="00877BBA" w:rsidRDefault="00877BBA" w:rsidP="00877BBA">
      <w:pPr>
        <w:pStyle w:val="FootnoteText"/>
      </w:pPr>
      <w:r>
        <w:rPr>
          <w:rStyle w:val="FootnoteReference"/>
        </w:rPr>
        <w:footnoteRef/>
      </w:r>
      <w:r>
        <w:t xml:space="preserve"> </w:t>
      </w:r>
      <w:r>
        <w:tab/>
      </w:r>
      <w:r>
        <w:tab/>
      </w:r>
      <w:r>
        <w:rPr>
          <w:i/>
        </w:rPr>
        <w:t>In re FirstEnergy ESP</w:t>
      </w:r>
      <w:r>
        <w:t>, Case No. 12-1230-EL-SSO (Stipulation and Recommendation at 15)</w:t>
      </w:r>
      <w:r w:rsidR="00096D95">
        <w:t xml:space="preserve"> (Apr. 13, 2012</w:t>
      </w:r>
      <w:r>
        <w:t>).</w:t>
      </w:r>
    </w:p>
  </w:footnote>
  <w:footnote w:id="2">
    <w:p w:rsidR="00877BBA" w:rsidRDefault="00877BBA" w:rsidP="00877BBA">
      <w:pPr>
        <w:pStyle w:val="FootnoteText"/>
      </w:pPr>
      <w:r>
        <w:rPr>
          <w:rStyle w:val="FootnoteReference"/>
        </w:rPr>
        <w:footnoteRef/>
      </w:r>
      <w:r>
        <w:t xml:space="preserve"> </w:t>
      </w:r>
      <w:r>
        <w:tab/>
      </w:r>
      <w:r>
        <w:tab/>
      </w:r>
      <w:r>
        <w:rPr>
          <w:i/>
        </w:rPr>
        <w:t>In the Matter of Notice of Compliance by Ohio Edison Company, The Cleveland Electric Illuminating Company, and The Toledo Edison Company</w:t>
      </w:r>
      <w:r>
        <w:t xml:space="preserve">, Case No. 12-2217-EL-ACP, and </w:t>
      </w:r>
      <w:r>
        <w:rPr>
          <w:i/>
        </w:rPr>
        <w:t>In the Matter of Notice of Compliance by Ohio Edison Company, The Cleveland Electric Illuminating Company, and The Toledo Edison Company</w:t>
      </w:r>
      <w:r>
        <w:t>, Case No. 13-1191-EL-ACP.</w:t>
      </w:r>
    </w:p>
  </w:footnote>
  <w:footnote w:id="3">
    <w:p w:rsidR="00877BBA" w:rsidRDefault="00877BBA" w:rsidP="00877BBA">
      <w:pPr>
        <w:pStyle w:val="FootnoteText"/>
      </w:pPr>
      <w:r>
        <w:rPr>
          <w:rStyle w:val="FootnoteReference"/>
        </w:rPr>
        <w:footnoteRef/>
      </w:r>
      <w:r>
        <w:t xml:space="preserve">  </w:t>
      </w:r>
      <w:r>
        <w:tab/>
      </w:r>
      <w:r>
        <w:tab/>
        <w:t>Stipulation at 16</w:t>
      </w:r>
      <w:r w:rsidR="00CF22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BA"/>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D95"/>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59"/>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094"/>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CDA"/>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20F"/>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5989"/>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BBA"/>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2CD"/>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0FED"/>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1C08D31-CBA8-45F8-A7F0-91AEC34A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877BBA"/>
    <w:pPr>
      <w:keepNext/>
      <w:spacing w:before="360" w:after="240"/>
      <w:ind w:left="720" w:hanging="720"/>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877BBA"/>
    <w:pPr>
      <w:spacing w:line="480" w:lineRule="auto"/>
    </w:pPr>
    <w:rPr>
      <w:sz w:val="26"/>
      <w:szCs w:val="24"/>
    </w:rPr>
  </w:style>
  <w:style w:type="character" w:customStyle="1" w:styleId="textstyleChar">
    <w:name w:val="text style Char"/>
    <w:link w:val="textstyle0"/>
    <w:rsid w:val="00877BBA"/>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nc@firstenergycorp.com" TargetMode="External"/><Relationship Id="rId3" Type="http://schemas.openxmlformats.org/officeDocument/2006/relationships/settings" Target="settings.xml"/><Relationship Id="rId7" Type="http://schemas.openxmlformats.org/officeDocument/2006/relationships/hyperlink" Target="mailto:ryan.orourke@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Pleading.dotx</Template>
  <TotalTime>1</TotalTime>
  <Pages>4</Pages>
  <Words>613</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4084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2015-08-06T18:42:00Z</cp:lastPrinted>
  <dcterms:created xsi:type="dcterms:W3CDTF">2015-08-06T18:42:00Z</dcterms:created>
  <dcterms:modified xsi:type="dcterms:W3CDTF">2015-08-06T18:43:00Z</dcterms:modified>
</cp:coreProperties>
</file>