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9C3" w:rsidRPr="00DE2A14" w:rsidRDefault="00F859C3" w:rsidP="00F859C3">
      <w:pPr>
        <w:jc w:val="center"/>
        <w:rPr>
          <w:rFonts w:ascii="Times New Roman" w:hAnsi="Times New Roman"/>
          <w:b/>
          <w:sz w:val="26"/>
          <w:szCs w:val="26"/>
        </w:rPr>
      </w:pPr>
      <w:r w:rsidRPr="00DE2A14">
        <w:rPr>
          <w:rFonts w:ascii="Times New Roman" w:hAnsi="Times New Roman"/>
          <w:b/>
          <w:sz w:val="26"/>
          <w:szCs w:val="26"/>
        </w:rPr>
        <w:t>BEFORE</w:t>
      </w:r>
    </w:p>
    <w:p w:rsidR="00F859C3" w:rsidRPr="00DE2A14" w:rsidRDefault="00F859C3" w:rsidP="00F859C3">
      <w:pPr>
        <w:jc w:val="center"/>
        <w:rPr>
          <w:rFonts w:ascii="Times New Roman" w:hAnsi="Times New Roman"/>
          <w:b/>
          <w:sz w:val="26"/>
          <w:szCs w:val="26"/>
        </w:rPr>
      </w:pPr>
      <w:r w:rsidRPr="00DE2A14">
        <w:rPr>
          <w:rFonts w:ascii="Times New Roman" w:hAnsi="Times New Roman"/>
          <w:b/>
          <w:sz w:val="26"/>
          <w:szCs w:val="26"/>
        </w:rPr>
        <w:t>THE PUBLIC UTILITIES COMMISSION OF OHIO</w:t>
      </w:r>
    </w:p>
    <w:p w:rsidR="00F859C3" w:rsidRPr="00DE2A14" w:rsidRDefault="00F859C3" w:rsidP="00F859C3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20"/>
        <w:gridCol w:w="720"/>
        <w:gridCol w:w="4320"/>
      </w:tblGrid>
      <w:tr w:rsidR="00F859C3" w:rsidRPr="00DE2A14" w:rsidTr="00296693">
        <w:tc>
          <w:tcPr>
            <w:tcW w:w="4320" w:type="dxa"/>
          </w:tcPr>
          <w:p w:rsidR="00F859C3" w:rsidRPr="00DE2A14" w:rsidRDefault="00F859C3" w:rsidP="0029669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E2A14">
              <w:rPr>
                <w:rFonts w:ascii="Times New Roman" w:hAnsi="Times New Roman"/>
                <w:sz w:val="26"/>
                <w:szCs w:val="26"/>
              </w:rPr>
              <w:t xml:space="preserve">In the Matter of </w:t>
            </w:r>
            <w:r>
              <w:rPr>
                <w:rFonts w:ascii="Times New Roman" w:hAnsi="Times New Roman"/>
                <w:sz w:val="26"/>
                <w:szCs w:val="26"/>
              </w:rPr>
              <w:t>B</w:t>
            </w:r>
            <w:r w:rsidR="00E34F97">
              <w:rPr>
                <w:rFonts w:ascii="Times New Roman" w:hAnsi="Times New Roman"/>
                <w:sz w:val="26"/>
                <w:szCs w:val="26"/>
              </w:rPr>
              <w:t>urch Thomas Oil Co., Notice of Apparent Violation and Intent to Assess Forfeiture</w:t>
            </w:r>
          </w:p>
          <w:p w:rsidR="00F859C3" w:rsidRPr="00DE2A14" w:rsidRDefault="00F859C3" w:rsidP="0029669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859C3" w:rsidRPr="00DE2A14" w:rsidRDefault="00F859C3" w:rsidP="0029669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859C3" w:rsidRPr="00DE2A14" w:rsidRDefault="00F859C3" w:rsidP="00296693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E2A14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</w:t>
            </w:r>
            <w:r w:rsidRPr="00DE2A14">
              <w:rPr>
                <w:rFonts w:ascii="Times New Roman" w:hAnsi="Times New Roman"/>
                <w:sz w:val="26"/>
                <w:szCs w:val="26"/>
              </w:rPr>
              <w:tab/>
              <w:t>Respondent.</w:t>
            </w:r>
          </w:p>
          <w:p w:rsidR="00F859C3" w:rsidRPr="00DE2A14" w:rsidRDefault="00F859C3" w:rsidP="0029669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F859C3" w:rsidRPr="00DE2A14" w:rsidRDefault="00F859C3" w:rsidP="00296693">
            <w:pPr>
              <w:pStyle w:val="noindent"/>
              <w:rPr>
                <w:rFonts w:ascii="Times New Roman" w:hAnsi="Times New Roman"/>
                <w:sz w:val="26"/>
                <w:szCs w:val="26"/>
              </w:rPr>
            </w:pPr>
            <w:r w:rsidRPr="00DE2A14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F859C3" w:rsidRPr="00DE2A14" w:rsidRDefault="00F859C3" w:rsidP="0029669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E2A14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F859C3" w:rsidRPr="00DE2A14" w:rsidRDefault="00F859C3" w:rsidP="0029669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E2A14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F859C3" w:rsidRPr="00DE2A14" w:rsidRDefault="00F859C3" w:rsidP="0029669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E2A14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F859C3" w:rsidRPr="00DE2A14" w:rsidRDefault="00F859C3" w:rsidP="0029669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E2A14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F859C3" w:rsidRPr="00DE2A14" w:rsidRDefault="00F859C3" w:rsidP="0029669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E2A14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F859C3" w:rsidRPr="00DE2A14" w:rsidRDefault="00F859C3" w:rsidP="0029669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E2A14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F859C3" w:rsidRPr="00DE2A14" w:rsidRDefault="00F859C3" w:rsidP="0029669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E2A14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4320" w:type="dxa"/>
          </w:tcPr>
          <w:p w:rsidR="00F859C3" w:rsidRPr="00DE2A14" w:rsidRDefault="00F859C3" w:rsidP="00296693">
            <w:pPr>
              <w:pStyle w:val="noindent"/>
              <w:tabs>
                <w:tab w:val="left" w:pos="117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F859C3" w:rsidRPr="00DE2A14" w:rsidRDefault="00F859C3" w:rsidP="00296693">
            <w:pPr>
              <w:pStyle w:val="noindent"/>
              <w:tabs>
                <w:tab w:val="left" w:pos="117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F859C3" w:rsidRPr="00DE2A14" w:rsidRDefault="00F859C3" w:rsidP="00296693">
            <w:pPr>
              <w:pStyle w:val="noindent"/>
              <w:tabs>
                <w:tab w:val="left" w:pos="1170"/>
              </w:tabs>
              <w:rPr>
                <w:rFonts w:ascii="Times New Roman" w:hAnsi="Times New Roman"/>
                <w:sz w:val="26"/>
                <w:szCs w:val="26"/>
              </w:rPr>
            </w:pPr>
            <w:r w:rsidRPr="00DE2A14">
              <w:rPr>
                <w:rFonts w:ascii="Times New Roman" w:hAnsi="Times New Roman"/>
                <w:sz w:val="26"/>
                <w:szCs w:val="26"/>
              </w:rPr>
              <w:t xml:space="preserve">Case No. </w:t>
            </w:r>
            <w:r w:rsidRPr="00DE2A14">
              <w:rPr>
                <w:rFonts w:ascii="Times New Roman" w:hAnsi="Times New Roman"/>
                <w:sz w:val="26"/>
                <w:szCs w:val="26"/>
              </w:rPr>
              <w:tab/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DE2A14">
              <w:rPr>
                <w:rFonts w:ascii="Times New Roman" w:hAnsi="Times New Roman"/>
                <w:sz w:val="26"/>
                <w:szCs w:val="26"/>
              </w:rPr>
              <w:t>-</w:t>
            </w:r>
            <w:r w:rsidR="00E34F97">
              <w:rPr>
                <w:rFonts w:ascii="Times New Roman" w:hAnsi="Times New Roman"/>
                <w:sz w:val="26"/>
                <w:szCs w:val="26"/>
              </w:rPr>
              <w:t>1301</w:t>
            </w:r>
            <w:r w:rsidRPr="00DE2A14">
              <w:rPr>
                <w:rFonts w:ascii="Times New Roman" w:hAnsi="Times New Roman"/>
                <w:sz w:val="26"/>
                <w:szCs w:val="26"/>
              </w:rPr>
              <w:t>-TR-CVF</w:t>
            </w:r>
          </w:p>
          <w:p w:rsidR="00F859C3" w:rsidRPr="00DE2A14" w:rsidRDefault="00F859C3" w:rsidP="00296693">
            <w:pPr>
              <w:pStyle w:val="noindent"/>
              <w:tabs>
                <w:tab w:val="left" w:pos="1170"/>
              </w:tabs>
              <w:rPr>
                <w:rFonts w:ascii="Times New Roman" w:hAnsi="Times New Roman"/>
                <w:sz w:val="26"/>
                <w:szCs w:val="26"/>
              </w:rPr>
            </w:pPr>
            <w:r w:rsidRPr="00DE2A14">
              <w:rPr>
                <w:rFonts w:ascii="Times New Roman" w:hAnsi="Times New Roman"/>
                <w:sz w:val="26"/>
                <w:szCs w:val="26"/>
              </w:rPr>
              <w:t xml:space="preserve">                  </w:t>
            </w:r>
            <w:r w:rsidR="00E34F97">
              <w:rPr>
                <w:rFonts w:ascii="Times New Roman" w:hAnsi="Times New Roman"/>
                <w:sz w:val="26"/>
                <w:szCs w:val="26"/>
              </w:rPr>
              <w:t>(CR201404210321</w:t>
            </w:r>
            <w:r w:rsidRPr="00DE2A14">
              <w:rPr>
                <w:rFonts w:ascii="Times New Roman" w:hAnsi="Times New Roman"/>
                <w:sz w:val="26"/>
                <w:szCs w:val="26"/>
              </w:rPr>
              <w:t xml:space="preserve">)                                  </w:t>
            </w:r>
          </w:p>
        </w:tc>
      </w:tr>
      <w:tr w:rsidR="00F859C3" w:rsidRPr="00DE2A14" w:rsidTr="00296693">
        <w:trPr>
          <w:trHeight w:val="135"/>
        </w:trPr>
        <w:tc>
          <w:tcPr>
            <w:tcW w:w="4320" w:type="dxa"/>
          </w:tcPr>
          <w:p w:rsidR="00F859C3" w:rsidRPr="00DE2A14" w:rsidRDefault="00F859C3" w:rsidP="0029669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F859C3" w:rsidRPr="00DE2A14" w:rsidRDefault="00F859C3" w:rsidP="00296693">
            <w:pPr>
              <w:pStyle w:val="noinden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20" w:type="dxa"/>
          </w:tcPr>
          <w:p w:rsidR="00F859C3" w:rsidRPr="00DE2A14" w:rsidRDefault="00F859C3" w:rsidP="00296693">
            <w:pPr>
              <w:pStyle w:val="noindent"/>
              <w:tabs>
                <w:tab w:val="left" w:pos="117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859C3" w:rsidRPr="00DE2A14" w:rsidRDefault="00F859C3" w:rsidP="00F859C3">
      <w:pPr>
        <w:tabs>
          <w:tab w:val="right" w:pos="9360"/>
        </w:tabs>
        <w:jc w:val="both"/>
        <w:rPr>
          <w:rFonts w:ascii="Times New Roman" w:hAnsi="Times New Roman"/>
          <w:sz w:val="26"/>
          <w:szCs w:val="26"/>
        </w:rPr>
      </w:pPr>
      <w:r w:rsidRPr="00DE2A14">
        <w:rPr>
          <w:rFonts w:ascii="Times New Roman" w:hAnsi="Times New Roman"/>
          <w:sz w:val="26"/>
          <w:szCs w:val="26"/>
          <w:u w:val="single"/>
        </w:rPr>
        <w:tab/>
      </w:r>
    </w:p>
    <w:p w:rsidR="00F859C3" w:rsidRPr="00DE2A14" w:rsidRDefault="00F859C3" w:rsidP="00F859C3">
      <w:pPr>
        <w:jc w:val="both"/>
        <w:rPr>
          <w:rFonts w:ascii="Times New Roman" w:hAnsi="Times New Roman"/>
          <w:sz w:val="26"/>
          <w:szCs w:val="26"/>
        </w:rPr>
      </w:pPr>
    </w:p>
    <w:p w:rsidR="00F859C3" w:rsidRPr="00DE2A14" w:rsidRDefault="00F859C3" w:rsidP="00F859C3">
      <w:pPr>
        <w:pStyle w:val="Heading8"/>
        <w:jc w:val="center"/>
        <w:rPr>
          <w:rFonts w:ascii="Times New Roman" w:hAnsi="Times New Roman"/>
          <w:b/>
          <w:sz w:val="28"/>
          <w:szCs w:val="28"/>
        </w:rPr>
      </w:pPr>
      <w:r w:rsidRPr="00DE2A14">
        <w:rPr>
          <w:rFonts w:ascii="Times New Roman" w:hAnsi="Times New Roman"/>
          <w:b/>
          <w:sz w:val="28"/>
          <w:szCs w:val="28"/>
        </w:rPr>
        <w:t>SETTLEMENT AGREEMENT</w:t>
      </w:r>
    </w:p>
    <w:p w:rsidR="00F859C3" w:rsidRPr="00DE2A14" w:rsidRDefault="00F859C3" w:rsidP="00F859C3">
      <w:pPr>
        <w:pStyle w:val="noindent"/>
        <w:tabs>
          <w:tab w:val="right" w:pos="9360"/>
        </w:tabs>
        <w:rPr>
          <w:rFonts w:ascii="Times New Roman" w:hAnsi="Times New Roman"/>
          <w:sz w:val="26"/>
          <w:szCs w:val="26"/>
          <w:u w:val="single"/>
        </w:rPr>
      </w:pPr>
      <w:r w:rsidRPr="00DE2A14">
        <w:rPr>
          <w:rFonts w:ascii="Times New Roman" w:hAnsi="Times New Roman"/>
          <w:sz w:val="26"/>
          <w:szCs w:val="26"/>
          <w:u w:val="single"/>
        </w:rPr>
        <w:tab/>
      </w:r>
    </w:p>
    <w:p w:rsidR="00F859C3" w:rsidRPr="00DE2A14" w:rsidRDefault="00F859C3" w:rsidP="00F859C3">
      <w:pPr>
        <w:pStyle w:val="noindent"/>
        <w:tabs>
          <w:tab w:val="right" w:pos="9360"/>
        </w:tabs>
        <w:rPr>
          <w:rFonts w:ascii="Times New Roman" w:hAnsi="Times New Roman"/>
          <w:sz w:val="26"/>
          <w:szCs w:val="26"/>
        </w:rPr>
      </w:pPr>
    </w:p>
    <w:p w:rsidR="00F859C3" w:rsidRPr="00DE2A14" w:rsidRDefault="00F859C3" w:rsidP="00F859C3">
      <w:pPr>
        <w:pStyle w:val="Heading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DE2A14">
        <w:rPr>
          <w:rFonts w:ascii="Times New Roman" w:hAnsi="Times New Roman"/>
          <w:sz w:val="28"/>
          <w:szCs w:val="28"/>
        </w:rPr>
        <w:t>Introduction</w:t>
      </w:r>
    </w:p>
    <w:p w:rsidR="00F859C3" w:rsidRPr="00DE2A14" w:rsidRDefault="00F859C3" w:rsidP="00F859C3">
      <w:pPr>
        <w:spacing w:line="480" w:lineRule="auto"/>
        <w:ind w:firstLine="720"/>
        <w:rPr>
          <w:rFonts w:ascii="Times New Roman" w:hAnsi="Times New Roman"/>
          <w:sz w:val="26"/>
          <w:szCs w:val="26"/>
        </w:rPr>
      </w:pPr>
      <w:r w:rsidRPr="00DE2A14">
        <w:rPr>
          <w:rFonts w:ascii="Times New Roman" w:hAnsi="Times New Roman"/>
          <w:sz w:val="26"/>
          <w:szCs w:val="26"/>
        </w:rPr>
        <w:t>Pursuant to Rule 4901:2-7-11 of the Ohio Administrative Code (O.A.C.)</w:t>
      </w:r>
      <w:r>
        <w:rPr>
          <w:rFonts w:ascii="Times New Roman" w:hAnsi="Times New Roman"/>
          <w:sz w:val="26"/>
          <w:szCs w:val="26"/>
        </w:rPr>
        <w:t>,</w:t>
      </w:r>
      <w:r w:rsidRPr="00DE2A1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</w:t>
      </w:r>
      <w:r w:rsidR="00E34F97">
        <w:rPr>
          <w:rFonts w:ascii="Times New Roman" w:hAnsi="Times New Roman"/>
          <w:sz w:val="26"/>
          <w:szCs w:val="26"/>
        </w:rPr>
        <w:t>Burch Thomas Oil Company</w:t>
      </w:r>
      <w:r w:rsidRPr="00DE2A14">
        <w:rPr>
          <w:rFonts w:ascii="Times New Roman" w:hAnsi="Times New Roman"/>
          <w:sz w:val="26"/>
          <w:szCs w:val="26"/>
        </w:rPr>
        <w:t>, (</w:t>
      </w:r>
      <w:r w:rsidR="00E34F97">
        <w:rPr>
          <w:rFonts w:ascii="Times New Roman" w:hAnsi="Times New Roman"/>
          <w:sz w:val="26"/>
          <w:szCs w:val="26"/>
        </w:rPr>
        <w:t>Carrier</w:t>
      </w:r>
      <w:r>
        <w:rPr>
          <w:rFonts w:ascii="Times New Roman" w:hAnsi="Times New Roman"/>
          <w:sz w:val="26"/>
          <w:szCs w:val="26"/>
        </w:rPr>
        <w:t xml:space="preserve"> </w:t>
      </w:r>
      <w:r w:rsidRPr="00DE2A14">
        <w:rPr>
          <w:rFonts w:ascii="Times New Roman" w:hAnsi="Times New Roman"/>
          <w:sz w:val="26"/>
          <w:szCs w:val="26"/>
        </w:rPr>
        <w:t xml:space="preserve">or Respondent) and the Staff of the Transportation Department of the Public Utilities Commission of Ohio (Staff) enter into this Settlement Agreement and urge the </w:t>
      </w:r>
      <w:r>
        <w:rPr>
          <w:rFonts w:ascii="Times New Roman" w:hAnsi="Times New Roman"/>
          <w:sz w:val="26"/>
          <w:szCs w:val="26"/>
        </w:rPr>
        <w:t>Public Utilities Commission of Ohio (</w:t>
      </w:r>
      <w:r w:rsidRPr="00DE2A14">
        <w:rPr>
          <w:rFonts w:ascii="Times New Roman" w:hAnsi="Times New Roman"/>
          <w:sz w:val="26"/>
          <w:szCs w:val="26"/>
        </w:rPr>
        <w:t>Commission</w:t>
      </w:r>
      <w:r>
        <w:rPr>
          <w:rFonts w:ascii="Times New Roman" w:hAnsi="Times New Roman"/>
          <w:sz w:val="26"/>
          <w:szCs w:val="26"/>
        </w:rPr>
        <w:t>)</w:t>
      </w:r>
      <w:r w:rsidRPr="00DE2A14">
        <w:rPr>
          <w:rFonts w:ascii="Times New Roman" w:hAnsi="Times New Roman"/>
          <w:sz w:val="26"/>
          <w:szCs w:val="26"/>
        </w:rPr>
        <w:t xml:space="preserve"> to adopt the Agreement.</w:t>
      </w:r>
    </w:p>
    <w:p w:rsidR="00F859C3" w:rsidRPr="00DE2A14" w:rsidRDefault="00F859C3" w:rsidP="00F859C3">
      <w:pPr>
        <w:spacing w:line="480" w:lineRule="auto"/>
        <w:rPr>
          <w:rFonts w:ascii="Times New Roman" w:hAnsi="Times New Roman"/>
          <w:sz w:val="26"/>
          <w:szCs w:val="26"/>
        </w:rPr>
      </w:pPr>
      <w:r w:rsidRPr="00DE2A14">
        <w:rPr>
          <w:rFonts w:ascii="Times New Roman" w:hAnsi="Times New Roman"/>
          <w:sz w:val="26"/>
          <w:szCs w:val="26"/>
        </w:rPr>
        <w:tab/>
        <w:t>The Respondent and the Staff understand that this Settlement Agreeme</w:t>
      </w:r>
      <w:r>
        <w:rPr>
          <w:rFonts w:ascii="Times New Roman" w:hAnsi="Times New Roman"/>
          <w:sz w:val="26"/>
          <w:szCs w:val="26"/>
        </w:rPr>
        <w:t>nt is not binding upon the Commission</w:t>
      </w:r>
      <w:r w:rsidRPr="00DE2A14">
        <w:rPr>
          <w:rFonts w:ascii="Times New Roman" w:hAnsi="Times New Roman"/>
          <w:sz w:val="26"/>
          <w:szCs w:val="26"/>
        </w:rPr>
        <w:t>.  This agree</w:t>
      </w:r>
      <w:r w:rsidRPr="00DE2A14">
        <w:rPr>
          <w:rFonts w:ascii="Times New Roman" w:hAnsi="Times New Roman"/>
          <w:sz w:val="26"/>
          <w:szCs w:val="26"/>
        </w:rPr>
        <w:softHyphen/>
        <w:t>ment, however, is based on the Respondent’s and the Staff’s desire to arrive at a reason</w:t>
      </w:r>
      <w:r w:rsidRPr="00DE2A14">
        <w:rPr>
          <w:rFonts w:ascii="Times New Roman" w:hAnsi="Times New Roman"/>
          <w:sz w:val="26"/>
          <w:szCs w:val="26"/>
        </w:rPr>
        <w:softHyphen/>
        <w:t>able result considering the law, facts, and circumstances of the case.  Accordingly, the Respondent and the Staff believe that the Commission should adopt this Settlement Agreement.</w:t>
      </w:r>
    </w:p>
    <w:p w:rsidR="00F859C3" w:rsidRPr="00DE2A14" w:rsidRDefault="00F859C3" w:rsidP="00F859C3">
      <w:pPr>
        <w:spacing w:line="480" w:lineRule="auto"/>
        <w:rPr>
          <w:rFonts w:ascii="Times New Roman" w:hAnsi="Times New Roman"/>
          <w:sz w:val="26"/>
          <w:szCs w:val="26"/>
        </w:rPr>
      </w:pPr>
      <w:r w:rsidRPr="00DE2A14">
        <w:rPr>
          <w:rFonts w:ascii="Times New Roman" w:hAnsi="Times New Roman"/>
          <w:sz w:val="26"/>
          <w:szCs w:val="26"/>
        </w:rPr>
        <w:tab/>
        <w:t>This Settlement Agreement is submitted on the condition that the Commission adopts the Agreement’s terms.  If the Commission rejects any part of the Set</w:t>
      </w:r>
      <w:r w:rsidRPr="00DE2A14">
        <w:rPr>
          <w:rFonts w:ascii="Times New Roman" w:hAnsi="Times New Roman"/>
          <w:sz w:val="26"/>
          <w:szCs w:val="26"/>
        </w:rPr>
        <w:softHyphen/>
        <w:t xml:space="preserve">tlement </w:t>
      </w:r>
      <w:r w:rsidRPr="00DE2A14">
        <w:rPr>
          <w:rFonts w:ascii="Times New Roman" w:hAnsi="Times New Roman"/>
          <w:sz w:val="26"/>
          <w:szCs w:val="26"/>
        </w:rPr>
        <w:lastRenderedPageBreak/>
        <w:t>Agreement, adds to the Agreement, or o</w:t>
      </w:r>
      <w:r>
        <w:rPr>
          <w:rFonts w:ascii="Times New Roman" w:hAnsi="Times New Roman"/>
          <w:sz w:val="26"/>
          <w:szCs w:val="26"/>
        </w:rPr>
        <w:t>therwise materially modifies the Agreement’s terms, each party will</w:t>
      </w:r>
      <w:r w:rsidRPr="00DE2A14">
        <w:rPr>
          <w:rFonts w:ascii="Times New Roman" w:hAnsi="Times New Roman"/>
          <w:sz w:val="26"/>
          <w:szCs w:val="26"/>
        </w:rPr>
        <w:t xml:space="preserve"> have the right, within thirty days of the Commission’s order, to file an application for rehearing that includes a request to terminate and withdraw from the Settlement Agree</w:t>
      </w:r>
      <w:r w:rsidRPr="00DE2A14">
        <w:rPr>
          <w:rFonts w:ascii="Times New Roman" w:hAnsi="Times New Roman"/>
          <w:sz w:val="26"/>
          <w:szCs w:val="26"/>
        </w:rPr>
        <w:softHyphen/>
        <w:t xml:space="preserve">ment.  When the Commission grants the application for rehearing and </w:t>
      </w:r>
      <w:r>
        <w:rPr>
          <w:rFonts w:ascii="Times New Roman" w:hAnsi="Times New Roman"/>
          <w:sz w:val="26"/>
          <w:szCs w:val="26"/>
        </w:rPr>
        <w:t xml:space="preserve">the </w:t>
      </w:r>
      <w:r w:rsidRPr="00DE2A14">
        <w:rPr>
          <w:rFonts w:ascii="Times New Roman" w:hAnsi="Times New Roman"/>
          <w:sz w:val="26"/>
          <w:szCs w:val="26"/>
        </w:rPr>
        <w:t xml:space="preserve">request to terminate/withdraw from the Settlement Agreement, the Settlement Agreement will immediately become null and void.  In such event, the parties </w:t>
      </w:r>
      <w:r>
        <w:rPr>
          <w:rFonts w:ascii="Times New Roman" w:hAnsi="Times New Roman"/>
          <w:sz w:val="26"/>
          <w:szCs w:val="26"/>
        </w:rPr>
        <w:t>shall</w:t>
      </w:r>
      <w:r w:rsidRPr="00DE2A14">
        <w:rPr>
          <w:rFonts w:ascii="Times New Roman" w:hAnsi="Times New Roman"/>
          <w:sz w:val="26"/>
          <w:szCs w:val="26"/>
        </w:rPr>
        <w:t xml:space="preserve"> proceed to a hearing as if the parties had never executed the Settlement Agreement. </w:t>
      </w:r>
    </w:p>
    <w:p w:rsidR="00F859C3" w:rsidRPr="00DE2A14" w:rsidRDefault="00F859C3" w:rsidP="00F859C3">
      <w:pPr>
        <w:pStyle w:val="Heading6"/>
        <w:rPr>
          <w:rFonts w:ascii="Times New Roman" w:hAnsi="Times New Roman"/>
          <w:sz w:val="28"/>
          <w:szCs w:val="28"/>
        </w:rPr>
      </w:pPr>
      <w:r w:rsidRPr="00DE2A14">
        <w:rPr>
          <w:rFonts w:ascii="Times New Roman" w:hAnsi="Times New Roman"/>
          <w:sz w:val="28"/>
          <w:szCs w:val="28"/>
        </w:rPr>
        <w:t>Procedural History</w:t>
      </w:r>
    </w:p>
    <w:p w:rsidR="00F859C3" w:rsidRDefault="00F859C3" w:rsidP="00F859C3">
      <w:pPr>
        <w:numPr>
          <w:ilvl w:val="0"/>
          <w:numId w:val="1"/>
        </w:numPr>
        <w:spacing w:line="480" w:lineRule="auto"/>
        <w:rPr>
          <w:rFonts w:ascii="Times New Roman" w:hAnsi="Times New Roman"/>
          <w:sz w:val="26"/>
          <w:szCs w:val="26"/>
        </w:rPr>
      </w:pPr>
      <w:r w:rsidRPr="00DE2A14">
        <w:rPr>
          <w:rFonts w:ascii="Times New Roman" w:hAnsi="Times New Roman"/>
          <w:sz w:val="26"/>
          <w:szCs w:val="26"/>
        </w:rPr>
        <w:t xml:space="preserve">On </w:t>
      </w:r>
      <w:r w:rsidR="00E34F97">
        <w:rPr>
          <w:rFonts w:ascii="Times New Roman" w:hAnsi="Times New Roman"/>
          <w:sz w:val="26"/>
          <w:szCs w:val="26"/>
        </w:rPr>
        <w:t>April 21, 2014</w:t>
      </w:r>
      <w:r w:rsidRPr="00DE2A14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a </w:t>
      </w:r>
      <w:r w:rsidR="00E34F97">
        <w:rPr>
          <w:rFonts w:ascii="Times New Roman" w:hAnsi="Times New Roman"/>
          <w:sz w:val="26"/>
          <w:szCs w:val="26"/>
        </w:rPr>
        <w:t xml:space="preserve">compliance review of Burch Thomas Oil Company’s facility was conducted by Staff.  </w:t>
      </w:r>
    </w:p>
    <w:p w:rsidR="00F859C3" w:rsidRDefault="00F859C3" w:rsidP="00F859C3">
      <w:pPr>
        <w:numPr>
          <w:ilvl w:val="0"/>
          <w:numId w:val="1"/>
        </w:numPr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As a result of the </w:t>
      </w:r>
      <w:r w:rsidR="00E34F97">
        <w:rPr>
          <w:rFonts w:ascii="Times New Roman" w:hAnsi="Times New Roman"/>
          <w:sz w:val="26"/>
          <w:szCs w:val="26"/>
        </w:rPr>
        <w:t>compliance review</w:t>
      </w:r>
      <w:r w:rsidRPr="00DE2A14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Respondent was timely served with a Notice of Preliminary Determination in accordance with Rule 4901:2-7-12, O.A.C. The notice of preliminary determination notified Respondent that Staff intended to assess a civil forfeiture in the amount of </w:t>
      </w:r>
      <w:r w:rsidR="00E34F97">
        <w:rPr>
          <w:rFonts w:ascii="Times New Roman" w:hAnsi="Times New Roman"/>
          <w:sz w:val="26"/>
          <w:szCs w:val="26"/>
        </w:rPr>
        <w:t>$8</w:t>
      </w:r>
      <w:r>
        <w:rPr>
          <w:rFonts w:ascii="Times New Roman" w:hAnsi="Times New Roman"/>
          <w:sz w:val="26"/>
          <w:szCs w:val="26"/>
        </w:rPr>
        <w:t>,</w:t>
      </w:r>
      <w:r w:rsidR="00E34F97">
        <w:rPr>
          <w:rFonts w:ascii="Times New Roman" w:hAnsi="Times New Roman"/>
          <w:sz w:val="26"/>
          <w:szCs w:val="26"/>
        </w:rPr>
        <w:t>875</w:t>
      </w:r>
      <w:r>
        <w:rPr>
          <w:rFonts w:ascii="Times New Roman" w:hAnsi="Times New Roman"/>
          <w:sz w:val="26"/>
          <w:szCs w:val="26"/>
        </w:rPr>
        <w:t>.00</w:t>
      </w:r>
      <w:r w:rsidR="00061C03">
        <w:rPr>
          <w:rFonts w:ascii="Times New Roman" w:hAnsi="Times New Roman"/>
          <w:sz w:val="26"/>
          <w:szCs w:val="26"/>
        </w:rPr>
        <w:t xml:space="preserve"> for the following thirteen</w:t>
      </w:r>
      <w:r>
        <w:rPr>
          <w:rFonts w:ascii="Times New Roman" w:hAnsi="Times New Roman"/>
          <w:sz w:val="26"/>
          <w:szCs w:val="26"/>
        </w:rPr>
        <w:t xml:space="preserve"> violations: </w:t>
      </w:r>
    </w:p>
    <w:p w:rsidR="00F859C3" w:rsidRDefault="00F859C3" w:rsidP="00F859C3">
      <w:pPr>
        <w:spacing w:line="480" w:lineRule="auto"/>
        <w:ind w:left="2160"/>
        <w:rPr>
          <w:rFonts w:ascii="Times New Roman" w:hAnsi="Times New Roman"/>
          <w:sz w:val="26"/>
          <w:szCs w:val="26"/>
        </w:rPr>
      </w:pPr>
      <w:r w:rsidRPr="00FE64B4">
        <w:rPr>
          <w:rFonts w:ascii="Times New Roman" w:hAnsi="Times New Roman"/>
          <w:b/>
          <w:sz w:val="26"/>
          <w:szCs w:val="26"/>
        </w:rPr>
        <w:t>(1)</w:t>
      </w:r>
      <w:r>
        <w:rPr>
          <w:rFonts w:ascii="Times New Roman" w:hAnsi="Times New Roman"/>
          <w:sz w:val="26"/>
          <w:szCs w:val="26"/>
        </w:rPr>
        <w:t xml:space="preserve"> 49 C.F.R.</w:t>
      </w:r>
      <w:r w:rsidR="00061C03">
        <w:rPr>
          <w:rFonts w:ascii="Times New Roman" w:hAnsi="Times New Roman"/>
          <w:sz w:val="26"/>
          <w:szCs w:val="26"/>
        </w:rPr>
        <w:t xml:space="preserve"> 177</w:t>
      </w:r>
      <w:r>
        <w:rPr>
          <w:rFonts w:ascii="Times New Roman" w:hAnsi="Times New Roman"/>
          <w:sz w:val="26"/>
          <w:szCs w:val="26"/>
        </w:rPr>
        <w:t>.</w:t>
      </w:r>
      <w:r w:rsidR="00061C03">
        <w:rPr>
          <w:rFonts w:ascii="Times New Roman" w:hAnsi="Times New Roman"/>
          <w:sz w:val="26"/>
          <w:szCs w:val="26"/>
        </w:rPr>
        <w:t>817(a)</w:t>
      </w:r>
      <w:r>
        <w:rPr>
          <w:rFonts w:ascii="Times New Roman" w:hAnsi="Times New Roman"/>
          <w:sz w:val="26"/>
          <w:szCs w:val="26"/>
        </w:rPr>
        <w:t xml:space="preserve"> </w:t>
      </w:r>
      <w:r w:rsidR="00061C03">
        <w:rPr>
          <w:rFonts w:ascii="Times New Roman" w:hAnsi="Times New Roman"/>
          <w:sz w:val="26"/>
          <w:szCs w:val="26"/>
        </w:rPr>
        <w:t>(Transporting a shipment of hazardous materials not accompanied by a properly prepared shipping paper) ($600)</w:t>
      </w:r>
      <w:r w:rsidRPr="00DE2A14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F859C3" w:rsidRDefault="00F859C3" w:rsidP="00F859C3">
      <w:pPr>
        <w:spacing w:line="480" w:lineRule="auto"/>
        <w:ind w:left="2160"/>
        <w:rPr>
          <w:rFonts w:ascii="Times New Roman" w:hAnsi="Times New Roman"/>
          <w:sz w:val="26"/>
          <w:szCs w:val="26"/>
        </w:rPr>
      </w:pPr>
      <w:r w:rsidRPr="00FE64B4">
        <w:rPr>
          <w:rFonts w:ascii="Times New Roman" w:hAnsi="Times New Roman"/>
          <w:b/>
          <w:sz w:val="26"/>
          <w:szCs w:val="26"/>
        </w:rPr>
        <w:t>(2)</w:t>
      </w:r>
      <w:r w:rsidRPr="00DE2A1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49 C.F.R. </w:t>
      </w:r>
      <w:r w:rsidR="00061C03">
        <w:rPr>
          <w:rFonts w:ascii="Times New Roman" w:hAnsi="Times New Roman"/>
          <w:sz w:val="26"/>
          <w:szCs w:val="26"/>
        </w:rPr>
        <w:t>382.305 (Failing to implement a random controlled substance and/or an alcohol testing program) ($1,000)</w:t>
      </w:r>
      <w:r w:rsidRPr="00DE2A14">
        <w:rPr>
          <w:rFonts w:ascii="Times New Roman" w:hAnsi="Times New Roman"/>
          <w:sz w:val="26"/>
          <w:szCs w:val="26"/>
        </w:rPr>
        <w:t>,</w:t>
      </w:r>
    </w:p>
    <w:p w:rsidR="00F859C3" w:rsidRDefault="00F859C3" w:rsidP="00F859C3">
      <w:pPr>
        <w:spacing w:line="480" w:lineRule="auto"/>
        <w:ind w:left="2160"/>
        <w:rPr>
          <w:rFonts w:ascii="Times New Roman" w:hAnsi="Times New Roman"/>
          <w:sz w:val="26"/>
          <w:szCs w:val="26"/>
        </w:rPr>
      </w:pPr>
      <w:r w:rsidRPr="00FE64B4">
        <w:rPr>
          <w:rFonts w:ascii="Times New Roman" w:hAnsi="Times New Roman"/>
          <w:b/>
          <w:sz w:val="26"/>
          <w:szCs w:val="26"/>
        </w:rPr>
        <w:t>(3)</w:t>
      </w:r>
      <w:r w:rsidRPr="00DE2A1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49 C.F.R. </w:t>
      </w:r>
      <w:r w:rsidR="00061C03">
        <w:rPr>
          <w:rFonts w:ascii="Times New Roman" w:hAnsi="Times New Roman"/>
          <w:sz w:val="26"/>
          <w:szCs w:val="26"/>
        </w:rPr>
        <w:t xml:space="preserve">396.17(a) (Using a commercial motor vehicle not periodically inspected) ($450), </w:t>
      </w:r>
    </w:p>
    <w:p w:rsidR="00061C03" w:rsidRDefault="00061C03" w:rsidP="00F859C3">
      <w:pPr>
        <w:spacing w:line="480" w:lineRule="auto"/>
        <w:ind w:left="21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(4) </w:t>
      </w:r>
      <w:r>
        <w:rPr>
          <w:rFonts w:ascii="Times New Roman" w:hAnsi="Times New Roman"/>
          <w:sz w:val="26"/>
          <w:szCs w:val="26"/>
        </w:rPr>
        <w:t xml:space="preserve">49 C.F.R. 391.21(a) (Using a driver who has not completed and furnished an employment application) ($0), </w:t>
      </w:r>
    </w:p>
    <w:p w:rsidR="00061C03" w:rsidRDefault="00061C03" w:rsidP="00F859C3">
      <w:pPr>
        <w:spacing w:line="480" w:lineRule="auto"/>
        <w:ind w:left="21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(5) </w:t>
      </w:r>
      <w:r>
        <w:rPr>
          <w:rFonts w:ascii="Times New Roman" w:hAnsi="Times New Roman"/>
          <w:sz w:val="26"/>
          <w:szCs w:val="26"/>
        </w:rPr>
        <w:t xml:space="preserve">49 C.F.R. </w:t>
      </w:r>
      <w:r w:rsidR="00696508">
        <w:rPr>
          <w:rFonts w:ascii="Times New Roman" w:hAnsi="Times New Roman"/>
          <w:sz w:val="26"/>
          <w:szCs w:val="26"/>
        </w:rPr>
        <w:t xml:space="preserve">391.51(b)(6) (Failing to maintain a list or certificate relating to violations of motor vehicle laws and ordinances required by 391.27) ($0), </w:t>
      </w:r>
    </w:p>
    <w:p w:rsidR="00696508" w:rsidRDefault="00696508" w:rsidP="00F859C3">
      <w:pPr>
        <w:spacing w:line="480" w:lineRule="auto"/>
        <w:ind w:left="21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(6) </w:t>
      </w:r>
      <w:r>
        <w:rPr>
          <w:rFonts w:ascii="Times New Roman" w:hAnsi="Times New Roman"/>
          <w:sz w:val="26"/>
          <w:szCs w:val="26"/>
        </w:rPr>
        <w:t>49 C.F.R. 395.8(a) (Failing to require driver to make a record of duty status) ($2,400),</w:t>
      </w:r>
    </w:p>
    <w:p w:rsidR="00696508" w:rsidRDefault="00696508" w:rsidP="00F859C3">
      <w:pPr>
        <w:spacing w:line="480" w:lineRule="auto"/>
        <w:ind w:left="21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(7) </w:t>
      </w:r>
      <w:r>
        <w:rPr>
          <w:rFonts w:ascii="Times New Roman" w:hAnsi="Times New Roman"/>
          <w:sz w:val="26"/>
          <w:szCs w:val="26"/>
        </w:rPr>
        <w:t>49 C.F.R. 172.800(b) (Offering for transportation or transporting one or more hazardous materials listed without developing and adhering to a security plan that conforms to the requirements of 49 C.F.R. Subpart 1) ($1,000),</w:t>
      </w:r>
    </w:p>
    <w:p w:rsidR="00696508" w:rsidRDefault="00696508" w:rsidP="00F859C3">
      <w:pPr>
        <w:spacing w:line="480" w:lineRule="auto"/>
        <w:ind w:left="21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(8) </w:t>
      </w:r>
      <w:r>
        <w:rPr>
          <w:rFonts w:ascii="Times New Roman" w:hAnsi="Times New Roman"/>
          <w:sz w:val="26"/>
          <w:szCs w:val="26"/>
        </w:rPr>
        <w:t xml:space="preserve">49 C.F.R. 180.407(a) (Transporting a hazardous material in a DOT specification cargo tank for which a test or inspection specified in this section has become due in accordance with 180.407(c)) ($400), </w:t>
      </w:r>
    </w:p>
    <w:p w:rsidR="00696508" w:rsidRDefault="00696508" w:rsidP="00F859C3">
      <w:pPr>
        <w:spacing w:line="480" w:lineRule="auto"/>
        <w:ind w:left="21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(9) </w:t>
      </w:r>
      <w:r>
        <w:rPr>
          <w:rFonts w:ascii="Times New Roman" w:hAnsi="Times New Roman"/>
          <w:sz w:val="26"/>
          <w:szCs w:val="26"/>
        </w:rPr>
        <w:t xml:space="preserve">49 C.F.R. 107.620(a) (Failing to maintain at principal place of business for 3 years from the date of issuance copies of the registration statement filed with PHMSA and the Certification of Registration issued by PHMSA. (Cargo Tank)) ($0), </w:t>
      </w:r>
    </w:p>
    <w:p w:rsidR="00696508" w:rsidRDefault="00696508" w:rsidP="00F859C3">
      <w:pPr>
        <w:spacing w:line="480" w:lineRule="auto"/>
        <w:ind w:left="21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(10) </w:t>
      </w:r>
      <w:r>
        <w:rPr>
          <w:rFonts w:ascii="Times New Roman" w:hAnsi="Times New Roman"/>
          <w:sz w:val="26"/>
          <w:szCs w:val="26"/>
        </w:rPr>
        <w:t>49 C.F.R. 391.51(b)(4) (Failing to maintain the response of each State agency to the annual driver record inquiry required by 391.25(a)) ($0),</w:t>
      </w:r>
    </w:p>
    <w:p w:rsidR="00696508" w:rsidRDefault="00696508" w:rsidP="00F859C3">
      <w:pPr>
        <w:spacing w:line="480" w:lineRule="auto"/>
        <w:ind w:left="21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(11) </w:t>
      </w:r>
      <w:r>
        <w:rPr>
          <w:rFonts w:ascii="Times New Roman" w:hAnsi="Times New Roman"/>
          <w:sz w:val="26"/>
          <w:szCs w:val="26"/>
        </w:rPr>
        <w:t xml:space="preserve">49 C.F.R. </w:t>
      </w:r>
      <w:r w:rsidR="007D50A2">
        <w:rPr>
          <w:rFonts w:ascii="Times New Roman" w:hAnsi="Times New Roman"/>
          <w:sz w:val="26"/>
          <w:szCs w:val="26"/>
        </w:rPr>
        <w:t xml:space="preserve">396.11(a) (Failing to require driver to prepare driver vehicle inspection report) ($2,625), </w:t>
      </w:r>
    </w:p>
    <w:p w:rsidR="007D50A2" w:rsidRDefault="007D50A2" w:rsidP="00F859C3">
      <w:pPr>
        <w:spacing w:line="480" w:lineRule="auto"/>
        <w:ind w:left="21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(12) </w:t>
      </w:r>
      <w:r>
        <w:rPr>
          <w:rFonts w:ascii="Times New Roman" w:hAnsi="Times New Roman"/>
          <w:sz w:val="26"/>
          <w:szCs w:val="26"/>
        </w:rPr>
        <w:t>49 C.F.R. 180.417(a)(1) (Failing to retain a cargo tank manufacturer’s data report, certificate and related papers, as required) ($400), and</w:t>
      </w:r>
    </w:p>
    <w:p w:rsidR="00696508" w:rsidRPr="00696508" w:rsidRDefault="007D50A2" w:rsidP="007D50A2">
      <w:pPr>
        <w:spacing w:line="480" w:lineRule="auto"/>
        <w:ind w:left="21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(13) </w:t>
      </w:r>
      <w:r>
        <w:rPr>
          <w:rFonts w:ascii="Times New Roman" w:hAnsi="Times New Roman"/>
          <w:sz w:val="26"/>
          <w:szCs w:val="26"/>
        </w:rPr>
        <w:t xml:space="preserve">49 C.F.R. 391.51(b)(5) (Failing to maintain a note relating to the annual review of the driver’s driving record as required by 391.25(c)(2) ($0). </w:t>
      </w:r>
    </w:p>
    <w:p w:rsidR="00F859C3" w:rsidRPr="00DE2A14" w:rsidRDefault="00F859C3" w:rsidP="00F859C3">
      <w:pPr>
        <w:numPr>
          <w:ilvl w:val="0"/>
          <w:numId w:val="1"/>
        </w:numPr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In response to the Notice of Preliminary D</w:t>
      </w:r>
      <w:r w:rsidRPr="00DE2A14">
        <w:rPr>
          <w:rFonts w:ascii="Times New Roman" w:hAnsi="Times New Roman"/>
          <w:sz w:val="26"/>
          <w:szCs w:val="26"/>
        </w:rPr>
        <w:t>etermination, Respondent made a timely formal request for an administrative hearing pursuant to Rule 4901:2-7-13</w:t>
      </w:r>
      <w:r>
        <w:rPr>
          <w:rFonts w:ascii="Times New Roman" w:hAnsi="Times New Roman"/>
          <w:sz w:val="26"/>
          <w:szCs w:val="26"/>
        </w:rPr>
        <w:t>, O.A.C</w:t>
      </w:r>
      <w:r w:rsidRPr="00DE2A14">
        <w:rPr>
          <w:rFonts w:ascii="Times New Roman" w:hAnsi="Times New Roman"/>
          <w:sz w:val="26"/>
          <w:szCs w:val="26"/>
        </w:rPr>
        <w:t xml:space="preserve">. </w:t>
      </w:r>
    </w:p>
    <w:p w:rsidR="00F859C3" w:rsidRPr="00DE2A14" w:rsidRDefault="00F859C3" w:rsidP="00F859C3">
      <w:pPr>
        <w:numPr>
          <w:ilvl w:val="0"/>
          <w:numId w:val="1"/>
        </w:numPr>
        <w:spacing w:line="480" w:lineRule="auto"/>
        <w:rPr>
          <w:rFonts w:ascii="Times New Roman" w:hAnsi="Times New Roman"/>
          <w:sz w:val="26"/>
          <w:szCs w:val="26"/>
        </w:rPr>
      </w:pPr>
      <w:r w:rsidRPr="00DE2A14">
        <w:rPr>
          <w:rFonts w:ascii="Times New Roman" w:hAnsi="Times New Roman"/>
          <w:sz w:val="26"/>
          <w:szCs w:val="26"/>
        </w:rPr>
        <w:t>The parties have negotiated this Settlement Agreement which the parties believe resolves all the issues in the case.</w:t>
      </w:r>
    </w:p>
    <w:p w:rsidR="00F859C3" w:rsidRPr="00DE2A14" w:rsidRDefault="00F859C3" w:rsidP="00F859C3">
      <w:pPr>
        <w:pStyle w:val="Heading7"/>
        <w:rPr>
          <w:rFonts w:ascii="Times New Roman" w:hAnsi="Times New Roman"/>
          <w:sz w:val="28"/>
          <w:szCs w:val="28"/>
        </w:rPr>
      </w:pPr>
      <w:r w:rsidRPr="00DE2A14">
        <w:rPr>
          <w:rFonts w:ascii="Times New Roman" w:hAnsi="Times New Roman"/>
          <w:sz w:val="28"/>
          <w:szCs w:val="28"/>
        </w:rPr>
        <w:t>III.</w:t>
      </w:r>
      <w:r w:rsidRPr="00DE2A14">
        <w:rPr>
          <w:rFonts w:ascii="Times New Roman" w:hAnsi="Times New Roman"/>
          <w:sz w:val="28"/>
          <w:szCs w:val="28"/>
        </w:rPr>
        <w:tab/>
        <w:t>Settlement Agreement</w:t>
      </w:r>
    </w:p>
    <w:p w:rsidR="00F859C3" w:rsidRPr="00DE2A14" w:rsidRDefault="00F859C3" w:rsidP="00F859C3">
      <w:pPr>
        <w:spacing w:line="480" w:lineRule="auto"/>
        <w:ind w:left="720"/>
        <w:rPr>
          <w:rFonts w:ascii="Times New Roman" w:hAnsi="Times New Roman"/>
          <w:sz w:val="26"/>
          <w:szCs w:val="26"/>
        </w:rPr>
      </w:pPr>
      <w:r w:rsidRPr="00DE2A14">
        <w:rPr>
          <w:rFonts w:ascii="Times New Roman" w:hAnsi="Times New Roman"/>
          <w:sz w:val="26"/>
          <w:szCs w:val="26"/>
        </w:rPr>
        <w:t>The parties agree and recommend that the Commission find as follows:</w:t>
      </w:r>
    </w:p>
    <w:p w:rsidR="00F859C3" w:rsidRDefault="00F859C3" w:rsidP="00F859C3">
      <w:pPr>
        <w:pStyle w:val="ListParagraph"/>
        <w:numPr>
          <w:ilvl w:val="0"/>
          <w:numId w:val="2"/>
        </w:numPr>
        <w:tabs>
          <w:tab w:val="clear" w:pos="1530"/>
          <w:tab w:val="num" w:pos="1440"/>
        </w:tabs>
        <w:spacing w:after="0" w:line="480" w:lineRule="auto"/>
        <w:ind w:left="14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6510">
        <w:rPr>
          <w:rFonts w:ascii="Times New Roman" w:eastAsia="Times New Roman" w:hAnsi="Times New Roman" w:cs="Times New Roman"/>
          <w:sz w:val="26"/>
          <w:szCs w:val="26"/>
        </w:rPr>
        <w:t>For purposes of settlement only, an</w:t>
      </w:r>
      <w:r>
        <w:rPr>
          <w:rFonts w:ascii="Times New Roman" w:eastAsia="Times New Roman" w:hAnsi="Times New Roman" w:cs="Times New Roman"/>
          <w:sz w:val="26"/>
          <w:szCs w:val="26"/>
        </w:rPr>
        <w:t>d not as an admission that the v</w:t>
      </w:r>
      <w:r w:rsidRPr="00136510">
        <w:rPr>
          <w:rFonts w:ascii="Times New Roman" w:eastAsia="Times New Roman" w:hAnsi="Times New Roman" w:cs="Times New Roman"/>
          <w:sz w:val="26"/>
          <w:szCs w:val="26"/>
        </w:rPr>
        <w:t>iolations occurred as alleged,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Respondent</w:t>
      </w:r>
      <w:r w:rsidRPr="001365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agrees that the violations </w:t>
      </w:r>
      <w:r w:rsidRPr="00136510">
        <w:rPr>
          <w:rFonts w:ascii="Times New Roman" w:eastAsia="Times New Roman" w:hAnsi="Times New Roman" w:cs="Times New Roman"/>
          <w:sz w:val="26"/>
          <w:szCs w:val="26"/>
        </w:rPr>
        <w:t>may be included in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its </w:t>
      </w:r>
      <w:r w:rsidRPr="00136510">
        <w:rPr>
          <w:rFonts w:ascii="Times New Roman" w:eastAsia="Times New Roman" w:hAnsi="Times New Roman" w:cs="Times New Roman"/>
          <w:sz w:val="26"/>
          <w:szCs w:val="26"/>
        </w:rPr>
        <w:t>history of violations, insofar as it may be relevant for purposes of determining future penalty actions.</w:t>
      </w:r>
    </w:p>
    <w:p w:rsidR="00F859C3" w:rsidRPr="002146C4" w:rsidRDefault="00F859C3" w:rsidP="00F859C3">
      <w:pPr>
        <w:pStyle w:val="ListParagraph"/>
        <w:numPr>
          <w:ilvl w:val="0"/>
          <w:numId w:val="2"/>
        </w:numPr>
        <w:tabs>
          <w:tab w:val="clear" w:pos="1530"/>
          <w:tab w:val="num" w:pos="1440"/>
        </w:tabs>
        <w:spacing w:after="0" w:line="480" w:lineRule="auto"/>
        <w:ind w:left="14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46C4">
        <w:rPr>
          <w:rFonts w:ascii="Times New Roman" w:hAnsi="Times New Roman"/>
          <w:sz w:val="26"/>
          <w:szCs w:val="26"/>
        </w:rPr>
        <w:t>Staff agrees, for purposes of settlement only, to a reduced c</w:t>
      </w:r>
      <w:r w:rsidR="00AF70C6">
        <w:rPr>
          <w:rFonts w:ascii="Times New Roman" w:hAnsi="Times New Roman"/>
          <w:sz w:val="26"/>
          <w:szCs w:val="26"/>
        </w:rPr>
        <w:t>ivil forfeiture amount of $6,513</w:t>
      </w:r>
      <w:r w:rsidRPr="002146C4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00 which reflects a 30% reduction of the original assessment</w:t>
      </w:r>
      <w:r w:rsidR="00261C58">
        <w:rPr>
          <w:rFonts w:ascii="Times New Roman" w:hAnsi="Times New Roman"/>
          <w:sz w:val="26"/>
          <w:szCs w:val="26"/>
        </w:rPr>
        <w:t>, except for the violation of 49 C.F.R. 382.305</w:t>
      </w:r>
      <w:r>
        <w:rPr>
          <w:rFonts w:ascii="Times New Roman" w:hAnsi="Times New Roman"/>
          <w:sz w:val="26"/>
          <w:szCs w:val="26"/>
        </w:rPr>
        <w:t>.</w:t>
      </w:r>
      <w:r w:rsidR="00261C58">
        <w:rPr>
          <w:rFonts w:ascii="Times New Roman" w:hAnsi="Times New Roman"/>
          <w:sz w:val="26"/>
          <w:szCs w:val="26"/>
        </w:rPr>
        <w:t xml:space="preserve"> The forfeiture </w:t>
      </w:r>
      <w:r w:rsidR="00261C58">
        <w:rPr>
          <w:rFonts w:ascii="Times New Roman" w:hAnsi="Times New Roman"/>
          <w:sz w:val="26"/>
          <w:szCs w:val="26"/>
        </w:rPr>
        <w:lastRenderedPageBreak/>
        <w:t>amount for the violation of 49 C.F.R. 382.305 (failing to implement a random controlled substance and/or alcoh</w:t>
      </w:r>
      <w:r w:rsidR="00D4759D">
        <w:rPr>
          <w:rFonts w:ascii="Times New Roman" w:hAnsi="Times New Roman"/>
          <w:sz w:val="26"/>
          <w:szCs w:val="26"/>
        </w:rPr>
        <w:t>ol testing program) ($1,000) will</w:t>
      </w:r>
      <w:r w:rsidR="00261C58">
        <w:rPr>
          <w:rFonts w:ascii="Times New Roman" w:hAnsi="Times New Roman"/>
          <w:sz w:val="26"/>
          <w:szCs w:val="26"/>
        </w:rPr>
        <w:t xml:space="preserve"> not </w:t>
      </w:r>
      <w:r w:rsidR="00D4759D">
        <w:rPr>
          <w:rFonts w:ascii="Times New Roman" w:hAnsi="Times New Roman"/>
          <w:sz w:val="26"/>
          <w:szCs w:val="26"/>
        </w:rPr>
        <w:t xml:space="preserve">be </w:t>
      </w:r>
      <w:r w:rsidR="00261C58">
        <w:rPr>
          <w:rFonts w:ascii="Times New Roman" w:hAnsi="Times New Roman"/>
          <w:sz w:val="26"/>
          <w:szCs w:val="26"/>
        </w:rPr>
        <w:t>reduced.</w:t>
      </w:r>
      <w:r>
        <w:rPr>
          <w:rFonts w:ascii="Times New Roman" w:hAnsi="Times New Roman"/>
          <w:sz w:val="26"/>
          <w:szCs w:val="26"/>
        </w:rPr>
        <w:t xml:space="preserve"> </w:t>
      </w:r>
      <w:r w:rsidR="00E135EF">
        <w:rPr>
          <w:rFonts w:ascii="Times New Roman" w:hAnsi="Times New Roman"/>
          <w:sz w:val="26"/>
          <w:szCs w:val="26"/>
        </w:rPr>
        <w:t xml:space="preserve"> The</w:t>
      </w:r>
      <w:r w:rsidRPr="002146C4">
        <w:rPr>
          <w:rFonts w:ascii="Times New Roman" w:hAnsi="Times New Roman"/>
          <w:sz w:val="26"/>
          <w:szCs w:val="26"/>
        </w:rPr>
        <w:t xml:space="preserve"> reduction is premised upon </w:t>
      </w:r>
      <w:r>
        <w:rPr>
          <w:rFonts w:ascii="Times New Roman" w:hAnsi="Times New Roman"/>
          <w:sz w:val="26"/>
          <w:szCs w:val="26"/>
        </w:rPr>
        <w:t xml:space="preserve">a </w:t>
      </w:r>
      <w:r w:rsidRPr="002146C4">
        <w:rPr>
          <w:rFonts w:ascii="Times New Roman" w:hAnsi="Times New Roman"/>
          <w:sz w:val="26"/>
          <w:szCs w:val="26"/>
        </w:rPr>
        <w:t xml:space="preserve">recognition </w:t>
      </w:r>
      <w:r>
        <w:rPr>
          <w:rFonts w:ascii="Times New Roman" w:hAnsi="Times New Roman"/>
          <w:sz w:val="26"/>
          <w:szCs w:val="26"/>
        </w:rPr>
        <w:t>that the Respondent has undertaken corrective actions including:</w:t>
      </w:r>
      <w:r w:rsidR="00261C58">
        <w:rPr>
          <w:rFonts w:ascii="Times New Roman" w:hAnsi="Times New Roman"/>
          <w:sz w:val="26"/>
          <w:szCs w:val="26"/>
        </w:rPr>
        <w:t xml:space="preserve"> </w:t>
      </w:r>
      <w:r w:rsidR="00E135EF">
        <w:rPr>
          <w:rFonts w:ascii="Times New Roman" w:hAnsi="Times New Roman"/>
          <w:sz w:val="26"/>
          <w:szCs w:val="26"/>
        </w:rPr>
        <w:t xml:space="preserve">correcting necessary documents so they conform to regulations, implementing proper inspection procedures, and implementing a controlled substance and alcohol testing program. </w:t>
      </w:r>
    </w:p>
    <w:p w:rsidR="00F859C3" w:rsidRPr="002146C4" w:rsidRDefault="00261C58" w:rsidP="00F859C3">
      <w:pPr>
        <w:pStyle w:val="ListParagraph"/>
        <w:numPr>
          <w:ilvl w:val="0"/>
          <w:numId w:val="2"/>
        </w:numPr>
        <w:tabs>
          <w:tab w:val="clear" w:pos="1530"/>
          <w:tab w:val="num" w:pos="1440"/>
        </w:tabs>
        <w:spacing w:after="0" w:line="480" w:lineRule="auto"/>
        <w:ind w:left="14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Respondent shall pay the forfeiture amount over the cours</w:t>
      </w:r>
      <w:r w:rsidR="00EA3D89">
        <w:rPr>
          <w:rFonts w:ascii="Times New Roman" w:hAnsi="Times New Roman"/>
          <w:sz w:val="26"/>
          <w:szCs w:val="26"/>
        </w:rPr>
        <w:t>e of a year</w:t>
      </w:r>
      <w:r>
        <w:rPr>
          <w:rFonts w:ascii="Times New Roman" w:hAnsi="Times New Roman"/>
          <w:sz w:val="26"/>
          <w:szCs w:val="26"/>
        </w:rPr>
        <w:t xml:space="preserve">. Payments shall be made monthly. </w:t>
      </w:r>
      <w:r w:rsidR="00F859C3" w:rsidRPr="002146C4">
        <w:rPr>
          <w:rFonts w:ascii="Times New Roman" w:hAnsi="Times New Roman"/>
          <w:sz w:val="26"/>
          <w:szCs w:val="26"/>
        </w:rPr>
        <w:t xml:space="preserve">Within 30 days of the effective date of the Settlement Agreement, Respondent </w:t>
      </w:r>
      <w:r w:rsidR="00F859C3">
        <w:rPr>
          <w:rFonts w:ascii="Times New Roman" w:hAnsi="Times New Roman"/>
          <w:sz w:val="26"/>
          <w:szCs w:val="26"/>
        </w:rPr>
        <w:t>shall</w:t>
      </w:r>
      <w:r>
        <w:rPr>
          <w:rFonts w:ascii="Times New Roman" w:hAnsi="Times New Roman"/>
          <w:sz w:val="26"/>
          <w:szCs w:val="26"/>
        </w:rPr>
        <w:t xml:space="preserve"> make its first payment of</w:t>
      </w:r>
      <w:r w:rsidR="00F859C3" w:rsidRPr="002146C4">
        <w:rPr>
          <w:rFonts w:ascii="Times New Roman" w:hAnsi="Times New Roman"/>
          <w:sz w:val="26"/>
          <w:szCs w:val="26"/>
        </w:rPr>
        <w:t xml:space="preserve"> $</w:t>
      </w:r>
      <w:r>
        <w:rPr>
          <w:rFonts w:ascii="Times New Roman" w:hAnsi="Times New Roman"/>
          <w:sz w:val="26"/>
          <w:szCs w:val="26"/>
        </w:rPr>
        <w:t>542</w:t>
      </w:r>
      <w:r w:rsidR="00F859C3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75. Respondent shall then pay $542.75 each month after until the forfeiture amount ($6,513.00) is paid in full.</w:t>
      </w:r>
      <w:r w:rsidR="00F859C3" w:rsidRPr="002146C4">
        <w:rPr>
          <w:rFonts w:ascii="Times New Roman" w:hAnsi="Times New Roman"/>
          <w:sz w:val="26"/>
          <w:szCs w:val="26"/>
        </w:rPr>
        <w:t xml:space="preserve">  </w:t>
      </w:r>
      <w:r w:rsidR="00F859C3">
        <w:rPr>
          <w:rFonts w:ascii="Times New Roman" w:hAnsi="Times New Roman"/>
          <w:sz w:val="26"/>
          <w:szCs w:val="26"/>
        </w:rPr>
        <w:t>Payment</w:t>
      </w:r>
      <w:r>
        <w:rPr>
          <w:rFonts w:ascii="Times New Roman" w:hAnsi="Times New Roman"/>
          <w:sz w:val="26"/>
          <w:szCs w:val="26"/>
        </w:rPr>
        <w:t>s</w:t>
      </w:r>
      <w:r w:rsidR="00F859C3">
        <w:rPr>
          <w:rFonts w:ascii="Times New Roman" w:hAnsi="Times New Roman"/>
          <w:sz w:val="26"/>
          <w:szCs w:val="26"/>
        </w:rPr>
        <w:t xml:space="preserve"> shall be made </w:t>
      </w:r>
      <w:r w:rsidR="00F859C3" w:rsidRPr="002146C4">
        <w:rPr>
          <w:rFonts w:ascii="Times New Roman" w:hAnsi="Times New Roman"/>
          <w:sz w:val="26"/>
          <w:szCs w:val="26"/>
        </w:rPr>
        <w:t xml:space="preserve">by check or money order payable to: “Treasurer State of Ohio,” and </w:t>
      </w:r>
      <w:r w:rsidR="00F859C3">
        <w:rPr>
          <w:rFonts w:ascii="Times New Roman" w:hAnsi="Times New Roman"/>
          <w:sz w:val="26"/>
          <w:szCs w:val="26"/>
        </w:rPr>
        <w:t>mailed to</w:t>
      </w:r>
      <w:r w:rsidR="00F859C3" w:rsidRPr="002146C4">
        <w:rPr>
          <w:rFonts w:ascii="Times New Roman" w:hAnsi="Times New Roman"/>
          <w:sz w:val="26"/>
          <w:szCs w:val="26"/>
        </w:rPr>
        <w:t xml:space="preserve"> PUCO Fiscal, 180 E. Broad St., 4</w:t>
      </w:r>
      <w:r w:rsidR="00F859C3" w:rsidRPr="002146C4">
        <w:rPr>
          <w:rFonts w:ascii="Times New Roman" w:hAnsi="Times New Roman"/>
          <w:sz w:val="26"/>
          <w:szCs w:val="26"/>
          <w:vertAlign w:val="superscript"/>
        </w:rPr>
        <w:t>th</w:t>
      </w:r>
      <w:r w:rsidR="00F859C3" w:rsidRPr="002146C4">
        <w:rPr>
          <w:rFonts w:ascii="Times New Roman" w:hAnsi="Times New Roman"/>
          <w:sz w:val="26"/>
          <w:szCs w:val="26"/>
        </w:rPr>
        <w:t xml:space="preserve"> Floor, Columbus, Ohio 43215-3793.  The Respondent </w:t>
      </w:r>
      <w:r w:rsidR="00F859C3">
        <w:rPr>
          <w:rFonts w:ascii="Times New Roman" w:hAnsi="Times New Roman"/>
          <w:sz w:val="26"/>
          <w:szCs w:val="26"/>
        </w:rPr>
        <w:t xml:space="preserve">should write the </w:t>
      </w:r>
      <w:r w:rsidR="00F859C3" w:rsidRPr="002146C4">
        <w:rPr>
          <w:rFonts w:ascii="Times New Roman" w:hAnsi="Times New Roman"/>
          <w:sz w:val="26"/>
          <w:szCs w:val="26"/>
        </w:rPr>
        <w:t xml:space="preserve">case number </w:t>
      </w:r>
      <w:r w:rsidR="00F859C3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CR201404210321</w:t>
      </w:r>
      <w:r w:rsidR="00F859C3">
        <w:rPr>
          <w:rFonts w:ascii="Times New Roman" w:hAnsi="Times New Roman"/>
          <w:sz w:val="26"/>
          <w:szCs w:val="26"/>
        </w:rPr>
        <w:t xml:space="preserve">) on the face of </w:t>
      </w:r>
      <w:r w:rsidR="00F859C3" w:rsidRPr="002146C4">
        <w:rPr>
          <w:rFonts w:ascii="Times New Roman" w:hAnsi="Times New Roman"/>
          <w:sz w:val="26"/>
          <w:szCs w:val="26"/>
        </w:rPr>
        <w:t>the payment.</w:t>
      </w:r>
    </w:p>
    <w:p w:rsidR="00F859C3" w:rsidRPr="002146C4" w:rsidRDefault="00F859C3" w:rsidP="00F859C3">
      <w:pPr>
        <w:pStyle w:val="ListParagraph"/>
        <w:numPr>
          <w:ilvl w:val="0"/>
          <w:numId w:val="2"/>
        </w:numPr>
        <w:tabs>
          <w:tab w:val="clear" w:pos="1530"/>
          <w:tab w:val="num" w:pos="1440"/>
        </w:tabs>
        <w:spacing w:after="0" w:line="480" w:lineRule="auto"/>
        <w:ind w:left="14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46C4">
        <w:rPr>
          <w:rFonts w:ascii="Times New Roman" w:hAnsi="Times New Roman"/>
          <w:sz w:val="26"/>
          <w:szCs w:val="26"/>
        </w:rPr>
        <w:t>This Settlement Agreement shall not become effective until the Commission adopts it through an Opinion and Order. The date of the entry of the Com</w:t>
      </w:r>
      <w:r w:rsidRPr="002146C4">
        <w:rPr>
          <w:rFonts w:ascii="Times New Roman" w:hAnsi="Times New Roman"/>
          <w:sz w:val="26"/>
          <w:szCs w:val="26"/>
        </w:rPr>
        <w:softHyphen/>
        <w:t>mission order adopting the Settlement Agreement will be the Settlement Agreement’s effective date.</w:t>
      </w:r>
    </w:p>
    <w:p w:rsidR="00F859C3" w:rsidRPr="002146C4" w:rsidRDefault="00F859C3" w:rsidP="00F859C3">
      <w:pPr>
        <w:pStyle w:val="ListParagraph"/>
        <w:numPr>
          <w:ilvl w:val="0"/>
          <w:numId w:val="2"/>
        </w:numPr>
        <w:tabs>
          <w:tab w:val="clear" w:pos="1530"/>
          <w:tab w:val="num" w:pos="1440"/>
        </w:tabs>
        <w:spacing w:after="0" w:line="480" w:lineRule="auto"/>
        <w:ind w:left="14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46C4">
        <w:rPr>
          <w:rFonts w:ascii="Times New Roman" w:hAnsi="Times New Roman"/>
          <w:sz w:val="26"/>
          <w:szCs w:val="26"/>
        </w:rPr>
        <w:t xml:space="preserve">This Settlement Agreement settles all factual and legal issues in this case.  The parties do not intend the Settlement Agreement to have any affect in any other case or proceeding. </w:t>
      </w:r>
    </w:p>
    <w:p w:rsidR="00F859C3" w:rsidRPr="00DE2A14" w:rsidRDefault="00F859C3" w:rsidP="00F859C3">
      <w:pPr>
        <w:pStyle w:val="Heading6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E2A14">
        <w:rPr>
          <w:rFonts w:ascii="Times New Roman" w:hAnsi="Times New Roman"/>
          <w:sz w:val="28"/>
          <w:szCs w:val="28"/>
        </w:rPr>
        <w:lastRenderedPageBreak/>
        <w:t>Conclusion</w:t>
      </w:r>
    </w:p>
    <w:p w:rsidR="00F859C3" w:rsidRDefault="00F859C3" w:rsidP="00EE7D4D">
      <w:pPr>
        <w:spacing w:line="480" w:lineRule="auto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This Settlement A</w:t>
      </w:r>
      <w:r w:rsidRPr="00DE2A14">
        <w:rPr>
          <w:rFonts w:ascii="Times New Roman" w:hAnsi="Times New Roman"/>
          <w:sz w:val="26"/>
          <w:szCs w:val="26"/>
        </w:rPr>
        <w:t>greement, which is subject to the Rules of the Commission, constitutes the entire agreement of the parties.  The parties agree that this Settlement Agree</w:t>
      </w:r>
      <w:r w:rsidRPr="00DE2A14">
        <w:rPr>
          <w:rFonts w:ascii="Times New Roman" w:hAnsi="Times New Roman"/>
          <w:sz w:val="26"/>
          <w:szCs w:val="26"/>
        </w:rPr>
        <w:softHyphen/>
        <w:t xml:space="preserve">ment is in the best interest of all parties, and urge the Commission to adopt the </w:t>
      </w:r>
      <w:r>
        <w:rPr>
          <w:rFonts w:ascii="Times New Roman" w:hAnsi="Times New Roman"/>
          <w:sz w:val="26"/>
          <w:szCs w:val="26"/>
        </w:rPr>
        <w:t xml:space="preserve">Settlement </w:t>
      </w:r>
      <w:r w:rsidRPr="00DE2A14">
        <w:rPr>
          <w:rFonts w:ascii="Times New Roman" w:hAnsi="Times New Roman"/>
          <w:sz w:val="26"/>
          <w:szCs w:val="26"/>
        </w:rPr>
        <w:t>Agreement</w:t>
      </w:r>
      <w:r>
        <w:rPr>
          <w:rFonts w:ascii="Times New Roman" w:hAnsi="Times New Roman"/>
          <w:sz w:val="26"/>
          <w:szCs w:val="26"/>
        </w:rPr>
        <w:t xml:space="preserve"> and </w:t>
      </w:r>
      <w:r w:rsidRPr="00DE2A14">
        <w:rPr>
          <w:rFonts w:ascii="Times New Roman" w:hAnsi="Times New Roman"/>
          <w:sz w:val="26"/>
          <w:szCs w:val="26"/>
        </w:rPr>
        <w:t xml:space="preserve">issue an entry </w:t>
      </w:r>
      <w:r>
        <w:rPr>
          <w:rFonts w:ascii="Times New Roman" w:hAnsi="Times New Roman"/>
          <w:sz w:val="26"/>
          <w:szCs w:val="26"/>
        </w:rPr>
        <w:t xml:space="preserve">in accordance with </w:t>
      </w:r>
      <w:r w:rsidRPr="00DE2A14">
        <w:rPr>
          <w:rFonts w:ascii="Times New Roman" w:hAnsi="Times New Roman"/>
          <w:sz w:val="26"/>
          <w:szCs w:val="26"/>
        </w:rPr>
        <w:t xml:space="preserve">the terms of </w:t>
      </w:r>
      <w:r>
        <w:rPr>
          <w:rFonts w:ascii="Times New Roman" w:hAnsi="Times New Roman"/>
          <w:sz w:val="26"/>
          <w:szCs w:val="26"/>
        </w:rPr>
        <w:t>the</w:t>
      </w:r>
      <w:r w:rsidRPr="00DE2A14">
        <w:rPr>
          <w:rFonts w:ascii="Times New Roman" w:hAnsi="Times New Roman"/>
          <w:sz w:val="26"/>
          <w:szCs w:val="26"/>
        </w:rPr>
        <w:t xml:space="preserve"> Settlement Agreement. </w:t>
      </w:r>
    </w:p>
    <w:p w:rsidR="00F859C3" w:rsidRDefault="00F859C3" w:rsidP="00F859C3">
      <w:pPr>
        <w:spacing w:line="480" w:lineRule="auto"/>
        <w:ind w:firstLine="720"/>
        <w:rPr>
          <w:rFonts w:ascii="Times New Roman" w:hAnsi="Times New Roman"/>
          <w:sz w:val="26"/>
          <w:szCs w:val="26"/>
        </w:rPr>
      </w:pPr>
      <w:r w:rsidRPr="00DE2A14">
        <w:rPr>
          <w:rFonts w:ascii="Times New Roman" w:hAnsi="Times New Roman"/>
          <w:sz w:val="26"/>
          <w:szCs w:val="26"/>
        </w:rPr>
        <w:t>The parties consent to the Settlement Agreement by sign</w:t>
      </w:r>
      <w:r>
        <w:rPr>
          <w:rFonts w:ascii="Times New Roman" w:hAnsi="Times New Roman"/>
          <w:sz w:val="26"/>
          <w:szCs w:val="26"/>
        </w:rPr>
        <w:t xml:space="preserve">ing the Agreement below. </w:t>
      </w:r>
    </w:p>
    <w:p w:rsidR="00F859C3" w:rsidRDefault="00F859C3" w:rsidP="00F859C3">
      <w:pPr>
        <w:spacing w:line="480" w:lineRule="auto"/>
        <w:ind w:firstLine="720"/>
        <w:rPr>
          <w:rFonts w:ascii="Times New Roman" w:hAnsi="Times New Roman"/>
          <w:sz w:val="26"/>
          <w:szCs w:val="26"/>
        </w:rPr>
      </w:pPr>
    </w:p>
    <w:p w:rsidR="00F859C3" w:rsidRDefault="00F859C3" w:rsidP="00F859C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On behalf of the Respondent:</w:t>
      </w:r>
    </w:p>
    <w:p w:rsidR="00F859C3" w:rsidRDefault="00F859C3" w:rsidP="00F859C3">
      <w:pPr>
        <w:rPr>
          <w:rFonts w:ascii="Times New Roman" w:hAnsi="Times New Roman"/>
          <w:sz w:val="26"/>
          <w:szCs w:val="26"/>
        </w:rPr>
      </w:pPr>
    </w:p>
    <w:p w:rsidR="00F859C3" w:rsidRDefault="00F859C3" w:rsidP="00F859C3">
      <w:pPr>
        <w:rPr>
          <w:rFonts w:ascii="Times New Roman" w:hAnsi="Times New Roman"/>
          <w:sz w:val="26"/>
          <w:szCs w:val="26"/>
        </w:rPr>
      </w:pPr>
    </w:p>
    <w:p w:rsidR="00F859C3" w:rsidRDefault="00F859C3" w:rsidP="00F859C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        Date: __________________</w:t>
      </w:r>
    </w:p>
    <w:p w:rsidR="00F859C3" w:rsidRPr="00505C8F" w:rsidRDefault="00EE7D4D" w:rsidP="00F859C3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Sandy DiFiore</w:t>
      </w:r>
    </w:p>
    <w:p w:rsidR="00F859C3" w:rsidRDefault="004D3B94" w:rsidP="00F859C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President</w:t>
      </w:r>
    </w:p>
    <w:p w:rsidR="00E35942" w:rsidRDefault="00E35942" w:rsidP="00F859C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Burch Thomas Oil Company</w:t>
      </w:r>
    </w:p>
    <w:p w:rsidR="00F859C3" w:rsidRDefault="00EE7D4D" w:rsidP="00F859C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P.O. Box 9188</w:t>
      </w:r>
      <w:r w:rsidR="00F859C3">
        <w:rPr>
          <w:rFonts w:ascii="Times New Roman" w:hAnsi="Times New Roman"/>
          <w:sz w:val="26"/>
          <w:szCs w:val="26"/>
        </w:rPr>
        <w:t xml:space="preserve"> </w:t>
      </w:r>
    </w:p>
    <w:p w:rsidR="00F859C3" w:rsidRDefault="00680457" w:rsidP="00F859C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Akron, OH 44305</w:t>
      </w:r>
    </w:p>
    <w:p w:rsidR="00F859C3" w:rsidRDefault="00F859C3" w:rsidP="00F859C3">
      <w:pPr>
        <w:rPr>
          <w:rFonts w:ascii="Times New Roman" w:hAnsi="Times New Roman"/>
          <w:sz w:val="26"/>
          <w:szCs w:val="26"/>
        </w:rPr>
      </w:pPr>
    </w:p>
    <w:p w:rsidR="00F859C3" w:rsidRDefault="00F859C3" w:rsidP="00F859C3">
      <w:pPr>
        <w:rPr>
          <w:rFonts w:ascii="Times New Roman" w:hAnsi="Times New Roman"/>
          <w:sz w:val="26"/>
          <w:szCs w:val="26"/>
        </w:rPr>
      </w:pPr>
    </w:p>
    <w:p w:rsidR="00F859C3" w:rsidRDefault="00F859C3" w:rsidP="00F859C3">
      <w:pPr>
        <w:rPr>
          <w:rFonts w:ascii="Times New Roman" w:hAnsi="Times New Roman"/>
          <w:sz w:val="26"/>
          <w:szCs w:val="26"/>
        </w:rPr>
      </w:pPr>
    </w:p>
    <w:p w:rsidR="00F859C3" w:rsidRDefault="00F859C3" w:rsidP="00F859C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On behalf of the Staff of the Public</w:t>
      </w:r>
    </w:p>
    <w:p w:rsidR="00F859C3" w:rsidRDefault="00F859C3" w:rsidP="00F859C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Utilities Commission of Ohio:</w:t>
      </w:r>
    </w:p>
    <w:p w:rsidR="00F859C3" w:rsidRDefault="00F859C3" w:rsidP="00F859C3">
      <w:pPr>
        <w:rPr>
          <w:rFonts w:ascii="Times New Roman" w:hAnsi="Times New Roman"/>
          <w:sz w:val="26"/>
          <w:szCs w:val="26"/>
        </w:rPr>
      </w:pPr>
    </w:p>
    <w:p w:rsidR="00F859C3" w:rsidRDefault="00F859C3" w:rsidP="00F859C3">
      <w:pPr>
        <w:rPr>
          <w:rFonts w:ascii="Times New Roman" w:hAnsi="Times New Roman"/>
          <w:sz w:val="26"/>
          <w:szCs w:val="26"/>
        </w:rPr>
      </w:pPr>
    </w:p>
    <w:p w:rsidR="00F859C3" w:rsidRDefault="00F859C3" w:rsidP="00F859C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      Date: ___________________</w:t>
      </w:r>
    </w:p>
    <w:p w:rsidR="00F859C3" w:rsidRDefault="00F859C3" w:rsidP="00F859C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Katie L. Johnson</w:t>
      </w:r>
    </w:p>
    <w:p w:rsidR="00F859C3" w:rsidRDefault="00F859C3" w:rsidP="00F859C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Assistant Attorney General</w:t>
      </w:r>
    </w:p>
    <w:p w:rsidR="00F859C3" w:rsidRPr="008E50D4" w:rsidRDefault="00F859C3" w:rsidP="00F859C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Public Utilities Section </w:t>
      </w:r>
    </w:p>
    <w:p w:rsidR="00F859C3" w:rsidRPr="00DE2A14" w:rsidRDefault="00F859C3" w:rsidP="00F859C3">
      <w:pPr>
        <w:tabs>
          <w:tab w:val="right" w:pos="3852"/>
        </w:tabs>
        <w:jc w:val="both"/>
        <w:rPr>
          <w:rFonts w:ascii="Times New Roman" w:hAnsi="Times New Roman"/>
          <w:sz w:val="26"/>
          <w:szCs w:val="26"/>
        </w:rPr>
      </w:pPr>
      <w:r w:rsidRPr="00DE2A14">
        <w:rPr>
          <w:rFonts w:ascii="Times New Roman" w:hAnsi="Times New Roman"/>
          <w:sz w:val="26"/>
          <w:szCs w:val="26"/>
        </w:rPr>
        <w:t>Ohio Attorney General Mike DeWine</w:t>
      </w:r>
    </w:p>
    <w:p w:rsidR="00F859C3" w:rsidRPr="00DE2A14" w:rsidRDefault="00F859C3" w:rsidP="00F859C3">
      <w:pPr>
        <w:tabs>
          <w:tab w:val="right" w:pos="3852"/>
        </w:tabs>
        <w:jc w:val="both"/>
        <w:rPr>
          <w:rFonts w:ascii="Times New Roman" w:hAnsi="Times New Roman"/>
          <w:sz w:val="26"/>
          <w:szCs w:val="26"/>
        </w:rPr>
      </w:pPr>
      <w:r w:rsidRPr="00DE2A14">
        <w:rPr>
          <w:rFonts w:ascii="Times New Roman" w:hAnsi="Times New Roman"/>
          <w:sz w:val="26"/>
          <w:szCs w:val="26"/>
        </w:rPr>
        <w:t>180 East Broad Street, 6</w:t>
      </w:r>
      <w:r w:rsidRPr="00DE2A14">
        <w:rPr>
          <w:rFonts w:ascii="Times New Roman" w:hAnsi="Times New Roman"/>
          <w:sz w:val="26"/>
          <w:szCs w:val="26"/>
          <w:vertAlign w:val="superscript"/>
        </w:rPr>
        <w:t>th</w:t>
      </w:r>
      <w:r w:rsidRPr="00DE2A14">
        <w:rPr>
          <w:rFonts w:ascii="Times New Roman" w:hAnsi="Times New Roman"/>
          <w:sz w:val="26"/>
          <w:szCs w:val="26"/>
        </w:rPr>
        <w:t xml:space="preserve"> Floor</w:t>
      </w:r>
    </w:p>
    <w:p w:rsidR="00F859C3" w:rsidRPr="00DE2A14" w:rsidRDefault="00F859C3" w:rsidP="00F859C3">
      <w:pPr>
        <w:tabs>
          <w:tab w:val="right" w:pos="3852"/>
        </w:tabs>
        <w:jc w:val="both"/>
        <w:rPr>
          <w:rFonts w:ascii="Times New Roman" w:hAnsi="Times New Roman"/>
          <w:sz w:val="26"/>
          <w:szCs w:val="26"/>
        </w:rPr>
      </w:pPr>
      <w:r w:rsidRPr="00DE2A14">
        <w:rPr>
          <w:rFonts w:ascii="Times New Roman" w:hAnsi="Times New Roman"/>
          <w:sz w:val="26"/>
          <w:szCs w:val="26"/>
        </w:rPr>
        <w:t>Columbus, Ohio 43215-3793</w:t>
      </w:r>
    </w:p>
    <w:p w:rsidR="00F859C3" w:rsidRPr="00DE2A14" w:rsidRDefault="00F859C3" w:rsidP="00395F7C">
      <w:pPr>
        <w:rPr>
          <w:rFonts w:ascii="Times New Roman" w:hAnsi="Times New Roman"/>
          <w:sz w:val="26"/>
          <w:szCs w:val="26"/>
        </w:rPr>
      </w:pPr>
      <w:r w:rsidRPr="00DE2A14">
        <w:rPr>
          <w:rFonts w:ascii="Times New Roman" w:hAnsi="Times New Roman"/>
          <w:sz w:val="26"/>
          <w:szCs w:val="26"/>
        </w:rPr>
        <w:t>(614) 644-8588</w:t>
      </w:r>
    </w:p>
    <w:p w:rsidR="00F859C3" w:rsidRPr="00DE2A14" w:rsidRDefault="00F859C3" w:rsidP="00F859C3">
      <w:pPr>
        <w:jc w:val="both"/>
        <w:rPr>
          <w:rFonts w:ascii="Times New Roman" w:hAnsi="Times New Roman"/>
          <w:sz w:val="26"/>
          <w:szCs w:val="26"/>
        </w:rPr>
      </w:pPr>
    </w:p>
    <w:p w:rsidR="00F859C3" w:rsidRPr="00DE2A14" w:rsidRDefault="00F859C3" w:rsidP="00F859C3">
      <w:pPr>
        <w:jc w:val="both"/>
        <w:rPr>
          <w:rFonts w:ascii="Times New Roman" w:hAnsi="Times New Roman"/>
          <w:sz w:val="26"/>
          <w:szCs w:val="26"/>
        </w:rPr>
      </w:pPr>
    </w:p>
    <w:p w:rsidR="005C7FE7" w:rsidRDefault="00395F7C">
      <w:bookmarkStart w:id="0" w:name="_GoBack"/>
      <w:bookmarkEnd w:id="0"/>
    </w:p>
    <w:sectPr w:rsidR="005C7FE7" w:rsidSect="00CD6DD4">
      <w:footerReference w:type="even" r:id="rId7"/>
      <w:footerReference w:type="default" r:id="rId8"/>
      <w:foot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8B5" w:rsidRDefault="00E135EF">
      <w:r>
        <w:separator/>
      </w:r>
    </w:p>
  </w:endnote>
  <w:endnote w:type="continuationSeparator" w:id="0">
    <w:p w:rsidR="00AE08B5" w:rsidRDefault="00E13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6C4" w:rsidRDefault="006C0EB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2146C4" w:rsidRDefault="00395F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6C4" w:rsidRDefault="006C0EB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5F7C">
      <w:rPr>
        <w:rStyle w:val="PageNumber"/>
        <w:noProof/>
      </w:rPr>
      <w:t>6</w:t>
    </w:r>
    <w:r>
      <w:rPr>
        <w:rStyle w:val="PageNumber"/>
      </w:rPr>
      <w:fldChar w:fldCharType="end"/>
    </w:r>
  </w:p>
  <w:p w:rsidR="002146C4" w:rsidRDefault="00395F7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6493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46C4" w:rsidRDefault="006C0E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3B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146C4" w:rsidRDefault="00395F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8B5" w:rsidRDefault="00E135EF">
      <w:r>
        <w:separator/>
      </w:r>
    </w:p>
  </w:footnote>
  <w:footnote w:type="continuationSeparator" w:id="0">
    <w:p w:rsidR="00AE08B5" w:rsidRDefault="00E13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0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00000003"/>
    <w:multiLevelType w:val="singleLevel"/>
    <w:tmpl w:val="00000000"/>
    <w:lvl w:ilvl="0">
      <w:start w:val="1"/>
      <w:numFmt w:val="upperLetter"/>
      <w:lvlText w:val="%1."/>
      <w:lvlJc w:val="left"/>
      <w:pPr>
        <w:tabs>
          <w:tab w:val="num" w:pos="1530"/>
        </w:tabs>
        <w:ind w:left="1530" w:hanging="720"/>
      </w:pPr>
      <w:rPr>
        <w:rFonts w:hint="default"/>
      </w:rPr>
    </w:lvl>
  </w:abstractNum>
  <w:abstractNum w:abstractNumId="2">
    <w:nsid w:val="00000004"/>
    <w:multiLevelType w:val="singleLevel"/>
    <w:tmpl w:val="00000000"/>
    <w:lvl w:ilvl="0">
      <w:start w:val="2"/>
      <w:numFmt w:val="upperRoman"/>
      <w:pStyle w:val="Heading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00000006"/>
    <w:multiLevelType w:val="singleLevel"/>
    <w:tmpl w:val="00130409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9C3"/>
    <w:rsid w:val="00061C03"/>
    <w:rsid w:val="00261C58"/>
    <w:rsid w:val="0037456A"/>
    <w:rsid w:val="00395F7C"/>
    <w:rsid w:val="004D3B94"/>
    <w:rsid w:val="00680457"/>
    <w:rsid w:val="00696508"/>
    <w:rsid w:val="006C0EBF"/>
    <w:rsid w:val="007D50A2"/>
    <w:rsid w:val="00AE08B5"/>
    <w:rsid w:val="00AF70C6"/>
    <w:rsid w:val="00C779D0"/>
    <w:rsid w:val="00D4759D"/>
    <w:rsid w:val="00E135EF"/>
    <w:rsid w:val="00E34F97"/>
    <w:rsid w:val="00E35942"/>
    <w:rsid w:val="00EA3D89"/>
    <w:rsid w:val="00EE7D4D"/>
    <w:rsid w:val="00F0728F"/>
    <w:rsid w:val="00F8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92C67-8322-4E5B-9351-FBBC6BB94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9C3"/>
    <w:pPr>
      <w:spacing w:after="0" w:line="240" w:lineRule="auto"/>
    </w:pPr>
    <w:rPr>
      <w:rFonts w:ascii="Palatino" w:eastAsia="Times New Roman" w:hAnsi="Palatino" w:cs="Times New Roman"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F859C3"/>
    <w:pPr>
      <w:keepNext/>
      <w:numPr>
        <w:numId w:val="3"/>
      </w:numPr>
      <w:spacing w:line="480" w:lineRule="auto"/>
      <w:jc w:val="both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rsid w:val="00F859C3"/>
    <w:pPr>
      <w:keepNext/>
      <w:spacing w:line="480" w:lineRule="auto"/>
      <w:jc w:val="both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F859C3"/>
    <w:pPr>
      <w:keepNext/>
      <w:jc w:val="both"/>
      <w:outlineLvl w:val="7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F859C3"/>
    <w:rPr>
      <w:rFonts w:ascii="Palatino" w:eastAsia="Times New Roman" w:hAnsi="Palatino" w:cs="Times New Roman"/>
      <w:b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F859C3"/>
    <w:rPr>
      <w:rFonts w:ascii="Palatino" w:eastAsia="Times New Roman" w:hAnsi="Palatino" w:cs="Times New Roman"/>
      <w:b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F859C3"/>
    <w:rPr>
      <w:rFonts w:ascii="Palatino" w:eastAsia="Times New Roman" w:hAnsi="Palatino" w:cs="Times New Roman"/>
      <w:sz w:val="32"/>
      <w:szCs w:val="20"/>
    </w:rPr>
  </w:style>
  <w:style w:type="paragraph" w:styleId="Footer">
    <w:name w:val="footer"/>
    <w:basedOn w:val="Normal"/>
    <w:link w:val="FooterChar"/>
    <w:uiPriority w:val="99"/>
    <w:rsid w:val="00F859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59C3"/>
    <w:rPr>
      <w:rFonts w:ascii="Palatino" w:eastAsia="Times New Roman" w:hAnsi="Palatino" w:cs="Times New Roman"/>
      <w:sz w:val="24"/>
      <w:szCs w:val="20"/>
    </w:rPr>
  </w:style>
  <w:style w:type="paragraph" w:customStyle="1" w:styleId="noindent">
    <w:name w:val="no indent"/>
    <w:basedOn w:val="Normal"/>
    <w:rsid w:val="00F859C3"/>
    <w:pPr>
      <w:jc w:val="both"/>
    </w:pPr>
  </w:style>
  <w:style w:type="character" w:styleId="PageNumber">
    <w:name w:val="page number"/>
    <w:basedOn w:val="DefaultParagraphFont"/>
    <w:rsid w:val="00F859C3"/>
  </w:style>
  <w:style w:type="paragraph" w:styleId="ListParagraph">
    <w:name w:val="List Paragraph"/>
    <w:basedOn w:val="Normal"/>
    <w:uiPriority w:val="34"/>
    <w:qFormat/>
    <w:rsid w:val="00F859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B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B9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Katherine</dc:creator>
  <cp:keywords/>
  <dc:description/>
  <cp:lastModifiedBy>Johnson, Katherine</cp:lastModifiedBy>
  <cp:revision>10</cp:revision>
  <cp:lastPrinted>2014-10-15T19:15:00Z</cp:lastPrinted>
  <dcterms:created xsi:type="dcterms:W3CDTF">2014-10-06T18:16:00Z</dcterms:created>
  <dcterms:modified xsi:type="dcterms:W3CDTF">2014-10-15T19:23:00Z</dcterms:modified>
</cp:coreProperties>
</file>