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00C7" w14:textId="77777777" w:rsidR="00E243C7" w:rsidRPr="00561663" w:rsidRDefault="00E243C7" w:rsidP="00E243C7">
      <w:pPr>
        <w:pStyle w:val="Title"/>
        <w:widowControl w:val="0"/>
        <w:rPr>
          <w:rFonts w:ascii="Arial" w:hAnsi="Arial" w:cs="Arial"/>
          <w:szCs w:val="24"/>
        </w:rPr>
      </w:pPr>
      <w:r w:rsidRPr="00561663">
        <w:rPr>
          <w:rFonts w:ascii="Arial" w:hAnsi="Arial" w:cs="Arial"/>
          <w:szCs w:val="24"/>
        </w:rPr>
        <w:t>BEFORE</w:t>
      </w:r>
    </w:p>
    <w:p w14:paraId="3127DEFD" w14:textId="275A26BF" w:rsidR="00545F29" w:rsidRPr="00646AB2" w:rsidRDefault="00E243C7" w:rsidP="00E243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61663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545F29" w:rsidRPr="00561663" w14:paraId="3127DF7C" w14:textId="77777777" w:rsidTr="00D5432E">
        <w:trPr>
          <w:trHeight w:val="1359"/>
          <w:jc w:val="center"/>
        </w:trPr>
        <w:tc>
          <w:tcPr>
            <w:tcW w:w="4739" w:type="dxa"/>
          </w:tcPr>
          <w:p w14:paraId="3127DF27" w14:textId="409A99AC" w:rsidR="00557383" w:rsidRPr="00561663" w:rsidRDefault="00D5432E" w:rsidP="0055738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32E">
              <w:rPr>
                <w:rFonts w:ascii="Arial" w:hAnsi="Arial" w:cs="Arial"/>
                <w:sz w:val="24"/>
                <w:szCs w:val="24"/>
              </w:rPr>
              <w:t>In the Matter of the Application of  The Dayton Power and Light Company for Approval of Its Energy Efficiency and Peak Demand Reduction</w:t>
            </w:r>
            <w:r w:rsidR="00F53019">
              <w:rPr>
                <w:rFonts w:ascii="Arial" w:hAnsi="Arial" w:cs="Arial"/>
                <w:sz w:val="24"/>
                <w:szCs w:val="24"/>
              </w:rPr>
              <w:t xml:space="preserve"> Program Portfolio Plan for 2018 through 2020</w:t>
            </w:r>
            <w:r w:rsidRPr="00D543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3127DF28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9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A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B" w14:textId="77777777" w:rsidR="00545F29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52" w14:textId="0B89ABEF" w:rsidR="00557383" w:rsidRPr="00561663" w:rsidRDefault="00E243C7" w:rsidP="00D543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3127DF54" w14:textId="77777777" w:rsidR="00545F29" w:rsidRPr="00561663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7DF55" w14:textId="60E6FA88" w:rsidR="00545F29" w:rsidRPr="00561663" w:rsidRDefault="0056270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F53019">
              <w:rPr>
                <w:rFonts w:ascii="Arial" w:hAnsi="Arial" w:cs="Arial"/>
                <w:sz w:val="24"/>
                <w:szCs w:val="24"/>
              </w:rPr>
              <w:t>17-1398</w:t>
            </w:r>
            <w:r w:rsidR="00113164">
              <w:rPr>
                <w:rFonts w:ascii="Arial" w:hAnsi="Arial" w:cs="Arial"/>
                <w:sz w:val="24"/>
                <w:szCs w:val="24"/>
              </w:rPr>
              <w:t>-EL-POR</w:t>
            </w:r>
          </w:p>
          <w:p w14:paraId="6B841287" w14:textId="77777777" w:rsidR="00557383" w:rsidRDefault="00557383" w:rsidP="00F5301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7DF7B" w14:textId="779A345D" w:rsidR="00F53019" w:rsidRPr="00561663" w:rsidRDefault="00F53019" w:rsidP="00F5301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019">
              <w:rPr>
                <w:rFonts w:ascii="Arial" w:hAnsi="Arial" w:cs="Arial"/>
                <w:sz w:val="24"/>
                <w:szCs w:val="24"/>
              </w:rPr>
              <w:t>Case No. 17-1399-EL-WVR</w:t>
            </w:r>
          </w:p>
        </w:tc>
      </w:tr>
    </w:tbl>
    <w:p w14:paraId="3127DF7E" w14:textId="77777777" w:rsidR="00557383" w:rsidRDefault="00557383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D4463B1" w14:textId="6FD0EEEE" w:rsidR="00BE191E" w:rsidRDefault="00BE191E" w:rsidP="0085155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27DF81" w14:textId="3D6B235C" w:rsidR="00545F29" w:rsidRDefault="0056270F" w:rsidP="0060796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MOTION TO </w:t>
      </w:r>
      <w:r w:rsidR="00561663">
        <w:rPr>
          <w:rFonts w:ascii="Arial" w:hAnsi="Arial" w:cs="Arial"/>
          <w:b/>
          <w:bCs/>
          <w:sz w:val="24"/>
          <w:szCs w:val="24"/>
        </w:rPr>
        <w:t xml:space="preserve">INTERVENE </w:t>
      </w:r>
      <w:r w:rsidR="0085155E">
        <w:rPr>
          <w:rFonts w:ascii="Arial" w:hAnsi="Arial" w:cs="Arial"/>
          <w:b/>
          <w:bCs/>
          <w:sz w:val="24"/>
          <w:szCs w:val="24"/>
        </w:rPr>
        <w:t>OF INTERSTATE GAS SUPPLY, INC.</w:t>
      </w:r>
    </w:p>
    <w:p w14:paraId="3127DF82" w14:textId="77777777" w:rsidR="00545F29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27DF83" w14:textId="77777777" w:rsidR="00545F29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4C640D30" w14:textId="309B4ACE" w:rsidR="00A72BBD" w:rsidRDefault="00CB4926" w:rsidP="00B6450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450D">
        <w:rPr>
          <w:rFonts w:ascii="Arial" w:hAnsi="Arial" w:cs="Arial"/>
          <w:sz w:val="24"/>
          <w:szCs w:val="24"/>
        </w:rPr>
        <w:t>Pursuant to O</w:t>
      </w:r>
      <w:r w:rsidR="00B6450D">
        <w:rPr>
          <w:rFonts w:ascii="Arial" w:hAnsi="Arial" w:cs="Arial"/>
          <w:sz w:val="24"/>
          <w:szCs w:val="24"/>
        </w:rPr>
        <w:t>hio Revised Code (“ORC”)</w:t>
      </w:r>
      <w:r w:rsidR="00561663">
        <w:rPr>
          <w:rFonts w:ascii="Arial" w:hAnsi="Arial" w:cs="Arial"/>
          <w:sz w:val="24"/>
          <w:szCs w:val="24"/>
        </w:rPr>
        <w:t xml:space="preserve"> </w:t>
      </w:r>
      <w:r w:rsidRPr="00B6450D">
        <w:rPr>
          <w:rFonts w:ascii="Arial" w:hAnsi="Arial" w:cs="Arial"/>
          <w:sz w:val="24"/>
          <w:szCs w:val="24"/>
        </w:rPr>
        <w:t>4903.221 and</w:t>
      </w:r>
      <w:r w:rsidR="00561663">
        <w:rPr>
          <w:rFonts w:ascii="Arial" w:hAnsi="Arial" w:cs="Arial"/>
          <w:sz w:val="24"/>
          <w:szCs w:val="24"/>
        </w:rPr>
        <w:t xml:space="preserve"> Ohio Administrative Code</w:t>
      </w:r>
      <w:r w:rsidRPr="00B6450D">
        <w:rPr>
          <w:rFonts w:ascii="Arial" w:hAnsi="Arial" w:cs="Arial"/>
          <w:sz w:val="24"/>
          <w:szCs w:val="24"/>
        </w:rPr>
        <w:t xml:space="preserve"> </w:t>
      </w:r>
      <w:r w:rsidR="00561663">
        <w:rPr>
          <w:rFonts w:ascii="Arial" w:hAnsi="Arial" w:cs="Arial"/>
          <w:sz w:val="24"/>
          <w:szCs w:val="24"/>
        </w:rPr>
        <w:t>(“</w:t>
      </w:r>
      <w:r w:rsidRPr="00B6450D">
        <w:rPr>
          <w:rFonts w:ascii="Arial" w:hAnsi="Arial" w:cs="Arial"/>
          <w:sz w:val="24"/>
          <w:szCs w:val="24"/>
        </w:rPr>
        <w:t>OAC</w:t>
      </w:r>
      <w:r w:rsidR="00561663">
        <w:rPr>
          <w:rFonts w:ascii="Arial" w:hAnsi="Arial" w:cs="Arial"/>
          <w:sz w:val="24"/>
          <w:szCs w:val="24"/>
        </w:rPr>
        <w:t>”)</w:t>
      </w:r>
      <w:r w:rsidR="0056270F" w:rsidRPr="00B6450D">
        <w:rPr>
          <w:rFonts w:ascii="Arial" w:hAnsi="Arial" w:cs="Arial"/>
          <w:sz w:val="24"/>
          <w:szCs w:val="24"/>
        </w:rPr>
        <w:t xml:space="preserve"> 4901-1-11, Interstate Gas Supply, Inc.</w:t>
      </w:r>
      <w:r w:rsidR="00113164">
        <w:rPr>
          <w:rFonts w:ascii="Arial" w:hAnsi="Arial" w:cs="Arial"/>
          <w:sz w:val="24"/>
          <w:szCs w:val="24"/>
        </w:rPr>
        <w:t xml:space="preserve"> (</w:t>
      </w:r>
      <w:r w:rsidR="00607965">
        <w:rPr>
          <w:rFonts w:ascii="Arial" w:hAnsi="Arial" w:cs="Arial"/>
          <w:sz w:val="24"/>
          <w:szCs w:val="24"/>
        </w:rPr>
        <w:t>“</w:t>
      </w:r>
      <w:r w:rsidR="00113164">
        <w:rPr>
          <w:rFonts w:ascii="Arial" w:hAnsi="Arial" w:cs="Arial"/>
          <w:sz w:val="24"/>
          <w:szCs w:val="24"/>
        </w:rPr>
        <w:t>IGS</w:t>
      </w:r>
      <w:r w:rsidR="00607965">
        <w:rPr>
          <w:rFonts w:ascii="Arial" w:hAnsi="Arial" w:cs="Arial"/>
          <w:sz w:val="24"/>
          <w:szCs w:val="24"/>
        </w:rPr>
        <w:t>”</w:t>
      </w:r>
      <w:r w:rsidR="00113164">
        <w:rPr>
          <w:rFonts w:ascii="Arial" w:hAnsi="Arial" w:cs="Arial"/>
          <w:sz w:val="24"/>
          <w:szCs w:val="24"/>
        </w:rPr>
        <w:t>)</w:t>
      </w:r>
      <w:r w:rsidR="0056270F" w:rsidRPr="00B6450D">
        <w:rPr>
          <w:rFonts w:ascii="Arial" w:hAnsi="Arial" w:cs="Arial"/>
          <w:sz w:val="24"/>
          <w:szCs w:val="24"/>
        </w:rPr>
        <w:t xml:space="preserve"> moves</w:t>
      </w:r>
      <w:r w:rsidR="00136A5D">
        <w:rPr>
          <w:rFonts w:ascii="Arial" w:hAnsi="Arial" w:cs="Arial"/>
          <w:sz w:val="24"/>
          <w:szCs w:val="24"/>
        </w:rPr>
        <w:t xml:space="preserve"> for leave</w:t>
      </w:r>
      <w:r w:rsidR="0056270F" w:rsidRPr="00B6450D">
        <w:rPr>
          <w:rFonts w:ascii="Arial" w:hAnsi="Arial" w:cs="Arial"/>
          <w:sz w:val="24"/>
          <w:szCs w:val="24"/>
        </w:rPr>
        <w:t xml:space="preserve"> </w:t>
      </w:r>
      <w:r w:rsidR="00BE191E" w:rsidRPr="00B6450D">
        <w:rPr>
          <w:rFonts w:ascii="Arial" w:hAnsi="Arial" w:cs="Arial"/>
          <w:sz w:val="24"/>
          <w:szCs w:val="24"/>
        </w:rPr>
        <w:t>to intervene</w:t>
      </w:r>
      <w:r w:rsidR="0056270F" w:rsidRPr="00B6450D">
        <w:rPr>
          <w:rFonts w:ascii="Arial" w:hAnsi="Arial" w:cs="Arial"/>
          <w:sz w:val="24"/>
          <w:szCs w:val="24"/>
        </w:rPr>
        <w:t xml:space="preserve"> in the above captioned </w:t>
      </w:r>
      <w:r w:rsidR="00E243C7">
        <w:rPr>
          <w:rFonts w:ascii="Arial" w:hAnsi="Arial" w:cs="Arial"/>
          <w:sz w:val="24"/>
          <w:szCs w:val="24"/>
        </w:rPr>
        <w:t xml:space="preserve">proceeding in which </w:t>
      </w:r>
      <w:r w:rsidR="00243429">
        <w:rPr>
          <w:rFonts w:ascii="Arial" w:hAnsi="Arial" w:cs="Arial"/>
          <w:sz w:val="24"/>
          <w:szCs w:val="24"/>
        </w:rPr>
        <w:t>the Dayton Power and Light</w:t>
      </w:r>
      <w:r w:rsidR="00E243C7">
        <w:rPr>
          <w:rFonts w:ascii="Arial" w:hAnsi="Arial" w:cs="Arial"/>
          <w:sz w:val="24"/>
          <w:szCs w:val="24"/>
        </w:rPr>
        <w:t xml:space="preserve"> Company</w:t>
      </w:r>
      <w:r w:rsidR="00243429">
        <w:rPr>
          <w:rFonts w:ascii="Arial" w:hAnsi="Arial" w:cs="Arial"/>
          <w:sz w:val="24"/>
          <w:szCs w:val="24"/>
        </w:rPr>
        <w:t xml:space="preserve"> (“DP&amp;L”)</w:t>
      </w:r>
      <w:r w:rsidR="00E243C7">
        <w:rPr>
          <w:rFonts w:ascii="Arial" w:hAnsi="Arial" w:cs="Arial"/>
          <w:sz w:val="24"/>
          <w:szCs w:val="24"/>
        </w:rPr>
        <w:t xml:space="preserve"> seek</w:t>
      </w:r>
      <w:r w:rsidR="00A7436C">
        <w:rPr>
          <w:rFonts w:ascii="Arial" w:hAnsi="Arial" w:cs="Arial"/>
          <w:sz w:val="24"/>
          <w:szCs w:val="24"/>
        </w:rPr>
        <w:t>s</w:t>
      </w:r>
      <w:r w:rsidR="00E243C7">
        <w:rPr>
          <w:rFonts w:ascii="Arial" w:hAnsi="Arial" w:cs="Arial"/>
          <w:sz w:val="24"/>
          <w:szCs w:val="24"/>
        </w:rPr>
        <w:t xml:space="preserve"> </w:t>
      </w:r>
      <w:r w:rsidR="002E5525">
        <w:rPr>
          <w:rFonts w:ascii="Arial" w:hAnsi="Arial" w:cs="Arial"/>
          <w:sz w:val="24"/>
          <w:szCs w:val="24"/>
        </w:rPr>
        <w:t>Public Utilit</w:t>
      </w:r>
      <w:r w:rsidR="0082706D">
        <w:rPr>
          <w:rFonts w:ascii="Arial" w:hAnsi="Arial" w:cs="Arial"/>
          <w:sz w:val="24"/>
          <w:szCs w:val="24"/>
        </w:rPr>
        <w:t>ies</w:t>
      </w:r>
      <w:r w:rsidR="002E5525">
        <w:rPr>
          <w:rFonts w:ascii="Arial" w:hAnsi="Arial" w:cs="Arial"/>
          <w:sz w:val="24"/>
          <w:szCs w:val="24"/>
        </w:rPr>
        <w:t xml:space="preserve"> Commission of Ohio (</w:t>
      </w:r>
      <w:r w:rsidR="00607965">
        <w:rPr>
          <w:rFonts w:ascii="Arial" w:hAnsi="Arial" w:cs="Arial"/>
          <w:sz w:val="24"/>
          <w:szCs w:val="24"/>
        </w:rPr>
        <w:t>“</w:t>
      </w:r>
      <w:r w:rsidR="002E5525">
        <w:rPr>
          <w:rFonts w:ascii="Arial" w:hAnsi="Arial" w:cs="Arial"/>
          <w:sz w:val="24"/>
          <w:szCs w:val="24"/>
        </w:rPr>
        <w:t>Commission</w:t>
      </w:r>
      <w:r w:rsidR="00607965">
        <w:rPr>
          <w:rFonts w:ascii="Arial" w:hAnsi="Arial" w:cs="Arial"/>
          <w:sz w:val="24"/>
          <w:szCs w:val="24"/>
        </w:rPr>
        <w:t>”</w:t>
      </w:r>
      <w:r w:rsidR="002E5525">
        <w:rPr>
          <w:rFonts w:ascii="Arial" w:hAnsi="Arial" w:cs="Arial"/>
          <w:sz w:val="24"/>
          <w:szCs w:val="24"/>
        </w:rPr>
        <w:t>)</w:t>
      </w:r>
      <w:r w:rsidR="00E243C7">
        <w:rPr>
          <w:rFonts w:ascii="Arial" w:hAnsi="Arial" w:cs="Arial"/>
          <w:sz w:val="24"/>
          <w:szCs w:val="24"/>
        </w:rPr>
        <w:t xml:space="preserve"> approval of </w:t>
      </w:r>
      <w:r w:rsidR="00A7436C">
        <w:rPr>
          <w:rFonts w:ascii="Arial" w:hAnsi="Arial" w:cs="Arial"/>
          <w:sz w:val="24"/>
          <w:szCs w:val="24"/>
        </w:rPr>
        <w:t>its</w:t>
      </w:r>
      <w:r w:rsidR="00136A5D" w:rsidRPr="0082706D">
        <w:rPr>
          <w:rFonts w:ascii="Arial" w:hAnsi="Arial" w:cs="Arial"/>
          <w:sz w:val="24"/>
          <w:szCs w:val="24"/>
        </w:rPr>
        <w:t xml:space="preserve"> Energy Efficiency and Peak Demand Reduction Program Portfolio Pla</w:t>
      </w:r>
      <w:r w:rsidR="00A7436C">
        <w:rPr>
          <w:rFonts w:ascii="Arial" w:hAnsi="Arial" w:cs="Arial"/>
          <w:sz w:val="24"/>
          <w:szCs w:val="24"/>
        </w:rPr>
        <w:t>n</w:t>
      </w:r>
      <w:r w:rsidR="00F53019">
        <w:rPr>
          <w:rFonts w:ascii="Arial" w:hAnsi="Arial" w:cs="Arial"/>
          <w:sz w:val="24"/>
          <w:szCs w:val="24"/>
        </w:rPr>
        <w:t xml:space="preserve"> for 2018-2020</w:t>
      </w:r>
      <w:r w:rsidR="00136A5D" w:rsidRPr="0082706D">
        <w:rPr>
          <w:rFonts w:ascii="Arial" w:hAnsi="Arial" w:cs="Arial"/>
          <w:sz w:val="24"/>
          <w:szCs w:val="24"/>
        </w:rPr>
        <w:t xml:space="preserve"> (</w:t>
      </w:r>
      <w:r w:rsidR="0082706D">
        <w:rPr>
          <w:rFonts w:ascii="Arial" w:hAnsi="Arial" w:cs="Arial"/>
          <w:sz w:val="24"/>
          <w:szCs w:val="24"/>
        </w:rPr>
        <w:t>“Portfolio</w:t>
      </w:r>
      <w:r w:rsidR="00E243C7">
        <w:rPr>
          <w:rFonts w:ascii="Arial" w:hAnsi="Arial" w:cs="Arial"/>
          <w:sz w:val="24"/>
          <w:szCs w:val="24"/>
        </w:rPr>
        <w:t xml:space="preserve"> </w:t>
      </w:r>
      <w:r w:rsidR="00136A5D" w:rsidRPr="0082706D">
        <w:rPr>
          <w:rFonts w:ascii="Arial" w:hAnsi="Arial" w:cs="Arial"/>
          <w:sz w:val="24"/>
          <w:szCs w:val="24"/>
        </w:rPr>
        <w:t>Plan”). IGS has real and substantial interest in this proceeding</w:t>
      </w:r>
      <w:r w:rsidR="0082706D">
        <w:rPr>
          <w:rFonts w:ascii="Arial" w:hAnsi="Arial" w:cs="Arial"/>
          <w:sz w:val="24"/>
          <w:szCs w:val="24"/>
        </w:rPr>
        <w:t xml:space="preserve"> that will not be protected in the absence of IGS intervention</w:t>
      </w:r>
      <w:r w:rsidR="00136A5D" w:rsidRPr="0082706D">
        <w:rPr>
          <w:rFonts w:ascii="Arial" w:hAnsi="Arial" w:cs="Arial"/>
          <w:sz w:val="24"/>
          <w:szCs w:val="24"/>
        </w:rPr>
        <w:t xml:space="preserve">. The interests of IGS </w:t>
      </w:r>
      <w:r w:rsidR="002E5525" w:rsidRPr="0082706D">
        <w:rPr>
          <w:rFonts w:ascii="Arial" w:hAnsi="Arial" w:cs="Arial"/>
          <w:sz w:val="24"/>
          <w:szCs w:val="24"/>
        </w:rPr>
        <w:t>are not represented by any other party in the proceeding.</w:t>
      </w:r>
    </w:p>
    <w:p w14:paraId="127DE60B" w14:textId="2838FB6D" w:rsidR="00B6450D" w:rsidRPr="00B6450D" w:rsidRDefault="002E5525" w:rsidP="00B6450D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IGS respectfully re</w:t>
      </w:r>
      <w:r w:rsidR="00E243C7">
        <w:rPr>
          <w:rFonts w:ascii="Arial" w:hAnsi="Arial" w:cs="Arial"/>
          <w:sz w:val="24"/>
          <w:szCs w:val="24"/>
        </w:rPr>
        <w:t>quest the Commission grant its M</w:t>
      </w:r>
      <w:r>
        <w:rPr>
          <w:rFonts w:ascii="Arial" w:hAnsi="Arial" w:cs="Arial"/>
          <w:sz w:val="24"/>
          <w:szCs w:val="24"/>
        </w:rPr>
        <w:t>otion</w:t>
      </w:r>
      <w:r w:rsidR="008270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6450D">
        <w:rPr>
          <w:rFonts w:ascii="Arial" w:hAnsi="Arial" w:cs="Arial"/>
          <w:sz w:val="24"/>
          <w:szCs w:val="24"/>
        </w:rPr>
        <w:t>The reasons for IGS’</w:t>
      </w:r>
      <w:r w:rsidR="00E243C7">
        <w:rPr>
          <w:rFonts w:ascii="Arial" w:hAnsi="Arial" w:cs="Arial"/>
          <w:sz w:val="24"/>
          <w:szCs w:val="24"/>
        </w:rPr>
        <w:t>s</w:t>
      </w:r>
      <w:r w:rsidR="00840C1A">
        <w:rPr>
          <w:rFonts w:ascii="Arial" w:hAnsi="Arial" w:cs="Arial"/>
          <w:sz w:val="24"/>
          <w:szCs w:val="24"/>
        </w:rPr>
        <w:t xml:space="preserve"> M</w:t>
      </w:r>
      <w:r w:rsidR="00B6450D">
        <w:rPr>
          <w:rFonts w:ascii="Arial" w:hAnsi="Arial" w:cs="Arial"/>
          <w:sz w:val="24"/>
          <w:szCs w:val="24"/>
        </w:rPr>
        <w:t xml:space="preserve">otion are more fully set forth in the attached </w:t>
      </w:r>
      <w:r w:rsidR="00561663">
        <w:rPr>
          <w:rFonts w:ascii="Arial" w:hAnsi="Arial" w:cs="Arial"/>
          <w:sz w:val="24"/>
          <w:szCs w:val="24"/>
        </w:rPr>
        <w:t>Memorandum in S</w:t>
      </w:r>
      <w:r w:rsidR="00B6450D">
        <w:rPr>
          <w:rFonts w:ascii="Arial" w:hAnsi="Arial" w:cs="Arial"/>
          <w:sz w:val="24"/>
          <w:szCs w:val="24"/>
        </w:rPr>
        <w:t>upport.</w:t>
      </w:r>
    </w:p>
    <w:p w14:paraId="3127DF8A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04FB4932" w14:textId="77777777" w:rsidR="00B6450D" w:rsidRDefault="00B6450D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3335FC88" w14:textId="437CB84E" w:rsidR="00BE191E" w:rsidRPr="0085155E" w:rsidRDefault="00B6450D" w:rsidP="00BE191E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  <w:u w:val="single"/>
        </w:rPr>
      </w:pPr>
      <w:r w:rsidRPr="0085155E">
        <w:rPr>
          <w:rFonts w:ascii="Arial" w:eastAsia="Calibri" w:hAnsi="Arial" w:cs="Arial"/>
          <w:b/>
          <w:sz w:val="24"/>
          <w:szCs w:val="24"/>
          <w:u w:val="single"/>
        </w:rPr>
        <w:t xml:space="preserve">/s/ </w:t>
      </w:r>
      <w:r w:rsidR="0085155E" w:rsidRPr="0085155E">
        <w:rPr>
          <w:rFonts w:ascii="Arial" w:eastAsia="Calibri" w:hAnsi="Arial" w:cs="Arial"/>
          <w:b/>
          <w:i/>
          <w:sz w:val="24"/>
          <w:szCs w:val="24"/>
          <w:u w:val="single"/>
        </w:rPr>
        <w:t>Joseph Oliker</w:t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</w:p>
    <w:p w14:paraId="57029463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16B46200" w14:textId="59A434C7" w:rsidR="00D5432E" w:rsidRDefault="00D5432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(Counsel of Record)</w:t>
      </w:r>
    </w:p>
    <w:p w14:paraId="2FF7F86F" w14:textId="36672186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5089C3DD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502BDB1D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3D81BB9B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3506FB82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0A310926" w14:textId="203E0980" w:rsidR="00BE191E" w:rsidRPr="00A7436C" w:rsidRDefault="00BE191E" w:rsidP="00A7436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D16D0B8" w14:textId="77777777" w:rsidR="00D5432E" w:rsidRDefault="00D5432E" w:rsidP="00D5432E">
      <w:pPr>
        <w:pStyle w:val="Title"/>
        <w:widowControl w:val="0"/>
        <w:rPr>
          <w:rFonts w:ascii="Arial" w:hAnsi="Arial" w:cs="Arial"/>
          <w:szCs w:val="24"/>
        </w:rPr>
      </w:pPr>
    </w:p>
    <w:p w14:paraId="41AE993A" w14:textId="77777777" w:rsidR="00AB777F" w:rsidRDefault="00AB777F" w:rsidP="00D5432E">
      <w:pPr>
        <w:pStyle w:val="Title"/>
        <w:widowControl w:val="0"/>
        <w:rPr>
          <w:rFonts w:ascii="Arial" w:hAnsi="Arial" w:cs="Arial"/>
          <w:szCs w:val="24"/>
        </w:rPr>
      </w:pPr>
    </w:p>
    <w:p w14:paraId="62392B99" w14:textId="77777777" w:rsidR="00AB777F" w:rsidRDefault="00AB777F" w:rsidP="00D5432E">
      <w:pPr>
        <w:pStyle w:val="Title"/>
        <w:widowControl w:val="0"/>
        <w:rPr>
          <w:rFonts w:ascii="Arial" w:hAnsi="Arial" w:cs="Arial"/>
          <w:szCs w:val="24"/>
        </w:rPr>
      </w:pPr>
    </w:p>
    <w:p w14:paraId="3077AEEC" w14:textId="77777777" w:rsidR="00D5432E" w:rsidRPr="00561663" w:rsidRDefault="00D5432E" w:rsidP="00D5432E">
      <w:pPr>
        <w:pStyle w:val="Title"/>
        <w:widowControl w:val="0"/>
        <w:rPr>
          <w:rFonts w:ascii="Arial" w:hAnsi="Arial" w:cs="Arial"/>
          <w:szCs w:val="24"/>
        </w:rPr>
      </w:pPr>
      <w:r w:rsidRPr="00561663">
        <w:rPr>
          <w:rFonts w:ascii="Arial" w:hAnsi="Arial" w:cs="Arial"/>
          <w:szCs w:val="24"/>
        </w:rPr>
        <w:lastRenderedPageBreak/>
        <w:t>BEFORE</w:t>
      </w:r>
    </w:p>
    <w:p w14:paraId="7A7E6B8C" w14:textId="77777777" w:rsidR="00D5432E" w:rsidRPr="00646AB2" w:rsidRDefault="00D5432E" w:rsidP="00D5432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61663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F53019" w:rsidRPr="00561663" w14:paraId="0F0537E2" w14:textId="77777777" w:rsidTr="00D5432E">
        <w:trPr>
          <w:trHeight w:val="1359"/>
          <w:jc w:val="center"/>
        </w:trPr>
        <w:tc>
          <w:tcPr>
            <w:tcW w:w="4739" w:type="dxa"/>
          </w:tcPr>
          <w:p w14:paraId="5EF0D590" w14:textId="7B852506" w:rsidR="00F53019" w:rsidRPr="00561663" w:rsidRDefault="00F53019" w:rsidP="00F5301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432E">
              <w:rPr>
                <w:rFonts w:ascii="Arial" w:hAnsi="Arial" w:cs="Arial"/>
                <w:sz w:val="24"/>
                <w:szCs w:val="24"/>
              </w:rPr>
              <w:t>In the Matter of the Application of  The Dayton Power and Light Company for Approval of Its Energy Efficiency and Peak Demand Reduction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Program Portfolio Plan for 2018 through 2020</w:t>
            </w:r>
            <w:r w:rsidRPr="00D543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5FD1373F" w14:textId="77777777" w:rsidR="00F53019" w:rsidRPr="00561663" w:rsidRDefault="00F53019" w:rsidP="00F530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841596E" w14:textId="77777777" w:rsidR="00F53019" w:rsidRPr="00561663" w:rsidRDefault="00F53019" w:rsidP="00F530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10C03A" w14:textId="77777777" w:rsidR="00F53019" w:rsidRPr="00561663" w:rsidRDefault="00F53019" w:rsidP="00F530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3AB673B" w14:textId="77777777" w:rsidR="00F53019" w:rsidRDefault="00F53019" w:rsidP="00F530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26539A2" w14:textId="41A42D82" w:rsidR="00F53019" w:rsidRPr="00561663" w:rsidRDefault="00F53019" w:rsidP="00F530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52729D5B" w14:textId="77777777" w:rsidR="00F53019" w:rsidRPr="00561663" w:rsidRDefault="00F53019" w:rsidP="00F5301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0B90B1" w14:textId="77777777" w:rsidR="00F53019" w:rsidRPr="00561663" w:rsidRDefault="00F53019" w:rsidP="00F5301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>
              <w:rPr>
                <w:rFonts w:ascii="Arial" w:hAnsi="Arial" w:cs="Arial"/>
                <w:sz w:val="24"/>
                <w:szCs w:val="24"/>
              </w:rPr>
              <w:t>17-1398-EL-POR</w:t>
            </w:r>
          </w:p>
          <w:p w14:paraId="60BA879A" w14:textId="77777777" w:rsidR="00F53019" w:rsidRDefault="00F53019" w:rsidP="00F5301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0C5427" w14:textId="6EF10CB6" w:rsidR="00F53019" w:rsidRPr="00561663" w:rsidRDefault="00F53019" w:rsidP="00F5301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019">
              <w:rPr>
                <w:rFonts w:ascii="Arial" w:hAnsi="Arial" w:cs="Arial"/>
                <w:sz w:val="24"/>
                <w:szCs w:val="24"/>
              </w:rPr>
              <w:t>Case No. 17-1399-EL-WVR</w:t>
            </w:r>
          </w:p>
        </w:tc>
      </w:tr>
    </w:tbl>
    <w:p w14:paraId="5187131C" w14:textId="77777777" w:rsidR="0085155E" w:rsidRDefault="0085155E" w:rsidP="0085155E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5F4EE5E" w14:textId="77777777" w:rsidR="0085155E" w:rsidRDefault="0085155E" w:rsidP="0085155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6953C7" w14:textId="5BB9A9F6" w:rsidR="0085155E" w:rsidRDefault="0085155E" w:rsidP="0085155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43BFEC02" w14:textId="77777777" w:rsidR="0085155E" w:rsidRDefault="0085155E" w:rsidP="0085155E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CDE617" w14:textId="77777777" w:rsidR="0085155E" w:rsidRDefault="0085155E" w:rsidP="0085155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127DF9E" w14:textId="77777777" w:rsidR="00545F29" w:rsidRDefault="007B627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6270F">
        <w:rPr>
          <w:rFonts w:ascii="Arial" w:hAnsi="Arial" w:cs="Arial"/>
          <w:sz w:val="24"/>
          <w:szCs w:val="24"/>
        </w:rPr>
        <w:t xml:space="preserve">or purposes of considering requests for leave to intervene in a Commission proceeding, </w:t>
      </w:r>
      <w:r>
        <w:rPr>
          <w:rFonts w:ascii="Arial" w:hAnsi="Arial" w:cs="Arial"/>
          <w:sz w:val="24"/>
          <w:szCs w:val="24"/>
        </w:rPr>
        <w:t>OAC 4901-1-11(A) provides that</w:t>
      </w:r>
      <w:r w:rsidR="0056270F">
        <w:rPr>
          <w:rFonts w:ascii="Arial" w:hAnsi="Arial" w:cs="Arial"/>
          <w:sz w:val="24"/>
          <w:szCs w:val="24"/>
        </w:rPr>
        <w:t>:</w:t>
      </w:r>
    </w:p>
    <w:p w14:paraId="7F28333C" w14:textId="3C05DBD4" w:rsidR="002320A0" w:rsidRDefault="0056270F" w:rsidP="00063ABD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timely motion, any person shall be permitted to intervene in a proceeding upon a showing that: … 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</w:p>
    <w:p w14:paraId="2D840666" w14:textId="77777777" w:rsidR="002320A0" w:rsidRDefault="002320A0" w:rsidP="002320A0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4901-1-11(B), OAC, provide that the Commission, in ruling upon applications to intervene in its proceedings, shall consider the following criteria: </w:t>
      </w:r>
    </w:p>
    <w:p w14:paraId="729BAEDA" w14:textId="422E0BAD" w:rsidR="00561663" w:rsidRPr="00063ABD" w:rsidRDefault="002320A0" w:rsidP="00063ABD">
      <w:pPr>
        <w:pStyle w:val="ListParagraph"/>
        <w:widowControl w:val="0"/>
        <w:numPr>
          <w:ilvl w:val="0"/>
          <w:numId w:val="16"/>
        </w:numPr>
        <w:ind w:right="720"/>
        <w:jc w:val="both"/>
        <w:rPr>
          <w:rFonts w:ascii="Arial" w:hAnsi="Arial" w:cs="Arial"/>
          <w:sz w:val="24"/>
          <w:szCs w:val="24"/>
        </w:rPr>
      </w:pPr>
      <w:r w:rsidRPr="00561663">
        <w:rPr>
          <w:rFonts w:ascii="Arial" w:hAnsi="Arial" w:cs="Arial"/>
          <w:sz w:val="24"/>
          <w:szCs w:val="24"/>
        </w:rPr>
        <w:t>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</w:t>
      </w:r>
      <w:r w:rsidR="00561663" w:rsidRPr="00561663">
        <w:rPr>
          <w:rFonts w:ascii="Arial" w:hAnsi="Arial" w:cs="Arial"/>
          <w:sz w:val="24"/>
          <w:szCs w:val="24"/>
        </w:rPr>
        <w:t>solution of the factual issues.</w:t>
      </w:r>
    </w:p>
    <w:p w14:paraId="11418191" w14:textId="7D511435" w:rsidR="00BE191E" w:rsidRDefault="007E2341" w:rsidP="00BE191E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IG</w:t>
      </w:r>
      <w:r w:rsidR="00C2339E">
        <w:rPr>
          <w:rFonts w:ascii="Arial" w:eastAsia="Calibri" w:hAnsi="Arial" w:cs="Arial"/>
          <w:sz w:val="24"/>
          <w:szCs w:val="24"/>
        </w:rPr>
        <w:t>S intervened and entered into a settlement in</w:t>
      </w:r>
      <w:r>
        <w:rPr>
          <w:rFonts w:ascii="Arial" w:eastAsia="Calibri" w:hAnsi="Arial" w:cs="Arial"/>
          <w:sz w:val="24"/>
          <w:szCs w:val="24"/>
        </w:rPr>
        <w:t xml:space="preserve"> DP&amp;L’s</w:t>
      </w:r>
      <w:r w:rsidR="00C2339E">
        <w:rPr>
          <w:rFonts w:ascii="Arial" w:eastAsia="Calibri" w:hAnsi="Arial" w:cs="Arial"/>
          <w:sz w:val="24"/>
          <w:szCs w:val="24"/>
        </w:rPr>
        <w:t xml:space="preserve"> proposed 2017 P</w:t>
      </w:r>
      <w:r>
        <w:rPr>
          <w:rFonts w:ascii="Arial" w:eastAsia="Calibri" w:hAnsi="Arial" w:cs="Arial"/>
          <w:sz w:val="24"/>
          <w:szCs w:val="24"/>
        </w:rPr>
        <w:t xml:space="preserve">ortfolio Plan </w:t>
      </w:r>
      <w:r w:rsidR="00C2339E">
        <w:rPr>
          <w:rFonts w:ascii="Arial" w:eastAsia="Calibri" w:hAnsi="Arial" w:cs="Arial"/>
          <w:sz w:val="24"/>
          <w:szCs w:val="24"/>
        </w:rPr>
        <w:t>extension proceeding that</w:t>
      </w:r>
      <w:r>
        <w:rPr>
          <w:rFonts w:ascii="Arial" w:eastAsia="Calibri" w:hAnsi="Arial" w:cs="Arial"/>
          <w:sz w:val="24"/>
          <w:szCs w:val="24"/>
        </w:rPr>
        <w:t xml:space="preserve"> is currently under review and may potentially be implemented as part of this proceeding. </w:t>
      </w:r>
      <w:r w:rsidR="00C2339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Moreover, the proposed</w:t>
      </w:r>
      <w:r w:rsidR="002F1682">
        <w:rPr>
          <w:rFonts w:ascii="Arial" w:eastAsia="Calibri" w:hAnsi="Arial" w:cs="Arial"/>
          <w:sz w:val="24"/>
          <w:szCs w:val="24"/>
        </w:rPr>
        <w:t xml:space="preserve"> </w:t>
      </w:r>
      <w:r w:rsidR="0085155E">
        <w:rPr>
          <w:rFonts w:ascii="Arial" w:eastAsia="Calibri" w:hAnsi="Arial" w:cs="Arial"/>
          <w:sz w:val="24"/>
          <w:szCs w:val="24"/>
        </w:rPr>
        <w:t xml:space="preserve">Portfolio </w:t>
      </w:r>
      <w:r w:rsidR="002F1682">
        <w:rPr>
          <w:rFonts w:ascii="Arial" w:eastAsia="Calibri" w:hAnsi="Arial" w:cs="Arial"/>
          <w:sz w:val="24"/>
          <w:szCs w:val="24"/>
        </w:rPr>
        <w:t>Plan include</w:t>
      </w:r>
      <w:r w:rsidR="0085155E">
        <w:rPr>
          <w:rFonts w:ascii="Arial" w:eastAsia="Calibri" w:hAnsi="Arial" w:cs="Arial"/>
          <w:sz w:val="24"/>
          <w:szCs w:val="24"/>
        </w:rPr>
        <w:t>s</w:t>
      </w:r>
      <w:r w:rsidR="00E243C7">
        <w:rPr>
          <w:rFonts w:ascii="Arial" w:eastAsia="Calibri" w:hAnsi="Arial" w:cs="Arial"/>
          <w:sz w:val="24"/>
          <w:szCs w:val="24"/>
        </w:rPr>
        <w:t xml:space="preserve"> programs that address</w:t>
      </w:r>
      <w:r w:rsidR="00AB777F">
        <w:rPr>
          <w:rFonts w:ascii="Arial" w:eastAsia="Calibri" w:hAnsi="Arial" w:cs="Arial"/>
          <w:sz w:val="24"/>
          <w:szCs w:val="24"/>
        </w:rPr>
        <w:t xml:space="preserve"> multiple</w:t>
      </w:r>
      <w:r w:rsidR="00E243C7">
        <w:rPr>
          <w:rFonts w:ascii="Arial" w:eastAsia="Calibri" w:hAnsi="Arial" w:cs="Arial"/>
          <w:sz w:val="24"/>
          <w:szCs w:val="24"/>
        </w:rPr>
        <w:t xml:space="preserve"> </w:t>
      </w:r>
      <w:r w:rsidR="002F1682">
        <w:rPr>
          <w:rFonts w:ascii="Arial" w:eastAsia="Calibri" w:hAnsi="Arial" w:cs="Arial"/>
          <w:sz w:val="24"/>
          <w:szCs w:val="24"/>
        </w:rPr>
        <w:t>sources of energy efficiency</w:t>
      </w:r>
      <w:r w:rsidR="00E243C7">
        <w:rPr>
          <w:rFonts w:ascii="Arial" w:eastAsia="Calibri" w:hAnsi="Arial" w:cs="Arial"/>
          <w:sz w:val="24"/>
          <w:szCs w:val="24"/>
        </w:rPr>
        <w:t xml:space="preserve"> and peak demand reduction</w:t>
      </w:r>
      <w:r w:rsidR="0085155E">
        <w:rPr>
          <w:rFonts w:ascii="Arial" w:eastAsia="Calibri" w:hAnsi="Arial" w:cs="Arial"/>
          <w:sz w:val="24"/>
          <w:szCs w:val="24"/>
        </w:rPr>
        <w:t xml:space="preserve"> measures for</w:t>
      </w:r>
      <w:r w:rsidR="002F1682">
        <w:rPr>
          <w:rFonts w:ascii="Arial" w:eastAsia="Calibri" w:hAnsi="Arial" w:cs="Arial"/>
          <w:sz w:val="24"/>
          <w:szCs w:val="24"/>
        </w:rPr>
        <w:t xml:space="preserve"> a broad range of customer classes</w:t>
      </w:r>
      <w:r w:rsidR="00C91D72">
        <w:rPr>
          <w:rFonts w:ascii="Arial" w:eastAsia="Calibri" w:hAnsi="Arial" w:cs="Arial"/>
          <w:sz w:val="24"/>
          <w:szCs w:val="24"/>
        </w:rPr>
        <w:t xml:space="preserve">, </w:t>
      </w:r>
      <w:r w:rsidR="0082706D">
        <w:rPr>
          <w:rFonts w:ascii="Arial" w:eastAsia="Calibri" w:hAnsi="Arial" w:cs="Arial"/>
          <w:sz w:val="24"/>
          <w:szCs w:val="24"/>
        </w:rPr>
        <w:t>all of which</w:t>
      </w:r>
      <w:r w:rsidR="00C91D72">
        <w:rPr>
          <w:rFonts w:ascii="Arial" w:eastAsia="Calibri" w:hAnsi="Arial" w:cs="Arial"/>
          <w:sz w:val="24"/>
          <w:szCs w:val="24"/>
        </w:rPr>
        <w:t xml:space="preserve"> are served b</w:t>
      </w:r>
      <w:r w:rsidR="00E243C7">
        <w:rPr>
          <w:rFonts w:ascii="Arial" w:eastAsia="Calibri" w:hAnsi="Arial" w:cs="Arial"/>
          <w:sz w:val="24"/>
          <w:szCs w:val="24"/>
        </w:rPr>
        <w:t>y IGS</w:t>
      </w:r>
      <w:r w:rsidR="00C91D72">
        <w:rPr>
          <w:rFonts w:ascii="Arial" w:eastAsia="Calibri" w:hAnsi="Arial" w:cs="Arial"/>
          <w:sz w:val="24"/>
          <w:szCs w:val="24"/>
        </w:rPr>
        <w:t>.</w:t>
      </w:r>
    </w:p>
    <w:p w14:paraId="3127DFA2" w14:textId="2AE1DDED" w:rsidR="009065D9" w:rsidRDefault="00E91D17" w:rsidP="009065D9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IGS is a certified</w:t>
      </w:r>
      <w:r w:rsidR="00E243C7">
        <w:rPr>
          <w:rFonts w:ascii="Arial" w:eastAsia="Calibri" w:hAnsi="Arial" w:cs="Arial"/>
          <w:sz w:val="24"/>
          <w:szCs w:val="24"/>
        </w:rPr>
        <w:t xml:space="preserve"> competitive</w:t>
      </w:r>
      <w:r>
        <w:rPr>
          <w:rFonts w:ascii="Arial" w:eastAsia="Calibri" w:hAnsi="Arial" w:cs="Arial"/>
          <w:sz w:val="24"/>
          <w:szCs w:val="24"/>
        </w:rPr>
        <w:t xml:space="preserve"> retail electric service (“CRES</w:t>
      </w:r>
      <w:r w:rsidR="0064575D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) provider and a certified </w:t>
      </w:r>
      <w:r w:rsidR="00E243C7">
        <w:rPr>
          <w:rFonts w:ascii="Arial" w:eastAsia="Calibri" w:hAnsi="Arial" w:cs="Arial"/>
          <w:sz w:val="24"/>
          <w:szCs w:val="24"/>
        </w:rPr>
        <w:t xml:space="preserve">competitive </w:t>
      </w:r>
      <w:r>
        <w:rPr>
          <w:rFonts w:ascii="Arial" w:eastAsia="Calibri" w:hAnsi="Arial" w:cs="Arial"/>
          <w:sz w:val="24"/>
          <w:szCs w:val="24"/>
        </w:rPr>
        <w:t>retail natural gas (“CRNG”) provider serving customers in the State of Ohio for over 25 years.</w:t>
      </w:r>
      <w:r w:rsidR="00E243C7">
        <w:rPr>
          <w:rFonts w:ascii="Arial" w:eastAsia="Calibri" w:hAnsi="Arial" w:cs="Arial"/>
          <w:sz w:val="24"/>
          <w:szCs w:val="24"/>
        </w:rPr>
        <w:t xml:space="preserve">  IGS and its family of companies provide</w:t>
      </w:r>
      <w:r w:rsidR="0085155E">
        <w:rPr>
          <w:rFonts w:ascii="Arial" w:eastAsia="Calibri" w:hAnsi="Arial" w:cs="Arial"/>
          <w:sz w:val="24"/>
          <w:szCs w:val="24"/>
        </w:rPr>
        <w:t xml:space="preserve"> its customers with a diverse range of retail products and services, including energy efficienc</w:t>
      </w:r>
      <w:r w:rsidR="00E243C7">
        <w:rPr>
          <w:rFonts w:ascii="Arial" w:eastAsia="Calibri" w:hAnsi="Arial" w:cs="Arial"/>
          <w:sz w:val="24"/>
          <w:szCs w:val="24"/>
        </w:rPr>
        <w:t>y-related products and services.  The IGS family of companies also construct</w:t>
      </w:r>
      <w:r w:rsidR="00AB777F">
        <w:rPr>
          <w:rFonts w:ascii="Arial" w:eastAsia="Calibri" w:hAnsi="Arial" w:cs="Arial"/>
          <w:sz w:val="24"/>
          <w:szCs w:val="24"/>
        </w:rPr>
        <w:t>s</w:t>
      </w:r>
      <w:r w:rsidR="00E243C7">
        <w:rPr>
          <w:rFonts w:ascii="Arial" w:eastAsia="Calibri" w:hAnsi="Arial" w:cs="Arial"/>
          <w:sz w:val="24"/>
          <w:szCs w:val="24"/>
        </w:rPr>
        <w:t xml:space="preserve"> combined heat and power facilities,</w:t>
      </w:r>
      <w:r w:rsidR="00F53019">
        <w:rPr>
          <w:rFonts w:ascii="Arial" w:eastAsia="Calibri" w:hAnsi="Arial" w:cs="Arial"/>
          <w:sz w:val="24"/>
          <w:szCs w:val="24"/>
        </w:rPr>
        <w:t xml:space="preserve"> solar arrays, and many other forms of distributed energy</w:t>
      </w:r>
      <w:r w:rsidR="00E243C7">
        <w:rPr>
          <w:rFonts w:ascii="Arial" w:eastAsia="Calibri" w:hAnsi="Arial" w:cs="Arial"/>
          <w:sz w:val="24"/>
          <w:szCs w:val="24"/>
        </w:rPr>
        <w:t xml:space="preserve"> which reduce peak demand and</w:t>
      </w:r>
      <w:r w:rsidR="00F53019">
        <w:rPr>
          <w:rFonts w:ascii="Arial" w:eastAsia="Calibri" w:hAnsi="Arial" w:cs="Arial"/>
          <w:sz w:val="24"/>
          <w:szCs w:val="24"/>
        </w:rPr>
        <w:t xml:space="preserve"> can</w:t>
      </w:r>
      <w:r w:rsidR="00E243C7">
        <w:rPr>
          <w:rFonts w:ascii="Arial" w:eastAsia="Calibri" w:hAnsi="Arial" w:cs="Arial"/>
          <w:sz w:val="24"/>
          <w:szCs w:val="24"/>
        </w:rPr>
        <w:t xml:space="preserve"> increase energy efficiency.</w:t>
      </w:r>
    </w:p>
    <w:p w14:paraId="6979C9AD" w14:textId="712C2814" w:rsidR="002320A0" w:rsidRPr="0085155E" w:rsidRDefault="00A7523D" w:rsidP="007E2341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IGS has a direc</w:t>
      </w:r>
      <w:r w:rsidR="0085155E">
        <w:rPr>
          <w:rFonts w:ascii="Arial" w:eastAsia="Calibri" w:hAnsi="Arial" w:cs="Arial"/>
          <w:sz w:val="24"/>
          <w:szCs w:val="24"/>
        </w:rPr>
        <w:t xml:space="preserve">t interest in this proceeding.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9720C">
        <w:rPr>
          <w:rFonts w:ascii="Arial" w:hAnsi="Arial" w:cs="Arial"/>
          <w:sz w:val="24"/>
          <w:szCs w:val="24"/>
        </w:rPr>
        <w:t>W</w:t>
      </w:r>
      <w:r w:rsidR="00E243C7">
        <w:rPr>
          <w:rFonts w:ascii="Arial" w:hAnsi="Arial" w:cs="Arial"/>
          <w:sz w:val="24"/>
          <w:szCs w:val="24"/>
        </w:rPr>
        <w:t>ithout the</w:t>
      </w:r>
      <w:r w:rsidR="002320A0">
        <w:rPr>
          <w:rFonts w:ascii="Arial" w:hAnsi="Arial" w:cs="Arial"/>
          <w:sz w:val="24"/>
          <w:szCs w:val="24"/>
        </w:rPr>
        <w:t xml:space="preserve"> ability to fully participate in th</w:t>
      </w:r>
      <w:r w:rsidR="0064575D">
        <w:rPr>
          <w:rFonts w:ascii="Arial" w:hAnsi="Arial" w:cs="Arial"/>
          <w:sz w:val="24"/>
          <w:szCs w:val="24"/>
        </w:rPr>
        <w:t>is proceeding</w:t>
      </w:r>
      <w:r w:rsidR="00B9720C">
        <w:rPr>
          <w:rFonts w:ascii="Arial" w:hAnsi="Arial" w:cs="Arial"/>
          <w:sz w:val="24"/>
          <w:szCs w:val="24"/>
        </w:rPr>
        <w:t xml:space="preserve"> IGS’</w:t>
      </w:r>
      <w:r w:rsidR="0085155E">
        <w:rPr>
          <w:rFonts w:ascii="Arial" w:hAnsi="Arial" w:cs="Arial"/>
          <w:sz w:val="24"/>
          <w:szCs w:val="24"/>
        </w:rPr>
        <w:t>s</w:t>
      </w:r>
      <w:r w:rsidR="00B9720C">
        <w:rPr>
          <w:rFonts w:ascii="Arial" w:hAnsi="Arial" w:cs="Arial"/>
          <w:sz w:val="24"/>
          <w:szCs w:val="24"/>
        </w:rPr>
        <w:t xml:space="preserve"> direct</w:t>
      </w:r>
      <w:r w:rsidR="002320A0">
        <w:rPr>
          <w:rFonts w:ascii="Arial" w:hAnsi="Arial" w:cs="Arial"/>
          <w:sz w:val="24"/>
          <w:szCs w:val="24"/>
        </w:rPr>
        <w:t xml:space="preserve"> interest will be</w:t>
      </w:r>
      <w:r w:rsidR="00B9720C">
        <w:rPr>
          <w:rFonts w:ascii="Arial" w:hAnsi="Arial" w:cs="Arial"/>
          <w:sz w:val="24"/>
          <w:szCs w:val="24"/>
        </w:rPr>
        <w:t xml:space="preserve"> substantially</w:t>
      </w:r>
      <w:r w:rsidR="002320A0">
        <w:rPr>
          <w:rFonts w:ascii="Arial" w:hAnsi="Arial" w:cs="Arial"/>
          <w:sz w:val="24"/>
          <w:szCs w:val="24"/>
        </w:rPr>
        <w:t xml:space="preserve"> prejudiced. Inasmuch as others participating </w:t>
      </w:r>
      <w:r w:rsidR="00E243C7">
        <w:rPr>
          <w:rFonts w:ascii="Arial" w:hAnsi="Arial" w:cs="Arial"/>
          <w:sz w:val="24"/>
          <w:szCs w:val="24"/>
        </w:rPr>
        <w:t>in this proceeding</w:t>
      </w:r>
      <w:r w:rsidR="002320A0">
        <w:rPr>
          <w:rFonts w:ascii="Arial" w:hAnsi="Arial" w:cs="Arial"/>
          <w:sz w:val="24"/>
          <w:szCs w:val="24"/>
        </w:rPr>
        <w:t xml:space="preserve"> cannot adequately protect IGS</w:t>
      </w:r>
      <w:r w:rsidR="00335B5A">
        <w:rPr>
          <w:rFonts w:ascii="Arial" w:hAnsi="Arial" w:cs="Arial"/>
          <w:sz w:val="24"/>
          <w:szCs w:val="24"/>
        </w:rPr>
        <w:t>’</w:t>
      </w:r>
      <w:r w:rsidR="00E243C7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interests, it would be inappropriate to determine </w:t>
      </w:r>
      <w:r w:rsidR="0064575D">
        <w:rPr>
          <w:rFonts w:ascii="Arial" w:hAnsi="Arial" w:cs="Arial"/>
          <w:sz w:val="24"/>
          <w:szCs w:val="24"/>
        </w:rPr>
        <w:t>this proceeding</w:t>
      </w:r>
      <w:r w:rsidR="002320A0">
        <w:rPr>
          <w:rFonts w:ascii="Arial" w:hAnsi="Arial" w:cs="Arial"/>
          <w:sz w:val="24"/>
          <w:szCs w:val="24"/>
        </w:rPr>
        <w:t xml:space="preserve"> without IGS’</w:t>
      </w:r>
      <w:r w:rsidR="00E243C7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participation.</w:t>
      </w:r>
    </w:p>
    <w:p w14:paraId="7D6C88EB" w14:textId="3142C4AB" w:rsidR="002320A0" w:rsidRDefault="002320A0" w:rsidP="007E2341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IGS</w:t>
      </w:r>
      <w:r w:rsidR="00BB08DF">
        <w:rPr>
          <w:rFonts w:ascii="Arial" w:hAnsi="Arial" w:cs="Arial"/>
          <w:sz w:val="24"/>
          <w:szCs w:val="24"/>
        </w:rPr>
        <w:t>’</w:t>
      </w:r>
      <w:r w:rsidR="008515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 will not undul</w:t>
      </w:r>
      <w:r w:rsidR="0085155E">
        <w:rPr>
          <w:rFonts w:ascii="Arial" w:hAnsi="Arial" w:cs="Arial"/>
          <w:sz w:val="24"/>
          <w:szCs w:val="24"/>
        </w:rPr>
        <w:t>y d</w:t>
      </w:r>
      <w:r w:rsidR="00F7218D">
        <w:rPr>
          <w:rFonts w:ascii="Arial" w:hAnsi="Arial" w:cs="Arial"/>
          <w:sz w:val="24"/>
          <w:szCs w:val="24"/>
        </w:rPr>
        <w:t xml:space="preserve">elay this proceeding. </w:t>
      </w:r>
      <w:r w:rsidR="0085155E">
        <w:rPr>
          <w:rFonts w:ascii="Arial" w:hAnsi="Arial" w:cs="Arial"/>
          <w:sz w:val="24"/>
          <w:szCs w:val="24"/>
        </w:rPr>
        <w:t xml:space="preserve"> IGS </w:t>
      </w:r>
      <w:r>
        <w:rPr>
          <w:rFonts w:ascii="Arial" w:hAnsi="Arial" w:cs="Arial"/>
          <w:sz w:val="24"/>
          <w:szCs w:val="24"/>
        </w:rPr>
        <w:t>will contribute to full development and equitable resolution of the factual issues in this proceeding</w:t>
      </w:r>
      <w:r w:rsidR="00607965">
        <w:rPr>
          <w:rFonts w:ascii="Arial" w:hAnsi="Arial" w:cs="Arial"/>
          <w:sz w:val="24"/>
          <w:szCs w:val="24"/>
        </w:rPr>
        <w:t>.</w:t>
      </w:r>
      <w:r w:rsidR="00C91D72">
        <w:rPr>
          <w:rFonts w:ascii="Arial" w:hAnsi="Arial" w:cs="Arial"/>
          <w:sz w:val="24"/>
          <w:szCs w:val="24"/>
        </w:rPr>
        <w:t xml:space="preserve"> </w:t>
      </w:r>
    </w:p>
    <w:p w14:paraId="210BCCB1" w14:textId="37CC4063" w:rsidR="00A7436C" w:rsidRPr="00A7436C" w:rsidRDefault="006173F5" w:rsidP="007E23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Supreme Court of Ohio has held that intervention should be liberally allowed for those with an interest in the proceeding.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 In light of the liberal interpretation of the intervention rules, and for the reasons stated above</w:t>
      </w:r>
      <w:r w:rsidR="00A72B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IGS meets the standards for intervention in </w:t>
      </w:r>
      <w:r w:rsidR="00A72BBD">
        <w:rPr>
          <w:rFonts w:ascii="Arial" w:hAnsi="Arial" w:cs="Arial"/>
          <w:sz w:val="24"/>
          <w:szCs w:val="24"/>
        </w:rPr>
        <w:t>this proceeding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0F">
        <w:rPr>
          <w:rFonts w:ascii="Arial" w:hAnsi="Arial" w:cs="Arial"/>
          <w:sz w:val="24"/>
          <w:szCs w:val="24"/>
        </w:rPr>
        <w:t>For the reasons set forth above, IGS respectfully requests the Commission grant this Motion to Interven</w:t>
      </w:r>
      <w:r w:rsidR="00C91D72">
        <w:rPr>
          <w:rFonts w:ascii="Arial" w:hAnsi="Arial" w:cs="Arial"/>
          <w:sz w:val="24"/>
          <w:szCs w:val="24"/>
        </w:rPr>
        <w:t>e</w:t>
      </w:r>
      <w:r w:rsidR="0056270F">
        <w:rPr>
          <w:rFonts w:ascii="Arial" w:hAnsi="Arial" w:cs="Arial"/>
          <w:sz w:val="24"/>
          <w:szCs w:val="24"/>
        </w:rPr>
        <w:t xml:space="preserve">.   </w:t>
      </w:r>
    </w:p>
    <w:p w14:paraId="2AFE048F" w14:textId="77777777" w:rsidR="00335B5A" w:rsidRDefault="00335B5A" w:rsidP="00335B5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6E01AA54" w14:textId="77777777" w:rsidR="00335B5A" w:rsidRDefault="00335B5A" w:rsidP="00335B5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50F04430" w14:textId="0242E127" w:rsidR="00335B5A" w:rsidRPr="0085155E" w:rsidRDefault="00335B5A" w:rsidP="00335B5A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  <w:u w:val="single"/>
        </w:rPr>
      </w:pPr>
      <w:r w:rsidRPr="0085155E">
        <w:rPr>
          <w:rFonts w:ascii="Arial" w:eastAsia="Calibri" w:hAnsi="Arial" w:cs="Arial"/>
          <w:b/>
          <w:sz w:val="24"/>
          <w:szCs w:val="24"/>
          <w:u w:val="single"/>
        </w:rPr>
        <w:t xml:space="preserve">/s/ </w:t>
      </w:r>
      <w:r w:rsidR="0085155E" w:rsidRPr="0085155E">
        <w:rPr>
          <w:rFonts w:ascii="Arial" w:eastAsia="Calibri" w:hAnsi="Arial" w:cs="Arial"/>
          <w:b/>
          <w:i/>
          <w:sz w:val="24"/>
          <w:szCs w:val="24"/>
          <w:u w:val="single"/>
        </w:rPr>
        <w:t>Joseph Oliker</w:t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</w:p>
    <w:p w14:paraId="566F4987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110BD5C3" w14:textId="36A55E4C" w:rsidR="007D419E" w:rsidRDefault="007D419E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06649205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5B42725A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1F29CACD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2155E7BA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7A78875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2AF20D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3127DFBF" w14:textId="011F6DA5" w:rsidR="00545F29" w:rsidRPr="00F53019" w:rsidRDefault="0056270F" w:rsidP="007D41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  <w:r w:rsidRPr="00F53019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3127DFC0" w14:textId="77777777" w:rsidR="00545F29" w:rsidRPr="00F53019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127DFC1" w14:textId="5C83FD71" w:rsidR="00545F29" w:rsidRPr="00F53019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3019">
        <w:rPr>
          <w:rFonts w:ascii="Arial" w:eastAsia="Arial" w:hAnsi="Arial" w:cs="Arial"/>
          <w:sz w:val="24"/>
          <w:szCs w:val="24"/>
        </w:rPr>
        <w:tab/>
      </w:r>
      <w:r w:rsidRPr="00F53019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Pr="00F53019">
        <w:rPr>
          <w:rFonts w:ascii="Arial" w:eastAsia="Calibri" w:hAnsi="Arial" w:cs="Arial"/>
          <w:i/>
          <w:sz w:val="24"/>
          <w:szCs w:val="24"/>
        </w:rPr>
        <w:t>Motion to Intervene and Memorandum in Support</w:t>
      </w:r>
      <w:r w:rsidR="00A55206" w:rsidRPr="00F53019">
        <w:rPr>
          <w:rFonts w:ascii="Arial" w:eastAsia="Calibri" w:hAnsi="Arial" w:cs="Arial"/>
          <w:i/>
          <w:sz w:val="24"/>
          <w:szCs w:val="24"/>
        </w:rPr>
        <w:t xml:space="preserve"> of Interstate Gas Supply, Inc.</w:t>
      </w:r>
      <w:r w:rsidRPr="00F53019">
        <w:rPr>
          <w:rFonts w:ascii="Arial" w:eastAsia="Calibri" w:hAnsi="Arial" w:cs="Arial"/>
          <w:i/>
          <w:sz w:val="24"/>
          <w:szCs w:val="24"/>
        </w:rPr>
        <w:t xml:space="preserve"> </w:t>
      </w:r>
      <w:r w:rsidR="00CB06FB">
        <w:rPr>
          <w:rFonts w:ascii="Arial" w:eastAsia="Calibri" w:hAnsi="Arial" w:cs="Arial"/>
          <w:sz w:val="24"/>
          <w:szCs w:val="24"/>
        </w:rPr>
        <w:t>was served this 20</w:t>
      </w:r>
      <w:bookmarkStart w:id="5" w:name="_GoBack"/>
      <w:bookmarkEnd w:id="5"/>
      <w:r w:rsidR="007E2341" w:rsidRPr="007E2341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7E2341">
        <w:rPr>
          <w:rFonts w:ascii="Arial" w:eastAsia="Calibri" w:hAnsi="Arial" w:cs="Arial"/>
          <w:sz w:val="24"/>
          <w:szCs w:val="24"/>
        </w:rPr>
        <w:t xml:space="preserve"> day of September</w:t>
      </w:r>
      <w:r w:rsidR="00F53019" w:rsidRPr="00F53019">
        <w:rPr>
          <w:rFonts w:ascii="Arial" w:eastAsia="Calibri" w:hAnsi="Arial" w:cs="Arial"/>
          <w:sz w:val="24"/>
          <w:szCs w:val="24"/>
        </w:rPr>
        <w:t>, 2017</w:t>
      </w:r>
      <w:r w:rsidRPr="00F53019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3127DFC2" w14:textId="77777777" w:rsidR="00545F29" w:rsidRPr="00F53019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432E" w:rsidRPr="00F53019" w14:paraId="7D2A5FF4" w14:textId="77777777" w:rsidTr="00D5432E">
        <w:tc>
          <w:tcPr>
            <w:tcW w:w="4675" w:type="dxa"/>
          </w:tcPr>
          <w:p w14:paraId="4CA3DB16" w14:textId="01561B39" w:rsidR="00F53019" w:rsidRPr="00F53019" w:rsidRDefault="00F53019" w:rsidP="00D5432E">
            <w:pPr>
              <w:jc w:val="both"/>
              <w:rPr>
                <w:rFonts w:ascii="Arial" w:hAnsi="Arial" w:cs="Arial"/>
              </w:rPr>
            </w:pPr>
            <w:r w:rsidRPr="00F53019">
              <w:rPr>
                <w:rFonts w:ascii="Arial" w:hAnsi="Arial" w:cs="Arial"/>
              </w:rPr>
              <w:t xml:space="preserve">michael.schuler@aes.com cmooney@ohiopartners.org christopher.healey@occ.ohio.gov </w:t>
            </w:r>
            <w:hyperlink r:id="rId10" w:history="1">
              <w:r w:rsidRPr="00F53019">
                <w:rPr>
                  <w:rStyle w:val="Hyperlink"/>
                  <w:rFonts w:ascii="Arial" w:hAnsi="Arial" w:cs="Arial"/>
                  <w:color w:val="auto"/>
                  <w:u w:val="none"/>
                </w:rPr>
                <w:t>mfleischer@elpc.org</w:t>
              </w:r>
            </w:hyperlink>
            <w:r w:rsidRPr="00F53019">
              <w:rPr>
                <w:rFonts w:ascii="Arial" w:hAnsi="Arial" w:cs="Arial"/>
              </w:rPr>
              <w:t xml:space="preserve"> </w:t>
            </w:r>
          </w:p>
          <w:p w14:paraId="6F2CE7EE" w14:textId="17356E07" w:rsidR="00F53019" w:rsidRPr="00F53019" w:rsidRDefault="00F53019" w:rsidP="00F53019">
            <w:pPr>
              <w:jc w:val="both"/>
              <w:rPr>
                <w:rFonts w:ascii="Arial" w:hAnsi="Arial" w:cs="Arial"/>
              </w:rPr>
            </w:pPr>
            <w:r w:rsidRPr="00F53019">
              <w:rPr>
                <w:rFonts w:ascii="Arial" w:hAnsi="Arial" w:cs="Arial"/>
              </w:rPr>
              <w:t xml:space="preserve">rick.sites@ohiohospitals.org </w:t>
            </w:r>
            <w:hyperlink r:id="rId11" w:history="1">
              <w:r w:rsidRPr="00F53019">
                <w:rPr>
                  <w:rStyle w:val="Hyperlink"/>
                  <w:rFonts w:ascii="Arial" w:hAnsi="Arial" w:cs="Arial"/>
                  <w:color w:val="auto"/>
                  <w:u w:val="none"/>
                </w:rPr>
                <w:t>dborchers@bricker.com</w:t>
              </w:r>
            </w:hyperlink>
            <w:r w:rsidRPr="00F530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</w:tcPr>
          <w:p w14:paraId="32FD4EEF" w14:textId="77777777" w:rsidR="00F53019" w:rsidRPr="00F53019" w:rsidRDefault="00F53019" w:rsidP="00F53019">
            <w:pPr>
              <w:jc w:val="both"/>
              <w:rPr>
                <w:rFonts w:ascii="Arial" w:hAnsi="Arial" w:cs="Arial"/>
              </w:rPr>
            </w:pPr>
            <w:r w:rsidRPr="00F53019">
              <w:rPr>
                <w:rFonts w:ascii="Arial" w:hAnsi="Arial" w:cs="Arial"/>
              </w:rPr>
              <w:t xml:space="preserve">dparram@bricker.com </w:t>
            </w:r>
            <w:hyperlink r:id="rId12" w:history="1">
              <w:r w:rsidRPr="00F53019">
                <w:rPr>
                  <w:rStyle w:val="Hyperlink"/>
                  <w:rFonts w:ascii="Arial" w:hAnsi="Arial" w:cs="Arial"/>
                  <w:color w:val="auto"/>
                  <w:u w:val="none"/>
                </w:rPr>
                <w:t>mpritchard@mwncmh.com</w:t>
              </w:r>
            </w:hyperlink>
            <w:r w:rsidRPr="00F53019">
              <w:rPr>
                <w:rFonts w:ascii="Arial" w:hAnsi="Arial" w:cs="Arial"/>
              </w:rPr>
              <w:t xml:space="preserve"> </w:t>
            </w:r>
          </w:p>
          <w:p w14:paraId="3AC9F820" w14:textId="77777777" w:rsidR="00F53019" w:rsidRPr="00F53019" w:rsidRDefault="00CB06FB" w:rsidP="00F53019">
            <w:pPr>
              <w:jc w:val="both"/>
              <w:rPr>
                <w:rFonts w:ascii="Arial" w:hAnsi="Arial" w:cs="Arial"/>
              </w:rPr>
            </w:pPr>
            <w:hyperlink r:id="rId13" w:history="1">
              <w:r w:rsidR="00F53019" w:rsidRPr="00F53019">
                <w:rPr>
                  <w:rStyle w:val="Hyperlink"/>
                  <w:rFonts w:ascii="Arial" w:hAnsi="Arial" w:cs="Arial"/>
                  <w:color w:val="auto"/>
                  <w:u w:val="none"/>
                </w:rPr>
                <w:t>darr@mwncmh.com</w:t>
              </w:r>
            </w:hyperlink>
            <w:r w:rsidR="00F53019" w:rsidRPr="00F53019">
              <w:rPr>
                <w:rFonts w:ascii="Arial" w:hAnsi="Arial" w:cs="Arial"/>
              </w:rPr>
              <w:t xml:space="preserve"> </w:t>
            </w:r>
          </w:p>
          <w:p w14:paraId="7140A5AC" w14:textId="77777777" w:rsidR="00F53019" w:rsidRPr="00F53019" w:rsidRDefault="00CB06FB" w:rsidP="00F53019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F53019" w:rsidRPr="00F53019">
                <w:rPr>
                  <w:rStyle w:val="Hyperlink"/>
                  <w:rFonts w:ascii="Arial" w:hAnsi="Arial" w:cs="Arial"/>
                  <w:color w:val="auto"/>
                  <w:u w:val="none"/>
                </w:rPr>
                <w:t>paul@carpenterlipps.com</w:t>
              </w:r>
            </w:hyperlink>
          </w:p>
          <w:p w14:paraId="5820A8ED" w14:textId="77777777" w:rsidR="00F53019" w:rsidRPr="00F53019" w:rsidRDefault="00CB06FB" w:rsidP="00F53019">
            <w:pPr>
              <w:jc w:val="both"/>
              <w:rPr>
                <w:rFonts w:ascii="Arial" w:hAnsi="Arial" w:cs="Arial"/>
              </w:rPr>
            </w:pPr>
            <w:hyperlink r:id="rId15" w:history="1">
              <w:r w:rsidR="00F53019" w:rsidRPr="00F53019">
                <w:rPr>
                  <w:rStyle w:val="Hyperlink"/>
                  <w:rFonts w:ascii="Arial" w:hAnsi="Arial" w:cs="Arial"/>
                  <w:color w:val="auto"/>
                  <w:u w:val="none"/>
                </w:rPr>
                <w:t>tdougherty@theOEC.org</w:t>
              </w:r>
            </w:hyperlink>
          </w:p>
          <w:p w14:paraId="28CA8A5A" w14:textId="77FD663C" w:rsidR="00D5432E" w:rsidRPr="00F53019" w:rsidRDefault="00F53019" w:rsidP="00F5301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53019">
              <w:rPr>
                <w:rFonts w:ascii="Arial" w:hAnsi="Arial" w:cs="Arial"/>
              </w:rPr>
              <w:t>mleppla@theOEC.org</w:t>
            </w:r>
          </w:p>
        </w:tc>
      </w:tr>
    </w:tbl>
    <w:p w14:paraId="3127E077" w14:textId="77777777" w:rsidR="00545F29" w:rsidRPr="00F53019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27E078" w14:textId="77777777" w:rsidR="00545F29" w:rsidRPr="00F53019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27E079" w14:textId="096DCFEA" w:rsidR="00545F29" w:rsidRPr="00F53019" w:rsidRDefault="0085155E">
      <w:pPr>
        <w:spacing w:after="0" w:line="240" w:lineRule="auto"/>
        <w:ind w:left="5040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F53019">
        <w:rPr>
          <w:rFonts w:ascii="Arial" w:eastAsia="Arial" w:hAnsi="Arial" w:cs="Arial"/>
          <w:b/>
          <w:i/>
          <w:sz w:val="24"/>
          <w:szCs w:val="24"/>
          <w:u w:val="single"/>
        </w:rPr>
        <w:t>/s/Joseph Oliker</w:t>
      </w:r>
      <w:r w:rsidR="0056270F" w:rsidRPr="00F53019">
        <w:rPr>
          <w:rFonts w:ascii="Arial" w:eastAsia="Arial" w:hAnsi="Arial" w:cs="Arial"/>
          <w:b/>
          <w:i/>
          <w:sz w:val="24"/>
          <w:szCs w:val="24"/>
          <w:u w:val="single"/>
        </w:rPr>
        <w:tab/>
      </w:r>
      <w:r w:rsidR="0056270F" w:rsidRPr="00F53019">
        <w:rPr>
          <w:rFonts w:ascii="Arial" w:eastAsia="Arial" w:hAnsi="Arial" w:cs="Arial"/>
          <w:b/>
          <w:i/>
          <w:sz w:val="24"/>
          <w:szCs w:val="24"/>
          <w:u w:val="single"/>
        </w:rPr>
        <w:tab/>
      </w:r>
      <w:r w:rsidR="0056270F" w:rsidRPr="00F53019">
        <w:rPr>
          <w:rFonts w:ascii="Arial" w:eastAsia="Arial" w:hAnsi="Arial" w:cs="Arial"/>
          <w:b/>
          <w:i/>
          <w:sz w:val="24"/>
          <w:szCs w:val="24"/>
          <w:u w:val="single"/>
        </w:rPr>
        <w:tab/>
      </w:r>
      <w:r w:rsidR="0056270F" w:rsidRPr="00F53019">
        <w:rPr>
          <w:rFonts w:ascii="Arial" w:eastAsia="Arial" w:hAnsi="Arial" w:cs="Arial"/>
          <w:b/>
          <w:i/>
          <w:sz w:val="24"/>
          <w:szCs w:val="24"/>
          <w:u w:val="single"/>
        </w:rPr>
        <w:tab/>
      </w:r>
    </w:p>
    <w:p w14:paraId="3127E07B" w14:textId="47508439" w:rsidR="00545F29" w:rsidRPr="00F53019" w:rsidRDefault="008515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53019">
        <w:rPr>
          <w:rFonts w:ascii="Arial" w:eastAsia="Arial" w:hAnsi="Arial" w:cs="Arial"/>
          <w:sz w:val="24"/>
          <w:szCs w:val="24"/>
        </w:rPr>
        <w:tab/>
      </w:r>
      <w:r w:rsidRPr="00F53019">
        <w:rPr>
          <w:rFonts w:ascii="Arial" w:eastAsia="Arial" w:hAnsi="Arial" w:cs="Arial"/>
          <w:sz w:val="24"/>
          <w:szCs w:val="24"/>
        </w:rPr>
        <w:tab/>
      </w:r>
      <w:r w:rsidRPr="00F53019">
        <w:rPr>
          <w:rFonts w:ascii="Arial" w:eastAsia="Arial" w:hAnsi="Arial" w:cs="Arial"/>
          <w:sz w:val="24"/>
          <w:szCs w:val="24"/>
        </w:rPr>
        <w:tab/>
      </w:r>
      <w:r w:rsidRPr="00F53019">
        <w:rPr>
          <w:rFonts w:ascii="Arial" w:eastAsia="Arial" w:hAnsi="Arial" w:cs="Arial"/>
          <w:sz w:val="24"/>
          <w:szCs w:val="24"/>
        </w:rPr>
        <w:tab/>
      </w:r>
      <w:r w:rsidRPr="00F53019">
        <w:rPr>
          <w:rFonts w:ascii="Arial" w:eastAsia="Arial" w:hAnsi="Arial" w:cs="Arial"/>
          <w:sz w:val="24"/>
          <w:szCs w:val="24"/>
        </w:rPr>
        <w:tab/>
      </w:r>
      <w:r w:rsidRPr="00F53019">
        <w:rPr>
          <w:rFonts w:ascii="Arial" w:eastAsia="Arial" w:hAnsi="Arial" w:cs="Arial"/>
          <w:sz w:val="24"/>
          <w:szCs w:val="24"/>
        </w:rPr>
        <w:tab/>
      </w:r>
      <w:r w:rsidRPr="00F53019">
        <w:rPr>
          <w:rFonts w:ascii="Arial" w:eastAsia="Arial" w:hAnsi="Arial" w:cs="Arial"/>
          <w:sz w:val="24"/>
          <w:szCs w:val="24"/>
        </w:rPr>
        <w:tab/>
        <w:t>Joseph Oliker</w:t>
      </w:r>
    </w:p>
    <w:p w14:paraId="3127E07D" w14:textId="32E168E3" w:rsidR="00545F29" w:rsidRPr="00F53019" w:rsidRDefault="00545F2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45F29" w:rsidRPr="00F53019" w:rsidSect="00AB777F">
      <w:footerReference w:type="default" r:id="rId16"/>
      <w:headerReference w:type="first" r:id="rId17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9B77" w14:textId="77777777" w:rsidR="008232E5" w:rsidRDefault="008232E5">
      <w:pPr>
        <w:spacing w:after="0" w:line="240" w:lineRule="auto"/>
      </w:pPr>
      <w:r>
        <w:separator/>
      </w:r>
    </w:p>
  </w:endnote>
  <w:endnote w:type="continuationSeparator" w:id="0">
    <w:p w14:paraId="400C7949" w14:textId="77777777" w:rsidR="008232E5" w:rsidRDefault="0082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860"/>
      <w:docPartObj>
        <w:docPartGallery w:val="Page Numbers (Bottom of Page)"/>
        <w:docPartUnique/>
      </w:docPartObj>
    </w:sdtPr>
    <w:sdtEndPr/>
    <w:sdtContent>
      <w:p w14:paraId="3127E082" w14:textId="77777777" w:rsidR="009B12E2" w:rsidRDefault="009B12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6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27E083" w14:textId="77777777" w:rsidR="009B12E2" w:rsidRDefault="009B1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0CA1" w14:textId="77777777" w:rsidR="008232E5" w:rsidRDefault="008232E5">
      <w:pPr>
        <w:spacing w:after="0" w:line="240" w:lineRule="auto"/>
      </w:pPr>
      <w:r>
        <w:separator/>
      </w:r>
    </w:p>
  </w:footnote>
  <w:footnote w:type="continuationSeparator" w:id="0">
    <w:p w14:paraId="55709BD7" w14:textId="77777777" w:rsidR="008232E5" w:rsidRDefault="008232E5">
      <w:pPr>
        <w:spacing w:after="0" w:line="240" w:lineRule="auto"/>
      </w:pPr>
      <w:r>
        <w:continuationSeparator/>
      </w:r>
    </w:p>
  </w:footnote>
  <w:footnote w:id="1">
    <w:p w14:paraId="54A8E704" w14:textId="77777777" w:rsidR="009B12E2" w:rsidRDefault="009B12E2" w:rsidP="006173F5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>
        <w:rPr>
          <w:rStyle w:val="apple-converted-space"/>
          <w:rFonts w:ascii="Arial" w:hAnsi="Arial" w:cs="Arial"/>
          <w:color w:val="000000"/>
        </w:rPr>
        <w:t> </w:t>
      </w:r>
      <w:bookmarkStart w:id="0" w:name="hit1"/>
      <w:r>
        <w:rPr>
          <w:rStyle w:val="apple-converted-space"/>
          <w:rFonts w:ascii="Arial" w:hAnsi="Arial" w:cs="Arial"/>
          <w:color w:val="000000"/>
        </w:rPr>
        <w:t>(</w:t>
      </w:r>
      <w:r>
        <w:rPr>
          <w:rStyle w:val="apple-converted-space"/>
          <w:rFonts w:ascii="Arial" w:hAnsi="Arial" w:cs="Arial"/>
        </w:rPr>
        <w:t xml:space="preserve">2006) </w:t>
      </w:r>
      <w:r>
        <w:rPr>
          <w:rStyle w:val="apple-style-span"/>
          <w:rFonts w:ascii="Arial" w:hAnsi="Arial" w:cs="Arial"/>
        </w:rPr>
        <w:t>111</w:t>
      </w:r>
      <w:bookmarkEnd w:id="0"/>
      <w:r>
        <w:rPr>
          <w:rStyle w:val="apple-converted-space"/>
          <w:rFonts w:ascii="Arial" w:hAnsi="Arial" w:cs="Arial"/>
        </w:rPr>
        <w:t> </w:t>
      </w:r>
      <w:bookmarkStart w:id="1" w:name="hit2"/>
      <w:r>
        <w:rPr>
          <w:rStyle w:val="apple-style-span"/>
          <w:rFonts w:ascii="Arial" w:hAnsi="Arial" w:cs="Arial"/>
        </w:rPr>
        <w:t>Ohio</w:t>
      </w:r>
      <w:bookmarkStart w:id="2" w:name="hit3"/>
      <w:bookmarkEnd w:id="1"/>
      <w:r>
        <w:rPr>
          <w:rStyle w:val="apple-style-span"/>
          <w:rFonts w:ascii="Arial" w:hAnsi="Arial" w:cs="Arial"/>
        </w:rPr>
        <w:t>St</w:t>
      </w:r>
      <w:bookmarkEnd w:id="2"/>
      <w:r>
        <w:rPr>
          <w:rStyle w:val="apple-style-span"/>
          <w:rFonts w:ascii="Arial" w:hAnsi="Arial" w:cs="Arial"/>
        </w:rPr>
        <w:t>.</w:t>
      </w:r>
      <w:bookmarkStart w:id="3" w:name="hit4"/>
      <w:r>
        <w:rPr>
          <w:rStyle w:val="apple-style-span"/>
          <w:rFonts w:ascii="Arial" w:hAnsi="Arial" w:cs="Arial"/>
        </w:rPr>
        <w:t>3d</w:t>
      </w:r>
      <w:bookmarkEnd w:id="3"/>
      <w:r>
        <w:rPr>
          <w:rStyle w:val="apple-converted-space"/>
          <w:rFonts w:ascii="Arial" w:hAnsi="Arial" w:cs="Arial"/>
        </w:rPr>
        <w:t> </w:t>
      </w:r>
      <w:bookmarkStart w:id="4" w:name="hit5"/>
      <w:r>
        <w:rPr>
          <w:rStyle w:val="apple-style-span"/>
          <w:rFonts w:ascii="Arial" w:hAnsi="Arial" w:cs="Arial"/>
        </w:rPr>
        <w:t>384</w:t>
      </w:r>
      <w:bookmarkEnd w:id="4"/>
      <w:r>
        <w:rPr>
          <w:rStyle w:val="apple-style-span"/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style-span"/>
          <w:rFonts w:ascii="Arial" w:hAnsi="Arial" w:cs="Arial"/>
        </w:rPr>
        <w:t>388.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E084" w14:textId="77777777" w:rsidR="009B12E2" w:rsidRDefault="009B12E2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6A5F"/>
    <w:multiLevelType w:val="hybridMultilevel"/>
    <w:tmpl w:val="2BB413E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64D6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EC4642"/>
    <w:multiLevelType w:val="hybridMultilevel"/>
    <w:tmpl w:val="201C59AA"/>
    <w:lvl w:ilvl="0" w:tplc="E82C845C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30FF61A0"/>
    <w:multiLevelType w:val="hybridMultilevel"/>
    <w:tmpl w:val="ED101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248A7"/>
    <w:multiLevelType w:val="hybridMultilevel"/>
    <w:tmpl w:val="15861360"/>
    <w:lvl w:ilvl="0" w:tplc="C67637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15675"/>
    <w:multiLevelType w:val="hybridMultilevel"/>
    <w:tmpl w:val="3DBA8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DE1939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75812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2761E7"/>
    <w:multiLevelType w:val="hybridMultilevel"/>
    <w:tmpl w:val="F24A8D30"/>
    <w:lvl w:ilvl="0" w:tplc="DDBAC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E21FE"/>
    <w:multiLevelType w:val="hybridMultilevel"/>
    <w:tmpl w:val="D470694C"/>
    <w:lvl w:ilvl="0" w:tplc="C520E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533A"/>
    <w:multiLevelType w:val="hybridMultilevel"/>
    <w:tmpl w:val="EA8A7462"/>
    <w:lvl w:ilvl="0" w:tplc="6A76ACA6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13DEC"/>
    <w:rsid w:val="00063ABD"/>
    <w:rsid w:val="00067942"/>
    <w:rsid w:val="000D2C66"/>
    <w:rsid w:val="00113164"/>
    <w:rsid w:val="00136A5D"/>
    <w:rsid w:val="00147123"/>
    <w:rsid w:val="002320A0"/>
    <w:rsid w:val="00243429"/>
    <w:rsid w:val="002747B6"/>
    <w:rsid w:val="002C4631"/>
    <w:rsid w:val="002E5525"/>
    <w:rsid w:val="002F1682"/>
    <w:rsid w:val="00335B5A"/>
    <w:rsid w:val="00364422"/>
    <w:rsid w:val="00387EA4"/>
    <w:rsid w:val="003D325F"/>
    <w:rsid w:val="00483161"/>
    <w:rsid w:val="005208BD"/>
    <w:rsid w:val="00545F29"/>
    <w:rsid w:val="00557383"/>
    <w:rsid w:val="00561663"/>
    <w:rsid w:val="0056270F"/>
    <w:rsid w:val="00592546"/>
    <w:rsid w:val="005C1F20"/>
    <w:rsid w:val="00607965"/>
    <w:rsid w:val="006173F5"/>
    <w:rsid w:val="0064575D"/>
    <w:rsid w:val="00646AB2"/>
    <w:rsid w:val="006C76F1"/>
    <w:rsid w:val="006E6780"/>
    <w:rsid w:val="00742B13"/>
    <w:rsid w:val="00786322"/>
    <w:rsid w:val="007A5102"/>
    <w:rsid w:val="007B627F"/>
    <w:rsid w:val="007C371A"/>
    <w:rsid w:val="007D419E"/>
    <w:rsid w:val="007E2341"/>
    <w:rsid w:val="008232E5"/>
    <w:rsid w:val="0082706D"/>
    <w:rsid w:val="008314FD"/>
    <w:rsid w:val="00840C1A"/>
    <w:rsid w:val="0085155E"/>
    <w:rsid w:val="008F5478"/>
    <w:rsid w:val="009065D9"/>
    <w:rsid w:val="00906806"/>
    <w:rsid w:val="0092249B"/>
    <w:rsid w:val="009536CA"/>
    <w:rsid w:val="009B02E8"/>
    <w:rsid w:val="009B12E2"/>
    <w:rsid w:val="00A22EDD"/>
    <w:rsid w:val="00A55206"/>
    <w:rsid w:val="00A573B0"/>
    <w:rsid w:val="00A6783C"/>
    <w:rsid w:val="00A72BBD"/>
    <w:rsid w:val="00A7436C"/>
    <w:rsid w:val="00A7523D"/>
    <w:rsid w:val="00AB777F"/>
    <w:rsid w:val="00B173E6"/>
    <w:rsid w:val="00B6450D"/>
    <w:rsid w:val="00B92A76"/>
    <w:rsid w:val="00B92DC4"/>
    <w:rsid w:val="00B9720C"/>
    <w:rsid w:val="00BB08DF"/>
    <w:rsid w:val="00BE191E"/>
    <w:rsid w:val="00C2339E"/>
    <w:rsid w:val="00C64272"/>
    <w:rsid w:val="00C7359A"/>
    <w:rsid w:val="00C91D72"/>
    <w:rsid w:val="00CA1F60"/>
    <w:rsid w:val="00CB06FB"/>
    <w:rsid w:val="00CB4926"/>
    <w:rsid w:val="00D43527"/>
    <w:rsid w:val="00D5432E"/>
    <w:rsid w:val="00E20CEF"/>
    <w:rsid w:val="00E243C7"/>
    <w:rsid w:val="00E91D17"/>
    <w:rsid w:val="00EB1A2A"/>
    <w:rsid w:val="00F23BE7"/>
    <w:rsid w:val="00F53019"/>
    <w:rsid w:val="00F7218D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27D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yperlink" Target="mailto:darr@mwncmh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ritchard@mwncmh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orchers@brick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dougherty@theOEC.org" TargetMode="External"/><Relationship Id="rId10" Type="http://schemas.openxmlformats.org/officeDocument/2006/relationships/hyperlink" Target="mailto:mfleischer@elpc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yperlink" Target="mailto:paul@carpenterlip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F88A-CFF9-47D0-BA7A-AC695712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2017-09-05T20:30:00Z</dcterms:created>
  <dcterms:modified xsi:type="dcterms:W3CDTF">2017-09-20T19:41:00Z</dcterms:modified>
</cp:coreProperties>
</file>