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9C5CB" w14:textId="77777777" w:rsidR="002223D3" w:rsidRPr="00563AF6" w:rsidRDefault="000C0C9D" w:rsidP="002223D3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AF6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14:paraId="4DA5B58B" w14:textId="77777777" w:rsidR="002223D3" w:rsidRPr="00563AF6" w:rsidRDefault="000C0C9D" w:rsidP="002223D3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AF6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14:paraId="69326332" w14:textId="77777777" w:rsidR="002223D3" w:rsidRPr="00563AF6" w:rsidRDefault="002223D3" w:rsidP="002223D3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Look w:val="01E0" w:firstRow="1" w:lastRow="1" w:firstColumn="1" w:lastColumn="1" w:noHBand="0" w:noVBand="0"/>
      </w:tblPr>
      <w:tblGrid>
        <w:gridCol w:w="4230"/>
        <w:gridCol w:w="630"/>
        <w:gridCol w:w="3780"/>
      </w:tblGrid>
      <w:tr w:rsidR="00292935" w14:paraId="40E53789" w14:textId="77777777" w:rsidTr="000316F1">
        <w:trPr>
          <w:trHeight w:val="807"/>
        </w:trPr>
        <w:tc>
          <w:tcPr>
            <w:tcW w:w="4230" w:type="dxa"/>
            <w:shd w:val="clear" w:color="auto" w:fill="auto"/>
          </w:tcPr>
          <w:p w14:paraId="4D145CDD" w14:textId="229A1C26" w:rsidR="002223D3" w:rsidRPr="00563AF6" w:rsidRDefault="000C0C9D" w:rsidP="00031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63AF6">
              <w:rPr>
                <w:rFonts w:eastAsia="Times New Roman" w:cs="Times New Roman"/>
                <w:szCs w:val="24"/>
              </w:rPr>
              <w:t>In the Matter of the Review of Duke Energy Ohio, Inc.</w:t>
            </w:r>
            <w:r w:rsidR="00CD2A1E">
              <w:rPr>
                <w:rFonts w:eastAsia="Times New Roman" w:cs="Times New Roman"/>
                <w:szCs w:val="24"/>
              </w:rPr>
              <w:t>’</w:t>
            </w:r>
            <w:r w:rsidRPr="00563AF6">
              <w:rPr>
                <w:rFonts w:eastAsia="Times New Roman" w:cs="Times New Roman"/>
                <w:szCs w:val="24"/>
              </w:rPr>
              <w:t>s Distribution Capital Investment Rider.</w:t>
            </w:r>
          </w:p>
        </w:tc>
        <w:tc>
          <w:tcPr>
            <w:tcW w:w="630" w:type="dxa"/>
            <w:shd w:val="clear" w:color="auto" w:fill="auto"/>
          </w:tcPr>
          <w:p w14:paraId="213B731D" w14:textId="77777777" w:rsidR="002223D3" w:rsidRPr="00563AF6" w:rsidRDefault="000C0C9D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63AF6">
              <w:rPr>
                <w:rFonts w:eastAsia="Courier New" w:cs="Times New Roman"/>
                <w:szCs w:val="24"/>
              </w:rPr>
              <w:t>)</w:t>
            </w:r>
          </w:p>
          <w:p w14:paraId="00BBD770" w14:textId="77777777" w:rsidR="002223D3" w:rsidRPr="00563AF6" w:rsidRDefault="000C0C9D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63AF6">
              <w:rPr>
                <w:rFonts w:eastAsia="Courier New" w:cs="Times New Roman"/>
                <w:szCs w:val="24"/>
              </w:rPr>
              <w:t>)</w:t>
            </w:r>
          </w:p>
          <w:p w14:paraId="41448422" w14:textId="77777777" w:rsidR="002223D3" w:rsidRPr="00563AF6" w:rsidRDefault="000C0C9D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63AF6">
              <w:rPr>
                <w:rFonts w:eastAsia="Courier New" w:cs="Times New Roman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14:paraId="7C8DD8C7" w14:textId="77777777" w:rsidR="002223D3" w:rsidRPr="00563AF6" w:rsidRDefault="002223D3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68C23A15" w14:textId="77777777" w:rsidR="002223D3" w:rsidRPr="00563AF6" w:rsidRDefault="000C0C9D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63AF6">
              <w:rPr>
                <w:rFonts w:eastAsia="Courier New" w:cs="Times New Roman"/>
                <w:szCs w:val="24"/>
              </w:rPr>
              <w:t>Case No. 23-549-EL-RDR</w:t>
            </w:r>
          </w:p>
          <w:p w14:paraId="7E3B3821" w14:textId="77777777" w:rsidR="002223D3" w:rsidRPr="00563AF6" w:rsidRDefault="002223D3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34904BD3" w14:textId="77777777" w:rsidR="002223D3" w:rsidRPr="00563AF6" w:rsidRDefault="002223D3" w:rsidP="002223D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EB9BB51" w14:textId="77777777" w:rsidR="002223D3" w:rsidRPr="00563AF6" w:rsidRDefault="002223D3" w:rsidP="002223D3">
      <w:pPr>
        <w:pBdr>
          <w:top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169DFADA" w14:textId="3F4CE486" w:rsidR="00370806" w:rsidRPr="00370806" w:rsidRDefault="000C0C9D" w:rsidP="00370806">
      <w:pPr>
        <w:spacing w:after="0" w:line="240" w:lineRule="auto"/>
        <w:ind w:left="720" w:hanging="720"/>
        <w:jc w:val="center"/>
        <w:rPr>
          <w:rFonts w:cs="Times New Roman"/>
          <w:b/>
          <w:bCs/>
          <w:kern w:val="2"/>
          <w:szCs w:val="24"/>
          <w14:ligatures w14:val="standardContextual"/>
        </w:rPr>
      </w:pPr>
      <w:r w:rsidRPr="00370806">
        <w:rPr>
          <w:rFonts w:cs="Times New Roman"/>
          <w:b/>
          <w:bCs/>
          <w:kern w:val="2"/>
          <w:szCs w:val="24"/>
          <w14:ligatures w14:val="standardContextual"/>
        </w:rPr>
        <w:t xml:space="preserve">MOTION FOR </w:t>
      </w:r>
      <w:r w:rsidRPr="00370806">
        <w:rPr>
          <w:rFonts w:cs="Times New Roman"/>
          <w:b/>
          <w:bCs/>
          <w:i/>
          <w:iCs/>
          <w:kern w:val="2"/>
          <w:szCs w:val="24"/>
          <w14:ligatures w14:val="standardContextual"/>
        </w:rPr>
        <w:t xml:space="preserve">IN CAMERA </w:t>
      </w:r>
      <w:r w:rsidRPr="00370806">
        <w:rPr>
          <w:rFonts w:cs="Times New Roman"/>
          <w:b/>
          <w:bCs/>
          <w:kern w:val="2"/>
          <w:szCs w:val="24"/>
          <w14:ligatures w14:val="standardContextual"/>
        </w:rPr>
        <w:t>REVIEW</w:t>
      </w:r>
    </w:p>
    <w:p w14:paraId="641E355B" w14:textId="53FC1638" w:rsidR="00370806" w:rsidRPr="00370806" w:rsidRDefault="000C0C9D" w:rsidP="00370806">
      <w:pPr>
        <w:spacing w:after="0" w:line="240" w:lineRule="auto"/>
        <w:ind w:left="720" w:hanging="720"/>
        <w:jc w:val="center"/>
        <w:rPr>
          <w:rFonts w:cs="Times New Roman"/>
          <w:b/>
          <w:bCs/>
          <w:kern w:val="2"/>
          <w:szCs w:val="24"/>
          <w14:ligatures w14:val="standardContextual"/>
        </w:rPr>
      </w:pPr>
      <w:r w:rsidRPr="00370806">
        <w:rPr>
          <w:rFonts w:cs="Times New Roman"/>
          <w:b/>
          <w:bCs/>
          <w:kern w:val="2"/>
          <w:szCs w:val="24"/>
          <w14:ligatures w14:val="standardContextual"/>
        </w:rPr>
        <w:t xml:space="preserve">AND </w:t>
      </w:r>
    </w:p>
    <w:p w14:paraId="75F1CA2F" w14:textId="77777777" w:rsidR="00370806" w:rsidRPr="00370806" w:rsidRDefault="000C0C9D" w:rsidP="00370806">
      <w:pPr>
        <w:spacing w:after="0" w:line="240" w:lineRule="auto"/>
        <w:ind w:left="720" w:hanging="720"/>
        <w:jc w:val="center"/>
        <w:rPr>
          <w:rFonts w:cs="Times New Roman"/>
          <w:b/>
          <w:bCs/>
          <w:kern w:val="2"/>
          <w:szCs w:val="24"/>
          <w14:ligatures w14:val="standardContextual"/>
        </w:rPr>
      </w:pPr>
      <w:r w:rsidRPr="00370806">
        <w:rPr>
          <w:rFonts w:cs="Times New Roman"/>
          <w:b/>
          <w:bCs/>
          <w:kern w:val="2"/>
          <w:szCs w:val="24"/>
          <w14:ligatures w14:val="standardContextual"/>
        </w:rPr>
        <w:t>REQUEST FOR EXPEDITED RULING</w:t>
      </w:r>
    </w:p>
    <w:p w14:paraId="57E65D04" w14:textId="77777777" w:rsidR="00370806" w:rsidRPr="00370806" w:rsidRDefault="000C0C9D" w:rsidP="00370806">
      <w:pPr>
        <w:spacing w:after="0" w:line="240" w:lineRule="auto"/>
        <w:ind w:left="720" w:hanging="720"/>
        <w:jc w:val="center"/>
        <w:rPr>
          <w:rFonts w:cs="Times New Roman"/>
          <w:b/>
          <w:bCs/>
          <w:kern w:val="2"/>
          <w:szCs w:val="24"/>
          <w14:ligatures w14:val="standardContextual"/>
        </w:rPr>
      </w:pPr>
      <w:r w:rsidRPr="00370806">
        <w:rPr>
          <w:rFonts w:cs="Times New Roman"/>
          <w:b/>
          <w:bCs/>
          <w:kern w:val="2"/>
          <w:szCs w:val="24"/>
          <w14:ligatures w14:val="standardContextual"/>
        </w:rPr>
        <w:t>BY</w:t>
      </w:r>
    </w:p>
    <w:p w14:paraId="3B8B4AAE" w14:textId="06303221" w:rsidR="00370806" w:rsidRPr="00370806" w:rsidRDefault="000C0C9D" w:rsidP="00370806">
      <w:pPr>
        <w:spacing w:after="0" w:line="240" w:lineRule="auto"/>
        <w:ind w:left="720" w:hanging="720"/>
        <w:jc w:val="center"/>
        <w:rPr>
          <w:rFonts w:cs="Times New Roman"/>
          <w:b/>
          <w:bCs/>
          <w:kern w:val="2"/>
          <w:szCs w:val="24"/>
          <w14:ligatures w14:val="standardContextual"/>
        </w:rPr>
      </w:pPr>
      <w:r w:rsidRPr="00370806">
        <w:rPr>
          <w:rFonts w:cs="Times New Roman"/>
          <w:b/>
          <w:bCs/>
          <w:kern w:val="2"/>
          <w:szCs w:val="24"/>
          <w14:ligatures w14:val="standardContextual"/>
        </w:rPr>
        <w:t xml:space="preserve">OFFICE OF </w:t>
      </w:r>
      <w:r w:rsidRPr="00370806">
        <w:rPr>
          <w:rFonts w:cs="Times New Roman"/>
          <w:b/>
          <w:bCs/>
          <w:kern w:val="2"/>
          <w:szCs w:val="24"/>
          <w14:ligatures w14:val="standardContextual"/>
        </w:rPr>
        <w:t>OHIO CONSUMERS</w:t>
      </w:r>
      <w:r w:rsidR="00CD2A1E">
        <w:rPr>
          <w:rFonts w:cs="Times New Roman"/>
          <w:b/>
          <w:bCs/>
          <w:kern w:val="2"/>
          <w:szCs w:val="24"/>
          <w14:ligatures w14:val="standardContextual"/>
        </w:rPr>
        <w:t>’</w:t>
      </w:r>
      <w:r w:rsidRPr="00370806">
        <w:rPr>
          <w:rFonts w:cs="Times New Roman"/>
          <w:b/>
          <w:bCs/>
          <w:kern w:val="2"/>
          <w:szCs w:val="24"/>
          <w14:ligatures w14:val="standardContextual"/>
        </w:rPr>
        <w:t xml:space="preserve"> COUNSEL</w:t>
      </w:r>
    </w:p>
    <w:p w14:paraId="3F91B662" w14:textId="77777777" w:rsidR="002223D3" w:rsidRPr="00563AF6" w:rsidRDefault="002223D3" w:rsidP="002223D3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540EB0E1" w14:textId="77777777" w:rsidR="002223D3" w:rsidRPr="00563AF6" w:rsidRDefault="002223D3" w:rsidP="002223D3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6D8ECE90" w14:textId="1C795BE9" w:rsidR="0094318C" w:rsidRPr="00774E3A" w:rsidRDefault="000C0C9D" w:rsidP="00370806">
      <w:pPr>
        <w:spacing w:after="0" w:line="480" w:lineRule="auto"/>
        <w:ind w:firstLine="720"/>
        <w:rPr>
          <w:rFonts w:cs="Times New Roman"/>
          <w:shd w:val="clear" w:color="auto" w:fill="FFFFFF"/>
        </w:rPr>
      </w:pPr>
      <w:r w:rsidRPr="00370806">
        <w:rPr>
          <w:rFonts w:cs="Times New Roman"/>
          <w:kern w:val="2"/>
          <w:szCs w:val="24"/>
          <w14:ligatures w14:val="standardContextual"/>
        </w:rPr>
        <w:t>The Office of the Ohio Consumers</w:t>
      </w:r>
      <w:r w:rsidR="00CD2A1E">
        <w:rPr>
          <w:rFonts w:cs="Times New Roman"/>
          <w:kern w:val="2"/>
          <w:szCs w:val="24"/>
          <w14:ligatures w14:val="standardContextual"/>
        </w:rPr>
        <w:t>’</w:t>
      </w:r>
      <w:r w:rsidRPr="00370806">
        <w:rPr>
          <w:rFonts w:cs="Times New Roman"/>
          <w:kern w:val="2"/>
          <w:szCs w:val="24"/>
          <w14:ligatures w14:val="standardContextual"/>
        </w:rPr>
        <w:t xml:space="preserve"> Counsel (</w:t>
      </w:r>
      <w:r w:rsidR="00E039C0">
        <w:rPr>
          <w:rFonts w:cs="Times New Roman"/>
          <w:kern w:val="2"/>
          <w:szCs w:val="24"/>
          <w14:ligatures w14:val="standardContextual"/>
        </w:rPr>
        <w:t>“</w:t>
      </w:r>
      <w:r w:rsidRPr="00370806">
        <w:rPr>
          <w:rFonts w:cs="Times New Roman"/>
          <w:kern w:val="2"/>
          <w:szCs w:val="24"/>
          <w14:ligatures w14:val="standardContextual"/>
        </w:rPr>
        <w:t>OCC</w:t>
      </w:r>
      <w:r w:rsidR="00E039C0">
        <w:rPr>
          <w:rFonts w:cs="Times New Roman"/>
          <w:kern w:val="2"/>
          <w:szCs w:val="24"/>
          <w14:ligatures w14:val="standardContextual"/>
        </w:rPr>
        <w:t>”</w:t>
      </w:r>
      <w:r w:rsidRPr="00370806">
        <w:rPr>
          <w:rFonts w:cs="Times New Roman"/>
          <w:kern w:val="2"/>
          <w:szCs w:val="24"/>
          <w14:ligatures w14:val="standardContextual"/>
        </w:rPr>
        <w:t xml:space="preserve">) moves for an </w:t>
      </w:r>
      <w:proofErr w:type="gramStart"/>
      <w:r w:rsidRPr="00370806">
        <w:rPr>
          <w:rFonts w:cs="Times New Roman"/>
          <w:i/>
          <w:iCs/>
          <w:kern w:val="2"/>
          <w:szCs w:val="24"/>
          <w14:ligatures w14:val="standardContextual"/>
        </w:rPr>
        <w:t>in camera</w:t>
      </w:r>
      <w:proofErr w:type="gramEnd"/>
      <w:r w:rsidRPr="00370806">
        <w:rPr>
          <w:rFonts w:cs="Times New Roman"/>
          <w:kern w:val="2"/>
          <w:szCs w:val="24"/>
          <w14:ligatures w14:val="standardContextual"/>
        </w:rPr>
        <w:t xml:space="preserve"> review of documents withheld by Duke from discovery on privilege grounds.</w:t>
      </w:r>
      <w:r w:rsidR="003F7F96">
        <w:rPr>
          <w:rFonts w:cs="Times New Roman"/>
          <w:kern w:val="2"/>
          <w:szCs w:val="24"/>
          <w14:ligatures w14:val="standardContextual"/>
        </w:rPr>
        <w:t xml:space="preserve"> </w:t>
      </w:r>
      <w:r w:rsidR="0061655E" w:rsidRPr="00FC47DE">
        <w:rPr>
          <w:rFonts w:cs="Times New Roman"/>
          <w:kern w:val="2"/>
          <w:szCs w:val="24"/>
          <w14:ligatures w14:val="standardContextual"/>
        </w:rPr>
        <w:t>Duke bears the burden of proving the documents are privileged and deserving of protection.</w:t>
      </w:r>
      <w:r w:rsidR="006222F4">
        <w:rPr>
          <w:rFonts w:cs="Times New Roman"/>
          <w:kern w:val="2"/>
          <w:szCs w:val="24"/>
          <w14:ligatures w14:val="standardContextual"/>
        </w:rPr>
        <w:t xml:space="preserve"> </w:t>
      </w:r>
      <w:r w:rsidR="0061655E" w:rsidRPr="00FC47DE">
        <w:rPr>
          <w:rFonts w:cs="Times New Roman"/>
          <w:kern w:val="2"/>
          <w:szCs w:val="24"/>
          <w14:ligatures w14:val="standardContextual"/>
        </w:rPr>
        <w:t>It appears that Duke’s privilege claim</w:t>
      </w:r>
      <w:r w:rsidR="0055040B" w:rsidRPr="00FC47DE">
        <w:rPr>
          <w:rFonts w:cs="Times New Roman"/>
          <w:kern w:val="2"/>
          <w:szCs w:val="24"/>
          <w14:ligatures w14:val="standardContextual"/>
        </w:rPr>
        <w:t xml:space="preserve">s asserted in its privilege log </w:t>
      </w:r>
      <w:r w:rsidR="0061655E" w:rsidRPr="00FC47DE">
        <w:rPr>
          <w:rFonts w:cs="Times New Roman"/>
          <w:kern w:val="2"/>
          <w:szCs w:val="24"/>
          <w14:ligatures w14:val="standardContextual"/>
        </w:rPr>
        <w:t>are overstated</w:t>
      </w:r>
      <w:r w:rsidR="00647922">
        <w:rPr>
          <w:rFonts w:cs="Times New Roman"/>
          <w:kern w:val="2"/>
          <w:szCs w:val="24"/>
          <w14:ligatures w14:val="standardContextual"/>
        </w:rPr>
        <w:t xml:space="preserve">. </w:t>
      </w:r>
      <w:r w:rsidR="0055040B" w:rsidRPr="00FC47DE">
        <w:rPr>
          <w:rFonts w:cs="Times New Roman"/>
          <w:kern w:val="2"/>
          <w:szCs w:val="24"/>
          <w14:ligatures w14:val="standardContextual"/>
        </w:rPr>
        <w:t xml:space="preserve">An </w:t>
      </w:r>
      <w:r w:rsidR="0055040B" w:rsidRPr="00774E3A">
        <w:rPr>
          <w:rFonts w:cs="Times New Roman"/>
          <w:i/>
          <w:iCs/>
          <w:kern w:val="2"/>
          <w:szCs w:val="24"/>
          <w14:ligatures w14:val="standardContextual"/>
        </w:rPr>
        <w:t>in camera</w:t>
      </w:r>
      <w:r w:rsidR="0055040B" w:rsidRPr="00FC47DE">
        <w:rPr>
          <w:rFonts w:cs="Times New Roman"/>
          <w:kern w:val="2"/>
          <w:szCs w:val="24"/>
          <w14:ligatures w14:val="standardContextual"/>
        </w:rPr>
        <w:t xml:space="preserve"> review is requested, consistent with</w:t>
      </w:r>
      <w:r w:rsidR="00FC47DE" w:rsidRPr="00FC47DE">
        <w:rPr>
          <w:rFonts w:cs="Times New Roman"/>
          <w:kern w:val="2"/>
          <w:szCs w:val="24"/>
          <w14:ligatures w14:val="standardContextual"/>
        </w:rPr>
        <w:t xml:space="preserve"> </w:t>
      </w:r>
      <w:r w:rsidR="005821D6">
        <w:rPr>
          <w:rFonts w:cs="Times New Roman"/>
          <w:kern w:val="2"/>
          <w:szCs w:val="24"/>
          <w14:ligatures w14:val="standardContextual"/>
        </w:rPr>
        <w:t>the Supreme Court of Ohio’s decision in</w:t>
      </w:r>
      <w:r w:rsidR="00FC47DE" w:rsidRPr="00FC47DE">
        <w:rPr>
          <w:rFonts w:cs="Times New Roman"/>
          <w:kern w:val="2"/>
          <w:szCs w:val="24"/>
          <w14:ligatures w14:val="standardContextual"/>
        </w:rPr>
        <w:t xml:space="preserve"> </w:t>
      </w:r>
      <w:hyperlink r:id="rId7" w:history="1">
        <w:proofErr w:type="spellStart"/>
        <w:r w:rsidR="00FC47DE" w:rsidRPr="00E35EFC">
          <w:rPr>
            <w:rStyle w:val="Hyperlink"/>
            <w:rFonts w:cs="Times New Roman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>Peyko</w:t>
        </w:r>
        <w:proofErr w:type="spellEnd"/>
        <w:r w:rsidR="00FC47DE" w:rsidRPr="00E35EFC">
          <w:rPr>
            <w:rStyle w:val="Hyperlink"/>
            <w:rFonts w:cs="Times New Roman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 xml:space="preserve"> v. Frederick</w:t>
        </w:r>
        <w:r w:rsidR="00D17450">
          <w:rPr>
            <w:rStyle w:val="Hyperlink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 xml:space="preserve">, which ruled that an </w:t>
        </w:r>
        <w:r w:rsidR="00D17450">
          <w:rPr>
            <w:rStyle w:val="Hyperlink"/>
            <w:rFonts w:cs="Times New Roman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>in camera</w:t>
        </w:r>
        <w:r w:rsidR="00D17450">
          <w:rPr>
            <w:rStyle w:val="Hyperlink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 xml:space="preserve"> review should be conducted when a party asserts the attorney-client privilege</w:t>
        </w:r>
        <w:r w:rsidR="00FC47DE" w:rsidRPr="00774E3A">
          <w:rPr>
            <w:rStyle w:val="Hyperlink"/>
            <w:rFonts w:cs="Times New Roman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>.</w:t>
        </w:r>
        <w:r>
          <w:rPr>
            <w:rStyle w:val="FootnoteReference"/>
            <w:rFonts w:cs="Times New Roman"/>
            <w:bdr w:val="none" w:sz="0" w:space="0" w:color="auto" w:frame="1"/>
            <w:shd w:val="clear" w:color="auto" w:fill="FFFFFF"/>
          </w:rPr>
          <w:footnoteReference w:id="1"/>
        </w:r>
        <w:r w:rsidR="00D17450">
          <w:rPr>
            <w:rStyle w:val="Hyperlink"/>
            <w:rFonts w:cs="Times New Roman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D17450">
          <w:rPr>
            <w:rStyle w:val="Hyperlink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 xml:space="preserve">The PUCO has followed the ruling in </w:t>
        </w:r>
        <w:proofErr w:type="spellStart"/>
        <w:r w:rsidR="00D17450">
          <w:rPr>
            <w:rStyle w:val="Hyperlink"/>
            <w:rFonts w:cs="Times New Roman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>Peyko</w:t>
        </w:r>
        <w:proofErr w:type="spellEnd"/>
        <w:r w:rsidR="00D17450">
          <w:rPr>
            <w:rStyle w:val="Hyperlink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>.</w:t>
        </w:r>
        <w:r>
          <w:rPr>
            <w:rStyle w:val="FootnoteReference"/>
            <w:rFonts w:cs="Times New Roman"/>
            <w:kern w:val="2"/>
            <w:szCs w:val="24"/>
            <w14:ligatures w14:val="standardContextual"/>
          </w:rPr>
          <w:footnoteReference w:id="2"/>
        </w:r>
        <w:r w:rsidR="00D17450">
          <w:rPr>
            <w:rStyle w:val="Hyperlink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</w:hyperlink>
      <w:r w:rsidR="00383761" w:rsidRPr="00774E3A">
        <w:rPr>
          <w:rFonts w:cs="Times New Roman"/>
          <w:shd w:val="clear" w:color="auto" w:fill="FFFFFF"/>
        </w:rPr>
        <w:t xml:space="preserve">OCC requests that the </w:t>
      </w:r>
      <w:r w:rsidR="00383761" w:rsidRPr="00774E3A">
        <w:rPr>
          <w:rFonts w:cs="Times New Roman"/>
          <w:i/>
          <w:iCs/>
          <w:shd w:val="clear" w:color="auto" w:fill="FFFFFF"/>
        </w:rPr>
        <w:t xml:space="preserve">in camera </w:t>
      </w:r>
      <w:r w:rsidR="00383761" w:rsidRPr="00774E3A">
        <w:rPr>
          <w:rFonts w:cs="Times New Roman"/>
          <w:shd w:val="clear" w:color="auto" w:fill="FFFFFF"/>
        </w:rPr>
        <w:t>review occur in a timely manner so that OCC can include the new documents and emails in its witness testimony due on July 9, 2024.</w:t>
      </w:r>
    </w:p>
    <w:p w14:paraId="6D8A2407" w14:textId="61DBB81A" w:rsidR="0094318C" w:rsidRDefault="000C0C9D" w:rsidP="0094318C">
      <w:pPr>
        <w:tabs>
          <w:tab w:val="left" w:pos="7920"/>
        </w:tabs>
        <w:spacing w:after="0" w:line="240" w:lineRule="auto"/>
        <w:ind w:left="1440" w:right="1440"/>
        <w:rPr>
          <w:rFonts w:cs="Times New Roman"/>
          <w:kern w:val="2"/>
          <w:szCs w:val="24"/>
          <w14:ligatures w14:val="standardContextual"/>
        </w:rPr>
      </w:pPr>
      <w:r w:rsidRPr="00774E3A">
        <w:rPr>
          <w:rFonts w:cs="Times New Roman"/>
          <w:kern w:val="2"/>
          <w:szCs w:val="24"/>
          <w14:ligatures w14:val="standardContextual"/>
        </w:rPr>
        <w:t> </w:t>
      </w:r>
    </w:p>
    <w:p w14:paraId="652809FA" w14:textId="77777777" w:rsidR="0094318C" w:rsidRDefault="0094318C" w:rsidP="0026202C">
      <w:pPr>
        <w:tabs>
          <w:tab w:val="left" w:pos="7920"/>
        </w:tabs>
        <w:spacing w:after="0" w:line="240" w:lineRule="auto"/>
        <w:ind w:right="1440"/>
        <w:rPr>
          <w:rFonts w:cs="Times New Roman"/>
          <w:kern w:val="2"/>
          <w:szCs w:val="24"/>
          <w14:ligatures w14:val="standardContextual"/>
        </w:rPr>
      </w:pPr>
    </w:p>
    <w:p w14:paraId="2E79EE55" w14:textId="6CF69F74" w:rsidR="0026202C" w:rsidRDefault="0026202C" w:rsidP="00774E3A">
      <w:pPr>
        <w:spacing w:after="0" w:line="240" w:lineRule="auto"/>
        <w:ind w:left="1440" w:right="2160"/>
        <w:rPr>
          <w:rFonts w:cs="Times New Roman"/>
          <w:kern w:val="2"/>
          <w:szCs w:val="24"/>
          <w14:ligatures w14:val="standardContextual"/>
        </w:rPr>
      </w:pPr>
    </w:p>
    <w:p w14:paraId="600C0F97" w14:textId="77777777" w:rsidR="0026202C" w:rsidRPr="00774E3A" w:rsidRDefault="0026202C" w:rsidP="00774E3A">
      <w:pPr>
        <w:tabs>
          <w:tab w:val="left" w:pos="7920"/>
        </w:tabs>
        <w:spacing w:after="0" w:line="240" w:lineRule="auto"/>
        <w:ind w:right="1440"/>
        <w:rPr>
          <w:rFonts w:cs="Times New Roman"/>
          <w:kern w:val="2"/>
          <w:szCs w:val="24"/>
          <w14:ligatures w14:val="standardContextual"/>
        </w:rPr>
      </w:pPr>
    </w:p>
    <w:p w14:paraId="1D504BB9" w14:textId="00F44763" w:rsidR="005821D6" w:rsidRDefault="000C0C9D" w:rsidP="00370806">
      <w:pPr>
        <w:spacing w:after="0" w:line="480" w:lineRule="auto"/>
        <w:ind w:firstLine="720"/>
        <w:rPr>
          <w:rFonts w:cs="Times New Roman"/>
          <w:kern w:val="2"/>
          <w:szCs w:val="24"/>
          <w14:ligatures w14:val="standardContextual"/>
        </w:rPr>
      </w:pPr>
      <w:r>
        <w:rPr>
          <w:rFonts w:cs="Times New Roman"/>
          <w:kern w:val="2"/>
          <w:szCs w:val="24"/>
          <w14:ligatures w14:val="standardContextual"/>
        </w:rPr>
        <w:lastRenderedPageBreak/>
        <w:t xml:space="preserve"> Under the current procedural schedule, OCC’s testimony is due</w:t>
      </w:r>
      <w:r w:rsidR="00D807B5">
        <w:rPr>
          <w:rFonts w:cs="Times New Roman"/>
          <w:kern w:val="2"/>
          <w:szCs w:val="24"/>
          <w14:ligatures w14:val="standardContextual"/>
        </w:rPr>
        <w:t xml:space="preserve"> on July 9, 2024</w:t>
      </w:r>
      <w:r>
        <w:rPr>
          <w:rFonts w:cs="Times New Roman"/>
          <w:kern w:val="2"/>
          <w:szCs w:val="24"/>
          <w14:ligatures w14:val="standardContextual"/>
        </w:rPr>
        <w:t xml:space="preserve"> and the evidentiary hearing is scheduled for</w:t>
      </w:r>
      <w:r w:rsidR="00D807B5">
        <w:rPr>
          <w:rFonts w:cs="Times New Roman"/>
          <w:kern w:val="2"/>
          <w:szCs w:val="24"/>
          <w14:ligatures w14:val="standardContextual"/>
        </w:rPr>
        <w:t xml:space="preserve"> July 16, 2024.</w:t>
      </w:r>
      <w:r>
        <w:rPr>
          <w:rStyle w:val="FootnoteReference"/>
          <w:rFonts w:cs="Times New Roman"/>
          <w:kern w:val="2"/>
          <w:szCs w:val="24"/>
          <w14:ligatures w14:val="standardContextual"/>
        </w:rPr>
        <w:footnoteReference w:id="3"/>
      </w:r>
      <w:r w:rsidR="00647922">
        <w:rPr>
          <w:rFonts w:cs="Times New Roman"/>
          <w:kern w:val="2"/>
          <w:szCs w:val="24"/>
          <w14:ligatures w14:val="standardContextual"/>
        </w:rPr>
        <w:t xml:space="preserve"> </w:t>
      </w:r>
      <w:r>
        <w:rPr>
          <w:rFonts w:cs="Times New Roman"/>
          <w:kern w:val="2"/>
          <w:szCs w:val="24"/>
          <w14:ligatures w14:val="standardContextual"/>
        </w:rPr>
        <w:t xml:space="preserve">Therefore, OCC requests that an </w:t>
      </w:r>
      <w:proofErr w:type="gramStart"/>
      <w:r>
        <w:rPr>
          <w:rFonts w:cs="Times New Roman"/>
          <w:i/>
          <w:iCs/>
          <w:kern w:val="2"/>
          <w:szCs w:val="24"/>
          <w14:ligatures w14:val="standardContextual"/>
        </w:rPr>
        <w:t>in camera</w:t>
      </w:r>
      <w:proofErr w:type="gramEnd"/>
      <w:r>
        <w:rPr>
          <w:rFonts w:cs="Times New Roman"/>
          <w:i/>
          <w:iCs/>
          <w:kern w:val="2"/>
          <w:szCs w:val="24"/>
          <w14:ligatures w14:val="standardContextual"/>
        </w:rPr>
        <w:t xml:space="preserve"> </w:t>
      </w:r>
      <w:r>
        <w:rPr>
          <w:rFonts w:cs="Times New Roman"/>
          <w:kern w:val="2"/>
          <w:szCs w:val="24"/>
          <w14:ligatures w14:val="standardContextual"/>
        </w:rPr>
        <w:t>review be scheduled as soon as possible.</w:t>
      </w:r>
    </w:p>
    <w:p w14:paraId="11F8943F" w14:textId="1BC5CDCE" w:rsidR="00370806" w:rsidRPr="00370806" w:rsidRDefault="000C0C9D" w:rsidP="00D807B5">
      <w:pPr>
        <w:spacing w:after="0" w:line="480" w:lineRule="auto"/>
        <w:ind w:firstLine="720"/>
        <w:rPr>
          <w:rFonts w:cs="Times New Roman"/>
          <w:kern w:val="2"/>
          <w:szCs w:val="24"/>
          <w14:ligatures w14:val="standardContextual"/>
        </w:rPr>
      </w:pPr>
      <w:r w:rsidRPr="00370806">
        <w:rPr>
          <w:rFonts w:cs="Times New Roman"/>
          <w:kern w:val="2"/>
          <w:szCs w:val="24"/>
          <w14:ligatures w14:val="standardContextual"/>
        </w:rPr>
        <w:t>This Motion is based on the attached Memorandum in Support.</w:t>
      </w:r>
      <w:r w:rsidR="005821D6">
        <w:rPr>
          <w:rFonts w:cs="Times New Roman"/>
          <w:kern w:val="2"/>
          <w:szCs w:val="24"/>
          <w14:ligatures w14:val="standardContextual"/>
        </w:rPr>
        <w:t xml:space="preserve"> Given the upcoming testimony due date and evidentiary hearing, </w:t>
      </w:r>
      <w:r w:rsidRPr="00370806">
        <w:rPr>
          <w:rFonts w:cs="Times New Roman"/>
          <w:kern w:val="2"/>
          <w:szCs w:val="24"/>
          <w14:ligatures w14:val="standardContextual"/>
        </w:rPr>
        <w:t>OCC requests an expedited ruling on this Motion under O.A.C. 4901-1-12(C)</w:t>
      </w:r>
      <w:r w:rsidR="00D807B5">
        <w:rPr>
          <w:rFonts w:cs="Times New Roman"/>
          <w:kern w:val="2"/>
          <w:szCs w:val="24"/>
          <w14:ligatures w14:val="standardContextual"/>
        </w:rPr>
        <w:t xml:space="preserve"> so that OCC can include the emails in its testimony and</w:t>
      </w:r>
      <w:r w:rsidR="009E45AB">
        <w:rPr>
          <w:rFonts w:cs="Times New Roman"/>
          <w:kern w:val="2"/>
          <w:szCs w:val="24"/>
          <w14:ligatures w14:val="standardContextual"/>
        </w:rPr>
        <w:t>/or</w:t>
      </w:r>
      <w:r w:rsidR="00D807B5">
        <w:rPr>
          <w:rFonts w:cs="Times New Roman"/>
          <w:kern w:val="2"/>
          <w:szCs w:val="24"/>
          <w14:ligatures w14:val="standardContextual"/>
        </w:rPr>
        <w:t xml:space="preserve"> introduce them into evidence at the evidentiary hearing</w:t>
      </w:r>
      <w:r w:rsidRPr="00370806">
        <w:rPr>
          <w:rFonts w:cs="Times New Roman"/>
          <w:kern w:val="2"/>
          <w:szCs w:val="24"/>
          <w14:ligatures w14:val="standardContextual"/>
        </w:rPr>
        <w:t>.</w:t>
      </w:r>
      <w:r w:rsidR="000E5C05">
        <w:rPr>
          <w:rFonts w:cs="Times New Roman"/>
          <w:kern w:val="2"/>
          <w:szCs w:val="24"/>
          <w14:ligatures w14:val="standardContextual"/>
        </w:rPr>
        <w:t xml:space="preserve"> </w:t>
      </w:r>
      <w:r w:rsidRPr="00370806">
        <w:rPr>
          <w:rFonts w:cs="Times New Roman"/>
          <w:kern w:val="2"/>
          <w:szCs w:val="24"/>
          <w14:ligatures w14:val="standardContextual"/>
        </w:rPr>
        <w:t>OCC is unable to certify that other parties do not object to</w:t>
      </w:r>
      <w:r w:rsidR="003F7F96">
        <w:rPr>
          <w:rFonts w:cs="Times New Roman"/>
          <w:kern w:val="2"/>
          <w:szCs w:val="24"/>
          <w14:ligatures w14:val="standardContextual"/>
        </w:rPr>
        <w:t xml:space="preserve"> this motion or to</w:t>
      </w:r>
      <w:r w:rsidRPr="00370806">
        <w:rPr>
          <w:rFonts w:cs="Times New Roman"/>
          <w:kern w:val="2"/>
          <w:szCs w:val="24"/>
          <w14:ligatures w14:val="standardContextual"/>
        </w:rPr>
        <w:t xml:space="preserve"> an expedited ruling.</w:t>
      </w:r>
      <w:r w:rsidR="006222F4">
        <w:rPr>
          <w:rFonts w:cs="Times New Roman"/>
          <w:kern w:val="2"/>
          <w:szCs w:val="24"/>
          <w14:ligatures w14:val="standardContextual"/>
        </w:rPr>
        <w:t xml:space="preserve"> </w:t>
      </w:r>
    </w:p>
    <w:p w14:paraId="2B9DDDFB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Maureen R. Willis (0020847)</w:t>
      </w:r>
    </w:p>
    <w:p w14:paraId="62599FE0" w14:textId="5379F916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Ohio Consumers</w:t>
      </w:r>
      <w:r w:rsidR="00CD2A1E">
        <w:rPr>
          <w:rFonts w:cs="Times New Roman"/>
          <w:szCs w:val="24"/>
        </w:rPr>
        <w:t>’</w:t>
      </w:r>
      <w:r w:rsidRPr="00563AF6">
        <w:rPr>
          <w:rFonts w:cs="Times New Roman"/>
          <w:szCs w:val="24"/>
        </w:rPr>
        <w:t xml:space="preserve"> Counsel</w:t>
      </w:r>
    </w:p>
    <w:p w14:paraId="23574F56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i/>
          <w:iCs/>
          <w:szCs w:val="24"/>
        </w:rPr>
      </w:pPr>
      <w:r w:rsidRPr="00563AF6">
        <w:rPr>
          <w:rFonts w:cs="Times New Roman"/>
          <w:i/>
          <w:iCs/>
          <w:szCs w:val="24"/>
        </w:rPr>
        <w:t xml:space="preserve"> </w:t>
      </w:r>
    </w:p>
    <w:p w14:paraId="678B4C7D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John Finnigan (0018689)</w:t>
      </w:r>
    </w:p>
    <w:p w14:paraId="660244BB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Counsel of Record</w:t>
      </w:r>
    </w:p>
    <w:p w14:paraId="0013944D" w14:textId="37970738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Assistant Consumers</w:t>
      </w:r>
      <w:r w:rsidR="00CD2A1E">
        <w:rPr>
          <w:rFonts w:cs="Times New Roman"/>
          <w:szCs w:val="24"/>
        </w:rPr>
        <w:t>’</w:t>
      </w:r>
      <w:r w:rsidRPr="00563AF6">
        <w:rPr>
          <w:rFonts w:cs="Times New Roman"/>
          <w:szCs w:val="24"/>
        </w:rPr>
        <w:t xml:space="preserve"> Counsel</w:t>
      </w:r>
    </w:p>
    <w:p w14:paraId="0A2D03B3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Thomas Zuehlke</w:t>
      </w:r>
    </w:p>
    <w:p w14:paraId="7BF3A691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Certified Legal Intern</w:t>
      </w:r>
    </w:p>
    <w:p w14:paraId="4D4A0D8B" w14:textId="77777777" w:rsidR="00A32B84" w:rsidRPr="00563AF6" w:rsidRDefault="00A32B84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</w:p>
    <w:p w14:paraId="2CF6617E" w14:textId="772F2836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b/>
          <w:bCs/>
          <w:szCs w:val="24"/>
        </w:rPr>
      </w:pPr>
      <w:r w:rsidRPr="00563AF6">
        <w:rPr>
          <w:rFonts w:cs="Times New Roman"/>
          <w:b/>
          <w:bCs/>
          <w:szCs w:val="24"/>
        </w:rPr>
        <w:t>Office of the Ohio Consumers</w:t>
      </w:r>
      <w:r w:rsidR="00CD2A1E">
        <w:rPr>
          <w:rFonts w:cs="Times New Roman"/>
          <w:b/>
          <w:bCs/>
          <w:szCs w:val="24"/>
        </w:rPr>
        <w:t>’</w:t>
      </w:r>
      <w:r w:rsidRPr="00563AF6">
        <w:rPr>
          <w:rFonts w:cs="Times New Roman"/>
          <w:b/>
          <w:bCs/>
          <w:szCs w:val="24"/>
        </w:rPr>
        <w:t xml:space="preserve"> Counsel</w:t>
      </w:r>
    </w:p>
    <w:p w14:paraId="0306EA01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65 East State Street, Suite 700</w:t>
      </w:r>
    </w:p>
    <w:p w14:paraId="3B4BE9ED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Columbus, Ohio 43215</w:t>
      </w:r>
    </w:p>
    <w:p w14:paraId="6A5A0077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Telephone [Finnigan]: (614) 466-9585</w:t>
      </w:r>
    </w:p>
    <w:p w14:paraId="19D0BE22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Telephone [Zuehlke]: (614) 466-9569</w:t>
      </w:r>
    </w:p>
    <w:p w14:paraId="781ADD37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color w:val="0000FF"/>
          <w:szCs w:val="24"/>
        </w:rPr>
      </w:pPr>
      <w:hyperlink r:id="rId8" w:history="1">
        <w:r w:rsidR="00B44E69" w:rsidRPr="00563AF6">
          <w:rPr>
            <w:rStyle w:val="Hyperlink"/>
            <w:rFonts w:cs="Times New Roman"/>
            <w:szCs w:val="24"/>
          </w:rPr>
          <w:t>john.finnigan@occ.ohio.gov</w:t>
        </w:r>
      </w:hyperlink>
    </w:p>
    <w:p w14:paraId="39A57008" w14:textId="77777777" w:rsidR="00A32B84" w:rsidRPr="00563AF6" w:rsidRDefault="000C0C9D" w:rsidP="00A32B84">
      <w:pPr>
        <w:tabs>
          <w:tab w:val="left" w:pos="2776"/>
        </w:tabs>
        <w:spacing w:after="0" w:line="240" w:lineRule="auto"/>
        <w:ind w:left="4234" w:right="346"/>
        <w:rPr>
          <w:rFonts w:cs="Times New Roman"/>
          <w:color w:val="0000FF"/>
          <w:szCs w:val="24"/>
        </w:rPr>
      </w:pPr>
      <w:hyperlink r:id="rId9" w:history="1">
        <w:r w:rsidR="00B44E69" w:rsidRPr="00563AF6">
          <w:rPr>
            <w:rStyle w:val="Hyperlink"/>
            <w:rFonts w:cs="Times New Roman"/>
            <w:szCs w:val="24"/>
          </w:rPr>
          <w:t>thomas.zuehlke@occ.ohio.gov</w:t>
        </w:r>
      </w:hyperlink>
    </w:p>
    <w:p w14:paraId="065214EA" w14:textId="77777777" w:rsidR="00765706" w:rsidRDefault="000C0C9D" w:rsidP="00765706">
      <w:pPr>
        <w:spacing w:after="0" w:line="240" w:lineRule="auto"/>
        <w:ind w:left="4230" w:right="346" w:hanging="4230"/>
        <w:rPr>
          <w:rFonts w:cs="Times New Roman"/>
          <w:szCs w:val="24"/>
        </w:rPr>
        <w:sectPr w:rsidR="007657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Times New Roman"/>
          <w:szCs w:val="24"/>
        </w:rPr>
        <w:tab/>
      </w:r>
      <w:r w:rsidRPr="00563AF6">
        <w:rPr>
          <w:rFonts w:cs="Times New Roman"/>
          <w:szCs w:val="24"/>
        </w:rPr>
        <w:t>(willing to accept service by e-mail)</w:t>
      </w:r>
    </w:p>
    <w:p w14:paraId="359F8B67" w14:textId="3B0272EF" w:rsidR="00A32B84" w:rsidRPr="00563AF6" w:rsidRDefault="000C0C9D" w:rsidP="00765706">
      <w:pPr>
        <w:spacing w:after="0" w:line="240" w:lineRule="auto"/>
        <w:ind w:left="4230" w:right="346" w:hanging="4230"/>
        <w:jc w:val="center"/>
        <w:rPr>
          <w:rFonts w:cs="Times New Roman"/>
          <w:b/>
          <w:bCs/>
          <w:szCs w:val="24"/>
        </w:rPr>
      </w:pPr>
      <w:r w:rsidRPr="00563AF6">
        <w:rPr>
          <w:rFonts w:cs="Times New Roman"/>
          <w:b/>
          <w:bCs/>
          <w:szCs w:val="24"/>
        </w:rPr>
        <w:lastRenderedPageBreak/>
        <w:t>BEFORE</w:t>
      </w:r>
    </w:p>
    <w:p w14:paraId="44B3B1C7" w14:textId="77777777" w:rsidR="00A32B84" w:rsidRPr="00563AF6" w:rsidRDefault="000C0C9D" w:rsidP="00A32B84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AF6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14:paraId="3CB80472" w14:textId="77777777" w:rsidR="00A32B84" w:rsidRPr="00563AF6" w:rsidRDefault="00A32B84" w:rsidP="00A32B84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Look w:val="01E0" w:firstRow="1" w:lastRow="1" w:firstColumn="1" w:lastColumn="1" w:noHBand="0" w:noVBand="0"/>
      </w:tblPr>
      <w:tblGrid>
        <w:gridCol w:w="4230"/>
        <w:gridCol w:w="630"/>
        <w:gridCol w:w="3780"/>
      </w:tblGrid>
      <w:tr w:rsidR="00292935" w14:paraId="783185A5" w14:textId="77777777" w:rsidTr="000316F1">
        <w:trPr>
          <w:trHeight w:val="807"/>
        </w:trPr>
        <w:tc>
          <w:tcPr>
            <w:tcW w:w="4230" w:type="dxa"/>
            <w:shd w:val="clear" w:color="auto" w:fill="auto"/>
          </w:tcPr>
          <w:p w14:paraId="7A8F6B7E" w14:textId="4C1F3774" w:rsidR="00A32B84" w:rsidRPr="00563AF6" w:rsidRDefault="000C0C9D" w:rsidP="00031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63AF6">
              <w:rPr>
                <w:rFonts w:eastAsia="Times New Roman" w:cs="Times New Roman"/>
                <w:szCs w:val="24"/>
              </w:rPr>
              <w:t>In the Matter of the Review of Duke Energy Ohio, Inc.</w:t>
            </w:r>
            <w:r w:rsidR="00CD2A1E">
              <w:rPr>
                <w:rFonts w:eastAsia="Times New Roman" w:cs="Times New Roman"/>
                <w:szCs w:val="24"/>
              </w:rPr>
              <w:t>’</w:t>
            </w:r>
            <w:r w:rsidRPr="00563AF6">
              <w:rPr>
                <w:rFonts w:eastAsia="Times New Roman" w:cs="Times New Roman"/>
                <w:szCs w:val="24"/>
              </w:rPr>
              <w:t>s Distribution Capital Investment Rider.</w:t>
            </w:r>
          </w:p>
        </w:tc>
        <w:tc>
          <w:tcPr>
            <w:tcW w:w="630" w:type="dxa"/>
            <w:shd w:val="clear" w:color="auto" w:fill="auto"/>
          </w:tcPr>
          <w:p w14:paraId="6B1BB80F" w14:textId="77777777" w:rsidR="00A32B84" w:rsidRPr="00563AF6" w:rsidRDefault="000C0C9D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63AF6">
              <w:rPr>
                <w:rFonts w:eastAsia="Courier New" w:cs="Times New Roman"/>
                <w:szCs w:val="24"/>
              </w:rPr>
              <w:t>)</w:t>
            </w:r>
          </w:p>
          <w:p w14:paraId="2170F7E2" w14:textId="77777777" w:rsidR="00A32B84" w:rsidRPr="00563AF6" w:rsidRDefault="000C0C9D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63AF6">
              <w:rPr>
                <w:rFonts w:eastAsia="Courier New" w:cs="Times New Roman"/>
                <w:szCs w:val="24"/>
              </w:rPr>
              <w:t>)</w:t>
            </w:r>
          </w:p>
          <w:p w14:paraId="05E26A41" w14:textId="77777777" w:rsidR="00A32B84" w:rsidRPr="00563AF6" w:rsidRDefault="000C0C9D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63AF6">
              <w:rPr>
                <w:rFonts w:eastAsia="Courier New" w:cs="Times New Roman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14:paraId="5A12E839" w14:textId="77777777" w:rsidR="00A32B84" w:rsidRPr="00563AF6" w:rsidRDefault="00A32B84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2263BDC8" w14:textId="77777777" w:rsidR="00A32B84" w:rsidRPr="00563AF6" w:rsidRDefault="000C0C9D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63AF6">
              <w:rPr>
                <w:rFonts w:eastAsia="Courier New" w:cs="Times New Roman"/>
                <w:szCs w:val="24"/>
              </w:rPr>
              <w:t xml:space="preserve">Case No. </w:t>
            </w:r>
            <w:r w:rsidRPr="00563AF6">
              <w:rPr>
                <w:rFonts w:eastAsia="Courier New" w:cs="Times New Roman"/>
                <w:szCs w:val="24"/>
              </w:rPr>
              <w:t>23-549-EL-RDR</w:t>
            </w:r>
          </w:p>
          <w:p w14:paraId="67746AC9" w14:textId="77777777" w:rsidR="00A32B84" w:rsidRPr="00563AF6" w:rsidRDefault="00A32B84" w:rsidP="000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1EE108F9" w14:textId="77777777" w:rsidR="00A32B84" w:rsidRPr="00563AF6" w:rsidRDefault="00A32B84" w:rsidP="00A32B8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A220004" w14:textId="77777777" w:rsidR="00A32B84" w:rsidRPr="00563AF6" w:rsidRDefault="00A32B84" w:rsidP="00A32B84">
      <w:pPr>
        <w:pBdr>
          <w:top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6E86F031" w14:textId="5AF8F2DC" w:rsidR="00A32B84" w:rsidRPr="00370806" w:rsidRDefault="000C0C9D" w:rsidP="00A32B84">
      <w:pPr>
        <w:spacing w:after="0" w:line="240" w:lineRule="auto"/>
        <w:ind w:left="720" w:hanging="720"/>
        <w:jc w:val="center"/>
        <w:rPr>
          <w:rFonts w:cs="Times New Roman"/>
          <w:b/>
          <w:bCs/>
          <w:kern w:val="2"/>
          <w:szCs w:val="24"/>
          <w14:ligatures w14:val="standardContextual"/>
        </w:rPr>
      </w:pPr>
      <w:r>
        <w:rPr>
          <w:rFonts w:cs="Times New Roman"/>
          <w:b/>
          <w:bCs/>
          <w:kern w:val="2"/>
          <w:szCs w:val="24"/>
          <w14:ligatures w14:val="standardContextual"/>
        </w:rPr>
        <w:t>MEMORANDUM IN SUPPORT</w:t>
      </w:r>
    </w:p>
    <w:p w14:paraId="14CC3F6D" w14:textId="77777777" w:rsidR="00A32B84" w:rsidRPr="00563AF6" w:rsidRDefault="00A32B84" w:rsidP="00A32B84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7AA9E9AC" w14:textId="77777777" w:rsidR="00A32B84" w:rsidRPr="00563AF6" w:rsidRDefault="00A32B84" w:rsidP="00A32B84">
      <w:pPr>
        <w:tabs>
          <w:tab w:val="left" w:pos="-720"/>
        </w:tabs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38F0477A" w14:textId="1E0129D4" w:rsidR="00370806" w:rsidRPr="00370806" w:rsidRDefault="000C0C9D" w:rsidP="00060EA1">
      <w:pPr>
        <w:spacing w:after="0" w:line="480" w:lineRule="auto"/>
        <w:rPr>
          <w:rFonts w:cs="Times New Roman"/>
          <w:kern w:val="2"/>
          <w:szCs w:val="24"/>
          <w14:ligatures w14:val="standardContextual"/>
        </w:rPr>
      </w:pPr>
      <w:r w:rsidRPr="00370806">
        <w:rPr>
          <w:rFonts w:cs="Times New Roman"/>
          <w:kern w:val="2"/>
          <w:szCs w:val="24"/>
          <w14:ligatures w14:val="standardContextual"/>
        </w:rPr>
        <w:tab/>
        <w:t>As background, this case involves the annual audit of Duke</w:t>
      </w:r>
      <w:r w:rsidR="00CD2A1E">
        <w:rPr>
          <w:rFonts w:cs="Times New Roman"/>
          <w:kern w:val="2"/>
          <w:szCs w:val="24"/>
          <w14:ligatures w14:val="standardContextual"/>
        </w:rPr>
        <w:t>’</w:t>
      </w:r>
      <w:r w:rsidRPr="00370806">
        <w:rPr>
          <w:rFonts w:cs="Times New Roman"/>
          <w:kern w:val="2"/>
          <w:szCs w:val="24"/>
          <w14:ligatures w14:val="standardContextual"/>
        </w:rPr>
        <w:t>s Distribution Capital Investment Rider (</w:t>
      </w:r>
      <w:r w:rsidR="00CD2A1E">
        <w:rPr>
          <w:rFonts w:cs="Times New Roman"/>
          <w:kern w:val="2"/>
          <w:szCs w:val="24"/>
          <w14:ligatures w14:val="standardContextual"/>
        </w:rPr>
        <w:t>“</w:t>
      </w:r>
      <w:r w:rsidRPr="00370806">
        <w:rPr>
          <w:rFonts w:cs="Times New Roman"/>
          <w:kern w:val="2"/>
          <w:szCs w:val="24"/>
          <w14:ligatures w14:val="standardContextual"/>
        </w:rPr>
        <w:t>Rider DCI</w:t>
      </w:r>
      <w:r w:rsidR="00E039C0">
        <w:rPr>
          <w:rFonts w:cs="Times New Roman"/>
          <w:kern w:val="2"/>
          <w:szCs w:val="24"/>
          <w14:ligatures w14:val="standardContextual"/>
        </w:rPr>
        <w:t>”</w:t>
      </w:r>
      <w:r w:rsidRPr="00370806">
        <w:rPr>
          <w:rFonts w:cs="Times New Roman"/>
          <w:kern w:val="2"/>
          <w:szCs w:val="24"/>
          <w14:ligatures w14:val="standardContextual"/>
        </w:rPr>
        <w:t>).</w:t>
      </w:r>
      <w:r w:rsidR="000E5C05">
        <w:rPr>
          <w:rFonts w:cs="Times New Roman"/>
          <w:kern w:val="2"/>
          <w:szCs w:val="24"/>
          <w14:ligatures w14:val="standardContextual"/>
        </w:rPr>
        <w:t xml:space="preserve"> </w:t>
      </w:r>
      <w:r w:rsidRPr="00370806">
        <w:rPr>
          <w:rFonts w:cs="Times New Roman"/>
          <w:kern w:val="2"/>
          <w:szCs w:val="24"/>
          <w14:ligatures w14:val="standardContextual"/>
        </w:rPr>
        <w:t>The main issue</w:t>
      </w:r>
      <w:r w:rsidR="00214811">
        <w:rPr>
          <w:rFonts w:cs="Times New Roman"/>
          <w:kern w:val="2"/>
          <w:szCs w:val="24"/>
          <w14:ligatures w14:val="standardContextual"/>
        </w:rPr>
        <w:t xml:space="preserve"> that we have identified for consumers </w:t>
      </w:r>
      <w:r w:rsidRPr="00370806">
        <w:rPr>
          <w:rFonts w:cs="Times New Roman"/>
          <w:kern w:val="2"/>
          <w:szCs w:val="24"/>
          <w14:ligatures w14:val="standardContextual"/>
        </w:rPr>
        <w:t>involves Duke</w:t>
      </w:r>
      <w:r w:rsidR="00CD2A1E">
        <w:rPr>
          <w:rFonts w:cs="Times New Roman"/>
          <w:kern w:val="2"/>
          <w:szCs w:val="24"/>
          <w14:ligatures w14:val="standardContextual"/>
        </w:rPr>
        <w:t>’</w:t>
      </w:r>
      <w:r w:rsidRPr="00370806">
        <w:rPr>
          <w:rFonts w:cs="Times New Roman"/>
          <w:kern w:val="2"/>
          <w:szCs w:val="24"/>
          <w14:ligatures w14:val="standardContextual"/>
        </w:rPr>
        <w:t xml:space="preserve">s accounting for </w:t>
      </w:r>
      <w:r w:rsidRPr="00370806">
        <w:rPr>
          <w:rFonts w:cs="Times New Roman"/>
          <w:kern w:val="2"/>
          <w:szCs w:val="24"/>
          <w14:ligatures w14:val="standardContextual"/>
        </w:rPr>
        <w:t>Accumulated Deferred Income Taxes (</w:t>
      </w:r>
      <w:r w:rsidR="00CD2A1E">
        <w:rPr>
          <w:rFonts w:cs="Times New Roman"/>
          <w:kern w:val="2"/>
          <w:szCs w:val="24"/>
          <w14:ligatures w14:val="standardContextual"/>
        </w:rPr>
        <w:t>“</w:t>
      </w:r>
      <w:r w:rsidRPr="00370806">
        <w:rPr>
          <w:rFonts w:cs="Times New Roman"/>
          <w:kern w:val="2"/>
          <w:szCs w:val="24"/>
          <w14:ligatures w14:val="standardContextual"/>
        </w:rPr>
        <w:t>ADIT</w:t>
      </w:r>
      <w:r w:rsidR="00E039C0">
        <w:rPr>
          <w:rFonts w:cs="Times New Roman"/>
          <w:kern w:val="2"/>
          <w:szCs w:val="24"/>
          <w14:ligatures w14:val="standardContextual"/>
        </w:rPr>
        <w:t>”</w:t>
      </w:r>
      <w:r w:rsidRPr="00370806">
        <w:rPr>
          <w:rFonts w:cs="Times New Roman"/>
          <w:kern w:val="2"/>
          <w:szCs w:val="24"/>
          <w14:ligatures w14:val="standardContextual"/>
        </w:rPr>
        <w:t>).</w:t>
      </w:r>
      <w:r w:rsidR="00647922">
        <w:rPr>
          <w:rFonts w:cs="Times New Roman"/>
          <w:kern w:val="2"/>
          <w:szCs w:val="24"/>
          <w14:ligatures w14:val="standardContextual"/>
        </w:rPr>
        <w:t xml:space="preserve"> </w:t>
      </w:r>
      <w:r w:rsidR="003F7F96">
        <w:rPr>
          <w:rFonts w:cs="Times New Roman"/>
          <w:kern w:val="2"/>
          <w:szCs w:val="24"/>
          <w14:ligatures w14:val="standardContextual"/>
        </w:rPr>
        <w:t xml:space="preserve">As </w:t>
      </w:r>
      <w:r w:rsidRPr="00370806">
        <w:rPr>
          <w:rFonts w:cs="Times New Roman"/>
          <w:kern w:val="2"/>
          <w:szCs w:val="24"/>
          <w14:ligatures w14:val="standardContextual"/>
        </w:rPr>
        <w:t>OCC</w:t>
      </w:r>
      <w:r w:rsidR="003F7F96">
        <w:rPr>
          <w:rFonts w:cs="Times New Roman"/>
          <w:kern w:val="2"/>
          <w:szCs w:val="24"/>
          <w14:ligatures w14:val="standardContextual"/>
        </w:rPr>
        <w:t xml:space="preserve"> explained in its</w:t>
      </w:r>
      <w:r w:rsidRPr="00370806">
        <w:rPr>
          <w:rFonts w:cs="Times New Roman"/>
          <w:kern w:val="2"/>
          <w:szCs w:val="24"/>
          <w14:ligatures w14:val="standardContextual"/>
        </w:rPr>
        <w:t xml:space="preserve"> Initial </w:t>
      </w:r>
      <w:r w:rsidR="00060EA1" w:rsidRPr="00370806">
        <w:rPr>
          <w:rFonts w:cs="Times New Roman"/>
          <w:kern w:val="2"/>
          <w:szCs w:val="24"/>
          <w14:ligatures w14:val="standardContextual"/>
        </w:rPr>
        <w:t>Comments</w:t>
      </w:r>
      <w:r w:rsidR="00060EA1">
        <w:rPr>
          <w:rFonts w:cs="Times New Roman"/>
          <w:kern w:val="2"/>
          <w:szCs w:val="24"/>
          <w14:ligatures w14:val="standardContextual"/>
        </w:rPr>
        <w:t xml:space="preserve"> there</w:t>
      </w:r>
      <w:r w:rsidR="0055040B">
        <w:rPr>
          <w:rFonts w:cs="Times New Roman"/>
          <w:kern w:val="2"/>
          <w:szCs w:val="24"/>
          <w14:ligatures w14:val="standardContextual"/>
        </w:rPr>
        <w:t xml:space="preserve"> is a $14 million issue present in this case.</w:t>
      </w:r>
      <w:r w:rsidR="006222F4">
        <w:rPr>
          <w:rFonts w:cs="Times New Roman"/>
          <w:kern w:val="2"/>
          <w:szCs w:val="24"/>
          <w14:ligatures w14:val="standardContextual"/>
        </w:rPr>
        <w:t xml:space="preserve"> </w:t>
      </w:r>
      <w:r w:rsidR="0055040B">
        <w:rPr>
          <w:rFonts w:cs="Times New Roman"/>
          <w:kern w:val="2"/>
          <w:szCs w:val="24"/>
          <w14:ligatures w14:val="standardContextual"/>
        </w:rPr>
        <w:t xml:space="preserve">Duke apparently undercharged </w:t>
      </w:r>
      <w:r w:rsidR="00214811">
        <w:rPr>
          <w:rFonts w:cs="Times New Roman"/>
          <w:kern w:val="2"/>
          <w:szCs w:val="24"/>
          <w14:ligatures w14:val="standardContextual"/>
        </w:rPr>
        <w:t>consumers</w:t>
      </w:r>
      <w:r w:rsidR="0055040B">
        <w:rPr>
          <w:rFonts w:cs="Times New Roman"/>
          <w:kern w:val="2"/>
          <w:szCs w:val="24"/>
          <w14:ligatures w14:val="standardContextual"/>
        </w:rPr>
        <w:t xml:space="preserve"> </w:t>
      </w:r>
      <w:r w:rsidR="00E76BBE">
        <w:rPr>
          <w:rFonts w:cs="Times New Roman"/>
          <w:kern w:val="2"/>
          <w:szCs w:val="24"/>
          <w14:ligatures w14:val="standardContextual"/>
        </w:rPr>
        <w:t>in its base rate case and unilaterally decided to make up for that by overcharging consumers under Rider DCI.</w:t>
      </w:r>
      <w:r w:rsidR="006222F4">
        <w:rPr>
          <w:rFonts w:cs="Times New Roman"/>
          <w:kern w:val="2"/>
          <w:szCs w:val="24"/>
          <w14:ligatures w14:val="standardContextual"/>
        </w:rPr>
        <w:t xml:space="preserve"> </w:t>
      </w:r>
      <w:r w:rsidR="00B11CB9">
        <w:rPr>
          <w:rFonts w:cs="Times New Roman"/>
          <w:kern w:val="2"/>
          <w:szCs w:val="24"/>
          <w14:ligatures w14:val="standardContextual"/>
        </w:rPr>
        <w:t xml:space="preserve">It appears that Duke might have acted improperly by: (1) changing its rates without PUCO approval; (2) ignoring that the PUCO’s Order in the base rate case has a collateral estoppel impact; (3) changing the terms of the settlement in the rate base without the consent of other parties; and (4) violating the prohibition against retroactive ratemaking. </w:t>
      </w:r>
    </w:p>
    <w:p w14:paraId="74F2D4F4" w14:textId="6BDE0EA9" w:rsidR="00370806" w:rsidRPr="00370806" w:rsidRDefault="000C0C9D" w:rsidP="00370806">
      <w:pPr>
        <w:autoSpaceDE w:val="0"/>
        <w:autoSpaceDN w:val="0"/>
        <w:adjustRightInd w:val="0"/>
        <w:spacing w:after="0" w:line="480" w:lineRule="auto"/>
        <w:rPr>
          <w:rFonts w:cs="Times New Roman"/>
          <w:kern w:val="2"/>
          <w:szCs w:val="24"/>
          <w14:ligatures w14:val="standardContextual"/>
        </w:rPr>
      </w:pPr>
      <w:r w:rsidRPr="00370806">
        <w:rPr>
          <w:rFonts w:cs="Times New Roman"/>
          <w:kern w:val="2"/>
          <w:szCs w:val="24"/>
          <w14:ligatures w14:val="standardContextual"/>
        </w:rPr>
        <w:tab/>
      </w:r>
      <w:r w:rsidR="00214811">
        <w:rPr>
          <w:rFonts w:cs="Times New Roman"/>
          <w:kern w:val="2"/>
          <w:szCs w:val="24"/>
          <w14:ligatures w14:val="standardContextual"/>
        </w:rPr>
        <w:t>In pursuing this issue OCC sought to discover communications involving Jay Brown</w:t>
      </w:r>
      <w:r w:rsidR="003303E5">
        <w:rPr>
          <w:rFonts w:cs="Times New Roman"/>
          <w:kern w:val="2"/>
          <w:szCs w:val="24"/>
          <w14:ligatures w14:val="standardContextual"/>
        </w:rPr>
        <w:t>.</w:t>
      </w:r>
      <w:r w:rsidR="006222F4">
        <w:rPr>
          <w:rFonts w:cs="Times New Roman"/>
          <w:kern w:val="2"/>
          <w:szCs w:val="24"/>
          <w14:ligatures w14:val="standardContextual"/>
        </w:rPr>
        <w:t xml:space="preserve"> </w:t>
      </w:r>
      <w:r w:rsidR="003303E5">
        <w:rPr>
          <w:rFonts w:cs="Times New Roman"/>
          <w:kern w:val="2"/>
          <w:szCs w:val="24"/>
          <w14:ligatures w14:val="standardContextual"/>
        </w:rPr>
        <w:t xml:space="preserve">Jay Brown is the Director of Rates and Regulatory planning and is thought to be responsible for Duke’s decision to unilaterally self-correct the charges to consumers under Rider DCI. </w:t>
      </w:r>
      <w:r w:rsidR="00B11CB9">
        <w:rPr>
          <w:rFonts w:cs="Times New Roman"/>
          <w:kern w:val="2"/>
          <w:szCs w:val="24"/>
          <w14:ligatures w14:val="standardContextual"/>
        </w:rPr>
        <w:t>Mr. Brown made the Rider DCI filings with the PUCO that are at issue in this case</w:t>
      </w:r>
      <w:r w:rsidR="00060EA1">
        <w:rPr>
          <w:rFonts w:cs="Times New Roman"/>
          <w:kern w:val="2"/>
          <w:szCs w:val="24"/>
          <w14:ligatures w14:val="standardContextual"/>
        </w:rPr>
        <w:t>.</w:t>
      </w:r>
      <w:r w:rsidR="00214811">
        <w:rPr>
          <w:rFonts w:cs="Times New Roman"/>
          <w:kern w:val="2"/>
          <w:szCs w:val="24"/>
          <w14:ligatures w14:val="standardContextual"/>
        </w:rPr>
        <w:t xml:space="preserve"> </w:t>
      </w:r>
    </w:p>
    <w:p w14:paraId="7094208F" w14:textId="78CB7FC6" w:rsidR="00060EA1" w:rsidRDefault="000C0C9D" w:rsidP="00060EA1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hAnsi="TimesNewRomanPSMT" w:cs="TimesNewRomanPSMT"/>
          <w:szCs w:val="24"/>
          <w14:ligatures w14:val="standardContextual"/>
        </w:rPr>
      </w:pPr>
      <w:r w:rsidRPr="00370806">
        <w:rPr>
          <w:rFonts w:cs="Times New Roman"/>
          <w:kern w:val="2"/>
          <w:szCs w:val="24"/>
          <w14:ligatures w14:val="standardContextual"/>
        </w:rPr>
        <w:t>OCC submitted its Seventh Set of Discovery</w:t>
      </w:r>
      <w:r w:rsidR="000F755F">
        <w:rPr>
          <w:rFonts w:cs="Times New Roman"/>
          <w:kern w:val="2"/>
          <w:szCs w:val="24"/>
          <w14:ligatures w14:val="standardContextual"/>
        </w:rPr>
        <w:t xml:space="preserve"> to Duke</w:t>
      </w:r>
      <w:r w:rsidR="00214811">
        <w:rPr>
          <w:rFonts w:cs="Times New Roman"/>
          <w:kern w:val="2"/>
          <w:szCs w:val="24"/>
          <w14:ligatures w14:val="standardContextual"/>
        </w:rPr>
        <w:t xml:space="preserve"> on May 15, </w:t>
      </w:r>
      <w:r w:rsidRPr="00370806">
        <w:rPr>
          <w:rFonts w:cs="Times New Roman"/>
          <w:kern w:val="2"/>
          <w:szCs w:val="24"/>
          <w14:ligatures w14:val="standardContextual"/>
        </w:rPr>
        <w:t xml:space="preserve">well within the </w:t>
      </w:r>
      <w:proofErr w:type="gramStart"/>
      <w:r w:rsidRPr="00370806">
        <w:rPr>
          <w:rFonts w:cs="Times New Roman"/>
          <w:kern w:val="2"/>
          <w:szCs w:val="24"/>
          <w14:ligatures w14:val="standardContextual"/>
        </w:rPr>
        <w:t>time</w:t>
      </w:r>
      <w:r w:rsidR="00D17450">
        <w:rPr>
          <w:rFonts w:cs="Times New Roman"/>
          <w:kern w:val="2"/>
          <w:szCs w:val="24"/>
          <w14:ligatures w14:val="standardContextual"/>
        </w:rPr>
        <w:t xml:space="preserve"> </w:t>
      </w:r>
      <w:r w:rsidRPr="00370806">
        <w:rPr>
          <w:rFonts w:cs="Times New Roman"/>
          <w:kern w:val="2"/>
          <w:szCs w:val="24"/>
          <w14:ligatures w14:val="standardContextual"/>
        </w:rPr>
        <w:t>period</w:t>
      </w:r>
      <w:proofErr w:type="gramEnd"/>
      <w:r w:rsidRPr="00370806">
        <w:rPr>
          <w:rFonts w:cs="Times New Roman"/>
          <w:kern w:val="2"/>
          <w:szCs w:val="24"/>
          <w14:ligatures w14:val="standardContextual"/>
        </w:rPr>
        <w:t xml:space="preserve"> allowed for discovery</w:t>
      </w:r>
      <w:r w:rsidR="00214811">
        <w:rPr>
          <w:rFonts w:cs="Times New Roman"/>
          <w:kern w:val="2"/>
          <w:szCs w:val="24"/>
          <w14:ligatures w14:val="standardContextual"/>
        </w:rPr>
        <w:t xml:space="preserve">. </w:t>
      </w:r>
      <w:r w:rsidR="003303E5">
        <w:rPr>
          <w:rFonts w:cs="Times New Roman"/>
          <w:kern w:val="2"/>
          <w:szCs w:val="24"/>
          <w14:ligatures w14:val="standardContextual"/>
        </w:rPr>
        <w:t xml:space="preserve">OCC </w:t>
      </w:r>
      <w:r w:rsidR="00214811">
        <w:rPr>
          <w:rFonts w:cs="Times New Roman"/>
          <w:kern w:val="2"/>
          <w:szCs w:val="24"/>
          <w14:ligatures w14:val="standardContextual"/>
        </w:rPr>
        <w:t>sought</w:t>
      </w:r>
      <w:r w:rsidR="006222F4">
        <w:rPr>
          <w:rFonts w:cs="Times New Roman"/>
          <w:kern w:val="2"/>
          <w:szCs w:val="24"/>
          <w14:ligatures w14:val="standardContextual"/>
        </w:rPr>
        <w:t xml:space="preserve"> </w:t>
      </w:r>
      <w:r w:rsidR="00CD2A1E">
        <w:rPr>
          <w:rFonts w:cs="Times New Roman"/>
          <w:kern w:val="2"/>
          <w:szCs w:val="24"/>
          <w14:ligatures w14:val="standardContextual"/>
        </w:rPr>
        <w:t>“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all emails sent by or received by Jay Brown from November 1, 2023</w:t>
      </w:r>
      <w:r w:rsidR="00E039C0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through the present date which include the term </w:t>
      </w:r>
      <w:r w:rsidR="00CD2A1E">
        <w:rPr>
          <w:rFonts w:ascii="TimesNewRomanPSMT" w:hAnsi="TimesNewRomanPSMT" w:cs="TimesNewRomanPSMT"/>
          <w:szCs w:val="24"/>
          <w14:ligatures w14:val="standardContextual"/>
        </w:rPr>
        <w:t>‘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ADIT</w:t>
      </w:r>
      <w:r w:rsidR="00CD2A1E">
        <w:rPr>
          <w:rFonts w:ascii="TimesNewRomanPSMT" w:hAnsi="TimesNewRomanPSMT" w:cs="TimesNewRomanPSMT"/>
          <w:szCs w:val="24"/>
          <w14:ligatures w14:val="standardContextual"/>
        </w:rPr>
        <w:t>’</w:t>
      </w:r>
      <w:r w:rsidR="00A258AA">
        <w:rPr>
          <w:rFonts w:ascii="TimesNewRomanPSMT" w:hAnsi="TimesNewRomanPSMT" w:cs="TimesNewRomanPSMT"/>
          <w:szCs w:val="24"/>
          <w14:ligatures w14:val="standardContextual"/>
        </w:rPr>
        <w:t>.”</w:t>
      </w:r>
    </w:p>
    <w:p w14:paraId="23B893C8" w14:textId="6E20DC22" w:rsidR="00370806" w:rsidRPr="00370806" w:rsidRDefault="000C0C9D" w:rsidP="00060EA1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hAnsi="TimesNewRomanPSMT" w:cs="TimesNewRomanPSMT"/>
          <w:szCs w:val="24"/>
          <w14:ligatures w14:val="standardContextual"/>
        </w:rPr>
      </w:pPr>
      <w:r w:rsidRPr="00370806">
        <w:rPr>
          <w:rFonts w:ascii="TimesNewRomanPSMT" w:hAnsi="TimesNewRomanPSMT" w:cs="TimesNewRomanPSMT"/>
          <w:szCs w:val="24"/>
          <w14:ligatures w14:val="standardContextual"/>
        </w:rPr>
        <w:t>Duke</w:t>
      </w:r>
      <w:r w:rsidR="008B316C">
        <w:rPr>
          <w:rFonts w:ascii="TimesNewRomanPSMT" w:hAnsi="TimesNewRomanPSMT" w:cs="TimesNewRomanPSMT"/>
          <w:szCs w:val="24"/>
          <w14:ligatures w14:val="standardContextual"/>
        </w:rPr>
        <w:t>’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s response to this discovery request was due on </w:t>
      </w:r>
      <w:r w:rsidR="00B71087">
        <w:rPr>
          <w:rFonts w:ascii="TimesNewRomanPSMT" w:hAnsi="TimesNewRomanPSMT" w:cs="TimesNewRomanPSMT"/>
          <w:szCs w:val="24"/>
          <w14:ligatures w14:val="standardContextual"/>
        </w:rPr>
        <w:t>June 4, 2024.</w:t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However, Duke did not respond to OCC</w:t>
      </w:r>
      <w:r w:rsidR="00CD2A1E">
        <w:rPr>
          <w:rFonts w:ascii="TimesNewRomanPSMT" w:hAnsi="TimesNewRomanPSMT" w:cs="TimesNewRomanPSMT"/>
          <w:szCs w:val="24"/>
          <w14:ligatures w14:val="standardContextual"/>
        </w:rPr>
        <w:t>’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s discovery request until June 14, 2024.</w:t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Duke</w:t>
      </w:r>
      <w:r w:rsidR="00CD2A1E">
        <w:rPr>
          <w:rFonts w:ascii="TimesNewRomanPSMT" w:hAnsi="TimesNewRomanPSMT" w:cs="TimesNewRomanPSMT"/>
          <w:szCs w:val="24"/>
          <w14:ligatures w14:val="standardContextual"/>
        </w:rPr>
        <w:t>’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s response included an 18-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lastRenderedPageBreak/>
        <w:t>page privilege log</w:t>
      </w:r>
      <w:r w:rsidR="003303E5">
        <w:rPr>
          <w:rFonts w:ascii="TimesNewRomanPSMT" w:hAnsi="TimesNewRomanPSMT" w:cs="TimesNewRomanPSMT"/>
          <w:szCs w:val="24"/>
          <w14:ligatures w14:val="standardContextual"/>
        </w:rPr>
        <w:t xml:space="preserve"> that itself is supposedly privileged (it</w:t>
      </w:r>
      <w:r w:rsidR="00F41D5B">
        <w:rPr>
          <w:rFonts w:ascii="TimesNewRomanPSMT" w:hAnsi="TimesNewRomanPSMT" w:cs="TimesNewRomanPSMT"/>
          <w:szCs w:val="24"/>
          <w14:ligatures w14:val="standardContextual"/>
        </w:rPr>
        <w:t>’</w:t>
      </w:r>
      <w:r w:rsidR="003303E5">
        <w:rPr>
          <w:rFonts w:ascii="TimesNewRomanPSMT" w:hAnsi="TimesNewRomanPSMT" w:cs="TimesNewRomanPSMT"/>
          <w:szCs w:val="24"/>
          <w14:ligatures w14:val="standardContextual"/>
        </w:rPr>
        <w:t>s not)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.</w:t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Many of the </w:t>
      </w:r>
      <w:r w:rsidR="003C4A43">
        <w:rPr>
          <w:rFonts w:ascii="TimesNewRomanPSMT" w:hAnsi="TimesNewRomanPSMT" w:cs="TimesNewRomanPSMT"/>
          <w:szCs w:val="24"/>
          <w14:ligatures w14:val="standardContextual"/>
        </w:rPr>
        <w:t xml:space="preserve">299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emails in the privilege log do not list an attorney as the sender or recipient.</w:t>
      </w:r>
      <w:r w:rsidR="000F755F">
        <w:rPr>
          <w:rFonts w:ascii="TimesNewRomanPSMT" w:hAnsi="TimesNewRomanPSMT" w:cs="TimesNewRomanPSMT"/>
          <w:szCs w:val="24"/>
          <w14:ligatures w14:val="standardContextual"/>
        </w:rPr>
        <w:t xml:space="preserve"> If these e-mails were not between Duke and its attorneys, then Duke cannot properly withhold them from discovery under the attorney-client </w:t>
      </w:r>
      <w:r w:rsidR="003C4A43">
        <w:rPr>
          <w:rFonts w:ascii="TimesNewRomanPSMT" w:hAnsi="TimesNewRomanPSMT" w:cs="TimesNewRomanPSMT"/>
          <w:szCs w:val="24"/>
          <w14:ligatures w14:val="standardContextual"/>
        </w:rPr>
        <w:t xml:space="preserve">or work product </w:t>
      </w:r>
      <w:r w:rsidR="000F755F">
        <w:rPr>
          <w:rFonts w:ascii="TimesNewRomanPSMT" w:hAnsi="TimesNewRomanPSMT" w:cs="TimesNewRomanPSMT"/>
          <w:szCs w:val="24"/>
          <w14:ligatures w14:val="standardContextual"/>
        </w:rPr>
        <w:t>privilege.</w:t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</w:p>
    <w:p w14:paraId="7B0A19DF" w14:textId="2EE5B2A4" w:rsidR="00370806" w:rsidRPr="00370806" w:rsidRDefault="000C0C9D" w:rsidP="00370806">
      <w:pPr>
        <w:spacing w:after="0" w:line="480" w:lineRule="auto"/>
        <w:ind w:firstLine="720"/>
        <w:rPr>
          <w:rFonts w:ascii="TimesNewRomanPSMT" w:hAnsi="TimesNewRomanPSMT" w:cs="TimesNewRomanPSMT"/>
          <w:szCs w:val="24"/>
          <w14:ligatures w14:val="standardContextual"/>
        </w:rPr>
      </w:pPr>
      <w:r w:rsidRPr="00370806">
        <w:rPr>
          <w:rFonts w:ascii="TimesNewRomanPSMT" w:hAnsi="TimesNewRomanPSMT" w:cs="TimesNewRomanPSMT"/>
          <w:szCs w:val="24"/>
          <w14:ligatures w14:val="standardContextual"/>
        </w:rPr>
        <w:t>The emails</w:t>
      </w:r>
      <w:r w:rsidR="003C4A43">
        <w:rPr>
          <w:rFonts w:ascii="TimesNewRomanPSMT" w:hAnsi="TimesNewRomanPSMT" w:cs="TimesNewRomanPSMT"/>
          <w:szCs w:val="24"/>
          <w14:ligatures w14:val="standardContextual"/>
        </w:rPr>
        <w:t xml:space="preserve"> and documents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 sought by OCC are highly relevant.</w:t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Mr. Brown is Duke</w:t>
      </w:r>
      <w:r w:rsidR="00CD2A1E">
        <w:rPr>
          <w:rFonts w:ascii="TimesNewRomanPSMT" w:hAnsi="TimesNewRomanPSMT" w:cs="TimesNewRomanPSMT"/>
          <w:szCs w:val="24"/>
          <w14:ligatures w14:val="standardContextual"/>
        </w:rPr>
        <w:t>’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s Director of Rates and Regulatory Planning.</w:t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It is</w:t>
      </w:r>
      <w:r w:rsidR="006222F4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="001B4280">
        <w:rPr>
          <w:rFonts w:ascii="TimesNewRomanPSMT" w:hAnsi="TimesNewRomanPSMT" w:cs="TimesNewRomanPSMT"/>
          <w:szCs w:val="24"/>
          <w14:ligatures w14:val="standardContextual"/>
        </w:rPr>
        <w:t>thought</w:t>
      </w:r>
      <w:r w:rsidR="006222F4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that these emails</w:t>
      </w:r>
      <w:r w:rsidR="00F41D5B">
        <w:rPr>
          <w:rFonts w:ascii="TimesNewRomanPSMT" w:hAnsi="TimesNewRomanPSMT" w:cs="TimesNewRomanPSMT"/>
          <w:szCs w:val="24"/>
          <w14:ligatures w14:val="standardContextual"/>
        </w:rPr>
        <w:t xml:space="preserve"> and documents</w:t>
      </w:r>
      <w:r w:rsidR="006222F4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="00F41D5B">
        <w:rPr>
          <w:rFonts w:ascii="TimesNewRomanPSMT" w:hAnsi="TimesNewRomanPSMT" w:cs="TimesNewRomanPSMT"/>
          <w:szCs w:val="24"/>
          <w14:ligatures w14:val="standardContextual"/>
        </w:rPr>
        <w:t>include information “</w:t>
      </w:r>
      <w:r w:rsidR="00F41D5B" w:rsidRPr="00F41D5B">
        <w:rPr>
          <w:rFonts w:ascii="TimesNewRomanPSMT" w:hAnsi="TimesNewRomanPSMT" w:cs="TimesNewRomanPSMT"/>
          <w:szCs w:val="24"/>
          <w14:ligatures w14:val="standardContextual"/>
        </w:rPr>
        <w:t>relevant to the subject matter of the proceeding</w:t>
      </w:r>
      <w:r w:rsidR="00F41D5B">
        <w:rPr>
          <w:rFonts w:ascii="TimesNewRomanPSMT" w:hAnsi="TimesNewRomanPSMT" w:cs="TimesNewRomanPSMT"/>
          <w:szCs w:val="24"/>
          <w14:ligatures w14:val="standardContextual"/>
        </w:rPr>
        <w:t xml:space="preserve"> [or] </w:t>
      </w:r>
      <w:r w:rsidR="00F41D5B" w:rsidRPr="00F41D5B">
        <w:rPr>
          <w:rFonts w:ascii="TimesNewRomanPSMT" w:hAnsi="TimesNewRomanPSMT" w:cs="TimesNewRomanPSMT"/>
          <w:szCs w:val="24"/>
          <w14:ligatures w14:val="standardContextual"/>
        </w:rPr>
        <w:t>reasonably calculated to lead to the discovery of admissible evidence</w:t>
      </w:r>
      <w:r w:rsidR="008B316C">
        <w:rPr>
          <w:rFonts w:ascii="TimesNewRomanPSMT" w:hAnsi="TimesNewRomanPSMT" w:cs="TimesNewRomanPSMT"/>
          <w:szCs w:val="24"/>
          <w14:ligatures w14:val="standardContextual"/>
        </w:rPr>
        <w:t>.</w:t>
      </w:r>
      <w:r w:rsidR="00F41D5B">
        <w:rPr>
          <w:rFonts w:ascii="TimesNewRomanPSMT" w:hAnsi="TimesNewRomanPSMT" w:cs="TimesNewRomanPSMT"/>
          <w:szCs w:val="24"/>
          <w14:ligatures w14:val="standardContextual"/>
        </w:rPr>
        <w:t>”</w:t>
      </w:r>
      <w:r w:rsidR="001B4280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>
        <w:rPr>
          <w:rStyle w:val="FootnoteReference"/>
          <w:rFonts w:ascii="TimesNewRomanPSMT" w:hAnsi="TimesNewRomanPSMT" w:cs="TimesNewRomanPSMT"/>
          <w:szCs w:val="24"/>
          <w14:ligatures w14:val="standardContextual"/>
        </w:rPr>
        <w:footnoteReference w:id="4"/>
      </w:r>
      <w:r w:rsidR="006222F4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="001B4280">
        <w:rPr>
          <w:rFonts w:ascii="TimesNewRomanPSMT" w:hAnsi="TimesNewRomanPSMT" w:cs="TimesNewRomanPSMT"/>
          <w:szCs w:val="24"/>
          <w14:ligatures w14:val="standardContextual"/>
        </w:rPr>
        <w:t xml:space="preserve">We anticipate that the emails may lead to </w:t>
      </w:r>
      <w:r w:rsidR="00060EA1">
        <w:rPr>
          <w:rFonts w:ascii="TimesNewRomanPSMT" w:hAnsi="TimesNewRomanPSMT" w:cs="TimesNewRomanPSMT"/>
          <w:szCs w:val="24"/>
          <w14:ligatures w14:val="standardContextual"/>
        </w:rPr>
        <w:t>discovering</w:t>
      </w:r>
      <w:r w:rsidR="001B4280">
        <w:rPr>
          <w:rFonts w:ascii="TimesNewRomanPSMT" w:hAnsi="TimesNewRomanPSMT" w:cs="TimesNewRomanPSMT"/>
          <w:szCs w:val="24"/>
          <w14:ligatures w14:val="standardContextual"/>
        </w:rPr>
        <w:t xml:space="preserve"> information about</w:t>
      </w:r>
      <w:r w:rsidR="006222F4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the $14 million error in this last rate case filing that </w:t>
      </w:r>
      <w:r w:rsidR="001B4280">
        <w:rPr>
          <w:rFonts w:ascii="TimesNewRomanPSMT" w:hAnsi="TimesNewRomanPSMT" w:cs="TimesNewRomanPSMT"/>
          <w:szCs w:val="24"/>
          <w14:ligatures w14:val="standardContextual"/>
        </w:rPr>
        <w:t>Duke</w:t>
      </w:r>
      <w:r w:rsidR="006222F4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now seeks to </w:t>
      </w:r>
      <w:r w:rsidR="000F755F">
        <w:rPr>
          <w:rFonts w:ascii="TimesNewRomanPSMT" w:hAnsi="TimesNewRomanPSMT" w:cs="TimesNewRomanPSMT"/>
          <w:szCs w:val="24"/>
          <w14:ligatures w14:val="standardContextual"/>
        </w:rPr>
        <w:t>charge consumers for through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 its Rider DCI update filing.</w:t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It is noteworthy that Duke did not refuse to produce the emails on relevancy grounds.</w:t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Instead, </w:t>
      </w:r>
      <w:proofErr w:type="gramStart"/>
      <w:r w:rsidRPr="00370806">
        <w:rPr>
          <w:rFonts w:ascii="TimesNewRomanPSMT" w:hAnsi="TimesNewRomanPSMT" w:cs="TimesNewRomanPSMT"/>
          <w:szCs w:val="24"/>
          <w14:ligatures w14:val="standardContextual"/>
        </w:rPr>
        <w:t>Duke</w:t>
      </w:r>
      <w:proofErr w:type="gramEnd"/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 withheld the documents from discovery on privilege grounds.</w:t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</w:p>
    <w:p w14:paraId="22DDE6CE" w14:textId="11D3EEDE" w:rsidR="00274917" w:rsidRPr="00370806" w:rsidRDefault="000C0C9D" w:rsidP="00274917">
      <w:pPr>
        <w:spacing w:after="0" w:line="480" w:lineRule="auto"/>
        <w:ind w:firstLine="720"/>
        <w:rPr>
          <w:rFonts w:cs="Times New Roman"/>
          <w:kern w:val="2"/>
          <w:szCs w:val="24"/>
          <w14:ligatures w14:val="standardContextual"/>
        </w:rPr>
      </w:pP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When a party withholds documents from discovery on privilege grounds, </w:t>
      </w:r>
      <w:r w:rsidR="001B4280">
        <w:rPr>
          <w:rFonts w:ascii="TimesNewRomanPSMT" w:hAnsi="TimesNewRomanPSMT" w:cs="TimesNewRomanPSMT"/>
          <w:szCs w:val="24"/>
          <w14:ligatures w14:val="standardContextual"/>
        </w:rPr>
        <w:t xml:space="preserve">the Ohio Supreme Court’s holding </w:t>
      </w:r>
      <w:r w:rsidR="001B4280" w:rsidRPr="00060EA1">
        <w:rPr>
          <w:rFonts w:ascii="TimesNewRomanPSMT" w:hAnsi="TimesNewRomanPSMT" w:cs="TimesNewRomanPSMT"/>
          <w:szCs w:val="24"/>
          <w14:ligatures w14:val="standardContextual"/>
        </w:rPr>
        <w:t>in</w:t>
      </w:r>
      <w:r w:rsidR="006222F4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hyperlink r:id="rId16" w:history="1">
        <w:proofErr w:type="spellStart"/>
        <w:r w:rsidR="00F41D5B" w:rsidRPr="00BA7641">
          <w:rPr>
            <w:rStyle w:val="Hyperlink"/>
            <w:rFonts w:cs="Times New Roman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>Peyko</w:t>
        </w:r>
        <w:proofErr w:type="spellEnd"/>
        <w:r w:rsidR="00F41D5B" w:rsidRPr="00BA7641">
          <w:rPr>
            <w:rStyle w:val="Hyperlink"/>
            <w:rFonts w:cs="Times New Roman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 xml:space="preserve"> v. Frederick</w:t>
        </w:r>
        <w:r>
          <w:rPr>
            <w:rStyle w:val="FootnoteReference"/>
            <w:rFonts w:cs="Times New Roman"/>
            <w:bdr w:val="none" w:sz="0" w:space="0" w:color="auto" w:frame="1"/>
            <w:shd w:val="clear" w:color="auto" w:fill="FFFFFF"/>
          </w:rPr>
          <w:footnoteReference w:id="5"/>
        </w:r>
        <w:r w:rsidR="00647922">
          <w:rPr>
            <w:rStyle w:val="Hyperlink"/>
            <w:rFonts w:cs="Times New Roman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F41D5B" w:rsidRPr="00060EA1">
          <w:rPr>
            <w:rStyle w:val="Hyperlink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>requires tha</w:t>
        </w:r>
        <w:r w:rsidR="00F41D5B" w:rsidRPr="00DD24C8">
          <w:rPr>
            <w:rStyle w:val="Hyperlink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>t</w:t>
        </w:r>
        <w:r w:rsidR="00F41D5B" w:rsidRPr="00DD24C8">
          <w:rPr>
            <w:rStyle w:val="Hyperlink"/>
            <w:rFonts w:cs="Times New Roman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</w:hyperlink>
      <w:r w:rsidR="00060EA1">
        <w:rPr>
          <w:rFonts w:ascii="TimesNewRomanPSMT" w:hAnsi="TimesNewRomanPSMT" w:cs="TimesNewRomanPSMT"/>
          <w:szCs w:val="24"/>
          <w14:ligatures w14:val="standardContextual"/>
        </w:rPr>
        <w:t>an</w:t>
      </w:r>
      <w:r w:rsidR="00060EA1" w:rsidRPr="00370806">
        <w:rPr>
          <w:rFonts w:ascii="TimesNewRomanPSMT" w:hAnsi="TimesNewRomanPSMT" w:cs="TimesNewRomanPSMT"/>
          <w:i/>
          <w:iCs/>
          <w:szCs w:val="24"/>
          <w14:ligatures w14:val="standardContextual"/>
        </w:rPr>
        <w:t xml:space="preserve"> in</w:t>
      </w:r>
      <w:r w:rsidRPr="00370806">
        <w:rPr>
          <w:rFonts w:ascii="TimesNewRomanPSMT" w:hAnsi="TimesNewRomanPSMT" w:cs="TimesNewRomanPSMT"/>
          <w:i/>
          <w:iCs/>
          <w:szCs w:val="24"/>
          <w14:ligatures w14:val="standardContextual"/>
        </w:rPr>
        <w:t xml:space="preserve"> camera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 review </w:t>
      </w:r>
      <w:r w:rsidR="00F41D5B">
        <w:rPr>
          <w:rFonts w:ascii="TimesNewRomanPSMT" w:hAnsi="TimesNewRomanPSMT" w:cs="TimesNewRomanPSMT"/>
          <w:szCs w:val="24"/>
          <w14:ligatures w14:val="standardContextual"/>
        </w:rPr>
        <w:t xml:space="preserve">must be held </w:t>
      </w:r>
      <w:r w:rsidR="00EA765A">
        <w:rPr>
          <w:rFonts w:ascii="TimesNewRomanPSMT" w:hAnsi="TimesNewRomanPSMT" w:cs="TimesNewRomanPSMT"/>
          <w:szCs w:val="24"/>
          <w14:ligatures w14:val="standardContextual"/>
        </w:rPr>
        <w:t>by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 the Attorney Examiners to determine the validity of the privilege claims.</w:t>
      </w:r>
      <w:r>
        <w:rPr>
          <w:rFonts w:ascii="TimesNewRomanPSMT" w:hAnsi="TimesNewRomanPSMT" w:cs="TimesNewRomanPSMT"/>
          <w:szCs w:val="24"/>
          <w:vertAlign w:val="superscript"/>
          <w14:ligatures w14:val="standardContextual"/>
        </w:rPr>
        <w:footnoteReference w:id="6"/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="00D807B5">
        <w:rPr>
          <w:rFonts w:ascii="TimesNewRomanPSMT" w:hAnsi="TimesNewRomanPSMT" w:cs="TimesNewRomanPSMT"/>
          <w:szCs w:val="24"/>
          <w14:ligatures w14:val="standardContextual"/>
        </w:rPr>
        <w:t>This is also required under PUCO precedent.</w:t>
      </w:r>
      <w:r>
        <w:rPr>
          <w:rStyle w:val="FootnoteReference"/>
          <w:rFonts w:ascii="TimesNewRomanPSMT" w:hAnsi="TimesNewRomanPSMT" w:cs="TimesNewRomanPSMT"/>
          <w:szCs w:val="24"/>
          <w14:ligatures w14:val="standardContextual"/>
        </w:rPr>
        <w:footnoteReference w:id="7"/>
      </w:r>
      <w:r w:rsidR="006222F4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An </w:t>
      </w:r>
      <w:r w:rsidRPr="00370806">
        <w:rPr>
          <w:rFonts w:ascii="TimesNewRomanPSMT" w:hAnsi="TimesNewRomanPSMT" w:cs="TimesNewRomanPSMT"/>
          <w:i/>
          <w:iCs/>
          <w:szCs w:val="24"/>
          <w14:ligatures w14:val="standardContextual"/>
        </w:rPr>
        <w:t xml:space="preserve">in camera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review is important in this case because many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(if not most) of the emails in the privilege log do not even list an attorney as the sender or recipient</w:t>
      </w:r>
      <w:r w:rsidR="001B4280">
        <w:rPr>
          <w:rFonts w:ascii="TimesNewRomanPSMT" w:hAnsi="TimesNewRomanPSMT" w:cs="TimesNewRomanPSMT"/>
          <w:szCs w:val="24"/>
          <w14:ligatures w14:val="standardContextual"/>
        </w:rPr>
        <w:t>, calling into question Duke’s privilege claims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.</w:t>
      </w:r>
      <w:r w:rsidR="008D4CF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OCC requests an expedited ruling on this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lastRenderedPageBreak/>
        <w:t>Motion per O.A.C. 4901-1-12(C).</w:t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The need for an expedited ruling arises from the importance of the requested discovery to OCC</w:t>
      </w:r>
      <w:r w:rsidR="00CD2A1E">
        <w:rPr>
          <w:rFonts w:ascii="TimesNewRomanPSMT" w:hAnsi="TimesNewRomanPSMT" w:cs="TimesNewRomanPSMT"/>
          <w:szCs w:val="24"/>
          <w14:ligatures w14:val="standardContextual"/>
        </w:rPr>
        <w:t>’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s case, the impending deadline for filing testimony and the looming hearing date.</w:t>
      </w:r>
      <w:r w:rsidR="000E5C05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proofErr w:type="gramStart"/>
      <w:r w:rsidRPr="00370806">
        <w:rPr>
          <w:rFonts w:ascii="TimesNewRomanPSMT" w:hAnsi="TimesNewRomanPSMT" w:cs="TimesNewRomanPSMT"/>
          <w:szCs w:val="24"/>
          <w14:ligatures w14:val="standardContextual"/>
        </w:rPr>
        <w:t>OCC</w:t>
      </w:r>
      <w:proofErr w:type="gramEnd"/>
      <w:r w:rsidRPr="00370806">
        <w:rPr>
          <w:rFonts w:ascii="TimesNewRomanPSMT" w:hAnsi="TimesNewRomanPSMT" w:cs="TimesNewRomanPSMT"/>
          <w:szCs w:val="24"/>
          <w14:ligatures w14:val="standardContextual"/>
        </w:rPr>
        <w:t xml:space="preserve"> is unable to certify under O.A.C. 4901-1-12(C) that other parties do not object to </w:t>
      </w:r>
      <w:r w:rsidR="003653EA">
        <w:rPr>
          <w:rFonts w:ascii="TimesNewRomanPSMT" w:hAnsi="TimesNewRomanPSMT" w:cs="TimesNewRomanPSMT"/>
          <w:szCs w:val="24"/>
          <w14:ligatures w14:val="standardContextual"/>
        </w:rPr>
        <w:t xml:space="preserve">this motion or to 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an ex</w:t>
      </w:r>
      <w:r w:rsidRPr="00370806">
        <w:rPr>
          <w:rFonts w:ascii="TimesNewRomanPSMT" w:hAnsi="TimesNewRomanPSMT" w:cs="TimesNewRomanPSMT"/>
          <w:szCs w:val="24"/>
          <w14:ligatures w14:val="standardContextual"/>
        </w:rPr>
        <w:t>pedited ruling.</w:t>
      </w:r>
      <w:r w:rsidR="006222F4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>
        <w:rPr>
          <w:rFonts w:eastAsia="Times New Roman"/>
        </w:rPr>
        <w:t xml:space="preserve">If the </w:t>
      </w:r>
      <w:proofErr w:type="gramStart"/>
      <w:r w:rsidRPr="002C43E3">
        <w:rPr>
          <w:rFonts w:eastAsia="Times New Roman"/>
          <w:i/>
          <w:iCs/>
        </w:rPr>
        <w:t>in</w:t>
      </w:r>
      <w:r>
        <w:rPr>
          <w:rFonts w:eastAsia="Times New Roman"/>
        </w:rPr>
        <w:t xml:space="preserve"> </w:t>
      </w:r>
      <w:r w:rsidRPr="002C43E3">
        <w:rPr>
          <w:rFonts w:eastAsia="Times New Roman"/>
          <w:i/>
          <w:iCs/>
        </w:rPr>
        <w:t>camera</w:t>
      </w:r>
      <w:proofErr w:type="gramEnd"/>
      <w:r>
        <w:rPr>
          <w:rFonts w:eastAsia="Times New Roman"/>
        </w:rPr>
        <w:t xml:space="preserve"> review does not happen expeditiously, then OCC reserves the right to file supplemental testimony to address documents and emails </w:t>
      </w:r>
      <w:r w:rsidR="001B4280">
        <w:rPr>
          <w:rFonts w:eastAsia="Times New Roman"/>
        </w:rPr>
        <w:t xml:space="preserve">ordered to be </w:t>
      </w:r>
      <w:r>
        <w:rPr>
          <w:rFonts w:eastAsia="Times New Roman"/>
        </w:rPr>
        <w:t xml:space="preserve">produced </w:t>
      </w:r>
      <w:r w:rsidR="001B4280">
        <w:rPr>
          <w:rFonts w:eastAsia="Times New Roman"/>
        </w:rPr>
        <w:t xml:space="preserve">as a result of the in camera review. </w:t>
      </w:r>
    </w:p>
    <w:p w14:paraId="49ECA503" w14:textId="679DF4CD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Respectfully submitted,</w:t>
      </w:r>
    </w:p>
    <w:p w14:paraId="1683450D" w14:textId="77777777" w:rsidR="00D447DA" w:rsidRPr="00563AF6" w:rsidRDefault="00D447DA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</w:p>
    <w:p w14:paraId="44FCB8D9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Maureen R. Willis (0020847)</w:t>
      </w:r>
    </w:p>
    <w:p w14:paraId="2E4C2E5B" w14:textId="528EF383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Ohio Consumers</w:t>
      </w:r>
      <w:r w:rsidR="00CD2A1E">
        <w:rPr>
          <w:rFonts w:cs="Times New Roman"/>
          <w:szCs w:val="24"/>
        </w:rPr>
        <w:t>’</w:t>
      </w:r>
      <w:r w:rsidRPr="00563AF6">
        <w:rPr>
          <w:rFonts w:cs="Times New Roman"/>
          <w:szCs w:val="24"/>
        </w:rPr>
        <w:t xml:space="preserve"> Counsel</w:t>
      </w:r>
    </w:p>
    <w:p w14:paraId="3B9B2483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i/>
          <w:iCs/>
          <w:szCs w:val="24"/>
        </w:rPr>
      </w:pPr>
      <w:r w:rsidRPr="00563AF6">
        <w:rPr>
          <w:rFonts w:cs="Times New Roman"/>
          <w:i/>
          <w:iCs/>
          <w:szCs w:val="24"/>
        </w:rPr>
        <w:t xml:space="preserve"> </w:t>
      </w:r>
    </w:p>
    <w:p w14:paraId="49D48C0F" w14:textId="3D8E2250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i/>
          <w:iCs/>
          <w:szCs w:val="24"/>
        </w:rPr>
      </w:pPr>
      <w:r w:rsidRPr="00563AF6">
        <w:rPr>
          <w:rFonts w:cs="Times New Roman"/>
          <w:szCs w:val="24"/>
          <w:u w:val="single"/>
        </w:rPr>
        <w:t xml:space="preserve">/s/ </w:t>
      </w:r>
      <w:r w:rsidRPr="00563AF6">
        <w:rPr>
          <w:rFonts w:cs="Times New Roman"/>
          <w:i/>
          <w:iCs/>
          <w:szCs w:val="24"/>
          <w:u w:val="single"/>
        </w:rPr>
        <w:t>John Finnigan</w:t>
      </w:r>
      <w:r w:rsidR="00BA7641">
        <w:rPr>
          <w:rFonts w:cs="Times New Roman"/>
          <w:i/>
          <w:iCs/>
          <w:szCs w:val="24"/>
          <w:u w:val="single"/>
        </w:rPr>
        <w:tab/>
      </w:r>
      <w:r w:rsidR="00BA7641">
        <w:rPr>
          <w:rFonts w:cs="Times New Roman"/>
          <w:i/>
          <w:iCs/>
          <w:szCs w:val="24"/>
          <w:u w:val="single"/>
        </w:rPr>
        <w:tab/>
      </w:r>
    </w:p>
    <w:p w14:paraId="7A0DE673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John Finnigan (0018689)</w:t>
      </w:r>
    </w:p>
    <w:p w14:paraId="024EC32A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Counsel of Record</w:t>
      </w:r>
    </w:p>
    <w:p w14:paraId="22A1DFA0" w14:textId="70FDC590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Assistant Consumers</w:t>
      </w:r>
      <w:r w:rsidR="00CD2A1E">
        <w:rPr>
          <w:rFonts w:cs="Times New Roman"/>
          <w:szCs w:val="24"/>
        </w:rPr>
        <w:t>’</w:t>
      </w:r>
      <w:r w:rsidRPr="00563AF6">
        <w:rPr>
          <w:rFonts w:cs="Times New Roman"/>
          <w:szCs w:val="24"/>
        </w:rPr>
        <w:t xml:space="preserve"> Counsel</w:t>
      </w:r>
    </w:p>
    <w:p w14:paraId="370CCDE7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Thomas Zuehlke</w:t>
      </w:r>
    </w:p>
    <w:p w14:paraId="0143DA0F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Certified Legal Intern</w:t>
      </w:r>
    </w:p>
    <w:p w14:paraId="23111B56" w14:textId="77777777" w:rsidR="00D447DA" w:rsidRPr="00563AF6" w:rsidRDefault="00D447DA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</w:p>
    <w:p w14:paraId="62527A53" w14:textId="2125FB12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b/>
          <w:bCs/>
          <w:szCs w:val="24"/>
        </w:rPr>
      </w:pPr>
      <w:r w:rsidRPr="00563AF6">
        <w:rPr>
          <w:rFonts w:cs="Times New Roman"/>
          <w:b/>
          <w:bCs/>
          <w:szCs w:val="24"/>
        </w:rPr>
        <w:t>Office of the Ohio Consumers</w:t>
      </w:r>
      <w:r w:rsidR="00CD2A1E">
        <w:rPr>
          <w:rFonts w:cs="Times New Roman"/>
          <w:b/>
          <w:bCs/>
          <w:szCs w:val="24"/>
        </w:rPr>
        <w:t>’</w:t>
      </w:r>
      <w:r w:rsidRPr="00563AF6">
        <w:rPr>
          <w:rFonts w:cs="Times New Roman"/>
          <w:b/>
          <w:bCs/>
          <w:szCs w:val="24"/>
        </w:rPr>
        <w:t xml:space="preserve"> Counsel</w:t>
      </w:r>
    </w:p>
    <w:p w14:paraId="112B9D75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65 East State Street, Suite 700</w:t>
      </w:r>
    </w:p>
    <w:p w14:paraId="51443E76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Columbus, Ohio 43215</w:t>
      </w:r>
    </w:p>
    <w:p w14:paraId="421D0E1B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Telephone [Finnigan]: (614) 466-9585</w:t>
      </w:r>
    </w:p>
    <w:p w14:paraId="6FB30875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Telephone [Zuehlke]: (614) 466-9569</w:t>
      </w:r>
    </w:p>
    <w:p w14:paraId="42586ADD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color w:val="0000FF"/>
          <w:szCs w:val="24"/>
        </w:rPr>
      </w:pPr>
      <w:hyperlink r:id="rId17" w:history="1">
        <w:r w:rsidR="00B44E69" w:rsidRPr="00563AF6">
          <w:rPr>
            <w:rStyle w:val="Hyperlink"/>
            <w:rFonts w:cs="Times New Roman"/>
            <w:szCs w:val="24"/>
          </w:rPr>
          <w:t>john.finnigan@occ.ohio.gov</w:t>
        </w:r>
      </w:hyperlink>
    </w:p>
    <w:p w14:paraId="55086B96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color w:val="0000FF"/>
          <w:szCs w:val="24"/>
        </w:rPr>
      </w:pPr>
      <w:hyperlink r:id="rId18" w:history="1">
        <w:r w:rsidR="00B44E69" w:rsidRPr="00563AF6">
          <w:rPr>
            <w:rStyle w:val="Hyperlink"/>
            <w:rFonts w:cs="Times New Roman"/>
            <w:szCs w:val="24"/>
          </w:rPr>
          <w:t>thomas.zuehlke@occ.ohio.gov</w:t>
        </w:r>
      </w:hyperlink>
    </w:p>
    <w:p w14:paraId="3F144863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23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(willing to accept service by e-mail)</w:t>
      </w:r>
    </w:p>
    <w:p w14:paraId="0829D137" w14:textId="77777777" w:rsidR="00D447DA" w:rsidRPr="00563AF6" w:rsidRDefault="00D447DA" w:rsidP="00D447DA">
      <w:pPr>
        <w:tabs>
          <w:tab w:val="left" w:pos="-720"/>
        </w:tabs>
        <w:suppressAutoHyphens/>
        <w:spacing w:after="0" w:line="240" w:lineRule="auto"/>
        <w:ind w:firstLine="720"/>
        <w:rPr>
          <w:rFonts w:cs="Times New Roman"/>
          <w:szCs w:val="24"/>
        </w:rPr>
      </w:pPr>
    </w:p>
    <w:p w14:paraId="474BD6E3" w14:textId="77777777" w:rsidR="00D447DA" w:rsidRPr="00563AF6" w:rsidRDefault="00D447DA" w:rsidP="00D447DA">
      <w:pPr>
        <w:tabs>
          <w:tab w:val="left" w:pos="3600"/>
        </w:tabs>
        <w:spacing w:after="0" w:line="240" w:lineRule="auto"/>
        <w:rPr>
          <w:rFonts w:cs="Times New Roman"/>
          <w:szCs w:val="24"/>
        </w:rPr>
      </w:pPr>
    </w:p>
    <w:p w14:paraId="437FAD3D" w14:textId="77777777" w:rsidR="00D447DA" w:rsidRPr="00563AF6" w:rsidRDefault="00D447DA" w:rsidP="00D447DA">
      <w:pPr>
        <w:tabs>
          <w:tab w:val="left" w:pos="3600"/>
        </w:tabs>
        <w:spacing w:after="0" w:line="240" w:lineRule="auto"/>
        <w:rPr>
          <w:rFonts w:cs="Times New Roman"/>
          <w:szCs w:val="24"/>
        </w:rPr>
      </w:pPr>
    </w:p>
    <w:p w14:paraId="1425D0C8" w14:textId="77777777" w:rsidR="00D447DA" w:rsidRPr="00563AF6" w:rsidRDefault="000C0C9D" w:rsidP="00D447DA">
      <w:pPr>
        <w:spacing w:after="0" w:line="240" w:lineRule="auto"/>
        <w:rPr>
          <w:rFonts w:cs="Times New Roman"/>
          <w:b/>
          <w:szCs w:val="24"/>
          <w:u w:val="single"/>
        </w:rPr>
      </w:pPr>
      <w:r w:rsidRPr="00563AF6">
        <w:rPr>
          <w:rFonts w:cs="Times New Roman"/>
          <w:b/>
          <w:szCs w:val="24"/>
          <w:u w:val="single"/>
        </w:rPr>
        <w:br w:type="page"/>
      </w:r>
    </w:p>
    <w:p w14:paraId="09C75769" w14:textId="77777777" w:rsidR="00D447DA" w:rsidRPr="00563AF6" w:rsidRDefault="000C0C9D" w:rsidP="00D447DA">
      <w:pPr>
        <w:spacing w:after="0" w:line="480" w:lineRule="auto"/>
        <w:ind w:left="720" w:hanging="720"/>
        <w:jc w:val="center"/>
        <w:rPr>
          <w:rFonts w:cs="Times New Roman"/>
          <w:b/>
          <w:szCs w:val="24"/>
          <w:u w:val="single"/>
        </w:rPr>
      </w:pPr>
      <w:r w:rsidRPr="00563AF6">
        <w:rPr>
          <w:rFonts w:cs="Times New Roman"/>
          <w:b/>
          <w:szCs w:val="24"/>
          <w:u w:val="single"/>
        </w:rPr>
        <w:lastRenderedPageBreak/>
        <w:t>CERTIFICATE OF SERVICE</w:t>
      </w:r>
    </w:p>
    <w:p w14:paraId="3F7106F3" w14:textId="596AC0F4" w:rsidR="00D447DA" w:rsidRPr="00563AF6" w:rsidRDefault="000C0C9D" w:rsidP="00D447DA">
      <w:pPr>
        <w:spacing w:after="0" w:line="480" w:lineRule="auto"/>
        <w:ind w:firstLine="720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 xml:space="preserve">I hereby certify that a copy of the </w:t>
      </w:r>
      <w:r w:rsidR="003F0FCC">
        <w:rPr>
          <w:rFonts w:cs="Times New Roman"/>
          <w:szCs w:val="24"/>
        </w:rPr>
        <w:t>Motion and Memorandum in Support</w:t>
      </w:r>
      <w:r w:rsidRPr="00563AF6">
        <w:rPr>
          <w:rFonts w:cs="Times New Roman"/>
          <w:szCs w:val="24"/>
        </w:rPr>
        <w:t xml:space="preserve"> has been served electronically upon those persons listed below this </w:t>
      </w:r>
      <w:r w:rsidR="008D4CF5">
        <w:rPr>
          <w:rFonts w:cs="Times New Roman"/>
          <w:szCs w:val="24"/>
        </w:rPr>
        <w:t>18</w:t>
      </w:r>
      <w:r w:rsidR="008D4CF5" w:rsidRPr="008D4CF5">
        <w:rPr>
          <w:rFonts w:cs="Times New Roman"/>
          <w:szCs w:val="24"/>
          <w:vertAlign w:val="superscript"/>
        </w:rPr>
        <w:t>th</w:t>
      </w:r>
      <w:r w:rsidR="008D4CF5">
        <w:rPr>
          <w:rFonts w:cs="Times New Roman"/>
          <w:szCs w:val="24"/>
        </w:rPr>
        <w:t xml:space="preserve"> </w:t>
      </w:r>
      <w:r w:rsidRPr="00563AF6">
        <w:rPr>
          <w:rFonts w:cs="Times New Roman"/>
          <w:szCs w:val="24"/>
        </w:rPr>
        <w:t xml:space="preserve">day of </w:t>
      </w:r>
      <w:r>
        <w:rPr>
          <w:rFonts w:cs="Times New Roman"/>
          <w:szCs w:val="24"/>
        </w:rPr>
        <w:t>June,</w:t>
      </w:r>
      <w:r w:rsidRPr="00563AF6">
        <w:rPr>
          <w:rFonts w:cs="Times New Roman"/>
          <w:szCs w:val="24"/>
        </w:rPr>
        <w:t xml:space="preserve"> 2024.</w:t>
      </w:r>
    </w:p>
    <w:p w14:paraId="6E246DC5" w14:textId="1E76BDED" w:rsidR="00D447DA" w:rsidRPr="00563AF6" w:rsidRDefault="000C0C9D" w:rsidP="00D447DA">
      <w:pPr>
        <w:tabs>
          <w:tab w:val="left" w:pos="4320"/>
        </w:tabs>
        <w:spacing w:after="0" w:line="240" w:lineRule="auto"/>
        <w:ind w:left="4320"/>
        <w:rPr>
          <w:rFonts w:cs="Times New Roman"/>
          <w:i/>
          <w:iCs/>
          <w:szCs w:val="24"/>
          <w:u w:val="single"/>
        </w:rPr>
      </w:pPr>
      <w:r w:rsidRPr="00563AF6">
        <w:rPr>
          <w:rFonts w:cs="Times New Roman"/>
          <w:i/>
          <w:iCs/>
          <w:szCs w:val="24"/>
          <w:u w:val="single"/>
        </w:rPr>
        <w:t>/s/ John Finnigan</w:t>
      </w:r>
      <w:r w:rsidR="00BA7641">
        <w:rPr>
          <w:rFonts w:cs="Times New Roman"/>
          <w:i/>
          <w:iCs/>
          <w:szCs w:val="24"/>
          <w:u w:val="single"/>
        </w:rPr>
        <w:tab/>
      </w:r>
      <w:r w:rsidR="00BA7641">
        <w:rPr>
          <w:rFonts w:cs="Times New Roman"/>
          <w:i/>
          <w:iCs/>
          <w:szCs w:val="24"/>
          <w:u w:val="single"/>
        </w:rPr>
        <w:tab/>
      </w:r>
    </w:p>
    <w:p w14:paraId="06940213" w14:textId="77777777" w:rsidR="00D447DA" w:rsidRPr="00563AF6" w:rsidRDefault="000C0C9D" w:rsidP="00D447DA">
      <w:pPr>
        <w:tabs>
          <w:tab w:val="left" w:pos="2776"/>
        </w:tabs>
        <w:spacing w:after="0" w:line="240" w:lineRule="auto"/>
        <w:ind w:left="4140" w:right="339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ab/>
        <w:t>John Finnigan</w:t>
      </w:r>
    </w:p>
    <w:p w14:paraId="77204EC4" w14:textId="10E7553D" w:rsidR="00D447DA" w:rsidRPr="00563AF6" w:rsidRDefault="000C0C9D" w:rsidP="00D447DA">
      <w:pPr>
        <w:tabs>
          <w:tab w:val="left" w:pos="4320"/>
        </w:tabs>
        <w:spacing w:after="0" w:line="240" w:lineRule="auto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ab/>
        <w:t>Assistant Consumers</w:t>
      </w:r>
      <w:r w:rsidR="00CD2A1E">
        <w:rPr>
          <w:rFonts w:cs="Times New Roman"/>
          <w:szCs w:val="24"/>
        </w:rPr>
        <w:t>’</w:t>
      </w:r>
      <w:r w:rsidRPr="00563AF6">
        <w:rPr>
          <w:rFonts w:cs="Times New Roman"/>
          <w:szCs w:val="24"/>
        </w:rPr>
        <w:t xml:space="preserve"> Counsel</w:t>
      </w:r>
    </w:p>
    <w:p w14:paraId="2D7ABA6D" w14:textId="77777777" w:rsidR="00D447DA" w:rsidRPr="00563AF6" w:rsidRDefault="00D447DA" w:rsidP="00D447DA">
      <w:pPr>
        <w:spacing w:after="0" w:line="240" w:lineRule="auto"/>
        <w:rPr>
          <w:rFonts w:cs="Times New Roman"/>
          <w:szCs w:val="24"/>
        </w:rPr>
      </w:pPr>
    </w:p>
    <w:p w14:paraId="584EBFF0" w14:textId="2A3BB892" w:rsidR="00D447DA" w:rsidRPr="00563AF6" w:rsidRDefault="000C0C9D" w:rsidP="00D447DA">
      <w:pPr>
        <w:spacing w:after="0" w:line="240" w:lineRule="auto"/>
        <w:rPr>
          <w:rFonts w:cs="Times New Roman"/>
          <w:szCs w:val="24"/>
        </w:rPr>
      </w:pPr>
      <w:r w:rsidRPr="00563AF6">
        <w:rPr>
          <w:rFonts w:cs="Times New Roman"/>
          <w:szCs w:val="24"/>
        </w:rPr>
        <w:t>The PUCO</w:t>
      </w:r>
      <w:r w:rsidR="00CD2A1E">
        <w:rPr>
          <w:rFonts w:cs="Times New Roman"/>
          <w:szCs w:val="24"/>
        </w:rPr>
        <w:t>’</w:t>
      </w:r>
      <w:r w:rsidRPr="00563AF6">
        <w:rPr>
          <w:rFonts w:cs="Times New Roman"/>
          <w:szCs w:val="24"/>
        </w:rPr>
        <w:t xml:space="preserve">s e-filing </w:t>
      </w:r>
      <w:r w:rsidRPr="00563AF6">
        <w:rPr>
          <w:rFonts w:cs="Times New Roman"/>
          <w:szCs w:val="24"/>
        </w:rPr>
        <w:t>system will electronically serve notice of the filing of this document on the following parties:</w:t>
      </w:r>
    </w:p>
    <w:p w14:paraId="602639F2" w14:textId="77777777" w:rsidR="00D447DA" w:rsidRPr="00563AF6" w:rsidRDefault="00D447DA" w:rsidP="00D447DA">
      <w:pPr>
        <w:tabs>
          <w:tab w:val="left" w:pos="4320"/>
        </w:tabs>
        <w:spacing w:after="0" w:line="240" w:lineRule="auto"/>
        <w:rPr>
          <w:rFonts w:cs="Times New Roman"/>
          <w:szCs w:val="24"/>
        </w:rPr>
      </w:pPr>
    </w:p>
    <w:p w14:paraId="3589D800" w14:textId="77777777" w:rsidR="00D447DA" w:rsidRPr="00563AF6" w:rsidRDefault="000C0C9D" w:rsidP="00D447DA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r w:rsidRPr="00563AF6">
        <w:rPr>
          <w:rFonts w:cs="Times New Roman"/>
          <w:b/>
          <w:szCs w:val="24"/>
          <w:u w:val="single"/>
        </w:rPr>
        <w:t>SERVICE LIST</w:t>
      </w:r>
    </w:p>
    <w:p w14:paraId="04303EBC" w14:textId="77777777" w:rsidR="00D447DA" w:rsidRPr="00563AF6" w:rsidRDefault="00D447DA" w:rsidP="00D447DA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</w:p>
    <w:tbl>
      <w:tblPr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92935" w14:paraId="2BCE9F06" w14:textId="77777777" w:rsidTr="000316F1">
        <w:tc>
          <w:tcPr>
            <w:tcW w:w="4428" w:type="dxa"/>
            <w:shd w:val="clear" w:color="auto" w:fill="auto"/>
          </w:tcPr>
          <w:p w14:paraId="49E377C1" w14:textId="77777777" w:rsidR="00D447DA" w:rsidRPr="00563AF6" w:rsidRDefault="000C0C9D" w:rsidP="000316F1">
            <w:pPr>
              <w:spacing w:after="0" w:line="240" w:lineRule="auto"/>
              <w:ind w:left="-113"/>
              <w:jc w:val="both"/>
              <w:rPr>
                <w:rFonts w:cs="Times New Roman"/>
                <w:color w:val="0000FF"/>
                <w:szCs w:val="24"/>
                <w:u w:val="single"/>
              </w:rPr>
            </w:pPr>
            <w:hyperlink r:id="rId19" w:history="1">
              <w:r w:rsidR="00B44E69" w:rsidRPr="00563AF6">
                <w:rPr>
                  <w:rFonts w:cs="Times New Roman"/>
                  <w:color w:val="0000FF"/>
                  <w:szCs w:val="24"/>
                  <w:u w:val="single"/>
                </w:rPr>
                <w:t>thomas.lindgren@ohioAGO.gov</w:t>
              </w:r>
            </w:hyperlink>
          </w:p>
          <w:p w14:paraId="36760F90" w14:textId="77777777" w:rsidR="00D447DA" w:rsidRPr="00563AF6" w:rsidRDefault="00D447DA" w:rsidP="000316F1">
            <w:pPr>
              <w:spacing w:after="0" w:line="240" w:lineRule="auto"/>
              <w:ind w:left="-113"/>
              <w:jc w:val="both"/>
              <w:rPr>
                <w:rFonts w:cs="Times New Roman"/>
                <w:color w:val="0000FF"/>
                <w:szCs w:val="24"/>
                <w:u w:val="single"/>
              </w:rPr>
            </w:pPr>
          </w:p>
          <w:p w14:paraId="6A3FE917" w14:textId="77777777" w:rsidR="00D447DA" w:rsidRPr="00563AF6" w:rsidRDefault="000C0C9D" w:rsidP="000316F1">
            <w:pPr>
              <w:spacing w:after="0" w:line="240" w:lineRule="auto"/>
              <w:ind w:left="-113"/>
              <w:jc w:val="both"/>
              <w:rPr>
                <w:rFonts w:cs="Times New Roman"/>
                <w:szCs w:val="24"/>
              </w:rPr>
            </w:pPr>
            <w:r w:rsidRPr="00563AF6">
              <w:rPr>
                <w:rFonts w:cs="Times New Roman"/>
                <w:szCs w:val="24"/>
              </w:rPr>
              <w:t>Attorney Examiners:</w:t>
            </w:r>
          </w:p>
          <w:p w14:paraId="30DE1922" w14:textId="77777777" w:rsidR="00D447DA" w:rsidRPr="00563AF6" w:rsidRDefault="000C0C9D" w:rsidP="000316F1">
            <w:pPr>
              <w:spacing w:after="0" w:line="240" w:lineRule="auto"/>
              <w:ind w:left="-113"/>
              <w:jc w:val="both"/>
              <w:rPr>
                <w:rFonts w:cs="Times New Roman"/>
                <w:szCs w:val="24"/>
              </w:rPr>
            </w:pPr>
            <w:hyperlink r:id="rId20" w:history="1">
              <w:r w:rsidR="00B44E69" w:rsidRPr="00563AF6">
                <w:rPr>
                  <w:rStyle w:val="Hyperlink"/>
                  <w:rFonts w:cs="Times New Roman"/>
                  <w:szCs w:val="24"/>
                </w:rPr>
                <w:t>matthew.sandor@puco.ohio.gov</w:t>
              </w:r>
            </w:hyperlink>
          </w:p>
          <w:p w14:paraId="5376F7E8" w14:textId="77777777" w:rsidR="00D447DA" w:rsidRPr="00563AF6" w:rsidRDefault="000C0C9D" w:rsidP="000316F1">
            <w:pPr>
              <w:spacing w:after="0" w:line="240" w:lineRule="auto"/>
              <w:ind w:left="-113"/>
              <w:jc w:val="both"/>
              <w:rPr>
                <w:rFonts w:cs="Times New Roman"/>
                <w:szCs w:val="24"/>
              </w:rPr>
            </w:pPr>
            <w:hyperlink r:id="rId21" w:history="1">
              <w:r w:rsidR="00B44E69" w:rsidRPr="00563AF6">
                <w:rPr>
                  <w:rStyle w:val="Hyperlink"/>
                  <w:rFonts w:cs="Times New Roman"/>
                  <w:szCs w:val="24"/>
                </w:rPr>
                <w:t>nicholas.walstra@puco.ohio.gov</w:t>
              </w:r>
            </w:hyperlink>
          </w:p>
          <w:p w14:paraId="16114EDC" w14:textId="77777777" w:rsidR="00D447DA" w:rsidRPr="00563AF6" w:rsidRDefault="00D447DA" w:rsidP="000316F1">
            <w:pPr>
              <w:spacing w:after="0" w:line="240" w:lineRule="auto"/>
              <w:ind w:left="-113"/>
              <w:jc w:val="both"/>
              <w:rPr>
                <w:rFonts w:cs="Times New Roman"/>
                <w:szCs w:val="24"/>
              </w:rPr>
            </w:pPr>
          </w:p>
          <w:p w14:paraId="310AFDA7" w14:textId="77777777" w:rsidR="00D447DA" w:rsidRPr="00563AF6" w:rsidRDefault="00D447DA" w:rsidP="000316F1">
            <w:pPr>
              <w:spacing w:after="0" w:line="240" w:lineRule="auto"/>
              <w:ind w:left="-11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14:paraId="0DB1BE32" w14:textId="77777777" w:rsidR="00D447DA" w:rsidRPr="00563AF6" w:rsidRDefault="000C0C9D" w:rsidP="000316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hyperlink r:id="rId22" w:history="1">
              <w:r w:rsidR="00B44E69" w:rsidRPr="00563AF6">
                <w:rPr>
                  <w:rStyle w:val="Hyperlink"/>
                  <w:rFonts w:cs="Times New Roman"/>
                  <w:szCs w:val="24"/>
                </w:rPr>
                <w:t>rocco.dascenzo@duke-energy.com</w:t>
              </w:r>
            </w:hyperlink>
          </w:p>
          <w:p w14:paraId="76DA456C" w14:textId="77777777" w:rsidR="00D447DA" w:rsidRPr="00563AF6" w:rsidRDefault="000C0C9D" w:rsidP="000316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hyperlink r:id="rId23" w:history="1">
              <w:r w:rsidR="00B44E69" w:rsidRPr="00563AF6">
                <w:rPr>
                  <w:rStyle w:val="Hyperlink"/>
                  <w:rFonts w:cs="Times New Roman"/>
                  <w:szCs w:val="24"/>
                </w:rPr>
                <w:t>jeanne.kingery@duke-energy.com</w:t>
              </w:r>
            </w:hyperlink>
          </w:p>
          <w:p w14:paraId="2EA64875" w14:textId="77777777" w:rsidR="00D447DA" w:rsidRPr="00563AF6" w:rsidRDefault="000C0C9D" w:rsidP="000316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hyperlink r:id="rId24" w:history="1">
              <w:r w:rsidR="00B44E69" w:rsidRPr="00563AF6">
                <w:rPr>
                  <w:rStyle w:val="Hyperlink"/>
                  <w:rFonts w:cs="Times New Roman"/>
                  <w:szCs w:val="24"/>
                </w:rPr>
                <w:t>larisa.vaysman@duke-energy.com</w:t>
              </w:r>
            </w:hyperlink>
          </w:p>
          <w:p w14:paraId="3C366CAC" w14:textId="77777777" w:rsidR="00D447DA" w:rsidRPr="00563AF6" w:rsidRDefault="000C0C9D" w:rsidP="000316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hyperlink r:id="rId25" w:history="1">
              <w:r w:rsidR="00B44E69" w:rsidRPr="00563AF6">
                <w:rPr>
                  <w:rStyle w:val="Hyperlink"/>
                  <w:rFonts w:cs="Times New Roman"/>
                  <w:szCs w:val="24"/>
                </w:rPr>
                <w:t>elyse.akhbari@duke-energy.com</w:t>
              </w:r>
            </w:hyperlink>
          </w:p>
          <w:p w14:paraId="0EF3D6DB" w14:textId="77777777" w:rsidR="00D447DA" w:rsidRPr="00563AF6" w:rsidRDefault="00D447DA" w:rsidP="000316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3B865744" w14:textId="77777777" w:rsidR="00D447DA" w:rsidRPr="00563AF6" w:rsidRDefault="00D447DA" w:rsidP="000316F1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30B7826C" w14:textId="77777777" w:rsidR="00D447DA" w:rsidRPr="00563AF6" w:rsidRDefault="00D447DA" w:rsidP="00D447DA">
      <w:pPr>
        <w:spacing w:after="0" w:line="240" w:lineRule="auto"/>
        <w:rPr>
          <w:rFonts w:cs="Times New Roman"/>
          <w:szCs w:val="24"/>
        </w:rPr>
      </w:pPr>
    </w:p>
    <w:p w14:paraId="0B132987" w14:textId="77777777" w:rsidR="00D447DA" w:rsidRPr="00563AF6" w:rsidRDefault="00D447DA" w:rsidP="00D447DA">
      <w:pPr>
        <w:spacing w:after="0" w:line="480" w:lineRule="auto"/>
        <w:rPr>
          <w:rFonts w:cs="Times New Roman"/>
          <w:szCs w:val="24"/>
        </w:rPr>
      </w:pPr>
    </w:p>
    <w:p w14:paraId="2D501478" w14:textId="77777777" w:rsidR="00370806" w:rsidRPr="00370806" w:rsidRDefault="00370806" w:rsidP="00370806">
      <w:pPr>
        <w:spacing w:after="0" w:line="480" w:lineRule="auto"/>
        <w:ind w:firstLine="720"/>
        <w:rPr>
          <w:rFonts w:ascii="TimesNewRomanPSMT" w:hAnsi="TimesNewRomanPSMT" w:cs="TimesNewRomanPSMT"/>
          <w:szCs w:val="24"/>
          <w14:ligatures w14:val="standardContextual"/>
        </w:rPr>
      </w:pPr>
    </w:p>
    <w:p w14:paraId="742E0845" w14:textId="77777777" w:rsidR="00370806" w:rsidRPr="00370806" w:rsidRDefault="00370806" w:rsidP="00370806">
      <w:pPr>
        <w:spacing w:after="0" w:line="480" w:lineRule="auto"/>
        <w:ind w:firstLine="720"/>
        <w:rPr>
          <w:rFonts w:ascii="TimesNewRomanPSMT" w:hAnsi="TimesNewRomanPSMT" w:cs="TimesNewRomanPSMT"/>
          <w:szCs w:val="24"/>
          <w14:ligatures w14:val="standardContextual"/>
        </w:rPr>
      </w:pPr>
    </w:p>
    <w:p w14:paraId="2500469D" w14:textId="77777777" w:rsidR="00370806" w:rsidRPr="00370806" w:rsidRDefault="00370806" w:rsidP="00370806">
      <w:pPr>
        <w:spacing w:after="0" w:line="480" w:lineRule="auto"/>
        <w:ind w:firstLine="720"/>
        <w:rPr>
          <w:rFonts w:cs="Times New Roman"/>
          <w:kern w:val="2"/>
          <w:szCs w:val="24"/>
          <w14:ligatures w14:val="standardContextual"/>
        </w:rPr>
      </w:pPr>
    </w:p>
    <w:p w14:paraId="03E879F1" w14:textId="77777777" w:rsidR="00B27C28" w:rsidRDefault="00B27C28"/>
    <w:sectPr w:rsidR="00B27C28" w:rsidSect="00765706">
      <w:footerReference w:type="default" r:id="rId2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0E4C0" w14:textId="77777777" w:rsidR="000C0C9D" w:rsidRDefault="000C0C9D">
      <w:pPr>
        <w:spacing w:after="0" w:line="240" w:lineRule="auto"/>
      </w:pPr>
      <w:r>
        <w:separator/>
      </w:r>
    </w:p>
  </w:endnote>
  <w:endnote w:type="continuationSeparator" w:id="0">
    <w:p w14:paraId="374238AA" w14:textId="77777777" w:rsidR="000C0C9D" w:rsidRDefault="000C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22AA4" w14:textId="77777777" w:rsidR="00144056" w:rsidRDefault="00144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3341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C53B2" w14:textId="3DD53288" w:rsidR="00C2509B" w:rsidRDefault="000C0C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919BF" w14:textId="77777777" w:rsidR="00C2509B" w:rsidRDefault="00C25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9C9A1" w14:textId="77777777" w:rsidR="00144056" w:rsidRDefault="001440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290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9F903" w14:textId="05E74153" w:rsidR="00765706" w:rsidRDefault="000C0C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9ADA8" w14:textId="77777777" w:rsidR="00765706" w:rsidRDefault="0076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E93AC" w14:textId="77777777" w:rsidR="00415DE7" w:rsidRDefault="000C0C9D" w:rsidP="00370806">
      <w:pPr>
        <w:spacing w:after="0" w:line="240" w:lineRule="auto"/>
      </w:pPr>
      <w:r>
        <w:separator/>
      </w:r>
    </w:p>
  </w:footnote>
  <w:footnote w:type="continuationSeparator" w:id="0">
    <w:p w14:paraId="3CBD4408" w14:textId="77777777" w:rsidR="00415DE7" w:rsidRDefault="000C0C9D" w:rsidP="00370806">
      <w:pPr>
        <w:spacing w:after="0" w:line="240" w:lineRule="auto"/>
      </w:pPr>
      <w:r>
        <w:continuationSeparator/>
      </w:r>
    </w:p>
  </w:footnote>
  <w:footnote w:id="1">
    <w:p w14:paraId="1A457C42" w14:textId="149FA270" w:rsidR="00FC47DE" w:rsidRDefault="000C0C9D" w:rsidP="0093132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B11CB9" w:rsidRPr="00931327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25 Ohio St. 3d 164, 495 N.E.2d 918</w:t>
        </w:r>
      </w:hyperlink>
      <w:r w:rsidR="00B11CB9" w:rsidRPr="00931327">
        <w:rPr>
          <w:shd w:val="clear" w:color="auto" w:fill="FFFFFF"/>
        </w:rPr>
        <w:t>, syllabus, paragraph 2 (1986).</w:t>
      </w:r>
    </w:p>
  </w:footnote>
  <w:footnote w:id="2">
    <w:p w14:paraId="35C96EAD" w14:textId="77777777" w:rsidR="00D17450" w:rsidRPr="0026202C" w:rsidRDefault="000C0C9D" w:rsidP="00D17450">
      <w:pPr>
        <w:pStyle w:val="FootnoteText"/>
        <w:spacing w:after="120"/>
        <w:rPr>
          <w:bCs/>
        </w:rPr>
      </w:pPr>
      <w:r>
        <w:rPr>
          <w:rStyle w:val="FootnoteReference"/>
        </w:rPr>
        <w:footnoteRef/>
      </w:r>
      <w:r>
        <w:t xml:space="preserve"> </w:t>
      </w:r>
      <w:r w:rsidRPr="00774E3A">
        <w:rPr>
          <w:bCs/>
          <w:i/>
          <w:iCs/>
          <w:color w:val="212121"/>
        </w:rPr>
        <w:t>In the Matter of the Application of Ohio Edison Company, The Cleveland Electric Illuminating Company, and The Toledo Edison Company for Approval of a New Rider and Revision of an Existing Rider</w:t>
      </w:r>
      <w:r>
        <w:rPr>
          <w:bCs/>
          <w:i/>
          <w:iCs/>
          <w:color w:val="212121"/>
        </w:rPr>
        <w:t xml:space="preserve">, </w:t>
      </w:r>
      <w:r>
        <w:rPr>
          <w:bCs/>
          <w:color w:val="212121"/>
        </w:rPr>
        <w:t>Case No. 10-176-EL-ATA, Entry at ¶ 18 (Jan. 27, 2011).</w:t>
      </w:r>
    </w:p>
  </w:footnote>
  <w:footnote w:id="3">
    <w:p w14:paraId="47E5DB30" w14:textId="7E0AF8C4" w:rsidR="00D807B5" w:rsidRDefault="000C0C9D" w:rsidP="006E1A4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Entry (May 13, 2024).</w:t>
      </w:r>
    </w:p>
  </w:footnote>
  <w:footnote w:id="4">
    <w:p w14:paraId="5D5CB41B" w14:textId="6C05A89D" w:rsidR="00F41D5B" w:rsidRPr="000D479A" w:rsidRDefault="000C0C9D" w:rsidP="000D479A">
      <w:pPr>
        <w:pStyle w:val="FootnoteText"/>
        <w:spacing w:after="120"/>
      </w:pPr>
      <w:r w:rsidRPr="000D479A">
        <w:rPr>
          <w:rStyle w:val="FootnoteReference"/>
        </w:rPr>
        <w:footnoteRef/>
      </w:r>
      <w:r w:rsidRPr="000D479A">
        <w:t xml:space="preserve"> O.A.C. 4901-1-16(B).</w:t>
      </w:r>
    </w:p>
  </w:footnote>
  <w:footnote w:id="5">
    <w:p w14:paraId="737C1A2B" w14:textId="77777777" w:rsidR="00F41D5B" w:rsidRPr="000D479A" w:rsidRDefault="000C0C9D" w:rsidP="000D479A">
      <w:pPr>
        <w:pStyle w:val="FootnoteText"/>
        <w:spacing w:after="120"/>
      </w:pPr>
      <w:r w:rsidRPr="000D479A">
        <w:rPr>
          <w:rStyle w:val="FootnoteReference"/>
        </w:rPr>
        <w:footnoteRef/>
      </w:r>
      <w:r w:rsidRPr="000D479A">
        <w:t xml:space="preserve"> </w:t>
      </w:r>
      <w:hyperlink r:id="rId2" w:history="1">
        <w:r w:rsidRPr="000D479A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25 Ohio St. 3d 164, 495 N.E.2d 918</w:t>
        </w:r>
      </w:hyperlink>
      <w:r w:rsidRPr="000D479A">
        <w:rPr>
          <w:shd w:val="clear" w:color="auto" w:fill="FFFFFF"/>
        </w:rPr>
        <w:t xml:space="preserve">, </w:t>
      </w:r>
      <w:r w:rsidRPr="000D479A">
        <w:rPr>
          <w:shd w:val="clear" w:color="auto" w:fill="FFFFFF"/>
        </w:rPr>
        <w:t>syllabus, paragraph 2 (1986).</w:t>
      </w:r>
    </w:p>
  </w:footnote>
  <w:footnote w:id="6">
    <w:p w14:paraId="53F87DB5" w14:textId="2A8E57DD" w:rsidR="00370806" w:rsidRPr="000D479A" w:rsidRDefault="000C0C9D" w:rsidP="000D479A">
      <w:pPr>
        <w:pStyle w:val="FootnoteText"/>
        <w:spacing w:after="120"/>
      </w:pPr>
      <w:r w:rsidRPr="000D479A">
        <w:rPr>
          <w:rStyle w:val="FootnoteReference"/>
        </w:rPr>
        <w:footnoteRef/>
      </w:r>
      <w:r w:rsidR="006222F4">
        <w:t xml:space="preserve"> </w:t>
      </w:r>
      <w:r w:rsidR="00EA765A" w:rsidRPr="000D479A">
        <w:rPr>
          <w:i/>
          <w:iCs/>
        </w:rPr>
        <w:t xml:space="preserve">See also </w:t>
      </w:r>
      <w:r w:rsidRPr="000D479A">
        <w:rPr>
          <w:i/>
          <w:iCs/>
        </w:rPr>
        <w:t>In the Matter of the Review of the Political and Charitable Spending by Ohio Edison Company, The Cleveland Electric Illuminating Company, and the Toledo Edison Company</w:t>
      </w:r>
      <w:r w:rsidRPr="000D479A">
        <w:t>. Case No. 20-1502-EL-UNC, Entry at ¶ 17 (March 2, 2022).</w:t>
      </w:r>
    </w:p>
  </w:footnote>
  <w:footnote w:id="7">
    <w:p w14:paraId="2B73C59A" w14:textId="77777777" w:rsidR="00D807B5" w:rsidRPr="000D479A" w:rsidRDefault="000C0C9D" w:rsidP="000D479A">
      <w:pPr>
        <w:pStyle w:val="FootnoteText"/>
        <w:spacing w:after="120"/>
        <w:rPr>
          <w:bCs/>
        </w:rPr>
      </w:pPr>
      <w:r w:rsidRPr="000D479A">
        <w:rPr>
          <w:rStyle w:val="FootnoteReference"/>
        </w:rPr>
        <w:footnoteRef/>
      </w:r>
      <w:r w:rsidRPr="000D479A">
        <w:t xml:space="preserve"> </w:t>
      </w:r>
      <w:r w:rsidRPr="000D479A">
        <w:rPr>
          <w:bCs/>
          <w:i/>
          <w:iCs/>
        </w:rPr>
        <w:t xml:space="preserve">In the Matter of the Application of Ohio Edison Company, The Cleveland Electric Illuminating Company, and The Toledo Edison Company for Approval of a New Rider and Revision of an Existing Rider, </w:t>
      </w:r>
      <w:r w:rsidRPr="000D479A">
        <w:rPr>
          <w:bCs/>
        </w:rPr>
        <w:t>Case No. 10-176-EL-ATA, Entry at ¶ 18 (Jan. 27, 2011).</w:t>
      </w:r>
    </w:p>
    <w:p w14:paraId="5D027329" w14:textId="137071AD" w:rsidR="00D807B5" w:rsidRDefault="00D807B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36809" w14:textId="77777777" w:rsidR="00144056" w:rsidRDefault="00144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3E009" w14:textId="77777777" w:rsidR="00144056" w:rsidRDefault="00144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9FDA4" w14:textId="77777777" w:rsidR="00144056" w:rsidRDefault="00144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D3"/>
    <w:rsid w:val="000316F1"/>
    <w:rsid w:val="00060EA1"/>
    <w:rsid w:val="000C0C9D"/>
    <w:rsid w:val="000C30E3"/>
    <w:rsid w:val="000D479A"/>
    <w:rsid w:val="000E5C05"/>
    <w:rsid w:val="000F755F"/>
    <w:rsid w:val="00144056"/>
    <w:rsid w:val="001825D3"/>
    <w:rsid w:val="001B4280"/>
    <w:rsid w:val="00214811"/>
    <w:rsid w:val="002223D3"/>
    <w:rsid w:val="00235E7A"/>
    <w:rsid w:val="0024538B"/>
    <w:rsid w:val="002528C7"/>
    <w:rsid w:val="0026202C"/>
    <w:rsid w:val="00274917"/>
    <w:rsid w:val="00292935"/>
    <w:rsid w:val="002A06B2"/>
    <w:rsid w:val="002C43E3"/>
    <w:rsid w:val="003303E5"/>
    <w:rsid w:val="003653EA"/>
    <w:rsid w:val="00370806"/>
    <w:rsid w:val="00383761"/>
    <w:rsid w:val="003918AB"/>
    <w:rsid w:val="003A2A31"/>
    <w:rsid w:val="003C36AF"/>
    <w:rsid w:val="003C4A43"/>
    <w:rsid w:val="003E0A33"/>
    <w:rsid w:val="003F0FCC"/>
    <w:rsid w:val="003F7F96"/>
    <w:rsid w:val="00415DE7"/>
    <w:rsid w:val="004B2491"/>
    <w:rsid w:val="004B37DC"/>
    <w:rsid w:val="004C7326"/>
    <w:rsid w:val="004D7868"/>
    <w:rsid w:val="004F39FD"/>
    <w:rsid w:val="00525A6E"/>
    <w:rsid w:val="0055040B"/>
    <w:rsid w:val="00554A8F"/>
    <w:rsid w:val="00561FFC"/>
    <w:rsid w:val="00563AF6"/>
    <w:rsid w:val="00581849"/>
    <w:rsid w:val="005821D6"/>
    <w:rsid w:val="0058689A"/>
    <w:rsid w:val="005E29B7"/>
    <w:rsid w:val="005F580E"/>
    <w:rsid w:val="0061655E"/>
    <w:rsid w:val="006222F4"/>
    <w:rsid w:val="00627568"/>
    <w:rsid w:val="00647922"/>
    <w:rsid w:val="00664595"/>
    <w:rsid w:val="006B2CF4"/>
    <w:rsid w:val="006E1A49"/>
    <w:rsid w:val="006F5049"/>
    <w:rsid w:val="00765706"/>
    <w:rsid w:val="00774E3A"/>
    <w:rsid w:val="00793FAC"/>
    <w:rsid w:val="007B1A92"/>
    <w:rsid w:val="008052A1"/>
    <w:rsid w:val="0081305B"/>
    <w:rsid w:val="008229EA"/>
    <w:rsid w:val="00827184"/>
    <w:rsid w:val="008A629C"/>
    <w:rsid w:val="008B316C"/>
    <w:rsid w:val="008D4CF5"/>
    <w:rsid w:val="00926FC3"/>
    <w:rsid w:val="00931327"/>
    <w:rsid w:val="0094318C"/>
    <w:rsid w:val="00975074"/>
    <w:rsid w:val="009D27CA"/>
    <w:rsid w:val="009E45AB"/>
    <w:rsid w:val="009E5EC2"/>
    <w:rsid w:val="00A1497E"/>
    <w:rsid w:val="00A258AA"/>
    <w:rsid w:val="00A32B84"/>
    <w:rsid w:val="00A641DB"/>
    <w:rsid w:val="00A73BD8"/>
    <w:rsid w:val="00A83BF9"/>
    <w:rsid w:val="00AA2842"/>
    <w:rsid w:val="00AB0332"/>
    <w:rsid w:val="00B11CB9"/>
    <w:rsid w:val="00B127A6"/>
    <w:rsid w:val="00B27C28"/>
    <w:rsid w:val="00B44E69"/>
    <w:rsid w:val="00B709AF"/>
    <w:rsid w:val="00B71087"/>
    <w:rsid w:val="00B87612"/>
    <w:rsid w:val="00BA7641"/>
    <w:rsid w:val="00C01616"/>
    <w:rsid w:val="00C2509B"/>
    <w:rsid w:val="00CD2A1E"/>
    <w:rsid w:val="00D17450"/>
    <w:rsid w:val="00D447DA"/>
    <w:rsid w:val="00D627B0"/>
    <w:rsid w:val="00D807B5"/>
    <w:rsid w:val="00DD24C8"/>
    <w:rsid w:val="00E039C0"/>
    <w:rsid w:val="00E341E0"/>
    <w:rsid w:val="00E35EFC"/>
    <w:rsid w:val="00E76BBE"/>
    <w:rsid w:val="00EA765A"/>
    <w:rsid w:val="00F17F18"/>
    <w:rsid w:val="00F41D5B"/>
    <w:rsid w:val="00F42039"/>
    <w:rsid w:val="00F63E46"/>
    <w:rsid w:val="00FC28AB"/>
    <w:rsid w:val="00FC47DE"/>
    <w:rsid w:val="00FD09BD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5B330-435F-47F7-8DCC-356DDDB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D3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5E7A"/>
    <w:pPr>
      <w:keepNext/>
      <w:keepLines/>
      <w:spacing w:after="0" w:line="240" w:lineRule="auto"/>
      <w:outlineLvl w:val="0"/>
    </w:pPr>
    <w:rPr>
      <w:rFonts w:eastAsiaTheme="majorEastAsia" w:cstheme="majorBidi"/>
      <w:kern w:val="2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2491"/>
    <w:pPr>
      <w:keepNext/>
      <w:keepLines/>
      <w:spacing w:after="240" w:line="240" w:lineRule="auto"/>
      <w:ind w:left="1440" w:hanging="720"/>
      <w:outlineLvl w:val="1"/>
    </w:pPr>
    <w:rPr>
      <w:rFonts w:eastAsiaTheme="majorEastAsia" w:cs="Times New Roman"/>
      <w:b/>
      <w:bCs/>
      <w:kern w:val="2"/>
      <w:szCs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A31"/>
    <w:pPr>
      <w:keepNext/>
      <w:keepLines/>
      <w:spacing w:after="240" w:line="240" w:lineRule="auto"/>
      <w:ind w:left="2160" w:hanging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3D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3D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3D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3D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3D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3D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B27C28"/>
    <w:pPr>
      <w:tabs>
        <w:tab w:val="left" w:pos="720"/>
        <w:tab w:val="left" w:pos="1440"/>
        <w:tab w:val="decimal" w:leader="dot" w:pos="9360"/>
      </w:tabs>
      <w:spacing w:after="120" w:line="240" w:lineRule="auto"/>
      <w:ind w:left="2160" w:hanging="720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2A31"/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B2491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5E7A"/>
    <w:rPr>
      <w:rFonts w:ascii="Times New Roman" w:eastAsiaTheme="majorEastAsia" w:hAnsi="Times New Roman" w:cstheme="majorBidi"/>
      <w:sz w:val="24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3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3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3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3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3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3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23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22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3D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223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23D3"/>
    <w:pPr>
      <w:spacing w:before="160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223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23D3"/>
    <w:pPr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223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3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3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23D3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aliases w:val=" Char"/>
    <w:basedOn w:val="Normal"/>
    <w:link w:val="HTMLPreformattedChar"/>
    <w:rsid w:val="00222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2223D3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806"/>
    <w:pPr>
      <w:spacing w:after="0" w:line="240" w:lineRule="auto"/>
    </w:pPr>
    <w:rPr>
      <w:rFonts w:cs="Times New Roman"/>
      <w:kern w:val="2"/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80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8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2B84"/>
    <w:rPr>
      <w:color w:val="0000FF"/>
      <w:u w:val="single"/>
    </w:rPr>
  </w:style>
  <w:style w:type="paragraph" w:styleId="Revision">
    <w:name w:val="Revision"/>
    <w:hidden/>
    <w:uiPriority w:val="99"/>
    <w:semiHidden/>
    <w:rsid w:val="00581849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F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F96"/>
    <w:rPr>
      <w:rFonts w:ascii="Times New Roman" w:hAnsi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F9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2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9B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9B"/>
    <w:rPr>
      <w:rFonts w:ascii="Times New Roman" w:hAnsi="Times New Roman"/>
      <w:kern w:val="0"/>
      <w:sz w:val="24"/>
      <w14:ligatures w14:val="none"/>
    </w:rPr>
  </w:style>
  <w:style w:type="character" w:customStyle="1" w:styleId="ssit">
    <w:name w:val="ss_it"/>
    <w:basedOn w:val="DefaultParagraphFont"/>
    <w:rsid w:val="0026202C"/>
  </w:style>
  <w:style w:type="character" w:customStyle="1" w:styleId="sssh">
    <w:name w:val="ss_sh"/>
    <w:basedOn w:val="DefaultParagraphFont"/>
    <w:rsid w:val="0026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finnigan@occ.ohio.gov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homas.zuehlke@occ.ohio.gov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mailto:nicholas.walstra@puco.ohio.gov" TargetMode="External"/><Relationship Id="rId7" Type="http://schemas.openxmlformats.org/officeDocument/2006/relationships/hyperlink" Target="https://plus.lexis.com/document/teaserdocument/?pdmfid=1530671&amp;crid=1c0cef51-1b14-422d-b560-9a4a2f04e1e2&amp;pddocfullpath=%2Fshared%2Fdocument%2Fcases%2Furn%3AcontentItem%3A45N4-94B0-0039-44DK-00000-00&amp;pddocid=urn%3AcontentItem%3A45N4-94B0-0039-44DK-00000-00&amp;pdcontentcomponentid=9250&amp;pdislparesultsdocument=false&amp;pdteaserkey=h&amp;pdteaserid=teaser-dXJuOmNvbnRlbnRJdGVtOjQ1TjQtOTRCMC0wMDM5LTQ0REstMDAwMDAtMDA%3D-3-PATH-b3Bpbmlvbi0xNTQ1Nw%3D%3D&amp;pdsearchterms=supreme%20and%20in%20camera%20w/10%20privilege&amp;pdisdocsliderrequired=true&amp;pdpeersearchid=94c9a77f-cbf4-46b9-8070-2057e42a6600-1&amp;ecomp=57ttk&amp;earg=pdpsf&amp;prid=f1509ae5-5250-4d7b-90d5-9f77955045da" TargetMode="External"/><Relationship Id="rId12" Type="http://schemas.openxmlformats.org/officeDocument/2006/relationships/footer" Target="footer1.xml"/><Relationship Id="rId17" Type="http://schemas.openxmlformats.org/officeDocument/2006/relationships/hyperlink" Target="mailto:john.finnigan@occ.ohio.gov" TargetMode="External"/><Relationship Id="rId25" Type="http://schemas.openxmlformats.org/officeDocument/2006/relationships/hyperlink" Target="mailto:elyse.akhbari@duke-energ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lexis.com/document/teaserdocument/?pdmfid=1530671&amp;crid=1c0cef51-1b14-422d-b560-9a4a2f04e1e2&amp;pddocfullpath=%2Fshared%2Fdocument%2Fcases%2Furn%3AcontentItem%3A45N4-94B0-0039-44DK-00000-00&amp;pddocid=urn%3AcontentItem%3A45N4-94B0-0039-44DK-00000-00&amp;pdcontentcomponentid=9250&amp;pdislparesultsdocument=false&amp;pdteaserkey=h&amp;pdteaserid=teaser-dXJuOmNvbnRlbnRJdGVtOjQ1TjQtOTRCMC0wMDM5LTQ0REstMDAwMDAtMDA%3D-3-PATH-b3Bpbmlvbi0xNTQ1Nw%3D%3D&amp;pdsearchterms=supreme%20and%20in%20camera%20w/10%20privilege&amp;pdisdocsliderrequired=true&amp;pdpeersearchid=94c9a77f-cbf4-46b9-8070-2057e42a6600-1&amp;ecomp=57ttk&amp;earg=pdpsf&amp;prid=f1509ae5-5250-4d7b-90d5-9f77955045da" TargetMode="External"/><Relationship Id="rId20" Type="http://schemas.openxmlformats.org/officeDocument/2006/relationships/hyperlink" Target="mailto:matthew.sandor@puco.ohio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larisa.vaysman@duke-energy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mailto:jeanne.kingery@duke-energy.co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john.jones@ohioag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zuehlke@occ.ohio.gov" TargetMode="External"/><Relationship Id="rId14" Type="http://schemas.openxmlformats.org/officeDocument/2006/relationships/header" Target="header3.xml"/><Relationship Id="rId22" Type="http://schemas.openxmlformats.org/officeDocument/2006/relationships/hyperlink" Target="mailto:rocco.dascenzo@duke-energy.com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us.lexis.com/document/teaserdocument/?pdmfid=1530671&amp;crid=1c0cef51-1b14-422d-b560-9a4a2f04e1e2&amp;pddocfullpath=%2Fshared%2Fdocument%2Fcases%2Furn%3AcontentItem%3A45N4-94B0-0039-44DK-00000-00&amp;pddocid=urn%3AcontentItem%3A45N4-94B0-0039-44DK-00000-00&amp;pdcontentcomponentid=9250&amp;pdislparesultsdocument=false&amp;pdteaserkey=h&amp;pdteaserid=teaser-dXJuOmNvbnRlbnRJdGVtOjQ1TjQtOTRCMC0wMDM5LTQ0REstMDAwMDAtMDA%3D-3-PATH-b3Bpbmlvbi0xNTQ1Nw%3D%3D&amp;pdsearchterms=supreme%20and%20in%20camera%20w/10%20privilege&amp;pdisdocsliderrequired=true&amp;pdpeersearchid=94c9a77f-cbf4-46b9-8070-2057e42a6600-1&amp;ecomp=57ttk&amp;earg=pdpsf&amp;prid=f1509ae5-5250-4d7b-90d5-9f77955045da" TargetMode="External"/><Relationship Id="rId1" Type="http://schemas.openxmlformats.org/officeDocument/2006/relationships/hyperlink" Target="https://plus.lexis.com/document/teaserdocument/?pdmfid=1530671&amp;crid=1c0cef51-1b14-422d-b560-9a4a2f04e1e2&amp;pddocfullpath=%2Fshared%2Fdocument%2Fcases%2Furn%3AcontentItem%3A45N4-94B0-0039-44DK-00000-00&amp;pddocid=urn%3AcontentItem%3A45N4-94B0-0039-44DK-00000-00&amp;pdcontentcomponentid=9250&amp;pdislparesultsdocument=false&amp;pdteaserkey=h&amp;pdteaserid=teaser-dXJuOmNvbnRlbnRJdGVtOjQ1TjQtOTRCMC0wMDM5LTQ0REstMDAwMDAtMDA%3D-3-PATH-b3Bpbmlvbi0xNTQ1Nw%3D%3D&amp;pdsearchterms=supreme%20and%20in%20camera%20w/10%20privilege&amp;pdisdocsliderrequired=true&amp;pdpeersearchid=94c9a77f-cbf4-46b9-8070-2057e42a6600-1&amp;ecomp=57ttk&amp;earg=pdpsf&amp;prid=f1509ae5-5250-4d7b-90d5-9f77955045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68A9-C318-474F-9BC8-DB4981E2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Walters, Denise</cp:lastModifiedBy>
  <cp:revision>2</cp:revision>
  <dcterms:created xsi:type="dcterms:W3CDTF">2024-06-18T18:00:00Z</dcterms:created>
  <dcterms:modified xsi:type="dcterms:W3CDTF">2024-06-18T18:01:00Z</dcterms:modified>
</cp:coreProperties>
</file>